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776E55" w:rsidRDefault="000E391F" w:rsidP="000E391F">
      <w:pPr>
        <w:pStyle w:val="Header"/>
        <w:jc w:val="center"/>
        <w:rPr>
          <w:b/>
          <w:sz w:val="32"/>
          <w:szCs w:val="32"/>
        </w:rPr>
      </w:pPr>
      <w:r w:rsidRPr="00776E55">
        <w:rPr>
          <w:b/>
          <w:sz w:val="32"/>
          <w:szCs w:val="32"/>
        </w:rPr>
        <w:t>Supreme Court of Canada / Cour suprême du Canada</w:t>
      </w:r>
    </w:p>
    <w:p w:rsidR="000E391F" w:rsidRPr="00776E55" w:rsidRDefault="000E391F" w:rsidP="000E391F">
      <w:pPr>
        <w:widowControl w:val="0"/>
        <w:rPr>
          <w:sz w:val="20"/>
        </w:rPr>
      </w:pPr>
    </w:p>
    <w:p w:rsidR="000E391F" w:rsidRPr="00776E55" w:rsidRDefault="000E391F" w:rsidP="000E391F">
      <w:pPr>
        <w:widowControl w:val="0"/>
        <w:rPr>
          <w:i/>
          <w:sz w:val="20"/>
        </w:rPr>
      </w:pPr>
    </w:p>
    <w:p w:rsidR="006F2579" w:rsidRPr="00776E55" w:rsidRDefault="006F2579" w:rsidP="006F2579">
      <w:pPr>
        <w:widowControl w:val="0"/>
        <w:rPr>
          <w:i/>
          <w:sz w:val="20"/>
        </w:rPr>
      </w:pPr>
      <w:r w:rsidRPr="00776E55">
        <w:rPr>
          <w:i/>
          <w:sz w:val="20"/>
        </w:rPr>
        <w:t>(</w:t>
      </w:r>
      <w:r w:rsidR="003240B6" w:rsidRPr="00776E55">
        <w:rPr>
          <w:i/>
          <w:sz w:val="20"/>
        </w:rPr>
        <w:t>L</w:t>
      </w:r>
      <w:r w:rsidRPr="00776E55">
        <w:rPr>
          <w:i/>
          <w:sz w:val="20"/>
        </w:rPr>
        <w:t>e français suit)</w:t>
      </w:r>
    </w:p>
    <w:p w:rsidR="006F2579" w:rsidRPr="00776E55" w:rsidRDefault="006F2579" w:rsidP="006F2579">
      <w:pPr>
        <w:widowControl w:val="0"/>
        <w:rPr>
          <w:sz w:val="20"/>
        </w:rPr>
      </w:pPr>
    </w:p>
    <w:p w:rsidR="006F2579" w:rsidRPr="00776E55" w:rsidRDefault="00B07908" w:rsidP="006F2579">
      <w:pPr>
        <w:widowControl w:val="0"/>
        <w:jc w:val="center"/>
        <w:rPr>
          <w:b/>
          <w:szCs w:val="24"/>
        </w:rPr>
      </w:pPr>
      <w:r w:rsidRPr="00776E55">
        <w:rPr>
          <w:szCs w:val="24"/>
        </w:rPr>
        <w:fldChar w:fldCharType="begin"/>
      </w:r>
      <w:r w:rsidR="006F2579" w:rsidRPr="00776E55">
        <w:rPr>
          <w:szCs w:val="24"/>
        </w:rPr>
        <w:instrText xml:space="preserve"> SEQ CHAPTER \h \r 1</w:instrText>
      </w:r>
      <w:r w:rsidRPr="00776E55">
        <w:rPr>
          <w:szCs w:val="24"/>
        </w:rPr>
        <w:fldChar w:fldCharType="end"/>
      </w:r>
      <w:r w:rsidR="006F2579" w:rsidRPr="00776E55">
        <w:rPr>
          <w:b/>
          <w:szCs w:val="24"/>
        </w:rPr>
        <w:t>JUDGMENT</w:t>
      </w:r>
      <w:r w:rsidR="004F5491" w:rsidRPr="00776E55">
        <w:rPr>
          <w:b/>
          <w:szCs w:val="24"/>
        </w:rPr>
        <w:t>S</w:t>
      </w:r>
      <w:r w:rsidR="006F2579" w:rsidRPr="00776E55">
        <w:rPr>
          <w:b/>
          <w:szCs w:val="24"/>
        </w:rPr>
        <w:t xml:space="preserve"> TO B</w:t>
      </w:r>
      <w:r w:rsidR="00001846" w:rsidRPr="00776E55">
        <w:rPr>
          <w:b/>
          <w:szCs w:val="24"/>
        </w:rPr>
        <w:t>E RENDERED IN LE</w:t>
      </w:r>
      <w:r w:rsidR="00A0288A" w:rsidRPr="00776E55">
        <w:rPr>
          <w:b/>
          <w:szCs w:val="24"/>
        </w:rPr>
        <w:t>A</w:t>
      </w:r>
      <w:r w:rsidR="00001846" w:rsidRPr="00776E55">
        <w:rPr>
          <w:b/>
          <w:szCs w:val="24"/>
        </w:rPr>
        <w:t>VE APPLICATION</w:t>
      </w:r>
      <w:r w:rsidR="004F5491" w:rsidRPr="00776E55">
        <w:rPr>
          <w:b/>
          <w:szCs w:val="24"/>
        </w:rPr>
        <w:t>S</w:t>
      </w:r>
    </w:p>
    <w:p w:rsidR="006F2579" w:rsidRPr="00776E55" w:rsidRDefault="006F2579" w:rsidP="006F2579">
      <w:pPr>
        <w:widowControl w:val="0"/>
        <w:rPr>
          <w:szCs w:val="24"/>
        </w:rPr>
      </w:pPr>
    </w:p>
    <w:p w:rsidR="006F2579" w:rsidRPr="00776E55" w:rsidRDefault="00A80025" w:rsidP="006F2579">
      <w:pPr>
        <w:widowControl w:val="0"/>
        <w:rPr>
          <w:szCs w:val="24"/>
        </w:rPr>
      </w:pPr>
      <w:r w:rsidRPr="00776E55">
        <w:rPr>
          <w:b/>
          <w:szCs w:val="24"/>
        </w:rPr>
        <w:t>April</w:t>
      </w:r>
      <w:r w:rsidR="00A15B66" w:rsidRPr="00776E55">
        <w:rPr>
          <w:b/>
          <w:szCs w:val="24"/>
        </w:rPr>
        <w:t xml:space="preserve"> </w:t>
      </w:r>
      <w:r w:rsidR="000D6A85" w:rsidRPr="00776E55">
        <w:rPr>
          <w:b/>
          <w:szCs w:val="24"/>
        </w:rPr>
        <w:t>1</w:t>
      </w:r>
      <w:r w:rsidR="00D038C0" w:rsidRPr="00776E55">
        <w:rPr>
          <w:b/>
          <w:szCs w:val="24"/>
        </w:rPr>
        <w:t>7</w:t>
      </w:r>
      <w:r w:rsidR="004441C7" w:rsidRPr="00776E55">
        <w:rPr>
          <w:b/>
          <w:szCs w:val="24"/>
        </w:rPr>
        <w:t>,</w:t>
      </w:r>
      <w:r w:rsidR="006F2579" w:rsidRPr="00776E55">
        <w:rPr>
          <w:b/>
          <w:szCs w:val="24"/>
        </w:rPr>
        <w:t xml:space="preserve"> </w:t>
      </w:r>
      <w:r w:rsidR="0054689F" w:rsidRPr="00776E55">
        <w:rPr>
          <w:b/>
          <w:szCs w:val="24"/>
        </w:rPr>
        <w:t>20</w:t>
      </w:r>
      <w:r w:rsidR="00526754" w:rsidRPr="00776E55">
        <w:rPr>
          <w:b/>
          <w:szCs w:val="24"/>
        </w:rPr>
        <w:t>2</w:t>
      </w:r>
      <w:r w:rsidR="00534CCB" w:rsidRPr="00776E55">
        <w:rPr>
          <w:b/>
          <w:szCs w:val="24"/>
        </w:rPr>
        <w:t>3</w:t>
      </w:r>
    </w:p>
    <w:p w:rsidR="006F2579" w:rsidRPr="00776E55" w:rsidRDefault="00674F39" w:rsidP="006F2579">
      <w:pPr>
        <w:widowControl w:val="0"/>
        <w:rPr>
          <w:b/>
          <w:szCs w:val="24"/>
        </w:rPr>
      </w:pPr>
      <w:r w:rsidRPr="00776E55">
        <w:rPr>
          <w:b/>
          <w:szCs w:val="24"/>
        </w:rPr>
        <w:t>For immediate release</w:t>
      </w:r>
    </w:p>
    <w:p w:rsidR="006F2579" w:rsidRPr="00776E55" w:rsidRDefault="006F2579" w:rsidP="006F2579">
      <w:pPr>
        <w:widowControl w:val="0"/>
        <w:rPr>
          <w:szCs w:val="24"/>
        </w:rPr>
      </w:pPr>
    </w:p>
    <w:p w:rsidR="006F2579" w:rsidRPr="00776E55" w:rsidRDefault="006F2579" w:rsidP="006F2579">
      <w:pPr>
        <w:widowControl w:val="0"/>
        <w:rPr>
          <w:szCs w:val="24"/>
          <w:lang w:val="fr-CA"/>
        </w:rPr>
      </w:pPr>
      <w:r w:rsidRPr="00776E55">
        <w:rPr>
          <w:b/>
          <w:szCs w:val="24"/>
        </w:rPr>
        <w:t>OTTAWA</w:t>
      </w:r>
      <w:r w:rsidRPr="00776E55">
        <w:rPr>
          <w:szCs w:val="24"/>
        </w:rPr>
        <w:t xml:space="preserve"> – The Supreme Court of Canad</w:t>
      </w:r>
      <w:r w:rsidR="006246E4" w:rsidRPr="00776E55">
        <w:rPr>
          <w:szCs w:val="24"/>
        </w:rPr>
        <w:t>a</w:t>
      </w:r>
      <w:r w:rsidRPr="00776E55">
        <w:rPr>
          <w:szCs w:val="24"/>
        </w:rPr>
        <w:t xml:space="preserve"> announced today that judgment in the following </w:t>
      </w:r>
      <w:r w:rsidR="00DB6199" w:rsidRPr="00776E55">
        <w:rPr>
          <w:szCs w:val="24"/>
        </w:rPr>
        <w:t>leave application</w:t>
      </w:r>
      <w:r w:rsidR="004F5491" w:rsidRPr="00776E55">
        <w:rPr>
          <w:szCs w:val="24"/>
        </w:rPr>
        <w:t>s</w:t>
      </w:r>
      <w:r w:rsidR="00DB6199" w:rsidRPr="00776E55">
        <w:rPr>
          <w:szCs w:val="24"/>
        </w:rPr>
        <w:t xml:space="preserve"> </w:t>
      </w:r>
      <w:r w:rsidRPr="00776E55">
        <w:rPr>
          <w:szCs w:val="24"/>
        </w:rPr>
        <w:t>will be delivere</w:t>
      </w:r>
      <w:r w:rsidR="00CE2C5F" w:rsidRPr="00776E55">
        <w:rPr>
          <w:szCs w:val="24"/>
        </w:rPr>
        <w:t>d</w:t>
      </w:r>
      <w:r w:rsidRPr="00776E55">
        <w:rPr>
          <w:szCs w:val="24"/>
        </w:rPr>
        <w:t xml:space="preserve"> at 9:45 a.m. </w:t>
      </w:r>
      <w:r w:rsidR="00E05816" w:rsidRPr="00776E55">
        <w:rPr>
          <w:szCs w:val="24"/>
        </w:rPr>
        <w:t>E</w:t>
      </w:r>
      <w:r w:rsidR="00A00FDF" w:rsidRPr="00776E55">
        <w:rPr>
          <w:szCs w:val="24"/>
        </w:rPr>
        <w:t>D</w:t>
      </w:r>
      <w:r w:rsidR="00E05816" w:rsidRPr="00776E55">
        <w:rPr>
          <w:szCs w:val="24"/>
        </w:rPr>
        <w:t>T</w:t>
      </w:r>
      <w:r w:rsidRPr="00776E55">
        <w:rPr>
          <w:szCs w:val="24"/>
        </w:rPr>
        <w:t xml:space="preserve"> on </w:t>
      </w:r>
      <w:r w:rsidR="00322A9C" w:rsidRPr="00776E55">
        <w:rPr>
          <w:szCs w:val="24"/>
        </w:rPr>
        <w:t>Thurs</w:t>
      </w:r>
      <w:r w:rsidR="00680A85" w:rsidRPr="00776E55">
        <w:rPr>
          <w:szCs w:val="24"/>
        </w:rPr>
        <w:t>day</w:t>
      </w:r>
      <w:r w:rsidRPr="00776E55">
        <w:rPr>
          <w:szCs w:val="24"/>
        </w:rPr>
        <w:t xml:space="preserve">, </w:t>
      </w:r>
      <w:r w:rsidR="00A80025" w:rsidRPr="00776E55">
        <w:rPr>
          <w:szCs w:val="24"/>
        </w:rPr>
        <w:t>April</w:t>
      </w:r>
      <w:r w:rsidR="00455912" w:rsidRPr="00776E55">
        <w:rPr>
          <w:szCs w:val="24"/>
        </w:rPr>
        <w:t xml:space="preserve"> </w:t>
      </w:r>
      <w:r w:rsidR="00D038C0" w:rsidRPr="00776E55">
        <w:rPr>
          <w:szCs w:val="24"/>
        </w:rPr>
        <w:t>20</w:t>
      </w:r>
      <w:r w:rsidR="007E112F" w:rsidRPr="00776E55">
        <w:rPr>
          <w:szCs w:val="24"/>
        </w:rPr>
        <w:t>,</w:t>
      </w:r>
      <w:r w:rsidR="002F38D7" w:rsidRPr="00776E55">
        <w:rPr>
          <w:szCs w:val="24"/>
        </w:rPr>
        <w:t xml:space="preserve"> </w:t>
      </w:r>
      <w:r w:rsidR="006648D1" w:rsidRPr="00776E55">
        <w:rPr>
          <w:szCs w:val="24"/>
        </w:rPr>
        <w:t>20</w:t>
      </w:r>
      <w:r w:rsidR="00526754" w:rsidRPr="00776E55">
        <w:rPr>
          <w:szCs w:val="24"/>
        </w:rPr>
        <w:t>2</w:t>
      </w:r>
      <w:r w:rsidR="00534CCB" w:rsidRPr="00776E55">
        <w:rPr>
          <w:szCs w:val="24"/>
        </w:rPr>
        <w:t>3</w:t>
      </w:r>
      <w:r w:rsidRPr="00776E55">
        <w:rPr>
          <w:szCs w:val="24"/>
        </w:rPr>
        <w:t xml:space="preserve">. </w:t>
      </w:r>
      <w:r w:rsidRPr="00776E55">
        <w:rPr>
          <w:szCs w:val="24"/>
          <w:lang w:val="fr-CA"/>
        </w:rPr>
        <w:t>This list is subject to chang</w:t>
      </w:r>
      <w:r w:rsidR="00192F7F" w:rsidRPr="00776E55">
        <w:rPr>
          <w:szCs w:val="24"/>
          <w:lang w:val="fr-CA"/>
        </w:rPr>
        <w:t>e</w:t>
      </w:r>
      <w:r w:rsidRPr="00776E55">
        <w:rPr>
          <w:szCs w:val="24"/>
          <w:lang w:val="fr-CA"/>
        </w:rPr>
        <w:t>.</w:t>
      </w:r>
    </w:p>
    <w:p w:rsidR="00FF5AA4" w:rsidRPr="00776E55" w:rsidRDefault="00FF5AA4" w:rsidP="006F2579">
      <w:pPr>
        <w:widowControl w:val="0"/>
        <w:rPr>
          <w:szCs w:val="24"/>
          <w:lang w:val="fr-CA"/>
        </w:rPr>
      </w:pPr>
    </w:p>
    <w:p w:rsidR="00B43418" w:rsidRPr="00776E55" w:rsidRDefault="00B43418" w:rsidP="006F2579">
      <w:pPr>
        <w:widowControl w:val="0"/>
        <w:rPr>
          <w:szCs w:val="24"/>
          <w:lang w:val="fr-CA"/>
        </w:rPr>
      </w:pPr>
    </w:p>
    <w:p w:rsidR="006F2579" w:rsidRPr="00776E55" w:rsidRDefault="006F2579" w:rsidP="006F2579">
      <w:pPr>
        <w:widowControl w:val="0"/>
        <w:jc w:val="center"/>
        <w:rPr>
          <w:szCs w:val="24"/>
          <w:lang w:val="fr-CA"/>
        </w:rPr>
      </w:pPr>
      <w:r w:rsidRPr="00776E55">
        <w:rPr>
          <w:b/>
          <w:szCs w:val="24"/>
          <w:lang w:val="fr-CA"/>
        </w:rPr>
        <w:t>PROCHAIN</w:t>
      </w:r>
      <w:r w:rsidR="004F5491" w:rsidRPr="00776E55">
        <w:rPr>
          <w:b/>
          <w:szCs w:val="24"/>
          <w:lang w:val="fr-CA"/>
        </w:rPr>
        <w:t>S</w:t>
      </w:r>
      <w:r w:rsidRPr="00776E55">
        <w:rPr>
          <w:b/>
          <w:szCs w:val="24"/>
          <w:lang w:val="fr-CA"/>
        </w:rPr>
        <w:t xml:space="preserve"> JUGEMENT</w:t>
      </w:r>
      <w:r w:rsidR="004F5491" w:rsidRPr="00776E55">
        <w:rPr>
          <w:b/>
          <w:szCs w:val="24"/>
          <w:lang w:val="fr-CA"/>
        </w:rPr>
        <w:t>S</w:t>
      </w:r>
      <w:r w:rsidR="00001846" w:rsidRPr="00776E55">
        <w:rPr>
          <w:b/>
          <w:szCs w:val="24"/>
          <w:lang w:val="fr-CA"/>
        </w:rPr>
        <w:t xml:space="preserve"> SUR DEMANDE</w:t>
      </w:r>
      <w:r w:rsidR="004F5491" w:rsidRPr="00776E55">
        <w:rPr>
          <w:b/>
          <w:szCs w:val="24"/>
          <w:lang w:val="fr-CA"/>
        </w:rPr>
        <w:t>S</w:t>
      </w:r>
      <w:r w:rsidRPr="00776E55">
        <w:rPr>
          <w:b/>
          <w:szCs w:val="24"/>
          <w:lang w:val="fr-CA"/>
        </w:rPr>
        <w:t xml:space="preserve"> D’AUTORISATION</w:t>
      </w:r>
    </w:p>
    <w:p w:rsidR="006F2579" w:rsidRPr="00776E55" w:rsidRDefault="006F2579" w:rsidP="006F2579">
      <w:pPr>
        <w:widowControl w:val="0"/>
        <w:rPr>
          <w:szCs w:val="24"/>
          <w:lang w:val="fr-CA"/>
        </w:rPr>
      </w:pPr>
    </w:p>
    <w:p w:rsidR="006F2579" w:rsidRPr="00776E55" w:rsidRDefault="006F2579" w:rsidP="006F2579">
      <w:pPr>
        <w:widowControl w:val="0"/>
        <w:rPr>
          <w:szCs w:val="24"/>
          <w:lang w:val="fr-CA"/>
        </w:rPr>
      </w:pPr>
      <w:r w:rsidRPr="00776E55">
        <w:rPr>
          <w:b/>
          <w:szCs w:val="24"/>
          <w:lang w:val="fr-CA"/>
        </w:rPr>
        <w:t>Le</w:t>
      </w:r>
      <w:r w:rsidR="00957A76" w:rsidRPr="00776E55">
        <w:rPr>
          <w:b/>
          <w:szCs w:val="24"/>
          <w:lang w:val="fr-CA"/>
        </w:rPr>
        <w:t xml:space="preserve"> </w:t>
      </w:r>
      <w:r w:rsidR="000D6A85" w:rsidRPr="00776E55">
        <w:rPr>
          <w:b/>
          <w:szCs w:val="24"/>
          <w:lang w:val="fr-CA"/>
        </w:rPr>
        <w:t>1</w:t>
      </w:r>
      <w:r w:rsidR="00D038C0" w:rsidRPr="00776E55">
        <w:rPr>
          <w:b/>
          <w:szCs w:val="24"/>
          <w:lang w:val="fr-CA"/>
        </w:rPr>
        <w:t>7</w:t>
      </w:r>
      <w:r w:rsidR="00FA6BAB" w:rsidRPr="00776E55">
        <w:rPr>
          <w:b/>
          <w:szCs w:val="24"/>
          <w:lang w:val="fr-CA"/>
        </w:rPr>
        <w:t xml:space="preserve"> </w:t>
      </w:r>
      <w:r w:rsidR="00956B11" w:rsidRPr="00776E55">
        <w:rPr>
          <w:b/>
          <w:szCs w:val="24"/>
          <w:lang w:val="fr-CA"/>
        </w:rPr>
        <w:t>a</w:t>
      </w:r>
      <w:r w:rsidR="00A80025" w:rsidRPr="00776E55">
        <w:rPr>
          <w:b/>
          <w:szCs w:val="24"/>
          <w:lang w:val="fr-CA"/>
        </w:rPr>
        <w:t>v</w:t>
      </w:r>
      <w:r w:rsidR="00956B11" w:rsidRPr="00776E55">
        <w:rPr>
          <w:b/>
          <w:szCs w:val="24"/>
          <w:lang w:val="fr-CA"/>
        </w:rPr>
        <w:t>r</w:t>
      </w:r>
      <w:r w:rsidR="00A80025" w:rsidRPr="00776E55">
        <w:rPr>
          <w:b/>
          <w:szCs w:val="24"/>
          <w:lang w:val="fr-CA"/>
        </w:rPr>
        <w:t>il</w:t>
      </w:r>
      <w:r w:rsidR="00A151D1" w:rsidRPr="00776E55">
        <w:rPr>
          <w:b/>
          <w:szCs w:val="24"/>
          <w:lang w:val="fr-CA"/>
        </w:rPr>
        <w:t xml:space="preserve"> 20</w:t>
      </w:r>
      <w:r w:rsidR="00526754" w:rsidRPr="00776E55">
        <w:rPr>
          <w:b/>
          <w:szCs w:val="24"/>
          <w:lang w:val="fr-CA"/>
        </w:rPr>
        <w:t>2</w:t>
      </w:r>
      <w:r w:rsidR="00534CCB" w:rsidRPr="00776E55">
        <w:rPr>
          <w:b/>
          <w:szCs w:val="24"/>
          <w:lang w:val="fr-CA"/>
        </w:rPr>
        <w:t>3</w:t>
      </w:r>
    </w:p>
    <w:p w:rsidR="006F2579" w:rsidRPr="00776E55" w:rsidRDefault="006F2579" w:rsidP="006F2579">
      <w:pPr>
        <w:widowControl w:val="0"/>
        <w:rPr>
          <w:b/>
          <w:szCs w:val="24"/>
          <w:lang w:val="fr-CA"/>
        </w:rPr>
      </w:pPr>
      <w:r w:rsidRPr="00776E55">
        <w:rPr>
          <w:b/>
          <w:szCs w:val="24"/>
          <w:lang w:val="fr-CA"/>
        </w:rPr>
        <w:t>Pour diffusion immédiate</w:t>
      </w:r>
    </w:p>
    <w:p w:rsidR="006F2579" w:rsidRPr="00776E55" w:rsidRDefault="006F2579" w:rsidP="006F2579">
      <w:pPr>
        <w:widowControl w:val="0"/>
        <w:rPr>
          <w:szCs w:val="24"/>
          <w:lang w:val="fr-CA"/>
        </w:rPr>
      </w:pPr>
    </w:p>
    <w:p w:rsidR="006F2579" w:rsidRPr="00776E55" w:rsidRDefault="006F2579" w:rsidP="006F2579">
      <w:pPr>
        <w:widowControl w:val="0"/>
        <w:rPr>
          <w:szCs w:val="24"/>
          <w:lang w:val="fr-CA"/>
        </w:rPr>
      </w:pPr>
      <w:r w:rsidRPr="00776E55">
        <w:rPr>
          <w:b/>
          <w:szCs w:val="24"/>
          <w:lang w:val="fr-CA"/>
        </w:rPr>
        <w:t>OTTAWA</w:t>
      </w:r>
      <w:r w:rsidRPr="00776E55">
        <w:rPr>
          <w:szCs w:val="24"/>
          <w:lang w:val="fr-CA"/>
        </w:rPr>
        <w:t xml:space="preserve"> – La Cour suprême du Canada annonce que jugement ser</w:t>
      </w:r>
      <w:r w:rsidR="004259F9" w:rsidRPr="00776E55">
        <w:rPr>
          <w:szCs w:val="24"/>
          <w:lang w:val="fr-CA"/>
        </w:rPr>
        <w:t>a</w:t>
      </w:r>
      <w:r w:rsidRPr="00776E55">
        <w:rPr>
          <w:szCs w:val="24"/>
          <w:lang w:val="fr-CA"/>
        </w:rPr>
        <w:t xml:space="preserve"> rendu dans l</w:t>
      </w:r>
      <w:r w:rsidR="004F5491" w:rsidRPr="00776E55">
        <w:rPr>
          <w:szCs w:val="24"/>
          <w:lang w:val="fr-CA"/>
        </w:rPr>
        <w:t>es</w:t>
      </w:r>
      <w:r w:rsidRPr="00776E55">
        <w:rPr>
          <w:szCs w:val="24"/>
          <w:lang w:val="fr-CA"/>
        </w:rPr>
        <w:t xml:space="preserve"> demande</w:t>
      </w:r>
      <w:r w:rsidR="004F5491" w:rsidRPr="00776E55">
        <w:rPr>
          <w:szCs w:val="24"/>
          <w:lang w:val="fr-CA"/>
        </w:rPr>
        <w:t>s</w:t>
      </w:r>
      <w:r w:rsidRPr="00776E55">
        <w:rPr>
          <w:szCs w:val="24"/>
          <w:lang w:val="fr-CA"/>
        </w:rPr>
        <w:t xml:space="preserve"> d</w:t>
      </w:r>
      <w:r w:rsidR="00001846" w:rsidRPr="00776E55">
        <w:rPr>
          <w:szCs w:val="24"/>
          <w:lang w:val="fr-CA"/>
        </w:rPr>
        <w:t>’autorisation suivante</w:t>
      </w:r>
      <w:r w:rsidR="004F5491" w:rsidRPr="00776E55">
        <w:rPr>
          <w:szCs w:val="24"/>
          <w:lang w:val="fr-CA"/>
        </w:rPr>
        <w:t>s</w:t>
      </w:r>
      <w:r w:rsidRPr="00776E55">
        <w:rPr>
          <w:szCs w:val="24"/>
          <w:lang w:val="fr-CA"/>
        </w:rPr>
        <w:t xml:space="preserve"> le </w:t>
      </w:r>
      <w:r w:rsidR="00322A9C" w:rsidRPr="00776E55">
        <w:rPr>
          <w:szCs w:val="24"/>
          <w:lang w:val="fr-CA"/>
        </w:rPr>
        <w:t>jeu</w:t>
      </w:r>
      <w:r w:rsidR="00680A85" w:rsidRPr="00776E55">
        <w:rPr>
          <w:szCs w:val="24"/>
          <w:lang w:val="fr-CA"/>
        </w:rPr>
        <w:t>di</w:t>
      </w:r>
      <w:r w:rsidRPr="00776E55">
        <w:rPr>
          <w:szCs w:val="24"/>
          <w:lang w:val="fr-CA"/>
        </w:rPr>
        <w:t xml:space="preserve"> </w:t>
      </w:r>
      <w:r w:rsidR="00D038C0" w:rsidRPr="00776E55">
        <w:rPr>
          <w:szCs w:val="24"/>
          <w:lang w:val="fr-CA"/>
        </w:rPr>
        <w:t>20</w:t>
      </w:r>
      <w:r w:rsidR="009E0BD3" w:rsidRPr="00776E55">
        <w:rPr>
          <w:szCs w:val="24"/>
          <w:lang w:val="fr-CA"/>
        </w:rPr>
        <w:t xml:space="preserve"> </w:t>
      </w:r>
      <w:r w:rsidR="008F57B9" w:rsidRPr="00776E55">
        <w:rPr>
          <w:szCs w:val="24"/>
          <w:lang w:val="fr-CA"/>
        </w:rPr>
        <w:t>a</w:t>
      </w:r>
      <w:r w:rsidR="00A80025" w:rsidRPr="00776E55">
        <w:rPr>
          <w:szCs w:val="24"/>
          <w:lang w:val="fr-CA"/>
        </w:rPr>
        <w:t>v</w:t>
      </w:r>
      <w:r w:rsidR="008F57B9" w:rsidRPr="00776E55">
        <w:rPr>
          <w:szCs w:val="24"/>
          <w:lang w:val="fr-CA"/>
        </w:rPr>
        <w:t>r</w:t>
      </w:r>
      <w:r w:rsidR="00A80025" w:rsidRPr="00776E55">
        <w:rPr>
          <w:szCs w:val="24"/>
          <w:lang w:val="fr-CA"/>
        </w:rPr>
        <w:t>il</w:t>
      </w:r>
      <w:r w:rsidR="00694391" w:rsidRPr="00776E55">
        <w:rPr>
          <w:szCs w:val="24"/>
          <w:lang w:val="fr-CA"/>
        </w:rPr>
        <w:t xml:space="preserve"> 2</w:t>
      </w:r>
      <w:r w:rsidR="006648D1" w:rsidRPr="00776E55">
        <w:rPr>
          <w:szCs w:val="24"/>
          <w:lang w:val="fr-CA"/>
        </w:rPr>
        <w:t>0</w:t>
      </w:r>
      <w:r w:rsidR="00526754" w:rsidRPr="00776E55">
        <w:rPr>
          <w:szCs w:val="24"/>
          <w:lang w:val="fr-CA"/>
        </w:rPr>
        <w:t>2</w:t>
      </w:r>
      <w:r w:rsidR="00534CCB" w:rsidRPr="00776E55">
        <w:rPr>
          <w:szCs w:val="24"/>
          <w:lang w:val="fr-CA"/>
        </w:rPr>
        <w:t>3</w:t>
      </w:r>
      <w:r w:rsidRPr="00776E55">
        <w:rPr>
          <w:szCs w:val="24"/>
          <w:lang w:val="fr-CA"/>
        </w:rPr>
        <w:t xml:space="preserve">, à 9 h 45 </w:t>
      </w:r>
      <w:r w:rsidR="000627A2" w:rsidRPr="00776E55">
        <w:rPr>
          <w:szCs w:val="24"/>
          <w:lang w:val="fr-CA"/>
        </w:rPr>
        <w:t>H</w:t>
      </w:r>
      <w:r w:rsidR="00A00FDF" w:rsidRPr="00776E55">
        <w:rPr>
          <w:szCs w:val="24"/>
          <w:lang w:val="fr-CA"/>
        </w:rPr>
        <w:t>A</w:t>
      </w:r>
      <w:r w:rsidRPr="00776E55">
        <w:rPr>
          <w:szCs w:val="24"/>
          <w:lang w:val="fr-CA"/>
        </w:rPr>
        <w:t>E. Cette liste est sujette à modification</w:t>
      </w:r>
      <w:r w:rsidR="00130ADB" w:rsidRPr="00776E55">
        <w:rPr>
          <w:szCs w:val="24"/>
          <w:lang w:val="fr-CA"/>
        </w:rPr>
        <w:t>s</w:t>
      </w:r>
      <w:r w:rsidRPr="00776E55">
        <w:rPr>
          <w:szCs w:val="24"/>
          <w:lang w:val="fr-CA"/>
        </w:rPr>
        <w:t>.</w:t>
      </w:r>
    </w:p>
    <w:p w:rsidR="0080556B" w:rsidRPr="00776E55" w:rsidRDefault="0080556B" w:rsidP="005F2A78">
      <w:pPr>
        <w:widowControl w:val="0"/>
        <w:tabs>
          <w:tab w:val="left" w:pos="3840"/>
        </w:tabs>
        <w:jc w:val="both"/>
        <w:rPr>
          <w:sz w:val="20"/>
          <w:lang w:val="fr-CA"/>
        </w:rPr>
      </w:pPr>
    </w:p>
    <w:p w:rsidR="00867C61" w:rsidRPr="00776E55" w:rsidRDefault="001E30F0" w:rsidP="009B14F4">
      <w:pPr>
        <w:widowControl w:val="0"/>
        <w:jc w:val="both"/>
        <w:rPr>
          <w:sz w:val="20"/>
        </w:rPr>
      </w:pPr>
      <w:r>
        <w:rPr>
          <w:sz w:val="20"/>
        </w:rPr>
        <w:pict>
          <v:rect id="_x0000_i1025" style="width:2in;height:1pt" o:hrpct="0" o:hralign="center" o:hrstd="t" o:hrnoshade="t" o:hr="t" fillcolor="black [3213]" stroked="f"/>
        </w:pict>
      </w:r>
    </w:p>
    <w:p w:rsidR="004A6E51" w:rsidRPr="00776E55" w:rsidRDefault="004A6E51" w:rsidP="0053032E">
      <w:pPr>
        <w:rPr>
          <w:sz w:val="20"/>
          <w:lang w:val="fr-CA"/>
        </w:rPr>
      </w:pPr>
    </w:p>
    <w:p w:rsidR="00224D9F" w:rsidRPr="00776E55" w:rsidRDefault="00224D9F" w:rsidP="0014490F">
      <w:pPr>
        <w:pStyle w:val="ListParagraph"/>
        <w:numPr>
          <w:ilvl w:val="0"/>
          <w:numId w:val="33"/>
        </w:numPr>
        <w:ind w:left="357" w:hanging="357"/>
        <w:rPr>
          <w:sz w:val="20"/>
        </w:rPr>
      </w:pPr>
      <w:r w:rsidRPr="00776E55">
        <w:rPr>
          <w:i/>
          <w:sz w:val="20"/>
        </w:rPr>
        <w:t xml:space="preserve">Benard Asante v. His Majesty the King </w:t>
      </w:r>
      <w:r w:rsidR="00A056FF" w:rsidRPr="00776E55">
        <w:rPr>
          <w:sz w:val="20"/>
        </w:rPr>
        <w:t>(Ont.) (Criminal) (By Leave)</w:t>
      </w:r>
      <w:r w:rsidRPr="00776E55">
        <w:rPr>
          <w:sz w:val="20"/>
        </w:rPr>
        <w:t xml:space="preserve"> (</w:t>
      </w:r>
      <w:hyperlink r:id="rId8" w:history="1">
        <w:r w:rsidRPr="00776E55">
          <w:rPr>
            <w:rStyle w:val="Hyperlink"/>
            <w:sz w:val="20"/>
            <w:szCs w:val="20"/>
          </w:rPr>
          <w:t>404</w:t>
        </w:r>
        <w:r w:rsidR="00A056FF" w:rsidRPr="00776E55">
          <w:rPr>
            <w:rStyle w:val="Hyperlink"/>
            <w:sz w:val="20"/>
            <w:szCs w:val="20"/>
          </w:rPr>
          <w:t>63</w:t>
        </w:r>
      </w:hyperlink>
      <w:r w:rsidRPr="00776E55">
        <w:rPr>
          <w:sz w:val="20"/>
        </w:rPr>
        <w:t>)</w:t>
      </w:r>
    </w:p>
    <w:p w:rsidR="00224D9F" w:rsidRPr="00776E55" w:rsidRDefault="00224D9F" w:rsidP="0014490F">
      <w:pPr>
        <w:ind w:left="357" w:hanging="357"/>
        <w:rPr>
          <w:sz w:val="20"/>
        </w:rPr>
      </w:pPr>
    </w:p>
    <w:p w:rsidR="00224D9F" w:rsidRPr="00776E55" w:rsidRDefault="00224D9F" w:rsidP="0014490F">
      <w:pPr>
        <w:pStyle w:val="ListParagraph"/>
        <w:numPr>
          <w:ilvl w:val="0"/>
          <w:numId w:val="33"/>
        </w:numPr>
        <w:ind w:left="357" w:hanging="357"/>
        <w:rPr>
          <w:sz w:val="20"/>
          <w:lang w:val="fr-CA"/>
        </w:rPr>
      </w:pPr>
      <w:r w:rsidRPr="00776E55">
        <w:rPr>
          <w:bCs/>
          <w:i/>
          <w:iCs/>
          <w:sz w:val="20"/>
        </w:rPr>
        <w:t xml:space="preserve">Brian Glen Kerr v. His Majesty the King </w:t>
      </w:r>
      <w:r w:rsidRPr="00776E55">
        <w:rPr>
          <w:sz w:val="20"/>
        </w:rPr>
        <w:t xml:space="preserve">(Ont.) </w:t>
      </w:r>
      <w:r w:rsidRPr="00776E55">
        <w:rPr>
          <w:sz w:val="20"/>
          <w:lang w:val="fr-CA"/>
        </w:rPr>
        <w:t xml:space="preserve">(Criminal) (By Leave) </w:t>
      </w:r>
      <w:r w:rsidRPr="00776E55">
        <w:rPr>
          <w:sz w:val="20"/>
        </w:rPr>
        <w:t>(</w:t>
      </w:r>
      <w:hyperlink r:id="rId9" w:history="1">
        <w:r w:rsidRPr="00776E55">
          <w:rPr>
            <w:rStyle w:val="Hyperlink"/>
            <w:sz w:val="20"/>
            <w:szCs w:val="20"/>
          </w:rPr>
          <w:t>404</w:t>
        </w:r>
        <w:r w:rsidR="006C018B" w:rsidRPr="00776E55">
          <w:rPr>
            <w:rStyle w:val="Hyperlink"/>
            <w:sz w:val="20"/>
            <w:szCs w:val="20"/>
          </w:rPr>
          <w:t>94</w:t>
        </w:r>
      </w:hyperlink>
      <w:r w:rsidRPr="00776E55">
        <w:rPr>
          <w:sz w:val="20"/>
        </w:rPr>
        <w:t>)</w:t>
      </w:r>
    </w:p>
    <w:p w:rsidR="00224D9F" w:rsidRPr="00776E55" w:rsidRDefault="00224D9F" w:rsidP="0014490F">
      <w:pPr>
        <w:ind w:left="357" w:hanging="357"/>
        <w:rPr>
          <w:bCs/>
          <w:iCs/>
          <w:sz w:val="20"/>
          <w:lang w:val="fr-CA"/>
        </w:rPr>
      </w:pPr>
    </w:p>
    <w:p w:rsidR="00224D9F" w:rsidRPr="00776E55" w:rsidRDefault="00224D9F" w:rsidP="0014490F">
      <w:pPr>
        <w:pStyle w:val="ListParagraph"/>
        <w:numPr>
          <w:ilvl w:val="0"/>
          <w:numId w:val="33"/>
        </w:numPr>
        <w:ind w:left="357" w:hanging="357"/>
        <w:rPr>
          <w:bCs/>
          <w:iCs/>
          <w:sz w:val="20"/>
        </w:rPr>
      </w:pPr>
      <w:r w:rsidRPr="00776E55">
        <w:rPr>
          <w:bCs/>
          <w:i/>
          <w:iCs/>
          <w:sz w:val="20"/>
        </w:rPr>
        <w:t xml:space="preserve">Soheil Karkhanechi and Equestrian Court Investments Corporation v. Connor, Clark &amp; Lunn Financial Group Ltd. and Connor, Clark &amp; Lunn Financial Group Investment Partnership </w:t>
      </w:r>
      <w:r w:rsidRPr="00776E55">
        <w:rPr>
          <w:bCs/>
          <w:iCs/>
          <w:sz w:val="20"/>
        </w:rPr>
        <w:t xml:space="preserve">(Ont.) (Civil) (By Leave) </w:t>
      </w:r>
      <w:r w:rsidRPr="00776E55">
        <w:rPr>
          <w:sz w:val="20"/>
        </w:rPr>
        <w:t>(</w:t>
      </w:r>
      <w:hyperlink r:id="rId10" w:history="1">
        <w:r w:rsidRPr="00776E55">
          <w:rPr>
            <w:rStyle w:val="Hyperlink"/>
            <w:sz w:val="20"/>
            <w:szCs w:val="20"/>
          </w:rPr>
          <w:t>4041</w:t>
        </w:r>
        <w:r w:rsidR="006C018B" w:rsidRPr="00776E55">
          <w:rPr>
            <w:rStyle w:val="Hyperlink"/>
            <w:sz w:val="20"/>
            <w:szCs w:val="20"/>
          </w:rPr>
          <w:t>1</w:t>
        </w:r>
      </w:hyperlink>
      <w:r w:rsidRPr="00776E55">
        <w:rPr>
          <w:sz w:val="20"/>
        </w:rPr>
        <w:t>)</w:t>
      </w:r>
    </w:p>
    <w:p w:rsidR="00224D9F" w:rsidRPr="00776E55" w:rsidRDefault="00224D9F" w:rsidP="0014490F">
      <w:pPr>
        <w:ind w:left="357" w:hanging="357"/>
        <w:rPr>
          <w:bCs/>
          <w:iCs/>
          <w:sz w:val="20"/>
        </w:rPr>
      </w:pPr>
    </w:p>
    <w:p w:rsidR="00224D9F" w:rsidRPr="00776E55" w:rsidRDefault="00224D9F" w:rsidP="0014490F">
      <w:pPr>
        <w:pStyle w:val="ListParagraph"/>
        <w:numPr>
          <w:ilvl w:val="0"/>
          <w:numId w:val="33"/>
        </w:numPr>
        <w:ind w:left="357" w:hanging="357"/>
        <w:rPr>
          <w:sz w:val="20"/>
          <w:lang w:val="fr-BE"/>
        </w:rPr>
      </w:pPr>
      <w:r w:rsidRPr="00776E55">
        <w:rPr>
          <w:bCs/>
          <w:i/>
          <w:iCs/>
          <w:sz w:val="20"/>
          <w:lang w:val="fr-CA"/>
        </w:rPr>
        <w:t>Daniel Awanda c. AMBC Ventures Inc.</w:t>
      </w:r>
      <w:r w:rsidRPr="00776E55">
        <w:rPr>
          <w:bCs/>
          <w:iCs/>
          <w:sz w:val="20"/>
          <w:lang w:val="fr-CA"/>
        </w:rPr>
        <w:t xml:space="preserve"> </w:t>
      </w:r>
      <w:r w:rsidRPr="00776E55">
        <w:rPr>
          <w:sz w:val="20"/>
          <w:lang w:val="fr-BE"/>
        </w:rPr>
        <w:t xml:space="preserve">(Qc) (Civile) (Autorisation) </w:t>
      </w:r>
      <w:r w:rsidRPr="00776E55">
        <w:rPr>
          <w:sz w:val="20"/>
        </w:rPr>
        <w:t>(</w:t>
      </w:r>
      <w:hyperlink r:id="rId11" w:history="1">
        <w:r w:rsidRPr="00776E55">
          <w:rPr>
            <w:rStyle w:val="Hyperlink"/>
            <w:sz w:val="20"/>
            <w:szCs w:val="20"/>
          </w:rPr>
          <w:t>404</w:t>
        </w:r>
        <w:r w:rsidR="00E10575" w:rsidRPr="00776E55">
          <w:rPr>
            <w:rStyle w:val="Hyperlink"/>
            <w:sz w:val="20"/>
            <w:szCs w:val="20"/>
          </w:rPr>
          <w:t>25</w:t>
        </w:r>
      </w:hyperlink>
      <w:r w:rsidRPr="00776E55">
        <w:rPr>
          <w:sz w:val="20"/>
        </w:rPr>
        <w:t>)</w:t>
      </w:r>
    </w:p>
    <w:p w:rsidR="00224D9F" w:rsidRPr="00776E55" w:rsidRDefault="00224D9F" w:rsidP="0014490F">
      <w:pPr>
        <w:ind w:left="357" w:hanging="357"/>
        <w:rPr>
          <w:sz w:val="20"/>
          <w:lang w:val="fr-BE"/>
        </w:rPr>
      </w:pPr>
    </w:p>
    <w:p w:rsidR="00224D9F" w:rsidRPr="00776E55" w:rsidRDefault="00224D9F" w:rsidP="0014490F">
      <w:pPr>
        <w:pStyle w:val="ListParagraph"/>
        <w:numPr>
          <w:ilvl w:val="0"/>
          <w:numId w:val="33"/>
        </w:numPr>
        <w:ind w:left="357" w:hanging="357"/>
        <w:rPr>
          <w:bCs/>
          <w:iCs/>
          <w:sz w:val="20"/>
        </w:rPr>
      </w:pPr>
      <w:r w:rsidRPr="00776E55">
        <w:rPr>
          <w:i/>
          <w:sz w:val="20"/>
        </w:rPr>
        <w:t xml:space="preserve">Greg McLeod and James McLeod as Co-Administrators of the Estate of Edward Alexander McLeod v. Terry Cole, Stuart James Cowie carrying on business as Cowie Real Estate, </w:t>
      </w:r>
      <w:r w:rsidR="00657926" w:rsidRPr="00776E55">
        <w:rPr>
          <w:i/>
          <w:sz w:val="20"/>
        </w:rPr>
        <w:t>et al.</w:t>
      </w:r>
      <w:r w:rsidRPr="00776E55">
        <w:rPr>
          <w:sz w:val="20"/>
        </w:rPr>
        <w:t xml:space="preserve"> (Man.) (Civil) (By Leave) (</w:t>
      </w:r>
      <w:hyperlink r:id="rId12" w:history="1">
        <w:r w:rsidRPr="00776E55">
          <w:rPr>
            <w:rStyle w:val="Hyperlink"/>
            <w:sz w:val="20"/>
            <w:szCs w:val="20"/>
          </w:rPr>
          <w:t>404</w:t>
        </w:r>
        <w:r w:rsidR="00657926" w:rsidRPr="00776E55">
          <w:rPr>
            <w:rStyle w:val="Hyperlink"/>
            <w:sz w:val="20"/>
            <w:szCs w:val="20"/>
          </w:rPr>
          <w:t>57</w:t>
        </w:r>
      </w:hyperlink>
      <w:r w:rsidRPr="00776E55">
        <w:rPr>
          <w:sz w:val="20"/>
        </w:rPr>
        <w:t>)</w:t>
      </w:r>
    </w:p>
    <w:p w:rsidR="000D6A85" w:rsidRPr="00776E55" w:rsidRDefault="000D6A85" w:rsidP="0014490F">
      <w:pPr>
        <w:ind w:left="357" w:hanging="357"/>
        <w:rPr>
          <w:sz w:val="20"/>
        </w:rPr>
      </w:pPr>
    </w:p>
    <w:p w:rsidR="00224D9F" w:rsidRPr="00776E55" w:rsidRDefault="00224D9F" w:rsidP="0014490F">
      <w:pPr>
        <w:pStyle w:val="ListParagraph"/>
        <w:numPr>
          <w:ilvl w:val="0"/>
          <w:numId w:val="33"/>
        </w:numPr>
        <w:ind w:left="357" w:hanging="357"/>
        <w:rPr>
          <w:sz w:val="20"/>
        </w:rPr>
      </w:pPr>
      <w:r w:rsidRPr="00776E55">
        <w:rPr>
          <w:i/>
          <w:sz w:val="20"/>
        </w:rPr>
        <w:t xml:space="preserve">Michael Christopher Love v. His Majesty the King </w:t>
      </w:r>
      <w:r w:rsidRPr="00776E55">
        <w:rPr>
          <w:sz w:val="20"/>
        </w:rPr>
        <w:t>(Alta.) (Criminal) (By Leave) (</w:t>
      </w:r>
      <w:hyperlink r:id="rId13" w:history="1">
        <w:r w:rsidRPr="00776E55">
          <w:rPr>
            <w:rStyle w:val="Hyperlink"/>
            <w:sz w:val="20"/>
            <w:szCs w:val="20"/>
          </w:rPr>
          <w:t>404</w:t>
        </w:r>
        <w:r w:rsidR="005A5FA3" w:rsidRPr="00776E55">
          <w:rPr>
            <w:rStyle w:val="Hyperlink"/>
            <w:sz w:val="20"/>
            <w:szCs w:val="20"/>
          </w:rPr>
          <w:t>27</w:t>
        </w:r>
      </w:hyperlink>
      <w:r w:rsidRPr="00776E55">
        <w:rPr>
          <w:sz w:val="20"/>
        </w:rPr>
        <w:t>)</w:t>
      </w:r>
    </w:p>
    <w:p w:rsidR="00224D9F" w:rsidRPr="00776E55" w:rsidRDefault="00224D9F" w:rsidP="0014490F">
      <w:pPr>
        <w:ind w:left="357" w:hanging="357"/>
        <w:rPr>
          <w:sz w:val="20"/>
        </w:rPr>
      </w:pPr>
    </w:p>
    <w:p w:rsidR="00224D9F" w:rsidRPr="00776E55" w:rsidRDefault="00224D9F" w:rsidP="0014490F">
      <w:pPr>
        <w:pStyle w:val="ListParagraph"/>
        <w:numPr>
          <w:ilvl w:val="0"/>
          <w:numId w:val="33"/>
        </w:numPr>
        <w:ind w:left="357" w:hanging="357"/>
        <w:rPr>
          <w:sz w:val="20"/>
        </w:rPr>
      </w:pPr>
      <w:r w:rsidRPr="00776E55">
        <w:rPr>
          <w:i/>
          <w:sz w:val="20"/>
        </w:rPr>
        <w:t xml:space="preserve">Doran Alfred Flock v. William McKen, Litigation Representative of the Estate of Arlene Joy Flock </w:t>
      </w:r>
      <w:r w:rsidRPr="00776E55">
        <w:rPr>
          <w:sz w:val="20"/>
        </w:rPr>
        <w:t xml:space="preserve">(Alta.) (Civil) (By Leave) </w:t>
      </w:r>
      <w:r w:rsidR="005A5FA3" w:rsidRPr="00776E55">
        <w:rPr>
          <w:sz w:val="20"/>
        </w:rPr>
        <w:t>(</w:t>
      </w:r>
      <w:hyperlink r:id="rId14" w:history="1">
        <w:r w:rsidR="005A5FA3" w:rsidRPr="00776E55">
          <w:rPr>
            <w:rStyle w:val="Hyperlink"/>
            <w:sz w:val="20"/>
            <w:szCs w:val="20"/>
          </w:rPr>
          <w:t>40368</w:t>
        </w:r>
      </w:hyperlink>
      <w:r w:rsidR="005A5FA3" w:rsidRPr="00776E55">
        <w:rPr>
          <w:sz w:val="20"/>
        </w:rPr>
        <w:t>)</w:t>
      </w:r>
    </w:p>
    <w:p w:rsidR="00224D9F" w:rsidRPr="00776E55" w:rsidRDefault="00224D9F" w:rsidP="0014490F">
      <w:pPr>
        <w:ind w:left="357" w:hanging="357"/>
        <w:rPr>
          <w:sz w:val="20"/>
        </w:rPr>
      </w:pPr>
    </w:p>
    <w:p w:rsidR="00224D9F" w:rsidRPr="00776E55" w:rsidRDefault="00834398" w:rsidP="0014490F">
      <w:pPr>
        <w:pStyle w:val="ListParagraph"/>
        <w:numPr>
          <w:ilvl w:val="0"/>
          <w:numId w:val="33"/>
        </w:numPr>
        <w:ind w:left="357" w:hanging="357"/>
        <w:rPr>
          <w:sz w:val="20"/>
        </w:rPr>
      </w:pPr>
      <w:r w:rsidRPr="00776E55">
        <w:rPr>
          <w:i/>
          <w:sz w:val="20"/>
        </w:rPr>
        <w:t xml:space="preserve">Philton Moore v. </w:t>
      </w:r>
      <w:r w:rsidR="00224D9F" w:rsidRPr="00776E55">
        <w:rPr>
          <w:i/>
          <w:sz w:val="20"/>
        </w:rPr>
        <w:t xml:space="preserve">Estate of Lou Ferro, Personally and C.O.B. as Ferro &amp; Company, Ellen Helden, 1312788 Ontario Limited, </w:t>
      </w:r>
      <w:r w:rsidRPr="00776E55">
        <w:rPr>
          <w:i/>
          <w:sz w:val="20"/>
        </w:rPr>
        <w:t>et al.</w:t>
      </w:r>
      <w:r w:rsidR="00224D9F" w:rsidRPr="00776E55">
        <w:rPr>
          <w:i/>
          <w:sz w:val="20"/>
        </w:rPr>
        <w:t xml:space="preserve"> </w:t>
      </w:r>
      <w:r w:rsidR="00224D9F" w:rsidRPr="00776E55">
        <w:rPr>
          <w:sz w:val="20"/>
        </w:rPr>
        <w:t>(Ont.) (Civil) (By Leave) (</w:t>
      </w:r>
      <w:hyperlink r:id="rId15" w:history="1">
        <w:r w:rsidR="00224D9F" w:rsidRPr="00776E55">
          <w:rPr>
            <w:rStyle w:val="Hyperlink"/>
            <w:sz w:val="20"/>
            <w:szCs w:val="20"/>
          </w:rPr>
          <w:t>404</w:t>
        </w:r>
        <w:r w:rsidRPr="00776E55">
          <w:rPr>
            <w:rStyle w:val="Hyperlink"/>
            <w:sz w:val="20"/>
            <w:szCs w:val="20"/>
          </w:rPr>
          <w:t>50</w:t>
        </w:r>
      </w:hyperlink>
      <w:r w:rsidR="00224D9F" w:rsidRPr="00776E55">
        <w:rPr>
          <w:sz w:val="20"/>
        </w:rPr>
        <w:t>)</w:t>
      </w:r>
    </w:p>
    <w:p w:rsidR="00224D9F" w:rsidRPr="00776E55" w:rsidRDefault="00224D9F" w:rsidP="0014490F">
      <w:pPr>
        <w:ind w:left="357" w:hanging="357"/>
        <w:rPr>
          <w:sz w:val="20"/>
        </w:rPr>
      </w:pPr>
    </w:p>
    <w:p w:rsidR="00224D9F" w:rsidRPr="00776E55" w:rsidRDefault="00224D9F" w:rsidP="0014490F">
      <w:pPr>
        <w:pStyle w:val="ListParagraph"/>
        <w:numPr>
          <w:ilvl w:val="0"/>
          <w:numId w:val="33"/>
        </w:numPr>
        <w:ind w:left="357" w:hanging="357"/>
        <w:rPr>
          <w:sz w:val="20"/>
        </w:rPr>
      </w:pPr>
      <w:r w:rsidRPr="00776E55">
        <w:rPr>
          <w:i/>
          <w:sz w:val="20"/>
        </w:rPr>
        <w:t xml:space="preserve">Kenneth Gordon Dahl, </w:t>
      </w:r>
      <w:r w:rsidR="00BF763F" w:rsidRPr="00776E55">
        <w:rPr>
          <w:i/>
          <w:sz w:val="20"/>
        </w:rPr>
        <w:t>et al.</w:t>
      </w:r>
      <w:r w:rsidRPr="00776E55">
        <w:rPr>
          <w:i/>
          <w:sz w:val="20"/>
        </w:rPr>
        <w:t xml:space="preserve"> v. SSC Security Services Corp., </w:t>
      </w:r>
      <w:r w:rsidR="00BF763F" w:rsidRPr="00776E55">
        <w:rPr>
          <w:i/>
          <w:sz w:val="20"/>
        </w:rPr>
        <w:t>et al.</w:t>
      </w:r>
      <w:r w:rsidRPr="00776E55">
        <w:rPr>
          <w:i/>
          <w:sz w:val="20"/>
        </w:rPr>
        <w:t xml:space="preserve"> </w:t>
      </w:r>
      <w:r w:rsidR="00BF763F" w:rsidRPr="00776E55">
        <w:rPr>
          <w:sz w:val="20"/>
        </w:rPr>
        <w:t>(Sask.) (Civil) (By Leave)</w:t>
      </w:r>
      <w:r w:rsidRPr="00776E55">
        <w:rPr>
          <w:sz w:val="20"/>
        </w:rPr>
        <w:t xml:space="preserve"> (</w:t>
      </w:r>
      <w:hyperlink r:id="rId16" w:history="1">
        <w:r w:rsidRPr="00776E55">
          <w:rPr>
            <w:rStyle w:val="Hyperlink"/>
            <w:sz w:val="20"/>
            <w:szCs w:val="20"/>
          </w:rPr>
          <w:t>40</w:t>
        </w:r>
        <w:r w:rsidR="00BF763F" w:rsidRPr="00776E55">
          <w:rPr>
            <w:rStyle w:val="Hyperlink"/>
            <w:sz w:val="20"/>
            <w:szCs w:val="20"/>
          </w:rPr>
          <w:t>50</w:t>
        </w:r>
        <w:r w:rsidRPr="00776E55">
          <w:rPr>
            <w:rStyle w:val="Hyperlink"/>
            <w:sz w:val="20"/>
            <w:szCs w:val="20"/>
          </w:rPr>
          <w:t>1</w:t>
        </w:r>
      </w:hyperlink>
      <w:r w:rsidRPr="00776E55">
        <w:rPr>
          <w:sz w:val="20"/>
        </w:rPr>
        <w:t>)</w:t>
      </w:r>
    </w:p>
    <w:p w:rsidR="00224D9F" w:rsidRPr="00776E55" w:rsidRDefault="00224D9F" w:rsidP="0014490F">
      <w:pPr>
        <w:ind w:left="357" w:hanging="357"/>
        <w:rPr>
          <w:sz w:val="20"/>
        </w:rPr>
      </w:pPr>
    </w:p>
    <w:p w:rsidR="00224D9F" w:rsidRPr="00776E55" w:rsidRDefault="00224D9F" w:rsidP="0014490F">
      <w:pPr>
        <w:pStyle w:val="ListParagraph"/>
        <w:numPr>
          <w:ilvl w:val="0"/>
          <w:numId w:val="33"/>
        </w:numPr>
        <w:ind w:left="357" w:hanging="357"/>
        <w:rPr>
          <w:sz w:val="20"/>
        </w:rPr>
      </w:pPr>
      <w:r w:rsidRPr="00776E55">
        <w:rPr>
          <w:i/>
          <w:sz w:val="20"/>
        </w:rPr>
        <w:t>His Majesty the King v. Dale King</w:t>
      </w:r>
      <w:r w:rsidRPr="00776E55">
        <w:rPr>
          <w:sz w:val="20"/>
        </w:rPr>
        <w:t xml:space="preserve"> (Ont.) (Criminal) (By Leave) (</w:t>
      </w:r>
      <w:hyperlink r:id="rId17" w:history="1">
        <w:r w:rsidRPr="00776E55">
          <w:rPr>
            <w:rStyle w:val="Hyperlink"/>
            <w:sz w:val="20"/>
            <w:szCs w:val="20"/>
          </w:rPr>
          <w:t>404</w:t>
        </w:r>
        <w:r w:rsidR="004D7F43" w:rsidRPr="00776E55">
          <w:rPr>
            <w:rStyle w:val="Hyperlink"/>
            <w:sz w:val="20"/>
            <w:szCs w:val="20"/>
          </w:rPr>
          <w:t>67</w:t>
        </w:r>
      </w:hyperlink>
      <w:r w:rsidRPr="00776E55">
        <w:rPr>
          <w:sz w:val="20"/>
        </w:rPr>
        <w:t>)</w:t>
      </w:r>
    </w:p>
    <w:p w:rsidR="00224D9F" w:rsidRPr="00776E55" w:rsidRDefault="00224D9F" w:rsidP="0014490F">
      <w:pPr>
        <w:ind w:left="357" w:hanging="357"/>
        <w:rPr>
          <w:sz w:val="20"/>
        </w:rPr>
      </w:pPr>
    </w:p>
    <w:p w:rsidR="00224D9F" w:rsidRPr="00776E55" w:rsidRDefault="00224D9F" w:rsidP="0014490F">
      <w:pPr>
        <w:pStyle w:val="ListParagraph"/>
        <w:numPr>
          <w:ilvl w:val="0"/>
          <w:numId w:val="33"/>
        </w:numPr>
        <w:ind w:left="357" w:hanging="357"/>
        <w:rPr>
          <w:sz w:val="20"/>
          <w:lang w:val="fr-CA"/>
        </w:rPr>
      </w:pPr>
      <w:r w:rsidRPr="00776E55">
        <w:rPr>
          <w:i/>
          <w:sz w:val="20"/>
        </w:rPr>
        <w:t>Morris Timothy Klos v. His Majesty the King</w:t>
      </w:r>
      <w:r w:rsidRPr="00776E55">
        <w:rPr>
          <w:sz w:val="20"/>
        </w:rPr>
        <w:t xml:space="preserve"> (B.C.) </w:t>
      </w:r>
      <w:r w:rsidRPr="00776E55">
        <w:rPr>
          <w:sz w:val="20"/>
          <w:lang w:val="fr-CA"/>
        </w:rPr>
        <w:t>(Criminal) (By Leave) (</w:t>
      </w:r>
      <w:hyperlink r:id="rId18" w:history="1">
        <w:r w:rsidRPr="00776E55">
          <w:rPr>
            <w:rStyle w:val="Hyperlink"/>
            <w:sz w:val="20"/>
            <w:szCs w:val="20"/>
            <w:lang w:val="fr-CA"/>
          </w:rPr>
          <w:t>40</w:t>
        </w:r>
        <w:r w:rsidR="004D7F43" w:rsidRPr="00776E55">
          <w:rPr>
            <w:rStyle w:val="Hyperlink"/>
            <w:sz w:val="20"/>
            <w:szCs w:val="20"/>
            <w:lang w:val="fr-CA"/>
          </w:rPr>
          <w:t>53</w:t>
        </w:r>
        <w:r w:rsidRPr="00776E55">
          <w:rPr>
            <w:rStyle w:val="Hyperlink"/>
            <w:sz w:val="20"/>
            <w:szCs w:val="20"/>
            <w:lang w:val="fr-CA"/>
          </w:rPr>
          <w:t>2</w:t>
        </w:r>
      </w:hyperlink>
      <w:r w:rsidRPr="00776E55">
        <w:rPr>
          <w:sz w:val="20"/>
          <w:lang w:val="fr-CA"/>
        </w:rPr>
        <w:t>)</w:t>
      </w:r>
    </w:p>
    <w:p w:rsidR="00224D9F" w:rsidRPr="00776E55" w:rsidRDefault="00224D9F" w:rsidP="0014490F">
      <w:pPr>
        <w:ind w:left="357" w:hanging="357"/>
        <w:rPr>
          <w:sz w:val="20"/>
          <w:lang w:val="fr-CA"/>
        </w:rPr>
      </w:pPr>
    </w:p>
    <w:p w:rsidR="00224D9F" w:rsidRPr="00776E55" w:rsidRDefault="00224D9F" w:rsidP="0014490F">
      <w:pPr>
        <w:pStyle w:val="ListParagraph"/>
        <w:numPr>
          <w:ilvl w:val="0"/>
          <w:numId w:val="33"/>
        </w:numPr>
        <w:ind w:left="357" w:hanging="357"/>
        <w:rPr>
          <w:sz w:val="20"/>
          <w:lang w:val="fr-CA"/>
        </w:rPr>
      </w:pPr>
      <w:r w:rsidRPr="00776E55">
        <w:rPr>
          <w:i/>
          <w:sz w:val="20"/>
          <w:lang w:val="fr-CA"/>
        </w:rPr>
        <w:t xml:space="preserve">Charles Robitaille c. Ville de Sorel-Tracy </w:t>
      </w:r>
      <w:r w:rsidRPr="00776E55">
        <w:rPr>
          <w:sz w:val="20"/>
          <w:lang w:val="fr-CA"/>
        </w:rPr>
        <w:t>(Qc) (Civile) (Autorisation) (</w:t>
      </w:r>
      <w:hyperlink r:id="rId19" w:history="1">
        <w:r w:rsidRPr="00776E55">
          <w:rPr>
            <w:rStyle w:val="Hyperlink"/>
            <w:sz w:val="20"/>
            <w:szCs w:val="20"/>
            <w:lang w:val="fr-CA"/>
          </w:rPr>
          <w:t>40</w:t>
        </w:r>
        <w:r w:rsidR="00011795" w:rsidRPr="00776E55">
          <w:rPr>
            <w:rStyle w:val="Hyperlink"/>
            <w:sz w:val="20"/>
            <w:szCs w:val="20"/>
            <w:lang w:val="fr-CA"/>
          </w:rPr>
          <w:t>336</w:t>
        </w:r>
      </w:hyperlink>
      <w:r w:rsidRPr="00776E55">
        <w:rPr>
          <w:sz w:val="20"/>
          <w:lang w:val="fr-CA"/>
        </w:rPr>
        <w:t>)</w:t>
      </w:r>
    </w:p>
    <w:p w:rsidR="00224D9F" w:rsidRPr="00776E55" w:rsidRDefault="00224D9F" w:rsidP="0014490F">
      <w:pPr>
        <w:ind w:left="357" w:hanging="357"/>
        <w:rPr>
          <w:sz w:val="20"/>
          <w:lang w:val="fr-CA"/>
        </w:rPr>
      </w:pPr>
    </w:p>
    <w:p w:rsidR="00224D9F" w:rsidRPr="00776E55" w:rsidRDefault="00224D9F" w:rsidP="0014490F">
      <w:pPr>
        <w:pStyle w:val="ListParagraph"/>
        <w:numPr>
          <w:ilvl w:val="0"/>
          <w:numId w:val="33"/>
        </w:numPr>
        <w:ind w:left="357" w:hanging="357"/>
        <w:rPr>
          <w:sz w:val="20"/>
        </w:rPr>
      </w:pPr>
      <w:r w:rsidRPr="00776E55">
        <w:rPr>
          <w:i/>
          <w:sz w:val="20"/>
        </w:rPr>
        <w:t xml:space="preserve">Agrium Inc. v. Orbis Engineering Field Services Ltd., </w:t>
      </w:r>
      <w:r w:rsidR="00DC2FA2" w:rsidRPr="00776E55">
        <w:rPr>
          <w:i/>
          <w:sz w:val="20"/>
        </w:rPr>
        <w:t>et al.</w:t>
      </w:r>
      <w:r w:rsidRPr="00776E55">
        <w:rPr>
          <w:sz w:val="20"/>
        </w:rPr>
        <w:t xml:space="preserve"> (Alta.) (Civil) (By</w:t>
      </w:r>
      <w:r w:rsidR="00DC2FA2" w:rsidRPr="00776E55">
        <w:rPr>
          <w:sz w:val="20"/>
        </w:rPr>
        <w:t xml:space="preserve"> Leave)</w:t>
      </w:r>
      <w:r w:rsidRPr="00776E55">
        <w:rPr>
          <w:sz w:val="20"/>
        </w:rPr>
        <w:t xml:space="preserve"> (</w:t>
      </w:r>
      <w:hyperlink r:id="rId20" w:history="1">
        <w:r w:rsidRPr="00776E55">
          <w:rPr>
            <w:rStyle w:val="Hyperlink"/>
            <w:sz w:val="20"/>
            <w:szCs w:val="20"/>
          </w:rPr>
          <w:t>404</w:t>
        </w:r>
        <w:r w:rsidR="00DC2FA2" w:rsidRPr="00776E55">
          <w:rPr>
            <w:rStyle w:val="Hyperlink"/>
            <w:sz w:val="20"/>
            <w:szCs w:val="20"/>
          </w:rPr>
          <w:t>0</w:t>
        </w:r>
        <w:r w:rsidRPr="00776E55">
          <w:rPr>
            <w:rStyle w:val="Hyperlink"/>
            <w:sz w:val="20"/>
            <w:szCs w:val="20"/>
          </w:rPr>
          <w:t>2</w:t>
        </w:r>
      </w:hyperlink>
      <w:r w:rsidRPr="00776E55">
        <w:rPr>
          <w:sz w:val="20"/>
        </w:rPr>
        <w:t>)</w:t>
      </w:r>
    </w:p>
    <w:p w:rsidR="00224D9F" w:rsidRPr="00776E55" w:rsidRDefault="00224D9F" w:rsidP="0014490F">
      <w:pPr>
        <w:ind w:left="357" w:hanging="357"/>
        <w:rPr>
          <w:sz w:val="20"/>
        </w:rPr>
      </w:pPr>
    </w:p>
    <w:p w:rsidR="00224D9F" w:rsidRPr="00776E55" w:rsidRDefault="00224D9F" w:rsidP="0014490F">
      <w:pPr>
        <w:pStyle w:val="ListParagraph"/>
        <w:numPr>
          <w:ilvl w:val="0"/>
          <w:numId w:val="33"/>
        </w:numPr>
        <w:ind w:left="357" w:hanging="357"/>
        <w:rPr>
          <w:sz w:val="20"/>
        </w:rPr>
      </w:pPr>
      <w:r w:rsidRPr="00776E55">
        <w:rPr>
          <w:i/>
          <w:sz w:val="20"/>
        </w:rPr>
        <w:lastRenderedPageBreak/>
        <w:t xml:space="preserve">Loblaw Companies Limited, </w:t>
      </w:r>
      <w:r w:rsidR="00DC2FA2" w:rsidRPr="00776E55">
        <w:rPr>
          <w:i/>
          <w:sz w:val="20"/>
        </w:rPr>
        <w:t>et al.</w:t>
      </w:r>
      <w:r w:rsidRPr="00776E55">
        <w:rPr>
          <w:i/>
          <w:sz w:val="20"/>
        </w:rPr>
        <w:t xml:space="preserve"> v. James Govan </w:t>
      </w:r>
      <w:r w:rsidRPr="00776E55">
        <w:rPr>
          <w:sz w:val="20"/>
        </w:rPr>
        <w:t>(Que.) (Civil) (By Leave) (</w:t>
      </w:r>
      <w:hyperlink r:id="rId21" w:history="1">
        <w:r w:rsidRPr="00776E55">
          <w:rPr>
            <w:rStyle w:val="Hyperlink"/>
            <w:sz w:val="20"/>
            <w:szCs w:val="20"/>
          </w:rPr>
          <w:t>404</w:t>
        </w:r>
        <w:r w:rsidR="00DC2FA2" w:rsidRPr="00776E55">
          <w:rPr>
            <w:rStyle w:val="Hyperlink"/>
            <w:sz w:val="20"/>
            <w:szCs w:val="20"/>
          </w:rPr>
          <w:t>36</w:t>
        </w:r>
      </w:hyperlink>
      <w:r w:rsidRPr="00776E55">
        <w:rPr>
          <w:sz w:val="20"/>
        </w:rPr>
        <w:t>)</w:t>
      </w:r>
    </w:p>
    <w:p w:rsidR="00224D9F" w:rsidRPr="00776E55" w:rsidRDefault="00224D9F" w:rsidP="0014490F">
      <w:pPr>
        <w:ind w:left="357" w:hanging="357"/>
        <w:rPr>
          <w:sz w:val="20"/>
        </w:rPr>
      </w:pPr>
    </w:p>
    <w:p w:rsidR="00224D9F" w:rsidRPr="00776E55" w:rsidRDefault="00224D9F" w:rsidP="0014490F">
      <w:pPr>
        <w:pStyle w:val="ListParagraph"/>
        <w:numPr>
          <w:ilvl w:val="0"/>
          <w:numId w:val="33"/>
        </w:numPr>
        <w:ind w:left="357" w:hanging="357"/>
        <w:rPr>
          <w:sz w:val="20"/>
          <w:lang w:val="fr-CA"/>
        </w:rPr>
      </w:pPr>
      <w:r w:rsidRPr="00776E55">
        <w:rPr>
          <w:i/>
          <w:sz w:val="20"/>
        </w:rPr>
        <w:t xml:space="preserve">PMC York Properties Inc., </w:t>
      </w:r>
      <w:r w:rsidR="00F20E43" w:rsidRPr="00776E55">
        <w:rPr>
          <w:i/>
          <w:sz w:val="20"/>
        </w:rPr>
        <w:t>et al.</w:t>
      </w:r>
      <w:r w:rsidRPr="00776E55">
        <w:rPr>
          <w:i/>
          <w:sz w:val="20"/>
        </w:rPr>
        <w:t xml:space="preserve"> v. Bill Siudak</w:t>
      </w:r>
      <w:r w:rsidRPr="00776E55">
        <w:rPr>
          <w:sz w:val="20"/>
        </w:rPr>
        <w:t xml:space="preserve"> (Ont.) </w:t>
      </w:r>
      <w:r w:rsidRPr="00776E55">
        <w:rPr>
          <w:sz w:val="20"/>
          <w:lang w:val="fr-CA"/>
        </w:rPr>
        <w:t>(Civil) (By Leave) (</w:t>
      </w:r>
      <w:hyperlink r:id="rId22" w:history="1">
        <w:r w:rsidRPr="00776E55">
          <w:rPr>
            <w:rStyle w:val="Hyperlink"/>
            <w:sz w:val="20"/>
            <w:szCs w:val="20"/>
            <w:lang w:val="fr-CA"/>
          </w:rPr>
          <w:t>404</w:t>
        </w:r>
        <w:r w:rsidR="00F20E43" w:rsidRPr="00776E55">
          <w:rPr>
            <w:rStyle w:val="Hyperlink"/>
            <w:sz w:val="20"/>
            <w:szCs w:val="20"/>
            <w:lang w:val="fr-CA"/>
          </w:rPr>
          <w:t>45</w:t>
        </w:r>
      </w:hyperlink>
      <w:r w:rsidRPr="00776E55">
        <w:rPr>
          <w:sz w:val="20"/>
          <w:lang w:val="fr-CA"/>
        </w:rPr>
        <w:t>)</w:t>
      </w:r>
    </w:p>
    <w:p w:rsidR="000D6A85" w:rsidRPr="00776E55" w:rsidRDefault="000D6A85" w:rsidP="0014490F">
      <w:pPr>
        <w:ind w:left="357" w:hanging="357"/>
        <w:rPr>
          <w:sz w:val="20"/>
          <w:lang w:val="fr-CA"/>
        </w:rPr>
      </w:pPr>
    </w:p>
    <w:p w:rsidR="00224D9F" w:rsidRPr="00776E55" w:rsidRDefault="00224D9F" w:rsidP="0014490F">
      <w:pPr>
        <w:pStyle w:val="ListParagraph"/>
        <w:numPr>
          <w:ilvl w:val="0"/>
          <w:numId w:val="33"/>
        </w:numPr>
        <w:ind w:left="357" w:hanging="357"/>
        <w:rPr>
          <w:sz w:val="20"/>
          <w:lang w:val="fr-CA"/>
        </w:rPr>
      </w:pPr>
      <w:r w:rsidRPr="00776E55">
        <w:rPr>
          <w:i/>
          <w:sz w:val="20"/>
          <w:lang w:val="fr-CA"/>
        </w:rPr>
        <w:t>Michel Derome c. Procureur général du Québec</w:t>
      </w:r>
      <w:r w:rsidRPr="00776E55">
        <w:rPr>
          <w:sz w:val="20"/>
          <w:lang w:val="fr-CA"/>
        </w:rPr>
        <w:t xml:space="preserve"> (Qc) (Criminelle) (Autorisation) (</w:t>
      </w:r>
      <w:hyperlink r:id="rId23" w:history="1">
        <w:r w:rsidRPr="00776E55">
          <w:rPr>
            <w:rStyle w:val="Hyperlink"/>
            <w:sz w:val="20"/>
            <w:szCs w:val="20"/>
            <w:lang w:val="fr-CA"/>
          </w:rPr>
          <w:t>40</w:t>
        </w:r>
        <w:r w:rsidR="004454CA" w:rsidRPr="00776E55">
          <w:rPr>
            <w:rStyle w:val="Hyperlink"/>
            <w:sz w:val="20"/>
            <w:szCs w:val="20"/>
            <w:lang w:val="fr-CA"/>
          </w:rPr>
          <w:t>38</w:t>
        </w:r>
        <w:r w:rsidRPr="00776E55">
          <w:rPr>
            <w:rStyle w:val="Hyperlink"/>
            <w:sz w:val="20"/>
            <w:szCs w:val="20"/>
            <w:lang w:val="fr-CA"/>
          </w:rPr>
          <w:t>2</w:t>
        </w:r>
      </w:hyperlink>
      <w:r w:rsidRPr="00776E55">
        <w:rPr>
          <w:sz w:val="20"/>
          <w:lang w:val="fr-CA"/>
        </w:rPr>
        <w:t>)</w:t>
      </w:r>
    </w:p>
    <w:p w:rsidR="00224D9F" w:rsidRPr="00776E55" w:rsidRDefault="00224D9F" w:rsidP="0014490F">
      <w:pPr>
        <w:ind w:left="357" w:hanging="357"/>
        <w:rPr>
          <w:sz w:val="20"/>
          <w:lang w:val="fr-CA"/>
        </w:rPr>
      </w:pPr>
    </w:p>
    <w:p w:rsidR="00224D9F" w:rsidRPr="00776E55" w:rsidRDefault="00224D9F" w:rsidP="0014490F">
      <w:pPr>
        <w:pStyle w:val="ListParagraph"/>
        <w:numPr>
          <w:ilvl w:val="0"/>
          <w:numId w:val="33"/>
        </w:numPr>
        <w:ind w:left="357" w:hanging="357"/>
        <w:rPr>
          <w:sz w:val="20"/>
        </w:rPr>
      </w:pPr>
      <w:r w:rsidRPr="00776E55">
        <w:rPr>
          <w:i/>
          <w:sz w:val="20"/>
        </w:rPr>
        <w:t>Kobe Mohr v. National Hockey League, et al.</w:t>
      </w:r>
      <w:r w:rsidRPr="00776E55">
        <w:rPr>
          <w:sz w:val="20"/>
        </w:rPr>
        <w:t xml:space="preserve"> (F</w:t>
      </w:r>
      <w:r w:rsidR="0014490F" w:rsidRPr="00776E55">
        <w:rPr>
          <w:sz w:val="20"/>
        </w:rPr>
        <w:t>.C</w:t>
      </w:r>
      <w:r w:rsidRPr="00776E55">
        <w:rPr>
          <w:sz w:val="20"/>
        </w:rPr>
        <w:t>.) (Civil) (By Leave)</w:t>
      </w:r>
      <w:r w:rsidR="0014490F" w:rsidRPr="00776E55">
        <w:rPr>
          <w:sz w:val="20"/>
        </w:rPr>
        <w:t xml:space="preserve"> (</w:t>
      </w:r>
      <w:hyperlink r:id="rId24" w:history="1">
        <w:r w:rsidR="0014490F" w:rsidRPr="00776E55">
          <w:rPr>
            <w:rStyle w:val="Hyperlink"/>
            <w:sz w:val="20"/>
            <w:szCs w:val="20"/>
          </w:rPr>
          <w:t>404</w:t>
        </w:r>
        <w:r w:rsidR="004454CA" w:rsidRPr="00776E55">
          <w:rPr>
            <w:rStyle w:val="Hyperlink"/>
            <w:sz w:val="20"/>
            <w:szCs w:val="20"/>
          </w:rPr>
          <w:t>26</w:t>
        </w:r>
      </w:hyperlink>
      <w:r w:rsidR="0014490F" w:rsidRPr="00776E55">
        <w:rPr>
          <w:sz w:val="20"/>
        </w:rPr>
        <w:t>)</w:t>
      </w:r>
    </w:p>
    <w:p w:rsidR="0074008A" w:rsidRPr="00776E55" w:rsidRDefault="0074008A" w:rsidP="00142166">
      <w:pPr>
        <w:jc w:val="both"/>
        <w:rPr>
          <w:sz w:val="20"/>
        </w:rPr>
      </w:pPr>
    </w:p>
    <w:p w:rsidR="0057402C" w:rsidRPr="00776E55" w:rsidRDefault="001E30F0" w:rsidP="00142166">
      <w:pPr>
        <w:widowControl w:val="0"/>
        <w:jc w:val="both"/>
        <w:rPr>
          <w:sz w:val="20"/>
        </w:rPr>
      </w:pPr>
      <w:r>
        <w:rPr>
          <w:sz w:val="20"/>
        </w:rPr>
        <w:pict>
          <v:rect id="_x0000_i1026" style="width:2in;height:1pt" o:hrpct="0" o:hralign="center" o:hrstd="t" o:hrnoshade="t" o:hr="t" fillcolor="black [3213]" stroked="f"/>
        </w:pict>
      </w:r>
    </w:p>
    <w:p w:rsidR="0014490F" w:rsidRPr="00776E55" w:rsidRDefault="0014490F" w:rsidP="0014216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2166" w:rsidRPr="00776E55" w:rsidTr="00FB0311">
        <w:tc>
          <w:tcPr>
            <w:tcW w:w="543" w:type="pct"/>
          </w:tcPr>
          <w:p w:rsidR="00142166" w:rsidRPr="00776E55" w:rsidRDefault="00142166" w:rsidP="00142166">
            <w:pPr>
              <w:jc w:val="both"/>
              <w:rPr>
                <w:sz w:val="20"/>
              </w:rPr>
            </w:pPr>
            <w:r w:rsidRPr="00776E55">
              <w:rPr>
                <w:rStyle w:val="SCCFileNumberChar"/>
                <w:sz w:val="20"/>
                <w:szCs w:val="20"/>
              </w:rPr>
              <w:t>40463</w:t>
            </w:r>
          </w:p>
        </w:tc>
        <w:tc>
          <w:tcPr>
            <w:tcW w:w="4457" w:type="pct"/>
            <w:gridSpan w:val="3"/>
          </w:tcPr>
          <w:p w:rsidR="00142166" w:rsidRPr="00776E55" w:rsidRDefault="00142166" w:rsidP="00142166">
            <w:pPr>
              <w:pStyle w:val="SCCLsocParty"/>
              <w:jc w:val="both"/>
              <w:rPr>
                <w:b/>
                <w:sz w:val="20"/>
                <w:szCs w:val="20"/>
                <w:lang w:val="en-US"/>
              </w:rPr>
            </w:pPr>
            <w:r w:rsidRPr="00776E55">
              <w:rPr>
                <w:b/>
                <w:sz w:val="20"/>
                <w:szCs w:val="20"/>
                <w:lang w:val="en-US"/>
              </w:rPr>
              <w:t>Benard Asante v. His Majesty the King</w:t>
            </w:r>
          </w:p>
          <w:p w:rsidR="00142166" w:rsidRPr="00776E55" w:rsidRDefault="00142166" w:rsidP="00142166">
            <w:pPr>
              <w:jc w:val="both"/>
              <w:rPr>
                <w:sz w:val="20"/>
              </w:rPr>
            </w:pPr>
            <w:r w:rsidRPr="00776E55">
              <w:rPr>
                <w:sz w:val="20"/>
              </w:rPr>
              <w:t>(Ont.) (Criminal) (By Leave)</w:t>
            </w:r>
          </w:p>
        </w:tc>
      </w:tr>
      <w:tr w:rsidR="00142166" w:rsidRPr="00776E55" w:rsidTr="00FB0311">
        <w:tc>
          <w:tcPr>
            <w:tcW w:w="5000" w:type="pct"/>
            <w:gridSpan w:val="4"/>
          </w:tcPr>
          <w:p w:rsidR="00142166" w:rsidRPr="00776E55" w:rsidRDefault="00142166" w:rsidP="00142166">
            <w:pPr>
              <w:jc w:val="both"/>
              <w:rPr>
                <w:sz w:val="20"/>
              </w:rPr>
            </w:pPr>
            <w:r w:rsidRPr="00776E55">
              <w:rPr>
                <w:sz w:val="20"/>
              </w:rPr>
              <w:t xml:space="preserve">Criminal law — Evidence — Admissibility — Prior convictions — Photographs — Accused convicted of first degree murder and attempted murder — Whether trial judge erred in declining to excise reference to parts of accused’s criminal record — Whether trial judge erred in admitting photograph of a handgun recovered from accused’s cellphone </w:t>
            </w:r>
          </w:p>
        </w:tc>
      </w:tr>
      <w:tr w:rsidR="00142166" w:rsidRPr="00776E55" w:rsidTr="00FB0311">
        <w:tc>
          <w:tcPr>
            <w:tcW w:w="5000" w:type="pct"/>
            <w:gridSpan w:val="4"/>
          </w:tcPr>
          <w:p w:rsidR="00142166" w:rsidRPr="00776E55" w:rsidRDefault="00142166" w:rsidP="00142166">
            <w:pPr>
              <w:jc w:val="both"/>
              <w:rPr>
                <w:sz w:val="20"/>
              </w:rPr>
            </w:pPr>
          </w:p>
        </w:tc>
      </w:tr>
      <w:tr w:rsidR="00142166" w:rsidRPr="00776E55" w:rsidTr="00FB0311">
        <w:tc>
          <w:tcPr>
            <w:tcW w:w="5000" w:type="pct"/>
            <w:gridSpan w:val="4"/>
          </w:tcPr>
          <w:p w:rsidR="00142166" w:rsidRPr="00776E55" w:rsidRDefault="00142166" w:rsidP="00142166">
            <w:pPr>
              <w:jc w:val="both"/>
              <w:rPr>
                <w:sz w:val="20"/>
              </w:rPr>
            </w:pPr>
            <w:r w:rsidRPr="00776E55">
              <w:rPr>
                <w:sz w:val="20"/>
              </w:rPr>
              <w:t xml:space="preserve">Applicant Benard Asante was charged with first degree murder and attempted murder in connection with a shooting. </w:t>
            </w:r>
          </w:p>
          <w:p w:rsidR="00142166" w:rsidRPr="00776E55" w:rsidRDefault="00142166" w:rsidP="00142166">
            <w:pPr>
              <w:jc w:val="both"/>
              <w:rPr>
                <w:sz w:val="20"/>
              </w:rPr>
            </w:pPr>
          </w:p>
          <w:p w:rsidR="00142166" w:rsidRPr="00776E55" w:rsidRDefault="00142166" w:rsidP="00142166">
            <w:pPr>
              <w:jc w:val="both"/>
              <w:rPr>
                <w:sz w:val="20"/>
              </w:rPr>
            </w:pPr>
            <w:r w:rsidRPr="00776E55">
              <w:rPr>
                <w:sz w:val="20"/>
              </w:rPr>
              <w:t xml:space="preserve">The Crown brought a pre-trial application to admit, among other things, a photograph of a handgun found on Mr. Asante’s cellphone. The trial judge ruled that the photo was admissible as evidence. </w:t>
            </w:r>
          </w:p>
          <w:p w:rsidR="00142166" w:rsidRPr="00776E55" w:rsidRDefault="00142166" w:rsidP="00142166">
            <w:pPr>
              <w:jc w:val="both"/>
              <w:rPr>
                <w:sz w:val="20"/>
              </w:rPr>
            </w:pPr>
          </w:p>
          <w:p w:rsidR="00142166" w:rsidRPr="00776E55" w:rsidRDefault="00142166" w:rsidP="00142166">
            <w:pPr>
              <w:jc w:val="both"/>
              <w:rPr>
                <w:sz w:val="20"/>
              </w:rPr>
            </w:pPr>
            <w:r w:rsidRPr="00776E55">
              <w:rPr>
                <w:sz w:val="20"/>
              </w:rPr>
              <w:t xml:space="preserve">Before testifying in his defence, Mr. Asante brought a </w:t>
            </w:r>
            <w:r w:rsidRPr="00776E55">
              <w:rPr>
                <w:i/>
                <w:sz w:val="20"/>
              </w:rPr>
              <w:t xml:space="preserve">Corbett </w:t>
            </w:r>
            <w:r w:rsidRPr="00776E55">
              <w:rPr>
                <w:sz w:val="20"/>
              </w:rPr>
              <w:t xml:space="preserve">application to excise reference to portions of his criminal record. The trial judge allowed the application in part, but declined to excise reference to: one count of possession of a firearm knowing its possession was unauthorized; and one count of possession of a firearm or ammunition contrary to a prohibition order. </w:t>
            </w:r>
          </w:p>
          <w:p w:rsidR="00142166" w:rsidRPr="00776E55" w:rsidRDefault="00142166" w:rsidP="00142166">
            <w:pPr>
              <w:jc w:val="both"/>
              <w:rPr>
                <w:sz w:val="20"/>
              </w:rPr>
            </w:pPr>
          </w:p>
          <w:p w:rsidR="00142166" w:rsidRPr="00776E55" w:rsidRDefault="00142166" w:rsidP="00142166">
            <w:pPr>
              <w:jc w:val="both"/>
              <w:rPr>
                <w:sz w:val="20"/>
              </w:rPr>
            </w:pPr>
            <w:r w:rsidRPr="00776E55">
              <w:rPr>
                <w:sz w:val="20"/>
              </w:rPr>
              <w:t>Mr. Asante was convicted of first degree murder and of attempted murder. The Court of Appeal dismissed Mr. Asante’s appeal from his convictions.</w:t>
            </w:r>
          </w:p>
          <w:p w:rsidR="00142166" w:rsidRPr="00776E55" w:rsidRDefault="00142166" w:rsidP="00142166">
            <w:pPr>
              <w:jc w:val="both"/>
              <w:rPr>
                <w:sz w:val="20"/>
              </w:rPr>
            </w:pPr>
          </w:p>
        </w:tc>
      </w:tr>
      <w:tr w:rsidR="00142166" w:rsidRPr="00776E55" w:rsidTr="00FB0311">
        <w:tc>
          <w:tcPr>
            <w:tcW w:w="2427" w:type="pct"/>
            <w:gridSpan w:val="2"/>
          </w:tcPr>
          <w:p w:rsidR="00142166" w:rsidRPr="00776E55" w:rsidRDefault="00142166" w:rsidP="00142166">
            <w:pPr>
              <w:jc w:val="both"/>
              <w:rPr>
                <w:sz w:val="20"/>
              </w:rPr>
            </w:pPr>
            <w:r w:rsidRPr="00776E55">
              <w:rPr>
                <w:sz w:val="20"/>
              </w:rPr>
              <w:t>June 20, 2017</w:t>
            </w:r>
          </w:p>
          <w:p w:rsidR="00142166" w:rsidRPr="00776E55" w:rsidRDefault="00142166" w:rsidP="00142166">
            <w:pPr>
              <w:jc w:val="both"/>
              <w:rPr>
                <w:sz w:val="20"/>
              </w:rPr>
            </w:pPr>
            <w:r w:rsidRPr="00776E55">
              <w:rPr>
                <w:sz w:val="20"/>
              </w:rPr>
              <w:t>Ontario Superior Court of Justice</w:t>
            </w:r>
          </w:p>
          <w:p w:rsidR="00142166" w:rsidRPr="00776E55" w:rsidRDefault="00142166" w:rsidP="00142166">
            <w:pPr>
              <w:jc w:val="both"/>
              <w:rPr>
                <w:sz w:val="20"/>
              </w:rPr>
            </w:pPr>
            <w:r w:rsidRPr="00776E55">
              <w:rPr>
                <w:sz w:val="20"/>
              </w:rPr>
              <w:t>(O’Marra J.)</w:t>
            </w:r>
          </w:p>
          <w:p w:rsidR="00142166" w:rsidRPr="00776E55" w:rsidRDefault="001E30F0" w:rsidP="00142166">
            <w:pPr>
              <w:jc w:val="both"/>
              <w:rPr>
                <w:sz w:val="20"/>
              </w:rPr>
            </w:pPr>
            <w:hyperlink r:id="rId25" w:history="1">
              <w:r w:rsidR="00142166" w:rsidRPr="00776E55">
                <w:rPr>
                  <w:rStyle w:val="Hyperlink"/>
                  <w:sz w:val="20"/>
                </w:rPr>
                <w:t>2017 ONSC 4741</w:t>
              </w:r>
            </w:hyperlink>
          </w:p>
          <w:p w:rsidR="00142166" w:rsidRPr="00776E55" w:rsidRDefault="00142166" w:rsidP="00142166">
            <w:pPr>
              <w:jc w:val="both"/>
              <w:rPr>
                <w:sz w:val="20"/>
              </w:rPr>
            </w:pP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i/>
                <w:sz w:val="20"/>
              </w:rPr>
              <w:t xml:space="preserve">Corbett </w:t>
            </w:r>
            <w:r w:rsidRPr="00776E55">
              <w:rPr>
                <w:sz w:val="20"/>
              </w:rPr>
              <w:t>application, to excise reference to portions of the accused’s criminal record, allowed in part</w:t>
            </w:r>
          </w:p>
        </w:tc>
      </w:tr>
      <w:tr w:rsidR="00142166" w:rsidRPr="00776E55" w:rsidTr="00FB0311">
        <w:tc>
          <w:tcPr>
            <w:tcW w:w="2427" w:type="pct"/>
            <w:gridSpan w:val="2"/>
          </w:tcPr>
          <w:p w:rsidR="00142166" w:rsidRPr="00776E55" w:rsidRDefault="00142166" w:rsidP="00142166">
            <w:pPr>
              <w:jc w:val="both"/>
              <w:rPr>
                <w:sz w:val="20"/>
              </w:rPr>
            </w:pPr>
            <w:r w:rsidRPr="00776E55">
              <w:rPr>
                <w:sz w:val="20"/>
              </w:rPr>
              <w:t>June 30, 2017</w:t>
            </w:r>
          </w:p>
          <w:p w:rsidR="00142166" w:rsidRPr="00776E55" w:rsidRDefault="00142166" w:rsidP="00142166">
            <w:pPr>
              <w:jc w:val="both"/>
              <w:rPr>
                <w:sz w:val="20"/>
              </w:rPr>
            </w:pPr>
            <w:r w:rsidRPr="00776E55">
              <w:rPr>
                <w:sz w:val="20"/>
              </w:rPr>
              <w:t>Ontario Superior Court of Justice</w:t>
            </w:r>
          </w:p>
          <w:p w:rsidR="00142166" w:rsidRPr="00776E55" w:rsidRDefault="00142166" w:rsidP="00142166">
            <w:pPr>
              <w:jc w:val="both"/>
              <w:rPr>
                <w:sz w:val="20"/>
              </w:rPr>
            </w:pPr>
            <w:r w:rsidRPr="00776E55">
              <w:rPr>
                <w:sz w:val="20"/>
              </w:rPr>
              <w:t>(O’Marra J.)</w:t>
            </w:r>
          </w:p>
          <w:p w:rsidR="00142166" w:rsidRPr="00776E55" w:rsidRDefault="00142166" w:rsidP="00142166">
            <w:pPr>
              <w:jc w:val="both"/>
              <w:rPr>
                <w:sz w:val="20"/>
              </w:rPr>
            </w:pPr>
            <w:r w:rsidRPr="00776E55">
              <w:rPr>
                <w:sz w:val="20"/>
              </w:rPr>
              <w:t>16-50000081</w:t>
            </w:r>
          </w:p>
          <w:p w:rsidR="00142166" w:rsidRPr="00776E55" w:rsidRDefault="00142166" w:rsidP="00142166">
            <w:pPr>
              <w:jc w:val="both"/>
              <w:rPr>
                <w:sz w:val="20"/>
              </w:rPr>
            </w:pP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sz w:val="20"/>
              </w:rPr>
              <w:t>Jury verdict; accused convicted of first degree murder and attempted murder</w:t>
            </w:r>
          </w:p>
        </w:tc>
      </w:tr>
      <w:tr w:rsidR="00142166" w:rsidRPr="00776E55" w:rsidTr="00FB0311">
        <w:tc>
          <w:tcPr>
            <w:tcW w:w="2427" w:type="pct"/>
            <w:gridSpan w:val="2"/>
          </w:tcPr>
          <w:p w:rsidR="00142166" w:rsidRPr="00776E55" w:rsidRDefault="00142166" w:rsidP="00142166">
            <w:pPr>
              <w:jc w:val="both"/>
              <w:rPr>
                <w:sz w:val="20"/>
              </w:rPr>
            </w:pPr>
            <w:r w:rsidRPr="00776E55">
              <w:rPr>
                <w:sz w:val="20"/>
              </w:rPr>
              <w:t>September 19, 2017</w:t>
            </w:r>
          </w:p>
          <w:p w:rsidR="00142166" w:rsidRPr="00776E55" w:rsidRDefault="00142166" w:rsidP="00142166">
            <w:pPr>
              <w:jc w:val="both"/>
              <w:rPr>
                <w:sz w:val="20"/>
              </w:rPr>
            </w:pPr>
            <w:r w:rsidRPr="00776E55">
              <w:rPr>
                <w:sz w:val="20"/>
              </w:rPr>
              <w:t>Ontario Superior Court of Justice</w:t>
            </w:r>
          </w:p>
          <w:p w:rsidR="00142166" w:rsidRPr="00776E55" w:rsidRDefault="00142166" w:rsidP="00142166">
            <w:pPr>
              <w:jc w:val="both"/>
              <w:rPr>
                <w:sz w:val="20"/>
              </w:rPr>
            </w:pPr>
            <w:r w:rsidRPr="00776E55">
              <w:rPr>
                <w:sz w:val="20"/>
              </w:rPr>
              <w:t>(O’Marra J.)</w:t>
            </w:r>
          </w:p>
          <w:p w:rsidR="00142166" w:rsidRPr="00776E55" w:rsidRDefault="001E30F0" w:rsidP="00142166">
            <w:pPr>
              <w:jc w:val="both"/>
              <w:rPr>
                <w:rStyle w:val="Hyperlink"/>
                <w:color w:val="auto"/>
                <w:sz w:val="20"/>
                <w:u w:val="none"/>
              </w:rPr>
            </w:pPr>
            <w:hyperlink r:id="rId26" w:history="1">
              <w:r w:rsidR="00142166" w:rsidRPr="00776E55">
                <w:rPr>
                  <w:rStyle w:val="Hyperlink"/>
                  <w:sz w:val="20"/>
                </w:rPr>
                <w:t>2017 ONSC 5471</w:t>
              </w:r>
            </w:hyperlink>
          </w:p>
          <w:p w:rsidR="00142166" w:rsidRPr="00776E55" w:rsidRDefault="00142166" w:rsidP="00142166">
            <w:pPr>
              <w:jc w:val="both"/>
              <w:rPr>
                <w:sz w:val="20"/>
              </w:rPr>
            </w:pP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sz w:val="20"/>
              </w:rPr>
              <w:t xml:space="preserve">Written reasons for a pre-trial ruling admitting certain evidence </w:t>
            </w:r>
          </w:p>
        </w:tc>
      </w:tr>
      <w:tr w:rsidR="00142166" w:rsidRPr="00776E55" w:rsidTr="00FB0311">
        <w:tc>
          <w:tcPr>
            <w:tcW w:w="2427" w:type="pct"/>
            <w:gridSpan w:val="2"/>
          </w:tcPr>
          <w:p w:rsidR="00142166" w:rsidRPr="00776E55" w:rsidRDefault="00142166" w:rsidP="00142166">
            <w:pPr>
              <w:jc w:val="both"/>
              <w:rPr>
                <w:sz w:val="20"/>
              </w:rPr>
            </w:pPr>
            <w:r w:rsidRPr="00776E55">
              <w:rPr>
                <w:sz w:val="20"/>
              </w:rPr>
              <w:t>September 22, 2022</w:t>
            </w:r>
          </w:p>
          <w:p w:rsidR="00142166" w:rsidRPr="00776E55" w:rsidRDefault="00142166" w:rsidP="00142166">
            <w:pPr>
              <w:jc w:val="both"/>
              <w:rPr>
                <w:sz w:val="20"/>
              </w:rPr>
            </w:pPr>
            <w:r w:rsidRPr="00776E55">
              <w:rPr>
                <w:sz w:val="20"/>
              </w:rPr>
              <w:t>Court of Appeal for Ontario</w:t>
            </w:r>
          </w:p>
          <w:p w:rsidR="00142166" w:rsidRPr="00776E55" w:rsidRDefault="00142166" w:rsidP="00142166">
            <w:pPr>
              <w:jc w:val="both"/>
              <w:rPr>
                <w:sz w:val="20"/>
              </w:rPr>
            </w:pPr>
            <w:r w:rsidRPr="00776E55">
              <w:rPr>
                <w:sz w:val="20"/>
              </w:rPr>
              <w:t>(Gillese, Huscroft and Sossin JJ.A.)</w:t>
            </w:r>
          </w:p>
          <w:p w:rsidR="00142166" w:rsidRPr="00776E55" w:rsidRDefault="001E30F0" w:rsidP="00142166">
            <w:pPr>
              <w:jc w:val="both"/>
              <w:rPr>
                <w:sz w:val="20"/>
              </w:rPr>
            </w:pPr>
            <w:hyperlink r:id="rId27" w:history="1">
              <w:r w:rsidR="00142166" w:rsidRPr="00776E55">
                <w:rPr>
                  <w:rStyle w:val="Hyperlink"/>
                  <w:sz w:val="20"/>
                </w:rPr>
                <w:t>2022 ONCA 657</w:t>
              </w:r>
            </w:hyperlink>
            <w:r w:rsidR="00142166" w:rsidRPr="00776E55">
              <w:rPr>
                <w:sz w:val="20"/>
              </w:rPr>
              <w:t>; C66379</w:t>
            </w:r>
          </w:p>
          <w:p w:rsidR="00142166" w:rsidRPr="00776E55" w:rsidRDefault="00142166" w:rsidP="00142166">
            <w:pPr>
              <w:jc w:val="both"/>
              <w:rPr>
                <w:sz w:val="20"/>
              </w:rPr>
            </w:pP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sz w:val="20"/>
              </w:rPr>
              <w:t>Appeal from convictions dismissed</w:t>
            </w:r>
          </w:p>
          <w:p w:rsidR="00142166" w:rsidRPr="00776E55" w:rsidRDefault="00142166" w:rsidP="00142166">
            <w:pPr>
              <w:jc w:val="both"/>
              <w:rPr>
                <w:sz w:val="20"/>
              </w:rPr>
            </w:pPr>
          </w:p>
        </w:tc>
      </w:tr>
      <w:tr w:rsidR="00142166" w:rsidRPr="00776E55" w:rsidTr="00FB0311">
        <w:tc>
          <w:tcPr>
            <w:tcW w:w="2427" w:type="pct"/>
            <w:gridSpan w:val="2"/>
          </w:tcPr>
          <w:p w:rsidR="00142166" w:rsidRPr="00776E55" w:rsidRDefault="00142166" w:rsidP="00142166">
            <w:pPr>
              <w:jc w:val="both"/>
              <w:rPr>
                <w:sz w:val="20"/>
              </w:rPr>
            </w:pPr>
            <w:r w:rsidRPr="00776E55">
              <w:rPr>
                <w:sz w:val="20"/>
              </w:rPr>
              <w:t>November 24, 2022</w:t>
            </w:r>
          </w:p>
          <w:p w:rsidR="00142166" w:rsidRPr="00776E55" w:rsidRDefault="00142166" w:rsidP="00142166">
            <w:pPr>
              <w:jc w:val="both"/>
              <w:rPr>
                <w:sz w:val="20"/>
              </w:rPr>
            </w:pPr>
            <w:r w:rsidRPr="00776E55">
              <w:rPr>
                <w:sz w:val="20"/>
              </w:rPr>
              <w:t>Supreme Court of Canada</w:t>
            </w: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sz w:val="20"/>
              </w:rPr>
              <w:t>Motion to extend time to serve and file the application for leave to appeal; and Application for leave to appeal filed</w:t>
            </w:r>
          </w:p>
        </w:tc>
      </w:tr>
    </w:tbl>
    <w:p w:rsidR="00142166" w:rsidRPr="00776E55" w:rsidRDefault="00142166" w:rsidP="00142166">
      <w:pPr>
        <w:jc w:val="both"/>
        <w:rPr>
          <w:sz w:val="20"/>
        </w:rPr>
      </w:pPr>
    </w:p>
    <w:p w:rsidR="00142166" w:rsidRPr="00776E55" w:rsidRDefault="001E30F0" w:rsidP="00142166">
      <w:pPr>
        <w:jc w:val="both"/>
        <w:rPr>
          <w:sz w:val="20"/>
        </w:rPr>
      </w:pPr>
      <w:r>
        <w:rPr>
          <w:sz w:val="20"/>
        </w:rPr>
        <w:pict>
          <v:rect id="_x0000_i1027" style="width:2in;height:1pt" o:hrpct="0" o:hralign="center" o:hrstd="t" o:hrnoshade="t" o:hr="t" fillcolor="black [3213]" stroked="f"/>
        </w:pict>
      </w:r>
    </w:p>
    <w:p w:rsidR="00142166" w:rsidRPr="00776E55" w:rsidRDefault="00142166" w:rsidP="001421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2166" w:rsidRPr="00776E55" w:rsidTr="00FB0311">
        <w:tc>
          <w:tcPr>
            <w:tcW w:w="543" w:type="pct"/>
          </w:tcPr>
          <w:p w:rsidR="00142166" w:rsidRPr="00776E55" w:rsidRDefault="00142166" w:rsidP="00142166">
            <w:pPr>
              <w:jc w:val="both"/>
              <w:rPr>
                <w:sz w:val="20"/>
                <w:lang w:val="fr-CA"/>
              </w:rPr>
            </w:pPr>
            <w:r w:rsidRPr="00776E55">
              <w:rPr>
                <w:rStyle w:val="SCCFileNumberChar"/>
                <w:sz w:val="20"/>
                <w:szCs w:val="20"/>
                <w:lang w:val="fr-CA"/>
              </w:rPr>
              <w:lastRenderedPageBreak/>
              <w:t>40463</w:t>
            </w:r>
          </w:p>
        </w:tc>
        <w:tc>
          <w:tcPr>
            <w:tcW w:w="4457" w:type="pct"/>
            <w:gridSpan w:val="3"/>
          </w:tcPr>
          <w:p w:rsidR="00142166" w:rsidRPr="00776E55" w:rsidRDefault="00142166" w:rsidP="00142166">
            <w:pPr>
              <w:pStyle w:val="SCCLsocParty"/>
              <w:jc w:val="both"/>
              <w:rPr>
                <w:b/>
                <w:sz w:val="20"/>
                <w:szCs w:val="20"/>
              </w:rPr>
            </w:pPr>
            <w:r w:rsidRPr="00776E55">
              <w:rPr>
                <w:b/>
                <w:sz w:val="20"/>
                <w:szCs w:val="20"/>
              </w:rPr>
              <w:t>Benard Asante c. Sa Majesté le Roi</w:t>
            </w:r>
          </w:p>
          <w:p w:rsidR="00142166" w:rsidRPr="00776E55" w:rsidRDefault="00142166" w:rsidP="00142166">
            <w:pPr>
              <w:jc w:val="both"/>
              <w:rPr>
                <w:sz w:val="20"/>
                <w:lang w:val="fr-CA"/>
              </w:rPr>
            </w:pPr>
            <w:r w:rsidRPr="00776E55">
              <w:rPr>
                <w:sz w:val="20"/>
                <w:lang w:val="fr-CA"/>
              </w:rPr>
              <w:t>(Ont.) (Criminelle) (Sur autorisation)</w:t>
            </w:r>
          </w:p>
        </w:tc>
      </w:tr>
      <w:tr w:rsidR="00142166" w:rsidRPr="001E30F0" w:rsidTr="00FB0311">
        <w:tc>
          <w:tcPr>
            <w:tcW w:w="5000" w:type="pct"/>
            <w:gridSpan w:val="4"/>
          </w:tcPr>
          <w:p w:rsidR="00142166" w:rsidRPr="00776E55" w:rsidRDefault="00142166" w:rsidP="00142166">
            <w:pPr>
              <w:jc w:val="both"/>
              <w:rPr>
                <w:sz w:val="20"/>
                <w:lang w:val="fr-CA"/>
              </w:rPr>
            </w:pPr>
            <w:r w:rsidRPr="00776E55">
              <w:rPr>
                <w:sz w:val="20"/>
                <w:lang w:val="fr-CA"/>
              </w:rPr>
              <w:t xml:space="preserve">Droit criminel — Preuve — Admissibilité — Déclarations de culpabilité antérieures — Photographies — L’accusé a été déclaré coupable de meurtre au premier degré et de tentative de meurtre — Le juge du procès a-t-il fait erreur en refusant d’omettre la mention de certaines parties du casier judiciaire de l’accusé ? — Le juge du procès a-t-il fait erreur en admettant en preuve une photographie d’une arme de poing qui a été récupérée à partir du téléphone cellulaire de l’accusé ? </w:t>
            </w:r>
          </w:p>
        </w:tc>
      </w:tr>
      <w:tr w:rsidR="00142166" w:rsidRPr="001E30F0" w:rsidTr="00FB0311">
        <w:tc>
          <w:tcPr>
            <w:tcW w:w="5000" w:type="pct"/>
            <w:gridSpan w:val="4"/>
          </w:tcPr>
          <w:p w:rsidR="00142166" w:rsidRPr="00776E55" w:rsidRDefault="00142166" w:rsidP="00142166">
            <w:pPr>
              <w:jc w:val="both"/>
              <w:rPr>
                <w:sz w:val="20"/>
                <w:lang w:val="fr-CA"/>
              </w:rPr>
            </w:pPr>
          </w:p>
        </w:tc>
      </w:tr>
      <w:tr w:rsidR="00142166" w:rsidRPr="001E30F0" w:rsidTr="00FB0311">
        <w:tc>
          <w:tcPr>
            <w:tcW w:w="5000" w:type="pct"/>
            <w:gridSpan w:val="4"/>
          </w:tcPr>
          <w:p w:rsidR="00142166" w:rsidRPr="00776E55" w:rsidRDefault="00142166" w:rsidP="00142166">
            <w:pPr>
              <w:jc w:val="both"/>
              <w:rPr>
                <w:sz w:val="20"/>
                <w:lang w:val="fr-CA"/>
              </w:rPr>
            </w:pPr>
            <w:r w:rsidRPr="00776E55">
              <w:rPr>
                <w:sz w:val="20"/>
                <w:lang w:val="fr-CA"/>
              </w:rPr>
              <w:t xml:space="preserve">Le demandeur, Benard Asante, a été accusé de meurtre au premier degré et de tentative de meurtre en rapport avec une fusillade. </w:t>
            </w:r>
          </w:p>
          <w:p w:rsidR="00142166" w:rsidRPr="00776E55" w:rsidRDefault="00142166" w:rsidP="00142166">
            <w:pPr>
              <w:jc w:val="both"/>
              <w:rPr>
                <w:sz w:val="20"/>
                <w:lang w:val="fr-CA"/>
              </w:rPr>
            </w:pPr>
          </w:p>
          <w:p w:rsidR="00142166" w:rsidRPr="00776E55" w:rsidRDefault="00142166" w:rsidP="00142166">
            <w:pPr>
              <w:jc w:val="both"/>
              <w:rPr>
                <w:sz w:val="20"/>
                <w:lang w:val="fr-CA"/>
              </w:rPr>
            </w:pPr>
            <w:r w:rsidRPr="00776E55">
              <w:rPr>
                <w:sz w:val="20"/>
                <w:lang w:val="fr-CA"/>
              </w:rPr>
              <w:t xml:space="preserve">Préalablement au procès, la Couronne a présenté une demande en vue d’admettre en preuve, notamment, une photographie d'une arme de poing trouvée dans le téléphone cellulaire de M. Asante. Le juge du procès a conclu que la photo était admissible en preuve. </w:t>
            </w:r>
          </w:p>
          <w:p w:rsidR="00142166" w:rsidRPr="00776E55" w:rsidRDefault="00142166" w:rsidP="00142166">
            <w:pPr>
              <w:jc w:val="both"/>
              <w:rPr>
                <w:sz w:val="20"/>
                <w:lang w:val="fr-CA"/>
              </w:rPr>
            </w:pPr>
          </w:p>
          <w:p w:rsidR="00142166" w:rsidRPr="00776E55" w:rsidRDefault="00142166" w:rsidP="00142166">
            <w:pPr>
              <w:jc w:val="both"/>
              <w:rPr>
                <w:sz w:val="20"/>
                <w:lang w:val="fr-CA"/>
              </w:rPr>
            </w:pPr>
            <w:r w:rsidRPr="00776E55">
              <w:rPr>
                <w:sz w:val="20"/>
                <w:lang w:val="fr-CA"/>
              </w:rPr>
              <w:t xml:space="preserve">Avant de témoigner pour sa défense, M. Asante a présenté une demande de type </w:t>
            </w:r>
            <w:r w:rsidRPr="00776E55">
              <w:rPr>
                <w:i/>
                <w:sz w:val="20"/>
                <w:lang w:val="fr-CA"/>
              </w:rPr>
              <w:t xml:space="preserve">Corbett </w:t>
            </w:r>
            <w:r w:rsidRPr="00776E55">
              <w:rPr>
                <w:sz w:val="20"/>
                <w:lang w:val="fr-CA"/>
              </w:rPr>
              <w:t xml:space="preserve">pour qu’il ne soit pas fait mention de certaines parties de son casier judiciaire. Le juge du procès a accueilli la demande en partie, mais a refusé d’omettre la mention des chefs d’accusation suivants : possession d’une arme à feu tout en sachant que sa possession n’était pas autorisée, et possession d’une arme à feu et de munitions malgré une ordonnance d’interdiction. </w:t>
            </w:r>
          </w:p>
          <w:p w:rsidR="00142166" w:rsidRPr="00776E55" w:rsidRDefault="00142166" w:rsidP="00142166">
            <w:pPr>
              <w:jc w:val="both"/>
              <w:rPr>
                <w:sz w:val="20"/>
                <w:lang w:val="fr-CA"/>
              </w:rPr>
            </w:pPr>
          </w:p>
          <w:p w:rsidR="00142166" w:rsidRPr="00776E55" w:rsidRDefault="00142166" w:rsidP="00142166">
            <w:pPr>
              <w:jc w:val="both"/>
              <w:rPr>
                <w:sz w:val="20"/>
                <w:lang w:val="fr-CA"/>
              </w:rPr>
            </w:pPr>
            <w:r w:rsidRPr="00776E55">
              <w:rPr>
                <w:sz w:val="20"/>
                <w:lang w:val="fr-CA"/>
              </w:rPr>
              <w:t>Monsieur Asante a été déclaré coupable de meurtre au premier degré et de tentative de meurtre. La Cour d’appel a rejeté l’appel interjeté par M. Asante contre les déclarations de culpabilité prononcées à son égard.</w:t>
            </w:r>
          </w:p>
          <w:p w:rsidR="00142166" w:rsidRPr="00776E55" w:rsidRDefault="00142166" w:rsidP="00142166">
            <w:pPr>
              <w:jc w:val="both"/>
              <w:rPr>
                <w:sz w:val="20"/>
                <w:lang w:val="fr-CA"/>
              </w:rPr>
            </w:pPr>
          </w:p>
        </w:tc>
      </w:tr>
      <w:tr w:rsidR="00142166" w:rsidRPr="001E30F0" w:rsidTr="00FB0311">
        <w:tc>
          <w:tcPr>
            <w:tcW w:w="2427" w:type="pct"/>
            <w:gridSpan w:val="2"/>
          </w:tcPr>
          <w:p w:rsidR="00142166" w:rsidRPr="00776E55" w:rsidRDefault="00142166" w:rsidP="00142166">
            <w:pPr>
              <w:jc w:val="both"/>
              <w:rPr>
                <w:sz w:val="20"/>
                <w:lang w:val="fr-CA"/>
              </w:rPr>
            </w:pPr>
            <w:r w:rsidRPr="00776E55">
              <w:rPr>
                <w:sz w:val="20"/>
                <w:lang w:val="fr-CA"/>
              </w:rPr>
              <w:t>20 juin 2017</w:t>
            </w:r>
          </w:p>
          <w:p w:rsidR="00142166" w:rsidRPr="00776E55" w:rsidRDefault="00142166" w:rsidP="00142166">
            <w:pPr>
              <w:jc w:val="both"/>
              <w:rPr>
                <w:sz w:val="20"/>
                <w:lang w:val="fr-CA"/>
              </w:rPr>
            </w:pPr>
            <w:r w:rsidRPr="00776E55">
              <w:rPr>
                <w:sz w:val="20"/>
                <w:lang w:val="fr-CA"/>
              </w:rPr>
              <w:t>Cour supérieure de justice de l’Ontario</w:t>
            </w:r>
          </w:p>
          <w:p w:rsidR="00142166" w:rsidRPr="00776E55" w:rsidRDefault="00142166" w:rsidP="00142166">
            <w:pPr>
              <w:jc w:val="both"/>
              <w:rPr>
                <w:sz w:val="20"/>
                <w:lang w:val="fr-CA"/>
              </w:rPr>
            </w:pPr>
            <w:r w:rsidRPr="00776E55">
              <w:rPr>
                <w:sz w:val="20"/>
                <w:lang w:val="fr-CA"/>
              </w:rPr>
              <w:t>(juge O’Marra)</w:t>
            </w:r>
          </w:p>
          <w:p w:rsidR="00142166" w:rsidRPr="00776E55" w:rsidRDefault="001E30F0" w:rsidP="00142166">
            <w:pPr>
              <w:jc w:val="both"/>
              <w:rPr>
                <w:sz w:val="20"/>
                <w:lang w:val="fr-CA"/>
              </w:rPr>
            </w:pPr>
            <w:hyperlink r:id="rId28" w:history="1">
              <w:r w:rsidR="00142166" w:rsidRPr="00776E55">
                <w:rPr>
                  <w:rStyle w:val="Hyperlink"/>
                  <w:sz w:val="20"/>
                  <w:lang w:val="fr-CA"/>
                </w:rPr>
                <w:t>2017 ONSC 4741</w:t>
              </w:r>
            </w:hyperlink>
          </w:p>
          <w:p w:rsidR="00142166" w:rsidRPr="00776E55" w:rsidRDefault="00142166" w:rsidP="00142166">
            <w:pPr>
              <w:jc w:val="both"/>
              <w:rPr>
                <w:sz w:val="20"/>
                <w:lang w:val="fr-CA"/>
              </w:rPr>
            </w:pP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 xml:space="preserve">La demande de type </w:t>
            </w:r>
            <w:r w:rsidRPr="00776E55">
              <w:rPr>
                <w:i/>
                <w:sz w:val="20"/>
                <w:lang w:val="fr-CA"/>
              </w:rPr>
              <w:t xml:space="preserve">Corbett </w:t>
            </w:r>
            <w:r w:rsidRPr="00776E55">
              <w:rPr>
                <w:sz w:val="20"/>
                <w:lang w:val="fr-CA"/>
              </w:rPr>
              <w:t>pour qu’il ne soit pas fait mention de certaines parties du casier judiciaire de l’accusé est accueillie en partie.</w:t>
            </w:r>
          </w:p>
        </w:tc>
      </w:tr>
      <w:tr w:rsidR="00142166" w:rsidRPr="001E30F0" w:rsidTr="00FB0311">
        <w:tc>
          <w:tcPr>
            <w:tcW w:w="2427" w:type="pct"/>
            <w:gridSpan w:val="2"/>
          </w:tcPr>
          <w:p w:rsidR="00142166" w:rsidRPr="00776E55" w:rsidRDefault="00142166" w:rsidP="00142166">
            <w:pPr>
              <w:jc w:val="both"/>
              <w:rPr>
                <w:sz w:val="20"/>
                <w:lang w:val="fr-CA"/>
              </w:rPr>
            </w:pPr>
            <w:r w:rsidRPr="00776E55">
              <w:rPr>
                <w:sz w:val="20"/>
                <w:lang w:val="fr-CA"/>
              </w:rPr>
              <w:t>30 juin 2017</w:t>
            </w:r>
          </w:p>
          <w:p w:rsidR="00142166" w:rsidRPr="00776E55" w:rsidRDefault="00142166" w:rsidP="00142166">
            <w:pPr>
              <w:jc w:val="both"/>
              <w:rPr>
                <w:sz w:val="20"/>
                <w:lang w:val="fr-CA"/>
              </w:rPr>
            </w:pPr>
            <w:r w:rsidRPr="00776E55">
              <w:rPr>
                <w:sz w:val="20"/>
                <w:lang w:val="fr-CA"/>
              </w:rPr>
              <w:t xml:space="preserve">Cour supérieure de justice de l’Ontario </w:t>
            </w:r>
          </w:p>
          <w:p w:rsidR="00142166" w:rsidRPr="00776E55" w:rsidRDefault="00142166" w:rsidP="00142166">
            <w:pPr>
              <w:jc w:val="both"/>
              <w:rPr>
                <w:sz w:val="20"/>
                <w:lang w:val="fr-CA"/>
              </w:rPr>
            </w:pPr>
            <w:r w:rsidRPr="00776E55">
              <w:rPr>
                <w:sz w:val="20"/>
                <w:lang w:val="fr-CA"/>
              </w:rPr>
              <w:t>(juge O’Marra)</w:t>
            </w:r>
          </w:p>
          <w:p w:rsidR="00142166" w:rsidRPr="00776E55" w:rsidRDefault="00142166" w:rsidP="00142166">
            <w:pPr>
              <w:jc w:val="both"/>
              <w:rPr>
                <w:sz w:val="20"/>
                <w:lang w:val="fr-CA"/>
              </w:rPr>
            </w:pPr>
            <w:r w:rsidRPr="00776E55">
              <w:rPr>
                <w:sz w:val="20"/>
                <w:lang w:val="fr-CA"/>
              </w:rPr>
              <w:t>16-50000081</w:t>
            </w:r>
          </w:p>
          <w:p w:rsidR="00142166" w:rsidRPr="00776E55" w:rsidRDefault="00142166" w:rsidP="00142166">
            <w:pPr>
              <w:jc w:val="both"/>
              <w:rPr>
                <w:sz w:val="20"/>
                <w:lang w:val="fr-CA"/>
              </w:rPr>
            </w:pP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Le verdict est prononcé par le jury : l’accusé est déclaré coupable de meurtre au premier degré et de tentative de meurtre.</w:t>
            </w:r>
          </w:p>
        </w:tc>
      </w:tr>
      <w:tr w:rsidR="00142166" w:rsidRPr="001E30F0" w:rsidTr="00FB0311">
        <w:tc>
          <w:tcPr>
            <w:tcW w:w="2427" w:type="pct"/>
            <w:gridSpan w:val="2"/>
          </w:tcPr>
          <w:p w:rsidR="00142166" w:rsidRPr="00776E55" w:rsidRDefault="00142166" w:rsidP="00142166">
            <w:pPr>
              <w:jc w:val="both"/>
              <w:rPr>
                <w:sz w:val="20"/>
                <w:lang w:val="fr-CA"/>
              </w:rPr>
            </w:pPr>
            <w:r w:rsidRPr="00776E55">
              <w:rPr>
                <w:sz w:val="20"/>
                <w:lang w:val="fr-CA"/>
              </w:rPr>
              <w:t>19 septembre 2017</w:t>
            </w:r>
          </w:p>
          <w:p w:rsidR="00142166" w:rsidRPr="00776E55" w:rsidRDefault="00142166" w:rsidP="00142166">
            <w:pPr>
              <w:jc w:val="both"/>
              <w:rPr>
                <w:sz w:val="20"/>
                <w:lang w:val="fr-CA"/>
              </w:rPr>
            </w:pPr>
            <w:r w:rsidRPr="00776E55">
              <w:rPr>
                <w:sz w:val="20"/>
                <w:lang w:val="fr-CA"/>
              </w:rPr>
              <w:t xml:space="preserve">Cour supérieure de justice de l’Ontario </w:t>
            </w:r>
          </w:p>
          <w:p w:rsidR="00142166" w:rsidRPr="00776E55" w:rsidRDefault="00142166" w:rsidP="00142166">
            <w:pPr>
              <w:jc w:val="both"/>
              <w:rPr>
                <w:sz w:val="20"/>
                <w:lang w:val="fr-CA"/>
              </w:rPr>
            </w:pPr>
            <w:r w:rsidRPr="00776E55">
              <w:rPr>
                <w:sz w:val="20"/>
                <w:lang w:val="fr-CA"/>
              </w:rPr>
              <w:t>(juge O’Marra)</w:t>
            </w:r>
          </w:p>
          <w:p w:rsidR="00142166" w:rsidRPr="00776E55" w:rsidRDefault="001E30F0" w:rsidP="00142166">
            <w:pPr>
              <w:jc w:val="both"/>
              <w:rPr>
                <w:rStyle w:val="Hyperlink"/>
                <w:color w:val="auto"/>
                <w:sz w:val="20"/>
                <w:u w:val="none"/>
                <w:lang w:val="fr-CA"/>
              </w:rPr>
            </w:pPr>
            <w:hyperlink r:id="rId29" w:history="1">
              <w:r w:rsidR="00142166" w:rsidRPr="00776E55">
                <w:rPr>
                  <w:rStyle w:val="Hyperlink"/>
                  <w:sz w:val="20"/>
                  <w:lang w:val="fr-CA"/>
                </w:rPr>
                <w:t>2017 ONSC 5471</w:t>
              </w:r>
            </w:hyperlink>
          </w:p>
          <w:p w:rsidR="00142166" w:rsidRPr="00776E55" w:rsidRDefault="00142166" w:rsidP="00142166">
            <w:pPr>
              <w:jc w:val="both"/>
              <w:rPr>
                <w:sz w:val="20"/>
                <w:lang w:val="fr-CA"/>
              </w:rPr>
            </w:pP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 xml:space="preserve">Les motifs écrits sont rendus quant à une décision préliminaire autorisant l’admission de certains éléments de preuve. </w:t>
            </w:r>
          </w:p>
        </w:tc>
      </w:tr>
      <w:tr w:rsidR="00142166" w:rsidRPr="001E30F0" w:rsidTr="00FB0311">
        <w:tc>
          <w:tcPr>
            <w:tcW w:w="2427" w:type="pct"/>
            <w:gridSpan w:val="2"/>
          </w:tcPr>
          <w:p w:rsidR="00142166" w:rsidRPr="00776E55" w:rsidRDefault="00142166" w:rsidP="00142166">
            <w:pPr>
              <w:jc w:val="both"/>
              <w:rPr>
                <w:sz w:val="20"/>
                <w:lang w:val="fr-CA"/>
              </w:rPr>
            </w:pPr>
            <w:r w:rsidRPr="00776E55">
              <w:rPr>
                <w:sz w:val="20"/>
                <w:lang w:val="fr-CA"/>
              </w:rPr>
              <w:t>22 septembre 2022</w:t>
            </w:r>
          </w:p>
          <w:p w:rsidR="00142166" w:rsidRPr="00776E55" w:rsidRDefault="00142166" w:rsidP="00142166">
            <w:pPr>
              <w:jc w:val="both"/>
              <w:rPr>
                <w:sz w:val="20"/>
                <w:lang w:val="fr-CA"/>
              </w:rPr>
            </w:pPr>
            <w:r w:rsidRPr="00776E55">
              <w:rPr>
                <w:sz w:val="20"/>
                <w:lang w:val="fr-CA"/>
              </w:rPr>
              <w:t>Cour d’appel de l’Ontario</w:t>
            </w:r>
          </w:p>
          <w:p w:rsidR="00142166" w:rsidRPr="00776E55" w:rsidRDefault="00142166" w:rsidP="00142166">
            <w:pPr>
              <w:jc w:val="both"/>
              <w:rPr>
                <w:sz w:val="20"/>
                <w:lang w:val="fr-CA"/>
              </w:rPr>
            </w:pPr>
            <w:r w:rsidRPr="00776E55">
              <w:rPr>
                <w:sz w:val="20"/>
                <w:lang w:val="fr-CA"/>
              </w:rPr>
              <w:t>(juges Gillese, Huscroft et Sossin)</w:t>
            </w:r>
          </w:p>
          <w:p w:rsidR="00142166" w:rsidRPr="00776E55" w:rsidRDefault="001E30F0" w:rsidP="00142166">
            <w:pPr>
              <w:jc w:val="both"/>
              <w:rPr>
                <w:sz w:val="20"/>
                <w:lang w:val="fr-CA"/>
              </w:rPr>
            </w:pPr>
            <w:hyperlink r:id="rId30" w:history="1">
              <w:r w:rsidR="00142166" w:rsidRPr="00776E55">
                <w:rPr>
                  <w:rStyle w:val="Hyperlink"/>
                  <w:sz w:val="20"/>
                  <w:lang w:val="fr-CA"/>
                </w:rPr>
                <w:t>2022 ONCA 657</w:t>
              </w:r>
            </w:hyperlink>
            <w:r w:rsidR="00142166" w:rsidRPr="00776E55">
              <w:rPr>
                <w:sz w:val="20"/>
                <w:lang w:val="fr-CA"/>
              </w:rPr>
              <w:t>; C66379</w:t>
            </w:r>
          </w:p>
          <w:p w:rsidR="00142166" w:rsidRPr="00776E55" w:rsidRDefault="00142166" w:rsidP="00142166">
            <w:pPr>
              <w:jc w:val="both"/>
              <w:rPr>
                <w:sz w:val="20"/>
                <w:lang w:val="fr-CA"/>
              </w:rPr>
            </w:pP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L’appel des déclarations de culpabilité est rejeté.</w:t>
            </w:r>
          </w:p>
          <w:p w:rsidR="00142166" w:rsidRPr="00776E55" w:rsidRDefault="00142166" w:rsidP="00142166">
            <w:pPr>
              <w:jc w:val="both"/>
              <w:rPr>
                <w:sz w:val="20"/>
                <w:lang w:val="fr-CA"/>
              </w:rPr>
            </w:pPr>
          </w:p>
        </w:tc>
      </w:tr>
      <w:tr w:rsidR="00142166" w:rsidRPr="001E30F0" w:rsidTr="00FB0311">
        <w:tc>
          <w:tcPr>
            <w:tcW w:w="2427" w:type="pct"/>
            <w:gridSpan w:val="2"/>
          </w:tcPr>
          <w:p w:rsidR="00142166" w:rsidRPr="00776E55" w:rsidRDefault="00142166" w:rsidP="00142166">
            <w:pPr>
              <w:jc w:val="both"/>
              <w:rPr>
                <w:sz w:val="20"/>
                <w:lang w:val="fr-CA"/>
              </w:rPr>
            </w:pPr>
            <w:r w:rsidRPr="00776E55">
              <w:rPr>
                <w:sz w:val="20"/>
                <w:lang w:val="fr-CA"/>
              </w:rPr>
              <w:t>24 novembre 2022</w:t>
            </w:r>
          </w:p>
          <w:p w:rsidR="00142166" w:rsidRPr="00776E55" w:rsidRDefault="00142166" w:rsidP="00142166">
            <w:pPr>
              <w:jc w:val="both"/>
              <w:rPr>
                <w:sz w:val="20"/>
                <w:lang w:val="fr-CA"/>
              </w:rPr>
            </w:pPr>
            <w:r w:rsidRPr="00776E55">
              <w:rPr>
                <w:sz w:val="20"/>
                <w:lang w:val="fr-CA"/>
              </w:rPr>
              <w:t>Cour suprême du Canada</w:t>
            </w: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La requête en prorogation du délai de signification et de dépôt de la demande d’autorisation d’appel et la demande d’autorisation d’appel sont présentées.</w:t>
            </w:r>
          </w:p>
        </w:tc>
      </w:tr>
    </w:tbl>
    <w:p w:rsidR="00142166" w:rsidRPr="00776E55" w:rsidRDefault="00142166" w:rsidP="00142166">
      <w:pPr>
        <w:jc w:val="both"/>
        <w:rPr>
          <w:sz w:val="20"/>
          <w:lang w:val="fr-CA"/>
        </w:rPr>
      </w:pPr>
    </w:p>
    <w:p w:rsidR="00142166" w:rsidRPr="00776E55" w:rsidRDefault="001E30F0" w:rsidP="00142166">
      <w:pPr>
        <w:jc w:val="both"/>
        <w:rPr>
          <w:sz w:val="20"/>
          <w:lang w:val="fr-CA"/>
        </w:rPr>
      </w:pPr>
      <w:r>
        <w:rPr>
          <w:sz w:val="20"/>
        </w:rPr>
        <w:pict>
          <v:rect id="_x0000_i1028" style="width:2in;height:1pt" o:hrpct="0" o:hralign="center" o:hrstd="t" o:hrnoshade="t" o:hr="t" fillcolor="black [3213]" stroked="f"/>
        </w:pict>
      </w:r>
    </w:p>
    <w:p w:rsidR="00142166" w:rsidRPr="00776E55" w:rsidRDefault="00142166" w:rsidP="001421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2166" w:rsidRPr="00776E55" w:rsidTr="00FB0311">
        <w:tc>
          <w:tcPr>
            <w:tcW w:w="543" w:type="pct"/>
          </w:tcPr>
          <w:p w:rsidR="00142166" w:rsidRPr="00776E55" w:rsidRDefault="00142166" w:rsidP="00142166">
            <w:pPr>
              <w:jc w:val="both"/>
              <w:rPr>
                <w:sz w:val="20"/>
              </w:rPr>
            </w:pPr>
            <w:r w:rsidRPr="00776E55">
              <w:rPr>
                <w:rStyle w:val="SCCFileNumberChar"/>
                <w:sz w:val="20"/>
                <w:szCs w:val="20"/>
              </w:rPr>
              <w:t>40494</w:t>
            </w:r>
          </w:p>
        </w:tc>
        <w:tc>
          <w:tcPr>
            <w:tcW w:w="4457" w:type="pct"/>
            <w:gridSpan w:val="3"/>
          </w:tcPr>
          <w:p w:rsidR="00142166" w:rsidRPr="00776E55" w:rsidRDefault="00142166" w:rsidP="00142166">
            <w:pPr>
              <w:pStyle w:val="SCCLsocParty"/>
              <w:jc w:val="both"/>
              <w:rPr>
                <w:b/>
                <w:sz w:val="20"/>
                <w:szCs w:val="20"/>
                <w:lang w:val="en-US"/>
              </w:rPr>
            </w:pPr>
            <w:r w:rsidRPr="00776E55">
              <w:rPr>
                <w:b/>
                <w:sz w:val="20"/>
                <w:szCs w:val="20"/>
                <w:lang w:val="en-US"/>
              </w:rPr>
              <w:t>Brian Glen Kerr v. His Majesty the King</w:t>
            </w:r>
          </w:p>
          <w:p w:rsidR="00142166" w:rsidRPr="00776E55" w:rsidRDefault="00142166" w:rsidP="00142166">
            <w:pPr>
              <w:jc w:val="both"/>
              <w:rPr>
                <w:sz w:val="20"/>
              </w:rPr>
            </w:pPr>
            <w:r w:rsidRPr="00776E55">
              <w:rPr>
                <w:sz w:val="20"/>
              </w:rPr>
              <w:t>(Ont.) (Criminal) (By Leave)</w:t>
            </w:r>
          </w:p>
        </w:tc>
      </w:tr>
      <w:tr w:rsidR="00142166" w:rsidRPr="00776E55" w:rsidTr="00FB0311">
        <w:tc>
          <w:tcPr>
            <w:tcW w:w="5000" w:type="pct"/>
            <w:gridSpan w:val="4"/>
          </w:tcPr>
          <w:p w:rsidR="00142166" w:rsidRPr="00776E55" w:rsidRDefault="00142166" w:rsidP="00142166">
            <w:pPr>
              <w:jc w:val="both"/>
              <w:rPr>
                <w:sz w:val="20"/>
              </w:rPr>
            </w:pPr>
            <w:r w:rsidRPr="00776E55">
              <w:rPr>
                <w:sz w:val="20"/>
              </w:rPr>
              <w:t xml:space="preserve">Criminal law — </w:t>
            </w:r>
            <w:r w:rsidRPr="00776E55">
              <w:rPr>
                <w:i/>
                <w:sz w:val="20"/>
              </w:rPr>
              <w:t>Charter of Rights and Freedoms</w:t>
            </w:r>
            <w:r w:rsidRPr="00776E55">
              <w:rPr>
                <w:sz w:val="20"/>
              </w:rPr>
              <w:t xml:space="preserve"> — Search and seizure — Fundamental justice — Right to fair hearing — Search warrant — Whether judicial residual discretion to set aside warrant should be determined by an abuse of process application, not as part of a s. 8 </w:t>
            </w:r>
            <w:r w:rsidRPr="00776E55">
              <w:rPr>
                <w:i/>
                <w:sz w:val="20"/>
              </w:rPr>
              <w:t>Charter</w:t>
            </w:r>
            <w:r w:rsidRPr="00776E55">
              <w:rPr>
                <w:sz w:val="20"/>
              </w:rPr>
              <w:t xml:space="preserve"> application — Whether standard authorising setting aside a warrant should be aligned with test for abuse of process?</w:t>
            </w:r>
          </w:p>
        </w:tc>
      </w:tr>
      <w:tr w:rsidR="00142166" w:rsidRPr="00776E55" w:rsidTr="00FB0311">
        <w:tc>
          <w:tcPr>
            <w:tcW w:w="5000" w:type="pct"/>
            <w:gridSpan w:val="4"/>
          </w:tcPr>
          <w:p w:rsidR="00142166" w:rsidRPr="00776E55" w:rsidRDefault="00142166" w:rsidP="00142166">
            <w:pPr>
              <w:jc w:val="both"/>
              <w:rPr>
                <w:sz w:val="20"/>
              </w:rPr>
            </w:pPr>
          </w:p>
          <w:p w:rsidR="00142166" w:rsidRPr="00776E55" w:rsidRDefault="00142166" w:rsidP="00142166">
            <w:pPr>
              <w:widowControl w:val="0"/>
              <w:jc w:val="both"/>
              <w:rPr>
                <w:sz w:val="20"/>
              </w:rPr>
            </w:pPr>
            <w:r w:rsidRPr="00776E55">
              <w:rPr>
                <w:color w:val="000000"/>
                <w:sz w:val="20"/>
              </w:rPr>
              <w:t>An informant with a considerable criminal history alleged Mr. Kerr was seeking help to murder his ex-girlfriend. Police used the informant as an agent to arrange a meeting between Mr. Kerr and an undercover officer and obtained a warrant to intercept their communications. The affidavit filed in support of the Information to Obtain the warrant did not disclose that consideration was given to the informant. Mr.</w:t>
            </w:r>
            <w:r w:rsidRPr="00776E55">
              <w:rPr>
                <w:sz w:val="20"/>
              </w:rPr>
              <w:t> </w:t>
            </w:r>
            <w:r w:rsidRPr="00776E55">
              <w:rPr>
                <w:color w:val="000000"/>
                <w:sz w:val="20"/>
              </w:rPr>
              <w:t>Kerr called the undercover officer and the call was intercepted. His utterances were interpreted by the informant as coded inculpatory statements.</w:t>
            </w:r>
            <w:r w:rsidRPr="00776E55">
              <w:rPr>
                <w:rFonts w:ascii="Arial" w:hAnsi="Arial" w:cs="Arial"/>
                <w:color w:val="000000"/>
                <w:sz w:val="20"/>
              </w:rPr>
              <w:t xml:space="preserve"> </w:t>
            </w:r>
            <w:r w:rsidRPr="00776E55">
              <w:rPr>
                <w:color w:val="000000"/>
                <w:sz w:val="20"/>
              </w:rPr>
              <w:t xml:space="preserve">Mr. Kerr applied to have the evidence excluded from trial for breaches of ss. 7 and 8 of the </w:t>
            </w:r>
            <w:r w:rsidRPr="00776E55">
              <w:rPr>
                <w:i/>
                <w:color w:val="000000"/>
                <w:sz w:val="20"/>
              </w:rPr>
              <w:t>Charter</w:t>
            </w:r>
            <w:r w:rsidRPr="00776E55">
              <w:rPr>
                <w:color w:val="000000"/>
                <w:sz w:val="20"/>
              </w:rPr>
              <w:t xml:space="preserve">. </w:t>
            </w:r>
            <w:r w:rsidRPr="00776E55">
              <w:rPr>
                <w:sz w:val="20"/>
              </w:rPr>
              <w:t xml:space="preserve">The trial judge admitted the evidence and convicted Mr. Kerr of </w:t>
            </w:r>
            <w:r w:rsidRPr="00776E55">
              <w:rPr>
                <w:color w:val="000000"/>
                <w:sz w:val="20"/>
              </w:rPr>
              <w:t>attempting to obstruct justice and on two counts of counselling to commit murder</w:t>
            </w:r>
            <w:r w:rsidRPr="00776E55">
              <w:rPr>
                <w:sz w:val="20"/>
              </w:rPr>
              <w:t>. The Court of Appeal dismissed an appeal from the convictions.</w:t>
            </w:r>
          </w:p>
        </w:tc>
      </w:tr>
      <w:tr w:rsidR="00142166" w:rsidRPr="00776E55" w:rsidTr="00FB0311">
        <w:tc>
          <w:tcPr>
            <w:tcW w:w="5000" w:type="pct"/>
            <w:gridSpan w:val="4"/>
          </w:tcPr>
          <w:p w:rsidR="00142166" w:rsidRPr="00776E55" w:rsidRDefault="00142166" w:rsidP="00142166">
            <w:pPr>
              <w:widowControl w:val="0"/>
              <w:jc w:val="both"/>
              <w:rPr>
                <w:sz w:val="20"/>
              </w:rPr>
            </w:pPr>
          </w:p>
        </w:tc>
      </w:tr>
      <w:tr w:rsidR="00142166" w:rsidRPr="00776E55" w:rsidTr="00FB0311">
        <w:tc>
          <w:tcPr>
            <w:tcW w:w="2427" w:type="pct"/>
            <w:gridSpan w:val="2"/>
          </w:tcPr>
          <w:p w:rsidR="00142166" w:rsidRPr="00776E55" w:rsidRDefault="00142166" w:rsidP="00142166">
            <w:pPr>
              <w:jc w:val="both"/>
              <w:rPr>
                <w:sz w:val="20"/>
              </w:rPr>
            </w:pPr>
            <w:r w:rsidRPr="00776E55">
              <w:rPr>
                <w:sz w:val="20"/>
              </w:rPr>
              <w:t>December 8, 2017</w:t>
            </w:r>
          </w:p>
          <w:p w:rsidR="00142166" w:rsidRPr="00776E55" w:rsidRDefault="00142166" w:rsidP="00142166">
            <w:pPr>
              <w:jc w:val="both"/>
              <w:rPr>
                <w:sz w:val="20"/>
              </w:rPr>
            </w:pPr>
            <w:r w:rsidRPr="00776E55">
              <w:rPr>
                <w:sz w:val="20"/>
              </w:rPr>
              <w:t>Ontario Superior Court of Justice</w:t>
            </w:r>
          </w:p>
          <w:p w:rsidR="00142166" w:rsidRPr="00776E55" w:rsidRDefault="00142166" w:rsidP="00142166">
            <w:pPr>
              <w:jc w:val="both"/>
              <w:rPr>
                <w:sz w:val="20"/>
              </w:rPr>
            </w:pPr>
            <w:r w:rsidRPr="00776E55">
              <w:rPr>
                <w:sz w:val="20"/>
              </w:rPr>
              <w:t>(Dunphy J.)</w:t>
            </w:r>
          </w:p>
          <w:p w:rsidR="00142166" w:rsidRPr="00776E55" w:rsidRDefault="001E30F0" w:rsidP="00142166">
            <w:pPr>
              <w:jc w:val="both"/>
              <w:rPr>
                <w:sz w:val="20"/>
              </w:rPr>
            </w:pPr>
            <w:hyperlink r:id="rId31" w:history="1">
              <w:r w:rsidR="00142166" w:rsidRPr="00776E55">
                <w:rPr>
                  <w:rStyle w:val="Hyperlink"/>
                  <w:sz w:val="20"/>
                </w:rPr>
                <w:t>2017 ONSC 7252</w:t>
              </w:r>
            </w:hyperlink>
          </w:p>
          <w:p w:rsidR="00142166" w:rsidRPr="00776E55" w:rsidRDefault="00142166" w:rsidP="00142166">
            <w:pPr>
              <w:jc w:val="both"/>
              <w:rPr>
                <w:sz w:val="20"/>
              </w:rPr>
            </w:pP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sz w:val="20"/>
              </w:rPr>
              <w:t>Application to exclude evidence dismissed</w:t>
            </w:r>
          </w:p>
        </w:tc>
      </w:tr>
      <w:tr w:rsidR="00142166" w:rsidRPr="00776E55" w:rsidTr="00FB0311">
        <w:tc>
          <w:tcPr>
            <w:tcW w:w="2427" w:type="pct"/>
            <w:gridSpan w:val="2"/>
          </w:tcPr>
          <w:p w:rsidR="00142166" w:rsidRPr="00776E55" w:rsidRDefault="00142166" w:rsidP="00142166">
            <w:pPr>
              <w:jc w:val="both"/>
              <w:rPr>
                <w:sz w:val="20"/>
              </w:rPr>
            </w:pPr>
            <w:r w:rsidRPr="00776E55">
              <w:rPr>
                <w:sz w:val="20"/>
              </w:rPr>
              <w:t>December 8, 2017</w:t>
            </w:r>
          </w:p>
          <w:p w:rsidR="00142166" w:rsidRPr="00776E55" w:rsidRDefault="00142166" w:rsidP="00142166">
            <w:pPr>
              <w:jc w:val="both"/>
              <w:rPr>
                <w:sz w:val="20"/>
              </w:rPr>
            </w:pPr>
            <w:r w:rsidRPr="00776E55">
              <w:rPr>
                <w:sz w:val="20"/>
              </w:rPr>
              <w:t>Ontario Superior Court of Justice</w:t>
            </w:r>
          </w:p>
          <w:p w:rsidR="00142166" w:rsidRPr="00776E55" w:rsidRDefault="00142166" w:rsidP="00142166">
            <w:pPr>
              <w:jc w:val="both"/>
              <w:rPr>
                <w:sz w:val="20"/>
              </w:rPr>
            </w:pPr>
            <w:r w:rsidRPr="00776E55">
              <w:rPr>
                <w:sz w:val="20"/>
              </w:rPr>
              <w:t>(Dunphy J.)</w:t>
            </w:r>
          </w:p>
          <w:p w:rsidR="00142166" w:rsidRPr="00776E55" w:rsidRDefault="001E30F0" w:rsidP="00142166">
            <w:pPr>
              <w:jc w:val="both"/>
              <w:rPr>
                <w:sz w:val="20"/>
              </w:rPr>
            </w:pPr>
            <w:hyperlink r:id="rId32" w:history="1">
              <w:r w:rsidR="00142166" w:rsidRPr="00776E55">
                <w:rPr>
                  <w:rStyle w:val="Hyperlink"/>
                  <w:sz w:val="20"/>
                </w:rPr>
                <w:t>2017 ONSC 7305</w:t>
              </w:r>
            </w:hyperlink>
          </w:p>
          <w:p w:rsidR="00142166" w:rsidRPr="00776E55" w:rsidRDefault="00142166" w:rsidP="00142166">
            <w:pPr>
              <w:jc w:val="both"/>
              <w:rPr>
                <w:sz w:val="20"/>
              </w:rPr>
            </w:pP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sz w:val="20"/>
              </w:rPr>
              <w:t>Convictions for two counts of counselling to commit murder and one count of attempting to obstruct justice</w:t>
            </w:r>
          </w:p>
        </w:tc>
      </w:tr>
      <w:tr w:rsidR="00142166" w:rsidRPr="00776E55" w:rsidTr="00FB0311">
        <w:tc>
          <w:tcPr>
            <w:tcW w:w="2427" w:type="pct"/>
            <w:gridSpan w:val="2"/>
          </w:tcPr>
          <w:p w:rsidR="00142166" w:rsidRPr="00776E55" w:rsidRDefault="00142166" w:rsidP="00142166">
            <w:pPr>
              <w:jc w:val="both"/>
              <w:rPr>
                <w:sz w:val="20"/>
              </w:rPr>
            </w:pPr>
            <w:r w:rsidRPr="00776E55">
              <w:rPr>
                <w:sz w:val="20"/>
              </w:rPr>
              <w:t>July 15, 2022</w:t>
            </w:r>
          </w:p>
          <w:p w:rsidR="00142166" w:rsidRPr="00776E55" w:rsidRDefault="00142166" w:rsidP="00142166">
            <w:pPr>
              <w:jc w:val="both"/>
              <w:rPr>
                <w:sz w:val="20"/>
              </w:rPr>
            </w:pPr>
            <w:r w:rsidRPr="00776E55">
              <w:rPr>
                <w:sz w:val="20"/>
              </w:rPr>
              <w:t>Court of Appeal for Ontario</w:t>
            </w:r>
          </w:p>
          <w:p w:rsidR="00142166" w:rsidRPr="00776E55" w:rsidRDefault="00142166" w:rsidP="00142166">
            <w:pPr>
              <w:jc w:val="both"/>
              <w:rPr>
                <w:sz w:val="20"/>
              </w:rPr>
            </w:pPr>
            <w:r w:rsidRPr="00776E55">
              <w:rPr>
                <w:sz w:val="20"/>
              </w:rPr>
              <w:t>(Trotter, Harvison Young, Thorburn JJ.A.)</w:t>
            </w:r>
          </w:p>
          <w:p w:rsidR="00142166" w:rsidRPr="00776E55" w:rsidRDefault="001E30F0" w:rsidP="00142166">
            <w:pPr>
              <w:jc w:val="both"/>
              <w:rPr>
                <w:sz w:val="20"/>
              </w:rPr>
            </w:pPr>
            <w:hyperlink r:id="rId33" w:history="1">
              <w:r w:rsidR="00142166" w:rsidRPr="00776E55">
                <w:rPr>
                  <w:rStyle w:val="Hyperlink"/>
                  <w:sz w:val="20"/>
                </w:rPr>
                <w:t>2022 ONCA 530</w:t>
              </w:r>
            </w:hyperlink>
            <w:r w:rsidR="00142166" w:rsidRPr="00776E55">
              <w:rPr>
                <w:sz w:val="20"/>
              </w:rPr>
              <w:t>; C68541</w:t>
            </w:r>
          </w:p>
          <w:p w:rsidR="00142166" w:rsidRPr="00776E55" w:rsidRDefault="00142166" w:rsidP="00142166">
            <w:pPr>
              <w:jc w:val="both"/>
              <w:rPr>
                <w:sz w:val="20"/>
              </w:rPr>
            </w:pP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sz w:val="20"/>
              </w:rPr>
              <w:t>Appeal dismissed</w:t>
            </w:r>
          </w:p>
          <w:p w:rsidR="00142166" w:rsidRPr="00776E55" w:rsidRDefault="00142166" w:rsidP="00142166">
            <w:pPr>
              <w:jc w:val="both"/>
              <w:rPr>
                <w:sz w:val="20"/>
              </w:rPr>
            </w:pPr>
          </w:p>
        </w:tc>
      </w:tr>
      <w:tr w:rsidR="00142166" w:rsidRPr="00776E55" w:rsidTr="00FB0311">
        <w:tc>
          <w:tcPr>
            <w:tcW w:w="2427" w:type="pct"/>
            <w:gridSpan w:val="2"/>
          </w:tcPr>
          <w:p w:rsidR="00142166" w:rsidRPr="00776E55" w:rsidRDefault="00142166" w:rsidP="00142166">
            <w:pPr>
              <w:jc w:val="both"/>
              <w:rPr>
                <w:sz w:val="20"/>
              </w:rPr>
            </w:pPr>
            <w:r w:rsidRPr="00776E55">
              <w:rPr>
                <w:sz w:val="20"/>
              </w:rPr>
              <w:t>December 7, 2022</w:t>
            </w:r>
          </w:p>
          <w:p w:rsidR="00142166" w:rsidRPr="00776E55" w:rsidRDefault="00142166" w:rsidP="00142166">
            <w:pPr>
              <w:jc w:val="both"/>
              <w:rPr>
                <w:sz w:val="20"/>
              </w:rPr>
            </w:pPr>
            <w:r w:rsidRPr="00776E55">
              <w:rPr>
                <w:sz w:val="20"/>
              </w:rPr>
              <w:t>Supreme Court of Canada</w:t>
            </w: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sz w:val="20"/>
              </w:rPr>
              <w:t>Application for leave to appeal filed</w:t>
            </w:r>
          </w:p>
          <w:p w:rsidR="00142166" w:rsidRPr="00776E55" w:rsidRDefault="00142166" w:rsidP="00142166">
            <w:pPr>
              <w:jc w:val="both"/>
              <w:rPr>
                <w:sz w:val="20"/>
              </w:rPr>
            </w:pPr>
          </w:p>
        </w:tc>
      </w:tr>
    </w:tbl>
    <w:p w:rsidR="00142166" w:rsidRPr="00776E55" w:rsidRDefault="00142166" w:rsidP="00142166">
      <w:pPr>
        <w:jc w:val="both"/>
        <w:rPr>
          <w:sz w:val="20"/>
        </w:rPr>
      </w:pPr>
    </w:p>
    <w:p w:rsidR="00142166" w:rsidRPr="00776E55" w:rsidRDefault="001E30F0" w:rsidP="00142166">
      <w:pPr>
        <w:jc w:val="both"/>
        <w:rPr>
          <w:sz w:val="20"/>
        </w:rPr>
      </w:pPr>
      <w:r>
        <w:rPr>
          <w:sz w:val="20"/>
        </w:rPr>
        <w:pict>
          <v:rect id="_x0000_i1029" style="width:2in;height:1pt" o:hrpct="0" o:hralign="center" o:hrstd="t" o:hrnoshade="t" o:hr="t" fillcolor="black [3213]" stroked="f"/>
        </w:pict>
      </w:r>
    </w:p>
    <w:p w:rsidR="00142166" w:rsidRPr="00776E55" w:rsidRDefault="00142166" w:rsidP="001421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2166" w:rsidRPr="00776E55" w:rsidTr="00FB0311">
        <w:tc>
          <w:tcPr>
            <w:tcW w:w="543" w:type="pct"/>
          </w:tcPr>
          <w:p w:rsidR="00142166" w:rsidRPr="00776E55" w:rsidRDefault="00142166" w:rsidP="00142166">
            <w:pPr>
              <w:jc w:val="both"/>
              <w:rPr>
                <w:sz w:val="20"/>
                <w:lang w:val="fr-CA"/>
              </w:rPr>
            </w:pPr>
            <w:r w:rsidRPr="00776E55">
              <w:rPr>
                <w:rStyle w:val="SCCFileNumberChar"/>
                <w:sz w:val="20"/>
                <w:szCs w:val="20"/>
                <w:lang w:val="fr-CA"/>
              </w:rPr>
              <w:t>40494</w:t>
            </w:r>
          </w:p>
        </w:tc>
        <w:tc>
          <w:tcPr>
            <w:tcW w:w="4457" w:type="pct"/>
            <w:gridSpan w:val="3"/>
          </w:tcPr>
          <w:p w:rsidR="00142166" w:rsidRPr="00776E55" w:rsidRDefault="00142166" w:rsidP="00142166">
            <w:pPr>
              <w:pStyle w:val="SCCLsocParty"/>
              <w:jc w:val="both"/>
              <w:rPr>
                <w:b/>
                <w:sz w:val="20"/>
                <w:szCs w:val="20"/>
              </w:rPr>
            </w:pPr>
            <w:r w:rsidRPr="00776E55">
              <w:rPr>
                <w:b/>
                <w:sz w:val="20"/>
                <w:szCs w:val="20"/>
              </w:rPr>
              <w:t>Brian Glen Kerr c. Sa Majesté le Roi</w:t>
            </w:r>
          </w:p>
          <w:p w:rsidR="00142166" w:rsidRPr="00776E55" w:rsidRDefault="00142166" w:rsidP="00142166">
            <w:pPr>
              <w:jc w:val="both"/>
              <w:rPr>
                <w:sz w:val="20"/>
                <w:lang w:val="fr-CA"/>
              </w:rPr>
            </w:pPr>
            <w:r w:rsidRPr="00776E55">
              <w:rPr>
                <w:sz w:val="20"/>
                <w:lang w:val="fr-CA"/>
              </w:rPr>
              <w:t>(Ont.) (Criminelle) (Sur autorisation)</w:t>
            </w:r>
          </w:p>
        </w:tc>
      </w:tr>
      <w:tr w:rsidR="00142166" w:rsidRPr="001E30F0" w:rsidTr="00FB0311">
        <w:tc>
          <w:tcPr>
            <w:tcW w:w="5000" w:type="pct"/>
            <w:gridSpan w:val="4"/>
          </w:tcPr>
          <w:p w:rsidR="00142166" w:rsidRPr="00776E55" w:rsidRDefault="00142166" w:rsidP="00142166">
            <w:pPr>
              <w:jc w:val="both"/>
              <w:rPr>
                <w:sz w:val="20"/>
                <w:lang w:val="fr-CA"/>
              </w:rPr>
            </w:pPr>
            <w:r w:rsidRPr="00776E55">
              <w:rPr>
                <w:sz w:val="20"/>
                <w:lang w:val="fr-CA"/>
              </w:rPr>
              <w:t xml:space="preserve">Droit criminel — </w:t>
            </w:r>
            <w:r w:rsidRPr="00776E55">
              <w:rPr>
                <w:i/>
                <w:sz w:val="20"/>
                <w:lang w:val="fr-CA"/>
              </w:rPr>
              <w:t>Charte des droits et libertés</w:t>
            </w:r>
            <w:r w:rsidRPr="00776E55">
              <w:rPr>
                <w:sz w:val="20"/>
                <w:lang w:val="fr-CA"/>
              </w:rPr>
              <w:t xml:space="preserve"> — </w:t>
            </w:r>
            <w:r w:rsidRPr="00776E55">
              <w:rPr>
                <w:iCs/>
                <w:sz w:val="20"/>
                <w:lang w:val="fr-FR"/>
              </w:rPr>
              <w:t>Fouilles, perquisitions et saisies</w:t>
            </w:r>
            <w:r w:rsidRPr="00776E55">
              <w:rPr>
                <w:sz w:val="20"/>
                <w:lang w:val="fr-CA"/>
              </w:rPr>
              <w:t xml:space="preserve"> — Justice fondamentale — Procès équitable — Mandat de perquisition — Le pouvoir discrétionnaire résiduel en vue de l’annulation du mandat devrait-il être établi dans le cadre d’une demande relative à l’abus de procédure plutôt qu’une demande fondée sur l’art. 8 de la </w:t>
            </w:r>
            <w:r w:rsidRPr="00776E55">
              <w:rPr>
                <w:i/>
                <w:sz w:val="20"/>
                <w:lang w:val="fr-CA"/>
              </w:rPr>
              <w:t>Charte</w:t>
            </w:r>
            <w:r w:rsidRPr="00776E55">
              <w:rPr>
                <w:sz w:val="20"/>
                <w:lang w:val="fr-CA"/>
              </w:rPr>
              <w:t> ? — La norme applicable en vue d’autoriser l’annulation d’un mandat devrait-elle correspondre au critère permettant de conclure ou non à l’abus de procédure ?</w:t>
            </w:r>
          </w:p>
        </w:tc>
      </w:tr>
      <w:tr w:rsidR="00142166" w:rsidRPr="001E30F0" w:rsidTr="00FB0311">
        <w:tc>
          <w:tcPr>
            <w:tcW w:w="5000" w:type="pct"/>
            <w:gridSpan w:val="4"/>
          </w:tcPr>
          <w:p w:rsidR="00142166" w:rsidRPr="00776E55" w:rsidRDefault="00142166" w:rsidP="00142166">
            <w:pPr>
              <w:jc w:val="both"/>
              <w:rPr>
                <w:sz w:val="20"/>
                <w:lang w:val="fr-CA"/>
              </w:rPr>
            </w:pPr>
          </w:p>
          <w:p w:rsidR="00142166" w:rsidRPr="00776E55" w:rsidRDefault="00142166" w:rsidP="00142166">
            <w:pPr>
              <w:widowControl w:val="0"/>
              <w:jc w:val="both"/>
              <w:rPr>
                <w:sz w:val="20"/>
                <w:lang w:val="fr-CA"/>
              </w:rPr>
            </w:pPr>
            <w:r w:rsidRPr="00776E55">
              <w:rPr>
                <w:color w:val="000000"/>
                <w:sz w:val="20"/>
                <w:lang w:val="fr-CA"/>
              </w:rPr>
              <w:t>Un dénonciateur avec des antécédents criminels considérables a allégué que M. Kerr sollicitait de l’aide afin de tuer son ex-petite amie. La police a demandé au dénonciateur d’agir comme agent afin d’arranger une rencontre entre M. Kerr et un agent d’infiltration, et a obtenu un mandat autorisant l’interception de leurs communications. L’affidavit déposé à l’appui de la dénonciation en vue d’obtenir le mandat ne divulguait pas le fait que le dénonciateur avait reçu une contrepartie. Monsieur</w:t>
            </w:r>
            <w:r w:rsidRPr="00776E55">
              <w:rPr>
                <w:sz w:val="20"/>
                <w:lang w:val="fr-CA"/>
              </w:rPr>
              <w:t> </w:t>
            </w:r>
            <w:r w:rsidRPr="00776E55">
              <w:rPr>
                <w:color w:val="000000"/>
                <w:sz w:val="20"/>
                <w:lang w:val="fr-CA"/>
              </w:rPr>
              <w:t>Kerr a appelé l’agent d’infiltration et l’appel a été intercepté. Ses paroles ont été interprétées par le dénonciateur comme étant des déclarations incriminantes codées.</w:t>
            </w:r>
            <w:r w:rsidRPr="00776E55">
              <w:rPr>
                <w:rFonts w:ascii="Arial" w:hAnsi="Arial" w:cs="Arial"/>
                <w:color w:val="000000"/>
                <w:sz w:val="20"/>
                <w:lang w:val="fr-CA"/>
              </w:rPr>
              <w:t xml:space="preserve"> </w:t>
            </w:r>
            <w:r w:rsidRPr="00776E55">
              <w:rPr>
                <w:color w:val="000000"/>
                <w:sz w:val="20"/>
                <w:lang w:val="fr-CA"/>
              </w:rPr>
              <w:t xml:space="preserve">Monsieur Kerr a présenté une demande en vue d’exclure cette preuve du procès en raison d’une violation alléguée de ses droits garantis </w:t>
            </w:r>
            <w:proofErr w:type="gramStart"/>
            <w:r w:rsidRPr="00776E55">
              <w:rPr>
                <w:color w:val="000000"/>
                <w:sz w:val="20"/>
                <w:lang w:val="fr-CA"/>
              </w:rPr>
              <w:t>aux art</w:t>
            </w:r>
            <w:proofErr w:type="gramEnd"/>
            <w:r w:rsidRPr="00776E55">
              <w:rPr>
                <w:color w:val="000000"/>
                <w:sz w:val="20"/>
                <w:lang w:val="fr-CA"/>
              </w:rPr>
              <w:t xml:space="preserve">. 7 et 8 de la </w:t>
            </w:r>
            <w:r w:rsidRPr="00776E55">
              <w:rPr>
                <w:i/>
                <w:color w:val="000000"/>
                <w:sz w:val="20"/>
                <w:lang w:val="fr-CA"/>
              </w:rPr>
              <w:t>Charte</w:t>
            </w:r>
            <w:r w:rsidRPr="00776E55">
              <w:rPr>
                <w:color w:val="000000"/>
                <w:sz w:val="20"/>
                <w:lang w:val="fr-CA"/>
              </w:rPr>
              <w:t>. Le juge du procès a admis la preuve et a déclaré M</w:t>
            </w:r>
            <w:r w:rsidRPr="00776E55">
              <w:rPr>
                <w:sz w:val="20"/>
                <w:lang w:val="fr-CA"/>
              </w:rPr>
              <w:t xml:space="preserve">. Kerr coupable de tentative d’entrave à la justice et de deux chefs d’avoir conseillé la perpétration d’un </w:t>
            </w:r>
            <w:r w:rsidRPr="00776E55">
              <w:rPr>
                <w:color w:val="000000"/>
                <w:sz w:val="20"/>
                <w:lang w:val="fr-CA"/>
              </w:rPr>
              <w:t>meurtre</w:t>
            </w:r>
            <w:r w:rsidRPr="00776E55">
              <w:rPr>
                <w:sz w:val="20"/>
                <w:lang w:val="fr-CA"/>
              </w:rPr>
              <w:t>. La Cour d’appel a rejeté l’appel formé contre les déclarations de culpabilité.</w:t>
            </w:r>
          </w:p>
        </w:tc>
      </w:tr>
      <w:tr w:rsidR="00142166" w:rsidRPr="001E30F0" w:rsidTr="00FB0311">
        <w:tc>
          <w:tcPr>
            <w:tcW w:w="5000" w:type="pct"/>
            <w:gridSpan w:val="4"/>
          </w:tcPr>
          <w:p w:rsidR="00142166" w:rsidRPr="00776E55" w:rsidRDefault="00142166" w:rsidP="00142166">
            <w:pPr>
              <w:widowControl w:val="0"/>
              <w:jc w:val="both"/>
              <w:rPr>
                <w:sz w:val="20"/>
                <w:lang w:val="fr-CA"/>
              </w:rPr>
            </w:pPr>
          </w:p>
        </w:tc>
      </w:tr>
      <w:tr w:rsidR="00142166" w:rsidRPr="001E30F0" w:rsidTr="00FB0311">
        <w:tc>
          <w:tcPr>
            <w:tcW w:w="2427" w:type="pct"/>
            <w:gridSpan w:val="2"/>
          </w:tcPr>
          <w:p w:rsidR="00142166" w:rsidRPr="00776E55" w:rsidRDefault="00142166" w:rsidP="00142166">
            <w:pPr>
              <w:jc w:val="both"/>
              <w:rPr>
                <w:sz w:val="20"/>
                <w:lang w:val="fr-CA"/>
              </w:rPr>
            </w:pPr>
            <w:r w:rsidRPr="00776E55">
              <w:rPr>
                <w:sz w:val="20"/>
                <w:lang w:val="fr-CA"/>
              </w:rPr>
              <w:t>8 décembre 2017</w:t>
            </w:r>
          </w:p>
          <w:p w:rsidR="00142166" w:rsidRPr="00776E55" w:rsidRDefault="00142166" w:rsidP="00142166">
            <w:pPr>
              <w:jc w:val="both"/>
              <w:rPr>
                <w:sz w:val="20"/>
                <w:lang w:val="fr-CA"/>
              </w:rPr>
            </w:pPr>
            <w:r w:rsidRPr="00776E55">
              <w:rPr>
                <w:sz w:val="20"/>
                <w:lang w:val="fr-CA"/>
              </w:rPr>
              <w:t>Cour supérieure de justice de l’Ontario</w:t>
            </w:r>
          </w:p>
          <w:p w:rsidR="00142166" w:rsidRPr="00776E55" w:rsidRDefault="00142166" w:rsidP="00142166">
            <w:pPr>
              <w:jc w:val="both"/>
              <w:rPr>
                <w:sz w:val="20"/>
                <w:lang w:val="fr-CA"/>
              </w:rPr>
            </w:pPr>
            <w:r w:rsidRPr="00776E55">
              <w:rPr>
                <w:sz w:val="20"/>
                <w:lang w:val="fr-CA"/>
              </w:rPr>
              <w:t>(juge Dunphy)</w:t>
            </w:r>
          </w:p>
          <w:p w:rsidR="00142166" w:rsidRPr="00776E55" w:rsidRDefault="001E30F0" w:rsidP="00142166">
            <w:pPr>
              <w:jc w:val="both"/>
              <w:rPr>
                <w:sz w:val="20"/>
                <w:lang w:val="fr-CA"/>
              </w:rPr>
            </w:pPr>
            <w:hyperlink r:id="rId34" w:history="1">
              <w:r w:rsidR="00142166" w:rsidRPr="00776E55">
                <w:rPr>
                  <w:rStyle w:val="Hyperlink"/>
                  <w:sz w:val="20"/>
                  <w:lang w:val="fr-CA"/>
                </w:rPr>
                <w:t>2017 ONSC 7252</w:t>
              </w:r>
            </w:hyperlink>
          </w:p>
          <w:p w:rsidR="00142166" w:rsidRPr="00776E55" w:rsidRDefault="00142166" w:rsidP="00142166">
            <w:pPr>
              <w:jc w:val="both"/>
              <w:rPr>
                <w:sz w:val="20"/>
                <w:lang w:val="fr-CA"/>
              </w:rPr>
            </w:pP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La demande d’exclusion de la preuve est rejetée.</w:t>
            </w:r>
          </w:p>
        </w:tc>
      </w:tr>
      <w:tr w:rsidR="00142166" w:rsidRPr="001E30F0" w:rsidTr="00FB0311">
        <w:tc>
          <w:tcPr>
            <w:tcW w:w="2427" w:type="pct"/>
            <w:gridSpan w:val="2"/>
          </w:tcPr>
          <w:p w:rsidR="00142166" w:rsidRPr="00776E55" w:rsidRDefault="00142166" w:rsidP="00142166">
            <w:pPr>
              <w:jc w:val="both"/>
              <w:rPr>
                <w:sz w:val="20"/>
                <w:lang w:val="fr-CA"/>
              </w:rPr>
            </w:pPr>
            <w:r w:rsidRPr="00776E55">
              <w:rPr>
                <w:sz w:val="20"/>
                <w:lang w:val="fr-CA"/>
              </w:rPr>
              <w:t>8 décembre 2017</w:t>
            </w:r>
          </w:p>
          <w:p w:rsidR="00142166" w:rsidRPr="00776E55" w:rsidRDefault="00142166" w:rsidP="00142166">
            <w:pPr>
              <w:jc w:val="both"/>
              <w:rPr>
                <w:sz w:val="20"/>
                <w:lang w:val="fr-CA"/>
              </w:rPr>
            </w:pPr>
            <w:r w:rsidRPr="00776E55">
              <w:rPr>
                <w:sz w:val="20"/>
                <w:lang w:val="fr-CA"/>
              </w:rPr>
              <w:t>Cour supérieure de justice de l’Ontario</w:t>
            </w:r>
          </w:p>
          <w:p w:rsidR="00142166" w:rsidRPr="00776E55" w:rsidRDefault="00142166" w:rsidP="00142166">
            <w:pPr>
              <w:jc w:val="both"/>
              <w:rPr>
                <w:sz w:val="20"/>
                <w:lang w:val="fr-CA"/>
              </w:rPr>
            </w:pPr>
            <w:r w:rsidRPr="00776E55">
              <w:rPr>
                <w:sz w:val="20"/>
                <w:lang w:val="fr-CA"/>
              </w:rPr>
              <w:t>(juge Dunphy)</w:t>
            </w:r>
          </w:p>
          <w:p w:rsidR="00142166" w:rsidRPr="00776E55" w:rsidRDefault="001E30F0" w:rsidP="00142166">
            <w:pPr>
              <w:jc w:val="both"/>
              <w:rPr>
                <w:sz w:val="20"/>
                <w:lang w:val="fr-CA"/>
              </w:rPr>
            </w:pPr>
            <w:hyperlink r:id="rId35" w:history="1">
              <w:r w:rsidR="00142166" w:rsidRPr="00776E55">
                <w:rPr>
                  <w:rStyle w:val="Hyperlink"/>
                  <w:sz w:val="20"/>
                  <w:lang w:val="fr-CA"/>
                </w:rPr>
                <w:t>2017 ONSC 7305</w:t>
              </w:r>
            </w:hyperlink>
          </w:p>
          <w:p w:rsidR="00142166" w:rsidRPr="00776E55" w:rsidRDefault="00142166" w:rsidP="00142166">
            <w:pPr>
              <w:jc w:val="both"/>
              <w:rPr>
                <w:sz w:val="20"/>
                <w:lang w:val="fr-CA"/>
              </w:rPr>
            </w:pP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Les déclarations de culpabilité relativement à deux chefs d’avoir conseillé la perpétration d’un meurtre et à un chef de tentative d’entrave à la justice sont prononcées.</w:t>
            </w:r>
          </w:p>
          <w:p w:rsidR="00142166" w:rsidRPr="00776E55" w:rsidRDefault="00142166" w:rsidP="00142166">
            <w:pPr>
              <w:jc w:val="both"/>
              <w:rPr>
                <w:sz w:val="20"/>
                <w:lang w:val="fr-CA"/>
              </w:rPr>
            </w:pPr>
          </w:p>
        </w:tc>
      </w:tr>
      <w:tr w:rsidR="00142166" w:rsidRPr="00776E55" w:rsidTr="00FB0311">
        <w:tc>
          <w:tcPr>
            <w:tcW w:w="2427" w:type="pct"/>
            <w:gridSpan w:val="2"/>
          </w:tcPr>
          <w:p w:rsidR="00142166" w:rsidRPr="00776E55" w:rsidRDefault="00142166" w:rsidP="00142166">
            <w:pPr>
              <w:jc w:val="both"/>
              <w:rPr>
                <w:sz w:val="20"/>
                <w:lang w:val="fr-CA"/>
              </w:rPr>
            </w:pPr>
            <w:r w:rsidRPr="00776E55">
              <w:rPr>
                <w:sz w:val="20"/>
                <w:lang w:val="fr-CA"/>
              </w:rPr>
              <w:t>15 juillet 2022</w:t>
            </w:r>
          </w:p>
          <w:p w:rsidR="00142166" w:rsidRPr="00776E55" w:rsidRDefault="00142166" w:rsidP="00142166">
            <w:pPr>
              <w:jc w:val="both"/>
              <w:rPr>
                <w:sz w:val="20"/>
                <w:lang w:val="fr-CA"/>
              </w:rPr>
            </w:pPr>
            <w:r w:rsidRPr="00776E55">
              <w:rPr>
                <w:sz w:val="20"/>
                <w:lang w:val="fr-CA"/>
              </w:rPr>
              <w:t>Cour d’appel de l’Ontario</w:t>
            </w:r>
          </w:p>
          <w:p w:rsidR="00142166" w:rsidRPr="00776E55" w:rsidRDefault="00142166" w:rsidP="00142166">
            <w:pPr>
              <w:jc w:val="both"/>
              <w:rPr>
                <w:sz w:val="20"/>
                <w:lang w:val="fr-CA"/>
              </w:rPr>
            </w:pPr>
            <w:r w:rsidRPr="00776E55">
              <w:rPr>
                <w:sz w:val="20"/>
                <w:lang w:val="fr-CA"/>
              </w:rPr>
              <w:t>(juges Trotter, Harvison Young, Thorburn)</w:t>
            </w:r>
          </w:p>
          <w:p w:rsidR="00142166" w:rsidRPr="00776E55" w:rsidRDefault="001E30F0" w:rsidP="00142166">
            <w:pPr>
              <w:jc w:val="both"/>
              <w:rPr>
                <w:sz w:val="20"/>
                <w:lang w:val="fr-CA"/>
              </w:rPr>
            </w:pPr>
            <w:hyperlink r:id="rId36" w:history="1">
              <w:r w:rsidR="00142166" w:rsidRPr="00776E55">
                <w:rPr>
                  <w:rStyle w:val="Hyperlink"/>
                  <w:sz w:val="20"/>
                  <w:lang w:val="fr-CA"/>
                </w:rPr>
                <w:t>2022 ONCA 530</w:t>
              </w:r>
            </w:hyperlink>
            <w:r w:rsidR="00142166" w:rsidRPr="00776E55">
              <w:rPr>
                <w:sz w:val="20"/>
                <w:lang w:val="fr-CA"/>
              </w:rPr>
              <w:t>; C68541</w:t>
            </w:r>
          </w:p>
          <w:p w:rsidR="00142166" w:rsidRPr="00776E55" w:rsidRDefault="00142166" w:rsidP="00142166">
            <w:pPr>
              <w:jc w:val="both"/>
              <w:rPr>
                <w:sz w:val="20"/>
                <w:lang w:val="fr-CA"/>
              </w:rPr>
            </w:pP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L’appel est rejeté.</w:t>
            </w:r>
          </w:p>
          <w:p w:rsidR="00142166" w:rsidRPr="00776E55" w:rsidRDefault="00142166" w:rsidP="00142166">
            <w:pPr>
              <w:jc w:val="both"/>
              <w:rPr>
                <w:sz w:val="20"/>
                <w:lang w:val="fr-CA"/>
              </w:rPr>
            </w:pPr>
          </w:p>
        </w:tc>
      </w:tr>
      <w:tr w:rsidR="00142166" w:rsidRPr="001E30F0" w:rsidTr="00FB0311">
        <w:tc>
          <w:tcPr>
            <w:tcW w:w="2427" w:type="pct"/>
            <w:gridSpan w:val="2"/>
          </w:tcPr>
          <w:p w:rsidR="00142166" w:rsidRPr="00776E55" w:rsidRDefault="00142166" w:rsidP="00142166">
            <w:pPr>
              <w:jc w:val="both"/>
              <w:rPr>
                <w:sz w:val="20"/>
                <w:lang w:val="fr-CA"/>
              </w:rPr>
            </w:pPr>
            <w:r w:rsidRPr="00776E55">
              <w:rPr>
                <w:sz w:val="20"/>
                <w:lang w:val="fr-CA"/>
              </w:rPr>
              <w:t>7 décembre 2022</w:t>
            </w:r>
          </w:p>
          <w:p w:rsidR="00142166" w:rsidRPr="00776E55" w:rsidRDefault="00142166" w:rsidP="00142166">
            <w:pPr>
              <w:jc w:val="both"/>
              <w:rPr>
                <w:sz w:val="20"/>
                <w:lang w:val="fr-CA"/>
              </w:rPr>
            </w:pPr>
            <w:r w:rsidRPr="00776E55">
              <w:rPr>
                <w:sz w:val="20"/>
                <w:lang w:val="fr-CA"/>
              </w:rPr>
              <w:t>Cour suprême du Canada</w:t>
            </w: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La demande d’autorisation d’appel est présentée.</w:t>
            </w:r>
          </w:p>
          <w:p w:rsidR="00142166" w:rsidRPr="00776E55" w:rsidRDefault="00142166" w:rsidP="00142166">
            <w:pPr>
              <w:jc w:val="both"/>
              <w:rPr>
                <w:sz w:val="20"/>
                <w:lang w:val="fr-CA"/>
              </w:rPr>
            </w:pPr>
          </w:p>
        </w:tc>
      </w:tr>
    </w:tbl>
    <w:p w:rsidR="00142166" w:rsidRPr="00776E55" w:rsidRDefault="00142166" w:rsidP="00142166">
      <w:pPr>
        <w:jc w:val="both"/>
        <w:rPr>
          <w:sz w:val="20"/>
          <w:lang w:val="fr-CA"/>
        </w:rPr>
      </w:pPr>
    </w:p>
    <w:p w:rsidR="00142166" w:rsidRPr="00776E55" w:rsidRDefault="001E30F0" w:rsidP="00142166">
      <w:pPr>
        <w:jc w:val="both"/>
        <w:rPr>
          <w:sz w:val="20"/>
          <w:lang w:val="fr-CA"/>
        </w:rPr>
      </w:pPr>
      <w:r>
        <w:rPr>
          <w:sz w:val="20"/>
        </w:rPr>
        <w:pict>
          <v:rect id="_x0000_i1030" style="width:2in;height:1pt" o:hrpct="0" o:hralign="center" o:hrstd="t" o:hrnoshade="t" o:hr="t" fillcolor="black [3213]" stroked="f"/>
        </w:pict>
      </w:r>
    </w:p>
    <w:p w:rsidR="00142166" w:rsidRPr="00776E55" w:rsidRDefault="00142166" w:rsidP="001421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2166" w:rsidRPr="00776E55" w:rsidTr="00FB0311">
        <w:tc>
          <w:tcPr>
            <w:tcW w:w="543" w:type="pct"/>
          </w:tcPr>
          <w:p w:rsidR="00142166" w:rsidRPr="00776E55" w:rsidRDefault="00142166" w:rsidP="00142166">
            <w:pPr>
              <w:jc w:val="both"/>
              <w:rPr>
                <w:sz w:val="20"/>
              </w:rPr>
            </w:pPr>
            <w:r w:rsidRPr="00776E55">
              <w:rPr>
                <w:rStyle w:val="SCCFileNumberChar"/>
                <w:sz w:val="20"/>
                <w:szCs w:val="20"/>
              </w:rPr>
              <w:t>40411</w:t>
            </w:r>
          </w:p>
        </w:tc>
        <w:tc>
          <w:tcPr>
            <w:tcW w:w="4457" w:type="pct"/>
            <w:gridSpan w:val="3"/>
          </w:tcPr>
          <w:p w:rsidR="00142166" w:rsidRPr="00776E55" w:rsidRDefault="00142166" w:rsidP="00142166">
            <w:pPr>
              <w:pStyle w:val="SCCLsocParty"/>
              <w:jc w:val="both"/>
              <w:rPr>
                <w:b/>
                <w:sz w:val="20"/>
                <w:szCs w:val="20"/>
                <w:lang w:val="en-US"/>
              </w:rPr>
            </w:pPr>
            <w:r w:rsidRPr="00776E55">
              <w:rPr>
                <w:b/>
                <w:sz w:val="20"/>
                <w:szCs w:val="20"/>
                <w:lang w:val="en-US"/>
              </w:rPr>
              <w:t>Soheil Karkhanechi and Equestrian Court Investments Corporation v. Connor, Clark &amp; Lunn Financial Group LTD and Connor, Clark &amp; Lunn Financial Group Investment Partnership</w:t>
            </w:r>
          </w:p>
          <w:p w:rsidR="00142166" w:rsidRPr="00776E55" w:rsidRDefault="00142166" w:rsidP="00142166">
            <w:pPr>
              <w:jc w:val="both"/>
              <w:rPr>
                <w:sz w:val="20"/>
              </w:rPr>
            </w:pPr>
            <w:r w:rsidRPr="00776E55">
              <w:rPr>
                <w:sz w:val="20"/>
              </w:rPr>
              <w:t>(Ont.) (Civil) (By Leave)</w:t>
            </w:r>
          </w:p>
        </w:tc>
      </w:tr>
      <w:tr w:rsidR="00142166" w:rsidRPr="00776E55" w:rsidTr="00FB0311">
        <w:tc>
          <w:tcPr>
            <w:tcW w:w="5000" w:type="pct"/>
            <w:gridSpan w:val="4"/>
          </w:tcPr>
          <w:p w:rsidR="00142166" w:rsidRPr="00776E55" w:rsidRDefault="00142166" w:rsidP="00142166">
            <w:pPr>
              <w:jc w:val="both"/>
              <w:rPr>
                <w:sz w:val="20"/>
              </w:rPr>
            </w:pPr>
            <w:r w:rsidRPr="00776E55">
              <w:rPr>
                <w:sz w:val="20"/>
              </w:rPr>
              <w:t xml:space="preserve">Limitation of actions — Contracts — Breach — Applicant partner’s employment terminated and compulsory retirement provision in partnership agreement triggered — Partner alleging breach of post-retirement compensation agreement — Motion for summary judgment dismissing action granted — Whether party has right to affirm where  counterparty repudiates contract providing for continuous or successive obligations — Whether Court of Appeal created new exception to common law of contracts, under which a party is deprived of right to affirm a periodic payment contract and insist on future compliance in response to an anticipatory repudiation </w:t>
            </w:r>
            <w:r w:rsidRPr="00776E55">
              <w:rPr>
                <w:iCs/>
                <w:sz w:val="20"/>
              </w:rPr>
              <w:t>—</w:t>
            </w:r>
            <w:r w:rsidRPr="00776E55">
              <w:rPr>
                <w:sz w:val="20"/>
              </w:rPr>
              <w:t xml:space="preserve"> Whether </w:t>
            </w:r>
            <w:r w:rsidRPr="00776E55">
              <w:rPr>
                <w:i/>
                <w:iCs/>
                <w:sz w:val="20"/>
              </w:rPr>
              <w:t>Limitations Act, 2002</w:t>
            </w:r>
            <w:r w:rsidRPr="00776E55">
              <w:rPr>
                <w:sz w:val="20"/>
              </w:rPr>
              <w:t>, S.O. 2002, c. 24, Sched. B.</w:t>
            </w:r>
            <w:r w:rsidRPr="00776E55">
              <w:rPr>
                <w:i/>
                <w:sz w:val="20"/>
              </w:rPr>
              <w:t xml:space="preserve"> </w:t>
            </w:r>
            <w:r w:rsidRPr="00776E55">
              <w:rPr>
                <w:sz w:val="20"/>
              </w:rPr>
              <w:t>bars claim for declaratory relief.</w:t>
            </w:r>
          </w:p>
        </w:tc>
      </w:tr>
      <w:tr w:rsidR="00142166" w:rsidRPr="00776E55" w:rsidTr="00FB0311">
        <w:tc>
          <w:tcPr>
            <w:tcW w:w="5000" w:type="pct"/>
            <w:gridSpan w:val="4"/>
          </w:tcPr>
          <w:p w:rsidR="00142166" w:rsidRPr="00776E55" w:rsidRDefault="00142166" w:rsidP="00142166">
            <w:pPr>
              <w:jc w:val="both"/>
              <w:rPr>
                <w:sz w:val="20"/>
              </w:rPr>
            </w:pPr>
          </w:p>
        </w:tc>
      </w:tr>
      <w:tr w:rsidR="00142166" w:rsidRPr="00776E55" w:rsidTr="00FB0311">
        <w:tc>
          <w:tcPr>
            <w:tcW w:w="5000" w:type="pct"/>
            <w:gridSpan w:val="4"/>
          </w:tcPr>
          <w:p w:rsidR="00142166" w:rsidRPr="00776E55" w:rsidRDefault="00142166" w:rsidP="00142166">
            <w:pPr>
              <w:jc w:val="both"/>
              <w:rPr>
                <w:sz w:val="20"/>
              </w:rPr>
            </w:pPr>
            <w:r w:rsidRPr="00776E55">
              <w:rPr>
                <w:sz w:val="20"/>
              </w:rPr>
              <w:t>The applicant’s employment was terminated and a compulsory retirement provision in his partnership agreement was triggered, forcing him into retirement. A dispute arose between the parties over the correct amount of post-retirement payments. The applicants sued the respondents, alleging that they were in breach of the post-retirement compensation agreement.</w:t>
            </w:r>
          </w:p>
          <w:p w:rsidR="00142166" w:rsidRPr="00776E55" w:rsidRDefault="00142166" w:rsidP="00142166">
            <w:pPr>
              <w:jc w:val="both"/>
              <w:rPr>
                <w:sz w:val="20"/>
              </w:rPr>
            </w:pPr>
          </w:p>
          <w:p w:rsidR="00142166" w:rsidRPr="00776E55" w:rsidRDefault="00142166" w:rsidP="00142166">
            <w:pPr>
              <w:jc w:val="both"/>
              <w:rPr>
                <w:sz w:val="20"/>
              </w:rPr>
            </w:pPr>
            <w:r w:rsidRPr="00776E55">
              <w:rPr>
                <w:sz w:val="20"/>
              </w:rPr>
              <w:t>The motion judge granted summary judgment against the applicants after finding that the claims were statute barred under the </w:t>
            </w:r>
            <w:r w:rsidRPr="00776E55">
              <w:rPr>
                <w:i/>
                <w:iCs/>
                <w:sz w:val="20"/>
              </w:rPr>
              <w:t>Limitations Act, 2002</w:t>
            </w:r>
            <w:r w:rsidRPr="00776E55">
              <w:rPr>
                <w:iCs/>
                <w:sz w:val="20"/>
              </w:rPr>
              <w:t>,</w:t>
            </w:r>
            <w:r w:rsidRPr="00776E55">
              <w:rPr>
                <w:rStyle w:val="Hyperlink"/>
                <w:sz w:val="20"/>
                <w:u w:val="none"/>
              </w:rPr>
              <w:t xml:space="preserve"> </w:t>
            </w:r>
            <w:r w:rsidRPr="00776E55">
              <w:rPr>
                <w:sz w:val="20"/>
              </w:rPr>
              <w:t>S.O. 2002, c. 24, Sched. B. The Court of Appeal dismissed his appeal.</w:t>
            </w:r>
          </w:p>
          <w:p w:rsidR="00142166" w:rsidRPr="00776E55" w:rsidRDefault="00142166" w:rsidP="00142166">
            <w:pPr>
              <w:jc w:val="both"/>
              <w:rPr>
                <w:sz w:val="20"/>
              </w:rPr>
            </w:pPr>
          </w:p>
        </w:tc>
      </w:tr>
      <w:tr w:rsidR="00142166" w:rsidRPr="00776E55" w:rsidTr="00FB0311">
        <w:tc>
          <w:tcPr>
            <w:tcW w:w="2427" w:type="pct"/>
            <w:gridSpan w:val="2"/>
          </w:tcPr>
          <w:p w:rsidR="00142166" w:rsidRPr="00776E55" w:rsidRDefault="00142166" w:rsidP="00142166">
            <w:pPr>
              <w:jc w:val="both"/>
              <w:rPr>
                <w:sz w:val="20"/>
              </w:rPr>
            </w:pPr>
            <w:r w:rsidRPr="00776E55">
              <w:rPr>
                <w:sz w:val="20"/>
              </w:rPr>
              <w:t>September 30, 2021</w:t>
            </w:r>
          </w:p>
          <w:p w:rsidR="00142166" w:rsidRPr="00776E55" w:rsidRDefault="00142166" w:rsidP="00142166">
            <w:pPr>
              <w:jc w:val="both"/>
              <w:rPr>
                <w:sz w:val="20"/>
              </w:rPr>
            </w:pPr>
            <w:r w:rsidRPr="00776E55">
              <w:rPr>
                <w:sz w:val="20"/>
              </w:rPr>
              <w:t>Ontario Superior Court of Justice</w:t>
            </w:r>
          </w:p>
          <w:p w:rsidR="00142166" w:rsidRPr="00776E55" w:rsidRDefault="00142166" w:rsidP="00142166">
            <w:pPr>
              <w:jc w:val="both"/>
              <w:rPr>
                <w:sz w:val="20"/>
              </w:rPr>
            </w:pPr>
            <w:r w:rsidRPr="00776E55">
              <w:rPr>
                <w:sz w:val="20"/>
              </w:rPr>
              <w:t>(Cavanagh J.)</w:t>
            </w:r>
          </w:p>
          <w:p w:rsidR="00142166" w:rsidRPr="00776E55" w:rsidRDefault="00142166" w:rsidP="00142166">
            <w:pPr>
              <w:tabs>
                <w:tab w:val="center" w:pos="2215"/>
              </w:tabs>
              <w:jc w:val="both"/>
              <w:rPr>
                <w:sz w:val="20"/>
              </w:rPr>
            </w:pP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sz w:val="20"/>
              </w:rPr>
              <w:t>Motion for summary judgment dismissing applicants’ action was granted.</w:t>
            </w:r>
          </w:p>
          <w:p w:rsidR="00142166" w:rsidRPr="00776E55" w:rsidRDefault="00142166" w:rsidP="00142166">
            <w:pPr>
              <w:jc w:val="both"/>
              <w:rPr>
                <w:sz w:val="20"/>
              </w:rPr>
            </w:pPr>
          </w:p>
        </w:tc>
      </w:tr>
      <w:tr w:rsidR="00142166" w:rsidRPr="00776E55" w:rsidTr="00FB0311">
        <w:tc>
          <w:tcPr>
            <w:tcW w:w="2427" w:type="pct"/>
            <w:gridSpan w:val="2"/>
          </w:tcPr>
          <w:p w:rsidR="00142166" w:rsidRPr="00776E55" w:rsidRDefault="00142166" w:rsidP="00142166">
            <w:pPr>
              <w:jc w:val="both"/>
              <w:rPr>
                <w:sz w:val="20"/>
              </w:rPr>
            </w:pPr>
            <w:r w:rsidRPr="00776E55">
              <w:rPr>
                <w:sz w:val="20"/>
              </w:rPr>
              <w:t>July 7, 2022</w:t>
            </w:r>
          </w:p>
          <w:p w:rsidR="00142166" w:rsidRPr="00776E55" w:rsidRDefault="00142166" w:rsidP="00142166">
            <w:pPr>
              <w:jc w:val="both"/>
              <w:rPr>
                <w:sz w:val="20"/>
              </w:rPr>
            </w:pPr>
            <w:r w:rsidRPr="00776E55">
              <w:rPr>
                <w:sz w:val="20"/>
              </w:rPr>
              <w:t>Court of Appeal for Ontario</w:t>
            </w:r>
          </w:p>
          <w:p w:rsidR="00142166" w:rsidRPr="00776E55" w:rsidRDefault="00142166" w:rsidP="00142166">
            <w:pPr>
              <w:jc w:val="both"/>
              <w:rPr>
                <w:sz w:val="20"/>
              </w:rPr>
            </w:pPr>
            <w:r w:rsidRPr="00776E55">
              <w:rPr>
                <w:sz w:val="20"/>
              </w:rPr>
              <w:t>(Brown, Roberts and Paciocco JJ.A.)</w:t>
            </w:r>
          </w:p>
          <w:p w:rsidR="00142166" w:rsidRPr="00776E55" w:rsidRDefault="001E30F0" w:rsidP="00142166">
            <w:pPr>
              <w:jc w:val="both"/>
              <w:rPr>
                <w:sz w:val="20"/>
              </w:rPr>
            </w:pPr>
            <w:hyperlink r:id="rId37" w:history="1">
              <w:r w:rsidR="00142166" w:rsidRPr="00776E55">
                <w:rPr>
                  <w:rStyle w:val="Hyperlink"/>
                  <w:sz w:val="20"/>
                </w:rPr>
                <w:t>2022 ONCA 518</w:t>
              </w:r>
            </w:hyperlink>
          </w:p>
          <w:p w:rsidR="00142166" w:rsidRPr="00776E55" w:rsidRDefault="00142166" w:rsidP="00142166">
            <w:pPr>
              <w:jc w:val="both"/>
              <w:rPr>
                <w:sz w:val="20"/>
              </w:rPr>
            </w:pPr>
            <w:r w:rsidRPr="00776E55">
              <w:rPr>
                <w:sz w:val="20"/>
              </w:rPr>
              <w:t>File No.: C70043</w:t>
            </w:r>
          </w:p>
          <w:p w:rsidR="00142166" w:rsidRPr="00776E55" w:rsidRDefault="00142166" w:rsidP="00142166">
            <w:pPr>
              <w:jc w:val="both"/>
              <w:rPr>
                <w:sz w:val="20"/>
              </w:rPr>
            </w:pP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sz w:val="20"/>
              </w:rPr>
              <w:t>Appeal dismissed.</w:t>
            </w:r>
          </w:p>
          <w:p w:rsidR="00142166" w:rsidRPr="00776E55" w:rsidRDefault="00142166" w:rsidP="00142166">
            <w:pPr>
              <w:jc w:val="both"/>
              <w:rPr>
                <w:sz w:val="20"/>
              </w:rPr>
            </w:pPr>
          </w:p>
        </w:tc>
      </w:tr>
      <w:tr w:rsidR="00142166" w:rsidRPr="00776E55" w:rsidTr="00FB0311">
        <w:tc>
          <w:tcPr>
            <w:tcW w:w="2427" w:type="pct"/>
            <w:gridSpan w:val="2"/>
          </w:tcPr>
          <w:p w:rsidR="00142166" w:rsidRPr="00776E55" w:rsidRDefault="00142166" w:rsidP="00142166">
            <w:pPr>
              <w:jc w:val="both"/>
              <w:rPr>
                <w:sz w:val="20"/>
              </w:rPr>
            </w:pPr>
            <w:r w:rsidRPr="00776E55">
              <w:rPr>
                <w:sz w:val="20"/>
              </w:rPr>
              <w:t>October 3, 2022</w:t>
            </w:r>
          </w:p>
          <w:p w:rsidR="00142166" w:rsidRPr="00776E55" w:rsidRDefault="00142166" w:rsidP="00142166">
            <w:pPr>
              <w:jc w:val="both"/>
              <w:rPr>
                <w:sz w:val="20"/>
              </w:rPr>
            </w:pPr>
            <w:r w:rsidRPr="00776E55">
              <w:rPr>
                <w:sz w:val="20"/>
              </w:rPr>
              <w:t>Supreme Court of Canada</w:t>
            </w:r>
          </w:p>
          <w:p w:rsidR="00142166" w:rsidRPr="00776E55" w:rsidRDefault="00142166" w:rsidP="00142166">
            <w:pPr>
              <w:jc w:val="both"/>
              <w:rPr>
                <w:sz w:val="20"/>
              </w:rPr>
            </w:pP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sz w:val="20"/>
              </w:rPr>
              <w:t>Application for leave to appeal filed.</w:t>
            </w:r>
          </w:p>
          <w:p w:rsidR="00142166" w:rsidRPr="00776E55" w:rsidRDefault="00142166" w:rsidP="00142166">
            <w:pPr>
              <w:jc w:val="both"/>
              <w:rPr>
                <w:sz w:val="20"/>
              </w:rPr>
            </w:pPr>
          </w:p>
        </w:tc>
      </w:tr>
      <w:tr w:rsidR="00142166" w:rsidRPr="00776E55" w:rsidTr="00FB0311">
        <w:tc>
          <w:tcPr>
            <w:tcW w:w="2427" w:type="pct"/>
            <w:gridSpan w:val="2"/>
          </w:tcPr>
          <w:p w:rsidR="00142166" w:rsidRPr="00776E55" w:rsidRDefault="00142166" w:rsidP="00142166">
            <w:pPr>
              <w:jc w:val="both"/>
              <w:rPr>
                <w:sz w:val="20"/>
              </w:rPr>
            </w:pPr>
            <w:r w:rsidRPr="00776E55">
              <w:rPr>
                <w:sz w:val="20"/>
              </w:rPr>
              <w:t>October 12, 2022</w:t>
            </w:r>
          </w:p>
          <w:p w:rsidR="00142166" w:rsidRPr="00776E55" w:rsidRDefault="00142166" w:rsidP="00142166">
            <w:pPr>
              <w:jc w:val="both"/>
              <w:rPr>
                <w:sz w:val="20"/>
              </w:rPr>
            </w:pPr>
            <w:r w:rsidRPr="00776E55">
              <w:rPr>
                <w:sz w:val="20"/>
              </w:rPr>
              <w:t>Supreme Court of Canada</w:t>
            </w: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sz w:val="20"/>
              </w:rPr>
              <w:t>Motion for an extension of time to file and/or serve leave application.</w:t>
            </w:r>
          </w:p>
        </w:tc>
      </w:tr>
    </w:tbl>
    <w:p w:rsidR="00142166" w:rsidRPr="00776E55" w:rsidRDefault="00142166" w:rsidP="00142166">
      <w:pPr>
        <w:jc w:val="both"/>
        <w:rPr>
          <w:sz w:val="20"/>
        </w:rPr>
      </w:pPr>
    </w:p>
    <w:p w:rsidR="00142166" w:rsidRPr="00776E55" w:rsidRDefault="001E30F0" w:rsidP="00142166">
      <w:pPr>
        <w:jc w:val="both"/>
        <w:rPr>
          <w:sz w:val="20"/>
        </w:rPr>
      </w:pPr>
      <w:r>
        <w:rPr>
          <w:sz w:val="20"/>
        </w:rPr>
        <w:pict>
          <v:rect id="_x0000_i1031" style="width:2in;height:1pt" o:hrpct="0" o:hralign="center" o:hrstd="t" o:hrnoshade="t" o:hr="t" fillcolor="black [3213]" stroked="f"/>
        </w:pict>
      </w:r>
    </w:p>
    <w:p w:rsidR="00142166" w:rsidRPr="00776E55" w:rsidRDefault="00142166" w:rsidP="001421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2166" w:rsidRPr="00776E55" w:rsidTr="00FB0311">
        <w:tc>
          <w:tcPr>
            <w:tcW w:w="543" w:type="pct"/>
          </w:tcPr>
          <w:p w:rsidR="00142166" w:rsidRPr="00776E55" w:rsidRDefault="00142166" w:rsidP="00142166">
            <w:pPr>
              <w:jc w:val="both"/>
              <w:rPr>
                <w:sz w:val="20"/>
                <w:lang w:val="fr-CA"/>
              </w:rPr>
            </w:pPr>
            <w:r w:rsidRPr="00776E55">
              <w:rPr>
                <w:rStyle w:val="SCCFileNumberChar"/>
                <w:sz w:val="20"/>
                <w:szCs w:val="20"/>
                <w:lang w:val="fr-CA"/>
              </w:rPr>
              <w:t>40411</w:t>
            </w:r>
          </w:p>
        </w:tc>
        <w:tc>
          <w:tcPr>
            <w:tcW w:w="4457" w:type="pct"/>
            <w:gridSpan w:val="3"/>
          </w:tcPr>
          <w:p w:rsidR="00142166" w:rsidRPr="00776E55" w:rsidRDefault="00142166" w:rsidP="00142166">
            <w:pPr>
              <w:pStyle w:val="SCCLsocParty"/>
              <w:jc w:val="both"/>
              <w:rPr>
                <w:b/>
                <w:sz w:val="20"/>
                <w:szCs w:val="20"/>
                <w:lang w:val="en-US"/>
              </w:rPr>
            </w:pPr>
            <w:r w:rsidRPr="00776E55">
              <w:rPr>
                <w:b/>
                <w:sz w:val="20"/>
                <w:szCs w:val="20"/>
                <w:lang w:val="en-US"/>
              </w:rPr>
              <w:t>Soheil Karkhanechi et Equestrian Court Investments Corporation c. Connor, Clark &amp; Lunn Financial Group LTD et Connor, Clark &amp; Lunn Financial Group Investment Partnership</w:t>
            </w:r>
          </w:p>
          <w:p w:rsidR="00142166" w:rsidRPr="00776E55" w:rsidRDefault="00142166" w:rsidP="00142166">
            <w:pPr>
              <w:jc w:val="both"/>
              <w:rPr>
                <w:sz w:val="20"/>
                <w:lang w:val="fr-CA"/>
              </w:rPr>
            </w:pPr>
            <w:r w:rsidRPr="00776E55">
              <w:rPr>
                <w:sz w:val="20"/>
                <w:lang w:val="fr-CA"/>
              </w:rPr>
              <w:t>(Ont.) (Civile) (Sur autorisation)</w:t>
            </w:r>
          </w:p>
        </w:tc>
      </w:tr>
      <w:tr w:rsidR="00142166" w:rsidRPr="001E30F0" w:rsidTr="00FB0311">
        <w:tc>
          <w:tcPr>
            <w:tcW w:w="5000" w:type="pct"/>
            <w:gridSpan w:val="4"/>
          </w:tcPr>
          <w:p w:rsidR="00142166" w:rsidRPr="00776E55" w:rsidRDefault="00142166" w:rsidP="00142166">
            <w:pPr>
              <w:jc w:val="both"/>
              <w:rPr>
                <w:sz w:val="20"/>
                <w:lang w:val="fr-CA"/>
              </w:rPr>
            </w:pPr>
            <w:r w:rsidRPr="00776E55">
              <w:rPr>
                <w:sz w:val="20"/>
                <w:lang w:val="fr-CA"/>
              </w:rPr>
              <w:t>Prescription — Contrats — Violation — Cessation d’emploi du demandeur associé et déclenchement de l’application d’une disposition du contrat de société relative à la retraite obligatoire — Associé alléguant une violation de l’entente de compensation après retraite — Décision accueillant la motion en jugement sommaire rejetant l’action — Une partie a</w:t>
            </w:r>
            <w:r w:rsidRPr="00776E55">
              <w:rPr>
                <w:sz w:val="20"/>
                <w:lang w:val="fr-CA"/>
              </w:rPr>
              <w:noBreakHyphen/>
              <w:t>t</w:t>
            </w:r>
            <w:r w:rsidRPr="00776E55">
              <w:rPr>
                <w:sz w:val="20"/>
                <w:lang w:val="fr-CA"/>
              </w:rPr>
              <w:noBreakHyphen/>
              <w:t>elle un droit de confirmation quand le cocontractant répudie un contrat prévoyant des obligations continues ou successives?— La Cour d’appel a</w:t>
            </w:r>
            <w:r w:rsidRPr="00776E55">
              <w:rPr>
                <w:sz w:val="20"/>
                <w:lang w:val="fr-CA"/>
              </w:rPr>
              <w:noBreakHyphen/>
              <w:t>t</w:t>
            </w:r>
            <w:r w:rsidRPr="00776E55">
              <w:rPr>
                <w:sz w:val="20"/>
                <w:lang w:val="fr-CA"/>
              </w:rPr>
              <w:noBreakHyphen/>
              <w:t>elle créé une nouvelle exception au droit des contrats en common law, suivant laquelle une partie est privée du droit de confirmer un contrat prévoyant des paiements périodiques et d’exiger le respect futur en réponse à une répudiation anticipative?</w:t>
            </w:r>
            <w:r w:rsidRPr="00776E55">
              <w:rPr>
                <w:iCs/>
                <w:sz w:val="20"/>
                <w:lang w:val="fr-CA"/>
              </w:rPr>
              <w:t>—</w:t>
            </w:r>
            <w:r w:rsidRPr="00776E55">
              <w:rPr>
                <w:sz w:val="20"/>
                <w:lang w:val="fr-CA"/>
              </w:rPr>
              <w:t xml:space="preserve"> La </w:t>
            </w:r>
            <w:r w:rsidRPr="00776E55">
              <w:rPr>
                <w:i/>
                <w:iCs/>
                <w:sz w:val="20"/>
                <w:lang w:val="fr-CA"/>
              </w:rPr>
              <w:t>Loi de 2002 sur la prescription des actions</w:t>
            </w:r>
            <w:r w:rsidRPr="00776E55">
              <w:rPr>
                <w:sz w:val="20"/>
                <w:lang w:val="fr-CA"/>
              </w:rPr>
              <w:t>, L.O. 2002, c. 24, ann. B., fait</w:t>
            </w:r>
            <w:r w:rsidRPr="00776E55">
              <w:rPr>
                <w:sz w:val="20"/>
                <w:lang w:val="fr-CA"/>
              </w:rPr>
              <w:noBreakHyphen/>
              <w:t>elle obstacle à une demande de jugement déclaratoire?</w:t>
            </w:r>
          </w:p>
        </w:tc>
      </w:tr>
      <w:tr w:rsidR="00142166" w:rsidRPr="001E30F0" w:rsidTr="00FB0311">
        <w:tc>
          <w:tcPr>
            <w:tcW w:w="5000" w:type="pct"/>
            <w:gridSpan w:val="4"/>
          </w:tcPr>
          <w:p w:rsidR="00142166" w:rsidRPr="00776E55" w:rsidRDefault="00142166" w:rsidP="00142166">
            <w:pPr>
              <w:jc w:val="both"/>
              <w:rPr>
                <w:sz w:val="20"/>
                <w:lang w:val="fr-CA"/>
              </w:rPr>
            </w:pPr>
          </w:p>
        </w:tc>
      </w:tr>
      <w:tr w:rsidR="00142166" w:rsidRPr="00776E55" w:rsidTr="00FB0311">
        <w:tc>
          <w:tcPr>
            <w:tcW w:w="5000" w:type="pct"/>
            <w:gridSpan w:val="4"/>
          </w:tcPr>
          <w:p w:rsidR="00142166" w:rsidRPr="00776E55" w:rsidRDefault="00142166" w:rsidP="00142166">
            <w:pPr>
              <w:jc w:val="both"/>
              <w:rPr>
                <w:sz w:val="20"/>
                <w:lang w:val="fr-CA"/>
              </w:rPr>
            </w:pPr>
            <w:r w:rsidRPr="00776E55">
              <w:rPr>
                <w:sz w:val="20"/>
                <w:lang w:val="fr-CA"/>
              </w:rPr>
              <w:t>On a mis fin à l’emploi du demandeur et l’application d’une disposition de son contrat de société relative à la retraite obligatoire a été déclenchée, le forçant à prendre sa retraite. Un différend est survenu entre les parties quant au juste montant des paiements après retraite. Les demandeurs ont poursuivi les intimées, alléguant que celles</w:t>
            </w:r>
            <w:r w:rsidRPr="00776E55">
              <w:rPr>
                <w:sz w:val="20"/>
                <w:lang w:val="fr-CA"/>
              </w:rPr>
              <w:noBreakHyphen/>
              <w:t>ci avaient contrevenu à l’entente de compensation après retraite.</w:t>
            </w:r>
          </w:p>
          <w:p w:rsidR="00142166" w:rsidRPr="00776E55" w:rsidRDefault="00142166" w:rsidP="00142166">
            <w:pPr>
              <w:jc w:val="both"/>
              <w:rPr>
                <w:sz w:val="20"/>
                <w:lang w:val="fr-CA"/>
              </w:rPr>
            </w:pPr>
          </w:p>
          <w:p w:rsidR="00142166" w:rsidRPr="00776E55" w:rsidRDefault="00142166" w:rsidP="00142166">
            <w:pPr>
              <w:jc w:val="both"/>
              <w:rPr>
                <w:sz w:val="20"/>
                <w:lang w:val="fr-CA"/>
              </w:rPr>
            </w:pPr>
            <w:r w:rsidRPr="00776E55">
              <w:rPr>
                <w:sz w:val="20"/>
                <w:lang w:val="fr-CA"/>
              </w:rPr>
              <w:t xml:space="preserve">Le juge des motions a accordé un jugement sommaire contre les demandeurs après avoir conclu que les demandes étaient prescrites en vertu de la </w:t>
            </w:r>
            <w:r w:rsidRPr="00776E55">
              <w:rPr>
                <w:i/>
                <w:iCs/>
                <w:sz w:val="20"/>
                <w:lang w:val="fr-CA"/>
              </w:rPr>
              <w:t>Loi de 2002 sur la prescription des actions</w:t>
            </w:r>
            <w:r w:rsidRPr="00776E55">
              <w:rPr>
                <w:iCs/>
                <w:sz w:val="20"/>
                <w:lang w:val="fr-CA"/>
              </w:rPr>
              <w:t>,</w:t>
            </w:r>
            <w:r w:rsidRPr="00776E55">
              <w:rPr>
                <w:rStyle w:val="Hyperlink"/>
                <w:sz w:val="20"/>
                <w:lang w:val="fr-CA"/>
              </w:rPr>
              <w:t xml:space="preserve"> </w:t>
            </w:r>
            <w:r w:rsidRPr="00776E55">
              <w:rPr>
                <w:rStyle w:val="Hyperlink"/>
                <w:color w:val="auto"/>
                <w:sz w:val="20"/>
                <w:u w:val="none"/>
                <w:lang w:val="fr-CA"/>
              </w:rPr>
              <w:t>L.O.</w:t>
            </w:r>
            <w:r w:rsidRPr="00776E55">
              <w:rPr>
                <w:sz w:val="20"/>
                <w:lang w:val="fr-CA"/>
              </w:rPr>
              <w:t xml:space="preserve"> 2002, c. 24, ann. B. La Cour d’appel a rejeté l’appel du demandeur.</w:t>
            </w:r>
          </w:p>
          <w:p w:rsidR="00142166" w:rsidRPr="00776E55" w:rsidRDefault="00142166" w:rsidP="00142166">
            <w:pPr>
              <w:jc w:val="both"/>
              <w:rPr>
                <w:sz w:val="20"/>
                <w:lang w:val="fr-CA"/>
              </w:rPr>
            </w:pPr>
          </w:p>
        </w:tc>
      </w:tr>
      <w:tr w:rsidR="00142166" w:rsidRPr="001E30F0" w:rsidTr="00FB0311">
        <w:tc>
          <w:tcPr>
            <w:tcW w:w="2427" w:type="pct"/>
            <w:gridSpan w:val="2"/>
          </w:tcPr>
          <w:p w:rsidR="00142166" w:rsidRPr="00776E55" w:rsidRDefault="00142166" w:rsidP="00142166">
            <w:pPr>
              <w:jc w:val="both"/>
              <w:rPr>
                <w:sz w:val="20"/>
                <w:lang w:val="fr-CA"/>
              </w:rPr>
            </w:pPr>
            <w:r w:rsidRPr="00776E55">
              <w:rPr>
                <w:sz w:val="20"/>
                <w:lang w:val="fr-CA"/>
              </w:rPr>
              <w:t>30 septembre 2021</w:t>
            </w:r>
          </w:p>
          <w:p w:rsidR="00142166" w:rsidRPr="00776E55" w:rsidRDefault="00142166" w:rsidP="00142166">
            <w:pPr>
              <w:jc w:val="both"/>
              <w:rPr>
                <w:sz w:val="20"/>
                <w:lang w:val="fr-CA"/>
              </w:rPr>
            </w:pPr>
            <w:r w:rsidRPr="00776E55">
              <w:rPr>
                <w:sz w:val="20"/>
                <w:lang w:val="fr-CA"/>
              </w:rPr>
              <w:t>Cour supérieure de justice de l’Ontario</w:t>
            </w:r>
          </w:p>
          <w:p w:rsidR="00142166" w:rsidRPr="00776E55" w:rsidRDefault="00142166" w:rsidP="00142166">
            <w:pPr>
              <w:jc w:val="both"/>
              <w:rPr>
                <w:sz w:val="20"/>
                <w:lang w:val="fr-CA"/>
              </w:rPr>
            </w:pPr>
            <w:r w:rsidRPr="00776E55">
              <w:rPr>
                <w:sz w:val="20"/>
                <w:lang w:val="fr-CA"/>
              </w:rPr>
              <w:t>(Juge Cavanagh)</w:t>
            </w:r>
          </w:p>
          <w:p w:rsidR="00142166" w:rsidRPr="00776E55" w:rsidRDefault="00142166" w:rsidP="00142166">
            <w:pPr>
              <w:tabs>
                <w:tab w:val="center" w:pos="2215"/>
              </w:tabs>
              <w:jc w:val="both"/>
              <w:rPr>
                <w:sz w:val="20"/>
                <w:lang w:val="fr-CA"/>
              </w:rPr>
            </w:pP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La motion en jugement sommaire rejetant l’action des demandeurs a été accueillie.</w:t>
            </w:r>
          </w:p>
          <w:p w:rsidR="00142166" w:rsidRPr="00776E55" w:rsidRDefault="00142166" w:rsidP="00142166">
            <w:pPr>
              <w:jc w:val="both"/>
              <w:rPr>
                <w:sz w:val="20"/>
                <w:lang w:val="fr-CA"/>
              </w:rPr>
            </w:pPr>
          </w:p>
        </w:tc>
      </w:tr>
      <w:tr w:rsidR="00142166" w:rsidRPr="00776E55" w:rsidTr="00FB0311">
        <w:tc>
          <w:tcPr>
            <w:tcW w:w="2427" w:type="pct"/>
            <w:gridSpan w:val="2"/>
          </w:tcPr>
          <w:p w:rsidR="00142166" w:rsidRPr="00776E55" w:rsidRDefault="00142166" w:rsidP="00142166">
            <w:pPr>
              <w:jc w:val="both"/>
              <w:rPr>
                <w:sz w:val="20"/>
                <w:lang w:val="fr-CA"/>
              </w:rPr>
            </w:pPr>
            <w:r w:rsidRPr="00776E55">
              <w:rPr>
                <w:sz w:val="20"/>
                <w:lang w:val="fr-CA"/>
              </w:rPr>
              <w:t>7 juillet 2022</w:t>
            </w:r>
          </w:p>
          <w:p w:rsidR="00142166" w:rsidRPr="00776E55" w:rsidRDefault="00142166" w:rsidP="00142166">
            <w:pPr>
              <w:jc w:val="both"/>
              <w:rPr>
                <w:sz w:val="20"/>
                <w:lang w:val="fr-CA"/>
              </w:rPr>
            </w:pPr>
            <w:r w:rsidRPr="00776E55">
              <w:rPr>
                <w:sz w:val="20"/>
                <w:lang w:val="fr-CA"/>
              </w:rPr>
              <w:t>Cour d’appel de l’Ontario</w:t>
            </w:r>
          </w:p>
          <w:p w:rsidR="00142166" w:rsidRPr="00776E55" w:rsidRDefault="00142166" w:rsidP="00142166">
            <w:pPr>
              <w:jc w:val="both"/>
              <w:rPr>
                <w:sz w:val="20"/>
                <w:lang w:val="fr-CA"/>
              </w:rPr>
            </w:pPr>
            <w:r w:rsidRPr="00776E55">
              <w:rPr>
                <w:sz w:val="20"/>
                <w:lang w:val="fr-CA"/>
              </w:rPr>
              <w:t>(Juges Brown, Roberts et Paciocco)</w:t>
            </w:r>
          </w:p>
          <w:p w:rsidR="00142166" w:rsidRPr="00776E55" w:rsidRDefault="001E30F0" w:rsidP="00142166">
            <w:pPr>
              <w:jc w:val="both"/>
              <w:rPr>
                <w:sz w:val="20"/>
                <w:lang w:val="fr-CA"/>
              </w:rPr>
            </w:pPr>
            <w:hyperlink r:id="rId38" w:history="1">
              <w:r w:rsidR="00142166" w:rsidRPr="00776E55">
                <w:rPr>
                  <w:rStyle w:val="Hyperlink"/>
                  <w:sz w:val="20"/>
                  <w:lang w:val="fr-CA"/>
                </w:rPr>
                <w:t>2022 ONCA 518</w:t>
              </w:r>
            </w:hyperlink>
          </w:p>
          <w:p w:rsidR="00142166" w:rsidRPr="00776E55" w:rsidRDefault="00142166" w:rsidP="00142166">
            <w:pPr>
              <w:jc w:val="both"/>
              <w:rPr>
                <w:sz w:val="20"/>
                <w:lang w:val="fr-CA"/>
              </w:rPr>
            </w:pPr>
            <w:r w:rsidRPr="00776E55">
              <w:rPr>
                <w:sz w:val="20"/>
                <w:lang w:val="fr-CA"/>
              </w:rPr>
              <w:t>N</w:t>
            </w:r>
            <w:r w:rsidRPr="00776E55">
              <w:rPr>
                <w:sz w:val="20"/>
                <w:vertAlign w:val="superscript"/>
                <w:lang w:val="fr-CA"/>
              </w:rPr>
              <w:t>o</w:t>
            </w:r>
            <w:r w:rsidRPr="00776E55">
              <w:rPr>
                <w:sz w:val="20"/>
                <w:lang w:val="fr-CA"/>
              </w:rPr>
              <w:t xml:space="preserve"> du dossier : C70043</w:t>
            </w:r>
          </w:p>
          <w:p w:rsidR="00142166" w:rsidRPr="00776E55" w:rsidRDefault="00142166" w:rsidP="00142166">
            <w:pPr>
              <w:jc w:val="both"/>
              <w:rPr>
                <w:sz w:val="20"/>
                <w:lang w:val="fr-CA"/>
              </w:rPr>
            </w:pP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Rejet de l’appel.</w:t>
            </w:r>
          </w:p>
          <w:p w:rsidR="00142166" w:rsidRPr="00776E55" w:rsidRDefault="00142166" w:rsidP="00142166">
            <w:pPr>
              <w:jc w:val="both"/>
              <w:rPr>
                <w:sz w:val="20"/>
                <w:lang w:val="fr-CA"/>
              </w:rPr>
            </w:pPr>
          </w:p>
        </w:tc>
      </w:tr>
      <w:tr w:rsidR="00142166" w:rsidRPr="001E30F0" w:rsidTr="00FB0311">
        <w:tc>
          <w:tcPr>
            <w:tcW w:w="2427" w:type="pct"/>
            <w:gridSpan w:val="2"/>
          </w:tcPr>
          <w:p w:rsidR="00142166" w:rsidRPr="00776E55" w:rsidRDefault="00142166" w:rsidP="00142166">
            <w:pPr>
              <w:jc w:val="both"/>
              <w:rPr>
                <w:sz w:val="20"/>
                <w:lang w:val="fr-CA"/>
              </w:rPr>
            </w:pPr>
            <w:r w:rsidRPr="00776E55">
              <w:rPr>
                <w:sz w:val="20"/>
                <w:lang w:val="fr-CA"/>
              </w:rPr>
              <w:t>3 octobre 2022</w:t>
            </w:r>
          </w:p>
          <w:p w:rsidR="00142166" w:rsidRPr="00776E55" w:rsidRDefault="00142166" w:rsidP="00142166">
            <w:pPr>
              <w:jc w:val="both"/>
              <w:rPr>
                <w:sz w:val="20"/>
                <w:lang w:val="fr-CA"/>
              </w:rPr>
            </w:pPr>
            <w:r w:rsidRPr="00776E55">
              <w:rPr>
                <w:sz w:val="20"/>
                <w:lang w:val="fr-CA"/>
              </w:rPr>
              <w:t>Cour suprême du Canada</w:t>
            </w:r>
          </w:p>
          <w:p w:rsidR="00142166" w:rsidRPr="00776E55" w:rsidRDefault="00142166" w:rsidP="00142166">
            <w:pPr>
              <w:jc w:val="both"/>
              <w:rPr>
                <w:sz w:val="20"/>
                <w:lang w:val="fr-CA"/>
              </w:rPr>
            </w:pP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Dépôt de la demande d’autorisation d’appel.</w:t>
            </w:r>
          </w:p>
          <w:p w:rsidR="00142166" w:rsidRPr="00776E55" w:rsidRDefault="00142166" w:rsidP="00142166">
            <w:pPr>
              <w:jc w:val="both"/>
              <w:rPr>
                <w:sz w:val="20"/>
                <w:lang w:val="fr-CA"/>
              </w:rPr>
            </w:pPr>
          </w:p>
        </w:tc>
      </w:tr>
      <w:tr w:rsidR="00142166" w:rsidRPr="001E30F0" w:rsidTr="00FB0311">
        <w:tc>
          <w:tcPr>
            <w:tcW w:w="2427" w:type="pct"/>
            <w:gridSpan w:val="2"/>
          </w:tcPr>
          <w:p w:rsidR="00142166" w:rsidRPr="00776E55" w:rsidRDefault="00142166" w:rsidP="00142166">
            <w:pPr>
              <w:jc w:val="both"/>
              <w:rPr>
                <w:sz w:val="20"/>
                <w:lang w:val="fr-CA"/>
              </w:rPr>
            </w:pPr>
            <w:r w:rsidRPr="00776E55">
              <w:rPr>
                <w:sz w:val="20"/>
                <w:lang w:val="fr-CA"/>
              </w:rPr>
              <w:t>12 octobre 2022</w:t>
            </w:r>
          </w:p>
          <w:p w:rsidR="00142166" w:rsidRPr="00776E55" w:rsidRDefault="00142166" w:rsidP="00142166">
            <w:pPr>
              <w:jc w:val="both"/>
              <w:rPr>
                <w:sz w:val="20"/>
                <w:lang w:val="fr-CA"/>
              </w:rPr>
            </w:pPr>
            <w:r w:rsidRPr="00776E55">
              <w:rPr>
                <w:sz w:val="20"/>
                <w:lang w:val="fr-CA"/>
              </w:rPr>
              <w:t>Cour suprême du Canada</w:t>
            </w: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Requête en prorogation du délai de dépôt et/ou de signification de la demande d’autorisation.</w:t>
            </w:r>
          </w:p>
        </w:tc>
      </w:tr>
    </w:tbl>
    <w:p w:rsidR="00142166" w:rsidRPr="00776E55" w:rsidRDefault="00142166" w:rsidP="00142166">
      <w:pPr>
        <w:jc w:val="both"/>
        <w:rPr>
          <w:sz w:val="20"/>
          <w:lang w:val="fr-CA"/>
        </w:rPr>
      </w:pPr>
    </w:p>
    <w:p w:rsidR="00142166" w:rsidRPr="00776E55" w:rsidRDefault="001E30F0" w:rsidP="00142166">
      <w:pPr>
        <w:jc w:val="both"/>
        <w:rPr>
          <w:sz w:val="20"/>
          <w:lang w:val="fr-CA"/>
        </w:rPr>
      </w:pPr>
      <w:r>
        <w:rPr>
          <w:sz w:val="20"/>
        </w:rPr>
        <w:pict>
          <v:rect id="_x0000_i1032" style="width:2in;height:1pt" o:hrpct="0" o:hralign="center" o:hrstd="t" o:hrnoshade="t" o:hr="t" fillcolor="black [3213]" stroked="f"/>
        </w:pict>
      </w:r>
    </w:p>
    <w:p w:rsidR="00142166" w:rsidRPr="00776E55" w:rsidRDefault="00142166" w:rsidP="001421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2166" w:rsidRPr="00776E55" w:rsidTr="00FB0311">
        <w:tc>
          <w:tcPr>
            <w:tcW w:w="543" w:type="pct"/>
          </w:tcPr>
          <w:p w:rsidR="00142166" w:rsidRPr="00776E55" w:rsidRDefault="00142166" w:rsidP="00142166">
            <w:pPr>
              <w:jc w:val="both"/>
              <w:rPr>
                <w:sz w:val="20"/>
                <w:lang w:val="en-CA"/>
              </w:rPr>
            </w:pPr>
            <w:r w:rsidRPr="00776E55">
              <w:rPr>
                <w:rStyle w:val="SCCFileNumberChar"/>
                <w:sz w:val="20"/>
                <w:szCs w:val="20"/>
              </w:rPr>
              <w:t>40425</w:t>
            </w:r>
          </w:p>
        </w:tc>
        <w:tc>
          <w:tcPr>
            <w:tcW w:w="4457" w:type="pct"/>
            <w:gridSpan w:val="3"/>
          </w:tcPr>
          <w:p w:rsidR="00142166" w:rsidRPr="00776E55" w:rsidRDefault="00142166" w:rsidP="00142166">
            <w:pPr>
              <w:pStyle w:val="SCCLsocParty"/>
              <w:jc w:val="both"/>
              <w:rPr>
                <w:b/>
                <w:sz w:val="20"/>
                <w:szCs w:val="20"/>
              </w:rPr>
            </w:pPr>
            <w:r w:rsidRPr="00776E55">
              <w:rPr>
                <w:b/>
                <w:sz w:val="20"/>
                <w:szCs w:val="20"/>
              </w:rPr>
              <w:t>Daniel Awanda v. AMBC Ventures Inc.</w:t>
            </w:r>
          </w:p>
          <w:p w:rsidR="00142166" w:rsidRPr="00776E55" w:rsidRDefault="00142166" w:rsidP="00142166">
            <w:pPr>
              <w:jc w:val="both"/>
              <w:rPr>
                <w:sz w:val="20"/>
                <w:lang w:val="en-CA"/>
              </w:rPr>
            </w:pPr>
            <w:r w:rsidRPr="00776E55">
              <w:rPr>
                <w:sz w:val="20"/>
                <w:lang w:val="en-CA"/>
              </w:rPr>
              <w:t>(Que.) (Civil) (By Leave)</w:t>
            </w:r>
          </w:p>
        </w:tc>
      </w:tr>
      <w:tr w:rsidR="00142166" w:rsidRPr="00776E55" w:rsidTr="00FB0311">
        <w:tc>
          <w:tcPr>
            <w:tcW w:w="5000" w:type="pct"/>
            <w:gridSpan w:val="4"/>
          </w:tcPr>
          <w:p w:rsidR="00142166" w:rsidRPr="00776E55" w:rsidRDefault="00142166" w:rsidP="00142166">
            <w:pPr>
              <w:jc w:val="both"/>
              <w:rPr>
                <w:sz w:val="20"/>
                <w:lang w:val="en-CA"/>
              </w:rPr>
            </w:pPr>
            <w:proofErr w:type="gramStart"/>
            <w:r w:rsidRPr="00776E55">
              <w:rPr>
                <w:sz w:val="20"/>
                <w:lang w:val="en-CA"/>
              </w:rPr>
              <w:t xml:space="preserve">Private international law — Foreign judgments — Recognition and enforcement of foreign decisions — Whether offence under s. 347 of </w:t>
            </w:r>
            <w:r w:rsidRPr="00776E55">
              <w:rPr>
                <w:i/>
                <w:sz w:val="20"/>
                <w:lang w:val="en-CA"/>
              </w:rPr>
              <w:t>Criminal Code</w:t>
            </w:r>
            <w:r w:rsidRPr="00776E55">
              <w:rPr>
                <w:sz w:val="20"/>
                <w:lang w:val="en-CA"/>
              </w:rPr>
              <w:t>, R.S.C. 1985, c. C-46, must be assessed solely on basis of amounts paid in Canada — Whether judge hearing application for enforcement may, without justification, arbitrarily choose elements to consider or not to consider in operative part of foreign judgment — Whether ordering payment in context of clear offence under s. 347 that is still ongoing is consistent with international public order of Quebec — Whether Canadian courts, in applying art.</w:t>
            </w:r>
            <w:proofErr w:type="gramEnd"/>
            <w:r w:rsidRPr="00776E55">
              <w:rPr>
                <w:sz w:val="20"/>
                <w:lang w:val="en-CA"/>
              </w:rPr>
              <w:t xml:space="preserve"> 3159 of </w:t>
            </w:r>
            <w:r w:rsidRPr="00776E55">
              <w:rPr>
                <w:i/>
                <w:sz w:val="20"/>
                <w:lang w:val="en-CA"/>
              </w:rPr>
              <w:t xml:space="preserve">Civil Code of </w:t>
            </w:r>
            <w:proofErr w:type="gramStart"/>
            <w:r w:rsidRPr="00776E55">
              <w:rPr>
                <w:i/>
                <w:sz w:val="20"/>
                <w:lang w:val="en-CA"/>
              </w:rPr>
              <w:t>Québec</w:t>
            </w:r>
            <w:r w:rsidRPr="00776E55">
              <w:rPr>
                <w:sz w:val="20"/>
                <w:lang w:val="en-CA"/>
              </w:rPr>
              <w:t>,</w:t>
            </w:r>
            <w:proofErr w:type="gramEnd"/>
            <w:r w:rsidRPr="00776E55">
              <w:rPr>
                <w:sz w:val="20"/>
                <w:lang w:val="en-CA"/>
              </w:rPr>
              <w:t xml:space="preserve"> are free to partition foreign decision, or provisions thereof, differently than foreign judge did through his orders — Whether Quebec court can order reimbursement in Quebec of means expended to produce outcome found to be inconsistent with international public order of Quebec.</w:t>
            </w:r>
          </w:p>
        </w:tc>
      </w:tr>
      <w:tr w:rsidR="00142166" w:rsidRPr="00776E55" w:rsidTr="00FB0311">
        <w:tc>
          <w:tcPr>
            <w:tcW w:w="5000" w:type="pct"/>
            <w:gridSpan w:val="4"/>
          </w:tcPr>
          <w:p w:rsidR="00142166" w:rsidRPr="00776E55" w:rsidRDefault="00142166" w:rsidP="00142166">
            <w:pPr>
              <w:jc w:val="both"/>
              <w:rPr>
                <w:sz w:val="20"/>
                <w:lang w:val="en-CA"/>
              </w:rPr>
            </w:pPr>
          </w:p>
        </w:tc>
      </w:tr>
      <w:tr w:rsidR="00142166" w:rsidRPr="00776E55" w:rsidTr="00FB0311">
        <w:tc>
          <w:tcPr>
            <w:tcW w:w="5000" w:type="pct"/>
            <w:gridSpan w:val="4"/>
          </w:tcPr>
          <w:p w:rsidR="00142166" w:rsidRPr="00776E55" w:rsidRDefault="00142166" w:rsidP="00142166">
            <w:pPr>
              <w:jc w:val="both"/>
              <w:rPr>
                <w:sz w:val="20"/>
                <w:lang w:val="en-CA"/>
              </w:rPr>
            </w:pPr>
            <w:r w:rsidRPr="00776E55">
              <w:rPr>
                <w:sz w:val="20"/>
                <w:lang w:val="en-CA"/>
              </w:rPr>
              <w:t xml:space="preserve">The Quebec Superior Court allowed in part an application brought by the respondent, AMBC Ventures Inc., for the recognition and enforcement of an English judgment that gave effect to a loan contract providing for interest at an effective annual rate that exceeded the 60% limit provided for in s. 347 of the </w:t>
            </w:r>
            <w:r w:rsidRPr="00776E55">
              <w:rPr>
                <w:i/>
                <w:sz w:val="20"/>
                <w:lang w:val="en-CA"/>
              </w:rPr>
              <w:t>Criminal Code</w:t>
            </w:r>
            <w:r w:rsidRPr="00776E55">
              <w:rPr>
                <w:sz w:val="20"/>
                <w:lang w:val="en-CA"/>
              </w:rPr>
              <w:t xml:space="preserve">, R.S.C. 1985, </w:t>
            </w:r>
            <w:proofErr w:type="gramStart"/>
            <w:r w:rsidRPr="00776E55">
              <w:rPr>
                <w:sz w:val="20"/>
                <w:lang w:val="en-CA"/>
              </w:rPr>
              <w:t>c</w:t>
            </w:r>
            <w:proofErr w:type="gramEnd"/>
            <w:r w:rsidRPr="00776E55">
              <w:rPr>
                <w:sz w:val="20"/>
                <w:lang w:val="en-CA"/>
              </w:rPr>
              <w:t xml:space="preserve">. C-46. The trial judge held that s. 347 sets out a rule of international public order and that the English judgment, which was contrary to that provision, therefore led to an outcome that was manifestly inconsistent with public order as understood in international relations, within the meaning of art. 3155(5) of the </w:t>
            </w:r>
            <w:r w:rsidRPr="00776E55">
              <w:rPr>
                <w:i/>
                <w:sz w:val="20"/>
                <w:lang w:val="en-CA"/>
              </w:rPr>
              <w:t xml:space="preserve">Civil Code of Québec </w:t>
            </w:r>
            <w:r w:rsidRPr="00776E55">
              <w:rPr>
                <w:sz w:val="20"/>
                <w:lang w:val="en-CA"/>
              </w:rPr>
              <w:t>(“C.C.Q.”). He accordingly ordered the applicant, Mr. Awanda, the surety for the loan, to repay the principal of the loan to the respondent and to pay part of the contractual interest, which he computed by applying an effective annual rate of 60%. The Quebec Court of Appeal allowed the applicant’s appeal in part. It found that the trial judge had erred in law in recognizing the part of the English judgment relating to the payment of contractual interest. Under art. </w:t>
            </w:r>
            <w:r w:rsidRPr="00776E55">
              <w:rPr>
                <w:color w:val="000000"/>
                <w:sz w:val="20"/>
                <w:lang w:val="en-CA"/>
              </w:rPr>
              <w:t xml:space="preserve">3159 C.C.Q., the judge should have limited himself to recognizing the part of the judgment relating to the repayment of the principal. The appeal </w:t>
            </w:r>
            <w:proofErr w:type="gramStart"/>
            <w:r w:rsidRPr="00776E55">
              <w:rPr>
                <w:color w:val="000000"/>
                <w:sz w:val="20"/>
                <w:lang w:val="en-CA"/>
              </w:rPr>
              <w:t>was therefore allowed</w:t>
            </w:r>
            <w:proofErr w:type="gramEnd"/>
            <w:r w:rsidRPr="00776E55">
              <w:rPr>
                <w:color w:val="000000"/>
                <w:sz w:val="20"/>
                <w:lang w:val="en-CA"/>
              </w:rPr>
              <w:t xml:space="preserve"> for the sole purpose of replacing the operative part of the trial judgment relating to the amount. </w:t>
            </w:r>
          </w:p>
          <w:p w:rsidR="00142166" w:rsidRPr="00776E55" w:rsidRDefault="00142166" w:rsidP="00142166">
            <w:pPr>
              <w:jc w:val="both"/>
              <w:rPr>
                <w:sz w:val="20"/>
                <w:lang w:val="en-CA"/>
              </w:rPr>
            </w:pPr>
          </w:p>
        </w:tc>
      </w:tr>
      <w:tr w:rsidR="00142166" w:rsidRPr="00776E55" w:rsidTr="00FB0311">
        <w:tc>
          <w:tcPr>
            <w:tcW w:w="2427" w:type="pct"/>
            <w:gridSpan w:val="2"/>
          </w:tcPr>
          <w:p w:rsidR="00142166" w:rsidRPr="00776E55" w:rsidRDefault="00142166" w:rsidP="00142166">
            <w:pPr>
              <w:jc w:val="both"/>
              <w:rPr>
                <w:sz w:val="20"/>
                <w:lang w:val="en-CA"/>
              </w:rPr>
            </w:pPr>
            <w:r w:rsidRPr="00776E55">
              <w:rPr>
                <w:sz w:val="20"/>
                <w:lang w:val="en-CA"/>
              </w:rPr>
              <w:t>February 22, 2021</w:t>
            </w:r>
          </w:p>
          <w:p w:rsidR="00142166" w:rsidRPr="00776E55" w:rsidRDefault="00142166" w:rsidP="00142166">
            <w:pPr>
              <w:jc w:val="both"/>
              <w:rPr>
                <w:sz w:val="20"/>
                <w:lang w:val="en-CA"/>
              </w:rPr>
            </w:pPr>
            <w:r w:rsidRPr="00776E55">
              <w:rPr>
                <w:sz w:val="20"/>
                <w:lang w:val="en-CA"/>
              </w:rPr>
              <w:t>Quebec Superior Court</w:t>
            </w:r>
          </w:p>
          <w:p w:rsidR="00142166" w:rsidRPr="00776E55" w:rsidRDefault="00142166" w:rsidP="00142166">
            <w:pPr>
              <w:jc w:val="both"/>
              <w:rPr>
                <w:sz w:val="20"/>
                <w:lang w:val="en-CA"/>
              </w:rPr>
            </w:pPr>
            <w:r w:rsidRPr="00776E55">
              <w:rPr>
                <w:sz w:val="20"/>
                <w:lang w:val="en-CA"/>
              </w:rPr>
              <w:t>(Barin J.)</w:t>
            </w:r>
          </w:p>
          <w:p w:rsidR="00142166" w:rsidRPr="00776E55" w:rsidRDefault="001E30F0" w:rsidP="00142166">
            <w:pPr>
              <w:jc w:val="both"/>
              <w:rPr>
                <w:sz w:val="20"/>
                <w:lang w:val="en-CA"/>
              </w:rPr>
            </w:pPr>
            <w:hyperlink r:id="rId39" w:history="1">
              <w:r w:rsidR="00142166" w:rsidRPr="00776E55">
                <w:rPr>
                  <w:rStyle w:val="Hyperlink"/>
                  <w:sz w:val="20"/>
                  <w:lang w:val="en-CA"/>
                </w:rPr>
                <w:t>2021 QCCS 543</w:t>
              </w:r>
            </w:hyperlink>
          </w:p>
          <w:p w:rsidR="00142166" w:rsidRPr="00776E55" w:rsidRDefault="00142166" w:rsidP="00142166">
            <w:pPr>
              <w:jc w:val="both"/>
              <w:rPr>
                <w:sz w:val="20"/>
                <w:lang w:val="en-CA"/>
              </w:rPr>
            </w:pPr>
          </w:p>
        </w:tc>
        <w:tc>
          <w:tcPr>
            <w:tcW w:w="243" w:type="pct"/>
          </w:tcPr>
          <w:p w:rsidR="00142166" w:rsidRPr="00776E55" w:rsidRDefault="00142166" w:rsidP="00142166">
            <w:pPr>
              <w:jc w:val="both"/>
              <w:rPr>
                <w:sz w:val="20"/>
                <w:lang w:val="en-CA"/>
              </w:rPr>
            </w:pPr>
          </w:p>
        </w:tc>
        <w:tc>
          <w:tcPr>
            <w:tcW w:w="2330" w:type="pct"/>
          </w:tcPr>
          <w:p w:rsidR="00142166" w:rsidRPr="00776E55" w:rsidRDefault="00142166" w:rsidP="00142166">
            <w:pPr>
              <w:jc w:val="both"/>
              <w:rPr>
                <w:sz w:val="20"/>
                <w:lang w:val="en-CA"/>
              </w:rPr>
            </w:pPr>
            <w:r w:rsidRPr="00776E55">
              <w:rPr>
                <w:sz w:val="20"/>
                <w:lang w:val="en-CA"/>
              </w:rPr>
              <w:t>Application for recognition and enforcement of English judgment allowed in part</w:t>
            </w:r>
          </w:p>
          <w:p w:rsidR="00142166" w:rsidRPr="00776E55" w:rsidRDefault="00142166" w:rsidP="00142166">
            <w:pPr>
              <w:jc w:val="both"/>
              <w:rPr>
                <w:sz w:val="20"/>
                <w:lang w:val="en-CA"/>
              </w:rPr>
            </w:pPr>
          </w:p>
        </w:tc>
      </w:tr>
      <w:tr w:rsidR="00142166" w:rsidRPr="00776E55" w:rsidTr="00FB0311">
        <w:tc>
          <w:tcPr>
            <w:tcW w:w="2427" w:type="pct"/>
            <w:gridSpan w:val="2"/>
          </w:tcPr>
          <w:p w:rsidR="00142166" w:rsidRPr="00776E55" w:rsidRDefault="00142166" w:rsidP="00142166">
            <w:pPr>
              <w:jc w:val="both"/>
              <w:rPr>
                <w:sz w:val="20"/>
                <w:lang w:val="en-CA"/>
              </w:rPr>
            </w:pPr>
            <w:r w:rsidRPr="00776E55">
              <w:rPr>
                <w:sz w:val="20"/>
                <w:lang w:val="en-CA"/>
              </w:rPr>
              <w:t>August 19, 2022</w:t>
            </w:r>
          </w:p>
          <w:p w:rsidR="00142166" w:rsidRPr="00776E55" w:rsidRDefault="00142166" w:rsidP="00142166">
            <w:pPr>
              <w:jc w:val="both"/>
              <w:rPr>
                <w:sz w:val="20"/>
                <w:lang w:val="en-CA"/>
              </w:rPr>
            </w:pPr>
            <w:r w:rsidRPr="00776E55">
              <w:rPr>
                <w:sz w:val="20"/>
                <w:lang w:val="en-CA"/>
              </w:rPr>
              <w:t>Quebec Court of Appeal (Montréal)</w:t>
            </w:r>
          </w:p>
          <w:p w:rsidR="00142166" w:rsidRPr="00776E55" w:rsidRDefault="00142166" w:rsidP="00142166">
            <w:pPr>
              <w:jc w:val="both"/>
              <w:rPr>
                <w:sz w:val="20"/>
                <w:lang w:val="en-CA"/>
              </w:rPr>
            </w:pPr>
            <w:r w:rsidRPr="00776E55">
              <w:rPr>
                <w:sz w:val="20"/>
                <w:lang w:val="en-CA"/>
              </w:rPr>
              <w:t>(Gagnon, Beaupré and Bachand JJ.A.)</w:t>
            </w:r>
          </w:p>
          <w:p w:rsidR="00142166" w:rsidRPr="00776E55" w:rsidRDefault="001E30F0" w:rsidP="00142166">
            <w:pPr>
              <w:jc w:val="both"/>
              <w:rPr>
                <w:sz w:val="20"/>
                <w:lang w:val="en-CA"/>
              </w:rPr>
            </w:pPr>
            <w:hyperlink r:id="rId40" w:history="1">
              <w:r w:rsidR="00142166" w:rsidRPr="00776E55">
                <w:rPr>
                  <w:rStyle w:val="Hyperlink"/>
                  <w:sz w:val="20"/>
                  <w:lang w:val="en-CA"/>
                </w:rPr>
                <w:t>2022 QCCA 1133</w:t>
              </w:r>
            </w:hyperlink>
          </w:p>
          <w:p w:rsidR="00142166" w:rsidRPr="00776E55" w:rsidRDefault="00142166" w:rsidP="00142166">
            <w:pPr>
              <w:jc w:val="both"/>
              <w:rPr>
                <w:sz w:val="20"/>
                <w:lang w:val="en-CA"/>
              </w:rPr>
            </w:pPr>
          </w:p>
        </w:tc>
        <w:tc>
          <w:tcPr>
            <w:tcW w:w="243" w:type="pct"/>
          </w:tcPr>
          <w:p w:rsidR="00142166" w:rsidRPr="00776E55" w:rsidRDefault="00142166" w:rsidP="00142166">
            <w:pPr>
              <w:jc w:val="both"/>
              <w:rPr>
                <w:sz w:val="20"/>
                <w:lang w:val="en-CA"/>
              </w:rPr>
            </w:pPr>
          </w:p>
        </w:tc>
        <w:tc>
          <w:tcPr>
            <w:tcW w:w="2330" w:type="pct"/>
          </w:tcPr>
          <w:p w:rsidR="00142166" w:rsidRPr="00776E55" w:rsidRDefault="00142166" w:rsidP="00142166">
            <w:pPr>
              <w:jc w:val="both"/>
              <w:rPr>
                <w:sz w:val="20"/>
                <w:lang w:val="en-CA"/>
              </w:rPr>
            </w:pPr>
            <w:r w:rsidRPr="00776E55">
              <w:rPr>
                <w:sz w:val="20"/>
                <w:lang w:val="en-CA"/>
              </w:rPr>
              <w:t xml:space="preserve">Appeal allowed in part for sole purpose of replacing third paragraph of operative part of judgment </w:t>
            </w:r>
          </w:p>
          <w:p w:rsidR="00142166" w:rsidRPr="00776E55" w:rsidRDefault="00142166" w:rsidP="00142166">
            <w:pPr>
              <w:jc w:val="both"/>
              <w:rPr>
                <w:sz w:val="20"/>
                <w:lang w:val="en-CA"/>
              </w:rPr>
            </w:pPr>
          </w:p>
        </w:tc>
      </w:tr>
      <w:tr w:rsidR="00142166" w:rsidRPr="00776E55" w:rsidTr="00FB0311">
        <w:tc>
          <w:tcPr>
            <w:tcW w:w="2427" w:type="pct"/>
            <w:gridSpan w:val="2"/>
          </w:tcPr>
          <w:p w:rsidR="00142166" w:rsidRPr="00776E55" w:rsidRDefault="00142166" w:rsidP="00142166">
            <w:pPr>
              <w:jc w:val="both"/>
              <w:rPr>
                <w:sz w:val="20"/>
                <w:lang w:val="en-CA"/>
              </w:rPr>
            </w:pPr>
            <w:r w:rsidRPr="00776E55">
              <w:rPr>
                <w:sz w:val="20"/>
                <w:lang w:val="en-CA"/>
              </w:rPr>
              <w:t>October 14, 2022</w:t>
            </w:r>
          </w:p>
          <w:p w:rsidR="00142166" w:rsidRPr="00776E55" w:rsidRDefault="00142166" w:rsidP="00142166">
            <w:pPr>
              <w:jc w:val="both"/>
              <w:rPr>
                <w:sz w:val="20"/>
                <w:lang w:val="en-CA"/>
              </w:rPr>
            </w:pPr>
            <w:r w:rsidRPr="00776E55">
              <w:rPr>
                <w:sz w:val="20"/>
                <w:lang w:val="en-CA"/>
              </w:rPr>
              <w:t>Supreme Court of Canada</w:t>
            </w:r>
          </w:p>
        </w:tc>
        <w:tc>
          <w:tcPr>
            <w:tcW w:w="243" w:type="pct"/>
          </w:tcPr>
          <w:p w:rsidR="00142166" w:rsidRPr="00776E55" w:rsidRDefault="00142166" w:rsidP="00142166">
            <w:pPr>
              <w:jc w:val="both"/>
              <w:rPr>
                <w:sz w:val="20"/>
                <w:lang w:val="en-CA"/>
              </w:rPr>
            </w:pPr>
          </w:p>
        </w:tc>
        <w:tc>
          <w:tcPr>
            <w:tcW w:w="2330" w:type="pct"/>
          </w:tcPr>
          <w:p w:rsidR="00142166" w:rsidRPr="00776E55" w:rsidRDefault="00142166" w:rsidP="00142166">
            <w:pPr>
              <w:jc w:val="both"/>
              <w:rPr>
                <w:sz w:val="20"/>
                <w:lang w:val="en-CA"/>
              </w:rPr>
            </w:pPr>
            <w:r w:rsidRPr="00776E55">
              <w:rPr>
                <w:sz w:val="20"/>
                <w:lang w:val="en-CA"/>
              </w:rPr>
              <w:t>Application for leave to appeal filed</w:t>
            </w:r>
          </w:p>
          <w:p w:rsidR="00142166" w:rsidRPr="00776E55" w:rsidRDefault="00142166" w:rsidP="00142166">
            <w:pPr>
              <w:jc w:val="both"/>
              <w:rPr>
                <w:sz w:val="20"/>
                <w:lang w:val="en-CA"/>
              </w:rPr>
            </w:pPr>
          </w:p>
        </w:tc>
      </w:tr>
    </w:tbl>
    <w:p w:rsidR="00142166" w:rsidRPr="00776E55" w:rsidRDefault="00142166" w:rsidP="00142166">
      <w:pPr>
        <w:jc w:val="both"/>
        <w:rPr>
          <w:sz w:val="20"/>
          <w:lang w:val="en-CA"/>
        </w:rPr>
      </w:pPr>
    </w:p>
    <w:p w:rsidR="00142166" w:rsidRPr="00776E55" w:rsidRDefault="001E30F0" w:rsidP="00142166">
      <w:pPr>
        <w:jc w:val="both"/>
        <w:rPr>
          <w:sz w:val="20"/>
          <w:lang w:val="en-CA"/>
        </w:rPr>
      </w:pPr>
      <w:r>
        <w:rPr>
          <w:sz w:val="20"/>
        </w:rPr>
        <w:pict>
          <v:rect id="_x0000_i1033" style="width:2in;height:1pt" o:hrpct="0" o:hralign="center" o:hrstd="t" o:hrnoshade="t" o:hr="t" fillcolor="black [3213]" stroked="f"/>
        </w:pict>
      </w:r>
    </w:p>
    <w:p w:rsidR="00142166" w:rsidRPr="00776E55" w:rsidRDefault="00142166" w:rsidP="0014216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2166" w:rsidRPr="00776E55" w:rsidTr="00FB0311">
        <w:tc>
          <w:tcPr>
            <w:tcW w:w="543" w:type="pct"/>
          </w:tcPr>
          <w:p w:rsidR="00142166" w:rsidRPr="00776E55" w:rsidRDefault="00142166" w:rsidP="00142166">
            <w:pPr>
              <w:jc w:val="both"/>
              <w:rPr>
                <w:sz w:val="20"/>
              </w:rPr>
            </w:pPr>
            <w:r w:rsidRPr="00776E55">
              <w:rPr>
                <w:rStyle w:val="SCCFileNumberChar"/>
                <w:sz w:val="20"/>
                <w:szCs w:val="20"/>
              </w:rPr>
              <w:t>40425</w:t>
            </w:r>
          </w:p>
        </w:tc>
        <w:tc>
          <w:tcPr>
            <w:tcW w:w="4457" w:type="pct"/>
            <w:gridSpan w:val="3"/>
          </w:tcPr>
          <w:p w:rsidR="00142166" w:rsidRPr="00776E55" w:rsidRDefault="00142166" w:rsidP="00142166">
            <w:pPr>
              <w:pStyle w:val="SCCLsocParty"/>
              <w:jc w:val="both"/>
              <w:rPr>
                <w:b/>
                <w:sz w:val="20"/>
                <w:szCs w:val="20"/>
              </w:rPr>
            </w:pPr>
            <w:r w:rsidRPr="00776E55">
              <w:rPr>
                <w:b/>
                <w:sz w:val="20"/>
                <w:szCs w:val="20"/>
              </w:rPr>
              <w:t>Daniel Awanda c. AMBC Ventures inc.</w:t>
            </w:r>
          </w:p>
          <w:p w:rsidR="00142166" w:rsidRPr="00776E55" w:rsidRDefault="00142166" w:rsidP="00142166">
            <w:pPr>
              <w:jc w:val="both"/>
              <w:rPr>
                <w:sz w:val="20"/>
              </w:rPr>
            </w:pPr>
            <w:r w:rsidRPr="00776E55">
              <w:rPr>
                <w:sz w:val="20"/>
              </w:rPr>
              <w:t>(Qc) (Civile) (Autorisation)</w:t>
            </w:r>
          </w:p>
        </w:tc>
      </w:tr>
      <w:tr w:rsidR="00142166" w:rsidRPr="001E30F0" w:rsidTr="00FB0311">
        <w:tc>
          <w:tcPr>
            <w:tcW w:w="5000" w:type="pct"/>
            <w:gridSpan w:val="4"/>
          </w:tcPr>
          <w:p w:rsidR="00142166" w:rsidRPr="00776E55" w:rsidRDefault="00142166" w:rsidP="00142166">
            <w:pPr>
              <w:jc w:val="both"/>
              <w:rPr>
                <w:sz w:val="20"/>
                <w:lang w:val="fr-CA"/>
              </w:rPr>
            </w:pPr>
            <w:r w:rsidRPr="00776E55">
              <w:rPr>
                <w:sz w:val="20"/>
                <w:lang w:val="fr-CA"/>
              </w:rPr>
              <w:t xml:space="preserve">Droit international privé — Jugements étrangers — Reconnaissance et exécution des décisions étrangères — L’infraction prévue à l’art. 347 du </w:t>
            </w:r>
            <w:r w:rsidRPr="00776E55">
              <w:rPr>
                <w:i/>
                <w:sz w:val="20"/>
                <w:lang w:val="fr-CA"/>
              </w:rPr>
              <w:t>Code criminel</w:t>
            </w:r>
            <w:r w:rsidRPr="00776E55">
              <w:rPr>
                <w:sz w:val="20"/>
                <w:lang w:val="fr-CA"/>
              </w:rPr>
              <w:t xml:space="preserve">, L.R.C. 1985, c. C-46, doit-elle s’apprécier uniquement en fonction des montants déboursés au Canada? — Le juge agissant en exequatur peut-il, sans justification, procéder à une sélection arbitraire des éléments à considérer ou à ne pas considérer dans le dispositif qui émane du jugement étranger? — Ordonner un paiement dans le cadre d’une infraction manifeste à l’art. 347 qui a toujours cours est-il conforme à l’ordre public international du Québec? — Dans l’application de l’art. 3159 du </w:t>
            </w:r>
            <w:r w:rsidRPr="00776E55">
              <w:rPr>
                <w:i/>
                <w:sz w:val="20"/>
                <w:lang w:val="fr-CA"/>
              </w:rPr>
              <w:t>Code civil du Québec</w:t>
            </w:r>
            <w:r w:rsidRPr="00776E55">
              <w:rPr>
                <w:sz w:val="20"/>
                <w:lang w:val="fr-CA"/>
              </w:rPr>
              <w:t>, les tribunaux canadiens ont-ils la liberté de faire une partition des demandes ou de la décision étrangère différente de la partition faite par le juge étranger à travers ses ordonnances? — Un tribunal québécois peut-il ordonner le remboursement au Québec de moyens qui ont produit un résultat jugé non conforme à l’ordre public international du Québec?</w:t>
            </w:r>
          </w:p>
        </w:tc>
      </w:tr>
      <w:tr w:rsidR="00142166" w:rsidRPr="001E30F0" w:rsidTr="00FB0311">
        <w:tc>
          <w:tcPr>
            <w:tcW w:w="5000" w:type="pct"/>
            <w:gridSpan w:val="4"/>
          </w:tcPr>
          <w:p w:rsidR="00142166" w:rsidRPr="00776E55" w:rsidRDefault="00142166" w:rsidP="00142166">
            <w:pPr>
              <w:jc w:val="both"/>
              <w:rPr>
                <w:sz w:val="20"/>
                <w:lang w:val="fr-CA"/>
              </w:rPr>
            </w:pPr>
          </w:p>
        </w:tc>
      </w:tr>
      <w:tr w:rsidR="00142166" w:rsidRPr="001E30F0" w:rsidTr="00FB0311">
        <w:tc>
          <w:tcPr>
            <w:tcW w:w="5000" w:type="pct"/>
            <w:gridSpan w:val="4"/>
          </w:tcPr>
          <w:p w:rsidR="00142166" w:rsidRPr="00776E55" w:rsidRDefault="00142166" w:rsidP="00142166">
            <w:pPr>
              <w:jc w:val="both"/>
              <w:rPr>
                <w:sz w:val="20"/>
                <w:lang w:val="fr-CA"/>
              </w:rPr>
            </w:pPr>
            <w:r w:rsidRPr="00776E55">
              <w:rPr>
                <w:sz w:val="20"/>
                <w:lang w:val="fr-CA"/>
              </w:rPr>
              <w:t>La Cour supérieure du Québec accueille en partie la demande de l’intimée, AMBC Ventures inc</w:t>
            </w:r>
            <w:proofErr w:type="gramStart"/>
            <w:r w:rsidRPr="00776E55">
              <w:rPr>
                <w:sz w:val="20"/>
                <w:lang w:val="fr-CA"/>
              </w:rPr>
              <w:t>.,</w:t>
            </w:r>
            <w:proofErr w:type="gramEnd"/>
            <w:r w:rsidRPr="00776E55">
              <w:rPr>
                <w:sz w:val="20"/>
                <w:lang w:val="fr-CA"/>
              </w:rPr>
              <w:t xml:space="preserve"> </w:t>
            </w:r>
          </w:p>
          <w:p w:rsidR="00142166" w:rsidRPr="00776E55" w:rsidRDefault="00142166" w:rsidP="00142166">
            <w:pPr>
              <w:jc w:val="both"/>
              <w:rPr>
                <w:sz w:val="20"/>
                <w:lang w:val="fr-CA"/>
              </w:rPr>
            </w:pPr>
            <w:r w:rsidRPr="00776E55">
              <w:rPr>
                <w:sz w:val="20"/>
                <w:lang w:val="fr-CA"/>
              </w:rPr>
              <w:t xml:space="preserve">visant à faire reconnaître et exécuter un jugement anglais ayant donné effet à un contrat de prêt qui prévoit des intérêts dont le taux annuel effectif dépasse la limite de 60 % prévue à l’art. 347 du </w:t>
            </w:r>
            <w:r w:rsidRPr="00776E55">
              <w:rPr>
                <w:i/>
                <w:sz w:val="20"/>
                <w:lang w:val="fr-CA"/>
              </w:rPr>
              <w:t>Code criminel</w:t>
            </w:r>
            <w:r w:rsidRPr="00776E55">
              <w:rPr>
                <w:sz w:val="20"/>
                <w:lang w:val="fr-CA"/>
              </w:rPr>
              <w:t xml:space="preserve">, L.R.C. 1985, c. C-46. Le juge de première </w:t>
            </w:r>
            <w:proofErr w:type="gramStart"/>
            <w:r w:rsidRPr="00776E55">
              <w:rPr>
                <w:sz w:val="20"/>
                <w:lang w:val="fr-CA"/>
              </w:rPr>
              <w:t>instance conclut</w:t>
            </w:r>
            <w:proofErr w:type="gramEnd"/>
            <w:r w:rsidRPr="00776E55">
              <w:rPr>
                <w:sz w:val="20"/>
                <w:lang w:val="fr-CA"/>
              </w:rPr>
              <w:t xml:space="preserve"> que </w:t>
            </w:r>
            <w:r w:rsidRPr="00776E55">
              <w:rPr>
                <w:color w:val="000000"/>
                <w:sz w:val="20"/>
                <w:lang w:val="fr-CA"/>
              </w:rPr>
              <w:t xml:space="preserve">l’art. 347 édicte une règle d’ordre public international et </w:t>
            </w:r>
            <w:r w:rsidRPr="00776E55">
              <w:rPr>
                <w:sz w:val="20"/>
                <w:lang w:val="fr-CA"/>
              </w:rPr>
              <w:t xml:space="preserve">que le jugement anglais qui va à l’encontre de cette disposition conduit donc à un résultat manifestement incompatible avec l’ordre public tel qu’il est entendu dans les relations internationales au sens de l’art. 3155(5°) du </w:t>
            </w:r>
            <w:r w:rsidRPr="00776E55">
              <w:rPr>
                <w:i/>
                <w:sz w:val="20"/>
                <w:lang w:val="fr-CA"/>
              </w:rPr>
              <w:t xml:space="preserve">Code civil du Québec </w:t>
            </w:r>
            <w:r w:rsidRPr="00776E55">
              <w:rPr>
                <w:sz w:val="20"/>
                <w:lang w:val="fr-CA"/>
              </w:rPr>
              <w:t xml:space="preserve">(« C.c.Q »). Il condamne alors le demandeur, M. Awanda, qui est caution du prêt, à rembourser à l’intimée le capital du prêt et à payer une partie des intérêts contractuels, qu’il a calculés en appliquant un taux annuel effectif de 60 %. La Cour d’appel du Québec accueille en partie l’appel du demandeur. Elle est d’avis que le juge d’instance </w:t>
            </w:r>
            <w:r w:rsidRPr="00776E55">
              <w:rPr>
                <w:color w:val="000000"/>
                <w:sz w:val="20"/>
                <w:lang w:val="fr-CA"/>
              </w:rPr>
              <w:t xml:space="preserve">a commis une erreur de droit en reconnaissant le volet du jugement anglais relatif au paiement d’intérêts contractuels. Suivant l’art. 3159 C.c.Q., le juge aurait dû se limiter à reconnaître le volet de ce jugement relatif au remboursement du capital. L’appel est donc accueilli à la seule fin de remplacer le dispositif du jugement de première concernant la somme. </w:t>
            </w:r>
          </w:p>
          <w:p w:rsidR="00142166" w:rsidRPr="00776E55" w:rsidRDefault="00142166" w:rsidP="00142166">
            <w:pPr>
              <w:jc w:val="both"/>
              <w:rPr>
                <w:sz w:val="20"/>
                <w:lang w:val="fr-CA"/>
              </w:rPr>
            </w:pPr>
          </w:p>
        </w:tc>
      </w:tr>
      <w:tr w:rsidR="00142166" w:rsidRPr="001E30F0" w:rsidTr="00FB0311">
        <w:tc>
          <w:tcPr>
            <w:tcW w:w="2427" w:type="pct"/>
            <w:gridSpan w:val="2"/>
          </w:tcPr>
          <w:p w:rsidR="00142166" w:rsidRPr="00776E55" w:rsidRDefault="00142166" w:rsidP="00142166">
            <w:pPr>
              <w:jc w:val="both"/>
              <w:rPr>
                <w:sz w:val="20"/>
                <w:lang w:val="fr-CA"/>
              </w:rPr>
            </w:pPr>
            <w:r w:rsidRPr="00776E55">
              <w:rPr>
                <w:sz w:val="20"/>
                <w:lang w:val="fr-CA"/>
              </w:rPr>
              <w:t>Le 22 février 2021</w:t>
            </w:r>
          </w:p>
          <w:p w:rsidR="00142166" w:rsidRPr="00776E55" w:rsidRDefault="00142166" w:rsidP="00142166">
            <w:pPr>
              <w:jc w:val="both"/>
              <w:rPr>
                <w:sz w:val="20"/>
                <w:lang w:val="fr-CA"/>
              </w:rPr>
            </w:pPr>
            <w:r w:rsidRPr="00776E55">
              <w:rPr>
                <w:sz w:val="20"/>
                <w:lang w:val="fr-CA"/>
              </w:rPr>
              <w:t>Cour supérieure du Québec</w:t>
            </w:r>
          </w:p>
          <w:p w:rsidR="00142166" w:rsidRPr="00776E55" w:rsidRDefault="00142166" w:rsidP="00142166">
            <w:pPr>
              <w:jc w:val="both"/>
              <w:rPr>
                <w:sz w:val="20"/>
              </w:rPr>
            </w:pPr>
            <w:r w:rsidRPr="00776E55">
              <w:rPr>
                <w:sz w:val="20"/>
              </w:rPr>
              <w:t>(Le juge Barin)</w:t>
            </w:r>
          </w:p>
          <w:p w:rsidR="00142166" w:rsidRPr="00776E55" w:rsidRDefault="001E30F0" w:rsidP="00142166">
            <w:pPr>
              <w:jc w:val="both"/>
              <w:rPr>
                <w:sz w:val="20"/>
              </w:rPr>
            </w:pPr>
            <w:hyperlink r:id="rId41" w:history="1">
              <w:r w:rsidR="00142166" w:rsidRPr="00776E55">
                <w:rPr>
                  <w:rStyle w:val="Hyperlink"/>
                  <w:sz w:val="20"/>
                </w:rPr>
                <w:t>2021 QCCS 543</w:t>
              </w:r>
            </w:hyperlink>
          </w:p>
          <w:p w:rsidR="00142166" w:rsidRPr="00776E55" w:rsidRDefault="00142166" w:rsidP="00142166">
            <w:pPr>
              <w:jc w:val="both"/>
              <w:rPr>
                <w:sz w:val="20"/>
              </w:rPr>
            </w:pP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lang w:val="fr-CA"/>
              </w:rPr>
            </w:pPr>
            <w:r w:rsidRPr="00776E55">
              <w:rPr>
                <w:sz w:val="20"/>
                <w:lang w:val="fr-CA"/>
              </w:rPr>
              <w:t>Demande visant à faire reconnaître et exécuter un jugement anglais accueillie en partie</w:t>
            </w:r>
          </w:p>
          <w:p w:rsidR="00142166" w:rsidRPr="00776E55" w:rsidRDefault="00142166" w:rsidP="00142166">
            <w:pPr>
              <w:jc w:val="both"/>
              <w:rPr>
                <w:sz w:val="20"/>
                <w:lang w:val="fr-CA"/>
              </w:rPr>
            </w:pPr>
          </w:p>
        </w:tc>
      </w:tr>
      <w:tr w:rsidR="00142166" w:rsidRPr="001E30F0" w:rsidTr="00FB0311">
        <w:tc>
          <w:tcPr>
            <w:tcW w:w="2427" w:type="pct"/>
            <w:gridSpan w:val="2"/>
          </w:tcPr>
          <w:p w:rsidR="00142166" w:rsidRPr="00776E55" w:rsidRDefault="00142166" w:rsidP="00142166">
            <w:pPr>
              <w:jc w:val="both"/>
              <w:rPr>
                <w:sz w:val="20"/>
                <w:lang w:val="fr-CA"/>
              </w:rPr>
            </w:pPr>
            <w:r w:rsidRPr="00776E55">
              <w:rPr>
                <w:sz w:val="20"/>
                <w:lang w:val="fr-CA"/>
              </w:rPr>
              <w:t>Le 19 août 2022</w:t>
            </w:r>
          </w:p>
          <w:p w:rsidR="00142166" w:rsidRPr="00776E55" w:rsidRDefault="00142166" w:rsidP="00142166">
            <w:pPr>
              <w:jc w:val="both"/>
              <w:rPr>
                <w:sz w:val="20"/>
                <w:lang w:val="fr-CA"/>
              </w:rPr>
            </w:pPr>
            <w:r w:rsidRPr="00776E55">
              <w:rPr>
                <w:sz w:val="20"/>
                <w:lang w:val="fr-CA"/>
              </w:rPr>
              <w:t>Cour d’appel du Québec (Montréal)</w:t>
            </w:r>
          </w:p>
          <w:p w:rsidR="00142166" w:rsidRPr="00776E55" w:rsidRDefault="00142166" w:rsidP="00142166">
            <w:pPr>
              <w:jc w:val="both"/>
              <w:rPr>
                <w:sz w:val="20"/>
                <w:lang w:val="fr-CA"/>
              </w:rPr>
            </w:pPr>
            <w:r w:rsidRPr="00776E55">
              <w:rPr>
                <w:sz w:val="20"/>
                <w:lang w:val="fr-CA"/>
              </w:rPr>
              <w:t>(Les juges Gagnon, Beaupré et Bachand)</w:t>
            </w:r>
          </w:p>
          <w:p w:rsidR="00142166" w:rsidRPr="00776E55" w:rsidRDefault="001E30F0" w:rsidP="00142166">
            <w:pPr>
              <w:jc w:val="both"/>
              <w:rPr>
                <w:sz w:val="20"/>
              </w:rPr>
            </w:pPr>
            <w:hyperlink r:id="rId42" w:history="1">
              <w:r w:rsidR="00142166" w:rsidRPr="00776E55">
                <w:rPr>
                  <w:rStyle w:val="Hyperlink"/>
                  <w:sz w:val="20"/>
                </w:rPr>
                <w:t>2022 QCCA 1133</w:t>
              </w:r>
            </w:hyperlink>
          </w:p>
          <w:p w:rsidR="00142166" w:rsidRPr="00776E55" w:rsidRDefault="00142166" w:rsidP="00142166">
            <w:pPr>
              <w:jc w:val="both"/>
              <w:rPr>
                <w:sz w:val="20"/>
              </w:rPr>
            </w:pP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lang w:val="fr-CA"/>
              </w:rPr>
            </w:pPr>
            <w:r w:rsidRPr="00776E55">
              <w:rPr>
                <w:sz w:val="20"/>
                <w:lang w:val="fr-CA"/>
              </w:rPr>
              <w:t xml:space="preserve">Appel accueilli en partie à la seule fin de remplacer le troisième paragraphe du dispositif de jugement </w:t>
            </w:r>
          </w:p>
          <w:p w:rsidR="00142166" w:rsidRPr="00776E55" w:rsidRDefault="00142166" w:rsidP="00142166">
            <w:pPr>
              <w:jc w:val="both"/>
              <w:rPr>
                <w:sz w:val="20"/>
                <w:lang w:val="fr-CA"/>
              </w:rPr>
            </w:pPr>
          </w:p>
        </w:tc>
      </w:tr>
      <w:tr w:rsidR="00142166" w:rsidRPr="00776E55" w:rsidTr="00FB0311">
        <w:tc>
          <w:tcPr>
            <w:tcW w:w="2427" w:type="pct"/>
            <w:gridSpan w:val="2"/>
          </w:tcPr>
          <w:p w:rsidR="00142166" w:rsidRPr="00776E55" w:rsidRDefault="00142166" w:rsidP="00142166">
            <w:pPr>
              <w:jc w:val="both"/>
              <w:rPr>
                <w:sz w:val="20"/>
                <w:lang w:val="fr-CA"/>
              </w:rPr>
            </w:pPr>
            <w:r w:rsidRPr="00776E55">
              <w:rPr>
                <w:sz w:val="20"/>
                <w:lang w:val="fr-CA"/>
              </w:rPr>
              <w:t>Le 14 octobre 2022</w:t>
            </w:r>
          </w:p>
          <w:p w:rsidR="00142166" w:rsidRPr="00776E55" w:rsidRDefault="00142166" w:rsidP="00142166">
            <w:pPr>
              <w:jc w:val="both"/>
              <w:rPr>
                <w:sz w:val="20"/>
                <w:lang w:val="fr-CA"/>
              </w:rPr>
            </w:pPr>
            <w:r w:rsidRPr="00776E55">
              <w:rPr>
                <w:sz w:val="20"/>
                <w:lang w:val="fr-CA"/>
              </w:rPr>
              <w:t>Cour suprême du Canada</w:t>
            </w: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rPr>
            </w:pPr>
            <w:r w:rsidRPr="00776E55">
              <w:rPr>
                <w:sz w:val="20"/>
              </w:rPr>
              <w:t>Demande d’autorisation d’appel déposée</w:t>
            </w:r>
          </w:p>
          <w:p w:rsidR="00142166" w:rsidRPr="00776E55" w:rsidRDefault="00142166" w:rsidP="00142166">
            <w:pPr>
              <w:jc w:val="both"/>
              <w:rPr>
                <w:sz w:val="20"/>
              </w:rPr>
            </w:pPr>
          </w:p>
        </w:tc>
      </w:tr>
    </w:tbl>
    <w:p w:rsidR="00142166" w:rsidRPr="00776E55" w:rsidRDefault="00142166" w:rsidP="00142166">
      <w:pPr>
        <w:jc w:val="both"/>
        <w:rPr>
          <w:sz w:val="20"/>
        </w:rPr>
      </w:pPr>
    </w:p>
    <w:p w:rsidR="00142166" w:rsidRPr="00776E55" w:rsidRDefault="001E30F0" w:rsidP="00142166">
      <w:pPr>
        <w:jc w:val="both"/>
        <w:rPr>
          <w:sz w:val="20"/>
        </w:rPr>
      </w:pPr>
      <w:r>
        <w:rPr>
          <w:sz w:val="20"/>
        </w:rPr>
        <w:pict>
          <v:rect id="_x0000_i1034" style="width:2in;height:1pt" o:hrpct="0" o:hralign="center" o:hrstd="t" o:hrnoshade="t" o:hr="t" fillcolor="black [3213]" stroked="f"/>
        </w:pict>
      </w:r>
    </w:p>
    <w:p w:rsidR="00142166" w:rsidRPr="00776E55" w:rsidRDefault="00142166" w:rsidP="001421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2166" w:rsidRPr="00776E55" w:rsidTr="00FB0311">
        <w:tc>
          <w:tcPr>
            <w:tcW w:w="543" w:type="pct"/>
          </w:tcPr>
          <w:p w:rsidR="00142166" w:rsidRPr="00776E55" w:rsidRDefault="00142166" w:rsidP="00142166">
            <w:pPr>
              <w:jc w:val="both"/>
              <w:rPr>
                <w:sz w:val="20"/>
              </w:rPr>
            </w:pPr>
            <w:r w:rsidRPr="00776E55">
              <w:rPr>
                <w:rStyle w:val="SCCFileNumberChar"/>
                <w:sz w:val="20"/>
                <w:szCs w:val="20"/>
              </w:rPr>
              <w:t>40457</w:t>
            </w:r>
          </w:p>
        </w:tc>
        <w:tc>
          <w:tcPr>
            <w:tcW w:w="4457" w:type="pct"/>
            <w:gridSpan w:val="3"/>
          </w:tcPr>
          <w:p w:rsidR="00142166" w:rsidRPr="00776E55" w:rsidRDefault="00142166" w:rsidP="00142166">
            <w:pPr>
              <w:pStyle w:val="SCCLsocParty"/>
              <w:jc w:val="both"/>
              <w:rPr>
                <w:b/>
                <w:sz w:val="20"/>
                <w:szCs w:val="20"/>
                <w:lang w:val="en-US"/>
              </w:rPr>
            </w:pPr>
            <w:r w:rsidRPr="00776E55">
              <w:rPr>
                <w:b/>
                <w:sz w:val="20"/>
                <w:szCs w:val="20"/>
                <w:lang w:val="en-US"/>
              </w:rPr>
              <w:t>Greg McLeod and James McLeod as Co-Administrators of the Estate of Edward Alexander McLeod v. Terry Cole, Stuart James Cowie carrying on business as Cowie Real Estate, Jarett D. Kehler Law Corporation c.o.b. as Donald Legal Services, L.W. Donald Law Corporation c.o.b. as Donald Legal Services and the said Donald Legal Services, Jaysukh Rudani and 5935491 Manitoba Inc.</w:t>
            </w:r>
          </w:p>
          <w:p w:rsidR="00142166" w:rsidRPr="00776E55" w:rsidRDefault="00142166" w:rsidP="00142166">
            <w:pPr>
              <w:jc w:val="both"/>
              <w:rPr>
                <w:sz w:val="20"/>
              </w:rPr>
            </w:pPr>
            <w:r w:rsidRPr="00776E55">
              <w:rPr>
                <w:sz w:val="20"/>
              </w:rPr>
              <w:t>(Man.) (Civil) (By Leave)</w:t>
            </w:r>
          </w:p>
        </w:tc>
      </w:tr>
      <w:tr w:rsidR="00142166" w:rsidRPr="00776E55" w:rsidTr="00FB0311">
        <w:tc>
          <w:tcPr>
            <w:tcW w:w="5000" w:type="pct"/>
            <w:gridSpan w:val="4"/>
          </w:tcPr>
          <w:p w:rsidR="00142166" w:rsidRPr="00776E55" w:rsidRDefault="00142166" w:rsidP="00142166">
            <w:pPr>
              <w:jc w:val="both"/>
              <w:rPr>
                <w:sz w:val="20"/>
              </w:rPr>
            </w:pPr>
            <w:r w:rsidRPr="00776E55">
              <w:rPr>
                <w:sz w:val="20"/>
              </w:rPr>
              <w:t>Wills and estates — Administration of estate — Property — Real property — Sale — Contracts — Capacity — Deceased sold most of his real estate — Whether land sold for less than fair market value — Deceased suffering mild dementia at time of sale — Whether deceased had capacity to enter into agreements to sell land — Standard of review for factual errors by appellate court — Whether standard met — Standard of care of legal counsel and real estate professionals dealing with and representing vulnerable people with diminished capacity — Standard for capacity required to enter into contracts — Whether standards applied to testamentary cases should be applied to contractual cases — Standard for determining damages where fiduciary duty breached.</w:t>
            </w:r>
          </w:p>
        </w:tc>
      </w:tr>
      <w:tr w:rsidR="00142166" w:rsidRPr="00776E55" w:rsidTr="00FB0311">
        <w:tc>
          <w:tcPr>
            <w:tcW w:w="5000" w:type="pct"/>
            <w:gridSpan w:val="4"/>
          </w:tcPr>
          <w:p w:rsidR="00142166" w:rsidRPr="00776E55" w:rsidRDefault="00142166" w:rsidP="00142166">
            <w:pPr>
              <w:jc w:val="both"/>
              <w:rPr>
                <w:sz w:val="20"/>
              </w:rPr>
            </w:pPr>
          </w:p>
        </w:tc>
      </w:tr>
      <w:tr w:rsidR="00142166" w:rsidRPr="00776E55" w:rsidTr="00FB0311">
        <w:tc>
          <w:tcPr>
            <w:tcW w:w="5000" w:type="pct"/>
            <w:gridSpan w:val="4"/>
          </w:tcPr>
          <w:p w:rsidR="00142166" w:rsidRPr="00776E55" w:rsidRDefault="00142166" w:rsidP="00142166">
            <w:pPr>
              <w:jc w:val="both"/>
              <w:rPr>
                <w:sz w:val="20"/>
                <w:lang w:eastAsia="en-CA"/>
              </w:rPr>
            </w:pPr>
            <w:r w:rsidRPr="00776E55">
              <w:rPr>
                <w:sz w:val="20"/>
                <w:lang w:eastAsia="en-CA"/>
              </w:rPr>
              <w:t>Mr. McLeod’s estate, through his administrators (Gary and James McLeod, Mr. McLeod’s estranged sons) initiated an action in breach of contract against Mr. McLeod’s realtors and his lawyers seeking damages of $2.9 million and equitable rescission of the agreement of purchase and sale for one parcel, alleging that Mr. McLeod did not have sufficient mental capacity to sell the land, that the land was sold for less than its fair market value, and that the lawyers and the realtors had breached the standards of care owed to the deceased, failed to act in his best interests, and failed to ensure that he had capacity to enter into the agreements of purchase and sale. Mr. McLeod retired from farming in 2006. He developed mild to moderate dementia and was briefly hospitalized for dementia symptoms in November 2007 and early 2008. Both times, he was considered competent to sign a power of attorney and he was discharged with some support and a prescription which significantly improved his cognitive function. The second time, he signed a power of attorney in favour of Gary McLeod in the presence of a lawyer. Gary never acted on it. In 2008, a different psychiatrist cancelled all of his dementia medication and described his memory as being within the normal range.</w:t>
            </w:r>
          </w:p>
          <w:p w:rsidR="00142166" w:rsidRPr="00776E55" w:rsidRDefault="00142166" w:rsidP="00142166">
            <w:pPr>
              <w:jc w:val="both"/>
              <w:rPr>
                <w:sz w:val="20"/>
                <w:lang w:eastAsia="en-CA"/>
              </w:rPr>
            </w:pPr>
          </w:p>
          <w:p w:rsidR="00142166" w:rsidRPr="00776E55" w:rsidRDefault="00142166" w:rsidP="00142166">
            <w:pPr>
              <w:jc w:val="both"/>
              <w:rPr>
                <w:sz w:val="20"/>
                <w:lang w:eastAsia="en-CA"/>
              </w:rPr>
            </w:pPr>
            <w:r w:rsidRPr="00776E55">
              <w:rPr>
                <w:sz w:val="20"/>
                <w:lang w:eastAsia="en-CA"/>
              </w:rPr>
              <w:t>In 2009, Mr. McLeod decided to sell three parcels of land. Work on the sales stopped when the power of attorney came to light. With the help of his lawyer, Mr. McLeod formally revoked the power of attorney in October 2008 and the lawyer informed that realtors of that fact. Work on the file recommenced.</w:t>
            </w:r>
            <w:r w:rsidRPr="00776E55">
              <w:rPr>
                <w:sz w:val="20"/>
              </w:rPr>
              <w:t xml:space="preserve"> The sales went as follows:</w:t>
            </w:r>
          </w:p>
          <w:p w:rsidR="00142166" w:rsidRPr="00776E55" w:rsidRDefault="00142166" w:rsidP="00142166">
            <w:pPr>
              <w:jc w:val="both"/>
              <w:rPr>
                <w:sz w:val="20"/>
                <w:lang w:eastAsia="en-CA"/>
              </w:rPr>
            </w:pPr>
          </w:p>
          <w:p w:rsidR="00142166" w:rsidRPr="00776E55" w:rsidRDefault="00142166" w:rsidP="00142166">
            <w:pPr>
              <w:numPr>
                <w:ilvl w:val="0"/>
                <w:numId w:val="34"/>
              </w:numPr>
              <w:contextualSpacing/>
              <w:jc w:val="both"/>
              <w:rPr>
                <w:sz w:val="20"/>
                <w:lang w:eastAsia="en-CA"/>
              </w:rPr>
            </w:pPr>
            <w:r w:rsidRPr="00776E55">
              <w:rPr>
                <w:sz w:val="20"/>
                <w:lang w:eastAsia="en-CA"/>
              </w:rPr>
              <w:t>2.97 acres with a partially-finished ready-to-move house were listed at $330,000, which the realtors thought was too high but which Mr. McLeod insisted upon; it sold after a long listing (6 months) “as is” for $240,000, which was within the range suggested by the realtors;</w:t>
            </w:r>
          </w:p>
          <w:p w:rsidR="00142166" w:rsidRPr="00776E55" w:rsidRDefault="00142166" w:rsidP="00142166">
            <w:pPr>
              <w:numPr>
                <w:ilvl w:val="0"/>
                <w:numId w:val="34"/>
              </w:numPr>
              <w:contextualSpacing/>
              <w:jc w:val="both"/>
              <w:rPr>
                <w:sz w:val="20"/>
              </w:rPr>
            </w:pPr>
            <w:r w:rsidRPr="00776E55">
              <w:rPr>
                <w:sz w:val="20"/>
                <w:lang w:eastAsia="en-CA"/>
              </w:rPr>
              <w:t>11 acres of agricultural land which provided overland drainage away from Brandon and which was subject to a “shallow subdivision” plan such that the land was divided into 124 plots divided by streets and lanes to which Mr. McLeod did not hold title; it was purchased by the City of Brandon for $66,676., which included a discount for the streets and lanes; and</w:t>
            </w:r>
          </w:p>
          <w:p w:rsidR="00142166" w:rsidRPr="00776E55" w:rsidRDefault="00142166" w:rsidP="00142166">
            <w:pPr>
              <w:numPr>
                <w:ilvl w:val="0"/>
                <w:numId w:val="34"/>
              </w:numPr>
              <w:contextualSpacing/>
              <w:jc w:val="both"/>
              <w:rPr>
                <w:sz w:val="20"/>
              </w:rPr>
            </w:pPr>
            <w:r w:rsidRPr="00776E55">
              <w:rPr>
                <w:sz w:val="20"/>
                <w:lang w:eastAsia="en-CA"/>
              </w:rPr>
              <w:t>123.58 acres of undeveloped land was sold to Jaysukh Rudani and 5935491 Manitoba Ltd. for $654,410 in September 2009.</w:t>
            </w:r>
          </w:p>
          <w:p w:rsidR="00142166" w:rsidRPr="00776E55" w:rsidRDefault="00142166" w:rsidP="00142166">
            <w:pPr>
              <w:jc w:val="both"/>
              <w:rPr>
                <w:sz w:val="20"/>
              </w:rPr>
            </w:pPr>
          </w:p>
          <w:p w:rsidR="00142166" w:rsidRPr="00776E55" w:rsidRDefault="00142166" w:rsidP="00142166">
            <w:pPr>
              <w:jc w:val="both"/>
              <w:rPr>
                <w:sz w:val="20"/>
              </w:rPr>
            </w:pPr>
            <w:r w:rsidRPr="00776E55">
              <w:rPr>
                <w:sz w:val="20"/>
              </w:rPr>
              <w:t>The trial judge dismissed the claims, finding that Mr. McLeod had capacity to enter into the agreements to sell, that the lawyers and realtors had observed the standard of care owed to Mr. McLeod, and that the lands had been sold for fair market value. The Court of Appeal dismissed the appeal.</w:t>
            </w:r>
          </w:p>
          <w:p w:rsidR="00142166" w:rsidRPr="00776E55" w:rsidRDefault="00142166" w:rsidP="00142166">
            <w:pPr>
              <w:jc w:val="both"/>
              <w:rPr>
                <w:sz w:val="20"/>
              </w:rPr>
            </w:pPr>
          </w:p>
        </w:tc>
      </w:tr>
      <w:tr w:rsidR="00142166" w:rsidRPr="00776E55" w:rsidTr="00FB0311">
        <w:tc>
          <w:tcPr>
            <w:tcW w:w="2427" w:type="pct"/>
            <w:gridSpan w:val="2"/>
          </w:tcPr>
          <w:p w:rsidR="00142166" w:rsidRPr="00776E55" w:rsidRDefault="00142166" w:rsidP="00142166">
            <w:pPr>
              <w:jc w:val="both"/>
              <w:rPr>
                <w:sz w:val="20"/>
              </w:rPr>
            </w:pPr>
            <w:r w:rsidRPr="00776E55">
              <w:rPr>
                <w:sz w:val="20"/>
              </w:rPr>
              <w:t>February 3, 2021</w:t>
            </w:r>
          </w:p>
          <w:p w:rsidR="00142166" w:rsidRPr="00776E55" w:rsidRDefault="00142166" w:rsidP="00142166">
            <w:pPr>
              <w:jc w:val="both"/>
              <w:rPr>
                <w:sz w:val="20"/>
              </w:rPr>
            </w:pPr>
            <w:r w:rsidRPr="00776E55">
              <w:rPr>
                <w:sz w:val="20"/>
              </w:rPr>
              <w:t>Court of Queen’s Bench of Manitoba</w:t>
            </w:r>
          </w:p>
          <w:p w:rsidR="00142166" w:rsidRPr="00776E55" w:rsidRDefault="00142166" w:rsidP="00142166">
            <w:pPr>
              <w:jc w:val="both"/>
              <w:rPr>
                <w:sz w:val="20"/>
              </w:rPr>
            </w:pPr>
            <w:r w:rsidRPr="00776E55">
              <w:rPr>
                <w:sz w:val="20"/>
              </w:rPr>
              <w:t>(Rempel J.)</w:t>
            </w:r>
          </w:p>
          <w:p w:rsidR="00142166" w:rsidRPr="00776E55" w:rsidRDefault="001E30F0" w:rsidP="00142166">
            <w:pPr>
              <w:jc w:val="both"/>
              <w:rPr>
                <w:sz w:val="20"/>
              </w:rPr>
            </w:pPr>
            <w:hyperlink r:id="rId43" w:anchor="_Toc63234312" w:history="1">
              <w:r w:rsidR="00142166" w:rsidRPr="00776E55">
                <w:rPr>
                  <w:rStyle w:val="Hyperlink"/>
                  <w:sz w:val="20"/>
                </w:rPr>
                <w:t>2021 MBQB 24</w:t>
              </w:r>
            </w:hyperlink>
          </w:p>
          <w:p w:rsidR="00142166" w:rsidRPr="00776E55" w:rsidRDefault="00142166" w:rsidP="00142166">
            <w:pPr>
              <w:jc w:val="both"/>
              <w:rPr>
                <w:sz w:val="20"/>
              </w:rPr>
            </w:pP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tabs>
                <w:tab w:val="left" w:pos="1295"/>
              </w:tabs>
              <w:jc w:val="both"/>
              <w:rPr>
                <w:sz w:val="20"/>
              </w:rPr>
            </w:pPr>
            <w:r w:rsidRPr="00776E55">
              <w:rPr>
                <w:sz w:val="20"/>
              </w:rPr>
              <w:t>Claims dismissed</w:t>
            </w:r>
          </w:p>
          <w:p w:rsidR="00142166" w:rsidRPr="00776E55" w:rsidRDefault="00142166" w:rsidP="00142166">
            <w:pPr>
              <w:jc w:val="both"/>
              <w:rPr>
                <w:sz w:val="20"/>
              </w:rPr>
            </w:pPr>
          </w:p>
        </w:tc>
      </w:tr>
      <w:tr w:rsidR="00142166" w:rsidRPr="00776E55" w:rsidTr="00FB0311">
        <w:tc>
          <w:tcPr>
            <w:tcW w:w="2427" w:type="pct"/>
            <w:gridSpan w:val="2"/>
          </w:tcPr>
          <w:p w:rsidR="00142166" w:rsidRPr="00776E55" w:rsidRDefault="00142166" w:rsidP="00142166">
            <w:pPr>
              <w:jc w:val="both"/>
              <w:rPr>
                <w:sz w:val="20"/>
              </w:rPr>
            </w:pPr>
            <w:r w:rsidRPr="00776E55">
              <w:rPr>
                <w:sz w:val="20"/>
              </w:rPr>
              <w:t>September 20, 2022</w:t>
            </w:r>
          </w:p>
          <w:p w:rsidR="00142166" w:rsidRPr="00776E55" w:rsidRDefault="00142166" w:rsidP="00142166">
            <w:pPr>
              <w:jc w:val="both"/>
              <w:rPr>
                <w:sz w:val="20"/>
              </w:rPr>
            </w:pPr>
            <w:r w:rsidRPr="00776E55">
              <w:rPr>
                <w:sz w:val="20"/>
              </w:rPr>
              <w:t>Court of Appeal of Manitoba</w:t>
            </w:r>
          </w:p>
          <w:p w:rsidR="00142166" w:rsidRPr="00776E55" w:rsidRDefault="00142166" w:rsidP="00142166">
            <w:pPr>
              <w:jc w:val="both"/>
              <w:rPr>
                <w:sz w:val="20"/>
                <w:lang w:val="fr-CA"/>
              </w:rPr>
            </w:pPr>
            <w:r w:rsidRPr="00776E55">
              <w:rPr>
                <w:sz w:val="20"/>
                <w:lang w:val="fr-CA"/>
              </w:rPr>
              <w:t>(Mainella, Pfuetzner, Spivak JJ.A.)</w:t>
            </w:r>
          </w:p>
          <w:p w:rsidR="00142166" w:rsidRPr="00776E55" w:rsidRDefault="001E30F0" w:rsidP="00142166">
            <w:pPr>
              <w:jc w:val="both"/>
              <w:rPr>
                <w:sz w:val="20"/>
              </w:rPr>
            </w:pPr>
            <w:hyperlink r:id="rId44" w:history="1">
              <w:r w:rsidR="00142166" w:rsidRPr="00776E55">
                <w:rPr>
                  <w:rStyle w:val="Hyperlink"/>
                  <w:sz w:val="20"/>
                </w:rPr>
                <w:t>2022 MBCA 73</w:t>
              </w:r>
            </w:hyperlink>
          </w:p>
          <w:p w:rsidR="00142166" w:rsidRPr="00776E55" w:rsidRDefault="00142166" w:rsidP="00142166">
            <w:pPr>
              <w:jc w:val="both"/>
              <w:rPr>
                <w:sz w:val="20"/>
                <w:lang w:val="fr-CA"/>
              </w:rPr>
            </w:pP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rPr>
            </w:pPr>
            <w:r w:rsidRPr="00776E55">
              <w:rPr>
                <w:sz w:val="20"/>
              </w:rPr>
              <w:t>Appeal dismissed</w:t>
            </w:r>
          </w:p>
          <w:p w:rsidR="00142166" w:rsidRPr="00776E55" w:rsidRDefault="00142166" w:rsidP="00142166">
            <w:pPr>
              <w:jc w:val="both"/>
              <w:rPr>
                <w:sz w:val="20"/>
              </w:rPr>
            </w:pPr>
          </w:p>
        </w:tc>
      </w:tr>
      <w:tr w:rsidR="00142166" w:rsidRPr="00776E55" w:rsidTr="00FB0311">
        <w:tc>
          <w:tcPr>
            <w:tcW w:w="2427" w:type="pct"/>
            <w:gridSpan w:val="2"/>
          </w:tcPr>
          <w:p w:rsidR="00142166" w:rsidRPr="00776E55" w:rsidRDefault="00142166" w:rsidP="00142166">
            <w:pPr>
              <w:jc w:val="both"/>
              <w:rPr>
                <w:sz w:val="20"/>
              </w:rPr>
            </w:pPr>
            <w:r w:rsidRPr="00776E55">
              <w:rPr>
                <w:sz w:val="20"/>
              </w:rPr>
              <w:t>November 18, 2022</w:t>
            </w:r>
          </w:p>
          <w:p w:rsidR="00142166" w:rsidRPr="00776E55" w:rsidRDefault="00142166" w:rsidP="00142166">
            <w:pPr>
              <w:jc w:val="both"/>
              <w:rPr>
                <w:sz w:val="20"/>
              </w:rPr>
            </w:pPr>
            <w:r w:rsidRPr="00776E55">
              <w:rPr>
                <w:sz w:val="20"/>
              </w:rPr>
              <w:t>Supreme Court of Canada</w:t>
            </w:r>
          </w:p>
        </w:tc>
        <w:tc>
          <w:tcPr>
            <w:tcW w:w="243" w:type="pct"/>
          </w:tcPr>
          <w:p w:rsidR="00142166" w:rsidRPr="00776E55" w:rsidRDefault="00142166" w:rsidP="00142166">
            <w:pPr>
              <w:jc w:val="both"/>
              <w:rPr>
                <w:sz w:val="20"/>
              </w:rPr>
            </w:pPr>
          </w:p>
        </w:tc>
        <w:tc>
          <w:tcPr>
            <w:tcW w:w="2330" w:type="pct"/>
          </w:tcPr>
          <w:p w:rsidR="00142166" w:rsidRPr="00776E55" w:rsidRDefault="00142166" w:rsidP="00142166">
            <w:pPr>
              <w:jc w:val="both"/>
              <w:rPr>
                <w:sz w:val="20"/>
              </w:rPr>
            </w:pPr>
            <w:r w:rsidRPr="00776E55">
              <w:rPr>
                <w:sz w:val="20"/>
              </w:rPr>
              <w:t>Application for leave to appeal filed</w:t>
            </w:r>
          </w:p>
          <w:p w:rsidR="00142166" w:rsidRPr="00776E55" w:rsidRDefault="00142166" w:rsidP="00142166">
            <w:pPr>
              <w:jc w:val="both"/>
              <w:rPr>
                <w:sz w:val="20"/>
              </w:rPr>
            </w:pPr>
          </w:p>
        </w:tc>
      </w:tr>
    </w:tbl>
    <w:p w:rsidR="00142166" w:rsidRPr="00776E55" w:rsidRDefault="00142166" w:rsidP="00142166">
      <w:pPr>
        <w:jc w:val="both"/>
        <w:rPr>
          <w:sz w:val="20"/>
        </w:rPr>
      </w:pPr>
    </w:p>
    <w:p w:rsidR="00142166" w:rsidRPr="00776E55" w:rsidRDefault="001E30F0" w:rsidP="00142166">
      <w:pPr>
        <w:jc w:val="both"/>
        <w:rPr>
          <w:sz w:val="20"/>
        </w:rPr>
      </w:pPr>
      <w:r>
        <w:rPr>
          <w:sz w:val="20"/>
        </w:rPr>
        <w:pict>
          <v:rect id="_x0000_i1035" style="width:2in;height:1pt" o:hrpct="0" o:hralign="center" o:hrstd="t" o:hrnoshade="t" o:hr="t" fillcolor="black [3213]" stroked="f"/>
        </w:pict>
      </w:r>
    </w:p>
    <w:p w:rsidR="00142166" w:rsidRPr="00776E55" w:rsidRDefault="00142166" w:rsidP="001421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42166" w:rsidRPr="00776E55" w:rsidTr="00FB0311">
        <w:tc>
          <w:tcPr>
            <w:tcW w:w="543" w:type="pct"/>
          </w:tcPr>
          <w:p w:rsidR="00142166" w:rsidRPr="00776E55" w:rsidRDefault="00142166" w:rsidP="00142166">
            <w:pPr>
              <w:jc w:val="both"/>
              <w:rPr>
                <w:sz w:val="20"/>
                <w:lang w:val="fr-CA"/>
              </w:rPr>
            </w:pPr>
            <w:r w:rsidRPr="00776E55">
              <w:rPr>
                <w:rStyle w:val="SCCFileNumberChar"/>
                <w:sz w:val="20"/>
                <w:szCs w:val="20"/>
                <w:lang w:val="fr-CA"/>
              </w:rPr>
              <w:t>40457</w:t>
            </w:r>
          </w:p>
        </w:tc>
        <w:tc>
          <w:tcPr>
            <w:tcW w:w="4457" w:type="pct"/>
            <w:gridSpan w:val="3"/>
          </w:tcPr>
          <w:p w:rsidR="00142166" w:rsidRPr="00776E55" w:rsidRDefault="00142166" w:rsidP="00142166">
            <w:pPr>
              <w:pStyle w:val="SCCLsocParty"/>
              <w:jc w:val="both"/>
              <w:rPr>
                <w:b/>
                <w:sz w:val="20"/>
                <w:szCs w:val="20"/>
                <w:lang w:val="en-US"/>
              </w:rPr>
            </w:pPr>
            <w:r w:rsidRPr="00776E55">
              <w:rPr>
                <w:b/>
                <w:sz w:val="20"/>
                <w:szCs w:val="20"/>
              </w:rPr>
              <w:t xml:space="preserve">Greg McLeod et James McLeod en qualité de coadministrateurs de la succession d’Edward Alexander McLeod c. Terry Cole, Stuart James Cowie faisant affaire sous la raison sociale Cowie Real Estate, Jarett D. Kehler Law Corporation f.a.s.r.s.  </w:t>
            </w:r>
            <w:r w:rsidRPr="00776E55">
              <w:rPr>
                <w:b/>
                <w:sz w:val="20"/>
                <w:szCs w:val="20"/>
                <w:lang w:val="en-US"/>
              </w:rPr>
              <w:t>Donald Legal Services, L.W. Donald Law Corporation f.a.s.r.s. Donald Legal Services et ladite Donald Legal Services, Jaysukh Rudani et 5 935 491 Manitoba Inc.</w:t>
            </w:r>
          </w:p>
          <w:p w:rsidR="00142166" w:rsidRPr="00776E55" w:rsidRDefault="00142166" w:rsidP="00142166">
            <w:pPr>
              <w:jc w:val="both"/>
              <w:rPr>
                <w:sz w:val="20"/>
                <w:lang w:val="fr-CA"/>
              </w:rPr>
            </w:pPr>
            <w:r w:rsidRPr="00776E55">
              <w:rPr>
                <w:sz w:val="20"/>
                <w:lang w:val="fr-CA"/>
              </w:rPr>
              <w:t>(Man.) (Civile) (Sur autorisation)</w:t>
            </w:r>
          </w:p>
        </w:tc>
      </w:tr>
      <w:tr w:rsidR="00142166" w:rsidRPr="001E30F0" w:rsidTr="00FB0311">
        <w:tc>
          <w:tcPr>
            <w:tcW w:w="5000" w:type="pct"/>
            <w:gridSpan w:val="4"/>
          </w:tcPr>
          <w:p w:rsidR="00142166" w:rsidRPr="00776E55" w:rsidRDefault="00142166" w:rsidP="00142166">
            <w:pPr>
              <w:jc w:val="both"/>
              <w:rPr>
                <w:sz w:val="20"/>
                <w:lang w:val="fr-CA"/>
              </w:rPr>
            </w:pPr>
            <w:r w:rsidRPr="00776E55">
              <w:rPr>
                <w:sz w:val="20"/>
                <w:lang w:val="fr-CA"/>
              </w:rPr>
              <w:t>Successions — Administration des successions — Biens — Biens réels — Vente — Contrats — Capacité — Le défunt a vendu la majorité de ses biens immobiliers — Le terrain a-t-il été vendu à un prix inférieur à la juste valeur marchande ? — Le défunt souffrait légèrement de démence au moment de la vente — Le défunt avait-il la capacité nécessaire pour conclure des conventions d’achat-vente de terrains ? — Norme de contrôle applicable aux erreurs de fait par le tribunal d’appel — A-t-il été satisfait à cette norme ? — Norme de diligence que doivent respecter les avocats et les professionnels du secteur de l’immobilier qui traitent avec les personnes vulnérables à capacité réduite et qui les représentent — Norme relative à la capacité requise pour conclure des contrats — Les normes appliquées aux affaires testamentaires devraient-elles être appliquées aux affaires contractuelles ? — Norme applicable à la détermination des dommages-intérêts dans le cas de violation d’une obligation fiduciaire.</w:t>
            </w:r>
          </w:p>
        </w:tc>
      </w:tr>
      <w:tr w:rsidR="00142166" w:rsidRPr="001E30F0" w:rsidTr="00FB0311">
        <w:tc>
          <w:tcPr>
            <w:tcW w:w="5000" w:type="pct"/>
            <w:gridSpan w:val="4"/>
          </w:tcPr>
          <w:p w:rsidR="00142166" w:rsidRPr="00776E55" w:rsidRDefault="00142166" w:rsidP="00142166">
            <w:pPr>
              <w:jc w:val="both"/>
              <w:rPr>
                <w:sz w:val="20"/>
                <w:lang w:val="fr-CA"/>
              </w:rPr>
            </w:pPr>
          </w:p>
        </w:tc>
      </w:tr>
      <w:tr w:rsidR="00142166" w:rsidRPr="00776E55" w:rsidTr="00FB0311">
        <w:tc>
          <w:tcPr>
            <w:tcW w:w="5000" w:type="pct"/>
            <w:gridSpan w:val="4"/>
          </w:tcPr>
          <w:p w:rsidR="00142166" w:rsidRPr="00776E55" w:rsidRDefault="00142166" w:rsidP="00142166">
            <w:pPr>
              <w:jc w:val="both"/>
              <w:rPr>
                <w:sz w:val="20"/>
                <w:lang w:val="fr-CA" w:eastAsia="en-CA"/>
              </w:rPr>
            </w:pPr>
            <w:r w:rsidRPr="00776E55">
              <w:rPr>
                <w:sz w:val="20"/>
                <w:lang w:val="fr-CA" w:eastAsia="en-CA"/>
              </w:rPr>
              <w:t xml:space="preserve">La succession de M. McLeod, par l’entremise de ses administrateurs (Gary et James McLeod, les fils de M. McLeod avec qui il avait coupé les liens), a intenté une action pour rupture de contrat contre les agents immobiliers et les avocats de M. McLeod, réclamant la somme de 2,9 millions de dollars à titre de dommages-intérêts et l’annulation en equity de la convention d’achat-vente d’une parcelle de terrain, alléguant que M. McLeod n’avait pas la capacité mentale requise pour vendre le terrain, que celui-ci a été vendu </w:t>
            </w:r>
            <w:r w:rsidRPr="00776E55">
              <w:rPr>
                <w:sz w:val="20"/>
                <w:lang w:val="fr-CA"/>
              </w:rPr>
              <w:t>à un prix inférieur à la juste valeur marchande</w:t>
            </w:r>
            <w:r w:rsidRPr="00776E55">
              <w:rPr>
                <w:sz w:val="20"/>
                <w:lang w:val="fr-CA" w:eastAsia="en-CA"/>
              </w:rPr>
              <w:t>, et que les avocats et les agents immobiliers ont violé les normes de diligence applicables à l’égard du défunt, ont omis d’agir dans son intérêt, et ne se sont pas assuré qu’il jouissait d’une capacité suffisante pour conclure les conventions d’achat-vente. Monsieur McLeod a pris sa retraite du secteur agricole en 2006. Il était atteint de démence légère à modérée, et a brièvement été hospitalisé à cause de symptômes de démence en novembre 2007 et au début de 2008. À ces deux moments, il a été jugé compétent de signer une procuration et a reçu son congé de l’hôpital avec une certaine aide ainsi qu’un médicament sur ordonnance qui a eu pour effet d’améliorer sa fonction cognitive de façon significative. La seconde fois, il a signé une procuration en faveur de Gary McLeod en présence d’un avocat. Gary n’y a jamais donné suite. En 2008, un psychiatre différent a annulé tous les médicaments que M. McLeod prenait pour la démence et a décrit sa mémoire comme étant à l’intérieur de la courbe normale.</w:t>
            </w:r>
          </w:p>
          <w:p w:rsidR="00142166" w:rsidRPr="00776E55" w:rsidRDefault="00142166" w:rsidP="00142166">
            <w:pPr>
              <w:jc w:val="both"/>
              <w:rPr>
                <w:sz w:val="20"/>
                <w:lang w:val="fr-CA" w:eastAsia="en-CA"/>
              </w:rPr>
            </w:pPr>
          </w:p>
          <w:p w:rsidR="00142166" w:rsidRPr="00776E55" w:rsidRDefault="00142166" w:rsidP="00142166">
            <w:pPr>
              <w:jc w:val="both"/>
              <w:rPr>
                <w:sz w:val="20"/>
                <w:lang w:val="fr-CA" w:eastAsia="en-CA"/>
              </w:rPr>
            </w:pPr>
            <w:r w:rsidRPr="00776E55">
              <w:rPr>
                <w:sz w:val="20"/>
                <w:lang w:val="fr-CA" w:eastAsia="en-CA"/>
              </w:rPr>
              <w:t>En 2009, M. McLeod a décidé de vendre trois parcelles de terrain. Le travail à cet égard a été arrêté lorsque la procuration a été révélée. Avec l’aide de son avocat, M. McLeod a formellement révoqué la procuration en octobre 2008 et l’avocat a informé les agents immobiliers de ce fait. Le travail au dossier a été poursuivi.</w:t>
            </w:r>
            <w:r w:rsidRPr="00776E55">
              <w:rPr>
                <w:sz w:val="20"/>
                <w:lang w:val="fr-CA"/>
              </w:rPr>
              <w:t xml:space="preserve"> Les ventes suivantes ont été effectuées :</w:t>
            </w:r>
          </w:p>
          <w:p w:rsidR="00142166" w:rsidRPr="00776E55" w:rsidRDefault="00142166" w:rsidP="00142166">
            <w:pPr>
              <w:jc w:val="both"/>
              <w:rPr>
                <w:sz w:val="20"/>
                <w:lang w:val="fr-CA" w:eastAsia="en-CA"/>
              </w:rPr>
            </w:pPr>
          </w:p>
          <w:p w:rsidR="00142166" w:rsidRPr="00776E55" w:rsidRDefault="00142166" w:rsidP="00142166">
            <w:pPr>
              <w:numPr>
                <w:ilvl w:val="0"/>
                <w:numId w:val="34"/>
              </w:numPr>
              <w:contextualSpacing/>
              <w:jc w:val="both"/>
              <w:rPr>
                <w:sz w:val="20"/>
                <w:lang w:val="fr-CA" w:eastAsia="en-CA"/>
              </w:rPr>
            </w:pPr>
            <w:r w:rsidRPr="00776E55">
              <w:rPr>
                <w:sz w:val="20"/>
                <w:lang w:val="fr-CA" w:eastAsia="en-CA"/>
              </w:rPr>
              <w:t>2,97 acres, avec une maison prête à emménager partiellement finie, ont été mis en vente au montant de 330 000 $, prix que les agents immobiliers estimaient être trop élevé, mais sur lequel M. McLeod a insisté; ils ont été vendus longtemps après avoir été mis en vente (6 mois) « tels quels » pour 240 000 $, ce qui était dans l’intervalle suggéré par les agents immobiliers;</w:t>
            </w:r>
          </w:p>
          <w:p w:rsidR="00142166" w:rsidRPr="00776E55" w:rsidRDefault="00142166" w:rsidP="00142166">
            <w:pPr>
              <w:numPr>
                <w:ilvl w:val="0"/>
                <w:numId w:val="34"/>
              </w:numPr>
              <w:contextualSpacing/>
              <w:jc w:val="both"/>
              <w:rPr>
                <w:sz w:val="20"/>
                <w:lang w:val="fr-CA"/>
              </w:rPr>
            </w:pPr>
            <w:r w:rsidRPr="00776E55">
              <w:rPr>
                <w:sz w:val="20"/>
                <w:lang w:val="fr-CA" w:eastAsia="en-CA"/>
              </w:rPr>
              <w:t>11 acres de terrain agricole dont le drainage des eaux en surface se faisait à l’écart de la ville de Brandon et qui était l’objet d’un plan de « lotissement peu profond » de manière à ce que le terrain soit divisé en 124 parcelles séparées par des rues et ruelles à l’égard desquelles M. McLeod ne détenait pas le titre; le terrain a été acheté par la ville de Brandon pour la somme de 66 676 $, ce qui comprenait une réduction relativement aux rues et ruelles; et</w:t>
            </w:r>
          </w:p>
          <w:p w:rsidR="00142166" w:rsidRPr="00776E55" w:rsidRDefault="00142166" w:rsidP="00142166">
            <w:pPr>
              <w:numPr>
                <w:ilvl w:val="0"/>
                <w:numId w:val="34"/>
              </w:numPr>
              <w:contextualSpacing/>
              <w:jc w:val="both"/>
              <w:rPr>
                <w:sz w:val="20"/>
                <w:lang w:val="fr-CA"/>
              </w:rPr>
            </w:pPr>
            <w:r w:rsidRPr="00776E55">
              <w:rPr>
                <w:sz w:val="20"/>
                <w:lang w:val="fr-CA" w:eastAsia="en-CA"/>
              </w:rPr>
              <w:t>123,58 acres de terrain non construit vendus à Jaysukh Rudani et à 5935491 Manitoba Ltd au coût de 654 410 $ en septembre 2009.</w:t>
            </w:r>
          </w:p>
          <w:p w:rsidR="00142166" w:rsidRPr="00776E55" w:rsidRDefault="00142166" w:rsidP="00142166">
            <w:pPr>
              <w:jc w:val="both"/>
              <w:rPr>
                <w:sz w:val="20"/>
                <w:lang w:val="fr-CA"/>
              </w:rPr>
            </w:pPr>
          </w:p>
          <w:p w:rsidR="00142166" w:rsidRPr="00776E55" w:rsidRDefault="00142166" w:rsidP="00142166">
            <w:pPr>
              <w:jc w:val="both"/>
              <w:rPr>
                <w:sz w:val="20"/>
                <w:lang w:val="fr-CA"/>
              </w:rPr>
            </w:pPr>
            <w:r w:rsidRPr="00776E55">
              <w:rPr>
                <w:sz w:val="20"/>
                <w:lang w:val="fr-CA"/>
              </w:rPr>
              <w:t>Le juge de première instance a rejeté les demandes, concluant que M. McLeod avait la capacité de conclure les conventions d’achat-vente, que les avocats et les agents immobiliers avaient respecté leur obligation de diligence à l’égard de M. McLeod, et que les terrains avaient été vendus à leur juste valeur marchande. La Cour d’appel a rejeté l’appel.</w:t>
            </w:r>
          </w:p>
          <w:p w:rsidR="00142166" w:rsidRPr="00776E55" w:rsidRDefault="00142166" w:rsidP="00142166">
            <w:pPr>
              <w:jc w:val="both"/>
              <w:rPr>
                <w:sz w:val="20"/>
                <w:lang w:val="fr-CA"/>
              </w:rPr>
            </w:pPr>
          </w:p>
        </w:tc>
      </w:tr>
      <w:tr w:rsidR="00142166" w:rsidRPr="00776E55" w:rsidTr="00FB0311">
        <w:tc>
          <w:tcPr>
            <w:tcW w:w="2427" w:type="pct"/>
            <w:gridSpan w:val="2"/>
          </w:tcPr>
          <w:p w:rsidR="00142166" w:rsidRPr="00776E55" w:rsidRDefault="00142166" w:rsidP="00142166">
            <w:pPr>
              <w:jc w:val="both"/>
              <w:rPr>
                <w:sz w:val="20"/>
                <w:lang w:val="fr-CA"/>
              </w:rPr>
            </w:pPr>
            <w:r w:rsidRPr="00776E55">
              <w:rPr>
                <w:sz w:val="20"/>
                <w:lang w:val="fr-CA"/>
              </w:rPr>
              <w:t>3 février 2021</w:t>
            </w:r>
          </w:p>
          <w:p w:rsidR="00142166" w:rsidRPr="00776E55" w:rsidRDefault="00142166" w:rsidP="00142166">
            <w:pPr>
              <w:jc w:val="both"/>
              <w:rPr>
                <w:sz w:val="20"/>
                <w:lang w:val="fr-CA"/>
              </w:rPr>
            </w:pPr>
            <w:r w:rsidRPr="00776E55">
              <w:rPr>
                <w:sz w:val="20"/>
                <w:lang w:val="fr-CA"/>
              </w:rPr>
              <w:t>Cour du Banc de la Reine du Manitoba</w:t>
            </w:r>
          </w:p>
          <w:p w:rsidR="00142166" w:rsidRPr="00776E55" w:rsidRDefault="00142166" w:rsidP="00142166">
            <w:pPr>
              <w:jc w:val="both"/>
              <w:rPr>
                <w:sz w:val="20"/>
                <w:lang w:val="fr-CA"/>
              </w:rPr>
            </w:pPr>
            <w:r w:rsidRPr="00776E55">
              <w:rPr>
                <w:sz w:val="20"/>
                <w:lang w:val="fr-CA"/>
              </w:rPr>
              <w:t>(juge Rempel)</w:t>
            </w:r>
          </w:p>
          <w:p w:rsidR="00142166" w:rsidRPr="00776E55" w:rsidRDefault="001E30F0" w:rsidP="00142166">
            <w:pPr>
              <w:jc w:val="both"/>
              <w:rPr>
                <w:sz w:val="20"/>
                <w:lang w:val="fr-CA"/>
              </w:rPr>
            </w:pPr>
            <w:hyperlink r:id="rId45" w:anchor="_Toc63234312" w:history="1">
              <w:r w:rsidR="00142166" w:rsidRPr="00776E55">
                <w:rPr>
                  <w:rStyle w:val="Hyperlink"/>
                  <w:sz w:val="20"/>
                  <w:lang w:val="fr-CA"/>
                </w:rPr>
                <w:t>2021 MBQB 24</w:t>
              </w:r>
            </w:hyperlink>
          </w:p>
          <w:p w:rsidR="00142166" w:rsidRPr="00776E55" w:rsidRDefault="00142166" w:rsidP="00142166">
            <w:pPr>
              <w:jc w:val="both"/>
              <w:rPr>
                <w:sz w:val="20"/>
                <w:lang w:val="fr-CA"/>
              </w:rPr>
            </w:pP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tabs>
                <w:tab w:val="left" w:pos="1295"/>
              </w:tabs>
              <w:jc w:val="both"/>
              <w:rPr>
                <w:sz w:val="20"/>
                <w:lang w:val="fr-CA"/>
              </w:rPr>
            </w:pPr>
            <w:r w:rsidRPr="00776E55">
              <w:rPr>
                <w:sz w:val="20"/>
                <w:lang w:val="fr-CA"/>
              </w:rPr>
              <w:t>Les demandes sont rejetées.</w:t>
            </w:r>
          </w:p>
          <w:p w:rsidR="00142166" w:rsidRPr="00776E55" w:rsidRDefault="00142166" w:rsidP="00142166">
            <w:pPr>
              <w:jc w:val="both"/>
              <w:rPr>
                <w:sz w:val="20"/>
                <w:lang w:val="fr-CA"/>
              </w:rPr>
            </w:pPr>
          </w:p>
        </w:tc>
      </w:tr>
      <w:tr w:rsidR="00142166" w:rsidRPr="00776E55" w:rsidTr="00FB0311">
        <w:tc>
          <w:tcPr>
            <w:tcW w:w="2427" w:type="pct"/>
            <w:gridSpan w:val="2"/>
          </w:tcPr>
          <w:p w:rsidR="00142166" w:rsidRPr="00776E55" w:rsidRDefault="00142166" w:rsidP="00142166">
            <w:pPr>
              <w:jc w:val="both"/>
              <w:rPr>
                <w:sz w:val="20"/>
                <w:lang w:val="fr-CA"/>
              </w:rPr>
            </w:pPr>
            <w:r w:rsidRPr="00776E55">
              <w:rPr>
                <w:sz w:val="20"/>
                <w:lang w:val="fr-CA"/>
              </w:rPr>
              <w:t>20 septembre 2022</w:t>
            </w:r>
          </w:p>
          <w:p w:rsidR="00142166" w:rsidRPr="00776E55" w:rsidRDefault="00142166" w:rsidP="00142166">
            <w:pPr>
              <w:jc w:val="both"/>
              <w:rPr>
                <w:sz w:val="20"/>
                <w:lang w:val="fr-CA"/>
              </w:rPr>
            </w:pPr>
            <w:r w:rsidRPr="00776E55">
              <w:rPr>
                <w:sz w:val="20"/>
                <w:lang w:val="fr-CA"/>
              </w:rPr>
              <w:t>Cour d’appel du Manitoba</w:t>
            </w:r>
          </w:p>
          <w:p w:rsidR="00142166" w:rsidRPr="00776E55" w:rsidRDefault="00142166" w:rsidP="00142166">
            <w:pPr>
              <w:jc w:val="both"/>
              <w:rPr>
                <w:sz w:val="20"/>
                <w:lang w:val="fr-CA"/>
              </w:rPr>
            </w:pPr>
            <w:r w:rsidRPr="00776E55">
              <w:rPr>
                <w:sz w:val="20"/>
                <w:lang w:val="fr-CA"/>
              </w:rPr>
              <w:t>(juges Mainella, Pfuetzner, Spivak)</w:t>
            </w:r>
          </w:p>
          <w:p w:rsidR="00142166" w:rsidRPr="00776E55" w:rsidRDefault="001E30F0" w:rsidP="00142166">
            <w:pPr>
              <w:jc w:val="both"/>
              <w:rPr>
                <w:sz w:val="20"/>
                <w:lang w:val="fr-CA"/>
              </w:rPr>
            </w:pPr>
            <w:hyperlink r:id="rId46" w:history="1">
              <w:r w:rsidR="00142166" w:rsidRPr="00776E55">
                <w:rPr>
                  <w:rStyle w:val="Hyperlink"/>
                  <w:sz w:val="20"/>
                  <w:lang w:val="fr-CA"/>
                </w:rPr>
                <w:t>2022 MBCA 73</w:t>
              </w:r>
            </w:hyperlink>
          </w:p>
          <w:p w:rsidR="00142166" w:rsidRPr="00776E55" w:rsidRDefault="00142166" w:rsidP="00142166">
            <w:pPr>
              <w:jc w:val="both"/>
              <w:rPr>
                <w:sz w:val="20"/>
                <w:lang w:val="fr-CA"/>
              </w:rPr>
            </w:pPr>
          </w:p>
        </w:tc>
        <w:tc>
          <w:tcPr>
            <w:tcW w:w="243" w:type="pct"/>
          </w:tcPr>
          <w:p w:rsidR="00142166" w:rsidRPr="00776E55" w:rsidRDefault="00142166" w:rsidP="00142166">
            <w:pPr>
              <w:jc w:val="both"/>
              <w:rPr>
                <w:sz w:val="20"/>
                <w:lang w:val="fr-CA"/>
              </w:rPr>
            </w:pPr>
          </w:p>
        </w:tc>
        <w:tc>
          <w:tcPr>
            <w:tcW w:w="2330" w:type="pct"/>
          </w:tcPr>
          <w:p w:rsidR="00142166" w:rsidRPr="00776E55" w:rsidRDefault="00142166" w:rsidP="00142166">
            <w:pPr>
              <w:jc w:val="both"/>
              <w:rPr>
                <w:sz w:val="20"/>
                <w:lang w:val="fr-CA"/>
              </w:rPr>
            </w:pPr>
            <w:r w:rsidRPr="00776E55">
              <w:rPr>
                <w:sz w:val="20"/>
                <w:lang w:val="fr-CA"/>
              </w:rPr>
              <w:t>L’appel est rejeté.</w:t>
            </w:r>
          </w:p>
          <w:p w:rsidR="00142166" w:rsidRPr="00776E55" w:rsidRDefault="00142166" w:rsidP="00142166">
            <w:pPr>
              <w:jc w:val="both"/>
              <w:rPr>
                <w:sz w:val="20"/>
                <w:lang w:val="fr-CA"/>
              </w:rPr>
            </w:pPr>
          </w:p>
        </w:tc>
      </w:tr>
      <w:tr w:rsidR="00142166" w:rsidRPr="001E30F0" w:rsidTr="00FB0311">
        <w:tc>
          <w:tcPr>
            <w:tcW w:w="2427" w:type="pct"/>
            <w:gridSpan w:val="2"/>
          </w:tcPr>
          <w:p w:rsidR="00142166" w:rsidRPr="00776E55" w:rsidRDefault="00142166" w:rsidP="00FB0311">
            <w:pPr>
              <w:jc w:val="both"/>
              <w:rPr>
                <w:sz w:val="20"/>
                <w:lang w:val="fr-CA"/>
              </w:rPr>
            </w:pPr>
            <w:r w:rsidRPr="00776E55">
              <w:rPr>
                <w:sz w:val="20"/>
                <w:lang w:val="fr-CA"/>
              </w:rPr>
              <w:t>18 novembre 2022</w:t>
            </w:r>
          </w:p>
          <w:p w:rsidR="00142166" w:rsidRPr="00776E55" w:rsidRDefault="00142166" w:rsidP="00FB0311">
            <w:pPr>
              <w:jc w:val="both"/>
              <w:rPr>
                <w:sz w:val="20"/>
                <w:lang w:val="fr-CA"/>
              </w:rPr>
            </w:pPr>
            <w:r w:rsidRPr="00776E55">
              <w:rPr>
                <w:sz w:val="20"/>
                <w:lang w:val="fr-CA"/>
              </w:rPr>
              <w:t>Cour suprême du Canada</w:t>
            </w:r>
          </w:p>
        </w:tc>
        <w:tc>
          <w:tcPr>
            <w:tcW w:w="243" w:type="pct"/>
          </w:tcPr>
          <w:p w:rsidR="00142166" w:rsidRPr="00776E55" w:rsidRDefault="00142166" w:rsidP="00FB0311">
            <w:pPr>
              <w:jc w:val="both"/>
              <w:rPr>
                <w:sz w:val="20"/>
                <w:lang w:val="fr-CA"/>
              </w:rPr>
            </w:pPr>
          </w:p>
        </w:tc>
        <w:tc>
          <w:tcPr>
            <w:tcW w:w="2330" w:type="pct"/>
          </w:tcPr>
          <w:p w:rsidR="00142166" w:rsidRPr="00776E55" w:rsidRDefault="00142166" w:rsidP="00FB0311">
            <w:pPr>
              <w:jc w:val="both"/>
              <w:rPr>
                <w:sz w:val="20"/>
                <w:lang w:val="fr-CA"/>
              </w:rPr>
            </w:pPr>
            <w:r w:rsidRPr="00776E55">
              <w:rPr>
                <w:sz w:val="20"/>
                <w:lang w:val="fr-CA"/>
              </w:rPr>
              <w:t>La demande d’autorisation d’appel est présentée.</w:t>
            </w:r>
          </w:p>
          <w:p w:rsidR="00142166" w:rsidRPr="00776E55" w:rsidRDefault="00142166" w:rsidP="00FB0311">
            <w:pPr>
              <w:jc w:val="both"/>
              <w:rPr>
                <w:sz w:val="20"/>
                <w:lang w:val="fr-CA"/>
              </w:rPr>
            </w:pPr>
          </w:p>
        </w:tc>
      </w:tr>
    </w:tbl>
    <w:p w:rsidR="00142166" w:rsidRPr="00776E55" w:rsidRDefault="00142166" w:rsidP="00FB0311">
      <w:pPr>
        <w:jc w:val="both"/>
        <w:rPr>
          <w:sz w:val="20"/>
          <w:lang w:val="fr-CA"/>
        </w:rPr>
      </w:pPr>
    </w:p>
    <w:p w:rsidR="0014490F" w:rsidRPr="00776E55" w:rsidRDefault="001E30F0" w:rsidP="00FB0311">
      <w:pPr>
        <w:widowControl w:val="0"/>
        <w:jc w:val="both"/>
        <w:rPr>
          <w:sz w:val="20"/>
          <w:lang w:val="fr-CA"/>
        </w:rPr>
      </w:pPr>
      <w:r>
        <w:rPr>
          <w:sz w:val="20"/>
        </w:rPr>
        <w:pict>
          <v:rect id="_x0000_i1036" style="width:2in;height:1pt" o:hrpct="0" o:hralign="center" o:hrstd="t" o:hrnoshade="t" o:hr="t" fillcolor="black [3213]" stroked="f"/>
        </w:pict>
      </w:r>
    </w:p>
    <w:p w:rsidR="00142166" w:rsidRPr="00776E55" w:rsidRDefault="00142166" w:rsidP="00FB031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rPr>
            </w:pPr>
            <w:r w:rsidRPr="00776E55">
              <w:rPr>
                <w:rStyle w:val="SCCFileNumberChar"/>
                <w:sz w:val="20"/>
                <w:szCs w:val="20"/>
              </w:rPr>
              <w:t>40427</w:t>
            </w:r>
          </w:p>
        </w:tc>
        <w:tc>
          <w:tcPr>
            <w:tcW w:w="4457" w:type="pct"/>
            <w:gridSpan w:val="3"/>
          </w:tcPr>
          <w:p w:rsidR="00FB0311" w:rsidRPr="00776E55" w:rsidRDefault="00FB0311" w:rsidP="00FB0311">
            <w:pPr>
              <w:pStyle w:val="SCCLsocParty"/>
              <w:jc w:val="both"/>
              <w:rPr>
                <w:b/>
                <w:sz w:val="20"/>
                <w:szCs w:val="20"/>
                <w:lang w:val="en-US"/>
              </w:rPr>
            </w:pPr>
            <w:r w:rsidRPr="00776E55">
              <w:rPr>
                <w:b/>
                <w:sz w:val="20"/>
                <w:szCs w:val="20"/>
                <w:lang w:val="en-US"/>
              </w:rPr>
              <w:t>Michael Christopher Love v. His Majesty the King</w:t>
            </w:r>
          </w:p>
          <w:p w:rsidR="00FB0311" w:rsidRPr="00776E55" w:rsidRDefault="00FB0311" w:rsidP="00FB0311">
            <w:pPr>
              <w:jc w:val="both"/>
              <w:rPr>
                <w:sz w:val="20"/>
              </w:rPr>
            </w:pPr>
            <w:r w:rsidRPr="00776E55">
              <w:rPr>
                <w:sz w:val="20"/>
              </w:rPr>
              <w:t>(Alta.) (Criminal) (By Leave)</w:t>
            </w:r>
          </w:p>
        </w:tc>
      </w:tr>
      <w:tr w:rsidR="00FB0311" w:rsidRPr="00776E55" w:rsidTr="00FB0311">
        <w:tc>
          <w:tcPr>
            <w:tcW w:w="5000" w:type="pct"/>
            <w:gridSpan w:val="4"/>
          </w:tcPr>
          <w:p w:rsidR="00FB0311" w:rsidRPr="00776E55" w:rsidRDefault="00FB0311" w:rsidP="00FB0311">
            <w:pPr>
              <w:pStyle w:val="SCCBanSummary"/>
              <w:rPr>
                <w:sz w:val="20"/>
                <w:szCs w:val="20"/>
              </w:rPr>
            </w:pPr>
            <w:r w:rsidRPr="00776E55">
              <w:rPr>
                <w:sz w:val="20"/>
                <w:szCs w:val="20"/>
              </w:rPr>
              <w:t>(Publication ban in case)</w:t>
            </w:r>
          </w:p>
          <w:p w:rsidR="00FB0311" w:rsidRPr="00776E55" w:rsidRDefault="00FB0311" w:rsidP="00FB0311">
            <w:pPr>
              <w:jc w:val="both"/>
              <w:rPr>
                <w:sz w:val="20"/>
              </w:rPr>
            </w:pPr>
          </w:p>
        </w:tc>
      </w:tr>
      <w:tr w:rsidR="00FB0311" w:rsidRPr="00776E55" w:rsidTr="00FB0311">
        <w:tc>
          <w:tcPr>
            <w:tcW w:w="5000" w:type="pct"/>
            <w:gridSpan w:val="4"/>
          </w:tcPr>
          <w:p w:rsidR="00FB0311" w:rsidRPr="00776E55" w:rsidRDefault="00FB0311" w:rsidP="00FB0311">
            <w:pPr>
              <w:jc w:val="both"/>
              <w:rPr>
                <w:sz w:val="20"/>
              </w:rPr>
            </w:pPr>
            <w:r w:rsidRPr="00776E55">
              <w:rPr>
                <w:i/>
                <w:sz w:val="20"/>
              </w:rPr>
              <w:t>Charter</w:t>
            </w:r>
            <w:r w:rsidRPr="00776E55">
              <w:rPr>
                <w:b/>
                <w:sz w:val="20"/>
              </w:rPr>
              <w:t xml:space="preserve"> </w:t>
            </w:r>
            <w:r w:rsidRPr="00776E55">
              <w:rPr>
                <w:i/>
                <w:sz w:val="20"/>
              </w:rPr>
              <w:t xml:space="preserve">of Rights </w:t>
            </w:r>
            <w:r w:rsidRPr="00776E55">
              <w:rPr>
                <w:sz w:val="20"/>
              </w:rPr>
              <w:t xml:space="preserve">— Arbitrary detention — Criminal law — Whether a lawful warrantless arrest can be grounded in information obtained through a </w:t>
            </w:r>
            <w:r w:rsidRPr="00776E55">
              <w:rPr>
                <w:i/>
                <w:sz w:val="20"/>
              </w:rPr>
              <w:t xml:space="preserve">Charter </w:t>
            </w:r>
            <w:r w:rsidRPr="00776E55">
              <w:rPr>
                <w:sz w:val="20"/>
              </w:rPr>
              <w:t xml:space="preserve">violation — Whether evidence obtained unlawfully in a foreign jurisdiction can be excised from subsequent warrant applications in Canada — Whether s. 487.014 production orders can be issued extraterritorially — Whether the applicant’s first statement was involuntary and his subsequent police station interview was derivative thereof — </w:t>
            </w:r>
            <w:r w:rsidRPr="00776E55">
              <w:rPr>
                <w:i/>
                <w:sz w:val="20"/>
              </w:rPr>
              <w:t>Canadian Charter of Rights of Rights and Freedoms</w:t>
            </w:r>
            <w:r w:rsidRPr="00776E55">
              <w:rPr>
                <w:sz w:val="20"/>
              </w:rPr>
              <w:t>, s. 9.</w:t>
            </w:r>
          </w:p>
          <w:p w:rsidR="00FB0311" w:rsidRPr="00776E55" w:rsidRDefault="00FB0311" w:rsidP="00FB0311">
            <w:pPr>
              <w:jc w:val="both"/>
              <w:rPr>
                <w:sz w:val="20"/>
              </w:rPr>
            </w:pPr>
          </w:p>
        </w:tc>
      </w:tr>
      <w:tr w:rsidR="00FB0311" w:rsidRPr="00776E55" w:rsidTr="00FB0311">
        <w:tc>
          <w:tcPr>
            <w:tcW w:w="5000" w:type="pct"/>
            <w:gridSpan w:val="4"/>
          </w:tcPr>
          <w:p w:rsidR="00FB0311" w:rsidRPr="00776E55" w:rsidRDefault="00FB0311" w:rsidP="00FB0311">
            <w:pPr>
              <w:jc w:val="both"/>
              <w:rPr>
                <w:sz w:val="20"/>
              </w:rPr>
            </w:pPr>
            <w:r w:rsidRPr="00776E55">
              <w:rPr>
                <w:color w:val="000000"/>
                <w:sz w:val="20"/>
              </w:rPr>
              <w:t xml:space="preserve">The charges against the applicant stemmed from communication with an underage boy over the Internet. </w:t>
            </w:r>
            <w:r w:rsidRPr="00776E55">
              <w:rPr>
                <w:sz w:val="20"/>
              </w:rPr>
              <w:t>At trial, the applicant was convicted of offences related to child pornography and child luring. The Court of Appeal dismissed the conviction appeal.</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November 6, 2020</w:t>
            </w:r>
          </w:p>
          <w:p w:rsidR="00FB0311" w:rsidRPr="00776E55" w:rsidRDefault="00FB0311" w:rsidP="00FB0311">
            <w:pPr>
              <w:jc w:val="both"/>
              <w:rPr>
                <w:sz w:val="20"/>
              </w:rPr>
            </w:pPr>
            <w:r w:rsidRPr="00776E55">
              <w:rPr>
                <w:sz w:val="20"/>
              </w:rPr>
              <w:t>Court of Queen’s Bench of Alberta</w:t>
            </w:r>
          </w:p>
          <w:p w:rsidR="00FB0311" w:rsidRPr="00776E55" w:rsidRDefault="00FB0311" w:rsidP="00FB0311">
            <w:pPr>
              <w:jc w:val="both"/>
              <w:rPr>
                <w:sz w:val="20"/>
              </w:rPr>
            </w:pPr>
            <w:r w:rsidRPr="00776E55">
              <w:rPr>
                <w:sz w:val="20"/>
              </w:rPr>
              <w:t>(Wilson J.)</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Convictions entered: for child luring and child pornography</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August 15, 2022</w:t>
            </w:r>
          </w:p>
          <w:p w:rsidR="00FB0311" w:rsidRPr="00776E55" w:rsidRDefault="00FB0311" w:rsidP="00FB0311">
            <w:pPr>
              <w:jc w:val="both"/>
              <w:rPr>
                <w:sz w:val="20"/>
              </w:rPr>
            </w:pPr>
            <w:r w:rsidRPr="00776E55">
              <w:rPr>
                <w:sz w:val="20"/>
              </w:rPr>
              <w:t>Court of Appeal of Alberta (Calgary)</w:t>
            </w:r>
          </w:p>
          <w:p w:rsidR="00FB0311" w:rsidRPr="00776E55" w:rsidRDefault="00FB0311" w:rsidP="00FB0311">
            <w:pPr>
              <w:jc w:val="both"/>
              <w:rPr>
                <w:sz w:val="20"/>
              </w:rPr>
            </w:pPr>
            <w:r w:rsidRPr="00776E55">
              <w:rPr>
                <w:sz w:val="20"/>
              </w:rPr>
              <w:t>(Rowbotham, Hughes, Antonio JJ.A.)</w:t>
            </w:r>
          </w:p>
          <w:p w:rsidR="00FB0311" w:rsidRPr="00776E55" w:rsidRDefault="00FB0311" w:rsidP="00FB0311">
            <w:pPr>
              <w:jc w:val="both"/>
              <w:rPr>
                <w:sz w:val="20"/>
              </w:rPr>
            </w:pPr>
            <w:r w:rsidRPr="00776E55">
              <w:rPr>
                <w:sz w:val="20"/>
              </w:rPr>
              <w:t xml:space="preserve">2101-0064A; </w:t>
            </w:r>
            <w:hyperlink r:id="rId47" w:history="1">
              <w:r w:rsidRPr="00776E55">
                <w:rPr>
                  <w:rStyle w:val="Hyperlink"/>
                  <w:sz w:val="20"/>
                </w:rPr>
                <w:t>2022 ABCA 269</w:t>
              </w:r>
            </w:hyperlink>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Conviction appeal dismissed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October 24, 2022</w:t>
            </w:r>
          </w:p>
          <w:p w:rsidR="00FB0311" w:rsidRPr="00776E55" w:rsidRDefault="00FB0311" w:rsidP="00FB0311">
            <w:pPr>
              <w:jc w:val="both"/>
              <w:rPr>
                <w:sz w:val="20"/>
              </w:rPr>
            </w:pPr>
            <w:r w:rsidRPr="00776E55">
              <w:rPr>
                <w:sz w:val="20"/>
              </w:rPr>
              <w:t>Supreme Court of Canada</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Motion for an extension of time to serve and file the application for leave to appeal and application for leave to appeal filed</w:t>
            </w:r>
          </w:p>
        </w:tc>
      </w:tr>
    </w:tbl>
    <w:p w:rsidR="00FB0311" w:rsidRPr="00776E55" w:rsidRDefault="00FB0311" w:rsidP="00FB0311">
      <w:pPr>
        <w:jc w:val="both"/>
        <w:rPr>
          <w:sz w:val="20"/>
        </w:rPr>
      </w:pPr>
    </w:p>
    <w:p w:rsidR="00FB0311" w:rsidRPr="00776E55" w:rsidRDefault="001E30F0" w:rsidP="00FB0311">
      <w:pPr>
        <w:jc w:val="both"/>
        <w:rPr>
          <w:sz w:val="20"/>
        </w:rPr>
      </w:pPr>
      <w:r>
        <w:rPr>
          <w:sz w:val="20"/>
        </w:rPr>
        <w:pict>
          <v:rect id="_x0000_i1037" style="width:2in;height:1pt" o:hrpct="0" o:hralign="center" o:hrstd="t" o:hrnoshade="t" o:hr="t" fillcolor="black [3213]" stroked="f"/>
        </w:pict>
      </w:r>
    </w:p>
    <w:p w:rsidR="00FB0311" w:rsidRPr="00776E55" w:rsidRDefault="00FB0311" w:rsidP="00FB03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lang w:val="fr-CA"/>
              </w:rPr>
            </w:pPr>
            <w:r w:rsidRPr="00776E55">
              <w:rPr>
                <w:rStyle w:val="SCCFileNumberChar"/>
                <w:sz w:val="20"/>
                <w:szCs w:val="20"/>
                <w:lang w:val="fr-CA"/>
              </w:rPr>
              <w:t>40427</w:t>
            </w:r>
          </w:p>
        </w:tc>
        <w:tc>
          <w:tcPr>
            <w:tcW w:w="4457" w:type="pct"/>
            <w:gridSpan w:val="3"/>
          </w:tcPr>
          <w:p w:rsidR="00FB0311" w:rsidRPr="00776E55" w:rsidRDefault="00FB0311" w:rsidP="00FB0311">
            <w:pPr>
              <w:pStyle w:val="SCCLsocParty"/>
              <w:jc w:val="both"/>
              <w:rPr>
                <w:b/>
                <w:sz w:val="20"/>
                <w:szCs w:val="20"/>
              </w:rPr>
            </w:pPr>
            <w:r w:rsidRPr="00776E55">
              <w:rPr>
                <w:b/>
                <w:sz w:val="20"/>
                <w:szCs w:val="20"/>
              </w:rPr>
              <w:t>Michael Christopher Love c. Sa Majesté le Roi</w:t>
            </w:r>
          </w:p>
          <w:p w:rsidR="00FB0311" w:rsidRPr="00776E55" w:rsidRDefault="00FB0311" w:rsidP="00FB0311">
            <w:pPr>
              <w:jc w:val="both"/>
              <w:rPr>
                <w:sz w:val="20"/>
                <w:lang w:val="fr-CA"/>
              </w:rPr>
            </w:pPr>
            <w:r w:rsidRPr="00776E55">
              <w:rPr>
                <w:sz w:val="20"/>
                <w:lang w:val="fr-CA"/>
              </w:rPr>
              <w:t>(Alb.) (Criminelle) (Sur autorisation)</w:t>
            </w:r>
          </w:p>
        </w:tc>
      </w:tr>
      <w:tr w:rsidR="00FB0311" w:rsidRPr="001E30F0" w:rsidTr="00FB0311">
        <w:tc>
          <w:tcPr>
            <w:tcW w:w="5000" w:type="pct"/>
            <w:gridSpan w:val="4"/>
          </w:tcPr>
          <w:p w:rsidR="00FB0311" w:rsidRPr="00776E55" w:rsidRDefault="00FB0311" w:rsidP="00FB0311">
            <w:pPr>
              <w:pStyle w:val="SCCBanSummary"/>
              <w:rPr>
                <w:sz w:val="20"/>
                <w:szCs w:val="20"/>
                <w:lang w:val="fr-CA"/>
              </w:rPr>
            </w:pPr>
            <w:r w:rsidRPr="00776E55">
              <w:rPr>
                <w:sz w:val="20"/>
                <w:szCs w:val="20"/>
                <w:lang w:val="fr-CA"/>
              </w:rPr>
              <w:t>(Ordonnance de non-publication au dossier)</w:t>
            </w:r>
          </w:p>
          <w:p w:rsidR="00FB0311" w:rsidRPr="00776E55" w:rsidRDefault="00FB0311" w:rsidP="00FB0311">
            <w:pPr>
              <w:jc w:val="both"/>
              <w:rPr>
                <w:sz w:val="20"/>
                <w:lang w:val="fr-CA"/>
              </w:rPr>
            </w:pPr>
          </w:p>
        </w:tc>
      </w:tr>
      <w:tr w:rsidR="00FB0311" w:rsidRPr="001E30F0" w:rsidTr="00FB0311">
        <w:tc>
          <w:tcPr>
            <w:tcW w:w="5000" w:type="pct"/>
            <w:gridSpan w:val="4"/>
          </w:tcPr>
          <w:p w:rsidR="00FB0311" w:rsidRPr="00776E55" w:rsidRDefault="00FB0311" w:rsidP="00FB0311">
            <w:pPr>
              <w:jc w:val="both"/>
              <w:rPr>
                <w:sz w:val="20"/>
                <w:lang w:val="fr-CA"/>
              </w:rPr>
            </w:pPr>
            <w:r w:rsidRPr="00776E55">
              <w:rPr>
                <w:i/>
                <w:sz w:val="20"/>
                <w:lang w:val="fr-CA"/>
              </w:rPr>
              <w:t xml:space="preserve">Charte des droits </w:t>
            </w:r>
            <w:r w:rsidRPr="00776E55">
              <w:rPr>
                <w:sz w:val="20"/>
                <w:lang w:val="fr-CA"/>
              </w:rPr>
              <w:t xml:space="preserve">— Détention arbitraire — Droit criminel — Une arrestation légale sans mandat peut-elle être fondée sur des renseignements obtenus en violation de la </w:t>
            </w:r>
            <w:r w:rsidRPr="00776E55">
              <w:rPr>
                <w:i/>
                <w:sz w:val="20"/>
                <w:lang w:val="fr-CA"/>
              </w:rPr>
              <w:t>Charte </w:t>
            </w:r>
            <w:r w:rsidRPr="00776E55">
              <w:rPr>
                <w:sz w:val="20"/>
                <w:lang w:val="fr-CA"/>
              </w:rPr>
              <w:t>?</w:t>
            </w:r>
            <w:r w:rsidRPr="00776E55">
              <w:rPr>
                <w:i/>
                <w:sz w:val="20"/>
                <w:lang w:val="fr-CA"/>
              </w:rPr>
              <w:t xml:space="preserve"> </w:t>
            </w:r>
            <w:r w:rsidRPr="00776E55">
              <w:rPr>
                <w:sz w:val="20"/>
                <w:lang w:val="fr-CA"/>
              </w:rPr>
              <w:t xml:space="preserve">— Des éléments de preuve obtenus illégalement dans un ressort étranger peuvent-ils être retirés des demandes subséquentes de mandats faites au Canada ? — Les ordonnances de communication en vertu de l’art. 487.014 peuvent-elles être rendues de façon extraterritoriale ? — La déclaration initiale du demandeur a-t-elle été faite involontairement, et l’interrogatoire subséquent auquel il a été soumis au poste de police découlait-il de celle-ci ? — </w:t>
            </w:r>
            <w:r w:rsidRPr="00776E55">
              <w:rPr>
                <w:i/>
                <w:sz w:val="20"/>
                <w:lang w:val="fr-CA"/>
              </w:rPr>
              <w:t>Charte canadienne des droits et libertés</w:t>
            </w:r>
            <w:r w:rsidRPr="00776E55">
              <w:rPr>
                <w:sz w:val="20"/>
                <w:lang w:val="fr-CA"/>
              </w:rPr>
              <w:t>, art. 9.</w:t>
            </w:r>
          </w:p>
          <w:p w:rsidR="00FB0311" w:rsidRPr="00776E55" w:rsidRDefault="00FB0311" w:rsidP="00FB0311">
            <w:pPr>
              <w:jc w:val="both"/>
              <w:rPr>
                <w:sz w:val="20"/>
                <w:lang w:val="fr-CA"/>
              </w:rPr>
            </w:pPr>
          </w:p>
        </w:tc>
      </w:tr>
      <w:tr w:rsidR="00FB0311" w:rsidRPr="001E30F0" w:rsidTr="00FB0311">
        <w:tc>
          <w:tcPr>
            <w:tcW w:w="5000" w:type="pct"/>
            <w:gridSpan w:val="4"/>
          </w:tcPr>
          <w:p w:rsidR="00FB0311" w:rsidRPr="00776E55" w:rsidRDefault="00FB0311" w:rsidP="00FB0311">
            <w:pPr>
              <w:jc w:val="both"/>
              <w:rPr>
                <w:sz w:val="20"/>
                <w:lang w:val="fr-CA"/>
              </w:rPr>
            </w:pPr>
            <w:r w:rsidRPr="00776E55">
              <w:rPr>
                <w:color w:val="000000"/>
                <w:sz w:val="20"/>
                <w:lang w:val="fr-CA"/>
              </w:rPr>
              <w:t xml:space="preserve">Des accusations ont été portées contre le demandeur à la suite de communications qu’il a entretenues sur Internet avec un mineur. </w:t>
            </w:r>
            <w:r w:rsidRPr="00776E55">
              <w:rPr>
                <w:sz w:val="20"/>
                <w:lang w:val="fr-CA"/>
              </w:rPr>
              <w:t>Au procès, le demandeur a été déclaré coupable d’infractions liées à la pornographie juvénile et au leurre d’enfant. La Cour d’appel a rejeté l’appel interjeté contre la déclaration de culpabilité.</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6 novembre 2020</w:t>
            </w:r>
          </w:p>
          <w:p w:rsidR="00FB0311" w:rsidRPr="00776E55" w:rsidRDefault="00FB0311" w:rsidP="00FB0311">
            <w:pPr>
              <w:jc w:val="both"/>
              <w:rPr>
                <w:sz w:val="20"/>
                <w:lang w:val="fr-CA"/>
              </w:rPr>
            </w:pPr>
            <w:r w:rsidRPr="00776E55">
              <w:rPr>
                <w:sz w:val="20"/>
                <w:lang w:val="fr-CA"/>
              </w:rPr>
              <w:t>Cour du Banc de la Reine de l’Alberta</w:t>
            </w:r>
          </w:p>
          <w:p w:rsidR="00FB0311" w:rsidRPr="00776E55" w:rsidRDefault="00FB0311" w:rsidP="00FB0311">
            <w:pPr>
              <w:jc w:val="both"/>
              <w:rPr>
                <w:sz w:val="20"/>
                <w:lang w:val="fr-CA"/>
              </w:rPr>
            </w:pPr>
            <w:r w:rsidRPr="00776E55">
              <w:rPr>
                <w:sz w:val="20"/>
                <w:lang w:val="fr-CA"/>
              </w:rPr>
              <w:t>(juge Wilson)</w:t>
            </w:r>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Des déclarations de culpabilité sont prononcées à l’égard des infractions de leurre d’enfant et de pornographie juvénile.</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15 août 2022</w:t>
            </w:r>
          </w:p>
          <w:p w:rsidR="00FB0311" w:rsidRPr="00776E55" w:rsidRDefault="00FB0311" w:rsidP="00FB0311">
            <w:pPr>
              <w:jc w:val="both"/>
              <w:rPr>
                <w:sz w:val="20"/>
                <w:lang w:val="fr-CA"/>
              </w:rPr>
            </w:pPr>
            <w:r w:rsidRPr="00776E55">
              <w:rPr>
                <w:sz w:val="20"/>
                <w:lang w:val="fr-CA"/>
              </w:rPr>
              <w:t>Cour d’appel de l’Alberta (Calgary)</w:t>
            </w:r>
          </w:p>
          <w:p w:rsidR="00FB0311" w:rsidRPr="00776E55" w:rsidRDefault="00FB0311" w:rsidP="00FB0311">
            <w:pPr>
              <w:jc w:val="both"/>
              <w:rPr>
                <w:sz w:val="20"/>
              </w:rPr>
            </w:pPr>
            <w:r w:rsidRPr="00776E55">
              <w:rPr>
                <w:sz w:val="20"/>
              </w:rPr>
              <w:t>(juges Rowbotham, Hughes, Antonio)</w:t>
            </w:r>
          </w:p>
          <w:p w:rsidR="00FB0311" w:rsidRPr="00776E55" w:rsidRDefault="00FB0311" w:rsidP="00FB0311">
            <w:pPr>
              <w:jc w:val="both"/>
              <w:rPr>
                <w:sz w:val="20"/>
              </w:rPr>
            </w:pPr>
            <w:r w:rsidRPr="00776E55">
              <w:rPr>
                <w:sz w:val="20"/>
              </w:rPr>
              <w:t xml:space="preserve">2101-0064A; </w:t>
            </w:r>
            <w:hyperlink r:id="rId48" w:history="1">
              <w:r w:rsidRPr="00776E55">
                <w:rPr>
                  <w:rStyle w:val="Hyperlink"/>
                  <w:sz w:val="20"/>
                </w:rPr>
                <w:t>2022 ABCA 269</w:t>
              </w:r>
            </w:hyperlink>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lang w:val="fr-CA"/>
              </w:rPr>
            </w:pPr>
            <w:r w:rsidRPr="00776E55">
              <w:rPr>
                <w:sz w:val="20"/>
                <w:lang w:val="fr-CA"/>
              </w:rPr>
              <w:t>L’appel de la déclaration de culpabilité est rejeté.</w:t>
            </w: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24 octobre 2022</w:t>
            </w:r>
          </w:p>
          <w:p w:rsidR="00FB0311" w:rsidRPr="00776E55" w:rsidRDefault="00FB0311" w:rsidP="00FB0311">
            <w:pPr>
              <w:jc w:val="both"/>
              <w:rPr>
                <w:sz w:val="20"/>
                <w:lang w:val="fr-CA"/>
              </w:rPr>
            </w:pPr>
            <w:r w:rsidRPr="00776E55">
              <w:rPr>
                <w:sz w:val="20"/>
                <w:lang w:val="fr-CA"/>
              </w:rPr>
              <w:t>Cour suprême du Canada</w:t>
            </w:r>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La requête en prorogation du délai de signification et de dépôt de la demande d’autorisation d’appel ainsi que la demande d’autorisation d’appel sont présentées.</w:t>
            </w:r>
          </w:p>
        </w:tc>
      </w:tr>
    </w:tbl>
    <w:p w:rsidR="00FB0311" w:rsidRPr="00776E55" w:rsidRDefault="00FB0311" w:rsidP="00FB0311">
      <w:pPr>
        <w:jc w:val="both"/>
        <w:rPr>
          <w:sz w:val="20"/>
          <w:lang w:val="fr-CA"/>
        </w:rPr>
      </w:pPr>
    </w:p>
    <w:p w:rsidR="00FB0311" w:rsidRPr="00776E55" w:rsidRDefault="001E30F0" w:rsidP="00FB0311">
      <w:pPr>
        <w:jc w:val="both"/>
        <w:rPr>
          <w:sz w:val="20"/>
          <w:lang w:val="fr-CA"/>
        </w:rPr>
      </w:pPr>
      <w:r>
        <w:rPr>
          <w:sz w:val="20"/>
        </w:rPr>
        <w:pict>
          <v:rect id="_x0000_i1038" style="width:2in;height:1pt" o:hrpct="0" o:hralign="center" o:hrstd="t" o:hrnoshade="t" o:hr="t" fillcolor="black [3213]" stroked="f"/>
        </w:pict>
      </w:r>
    </w:p>
    <w:p w:rsidR="00FB0311" w:rsidRPr="00776E55" w:rsidRDefault="00FB0311" w:rsidP="00FB03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rPr>
            </w:pPr>
            <w:r w:rsidRPr="00776E55">
              <w:rPr>
                <w:rStyle w:val="SCCFileNumberChar"/>
                <w:sz w:val="20"/>
                <w:szCs w:val="20"/>
              </w:rPr>
              <w:t>40368</w:t>
            </w:r>
          </w:p>
        </w:tc>
        <w:tc>
          <w:tcPr>
            <w:tcW w:w="4457" w:type="pct"/>
            <w:gridSpan w:val="3"/>
          </w:tcPr>
          <w:p w:rsidR="00FB0311" w:rsidRPr="00776E55" w:rsidRDefault="00FB0311" w:rsidP="00FB0311">
            <w:pPr>
              <w:pStyle w:val="SCCLsocParty"/>
              <w:jc w:val="both"/>
              <w:rPr>
                <w:b/>
                <w:sz w:val="20"/>
                <w:szCs w:val="20"/>
                <w:lang w:val="en-US"/>
              </w:rPr>
            </w:pPr>
            <w:r w:rsidRPr="00776E55">
              <w:rPr>
                <w:b/>
                <w:sz w:val="20"/>
                <w:szCs w:val="20"/>
                <w:lang w:val="en-US"/>
              </w:rPr>
              <w:t>Doran Alfred Flock v. William McKen, Litigation Representative of the Estate of Arlene Joy Flock</w:t>
            </w:r>
          </w:p>
          <w:p w:rsidR="00FB0311" w:rsidRPr="00776E55" w:rsidRDefault="00FB0311" w:rsidP="00FB0311">
            <w:pPr>
              <w:jc w:val="both"/>
              <w:rPr>
                <w:sz w:val="20"/>
              </w:rPr>
            </w:pPr>
            <w:r w:rsidRPr="00776E55">
              <w:rPr>
                <w:sz w:val="20"/>
              </w:rPr>
              <w:t>(Alta.) (Civil) (By Leave)</w:t>
            </w:r>
          </w:p>
        </w:tc>
      </w:tr>
      <w:tr w:rsidR="00FB0311" w:rsidRPr="00776E55" w:rsidTr="00FB0311">
        <w:tc>
          <w:tcPr>
            <w:tcW w:w="5000" w:type="pct"/>
            <w:gridSpan w:val="4"/>
          </w:tcPr>
          <w:p w:rsidR="00FB0311" w:rsidRPr="00776E55" w:rsidRDefault="00FB0311" w:rsidP="00FB0311">
            <w:pPr>
              <w:jc w:val="both"/>
              <w:rPr>
                <w:sz w:val="20"/>
              </w:rPr>
            </w:pPr>
            <w:r w:rsidRPr="00776E55">
              <w:rPr>
                <w:sz w:val="20"/>
              </w:rPr>
              <w:t>Property — Co-ownership — Joint tenancy — Survivorship — Whether Court of Appeal erred in interpreting effect of right of survivorship in joint tenancy — Whether Court of Appeal erred in defining proper limitations on action commenced to sever joint tenancy — Whether Court of Appeal erred in giving deference to findings of fact when evidentiary record consisted solely of affidavit evidence — Whether Court of Appeal erred in giving deference to finding that motion before it included assessment of occupation rent payable by non-party.</w:t>
            </w:r>
          </w:p>
        </w:tc>
      </w:tr>
      <w:tr w:rsidR="00FB0311" w:rsidRPr="00776E55" w:rsidTr="00FB0311">
        <w:tc>
          <w:tcPr>
            <w:tcW w:w="5000" w:type="pct"/>
            <w:gridSpan w:val="4"/>
          </w:tcPr>
          <w:p w:rsidR="00FB0311" w:rsidRPr="00776E55" w:rsidRDefault="00FB0311" w:rsidP="00FB0311">
            <w:pPr>
              <w:jc w:val="both"/>
              <w:rPr>
                <w:sz w:val="20"/>
              </w:rPr>
            </w:pPr>
          </w:p>
        </w:tc>
      </w:tr>
      <w:tr w:rsidR="00FB0311" w:rsidRPr="00776E55" w:rsidTr="00FB0311">
        <w:tc>
          <w:tcPr>
            <w:tcW w:w="5000" w:type="pct"/>
            <w:gridSpan w:val="4"/>
          </w:tcPr>
          <w:p w:rsidR="00FB0311" w:rsidRPr="00776E55" w:rsidRDefault="00FB0311" w:rsidP="00FB0311">
            <w:pPr>
              <w:jc w:val="both"/>
              <w:rPr>
                <w:sz w:val="20"/>
                <w:lang w:eastAsia="en-CA"/>
              </w:rPr>
            </w:pPr>
            <w:r w:rsidRPr="00776E55">
              <w:rPr>
                <w:sz w:val="20"/>
                <w:lang w:eastAsia="en-CA"/>
              </w:rPr>
              <w:t>The Flocks were married in 1982 and purchased a residence in Calgary (“Property”) for $400,000 (funded, in part, with a $200,000 mortgage) in December 1993. The parties were registered on the title of the Property as joint tenants and spent approximately $80,000 on renovations. In September 1994, they separated and Mr. Flock moved out. Ms. Flock continued residing in the Property until her death in 2014. Twenty-five years of acrimonious litigation followed.</w:t>
            </w:r>
          </w:p>
          <w:p w:rsidR="00FB0311" w:rsidRPr="00776E55" w:rsidRDefault="00FB0311" w:rsidP="00FB0311">
            <w:pPr>
              <w:jc w:val="both"/>
              <w:rPr>
                <w:sz w:val="20"/>
                <w:lang w:eastAsia="en-CA"/>
              </w:rPr>
            </w:pPr>
          </w:p>
          <w:p w:rsidR="00FB0311" w:rsidRPr="00776E55" w:rsidRDefault="00FB0311" w:rsidP="00FB0311">
            <w:pPr>
              <w:jc w:val="both"/>
              <w:rPr>
                <w:sz w:val="20"/>
                <w:lang w:eastAsia="en-CA"/>
              </w:rPr>
            </w:pPr>
            <w:r w:rsidRPr="00776E55">
              <w:rPr>
                <w:sz w:val="20"/>
                <w:lang w:eastAsia="en-CA"/>
              </w:rPr>
              <w:t>In 1999, Mr. McKen moved into the Property to reside with Ms. Flock; the two were married in 2009. From the time of their marriage until her death, Ms. Flock and Mr. McKen made significant contributions to the maintenance and renovation of the Property. From the time of her death until 2017, Mr. McKen took financial responsibility for the property. He also paid out the mortgage. From the time he moved out, Mr. Flock did not collect any occupation rent or other compensation from Ms. Flock or Mr. McKen, and he did not contribute to the value of the Property until 2018, when he paid the property taxes.</w:t>
            </w:r>
          </w:p>
          <w:p w:rsidR="00FB0311" w:rsidRPr="00776E55" w:rsidRDefault="00FB0311" w:rsidP="00776E55">
            <w:pPr>
              <w:jc w:val="both"/>
              <w:rPr>
                <w:sz w:val="20"/>
                <w:lang w:eastAsia="en-CA"/>
              </w:rPr>
            </w:pPr>
          </w:p>
          <w:p w:rsidR="00FB0311" w:rsidRPr="00776E55" w:rsidRDefault="00FB0311" w:rsidP="00FB0311">
            <w:pPr>
              <w:jc w:val="both"/>
              <w:rPr>
                <w:sz w:val="20"/>
              </w:rPr>
            </w:pPr>
            <w:r w:rsidRPr="00776E55">
              <w:rPr>
                <w:sz w:val="20"/>
                <w:lang w:eastAsia="en-CA"/>
              </w:rPr>
              <w:t xml:space="preserve">In 2015, Ms. Flock’s Estate applied to sever the joint tenancy in the Property. It later amended the application, seeking a declaration that the joint tenancy of the Property had been severed such that Mr. Flock and the Estate hold the Property as tenants in common. It asked the Registrar of Land Titles to issue a new certificate of title and that Mr. Flock’s interest in the Property be sold to the Estate at a price determined by the court. Mr. Flock argued that he is the sole and lawful owner of the Property because he is the surviving joint tenant. </w:t>
            </w:r>
            <w:r w:rsidRPr="00776E55">
              <w:rPr>
                <w:sz w:val="20"/>
              </w:rPr>
              <w:t>The Estate’s application was granted. The Court of Appeal dismissed the appeal.</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July 20, 2021</w:t>
            </w:r>
          </w:p>
          <w:p w:rsidR="00FB0311" w:rsidRPr="00776E55" w:rsidRDefault="00FB0311" w:rsidP="00FB0311">
            <w:pPr>
              <w:jc w:val="both"/>
              <w:rPr>
                <w:sz w:val="20"/>
              </w:rPr>
            </w:pPr>
            <w:r w:rsidRPr="00776E55">
              <w:rPr>
                <w:sz w:val="20"/>
              </w:rPr>
              <w:t>Court of Queen’s Bench of Alberta</w:t>
            </w:r>
          </w:p>
          <w:p w:rsidR="00FB0311" w:rsidRPr="00776E55" w:rsidRDefault="00FB0311" w:rsidP="00FB0311">
            <w:pPr>
              <w:jc w:val="both"/>
              <w:rPr>
                <w:sz w:val="20"/>
              </w:rPr>
            </w:pPr>
            <w:r w:rsidRPr="00776E55">
              <w:rPr>
                <w:sz w:val="20"/>
              </w:rPr>
              <w:t>(Johnston J.)</w:t>
            </w:r>
          </w:p>
          <w:p w:rsidR="00FB0311" w:rsidRPr="00776E55" w:rsidRDefault="001E30F0" w:rsidP="00FB0311">
            <w:pPr>
              <w:jc w:val="both"/>
              <w:rPr>
                <w:rStyle w:val="Hyperlink"/>
                <w:color w:val="auto"/>
                <w:sz w:val="20"/>
                <w:u w:val="none"/>
              </w:rPr>
            </w:pPr>
            <w:hyperlink r:id="rId49" w:history="1">
              <w:r w:rsidR="00FB0311" w:rsidRPr="00776E55">
                <w:rPr>
                  <w:rStyle w:val="Hyperlink"/>
                  <w:sz w:val="20"/>
                </w:rPr>
                <w:t>2021 ABQB 502</w:t>
              </w:r>
            </w:hyperlink>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 xml:space="preserve">Property held as tenants in common; 50 per cent of appraised value of the Property to be paid by the Estate to Mr. Flock </w:t>
            </w:r>
          </w:p>
        </w:tc>
      </w:tr>
      <w:tr w:rsidR="00FB0311" w:rsidRPr="00776E55" w:rsidTr="00FB0311">
        <w:tc>
          <w:tcPr>
            <w:tcW w:w="2427" w:type="pct"/>
            <w:gridSpan w:val="2"/>
          </w:tcPr>
          <w:p w:rsidR="00FB0311" w:rsidRPr="00776E55" w:rsidRDefault="00FB0311" w:rsidP="00FB0311">
            <w:pPr>
              <w:jc w:val="both"/>
              <w:rPr>
                <w:sz w:val="20"/>
              </w:rPr>
            </w:pPr>
            <w:r w:rsidRPr="00776E55">
              <w:rPr>
                <w:sz w:val="20"/>
              </w:rPr>
              <w:t>June 24, 2022</w:t>
            </w:r>
          </w:p>
          <w:p w:rsidR="00FB0311" w:rsidRPr="00776E55" w:rsidRDefault="00FB0311" w:rsidP="00FB0311">
            <w:pPr>
              <w:jc w:val="both"/>
              <w:rPr>
                <w:sz w:val="20"/>
              </w:rPr>
            </w:pPr>
            <w:r w:rsidRPr="00776E55">
              <w:rPr>
                <w:sz w:val="20"/>
              </w:rPr>
              <w:t>Court of Appeal of Alberta (Calgary)</w:t>
            </w:r>
          </w:p>
          <w:p w:rsidR="00FB0311" w:rsidRPr="00776E55" w:rsidRDefault="00FB0311" w:rsidP="00FB0311">
            <w:pPr>
              <w:jc w:val="both"/>
              <w:rPr>
                <w:sz w:val="20"/>
              </w:rPr>
            </w:pPr>
            <w:r w:rsidRPr="00776E55">
              <w:rPr>
                <w:sz w:val="20"/>
              </w:rPr>
              <w:t>(Veldhuis, Crighton, Kirker JJ.A.)</w:t>
            </w:r>
          </w:p>
          <w:p w:rsidR="00FB0311" w:rsidRPr="00776E55" w:rsidRDefault="001E30F0" w:rsidP="00FB0311">
            <w:pPr>
              <w:jc w:val="both"/>
              <w:rPr>
                <w:rStyle w:val="Hyperlink"/>
                <w:color w:val="auto"/>
                <w:sz w:val="20"/>
                <w:u w:val="none"/>
              </w:rPr>
            </w:pPr>
            <w:hyperlink r:id="rId50" w:history="1">
              <w:r w:rsidR="00FB0311" w:rsidRPr="00776E55">
                <w:rPr>
                  <w:rStyle w:val="Hyperlink"/>
                  <w:sz w:val="20"/>
                </w:rPr>
                <w:t>2022 ABCA 229</w:t>
              </w:r>
            </w:hyperlink>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 xml:space="preserve">Appeal dismissed </w:t>
            </w:r>
          </w:p>
        </w:tc>
      </w:tr>
      <w:tr w:rsidR="00FB0311" w:rsidRPr="00776E55" w:rsidTr="00FB0311">
        <w:tc>
          <w:tcPr>
            <w:tcW w:w="2427" w:type="pct"/>
            <w:gridSpan w:val="2"/>
          </w:tcPr>
          <w:p w:rsidR="00FB0311" w:rsidRPr="00776E55" w:rsidRDefault="00FB0311" w:rsidP="00FB0311">
            <w:pPr>
              <w:jc w:val="both"/>
              <w:rPr>
                <w:sz w:val="20"/>
              </w:rPr>
            </w:pPr>
            <w:r w:rsidRPr="00776E55">
              <w:rPr>
                <w:sz w:val="20"/>
              </w:rPr>
              <w:t>September 23, 2022</w:t>
            </w:r>
          </w:p>
          <w:p w:rsidR="00FB0311" w:rsidRPr="00776E55" w:rsidRDefault="00FB0311" w:rsidP="00FB0311">
            <w:pPr>
              <w:jc w:val="both"/>
              <w:rPr>
                <w:sz w:val="20"/>
              </w:rPr>
            </w:pPr>
            <w:r w:rsidRPr="00776E55">
              <w:rPr>
                <w:sz w:val="20"/>
              </w:rPr>
              <w:t>Supreme Court of Canada</w:t>
            </w: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Application for leave to appeal filed</w:t>
            </w:r>
          </w:p>
          <w:p w:rsidR="00FB0311" w:rsidRPr="00776E55" w:rsidRDefault="00FB0311" w:rsidP="00FB0311">
            <w:pPr>
              <w:jc w:val="both"/>
              <w:rPr>
                <w:sz w:val="20"/>
              </w:rPr>
            </w:pPr>
          </w:p>
        </w:tc>
      </w:tr>
    </w:tbl>
    <w:p w:rsidR="00FB0311" w:rsidRPr="00776E55" w:rsidRDefault="00FB0311" w:rsidP="00FB0311">
      <w:pPr>
        <w:jc w:val="both"/>
        <w:rPr>
          <w:sz w:val="20"/>
        </w:rPr>
      </w:pPr>
    </w:p>
    <w:p w:rsidR="00FB0311" w:rsidRPr="00776E55" w:rsidRDefault="001E30F0" w:rsidP="00FB0311">
      <w:pPr>
        <w:jc w:val="both"/>
        <w:rPr>
          <w:sz w:val="20"/>
        </w:rPr>
      </w:pPr>
      <w:r>
        <w:rPr>
          <w:sz w:val="20"/>
        </w:rPr>
        <w:pict>
          <v:rect id="_x0000_i1039" style="width:2in;height:1pt" o:hrpct="0" o:hralign="center" o:hrstd="t" o:hrnoshade="t" o:hr="t" fillcolor="black [3213]" stroked="f"/>
        </w:pict>
      </w:r>
    </w:p>
    <w:p w:rsidR="00FB0311" w:rsidRPr="00776E55" w:rsidRDefault="00FB0311" w:rsidP="00FB03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1E30F0" w:rsidTr="00FB0311">
        <w:tc>
          <w:tcPr>
            <w:tcW w:w="543" w:type="pct"/>
          </w:tcPr>
          <w:p w:rsidR="00FB0311" w:rsidRPr="00776E55" w:rsidRDefault="00FB0311" w:rsidP="00FB0311">
            <w:pPr>
              <w:jc w:val="both"/>
              <w:rPr>
                <w:sz w:val="20"/>
                <w:lang w:val="fr-CA"/>
              </w:rPr>
            </w:pPr>
            <w:r w:rsidRPr="00776E55">
              <w:rPr>
                <w:rStyle w:val="SCCFileNumberChar"/>
                <w:sz w:val="20"/>
                <w:szCs w:val="20"/>
                <w:lang w:val="fr-CA"/>
              </w:rPr>
              <w:t>40368</w:t>
            </w:r>
          </w:p>
        </w:tc>
        <w:tc>
          <w:tcPr>
            <w:tcW w:w="4457" w:type="pct"/>
            <w:gridSpan w:val="3"/>
          </w:tcPr>
          <w:p w:rsidR="00FB0311" w:rsidRPr="00776E55" w:rsidRDefault="00FB0311" w:rsidP="00FB0311">
            <w:pPr>
              <w:pStyle w:val="SCCLsocParty"/>
              <w:jc w:val="both"/>
              <w:rPr>
                <w:b/>
                <w:sz w:val="20"/>
                <w:szCs w:val="20"/>
              </w:rPr>
            </w:pPr>
            <w:r w:rsidRPr="00776E55">
              <w:rPr>
                <w:b/>
                <w:sz w:val="20"/>
                <w:szCs w:val="20"/>
              </w:rPr>
              <w:t>Doran Alfred Flock c. William McKen, tuteur à l’instance de la succession d’Arlene Joy Flock</w:t>
            </w:r>
          </w:p>
          <w:p w:rsidR="00FB0311" w:rsidRPr="00776E55" w:rsidRDefault="00FB0311" w:rsidP="00FB0311">
            <w:pPr>
              <w:jc w:val="both"/>
              <w:rPr>
                <w:sz w:val="20"/>
                <w:lang w:val="fr-CA"/>
              </w:rPr>
            </w:pPr>
            <w:r w:rsidRPr="00776E55">
              <w:rPr>
                <w:sz w:val="20"/>
                <w:lang w:val="fr-CA"/>
              </w:rPr>
              <w:t>(Alb.) (Civile) (Autorisation)</w:t>
            </w:r>
          </w:p>
        </w:tc>
      </w:tr>
      <w:tr w:rsidR="00FB0311" w:rsidRPr="001E30F0" w:rsidTr="00FB0311">
        <w:tc>
          <w:tcPr>
            <w:tcW w:w="5000" w:type="pct"/>
            <w:gridSpan w:val="4"/>
          </w:tcPr>
          <w:p w:rsidR="00FB0311" w:rsidRPr="00776E55" w:rsidRDefault="00FB0311" w:rsidP="00FB0311">
            <w:pPr>
              <w:jc w:val="both"/>
              <w:rPr>
                <w:sz w:val="20"/>
                <w:lang w:val="fr-CA"/>
              </w:rPr>
            </w:pPr>
            <w:r w:rsidRPr="00776E55">
              <w:rPr>
                <w:sz w:val="20"/>
                <w:lang w:val="fr-CA"/>
              </w:rPr>
              <w:t>Biens — Copropriété — Tenance conjointe — Droit de survie — La Cour d’appel a-t-elle commis une erreur dans l’interprétation de l’effet du droit de survie dans une tenance conjointe? — La Cour d’appel a-t-elle commis une erreur en définissant les limites appropriées dans une action intentée afin de séparer une tenance conjointe? — La Cour d’appel a-t-elle commis une erreur en accordant la déférence aux conclusions factuelles alors que le dossier de preuve était uniquement constitué d’une preuve par affidavit? — La Cour d’appel a-t-elle commis une erreur en accordant la déférence à la conclusion selon laquelle la requête dont elle était saisie incluait une évaluation du loyer pour occupation payable par une tierce partie?</w:t>
            </w:r>
          </w:p>
        </w:tc>
      </w:tr>
      <w:tr w:rsidR="00FB0311" w:rsidRPr="001E30F0" w:rsidTr="00FB0311">
        <w:tc>
          <w:tcPr>
            <w:tcW w:w="5000" w:type="pct"/>
            <w:gridSpan w:val="4"/>
          </w:tcPr>
          <w:p w:rsidR="00FB0311" w:rsidRPr="00776E55" w:rsidRDefault="00FB0311" w:rsidP="00FB0311">
            <w:pPr>
              <w:jc w:val="both"/>
              <w:rPr>
                <w:sz w:val="20"/>
                <w:lang w:val="fr-CA"/>
              </w:rPr>
            </w:pPr>
          </w:p>
        </w:tc>
      </w:tr>
      <w:tr w:rsidR="00FB0311" w:rsidRPr="001E30F0" w:rsidTr="00FB0311">
        <w:tc>
          <w:tcPr>
            <w:tcW w:w="5000" w:type="pct"/>
            <w:gridSpan w:val="4"/>
          </w:tcPr>
          <w:p w:rsidR="00FB0311" w:rsidRPr="00776E55" w:rsidRDefault="00FB0311" w:rsidP="00FB0311">
            <w:pPr>
              <w:jc w:val="both"/>
              <w:rPr>
                <w:sz w:val="20"/>
                <w:lang w:val="fr-CA" w:eastAsia="en-CA"/>
              </w:rPr>
            </w:pPr>
            <w:r w:rsidRPr="00776E55">
              <w:rPr>
                <w:sz w:val="20"/>
                <w:lang w:val="fr-CA" w:eastAsia="en-CA"/>
              </w:rPr>
              <w:t>Les Flock se sont mariés en 1982 et ont acheté une résidence (« propriété ») de 400 000 $ (financés en partie à l’aide d’une hypothèque de 200 000 $),</w:t>
            </w:r>
            <w:r w:rsidRPr="00776E55">
              <w:rPr>
                <w:sz w:val="20"/>
                <w:lang w:val="fr-CA"/>
              </w:rPr>
              <w:t xml:space="preserve"> </w:t>
            </w:r>
            <w:r w:rsidRPr="00776E55">
              <w:rPr>
                <w:sz w:val="20"/>
                <w:lang w:val="fr-CA" w:eastAsia="en-CA"/>
              </w:rPr>
              <w:t>à Calgary, en décembre 1993. Les parties étaient inscrites sur le titre de propriété comme tenants conjoints et ont dépensé environ 80 000 $ pour des travaux de rénovation. En septembre 1994, ils se sont séparés et M. Flock a déménagé. M</w:t>
            </w:r>
            <w:r w:rsidRPr="00776E55">
              <w:rPr>
                <w:sz w:val="20"/>
                <w:vertAlign w:val="superscript"/>
                <w:lang w:val="fr-CA" w:eastAsia="en-CA"/>
              </w:rPr>
              <w:t>me</w:t>
            </w:r>
            <w:r w:rsidRPr="00776E55">
              <w:rPr>
                <w:sz w:val="20"/>
                <w:lang w:val="fr-CA" w:eastAsia="en-CA"/>
              </w:rPr>
              <w:t> Flock a continué à résider dans la propriété jusqu’à son décès, en 2014. Il s’en est suivi vingt</w:t>
            </w:r>
            <w:r w:rsidRPr="00776E55">
              <w:rPr>
                <w:sz w:val="20"/>
                <w:lang w:val="fr-CA" w:eastAsia="en-CA"/>
              </w:rPr>
              <w:noBreakHyphen/>
              <w:t>cinq années d’un contentieux acrimonieux.</w:t>
            </w:r>
          </w:p>
          <w:p w:rsidR="00FB0311" w:rsidRPr="00776E55" w:rsidRDefault="00FB0311" w:rsidP="00FB0311">
            <w:pPr>
              <w:jc w:val="both"/>
              <w:rPr>
                <w:sz w:val="20"/>
                <w:lang w:val="fr-CA" w:eastAsia="en-CA"/>
              </w:rPr>
            </w:pPr>
          </w:p>
          <w:p w:rsidR="00FB0311" w:rsidRPr="00776E55" w:rsidRDefault="00FB0311" w:rsidP="00FB0311">
            <w:pPr>
              <w:jc w:val="both"/>
              <w:rPr>
                <w:sz w:val="20"/>
                <w:lang w:val="fr-CA" w:eastAsia="en-CA"/>
              </w:rPr>
            </w:pPr>
            <w:r w:rsidRPr="00776E55">
              <w:rPr>
                <w:sz w:val="20"/>
                <w:lang w:val="fr-CA" w:eastAsia="en-CA"/>
              </w:rPr>
              <w:t>En 1999, M. McKen a déménagé dans la propriété afin d’y résider avec M</w:t>
            </w:r>
            <w:r w:rsidRPr="00776E55">
              <w:rPr>
                <w:sz w:val="20"/>
                <w:vertAlign w:val="superscript"/>
                <w:lang w:val="fr-CA" w:eastAsia="en-CA"/>
              </w:rPr>
              <w:t>me</w:t>
            </w:r>
            <w:r w:rsidRPr="00776E55">
              <w:rPr>
                <w:sz w:val="20"/>
                <w:lang w:val="fr-CA" w:eastAsia="en-CA"/>
              </w:rPr>
              <w:t> Flock; ils se sont mariés en 2009. De la date de leur mariage jusqu’à son décès, M</w:t>
            </w:r>
            <w:r w:rsidRPr="00776E55">
              <w:rPr>
                <w:sz w:val="20"/>
                <w:vertAlign w:val="superscript"/>
                <w:lang w:val="fr-CA" w:eastAsia="en-CA"/>
              </w:rPr>
              <w:t>me</w:t>
            </w:r>
            <w:r w:rsidRPr="00776E55">
              <w:rPr>
                <w:sz w:val="20"/>
                <w:lang w:val="fr-CA" w:eastAsia="en-CA"/>
              </w:rPr>
              <w:t> Flock et M. McKen ont apporté des contributions importantes à l’entretien et à la rénovation de la propriété. De la date du décès de M</w:t>
            </w:r>
            <w:r w:rsidRPr="00776E55">
              <w:rPr>
                <w:sz w:val="20"/>
                <w:vertAlign w:val="superscript"/>
                <w:lang w:val="fr-CA" w:eastAsia="en-CA"/>
              </w:rPr>
              <w:t>me</w:t>
            </w:r>
            <w:r w:rsidRPr="00776E55">
              <w:rPr>
                <w:sz w:val="20"/>
                <w:lang w:val="fr-CA" w:eastAsia="en-CA"/>
              </w:rPr>
              <w:t> Flock jusqu’en 2017, M. McKen a assumé la responsabilité financière de la propriété. Il a aussi payé l’hypothèque. Depuis qu’il a déménagé de la propriété, M. Flock n’a reçu aucun loyer pour occupation ni aucune autre forme de contrepartie de M</w:t>
            </w:r>
            <w:r w:rsidRPr="00776E55">
              <w:rPr>
                <w:sz w:val="20"/>
                <w:vertAlign w:val="superscript"/>
                <w:lang w:val="fr-CA" w:eastAsia="en-CA"/>
              </w:rPr>
              <w:t>me</w:t>
            </w:r>
            <w:r w:rsidRPr="00776E55">
              <w:rPr>
                <w:sz w:val="20"/>
                <w:lang w:val="fr-CA" w:eastAsia="en-CA"/>
              </w:rPr>
              <w:t> Flock ou de M. McKen, et il n’a pas contribué au maintien de la valeur de la propriété jusqu’en 2018, lorsqu’il a payé les taxes foncières.</w:t>
            </w:r>
          </w:p>
          <w:p w:rsidR="00FB0311" w:rsidRPr="00776E55" w:rsidRDefault="00FB0311" w:rsidP="00FB0311">
            <w:pPr>
              <w:jc w:val="both"/>
              <w:rPr>
                <w:sz w:val="20"/>
                <w:lang w:val="fr-CA" w:eastAsia="en-CA"/>
              </w:rPr>
            </w:pPr>
          </w:p>
          <w:p w:rsidR="00FB0311" w:rsidRPr="00776E55" w:rsidRDefault="00FB0311" w:rsidP="00FB0311">
            <w:pPr>
              <w:jc w:val="both"/>
              <w:rPr>
                <w:sz w:val="20"/>
                <w:lang w:val="fr-CA" w:eastAsia="en-CA"/>
              </w:rPr>
            </w:pPr>
            <w:r w:rsidRPr="00776E55">
              <w:rPr>
                <w:sz w:val="20"/>
                <w:lang w:val="fr-CA" w:eastAsia="en-CA"/>
              </w:rPr>
              <w:t>En 2015, la succession de M</w:t>
            </w:r>
            <w:r w:rsidRPr="00776E55">
              <w:rPr>
                <w:sz w:val="20"/>
                <w:vertAlign w:val="superscript"/>
                <w:lang w:val="fr-CA" w:eastAsia="en-CA"/>
              </w:rPr>
              <w:t>me</w:t>
            </w:r>
            <w:r w:rsidRPr="00776E55">
              <w:rPr>
                <w:sz w:val="20"/>
                <w:lang w:val="fr-CA" w:eastAsia="en-CA"/>
              </w:rPr>
              <w:t xml:space="preserve"> Flock a présenté une demande afin de séparer la tenance conjointe de la propriété. Elle </w:t>
            </w:r>
            <w:proofErr w:type="gramStart"/>
            <w:r w:rsidRPr="00776E55">
              <w:rPr>
                <w:sz w:val="20"/>
                <w:lang w:val="fr-CA" w:eastAsia="en-CA"/>
              </w:rPr>
              <w:t>a</w:t>
            </w:r>
            <w:proofErr w:type="gramEnd"/>
            <w:r w:rsidRPr="00776E55">
              <w:rPr>
                <w:sz w:val="20"/>
                <w:lang w:val="fr-CA" w:eastAsia="en-CA"/>
              </w:rPr>
              <w:t xml:space="preserve"> plus tard modifié la demande, sollicitant une déclaration selon laquelle la tenance conjointe de la propriété avait été séparée, de sorte que M. Flock et la succession détenaient la propriété en tant que tenants en commun. La succession a demandé au registrateur des titres immobiliers d’émettre un nouveau certificat de titre, et d’obtenir que l’intérêt de M. Flock à l’égard de la propriété soit vendu à la succession à un prix déterminé par le tribunal. M. Flock a plaidé qu’il était l’unique et légitime propriétaire de la propriété, parce qu’il était le tenant conjoint survivant. La demande de la succession a été accueillie. La Cour d’appel a rejeté l’appel. </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20 juillet 2021</w:t>
            </w:r>
          </w:p>
          <w:p w:rsidR="00FB0311" w:rsidRPr="00776E55" w:rsidRDefault="00FB0311" w:rsidP="00FB0311">
            <w:pPr>
              <w:jc w:val="both"/>
              <w:rPr>
                <w:sz w:val="20"/>
                <w:lang w:val="fr-CA"/>
              </w:rPr>
            </w:pPr>
            <w:r w:rsidRPr="00776E55">
              <w:rPr>
                <w:sz w:val="20"/>
                <w:lang w:val="fr-CA"/>
              </w:rPr>
              <w:t>Cour du Banc de la Reine de l’Alberta</w:t>
            </w:r>
          </w:p>
          <w:p w:rsidR="00FB0311" w:rsidRPr="00776E55" w:rsidRDefault="00FB0311" w:rsidP="00FB0311">
            <w:pPr>
              <w:jc w:val="both"/>
              <w:rPr>
                <w:sz w:val="20"/>
                <w:lang w:val="fr-CA"/>
              </w:rPr>
            </w:pPr>
            <w:r w:rsidRPr="00776E55">
              <w:rPr>
                <w:sz w:val="20"/>
                <w:lang w:val="fr-CA"/>
              </w:rPr>
              <w:t>(juge Johnston)</w:t>
            </w:r>
          </w:p>
          <w:p w:rsidR="00FB0311" w:rsidRPr="00776E55" w:rsidRDefault="001E30F0" w:rsidP="00FB0311">
            <w:pPr>
              <w:jc w:val="both"/>
              <w:rPr>
                <w:rStyle w:val="Hyperlink"/>
                <w:color w:val="auto"/>
                <w:sz w:val="20"/>
                <w:u w:val="none"/>
                <w:lang w:val="fr-CA"/>
              </w:rPr>
            </w:pPr>
            <w:hyperlink r:id="rId51" w:history="1">
              <w:r w:rsidR="00FB0311" w:rsidRPr="00776E55">
                <w:rPr>
                  <w:rStyle w:val="Hyperlink"/>
                  <w:sz w:val="20"/>
                  <w:lang w:val="fr-CA"/>
                </w:rPr>
                <w:t>2021 ABQB 502</w:t>
              </w:r>
            </w:hyperlink>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 xml:space="preserve">Propriété détenue en tant que tenants communs; la succession doit payer 50 pour cent de la valeur estimée de la propriété à M. Flock </w:t>
            </w:r>
          </w:p>
        </w:tc>
      </w:tr>
      <w:tr w:rsidR="00FB0311" w:rsidRPr="00776E55" w:rsidTr="00FB0311">
        <w:tc>
          <w:tcPr>
            <w:tcW w:w="2427" w:type="pct"/>
            <w:gridSpan w:val="2"/>
          </w:tcPr>
          <w:p w:rsidR="00FB0311" w:rsidRPr="00776E55" w:rsidRDefault="00FB0311" w:rsidP="00FB0311">
            <w:pPr>
              <w:jc w:val="both"/>
              <w:rPr>
                <w:sz w:val="20"/>
                <w:lang w:val="fr-CA"/>
              </w:rPr>
            </w:pPr>
            <w:r w:rsidRPr="00776E55">
              <w:rPr>
                <w:sz w:val="20"/>
                <w:lang w:val="fr-CA"/>
              </w:rPr>
              <w:t>24 juin 2022</w:t>
            </w:r>
          </w:p>
          <w:p w:rsidR="00FB0311" w:rsidRPr="00776E55" w:rsidRDefault="00FB0311" w:rsidP="00FB0311">
            <w:pPr>
              <w:jc w:val="both"/>
              <w:rPr>
                <w:sz w:val="20"/>
                <w:lang w:val="fr-CA"/>
              </w:rPr>
            </w:pPr>
            <w:r w:rsidRPr="00776E55">
              <w:rPr>
                <w:sz w:val="20"/>
                <w:lang w:val="fr-CA"/>
              </w:rPr>
              <w:t>Cour d’appel de l’Alberta (Calgary)</w:t>
            </w:r>
          </w:p>
          <w:p w:rsidR="00FB0311" w:rsidRPr="00776E55" w:rsidRDefault="00FB0311" w:rsidP="00FB0311">
            <w:pPr>
              <w:jc w:val="both"/>
              <w:rPr>
                <w:sz w:val="20"/>
              </w:rPr>
            </w:pPr>
            <w:r w:rsidRPr="00776E55">
              <w:rPr>
                <w:sz w:val="20"/>
              </w:rPr>
              <w:t>(juges Veldhuis, Crighton, Kirker)</w:t>
            </w:r>
          </w:p>
          <w:p w:rsidR="00FB0311" w:rsidRPr="00776E55" w:rsidRDefault="001E30F0" w:rsidP="00FB0311">
            <w:pPr>
              <w:jc w:val="both"/>
              <w:rPr>
                <w:rStyle w:val="Hyperlink"/>
                <w:color w:val="auto"/>
                <w:sz w:val="20"/>
                <w:u w:val="none"/>
              </w:rPr>
            </w:pPr>
            <w:hyperlink r:id="rId52" w:history="1">
              <w:r w:rsidR="00FB0311" w:rsidRPr="00776E55">
                <w:rPr>
                  <w:rStyle w:val="Hyperlink"/>
                  <w:sz w:val="20"/>
                </w:rPr>
                <w:t>2022 ABCA 229</w:t>
              </w:r>
            </w:hyperlink>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lang w:val="fr-CA"/>
              </w:rPr>
            </w:pPr>
            <w:r w:rsidRPr="00776E55">
              <w:rPr>
                <w:sz w:val="20"/>
                <w:lang w:val="fr-CA"/>
              </w:rPr>
              <w:t>Appel rejeté</w:t>
            </w: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23 septembre 2022</w:t>
            </w:r>
          </w:p>
          <w:p w:rsidR="00FB0311" w:rsidRPr="00776E55" w:rsidRDefault="00FB0311" w:rsidP="00FB0311">
            <w:pPr>
              <w:jc w:val="both"/>
              <w:rPr>
                <w:sz w:val="20"/>
                <w:lang w:val="fr-CA"/>
              </w:rPr>
            </w:pPr>
            <w:r w:rsidRPr="00776E55">
              <w:rPr>
                <w:sz w:val="20"/>
                <w:lang w:val="fr-CA"/>
              </w:rPr>
              <w:t>Cour suprême du Canada</w:t>
            </w: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 xml:space="preserve">Dépôt de la demande d’autorisation d’appel </w:t>
            </w:r>
          </w:p>
          <w:p w:rsidR="00FB0311" w:rsidRPr="00776E55" w:rsidRDefault="00FB0311" w:rsidP="00FB0311">
            <w:pPr>
              <w:jc w:val="both"/>
              <w:rPr>
                <w:sz w:val="20"/>
                <w:lang w:val="fr-CA"/>
              </w:rPr>
            </w:pPr>
          </w:p>
        </w:tc>
      </w:tr>
    </w:tbl>
    <w:p w:rsidR="00FB0311" w:rsidRPr="00776E55" w:rsidRDefault="00FB0311" w:rsidP="00FB0311">
      <w:pPr>
        <w:jc w:val="both"/>
        <w:rPr>
          <w:sz w:val="20"/>
          <w:lang w:val="fr-CA"/>
        </w:rPr>
      </w:pPr>
    </w:p>
    <w:p w:rsidR="00FB0311" w:rsidRPr="00776E55" w:rsidRDefault="001E30F0" w:rsidP="00FB0311">
      <w:pPr>
        <w:jc w:val="both"/>
        <w:rPr>
          <w:sz w:val="20"/>
          <w:lang w:val="fr-CA"/>
        </w:rPr>
      </w:pPr>
      <w:r>
        <w:rPr>
          <w:sz w:val="20"/>
        </w:rPr>
        <w:pict>
          <v:rect id="_x0000_i1040" style="width:2in;height:1pt" o:hrpct="0" o:hralign="center" o:hrstd="t" o:hrnoshade="t" o:hr="t" fillcolor="black [3213]" stroked="f"/>
        </w:pict>
      </w:r>
    </w:p>
    <w:p w:rsidR="00FB0311" w:rsidRPr="00776E55" w:rsidRDefault="00FB0311" w:rsidP="00FB03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rPr>
            </w:pPr>
            <w:r w:rsidRPr="00776E55">
              <w:rPr>
                <w:rStyle w:val="SCCFileNumberChar"/>
                <w:sz w:val="20"/>
                <w:szCs w:val="20"/>
              </w:rPr>
              <w:t>40450</w:t>
            </w:r>
          </w:p>
        </w:tc>
        <w:tc>
          <w:tcPr>
            <w:tcW w:w="4457" w:type="pct"/>
            <w:gridSpan w:val="3"/>
          </w:tcPr>
          <w:p w:rsidR="00FB0311" w:rsidRPr="00776E55" w:rsidRDefault="00FB0311" w:rsidP="00FB0311">
            <w:pPr>
              <w:pStyle w:val="SCCLsocParty"/>
              <w:jc w:val="both"/>
              <w:rPr>
                <w:b/>
                <w:sz w:val="20"/>
                <w:szCs w:val="20"/>
                <w:lang w:val="en-US"/>
              </w:rPr>
            </w:pPr>
            <w:r w:rsidRPr="00776E55">
              <w:rPr>
                <w:b/>
                <w:sz w:val="20"/>
                <w:szCs w:val="20"/>
                <w:lang w:val="en-US"/>
              </w:rPr>
              <w:t>Philton Moore v. The Estate of Lou Ferro, Personally and C.O.B. as Ferro &amp; Company, Ellen Helden, 1312788 Ontario Limited, Human Rights Tribunal of Ontario</w:t>
            </w:r>
          </w:p>
          <w:p w:rsidR="00FB0311" w:rsidRPr="00776E55" w:rsidRDefault="00FB0311" w:rsidP="00FB0311">
            <w:pPr>
              <w:jc w:val="both"/>
              <w:rPr>
                <w:sz w:val="20"/>
              </w:rPr>
            </w:pPr>
            <w:r w:rsidRPr="00776E55">
              <w:rPr>
                <w:sz w:val="20"/>
              </w:rPr>
              <w:t>(Ont.) (Civil) (By Leave)</w:t>
            </w:r>
          </w:p>
        </w:tc>
      </w:tr>
      <w:tr w:rsidR="00FB0311" w:rsidRPr="00776E55" w:rsidTr="00FB0311">
        <w:tc>
          <w:tcPr>
            <w:tcW w:w="5000" w:type="pct"/>
            <w:gridSpan w:val="4"/>
          </w:tcPr>
          <w:p w:rsidR="00FB0311" w:rsidRPr="00776E55" w:rsidRDefault="00FB0311" w:rsidP="00FB0311">
            <w:pPr>
              <w:jc w:val="both"/>
              <w:rPr>
                <w:sz w:val="20"/>
              </w:rPr>
            </w:pPr>
            <w:r w:rsidRPr="00776E55">
              <w:rPr>
                <w:sz w:val="20"/>
              </w:rPr>
              <w:t xml:space="preserve">Human Rights — Right to equality — Discrimination in employment — Standard of Review — Fresh evidence — What is required to establish </w:t>
            </w:r>
            <w:r w:rsidRPr="00776E55">
              <w:rPr>
                <w:i/>
                <w:sz w:val="20"/>
              </w:rPr>
              <w:t>prima facie</w:t>
            </w:r>
            <w:r w:rsidRPr="00776E55">
              <w:rPr>
                <w:sz w:val="20"/>
              </w:rPr>
              <w:t xml:space="preserve"> discrimination in a hiring context — Does use of a hiring fit criterion constitute discrimination — Evidentiary burden to establish hiring fit criterion produced discriminatory effect for racialized Canadians — Role of doctrine of spoliation when considering whether burden of proof discharged — Standard of review applicable to discrimination analyses in the administrative context on judicial review of a tribunal’s discrimination analysis —  When can fresh evidence be considered in the context of a judicial review of administrative proceedings — Appropriate test for considering fresh evidence in the judicial review context.</w:t>
            </w:r>
          </w:p>
        </w:tc>
      </w:tr>
      <w:tr w:rsidR="00FB0311" w:rsidRPr="00776E55" w:rsidTr="00FB0311">
        <w:tc>
          <w:tcPr>
            <w:tcW w:w="5000" w:type="pct"/>
            <w:gridSpan w:val="4"/>
          </w:tcPr>
          <w:p w:rsidR="00FB0311" w:rsidRPr="00776E55" w:rsidRDefault="00FB0311" w:rsidP="00FB0311">
            <w:pPr>
              <w:jc w:val="both"/>
              <w:rPr>
                <w:sz w:val="20"/>
              </w:rPr>
            </w:pPr>
          </w:p>
        </w:tc>
      </w:tr>
      <w:tr w:rsidR="00FB0311" w:rsidRPr="00776E55" w:rsidTr="00FB0311">
        <w:tc>
          <w:tcPr>
            <w:tcW w:w="5000" w:type="pct"/>
            <w:gridSpan w:val="4"/>
          </w:tcPr>
          <w:p w:rsidR="00FB0311" w:rsidRPr="00776E55" w:rsidRDefault="00FB0311" w:rsidP="00FB0311">
            <w:pPr>
              <w:keepLines/>
              <w:widowControl w:val="0"/>
              <w:jc w:val="both"/>
              <w:rPr>
                <w:color w:val="000000"/>
                <w:sz w:val="20"/>
              </w:rPr>
            </w:pPr>
            <w:r w:rsidRPr="00776E55">
              <w:rPr>
                <w:color w:val="000000"/>
                <w:sz w:val="20"/>
              </w:rPr>
              <w:t xml:space="preserve">Mr. Moore twice applied for employment with Ferro &amp; Company but did not receive a job offer. He filed a complaint with the Human Rights Tribunal alleging discrimination in employment and reprisal. The Human Rights Tribunal found age discrimination by Ms. Helden and held Mr. Ferro vicariously liable. It held that emails to Mr. Moore constituted discrimination on the basis of race and </w:t>
            </w:r>
            <w:r w:rsidRPr="00776E55">
              <w:rPr>
                <w:bCs/>
                <w:color w:val="000000"/>
                <w:sz w:val="20"/>
              </w:rPr>
              <w:t xml:space="preserve">reprisal. It dismissed all other claims, issued declaratory relief, and ordered $2,000 compensation. The Tribunal denied an application for reconsideration. </w:t>
            </w:r>
            <w:r w:rsidRPr="00776E55">
              <w:rPr>
                <w:color w:val="000000"/>
                <w:sz w:val="20"/>
              </w:rPr>
              <w:t xml:space="preserve">The Divisional Court dismissed a fresh evidence application and an application for judicial review. The Court of Appeal denied leave to appeal. </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March 22, 2019</w:t>
            </w:r>
          </w:p>
          <w:p w:rsidR="00FB0311" w:rsidRPr="00776E55" w:rsidRDefault="00FB0311" w:rsidP="00FB0311">
            <w:pPr>
              <w:jc w:val="both"/>
              <w:rPr>
                <w:sz w:val="20"/>
              </w:rPr>
            </w:pPr>
            <w:r w:rsidRPr="00776E55">
              <w:rPr>
                <w:sz w:val="20"/>
              </w:rPr>
              <w:t>Human Rights Tribunal of Ontario</w:t>
            </w:r>
          </w:p>
          <w:p w:rsidR="00FB0311" w:rsidRPr="00776E55" w:rsidRDefault="00FB0311" w:rsidP="00FB0311">
            <w:pPr>
              <w:jc w:val="both"/>
              <w:rPr>
                <w:sz w:val="20"/>
              </w:rPr>
            </w:pPr>
            <w:r w:rsidRPr="00776E55">
              <w:rPr>
                <w:sz w:val="20"/>
              </w:rPr>
              <w:t>(Vice Chair Hart)</w:t>
            </w:r>
          </w:p>
          <w:p w:rsidR="00FB0311" w:rsidRPr="00776E55" w:rsidRDefault="001E30F0" w:rsidP="00FB0311">
            <w:pPr>
              <w:jc w:val="both"/>
              <w:rPr>
                <w:sz w:val="20"/>
              </w:rPr>
            </w:pPr>
            <w:hyperlink r:id="rId53" w:history="1">
              <w:r w:rsidR="00FB0311" w:rsidRPr="00776E55">
                <w:rPr>
                  <w:rStyle w:val="Hyperlink"/>
                  <w:sz w:val="20"/>
                </w:rPr>
                <w:t>2019 HRTO 526</w:t>
              </w:r>
            </w:hyperlink>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 xml:space="preserve">Findings of </w:t>
            </w:r>
            <w:r w:rsidRPr="00776E55">
              <w:rPr>
                <w:color w:val="000000"/>
                <w:sz w:val="20"/>
              </w:rPr>
              <w:t xml:space="preserve">discrimination on the basis of age and race, and of reprisal; declaratory relief and order to pay $2,000 </w:t>
            </w:r>
          </w:p>
        </w:tc>
      </w:tr>
      <w:tr w:rsidR="00FB0311" w:rsidRPr="00776E55" w:rsidTr="00FB0311">
        <w:tc>
          <w:tcPr>
            <w:tcW w:w="2427" w:type="pct"/>
            <w:gridSpan w:val="2"/>
          </w:tcPr>
          <w:p w:rsidR="00FB0311" w:rsidRPr="00776E55" w:rsidRDefault="00FB0311" w:rsidP="00FB0311">
            <w:pPr>
              <w:jc w:val="both"/>
              <w:rPr>
                <w:sz w:val="20"/>
              </w:rPr>
            </w:pPr>
            <w:r w:rsidRPr="00776E55">
              <w:rPr>
                <w:sz w:val="20"/>
              </w:rPr>
              <w:t>August 7, 2019</w:t>
            </w:r>
          </w:p>
          <w:p w:rsidR="00FB0311" w:rsidRPr="00776E55" w:rsidRDefault="00FB0311" w:rsidP="00FB0311">
            <w:pPr>
              <w:jc w:val="both"/>
              <w:rPr>
                <w:sz w:val="20"/>
              </w:rPr>
            </w:pPr>
            <w:r w:rsidRPr="00776E55">
              <w:rPr>
                <w:sz w:val="20"/>
              </w:rPr>
              <w:t>Human Rights Tribunal of Ontario</w:t>
            </w:r>
          </w:p>
          <w:p w:rsidR="00FB0311" w:rsidRPr="00776E55" w:rsidRDefault="00FB0311" w:rsidP="00FB0311">
            <w:pPr>
              <w:jc w:val="both"/>
              <w:rPr>
                <w:sz w:val="20"/>
              </w:rPr>
            </w:pPr>
            <w:r w:rsidRPr="00776E55">
              <w:rPr>
                <w:sz w:val="20"/>
              </w:rPr>
              <w:t xml:space="preserve">(Vice Chair Hart) </w:t>
            </w:r>
          </w:p>
          <w:p w:rsidR="00FB0311" w:rsidRPr="00776E55" w:rsidRDefault="001E30F0" w:rsidP="00FB0311">
            <w:pPr>
              <w:jc w:val="both"/>
              <w:rPr>
                <w:sz w:val="20"/>
              </w:rPr>
            </w:pPr>
            <w:hyperlink r:id="rId54" w:history="1">
              <w:r w:rsidR="00FB0311" w:rsidRPr="00776E55">
                <w:rPr>
                  <w:rStyle w:val="Hyperlink"/>
                  <w:sz w:val="20"/>
                </w:rPr>
                <w:t>2019 HRTO 1131</w:t>
              </w:r>
            </w:hyperlink>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Motion for reconsideration dismissed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March 1, 2022</w:t>
            </w:r>
          </w:p>
          <w:p w:rsidR="00FB0311" w:rsidRPr="00776E55" w:rsidRDefault="00FB0311" w:rsidP="00FB0311">
            <w:pPr>
              <w:jc w:val="both"/>
              <w:rPr>
                <w:sz w:val="20"/>
              </w:rPr>
            </w:pPr>
            <w:r w:rsidRPr="00776E55">
              <w:rPr>
                <w:sz w:val="20"/>
              </w:rPr>
              <w:t>Ontario Superior Court of Justice</w:t>
            </w:r>
          </w:p>
          <w:p w:rsidR="00FB0311" w:rsidRPr="00776E55" w:rsidRDefault="00FB0311" w:rsidP="00FB0311">
            <w:pPr>
              <w:jc w:val="both"/>
              <w:rPr>
                <w:sz w:val="20"/>
              </w:rPr>
            </w:pPr>
            <w:r w:rsidRPr="00776E55">
              <w:rPr>
                <w:sz w:val="20"/>
              </w:rPr>
              <w:t>(Sachs, Trimble, King JJ.)</w:t>
            </w:r>
          </w:p>
          <w:p w:rsidR="00FB0311" w:rsidRPr="00776E55" w:rsidRDefault="001E30F0" w:rsidP="00FB0311">
            <w:pPr>
              <w:jc w:val="both"/>
              <w:rPr>
                <w:sz w:val="20"/>
              </w:rPr>
            </w:pPr>
            <w:hyperlink r:id="rId55" w:history="1">
              <w:r w:rsidR="00FB0311" w:rsidRPr="00776E55">
                <w:rPr>
                  <w:rStyle w:val="Hyperlink"/>
                  <w:sz w:val="20"/>
                </w:rPr>
                <w:t>2022 ONSC 1343</w:t>
              </w:r>
            </w:hyperlink>
            <w:r w:rsidR="00FB0311" w:rsidRPr="00776E55">
              <w:rPr>
                <w:sz w:val="20"/>
              </w:rPr>
              <w:t xml:space="preserve">; </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Application for judicial review dismissed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September 13, 2022</w:t>
            </w:r>
          </w:p>
          <w:p w:rsidR="00FB0311" w:rsidRPr="00776E55" w:rsidRDefault="00FB0311" w:rsidP="00FB0311">
            <w:pPr>
              <w:jc w:val="both"/>
              <w:rPr>
                <w:sz w:val="20"/>
              </w:rPr>
            </w:pPr>
            <w:r w:rsidRPr="00776E55">
              <w:rPr>
                <w:sz w:val="20"/>
              </w:rPr>
              <w:t>Court of Appeal for Ontario</w:t>
            </w:r>
          </w:p>
          <w:p w:rsidR="00FB0311" w:rsidRPr="00776E55" w:rsidRDefault="00FB0311" w:rsidP="00FB0311">
            <w:pPr>
              <w:jc w:val="both"/>
              <w:rPr>
                <w:sz w:val="20"/>
              </w:rPr>
            </w:pPr>
            <w:r w:rsidRPr="00776E55">
              <w:rPr>
                <w:sz w:val="20"/>
              </w:rPr>
              <w:t>(Huscroft, Young Harvison, Sossin JJ.A.)</w:t>
            </w:r>
          </w:p>
          <w:p w:rsidR="00FB0311" w:rsidRPr="00776E55" w:rsidRDefault="00FB0311" w:rsidP="00FB0311">
            <w:pPr>
              <w:jc w:val="both"/>
              <w:rPr>
                <w:sz w:val="20"/>
              </w:rPr>
            </w:pPr>
            <w:r w:rsidRPr="00776E55">
              <w:rPr>
                <w:sz w:val="20"/>
              </w:rPr>
              <w:t>(Unreported)</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Application for leave to appeal dismissed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November 14, 2022</w:t>
            </w:r>
          </w:p>
          <w:p w:rsidR="00FB0311" w:rsidRPr="00776E55" w:rsidRDefault="00FB0311" w:rsidP="00FB0311">
            <w:pPr>
              <w:jc w:val="both"/>
              <w:rPr>
                <w:sz w:val="20"/>
              </w:rPr>
            </w:pPr>
            <w:r w:rsidRPr="00776E55">
              <w:rPr>
                <w:sz w:val="20"/>
              </w:rPr>
              <w:t>Supreme Court of Canada</w:t>
            </w: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Application for leave to appeal filed</w:t>
            </w:r>
          </w:p>
          <w:p w:rsidR="00FB0311" w:rsidRPr="00776E55" w:rsidRDefault="00FB0311" w:rsidP="00FB0311">
            <w:pPr>
              <w:jc w:val="both"/>
              <w:rPr>
                <w:sz w:val="20"/>
              </w:rPr>
            </w:pPr>
          </w:p>
        </w:tc>
      </w:tr>
    </w:tbl>
    <w:p w:rsidR="00FB0311" w:rsidRPr="00776E55" w:rsidRDefault="00FB0311" w:rsidP="00FB0311">
      <w:pPr>
        <w:jc w:val="both"/>
        <w:rPr>
          <w:sz w:val="20"/>
        </w:rPr>
      </w:pPr>
    </w:p>
    <w:p w:rsidR="00FB0311" w:rsidRPr="00776E55" w:rsidRDefault="001E30F0" w:rsidP="00FB0311">
      <w:pPr>
        <w:jc w:val="both"/>
        <w:rPr>
          <w:sz w:val="20"/>
        </w:rPr>
      </w:pPr>
      <w:r>
        <w:rPr>
          <w:sz w:val="20"/>
        </w:rPr>
        <w:pict>
          <v:rect id="_x0000_i1041" style="width:2in;height:1pt" o:hrpct="0" o:hralign="center" o:hrstd="t" o:hrnoshade="t" o:hr="t" fillcolor="black [3213]" stroked="f"/>
        </w:pict>
      </w:r>
    </w:p>
    <w:p w:rsidR="00FB0311" w:rsidRPr="00776E55" w:rsidRDefault="00FB0311" w:rsidP="00FB03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rPr>
            </w:pPr>
            <w:r w:rsidRPr="00776E55">
              <w:rPr>
                <w:rStyle w:val="SCCFileNumberChar"/>
                <w:sz w:val="20"/>
                <w:szCs w:val="20"/>
              </w:rPr>
              <w:t>40450</w:t>
            </w:r>
          </w:p>
        </w:tc>
        <w:tc>
          <w:tcPr>
            <w:tcW w:w="4457" w:type="pct"/>
            <w:gridSpan w:val="3"/>
          </w:tcPr>
          <w:p w:rsidR="00FB0311" w:rsidRPr="00776E55" w:rsidRDefault="00FB0311" w:rsidP="00FB0311">
            <w:pPr>
              <w:pStyle w:val="SCCLsocParty"/>
              <w:jc w:val="both"/>
              <w:rPr>
                <w:b/>
                <w:sz w:val="20"/>
                <w:szCs w:val="20"/>
              </w:rPr>
            </w:pPr>
            <w:r w:rsidRPr="00776E55">
              <w:rPr>
                <w:b/>
                <w:sz w:val="20"/>
                <w:szCs w:val="20"/>
              </w:rPr>
              <w:t>Philton Moore c. La succession de Lou Ferro, personnellement et faisant affaire sous la raison sociale Ferro &amp; Company, Ellen Helden, 1312788 Ontario Limited, Tribunal des droits de la personne de l’Ontario</w:t>
            </w:r>
          </w:p>
          <w:p w:rsidR="00FB0311" w:rsidRPr="00776E55" w:rsidRDefault="00FB0311" w:rsidP="00FB0311">
            <w:pPr>
              <w:jc w:val="both"/>
              <w:rPr>
                <w:sz w:val="20"/>
                <w:lang w:val="fr-CA"/>
              </w:rPr>
            </w:pPr>
            <w:r w:rsidRPr="00776E55">
              <w:rPr>
                <w:sz w:val="20"/>
                <w:lang w:val="fr-CA"/>
              </w:rPr>
              <w:t>(Ont.) (Civile) (Sur autorisation)</w:t>
            </w:r>
          </w:p>
        </w:tc>
      </w:tr>
      <w:tr w:rsidR="00FB0311" w:rsidRPr="001E30F0" w:rsidTr="00FB0311">
        <w:tc>
          <w:tcPr>
            <w:tcW w:w="5000" w:type="pct"/>
            <w:gridSpan w:val="4"/>
          </w:tcPr>
          <w:p w:rsidR="00FB0311" w:rsidRPr="00776E55" w:rsidRDefault="00FB0311" w:rsidP="00FB0311">
            <w:pPr>
              <w:jc w:val="both"/>
              <w:rPr>
                <w:sz w:val="20"/>
                <w:lang w:val="fr-CA"/>
              </w:rPr>
            </w:pPr>
            <w:r w:rsidRPr="00776E55">
              <w:rPr>
                <w:sz w:val="20"/>
                <w:lang w:val="fr-CA"/>
              </w:rPr>
              <w:t>Droits de la personne — Droit à l’égalité — Discrimination en matière d’emploi — Norme de contrôle — Nouvel élément de preuve — Quels sont les éléments requis pour établir</w:t>
            </w:r>
            <w:r w:rsidRPr="00776E55">
              <w:rPr>
                <w:i/>
                <w:sz w:val="20"/>
                <w:lang w:val="fr-CA"/>
              </w:rPr>
              <w:t xml:space="preserve"> </w:t>
            </w:r>
            <w:r w:rsidRPr="00776E55">
              <w:rPr>
                <w:sz w:val="20"/>
                <w:lang w:val="fr-CA"/>
              </w:rPr>
              <w:t xml:space="preserve">la discrimination </w:t>
            </w:r>
            <w:r w:rsidRPr="00776E55">
              <w:rPr>
                <w:i/>
                <w:sz w:val="20"/>
                <w:lang w:val="fr-CA"/>
              </w:rPr>
              <w:t>prima facie</w:t>
            </w:r>
            <w:r w:rsidRPr="00776E55">
              <w:rPr>
                <w:sz w:val="20"/>
                <w:lang w:val="fr-CA"/>
              </w:rPr>
              <w:t xml:space="preserve"> dans le contexte du processus d’embauche ? — L’utilisation du critère de la compatibilité dans le cadre du processus d’embauche constitue-t-elle de la discrimination ? — Le fardeau de preuve pour établir le critère de la compatibilité dans le cadre du processus d’embauche a eu un effet discriminatoire sur les Canadiens racialisés — Rôle de la doctrine de la destruction de preuve au moment d’examiner la question de savoir si on s’est acquitté du fardeau de preuve — La norme de contrôle applicable aux analyses relatives à la discrimination dans le contexte administratif lors du contrôle judiciaire de l’analyse de la discrimination par un tribunal administratif — Circonstances dans lesquelles un nouvel élément de preuve peut être examiné dans le contexte du contrôle judiciaire des instances administratives — Critère qu’il convient d’adopter relativement à l’examen d’un nouvel élément de preuve dans le contexte du contrôle judiciaire.</w:t>
            </w:r>
          </w:p>
        </w:tc>
      </w:tr>
      <w:tr w:rsidR="00FB0311" w:rsidRPr="001E30F0" w:rsidTr="00FB0311">
        <w:tc>
          <w:tcPr>
            <w:tcW w:w="5000" w:type="pct"/>
            <w:gridSpan w:val="4"/>
          </w:tcPr>
          <w:p w:rsidR="00FB0311" w:rsidRPr="00776E55" w:rsidRDefault="00FB0311" w:rsidP="00FB0311">
            <w:pPr>
              <w:jc w:val="both"/>
              <w:rPr>
                <w:sz w:val="20"/>
                <w:lang w:val="fr-CA"/>
              </w:rPr>
            </w:pPr>
          </w:p>
        </w:tc>
      </w:tr>
      <w:tr w:rsidR="00FB0311" w:rsidRPr="00776E55" w:rsidTr="00FB0311">
        <w:tc>
          <w:tcPr>
            <w:tcW w:w="5000" w:type="pct"/>
            <w:gridSpan w:val="4"/>
          </w:tcPr>
          <w:p w:rsidR="00FB0311" w:rsidRPr="00776E55" w:rsidRDefault="00FB0311" w:rsidP="00FB0311">
            <w:pPr>
              <w:keepLines/>
              <w:widowControl w:val="0"/>
              <w:jc w:val="both"/>
              <w:rPr>
                <w:color w:val="000000"/>
                <w:sz w:val="20"/>
                <w:lang w:val="fr-CA"/>
              </w:rPr>
            </w:pPr>
            <w:r w:rsidRPr="00776E55">
              <w:rPr>
                <w:color w:val="000000"/>
                <w:sz w:val="20"/>
                <w:lang w:val="fr-CA"/>
              </w:rPr>
              <w:t>Monsieur Moore a à deux reprises fait une demande d’emploi auprès de Ferro &amp; Company, mais n’a pas reçu d’offre d’emploi. Il a déposé une plainte au Tribunal des droits de la personne alléguant qu’il avait fait l’objet de discrimination en matière d’emploi et de représailles. Le Tribunal des droits de la personne a conclu que Mme Helden avait fait preuve de discrimination fondée sur l’âge et a tenu M. Ferro responsable du fait d’autrui. Le Tribunal a conclu que des courriels envoyés à M. Moore constituaient de la discrimination fondée sur la race ainsi que des représailles</w:t>
            </w:r>
            <w:r w:rsidRPr="00776E55">
              <w:rPr>
                <w:bCs/>
                <w:color w:val="000000"/>
                <w:sz w:val="20"/>
                <w:lang w:val="fr-CA"/>
              </w:rPr>
              <w:t>. Le Tribunal a rejeté toutes les autres demandes, a rendu un jugement déclaratoire et a ordonné le paiement d’une indemnité de 2 000</w:t>
            </w:r>
            <w:r w:rsidRPr="00776E55">
              <w:rPr>
                <w:sz w:val="20"/>
                <w:lang w:val="fr-CA"/>
              </w:rPr>
              <w:t> </w:t>
            </w:r>
            <w:r w:rsidRPr="00776E55">
              <w:rPr>
                <w:bCs/>
                <w:color w:val="000000"/>
                <w:sz w:val="20"/>
                <w:lang w:val="fr-CA"/>
              </w:rPr>
              <w:t>$. Le Tribunal a rejeté la demande de réexamen. La Cour</w:t>
            </w:r>
            <w:r w:rsidRPr="00776E55">
              <w:rPr>
                <w:color w:val="000000"/>
                <w:sz w:val="20"/>
                <w:lang w:val="fr-CA"/>
              </w:rPr>
              <w:t xml:space="preserve"> divisionnaire a rejeté</w:t>
            </w:r>
            <w:r w:rsidRPr="00776E55">
              <w:rPr>
                <w:sz w:val="20"/>
                <w:lang w:val="fr-CA"/>
              </w:rPr>
              <w:t xml:space="preserve"> </w:t>
            </w:r>
            <w:r w:rsidRPr="00776E55">
              <w:rPr>
                <w:color w:val="000000"/>
                <w:sz w:val="20"/>
                <w:lang w:val="fr-CA"/>
              </w:rPr>
              <w:t xml:space="preserve">la demande en autorisation de produire un nouvel élément de preuve ainsi que la demande de contrôle judiciaire. La Cour d’appel a rejeté la demande d’autorisation d’appel. </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22 mars 2019</w:t>
            </w:r>
          </w:p>
          <w:p w:rsidR="00FB0311" w:rsidRPr="00776E55" w:rsidRDefault="00FB0311" w:rsidP="00FB0311">
            <w:pPr>
              <w:jc w:val="both"/>
              <w:rPr>
                <w:sz w:val="20"/>
                <w:lang w:val="fr-CA"/>
              </w:rPr>
            </w:pPr>
            <w:r w:rsidRPr="00776E55">
              <w:rPr>
                <w:color w:val="000000"/>
                <w:sz w:val="20"/>
                <w:lang w:val="fr-CA"/>
              </w:rPr>
              <w:t>Tribunal des droits de la personne de l’</w:t>
            </w:r>
            <w:r w:rsidRPr="00776E55">
              <w:rPr>
                <w:sz w:val="20"/>
                <w:lang w:val="fr-CA"/>
              </w:rPr>
              <w:t>Ontario</w:t>
            </w:r>
          </w:p>
          <w:p w:rsidR="00FB0311" w:rsidRPr="00776E55" w:rsidRDefault="00FB0311" w:rsidP="00FB0311">
            <w:pPr>
              <w:jc w:val="both"/>
              <w:rPr>
                <w:sz w:val="20"/>
                <w:lang w:val="fr-CA"/>
              </w:rPr>
            </w:pPr>
            <w:r w:rsidRPr="00776E55">
              <w:rPr>
                <w:sz w:val="20"/>
                <w:lang w:val="fr-CA"/>
              </w:rPr>
              <w:t>(vice-président Hart)</w:t>
            </w:r>
          </w:p>
          <w:p w:rsidR="00FB0311" w:rsidRPr="00776E55" w:rsidRDefault="001E30F0" w:rsidP="00FB0311">
            <w:pPr>
              <w:jc w:val="both"/>
              <w:rPr>
                <w:sz w:val="20"/>
                <w:lang w:val="fr-CA"/>
              </w:rPr>
            </w:pPr>
            <w:hyperlink r:id="rId56" w:history="1">
              <w:r w:rsidR="00FB0311" w:rsidRPr="00776E55">
                <w:rPr>
                  <w:rStyle w:val="Hyperlink"/>
                  <w:sz w:val="20"/>
                  <w:lang w:val="fr-CA"/>
                </w:rPr>
                <w:t>2019 HRTO 526</w:t>
              </w:r>
            </w:hyperlink>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 xml:space="preserve">Il est conclu à la </w:t>
            </w:r>
            <w:r w:rsidRPr="00776E55">
              <w:rPr>
                <w:color w:val="000000"/>
                <w:sz w:val="20"/>
                <w:lang w:val="fr-CA"/>
              </w:rPr>
              <w:t>discrimination fondée sur l’âge et sur la race ainsi qu’aux représailles; un</w:t>
            </w:r>
            <w:r w:rsidRPr="00776E55">
              <w:rPr>
                <w:bCs/>
                <w:color w:val="000000"/>
                <w:sz w:val="20"/>
                <w:lang w:val="fr-CA"/>
              </w:rPr>
              <w:t xml:space="preserve"> jugement déclaratoire</w:t>
            </w:r>
            <w:r w:rsidRPr="00776E55">
              <w:rPr>
                <w:color w:val="000000"/>
                <w:sz w:val="20"/>
                <w:lang w:val="fr-CA"/>
              </w:rPr>
              <w:t xml:space="preserve"> et une ordonnance de payer 2 000 $ sont rendus.</w:t>
            </w: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7 août 2019</w:t>
            </w:r>
          </w:p>
          <w:p w:rsidR="00FB0311" w:rsidRPr="00776E55" w:rsidRDefault="00FB0311" w:rsidP="00FB0311">
            <w:pPr>
              <w:jc w:val="both"/>
              <w:rPr>
                <w:sz w:val="20"/>
                <w:lang w:val="fr-CA"/>
              </w:rPr>
            </w:pPr>
            <w:r w:rsidRPr="00776E55">
              <w:rPr>
                <w:sz w:val="20"/>
                <w:lang w:val="fr-CA"/>
              </w:rPr>
              <w:t>Tribunal des droits de la personne de l’Ontario</w:t>
            </w:r>
          </w:p>
          <w:p w:rsidR="00FB0311" w:rsidRPr="00776E55" w:rsidRDefault="00FB0311" w:rsidP="00FB0311">
            <w:pPr>
              <w:jc w:val="both"/>
              <w:rPr>
                <w:sz w:val="20"/>
                <w:lang w:val="fr-CA"/>
              </w:rPr>
            </w:pPr>
            <w:r w:rsidRPr="00776E55">
              <w:rPr>
                <w:sz w:val="20"/>
                <w:lang w:val="fr-CA"/>
              </w:rPr>
              <w:t xml:space="preserve">(vice-président Hart) </w:t>
            </w:r>
          </w:p>
          <w:p w:rsidR="00FB0311" w:rsidRPr="00776E55" w:rsidRDefault="001E30F0" w:rsidP="00FB0311">
            <w:pPr>
              <w:jc w:val="both"/>
              <w:rPr>
                <w:sz w:val="20"/>
                <w:lang w:val="fr-CA"/>
              </w:rPr>
            </w:pPr>
            <w:hyperlink r:id="rId57" w:history="1">
              <w:r w:rsidR="00FB0311" w:rsidRPr="00776E55">
                <w:rPr>
                  <w:rStyle w:val="Hyperlink"/>
                  <w:sz w:val="20"/>
                  <w:lang w:val="fr-CA"/>
                </w:rPr>
                <w:t>2019 HRTO 1131</w:t>
              </w:r>
            </w:hyperlink>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bCs/>
                <w:sz w:val="20"/>
                <w:lang w:val="fr-CA"/>
              </w:rPr>
              <w:t>La m</w:t>
            </w:r>
            <w:r w:rsidRPr="00776E55">
              <w:rPr>
                <w:sz w:val="20"/>
                <w:lang w:val="fr-CA"/>
              </w:rPr>
              <w:t>otion en réexamen est rejetée.</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1</w:t>
            </w:r>
            <w:r w:rsidRPr="00776E55">
              <w:rPr>
                <w:sz w:val="20"/>
                <w:vertAlign w:val="superscript"/>
                <w:lang w:val="fr-CA"/>
              </w:rPr>
              <w:t>er</w:t>
            </w:r>
            <w:r w:rsidRPr="00776E55">
              <w:rPr>
                <w:sz w:val="20"/>
                <w:lang w:val="fr-CA"/>
              </w:rPr>
              <w:t xml:space="preserve"> mars 2022</w:t>
            </w:r>
          </w:p>
          <w:p w:rsidR="00FB0311" w:rsidRPr="00776E55" w:rsidRDefault="00FB0311" w:rsidP="00FB0311">
            <w:pPr>
              <w:jc w:val="both"/>
              <w:rPr>
                <w:sz w:val="20"/>
                <w:lang w:val="fr-CA"/>
              </w:rPr>
            </w:pPr>
            <w:r w:rsidRPr="00776E55">
              <w:rPr>
                <w:sz w:val="20"/>
                <w:lang w:val="fr-CA"/>
              </w:rPr>
              <w:t>Cour supérieure de justice de l’Ontario</w:t>
            </w:r>
          </w:p>
          <w:p w:rsidR="00FB0311" w:rsidRPr="00776E55" w:rsidRDefault="00FB0311" w:rsidP="00FB0311">
            <w:pPr>
              <w:jc w:val="both"/>
              <w:rPr>
                <w:sz w:val="20"/>
              </w:rPr>
            </w:pPr>
            <w:r w:rsidRPr="00776E55">
              <w:rPr>
                <w:sz w:val="20"/>
              </w:rPr>
              <w:t>(juges Sachs, Trimble, King)</w:t>
            </w:r>
          </w:p>
          <w:p w:rsidR="00FB0311" w:rsidRPr="00776E55" w:rsidRDefault="001E30F0" w:rsidP="00FB0311">
            <w:pPr>
              <w:jc w:val="both"/>
              <w:rPr>
                <w:sz w:val="20"/>
              </w:rPr>
            </w:pPr>
            <w:hyperlink r:id="rId58" w:history="1">
              <w:r w:rsidR="00FB0311" w:rsidRPr="00776E55">
                <w:rPr>
                  <w:rStyle w:val="Hyperlink"/>
                  <w:sz w:val="20"/>
                </w:rPr>
                <w:t>2022 ONSC 1343</w:t>
              </w:r>
            </w:hyperlink>
            <w:r w:rsidR="00FB0311" w:rsidRPr="00776E55">
              <w:rPr>
                <w:sz w:val="20"/>
              </w:rPr>
              <w:t xml:space="preserve">; </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lang w:val="fr-CA"/>
              </w:rPr>
            </w:pPr>
            <w:r w:rsidRPr="00776E55">
              <w:rPr>
                <w:sz w:val="20"/>
                <w:lang w:val="fr-CA"/>
              </w:rPr>
              <w:t>La demande de contrôle judiciaire est rejetée.</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13 septembre 2022</w:t>
            </w:r>
          </w:p>
          <w:p w:rsidR="00FB0311" w:rsidRPr="00776E55" w:rsidRDefault="00FB0311" w:rsidP="00FB0311">
            <w:pPr>
              <w:jc w:val="both"/>
              <w:rPr>
                <w:sz w:val="20"/>
                <w:lang w:val="fr-CA"/>
              </w:rPr>
            </w:pPr>
            <w:r w:rsidRPr="00776E55">
              <w:rPr>
                <w:sz w:val="20"/>
                <w:lang w:val="fr-CA"/>
              </w:rPr>
              <w:t>Cour d’appel de l’Ontario</w:t>
            </w:r>
          </w:p>
          <w:p w:rsidR="00FB0311" w:rsidRPr="00776E55" w:rsidRDefault="00FB0311" w:rsidP="00FB0311">
            <w:pPr>
              <w:jc w:val="both"/>
              <w:rPr>
                <w:sz w:val="20"/>
                <w:lang w:val="fr-CA"/>
              </w:rPr>
            </w:pPr>
            <w:r w:rsidRPr="00776E55">
              <w:rPr>
                <w:sz w:val="20"/>
                <w:lang w:val="fr-CA"/>
              </w:rPr>
              <w:t>(juges Huscroft, Young Harvison, Sossin)</w:t>
            </w:r>
          </w:p>
          <w:p w:rsidR="00FB0311" w:rsidRPr="00776E55" w:rsidRDefault="00FB0311" w:rsidP="00FB0311">
            <w:pPr>
              <w:jc w:val="both"/>
              <w:rPr>
                <w:sz w:val="20"/>
                <w:lang w:val="fr-CA"/>
              </w:rPr>
            </w:pPr>
            <w:r w:rsidRPr="00776E55">
              <w:rPr>
                <w:sz w:val="20"/>
                <w:lang w:val="fr-CA"/>
              </w:rPr>
              <w:t>(non publié)</w:t>
            </w:r>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La demande d’autorisation d’appel est rejetée.</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14 novembre 2022</w:t>
            </w:r>
          </w:p>
          <w:p w:rsidR="00FB0311" w:rsidRPr="00776E55" w:rsidRDefault="00FB0311" w:rsidP="00FB0311">
            <w:pPr>
              <w:jc w:val="both"/>
              <w:rPr>
                <w:sz w:val="20"/>
                <w:lang w:val="fr-CA"/>
              </w:rPr>
            </w:pPr>
            <w:r w:rsidRPr="00776E55">
              <w:rPr>
                <w:sz w:val="20"/>
                <w:lang w:val="fr-CA"/>
              </w:rPr>
              <w:t>Cour suprême du Canada</w:t>
            </w: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La demande d’autorisation d’appel est présentée.</w:t>
            </w:r>
          </w:p>
        </w:tc>
      </w:tr>
    </w:tbl>
    <w:p w:rsidR="00FB0311" w:rsidRPr="00776E55" w:rsidRDefault="00FB0311" w:rsidP="00FB0311">
      <w:pPr>
        <w:jc w:val="both"/>
        <w:rPr>
          <w:sz w:val="20"/>
          <w:lang w:val="fr-CA"/>
        </w:rPr>
      </w:pPr>
    </w:p>
    <w:p w:rsidR="00B11469" w:rsidRPr="00776E55" w:rsidRDefault="001E30F0" w:rsidP="00FB0311">
      <w:pPr>
        <w:jc w:val="both"/>
        <w:rPr>
          <w:sz w:val="20"/>
          <w:lang w:val="fr-CA"/>
        </w:rPr>
      </w:pPr>
      <w:r>
        <w:rPr>
          <w:sz w:val="20"/>
        </w:rPr>
        <w:pict>
          <v:rect id="_x0000_i1042" style="width:2in;height:1pt" o:hrpct="0" o:hralign="center" o:hrstd="t" o:hrnoshade="t" o:hr="t" fillcolor="black [3213]" stroked="f"/>
        </w:pict>
      </w:r>
    </w:p>
    <w:p w:rsidR="00B11469" w:rsidRPr="00776E55" w:rsidRDefault="00B11469" w:rsidP="00FB03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rPr>
            </w:pPr>
            <w:r w:rsidRPr="00776E55">
              <w:rPr>
                <w:rStyle w:val="SCCFileNumberChar"/>
                <w:sz w:val="20"/>
                <w:szCs w:val="20"/>
              </w:rPr>
              <w:t>40501</w:t>
            </w:r>
          </w:p>
        </w:tc>
        <w:tc>
          <w:tcPr>
            <w:tcW w:w="4457" w:type="pct"/>
            <w:gridSpan w:val="3"/>
          </w:tcPr>
          <w:p w:rsidR="00FB0311" w:rsidRPr="00776E55" w:rsidRDefault="00FB0311" w:rsidP="00FB0311">
            <w:pPr>
              <w:pStyle w:val="SCCLsocParty"/>
              <w:jc w:val="both"/>
              <w:rPr>
                <w:b/>
                <w:sz w:val="20"/>
                <w:szCs w:val="20"/>
                <w:lang w:val="en-US"/>
              </w:rPr>
            </w:pPr>
            <w:r w:rsidRPr="00776E55">
              <w:rPr>
                <w:b/>
                <w:sz w:val="20"/>
                <w:szCs w:val="20"/>
                <w:lang w:val="en-US"/>
              </w:rPr>
              <w:t>Kenneth Gordon Dahl, Taken Acres Farms Ltd v. SSC Security Services Corp., Farm Credit Canada, His Majesty the King in Right of Canada (AAFC)</w:t>
            </w:r>
          </w:p>
          <w:p w:rsidR="00FB0311" w:rsidRPr="00776E55" w:rsidRDefault="00FB0311" w:rsidP="00FB0311">
            <w:pPr>
              <w:jc w:val="both"/>
              <w:rPr>
                <w:sz w:val="20"/>
              </w:rPr>
            </w:pPr>
            <w:r w:rsidRPr="00776E55">
              <w:rPr>
                <w:sz w:val="20"/>
              </w:rPr>
              <w:t>(Sask.) (Civil) (By Leave)</w:t>
            </w:r>
          </w:p>
        </w:tc>
      </w:tr>
      <w:tr w:rsidR="00FB0311" w:rsidRPr="00776E55" w:rsidTr="00FB0311">
        <w:tc>
          <w:tcPr>
            <w:tcW w:w="5000" w:type="pct"/>
            <w:gridSpan w:val="4"/>
          </w:tcPr>
          <w:p w:rsidR="00FB0311" w:rsidRPr="00776E55" w:rsidRDefault="00FB0311" w:rsidP="00FB0311">
            <w:pPr>
              <w:jc w:val="both"/>
              <w:rPr>
                <w:sz w:val="20"/>
              </w:rPr>
            </w:pPr>
            <w:r w:rsidRPr="00776E55">
              <w:rPr>
                <w:sz w:val="20"/>
              </w:rPr>
              <w:t>Contracts — Validity — Whether an extension of time to seek leave to appeal should have been granted.</w:t>
            </w:r>
          </w:p>
          <w:p w:rsidR="00FB0311" w:rsidRPr="00776E55" w:rsidRDefault="00FB0311" w:rsidP="00FB0311">
            <w:pPr>
              <w:jc w:val="both"/>
              <w:rPr>
                <w:sz w:val="20"/>
              </w:rPr>
            </w:pPr>
          </w:p>
        </w:tc>
      </w:tr>
      <w:tr w:rsidR="00FB0311" w:rsidRPr="00776E55" w:rsidTr="00FB0311">
        <w:tc>
          <w:tcPr>
            <w:tcW w:w="5000" w:type="pct"/>
            <w:gridSpan w:val="4"/>
          </w:tcPr>
          <w:p w:rsidR="00FB0311" w:rsidRPr="00776E55" w:rsidRDefault="00FB0311" w:rsidP="00FB0311">
            <w:pPr>
              <w:jc w:val="both"/>
              <w:rPr>
                <w:sz w:val="20"/>
              </w:rPr>
            </w:pPr>
            <w:r w:rsidRPr="00776E55">
              <w:rPr>
                <w:sz w:val="20"/>
              </w:rPr>
              <w:t>Mr. Dahl is the controlling mind of Taken Acres Farm Ltd. (together “the applicants”). In 2013, the applicants entered into a streaming commodity purchase contract with SSC Security Services Corp. (formerly Input Capital Corp.) for the purchase and sale of canola. SSC Security advanced funds to the applicants under the contract against future deliveries. The contract was amended several times in 2014 and the royalty purchase contract was entered into in 2015, subsuming the earlier contracts. More funds were advanced by SSC Security. As part of all these arrangements, the applicants provided a collateral mortgage and a collateral general security agreement.</w:t>
            </w:r>
          </w:p>
          <w:p w:rsidR="00FB0311" w:rsidRPr="00776E55" w:rsidRDefault="00FB0311" w:rsidP="00FB0311">
            <w:pPr>
              <w:jc w:val="both"/>
              <w:rPr>
                <w:sz w:val="20"/>
              </w:rPr>
            </w:pPr>
          </w:p>
          <w:p w:rsidR="00FB0311" w:rsidRPr="00776E55" w:rsidRDefault="00FB0311" w:rsidP="00FB0311">
            <w:pPr>
              <w:jc w:val="both"/>
              <w:rPr>
                <w:sz w:val="20"/>
              </w:rPr>
            </w:pPr>
            <w:r w:rsidRPr="00776E55">
              <w:rPr>
                <w:sz w:val="20"/>
              </w:rPr>
              <w:t xml:space="preserve">The applicants failed to deliver the required tonnage of canola and SSC Security took the matter to arbitration. The arbitrator issued an award in which he found that the applicants had breached the contract and determined SSC Security’s total losses to be $1,154,353,27. SSC Security commenced an action, and the applicants were noted in default. SSC Security applied to the Court of Queen’s Bench for an order </w:t>
            </w:r>
            <w:r w:rsidRPr="00776E55">
              <w:rPr>
                <w:i/>
                <w:sz w:val="20"/>
              </w:rPr>
              <w:t>nisi</w:t>
            </w:r>
            <w:r w:rsidRPr="00776E55">
              <w:rPr>
                <w:sz w:val="20"/>
              </w:rPr>
              <w:t xml:space="preserve"> for sale with regard to the land. The applicants applied to the Court of Queen’s Bench for leave to appeal the arbitrator’s award. The chambers judge dismissed the applicants’ application and granted the order </w:t>
            </w:r>
            <w:r w:rsidRPr="00776E55">
              <w:rPr>
                <w:i/>
                <w:sz w:val="20"/>
              </w:rPr>
              <w:t>nisi</w:t>
            </w:r>
            <w:r w:rsidRPr="00776E55">
              <w:rPr>
                <w:sz w:val="20"/>
              </w:rPr>
              <w:t xml:space="preserve"> for sale as requested by SSC Security. The Court of Appeal dismissed the applicants’ extension of time to file their appeal.</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July 25, 2022</w:t>
            </w:r>
          </w:p>
          <w:p w:rsidR="00FB0311" w:rsidRPr="00776E55" w:rsidRDefault="00FB0311" w:rsidP="00FB0311">
            <w:pPr>
              <w:jc w:val="both"/>
              <w:rPr>
                <w:sz w:val="20"/>
              </w:rPr>
            </w:pPr>
            <w:r w:rsidRPr="00776E55">
              <w:rPr>
                <w:sz w:val="20"/>
              </w:rPr>
              <w:t>Court of Queen’s Bench of Saskatchewan</w:t>
            </w:r>
          </w:p>
          <w:p w:rsidR="00FB0311" w:rsidRPr="00776E55" w:rsidRDefault="00FB0311" w:rsidP="00FB0311">
            <w:pPr>
              <w:jc w:val="both"/>
              <w:rPr>
                <w:sz w:val="20"/>
              </w:rPr>
            </w:pPr>
            <w:r w:rsidRPr="00776E55">
              <w:rPr>
                <w:sz w:val="20"/>
              </w:rPr>
              <w:t>(Danyliuk J.)</w:t>
            </w:r>
          </w:p>
          <w:p w:rsidR="00FB0311" w:rsidRPr="00776E55" w:rsidRDefault="00FB0311" w:rsidP="00FB0311">
            <w:pPr>
              <w:jc w:val="both"/>
              <w:rPr>
                <w:sz w:val="20"/>
              </w:rPr>
            </w:pPr>
            <w:r w:rsidRPr="00776E55">
              <w:rPr>
                <w:sz w:val="20"/>
              </w:rPr>
              <w:t>Unreported; QBG 1606 of 2019</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 xml:space="preserve">Applicants’ application for leave to appeal arbitrator’s award dismissed; Respondent’s application for an order </w:t>
            </w:r>
            <w:r w:rsidRPr="00776E55">
              <w:rPr>
                <w:i/>
                <w:sz w:val="20"/>
              </w:rPr>
              <w:t>nisi</w:t>
            </w:r>
            <w:r w:rsidRPr="00776E55">
              <w:rPr>
                <w:sz w:val="20"/>
              </w:rPr>
              <w:t xml:space="preserve"> for sale allowed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September 21, 2022</w:t>
            </w:r>
          </w:p>
          <w:p w:rsidR="00FB0311" w:rsidRPr="00776E55" w:rsidRDefault="00FB0311" w:rsidP="00FB0311">
            <w:pPr>
              <w:jc w:val="both"/>
              <w:rPr>
                <w:sz w:val="20"/>
              </w:rPr>
            </w:pPr>
            <w:r w:rsidRPr="00776E55">
              <w:rPr>
                <w:sz w:val="20"/>
              </w:rPr>
              <w:t>Court of Queen’s Bench of Saskatchewan</w:t>
            </w:r>
          </w:p>
          <w:p w:rsidR="00FB0311" w:rsidRPr="00776E55" w:rsidRDefault="00FB0311" w:rsidP="00FB0311">
            <w:pPr>
              <w:jc w:val="both"/>
              <w:rPr>
                <w:sz w:val="20"/>
              </w:rPr>
            </w:pPr>
            <w:r w:rsidRPr="00776E55">
              <w:rPr>
                <w:sz w:val="20"/>
              </w:rPr>
              <w:t>(Gabrielson J.)</w:t>
            </w:r>
          </w:p>
          <w:p w:rsidR="00FB0311" w:rsidRPr="00776E55" w:rsidRDefault="00FB0311" w:rsidP="00FB0311">
            <w:pPr>
              <w:jc w:val="both"/>
              <w:rPr>
                <w:sz w:val="20"/>
              </w:rPr>
            </w:pPr>
            <w:r w:rsidRPr="00776E55">
              <w:rPr>
                <w:sz w:val="20"/>
              </w:rPr>
              <w:t>Unreported; QBG-SA-01606-2019</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Application to reopen dismissed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October 17, 2022</w:t>
            </w:r>
          </w:p>
          <w:p w:rsidR="00FB0311" w:rsidRPr="00776E55" w:rsidRDefault="00FB0311" w:rsidP="00FB0311">
            <w:pPr>
              <w:jc w:val="both"/>
              <w:rPr>
                <w:sz w:val="20"/>
              </w:rPr>
            </w:pPr>
            <w:r w:rsidRPr="00776E55">
              <w:rPr>
                <w:sz w:val="20"/>
              </w:rPr>
              <w:t>Court of Appeal for Saskatchewan</w:t>
            </w:r>
          </w:p>
          <w:p w:rsidR="00FB0311" w:rsidRPr="00776E55" w:rsidRDefault="00FB0311" w:rsidP="00FB0311">
            <w:pPr>
              <w:jc w:val="both"/>
              <w:rPr>
                <w:sz w:val="20"/>
              </w:rPr>
            </w:pPr>
            <w:r w:rsidRPr="00776E55">
              <w:rPr>
                <w:sz w:val="20"/>
              </w:rPr>
              <w:t>(Tholl J.A.)</w:t>
            </w:r>
          </w:p>
          <w:p w:rsidR="00FB0311" w:rsidRPr="00776E55" w:rsidRDefault="00FB0311" w:rsidP="00FB0311">
            <w:pPr>
              <w:jc w:val="both"/>
              <w:rPr>
                <w:sz w:val="20"/>
              </w:rPr>
            </w:pPr>
            <w:r w:rsidRPr="00776E55">
              <w:rPr>
                <w:sz w:val="20"/>
              </w:rPr>
              <w:t>Unreported; CACV4084</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Application for extension of time and application for leave to appeal dismissed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November 18, 2022</w:t>
            </w:r>
          </w:p>
          <w:p w:rsidR="00FB0311" w:rsidRPr="00776E55" w:rsidRDefault="00FB0311" w:rsidP="00FB0311">
            <w:pPr>
              <w:jc w:val="both"/>
              <w:rPr>
                <w:sz w:val="20"/>
              </w:rPr>
            </w:pPr>
            <w:r w:rsidRPr="00776E55">
              <w:rPr>
                <w:sz w:val="20"/>
              </w:rPr>
              <w:t>Supreme Court of Canada</w:t>
            </w: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Application for leave to appeal filed</w:t>
            </w:r>
          </w:p>
          <w:p w:rsidR="00FB0311" w:rsidRPr="00776E55" w:rsidRDefault="00FB0311" w:rsidP="00FB0311">
            <w:pPr>
              <w:jc w:val="both"/>
              <w:rPr>
                <w:sz w:val="20"/>
              </w:rPr>
            </w:pPr>
          </w:p>
        </w:tc>
      </w:tr>
    </w:tbl>
    <w:p w:rsidR="00FB0311" w:rsidRPr="00776E55" w:rsidRDefault="00FB0311" w:rsidP="00FB0311">
      <w:pPr>
        <w:jc w:val="both"/>
        <w:rPr>
          <w:sz w:val="20"/>
        </w:rPr>
      </w:pPr>
    </w:p>
    <w:p w:rsidR="00B11469" w:rsidRPr="00776E55" w:rsidRDefault="001E30F0" w:rsidP="00FB0311">
      <w:pPr>
        <w:jc w:val="both"/>
        <w:rPr>
          <w:sz w:val="20"/>
        </w:rPr>
      </w:pPr>
      <w:r>
        <w:rPr>
          <w:sz w:val="20"/>
        </w:rPr>
        <w:pict>
          <v:rect id="_x0000_i1043" style="width:2in;height:1pt" o:hrpct="0" o:hralign="center" o:hrstd="t" o:hrnoshade="t" o:hr="t" fillcolor="black [3213]" stroked="f"/>
        </w:pict>
      </w:r>
    </w:p>
    <w:p w:rsidR="00B11469" w:rsidRPr="00776E55" w:rsidRDefault="00B11469" w:rsidP="00FB03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lang w:val="fr-CA"/>
              </w:rPr>
            </w:pPr>
            <w:r w:rsidRPr="00776E55">
              <w:rPr>
                <w:rStyle w:val="SCCFileNumberChar"/>
                <w:sz w:val="20"/>
                <w:szCs w:val="20"/>
                <w:lang w:val="fr-CA"/>
              </w:rPr>
              <w:t>40501</w:t>
            </w:r>
          </w:p>
        </w:tc>
        <w:tc>
          <w:tcPr>
            <w:tcW w:w="4457" w:type="pct"/>
            <w:gridSpan w:val="3"/>
          </w:tcPr>
          <w:p w:rsidR="00FB0311" w:rsidRPr="00776E55" w:rsidRDefault="00FB0311" w:rsidP="00FB0311">
            <w:pPr>
              <w:pStyle w:val="SCCLsocParty"/>
              <w:jc w:val="both"/>
              <w:rPr>
                <w:b/>
                <w:sz w:val="20"/>
                <w:szCs w:val="20"/>
              </w:rPr>
            </w:pPr>
            <w:r w:rsidRPr="00776E55">
              <w:rPr>
                <w:b/>
                <w:sz w:val="20"/>
                <w:szCs w:val="20"/>
              </w:rPr>
              <w:t>Kenneth Gordon Dahl, Taken Acres Farms Ltd c. SSC Security Services Corp., Financement agricole Canada, Sa Majesté le Roi du chef du Canada (AAC)</w:t>
            </w:r>
          </w:p>
          <w:p w:rsidR="00FB0311" w:rsidRPr="00776E55" w:rsidRDefault="00FB0311" w:rsidP="00FB0311">
            <w:pPr>
              <w:jc w:val="both"/>
              <w:rPr>
                <w:sz w:val="20"/>
                <w:lang w:val="fr-CA"/>
              </w:rPr>
            </w:pPr>
            <w:r w:rsidRPr="00776E55">
              <w:rPr>
                <w:sz w:val="20"/>
                <w:lang w:val="fr-CA"/>
              </w:rPr>
              <w:t>(Sask.) (Civile) (Sur autorisation)</w:t>
            </w:r>
          </w:p>
        </w:tc>
      </w:tr>
      <w:tr w:rsidR="00FB0311" w:rsidRPr="001E30F0" w:rsidTr="00FB0311">
        <w:tc>
          <w:tcPr>
            <w:tcW w:w="5000" w:type="pct"/>
            <w:gridSpan w:val="4"/>
          </w:tcPr>
          <w:p w:rsidR="00FB0311" w:rsidRPr="00776E55" w:rsidRDefault="00FB0311" w:rsidP="00FB0311">
            <w:pPr>
              <w:jc w:val="both"/>
              <w:rPr>
                <w:sz w:val="20"/>
                <w:lang w:val="fr-CA"/>
              </w:rPr>
            </w:pPr>
            <w:r w:rsidRPr="00776E55">
              <w:rPr>
                <w:sz w:val="20"/>
                <w:lang w:val="fr-CA"/>
              </w:rPr>
              <w:t>Contrats — Validité — La</w:t>
            </w:r>
            <w:r w:rsidRPr="00776E55">
              <w:rPr>
                <w:color w:val="000000"/>
                <w:sz w:val="20"/>
                <w:lang w:val="fr-CA"/>
              </w:rPr>
              <w:t xml:space="preserve"> </w:t>
            </w:r>
            <w:r w:rsidRPr="00776E55">
              <w:rPr>
                <w:sz w:val="20"/>
                <w:lang w:val="fr-CA"/>
              </w:rPr>
              <w:t>requête en prorogation du délai pour présenter une demande d’autorisation d’appel aurait-elle dû être accueillie ?</w:t>
            </w:r>
          </w:p>
          <w:p w:rsidR="00FB0311" w:rsidRPr="00776E55" w:rsidRDefault="00FB0311" w:rsidP="00FB0311">
            <w:pPr>
              <w:jc w:val="both"/>
              <w:rPr>
                <w:sz w:val="20"/>
                <w:lang w:val="fr-CA"/>
              </w:rPr>
            </w:pPr>
          </w:p>
        </w:tc>
      </w:tr>
      <w:tr w:rsidR="00FB0311" w:rsidRPr="001E30F0" w:rsidTr="00FB0311">
        <w:tc>
          <w:tcPr>
            <w:tcW w:w="5000" w:type="pct"/>
            <w:gridSpan w:val="4"/>
          </w:tcPr>
          <w:p w:rsidR="00FB0311" w:rsidRPr="00776E55" w:rsidRDefault="00FB0311" w:rsidP="00FB0311">
            <w:pPr>
              <w:jc w:val="both"/>
              <w:rPr>
                <w:sz w:val="20"/>
                <w:lang w:val="fr-CA"/>
              </w:rPr>
            </w:pPr>
            <w:r w:rsidRPr="00776E55">
              <w:rPr>
                <w:sz w:val="20"/>
                <w:lang w:val="fr-CA"/>
              </w:rPr>
              <w:t>Monsieur Dahl est l’âme dirigeante de Taken Acres Farm Ltd. (collectivement, « les demandeurs »). En 2013, les demandeurs ont conclu un contrat d’achat de produits de base selon une série de versements avec SSC Security Services Corp. (anciennement Input Capital Corp.) visant l’achat et la vente de canola. SSC Security a avancé des fonds aux demandeurs aux termes du contrat en contrepartie de livraisons futures. Le contrat a été modifié à plusieurs reprises en 2014 et un contrat d’achat relatif aux redevances a été conclu en 2015, subsumant les contrats antérieurs. Des fonds additionnels ont été avancés par SSC Security. Dans le cadre de tous ces arrangements, les demandeurs ont fourni une hypothèque subsidiaire et un contrat de sûreté générale subsidiaire.</w:t>
            </w:r>
          </w:p>
          <w:p w:rsidR="00FB0311" w:rsidRPr="00776E55" w:rsidRDefault="00FB0311" w:rsidP="00FB0311">
            <w:pPr>
              <w:jc w:val="both"/>
              <w:rPr>
                <w:sz w:val="20"/>
                <w:lang w:val="fr-CA"/>
              </w:rPr>
            </w:pPr>
          </w:p>
          <w:p w:rsidR="00FB0311" w:rsidRPr="00776E55" w:rsidRDefault="00FB0311" w:rsidP="00FB0311">
            <w:pPr>
              <w:jc w:val="both"/>
              <w:rPr>
                <w:sz w:val="20"/>
                <w:lang w:val="fr-CA"/>
              </w:rPr>
            </w:pPr>
            <w:r w:rsidRPr="00776E55">
              <w:rPr>
                <w:sz w:val="20"/>
                <w:lang w:val="fr-CA"/>
              </w:rPr>
              <w:t>Les demandeurs n’ont pas livré le tonnage requis de canola et SSC Security a porté l’affaire en arbitrage. L’arbitre a rendu une décision dans laquelle il a conclu que les demandeurs avaient violé le contrat et a déterminé que les pertes totales de SSC Security s’élevaient à 1 154 353,27 $. SSC Security a intenté une action en justice, et les demandeurs ont été constatés en défaut. SSC Security a présenté une demande auprès de la Cour du Banc de la Reine sollicitant une ordonnance conditionnelle de vente à l’égard du bien-fonds. Les demandeurs ont présenté une demande à la Cour du Banc de la Reine sollicitant l’autorisation d’appel de la décision de l’arbitre. Le juge siégeant en son cabinet a rejeté la demande présentée par les demandeurs et a accueilli l’ordonnance conditionnelle de vente que demandait SSC Security. La Cour d’appel a rejeté la</w:t>
            </w:r>
            <w:r w:rsidRPr="00776E55">
              <w:rPr>
                <w:color w:val="000000"/>
                <w:sz w:val="20"/>
                <w:lang w:val="fr-CA"/>
              </w:rPr>
              <w:t xml:space="preserve"> </w:t>
            </w:r>
            <w:r w:rsidRPr="00776E55">
              <w:rPr>
                <w:sz w:val="20"/>
                <w:lang w:val="fr-CA"/>
              </w:rPr>
              <w:t>requête des demandeurs en prorogation du délai pour déposer leur appel.</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25 juillet 2022</w:t>
            </w:r>
          </w:p>
          <w:p w:rsidR="00FB0311" w:rsidRPr="00776E55" w:rsidRDefault="00FB0311" w:rsidP="00FB0311">
            <w:pPr>
              <w:jc w:val="both"/>
              <w:rPr>
                <w:sz w:val="20"/>
                <w:lang w:val="fr-CA"/>
              </w:rPr>
            </w:pPr>
            <w:r w:rsidRPr="00776E55">
              <w:rPr>
                <w:sz w:val="20"/>
                <w:lang w:val="fr-CA"/>
              </w:rPr>
              <w:t>Cour du Banc de la Reine de la Saskatchewan</w:t>
            </w:r>
          </w:p>
          <w:p w:rsidR="00FB0311" w:rsidRPr="00776E55" w:rsidRDefault="00FB0311" w:rsidP="00FB0311">
            <w:pPr>
              <w:jc w:val="both"/>
              <w:rPr>
                <w:sz w:val="20"/>
                <w:lang w:val="fr-CA"/>
              </w:rPr>
            </w:pPr>
            <w:r w:rsidRPr="00776E55">
              <w:rPr>
                <w:sz w:val="20"/>
                <w:lang w:val="fr-CA"/>
              </w:rPr>
              <w:t>(juge Danyliuk)</w:t>
            </w:r>
          </w:p>
          <w:p w:rsidR="00FB0311" w:rsidRPr="00776E55" w:rsidRDefault="00FB0311" w:rsidP="00FB0311">
            <w:pPr>
              <w:jc w:val="both"/>
              <w:rPr>
                <w:sz w:val="20"/>
                <w:lang w:val="fr-CA"/>
              </w:rPr>
            </w:pPr>
            <w:r w:rsidRPr="00776E55">
              <w:rPr>
                <w:sz w:val="20"/>
                <w:lang w:val="fr-CA"/>
              </w:rPr>
              <w:t>Non publié; QBG 1606 of 2019</w:t>
            </w:r>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La demande d’autorisation d’appel de la décision de l’arbitre présentée par les demandeurs est rejetée; la demande sollicitant une ordonnance conditionnelle de vente présentée par les intimés est accueillie.</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21 septembre 2022</w:t>
            </w:r>
          </w:p>
          <w:p w:rsidR="00FB0311" w:rsidRPr="00776E55" w:rsidRDefault="00FB0311" w:rsidP="00FB0311">
            <w:pPr>
              <w:jc w:val="both"/>
              <w:rPr>
                <w:sz w:val="20"/>
                <w:lang w:val="fr-CA"/>
              </w:rPr>
            </w:pPr>
            <w:r w:rsidRPr="00776E55">
              <w:rPr>
                <w:sz w:val="20"/>
                <w:lang w:val="fr-CA"/>
              </w:rPr>
              <w:t>Cour du Banc de la Reine de la Saskatchewan</w:t>
            </w:r>
          </w:p>
          <w:p w:rsidR="00FB0311" w:rsidRPr="00776E55" w:rsidRDefault="00FB0311" w:rsidP="00FB0311">
            <w:pPr>
              <w:jc w:val="both"/>
              <w:rPr>
                <w:sz w:val="20"/>
                <w:lang w:val="fr-CA"/>
              </w:rPr>
            </w:pPr>
            <w:r w:rsidRPr="00776E55">
              <w:rPr>
                <w:sz w:val="20"/>
                <w:lang w:val="fr-CA"/>
              </w:rPr>
              <w:t>(juge Gabrielson)</w:t>
            </w:r>
          </w:p>
          <w:p w:rsidR="00FB0311" w:rsidRPr="00776E55" w:rsidRDefault="00FB0311" w:rsidP="00FB0311">
            <w:pPr>
              <w:jc w:val="both"/>
              <w:rPr>
                <w:sz w:val="20"/>
                <w:lang w:val="fr-CA"/>
              </w:rPr>
            </w:pPr>
            <w:r w:rsidRPr="00776E55">
              <w:rPr>
                <w:sz w:val="20"/>
                <w:lang w:val="fr-CA"/>
              </w:rPr>
              <w:t>Non publié; QBG-SA-01606-2019</w:t>
            </w:r>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La demande en réouverture de l’affaire est rejetée.</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17 octobre 2022</w:t>
            </w:r>
          </w:p>
          <w:p w:rsidR="00FB0311" w:rsidRPr="00776E55" w:rsidRDefault="00FB0311" w:rsidP="00FB0311">
            <w:pPr>
              <w:jc w:val="both"/>
              <w:rPr>
                <w:sz w:val="20"/>
                <w:lang w:val="fr-CA"/>
              </w:rPr>
            </w:pPr>
            <w:r w:rsidRPr="00776E55">
              <w:rPr>
                <w:sz w:val="20"/>
                <w:lang w:val="fr-CA"/>
              </w:rPr>
              <w:t>Cour d’appel de la Saskatchewan</w:t>
            </w:r>
          </w:p>
          <w:p w:rsidR="00FB0311" w:rsidRPr="00776E55" w:rsidRDefault="00FB0311" w:rsidP="00FB0311">
            <w:pPr>
              <w:jc w:val="both"/>
              <w:rPr>
                <w:sz w:val="20"/>
                <w:lang w:val="fr-CA"/>
              </w:rPr>
            </w:pPr>
            <w:r w:rsidRPr="00776E55">
              <w:rPr>
                <w:sz w:val="20"/>
                <w:lang w:val="fr-CA"/>
              </w:rPr>
              <w:t>(juge Tholl)</w:t>
            </w:r>
          </w:p>
          <w:p w:rsidR="00FB0311" w:rsidRPr="00776E55" w:rsidRDefault="00FB0311" w:rsidP="00FB0311">
            <w:pPr>
              <w:jc w:val="both"/>
              <w:rPr>
                <w:sz w:val="20"/>
                <w:lang w:val="fr-CA"/>
              </w:rPr>
            </w:pPr>
            <w:r w:rsidRPr="00776E55">
              <w:rPr>
                <w:sz w:val="20"/>
                <w:lang w:val="fr-CA"/>
              </w:rPr>
              <w:t>Non publié; CACV4084</w:t>
            </w:r>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La demande en prorogation du délai et la demande d’autorisation d’appel sont rejetées.</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18 novembre 2022</w:t>
            </w:r>
          </w:p>
          <w:p w:rsidR="00FB0311" w:rsidRPr="00776E55" w:rsidRDefault="00FB0311" w:rsidP="00FB0311">
            <w:pPr>
              <w:jc w:val="both"/>
              <w:rPr>
                <w:sz w:val="20"/>
                <w:lang w:val="fr-CA"/>
              </w:rPr>
            </w:pPr>
            <w:r w:rsidRPr="00776E55">
              <w:rPr>
                <w:sz w:val="20"/>
                <w:lang w:val="fr-CA"/>
              </w:rPr>
              <w:t>Cour suprême du Canada</w:t>
            </w: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La demande d’autorisation d’appel est présentée.</w:t>
            </w:r>
          </w:p>
          <w:p w:rsidR="00FB0311" w:rsidRPr="00776E55" w:rsidRDefault="00FB0311" w:rsidP="00FB0311">
            <w:pPr>
              <w:jc w:val="both"/>
              <w:rPr>
                <w:sz w:val="20"/>
                <w:lang w:val="fr-CA"/>
              </w:rPr>
            </w:pPr>
          </w:p>
        </w:tc>
      </w:tr>
    </w:tbl>
    <w:p w:rsidR="00FB0311" w:rsidRPr="00776E55" w:rsidRDefault="00FB0311" w:rsidP="00FB0311">
      <w:pPr>
        <w:jc w:val="both"/>
        <w:rPr>
          <w:sz w:val="20"/>
          <w:lang w:val="fr-CA"/>
        </w:rPr>
      </w:pPr>
    </w:p>
    <w:p w:rsidR="00B11469" w:rsidRPr="00776E55" w:rsidRDefault="001E30F0" w:rsidP="00FB0311">
      <w:pPr>
        <w:jc w:val="both"/>
        <w:rPr>
          <w:sz w:val="20"/>
          <w:lang w:val="fr-CA"/>
        </w:rPr>
      </w:pPr>
      <w:r>
        <w:rPr>
          <w:sz w:val="20"/>
        </w:rPr>
        <w:pict>
          <v:rect id="_x0000_i1044" style="width:2in;height:1pt" o:hrpct="0" o:hralign="center" o:hrstd="t" o:hrnoshade="t" o:hr="t" fillcolor="black [3213]" stroked="f"/>
        </w:pict>
      </w:r>
    </w:p>
    <w:p w:rsidR="00B11469" w:rsidRPr="00776E55" w:rsidRDefault="00B11469" w:rsidP="00FB03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rPr>
            </w:pPr>
            <w:r w:rsidRPr="00776E55">
              <w:rPr>
                <w:rStyle w:val="SCCFileNumberChar"/>
                <w:sz w:val="20"/>
                <w:szCs w:val="20"/>
              </w:rPr>
              <w:t>40467</w:t>
            </w:r>
          </w:p>
        </w:tc>
        <w:tc>
          <w:tcPr>
            <w:tcW w:w="4457" w:type="pct"/>
            <w:gridSpan w:val="3"/>
          </w:tcPr>
          <w:p w:rsidR="00FB0311" w:rsidRPr="00776E55" w:rsidRDefault="00FB0311" w:rsidP="00FB0311">
            <w:pPr>
              <w:pStyle w:val="SCCLsocParty"/>
              <w:jc w:val="both"/>
              <w:rPr>
                <w:b/>
                <w:sz w:val="20"/>
                <w:szCs w:val="20"/>
                <w:lang w:val="en-US"/>
              </w:rPr>
            </w:pPr>
            <w:r w:rsidRPr="00776E55">
              <w:rPr>
                <w:b/>
                <w:sz w:val="20"/>
                <w:szCs w:val="20"/>
                <w:lang w:val="en-US"/>
              </w:rPr>
              <w:t>His Majesty the King v. Dale King</w:t>
            </w:r>
          </w:p>
          <w:p w:rsidR="00FB0311" w:rsidRPr="00776E55" w:rsidRDefault="00FB0311" w:rsidP="00FB0311">
            <w:pPr>
              <w:jc w:val="both"/>
              <w:rPr>
                <w:sz w:val="20"/>
              </w:rPr>
            </w:pPr>
            <w:r w:rsidRPr="00776E55">
              <w:rPr>
                <w:sz w:val="20"/>
              </w:rPr>
              <w:t>(Ont.) (Criminal) (By Leave)</w:t>
            </w:r>
          </w:p>
        </w:tc>
      </w:tr>
      <w:tr w:rsidR="00FB0311" w:rsidRPr="00776E55" w:rsidTr="00FB0311">
        <w:tc>
          <w:tcPr>
            <w:tcW w:w="5000" w:type="pct"/>
            <w:gridSpan w:val="4"/>
          </w:tcPr>
          <w:p w:rsidR="00FB0311" w:rsidRPr="00776E55" w:rsidRDefault="00FB0311" w:rsidP="00FB0311">
            <w:pPr>
              <w:jc w:val="both"/>
              <w:rPr>
                <w:sz w:val="20"/>
              </w:rPr>
            </w:pPr>
            <w:r w:rsidRPr="00776E55">
              <w:rPr>
                <w:sz w:val="20"/>
              </w:rPr>
              <w:t>Criminal law —</w:t>
            </w:r>
            <w:r w:rsidRPr="00776E55">
              <w:rPr>
                <w:iCs/>
                <w:color w:val="000000"/>
                <w:sz w:val="20"/>
              </w:rPr>
              <w:t xml:space="preserve"> Defences </w:t>
            </w:r>
            <w:r w:rsidRPr="00776E55">
              <w:rPr>
                <w:sz w:val="20"/>
              </w:rPr>
              <w:t>—</w:t>
            </w:r>
            <w:r w:rsidRPr="00776E55">
              <w:rPr>
                <w:iCs/>
                <w:color w:val="000000"/>
                <w:sz w:val="20"/>
              </w:rPr>
              <w:t xml:space="preserve"> Self</w:t>
            </w:r>
            <w:r w:rsidRPr="00776E55">
              <w:rPr>
                <w:iCs/>
                <w:color w:val="000000"/>
                <w:sz w:val="20"/>
              </w:rPr>
              <w:noBreakHyphen/>
              <w:t xml:space="preserve">defence </w:t>
            </w:r>
            <w:r w:rsidRPr="00776E55">
              <w:rPr>
                <w:sz w:val="20"/>
              </w:rPr>
              <w:t>—</w:t>
            </w:r>
            <w:r w:rsidRPr="00776E55">
              <w:rPr>
                <w:iCs/>
                <w:color w:val="000000"/>
                <w:sz w:val="20"/>
              </w:rPr>
              <w:t xml:space="preserve"> Charge to jury </w:t>
            </w:r>
            <w:r w:rsidRPr="00776E55">
              <w:rPr>
                <w:sz w:val="20"/>
              </w:rPr>
              <w:t xml:space="preserve">— Whether the Court of Appeal erred in concluding that the jury received a legally appropriate definition of reasonableness under s. 34(2) of the </w:t>
            </w:r>
            <w:r w:rsidRPr="00776E55">
              <w:rPr>
                <w:i/>
                <w:sz w:val="20"/>
              </w:rPr>
              <w:t>Criminal Code</w:t>
            </w:r>
            <w:r w:rsidRPr="00776E55">
              <w:rPr>
                <w:sz w:val="20"/>
              </w:rPr>
              <w:t xml:space="preserve"> — Whether the Court of Appeal erred in concluding that the jury charge was functionally adequate.</w:t>
            </w:r>
          </w:p>
          <w:p w:rsidR="00FB0311" w:rsidRPr="00776E55" w:rsidRDefault="00FB0311" w:rsidP="00FB0311">
            <w:pPr>
              <w:jc w:val="both"/>
              <w:rPr>
                <w:sz w:val="20"/>
              </w:rPr>
            </w:pPr>
          </w:p>
        </w:tc>
      </w:tr>
      <w:tr w:rsidR="00FB0311" w:rsidRPr="00776E55" w:rsidTr="00FB0311">
        <w:tc>
          <w:tcPr>
            <w:tcW w:w="5000" w:type="pct"/>
            <w:gridSpan w:val="4"/>
          </w:tcPr>
          <w:p w:rsidR="00FB0311" w:rsidRPr="00776E55" w:rsidRDefault="00FB0311" w:rsidP="00FB0311">
            <w:pPr>
              <w:jc w:val="both"/>
              <w:rPr>
                <w:sz w:val="20"/>
              </w:rPr>
            </w:pPr>
            <w:r w:rsidRPr="00776E55">
              <w:rPr>
                <w:color w:val="000000"/>
                <w:sz w:val="20"/>
              </w:rPr>
              <w:t>The victim was shot by the respondent and died. The respondent was charged with second-degree murder. The respondent testified that he acted in self-defence. After a trial by judge and jury, the respondent was acquitted. The Court of Appeal dismissed the Crown’s appeal.</w:t>
            </w:r>
          </w:p>
        </w:tc>
      </w:tr>
      <w:tr w:rsidR="00FB0311" w:rsidRPr="00776E55" w:rsidTr="00FB0311">
        <w:tc>
          <w:tcPr>
            <w:tcW w:w="5000" w:type="pct"/>
            <w:gridSpan w:val="4"/>
          </w:tcPr>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November 27, 2019</w:t>
            </w:r>
          </w:p>
          <w:p w:rsidR="00FB0311" w:rsidRPr="00776E55" w:rsidRDefault="00FB0311" w:rsidP="00FB0311">
            <w:pPr>
              <w:jc w:val="both"/>
              <w:rPr>
                <w:sz w:val="20"/>
              </w:rPr>
            </w:pPr>
            <w:r w:rsidRPr="00776E55">
              <w:rPr>
                <w:sz w:val="20"/>
              </w:rPr>
              <w:t>Ontario Superior Court of Justice</w:t>
            </w:r>
          </w:p>
          <w:p w:rsidR="00FB0311" w:rsidRPr="00776E55" w:rsidRDefault="00FB0311" w:rsidP="00FB0311">
            <w:pPr>
              <w:jc w:val="both"/>
              <w:rPr>
                <w:sz w:val="20"/>
              </w:rPr>
            </w:pPr>
            <w:r w:rsidRPr="00776E55">
              <w:rPr>
                <w:sz w:val="20"/>
              </w:rPr>
              <w:t>(Goodman J.)</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 xml:space="preserve">Acquittal entered </w:t>
            </w:r>
          </w:p>
        </w:tc>
      </w:tr>
      <w:tr w:rsidR="00FB0311" w:rsidRPr="00776E55" w:rsidTr="00FB0311">
        <w:tc>
          <w:tcPr>
            <w:tcW w:w="2427" w:type="pct"/>
            <w:gridSpan w:val="2"/>
          </w:tcPr>
          <w:p w:rsidR="00FB0311" w:rsidRPr="00776E55" w:rsidRDefault="00FB0311" w:rsidP="00FB0311">
            <w:pPr>
              <w:jc w:val="both"/>
              <w:rPr>
                <w:sz w:val="20"/>
              </w:rPr>
            </w:pPr>
            <w:r w:rsidRPr="00776E55">
              <w:rPr>
                <w:sz w:val="20"/>
              </w:rPr>
              <w:t>September 26, 2022</w:t>
            </w:r>
          </w:p>
          <w:p w:rsidR="00FB0311" w:rsidRPr="00776E55" w:rsidRDefault="00FB0311" w:rsidP="00FB0311">
            <w:pPr>
              <w:jc w:val="both"/>
              <w:rPr>
                <w:sz w:val="20"/>
              </w:rPr>
            </w:pPr>
            <w:r w:rsidRPr="00776E55">
              <w:rPr>
                <w:sz w:val="20"/>
              </w:rPr>
              <w:t>Court of Appeal for Ontario</w:t>
            </w:r>
          </w:p>
          <w:p w:rsidR="00FB0311" w:rsidRPr="00776E55" w:rsidRDefault="00FB0311" w:rsidP="00FB0311">
            <w:pPr>
              <w:jc w:val="both"/>
              <w:rPr>
                <w:sz w:val="20"/>
              </w:rPr>
            </w:pPr>
            <w:r w:rsidRPr="00776E55">
              <w:rPr>
                <w:sz w:val="20"/>
              </w:rPr>
              <w:t>(Fairburn A.C.J.O, Miller and George JJ.A.)</w:t>
            </w:r>
          </w:p>
          <w:p w:rsidR="00FB0311" w:rsidRPr="00776E55" w:rsidRDefault="00FB0311" w:rsidP="00FB0311">
            <w:pPr>
              <w:jc w:val="both"/>
              <w:rPr>
                <w:sz w:val="20"/>
              </w:rPr>
            </w:pPr>
            <w:r w:rsidRPr="00776E55">
              <w:rPr>
                <w:sz w:val="20"/>
              </w:rPr>
              <w:t xml:space="preserve">C67830; </w:t>
            </w:r>
            <w:hyperlink r:id="rId59" w:history="1">
              <w:r w:rsidRPr="00776E55">
                <w:rPr>
                  <w:rStyle w:val="Hyperlink"/>
                  <w:sz w:val="20"/>
                </w:rPr>
                <w:t>2022 ONCA 665</w:t>
              </w:r>
            </w:hyperlink>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Appeal dismissed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November 25, 2022</w:t>
            </w:r>
          </w:p>
          <w:p w:rsidR="00FB0311" w:rsidRPr="00776E55" w:rsidRDefault="00FB0311" w:rsidP="00FB0311">
            <w:pPr>
              <w:jc w:val="both"/>
              <w:rPr>
                <w:sz w:val="20"/>
              </w:rPr>
            </w:pPr>
            <w:r w:rsidRPr="00776E55">
              <w:rPr>
                <w:sz w:val="20"/>
              </w:rPr>
              <w:t>Supreme Court of Canada</w:t>
            </w: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Application for leave to appeal filed</w:t>
            </w:r>
          </w:p>
          <w:p w:rsidR="00FB0311" w:rsidRPr="00776E55" w:rsidRDefault="00FB0311" w:rsidP="00FB0311">
            <w:pPr>
              <w:jc w:val="both"/>
              <w:rPr>
                <w:sz w:val="20"/>
              </w:rPr>
            </w:pPr>
          </w:p>
        </w:tc>
      </w:tr>
    </w:tbl>
    <w:p w:rsidR="00FB0311" w:rsidRPr="00776E55" w:rsidRDefault="00FB0311" w:rsidP="00FB0311">
      <w:pPr>
        <w:jc w:val="both"/>
        <w:rPr>
          <w:sz w:val="20"/>
        </w:rPr>
      </w:pPr>
    </w:p>
    <w:p w:rsidR="00B11469" w:rsidRPr="00776E55" w:rsidRDefault="001E30F0" w:rsidP="00FB0311">
      <w:pPr>
        <w:jc w:val="both"/>
        <w:rPr>
          <w:sz w:val="20"/>
        </w:rPr>
      </w:pPr>
      <w:r>
        <w:rPr>
          <w:sz w:val="20"/>
        </w:rPr>
        <w:pict>
          <v:rect id="_x0000_i1045" style="width:2in;height:1pt" o:hrpct="0" o:hralign="center" o:hrstd="t" o:hrnoshade="t" o:hr="t" fillcolor="black [3213]" stroked="f"/>
        </w:pict>
      </w:r>
    </w:p>
    <w:p w:rsidR="00B11469" w:rsidRPr="00776E55" w:rsidRDefault="00B11469" w:rsidP="00FB03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lang w:val="fr-CA"/>
              </w:rPr>
            </w:pPr>
            <w:r w:rsidRPr="00776E55">
              <w:rPr>
                <w:rStyle w:val="SCCFileNumberChar"/>
                <w:sz w:val="20"/>
                <w:szCs w:val="20"/>
                <w:lang w:val="fr-CA"/>
              </w:rPr>
              <w:t>40467</w:t>
            </w:r>
          </w:p>
        </w:tc>
        <w:tc>
          <w:tcPr>
            <w:tcW w:w="4457" w:type="pct"/>
            <w:gridSpan w:val="3"/>
          </w:tcPr>
          <w:p w:rsidR="00FB0311" w:rsidRPr="00776E55" w:rsidRDefault="00FB0311" w:rsidP="00FB0311">
            <w:pPr>
              <w:pStyle w:val="SCCLsocParty"/>
              <w:jc w:val="both"/>
              <w:rPr>
                <w:b/>
                <w:sz w:val="20"/>
                <w:szCs w:val="20"/>
              </w:rPr>
            </w:pPr>
            <w:r w:rsidRPr="00776E55">
              <w:rPr>
                <w:b/>
                <w:sz w:val="20"/>
                <w:szCs w:val="20"/>
              </w:rPr>
              <w:t>Sa Majesté le Roi c. Dale King</w:t>
            </w:r>
          </w:p>
          <w:p w:rsidR="00FB0311" w:rsidRPr="00776E55" w:rsidRDefault="00FB0311" w:rsidP="00FB0311">
            <w:pPr>
              <w:jc w:val="both"/>
              <w:rPr>
                <w:sz w:val="20"/>
                <w:lang w:val="fr-CA"/>
              </w:rPr>
            </w:pPr>
            <w:r w:rsidRPr="00776E55">
              <w:rPr>
                <w:sz w:val="20"/>
                <w:lang w:val="fr-CA"/>
              </w:rPr>
              <w:t>(Ont.) (Criminelle) (Sur autorisation)</w:t>
            </w:r>
          </w:p>
        </w:tc>
      </w:tr>
      <w:tr w:rsidR="00FB0311" w:rsidRPr="001E30F0" w:rsidTr="00FB0311">
        <w:tc>
          <w:tcPr>
            <w:tcW w:w="5000" w:type="pct"/>
            <w:gridSpan w:val="4"/>
          </w:tcPr>
          <w:p w:rsidR="00FB0311" w:rsidRPr="00776E55" w:rsidRDefault="00FB0311" w:rsidP="00FB0311">
            <w:pPr>
              <w:jc w:val="both"/>
              <w:rPr>
                <w:sz w:val="20"/>
                <w:lang w:val="fr-CA"/>
              </w:rPr>
            </w:pPr>
            <w:r w:rsidRPr="00776E55">
              <w:rPr>
                <w:sz w:val="20"/>
                <w:lang w:val="fr-CA"/>
              </w:rPr>
              <w:t>Droit criminel —</w:t>
            </w:r>
            <w:r w:rsidRPr="00776E55">
              <w:rPr>
                <w:iCs/>
                <w:color w:val="000000"/>
                <w:sz w:val="20"/>
                <w:lang w:val="fr-CA"/>
              </w:rPr>
              <w:t xml:space="preserve"> Moyens de défense </w:t>
            </w:r>
            <w:r w:rsidRPr="00776E55">
              <w:rPr>
                <w:sz w:val="20"/>
                <w:lang w:val="fr-CA"/>
              </w:rPr>
              <w:t>—</w:t>
            </w:r>
            <w:r w:rsidRPr="00776E55">
              <w:rPr>
                <w:iCs/>
                <w:color w:val="000000"/>
                <w:sz w:val="20"/>
                <w:lang w:val="fr-CA"/>
              </w:rPr>
              <w:t xml:space="preserve"> Légitime défense </w:t>
            </w:r>
            <w:r w:rsidRPr="00776E55">
              <w:rPr>
                <w:sz w:val="20"/>
                <w:lang w:val="fr-CA"/>
              </w:rPr>
              <w:t>—</w:t>
            </w:r>
            <w:r w:rsidRPr="00776E55">
              <w:rPr>
                <w:iCs/>
                <w:color w:val="000000"/>
                <w:sz w:val="20"/>
                <w:lang w:val="fr-CA"/>
              </w:rPr>
              <w:t xml:space="preserve"> Exposé au jury </w:t>
            </w:r>
            <w:r w:rsidRPr="00776E55">
              <w:rPr>
                <w:sz w:val="20"/>
                <w:lang w:val="fr-CA"/>
              </w:rPr>
              <w:t xml:space="preserve">— La Cour d’appel a-t-elle commis une erreur en concluant que le jury avait reçu une instruction juridique appropriée sur ce que signifie le caractère raisonnable au sens du par. 34(2) du </w:t>
            </w:r>
            <w:r w:rsidRPr="00776E55">
              <w:rPr>
                <w:i/>
                <w:sz w:val="20"/>
                <w:lang w:val="fr-CA"/>
              </w:rPr>
              <w:t>Code criminel</w:t>
            </w:r>
            <w:r w:rsidRPr="00776E55">
              <w:rPr>
                <w:sz w:val="20"/>
                <w:lang w:val="fr-CA"/>
              </w:rPr>
              <w:t xml:space="preserve">? — La Cour d’appel a-t-elle commis une erreur en concluant que l’exposé au jury était fonctionnellement adéquat? </w:t>
            </w:r>
          </w:p>
          <w:p w:rsidR="00FB0311" w:rsidRPr="00776E55" w:rsidRDefault="00FB0311" w:rsidP="00FB0311">
            <w:pPr>
              <w:jc w:val="both"/>
              <w:rPr>
                <w:sz w:val="20"/>
                <w:lang w:val="fr-CA"/>
              </w:rPr>
            </w:pPr>
          </w:p>
        </w:tc>
      </w:tr>
      <w:tr w:rsidR="00FB0311" w:rsidRPr="001E30F0" w:rsidTr="00FB0311">
        <w:tc>
          <w:tcPr>
            <w:tcW w:w="5000" w:type="pct"/>
            <w:gridSpan w:val="4"/>
          </w:tcPr>
          <w:p w:rsidR="00FB0311" w:rsidRPr="00776E55" w:rsidRDefault="00FB0311" w:rsidP="00FB0311">
            <w:pPr>
              <w:jc w:val="both"/>
              <w:rPr>
                <w:sz w:val="20"/>
                <w:lang w:val="fr-CA"/>
              </w:rPr>
            </w:pPr>
            <w:r w:rsidRPr="00776E55">
              <w:rPr>
                <w:color w:val="000000"/>
                <w:sz w:val="20"/>
                <w:lang w:val="fr-CA"/>
              </w:rPr>
              <w:t xml:space="preserve">L’intimé a fait feu sur un individu, lequel a perdu la vie, puis il a été accusé de meurtre au second degré. Il a livré un témoignage selon lequel il avait agi en légitime défense et, au terme d’un procès avec juge et jury, il a été acquitté. La Cour d’appel a rejeté l’appel interjeté par la Couronne. </w:t>
            </w:r>
          </w:p>
        </w:tc>
      </w:tr>
      <w:tr w:rsidR="00FB0311" w:rsidRPr="001E30F0" w:rsidTr="00FB0311">
        <w:tc>
          <w:tcPr>
            <w:tcW w:w="5000" w:type="pct"/>
            <w:gridSpan w:val="4"/>
          </w:tcPr>
          <w:p w:rsidR="00FB0311" w:rsidRPr="00776E55" w:rsidRDefault="00FB0311" w:rsidP="00FB0311">
            <w:pPr>
              <w:jc w:val="both"/>
              <w:rPr>
                <w:sz w:val="20"/>
                <w:lang w:val="fr-CA"/>
              </w:rPr>
            </w:pPr>
          </w:p>
        </w:tc>
      </w:tr>
      <w:tr w:rsidR="00FB0311" w:rsidRPr="00776E55" w:rsidTr="00FB0311">
        <w:tc>
          <w:tcPr>
            <w:tcW w:w="2427" w:type="pct"/>
            <w:gridSpan w:val="2"/>
          </w:tcPr>
          <w:p w:rsidR="00FB0311" w:rsidRPr="00776E55" w:rsidRDefault="00FB0311" w:rsidP="00FB0311">
            <w:pPr>
              <w:jc w:val="both"/>
              <w:rPr>
                <w:sz w:val="20"/>
                <w:lang w:val="fr-CA"/>
              </w:rPr>
            </w:pPr>
            <w:r w:rsidRPr="00776E55">
              <w:rPr>
                <w:sz w:val="20"/>
                <w:lang w:val="fr-CA"/>
              </w:rPr>
              <w:t>27 novembre 2019</w:t>
            </w:r>
          </w:p>
          <w:p w:rsidR="00FB0311" w:rsidRPr="00776E55" w:rsidRDefault="00FB0311" w:rsidP="00FB0311">
            <w:pPr>
              <w:jc w:val="both"/>
              <w:rPr>
                <w:sz w:val="20"/>
                <w:lang w:val="fr-CA"/>
              </w:rPr>
            </w:pPr>
            <w:r w:rsidRPr="00776E55">
              <w:rPr>
                <w:sz w:val="20"/>
                <w:lang w:val="fr-CA"/>
              </w:rPr>
              <w:t>Cour supérieure de justice de l’Ontario</w:t>
            </w:r>
          </w:p>
          <w:p w:rsidR="00FB0311" w:rsidRPr="00776E55" w:rsidRDefault="00FB0311" w:rsidP="00FB0311">
            <w:pPr>
              <w:jc w:val="both"/>
              <w:rPr>
                <w:sz w:val="20"/>
                <w:lang w:val="fr-CA"/>
              </w:rPr>
            </w:pPr>
            <w:r w:rsidRPr="00776E55">
              <w:rPr>
                <w:sz w:val="20"/>
                <w:lang w:val="fr-CA"/>
              </w:rPr>
              <w:t>(Juge Goodman)</w:t>
            </w:r>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 xml:space="preserve">Acquittement prononcé. </w:t>
            </w:r>
          </w:p>
        </w:tc>
      </w:tr>
      <w:tr w:rsidR="00FB0311" w:rsidRPr="00776E55" w:rsidTr="00FB0311">
        <w:tc>
          <w:tcPr>
            <w:tcW w:w="2427" w:type="pct"/>
            <w:gridSpan w:val="2"/>
          </w:tcPr>
          <w:p w:rsidR="00FB0311" w:rsidRPr="00776E55" w:rsidRDefault="00FB0311" w:rsidP="00FB0311">
            <w:pPr>
              <w:jc w:val="both"/>
              <w:rPr>
                <w:sz w:val="20"/>
                <w:lang w:val="fr-CA"/>
              </w:rPr>
            </w:pPr>
            <w:r w:rsidRPr="00776E55">
              <w:rPr>
                <w:sz w:val="20"/>
                <w:lang w:val="fr-CA"/>
              </w:rPr>
              <w:t>26 septembre 2022</w:t>
            </w:r>
          </w:p>
          <w:p w:rsidR="00FB0311" w:rsidRPr="00776E55" w:rsidRDefault="00FB0311" w:rsidP="00FB0311">
            <w:pPr>
              <w:jc w:val="both"/>
              <w:rPr>
                <w:sz w:val="20"/>
                <w:lang w:val="fr-CA"/>
              </w:rPr>
            </w:pPr>
            <w:r w:rsidRPr="00776E55">
              <w:rPr>
                <w:sz w:val="20"/>
                <w:lang w:val="fr-CA"/>
              </w:rPr>
              <w:t>Cour d’appel de l’Ontario</w:t>
            </w:r>
          </w:p>
          <w:p w:rsidR="00FB0311" w:rsidRPr="00776E55" w:rsidRDefault="00FB0311" w:rsidP="00FB0311">
            <w:pPr>
              <w:jc w:val="both"/>
              <w:rPr>
                <w:sz w:val="20"/>
                <w:lang w:val="fr-CA"/>
              </w:rPr>
            </w:pPr>
            <w:r w:rsidRPr="00776E55">
              <w:rPr>
                <w:sz w:val="20"/>
                <w:lang w:val="fr-CA"/>
              </w:rPr>
              <w:t xml:space="preserve">(Juge en chef adjointe Fairburn, et </w:t>
            </w:r>
          </w:p>
          <w:p w:rsidR="00FB0311" w:rsidRPr="00776E55" w:rsidRDefault="00FB0311" w:rsidP="00FB0311">
            <w:pPr>
              <w:jc w:val="both"/>
              <w:rPr>
                <w:sz w:val="20"/>
                <w:lang w:val="fr-CA"/>
              </w:rPr>
            </w:pPr>
            <w:r w:rsidRPr="00776E55">
              <w:rPr>
                <w:sz w:val="20"/>
                <w:lang w:val="fr-CA"/>
              </w:rPr>
              <w:t>juges Miller et George)</w:t>
            </w:r>
          </w:p>
          <w:p w:rsidR="00FB0311" w:rsidRPr="00776E55" w:rsidRDefault="00FB0311" w:rsidP="00FB0311">
            <w:pPr>
              <w:jc w:val="both"/>
              <w:rPr>
                <w:sz w:val="20"/>
                <w:lang w:val="fr-CA"/>
              </w:rPr>
            </w:pPr>
            <w:r w:rsidRPr="00776E55">
              <w:rPr>
                <w:sz w:val="20"/>
                <w:lang w:val="fr-CA"/>
              </w:rPr>
              <w:t xml:space="preserve">C67830; </w:t>
            </w:r>
            <w:hyperlink r:id="rId60" w:history="1">
              <w:r w:rsidRPr="00776E55">
                <w:rPr>
                  <w:rStyle w:val="Hyperlink"/>
                  <w:sz w:val="20"/>
                  <w:lang w:val="fr-CA"/>
                </w:rPr>
                <w:t>2022 ONCA 665</w:t>
              </w:r>
            </w:hyperlink>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 xml:space="preserve">Appel rejeté. </w:t>
            </w:r>
          </w:p>
          <w:p w:rsidR="00FB0311" w:rsidRPr="00776E55" w:rsidRDefault="00FB0311" w:rsidP="00FB0311">
            <w:pPr>
              <w:jc w:val="both"/>
              <w:rPr>
                <w:sz w:val="20"/>
                <w:lang w:val="fr-CA"/>
              </w:rPr>
            </w:pPr>
          </w:p>
        </w:tc>
      </w:tr>
      <w:tr w:rsidR="00FB0311" w:rsidRPr="00776E55" w:rsidTr="00FB0311">
        <w:tc>
          <w:tcPr>
            <w:tcW w:w="2427" w:type="pct"/>
            <w:gridSpan w:val="2"/>
          </w:tcPr>
          <w:p w:rsidR="00FB0311" w:rsidRPr="00776E55" w:rsidRDefault="00FB0311" w:rsidP="00FB0311">
            <w:pPr>
              <w:jc w:val="both"/>
              <w:rPr>
                <w:sz w:val="20"/>
                <w:lang w:val="fr-CA"/>
              </w:rPr>
            </w:pPr>
            <w:r w:rsidRPr="00776E55">
              <w:rPr>
                <w:sz w:val="20"/>
                <w:lang w:val="fr-CA"/>
              </w:rPr>
              <w:t>25 novembre 2022</w:t>
            </w:r>
          </w:p>
          <w:p w:rsidR="00FB0311" w:rsidRPr="00776E55" w:rsidRDefault="00FB0311" w:rsidP="00FB0311">
            <w:pPr>
              <w:jc w:val="both"/>
              <w:rPr>
                <w:sz w:val="20"/>
                <w:lang w:val="fr-CA"/>
              </w:rPr>
            </w:pPr>
            <w:r w:rsidRPr="00776E55">
              <w:rPr>
                <w:sz w:val="20"/>
                <w:lang w:val="fr-CA"/>
              </w:rPr>
              <w:t>Cour suprême du Canada</w:t>
            </w: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 xml:space="preserve">Demande d’autorisation d’appel déposée. </w:t>
            </w:r>
          </w:p>
          <w:p w:rsidR="00FB0311" w:rsidRPr="00776E55" w:rsidRDefault="00FB0311" w:rsidP="00FB0311">
            <w:pPr>
              <w:jc w:val="both"/>
              <w:rPr>
                <w:sz w:val="20"/>
                <w:lang w:val="fr-CA"/>
              </w:rPr>
            </w:pPr>
          </w:p>
        </w:tc>
      </w:tr>
    </w:tbl>
    <w:p w:rsidR="00FB0311" w:rsidRPr="00776E55" w:rsidRDefault="00FB0311" w:rsidP="00FB0311">
      <w:pPr>
        <w:jc w:val="both"/>
        <w:rPr>
          <w:sz w:val="20"/>
          <w:lang w:val="fr-CA"/>
        </w:rPr>
      </w:pPr>
    </w:p>
    <w:p w:rsidR="00B11469" w:rsidRPr="00776E55" w:rsidRDefault="001E30F0" w:rsidP="00FB0311">
      <w:pPr>
        <w:jc w:val="both"/>
        <w:rPr>
          <w:sz w:val="20"/>
          <w:lang w:val="fr-CA"/>
        </w:rPr>
      </w:pPr>
      <w:r>
        <w:rPr>
          <w:sz w:val="20"/>
        </w:rPr>
        <w:pict>
          <v:rect id="_x0000_i1046" style="width:2in;height:1pt" o:hrpct="0" o:hralign="center" o:hrstd="t" o:hrnoshade="t" o:hr="t" fillcolor="black [3213]" stroked="f"/>
        </w:pict>
      </w:r>
    </w:p>
    <w:p w:rsidR="00B11469" w:rsidRPr="00776E55" w:rsidRDefault="00B11469" w:rsidP="00FB03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rPr>
            </w:pPr>
            <w:r w:rsidRPr="00776E55">
              <w:rPr>
                <w:rStyle w:val="SCCFileNumberChar"/>
                <w:sz w:val="20"/>
                <w:szCs w:val="20"/>
              </w:rPr>
              <w:t>40532</w:t>
            </w:r>
          </w:p>
        </w:tc>
        <w:tc>
          <w:tcPr>
            <w:tcW w:w="4457" w:type="pct"/>
            <w:gridSpan w:val="3"/>
          </w:tcPr>
          <w:p w:rsidR="00FB0311" w:rsidRPr="00776E55" w:rsidRDefault="00FB0311" w:rsidP="00FB0311">
            <w:pPr>
              <w:pStyle w:val="SCCLsocParty"/>
              <w:jc w:val="both"/>
              <w:rPr>
                <w:b/>
                <w:sz w:val="20"/>
                <w:szCs w:val="20"/>
                <w:lang w:val="en-US"/>
              </w:rPr>
            </w:pPr>
            <w:r w:rsidRPr="00776E55">
              <w:rPr>
                <w:b/>
                <w:sz w:val="20"/>
                <w:szCs w:val="20"/>
                <w:lang w:val="en-US"/>
              </w:rPr>
              <w:t>Morris Timothy Klos v. His Majesty the King</w:t>
            </w:r>
          </w:p>
          <w:p w:rsidR="00FB0311" w:rsidRPr="00776E55" w:rsidRDefault="00FB0311" w:rsidP="00FB0311">
            <w:pPr>
              <w:jc w:val="both"/>
              <w:rPr>
                <w:sz w:val="20"/>
              </w:rPr>
            </w:pPr>
            <w:r w:rsidRPr="00776E55">
              <w:rPr>
                <w:sz w:val="20"/>
              </w:rPr>
              <w:t>(B.C.) (Criminal) (By Leave)</w:t>
            </w:r>
          </w:p>
        </w:tc>
      </w:tr>
      <w:tr w:rsidR="00FB0311" w:rsidRPr="00776E55" w:rsidTr="00FB0311">
        <w:tc>
          <w:tcPr>
            <w:tcW w:w="5000" w:type="pct"/>
            <w:gridSpan w:val="4"/>
          </w:tcPr>
          <w:p w:rsidR="00FB0311" w:rsidRPr="00776E55" w:rsidRDefault="00FB0311" w:rsidP="00FB0311">
            <w:pPr>
              <w:pStyle w:val="SCCBanSummary"/>
              <w:rPr>
                <w:sz w:val="20"/>
                <w:szCs w:val="20"/>
              </w:rPr>
            </w:pPr>
            <w:r w:rsidRPr="00776E55">
              <w:rPr>
                <w:sz w:val="20"/>
                <w:szCs w:val="20"/>
              </w:rPr>
              <w:t>(Sealing order)</w:t>
            </w:r>
          </w:p>
          <w:p w:rsidR="00FB0311" w:rsidRPr="00776E55" w:rsidRDefault="00FB0311" w:rsidP="00FB0311">
            <w:pPr>
              <w:jc w:val="both"/>
              <w:rPr>
                <w:sz w:val="20"/>
              </w:rPr>
            </w:pPr>
          </w:p>
          <w:p w:rsidR="00FB0311" w:rsidRPr="00776E55" w:rsidRDefault="00FB0311" w:rsidP="00FB0311">
            <w:pPr>
              <w:jc w:val="both"/>
              <w:rPr>
                <w:sz w:val="20"/>
              </w:rPr>
            </w:pPr>
            <w:r w:rsidRPr="00776E55">
              <w:rPr>
                <w:sz w:val="20"/>
              </w:rPr>
              <w:t>Criminal law — Appeals — Whether the Court of Appeal erred in dismissing the applicant’s application for leave to appeal — Whether the denial of the right to a fair hearing renders a decision invalid — Whether a misled guilty plea is a ground of appeal.</w:t>
            </w:r>
          </w:p>
        </w:tc>
      </w:tr>
      <w:tr w:rsidR="00FB0311" w:rsidRPr="00776E55" w:rsidTr="00FB0311">
        <w:tc>
          <w:tcPr>
            <w:tcW w:w="5000" w:type="pct"/>
            <w:gridSpan w:val="4"/>
          </w:tcPr>
          <w:p w:rsidR="00FB0311" w:rsidRPr="00776E55" w:rsidRDefault="00FB0311" w:rsidP="00FB0311">
            <w:pPr>
              <w:jc w:val="both"/>
              <w:rPr>
                <w:sz w:val="20"/>
              </w:rPr>
            </w:pPr>
          </w:p>
        </w:tc>
      </w:tr>
      <w:tr w:rsidR="00FB0311" w:rsidRPr="00776E55" w:rsidTr="00FB0311">
        <w:tc>
          <w:tcPr>
            <w:tcW w:w="5000" w:type="pct"/>
            <w:gridSpan w:val="4"/>
          </w:tcPr>
          <w:p w:rsidR="00FB0311" w:rsidRPr="00776E55" w:rsidRDefault="00FB0311" w:rsidP="00FB0311">
            <w:pPr>
              <w:jc w:val="both"/>
              <w:rPr>
                <w:sz w:val="20"/>
              </w:rPr>
            </w:pPr>
            <w:r w:rsidRPr="00776E55">
              <w:rPr>
                <w:sz w:val="20"/>
              </w:rPr>
              <w:t>At the Court of Appeal for British Columbia, Mr. Klos applied for leave to appeal the dismissal of his application for a 22-year extension of time to file a summary conviction appeal. His conviction appeal rested, in part, on his submission that his guilty plea was uninformed, as he believed his criminal record would be expunged three years after conviction.</w:t>
            </w:r>
          </w:p>
          <w:p w:rsidR="00FB0311" w:rsidRPr="00776E55" w:rsidRDefault="00FB0311" w:rsidP="00FB0311">
            <w:pPr>
              <w:jc w:val="both"/>
              <w:rPr>
                <w:sz w:val="20"/>
              </w:rPr>
            </w:pPr>
          </w:p>
          <w:p w:rsidR="00FB0311" w:rsidRPr="00776E55" w:rsidRDefault="00FB0311" w:rsidP="00FB0311">
            <w:pPr>
              <w:jc w:val="both"/>
              <w:rPr>
                <w:sz w:val="20"/>
              </w:rPr>
            </w:pPr>
            <w:r w:rsidRPr="00776E55">
              <w:rPr>
                <w:sz w:val="20"/>
              </w:rPr>
              <w:t>The application for leave to appeal was dismissed.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November 29, 2021</w:t>
            </w:r>
          </w:p>
          <w:p w:rsidR="00FB0311" w:rsidRPr="00776E55" w:rsidRDefault="00FB0311" w:rsidP="00FB0311">
            <w:pPr>
              <w:jc w:val="both"/>
              <w:rPr>
                <w:sz w:val="20"/>
              </w:rPr>
            </w:pPr>
            <w:r w:rsidRPr="00776E55">
              <w:rPr>
                <w:sz w:val="20"/>
              </w:rPr>
              <w:t>Supreme Court of British Columbia</w:t>
            </w:r>
          </w:p>
          <w:p w:rsidR="00FB0311" w:rsidRPr="00776E55" w:rsidRDefault="00FB0311" w:rsidP="00FB0311">
            <w:pPr>
              <w:jc w:val="both"/>
              <w:rPr>
                <w:sz w:val="20"/>
              </w:rPr>
            </w:pPr>
            <w:r w:rsidRPr="00776E55">
              <w:rPr>
                <w:sz w:val="20"/>
              </w:rPr>
              <w:t>(Caldwell J.)</w:t>
            </w:r>
          </w:p>
          <w:p w:rsidR="00FB0311" w:rsidRPr="00776E55" w:rsidRDefault="00FB0311" w:rsidP="00FB0311">
            <w:pPr>
              <w:jc w:val="both"/>
              <w:rPr>
                <w:sz w:val="20"/>
              </w:rPr>
            </w:pPr>
            <w:r w:rsidRPr="00776E55">
              <w:rPr>
                <w:sz w:val="20"/>
              </w:rPr>
              <w:t>2021 BCSC 2564; 70978</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Application for an extension of time, dismissed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October 28, 2022</w:t>
            </w:r>
          </w:p>
          <w:p w:rsidR="00FB0311" w:rsidRPr="00776E55" w:rsidRDefault="00FB0311" w:rsidP="00FB0311">
            <w:pPr>
              <w:jc w:val="both"/>
              <w:rPr>
                <w:sz w:val="20"/>
              </w:rPr>
            </w:pPr>
            <w:r w:rsidRPr="00776E55">
              <w:rPr>
                <w:sz w:val="20"/>
              </w:rPr>
              <w:t xml:space="preserve">Court of Appeal for British Columbia </w:t>
            </w:r>
          </w:p>
          <w:p w:rsidR="00FB0311" w:rsidRPr="00776E55" w:rsidRDefault="00FB0311" w:rsidP="00FB0311">
            <w:pPr>
              <w:jc w:val="both"/>
              <w:rPr>
                <w:sz w:val="20"/>
              </w:rPr>
            </w:pPr>
            <w:r w:rsidRPr="00776E55">
              <w:rPr>
                <w:sz w:val="20"/>
              </w:rPr>
              <w:t>(Vancouver)</w:t>
            </w:r>
          </w:p>
          <w:p w:rsidR="00FB0311" w:rsidRPr="00776E55" w:rsidRDefault="00FB0311" w:rsidP="00FB0311">
            <w:pPr>
              <w:jc w:val="both"/>
              <w:rPr>
                <w:sz w:val="20"/>
              </w:rPr>
            </w:pPr>
            <w:r w:rsidRPr="00776E55">
              <w:rPr>
                <w:sz w:val="20"/>
              </w:rPr>
              <w:t>(Abrioux J.A.)</w:t>
            </w:r>
          </w:p>
          <w:p w:rsidR="00FB0311" w:rsidRPr="00776E55" w:rsidRDefault="001E30F0" w:rsidP="00FB0311">
            <w:pPr>
              <w:jc w:val="both"/>
              <w:rPr>
                <w:sz w:val="20"/>
              </w:rPr>
            </w:pPr>
            <w:hyperlink r:id="rId61" w:history="1">
              <w:r w:rsidR="00FB0311" w:rsidRPr="00776E55">
                <w:rPr>
                  <w:rStyle w:val="Hyperlink"/>
                  <w:sz w:val="20"/>
                </w:rPr>
                <w:t>2022 BCCA 361</w:t>
              </w:r>
            </w:hyperlink>
            <w:r w:rsidR="00FB0311" w:rsidRPr="00776E55">
              <w:rPr>
                <w:sz w:val="20"/>
              </w:rPr>
              <w:t>; CA47983</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Application for leave to appeal, dismissed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November 10, 2022</w:t>
            </w:r>
          </w:p>
          <w:p w:rsidR="00FB0311" w:rsidRPr="00776E55" w:rsidRDefault="00FB0311" w:rsidP="00FB0311">
            <w:pPr>
              <w:jc w:val="both"/>
              <w:rPr>
                <w:sz w:val="20"/>
              </w:rPr>
            </w:pPr>
            <w:r w:rsidRPr="00776E55">
              <w:rPr>
                <w:sz w:val="20"/>
              </w:rPr>
              <w:t>Supreme Court of Canada</w:t>
            </w: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Application for leave to appeal filed</w:t>
            </w:r>
          </w:p>
          <w:p w:rsidR="00FB0311" w:rsidRPr="00776E55" w:rsidRDefault="00FB0311" w:rsidP="00FB0311">
            <w:pPr>
              <w:jc w:val="both"/>
              <w:rPr>
                <w:sz w:val="20"/>
              </w:rPr>
            </w:pPr>
          </w:p>
        </w:tc>
      </w:tr>
    </w:tbl>
    <w:p w:rsidR="00FB0311" w:rsidRPr="00776E55" w:rsidRDefault="00FB0311" w:rsidP="00FB0311">
      <w:pPr>
        <w:jc w:val="both"/>
        <w:rPr>
          <w:sz w:val="20"/>
        </w:rPr>
      </w:pPr>
    </w:p>
    <w:p w:rsidR="00B11469" w:rsidRPr="00776E55" w:rsidRDefault="001E30F0" w:rsidP="00FB0311">
      <w:pPr>
        <w:jc w:val="both"/>
        <w:rPr>
          <w:sz w:val="20"/>
        </w:rPr>
      </w:pPr>
      <w:r>
        <w:rPr>
          <w:sz w:val="20"/>
        </w:rPr>
        <w:pict>
          <v:rect id="_x0000_i1047" style="width:2in;height:1pt" o:hrpct="0" o:hralign="center" o:hrstd="t" o:hrnoshade="t" o:hr="t" fillcolor="black [3213]" stroked="f"/>
        </w:pict>
      </w:r>
    </w:p>
    <w:p w:rsidR="00B11469" w:rsidRPr="00776E55" w:rsidRDefault="00B11469" w:rsidP="00FB03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1E30F0" w:rsidTr="00FB0311">
        <w:tc>
          <w:tcPr>
            <w:tcW w:w="543" w:type="pct"/>
          </w:tcPr>
          <w:p w:rsidR="00FB0311" w:rsidRPr="00776E55" w:rsidRDefault="00FB0311" w:rsidP="00FB0311">
            <w:pPr>
              <w:jc w:val="both"/>
              <w:rPr>
                <w:sz w:val="20"/>
                <w:lang w:val="fr-CA"/>
              </w:rPr>
            </w:pPr>
            <w:r w:rsidRPr="00776E55">
              <w:rPr>
                <w:rStyle w:val="SCCFileNumberChar"/>
                <w:sz w:val="20"/>
                <w:szCs w:val="20"/>
                <w:lang w:val="fr-CA"/>
              </w:rPr>
              <w:t>40532</w:t>
            </w:r>
          </w:p>
        </w:tc>
        <w:tc>
          <w:tcPr>
            <w:tcW w:w="4457" w:type="pct"/>
            <w:gridSpan w:val="3"/>
          </w:tcPr>
          <w:p w:rsidR="00FB0311" w:rsidRPr="00776E55" w:rsidRDefault="00FB0311" w:rsidP="00FB0311">
            <w:pPr>
              <w:pStyle w:val="SCCLsocParty"/>
              <w:jc w:val="both"/>
              <w:rPr>
                <w:b/>
                <w:sz w:val="20"/>
                <w:szCs w:val="20"/>
              </w:rPr>
            </w:pPr>
            <w:r w:rsidRPr="00776E55">
              <w:rPr>
                <w:b/>
                <w:sz w:val="20"/>
                <w:szCs w:val="20"/>
              </w:rPr>
              <w:t>Morris Timothy Klos c. Sa Majesté le Roi</w:t>
            </w:r>
          </w:p>
          <w:p w:rsidR="00FB0311" w:rsidRPr="00776E55" w:rsidRDefault="00FB0311" w:rsidP="00FB0311">
            <w:pPr>
              <w:jc w:val="both"/>
              <w:rPr>
                <w:sz w:val="20"/>
                <w:lang w:val="fr-CA"/>
              </w:rPr>
            </w:pPr>
            <w:r w:rsidRPr="00776E55">
              <w:rPr>
                <w:sz w:val="20"/>
                <w:lang w:val="fr-CA"/>
              </w:rPr>
              <w:t>(C.-B.) (Criminelle) (Sur autorisation)</w:t>
            </w:r>
          </w:p>
        </w:tc>
      </w:tr>
      <w:tr w:rsidR="00FB0311" w:rsidRPr="001E30F0" w:rsidTr="00FB0311">
        <w:tc>
          <w:tcPr>
            <w:tcW w:w="5000" w:type="pct"/>
            <w:gridSpan w:val="4"/>
          </w:tcPr>
          <w:p w:rsidR="00FB0311" w:rsidRPr="00776E55" w:rsidRDefault="00FB0311" w:rsidP="00FB0311">
            <w:pPr>
              <w:pStyle w:val="SCCBanSummary"/>
              <w:rPr>
                <w:sz w:val="20"/>
                <w:szCs w:val="20"/>
                <w:lang w:val="fr-CA"/>
              </w:rPr>
            </w:pPr>
            <w:r w:rsidRPr="00776E55">
              <w:rPr>
                <w:sz w:val="20"/>
                <w:szCs w:val="20"/>
                <w:lang w:val="fr-CA"/>
              </w:rPr>
              <w:t>(Ordonnance de mise sous scellés)</w:t>
            </w:r>
          </w:p>
          <w:p w:rsidR="00FB0311" w:rsidRPr="00776E55" w:rsidRDefault="00FB0311" w:rsidP="00FB0311">
            <w:pPr>
              <w:jc w:val="both"/>
              <w:rPr>
                <w:sz w:val="20"/>
                <w:lang w:val="fr-CA"/>
              </w:rPr>
            </w:pPr>
          </w:p>
          <w:p w:rsidR="00FB0311" w:rsidRPr="00776E55" w:rsidRDefault="00FB0311" w:rsidP="00FB0311">
            <w:pPr>
              <w:jc w:val="both"/>
              <w:rPr>
                <w:sz w:val="20"/>
                <w:lang w:val="fr-CA"/>
              </w:rPr>
            </w:pPr>
            <w:r w:rsidRPr="00776E55">
              <w:rPr>
                <w:sz w:val="20"/>
                <w:lang w:val="fr-CA"/>
              </w:rPr>
              <w:t>Droit criminel — Appels — La Cour d’appel a-t-elle fait erreur en rejetant la demande d’autorisation d’appel du demandeur? — La dénégation du droit à un procès équitable rend-elle une décision invalide? — Un plaidoyer de culpabilité malavisé constitue-t-il un moyen d’appel?</w:t>
            </w:r>
          </w:p>
        </w:tc>
      </w:tr>
      <w:tr w:rsidR="00FB0311" w:rsidRPr="001E30F0" w:rsidTr="00FB0311">
        <w:tc>
          <w:tcPr>
            <w:tcW w:w="5000" w:type="pct"/>
            <w:gridSpan w:val="4"/>
          </w:tcPr>
          <w:p w:rsidR="00FB0311" w:rsidRPr="00776E55" w:rsidRDefault="00FB0311" w:rsidP="00FB0311">
            <w:pPr>
              <w:jc w:val="both"/>
              <w:rPr>
                <w:sz w:val="20"/>
                <w:lang w:val="fr-CA"/>
              </w:rPr>
            </w:pPr>
          </w:p>
        </w:tc>
      </w:tr>
      <w:tr w:rsidR="00FB0311" w:rsidRPr="001E30F0" w:rsidTr="00FB0311">
        <w:tc>
          <w:tcPr>
            <w:tcW w:w="5000" w:type="pct"/>
            <w:gridSpan w:val="4"/>
          </w:tcPr>
          <w:p w:rsidR="00FB0311" w:rsidRPr="00776E55" w:rsidRDefault="00FB0311" w:rsidP="00FB0311">
            <w:pPr>
              <w:jc w:val="both"/>
              <w:rPr>
                <w:sz w:val="20"/>
                <w:lang w:val="fr-CA"/>
              </w:rPr>
            </w:pPr>
            <w:r w:rsidRPr="00776E55">
              <w:rPr>
                <w:sz w:val="20"/>
                <w:lang w:val="fr-CA"/>
              </w:rPr>
              <w:t xml:space="preserve">Devant la Cour d’appel de la Colombie-Britannique, M. Klos a demandé l’autorisation d’en appeler du rejet de la requête qu’il avait présentée en vue d’obtenir une prorogation de délai de 22 ans pour interjeter appel d’une déclaration de culpabilité par procédure sommaire. L’appel de sa déclaration de culpabilité reposait en partie sur sa prétention selon laquelle son plaidoyer de culpabilité n’avait pas été un choix éclairé, puisqu’il avait cru que son antécédent judiciaire serait radié trois ans après la déclaration de culpabilité. </w:t>
            </w:r>
          </w:p>
          <w:p w:rsidR="00FB0311" w:rsidRPr="00776E55" w:rsidRDefault="00FB0311" w:rsidP="00FB0311">
            <w:pPr>
              <w:jc w:val="both"/>
              <w:rPr>
                <w:sz w:val="20"/>
                <w:lang w:val="fr-CA"/>
              </w:rPr>
            </w:pPr>
          </w:p>
          <w:p w:rsidR="00FB0311" w:rsidRPr="00776E55" w:rsidRDefault="00FB0311" w:rsidP="00FB0311">
            <w:pPr>
              <w:jc w:val="both"/>
              <w:rPr>
                <w:sz w:val="20"/>
                <w:lang w:val="fr-CA"/>
              </w:rPr>
            </w:pPr>
            <w:r w:rsidRPr="00776E55">
              <w:rPr>
                <w:sz w:val="20"/>
                <w:lang w:val="fr-CA"/>
              </w:rPr>
              <w:t>La demande d’autorisation d’appel a été rejetée.</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29 novembre 2021</w:t>
            </w:r>
          </w:p>
          <w:p w:rsidR="00FB0311" w:rsidRPr="00776E55" w:rsidRDefault="00FB0311" w:rsidP="00FB0311">
            <w:pPr>
              <w:jc w:val="both"/>
              <w:rPr>
                <w:sz w:val="20"/>
                <w:lang w:val="fr-CA"/>
              </w:rPr>
            </w:pPr>
            <w:r w:rsidRPr="00776E55">
              <w:rPr>
                <w:sz w:val="20"/>
                <w:lang w:val="fr-CA"/>
              </w:rPr>
              <w:t>Cour suprême de la Colombie-Britannique</w:t>
            </w:r>
          </w:p>
          <w:p w:rsidR="00FB0311" w:rsidRPr="00776E55" w:rsidRDefault="00FB0311" w:rsidP="00FB0311">
            <w:pPr>
              <w:jc w:val="both"/>
              <w:rPr>
                <w:sz w:val="20"/>
                <w:lang w:val="fr-CA"/>
              </w:rPr>
            </w:pPr>
            <w:r w:rsidRPr="00776E55">
              <w:rPr>
                <w:sz w:val="20"/>
                <w:lang w:val="fr-CA"/>
              </w:rPr>
              <w:t>(Juge Caldwell)</w:t>
            </w:r>
          </w:p>
          <w:p w:rsidR="00FB0311" w:rsidRPr="00776E55" w:rsidRDefault="00FB0311" w:rsidP="00FB0311">
            <w:pPr>
              <w:jc w:val="both"/>
              <w:rPr>
                <w:sz w:val="20"/>
                <w:lang w:val="fr-CA"/>
              </w:rPr>
            </w:pPr>
            <w:r w:rsidRPr="00776E55">
              <w:rPr>
                <w:sz w:val="20"/>
                <w:lang w:val="fr-CA"/>
              </w:rPr>
              <w:t>2021 BCSC 2564; 70978</w:t>
            </w:r>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 xml:space="preserve">Requête en prorogation de délai rejetée. </w:t>
            </w:r>
          </w:p>
          <w:p w:rsidR="00FB0311" w:rsidRPr="00776E55" w:rsidRDefault="00FB0311" w:rsidP="00FB0311">
            <w:pPr>
              <w:jc w:val="both"/>
              <w:rPr>
                <w:sz w:val="20"/>
                <w:lang w:val="fr-CA"/>
              </w:rPr>
            </w:pPr>
          </w:p>
        </w:tc>
      </w:tr>
      <w:tr w:rsidR="00FB0311" w:rsidRPr="00776E55" w:rsidTr="00FB0311">
        <w:tc>
          <w:tcPr>
            <w:tcW w:w="2427" w:type="pct"/>
            <w:gridSpan w:val="2"/>
          </w:tcPr>
          <w:p w:rsidR="00FB0311" w:rsidRPr="00776E55" w:rsidRDefault="00FB0311" w:rsidP="00FB0311">
            <w:pPr>
              <w:jc w:val="both"/>
              <w:rPr>
                <w:sz w:val="20"/>
                <w:lang w:val="fr-CA"/>
              </w:rPr>
            </w:pPr>
            <w:r w:rsidRPr="00776E55">
              <w:rPr>
                <w:sz w:val="20"/>
                <w:lang w:val="fr-CA"/>
              </w:rPr>
              <w:t>28 octobre 2022</w:t>
            </w:r>
          </w:p>
          <w:p w:rsidR="00FB0311" w:rsidRPr="00776E55" w:rsidRDefault="00FB0311" w:rsidP="00FB0311">
            <w:pPr>
              <w:jc w:val="both"/>
              <w:rPr>
                <w:sz w:val="20"/>
                <w:lang w:val="fr-CA"/>
              </w:rPr>
            </w:pPr>
            <w:r w:rsidRPr="00776E55">
              <w:rPr>
                <w:sz w:val="20"/>
                <w:lang w:val="fr-CA"/>
              </w:rPr>
              <w:t>Cour d’appel de la Colombie-Britannique</w:t>
            </w:r>
          </w:p>
          <w:p w:rsidR="00FB0311" w:rsidRPr="00776E55" w:rsidRDefault="00FB0311" w:rsidP="00FB0311">
            <w:pPr>
              <w:jc w:val="both"/>
              <w:rPr>
                <w:sz w:val="20"/>
                <w:lang w:val="fr-CA"/>
              </w:rPr>
            </w:pPr>
            <w:r w:rsidRPr="00776E55">
              <w:rPr>
                <w:sz w:val="20"/>
                <w:lang w:val="fr-CA"/>
              </w:rPr>
              <w:t>(Vancouver)</w:t>
            </w:r>
          </w:p>
          <w:p w:rsidR="00FB0311" w:rsidRPr="00776E55" w:rsidRDefault="00FB0311" w:rsidP="00FB0311">
            <w:pPr>
              <w:jc w:val="both"/>
              <w:rPr>
                <w:sz w:val="20"/>
                <w:lang w:val="fr-CA"/>
              </w:rPr>
            </w:pPr>
            <w:r w:rsidRPr="00776E55">
              <w:rPr>
                <w:sz w:val="20"/>
                <w:lang w:val="fr-CA"/>
              </w:rPr>
              <w:t>(Juge Abrioux)</w:t>
            </w:r>
          </w:p>
          <w:p w:rsidR="00FB0311" w:rsidRPr="00776E55" w:rsidRDefault="001E30F0" w:rsidP="00FB0311">
            <w:pPr>
              <w:jc w:val="both"/>
              <w:rPr>
                <w:sz w:val="20"/>
                <w:lang w:val="fr-CA"/>
              </w:rPr>
            </w:pPr>
            <w:hyperlink r:id="rId62" w:history="1">
              <w:r w:rsidR="00FB0311" w:rsidRPr="00776E55">
                <w:rPr>
                  <w:rStyle w:val="Hyperlink"/>
                  <w:sz w:val="20"/>
                  <w:lang w:val="fr-CA"/>
                </w:rPr>
                <w:t>2022 BCCA 361</w:t>
              </w:r>
            </w:hyperlink>
            <w:r w:rsidR="00FB0311" w:rsidRPr="00776E55">
              <w:rPr>
                <w:sz w:val="20"/>
                <w:lang w:val="fr-CA"/>
              </w:rPr>
              <w:t>; CA47983</w:t>
            </w:r>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 xml:space="preserve">Demande d’autorisation d’appel rejetée. </w:t>
            </w:r>
          </w:p>
          <w:p w:rsidR="00FB0311" w:rsidRPr="00776E55" w:rsidRDefault="00FB0311" w:rsidP="00FB0311">
            <w:pPr>
              <w:jc w:val="both"/>
              <w:rPr>
                <w:sz w:val="20"/>
                <w:lang w:val="fr-CA"/>
              </w:rPr>
            </w:pPr>
          </w:p>
        </w:tc>
      </w:tr>
      <w:tr w:rsidR="00FB0311" w:rsidRPr="00776E55" w:rsidTr="00FB0311">
        <w:tc>
          <w:tcPr>
            <w:tcW w:w="2427" w:type="pct"/>
            <w:gridSpan w:val="2"/>
          </w:tcPr>
          <w:p w:rsidR="00FB0311" w:rsidRPr="00776E55" w:rsidRDefault="00FB0311" w:rsidP="00FB0311">
            <w:pPr>
              <w:jc w:val="both"/>
              <w:rPr>
                <w:sz w:val="20"/>
                <w:lang w:val="fr-CA"/>
              </w:rPr>
            </w:pPr>
            <w:r w:rsidRPr="00776E55">
              <w:rPr>
                <w:sz w:val="20"/>
                <w:lang w:val="fr-CA"/>
              </w:rPr>
              <w:t>10 novembre 2022</w:t>
            </w:r>
          </w:p>
          <w:p w:rsidR="00FB0311" w:rsidRPr="00776E55" w:rsidRDefault="00FB0311" w:rsidP="00FB0311">
            <w:pPr>
              <w:jc w:val="both"/>
              <w:rPr>
                <w:sz w:val="20"/>
                <w:lang w:val="fr-CA"/>
              </w:rPr>
            </w:pPr>
            <w:r w:rsidRPr="00776E55">
              <w:rPr>
                <w:sz w:val="20"/>
                <w:lang w:val="fr-CA"/>
              </w:rPr>
              <w:t>Cour suprême du Canada</w:t>
            </w: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 xml:space="preserve">Demande d’autorisation d’appel déposée. </w:t>
            </w:r>
          </w:p>
          <w:p w:rsidR="00FB0311" w:rsidRPr="00776E55" w:rsidRDefault="00FB0311" w:rsidP="00FB0311">
            <w:pPr>
              <w:jc w:val="both"/>
              <w:rPr>
                <w:sz w:val="20"/>
                <w:lang w:val="fr-CA"/>
              </w:rPr>
            </w:pPr>
          </w:p>
        </w:tc>
      </w:tr>
    </w:tbl>
    <w:p w:rsidR="00FB0311" w:rsidRPr="00776E55" w:rsidRDefault="00FB0311" w:rsidP="00FB0311">
      <w:pPr>
        <w:jc w:val="both"/>
        <w:rPr>
          <w:sz w:val="20"/>
          <w:lang w:val="fr-CA"/>
        </w:rPr>
      </w:pPr>
    </w:p>
    <w:p w:rsidR="00B11469" w:rsidRPr="00776E55" w:rsidRDefault="001E30F0" w:rsidP="00FB0311">
      <w:pPr>
        <w:jc w:val="both"/>
        <w:rPr>
          <w:sz w:val="20"/>
          <w:lang w:val="fr-CA"/>
        </w:rPr>
      </w:pPr>
      <w:r>
        <w:rPr>
          <w:sz w:val="20"/>
        </w:rPr>
        <w:pict>
          <v:rect id="_x0000_i1048" style="width:2in;height:1pt" o:hrpct="0" o:hralign="center" o:hrstd="t" o:hrnoshade="t" o:hr="t" fillcolor="black [3213]" stroked="f"/>
        </w:pict>
      </w:r>
    </w:p>
    <w:p w:rsidR="00B11469" w:rsidRPr="00776E55" w:rsidRDefault="00B11469" w:rsidP="00FB03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lang w:val="en-CA"/>
              </w:rPr>
            </w:pPr>
            <w:r w:rsidRPr="00776E55">
              <w:rPr>
                <w:rStyle w:val="SCCFileNumberChar"/>
                <w:sz w:val="20"/>
                <w:szCs w:val="20"/>
              </w:rPr>
              <w:t>40336</w:t>
            </w:r>
          </w:p>
        </w:tc>
        <w:tc>
          <w:tcPr>
            <w:tcW w:w="4457" w:type="pct"/>
            <w:gridSpan w:val="3"/>
          </w:tcPr>
          <w:p w:rsidR="00FB0311" w:rsidRPr="00776E55" w:rsidRDefault="00FB0311" w:rsidP="00FB0311">
            <w:pPr>
              <w:pStyle w:val="SCCLsocParty"/>
              <w:jc w:val="both"/>
              <w:rPr>
                <w:b/>
                <w:sz w:val="20"/>
                <w:szCs w:val="20"/>
              </w:rPr>
            </w:pPr>
            <w:r w:rsidRPr="00776E55">
              <w:rPr>
                <w:b/>
                <w:sz w:val="20"/>
                <w:szCs w:val="20"/>
              </w:rPr>
              <w:t>Charles Robitaille v. Ville de Sorel-Tracy</w:t>
            </w:r>
          </w:p>
          <w:p w:rsidR="00FB0311" w:rsidRPr="00776E55" w:rsidRDefault="00FB0311" w:rsidP="00FB0311">
            <w:pPr>
              <w:pStyle w:val="SCCLsocOtherPartySeparator"/>
              <w:rPr>
                <w:sz w:val="20"/>
                <w:szCs w:val="20"/>
                <w:lang w:val="en-CA"/>
              </w:rPr>
            </w:pPr>
            <w:r w:rsidRPr="00776E55">
              <w:rPr>
                <w:sz w:val="20"/>
                <w:szCs w:val="20"/>
                <w:lang w:val="en-CA"/>
              </w:rPr>
              <w:t>- and -</w:t>
            </w:r>
          </w:p>
          <w:p w:rsidR="00FB0311" w:rsidRPr="00776E55" w:rsidRDefault="00FB0311" w:rsidP="00FB0311">
            <w:pPr>
              <w:pStyle w:val="SCCLsocParty"/>
              <w:jc w:val="both"/>
              <w:rPr>
                <w:b/>
                <w:sz w:val="20"/>
                <w:szCs w:val="20"/>
                <w:lang w:val="en-CA"/>
              </w:rPr>
            </w:pPr>
            <w:r w:rsidRPr="00776E55">
              <w:rPr>
                <w:b/>
                <w:sz w:val="20"/>
                <w:szCs w:val="20"/>
                <w:lang w:val="en-CA"/>
              </w:rPr>
              <w:t>Registrar of the Richelieu Registration Division</w:t>
            </w:r>
          </w:p>
          <w:p w:rsidR="00FB0311" w:rsidRPr="00776E55" w:rsidRDefault="00B11469" w:rsidP="00FB0311">
            <w:pPr>
              <w:jc w:val="both"/>
              <w:rPr>
                <w:sz w:val="20"/>
                <w:lang w:val="en-CA"/>
              </w:rPr>
            </w:pPr>
            <w:r w:rsidRPr="00776E55">
              <w:rPr>
                <w:sz w:val="20"/>
                <w:lang w:val="en-CA"/>
              </w:rPr>
              <w:t>(Que.) (Civil) (By Leave)</w:t>
            </w:r>
          </w:p>
        </w:tc>
      </w:tr>
      <w:tr w:rsidR="00FB0311" w:rsidRPr="00776E55" w:rsidTr="00FB0311">
        <w:tc>
          <w:tcPr>
            <w:tcW w:w="5000" w:type="pct"/>
            <w:gridSpan w:val="4"/>
          </w:tcPr>
          <w:p w:rsidR="00FB0311" w:rsidRPr="00776E55" w:rsidRDefault="00FB0311" w:rsidP="00FB0311">
            <w:pPr>
              <w:jc w:val="both"/>
              <w:rPr>
                <w:sz w:val="20"/>
                <w:lang w:val="en-CA"/>
              </w:rPr>
            </w:pPr>
            <w:r w:rsidRPr="00776E55">
              <w:rPr>
                <w:sz w:val="20"/>
                <w:lang w:val="en-CA"/>
              </w:rPr>
              <w:t>Municipal law ⸺ Zoning by-law ⸺ Disguised expropriation ⸺ Indemnity ⸺ Whether knowledge of prohibitive zoning at time of purchasing immovable precludes action for payment of indemnity for disguised expropriation.</w:t>
            </w:r>
          </w:p>
        </w:tc>
      </w:tr>
      <w:tr w:rsidR="00FB0311" w:rsidRPr="00776E55" w:rsidTr="00FB0311">
        <w:tc>
          <w:tcPr>
            <w:tcW w:w="5000" w:type="pct"/>
            <w:gridSpan w:val="4"/>
          </w:tcPr>
          <w:p w:rsidR="00FB0311" w:rsidRPr="00776E55" w:rsidRDefault="00FB0311" w:rsidP="00FB0311">
            <w:pPr>
              <w:jc w:val="both"/>
              <w:rPr>
                <w:sz w:val="20"/>
                <w:lang w:val="en-CA"/>
              </w:rPr>
            </w:pPr>
          </w:p>
        </w:tc>
      </w:tr>
      <w:tr w:rsidR="00FB0311" w:rsidRPr="00776E55" w:rsidTr="00FB0311">
        <w:tc>
          <w:tcPr>
            <w:tcW w:w="5000" w:type="pct"/>
            <w:gridSpan w:val="4"/>
          </w:tcPr>
          <w:p w:rsidR="00FB0311" w:rsidRPr="00776E55" w:rsidRDefault="00FB0311" w:rsidP="00FB0311">
            <w:pPr>
              <w:jc w:val="both"/>
              <w:rPr>
                <w:sz w:val="20"/>
                <w:lang w:val="en-CA"/>
              </w:rPr>
            </w:pPr>
            <w:r w:rsidRPr="00776E55">
              <w:rPr>
                <w:sz w:val="20"/>
                <w:lang w:val="en-CA"/>
              </w:rPr>
              <w:t xml:space="preserve">The applicant, Charles Robitaille, brought legal proceedings against the respondent, Ville de Sorel-Tracy, in the Quebec Superior Court. He argued that an immovable he had purchased from the respondent through a sale for non-payment of taxes </w:t>
            </w:r>
            <w:proofErr w:type="gramStart"/>
            <w:r w:rsidRPr="00776E55">
              <w:rPr>
                <w:sz w:val="20"/>
                <w:lang w:val="en-CA"/>
              </w:rPr>
              <w:t>had been expropriated</w:t>
            </w:r>
            <w:proofErr w:type="gramEnd"/>
            <w:r w:rsidRPr="00776E55">
              <w:rPr>
                <w:sz w:val="20"/>
                <w:lang w:val="en-CA"/>
              </w:rPr>
              <w:t xml:space="preserve"> in a disguised manner, and he claimed an indemnity from the respondent. Considering the application to be unfounded in law, the respondent sought the dismissal of the originating application. The trial judge granted the respondent’s motion and dismissed the applicant’s application. The Quebec Court of Appeal dismissed the applicant’s appeal. </w:t>
            </w:r>
          </w:p>
          <w:p w:rsidR="00FB0311" w:rsidRPr="00776E55" w:rsidRDefault="00FB0311" w:rsidP="00FB0311">
            <w:pPr>
              <w:jc w:val="both"/>
              <w:rPr>
                <w:sz w:val="20"/>
                <w:lang w:val="en-CA"/>
              </w:rPr>
            </w:pPr>
          </w:p>
        </w:tc>
      </w:tr>
      <w:tr w:rsidR="00FB0311" w:rsidRPr="00776E55" w:rsidTr="00FB0311">
        <w:tc>
          <w:tcPr>
            <w:tcW w:w="2427" w:type="pct"/>
            <w:gridSpan w:val="2"/>
          </w:tcPr>
          <w:p w:rsidR="00FB0311" w:rsidRPr="00776E55" w:rsidRDefault="00FB0311" w:rsidP="00FB0311">
            <w:pPr>
              <w:jc w:val="both"/>
              <w:rPr>
                <w:sz w:val="20"/>
                <w:lang w:val="en-CA"/>
              </w:rPr>
            </w:pPr>
            <w:r w:rsidRPr="00776E55">
              <w:rPr>
                <w:sz w:val="20"/>
                <w:lang w:val="en-CA"/>
              </w:rPr>
              <w:t>August 16, 2021</w:t>
            </w:r>
          </w:p>
          <w:p w:rsidR="00FB0311" w:rsidRPr="00776E55" w:rsidRDefault="00FB0311" w:rsidP="00FB0311">
            <w:pPr>
              <w:jc w:val="both"/>
              <w:rPr>
                <w:sz w:val="20"/>
                <w:lang w:val="en-CA"/>
              </w:rPr>
            </w:pPr>
            <w:r w:rsidRPr="00776E55">
              <w:rPr>
                <w:sz w:val="20"/>
                <w:lang w:val="en-CA"/>
              </w:rPr>
              <w:t>Quebec Superior Court</w:t>
            </w:r>
          </w:p>
          <w:p w:rsidR="00FB0311" w:rsidRPr="00776E55" w:rsidRDefault="00FB0311" w:rsidP="00FB0311">
            <w:pPr>
              <w:jc w:val="both"/>
              <w:rPr>
                <w:sz w:val="20"/>
                <w:lang w:val="en-CA"/>
              </w:rPr>
            </w:pPr>
            <w:r w:rsidRPr="00776E55">
              <w:rPr>
                <w:sz w:val="20"/>
                <w:lang w:val="en-CA"/>
              </w:rPr>
              <w:t>(Vaillancourt J.)</w:t>
            </w:r>
          </w:p>
          <w:p w:rsidR="00FB0311" w:rsidRPr="00776E55" w:rsidRDefault="001E30F0" w:rsidP="00FB0311">
            <w:pPr>
              <w:jc w:val="both"/>
              <w:rPr>
                <w:sz w:val="20"/>
                <w:lang w:val="en-CA"/>
              </w:rPr>
            </w:pPr>
            <w:hyperlink r:id="rId63" w:history="1">
              <w:r w:rsidR="00FB0311" w:rsidRPr="00776E55">
                <w:rPr>
                  <w:rStyle w:val="Hyperlink"/>
                  <w:sz w:val="20"/>
                  <w:lang w:val="en-CA"/>
                </w:rPr>
                <w:t>2021 QCCS 3413</w:t>
              </w:r>
            </w:hyperlink>
          </w:p>
          <w:p w:rsidR="00FB0311" w:rsidRPr="00776E55" w:rsidRDefault="00FB0311" w:rsidP="00FB0311">
            <w:pPr>
              <w:jc w:val="both"/>
              <w:rPr>
                <w:sz w:val="20"/>
                <w:lang w:val="en-CA"/>
              </w:rPr>
            </w:pPr>
          </w:p>
        </w:tc>
        <w:tc>
          <w:tcPr>
            <w:tcW w:w="243" w:type="pct"/>
          </w:tcPr>
          <w:p w:rsidR="00FB0311" w:rsidRPr="00776E55" w:rsidRDefault="00FB0311" w:rsidP="00FB0311">
            <w:pPr>
              <w:jc w:val="both"/>
              <w:rPr>
                <w:sz w:val="20"/>
                <w:lang w:val="en-CA"/>
              </w:rPr>
            </w:pPr>
          </w:p>
        </w:tc>
        <w:tc>
          <w:tcPr>
            <w:tcW w:w="2330" w:type="pct"/>
          </w:tcPr>
          <w:p w:rsidR="00FB0311" w:rsidRPr="00776E55" w:rsidRDefault="00FB0311" w:rsidP="00FB0311">
            <w:pPr>
              <w:jc w:val="both"/>
              <w:rPr>
                <w:sz w:val="20"/>
                <w:lang w:val="en-CA"/>
              </w:rPr>
            </w:pPr>
            <w:r w:rsidRPr="00776E55">
              <w:rPr>
                <w:sz w:val="20"/>
                <w:lang w:val="en-CA"/>
              </w:rPr>
              <w:t>Respondent’s motion to dismiss granted; applicant’s amended originating application dismissed</w:t>
            </w:r>
          </w:p>
          <w:p w:rsidR="00FB0311" w:rsidRPr="00776E55" w:rsidRDefault="00FB0311" w:rsidP="00FB0311">
            <w:pPr>
              <w:jc w:val="both"/>
              <w:rPr>
                <w:sz w:val="20"/>
                <w:lang w:val="en-CA"/>
              </w:rPr>
            </w:pPr>
          </w:p>
        </w:tc>
      </w:tr>
      <w:tr w:rsidR="00FB0311" w:rsidRPr="00776E55" w:rsidTr="00FB0311">
        <w:tc>
          <w:tcPr>
            <w:tcW w:w="2427" w:type="pct"/>
            <w:gridSpan w:val="2"/>
          </w:tcPr>
          <w:p w:rsidR="00FB0311" w:rsidRPr="00776E55" w:rsidRDefault="00FB0311" w:rsidP="00FB0311">
            <w:pPr>
              <w:jc w:val="both"/>
              <w:rPr>
                <w:sz w:val="20"/>
                <w:lang w:val="en-CA"/>
              </w:rPr>
            </w:pPr>
            <w:r w:rsidRPr="00776E55">
              <w:rPr>
                <w:sz w:val="20"/>
                <w:lang w:val="en-CA"/>
              </w:rPr>
              <w:t>June 2, 2022</w:t>
            </w:r>
          </w:p>
          <w:p w:rsidR="00FB0311" w:rsidRPr="00776E55" w:rsidRDefault="00FB0311" w:rsidP="00FB0311">
            <w:pPr>
              <w:jc w:val="both"/>
              <w:rPr>
                <w:sz w:val="20"/>
                <w:lang w:val="en-CA"/>
              </w:rPr>
            </w:pPr>
            <w:r w:rsidRPr="00776E55">
              <w:rPr>
                <w:sz w:val="20"/>
                <w:lang w:val="en-CA"/>
              </w:rPr>
              <w:t>Quebec Court of Appeal (Montréal)</w:t>
            </w:r>
          </w:p>
          <w:p w:rsidR="00FB0311" w:rsidRPr="00776E55" w:rsidRDefault="00FB0311" w:rsidP="00FB0311">
            <w:pPr>
              <w:jc w:val="both"/>
              <w:rPr>
                <w:sz w:val="20"/>
                <w:lang w:val="en-CA"/>
              </w:rPr>
            </w:pPr>
            <w:r w:rsidRPr="00776E55">
              <w:rPr>
                <w:sz w:val="20"/>
                <w:lang w:val="en-CA"/>
              </w:rPr>
              <w:t>(Marcotte, Hogue and Hamilton JJ.A.)</w:t>
            </w:r>
          </w:p>
          <w:p w:rsidR="00FB0311" w:rsidRPr="00776E55" w:rsidRDefault="001E30F0" w:rsidP="00FB0311">
            <w:pPr>
              <w:jc w:val="both"/>
              <w:rPr>
                <w:sz w:val="20"/>
                <w:lang w:val="en-CA"/>
              </w:rPr>
            </w:pPr>
            <w:hyperlink r:id="rId64" w:history="1">
              <w:r w:rsidR="00FB0311" w:rsidRPr="00776E55">
                <w:rPr>
                  <w:rStyle w:val="Hyperlink"/>
                  <w:sz w:val="20"/>
                  <w:lang w:val="en-CA"/>
                </w:rPr>
                <w:t>2022 QCCA 773</w:t>
              </w:r>
            </w:hyperlink>
          </w:p>
          <w:p w:rsidR="00FB0311" w:rsidRPr="00776E55" w:rsidRDefault="00FB0311" w:rsidP="00FB0311">
            <w:pPr>
              <w:jc w:val="both"/>
              <w:rPr>
                <w:sz w:val="20"/>
                <w:lang w:val="en-CA"/>
              </w:rPr>
            </w:pPr>
          </w:p>
        </w:tc>
        <w:tc>
          <w:tcPr>
            <w:tcW w:w="243" w:type="pct"/>
          </w:tcPr>
          <w:p w:rsidR="00FB0311" w:rsidRPr="00776E55" w:rsidRDefault="00FB0311" w:rsidP="00FB0311">
            <w:pPr>
              <w:jc w:val="both"/>
              <w:rPr>
                <w:sz w:val="20"/>
                <w:lang w:val="en-CA"/>
              </w:rPr>
            </w:pPr>
          </w:p>
        </w:tc>
        <w:tc>
          <w:tcPr>
            <w:tcW w:w="2330" w:type="pct"/>
          </w:tcPr>
          <w:p w:rsidR="00FB0311" w:rsidRPr="00776E55" w:rsidRDefault="00FB0311" w:rsidP="00FB0311">
            <w:pPr>
              <w:jc w:val="both"/>
              <w:rPr>
                <w:sz w:val="20"/>
                <w:lang w:val="en-CA"/>
              </w:rPr>
            </w:pPr>
            <w:r w:rsidRPr="00776E55">
              <w:rPr>
                <w:sz w:val="20"/>
                <w:lang w:val="en-CA"/>
              </w:rPr>
              <w:t>Appeal dismissed</w:t>
            </w:r>
          </w:p>
          <w:p w:rsidR="00FB0311" w:rsidRPr="00776E55" w:rsidRDefault="00FB0311" w:rsidP="00FB0311">
            <w:pPr>
              <w:jc w:val="both"/>
              <w:rPr>
                <w:sz w:val="20"/>
                <w:lang w:val="en-CA"/>
              </w:rPr>
            </w:pPr>
          </w:p>
        </w:tc>
      </w:tr>
      <w:tr w:rsidR="00FB0311" w:rsidRPr="00776E55" w:rsidTr="00FB0311">
        <w:tc>
          <w:tcPr>
            <w:tcW w:w="2427" w:type="pct"/>
            <w:gridSpan w:val="2"/>
          </w:tcPr>
          <w:p w:rsidR="00FB0311" w:rsidRPr="00776E55" w:rsidRDefault="00FB0311" w:rsidP="00FB0311">
            <w:pPr>
              <w:jc w:val="both"/>
              <w:rPr>
                <w:sz w:val="20"/>
                <w:lang w:val="en-CA"/>
              </w:rPr>
            </w:pPr>
            <w:r w:rsidRPr="00776E55">
              <w:rPr>
                <w:sz w:val="20"/>
                <w:lang w:val="en-CA"/>
              </w:rPr>
              <w:t>September 1, 2022</w:t>
            </w:r>
          </w:p>
          <w:p w:rsidR="00FB0311" w:rsidRPr="00776E55" w:rsidRDefault="00FB0311" w:rsidP="00B11469">
            <w:pPr>
              <w:jc w:val="both"/>
              <w:rPr>
                <w:sz w:val="20"/>
                <w:lang w:val="en-CA"/>
              </w:rPr>
            </w:pPr>
            <w:r w:rsidRPr="00776E55">
              <w:rPr>
                <w:sz w:val="20"/>
                <w:lang w:val="en-CA"/>
              </w:rPr>
              <w:t>Supreme Court of Canada</w:t>
            </w:r>
          </w:p>
        </w:tc>
        <w:tc>
          <w:tcPr>
            <w:tcW w:w="243" w:type="pct"/>
          </w:tcPr>
          <w:p w:rsidR="00FB0311" w:rsidRPr="00776E55" w:rsidRDefault="00FB0311" w:rsidP="00FB0311">
            <w:pPr>
              <w:jc w:val="both"/>
              <w:rPr>
                <w:sz w:val="20"/>
                <w:lang w:val="en-CA"/>
              </w:rPr>
            </w:pPr>
          </w:p>
        </w:tc>
        <w:tc>
          <w:tcPr>
            <w:tcW w:w="2330" w:type="pct"/>
          </w:tcPr>
          <w:p w:rsidR="00FB0311" w:rsidRPr="00776E55" w:rsidRDefault="00FB0311" w:rsidP="00FB0311">
            <w:pPr>
              <w:jc w:val="both"/>
              <w:rPr>
                <w:sz w:val="20"/>
                <w:lang w:val="en-CA"/>
              </w:rPr>
            </w:pPr>
            <w:r w:rsidRPr="00776E55">
              <w:rPr>
                <w:sz w:val="20"/>
                <w:lang w:val="en-CA"/>
              </w:rPr>
              <w:t>Application for leave to appeal filed</w:t>
            </w:r>
          </w:p>
          <w:p w:rsidR="00FB0311" w:rsidRPr="00776E55" w:rsidRDefault="00FB0311" w:rsidP="00FB0311">
            <w:pPr>
              <w:jc w:val="both"/>
              <w:rPr>
                <w:sz w:val="20"/>
                <w:lang w:val="en-CA"/>
              </w:rPr>
            </w:pPr>
          </w:p>
        </w:tc>
      </w:tr>
    </w:tbl>
    <w:p w:rsidR="00FB0311" w:rsidRPr="00776E55" w:rsidRDefault="00FB0311" w:rsidP="00FB0311">
      <w:pPr>
        <w:jc w:val="both"/>
        <w:rPr>
          <w:sz w:val="20"/>
          <w:lang w:val="en-CA"/>
        </w:rPr>
      </w:pPr>
    </w:p>
    <w:p w:rsidR="00B11469" w:rsidRPr="00776E55" w:rsidRDefault="001E30F0" w:rsidP="00FB0311">
      <w:pPr>
        <w:jc w:val="both"/>
        <w:rPr>
          <w:sz w:val="20"/>
          <w:lang w:val="en-CA"/>
        </w:rPr>
      </w:pPr>
      <w:r>
        <w:rPr>
          <w:sz w:val="20"/>
        </w:rPr>
        <w:pict>
          <v:rect id="_x0000_i1049" style="width:2in;height:1pt" o:hrpct="0" o:hralign="center" o:hrstd="t" o:hrnoshade="t" o:hr="t" fillcolor="black [3213]" stroked="f"/>
        </w:pict>
      </w:r>
    </w:p>
    <w:p w:rsidR="00B11469" w:rsidRPr="00776E55" w:rsidRDefault="00B11469" w:rsidP="00FB031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rPr>
            </w:pPr>
            <w:r w:rsidRPr="00776E55">
              <w:rPr>
                <w:rStyle w:val="SCCFileNumberChar"/>
                <w:sz w:val="20"/>
                <w:szCs w:val="20"/>
              </w:rPr>
              <w:t>40336</w:t>
            </w:r>
          </w:p>
        </w:tc>
        <w:tc>
          <w:tcPr>
            <w:tcW w:w="4457" w:type="pct"/>
            <w:gridSpan w:val="3"/>
          </w:tcPr>
          <w:p w:rsidR="00FB0311" w:rsidRPr="00776E55" w:rsidRDefault="00FB0311" w:rsidP="00FB0311">
            <w:pPr>
              <w:pStyle w:val="SCCLsocParty"/>
              <w:jc w:val="both"/>
              <w:rPr>
                <w:b/>
                <w:sz w:val="20"/>
                <w:szCs w:val="20"/>
              </w:rPr>
            </w:pPr>
            <w:r w:rsidRPr="00776E55">
              <w:rPr>
                <w:b/>
                <w:sz w:val="20"/>
                <w:szCs w:val="20"/>
              </w:rPr>
              <w:t>Charles Robitaille c. Ville de Sorel-Tracy</w:t>
            </w:r>
          </w:p>
          <w:p w:rsidR="00FB0311" w:rsidRPr="00776E55" w:rsidRDefault="00FB0311" w:rsidP="00FB0311">
            <w:pPr>
              <w:pStyle w:val="SCCLsocOtherPartySeparator"/>
              <w:rPr>
                <w:sz w:val="20"/>
                <w:szCs w:val="20"/>
              </w:rPr>
            </w:pPr>
            <w:r w:rsidRPr="00776E55">
              <w:rPr>
                <w:sz w:val="20"/>
                <w:szCs w:val="20"/>
              </w:rPr>
              <w:t>- et -</w:t>
            </w:r>
          </w:p>
          <w:p w:rsidR="00FB0311" w:rsidRPr="00776E55" w:rsidRDefault="00FB0311" w:rsidP="00FB0311">
            <w:pPr>
              <w:pStyle w:val="SCCLsocParty"/>
              <w:jc w:val="both"/>
              <w:rPr>
                <w:b/>
                <w:sz w:val="20"/>
                <w:szCs w:val="20"/>
              </w:rPr>
            </w:pPr>
            <w:r w:rsidRPr="00776E55">
              <w:rPr>
                <w:b/>
                <w:sz w:val="20"/>
                <w:szCs w:val="20"/>
              </w:rPr>
              <w:t>Officier de la publicité des droits de la circonscription foncière de Richelieu</w:t>
            </w:r>
          </w:p>
          <w:p w:rsidR="00FB0311" w:rsidRPr="00776E55" w:rsidRDefault="00FB0311" w:rsidP="00FB0311">
            <w:pPr>
              <w:jc w:val="both"/>
              <w:rPr>
                <w:sz w:val="20"/>
              </w:rPr>
            </w:pPr>
            <w:r w:rsidRPr="00776E55">
              <w:rPr>
                <w:sz w:val="20"/>
              </w:rPr>
              <w:t>(Qc) (Civile) (Autoris</w:t>
            </w:r>
            <w:r w:rsidR="00B11469" w:rsidRPr="00776E55">
              <w:rPr>
                <w:sz w:val="20"/>
              </w:rPr>
              <w:t>ation)</w:t>
            </w:r>
          </w:p>
        </w:tc>
      </w:tr>
      <w:tr w:rsidR="00FB0311" w:rsidRPr="001E30F0" w:rsidTr="00FB0311">
        <w:tc>
          <w:tcPr>
            <w:tcW w:w="5000" w:type="pct"/>
            <w:gridSpan w:val="4"/>
          </w:tcPr>
          <w:p w:rsidR="00FB0311" w:rsidRPr="00776E55" w:rsidRDefault="00FB0311" w:rsidP="00FB0311">
            <w:pPr>
              <w:jc w:val="both"/>
              <w:rPr>
                <w:sz w:val="20"/>
                <w:lang w:val="fr-CA"/>
              </w:rPr>
            </w:pPr>
            <w:r w:rsidRPr="00776E55">
              <w:rPr>
                <w:sz w:val="20"/>
                <w:lang w:val="fr-CA"/>
              </w:rPr>
              <w:t xml:space="preserve">Droit municipal </w:t>
            </w:r>
            <w:r w:rsidRPr="00776E55">
              <w:rPr>
                <w:sz w:val="20"/>
              </w:rPr>
              <w:t>⸺</w:t>
            </w:r>
            <w:r w:rsidRPr="00776E55">
              <w:rPr>
                <w:sz w:val="20"/>
                <w:lang w:val="fr-CA"/>
              </w:rPr>
              <w:t xml:space="preserve"> Règlement de zonage </w:t>
            </w:r>
            <w:r w:rsidRPr="00776E55">
              <w:rPr>
                <w:sz w:val="20"/>
              </w:rPr>
              <w:t>⸺</w:t>
            </w:r>
            <w:r w:rsidRPr="00776E55">
              <w:rPr>
                <w:sz w:val="20"/>
                <w:lang w:val="fr-CA"/>
              </w:rPr>
              <w:t xml:space="preserve"> Expropriation déguisée </w:t>
            </w:r>
            <w:r w:rsidRPr="00776E55">
              <w:rPr>
                <w:sz w:val="20"/>
              </w:rPr>
              <w:t>⸺</w:t>
            </w:r>
            <w:r w:rsidRPr="00776E55">
              <w:rPr>
                <w:sz w:val="20"/>
                <w:lang w:val="fr-CA"/>
              </w:rPr>
              <w:t xml:space="preserve"> Indemnité </w:t>
            </w:r>
            <w:r w:rsidRPr="00776E55">
              <w:rPr>
                <w:sz w:val="20"/>
              </w:rPr>
              <w:t>⸺</w:t>
            </w:r>
            <w:r w:rsidRPr="00776E55">
              <w:rPr>
                <w:sz w:val="20"/>
                <w:lang w:val="fr-CA"/>
              </w:rPr>
              <w:t xml:space="preserve"> La connaissance d’un zonage prohibitif lors de l’acquisition d’un immeuble fait-elle échec au recours en paiement d’une indemnité pour expropriation déguisée?</w:t>
            </w:r>
          </w:p>
        </w:tc>
      </w:tr>
      <w:tr w:rsidR="00FB0311" w:rsidRPr="001E30F0" w:rsidTr="00FB0311">
        <w:tc>
          <w:tcPr>
            <w:tcW w:w="5000" w:type="pct"/>
            <w:gridSpan w:val="4"/>
          </w:tcPr>
          <w:p w:rsidR="00FB0311" w:rsidRPr="00776E55" w:rsidRDefault="00FB0311" w:rsidP="00FB0311">
            <w:pPr>
              <w:jc w:val="both"/>
              <w:rPr>
                <w:sz w:val="20"/>
                <w:lang w:val="fr-CA"/>
              </w:rPr>
            </w:pPr>
          </w:p>
        </w:tc>
      </w:tr>
      <w:tr w:rsidR="00FB0311" w:rsidRPr="00776E55" w:rsidTr="00FB0311">
        <w:tc>
          <w:tcPr>
            <w:tcW w:w="5000" w:type="pct"/>
            <w:gridSpan w:val="4"/>
          </w:tcPr>
          <w:p w:rsidR="00FB0311" w:rsidRPr="00776E55" w:rsidRDefault="00FB0311" w:rsidP="00FB0311">
            <w:pPr>
              <w:jc w:val="both"/>
              <w:rPr>
                <w:sz w:val="20"/>
              </w:rPr>
            </w:pPr>
            <w:r w:rsidRPr="00776E55">
              <w:rPr>
                <w:sz w:val="20"/>
                <w:lang w:val="fr-CA"/>
              </w:rPr>
              <w:t xml:space="preserve">Le demandeur, Charles Robitaille, intente des procédures judiciaires contre l’intimée, la Ville de Sorel-Tracy, devant la Cour supérieure du Québec. Il soutient qu’un immeuble qu’il avait acheté de l’intimée lors d’une vente de non-paiement de taxes fait l’objet d’une expropriation déguisée et il réclame une indemnité de cette dernière. Estimant que la demande n’est pas fondée en droit, l’intimée oppose l’irrecevabilité de la demande introductive d’instance. Le juge de première instance accueille la requête de l’intimée et rejette la demande du demandeur. </w:t>
            </w:r>
            <w:r w:rsidRPr="00776E55">
              <w:rPr>
                <w:sz w:val="20"/>
              </w:rPr>
              <w:t xml:space="preserve">La Cour d’appel du Québec rejette l’appel du demandeur. </w:t>
            </w:r>
          </w:p>
          <w:p w:rsidR="00FB0311" w:rsidRPr="00776E55" w:rsidRDefault="00FB0311" w:rsidP="00FB0311">
            <w:pPr>
              <w:jc w:val="both"/>
              <w:rPr>
                <w:sz w:val="20"/>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Le 16 août 2021</w:t>
            </w:r>
          </w:p>
          <w:p w:rsidR="00FB0311" w:rsidRPr="00776E55" w:rsidRDefault="00FB0311" w:rsidP="00FB0311">
            <w:pPr>
              <w:jc w:val="both"/>
              <w:rPr>
                <w:sz w:val="20"/>
                <w:lang w:val="fr-CA"/>
              </w:rPr>
            </w:pPr>
            <w:r w:rsidRPr="00776E55">
              <w:rPr>
                <w:sz w:val="20"/>
                <w:lang w:val="fr-CA"/>
              </w:rPr>
              <w:t>Cour supérieure du Québec</w:t>
            </w:r>
          </w:p>
          <w:p w:rsidR="00FB0311" w:rsidRPr="00776E55" w:rsidRDefault="00FB0311" w:rsidP="00FB0311">
            <w:pPr>
              <w:jc w:val="both"/>
              <w:rPr>
                <w:sz w:val="20"/>
              </w:rPr>
            </w:pPr>
            <w:r w:rsidRPr="00776E55">
              <w:rPr>
                <w:sz w:val="20"/>
              </w:rPr>
              <w:t>(Le juge Vaillancourt)</w:t>
            </w:r>
          </w:p>
          <w:p w:rsidR="00FB0311" w:rsidRPr="00776E55" w:rsidRDefault="001E30F0" w:rsidP="00FB0311">
            <w:pPr>
              <w:jc w:val="both"/>
              <w:rPr>
                <w:sz w:val="20"/>
              </w:rPr>
            </w:pPr>
            <w:hyperlink r:id="rId65" w:history="1">
              <w:r w:rsidR="00FB0311" w:rsidRPr="00776E55">
                <w:rPr>
                  <w:rStyle w:val="Hyperlink"/>
                  <w:sz w:val="20"/>
                </w:rPr>
                <w:t>2021 QCCS 3413</w:t>
              </w:r>
            </w:hyperlink>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lang w:val="fr-CA"/>
              </w:rPr>
            </w:pPr>
            <w:r w:rsidRPr="00776E55">
              <w:rPr>
                <w:sz w:val="20"/>
                <w:lang w:val="fr-CA"/>
              </w:rPr>
              <w:t>Requête en irrecevabilité de l’intimée accueillie; demande introductive d’instance modifiée du demandeur rejet</w:t>
            </w:r>
            <w:r w:rsidR="001E30F0" w:rsidRPr="001E30F0">
              <w:rPr>
                <w:sz w:val="20"/>
                <w:lang w:val="fr-CA"/>
              </w:rPr>
              <w:t>é</w:t>
            </w:r>
            <w:r w:rsidRPr="00776E55">
              <w:rPr>
                <w:sz w:val="20"/>
                <w:lang w:val="fr-CA"/>
              </w:rPr>
              <w:t>e</w:t>
            </w:r>
            <w:bookmarkStart w:id="0" w:name="_GoBack"/>
            <w:bookmarkEnd w:id="0"/>
          </w:p>
          <w:p w:rsidR="00FB0311" w:rsidRPr="00776E55" w:rsidRDefault="00FB0311" w:rsidP="00FB0311">
            <w:pPr>
              <w:jc w:val="both"/>
              <w:rPr>
                <w:sz w:val="20"/>
                <w:lang w:val="fr-CA"/>
              </w:rPr>
            </w:pPr>
          </w:p>
        </w:tc>
      </w:tr>
      <w:tr w:rsidR="00FB0311" w:rsidRPr="00776E55" w:rsidTr="00FB0311">
        <w:tc>
          <w:tcPr>
            <w:tcW w:w="2427" w:type="pct"/>
            <w:gridSpan w:val="2"/>
          </w:tcPr>
          <w:p w:rsidR="00FB0311" w:rsidRPr="00776E55" w:rsidRDefault="00FB0311" w:rsidP="00FB0311">
            <w:pPr>
              <w:jc w:val="both"/>
              <w:rPr>
                <w:sz w:val="20"/>
                <w:lang w:val="fr-CA"/>
              </w:rPr>
            </w:pPr>
            <w:r w:rsidRPr="00776E55">
              <w:rPr>
                <w:sz w:val="20"/>
                <w:lang w:val="fr-CA"/>
              </w:rPr>
              <w:t>Le 2 juin 2022</w:t>
            </w:r>
          </w:p>
          <w:p w:rsidR="00FB0311" w:rsidRPr="00776E55" w:rsidRDefault="00FB0311" w:rsidP="00FB0311">
            <w:pPr>
              <w:jc w:val="both"/>
              <w:rPr>
                <w:sz w:val="20"/>
                <w:lang w:val="fr-CA"/>
              </w:rPr>
            </w:pPr>
            <w:r w:rsidRPr="00776E55">
              <w:rPr>
                <w:sz w:val="20"/>
                <w:lang w:val="fr-CA"/>
              </w:rPr>
              <w:t>Cour d’appel du Québec (Montréal)</w:t>
            </w:r>
          </w:p>
          <w:p w:rsidR="00FB0311" w:rsidRPr="00776E55" w:rsidRDefault="00FB0311" w:rsidP="00FB0311">
            <w:pPr>
              <w:jc w:val="both"/>
              <w:rPr>
                <w:sz w:val="20"/>
                <w:lang w:val="fr-CA"/>
              </w:rPr>
            </w:pPr>
            <w:r w:rsidRPr="00776E55">
              <w:rPr>
                <w:sz w:val="20"/>
                <w:lang w:val="fr-CA"/>
              </w:rPr>
              <w:t xml:space="preserve">(Les juges </w:t>
            </w:r>
            <w:proofErr w:type="gramStart"/>
            <w:r w:rsidRPr="00776E55">
              <w:rPr>
                <w:sz w:val="20"/>
                <w:lang w:val="fr-CA"/>
              </w:rPr>
              <w:t>Marcotte</w:t>
            </w:r>
            <w:proofErr w:type="gramEnd"/>
            <w:r w:rsidRPr="00776E55">
              <w:rPr>
                <w:sz w:val="20"/>
                <w:lang w:val="fr-CA"/>
              </w:rPr>
              <w:t>, Hogue et Hamilton)</w:t>
            </w:r>
          </w:p>
          <w:p w:rsidR="00FB0311" w:rsidRPr="00776E55" w:rsidRDefault="001E30F0" w:rsidP="00FB0311">
            <w:pPr>
              <w:jc w:val="both"/>
              <w:rPr>
                <w:sz w:val="20"/>
              </w:rPr>
            </w:pPr>
            <w:hyperlink r:id="rId66" w:history="1">
              <w:r w:rsidR="00FB0311" w:rsidRPr="00776E55">
                <w:rPr>
                  <w:rStyle w:val="Hyperlink"/>
                  <w:sz w:val="20"/>
                </w:rPr>
                <w:t>2022 QCCA 773</w:t>
              </w:r>
            </w:hyperlink>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Appel rejeté</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lang w:val="fr-CA"/>
              </w:rPr>
            </w:pPr>
            <w:r w:rsidRPr="00776E55">
              <w:rPr>
                <w:sz w:val="20"/>
                <w:lang w:val="fr-CA"/>
              </w:rPr>
              <w:t>Le 1 septembre 2022</w:t>
            </w:r>
          </w:p>
          <w:p w:rsidR="00FB0311" w:rsidRPr="00776E55" w:rsidRDefault="00FB0311" w:rsidP="00FB0311">
            <w:pPr>
              <w:jc w:val="both"/>
              <w:rPr>
                <w:sz w:val="20"/>
                <w:lang w:val="fr-CA"/>
              </w:rPr>
            </w:pPr>
            <w:r w:rsidRPr="00776E55">
              <w:rPr>
                <w:sz w:val="20"/>
                <w:lang w:val="fr-CA"/>
              </w:rPr>
              <w:t>Cour suprême du</w:t>
            </w:r>
            <w:r w:rsidR="00B11469" w:rsidRPr="00776E55">
              <w:rPr>
                <w:sz w:val="20"/>
                <w:lang w:val="fr-CA"/>
              </w:rPr>
              <w:t xml:space="preserve"> Canada</w:t>
            </w: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rPr>
            </w:pPr>
            <w:r w:rsidRPr="00776E55">
              <w:rPr>
                <w:sz w:val="20"/>
              </w:rPr>
              <w:t>Demande d’autorisation d’appel déposée</w:t>
            </w:r>
          </w:p>
          <w:p w:rsidR="00FB0311" w:rsidRPr="00776E55" w:rsidRDefault="00FB0311" w:rsidP="00FB0311">
            <w:pPr>
              <w:jc w:val="both"/>
              <w:rPr>
                <w:sz w:val="20"/>
              </w:rPr>
            </w:pPr>
          </w:p>
        </w:tc>
      </w:tr>
    </w:tbl>
    <w:p w:rsidR="00FB0311" w:rsidRPr="00776E55" w:rsidRDefault="00FB0311" w:rsidP="00FB0311">
      <w:pPr>
        <w:jc w:val="both"/>
        <w:rPr>
          <w:sz w:val="20"/>
        </w:rPr>
      </w:pPr>
    </w:p>
    <w:p w:rsidR="00B11469" w:rsidRPr="00776E55" w:rsidRDefault="001E30F0" w:rsidP="00FB0311">
      <w:pPr>
        <w:jc w:val="both"/>
        <w:rPr>
          <w:sz w:val="20"/>
        </w:rPr>
      </w:pPr>
      <w:r>
        <w:rPr>
          <w:sz w:val="20"/>
        </w:rPr>
        <w:pict>
          <v:rect id="_x0000_i1050" style="width:2in;height:1pt" o:hrpct="0" o:hralign="center" o:hrstd="t" o:hrnoshade="t" o:hr="t" fillcolor="black [3213]" stroked="f"/>
        </w:pict>
      </w:r>
    </w:p>
    <w:p w:rsidR="00B11469" w:rsidRPr="00776E55" w:rsidRDefault="00B11469" w:rsidP="00FB03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rPr>
            </w:pPr>
            <w:r w:rsidRPr="00776E55">
              <w:rPr>
                <w:rStyle w:val="SCCFileNumberChar"/>
                <w:sz w:val="20"/>
                <w:szCs w:val="20"/>
              </w:rPr>
              <w:t>40402</w:t>
            </w:r>
          </w:p>
        </w:tc>
        <w:tc>
          <w:tcPr>
            <w:tcW w:w="4457" w:type="pct"/>
            <w:gridSpan w:val="3"/>
          </w:tcPr>
          <w:p w:rsidR="00FB0311" w:rsidRPr="00776E55" w:rsidRDefault="00FB0311" w:rsidP="00FB0311">
            <w:pPr>
              <w:pStyle w:val="SCCLsocParty"/>
              <w:jc w:val="both"/>
              <w:rPr>
                <w:b/>
                <w:sz w:val="20"/>
                <w:szCs w:val="20"/>
                <w:lang w:val="en-US"/>
              </w:rPr>
            </w:pPr>
            <w:r w:rsidRPr="00776E55">
              <w:rPr>
                <w:b/>
                <w:sz w:val="20"/>
                <w:szCs w:val="20"/>
                <w:lang w:val="en-US"/>
              </w:rPr>
              <w:t>Agrium Inc. v. Orbis Engineering Field Services LTD., Elliott Turbomachinery Canada Inc., Elliott Company</w:t>
            </w:r>
          </w:p>
          <w:p w:rsidR="00FB0311" w:rsidRPr="00776E55" w:rsidRDefault="00FB0311" w:rsidP="00FB0311">
            <w:pPr>
              <w:jc w:val="both"/>
              <w:rPr>
                <w:sz w:val="20"/>
              </w:rPr>
            </w:pPr>
            <w:r w:rsidRPr="00776E55">
              <w:rPr>
                <w:sz w:val="20"/>
              </w:rPr>
              <w:t>(Alta.) (Civil) (By Leave)</w:t>
            </w:r>
          </w:p>
        </w:tc>
      </w:tr>
      <w:tr w:rsidR="00FB0311" w:rsidRPr="00776E55" w:rsidTr="00FB0311">
        <w:tc>
          <w:tcPr>
            <w:tcW w:w="5000" w:type="pct"/>
            <w:gridSpan w:val="4"/>
          </w:tcPr>
          <w:p w:rsidR="00FB0311" w:rsidRPr="00776E55" w:rsidRDefault="00FB0311" w:rsidP="00FB0311">
            <w:pPr>
              <w:jc w:val="both"/>
              <w:rPr>
                <w:sz w:val="20"/>
              </w:rPr>
            </w:pPr>
            <w:r w:rsidRPr="00776E55">
              <w:rPr>
                <w:sz w:val="20"/>
              </w:rPr>
              <w:t xml:space="preserve">Civil Procedure — Stay — Appeals — Court allowing appeal of a stay decision under the </w:t>
            </w:r>
            <w:r w:rsidRPr="00776E55">
              <w:rPr>
                <w:i/>
                <w:iCs/>
                <w:sz w:val="20"/>
              </w:rPr>
              <w:t>Arbitration Act</w:t>
            </w:r>
            <w:r w:rsidRPr="00776E55">
              <w:rPr>
                <w:sz w:val="20"/>
              </w:rPr>
              <w:t xml:space="preserve"> from an applications judge (formerly master in chambers) to a chambers judge of the Court of King’s Bench — Proper interpretation of statutory bar on appeals — Whether s. 96 of the </w:t>
            </w:r>
            <w:r w:rsidRPr="00776E55">
              <w:rPr>
                <w:i/>
                <w:iCs/>
                <w:sz w:val="20"/>
              </w:rPr>
              <w:t>Constitution Act, 1867</w:t>
            </w:r>
            <w:r w:rsidRPr="00776E55">
              <w:rPr>
                <w:sz w:val="20"/>
              </w:rPr>
              <w:t xml:space="preserve"> deprives provincial legislatures of authority under s. 92(14) to make a decision of a provincially-appointed judicial official final and not subject to review by a superior court judge — Whether “no appeal from the court’s decision” means no appeal — </w:t>
            </w:r>
            <w:r w:rsidRPr="00776E55">
              <w:rPr>
                <w:i/>
                <w:iCs/>
                <w:sz w:val="20"/>
              </w:rPr>
              <w:t>Arbitration Act</w:t>
            </w:r>
            <w:r w:rsidRPr="00776E55">
              <w:rPr>
                <w:sz w:val="20"/>
              </w:rPr>
              <w:t>, R.S.A. 2000, c. A-43, s. 7.</w:t>
            </w:r>
          </w:p>
          <w:p w:rsidR="00FB0311" w:rsidRPr="00776E55" w:rsidRDefault="00FB0311" w:rsidP="00FB0311">
            <w:pPr>
              <w:jc w:val="both"/>
              <w:rPr>
                <w:sz w:val="20"/>
              </w:rPr>
            </w:pPr>
          </w:p>
        </w:tc>
      </w:tr>
      <w:tr w:rsidR="00FB0311" w:rsidRPr="00776E55" w:rsidTr="00FB0311">
        <w:tc>
          <w:tcPr>
            <w:tcW w:w="5000" w:type="pct"/>
            <w:gridSpan w:val="4"/>
          </w:tcPr>
          <w:p w:rsidR="00FB0311" w:rsidRPr="00776E55" w:rsidRDefault="00FB0311" w:rsidP="00FB0311">
            <w:pPr>
              <w:jc w:val="both"/>
              <w:rPr>
                <w:sz w:val="20"/>
              </w:rPr>
            </w:pPr>
            <w:r w:rsidRPr="00776E55">
              <w:rPr>
                <w:sz w:val="20"/>
              </w:rPr>
              <w:t>The applicant contracted with the respondents. The contracts stated that any dispute would be resolved by arbitration. A dispute arose and rather than proceeding to arbitration, the applicant commenced a civil action against the respondents.</w:t>
            </w:r>
          </w:p>
          <w:p w:rsidR="00FB0311" w:rsidRPr="00776E55" w:rsidRDefault="00FB0311" w:rsidP="00FB0311">
            <w:pPr>
              <w:jc w:val="both"/>
              <w:rPr>
                <w:sz w:val="20"/>
              </w:rPr>
            </w:pPr>
          </w:p>
          <w:p w:rsidR="00FB0311" w:rsidRPr="00776E55" w:rsidRDefault="00FB0311" w:rsidP="00FB0311">
            <w:pPr>
              <w:jc w:val="both"/>
              <w:rPr>
                <w:sz w:val="20"/>
              </w:rPr>
            </w:pPr>
            <w:r w:rsidRPr="00776E55">
              <w:rPr>
                <w:sz w:val="20"/>
              </w:rPr>
              <w:t xml:space="preserve">The respondents defended the statement of claim and then applied to a master in chambers (now called an “applications judge”) of the Court of King’s Bench under s. 7(1) of the </w:t>
            </w:r>
            <w:r w:rsidRPr="00776E55">
              <w:rPr>
                <w:i/>
                <w:sz w:val="20"/>
              </w:rPr>
              <w:t>Arbitration Act</w:t>
            </w:r>
            <w:r w:rsidRPr="00776E55">
              <w:rPr>
                <w:sz w:val="20"/>
              </w:rPr>
              <w:t xml:space="preserve"> to stay or strike the civil action. Section 7 of the </w:t>
            </w:r>
            <w:r w:rsidRPr="00776E55">
              <w:rPr>
                <w:i/>
                <w:sz w:val="20"/>
              </w:rPr>
              <w:t>Act</w:t>
            </w:r>
            <w:r w:rsidRPr="00776E55">
              <w:rPr>
                <w:sz w:val="20"/>
              </w:rPr>
              <w:t xml:space="preserve"> empowers the court to stay litigation when there is a binding arbitration agreement, subject to narrow exceptions, and provides that there is “no appeal from the court’s decision under this section”.</w:t>
            </w:r>
          </w:p>
          <w:p w:rsidR="00FB0311" w:rsidRPr="00776E55" w:rsidRDefault="00FB0311" w:rsidP="00FB0311">
            <w:pPr>
              <w:jc w:val="both"/>
              <w:rPr>
                <w:color w:val="000000" w:themeColor="text1"/>
                <w:sz w:val="20"/>
              </w:rPr>
            </w:pPr>
          </w:p>
          <w:p w:rsidR="00FB0311" w:rsidRPr="00776E55" w:rsidRDefault="00FB0311" w:rsidP="00FB0311">
            <w:pPr>
              <w:jc w:val="both"/>
              <w:rPr>
                <w:color w:val="000000" w:themeColor="text1"/>
                <w:sz w:val="20"/>
              </w:rPr>
            </w:pPr>
            <w:r w:rsidRPr="00776E55">
              <w:rPr>
                <w:color w:val="000000" w:themeColor="text1"/>
                <w:sz w:val="20"/>
              </w:rPr>
              <w:t>The master in chambers dismissed the applications to stay or strike; rather than s. 7</w:t>
            </w:r>
            <w:r w:rsidRPr="00776E55">
              <w:rPr>
                <w:sz w:val="20"/>
              </w:rPr>
              <w:t xml:space="preserve"> of the </w:t>
            </w:r>
            <w:r w:rsidRPr="00776E55">
              <w:rPr>
                <w:i/>
                <w:sz w:val="20"/>
              </w:rPr>
              <w:t>Act</w:t>
            </w:r>
            <w:r w:rsidRPr="00776E55">
              <w:rPr>
                <w:color w:val="000000" w:themeColor="text1"/>
                <w:sz w:val="20"/>
              </w:rPr>
              <w:t>, he relied on his supervisory jurisdiction to allow the action to proceed.</w:t>
            </w:r>
          </w:p>
          <w:p w:rsidR="00FB0311" w:rsidRPr="00776E55" w:rsidRDefault="00FB0311" w:rsidP="00FB0311">
            <w:pPr>
              <w:jc w:val="both"/>
              <w:rPr>
                <w:color w:val="000000" w:themeColor="text1"/>
                <w:sz w:val="20"/>
              </w:rPr>
            </w:pPr>
          </w:p>
          <w:p w:rsidR="00FB0311" w:rsidRPr="00776E55" w:rsidRDefault="00FB0311" w:rsidP="00FB0311">
            <w:pPr>
              <w:jc w:val="both"/>
              <w:rPr>
                <w:sz w:val="20"/>
              </w:rPr>
            </w:pPr>
            <w:r w:rsidRPr="00776E55">
              <w:rPr>
                <w:color w:val="000000" w:themeColor="text1"/>
                <w:sz w:val="20"/>
              </w:rPr>
              <w:t>The chambers judge dismissed the applicant’s application to strike the respondents’ appeals—as a matter of statutory interpretation, s. 7(6) did not bar an appeal to a chambers judge. The judge allowed the respondents’ appeals</w:t>
            </w:r>
            <w:r w:rsidRPr="00776E55">
              <w:rPr>
                <w:sz w:val="20"/>
              </w:rPr>
              <w:t>, striking the applicant’s civil action.</w:t>
            </w:r>
          </w:p>
          <w:p w:rsidR="00FB0311" w:rsidRPr="00776E55" w:rsidRDefault="00FB0311" w:rsidP="00FB0311">
            <w:pPr>
              <w:jc w:val="both"/>
              <w:rPr>
                <w:sz w:val="20"/>
              </w:rPr>
            </w:pPr>
          </w:p>
          <w:p w:rsidR="00FB0311" w:rsidRPr="00776E55" w:rsidRDefault="00FB0311" w:rsidP="00FB0311">
            <w:pPr>
              <w:jc w:val="both"/>
              <w:rPr>
                <w:sz w:val="20"/>
              </w:rPr>
            </w:pPr>
            <w:r w:rsidRPr="00776E55">
              <w:rPr>
                <w:sz w:val="20"/>
              </w:rPr>
              <w:t>The majority of the Court of Appeal dismissed the applicant’s appeal largely for the reasons given by the chambers judge. The dissenting judge would have allowed the appeal so that the master’s decision remained in force.</w:t>
            </w:r>
          </w:p>
        </w:tc>
      </w:tr>
      <w:tr w:rsidR="00FB0311" w:rsidRPr="00776E55" w:rsidTr="00FB0311">
        <w:tc>
          <w:tcPr>
            <w:tcW w:w="5000" w:type="pct"/>
            <w:gridSpan w:val="4"/>
          </w:tcPr>
          <w:p w:rsidR="00FB0311" w:rsidRPr="00776E55" w:rsidRDefault="00FB0311" w:rsidP="00FB0311">
            <w:pPr>
              <w:jc w:val="both"/>
              <w:rPr>
                <w:sz w:val="20"/>
              </w:rPr>
            </w:pPr>
            <w:r w:rsidRPr="00776E55">
              <w:rPr>
                <w:sz w:val="20"/>
              </w:rPr>
              <w:t xml:space="preserve"> </w:t>
            </w:r>
          </w:p>
        </w:tc>
      </w:tr>
      <w:tr w:rsidR="00FB0311" w:rsidRPr="00776E55" w:rsidTr="00FB0311">
        <w:tc>
          <w:tcPr>
            <w:tcW w:w="2427" w:type="pct"/>
            <w:gridSpan w:val="2"/>
          </w:tcPr>
          <w:p w:rsidR="00FB0311" w:rsidRPr="00776E55" w:rsidRDefault="00FB0311" w:rsidP="00FB0311">
            <w:pPr>
              <w:jc w:val="both"/>
              <w:rPr>
                <w:sz w:val="20"/>
              </w:rPr>
            </w:pPr>
            <w:r w:rsidRPr="00776E55">
              <w:rPr>
                <w:sz w:val="20"/>
              </w:rPr>
              <w:t>January 20, 2020</w:t>
            </w:r>
          </w:p>
          <w:p w:rsidR="00FB0311" w:rsidRPr="00776E55" w:rsidRDefault="00FB0311" w:rsidP="00FB0311">
            <w:pPr>
              <w:jc w:val="both"/>
              <w:rPr>
                <w:sz w:val="20"/>
              </w:rPr>
            </w:pPr>
            <w:r w:rsidRPr="00776E55">
              <w:rPr>
                <w:sz w:val="20"/>
              </w:rPr>
              <w:t>Court of King’s Bench of Alberta</w:t>
            </w:r>
          </w:p>
          <w:p w:rsidR="00FB0311" w:rsidRPr="00776E55" w:rsidRDefault="00FB0311" w:rsidP="00FB0311">
            <w:pPr>
              <w:jc w:val="both"/>
              <w:rPr>
                <w:sz w:val="20"/>
              </w:rPr>
            </w:pPr>
            <w:r w:rsidRPr="00776E55">
              <w:rPr>
                <w:sz w:val="20"/>
              </w:rPr>
              <w:t>(Master Prowse)</w:t>
            </w:r>
          </w:p>
          <w:p w:rsidR="00FB0311" w:rsidRPr="00776E55" w:rsidRDefault="001E30F0" w:rsidP="00FB0311">
            <w:pPr>
              <w:jc w:val="both"/>
              <w:rPr>
                <w:sz w:val="20"/>
              </w:rPr>
            </w:pPr>
            <w:hyperlink r:id="rId67" w:history="1">
              <w:r w:rsidR="00FB0311" w:rsidRPr="00776E55">
                <w:rPr>
                  <w:rStyle w:val="Hyperlink"/>
                  <w:sz w:val="20"/>
                </w:rPr>
                <w:t>2020 ABQB 53</w:t>
              </w:r>
            </w:hyperlink>
            <w:r w:rsidR="00FB0311" w:rsidRPr="00776E55">
              <w:rPr>
                <w:sz w:val="20"/>
              </w:rPr>
              <w:t>; Docket 160103869</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Respondents’ applications to stay or strike the civil action against them dismissed</w:t>
            </w:r>
          </w:p>
        </w:tc>
      </w:tr>
      <w:tr w:rsidR="00FB0311" w:rsidRPr="00776E55" w:rsidTr="00FB0311">
        <w:tc>
          <w:tcPr>
            <w:tcW w:w="2427" w:type="pct"/>
            <w:gridSpan w:val="2"/>
          </w:tcPr>
          <w:p w:rsidR="00FB0311" w:rsidRPr="00776E55" w:rsidRDefault="00FB0311" w:rsidP="00FB0311">
            <w:pPr>
              <w:jc w:val="both"/>
              <w:rPr>
                <w:sz w:val="20"/>
              </w:rPr>
            </w:pPr>
            <w:r w:rsidRPr="00776E55">
              <w:rPr>
                <w:sz w:val="20"/>
              </w:rPr>
              <w:t>December 22, 2020</w:t>
            </w:r>
          </w:p>
          <w:p w:rsidR="00FB0311" w:rsidRPr="00776E55" w:rsidRDefault="00FB0311" w:rsidP="00FB0311">
            <w:pPr>
              <w:jc w:val="both"/>
              <w:rPr>
                <w:sz w:val="20"/>
              </w:rPr>
            </w:pPr>
            <w:r w:rsidRPr="00776E55">
              <w:rPr>
                <w:sz w:val="20"/>
              </w:rPr>
              <w:t>Court of King’s Bench of Alberta</w:t>
            </w:r>
          </w:p>
          <w:p w:rsidR="00FB0311" w:rsidRPr="00776E55" w:rsidRDefault="00FB0311" w:rsidP="00FB0311">
            <w:pPr>
              <w:jc w:val="both"/>
              <w:rPr>
                <w:sz w:val="20"/>
              </w:rPr>
            </w:pPr>
            <w:r w:rsidRPr="00776E55">
              <w:rPr>
                <w:sz w:val="20"/>
              </w:rPr>
              <w:t>(Dilts J.)</w:t>
            </w:r>
          </w:p>
          <w:p w:rsidR="00FB0311" w:rsidRPr="00776E55" w:rsidRDefault="001E30F0" w:rsidP="00FB0311">
            <w:pPr>
              <w:jc w:val="both"/>
              <w:rPr>
                <w:sz w:val="20"/>
              </w:rPr>
            </w:pPr>
            <w:hyperlink r:id="rId68" w:history="1">
              <w:r w:rsidR="00FB0311" w:rsidRPr="00776E55">
                <w:rPr>
                  <w:rStyle w:val="Hyperlink"/>
                  <w:sz w:val="20"/>
                </w:rPr>
                <w:t>2020 ABQB 807</w:t>
              </w:r>
            </w:hyperlink>
            <w:r w:rsidR="00FB0311" w:rsidRPr="00776E55">
              <w:rPr>
                <w:sz w:val="20"/>
              </w:rPr>
              <w:t>; Docket 160103869</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 xml:space="preserve">Respondents’ appeals allowed and civil action against </w:t>
            </w:r>
            <w:r w:rsidRPr="00776E55">
              <w:rPr>
                <w:color w:val="000000"/>
                <w:sz w:val="20"/>
              </w:rPr>
              <w:t>them struck</w:t>
            </w:r>
          </w:p>
        </w:tc>
      </w:tr>
      <w:tr w:rsidR="00FB0311" w:rsidRPr="00776E55" w:rsidTr="00FB0311">
        <w:tc>
          <w:tcPr>
            <w:tcW w:w="2427" w:type="pct"/>
            <w:gridSpan w:val="2"/>
          </w:tcPr>
          <w:p w:rsidR="00FB0311" w:rsidRPr="00776E55" w:rsidRDefault="00FB0311" w:rsidP="00FB0311">
            <w:pPr>
              <w:jc w:val="both"/>
              <w:rPr>
                <w:sz w:val="20"/>
              </w:rPr>
            </w:pPr>
            <w:r w:rsidRPr="00776E55">
              <w:rPr>
                <w:sz w:val="20"/>
              </w:rPr>
              <w:t>August 8, 2022</w:t>
            </w:r>
          </w:p>
          <w:p w:rsidR="00FB0311" w:rsidRPr="00776E55" w:rsidRDefault="00FB0311" w:rsidP="00FB0311">
            <w:pPr>
              <w:jc w:val="both"/>
              <w:rPr>
                <w:sz w:val="20"/>
              </w:rPr>
            </w:pPr>
            <w:r w:rsidRPr="00776E55">
              <w:rPr>
                <w:sz w:val="20"/>
              </w:rPr>
              <w:t>Court of Appeal of Alberta (Calgary)</w:t>
            </w:r>
          </w:p>
          <w:p w:rsidR="00FB0311" w:rsidRPr="00776E55" w:rsidRDefault="00FB0311" w:rsidP="00FB0311">
            <w:pPr>
              <w:jc w:val="both"/>
              <w:rPr>
                <w:sz w:val="20"/>
              </w:rPr>
            </w:pPr>
            <w:r w:rsidRPr="00776E55">
              <w:rPr>
                <w:sz w:val="20"/>
              </w:rPr>
              <w:t>(Wakeling, Crighton, Ho JJ.A.)</w:t>
            </w:r>
          </w:p>
          <w:p w:rsidR="00FB0311" w:rsidRPr="00776E55" w:rsidRDefault="001E30F0" w:rsidP="00FB0311">
            <w:pPr>
              <w:jc w:val="both"/>
              <w:rPr>
                <w:sz w:val="20"/>
              </w:rPr>
            </w:pPr>
            <w:hyperlink r:id="rId69" w:history="1">
              <w:r w:rsidR="00FB0311" w:rsidRPr="00776E55">
                <w:rPr>
                  <w:rStyle w:val="Hyperlink"/>
                  <w:sz w:val="20"/>
                </w:rPr>
                <w:t>2022 ABCA 266</w:t>
              </w:r>
            </w:hyperlink>
            <w:r w:rsidR="00FB0311" w:rsidRPr="00776E55">
              <w:rPr>
                <w:sz w:val="20"/>
              </w:rPr>
              <w:t>; Docket 2101-0020AC</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Applicant’s appeal dismissed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October 6, 2022</w:t>
            </w:r>
          </w:p>
          <w:p w:rsidR="00FB0311" w:rsidRPr="00776E55" w:rsidRDefault="00FB0311" w:rsidP="00B11469">
            <w:pPr>
              <w:jc w:val="both"/>
              <w:rPr>
                <w:sz w:val="20"/>
              </w:rPr>
            </w:pPr>
            <w:r w:rsidRPr="00776E55">
              <w:rPr>
                <w:sz w:val="20"/>
              </w:rPr>
              <w:t>Supreme Court of Canada</w:t>
            </w: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Application for leave to appeal filed</w:t>
            </w:r>
          </w:p>
          <w:p w:rsidR="00FB0311" w:rsidRPr="00776E55" w:rsidRDefault="00FB0311" w:rsidP="00FB0311">
            <w:pPr>
              <w:jc w:val="both"/>
              <w:rPr>
                <w:sz w:val="20"/>
              </w:rPr>
            </w:pPr>
          </w:p>
        </w:tc>
      </w:tr>
    </w:tbl>
    <w:p w:rsidR="00FB0311" w:rsidRPr="00776E55" w:rsidRDefault="00FB0311" w:rsidP="00FB0311">
      <w:pPr>
        <w:jc w:val="both"/>
        <w:rPr>
          <w:sz w:val="20"/>
        </w:rPr>
      </w:pPr>
    </w:p>
    <w:p w:rsidR="00B11469" w:rsidRPr="00776E55" w:rsidRDefault="001E30F0" w:rsidP="00FB0311">
      <w:pPr>
        <w:jc w:val="both"/>
        <w:rPr>
          <w:sz w:val="20"/>
        </w:rPr>
      </w:pPr>
      <w:r>
        <w:rPr>
          <w:sz w:val="20"/>
        </w:rPr>
        <w:pict>
          <v:rect id="_x0000_i1051" style="width:2in;height:1pt" o:hrpct="0" o:hralign="center" o:hrstd="t" o:hrnoshade="t" o:hr="t" fillcolor="black [3213]" stroked="f"/>
        </w:pict>
      </w:r>
    </w:p>
    <w:p w:rsidR="00B11469" w:rsidRPr="00776E55" w:rsidRDefault="00B11469" w:rsidP="00FB03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lang w:val="fr-CA"/>
              </w:rPr>
            </w:pPr>
            <w:r w:rsidRPr="00776E55">
              <w:rPr>
                <w:rStyle w:val="SCCFileNumberChar"/>
                <w:sz w:val="20"/>
                <w:szCs w:val="20"/>
                <w:lang w:val="fr-CA"/>
              </w:rPr>
              <w:t>40402</w:t>
            </w:r>
          </w:p>
        </w:tc>
        <w:tc>
          <w:tcPr>
            <w:tcW w:w="4457" w:type="pct"/>
            <w:gridSpan w:val="3"/>
          </w:tcPr>
          <w:p w:rsidR="00FB0311" w:rsidRPr="00776E55" w:rsidRDefault="00FB0311" w:rsidP="00FB0311">
            <w:pPr>
              <w:pStyle w:val="SCCLsocParty"/>
              <w:jc w:val="both"/>
              <w:rPr>
                <w:b/>
                <w:sz w:val="20"/>
                <w:szCs w:val="20"/>
                <w:lang w:val="en-US"/>
              </w:rPr>
            </w:pPr>
            <w:r w:rsidRPr="00776E55">
              <w:rPr>
                <w:b/>
                <w:sz w:val="20"/>
                <w:szCs w:val="20"/>
                <w:lang w:val="en-US"/>
              </w:rPr>
              <w:t>Agrium Inc. c. Orbis Engineering Field Services LTD., Elliott Turbomachinery Canada Inc., Elliott Company</w:t>
            </w:r>
          </w:p>
          <w:p w:rsidR="00FB0311" w:rsidRPr="00776E55" w:rsidRDefault="00FB0311" w:rsidP="00FB0311">
            <w:pPr>
              <w:jc w:val="both"/>
              <w:rPr>
                <w:sz w:val="20"/>
                <w:lang w:val="fr-CA"/>
              </w:rPr>
            </w:pPr>
            <w:r w:rsidRPr="00776E55">
              <w:rPr>
                <w:sz w:val="20"/>
                <w:lang w:val="fr-CA"/>
              </w:rPr>
              <w:t>(Alb.) (Civile) (Sur autorisation)</w:t>
            </w:r>
          </w:p>
        </w:tc>
      </w:tr>
      <w:tr w:rsidR="00FB0311" w:rsidRPr="001E30F0" w:rsidTr="00FB0311">
        <w:tc>
          <w:tcPr>
            <w:tcW w:w="5000" w:type="pct"/>
            <w:gridSpan w:val="4"/>
          </w:tcPr>
          <w:p w:rsidR="00FB0311" w:rsidRPr="00776E55" w:rsidRDefault="00FB0311" w:rsidP="00FB0311">
            <w:pPr>
              <w:jc w:val="both"/>
              <w:rPr>
                <w:sz w:val="20"/>
                <w:lang w:val="fr-CA"/>
              </w:rPr>
            </w:pPr>
            <w:r w:rsidRPr="00776E55">
              <w:rPr>
                <w:sz w:val="20"/>
                <w:lang w:val="fr-CA"/>
              </w:rPr>
              <w:t>Procédure civile — Sursis — Appels — Décision judiciaire accueillant l’appel interjeté devant une juge en chambre de la Cour du Banc du Roi contre une décision relative à la suspension de l’instance sous le régime de l’</w:t>
            </w:r>
            <w:r w:rsidRPr="00776E55">
              <w:rPr>
                <w:i/>
                <w:iCs/>
                <w:sz w:val="20"/>
                <w:lang w:val="fr-CA"/>
              </w:rPr>
              <w:t>Arbitration Act</w:t>
            </w:r>
            <w:r w:rsidRPr="00776E55">
              <w:rPr>
                <w:sz w:val="20"/>
                <w:lang w:val="fr-CA"/>
              </w:rPr>
              <w:t xml:space="preserve"> rendue par le juge saisi de la demande (anciennement appelé protonotaire en chambre) — Interprétation correcte de l’interdiction légale d’appels — L’article 96 de la </w:t>
            </w:r>
            <w:r w:rsidRPr="00776E55">
              <w:rPr>
                <w:i/>
                <w:iCs/>
                <w:sz w:val="20"/>
                <w:lang w:val="fr-CA"/>
              </w:rPr>
              <w:t>Loi constitutionnelle de 1867</w:t>
            </w:r>
            <w:r w:rsidRPr="00776E55">
              <w:rPr>
                <w:sz w:val="20"/>
                <w:lang w:val="fr-CA"/>
              </w:rPr>
              <w:t xml:space="preserve"> prive</w:t>
            </w:r>
            <w:r w:rsidRPr="00776E55">
              <w:rPr>
                <w:sz w:val="20"/>
                <w:lang w:val="fr-CA"/>
              </w:rPr>
              <w:noBreakHyphen/>
              <w:t>t</w:t>
            </w:r>
            <w:r w:rsidRPr="00776E55">
              <w:rPr>
                <w:sz w:val="20"/>
                <w:lang w:val="fr-CA"/>
              </w:rPr>
              <w:noBreakHyphen/>
              <w:t xml:space="preserve">il les législatures provinciales du pouvoir prévu au </w:t>
            </w:r>
            <w:proofErr w:type="spellStart"/>
            <w:r w:rsidRPr="00776E55">
              <w:rPr>
                <w:sz w:val="20"/>
                <w:lang w:val="fr-CA"/>
              </w:rPr>
              <w:t>par</w:t>
            </w:r>
            <w:proofErr w:type="spellEnd"/>
            <w:r w:rsidRPr="00776E55">
              <w:rPr>
                <w:sz w:val="20"/>
                <w:lang w:val="fr-CA"/>
              </w:rPr>
              <w:t>. 92(14) de faire en sorte qu’une décision rendue par un fonctionnaire judiciaire de nomination provinciale soit définitive et non susceptible de contrôle par un juge d’une cour supérieure? — Les termes [</w:t>
            </w:r>
            <w:r w:rsidRPr="00776E55">
              <w:rPr>
                <w:smallCaps/>
                <w:sz w:val="20"/>
                <w:lang w:val="fr-CA"/>
              </w:rPr>
              <w:t>traduction</w:t>
            </w:r>
            <w:r w:rsidRPr="00776E55">
              <w:rPr>
                <w:sz w:val="20"/>
                <w:lang w:val="fr-CA"/>
              </w:rPr>
              <w:t xml:space="preserve">] « décision de la cour [. . .] pas susceptible d’appel » signifient pas susceptible d’appel — </w:t>
            </w:r>
            <w:r w:rsidRPr="00776E55">
              <w:rPr>
                <w:i/>
                <w:iCs/>
                <w:sz w:val="20"/>
                <w:lang w:val="fr-CA"/>
              </w:rPr>
              <w:t>Arbitration Act</w:t>
            </w:r>
            <w:r w:rsidRPr="00776E55">
              <w:rPr>
                <w:sz w:val="20"/>
                <w:lang w:val="fr-CA"/>
              </w:rPr>
              <w:t>, R.S.A. 2000, c. A-43, art. 7.</w:t>
            </w:r>
          </w:p>
          <w:p w:rsidR="00FB0311" w:rsidRPr="00776E55" w:rsidRDefault="00FB0311" w:rsidP="00FB0311">
            <w:pPr>
              <w:jc w:val="both"/>
              <w:rPr>
                <w:sz w:val="20"/>
                <w:lang w:val="fr-CA"/>
              </w:rPr>
            </w:pPr>
          </w:p>
        </w:tc>
      </w:tr>
      <w:tr w:rsidR="00FB0311" w:rsidRPr="001E30F0" w:rsidTr="00FB0311">
        <w:tc>
          <w:tcPr>
            <w:tcW w:w="5000" w:type="pct"/>
            <w:gridSpan w:val="4"/>
          </w:tcPr>
          <w:p w:rsidR="00FB0311" w:rsidRPr="00776E55" w:rsidRDefault="00FB0311" w:rsidP="00FB0311">
            <w:pPr>
              <w:jc w:val="both"/>
              <w:rPr>
                <w:sz w:val="20"/>
                <w:lang w:val="fr-CA"/>
              </w:rPr>
            </w:pPr>
            <w:r w:rsidRPr="00776E55">
              <w:rPr>
                <w:sz w:val="20"/>
                <w:lang w:val="fr-CA"/>
              </w:rPr>
              <w:t>La demanderesse a contracté avec les intimées. Les contrats prévoyaient que tout différend serait réglé par voie d’arbitrage. Un différend est survenu et plutôt que de procéder à l’arbitrage, la demanderesse a intenté une action civile contre les intimées.</w:t>
            </w:r>
          </w:p>
          <w:p w:rsidR="00FB0311" w:rsidRPr="00776E55" w:rsidRDefault="00FB0311" w:rsidP="00FB0311">
            <w:pPr>
              <w:jc w:val="both"/>
              <w:rPr>
                <w:sz w:val="20"/>
                <w:lang w:val="fr-CA"/>
              </w:rPr>
            </w:pPr>
          </w:p>
          <w:p w:rsidR="00FB0311" w:rsidRPr="00776E55" w:rsidRDefault="00FB0311" w:rsidP="00FB0311">
            <w:pPr>
              <w:jc w:val="both"/>
              <w:rPr>
                <w:sz w:val="20"/>
                <w:lang w:val="fr-CA"/>
              </w:rPr>
            </w:pPr>
            <w:r w:rsidRPr="00776E55">
              <w:rPr>
                <w:sz w:val="20"/>
                <w:lang w:val="fr-CA"/>
              </w:rPr>
              <w:t>Les intimées ont opposé une défense à la déclaration et ont par la suite, en vertu du par. 7(1) de l’</w:t>
            </w:r>
            <w:r w:rsidRPr="00776E55">
              <w:rPr>
                <w:i/>
                <w:sz w:val="20"/>
                <w:lang w:val="fr-CA"/>
              </w:rPr>
              <w:t>Arbitration Act (</w:t>
            </w:r>
            <w:r w:rsidRPr="00776E55">
              <w:rPr>
                <w:sz w:val="20"/>
                <w:lang w:val="fr-CA"/>
              </w:rPr>
              <w:t>« </w:t>
            </w:r>
            <w:r w:rsidRPr="00776E55">
              <w:rPr>
                <w:i/>
                <w:sz w:val="20"/>
                <w:lang w:val="fr-CA"/>
              </w:rPr>
              <w:t>Loi</w:t>
            </w:r>
            <w:r w:rsidRPr="00776E55">
              <w:rPr>
                <w:sz w:val="20"/>
                <w:lang w:val="fr-CA"/>
              </w:rPr>
              <w:t> »</w:t>
            </w:r>
            <w:r w:rsidRPr="00776E55">
              <w:rPr>
                <w:i/>
                <w:sz w:val="20"/>
                <w:lang w:val="fr-CA"/>
              </w:rPr>
              <w:t>)</w:t>
            </w:r>
            <w:r w:rsidRPr="00776E55">
              <w:rPr>
                <w:sz w:val="20"/>
                <w:lang w:val="fr-CA"/>
              </w:rPr>
              <w:t>, demandé à un protonotaire en chambre (maintenant appelé [</w:t>
            </w:r>
            <w:r w:rsidRPr="00776E55">
              <w:rPr>
                <w:smallCaps/>
                <w:sz w:val="20"/>
                <w:lang w:val="fr-CA"/>
              </w:rPr>
              <w:t>traduction</w:t>
            </w:r>
            <w:r w:rsidRPr="00776E55">
              <w:rPr>
                <w:sz w:val="20"/>
                <w:lang w:val="fr-CA"/>
              </w:rPr>
              <w:t xml:space="preserve">] « juge saisi de la demande ») de la Cour du Banc du Roi de suspendre ou de radier l’action civile. L’article 7 de la </w:t>
            </w:r>
            <w:r w:rsidRPr="00776E55">
              <w:rPr>
                <w:i/>
                <w:sz w:val="20"/>
                <w:lang w:val="fr-CA"/>
              </w:rPr>
              <w:t>Loi</w:t>
            </w:r>
            <w:r w:rsidRPr="00776E55">
              <w:rPr>
                <w:sz w:val="20"/>
                <w:lang w:val="fr-CA"/>
              </w:rPr>
              <w:t xml:space="preserve"> habilite la cour à suspendre un litige lorsqu’il existe une convention d’arbitrage exécutoire, sous réserve d’exceptions limitées, et prévoit que la [</w:t>
            </w:r>
            <w:r w:rsidRPr="00776E55">
              <w:rPr>
                <w:smallCaps/>
                <w:sz w:val="20"/>
                <w:lang w:val="fr-CA"/>
              </w:rPr>
              <w:t>traduction</w:t>
            </w:r>
            <w:r w:rsidRPr="00776E55">
              <w:rPr>
                <w:sz w:val="20"/>
                <w:lang w:val="fr-CA"/>
              </w:rPr>
              <w:t>] « décision de la cour rendue en vertu du présent article n’est pas susceptible d’appel ».</w:t>
            </w:r>
          </w:p>
          <w:p w:rsidR="00FB0311" w:rsidRPr="00776E55" w:rsidRDefault="00FB0311" w:rsidP="00FB0311">
            <w:pPr>
              <w:jc w:val="both"/>
              <w:rPr>
                <w:color w:val="000000" w:themeColor="text1"/>
                <w:sz w:val="20"/>
                <w:lang w:val="fr-CA"/>
              </w:rPr>
            </w:pPr>
          </w:p>
          <w:p w:rsidR="00FB0311" w:rsidRPr="00776E55" w:rsidRDefault="00FB0311" w:rsidP="00FB0311">
            <w:pPr>
              <w:jc w:val="both"/>
              <w:rPr>
                <w:color w:val="000000" w:themeColor="text1"/>
                <w:sz w:val="20"/>
                <w:lang w:val="fr-CA"/>
              </w:rPr>
            </w:pPr>
            <w:r w:rsidRPr="00776E55">
              <w:rPr>
                <w:color w:val="000000" w:themeColor="text1"/>
                <w:sz w:val="20"/>
                <w:lang w:val="fr-CA"/>
              </w:rPr>
              <w:t>Le protonotaire en chambre a rejeté les demandes de suspension ou de radiation; plutôt que de s’appuyer sur l’art. 7</w:t>
            </w:r>
            <w:r w:rsidRPr="00776E55">
              <w:rPr>
                <w:sz w:val="20"/>
                <w:lang w:val="fr-CA"/>
              </w:rPr>
              <w:t xml:space="preserve"> de la </w:t>
            </w:r>
            <w:r w:rsidRPr="00776E55">
              <w:rPr>
                <w:i/>
                <w:sz w:val="20"/>
                <w:lang w:val="fr-CA"/>
              </w:rPr>
              <w:t>Loi</w:t>
            </w:r>
            <w:r w:rsidRPr="00776E55">
              <w:rPr>
                <w:color w:val="000000" w:themeColor="text1"/>
                <w:sz w:val="20"/>
                <w:lang w:val="fr-CA"/>
              </w:rPr>
              <w:t>, il s’est fondé sur son pouvoir de surveillance pour permettre à l’action de suivre son cours.</w:t>
            </w:r>
          </w:p>
          <w:p w:rsidR="00FB0311" w:rsidRPr="00776E55" w:rsidRDefault="00FB0311" w:rsidP="00FB0311">
            <w:pPr>
              <w:jc w:val="both"/>
              <w:rPr>
                <w:color w:val="000000" w:themeColor="text1"/>
                <w:sz w:val="20"/>
                <w:lang w:val="fr-CA"/>
              </w:rPr>
            </w:pPr>
          </w:p>
          <w:p w:rsidR="00FB0311" w:rsidRPr="00776E55" w:rsidRDefault="00FB0311" w:rsidP="00FB0311">
            <w:pPr>
              <w:jc w:val="both"/>
              <w:rPr>
                <w:sz w:val="20"/>
                <w:lang w:val="fr-CA"/>
              </w:rPr>
            </w:pPr>
            <w:r w:rsidRPr="00776E55">
              <w:rPr>
                <w:color w:val="000000" w:themeColor="text1"/>
                <w:sz w:val="20"/>
                <w:lang w:val="fr-CA"/>
              </w:rPr>
              <w:t>La juge en chambre a rejeté la demande des demanderesses pour faire radier les appels des intimées — du point de vue de l’interprétation des lois, le par. 7(6) n’interdisait pas un appel devant un juge en chambre. La juge a accueilli les appels des intimées et radié l’action civile de la demanderesse</w:t>
            </w:r>
            <w:r w:rsidRPr="00776E55">
              <w:rPr>
                <w:sz w:val="20"/>
                <w:lang w:val="fr-CA"/>
              </w:rPr>
              <w:t>.</w:t>
            </w:r>
          </w:p>
          <w:p w:rsidR="00FB0311" w:rsidRPr="00776E55" w:rsidRDefault="00FB0311" w:rsidP="00FB0311">
            <w:pPr>
              <w:jc w:val="both"/>
              <w:rPr>
                <w:sz w:val="20"/>
                <w:lang w:val="fr-CA"/>
              </w:rPr>
            </w:pPr>
          </w:p>
          <w:p w:rsidR="00FB0311" w:rsidRPr="00776E55" w:rsidRDefault="00FB0311" w:rsidP="00FB0311">
            <w:pPr>
              <w:jc w:val="both"/>
              <w:rPr>
                <w:sz w:val="20"/>
                <w:lang w:val="fr-CA"/>
              </w:rPr>
            </w:pPr>
            <w:r w:rsidRPr="00776E55">
              <w:rPr>
                <w:sz w:val="20"/>
                <w:lang w:val="fr-CA"/>
              </w:rPr>
              <w:t>Les juges majoritaires de la Cour d’appel ont rejeté l’appel de la demanderesse en grande partie pour les motifs donnés par la juge en chambre. Le juge dissident aurait accueilli l’appel de manière à ce que la décision du protonotaire demeure en vigueur.</w:t>
            </w:r>
          </w:p>
        </w:tc>
      </w:tr>
      <w:tr w:rsidR="00FB0311" w:rsidRPr="001E30F0" w:rsidTr="00FB0311">
        <w:tc>
          <w:tcPr>
            <w:tcW w:w="5000" w:type="pct"/>
            <w:gridSpan w:val="4"/>
          </w:tcPr>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20 janvier 2020</w:t>
            </w:r>
          </w:p>
          <w:p w:rsidR="00FB0311" w:rsidRPr="00776E55" w:rsidRDefault="00FB0311" w:rsidP="00FB0311">
            <w:pPr>
              <w:jc w:val="both"/>
              <w:rPr>
                <w:sz w:val="20"/>
                <w:lang w:val="fr-CA"/>
              </w:rPr>
            </w:pPr>
            <w:r w:rsidRPr="00776E55">
              <w:rPr>
                <w:sz w:val="20"/>
                <w:lang w:val="fr-CA"/>
              </w:rPr>
              <w:t>Cour du Banc du Roi de l’Alberta</w:t>
            </w:r>
          </w:p>
          <w:p w:rsidR="00FB0311" w:rsidRPr="00776E55" w:rsidRDefault="00FB0311" w:rsidP="00FB0311">
            <w:pPr>
              <w:jc w:val="both"/>
              <w:rPr>
                <w:sz w:val="20"/>
                <w:lang w:val="fr-CA"/>
              </w:rPr>
            </w:pPr>
            <w:r w:rsidRPr="00776E55">
              <w:rPr>
                <w:sz w:val="20"/>
                <w:lang w:val="fr-CA"/>
              </w:rPr>
              <w:t>(Protonotaire Prowse)</w:t>
            </w:r>
          </w:p>
          <w:p w:rsidR="00FB0311" w:rsidRPr="00776E55" w:rsidRDefault="001E30F0" w:rsidP="00FB0311">
            <w:pPr>
              <w:jc w:val="both"/>
              <w:rPr>
                <w:sz w:val="20"/>
                <w:lang w:val="fr-CA"/>
              </w:rPr>
            </w:pPr>
            <w:hyperlink r:id="rId70" w:history="1">
              <w:r w:rsidR="00FB0311" w:rsidRPr="00776E55">
                <w:rPr>
                  <w:rStyle w:val="Hyperlink"/>
                  <w:sz w:val="20"/>
                  <w:lang w:val="fr-CA"/>
                </w:rPr>
                <w:t>2020 ABQB 53</w:t>
              </w:r>
            </w:hyperlink>
            <w:r w:rsidR="00FB0311" w:rsidRPr="00776E55">
              <w:rPr>
                <w:sz w:val="20"/>
                <w:lang w:val="fr-CA"/>
              </w:rPr>
              <w:t>; dossier 160103869</w:t>
            </w:r>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Rejet des demandes présentées par les intimées pour faire suspendre ou radier l’action civile intentée contre eux</w:t>
            </w: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22 décembre 2020</w:t>
            </w:r>
          </w:p>
          <w:p w:rsidR="00FB0311" w:rsidRPr="00776E55" w:rsidRDefault="00FB0311" w:rsidP="00FB0311">
            <w:pPr>
              <w:jc w:val="both"/>
              <w:rPr>
                <w:sz w:val="20"/>
                <w:lang w:val="fr-CA"/>
              </w:rPr>
            </w:pPr>
            <w:r w:rsidRPr="00776E55">
              <w:rPr>
                <w:sz w:val="20"/>
                <w:lang w:val="fr-CA"/>
              </w:rPr>
              <w:t>Cour du Banc du Roi de l’Alberta</w:t>
            </w:r>
          </w:p>
          <w:p w:rsidR="00FB0311" w:rsidRPr="00776E55" w:rsidRDefault="00FB0311" w:rsidP="00FB0311">
            <w:pPr>
              <w:jc w:val="both"/>
              <w:rPr>
                <w:sz w:val="20"/>
                <w:lang w:val="fr-CA"/>
              </w:rPr>
            </w:pPr>
            <w:r w:rsidRPr="00776E55">
              <w:rPr>
                <w:sz w:val="20"/>
                <w:lang w:val="fr-CA"/>
              </w:rPr>
              <w:t>(Juge Dilts)</w:t>
            </w:r>
          </w:p>
          <w:p w:rsidR="00FB0311" w:rsidRPr="00776E55" w:rsidRDefault="001E30F0" w:rsidP="00FB0311">
            <w:pPr>
              <w:jc w:val="both"/>
              <w:rPr>
                <w:sz w:val="20"/>
                <w:lang w:val="fr-CA"/>
              </w:rPr>
            </w:pPr>
            <w:hyperlink r:id="rId71" w:history="1">
              <w:r w:rsidR="00FB0311" w:rsidRPr="00776E55">
                <w:rPr>
                  <w:rStyle w:val="Hyperlink"/>
                  <w:sz w:val="20"/>
                  <w:lang w:val="fr-CA"/>
                </w:rPr>
                <w:t>2020 ABQB 807</w:t>
              </w:r>
            </w:hyperlink>
            <w:r w:rsidR="00FB0311" w:rsidRPr="00776E55">
              <w:rPr>
                <w:sz w:val="20"/>
                <w:lang w:val="fr-CA"/>
              </w:rPr>
              <w:t>; dossier 160103869</w:t>
            </w:r>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Jugement accueillant les appels des intimées et radiant l’action civile intentée contre eux</w:t>
            </w: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8 août 2022</w:t>
            </w:r>
          </w:p>
          <w:p w:rsidR="00FB0311" w:rsidRPr="00776E55" w:rsidRDefault="00FB0311" w:rsidP="00FB0311">
            <w:pPr>
              <w:jc w:val="both"/>
              <w:rPr>
                <w:sz w:val="20"/>
                <w:lang w:val="fr-CA"/>
              </w:rPr>
            </w:pPr>
            <w:r w:rsidRPr="00776E55">
              <w:rPr>
                <w:sz w:val="20"/>
                <w:lang w:val="fr-CA"/>
              </w:rPr>
              <w:t>Cour d’appel de l’Alberta (Calgary)</w:t>
            </w:r>
          </w:p>
          <w:p w:rsidR="00FB0311" w:rsidRPr="00776E55" w:rsidRDefault="00FB0311" w:rsidP="00FB0311">
            <w:pPr>
              <w:jc w:val="both"/>
              <w:rPr>
                <w:sz w:val="20"/>
              </w:rPr>
            </w:pPr>
            <w:r w:rsidRPr="00776E55">
              <w:rPr>
                <w:sz w:val="20"/>
              </w:rPr>
              <w:t>(Juges Wakeling, Crighton et Ho)</w:t>
            </w:r>
          </w:p>
          <w:p w:rsidR="00FB0311" w:rsidRPr="00776E55" w:rsidRDefault="001E30F0" w:rsidP="00FB0311">
            <w:pPr>
              <w:jc w:val="both"/>
              <w:rPr>
                <w:sz w:val="20"/>
              </w:rPr>
            </w:pPr>
            <w:hyperlink r:id="rId72" w:history="1">
              <w:r w:rsidR="00FB0311" w:rsidRPr="00776E55">
                <w:rPr>
                  <w:rStyle w:val="Hyperlink"/>
                  <w:sz w:val="20"/>
                </w:rPr>
                <w:t>2022 ABCA 266</w:t>
              </w:r>
            </w:hyperlink>
            <w:r w:rsidR="00FB0311" w:rsidRPr="00776E55">
              <w:rPr>
                <w:sz w:val="20"/>
              </w:rPr>
              <w:t>; dossier 2101-0020AC</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lang w:val="fr-CA"/>
              </w:rPr>
            </w:pPr>
            <w:r w:rsidRPr="00776E55">
              <w:rPr>
                <w:sz w:val="20"/>
                <w:lang w:val="fr-CA"/>
              </w:rPr>
              <w:t>Rejet de l’appel de la demanderesse</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6 octobre 2022</w:t>
            </w:r>
          </w:p>
          <w:p w:rsidR="00FB0311" w:rsidRPr="00776E55" w:rsidRDefault="00FB0311" w:rsidP="00B11469">
            <w:pPr>
              <w:jc w:val="both"/>
              <w:rPr>
                <w:sz w:val="20"/>
                <w:lang w:val="fr-CA"/>
              </w:rPr>
            </w:pPr>
            <w:r w:rsidRPr="00776E55">
              <w:rPr>
                <w:sz w:val="20"/>
                <w:lang w:val="fr-CA"/>
              </w:rPr>
              <w:t>Cour suprême du Canada</w:t>
            </w: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Dépôt de la demande d’autorisation d’appel</w:t>
            </w:r>
          </w:p>
        </w:tc>
      </w:tr>
    </w:tbl>
    <w:p w:rsidR="00FB0311" w:rsidRPr="00776E55" w:rsidRDefault="00FB0311" w:rsidP="00FB0311">
      <w:pPr>
        <w:jc w:val="both"/>
        <w:rPr>
          <w:sz w:val="20"/>
          <w:lang w:val="fr-CA"/>
        </w:rPr>
      </w:pPr>
    </w:p>
    <w:p w:rsidR="00B11469" w:rsidRPr="00776E55" w:rsidRDefault="001E30F0" w:rsidP="00FB0311">
      <w:pPr>
        <w:jc w:val="both"/>
        <w:rPr>
          <w:sz w:val="20"/>
          <w:lang w:val="fr-CA"/>
        </w:rPr>
      </w:pPr>
      <w:r>
        <w:rPr>
          <w:sz w:val="20"/>
        </w:rPr>
        <w:pict>
          <v:rect id="_x0000_i1052" style="width:2in;height:1pt" o:hrpct="0" o:hralign="center" o:hrstd="t" o:hrnoshade="t" o:hr="t" fillcolor="black [3213]" stroked="f"/>
        </w:pict>
      </w:r>
    </w:p>
    <w:p w:rsidR="00B11469" w:rsidRPr="00776E55" w:rsidRDefault="00B11469" w:rsidP="00FB03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rPr>
            </w:pPr>
            <w:r w:rsidRPr="00776E55">
              <w:rPr>
                <w:rStyle w:val="SCCFileNumberChar"/>
                <w:sz w:val="20"/>
                <w:szCs w:val="20"/>
              </w:rPr>
              <w:t>40436</w:t>
            </w:r>
          </w:p>
        </w:tc>
        <w:tc>
          <w:tcPr>
            <w:tcW w:w="4457" w:type="pct"/>
            <w:gridSpan w:val="3"/>
          </w:tcPr>
          <w:p w:rsidR="00FB0311" w:rsidRPr="00776E55" w:rsidRDefault="00FB0311" w:rsidP="00FB0311">
            <w:pPr>
              <w:pStyle w:val="SCCLsocParty"/>
              <w:jc w:val="both"/>
              <w:rPr>
                <w:b/>
                <w:sz w:val="20"/>
                <w:szCs w:val="20"/>
                <w:lang w:val="en-US"/>
              </w:rPr>
            </w:pPr>
            <w:r w:rsidRPr="00776E55">
              <w:rPr>
                <w:b/>
                <w:sz w:val="20"/>
                <w:szCs w:val="20"/>
                <w:lang w:val="en-US"/>
              </w:rPr>
              <w:t>Loblaw Companies Limited, Loblaws Inc., George Weston Limited, Weston Food Distribution Inc., Weston Foods (Canada) Inc. v. James Govan</w:t>
            </w:r>
          </w:p>
          <w:p w:rsidR="00FB0311" w:rsidRPr="00776E55" w:rsidRDefault="00FB0311" w:rsidP="00FB0311">
            <w:pPr>
              <w:pStyle w:val="SCCLsocOtherPartySeparator"/>
              <w:rPr>
                <w:sz w:val="20"/>
                <w:szCs w:val="20"/>
                <w:lang w:val="en-US"/>
              </w:rPr>
            </w:pPr>
            <w:r w:rsidRPr="00776E55">
              <w:rPr>
                <w:sz w:val="20"/>
                <w:szCs w:val="20"/>
                <w:lang w:val="en-US"/>
              </w:rPr>
              <w:t>- and -</w:t>
            </w:r>
          </w:p>
          <w:p w:rsidR="00FB0311" w:rsidRPr="00776E55" w:rsidRDefault="00FB0311" w:rsidP="00FB0311">
            <w:pPr>
              <w:pStyle w:val="SCCLsocParty"/>
              <w:jc w:val="both"/>
              <w:rPr>
                <w:b/>
                <w:sz w:val="20"/>
                <w:szCs w:val="20"/>
                <w:lang w:val="en-US"/>
              </w:rPr>
            </w:pPr>
            <w:r w:rsidRPr="00776E55">
              <w:rPr>
                <w:b/>
                <w:sz w:val="20"/>
                <w:szCs w:val="20"/>
                <w:lang w:val="en-US"/>
              </w:rPr>
              <w:t>Metro Inc., Sobeys Quebec Inc., Sobeys Capital Incorporated, Sobeys Inc., Wal-Mart Canada Corp., Canada Bread Company, Giant Tiger Stores Limited</w:t>
            </w:r>
          </w:p>
          <w:p w:rsidR="00FB0311" w:rsidRPr="00776E55" w:rsidRDefault="00FB0311" w:rsidP="00FB0311">
            <w:pPr>
              <w:jc w:val="both"/>
              <w:rPr>
                <w:sz w:val="20"/>
              </w:rPr>
            </w:pPr>
            <w:r w:rsidRPr="00776E55">
              <w:rPr>
                <w:sz w:val="20"/>
              </w:rPr>
              <w:t>(Que.) (Civil) (By Leave)</w:t>
            </w:r>
          </w:p>
        </w:tc>
      </w:tr>
      <w:tr w:rsidR="00FB0311" w:rsidRPr="00776E55" w:rsidTr="00FB0311">
        <w:tc>
          <w:tcPr>
            <w:tcW w:w="5000" w:type="pct"/>
            <w:gridSpan w:val="4"/>
          </w:tcPr>
          <w:p w:rsidR="00FB0311" w:rsidRPr="00776E55" w:rsidRDefault="00FB0311" w:rsidP="00FB0311">
            <w:pPr>
              <w:jc w:val="both"/>
              <w:rPr>
                <w:sz w:val="20"/>
              </w:rPr>
            </w:pPr>
            <w:r w:rsidRPr="00776E55">
              <w:rPr>
                <w:sz w:val="20"/>
              </w:rPr>
              <w:t>Civil Procedure — Class actions — Case management — Pre-trial examinations for discovery — Informer privilege — Applicants alleged to have participated in price-fixing scheme for packaged bread products — Class action certified — Case management judge ordering pre-trial examination for discovery of corporate representative for applicants — Applicants objecting to examination procedure as failing to protect principle of informer privilege — Court of Appeal refusing to grant leave to appeal case management order — Whether protection of informer privilege in civil proceedings is issue of national importance — Whether guidelines on managing informer privilege in civil litigation are required — Whether case management judge failed to protect informer privilege — Whether decisions of courts below expose informers to potential retribution if information that could identify them is disclosed — Whether decisions below create disincentive for other witnesses to cooperate — Whether decisions below contradict previous orders and are at odds with jurisprudence, and create uncertainty in the law.</w:t>
            </w:r>
          </w:p>
        </w:tc>
      </w:tr>
      <w:tr w:rsidR="00FB0311" w:rsidRPr="00776E55" w:rsidTr="00FB0311">
        <w:tc>
          <w:tcPr>
            <w:tcW w:w="5000" w:type="pct"/>
            <w:gridSpan w:val="4"/>
          </w:tcPr>
          <w:p w:rsidR="00FB0311" w:rsidRPr="00776E55" w:rsidRDefault="00FB0311" w:rsidP="00FB0311">
            <w:pPr>
              <w:jc w:val="both"/>
              <w:rPr>
                <w:sz w:val="20"/>
              </w:rPr>
            </w:pPr>
          </w:p>
        </w:tc>
      </w:tr>
      <w:tr w:rsidR="00FB0311" w:rsidRPr="00776E55" w:rsidTr="00FB0311">
        <w:tc>
          <w:tcPr>
            <w:tcW w:w="5000" w:type="pct"/>
            <w:gridSpan w:val="4"/>
          </w:tcPr>
          <w:p w:rsidR="00FB0311" w:rsidRPr="00776E55" w:rsidRDefault="00FB0311" w:rsidP="00FB0311">
            <w:pPr>
              <w:jc w:val="both"/>
              <w:rPr>
                <w:sz w:val="20"/>
              </w:rPr>
            </w:pPr>
            <w:r w:rsidRPr="00776E55">
              <w:rPr>
                <w:sz w:val="20"/>
              </w:rPr>
              <w:t>In 2017, the federal Competition Bureau launched an investigation concerning an alleged price-fixing scheme with respect to certain packaged bread products. While the investigation was ongoing, plaintiffs commenced class actions in several provinces, against various bread manufacturers and retailers, including the applicants — Loblaw Companies Limited, Loblaws Inc., George Weston Limited, Weston Food Distribution Inc., Weston Foods (Canada) Inc. (hereinafter “Loblaws/Weston”). A Quebec class action was authorized in 2019, with the respondent James Govan named as representative plaintiff; statements of defence were filed and documentary production was begun. In June 2022, during a case management conference, the case management judge at the Quebec Superior Court issued a series of procedural decisions and orders with respect to pre-trial examination and discovery, including the selection and identification of a representative for Loblaws/Weston, to undergo a pre-trial examination by Mr. Govan. In August 2022, a single judge of the Quebec Court of Appeal refused Loblaws/Weston leave to appeal the case management conference orders.</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May 20, 2021</w:t>
            </w:r>
          </w:p>
          <w:p w:rsidR="00FB0311" w:rsidRPr="00776E55" w:rsidRDefault="00FB0311" w:rsidP="00FB0311">
            <w:pPr>
              <w:jc w:val="both"/>
              <w:rPr>
                <w:sz w:val="20"/>
              </w:rPr>
            </w:pPr>
            <w:r w:rsidRPr="00776E55">
              <w:rPr>
                <w:sz w:val="20"/>
              </w:rPr>
              <w:t>Superior Court of Quebec (Montréal)</w:t>
            </w:r>
          </w:p>
          <w:p w:rsidR="00FB0311" w:rsidRPr="00776E55" w:rsidRDefault="00FB0311" w:rsidP="00FB0311">
            <w:pPr>
              <w:jc w:val="both"/>
              <w:rPr>
                <w:sz w:val="20"/>
              </w:rPr>
            </w:pPr>
            <w:r w:rsidRPr="00776E55">
              <w:rPr>
                <w:sz w:val="20"/>
              </w:rPr>
              <w:t>(Gagnon J.)</w:t>
            </w:r>
          </w:p>
          <w:p w:rsidR="00FB0311" w:rsidRPr="00776E55" w:rsidRDefault="001E30F0" w:rsidP="00FB0311">
            <w:pPr>
              <w:jc w:val="both"/>
              <w:rPr>
                <w:sz w:val="20"/>
              </w:rPr>
            </w:pPr>
            <w:hyperlink r:id="rId73" w:history="1">
              <w:r w:rsidR="00FB0311" w:rsidRPr="00776E55">
                <w:rPr>
                  <w:rStyle w:val="Hyperlink"/>
                  <w:sz w:val="20"/>
                </w:rPr>
                <w:t>2021 QCCS 2060</w:t>
              </w:r>
            </w:hyperlink>
          </w:p>
          <w:p w:rsidR="00FB0311" w:rsidRPr="00776E55" w:rsidRDefault="00FB0311" w:rsidP="00FB0311">
            <w:pPr>
              <w:jc w:val="both"/>
              <w:rPr>
                <w:sz w:val="20"/>
              </w:rPr>
            </w:pPr>
          </w:p>
          <w:p w:rsidR="00FB0311" w:rsidRPr="00776E55" w:rsidRDefault="00FB0311" w:rsidP="00FB0311">
            <w:pPr>
              <w:jc w:val="both"/>
              <w:rPr>
                <w:sz w:val="20"/>
              </w:rPr>
            </w:pPr>
            <w:r w:rsidRPr="00776E55">
              <w:rPr>
                <w:sz w:val="20"/>
              </w:rPr>
              <w:t>December 20, 2021</w:t>
            </w:r>
          </w:p>
          <w:p w:rsidR="00FB0311" w:rsidRPr="00776E55" w:rsidRDefault="00FB0311" w:rsidP="00FB0311">
            <w:pPr>
              <w:jc w:val="both"/>
              <w:rPr>
                <w:sz w:val="20"/>
              </w:rPr>
            </w:pPr>
            <w:r w:rsidRPr="00776E55">
              <w:rPr>
                <w:sz w:val="20"/>
              </w:rPr>
              <w:t>Court of Appeal of Quebec (Montréal)</w:t>
            </w:r>
          </w:p>
          <w:p w:rsidR="00FB0311" w:rsidRPr="00776E55" w:rsidRDefault="00FB0311" w:rsidP="00FB0311">
            <w:pPr>
              <w:jc w:val="both"/>
              <w:rPr>
                <w:sz w:val="20"/>
              </w:rPr>
            </w:pPr>
            <w:r w:rsidRPr="00776E55">
              <w:rPr>
                <w:sz w:val="20"/>
              </w:rPr>
              <w:t>(Savard, Marcotte and Gagné JJ.A.)</w:t>
            </w:r>
          </w:p>
          <w:p w:rsidR="00FB0311" w:rsidRPr="00776E55" w:rsidRDefault="001E30F0" w:rsidP="00FB0311">
            <w:pPr>
              <w:jc w:val="both"/>
              <w:rPr>
                <w:sz w:val="20"/>
              </w:rPr>
            </w:pPr>
            <w:hyperlink r:id="rId74" w:history="1">
              <w:r w:rsidR="00FB0311" w:rsidRPr="00776E55">
                <w:rPr>
                  <w:rStyle w:val="Hyperlink"/>
                  <w:sz w:val="20"/>
                </w:rPr>
                <w:t>2021 QCCA 1914</w:t>
              </w:r>
            </w:hyperlink>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Case protocol established for class action; request for pre-trial examination of Loblaws/Weston representative refused</w:t>
            </w:r>
          </w:p>
          <w:p w:rsidR="00FB0311" w:rsidRPr="00776E55" w:rsidRDefault="00FB0311" w:rsidP="00FB0311">
            <w:pPr>
              <w:jc w:val="both"/>
              <w:rPr>
                <w:sz w:val="20"/>
              </w:rPr>
            </w:pPr>
          </w:p>
          <w:p w:rsidR="00FB0311" w:rsidRPr="00776E55" w:rsidRDefault="00FB0311" w:rsidP="00FB0311">
            <w:pPr>
              <w:jc w:val="both"/>
              <w:rPr>
                <w:sz w:val="20"/>
              </w:rPr>
            </w:pPr>
          </w:p>
          <w:p w:rsidR="00FB0311" w:rsidRPr="00776E55" w:rsidRDefault="00FB0311" w:rsidP="00FB0311">
            <w:pPr>
              <w:jc w:val="both"/>
              <w:rPr>
                <w:sz w:val="20"/>
              </w:rPr>
            </w:pPr>
            <w:r w:rsidRPr="00776E55">
              <w:rPr>
                <w:sz w:val="20"/>
              </w:rPr>
              <w:t>Mr. Govan’s appeal allowed in part, to modify case protocol so as to remove refusal to order pre-trial examination of Loblaws/Weston representative; matter remitted to Superior Court to determine modalities for examination</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June 30, 2022</w:t>
            </w:r>
          </w:p>
          <w:p w:rsidR="00FB0311" w:rsidRPr="00776E55" w:rsidRDefault="00FB0311" w:rsidP="00FB0311">
            <w:pPr>
              <w:jc w:val="both"/>
              <w:rPr>
                <w:sz w:val="20"/>
              </w:rPr>
            </w:pPr>
            <w:r w:rsidRPr="00776E55">
              <w:rPr>
                <w:sz w:val="20"/>
              </w:rPr>
              <w:t>Superior Court of Quebec (Montréal)</w:t>
            </w:r>
          </w:p>
          <w:p w:rsidR="00FB0311" w:rsidRPr="00776E55" w:rsidRDefault="00FB0311" w:rsidP="00FB0311">
            <w:pPr>
              <w:jc w:val="both"/>
              <w:rPr>
                <w:sz w:val="20"/>
              </w:rPr>
            </w:pPr>
            <w:r w:rsidRPr="00776E55">
              <w:rPr>
                <w:sz w:val="20"/>
              </w:rPr>
              <w:t>(Lacoste J.)</w:t>
            </w:r>
          </w:p>
          <w:p w:rsidR="00FB0311" w:rsidRPr="00776E55" w:rsidRDefault="00FB0311" w:rsidP="00FB0311">
            <w:pPr>
              <w:jc w:val="both"/>
              <w:rPr>
                <w:sz w:val="20"/>
              </w:rPr>
            </w:pPr>
            <w:r w:rsidRPr="00776E55">
              <w:rPr>
                <w:sz w:val="20"/>
              </w:rPr>
              <w:t>File no. 500-06-000888-178</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Case management conference — various orders issued, including pre-trial examination of Loblaws/Weston representative</w:t>
            </w:r>
          </w:p>
        </w:tc>
      </w:tr>
      <w:tr w:rsidR="00FB0311" w:rsidRPr="00776E55" w:rsidTr="00FB0311">
        <w:tc>
          <w:tcPr>
            <w:tcW w:w="2427" w:type="pct"/>
            <w:gridSpan w:val="2"/>
          </w:tcPr>
          <w:p w:rsidR="00FB0311" w:rsidRPr="00776E55" w:rsidRDefault="00FB0311" w:rsidP="00FB0311">
            <w:pPr>
              <w:jc w:val="both"/>
              <w:rPr>
                <w:sz w:val="20"/>
              </w:rPr>
            </w:pPr>
            <w:r w:rsidRPr="00776E55">
              <w:rPr>
                <w:sz w:val="20"/>
              </w:rPr>
              <w:t>August 23, 2022</w:t>
            </w:r>
          </w:p>
          <w:p w:rsidR="00FB0311" w:rsidRPr="00776E55" w:rsidRDefault="00FB0311" w:rsidP="00FB0311">
            <w:pPr>
              <w:jc w:val="both"/>
              <w:rPr>
                <w:sz w:val="20"/>
              </w:rPr>
            </w:pPr>
            <w:r w:rsidRPr="00776E55">
              <w:rPr>
                <w:sz w:val="20"/>
              </w:rPr>
              <w:t>Court of Appeal of Quebec (Montréal)</w:t>
            </w:r>
          </w:p>
          <w:p w:rsidR="00FB0311" w:rsidRPr="00776E55" w:rsidRDefault="00FB0311" w:rsidP="00FB0311">
            <w:pPr>
              <w:jc w:val="both"/>
              <w:rPr>
                <w:sz w:val="20"/>
                <w:lang w:val="fr-CA"/>
              </w:rPr>
            </w:pPr>
            <w:r w:rsidRPr="00776E55">
              <w:rPr>
                <w:sz w:val="20"/>
                <w:lang w:val="fr-CA"/>
              </w:rPr>
              <w:t>(Mainville J.A.)</w:t>
            </w:r>
          </w:p>
          <w:p w:rsidR="00FB0311" w:rsidRPr="00776E55" w:rsidRDefault="001E30F0" w:rsidP="00FB0311">
            <w:pPr>
              <w:jc w:val="both"/>
              <w:rPr>
                <w:sz w:val="20"/>
                <w:lang w:val="fr-CA"/>
              </w:rPr>
            </w:pPr>
            <w:hyperlink r:id="rId75" w:history="1">
              <w:r w:rsidR="00FB0311" w:rsidRPr="00776E55">
                <w:rPr>
                  <w:rStyle w:val="Hyperlink"/>
                  <w:sz w:val="20"/>
                  <w:lang w:val="fr-CA"/>
                </w:rPr>
                <w:t>2022 QCCA 115</w:t>
              </w:r>
            </w:hyperlink>
          </w:p>
          <w:p w:rsidR="00FB0311" w:rsidRPr="00776E55" w:rsidRDefault="00FB0311" w:rsidP="00FB0311">
            <w:pPr>
              <w:jc w:val="both"/>
              <w:rPr>
                <w:sz w:val="20"/>
                <w:lang w:val="fr-CA"/>
              </w:rPr>
            </w:pPr>
          </w:p>
          <w:p w:rsidR="00FB0311" w:rsidRPr="00776E55" w:rsidRDefault="00FB0311" w:rsidP="00FB0311">
            <w:pPr>
              <w:jc w:val="both"/>
              <w:rPr>
                <w:sz w:val="20"/>
                <w:lang w:val="fr-CA"/>
              </w:rPr>
            </w:pPr>
            <w:r w:rsidRPr="00776E55">
              <w:rPr>
                <w:sz w:val="20"/>
                <w:lang w:val="fr-CA"/>
              </w:rPr>
              <w:t>November 25, 2022</w:t>
            </w:r>
          </w:p>
          <w:p w:rsidR="00FB0311" w:rsidRPr="00776E55" w:rsidRDefault="00FB0311" w:rsidP="00FB0311">
            <w:pPr>
              <w:jc w:val="both"/>
              <w:rPr>
                <w:sz w:val="20"/>
              </w:rPr>
            </w:pPr>
            <w:r w:rsidRPr="00776E55">
              <w:rPr>
                <w:sz w:val="20"/>
              </w:rPr>
              <w:t>Court of Appeal of Quebec (Montréal)</w:t>
            </w:r>
          </w:p>
          <w:p w:rsidR="00FB0311" w:rsidRPr="00776E55" w:rsidRDefault="00FB0311" w:rsidP="00FB0311">
            <w:pPr>
              <w:jc w:val="both"/>
              <w:rPr>
                <w:sz w:val="20"/>
              </w:rPr>
            </w:pPr>
            <w:r w:rsidRPr="00776E55">
              <w:rPr>
                <w:sz w:val="20"/>
              </w:rPr>
              <w:t>(Marcotte J.A.)</w:t>
            </w:r>
          </w:p>
          <w:p w:rsidR="00FB0311" w:rsidRPr="00776E55" w:rsidRDefault="001E30F0" w:rsidP="00FB0311">
            <w:pPr>
              <w:jc w:val="both"/>
              <w:rPr>
                <w:sz w:val="20"/>
              </w:rPr>
            </w:pPr>
            <w:hyperlink r:id="rId76" w:history="1">
              <w:r w:rsidR="00FB0311" w:rsidRPr="00776E55">
                <w:rPr>
                  <w:rStyle w:val="Hyperlink"/>
                  <w:sz w:val="20"/>
                </w:rPr>
                <w:t>2022 QCCA 1603</w:t>
              </w:r>
            </w:hyperlink>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Loblaws/Weston’s application for leave to appeal from June 30, 2022 orders — dismissed</w:t>
            </w:r>
          </w:p>
          <w:p w:rsidR="00FB0311" w:rsidRPr="00776E55" w:rsidRDefault="00FB0311" w:rsidP="00FB0311">
            <w:pPr>
              <w:jc w:val="both"/>
              <w:rPr>
                <w:sz w:val="20"/>
              </w:rPr>
            </w:pPr>
          </w:p>
          <w:p w:rsidR="00776E55" w:rsidRPr="00776E55" w:rsidRDefault="00776E55" w:rsidP="00FB0311">
            <w:pPr>
              <w:jc w:val="both"/>
              <w:rPr>
                <w:sz w:val="20"/>
              </w:rPr>
            </w:pPr>
          </w:p>
          <w:p w:rsidR="00FB0311" w:rsidRPr="00776E55" w:rsidRDefault="00FB0311" w:rsidP="00FB0311">
            <w:pPr>
              <w:jc w:val="both"/>
              <w:rPr>
                <w:sz w:val="20"/>
              </w:rPr>
            </w:pPr>
          </w:p>
          <w:p w:rsidR="00FB0311" w:rsidRPr="00776E55" w:rsidRDefault="00FB0311" w:rsidP="00FB0311">
            <w:pPr>
              <w:jc w:val="both"/>
              <w:rPr>
                <w:sz w:val="20"/>
              </w:rPr>
            </w:pPr>
            <w:r w:rsidRPr="00776E55">
              <w:rPr>
                <w:sz w:val="20"/>
              </w:rPr>
              <w:t>Loblaws/Weston’s motion for suspension of execution of Mainville J.A.’s judgment dated August 23, 2022, and for suspension of execution of case management orders — dismissed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October 24, 2022</w:t>
            </w:r>
          </w:p>
          <w:p w:rsidR="00FB0311" w:rsidRPr="00776E55" w:rsidRDefault="00FB0311" w:rsidP="00B11469">
            <w:pPr>
              <w:jc w:val="both"/>
              <w:rPr>
                <w:sz w:val="20"/>
              </w:rPr>
            </w:pPr>
            <w:r w:rsidRPr="00776E55">
              <w:rPr>
                <w:sz w:val="20"/>
              </w:rPr>
              <w:t>Supreme Court of Canada</w:t>
            </w: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 xml:space="preserve">Application for leave to appeal the August 23, 2022 decision of Mainville J.A. </w:t>
            </w:r>
          </w:p>
        </w:tc>
      </w:tr>
    </w:tbl>
    <w:p w:rsidR="00FB0311" w:rsidRPr="00776E55" w:rsidRDefault="00FB0311" w:rsidP="00FB0311">
      <w:pPr>
        <w:jc w:val="both"/>
        <w:rPr>
          <w:sz w:val="20"/>
        </w:rPr>
      </w:pPr>
    </w:p>
    <w:p w:rsidR="00B11469" w:rsidRPr="00776E55" w:rsidRDefault="001E30F0" w:rsidP="00FB0311">
      <w:pPr>
        <w:jc w:val="both"/>
        <w:rPr>
          <w:sz w:val="20"/>
        </w:rPr>
      </w:pPr>
      <w:r>
        <w:rPr>
          <w:sz w:val="20"/>
        </w:rPr>
        <w:pict>
          <v:rect id="_x0000_i1053" style="width:2in;height:1pt" o:hrpct="0" o:hralign="center" o:hrstd="t" o:hrnoshade="t" o:hr="t" fillcolor="black [3213]" stroked="f"/>
        </w:pict>
      </w:r>
    </w:p>
    <w:p w:rsidR="00B11469" w:rsidRPr="00776E55" w:rsidRDefault="00B11469" w:rsidP="00FB03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rPr>
            </w:pPr>
            <w:r w:rsidRPr="00776E55">
              <w:rPr>
                <w:rStyle w:val="SCCFileNumberChar"/>
                <w:sz w:val="20"/>
                <w:szCs w:val="20"/>
              </w:rPr>
              <w:t>40436</w:t>
            </w:r>
          </w:p>
        </w:tc>
        <w:tc>
          <w:tcPr>
            <w:tcW w:w="4457" w:type="pct"/>
            <w:gridSpan w:val="3"/>
          </w:tcPr>
          <w:p w:rsidR="00FB0311" w:rsidRPr="00776E55" w:rsidRDefault="00FB0311" w:rsidP="00FB0311">
            <w:pPr>
              <w:pStyle w:val="SCCLsocParty"/>
              <w:jc w:val="both"/>
              <w:rPr>
                <w:b/>
                <w:sz w:val="20"/>
                <w:szCs w:val="20"/>
                <w:lang w:val="en-US"/>
              </w:rPr>
            </w:pPr>
            <w:r w:rsidRPr="00776E55">
              <w:rPr>
                <w:b/>
                <w:sz w:val="20"/>
                <w:szCs w:val="20"/>
                <w:lang w:val="en-US"/>
              </w:rPr>
              <w:t>Compagnies Loblaw limitée, Loblaws inc., George Weston limitée, Distribution alimentaire Weston inc., Weston Foods (Canada) inc. c. James Govan</w:t>
            </w:r>
          </w:p>
          <w:p w:rsidR="00FB0311" w:rsidRPr="00776E55" w:rsidRDefault="00FB0311" w:rsidP="00FB0311">
            <w:pPr>
              <w:pStyle w:val="SCCLsocOtherPartySeparator"/>
              <w:rPr>
                <w:sz w:val="20"/>
                <w:szCs w:val="20"/>
                <w:lang w:val="en-US"/>
              </w:rPr>
            </w:pPr>
            <w:r w:rsidRPr="00776E55">
              <w:rPr>
                <w:sz w:val="20"/>
                <w:szCs w:val="20"/>
                <w:lang w:val="en-US"/>
              </w:rPr>
              <w:t>- et -</w:t>
            </w:r>
          </w:p>
          <w:p w:rsidR="00FB0311" w:rsidRPr="00776E55" w:rsidRDefault="00FB0311" w:rsidP="00FB0311">
            <w:pPr>
              <w:pStyle w:val="SCCLsocParty"/>
              <w:jc w:val="both"/>
              <w:rPr>
                <w:b/>
                <w:sz w:val="20"/>
                <w:szCs w:val="20"/>
                <w:lang w:val="en-US"/>
              </w:rPr>
            </w:pPr>
            <w:r w:rsidRPr="00776E55">
              <w:rPr>
                <w:b/>
                <w:sz w:val="20"/>
                <w:szCs w:val="20"/>
                <w:lang w:val="en-US"/>
              </w:rPr>
              <w:t>Metro Inc., Sobeys Quebec Inc., Sobeys Capital Incorporated, Sobeys Inc., Wal-Mart Canada Corp., Canada Bread Company, Giant Tiger Stores Limited</w:t>
            </w:r>
          </w:p>
          <w:p w:rsidR="00FB0311" w:rsidRPr="00776E55" w:rsidRDefault="00FB0311" w:rsidP="00B11469">
            <w:pPr>
              <w:jc w:val="both"/>
              <w:rPr>
                <w:sz w:val="20"/>
              </w:rPr>
            </w:pPr>
            <w:r w:rsidRPr="00776E55">
              <w:rPr>
                <w:sz w:val="20"/>
              </w:rPr>
              <w:t>(Q</w:t>
            </w:r>
            <w:r w:rsidR="00B11469" w:rsidRPr="00776E55">
              <w:rPr>
                <w:sz w:val="20"/>
              </w:rPr>
              <w:t>c</w:t>
            </w:r>
            <w:r w:rsidRPr="00776E55">
              <w:rPr>
                <w:sz w:val="20"/>
              </w:rPr>
              <w:t>) (Civile) (Autorisation)</w:t>
            </w:r>
          </w:p>
        </w:tc>
      </w:tr>
      <w:tr w:rsidR="00FB0311" w:rsidRPr="001E30F0" w:rsidTr="00FB0311">
        <w:tc>
          <w:tcPr>
            <w:tcW w:w="5000" w:type="pct"/>
            <w:gridSpan w:val="4"/>
          </w:tcPr>
          <w:p w:rsidR="00FB0311" w:rsidRPr="00776E55" w:rsidRDefault="00FB0311" w:rsidP="00FB0311">
            <w:pPr>
              <w:jc w:val="both"/>
              <w:rPr>
                <w:sz w:val="20"/>
                <w:lang w:val="fr-CA"/>
              </w:rPr>
            </w:pPr>
            <w:r w:rsidRPr="00776E55">
              <w:rPr>
                <w:sz w:val="20"/>
                <w:lang w:val="fr-CA"/>
              </w:rPr>
              <w:t>Procédure civile — Recours collectifs — Gestion de l’instance — Interrogatoires préalables — Privilège de l’indicateur de police — Les demandeurs auraient fait partie d’un cartel de fixation des prix pour des produits de pain emballés — Action collective certifiée — Le juge chargé de la gestion de l’instance ordonne l’interrogatoire préalable du représentant des demandeurs — Les demandeurs s’opposent à la procédure d’interrogatoire au motif qu’elle ne protège pas le principe du privilège de l’indicateur de police — La Cour d’appel refuse d’octroyer l’autorisation d’interjeter appel de l’ordonnance du juge chargé de la gestion de l’instance — La protection du privilège de l’indicateur de police dans les instances civiles est-elle une question d’importance nationale? — Des lignes directrices sur la gestion du privilège de l’indicateur de police dans les litiges civils sont-elles nécessaires? — Le juge chargé de la gestion de l’instance a</w:t>
            </w:r>
            <w:r w:rsidRPr="00776E55">
              <w:rPr>
                <w:sz w:val="20"/>
                <w:lang w:val="fr-CA"/>
              </w:rPr>
              <w:noBreakHyphen/>
              <w:t>t</w:t>
            </w:r>
            <w:r w:rsidRPr="00776E55">
              <w:rPr>
                <w:sz w:val="20"/>
                <w:lang w:val="fr-CA"/>
              </w:rPr>
              <w:noBreakHyphen/>
              <w:t>il omis de protéger le privilège de l’indicateur de police? — Les décisions des juridictions inférieures exposent</w:t>
            </w:r>
            <w:r w:rsidRPr="00776E55">
              <w:rPr>
                <w:sz w:val="20"/>
                <w:lang w:val="fr-CA"/>
              </w:rPr>
              <w:noBreakHyphen/>
              <w:t>elles les indicateurs de police à de potentielles représailles si des renseignements permettant de les identifier sont divulgués? — Les décisions des juridictions inférieures dissuadent</w:t>
            </w:r>
            <w:r w:rsidRPr="00776E55">
              <w:rPr>
                <w:sz w:val="20"/>
                <w:lang w:val="fr-CA"/>
              </w:rPr>
              <w:noBreakHyphen/>
              <w:t>elles d’autres témoins de collaborer? — Les décisions des juridictions inférieures contredisent</w:t>
            </w:r>
            <w:r w:rsidRPr="00776E55">
              <w:rPr>
                <w:sz w:val="20"/>
                <w:lang w:val="fr-CA"/>
              </w:rPr>
              <w:noBreakHyphen/>
              <w:t>elles des ordonnances antérieures, sont</w:t>
            </w:r>
            <w:r w:rsidRPr="00776E55">
              <w:rPr>
                <w:sz w:val="20"/>
                <w:lang w:val="fr-CA"/>
              </w:rPr>
              <w:noBreakHyphen/>
              <w:t>elles contraires à la jurisprudence, et créent</w:t>
            </w:r>
            <w:r w:rsidRPr="00776E55">
              <w:rPr>
                <w:sz w:val="20"/>
                <w:lang w:val="fr-CA"/>
              </w:rPr>
              <w:noBreakHyphen/>
              <w:t xml:space="preserve">elles de l’incertitude en droit? </w:t>
            </w:r>
          </w:p>
        </w:tc>
      </w:tr>
      <w:tr w:rsidR="00FB0311" w:rsidRPr="001E30F0" w:rsidTr="00FB0311">
        <w:tc>
          <w:tcPr>
            <w:tcW w:w="5000" w:type="pct"/>
            <w:gridSpan w:val="4"/>
          </w:tcPr>
          <w:p w:rsidR="00FB0311" w:rsidRPr="00776E55" w:rsidRDefault="00FB0311" w:rsidP="00FB0311">
            <w:pPr>
              <w:jc w:val="both"/>
              <w:rPr>
                <w:sz w:val="20"/>
                <w:lang w:val="fr-CA"/>
              </w:rPr>
            </w:pPr>
          </w:p>
        </w:tc>
      </w:tr>
      <w:tr w:rsidR="00FB0311" w:rsidRPr="001E30F0" w:rsidTr="00FB0311">
        <w:tc>
          <w:tcPr>
            <w:tcW w:w="5000" w:type="pct"/>
            <w:gridSpan w:val="4"/>
          </w:tcPr>
          <w:p w:rsidR="00FB0311" w:rsidRPr="00776E55" w:rsidRDefault="00FB0311" w:rsidP="00FB0311">
            <w:pPr>
              <w:jc w:val="both"/>
              <w:rPr>
                <w:sz w:val="20"/>
                <w:lang w:val="fr-CA"/>
              </w:rPr>
            </w:pPr>
            <w:r w:rsidRPr="00776E55">
              <w:rPr>
                <w:sz w:val="20"/>
                <w:lang w:val="fr-CA"/>
              </w:rPr>
              <w:t>En 2017, le Bureau de la concurrence, un organisme fédéral, a commencé une enquête concernant un cartel de fixation de prix allégué relativement à certains produits de pain emballés. Alors que l’enquête était en cours, les requérants ont commencé des actions collectives dans plusieurs provinces contre diverses boulangeries industrielles et détaillants alimentaires, notamment les demandeurs — Compagnies Loblaw limitée, Loblaws inc., George Weston limitée, Distribution alimentaire Weston inc. et Weston Foods (Canada) inc. (ci-après, « Loblaws/Weston »). Une action collective québécoise a été autorisée en 2019, le défendeur, James Govan, a été nommé représentant des requérants; des défenses ont été déposées, et la production de documents a commencé. En juin 2022, pendant une conférence de gestion de l’instance, le juge chargé de la gestion de l’instance à la Cour supérieure du Québec a rendu bon nombre de décisions procédurales et d’ordonnances relatives aux interrogatoires préalables, notamment la sélection et l’identification d’un représentant de Loblaws/Weston pour qu’il subisse un interrogatoire préalable mené par M. Govan. En août 2022, un juge siégeant seul de la Cour d’appel du Québec a rejeté la demande d’autorisation d’appel de Loblaws/Weston contre les ordonnances du juge chargé de la conférence de gestion de l’instance.</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20 mai 2021</w:t>
            </w:r>
          </w:p>
          <w:p w:rsidR="00FB0311" w:rsidRPr="00776E55" w:rsidRDefault="00FB0311" w:rsidP="00FB0311">
            <w:pPr>
              <w:jc w:val="both"/>
              <w:rPr>
                <w:sz w:val="20"/>
                <w:lang w:val="fr-CA"/>
              </w:rPr>
            </w:pPr>
            <w:r w:rsidRPr="00776E55">
              <w:rPr>
                <w:sz w:val="20"/>
                <w:lang w:val="fr-CA"/>
              </w:rPr>
              <w:t>Cour supérieure du Québec (Montréal)</w:t>
            </w:r>
          </w:p>
          <w:p w:rsidR="00FB0311" w:rsidRPr="00776E55" w:rsidRDefault="00FB0311" w:rsidP="00FB0311">
            <w:pPr>
              <w:jc w:val="both"/>
              <w:rPr>
                <w:sz w:val="20"/>
                <w:lang w:val="fr-CA"/>
              </w:rPr>
            </w:pPr>
            <w:r w:rsidRPr="00776E55">
              <w:rPr>
                <w:sz w:val="20"/>
                <w:lang w:val="fr-CA"/>
              </w:rPr>
              <w:t>(juge Gagnon)</w:t>
            </w:r>
          </w:p>
          <w:p w:rsidR="00FB0311" w:rsidRPr="00776E55" w:rsidRDefault="001E30F0" w:rsidP="00FB0311">
            <w:pPr>
              <w:jc w:val="both"/>
              <w:rPr>
                <w:sz w:val="20"/>
                <w:lang w:val="fr-CA"/>
              </w:rPr>
            </w:pPr>
            <w:hyperlink r:id="rId77" w:history="1">
              <w:r w:rsidR="00FB0311" w:rsidRPr="00776E55">
                <w:rPr>
                  <w:rStyle w:val="Hyperlink"/>
                  <w:sz w:val="20"/>
                  <w:lang w:val="fr-CA"/>
                </w:rPr>
                <w:t>2021 QCCS 2060</w:t>
              </w:r>
            </w:hyperlink>
          </w:p>
          <w:p w:rsidR="00FB0311" w:rsidRPr="00776E55" w:rsidRDefault="00FB0311" w:rsidP="00FB0311">
            <w:pPr>
              <w:jc w:val="both"/>
              <w:rPr>
                <w:sz w:val="20"/>
                <w:lang w:val="fr-CA"/>
              </w:rPr>
            </w:pPr>
          </w:p>
          <w:p w:rsidR="00FB0311" w:rsidRPr="00776E55" w:rsidRDefault="00FB0311" w:rsidP="00FB0311">
            <w:pPr>
              <w:jc w:val="both"/>
              <w:rPr>
                <w:sz w:val="20"/>
                <w:lang w:val="fr-CA"/>
              </w:rPr>
            </w:pPr>
            <w:r w:rsidRPr="00776E55">
              <w:rPr>
                <w:sz w:val="20"/>
                <w:lang w:val="fr-CA"/>
              </w:rPr>
              <w:t>20 décembre 2021</w:t>
            </w:r>
          </w:p>
          <w:p w:rsidR="00FB0311" w:rsidRPr="00776E55" w:rsidRDefault="00FB0311" w:rsidP="00FB0311">
            <w:pPr>
              <w:jc w:val="both"/>
              <w:rPr>
                <w:sz w:val="20"/>
                <w:lang w:val="fr-CA"/>
              </w:rPr>
            </w:pPr>
            <w:r w:rsidRPr="00776E55">
              <w:rPr>
                <w:sz w:val="20"/>
                <w:lang w:val="fr-CA"/>
              </w:rPr>
              <w:t>Cour d’appel du Québec (Montréal)</w:t>
            </w:r>
          </w:p>
          <w:p w:rsidR="00FB0311" w:rsidRPr="00776E55" w:rsidRDefault="00FB0311" w:rsidP="00FB0311">
            <w:pPr>
              <w:jc w:val="both"/>
              <w:rPr>
                <w:sz w:val="20"/>
                <w:lang w:val="fr-CA"/>
              </w:rPr>
            </w:pPr>
            <w:r w:rsidRPr="00776E55">
              <w:rPr>
                <w:sz w:val="20"/>
                <w:lang w:val="fr-CA"/>
              </w:rPr>
              <w:t>(juges Savard, Marcotte et Gagné)</w:t>
            </w:r>
          </w:p>
          <w:p w:rsidR="00FB0311" w:rsidRPr="00776E55" w:rsidRDefault="001E30F0" w:rsidP="00FB0311">
            <w:pPr>
              <w:jc w:val="both"/>
              <w:rPr>
                <w:sz w:val="20"/>
              </w:rPr>
            </w:pPr>
            <w:hyperlink r:id="rId78" w:history="1">
              <w:r w:rsidR="00FB0311" w:rsidRPr="00776E55">
                <w:rPr>
                  <w:rStyle w:val="Hyperlink"/>
                  <w:sz w:val="20"/>
                </w:rPr>
                <w:t>2021 QCCA 1914</w:t>
              </w:r>
            </w:hyperlink>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lang w:val="fr-CA"/>
              </w:rPr>
            </w:pPr>
            <w:r w:rsidRPr="00776E55">
              <w:rPr>
                <w:sz w:val="20"/>
                <w:lang w:val="fr-CA"/>
              </w:rPr>
              <w:t xml:space="preserve">Protocole de l’instance établi pour l’action collective; demande en vue de l’interrogatoire préalable du représentant de Loblaws/Weston refusée </w:t>
            </w:r>
          </w:p>
          <w:p w:rsidR="00FB0311" w:rsidRPr="00776E55" w:rsidRDefault="00FB0311" w:rsidP="00FB0311">
            <w:pPr>
              <w:jc w:val="both"/>
              <w:rPr>
                <w:sz w:val="20"/>
                <w:lang w:val="fr-CA"/>
              </w:rPr>
            </w:pPr>
          </w:p>
          <w:p w:rsidR="00776E55" w:rsidRPr="00776E55" w:rsidRDefault="00776E55" w:rsidP="00FB0311">
            <w:pPr>
              <w:jc w:val="both"/>
              <w:rPr>
                <w:sz w:val="20"/>
                <w:lang w:val="fr-CA"/>
              </w:rPr>
            </w:pPr>
          </w:p>
          <w:p w:rsidR="00FB0311" w:rsidRPr="00776E55" w:rsidRDefault="00FB0311" w:rsidP="00FB0311">
            <w:pPr>
              <w:jc w:val="both"/>
              <w:rPr>
                <w:sz w:val="20"/>
                <w:lang w:val="fr-CA"/>
              </w:rPr>
            </w:pPr>
            <w:r w:rsidRPr="00776E55">
              <w:rPr>
                <w:sz w:val="20"/>
                <w:lang w:val="fr-CA"/>
              </w:rPr>
              <w:t xml:space="preserve">Appel de M. Govan accueilli en partie, en vue de modifier le protocole de l’instance afin de retirer le refus d’ordonner l’interrogatoire préalable du représentant de Loblaws/Weston; affaire renvoyée à la Cour supérieure pour qu’elle détermine les modalités de l’interrogatoire </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30 juin 2022</w:t>
            </w:r>
          </w:p>
          <w:p w:rsidR="00FB0311" w:rsidRPr="00776E55" w:rsidRDefault="00FB0311" w:rsidP="00FB0311">
            <w:pPr>
              <w:jc w:val="both"/>
              <w:rPr>
                <w:sz w:val="20"/>
                <w:lang w:val="fr-CA"/>
              </w:rPr>
            </w:pPr>
            <w:r w:rsidRPr="00776E55">
              <w:rPr>
                <w:sz w:val="20"/>
                <w:lang w:val="fr-CA"/>
              </w:rPr>
              <w:t>Cour supérieure du Québec (Montréal)</w:t>
            </w:r>
          </w:p>
          <w:p w:rsidR="00FB0311" w:rsidRPr="00776E55" w:rsidRDefault="00FB0311" w:rsidP="00FB0311">
            <w:pPr>
              <w:jc w:val="both"/>
              <w:rPr>
                <w:sz w:val="20"/>
              </w:rPr>
            </w:pPr>
            <w:r w:rsidRPr="00776E55">
              <w:rPr>
                <w:sz w:val="20"/>
              </w:rPr>
              <w:t>(juge Lacoste)</w:t>
            </w:r>
          </w:p>
          <w:p w:rsidR="00FB0311" w:rsidRPr="00776E55" w:rsidRDefault="00FB0311" w:rsidP="00FB0311">
            <w:pPr>
              <w:jc w:val="both"/>
              <w:rPr>
                <w:sz w:val="20"/>
              </w:rPr>
            </w:pPr>
            <w:r w:rsidRPr="00776E55">
              <w:rPr>
                <w:sz w:val="20"/>
              </w:rPr>
              <w:t>Dossier nº 500-06-000888-178</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lang w:val="fr-CA"/>
              </w:rPr>
            </w:pPr>
            <w:r w:rsidRPr="00776E55">
              <w:rPr>
                <w:sz w:val="20"/>
                <w:lang w:val="fr-CA"/>
              </w:rPr>
              <w:t xml:space="preserve">Conférence de gestion de l’instance — diverses ordonnances sont rendues, y compris celle relative à l’interrogatoire préalable du représentant de Loblaws/Weston </w:t>
            </w: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23 août 2022</w:t>
            </w:r>
          </w:p>
          <w:p w:rsidR="00FB0311" w:rsidRPr="00776E55" w:rsidRDefault="00FB0311" w:rsidP="00FB0311">
            <w:pPr>
              <w:jc w:val="both"/>
              <w:rPr>
                <w:sz w:val="20"/>
                <w:lang w:val="fr-CA"/>
              </w:rPr>
            </w:pPr>
            <w:r w:rsidRPr="00776E55">
              <w:rPr>
                <w:sz w:val="20"/>
                <w:lang w:val="fr-CA"/>
              </w:rPr>
              <w:t>Cour d’appel du Québec (Montréal)</w:t>
            </w:r>
          </w:p>
          <w:p w:rsidR="00FB0311" w:rsidRPr="00776E55" w:rsidRDefault="00FB0311" w:rsidP="00FB0311">
            <w:pPr>
              <w:jc w:val="both"/>
              <w:rPr>
                <w:sz w:val="20"/>
                <w:lang w:val="fr-CA"/>
              </w:rPr>
            </w:pPr>
            <w:r w:rsidRPr="00776E55">
              <w:rPr>
                <w:sz w:val="20"/>
                <w:lang w:val="fr-CA"/>
              </w:rPr>
              <w:t>(juge Mainville)</w:t>
            </w:r>
          </w:p>
          <w:p w:rsidR="00FB0311" w:rsidRPr="00776E55" w:rsidRDefault="001E30F0" w:rsidP="00FB0311">
            <w:pPr>
              <w:jc w:val="both"/>
              <w:rPr>
                <w:sz w:val="20"/>
                <w:lang w:val="fr-CA"/>
              </w:rPr>
            </w:pPr>
            <w:hyperlink r:id="rId79" w:history="1">
              <w:r w:rsidR="00FB0311" w:rsidRPr="00776E55">
                <w:rPr>
                  <w:rStyle w:val="Hyperlink"/>
                  <w:sz w:val="20"/>
                  <w:lang w:val="fr-CA"/>
                </w:rPr>
                <w:t>2022 QCCA 115</w:t>
              </w:r>
            </w:hyperlink>
          </w:p>
          <w:p w:rsidR="00FB0311" w:rsidRPr="00776E55" w:rsidRDefault="00FB0311" w:rsidP="00FB0311">
            <w:pPr>
              <w:jc w:val="both"/>
              <w:rPr>
                <w:sz w:val="20"/>
                <w:lang w:val="fr-CA"/>
              </w:rPr>
            </w:pPr>
          </w:p>
          <w:p w:rsidR="00FB0311" w:rsidRPr="00776E55" w:rsidRDefault="00FB0311" w:rsidP="00FB0311">
            <w:pPr>
              <w:jc w:val="both"/>
              <w:rPr>
                <w:sz w:val="20"/>
                <w:lang w:val="fr-CA"/>
              </w:rPr>
            </w:pPr>
            <w:r w:rsidRPr="00776E55">
              <w:rPr>
                <w:sz w:val="20"/>
                <w:lang w:val="fr-CA"/>
              </w:rPr>
              <w:t>25 novembre 2022</w:t>
            </w:r>
          </w:p>
          <w:p w:rsidR="00FB0311" w:rsidRPr="00776E55" w:rsidRDefault="00FB0311" w:rsidP="00FB0311">
            <w:pPr>
              <w:jc w:val="both"/>
              <w:rPr>
                <w:sz w:val="20"/>
                <w:lang w:val="fr-CA"/>
              </w:rPr>
            </w:pPr>
            <w:r w:rsidRPr="00776E55">
              <w:rPr>
                <w:sz w:val="20"/>
                <w:lang w:val="fr-CA"/>
              </w:rPr>
              <w:t>Cour d’appel du Québec (Montréal)</w:t>
            </w:r>
          </w:p>
          <w:p w:rsidR="00FB0311" w:rsidRPr="00776E55" w:rsidRDefault="00FB0311" w:rsidP="00FB0311">
            <w:pPr>
              <w:jc w:val="both"/>
              <w:rPr>
                <w:sz w:val="20"/>
                <w:lang w:val="fr-CA"/>
              </w:rPr>
            </w:pPr>
            <w:r w:rsidRPr="00776E55">
              <w:rPr>
                <w:sz w:val="20"/>
                <w:lang w:val="fr-CA"/>
              </w:rPr>
              <w:t>(juge Marcotte)</w:t>
            </w:r>
          </w:p>
          <w:p w:rsidR="00FB0311" w:rsidRPr="00776E55" w:rsidRDefault="001E30F0" w:rsidP="00FB0311">
            <w:pPr>
              <w:jc w:val="both"/>
              <w:rPr>
                <w:sz w:val="20"/>
                <w:lang w:val="fr-CA"/>
              </w:rPr>
            </w:pPr>
            <w:hyperlink r:id="rId80" w:history="1">
              <w:r w:rsidR="00FB0311" w:rsidRPr="00776E55">
                <w:rPr>
                  <w:rStyle w:val="Hyperlink"/>
                  <w:sz w:val="20"/>
                  <w:lang w:val="fr-CA"/>
                </w:rPr>
                <w:t>2022 QCCA 1603</w:t>
              </w:r>
            </w:hyperlink>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Demande d’autorisation d’appel de Loblaws/Weston à l’égard des ordonnances du 30 juin 2022 — rejetée</w:t>
            </w:r>
          </w:p>
          <w:p w:rsidR="00FB0311" w:rsidRPr="00776E55" w:rsidRDefault="00FB0311" w:rsidP="00FB0311">
            <w:pPr>
              <w:jc w:val="both"/>
              <w:rPr>
                <w:sz w:val="20"/>
                <w:lang w:val="fr-CA"/>
              </w:rPr>
            </w:pPr>
          </w:p>
          <w:p w:rsidR="00776E55" w:rsidRPr="00776E55" w:rsidRDefault="00776E55" w:rsidP="00FB0311">
            <w:pPr>
              <w:jc w:val="both"/>
              <w:rPr>
                <w:sz w:val="20"/>
                <w:lang w:val="fr-CA"/>
              </w:rPr>
            </w:pPr>
          </w:p>
          <w:p w:rsidR="00FB0311" w:rsidRPr="00776E55" w:rsidRDefault="00FB0311" w:rsidP="00FB0311">
            <w:pPr>
              <w:jc w:val="both"/>
              <w:rPr>
                <w:sz w:val="20"/>
                <w:lang w:val="fr-CA"/>
              </w:rPr>
            </w:pPr>
          </w:p>
          <w:p w:rsidR="00FB0311" w:rsidRPr="00776E55" w:rsidRDefault="00FB0311" w:rsidP="00FB0311">
            <w:pPr>
              <w:jc w:val="both"/>
              <w:rPr>
                <w:sz w:val="20"/>
                <w:lang w:val="fr-CA"/>
              </w:rPr>
            </w:pPr>
            <w:r w:rsidRPr="00776E55">
              <w:rPr>
                <w:sz w:val="20"/>
                <w:lang w:val="fr-CA"/>
              </w:rPr>
              <w:t>Requête de Loblaws/Weston en vue de la suspension de l’exécution de la décision du 23 août 2022 du juge Mainville et de la suspension de l’exécution des ordonnances de gestion de l’instance — rejetée</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24 octobre 2022</w:t>
            </w:r>
          </w:p>
          <w:p w:rsidR="00FB0311" w:rsidRPr="00776E55" w:rsidRDefault="00FB0311" w:rsidP="00B11469">
            <w:pPr>
              <w:jc w:val="both"/>
              <w:rPr>
                <w:sz w:val="20"/>
                <w:lang w:val="fr-CA"/>
              </w:rPr>
            </w:pPr>
            <w:r w:rsidRPr="00776E55">
              <w:rPr>
                <w:sz w:val="20"/>
                <w:lang w:val="fr-CA"/>
              </w:rPr>
              <w:t>Cour suprême du Canada</w:t>
            </w: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 xml:space="preserve">Demande d’autorisation d’appel de l’arrêt du juge Mainville du 23 août 2022 </w:t>
            </w:r>
          </w:p>
        </w:tc>
      </w:tr>
    </w:tbl>
    <w:p w:rsidR="00FB0311" w:rsidRPr="00776E55" w:rsidRDefault="00FB0311" w:rsidP="00FB0311">
      <w:pPr>
        <w:jc w:val="both"/>
        <w:rPr>
          <w:sz w:val="20"/>
          <w:lang w:val="fr-CA"/>
        </w:rPr>
      </w:pPr>
    </w:p>
    <w:p w:rsidR="00B11469" w:rsidRPr="00776E55" w:rsidRDefault="001E30F0" w:rsidP="00FB0311">
      <w:pPr>
        <w:jc w:val="both"/>
        <w:rPr>
          <w:sz w:val="20"/>
          <w:lang w:val="fr-CA"/>
        </w:rPr>
      </w:pPr>
      <w:r>
        <w:rPr>
          <w:sz w:val="20"/>
        </w:rPr>
        <w:pict>
          <v:rect id="_x0000_i1054" style="width:2in;height:1pt" o:hrpct="0" o:hralign="center" o:hrstd="t" o:hrnoshade="t" o:hr="t" fillcolor="black [3213]" stroked="f"/>
        </w:pict>
      </w:r>
    </w:p>
    <w:p w:rsidR="00B11469" w:rsidRPr="00776E55" w:rsidRDefault="00B11469" w:rsidP="00FB03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rPr>
            </w:pPr>
            <w:r w:rsidRPr="00776E55">
              <w:rPr>
                <w:rStyle w:val="SCCFileNumberChar"/>
                <w:sz w:val="20"/>
                <w:szCs w:val="20"/>
              </w:rPr>
              <w:t>40445</w:t>
            </w:r>
          </w:p>
        </w:tc>
        <w:tc>
          <w:tcPr>
            <w:tcW w:w="4457" w:type="pct"/>
            <w:gridSpan w:val="3"/>
          </w:tcPr>
          <w:p w:rsidR="00FB0311" w:rsidRPr="00776E55" w:rsidRDefault="00FB0311" w:rsidP="00FB0311">
            <w:pPr>
              <w:pStyle w:val="SCCLsocParty"/>
              <w:jc w:val="both"/>
              <w:rPr>
                <w:b/>
                <w:sz w:val="20"/>
                <w:szCs w:val="20"/>
                <w:lang w:val="en-US"/>
              </w:rPr>
            </w:pPr>
            <w:r w:rsidRPr="00776E55">
              <w:rPr>
                <w:b/>
                <w:sz w:val="20"/>
                <w:szCs w:val="20"/>
                <w:lang w:val="en-US"/>
              </w:rPr>
              <w:t>PMC York Properties Inc., Paul Casuccio, Margot Casuccio v. Bill Siudak</w:t>
            </w:r>
          </w:p>
          <w:p w:rsidR="00FB0311" w:rsidRPr="00776E55" w:rsidRDefault="00FB0311" w:rsidP="00FB0311">
            <w:pPr>
              <w:jc w:val="both"/>
              <w:rPr>
                <w:sz w:val="20"/>
              </w:rPr>
            </w:pPr>
            <w:r w:rsidRPr="00776E55">
              <w:rPr>
                <w:sz w:val="20"/>
              </w:rPr>
              <w:t>(Ont.) (Civil) (By Leave)</w:t>
            </w:r>
          </w:p>
        </w:tc>
      </w:tr>
      <w:tr w:rsidR="00FB0311" w:rsidRPr="00776E55" w:rsidTr="00FB0311">
        <w:tc>
          <w:tcPr>
            <w:tcW w:w="5000" w:type="pct"/>
            <w:gridSpan w:val="4"/>
          </w:tcPr>
          <w:p w:rsidR="00FB0311" w:rsidRPr="00776E55" w:rsidRDefault="00FB0311" w:rsidP="00FB0311">
            <w:pPr>
              <w:jc w:val="both"/>
              <w:rPr>
                <w:sz w:val="20"/>
              </w:rPr>
            </w:pPr>
            <w:r w:rsidRPr="00776E55">
              <w:rPr>
                <w:sz w:val="20"/>
              </w:rPr>
              <w:t xml:space="preserve">Civil procedure — Pleadings — Motion to strike — Torts — Libel and slander — Court of Appeal upholding motion judge’s refusal to strike counterclaim in defamation based on finding that elements for </w:t>
            </w:r>
            <w:r w:rsidRPr="00776E55">
              <w:rPr>
                <w:i/>
                <w:sz w:val="20"/>
              </w:rPr>
              <w:t>prima facie</w:t>
            </w:r>
            <w:r w:rsidRPr="00776E55">
              <w:rPr>
                <w:sz w:val="20"/>
              </w:rPr>
              <w:t xml:space="preserve"> case of defamation had been pleaded — Whether the traditional, rigorous approach to defamation pleadings should give way to a modern, flexible approach — If so, what the requirements of that modern, flexible approach should be — </w:t>
            </w:r>
            <w:r w:rsidRPr="00776E55">
              <w:rPr>
                <w:i/>
                <w:sz w:val="20"/>
              </w:rPr>
              <w:t>Rules of Civil Procedure</w:t>
            </w:r>
            <w:r w:rsidRPr="00776E55">
              <w:rPr>
                <w:sz w:val="20"/>
              </w:rPr>
              <w:t>, R.R.O. 1990, Reg. 194, rules 21 and 25.11.</w:t>
            </w:r>
          </w:p>
        </w:tc>
      </w:tr>
      <w:tr w:rsidR="00FB0311" w:rsidRPr="00776E55" w:rsidTr="00FB0311">
        <w:tc>
          <w:tcPr>
            <w:tcW w:w="5000" w:type="pct"/>
            <w:gridSpan w:val="4"/>
          </w:tcPr>
          <w:p w:rsidR="00FB0311" w:rsidRPr="00776E55" w:rsidRDefault="00FB0311" w:rsidP="00FB0311">
            <w:pPr>
              <w:jc w:val="both"/>
              <w:rPr>
                <w:sz w:val="20"/>
              </w:rPr>
            </w:pPr>
          </w:p>
        </w:tc>
      </w:tr>
      <w:tr w:rsidR="00FB0311" w:rsidRPr="00776E55" w:rsidTr="00FB0311">
        <w:tc>
          <w:tcPr>
            <w:tcW w:w="5000" w:type="pct"/>
            <w:gridSpan w:val="4"/>
          </w:tcPr>
          <w:p w:rsidR="00FB0311" w:rsidRPr="00776E55" w:rsidRDefault="00FB0311" w:rsidP="00FB0311">
            <w:pPr>
              <w:jc w:val="both"/>
              <w:rPr>
                <w:sz w:val="20"/>
              </w:rPr>
            </w:pPr>
            <w:r w:rsidRPr="00776E55">
              <w:rPr>
                <w:sz w:val="20"/>
              </w:rPr>
              <w:t>The application arises out of a dispute between the applicants, a condominium corporation’s property management company and its directing principals, and the respondent, a former condominium owner and member of the condominium’s board of directors. The applicants sued the respondent for damages for defamation. The respondent counterclaimed in defamation and civil conspiracy against the property management company’s directing principal, Mr. Casuccio</w:t>
            </w:r>
            <w:proofErr w:type="gramStart"/>
            <w:r w:rsidRPr="00776E55">
              <w:rPr>
                <w:sz w:val="20"/>
              </w:rPr>
              <w:t>,  and</w:t>
            </w:r>
            <w:proofErr w:type="gramEnd"/>
            <w:r w:rsidRPr="00776E55">
              <w:rPr>
                <w:sz w:val="20"/>
              </w:rPr>
              <w:t xml:space="preserve"> certain owners and members of the condominium corporation’s board of directors. The applicants moved to strike out the respondent’s counterclaim. The motion judge refused to do so. The Divisional Court overturned that order and struck out the respondent’s counterclaim, without leave to amend. It concluded that the motion judge erred because the respondent had not pleaded his claim for defamation with the requisite particularity. The Court of Appeal allowed the respondent’s appeal. It concluded that the Divisional Court had misapplied the modern, flexible approach to pleadings for defamation and had failed to read the respondent’s pleadings generously. As a result, the Divisional Court did not respect the appropriate deference owed to the motion judge’s refusal to strike out the pleadings. </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July 14, 2020</w:t>
            </w:r>
          </w:p>
          <w:p w:rsidR="00FB0311" w:rsidRPr="00776E55" w:rsidRDefault="00FB0311" w:rsidP="00FB0311">
            <w:pPr>
              <w:jc w:val="both"/>
              <w:rPr>
                <w:sz w:val="20"/>
              </w:rPr>
            </w:pPr>
            <w:r w:rsidRPr="00776E55">
              <w:rPr>
                <w:sz w:val="20"/>
              </w:rPr>
              <w:t>Ontario Superior Court of Justice</w:t>
            </w:r>
          </w:p>
          <w:p w:rsidR="00FB0311" w:rsidRPr="00776E55" w:rsidRDefault="00FB0311" w:rsidP="00FB0311">
            <w:pPr>
              <w:jc w:val="both"/>
              <w:rPr>
                <w:sz w:val="20"/>
              </w:rPr>
            </w:pPr>
            <w:r w:rsidRPr="00776E55">
              <w:rPr>
                <w:sz w:val="20"/>
              </w:rPr>
              <w:t>(Parayeski J.)</w:t>
            </w:r>
          </w:p>
          <w:p w:rsidR="00FB0311" w:rsidRPr="00776E55" w:rsidRDefault="00FB0311" w:rsidP="00FB0311">
            <w:pPr>
              <w:jc w:val="both"/>
              <w:rPr>
                <w:sz w:val="20"/>
              </w:rPr>
            </w:pPr>
            <w:r w:rsidRPr="00776E55">
              <w:rPr>
                <w:sz w:val="20"/>
              </w:rPr>
              <w:t>Unreported</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Applicants’ motion to strike respondent’s counterclaims for defamation and civil conspiracy dismissed</w:t>
            </w:r>
          </w:p>
        </w:tc>
      </w:tr>
      <w:tr w:rsidR="00FB0311" w:rsidRPr="00776E55" w:rsidTr="00FB0311">
        <w:tc>
          <w:tcPr>
            <w:tcW w:w="2427" w:type="pct"/>
            <w:gridSpan w:val="2"/>
          </w:tcPr>
          <w:p w:rsidR="00FB0311" w:rsidRPr="00776E55" w:rsidRDefault="00FB0311" w:rsidP="00FB0311">
            <w:pPr>
              <w:jc w:val="both"/>
              <w:rPr>
                <w:sz w:val="20"/>
              </w:rPr>
            </w:pPr>
            <w:r w:rsidRPr="00776E55">
              <w:rPr>
                <w:sz w:val="20"/>
              </w:rPr>
              <w:t>February 12, 2021</w:t>
            </w:r>
          </w:p>
          <w:p w:rsidR="00FB0311" w:rsidRPr="00776E55" w:rsidRDefault="00FB0311" w:rsidP="00FB0311">
            <w:pPr>
              <w:jc w:val="both"/>
              <w:rPr>
                <w:sz w:val="20"/>
              </w:rPr>
            </w:pPr>
            <w:r w:rsidRPr="00776E55">
              <w:rPr>
                <w:sz w:val="20"/>
              </w:rPr>
              <w:t>Ontario Superior Court of Justice (Divisional Court)</w:t>
            </w:r>
          </w:p>
          <w:p w:rsidR="00FB0311" w:rsidRPr="00776E55" w:rsidRDefault="00FB0311" w:rsidP="00FB0311">
            <w:pPr>
              <w:jc w:val="both"/>
              <w:rPr>
                <w:sz w:val="20"/>
              </w:rPr>
            </w:pPr>
            <w:r w:rsidRPr="00776E55">
              <w:rPr>
                <w:sz w:val="20"/>
              </w:rPr>
              <w:t>(Sachs, Trimble, and Gomery JJ.)</w:t>
            </w:r>
          </w:p>
          <w:p w:rsidR="00FB0311" w:rsidRPr="00776E55" w:rsidRDefault="00FB0311" w:rsidP="00FB0311">
            <w:pPr>
              <w:jc w:val="both"/>
              <w:rPr>
                <w:rStyle w:val="Hyperlink"/>
                <w:color w:val="auto"/>
                <w:sz w:val="20"/>
                <w:u w:val="none"/>
              </w:rPr>
            </w:pPr>
            <w:r w:rsidRPr="00776E55">
              <w:rPr>
                <w:rStyle w:val="Hyperlink"/>
                <w:sz w:val="20"/>
              </w:rPr>
              <w:fldChar w:fldCharType="begin"/>
            </w:r>
            <w:r w:rsidRPr="00776E55">
              <w:rPr>
                <w:rStyle w:val="Hyperlink"/>
                <w:sz w:val="20"/>
              </w:rPr>
              <w:instrText xml:space="preserve"> HYPERLINK "https://www.canlii.org/en/on/onscdc/doc/2021/2021onsc1134/2021onsc1134.html" </w:instrText>
            </w:r>
            <w:r w:rsidRPr="00776E55">
              <w:rPr>
                <w:rStyle w:val="Hyperlink"/>
                <w:sz w:val="20"/>
              </w:rPr>
              <w:fldChar w:fldCharType="separate"/>
            </w:r>
            <w:r w:rsidRPr="00776E55">
              <w:rPr>
                <w:rStyle w:val="Hyperlink"/>
                <w:sz w:val="20"/>
              </w:rPr>
              <w:t>2021 ONSC 1134</w:t>
            </w:r>
          </w:p>
          <w:p w:rsidR="00FB0311" w:rsidRPr="00776E55" w:rsidRDefault="00FB0311" w:rsidP="00FB0311">
            <w:pPr>
              <w:jc w:val="both"/>
              <w:rPr>
                <w:sz w:val="20"/>
              </w:rPr>
            </w:pPr>
            <w:r w:rsidRPr="00776E55">
              <w:rPr>
                <w:rStyle w:val="Hyperlink"/>
                <w:sz w:val="20"/>
              </w:rPr>
              <w:fldChar w:fldCharType="end"/>
            </w: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 xml:space="preserve">Applicants’ appeal allowed; respondent’s counterclaim struck </w:t>
            </w:r>
          </w:p>
        </w:tc>
      </w:tr>
      <w:tr w:rsidR="00FB0311" w:rsidRPr="00776E55" w:rsidTr="00FB0311">
        <w:tc>
          <w:tcPr>
            <w:tcW w:w="2427" w:type="pct"/>
            <w:gridSpan w:val="2"/>
          </w:tcPr>
          <w:p w:rsidR="00FB0311" w:rsidRPr="00776E55" w:rsidRDefault="00FB0311" w:rsidP="00FB0311">
            <w:pPr>
              <w:jc w:val="both"/>
              <w:rPr>
                <w:sz w:val="20"/>
              </w:rPr>
            </w:pPr>
            <w:r w:rsidRPr="00776E55">
              <w:rPr>
                <w:sz w:val="20"/>
              </w:rPr>
              <w:t>September 7, 2022</w:t>
            </w:r>
          </w:p>
          <w:p w:rsidR="00FB0311" w:rsidRPr="00776E55" w:rsidRDefault="00FB0311" w:rsidP="00FB0311">
            <w:pPr>
              <w:jc w:val="both"/>
              <w:rPr>
                <w:sz w:val="20"/>
              </w:rPr>
            </w:pPr>
            <w:r w:rsidRPr="00776E55">
              <w:rPr>
                <w:sz w:val="20"/>
              </w:rPr>
              <w:t>Court of Appeal for Ontario</w:t>
            </w:r>
          </w:p>
          <w:p w:rsidR="00FB0311" w:rsidRPr="00776E55" w:rsidRDefault="00FB0311" w:rsidP="00FB0311">
            <w:pPr>
              <w:jc w:val="both"/>
              <w:rPr>
                <w:sz w:val="20"/>
              </w:rPr>
            </w:pPr>
            <w:r w:rsidRPr="00776E55">
              <w:rPr>
                <w:sz w:val="20"/>
              </w:rPr>
              <w:t>(Feldman, Roberts, and Favreau JJ.A.)</w:t>
            </w:r>
          </w:p>
          <w:p w:rsidR="00FB0311" w:rsidRPr="00776E55" w:rsidRDefault="001E30F0" w:rsidP="00FB0311">
            <w:pPr>
              <w:jc w:val="both"/>
              <w:rPr>
                <w:sz w:val="20"/>
              </w:rPr>
            </w:pPr>
            <w:hyperlink r:id="rId81" w:history="1">
              <w:r w:rsidR="00FB0311" w:rsidRPr="00776E55">
                <w:rPr>
                  <w:rStyle w:val="Hyperlink"/>
                  <w:sz w:val="20"/>
                </w:rPr>
                <w:t>2022 ONCA 635</w:t>
              </w:r>
            </w:hyperlink>
            <w:r w:rsidR="00FB0311" w:rsidRPr="00776E55">
              <w:rPr>
                <w:sz w:val="20"/>
              </w:rPr>
              <w:t xml:space="preserve"> (Docket: C69667)</w:t>
            </w:r>
          </w:p>
          <w:p w:rsidR="00FB0311" w:rsidRPr="00776E55" w:rsidRDefault="00FB0311" w:rsidP="00FB0311">
            <w:pPr>
              <w:jc w:val="both"/>
              <w:rPr>
                <w:sz w:val="20"/>
              </w:rPr>
            </w:pP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Respondent’s appeal allowed</w:t>
            </w:r>
          </w:p>
          <w:p w:rsidR="00FB0311" w:rsidRPr="00776E55" w:rsidRDefault="00FB0311" w:rsidP="00FB0311">
            <w:pPr>
              <w:jc w:val="both"/>
              <w:rPr>
                <w:sz w:val="20"/>
              </w:rPr>
            </w:pPr>
          </w:p>
        </w:tc>
      </w:tr>
      <w:tr w:rsidR="00FB0311" w:rsidRPr="00776E55" w:rsidTr="00FB0311">
        <w:tc>
          <w:tcPr>
            <w:tcW w:w="2427" w:type="pct"/>
            <w:gridSpan w:val="2"/>
          </w:tcPr>
          <w:p w:rsidR="00FB0311" w:rsidRPr="00776E55" w:rsidRDefault="00FB0311" w:rsidP="00FB0311">
            <w:pPr>
              <w:jc w:val="both"/>
              <w:rPr>
                <w:sz w:val="20"/>
              </w:rPr>
            </w:pPr>
            <w:r w:rsidRPr="00776E55">
              <w:rPr>
                <w:sz w:val="20"/>
              </w:rPr>
              <w:t>November 7, 2022</w:t>
            </w:r>
          </w:p>
          <w:p w:rsidR="00FB0311" w:rsidRPr="00776E55" w:rsidRDefault="00FB0311" w:rsidP="00FB0311">
            <w:pPr>
              <w:jc w:val="both"/>
              <w:rPr>
                <w:sz w:val="20"/>
              </w:rPr>
            </w:pPr>
            <w:r w:rsidRPr="00776E55">
              <w:rPr>
                <w:sz w:val="20"/>
              </w:rPr>
              <w:t>Supreme Court of Canada</w:t>
            </w:r>
          </w:p>
        </w:tc>
        <w:tc>
          <w:tcPr>
            <w:tcW w:w="243" w:type="pct"/>
          </w:tcPr>
          <w:p w:rsidR="00FB0311" w:rsidRPr="00776E55" w:rsidRDefault="00FB0311" w:rsidP="00FB0311">
            <w:pPr>
              <w:jc w:val="both"/>
              <w:rPr>
                <w:sz w:val="20"/>
              </w:rPr>
            </w:pPr>
          </w:p>
        </w:tc>
        <w:tc>
          <w:tcPr>
            <w:tcW w:w="2330" w:type="pct"/>
          </w:tcPr>
          <w:p w:rsidR="00FB0311" w:rsidRPr="00776E55" w:rsidRDefault="00FB0311" w:rsidP="00FB0311">
            <w:pPr>
              <w:jc w:val="both"/>
              <w:rPr>
                <w:sz w:val="20"/>
              </w:rPr>
            </w:pPr>
            <w:r w:rsidRPr="00776E55">
              <w:rPr>
                <w:sz w:val="20"/>
              </w:rPr>
              <w:t>Application for leave to appeal filed</w:t>
            </w:r>
          </w:p>
          <w:p w:rsidR="00FB0311" w:rsidRPr="00776E55" w:rsidRDefault="00FB0311" w:rsidP="00FB0311">
            <w:pPr>
              <w:jc w:val="both"/>
              <w:rPr>
                <w:sz w:val="20"/>
              </w:rPr>
            </w:pPr>
          </w:p>
        </w:tc>
      </w:tr>
    </w:tbl>
    <w:p w:rsidR="00FB0311" w:rsidRPr="00776E55" w:rsidRDefault="00FB0311" w:rsidP="00FB0311">
      <w:pPr>
        <w:jc w:val="both"/>
        <w:rPr>
          <w:sz w:val="20"/>
        </w:rPr>
      </w:pPr>
    </w:p>
    <w:p w:rsidR="00B11469" w:rsidRPr="00776E55" w:rsidRDefault="001E30F0" w:rsidP="00FB0311">
      <w:pPr>
        <w:jc w:val="both"/>
        <w:rPr>
          <w:sz w:val="20"/>
        </w:rPr>
      </w:pPr>
      <w:r>
        <w:rPr>
          <w:sz w:val="20"/>
        </w:rPr>
        <w:pict>
          <v:rect id="_x0000_i1055" style="width:2in;height:1pt" o:hrpct="0" o:hralign="center" o:hrstd="t" o:hrnoshade="t" o:hr="t" fillcolor="black [3213]" stroked="f"/>
        </w:pict>
      </w:r>
    </w:p>
    <w:p w:rsidR="00B11469" w:rsidRPr="00776E55" w:rsidRDefault="00B11469" w:rsidP="00FB03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311" w:rsidRPr="00776E55" w:rsidTr="00FB0311">
        <w:tc>
          <w:tcPr>
            <w:tcW w:w="543" w:type="pct"/>
          </w:tcPr>
          <w:p w:rsidR="00FB0311" w:rsidRPr="00776E55" w:rsidRDefault="00FB0311" w:rsidP="00FB0311">
            <w:pPr>
              <w:jc w:val="both"/>
              <w:rPr>
                <w:sz w:val="20"/>
                <w:lang w:val="fr-CA"/>
              </w:rPr>
            </w:pPr>
            <w:r w:rsidRPr="00776E55">
              <w:rPr>
                <w:rStyle w:val="SCCFileNumberChar"/>
                <w:sz w:val="20"/>
                <w:szCs w:val="20"/>
                <w:lang w:val="fr-CA"/>
              </w:rPr>
              <w:t>40445</w:t>
            </w:r>
          </w:p>
        </w:tc>
        <w:tc>
          <w:tcPr>
            <w:tcW w:w="4457" w:type="pct"/>
            <w:gridSpan w:val="3"/>
          </w:tcPr>
          <w:p w:rsidR="00FB0311" w:rsidRPr="00776E55" w:rsidRDefault="00FB0311" w:rsidP="00FB0311">
            <w:pPr>
              <w:pStyle w:val="SCCLsocParty"/>
              <w:jc w:val="both"/>
              <w:rPr>
                <w:b/>
                <w:sz w:val="20"/>
                <w:szCs w:val="20"/>
                <w:lang w:val="en-US"/>
              </w:rPr>
            </w:pPr>
            <w:r w:rsidRPr="00776E55">
              <w:rPr>
                <w:b/>
                <w:sz w:val="20"/>
                <w:szCs w:val="20"/>
                <w:lang w:val="en-US"/>
              </w:rPr>
              <w:t>PMC York Properties Inc., Paul Casuccio, Margot Casuccio c. Bill Siudak</w:t>
            </w:r>
          </w:p>
          <w:p w:rsidR="00FB0311" w:rsidRPr="00776E55" w:rsidRDefault="00FB0311" w:rsidP="00FB0311">
            <w:pPr>
              <w:jc w:val="both"/>
              <w:rPr>
                <w:sz w:val="20"/>
                <w:lang w:val="fr-CA"/>
              </w:rPr>
            </w:pPr>
            <w:r w:rsidRPr="00776E55">
              <w:rPr>
                <w:sz w:val="20"/>
                <w:lang w:val="fr-CA"/>
              </w:rPr>
              <w:t>(Ont.) (Civile) (Autorisation)</w:t>
            </w:r>
          </w:p>
        </w:tc>
      </w:tr>
      <w:tr w:rsidR="00FB0311" w:rsidRPr="001E30F0" w:rsidTr="00FB0311">
        <w:tc>
          <w:tcPr>
            <w:tcW w:w="5000" w:type="pct"/>
            <w:gridSpan w:val="4"/>
          </w:tcPr>
          <w:p w:rsidR="00FB0311" w:rsidRPr="00776E55" w:rsidRDefault="00FB0311" w:rsidP="00FB0311">
            <w:pPr>
              <w:jc w:val="both"/>
              <w:rPr>
                <w:sz w:val="20"/>
                <w:lang w:val="fr-CA"/>
              </w:rPr>
            </w:pPr>
            <w:r w:rsidRPr="00776E55">
              <w:rPr>
                <w:sz w:val="20"/>
                <w:lang w:val="fr-CA"/>
              </w:rPr>
              <w:t xml:space="preserve">Procédure civile — Actes de procédure — Motion en radiation — Responsabilité délictuelle — Diffamation — Cour d’appel confirmant le refus du juge des motions de radier la demande reconventionnelle en diffamation, en se basant sur la conclusion selon laquelle des éléments d’une affaire de diffamation </w:t>
            </w:r>
            <w:r w:rsidRPr="00776E55">
              <w:rPr>
                <w:i/>
                <w:sz w:val="20"/>
                <w:lang w:val="fr-CA"/>
              </w:rPr>
              <w:t>prima facie</w:t>
            </w:r>
            <w:r w:rsidRPr="00776E55">
              <w:rPr>
                <w:sz w:val="20"/>
                <w:lang w:val="fr-CA"/>
              </w:rPr>
              <w:t xml:space="preserve"> avaient été plaidés — L’approche traditionnelle et stricte en matière de plaidoirie en diffamation devrait</w:t>
            </w:r>
            <w:r w:rsidRPr="00776E55">
              <w:rPr>
                <w:sz w:val="20"/>
                <w:lang w:val="fr-CA"/>
              </w:rPr>
              <w:noBreakHyphen/>
              <w:t>elle céder le pas à une approche moderne et souple? — Si oui, quelles devraient être les exigences de cette approche moderne et souple? —</w:t>
            </w:r>
            <w:r w:rsidRPr="00776E55">
              <w:rPr>
                <w:i/>
                <w:sz w:val="20"/>
                <w:lang w:val="fr-CA"/>
              </w:rPr>
              <w:t xml:space="preserve"> Règles de procédure civile</w:t>
            </w:r>
            <w:r w:rsidRPr="00776E55">
              <w:rPr>
                <w:sz w:val="20"/>
                <w:lang w:val="fr-CA"/>
              </w:rPr>
              <w:t>, R.R.O. 1990, Règl. 194, règles 21 et 25.11.</w:t>
            </w:r>
          </w:p>
        </w:tc>
      </w:tr>
      <w:tr w:rsidR="00FB0311" w:rsidRPr="001E30F0" w:rsidTr="00FB0311">
        <w:tc>
          <w:tcPr>
            <w:tcW w:w="5000" w:type="pct"/>
            <w:gridSpan w:val="4"/>
          </w:tcPr>
          <w:p w:rsidR="00FB0311" w:rsidRPr="00776E55" w:rsidRDefault="00FB0311" w:rsidP="00FB0311">
            <w:pPr>
              <w:jc w:val="both"/>
              <w:rPr>
                <w:sz w:val="20"/>
                <w:lang w:val="fr-CA"/>
              </w:rPr>
            </w:pPr>
          </w:p>
        </w:tc>
      </w:tr>
      <w:tr w:rsidR="00FB0311" w:rsidRPr="001E30F0" w:rsidTr="00FB0311">
        <w:tc>
          <w:tcPr>
            <w:tcW w:w="5000" w:type="pct"/>
            <w:gridSpan w:val="4"/>
          </w:tcPr>
          <w:p w:rsidR="00FB0311" w:rsidRPr="00776E55" w:rsidRDefault="00FB0311" w:rsidP="00FB0311">
            <w:pPr>
              <w:jc w:val="both"/>
              <w:rPr>
                <w:sz w:val="20"/>
                <w:lang w:val="fr-CA"/>
              </w:rPr>
            </w:pPr>
            <w:r w:rsidRPr="00776E55">
              <w:rPr>
                <w:sz w:val="20"/>
                <w:lang w:val="fr-CA"/>
              </w:rPr>
              <w:t xml:space="preserve">La demande découle d’un différend entre les demandeurs, une société de gestion immobilière d’un syndic de copropriétés et ses dirigeants principaux et le défendeur, un ancien copropriétaire et membre du conseil d’administration de la copropriété. Les demandeurs ont poursuivi le défendeur en vue d’obtenir des dommages-intérêts pour diffamation. Le défendeur a présenté une demande reconventionnelle en diffamation et en complot civil contre le dirigeant principal de la société de gestion immobilière, M. Casuccio, et certains copropriétaires et membres du conseil d’administration du syndic de copropriété. Les demandeurs ont présenté une demande en vue de la radiation de la demande reconventionnelle du défendeur. Le juge des motions a refusé de le faire. La Cour divisionnaire a infirmé cette ordonnance et radié la demande reconventionnelle du défendeur, sans autorisation de la modifier. Elle a conclu que le juge des motions a commis une erreur, parce que le défendeur n’avait pas plaidé sa demande de diffamation suivant la précision requise. La Cour d’appel a accueilli l’appel interjeté par le défendeur. Elle a conclu que la Cour divisionnaire avait mal appliqué l’approche moderne et souple à l’égard des plaidoiries pour diffamation, et qu’elle avait omis d’interpréter les plaidoiries du défendeur de manière large. En conséquence, la Cour divisionnaire n’avait pas accordé la déférence appropriée au refus du juge des motions de radier les actes de procédure. </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14 juillet 2020</w:t>
            </w:r>
          </w:p>
          <w:p w:rsidR="00FB0311" w:rsidRPr="00776E55" w:rsidRDefault="00FB0311" w:rsidP="00FB0311">
            <w:pPr>
              <w:jc w:val="both"/>
              <w:rPr>
                <w:sz w:val="20"/>
                <w:lang w:val="fr-CA"/>
              </w:rPr>
            </w:pPr>
            <w:r w:rsidRPr="00776E55">
              <w:rPr>
                <w:sz w:val="20"/>
                <w:lang w:val="fr-CA"/>
              </w:rPr>
              <w:t xml:space="preserve">Cour supérieure de justice de l’Ontario </w:t>
            </w:r>
          </w:p>
          <w:p w:rsidR="00FB0311" w:rsidRPr="00776E55" w:rsidRDefault="00FB0311" w:rsidP="00FB0311">
            <w:pPr>
              <w:jc w:val="both"/>
              <w:rPr>
                <w:sz w:val="20"/>
                <w:lang w:val="fr-CA"/>
              </w:rPr>
            </w:pPr>
            <w:r w:rsidRPr="00776E55">
              <w:rPr>
                <w:sz w:val="20"/>
                <w:lang w:val="fr-CA"/>
              </w:rPr>
              <w:t>(juge Parayeski)</w:t>
            </w:r>
          </w:p>
          <w:p w:rsidR="00FB0311" w:rsidRPr="00776E55" w:rsidRDefault="00FB0311" w:rsidP="00FB0311">
            <w:pPr>
              <w:jc w:val="both"/>
              <w:rPr>
                <w:sz w:val="20"/>
                <w:lang w:val="fr-CA"/>
              </w:rPr>
            </w:pPr>
            <w:r w:rsidRPr="00776E55">
              <w:rPr>
                <w:sz w:val="20"/>
                <w:lang w:val="fr-CA"/>
              </w:rPr>
              <w:t>Non publiée</w:t>
            </w:r>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 xml:space="preserve">Rejet de la motion des demandeurs en vue de la radiation de la demande reconventionnelle du défendeur pour diffamation et complot civil </w:t>
            </w: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12 février 2021</w:t>
            </w:r>
          </w:p>
          <w:p w:rsidR="00FB0311" w:rsidRPr="00776E55" w:rsidRDefault="00FB0311" w:rsidP="00FB0311">
            <w:pPr>
              <w:jc w:val="both"/>
              <w:rPr>
                <w:sz w:val="20"/>
                <w:lang w:val="fr-CA"/>
              </w:rPr>
            </w:pPr>
            <w:r w:rsidRPr="00776E55">
              <w:rPr>
                <w:sz w:val="20"/>
                <w:lang w:val="fr-CA"/>
              </w:rPr>
              <w:t xml:space="preserve">Cour supérieur de justice de l’Ontario (Cour divisionnaire) </w:t>
            </w:r>
          </w:p>
          <w:p w:rsidR="00FB0311" w:rsidRPr="00776E55" w:rsidRDefault="00FB0311" w:rsidP="00FB0311">
            <w:pPr>
              <w:jc w:val="both"/>
              <w:rPr>
                <w:sz w:val="20"/>
                <w:lang w:val="fr-CA"/>
              </w:rPr>
            </w:pPr>
            <w:r w:rsidRPr="00776E55">
              <w:rPr>
                <w:sz w:val="20"/>
                <w:lang w:val="fr-CA"/>
              </w:rPr>
              <w:t>(juges Sachs, Trimble, et Gomery)</w:t>
            </w:r>
          </w:p>
          <w:p w:rsidR="00FB0311" w:rsidRPr="00776E55" w:rsidRDefault="00FB0311" w:rsidP="00FB0311">
            <w:pPr>
              <w:jc w:val="both"/>
              <w:rPr>
                <w:rStyle w:val="Hyperlink"/>
                <w:color w:val="auto"/>
                <w:sz w:val="20"/>
                <w:u w:val="none"/>
                <w:lang w:val="fr-CA"/>
              </w:rPr>
            </w:pPr>
            <w:r w:rsidRPr="00776E55">
              <w:rPr>
                <w:rStyle w:val="Hyperlink"/>
                <w:sz w:val="20"/>
                <w:lang w:val="fr-CA"/>
              </w:rPr>
              <w:fldChar w:fldCharType="begin"/>
            </w:r>
            <w:r w:rsidRPr="00776E55">
              <w:rPr>
                <w:rStyle w:val="Hyperlink"/>
                <w:sz w:val="20"/>
                <w:lang w:val="fr-CA"/>
              </w:rPr>
              <w:instrText xml:space="preserve"> HYPERLINK "https://www.canlii.org/en/on/onscdc/doc/2021/2021onsc1134/2021onsc1134.html" </w:instrText>
            </w:r>
            <w:r w:rsidRPr="00776E55">
              <w:rPr>
                <w:rStyle w:val="Hyperlink"/>
                <w:sz w:val="20"/>
                <w:lang w:val="fr-CA"/>
              </w:rPr>
              <w:fldChar w:fldCharType="separate"/>
            </w:r>
            <w:r w:rsidRPr="00776E55">
              <w:rPr>
                <w:rStyle w:val="Hyperlink"/>
                <w:sz w:val="20"/>
                <w:lang w:val="fr-CA"/>
              </w:rPr>
              <w:t>2021 ONSC 1134</w:t>
            </w:r>
          </w:p>
          <w:p w:rsidR="00FB0311" w:rsidRPr="00776E55" w:rsidRDefault="00FB0311" w:rsidP="00FB0311">
            <w:pPr>
              <w:jc w:val="both"/>
              <w:rPr>
                <w:sz w:val="20"/>
                <w:lang w:val="fr-CA"/>
              </w:rPr>
            </w:pPr>
            <w:r w:rsidRPr="00776E55">
              <w:rPr>
                <w:rStyle w:val="Hyperlink"/>
                <w:sz w:val="20"/>
                <w:lang w:val="fr-CA"/>
              </w:rPr>
              <w:fldChar w:fldCharType="end"/>
            </w: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 xml:space="preserve">Appel des demandeurs accueilli; demande reconventionnelle du défendeur radiée </w:t>
            </w:r>
          </w:p>
        </w:tc>
      </w:tr>
      <w:tr w:rsidR="00FB0311" w:rsidRPr="00776E55" w:rsidTr="00FB0311">
        <w:tc>
          <w:tcPr>
            <w:tcW w:w="2427" w:type="pct"/>
            <w:gridSpan w:val="2"/>
          </w:tcPr>
          <w:p w:rsidR="00FB0311" w:rsidRPr="00776E55" w:rsidRDefault="00FB0311" w:rsidP="00FB0311">
            <w:pPr>
              <w:jc w:val="both"/>
              <w:rPr>
                <w:sz w:val="20"/>
                <w:lang w:val="fr-CA"/>
              </w:rPr>
            </w:pPr>
            <w:r w:rsidRPr="00776E55">
              <w:rPr>
                <w:sz w:val="20"/>
                <w:lang w:val="fr-CA"/>
              </w:rPr>
              <w:t>7 septembre 2022</w:t>
            </w:r>
          </w:p>
          <w:p w:rsidR="00FB0311" w:rsidRPr="00776E55" w:rsidRDefault="00FB0311" w:rsidP="00FB0311">
            <w:pPr>
              <w:jc w:val="both"/>
              <w:rPr>
                <w:sz w:val="20"/>
                <w:lang w:val="fr-CA"/>
              </w:rPr>
            </w:pPr>
            <w:r w:rsidRPr="00776E55">
              <w:rPr>
                <w:sz w:val="20"/>
                <w:lang w:val="fr-CA"/>
              </w:rPr>
              <w:t>Cour d’appel de l’Ontario</w:t>
            </w:r>
          </w:p>
          <w:p w:rsidR="00FB0311" w:rsidRPr="00776E55" w:rsidRDefault="00FB0311" w:rsidP="00FB0311">
            <w:pPr>
              <w:jc w:val="both"/>
              <w:rPr>
                <w:sz w:val="20"/>
                <w:lang w:val="fr-CA"/>
              </w:rPr>
            </w:pPr>
            <w:r w:rsidRPr="00776E55">
              <w:rPr>
                <w:sz w:val="20"/>
                <w:lang w:val="fr-CA"/>
              </w:rPr>
              <w:t>(juges Feldman, Roberts, et Favreau)</w:t>
            </w:r>
          </w:p>
          <w:p w:rsidR="00FB0311" w:rsidRPr="00776E55" w:rsidRDefault="001E30F0" w:rsidP="00FB0311">
            <w:pPr>
              <w:jc w:val="both"/>
              <w:rPr>
                <w:sz w:val="20"/>
                <w:lang w:val="fr-CA"/>
              </w:rPr>
            </w:pPr>
            <w:hyperlink r:id="rId82" w:history="1">
              <w:r w:rsidR="00FB0311" w:rsidRPr="00776E55">
                <w:rPr>
                  <w:rStyle w:val="Hyperlink"/>
                  <w:sz w:val="20"/>
                  <w:lang w:val="fr-CA"/>
                </w:rPr>
                <w:t>2022 ONCA 635</w:t>
              </w:r>
            </w:hyperlink>
            <w:r w:rsidR="00FB0311" w:rsidRPr="00776E55">
              <w:rPr>
                <w:sz w:val="20"/>
                <w:lang w:val="fr-CA"/>
              </w:rPr>
              <w:t xml:space="preserve"> (Dossier : C69667)</w:t>
            </w:r>
          </w:p>
          <w:p w:rsidR="00FB0311" w:rsidRPr="00776E55" w:rsidRDefault="00FB0311" w:rsidP="00FB0311">
            <w:pPr>
              <w:jc w:val="both"/>
              <w:rPr>
                <w:sz w:val="20"/>
                <w:lang w:val="fr-CA"/>
              </w:rPr>
            </w:pP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Appel du défendeur accueilli</w:t>
            </w:r>
          </w:p>
          <w:p w:rsidR="00FB0311" w:rsidRPr="00776E55" w:rsidRDefault="00FB0311" w:rsidP="00FB0311">
            <w:pPr>
              <w:jc w:val="both"/>
              <w:rPr>
                <w:sz w:val="20"/>
                <w:lang w:val="fr-CA"/>
              </w:rPr>
            </w:pPr>
          </w:p>
        </w:tc>
      </w:tr>
      <w:tr w:rsidR="00FB0311" w:rsidRPr="001E30F0" w:rsidTr="00FB0311">
        <w:tc>
          <w:tcPr>
            <w:tcW w:w="2427" w:type="pct"/>
            <w:gridSpan w:val="2"/>
          </w:tcPr>
          <w:p w:rsidR="00FB0311" w:rsidRPr="00776E55" w:rsidRDefault="00FB0311" w:rsidP="00FB0311">
            <w:pPr>
              <w:jc w:val="both"/>
              <w:rPr>
                <w:sz w:val="20"/>
                <w:lang w:val="fr-CA"/>
              </w:rPr>
            </w:pPr>
            <w:r w:rsidRPr="00776E55">
              <w:rPr>
                <w:sz w:val="20"/>
                <w:lang w:val="fr-CA"/>
              </w:rPr>
              <w:t>7 novembre 2022</w:t>
            </w:r>
          </w:p>
          <w:p w:rsidR="00FB0311" w:rsidRPr="00776E55" w:rsidRDefault="00FB0311" w:rsidP="00FB0311">
            <w:pPr>
              <w:jc w:val="both"/>
              <w:rPr>
                <w:sz w:val="20"/>
                <w:lang w:val="fr-CA"/>
              </w:rPr>
            </w:pPr>
            <w:r w:rsidRPr="00776E55">
              <w:rPr>
                <w:sz w:val="20"/>
                <w:lang w:val="fr-CA"/>
              </w:rPr>
              <w:t>Cour suprême du Canada</w:t>
            </w:r>
          </w:p>
        </w:tc>
        <w:tc>
          <w:tcPr>
            <w:tcW w:w="243" w:type="pct"/>
          </w:tcPr>
          <w:p w:rsidR="00FB0311" w:rsidRPr="00776E55" w:rsidRDefault="00FB0311" w:rsidP="00FB0311">
            <w:pPr>
              <w:jc w:val="both"/>
              <w:rPr>
                <w:sz w:val="20"/>
                <w:lang w:val="fr-CA"/>
              </w:rPr>
            </w:pPr>
          </w:p>
        </w:tc>
        <w:tc>
          <w:tcPr>
            <w:tcW w:w="2330" w:type="pct"/>
          </w:tcPr>
          <w:p w:rsidR="00FB0311" w:rsidRPr="00776E55" w:rsidRDefault="00FB0311" w:rsidP="00FB0311">
            <w:pPr>
              <w:jc w:val="both"/>
              <w:rPr>
                <w:sz w:val="20"/>
                <w:lang w:val="fr-CA"/>
              </w:rPr>
            </w:pPr>
            <w:r w:rsidRPr="00776E55">
              <w:rPr>
                <w:sz w:val="20"/>
                <w:lang w:val="fr-CA"/>
              </w:rPr>
              <w:t xml:space="preserve">Dépôt de la demande d’autorisation d’appel </w:t>
            </w:r>
          </w:p>
          <w:p w:rsidR="00FB0311" w:rsidRPr="00776E55" w:rsidRDefault="00FB0311" w:rsidP="00FB0311">
            <w:pPr>
              <w:jc w:val="both"/>
              <w:rPr>
                <w:sz w:val="20"/>
                <w:lang w:val="fr-CA"/>
              </w:rPr>
            </w:pPr>
          </w:p>
        </w:tc>
      </w:tr>
    </w:tbl>
    <w:p w:rsidR="00FB0311" w:rsidRPr="00776E55" w:rsidRDefault="00FB0311" w:rsidP="00FB0311">
      <w:pPr>
        <w:jc w:val="both"/>
        <w:rPr>
          <w:sz w:val="20"/>
          <w:lang w:val="fr-CA"/>
        </w:rPr>
      </w:pPr>
    </w:p>
    <w:p w:rsidR="00142166" w:rsidRPr="00776E55" w:rsidRDefault="001E30F0" w:rsidP="005B0EC1">
      <w:pPr>
        <w:widowControl w:val="0"/>
        <w:jc w:val="both"/>
        <w:rPr>
          <w:sz w:val="20"/>
          <w:lang w:val="fr-CA"/>
        </w:rPr>
      </w:pPr>
      <w:r>
        <w:rPr>
          <w:sz w:val="20"/>
        </w:rPr>
        <w:pict>
          <v:rect id="_x0000_i1056" style="width:2in;height:1pt" o:hrpct="0" o:hralign="center" o:hrstd="t" o:hrnoshade="t" o:hr="t" fillcolor="black [3213]" stroked="f"/>
        </w:pict>
      </w:r>
    </w:p>
    <w:p w:rsidR="00142166" w:rsidRPr="00776E55" w:rsidRDefault="00142166" w:rsidP="005B0EC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0EC1" w:rsidRPr="00776E55" w:rsidTr="00ED2DCE">
        <w:tc>
          <w:tcPr>
            <w:tcW w:w="543" w:type="pct"/>
          </w:tcPr>
          <w:p w:rsidR="005B0EC1" w:rsidRPr="00776E55" w:rsidRDefault="005B0EC1" w:rsidP="005B0EC1">
            <w:pPr>
              <w:jc w:val="both"/>
              <w:rPr>
                <w:sz w:val="20"/>
                <w:lang w:val="en-CA"/>
              </w:rPr>
            </w:pPr>
            <w:r w:rsidRPr="00776E55">
              <w:rPr>
                <w:rStyle w:val="SCCFileNumberChar"/>
                <w:sz w:val="20"/>
                <w:szCs w:val="20"/>
              </w:rPr>
              <w:t>40382</w:t>
            </w:r>
          </w:p>
        </w:tc>
        <w:tc>
          <w:tcPr>
            <w:tcW w:w="4457" w:type="pct"/>
            <w:gridSpan w:val="3"/>
          </w:tcPr>
          <w:p w:rsidR="005B0EC1" w:rsidRPr="00776E55" w:rsidRDefault="005B0EC1" w:rsidP="005B0EC1">
            <w:pPr>
              <w:pStyle w:val="SCCLsocParty"/>
              <w:jc w:val="both"/>
              <w:rPr>
                <w:b/>
                <w:sz w:val="20"/>
                <w:szCs w:val="20"/>
                <w:lang w:val="en-CA"/>
              </w:rPr>
            </w:pPr>
            <w:r w:rsidRPr="00776E55">
              <w:rPr>
                <w:b/>
                <w:sz w:val="20"/>
                <w:szCs w:val="20"/>
                <w:lang w:val="en-CA"/>
              </w:rPr>
              <w:t>Michel Derome v. Attorney General of Quebec</w:t>
            </w:r>
          </w:p>
          <w:p w:rsidR="005B0EC1" w:rsidRPr="00776E55" w:rsidRDefault="005B0EC1" w:rsidP="005B0EC1">
            <w:pPr>
              <w:jc w:val="both"/>
              <w:rPr>
                <w:sz w:val="20"/>
                <w:lang w:val="en-CA"/>
              </w:rPr>
            </w:pPr>
            <w:r w:rsidRPr="00776E55">
              <w:rPr>
                <w:sz w:val="20"/>
                <w:lang w:val="en-CA"/>
              </w:rPr>
              <w:t>(Que.) (Criminal) (By Leave)</w:t>
            </w:r>
          </w:p>
        </w:tc>
      </w:tr>
      <w:tr w:rsidR="005B0EC1" w:rsidRPr="00776E55" w:rsidTr="00ED2DCE">
        <w:tc>
          <w:tcPr>
            <w:tcW w:w="5000" w:type="pct"/>
            <w:gridSpan w:val="4"/>
          </w:tcPr>
          <w:p w:rsidR="005B0EC1" w:rsidRPr="00776E55" w:rsidRDefault="005B0EC1" w:rsidP="005B0EC1">
            <w:pPr>
              <w:jc w:val="both"/>
              <w:rPr>
                <w:sz w:val="20"/>
                <w:lang w:val="en-CA"/>
              </w:rPr>
            </w:pPr>
            <w:proofErr w:type="gramStart"/>
            <w:r w:rsidRPr="00776E55">
              <w:rPr>
                <w:sz w:val="20"/>
                <w:lang w:val="en-CA"/>
              </w:rPr>
              <w:t xml:space="preserve">Criminal law — </w:t>
            </w:r>
            <w:r w:rsidRPr="00776E55">
              <w:rPr>
                <w:i/>
                <w:sz w:val="20"/>
                <w:lang w:val="en-CA"/>
              </w:rPr>
              <w:t>Controlled Drugs and Substances Act</w:t>
            </w:r>
            <w:r w:rsidRPr="00776E55">
              <w:rPr>
                <w:sz w:val="20"/>
                <w:lang w:val="en-CA"/>
              </w:rPr>
              <w:t xml:space="preserve"> — Forfeiture of offence-related property — Evidence — Prior statement — Applicant convicted of offences under </w:t>
            </w:r>
            <w:r w:rsidRPr="00776E55">
              <w:rPr>
                <w:i/>
                <w:sz w:val="20"/>
                <w:lang w:val="en-CA"/>
              </w:rPr>
              <w:t>Controlled Drugs and Substances Act</w:t>
            </w:r>
            <w:r w:rsidRPr="00776E55">
              <w:rPr>
                <w:sz w:val="20"/>
                <w:lang w:val="en-CA"/>
              </w:rPr>
              <w:t xml:space="preserve"> — Attorney General applying for forfeiture of applicant’s residential property — Judge allowing cross-examination of applicant on prior statement made to police without holding </w:t>
            </w:r>
            <w:r w:rsidRPr="00776E55">
              <w:rPr>
                <w:i/>
                <w:sz w:val="20"/>
                <w:lang w:val="en-CA"/>
              </w:rPr>
              <w:t>voir dire</w:t>
            </w:r>
            <w:r w:rsidRPr="00776E55">
              <w:rPr>
                <w:sz w:val="20"/>
                <w:lang w:val="en-CA"/>
              </w:rPr>
              <w:t xml:space="preserve"> — Whether trial judge and Court of Appeal erred in holding that no </w:t>
            </w:r>
            <w:r w:rsidRPr="00776E55">
              <w:rPr>
                <w:i/>
                <w:sz w:val="20"/>
                <w:lang w:val="en-CA"/>
              </w:rPr>
              <w:t>voir dire</w:t>
            </w:r>
            <w:r w:rsidRPr="00776E55">
              <w:rPr>
                <w:sz w:val="20"/>
                <w:lang w:val="en-CA"/>
              </w:rPr>
              <w:t xml:space="preserve"> was needed to establish that applicant’s prior statement was free and voluntary so that it could be used to cross-examine him — Whether trial judge and Court of Appeal erred in holding that rejection of applicant’s testimony necessarily led to conclusion that it had not been shown that forfeiture would be disproportionate.</w:t>
            </w:r>
            <w:proofErr w:type="gramEnd"/>
          </w:p>
        </w:tc>
      </w:tr>
      <w:tr w:rsidR="005B0EC1" w:rsidRPr="00776E55" w:rsidTr="00ED2DCE">
        <w:tc>
          <w:tcPr>
            <w:tcW w:w="5000" w:type="pct"/>
            <w:gridSpan w:val="4"/>
          </w:tcPr>
          <w:p w:rsidR="005B0EC1" w:rsidRPr="00776E55" w:rsidRDefault="005B0EC1" w:rsidP="005B0EC1">
            <w:pPr>
              <w:jc w:val="both"/>
              <w:rPr>
                <w:sz w:val="20"/>
                <w:lang w:val="en-CA"/>
              </w:rPr>
            </w:pPr>
          </w:p>
          <w:p w:rsidR="005B0EC1" w:rsidRPr="00776E55" w:rsidRDefault="005B0EC1" w:rsidP="005B0EC1">
            <w:pPr>
              <w:jc w:val="both"/>
              <w:rPr>
                <w:sz w:val="20"/>
                <w:lang w:val="en-CA" w:eastAsia="en-CA"/>
              </w:rPr>
            </w:pPr>
            <w:r w:rsidRPr="00776E55">
              <w:rPr>
                <w:sz w:val="20"/>
                <w:lang w:val="en-CA" w:eastAsia="en-CA"/>
              </w:rPr>
              <w:t xml:space="preserve">The applicant, Michel Derome, pleaded guilty to counts of trafficking in cannabis resin, possession of cocaine for the purpose of trafficking, and trafficking in cocaine. Given that a restraint order </w:t>
            </w:r>
            <w:proofErr w:type="gramStart"/>
            <w:r w:rsidRPr="00776E55">
              <w:rPr>
                <w:sz w:val="20"/>
                <w:lang w:val="en-CA" w:eastAsia="en-CA"/>
              </w:rPr>
              <w:t>had previously been made</w:t>
            </w:r>
            <w:proofErr w:type="gramEnd"/>
            <w:r w:rsidRPr="00776E55">
              <w:rPr>
                <w:sz w:val="20"/>
                <w:lang w:val="en-CA" w:eastAsia="en-CA"/>
              </w:rPr>
              <w:t xml:space="preserve"> in respect of the applicant’s residence, the respondent, the Attorney General of Quebec (AGQ), applied for the forfeiture of the property under ss. 16 et seq. of the </w:t>
            </w:r>
            <w:r w:rsidRPr="00776E55">
              <w:rPr>
                <w:i/>
                <w:sz w:val="20"/>
                <w:lang w:val="en-CA"/>
              </w:rPr>
              <w:t>Controlled Drugs and Substances Act</w:t>
            </w:r>
            <w:r w:rsidRPr="00776E55">
              <w:rPr>
                <w:sz w:val="20"/>
                <w:lang w:val="en-CA" w:eastAsia="en-CA"/>
              </w:rPr>
              <w:t>, S.C. 1996, c. 19.</w:t>
            </w:r>
          </w:p>
          <w:p w:rsidR="005B0EC1" w:rsidRPr="00776E55" w:rsidRDefault="005B0EC1" w:rsidP="005B0EC1">
            <w:pPr>
              <w:jc w:val="both"/>
              <w:rPr>
                <w:sz w:val="20"/>
                <w:lang w:val="en-CA" w:eastAsia="en-CA"/>
              </w:rPr>
            </w:pPr>
          </w:p>
          <w:p w:rsidR="005B0EC1" w:rsidRPr="00776E55" w:rsidRDefault="005B0EC1" w:rsidP="005B0EC1">
            <w:pPr>
              <w:jc w:val="both"/>
              <w:rPr>
                <w:sz w:val="20"/>
                <w:lang w:val="en-CA"/>
              </w:rPr>
            </w:pPr>
            <w:r w:rsidRPr="00776E55">
              <w:rPr>
                <w:sz w:val="20"/>
                <w:lang w:val="en-CA" w:eastAsia="en-CA"/>
              </w:rPr>
              <w:t xml:space="preserve">When the application </w:t>
            </w:r>
            <w:proofErr w:type="gramStart"/>
            <w:r w:rsidRPr="00776E55">
              <w:rPr>
                <w:sz w:val="20"/>
                <w:lang w:val="en-CA" w:eastAsia="en-CA"/>
              </w:rPr>
              <w:t>was heard</w:t>
            </w:r>
            <w:proofErr w:type="gramEnd"/>
            <w:r w:rsidRPr="00776E55">
              <w:rPr>
                <w:sz w:val="20"/>
                <w:lang w:val="en-CA" w:eastAsia="en-CA"/>
              </w:rPr>
              <w:t xml:space="preserve"> in the Court of Québec, the judge, without holding a </w:t>
            </w:r>
            <w:r w:rsidRPr="00776E55">
              <w:rPr>
                <w:i/>
                <w:sz w:val="20"/>
                <w:lang w:val="en-CA" w:eastAsia="en-CA"/>
              </w:rPr>
              <w:t>voir dire</w:t>
            </w:r>
            <w:r w:rsidRPr="00776E55">
              <w:rPr>
                <w:sz w:val="20"/>
                <w:lang w:val="en-CA" w:eastAsia="en-CA"/>
              </w:rPr>
              <w:t xml:space="preserve">, allowed the cross-examination of the applicant on a statement made to the police at the time of his arrest. The application </w:t>
            </w:r>
            <w:proofErr w:type="gramStart"/>
            <w:r w:rsidRPr="00776E55">
              <w:rPr>
                <w:sz w:val="20"/>
                <w:lang w:val="en-CA" w:eastAsia="en-CA"/>
              </w:rPr>
              <w:t>was allowed</w:t>
            </w:r>
            <w:proofErr w:type="gramEnd"/>
            <w:r w:rsidRPr="00776E55">
              <w:rPr>
                <w:sz w:val="20"/>
                <w:lang w:val="en-CA" w:eastAsia="en-CA"/>
              </w:rPr>
              <w:t xml:space="preserve"> and the full forfeiture of the applicant’s property to the AGQ was ordered. The Court of Appeal dismissed the applicant’s appeal. </w:t>
            </w:r>
          </w:p>
        </w:tc>
      </w:tr>
      <w:tr w:rsidR="005B0EC1" w:rsidRPr="00776E55" w:rsidTr="00ED2DCE">
        <w:tc>
          <w:tcPr>
            <w:tcW w:w="5000" w:type="pct"/>
            <w:gridSpan w:val="4"/>
          </w:tcPr>
          <w:p w:rsidR="005B0EC1" w:rsidRPr="00776E55" w:rsidRDefault="005B0EC1" w:rsidP="005B0EC1">
            <w:pPr>
              <w:jc w:val="both"/>
              <w:rPr>
                <w:sz w:val="20"/>
                <w:lang w:val="en-CA"/>
              </w:rPr>
            </w:pPr>
          </w:p>
        </w:tc>
      </w:tr>
      <w:tr w:rsidR="005B0EC1" w:rsidRPr="00776E55" w:rsidTr="00ED2DCE">
        <w:tc>
          <w:tcPr>
            <w:tcW w:w="2427" w:type="pct"/>
            <w:gridSpan w:val="2"/>
          </w:tcPr>
          <w:p w:rsidR="005B0EC1" w:rsidRPr="00776E55" w:rsidRDefault="005B0EC1" w:rsidP="005B0EC1">
            <w:pPr>
              <w:jc w:val="both"/>
              <w:rPr>
                <w:sz w:val="20"/>
                <w:lang w:val="en-CA"/>
              </w:rPr>
            </w:pPr>
            <w:r w:rsidRPr="00776E55">
              <w:rPr>
                <w:sz w:val="20"/>
                <w:lang w:val="en-CA"/>
              </w:rPr>
              <w:t>May 17, 2021</w:t>
            </w:r>
          </w:p>
          <w:p w:rsidR="005B0EC1" w:rsidRPr="00776E55" w:rsidRDefault="005B0EC1" w:rsidP="005B0EC1">
            <w:pPr>
              <w:jc w:val="both"/>
              <w:rPr>
                <w:sz w:val="20"/>
                <w:lang w:val="en-CA"/>
              </w:rPr>
            </w:pPr>
            <w:r w:rsidRPr="00776E55">
              <w:rPr>
                <w:sz w:val="20"/>
                <w:lang w:val="en-CA"/>
              </w:rPr>
              <w:t>Court of Québec</w:t>
            </w:r>
          </w:p>
          <w:p w:rsidR="005B0EC1" w:rsidRPr="00776E55" w:rsidRDefault="005B0EC1" w:rsidP="005B0EC1">
            <w:pPr>
              <w:jc w:val="both"/>
              <w:rPr>
                <w:sz w:val="20"/>
                <w:lang w:val="en-CA"/>
              </w:rPr>
            </w:pPr>
            <w:r w:rsidRPr="00776E55">
              <w:rPr>
                <w:sz w:val="20"/>
                <w:lang w:val="en-CA"/>
              </w:rPr>
              <w:t>(Judge Rousseau)</w:t>
            </w:r>
          </w:p>
          <w:p w:rsidR="005B0EC1" w:rsidRPr="00776E55" w:rsidRDefault="005B0EC1" w:rsidP="005B0EC1">
            <w:pPr>
              <w:jc w:val="both"/>
              <w:rPr>
                <w:sz w:val="20"/>
                <w:lang w:val="en-CA"/>
              </w:rPr>
            </w:pPr>
            <w:r w:rsidRPr="00776E55">
              <w:rPr>
                <w:sz w:val="20"/>
                <w:lang w:val="en-CA"/>
              </w:rPr>
              <w:t>No. 200-38-019405-154</w:t>
            </w:r>
          </w:p>
          <w:p w:rsidR="005B0EC1" w:rsidRPr="00776E55" w:rsidRDefault="005B0EC1" w:rsidP="005B0EC1">
            <w:pPr>
              <w:jc w:val="both"/>
              <w:rPr>
                <w:sz w:val="20"/>
                <w:lang w:val="en-CA"/>
              </w:rPr>
            </w:pPr>
          </w:p>
        </w:tc>
        <w:tc>
          <w:tcPr>
            <w:tcW w:w="243" w:type="pct"/>
          </w:tcPr>
          <w:p w:rsidR="005B0EC1" w:rsidRPr="00776E55" w:rsidRDefault="005B0EC1" w:rsidP="005B0EC1">
            <w:pPr>
              <w:jc w:val="both"/>
              <w:rPr>
                <w:sz w:val="20"/>
                <w:lang w:val="en-CA"/>
              </w:rPr>
            </w:pPr>
          </w:p>
        </w:tc>
        <w:tc>
          <w:tcPr>
            <w:tcW w:w="2330" w:type="pct"/>
          </w:tcPr>
          <w:p w:rsidR="005B0EC1" w:rsidRPr="00776E55" w:rsidRDefault="005B0EC1" w:rsidP="005B0EC1">
            <w:pPr>
              <w:jc w:val="both"/>
              <w:rPr>
                <w:sz w:val="20"/>
                <w:lang w:val="en-CA"/>
              </w:rPr>
            </w:pPr>
            <w:r w:rsidRPr="00776E55">
              <w:rPr>
                <w:sz w:val="20"/>
                <w:lang w:val="en-CA"/>
              </w:rPr>
              <w:t xml:space="preserve">Attorney General allowed to cross-examine applicant on prior statement made to police without </w:t>
            </w:r>
            <w:r w:rsidRPr="00776E55">
              <w:rPr>
                <w:i/>
                <w:sz w:val="20"/>
                <w:lang w:val="en-CA"/>
              </w:rPr>
              <w:t>voir dire</w:t>
            </w:r>
            <w:r w:rsidRPr="00776E55">
              <w:rPr>
                <w:sz w:val="20"/>
                <w:lang w:val="en-CA"/>
              </w:rPr>
              <w:t xml:space="preserve"> being held</w:t>
            </w:r>
          </w:p>
        </w:tc>
      </w:tr>
      <w:tr w:rsidR="005B0EC1" w:rsidRPr="00776E55" w:rsidTr="00ED2DCE">
        <w:tc>
          <w:tcPr>
            <w:tcW w:w="2427" w:type="pct"/>
            <w:gridSpan w:val="2"/>
          </w:tcPr>
          <w:p w:rsidR="005B0EC1" w:rsidRPr="00776E55" w:rsidRDefault="005B0EC1" w:rsidP="005B0EC1">
            <w:pPr>
              <w:jc w:val="both"/>
              <w:rPr>
                <w:sz w:val="20"/>
                <w:lang w:val="en-CA"/>
              </w:rPr>
            </w:pPr>
            <w:r w:rsidRPr="00776E55">
              <w:rPr>
                <w:sz w:val="20"/>
                <w:lang w:val="en-CA"/>
              </w:rPr>
              <w:t>June 25, 2021</w:t>
            </w:r>
          </w:p>
          <w:p w:rsidR="005B0EC1" w:rsidRPr="00776E55" w:rsidRDefault="005B0EC1" w:rsidP="005B0EC1">
            <w:pPr>
              <w:jc w:val="both"/>
              <w:rPr>
                <w:sz w:val="20"/>
                <w:lang w:val="en-CA"/>
              </w:rPr>
            </w:pPr>
            <w:r w:rsidRPr="00776E55">
              <w:rPr>
                <w:sz w:val="20"/>
                <w:lang w:val="en-CA"/>
              </w:rPr>
              <w:t>Court of Québec</w:t>
            </w:r>
          </w:p>
          <w:p w:rsidR="005B0EC1" w:rsidRPr="00776E55" w:rsidRDefault="005B0EC1" w:rsidP="005B0EC1">
            <w:pPr>
              <w:jc w:val="both"/>
              <w:rPr>
                <w:sz w:val="20"/>
                <w:lang w:val="en-CA"/>
              </w:rPr>
            </w:pPr>
            <w:r w:rsidRPr="00776E55">
              <w:rPr>
                <w:sz w:val="20"/>
                <w:lang w:val="en-CA"/>
              </w:rPr>
              <w:t>(Judge Rousseau)</w:t>
            </w:r>
          </w:p>
          <w:p w:rsidR="005B0EC1" w:rsidRPr="00776E55" w:rsidRDefault="005B0EC1" w:rsidP="005B0EC1">
            <w:pPr>
              <w:jc w:val="both"/>
              <w:rPr>
                <w:sz w:val="20"/>
                <w:lang w:val="en-CA"/>
              </w:rPr>
            </w:pPr>
            <w:r w:rsidRPr="00776E55">
              <w:rPr>
                <w:sz w:val="20"/>
                <w:lang w:val="en-CA"/>
              </w:rPr>
              <w:t>No. 200-38-019405-154</w:t>
            </w:r>
          </w:p>
          <w:p w:rsidR="005B0EC1" w:rsidRPr="00776E55" w:rsidRDefault="005B0EC1" w:rsidP="005B0EC1">
            <w:pPr>
              <w:jc w:val="both"/>
              <w:rPr>
                <w:sz w:val="20"/>
                <w:lang w:val="en-CA"/>
              </w:rPr>
            </w:pPr>
          </w:p>
        </w:tc>
        <w:tc>
          <w:tcPr>
            <w:tcW w:w="243" w:type="pct"/>
          </w:tcPr>
          <w:p w:rsidR="005B0EC1" w:rsidRPr="00776E55" w:rsidRDefault="005B0EC1" w:rsidP="005B0EC1">
            <w:pPr>
              <w:jc w:val="both"/>
              <w:rPr>
                <w:sz w:val="20"/>
                <w:lang w:val="en-CA"/>
              </w:rPr>
            </w:pPr>
          </w:p>
        </w:tc>
        <w:tc>
          <w:tcPr>
            <w:tcW w:w="2330" w:type="pct"/>
          </w:tcPr>
          <w:p w:rsidR="005B0EC1" w:rsidRPr="00776E55" w:rsidRDefault="005B0EC1" w:rsidP="005B0EC1">
            <w:pPr>
              <w:jc w:val="both"/>
              <w:rPr>
                <w:sz w:val="20"/>
                <w:lang w:val="en-CA"/>
              </w:rPr>
            </w:pPr>
            <w:r w:rsidRPr="00776E55">
              <w:rPr>
                <w:sz w:val="20"/>
                <w:lang w:val="en-CA"/>
              </w:rPr>
              <w:t>Attorney General’s application for forfeiture allowed; applicant’s property forfeited to Attorney General</w:t>
            </w:r>
          </w:p>
        </w:tc>
      </w:tr>
      <w:tr w:rsidR="005B0EC1" w:rsidRPr="00776E55" w:rsidTr="00ED2DCE">
        <w:tc>
          <w:tcPr>
            <w:tcW w:w="2427" w:type="pct"/>
            <w:gridSpan w:val="2"/>
          </w:tcPr>
          <w:p w:rsidR="005B0EC1" w:rsidRPr="00776E55" w:rsidRDefault="005B0EC1" w:rsidP="005B0EC1">
            <w:pPr>
              <w:jc w:val="both"/>
              <w:rPr>
                <w:sz w:val="20"/>
                <w:lang w:val="en-CA"/>
              </w:rPr>
            </w:pPr>
            <w:r w:rsidRPr="00776E55">
              <w:rPr>
                <w:sz w:val="20"/>
                <w:lang w:val="en-CA"/>
              </w:rPr>
              <w:t>July 14, 2022</w:t>
            </w:r>
          </w:p>
          <w:p w:rsidR="005B0EC1" w:rsidRPr="00776E55" w:rsidRDefault="005B0EC1" w:rsidP="005B0EC1">
            <w:pPr>
              <w:jc w:val="both"/>
              <w:rPr>
                <w:sz w:val="20"/>
                <w:lang w:val="en-CA"/>
              </w:rPr>
            </w:pPr>
            <w:r w:rsidRPr="00776E55">
              <w:rPr>
                <w:sz w:val="20"/>
                <w:lang w:val="en-CA"/>
              </w:rPr>
              <w:t>Quebec Court of Appeal (Québec)</w:t>
            </w:r>
          </w:p>
          <w:p w:rsidR="005B0EC1" w:rsidRPr="00776E55" w:rsidRDefault="005B0EC1" w:rsidP="005B0EC1">
            <w:pPr>
              <w:jc w:val="both"/>
              <w:rPr>
                <w:sz w:val="20"/>
                <w:lang w:val="fr-CA"/>
              </w:rPr>
            </w:pPr>
            <w:r w:rsidRPr="00776E55">
              <w:rPr>
                <w:sz w:val="20"/>
                <w:lang w:val="fr-CA"/>
              </w:rPr>
              <w:t>(Ruel, Rancourt and Lavallée JJ.A.)</w:t>
            </w:r>
          </w:p>
          <w:p w:rsidR="005B0EC1" w:rsidRPr="00776E55" w:rsidRDefault="001E30F0" w:rsidP="005B0EC1">
            <w:pPr>
              <w:jc w:val="both"/>
              <w:rPr>
                <w:sz w:val="20"/>
                <w:lang w:val="en-CA"/>
              </w:rPr>
            </w:pPr>
            <w:hyperlink r:id="rId83" w:history="1">
              <w:r w:rsidR="005B0EC1" w:rsidRPr="00776E55">
                <w:rPr>
                  <w:rStyle w:val="Hyperlink"/>
                  <w:sz w:val="20"/>
                  <w:lang w:val="en-CA"/>
                </w:rPr>
                <w:t>2022 QCCA 1120</w:t>
              </w:r>
            </w:hyperlink>
          </w:p>
          <w:p w:rsidR="005B0EC1" w:rsidRPr="00776E55" w:rsidRDefault="005B0EC1" w:rsidP="005B0EC1">
            <w:pPr>
              <w:jc w:val="both"/>
              <w:rPr>
                <w:sz w:val="20"/>
                <w:lang w:val="en-CA"/>
              </w:rPr>
            </w:pPr>
          </w:p>
        </w:tc>
        <w:tc>
          <w:tcPr>
            <w:tcW w:w="243" w:type="pct"/>
          </w:tcPr>
          <w:p w:rsidR="005B0EC1" w:rsidRPr="00776E55" w:rsidRDefault="005B0EC1" w:rsidP="005B0EC1">
            <w:pPr>
              <w:jc w:val="both"/>
              <w:rPr>
                <w:sz w:val="20"/>
                <w:lang w:val="en-CA"/>
              </w:rPr>
            </w:pPr>
          </w:p>
        </w:tc>
        <w:tc>
          <w:tcPr>
            <w:tcW w:w="2330" w:type="pct"/>
          </w:tcPr>
          <w:p w:rsidR="005B0EC1" w:rsidRPr="00776E55" w:rsidRDefault="005B0EC1" w:rsidP="005B0EC1">
            <w:pPr>
              <w:jc w:val="both"/>
              <w:rPr>
                <w:sz w:val="20"/>
                <w:lang w:val="en-CA"/>
              </w:rPr>
            </w:pPr>
            <w:r w:rsidRPr="00776E55">
              <w:rPr>
                <w:sz w:val="20"/>
                <w:lang w:val="en-CA"/>
              </w:rPr>
              <w:t>Appeal dismissed</w:t>
            </w:r>
          </w:p>
        </w:tc>
      </w:tr>
      <w:tr w:rsidR="005B0EC1" w:rsidRPr="00776E55" w:rsidTr="00ED2DCE">
        <w:tc>
          <w:tcPr>
            <w:tcW w:w="2427" w:type="pct"/>
            <w:gridSpan w:val="2"/>
          </w:tcPr>
          <w:p w:rsidR="005B0EC1" w:rsidRPr="00776E55" w:rsidRDefault="005B0EC1" w:rsidP="005B0EC1">
            <w:pPr>
              <w:jc w:val="both"/>
              <w:rPr>
                <w:sz w:val="20"/>
                <w:lang w:val="en-CA"/>
              </w:rPr>
            </w:pPr>
            <w:r w:rsidRPr="00776E55">
              <w:rPr>
                <w:sz w:val="20"/>
                <w:lang w:val="en-CA"/>
              </w:rPr>
              <w:t>September 29, 2022</w:t>
            </w:r>
          </w:p>
          <w:p w:rsidR="005B0EC1" w:rsidRPr="00776E55" w:rsidRDefault="005B0EC1" w:rsidP="005B0EC1">
            <w:pPr>
              <w:jc w:val="both"/>
              <w:rPr>
                <w:sz w:val="20"/>
                <w:lang w:val="en-CA"/>
              </w:rPr>
            </w:pPr>
            <w:r w:rsidRPr="00776E55">
              <w:rPr>
                <w:sz w:val="20"/>
                <w:lang w:val="en-CA"/>
              </w:rPr>
              <w:t>Supreme Court of Canada</w:t>
            </w:r>
          </w:p>
        </w:tc>
        <w:tc>
          <w:tcPr>
            <w:tcW w:w="243" w:type="pct"/>
          </w:tcPr>
          <w:p w:rsidR="005B0EC1" w:rsidRPr="00776E55" w:rsidRDefault="005B0EC1" w:rsidP="005B0EC1">
            <w:pPr>
              <w:jc w:val="both"/>
              <w:rPr>
                <w:sz w:val="20"/>
                <w:lang w:val="en-CA"/>
              </w:rPr>
            </w:pPr>
          </w:p>
        </w:tc>
        <w:tc>
          <w:tcPr>
            <w:tcW w:w="2330" w:type="pct"/>
          </w:tcPr>
          <w:p w:rsidR="005B0EC1" w:rsidRPr="00776E55" w:rsidRDefault="005B0EC1" w:rsidP="005B0EC1">
            <w:pPr>
              <w:jc w:val="both"/>
              <w:rPr>
                <w:sz w:val="20"/>
                <w:lang w:val="en-CA"/>
              </w:rPr>
            </w:pPr>
            <w:r w:rsidRPr="00776E55">
              <w:rPr>
                <w:sz w:val="20"/>
                <w:lang w:val="en-CA"/>
              </w:rPr>
              <w:t>Application for leave to appeal filed</w:t>
            </w:r>
          </w:p>
          <w:p w:rsidR="005B0EC1" w:rsidRPr="00776E55" w:rsidRDefault="005B0EC1" w:rsidP="005B0EC1">
            <w:pPr>
              <w:jc w:val="both"/>
              <w:rPr>
                <w:sz w:val="20"/>
                <w:lang w:val="en-CA"/>
              </w:rPr>
            </w:pPr>
          </w:p>
        </w:tc>
      </w:tr>
    </w:tbl>
    <w:p w:rsidR="005B0EC1" w:rsidRPr="00776E55" w:rsidRDefault="005B0EC1" w:rsidP="005B0EC1">
      <w:pPr>
        <w:jc w:val="both"/>
        <w:rPr>
          <w:sz w:val="20"/>
          <w:lang w:val="en-CA"/>
        </w:rPr>
      </w:pPr>
    </w:p>
    <w:p w:rsidR="005B0EC1" w:rsidRPr="00776E55" w:rsidRDefault="001E30F0" w:rsidP="005B0EC1">
      <w:pPr>
        <w:jc w:val="both"/>
        <w:rPr>
          <w:sz w:val="20"/>
          <w:lang w:val="en-CA"/>
        </w:rPr>
      </w:pPr>
      <w:r>
        <w:rPr>
          <w:sz w:val="20"/>
        </w:rPr>
        <w:pict>
          <v:rect id="_x0000_i1057" style="width:2in;height:1pt" o:hrpct="0" o:hralign="center" o:hrstd="t" o:hrnoshade="t" o:hr="t" fillcolor="black [3213]" stroked="f"/>
        </w:pict>
      </w:r>
    </w:p>
    <w:p w:rsidR="005B0EC1" w:rsidRPr="00776E55" w:rsidRDefault="005B0EC1" w:rsidP="005B0EC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0EC1" w:rsidRPr="00776E55" w:rsidTr="00ED2DCE">
        <w:tc>
          <w:tcPr>
            <w:tcW w:w="543" w:type="pct"/>
          </w:tcPr>
          <w:p w:rsidR="005B0EC1" w:rsidRPr="00776E55" w:rsidRDefault="005B0EC1" w:rsidP="005B0EC1">
            <w:pPr>
              <w:jc w:val="both"/>
              <w:rPr>
                <w:sz w:val="20"/>
              </w:rPr>
            </w:pPr>
            <w:r w:rsidRPr="00776E55">
              <w:rPr>
                <w:rStyle w:val="SCCFileNumberChar"/>
                <w:sz w:val="20"/>
                <w:szCs w:val="20"/>
              </w:rPr>
              <w:t>40382</w:t>
            </w:r>
          </w:p>
        </w:tc>
        <w:tc>
          <w:tcPr>
            <w:tcW w:w="4457" w:type="pct"/>
            <w:gridSpan w:val="3"/>
          </w:tcPr>
          <w:p w:rsidR="005B0EC1" w:rsidRPr="00776E55" w:rsidRDefault="005B0EC1" w:rsidP="005B0EC1">
            <w:pPr>
              <w:pStyle w:val="SCCLsocParty"/>
              <w:jc w:val="both"/>
              <w:rPr>
                <w:b/>
                <w:sz w:val="20"/>
                <w:szCs w:val="20"/>
              </w:rPr>
            </w:pPr>
            <w:r w:rsidRPr="00776E55">
              <w:rPr>
                <w:b/>
                <w:sz w:val="20"/>
                <w:szCs w:val="20"/>
              </w:rPr>
              <w:t>Michel Derome c. Procureur général du Québec</w:t>
            </w:r>
          </w:p>
          <w:p w:rsidR="005B0EC1" w:rsidRPr="00776E55" w:rsidRDefault="005B0EC1" w:rsidP="005B0EC1">
            <w:pPr>
              <w:jc w:val="both"/>
              <w:rPr>
                <w:sz w:val="20"/>
              </w:rPr>
            </w:pPr>
            <w:r w:rsidRPr="00776E55">
              <w:rPr>
                <w:sz w:val="20"/>
              </w:rPr>
              <w:t>(Qc) (Criminelle) (Autorisation)</w:t>
            </w:r>
          </w:p>
        </w:tc>
      </w:tr>
      <w:tr w:rsidR="005B0EC1" w:rsidRPr="001E30F0" w:rsidTr="00ED2DCE">
        <w:tc>
          <w:tcPr>
            <w:tcW w:w="5000" w:type="pct"/>
            <w:gridSpan w:val="4"/>
          </w:tcPr>
          <w:p w:rsidR="005B0EC1" w:rsidRPr="00776E55" w:rsidRDefault="005B0EC1" w:rsidP="005B0EC1">
            <w:pPr>
              <w:jc w:val="both"/>
              <w:rPr>
                <w:sz w:val="20"/>
                <w:lang w:val="fr-CA"/>
              </w:rPr>
            </w:pPr>
            <w:r w:rsidRPr="00776E55">
              <w:rPr>
                <w:sz w:val="20"/>
                <w:lang w:val="fr-CA"/>
              </w:rPr>
              <w:t xml:space="preserve">Droit criminel — </w:t>
            </w:r>
            <w:r w:rsidRPr="00776E55">
              <w:rPr>
                <w:i/>
                <w:sz w:val="20"/>
                <w:lang w:val="fr-CA"/>
              </w:rPr>
              <w:t>Loi réglementant certaines drogues et autres substances</w:t>
            </w:r>
            <w:r w:rsidRPr="00776E55">
              <w:rPr>
                <w:sz w:val="20"/>
                <w:lang w:val="fr-CA"/>
              </w:rPr>
              <w:t xml:space="preserve"> — Confiscation de bien infractionnel — Preuve — Déclaration antérieure — Demandeur déclaré coupable d’infractions en vertu de la </w:t>
            </w:r>
            <w:r w:rsidRPr="00776E55">
              <w:rPr>
                <w:i/>
                <w:sz w:val="20"/>
                <w:lang w:val="fr-CA"/>
              </w:rPr>
              <w:t>Loi réglementant certaines drogues et autres substances</w:t>
            </w:r>
            <w:r w:rsidRPr="00776E55">
              <w:rPr>
                <w:sz w:val="20"/>
                <w:lang w:val="fr-CA"/>
              </w:rPr>
              <w:t xml:space="preserve"> — Procureur général présentant requête en confiscation de l’immeuble résidentiel du demandeur — Juge permettant contre-interrogatoire du demandeur sur déclaration antérieure faite aux policiers sans la tenue d’un voir-dire — Le juge de première instance et la Cour d’appel ont-ils erré en décidant qu’aucun voir-dire n’était requis pour établir le caractère libre et volontaire de la déclaration antérieure du demandeur afin de pouvoir l’utiliser pour le contre-interroger? — Le juge de première instance et la Cour d’appel ont-ils erré en décidant que le rejet du témoignage du demandeur mène nécessairement à la conclusion qu’il n’a pas été établi que la confiscation serait démesurée?</w:t>
            </w:r>
          </w:p>
        </w:tc>
      </w:tr>
      <w:tr w:rsidR="005B0EC1" w:rsidRPr="00776E55" w:rsidTr="00ED2DCE">
        <w:tc>
          <w:tcPr>
            <w:tcW w:w="5000" w:type="pct"/>
            <w:gridSpan w:val="4"/>
          </w:tcPr>
          <w:p w:rsidR="005B0EC1" w:rsidRPr="00776E55" w:rsidRDefault="005B0EC1" w:rsidP="005B0EC1">
            <w:pPr>
              <w:jc w:val="both"/>
              <w:rPr>
                <w:sz w:val="20"/>
                <w:lang w:val="fr-CA"/>
              </w:rPr>
            </w:pPr>
          </w:p>
          <w:p w:rsidR="005B0EC1" w:rsidRPr="00776E55" w:rsidRDefault="005B0EC1" w:rsidP="005B0EC1">
            <w:pPr>
              <w:jc w:val="both"/>
              <w:rPr>
                <w:sz w:val="20"/>
                <w:lang w:val="fr-CA" w:eastAsia="en-CA"/>
              </w:rPr>
            </w:pPr>
            <w:r w:rsidRPr="00776E55">
              <w:rPr>
                <w:sz w:val="20"/>
                <w:lang w:val="fr-CA" w:eastAsia="en-CA"/>
              </w:rPr>
              <w:t xml:space="preserve">Le demandeur, Michel Derome, reconnaît sa culpabilité à des chefs de trafic de résine de cannabis, possession en vue d’en faire le trafic de cocaïne et trafic de cocaïne. Une ordonnance de blocage ayant préalablement été rendue relativement à la résidence du demandeur, l’intimé procureur général du Québec (PGQ) présente une requête en confiscation de l’immeuble en vertu </w:t>
            </w:r>
            <w:proofErr w:type="gramStart"/>
            <w:r w:rsidRPr="00776E55">
              <w:rPr>
                <w:sz w:val="20"/>
                <w:lang w:val="fr-CA" w:eastAsia="en-CA"/>
              </w:rPr>
              <w:t>des art</w:t>
            </w:r>
            <w:proofErr w:type="gramEnd"/>
            <w:r w:rsidRPr="00776E55">
              <w:rPr>
                <w:sz w:val="20"/>
                <w:lang w:val="fr-CA" w:eastAsia="en-CA"/>
              </w:rPr>
              <w:t xml:space="preserve">. 16 et suivants de la </w:t>
            </w:r>
            <w:r w:rsidRPr="00776E55">
              <w:rPr>
                <w:i/>
                <w:sz w:val="20"/>
                <w:lang w:val="fr-CA" w:eastAsia="en-CA"/>
              </w:rPr>
              <w:t>Loi réglementant certaines drogues et autres substances</w:t>
            </w:r>
            <w:r w:rsidRPr="00776E55">
              <w:rPr>
                <w:sz w:val="20"/>
                <w:lang w:val="fr-CA" w:eastAsia="en-CA"/>
              </w:rPr>
              <w:t>, L.C. 1996, ch. 19.</w:t>
            </w:r>
          </w:p>
          <w:p w:rsidR="005B0EC1" w:rsidRPr="00776E55" w:rsidRDefault="005B0EC1" w:rsidP="005B0EC1">
            <w:pPr>
              <w:jc w:val="both"/>
              <w:rPr>
                <w:sz w:val="20"/>
                <w:lang w:val="fr-CA" w:eastAsia="en-CA"/>
              </w:rPr>
            </w:pPr>
          </w:p>
          <w:p w:rsidR="005B0EC1" w:rsidRPr="00776E55" w:rsidRDefault="005B0EC1" w:rsidP="005B0EC1">
            <w:pPr>
              <w:jc w:val="both"/>
              <w:rPr>
                <w:sz w:val="20"/>
              </w:rPr>
            </w:pPr>
            <w:r w:rsidRPr="00776E55">
              <w:rPr>
                <w:sz w:val="20"/>
                <w:lang w:val="fr-CA" w:eastAsia="en-CA"/>
              </w:rPr>
              <w:t xml:space="preserve">À l’audition de la requête devant la Cour du Québec, le juge permet que le demandeur soit contre-interrogé sur une déclaration faite aux policiers lors de son arrestation, sans la tenue d’un voir-dire. La requête est accueillie et la confiscation totale de l’immeuble du demandeur au profit du PGQ est ordonnée. </w:t>
            </w:r>
            <w:r w:rsidRPr="00776E55">
              <w:rPr>
                <w:sz w:val="20"/>
                <w:lang w:eastAsia="en-CA"/>
              </w:rPr>
              <w:t xml:space="preserve">La Cour d’appel rejette l’appel du demandeur. </w:t>
            </w:r>
          </w:p>
        </w:tc>
      </w:tr>
      <w:tr w:rsidR="005B0EC1" w:rsidRPr="00776E55" w:rsidTr="00ED2DCE">
        <w:tc>
          <w:tcPr>
            <w:tcW w:w="5000" w:type="pct"/>
            <w:gridSpan w:val="4"/>
          </w:tcPr>
          <w:p w:rsidR="005B0EC1" w:rsidRPr="00776E55" w:rsidRDefault="005B0EC1" w:rsidP="005B0EC1">
            <w:pPr>
              <w:jc w:val="both"/>
              <w:rPr>
                <w:sz w:val="20"/>
              </w:rPr>
            </w:pPr>
          </w:p>
        </w:tc>
      </w:tr>
      <w:tr w:rsidR="005B0EC1" w:rsidRPr="001E30F0" w:rsidTr="00ED2DCE">
        <w:tc>
          <w:tcPr>
            <w:tcW w:w="2427" w:type="pct"/>
            <w:gridSpan w:val="2"/>
          </w:tcPr>
          <w:p w:rsidR="005B0EC1" w:rsidRPr="00776E55" w:rsidRDefault="005B0EC1" w:rsidP="005B0EC1">
            <w:pPr>
              <w:jc w:val="both"/>
              <w:rPr>
                <w:sz w:val="20"/>
                <w:lang w:val="fr-CA"/>
              </w:rPr>
            </w:pPr>
            <w:r w:rsidRPr="00776E55">
              <w:rPr>
                <w:sz w:val="20"/>
                <w:lang w:val="fr-CA"/>
              </w:rPr>
              <w:t>Le 17 mai 2021</w:t>
            </w:r>
          </w:p>
          <w:p w:rsidR="005B0EC1" w:rsidRPr="00776E55" w:rsidRDefault="005B0EC1" w:rsidP="005B0EC1">
            <w:pPr>
              <w:jc w:val="both"/>
              <w:rPr>
                <w:sz w:val="20"/>
                <w:lang w:val="fr-CA"/>
              </w:rPr>
            </w:pPr>
            <w:r w:rsidRPr="00776E55">
              <w:rPr>
                <w:sz w:val="20"/>
                <w:lang w:val="fr-CA"/>
              </w:rPr>
              <w:t>Cour du Québec</w:t>
            </w:r>
          </w:p>
          <w:p w:rsidR="005B0EC1" w:rsidRPr="00776E55" w:rsidRDefault="005B0EC1" w:rsidP="005B0EC1">
            <w:pPr>
              <w:jc w:val="both"/>
              <w:rPr>
                <w:sz w:val="20"/>
                <w:lang w:val="fr-CA"/>
              </w:rPr>
            </w:pPr>
            <w:r w:rsidRPr="00776E55">
              <w:rPr>
                <w:sz w:val="20"/>
                <w:lang w:val="fr-CA"/>
              </w:rPr>
              <w:t>(Le juge Rousseau)</w:t>
            </w:r>
          </w:p>
          <w:p w:rsidR="005B0EC1" w:rsidRPr="00776E55" w:rsidRDefault="005B0EC1" w:rsidP="005B0EC1">
            <w:pPr>
              <w:jc w:val="both"/>
              <w:rPr>
                <w:sz w:val="20"/>
              </w:rPr>
            </w:pPr>
            <w:r w:rsidRPr="00776E55">
              <w:rPr>
                <w:sz w:val="20"/>
              </w:rPr>
              <w:t>No. 200-38-019405-154</w:t>
            </w:r>
          </w:p>
          <w:p w:rsidR="005B0EC1" w:rsidRPr="00776E55" w:rsidRDefault="005B0EC1" w:rsidP="005B0EC1">
            <w:pPr>
              <w:jc w:val="both"/>
              <w:rPr>
                <w:sz w:val="20"/>
              </w:rPr>
            </w:pPr>
          </w:p>
        </w:tc>
        <w:tc>
          <w:tcPr>
            <w:tcW w:w="243" w:type="pct"/>
          </w:tcPr>
          <w:p w:rsidR="005B0EC1" w:rsidRPr="00776E55" w:rsidRDefault="005B0EC1" w:rsidP="005B0EC1">
            <w:pPr>
              <w:jc w:val="both"/>
              <w:rPr>
                <w:sz w:val="20"/>
              </w:rPr>
            </w:pPr>
          </w:p>
        </w:tc>
        <w:tc>
          <w:tcPr>
            <w:tcW w:w="2330" w:type="pct"/>
          </w:tcPr>
          <w:p w:rsidR="005B0EC1" w:rsidRPr="00776E55" w:rsidRDefault="005B0EC1" w:rsidP="005B0EC1">
            <w:pPr>
              <w:jc w:val="both"/>
              <w:rPr>
                <w:sz w:val="20"/>
                <w:lang w:val="fr-CA"/>
              </w:rPr>
            </w:pPr>
            <w:r w:rsidRPr="00776E55">
              <w:rPr>
                <w:sz w:val="20"/>
                <w:lang w:val="fr-CA"/>
              </w:rPr>
              <w:t>Procureur général autorisé à contre-interroger le demandeur sur une déclaration antérieure faite aux policiers sans la tenue d’un voir-dire.</w:t>
            </w:r>
          </w:p>
        </w:tc>
      </w:tr>
      <w:tr w:rsidR="005B0EC1" w:rsidRPr="001E30F0" w:rsidTr="00ED2DCE">
        <w:tc>
          <w:tcPr>
            <w:tcW w:w="2427" w:type="pct"/>
            <w:gridSpan w:val="2"/>
          </w:tcPr>
          <w:p w:rsidR="005B0EC1" w:rsidRPr="00776E55" w:rsidRDefault="005B0EC1" w:rsidP="005B0EC1">
            <w:pPr>
              <w:jc w:val="both"/>
              <w:rPr>
                <w:sz w:val="20"/>
                <w:lang w:val="fr-CA"/>
              </w:rPr>
            </w:pPr>
            <w:r w:rsidRPr="00776E55">
              <w:rPr>
                <w:sz w:val="20"/>
                <w:lang w:val="fr-CA"/>
              </w:rPr>
              <w:t>Le 25 juin 2021</w:t>
            </w:r>
          </w:p>
          <w:p w:rsidR="005B0EC1" w:rsidRPr="00776E55" w:rsidRDefault="005B0EC1" w:rsidP="005B0EC1">
            <w:pPr>
              <w:jc w:val="both"/>
              <w:rPr>
                <w:sz w:val="20"/>
                <w:lang w:val="fr-CA"/>
              </w:rPr>
            </w:pPr>
            <w:r w:rsidRPr="00776E55">
              <w:rPr>
                <w:sz w:val="20"/>
                <w:lang w:val="fr-CA"/>
              </w:rPr>
              <w:t>Cour du Québec</w:t>
            </w:r>
          </w:p>
          <w:p w:rsidR="005B0EC1" w:rsidRPr="00776E55" w:rsidRDefault="005B0EC1" w:rsidP="005B0EC1">
            <w:pPr>
              <w:jc w:val="both"/>
              <w:rPr>
                <w:sz w:val="20"/>
                <w:lang w:val="fr-CA"/>
              </w:rPr>
            </w:pPr>
            <w:r w:rsidRPr="00776E55">
              <w:rPr>
                <w:sz w:val="20"/>
                <w:lang w:val="fr-CA"/>
              </w:rPr>
              <w:t>(Le juge Rousseau)</w:t>
            </w:r>
          </w:p>
          <w:p w:rsidR="005B0EC1" w:rsidRPr="00776E55" w:rsidRDefault="005B0EC1" w:rsidP="005B0EC1">
            <w:pPr>
              <w:jc w:val="both"/>
              <w:rPr>
                <w:sz w:val="20"/>
              </w:rPr>
            </w:pPr>
            <w:r w:rsidRPr="00776E55">
              <w:rPr>
                <w:sz w:val="20"/>
              </w:rPr>
              <w:t>No. 200-38-019405-154</w:t>
            </w:r>
          </w:p>
          <w:p w:rsidR="005B0EC1" w:rsidRPr="00776E55" w:rsidRDefault="005B0EC1" w:rsidP="005B0EC1">
            <w:pPr>
              <w:jc w:val="both"/>
              <w:rPr>
                <w:sz w:val="20"/>
              </w:rPr>
            </w:pPr>
          </w:p>
        </w:tc>
        <w:tc>
          <w:tcPr>
            <w:tcW w:w="243" w:type="pct"/>
          </w:tcPr>
          <w:p w:rsidR="005B0EC1" w:rsidRPr="00776E55" w:rsidRDefault="005B0EC1" w:rsidP="005B0EC1">
            <w:pPr>
              <w:jc w:val="both"/>
              <w:rPr>
                <w:sz w:val="20"/>
              </w:rPr>
            </w:pPr>
          </w:p>
        </w:tc>
        <w:tc>
          <w:tcPr>
            <w:tcW w:w="2330" w:type="pct"/>
          </w:tcPr>
          <w:p w:rsidR="005B0EC1" w:rsidRPr="00776E55" w:rsidRDefault="005B0EC1" w:rsidP="005B0EC1">
            <w:pPr>
              <w:jc w:val="both"/>
              <w:rPr>
                <w:sz w:val="20"/>
                <w:lang w:val="fr-CA"/>
              </w:rPr>
            </w:pPr>
            <w:r w:rsidRPr="00776E55">
              <w:rPr>
                <w:sz w:val="20"/>
                <w:lang w:val="fr-CA"/>
              </w:rPr>
              <w:t>Requête en confiscation du procureur général accueillie; immeuble du demandeur confisqué au profit du procureur général.</w:t>
            </w:r>
          </w:p>
        </w:tc>
      </w:tr>
      <w:tr w:rsidR="005B0EC1" w:rsidRPr="00776E55" w:rsidTr="00ED2DCE">
        <w:tc>
          <w:tcPr>
            <w:tcW w:w="2427" w:type="pct"/>
            <w:gridSpan w:val="2"/>
          </w:tcPr>
          <w:p w:rsidR="005B0EC1" w:rsidRPr="00776E55" w:rsidRDefault="005B0EC1" w:rsidP="005B0EC1">
            <w:pPr>
              <w:jc w:val="both"/>
              <w:rPr>
                <w:sz w:val="20"/>
                <w:lang w:val="fr-CA"/>
              </w:rPr>
            </w:pPr>
            <w:r w:rsidRPr="00776E55">
              <w:rPr>
                <w:sz w:val="20"/>
                <w:lang w:val="fr-CA"/>
              </w:rPr>
              <w:t>Le 14 juillet 2022</w:t>
            </w:r>
          </w:p>
          <w:p w:rsidR="005B0EC1" w:rsidRPr="00776E55" w:rsidRDefault="005B0EC1" w:rsidP="005B0EC1">
            <w:pPr>
              <w:jc w:val="both"/>
              <w:rPr>
                <w:sz w:val="20"/>
                <w:lang w:val="fr-CA"/>
              </w:rPr>
            </w:pPr>
            <w:r w:rsidRPr="00776E55">
              <w:rPr>
                <w:sz w:val="20"/>
                <w:lang w:val="fr-CA"/>
              </w:rPr>
              <w:t>Cour d’appel du Québec (Québec)</w:t>
            </w:r>
          </w:p>
          <w:p w:rsidR="005B0EC1" w:rsidRPr="00776E55" w:rsidRDefault="005B0EC1" w:rsidP="005B0EC1">
            <w:pPr>
              <w:jc w:val="both"/>
              <w:rPr>
                <w:sz w:val="20"/>
                <w:lang w:val="fr-CA"/>
              </w:rPr>
            </w:pPr>
            <w:r w:rsidRPr="00776E55">
              <w:rPr>
                <w:sz w:val="20"/>
                <w:lang w:val="fr-CA"/>
              </w:rPr>
              <w:t>(Les juges Ruel, Rancourt et Lavallée)</w:t>
            </w:r>
          </w:p>
          <w:p w:rsidR="005B0EC1" w:rsidRPr="00776E55" w:rsidRDefault="001E30F0" w:rsidP="005B0EC1">
            <w:pPr>
              <w:jc w:val="both"/>
              <w:rPr>
                <w:sz w:val="20"/>
              </w:rPr>
            </w:pPr>
            <w:hyperlink r:id="rId84" w:history="1">
              <w:r w:rsidR="005B0EC1" w:rsidRPr="00776E55">
                <w:rPr>
                  <w:rStyle w:val="Hyperlink"/>
                  <w:sz w:val="20"/>
                </w:rPr>
                <w:t>2022 QCCA 1120</w:t>
              </w:r>
            </w:hyperlink>
          </w:p>
          <w:p w:rsidR="005B0EC1" w:rsidRPr="00776E55" w:rsidRDefault="005B0EC1" w:rsidP="005B0EC1">
            <w:pPr>
              <w:jc w:val="both"/>
              <w:rPr>
                <w:sz w:val="20"/>
              </w:rPr>
            </w:pPr>
          </w:p>
        </w:tc>
        <w:tc>
          <w:tcPr>
            <w:tcW w:w="243" w:type="pct"/>
          </w:tcPr>
          <w:p w:rsidR="005B0EC1" w:rsidRPr="00776E55" w:rsidRDefault="005B0EC1" w:rsidP="005B0EC1">
            <w:pPr>
              <w:jc w:val="both"/>
              <w:rPr>
                <w:sz w:val="20"/>
              </w:rPr>
            </w:pPr>
          </w:p>
        </w:tc>
        <w:tc>
          <w:tcPr>
            <w:tcW w:w="2330" w:type="pct"/>
          </w:tcPr>
          <w:p w:rsidR="005B0EC1" w:rsidRPr="00776E55" w:rsidRDefault="005B0EC1" w:rsidP="005B0EC1">
            <w:pPr>
              <w:jc w:val="both"/>
              <w:rPr>
                <w:sz w:val="20"/>
              </w:rPr>
            </w:pPr>
            <w:r w:rsidRPr="00776E55">
              <w:rPr>
                <w:sz w:val="20"/>
              </w:rPr>
              <w:t xml:space="preserve">Appel rejeté. </w:t>
            </w:r>
          </w:p>
        </w:tc>
      </w:tr>
      <w:tr w:rsidR="005B0EC1" w:rsidRPr="00776E55" w:rsidTr="00ED2DCE">
        <w:tc>
          <w:tcPr>
            <w:tcW w:w="2427" w:type="pct"/>
            <w:gridSpan w:val="2"/>
          </w:tcPr>
          <w:p w:rsidR="005B0EC1" w:rsidRPr="00776E55" w:rsidRDefault="005B0EC1" w:rsidP="005B0EC1">
            <w:pPr>
              <w:jc w:val="both"/>
              <w:rPr>
                <w:sz w:val="20"/>
                <w:lang w:val="fr-CA"/>
              </w:rPr>
            </w:pPr>
            <w:r w:rsidRPr="00776E55">
              <w:rPr>
                <w:sz w:val="20"/>
                <w:lang w:val="fr-CA"/>
              </w:rPr>
              <w:t>Le 29 septembre 2022</w:t>
            </w:r>
          </w:p>
          <w:p w:rsidR="005B0EC1" w:rsidRPr="00776E55" w:rsidRDefault="005B0EC1" w:rsidP="005B0EC1">
            <w:pPr>
              <w:jc w:val="both"/>
              <w:rPr>
                <w:sz w:val="20"/>
                <w:lang w:val="fr-CA"/>
              </w:rPr>
            </w:pPr>
            <w:r w:rsidRPr="00776E55">
              <w:rPr>
                <w:sz w:val="20"/>
                <w:lang w:val="fr-CA"/>
              </w:rPr>
              <w:t>Cour suprême du Canada</w:t>
            </w:r>
          </w:p>
        </w:tc>
        <w:tc>
          <w:tcPr>
            <w:tcW w:w="243" w:type="pct"/>
          </w:tcPr>
          <w:p w:rsidR="005B0EC1" w:rsidRPr="00776E55" w:rsidRDefault="005B0EC1" w:rsidP="005B0EC1">
            <w:pPr>
              <w:jc w:val="both"/>
              <w:rPr>
                <w:sz w:val="20"/>
                <w:lang w:val="fr-CA"/>
              </w:rPr>
            </w:pPr>
          </w:p>
        </w:tc>
        <w:tc>
          <w:tcPr>
            <w:tcW w:w="2330" w:type="pct"/>
          </w:tcPr>
          <w:p w:rsidR="005B0EC1" w:rsidRPr="00776E55" w:rsidRDefault="005B0EC1" w:rsidP="005B0EC1">
            <w:pPr>
              <w:jc w:val="both"/>
              <w:rPr>
                <w:sz w:val="20"/>
              </w:rPr>
            </w:pPr>
            <w:r w:rsidRPr="00776E55">
              <w:rPr>
                <w:sz w:val="20"/>
              </w:rPr>
              <w:t>Demande d'autorisation d'appel déposée.</w:t>
            </w:r>
          </w:p>
          <w:p w:rsidR="005B0EC1" w:rsidRPr="00776E55" w:rsidRDefault="005B0EC1" w:rsidP="005B0EC1">
            <w:pPr>
              <w:jc w:val="both"/>
              <w:rPr>
                <w:sz w:val="20"/>
              </w:rPr>
            </w:pPr>
          </w:p>
        </w:tc>
      </w:tr>
    </w:tbl>
    <w:p w:rsidR="005B0EC1" w:rsidRPr="00776E55" w:rsidRDefault="005B0EC1" w:rsidP="005B0EC1">
      <w:pPr>
        <w:jc w:val="both"/>
        <w:rPr>
          <w:sz w:val="20"/>
        </w:rPr>
      </w:pPr>
    </w:p>
    <w:p w:rsidR="005B0EC1" w:rsidRPr="00776E55" w:rsidRDefault="001E30F0" w:rsidP="005B0EC1">
      <w:pPr>
        <w:jc w:val="both"/>
        <w:rPr>
          <w:sz w:val="20"/>
        </w:rPr>
      </w:pPr>
      <w:r>
        <w:rPr>
          <w:sz w:val="20"/>
        </w:rPr>
        <w:pict>
          <v:rect id="_x0000_i1058" style="width:2in;height:1pt" o:hrpct="0" o:hralign="center" o:hrstd="t" o:hrnoshade="t" o:hr="t" fillcolor="black [3213]" stroked="f"/>
        </w:pict>
      </w:r>
    </w:p>
    <w:p w:rsidR="005B0EC1" w:rsidRPr="00776E55" w:rsidRDefault="005B0EC1" w:rsidP="005B0E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0EC1" w:rsidRPr="00776E55" w:rsidTr="00ED2DCE">
        <w:tc>
          <w:tcPr>
            <w:tcW w:w="543" w:type="pct"/>
          </w:tcPr>
          <w:p w:rsidR="005B0EC1" w:rsidRPr="00776E55" w:rsidRDefault="005B0EC1" w:rsidP="005B0EC1">
            <w:pPr>
              <w:jc w:val="both"/>
              <w:rPr>
                <w:sz w:val="20"/>
              </w:rPr>
            </w:pPr>
            <w:r w:rsidRPr="00776E55">
              <w:rPr>
                <w:rStyle w:val="SCCFileNumberChar"/>
                <w:sz w:val="20"/>
                <w:szCs w:val="20"/>
              </w:rPr>
              <w:t>40426</w:t>
            </w:r>
          </w:p>
        </w:tc>
        <w:tc>
          <w:tcPr>
            <w:tcW w:w="4457" w:type="pct"/>
            <w:gridSpan w:val="3"/>
          </w:tcPr>
          <w:p w:rsidR="005B0EC1" w:rsidRPr="00776E55" w:rsidRDefault="005B0EC1" w:rsidP="005B0EC1">
            <w:pPr>
              <w:pStyle w:val="SCCLsocParty"/>
              <w:jc w:val="both"/>
              <w:rPr>
                <w:b/>
                <w:sz w:val="20"/>
                <w:szCs w:val="20"/>
                <w:lang w:val="en-US"/>
              </w:rPr>
            </w:pPr>
            <w:r w:rsidRPr="00776E55">
              <w:rPr>
                <w:b/>
                <w:sz w:val="20"/>
                <w:szCs w:val="20"/>
                <w:lang w:val="en-US"/>
              </w:rPr>
              <w:t>Kobe Mohr v. National Hockey League, American Hockey League Inc., ECHL Inc., Canadian Hockey League, Quebec Major Junior Hockey League Inc., Ontario Hockey League, Western Hockey League, Hockey Canada</w:t>
            </w:r>
          </w:p>
          <w:p w:rsidR="005B0EC1" w:rsidRPr="00776E55" w:rsidRDefault="005B0EC1" w:rsidP="005B0EC1">
            <w:pPr>
              <w:jc w:val="both"/>
              <w:rPr>
                <w:sz w:val="20"/>
              </w:rPr>
            </w:pPr>
            <w:r w:rsidRPr="00776E55">
              <w:rPr>
                <w:sz w:val="20"/>
              </w:rPr>
              <w:t>(F.C.) (Civil) (By Leave)</w:t>
            </w:r>
          </w:p>
        </w:tc>
      </w:tr>
      <w:tr w:rsidR="005B0EC1" w:rsidRPr="00776E55" w:rsidTr="00ED2DCE">
        <w:tc>
          <w:tcPr>
            <w:tcW w:w="5000" w:type="pct"/>
            <w:gridSpan w:val="4"/>
          </w:tcPr>
          <w:p w:rsidR="005B0EC1" w:rsidRPr="00776E55" w:rsidRDefault="005B0EC1" w:rsidP="005B0EC1">
            <w:pPr>
              <w:pStyle w:val="SCCBanSummary"/>
              <w:rPr>
                <w:sz w:val="20"/>
                <w:szCs w:val="20"/>
              </w:rPr>
            </w:pPr>
            <w:r w:rsidRPr="00776E55">
              <w:rPr>
                <w:smallCaps w:val="0"/>
                <w:sz w:val="20"/>
                <w:szCs w:val="20"/>
              </w:rPr>
              <w:t xml:space="preserve">Competition — Class actions — Offences in relation to competition — Conspiracy — Conspiracy relating to sport — Civil Procedure — Motions to strike — Whether protections for athletes in s. 48 of the </w:t>
            </w:r>
            <w:r w:rsidRPr="00776E55">
              <w:rPr>
                <w:i/>
                <w:smallCaps w:val="0"/>
                <w:sz w:val="20"/>
                <w:szCs w:val="20"/>
              </w:rPr>
              <w:t xml:space="preserve">Competition Act </w:t>
            </w:r>
            <w:r w:rsidRPr="00776E55">
              <w:rPr>
                <w:smallCaps w:val="0"/>
                <w:sz w:val="20"/>
                <w:szCs w:val="20"/>
              </w:rPr>
              <w:t>apply exclusively to anti-competitive conspiracies affecting a single league — Admissibility of legislative intent on a motion to strike — Whether, on motion to strike, a motion judge may make a finding on contested questions of statutory interpretation —</w:t>
            </w:r>
            <w:r w:rsidRPr="00776E55">
              <w:rPr>
                <w:i/>
                <w:smallCaps w:val="0"/>
                <w:sz w:val="20"/>
                <w:szCs w:val="20"/>
              </w:rPr>
              <w:t>Competition Act</w:t>
            </w:r>
            <w:r w:rsidRPr="00776E55">
              <w:rPr>
                <w:smallCaps w:val="0"/>
                <w:sz w:val="20"/>
                <w:szCs w:val="20"/>
              </w:rPr>
              <w:t>, R.S.C. 1985, c. C-34</w:t>
            </w:r>
          </w:p>
        </w:tc>
      </w:tr>
      <w:tr w:rsidR="005B0EC1" w:rsidRPr="00776E55" w:rsidTr="00ED2DCE">
        <w:tc>
          <w:tcPr>
            <w:tcW w:w="5000" w:type="pct"/>
            <w:gridSpan w:val="4"/>
          </w:tcPr>
          <w:p w:rsidR="005B0EC1" w:rsidRPr="00776E55" w:rsidRDefault="005B0EC1" w:rsidP="005B0EC1">
            <w:pPr>
              <w:jc w:val="both"/>
              <w:rPr>
                <w:sz w:val="20"/>
              </w:rPr>
            </w:pPr>
          </w:p>
          <w:p w:rsidR="005B0EC1" w:rsidRPr="00776E55" w:rsidRDefault="005B0EC1" w:rsidP="005B0EC1">
            <w:pPr>
              <w:jc w:val="both"/>
              <w:rPr>
                <w:sz w:val="20"/>
              </w:rPr>
            </w:pPr>
            <w:r w:rsidRPr="00776E55">
              <w:rPr>
                <w:sz w:val="20"/>
              </w:rPr>
              <w:t xml:space="preserve">Respondent Hockey Canada is the national governing body for ice hockey in Canada. </w:t>
            </w:r>
          </w:p>
          <w:p w:rsidR="005B0EC1" w:rsidRPr="00776E55" w:rsidRDefault="005B0EC1" w:rsidP="005B0EC1">
            <w:pPr>
              <w:jc w:val="both"/>
              <w:rPr>
                <w:sz w:val="20"/>
              </w:rPr>
            </w:pPr>
          </w:p>
          <w:p w:rsidR="005B0EC1" w:rsidRPr="00776E55" w:rsidRDefault="005B0EC1" w:rsidP="005B0EC1">
            <w:pPr>
              <w:jc w:val="both"/>
              <w:rPr>
                <w:sz w:val="20"/>
              </w:rPr>
            </w:pPr>
            <w:r w:rsidRPr="00776E55">
              <w:rPr>
                <w:sz w:val="20"/>
              </w:rPr>
              <w:t>Respondents National Hockey League (NHL), American Hockey League (AHL), and ECHL Inc. (ECHL) are professional hockey leagues in North America.</w:t>
            </w:r>
          </w:p>
          <w:p w:rsidR="005B0EC1" w:rsidRPr="00776E55" w:rsidRDefault="005B0EC1" w:rsidP="005B0EC1">
            <w:pPr>
              <w:jc w:val="both"/>
              <w:rPr>
                <w:sz w:val="20"/>
              </w:rPr>
            </w:pPr>
          </w:p>
          <w:p w:rsidR="005B0EC1" w:rsidRPr="00776E55" w:rsidRDefault="005B0EC1" w:rsidP="005B0EC1">
            <w:pPr>
              <w:jc w:val="both"/>
              <w:rPr>
                <w:sz w:val="20"/>
              </w:rPr>
            </w:pPr>
            <w:r w:rsidRPr="00776E55">
              <w:rPr>
                <w:sz w:val="20"/>
              </w:rPr>
              <w:t xml:space="preserve">Respondent Canadian Hockey League (CHL) is an entity that organizes Canada’s three major junior hockey leagues: namely, the respondents Quebec Major Junior Hockey League (QMJHL), Ontario Hockey League (OHL), and Western Hockey League (WHL). </w:t>
            </w:r>
          </w:p>
          <w:p w:rsidR="005B0EC1" w:rsidRPr="00776E55" w:rsidRDefault="005B0EC1" w:rsidP="005B0EC1">
            <w:pPr>
              <w:jc w:val="both"/>
              <w:rPr>
                <w:sz w:val="20"/>
              </w:rPr>
            </w:pPr>
          </w:p>
          <w:p w:rsidR="005B0EC1" w:rsidRPr="00776E55" w:rsidRDefault="005B0EC1" w:rsidP="005B0EC1">
            <w:pPr>
              <w:jc w:val="both"/>
              <w:rPr>
                <w:sz w:val="20"/>
              </w:rPr>
            </w:pPr>
            <w:r w:rsidRPr="00776E55">
              <w:rPr>
                <w:sz w:val="20"/>
              </w:rPr>
              <w:t xml:space="preserve">Applicant Kobe Mohr played hockey in the respondent WHL. He commenced a class proceeding against the respondents in the Federal Court. The statement of claim alleged that the respondents conspired to limit the opportunities of hockey players to play in Canadian major junior and professional hockey leagues, contrary to s. 48(1) of the </w:t>
            </w:r>
            <w:r w:rsidRPr="00776E55">
              <w:rPr>
                <w:i/>
                <w:sz w:val="20"/>
              </w:rPr>
              <w:t>Competition Act</w:t>
            </w:r>
            <w:r w:rsidRPr="00776E55">
              <w:rPr>
                <w:sz w:val="20"/>
              </w:rPr>
              <w:t xml:space="preserve">. </w:t>
            </w:r>
          </w:p>
          <w:p w:rsidR="005B0EC1" w:rsidRPr="00776E55" w:rsidRDefault="005B0EC1" w:rsidP="005B0EC1">
            <w:pPr>
              <w:jc w:val="both"/>
              <w:rPr>
                <w:sz w:val="20"/>
              </w:rPr>
            </w:pPr>
          </w:p>
          <w:p w:rsidR="005B0EC1" w:rsidRPr="00776E55" w:rsidRDefault="005B0EC1" w:rsidP="005B0EC1">
            <w:pPr>
              <w:jc w:val="both"/>
              <w:rPr>
                <w:sz w:val="20"/>
              </w:rPr>
            </w:pPr>
            <w:r w:rsidRPr="00776E55">
              <w:rPr>
                <w:sz w:val="20"/>
              </w:rPr>
              <w:t>Respondents CHL, QMJHL, OHL, WHL, and Hockey Canada moved to strike Mr. Mohr’s statement of claim on the basis that it disclosed no reasonable cause of action or was otherwise an abuse of process. Mr. Mohr brought a motion to amend the statement of claim.</w:t>
            </w:r>
          </w:p>
          <w:p w:rsidR="005B0EC1" w:rsidRPr="00776E55" w:rsidRDefault="005B0EC1" w:rsidP="005B0EC1">
            <w:pPr>
              <w:jc w:val="both"/>
              <w:rPr>
                <w:sz w:val="20"/>
              </w:rPr>
            </w:pPr>
          </w:p>
          <w:p w:rsidR="005B0EC1" w:rsidRPr="00776E55" w:rsidRDefault="005B0EC1" w:rsidP="005B0EC1">
            <w:pPr>
              <w:jc w:val="both"/>
              <w:rPr>
                <w:sz w:val="20"/>
              </w:rPr>
            </w:pPr>
            <w:r w:rsidRPr="00776E55">
              <w:rPr>
                <w:sz w:val="20"/>
              </w:rPr>
              <w:t>The Federal Court dismissed the motion to amend and granted the motion to strike. The Federal Court of Appeal dismissed Mr. Mohr’s appeal.</w:t>
            </w:r>
          </w:p>
        </w:tc>
      </w:tr>
      <w:tr w:rsidR="005B0EC1" w:rsidRPr="00776E55" w:rsidTr="00ED2DCE">
        <w:tc>
          <w:tcPr>
            <w:tcW w:w="5000" w:type="pct"/>
            <w:gridSpan w:val="4"/>
          </w:tcPr>
          <w:p w:rsidR="005B0EC1" w:rsidRPr="00776E55" w:rsidRDefault="005B0EC1" w:rsidP="005B0EC1">
            <w:pPr>
              <w:jc w:val="both"/>
              <w:rPr>
                <w:sz w:val="20"/>
              </w:rPr>
            </w:pPr>
          </w:p>
        </w:tc>
      </w:tr>
      <w:tr w:rsidR="005B0EC1" w:rsidRPr="00776E55" w:rsidTr="00ED2DCE">
        <w:tc>
          <w:tcPr>
            <w:tcW w:w="2427" w:type="pct"/>
            <w:gridSpan w:val="2"/>
          </w:tcPr>
          <w:p w:rsidR="005B0EC1" w:rsidRPr="00776E55" w:rsidRDefault="005B0EC1" w:rsidP="005B0EC1">
            <w:pPr>
              <w:jc w:val="both"/>
              <w:rPr>
                <w:sz w:val="20"/>
              </w:rPr>
            </w:pPr>
            <w:r w:rsidRPr="00776E55">
              <w:rPr>
                <w:sz w:val="20"/>
              </w:rPr>
              <w:t>May 27, 2021</w:t>
            </w:r>
          </w:p>
          <w:p w:rsidR="005B0EC1" w:rsidRPr="00776E55" w:rsidRDefault="005B0EC1" w:rsidP="005B0EC1">
            <w:pPr>
              <w:jc w:val="both"/>
              <w:rPr>
                <w:sz w:val="20"/>
              </w:rPr>
            </w:pPr>
            <w:r w:rsidRPr="00776E55">
              <w:rPr>
                <w:sz w:val="20"/>
              </w:rPr>
              <w:t>Federal Court</w:t>
            </w:r>
          </w:p>
          <w:p w:rsidR="005B0EC1" w:rsidRPr="00776E55" w:rsidRDefault="005B0EC1" w:rsidP="005B0EC1">
            <w:pPr>
              <w:jc w:val="both"/>
              <w:rPr>
                <w:sz w:val="20"/>
              </w:rPr>
            </w:pPr>
            <w:r w:rsidRPr="00776E55">
              <w:rPr>
                <w:sz w:val="20"/>
              </w:rPr>
              <w:t>(Crampton C.J.)</w:t>
            </w:r>
          </w:p>
          <w:p w:rsidR="005B0EC1" w:rsidRPr="00776E55" w:rsidRDefault="001E30F0" w:rsidP="005B0EC1">
            <w:pPr>
              <w:jc w:val="both"/>
              <w:rPr>
                <w:sz w:val="20"/>
              </w:rPr>
            </w:pPr>
            <w:hyperlink r:id="rId85" w:history="1">
              <w:r w:rsidR="005B0EC1" w:rsidRPr="00776E55">
                <w:rPr>
                  <w:rStyle w:val="Hyperlink"/>
                  <w:sz w:val="20"/>
                </w:rPr>
                <w:t>2021 FC 488</w:t>
              </w:r>
            </w:hyperlink>
          </w:p>
          <w:p w:rsidR="005B0EC1" w:rsidRPr="00776E55" w:rsidRDefault="005B0EC1" w:rsidP="005B0EC1">
            <w:pPr>
              <w:jc w:val="both"/>
              <w:rPr>
                <w:sz w:val="20"/>
              </w:rPr>
            </w:pPr>
          </w:p>
        </w:tc>
        <w:tc>
          <w:tcPr>
            <w:tcW w:w="243" w:type="pct"/>
          </w:tcPr>
          <w:p w:rsidR="005B0EC1" w:rsidRPr="00776E55" w:rsidRDefault="005B0EC1" w:rsidP="005B0EC1">
            <w:pPr>
              <w:jc w:val="both"/>
              <w:rPr>
                <w:sz w:val="20"/>
              </w:rPr>
            </w:pPr>
          </w:p>
        </w:tc>
        <w:tc>
          <w:tcPr>
            <w:tcW w:w="2330" w:type="pct"/>
          </w:tcPr>
          <w:p w:rsidR="005B0EC1" w:rsidRPr="00776E55" w:rsidRDefault="005B0EC1" w:rsidP="005B0EC1">
            <w:pPr>
              <w:jc w:val="both"/>
              <w:rPr>
                <w:sz w:val="20"/>
              </w:rPr>
            </w:pPr>
            <w:r w:rsidRPr="00776E55">
              <w:rPr>
                <w:sz w:val="20"/>
              </w:rPr>
              <w:t xml:space="preserve">Motion to amend the statement of claim dismissed; motion to strike the statement of claim granted </w:t>
            </w:r>
          </w:p>
        </w:tc>
      </w:tr>
      <w:tr w:rsidR="005B0EC1" w:rsidRPr="00776E55" w:rsidTr="00ED2DCE">
        <w:tc>
          <w:tcPr>
            <w:tcW w:w="2427" w:type="pct"/>
            <w:gridSpan w:val="2"/>
          </w:tcPr>
          <w:p w:rsidR="005B0EC1" w:rsidRPr="00776E55" w:rsidRDefault="005B0EC1" w:rsidP="005B0EC1">
            <w:pPr>
              <w:jc w:val="both"/>
              <w:rPr>
                <w:sz w:val="20"/>
              </w:rPr>
            </w:pPr>
            <w:r w:rsidRPr="00776E55">
              <w:rPr>
                <w:sz w:val="20"/>
              </w:rPr>
              <w:t>August 17, 2022</w:t>
            </w:r>
          </w:p>
          <w:p w:rsidR="005B0EC1" w:rsidRPr="00776E55" w:rsidRDefault="005B0EC1" w:rsidP="005B0EC1">
            <w:pPr>
              <w:jc w:val="both"/>
              <w:rPr>
                <w:sz w:val="20"/>
              </w:rPr>
            </w:pPr>
            <w:r w:rsidRPr="00776E55">
              <w:rPr>
                <w:sz w:val="20"/>
              </w:rPr>
              <w:t>Federal Court of Appeal</w:t>
            </w:r>
          </w:p>
          <w:p w:rsidR="005B0EC1" w:rsidRPr="00776E55" w:rsidRDefault="005B0EC1" w:rsidP="005B0EC1">
            <w:pPr>
              <w:jc w:val="both"/>
              <w:rPr>
                <w:sz w:val="20"/>
              </w:rPr>
            </w:pPr>
            <w:r w:rsidRPr="00776E55">
              <w:rPr>
                <w:sz w:val="20"/>
              </w:rPr>
              <w:t>(Stratas, Rennie and Mactavish JJ.A.)</w:t>
            </w:r>
          </w:p>
          <w:p w:rsidR="005B0EC1" w:rsidRPr="00776E55" w:rsidRDefault="001E30F0" w:rsidP="005B0EC1">
            <w:pPr>
              <w:jc w:val="both"/>
              <w:rPr>
                <w:sz w:val="20"/>
              </w:rPr>
            </w:pPr>
            <w:hyperlink r:id="rId86" w:history="1">
              <w:r w:rsidR="005B0EC1" w:rsidRPr="00776E55">
                <w:rPr>
                  <w:rStyle w:val="Hyperlink"/>
                  <w:sz w:val="20"/>
                </w:rPr>
                <w:t>2022 FCA 145</w:t>
              </w:r>
            </w:hyperlink>
            <w:r w:rsidR="005B0EC1" w:rsidRPr="00776E55">
              <w:rPr>
                <w:sz w:val="20"/>
              </w:rPr>
              <w:t>; A-182-21</w:t>
            </w:r>
          </w:p>
          <w:p w:rsidR="005B0EC1" w:rsidRPr="00776E55" w:rsidRDefault="005B0EC1" w:rsidP="005B0EC1">
            <w:pPr>
              <w:jc w:val="both"/>
              <w:rPr>
                <w:sz w:val="20"/>
              </w:rPr>
            </w:pPr>
          </w:p>
        </w:tc>
        <w:tc>
          <w:tcPr>
            <w:tcW w:w="243" w:type="pct"/>
          </w:tcPr>
          <w:p w:rsidR="005B0EC1" w:rsidRPr="00776E55" w:rsidRDefault="005B0EC1" w:rsidP="005B0EC1">
            <w:pPr>
              <w:jc w:val="both"/>
              <w:rPr>
                <w:sz w:val="20"/>
              </w:rPr>
            </w:pPr>
          </w:p>
        </w:tc>
        <w:tc>
          <w:tcPr>
            <w:tcW w:w="2330" w:type="pct"/>
          </w:tcPr>
          <w:p w:rsidR="005B0EC1" w:rsidRPr="00776E55" w:rsidRDefault="005B0EC1" w:rsidP="005B0EC1">
            <w:pPr>
              <w:jc w:val="both"/>
              <w:rPr>
                <w:sz w:val="20"/>
              </w:rPr>
            </w:pPr>
            <w:r w:rsidRPr="00776E55">
              <w:rPr>
                <w:sz w:val="20"/>
              </w:rPr>
              <w:t>Appeal dismissed</w:t>
            </w:r>
          </w:p>
          <w:p w:rsidR="005B0EC1" w:rsidRPr="00776E55" w:rsidRDefault="005B0EC1" w:rsidP="005B0EC1">
            <w:pPr>
              <w:jc w:val="both"/>
              <w:rPr>
                <w:sz w:val="20"/>
              </w:rPr>
            </w:pPr>
          </w:p>
        </w:tc>
      </w:tr>
      <w:tr w:rsidR="005B0EC1" w:rsidRPr="00776E55" w:rsidTr="00ED2DCE">
        <w:tc>
          <w:tcPr>
            <w:tcW w:w="2427" w:type="pct"/>
            <w:gridSpan w:val="2"/>
          </w:tcPr>
          <w:p w:rsidR="005B0EC1" w:rsidRPr="00776E55" w:rsidRDefault="005B0EC1" w:rsidP="005B0EC1">
            <w:pPr>
              <w:jc w:val="both"/>
              <w:rPr>
                <w:sz w:val="20"/>
              </w:rPr>
            </w:pPr>
            <w:r w:rsidRPr="00776E55">
              <w:rPr>
                <w:sz w:val="20"/>
              </w:rPr>
              <w:t>October 17, 2022</w:t>
            </w:r>
          </w:p>
          <w:p w:rsidR="005B0EC1" w:rsidRPr="00776E55" w:rsidRDefault="005B0EC1" w:rsidP="005B0EC1">
            <w:pPr>
              <w:jc w:val="both"/>
              <w:rPr>
                <w:sz w:val="20"/>
              </w:rPr>
            </w:pPr>
            <w:r w:rsidRPr="00776E55">
              <w:rPr>
                <w:sz w:val="20"/>
              </w:rPr>
              <w:t>Supreme Court of Canada</w:t>
            </w:r>
          </w:p>
        </w:tc>
        <w:tc>
          <w:tcPr>
            <w:tcW w:w="243" w:type="pct"/>
          </w:tcPr>
          <w:p w:rsidR="005B0EC1" w:rsidRPr="00776E55" w:rsidRDefault="005B0EC1" w:rsidP="005B0EC1">
            <w:pPr>
              <w:jc w:val="both"/>
              <w:rPr>
                <w:sz w:val="20"/>
              </w:rPr>
            </w:pPr>
          </w:p>
        </w:tc>
        <w:tc>
          <w:tcPr>
            <w:tcW w:w="2330" w:type="pct"/>
          </w:tcPr>
          <w:p w:rsidR="005B0EC1" w:rsidRPr="00776E55" w:rsidRDefault="005B0EC1" w:rsidP="005B0EC1">
            <w:pPr>
              <w:jc w:val="both"/>
              <w:rPr>
                <w:sz w:val="20"/>
              </w:rPr>
            </w:pPr>
            <w:r w:rsidRPr="00776E55">
              <w:rPr>
                <w:sz w:val="20"/>
              </w:rPr>
              <w:t>Application for leave to appeal filed</w:t>
            </w:r>
          </w:p>
          <w:p w:rsidR="005B0EC1" w:rsidRPr="00776E55" w:rsidRDefault="005B0EC1" w:rsidP="005B0EC1">
            <w:pPr>
              <w:jc w:val="both"/>
              <w:rPr>
                <w:sz w:val="20"/>
              </w:rPr>
            </w:pPr>
          </w:p>
        </w:tc>
      </w:tr>
    </w:tbl>
    <w:p w:rsidR="005B0EC1" w:rsidRPr="00776E55" w:rsidRDefault="005B0EC1" w:rsidP="005B0EC1">
      <w:pPr>
        <w:jc w:val="both"/>
        <w:rPr>
          <w:sz w:val="20"/>
        </w:rPr>
      </w:pPr>
    </w:p>
    <w:p w:rsidR="005B0EC1" w:rsidRPr="00776E55" w:rsidRDefault="001E30F0" w:rsidP="005B0EC1">
      <w:pPr>
        <w:jc w:val="both"/>
        <w:rPr>
          <w:sz w:val="20"/>
        </w:rPr>
      </w:pPr>
      <w:r>
        <w:rPr>
          <w:sz w:val="20"/>
        </w:rPr>
        <w:pict>
          <v:rect id="_x0000_i1059" style="width:2in;height:1pt" o:hrpct="0" o:hralign="center" o:hrstd="t" o:hrnoshade="t" o:hr="t" fillcolor="black [3213]" stroked="f"/>
        </w:pict>
      </w:r>
    </w:p>
    <w:p w:rsidR="005B0EC1" w:rsidRPr="00776E55" w:rsidRDefault="005B0EC1" w:rsidP="005B0EC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0EC1" w:rsidRPr="00776E55" w:rsidTr="00ED2DCE">
        <w:tc>
          <w:tcPr>
            <w:tcW w:w="543" w:type="pct"/>
          </w:tcPr>
          <w:p w:rsidR="005B0EC1" w:rsidRPr="00776E55" w:rsidRDefault="005B0EC1" w:rsidP="005B0EC1">
            <w:pPr>
              <w:jc w:val="both"/>
              <w:rPr>
                <w:sz w:val="20"/>
                <w:lang w:val="fr-CA"/>
              </w:rPr>
            </w:pPr>
            <w:r w:rsidRPr="00776E55">
              <w:rPr>
                <w:rStyle w:val="SCCFileNumberChar"/>
                <w:sz w:val="20"/>
                <w:szCs w:val="20"/>
                <w:lang w:val="fr-CA"/>
              </w:rPr>
              <w:t>40426</w:t>
            </w:r>
          </w:p>
        </w:tc>
        <w:tc>
          <w:tcPr>
            <w:tcW w:w="4457" w:type="pct"/>
            <w:gridSpan w:val="3"/>
          </w:tcPr>
          <w:p w:rsidR="005B0EC1" w:rsidRPr="00776E55" w:rsidRDefault="005B0EC1" w:rsidP="005B0EC1">
            <w:pPr>
              <w:pStyle w:val="SCCLsocParty"/>
              <w:jc w:val="both"/>
              <w:rPr>
                <w:b/>
                <w:sz w:val="20"/>
                <w:szCs w:val="20"/>
              </w:rPr>
            </w:pPr>
            <w:r w:rsidRPr="00776E55">
              <w:rPr>
                <w:b/>
                <w:sz w:val="20"/>
                <w:szCs w:val="20"/>
              </w:rPr>
              <w:t>Kobe Mohr c. Ligue nationale de hockey, American Hockey League Inc., ECHL Inc., Ligue canadienne de hockey, Ligue de hockey junior majeur du Québec Inc., Ligue de hockey de l’Ontario, Western Hockey League, Hockey Canada</w:t>
            </w:r>
          </w:p>
          <w:p w:rsidR="005B0EC1" w:rsidRPr="00776E55" w:rsidRDefault="005B0EC1" w:rsidP="005B0EC1">
            <w:pPr>
              <w:jc w:val="both"/>
              <w:rPr>
                <w:sz w:val="20"/>
                <w:lang w:val="fr-CA"/>
              </w:rPr>
            </w:pPr>
            <w:r w:rsidRPr="00776E55">
              <w:rPr>
                <w:sz w:val="20"/>
                <w:lang w:val="fr-CA"/>
              </w:rPr>
              <w:t>(C.F.) (Civile) (Autorisation)</w:t>
            </w:r>
          </w:p>
        </w:tc>
      </w:tr>
      <w:tr w:rsidR="005B0EC1" w:rsidRPr="001E30F0" w:rsidTr="00ED2DCE">
        <w:tc>
          <w:tcPr>
            <w:tcW w:w="5000" w:type="pct"/>
            <w:gridSpan w:val="4"/>
          </w:tcPr>
          <w:p w:rsidR="005B0EC1" w:rsidRPr="00776E55" w:rsidRDefault="005B0EC1" w:rsidP="005B0EC1">
            <w:pPr>
              <w:pStyle w:val="SCCBanSummary"/>
              <w:rPr>
                <w:sz w:val="20"/>
                <w:szCs w:val="20"/>
                <w:lang w:val="fr-CA"/>
              </w:rPr>
            </w:pPr>
            <w:r w:rsidRPr="00776E55">
              <w:rPr>
                <w:smallCaps w:val="0"/>
                <w:sz w:val="20"/>
                <w:szCs w:val="20"/>
                <w:lang w:val="fr-CA"/>
              </w:rPr>
              <w:t xml:space="preserve">Concurrence — Recours collectifs — Infractions relatives à la concurrence — Complot — Complot relatif au sport — Procédure civile — Requête en radiation — Les protections offertes aux athlètes et prévues à l’art. 48 de la </w:t>
            </w:r>
            <w:r w:rsidRPr="00776E55">
              <w:rPr>
                <w:i/>
                <w:smallCaps w:val="0"/>
                <w:sz w:val="20"/>
                <w:szCs w:val="20"/>
                <w:lang w:val="fr-CA"/>
              </w:rPr>
              <w:t>Loi sur la concurrence</w:t>
            </w:r>
            <w:r w:rsidRPr="00776E55">
              <w:rPr>
                <w:smallCaps w:val="0"/>
                <w:sz w:val="20"/>
                <w:szCs w:val="20"/>
                <w:lang w:val="fr-CA"/>
              </w:rPr>
              <w:t xml:space="preserve"> s’appliquent</w:t>
            </w:r>
            <w:r w:rsidRPr="00776E55">
              <w:rPr>
                <w:smallCaps w:val="0"/>
                <w:sz w:val="20"/>
                <w:szCs w:val="20"/>
                <w:lang w:val="fr-CA"/>
              </w:rPr>
              <w:noBreakHyphen/>
              <w:t>elles exclusivement aux complots anti</w:t>
            </w:r>
            <w:r w:rsidRPr="00776E55">
              <w:rPr>
                <w:smallCaps w:val="0"/>
                <w:sz w:val="20"/>
                <w:szCs w:val="20"/>
                <w:lang w:val="fr-CA"/>
              </w:rPr>
              <w:noBreakHyphen/>
              <w:t>concurrentiels affectant une seule ligue? — Admissibilité de l’intention législative dans une requête en radiation — Dans une requête en radiation, le juge des requêtes peut</w:t>
            </w:r>
            <w:r w:rsidRPr="00776E55">
              <w:rPr>
                <w:smallCaps w:val="0"/>
                <w:sz w:val="20"/>
                <w:szCs w:val="20"/>
                <w:lang w:val="fr-CA"/>
              </w:rPr>
              <w:noBreakHyphen/>
              <w:t xml:space="preserve">il </w:t>
            </w:r>
            <w:proofErr w:type="gramStart"/>
            <w:r w:rsidRPr="00776E55">
              <w:rPr>
                <w:smallCaps w:val="0"/>
                <w:sz w:val="20"/>
                <w:szCs w:val="20"/>
                <w:lang w:val="fr-CA"/>
              </w:rPr>
              <w:t>tirer</w:t>
            </w:r>
            <w:proofErr w:type="gramEnd"/>
            <w:r w:rsidRPr="00776E55">
              <w:rPr>
                <w:smallCaps w:val="0"/>
                <w:sz w:val="20"/>
                <w:szCs w:val="20"/>
                <w:lang w:val="fr-CA"/>
              </w:rPr>
              <w:t xml:space="preserve"> une conclusion sur des questions contestées d’interprétation législative? —</w:t>
            </w:r>
            <w:r w:rsidRPr="00776E55">
              <w:rPr>
                <w:i/>
                <w:smallCaps w:val="0"/>
                <w:sz w:val="20"/>
                <w:szCs w:val="20"/>
                <w:lang w:val="fr-CA"/>
              </w:rPr>
              <w:t xml:space="preserve"> Loi sur la concurrence</w:t>
            </w:r>
            <w:r w:rsidRPr="00776E55">
              <w:rPr>
                <w:smallCaps w:val="0"/>
                <w:sz w:val="20"/>
                <w:szCs w:val="20"/>
                <w:lang w:val="fr-CA"/>
              </w:rPr>
              <w:t>, L.R. C. 1985, c. C-34.</w:t>
            </w:r>
          </w:p>
        </w:tc>
      </w:tr>
      <w:tr w:rsidR="005B0EC1" w:rsidRPr="001E30F0" w:rsidTr="00ED2DCE">
        <w:tc>
          <w:tcPr>
            <w:tcW w:w="5000" w:type="pct"/>
            <w:gridSpan w:val="4"/>
          </w:tcPr>
          <w:p w:rsidR="005B0EC1" w:rsidRPr="00776E55" w:rsidRDefault="005B0EC1" w:rsidP="005B0EC1">
            <w:pPr>
              <w:jc w:val="both"/>
              <w:rPr>
                <w:sz w:val="20"/>
                <w:lang w:val="fr-CA"/>
              </w:rPr>
            </w:pPr>
          </w:p>
          <w:p w:rsidR="005B0EC1" w:rsidRPr="00776E55" w:rsidRDefault="005B0EC1" w:rsidP="005B0EC1">
            <w:pPr>
              <w:jc w:val="both"/>
              <w:rPr>
                <w:sz w:val="20"/>
                <w:lang w:val="fr-CA"/>
              </w:rPr>
            </w:pPr>
            <w:r w:rsidRPr="00776E55">
              <w:rPr>
                <w:sz w:val="20"/>
                <w:lang w:val="fr-CA"/>
              </w:rPr>
              <w:t xml:space="preserve">Le défendeur, Hockey Canada est l’organisme national gouvernant le hockey sur glace au Canada. </w:t>
            </w:r>
          </w:p>
          <w:p w:rsidR="005B0EC1" w:rsidRPr="00776E55" w:rsidRDefault="005B0EC1" w:rsidP="005B0EC1">
            <w:pPr>
              <w:jc w:val="both"/>
              <w:rPr>
                <w:sz w:val="20"/>
                <w:lang w:val="fr-CA"/>
              </w:rPr>
            </w:pPr>
          </w:p>
          <w:p w:rsidR="005B0EC1" w:rsidRPr="00776E55" w:rsidRDefault="005B0EC1" w:rsidP="005B0EC1">
            <w:pPr>
              <w:jc w:val="both"/>
              <w:rPr>
                <w:sz w:val="20"/>
                <w:lang w:val="fr-CA"/>
              </w:rPr>
            </w:pPr>
            <w:r w:rsidRPr="00776E55">
              <w:rPr>
                <w:sz w:val="20"/>
                <w:lang w:val="fr-CA"/>
              </w:rPr>
              <w:t>Les défenderesses, la Ligue nationale de hockey (LNH), la American Hockey League (AHL), et ECHL Inc. (ECHL), sont des ligues professionnelles de hockey en Amérique du Nord.</w:t>
            </w:r>
          </w:p>
          <w:p w:rsidR="005B0EC1" w:rsidRPr="00776E55" w:rsidRDefault="005B0EC1" w:rsidP="005B0EC1">
            <w:pPr>
              <w:jc w:val="both"/>
              <w:rPr>
                <w:sz w:val="20"/>
                <w:lang w:val="fr-CA"/>
              </w:rPr>
            </w:pPr>
          </w:p>
          <w:p w:rsidR="005B0EC1" w:rsidRPr="00776E55" w:rsidRDefault="005B0EC1" w:rsidP="005B0EC1">
            <w:pPr>
              <w:jc w:val="both"/>
              <w:rPr>
                <w:sz w:val="20"/>
                <w:lang w:val="fr-CA"/>
              </w:rPr>
            </w:pPr>
            <w:r w:rsidRPr="00776E55">
              <w:rPr>
                <w:sz w:val="20"/>
                <w:lang w:val="fr-CA"/>
              </w:rPr>
              <w:t>La défenderesse, la Ligue nationale de hockey (LNH), est une entité qui organise trois ligues de hockey junior majeur au Canada : nommément, les défenderesses, la Ligue de hockey junior majeur du Québec (LHJMQ), la Ligue de hockey de l’Ontario (LHO), et la Western Hockey League (WHL).</w:t>
            </w:r>
          </w:p>
          <w:p w:rsidR="005B0EC1" w:rsidRPr="00776E55" w:rsidRDefault="005B0EC1" w:rsidP="005B0EC1">
            <w:pPr>
              <w:jc w:val="both"/>
              <w:rPr>
                <w:sz w:val="20"/>
                <w:lang w:val="fr-CA"/>
              </w:rPr>
            </w:pPr>
          </w:p>
          <w:p w:rsidR="005B0EC1" w:rsidRPr="00776E55" w:rsidRDefault="005B0EC1" w:rsidP="005B0EC1">
            <w:pPr>
              <w:jc w:val="both"/>
              <w:rPr>
                <w:sz w:val="20"/>
                <w:lang w:val="fr-CA"/>
              </w:rPr>
            </w:pPr>
            <w:r w:rsidRPr="00776E55">
              <w:rPr>
                <w:sz w:val="20"/>
                <w:lang w:val="fr-CA"/>
              </w:rPr>
              <w:t xml:space="preserve">Le demandeur, Kobe Mohr, a évolué au hockey au sein de la défenderesse, la WHL. Il a intenté un recours collectif contre les défendeurs à la Cour fédérale. La déclaration affirmait que les défendeurs ont comploté pour limiter les possibilités que les joueurs de hockey évoluent au sein d’équipes des ligues majeures de hockey junior et des ligues professionnelles de hockey, en contravention au </w:t>
            </w:r>
            <w:proofErr w:type="spellStart"/>
            <w:r w:rsidRPr="00776E55">
              <w:rPr>
                <w:sz w:val="20"/>
                <w:lang w:val="fr-CA"/>
              </w:rPr>
              <w:t>par</w:t>
            </w:r>
            <w:proofErr w:type="spellEnd"/>
            <w:r w:rsidRPr="00776E55">
              <w:rPr>
                <w:sz w:val="20"/>
                <w:lang w:val="fr-CA"/>
              </w:rPr>
              <w:t xml:space="preserve">. 48(1) de la </w:t>
            </w:r>
            <w:r w:rsidRPr="00776E55">
              <w:rPr>
                <w:i/>
                <w:sz w:val="20"/>
                <w:lang w:val="fr-CA"/>
              </w:rPr>
              <w:t>Loi sur la concurrence</w:t>
            </w:r>
            <w:r w:rsidRPr="00776E55">
              <w:rPr>
                <w:sz w:val="20"/>
                <w:lang w:val="fr-CA"/>
              </w:rPr>
              <w:t xml:space="preserve">. </w:t>
            </w:r>
          </w:p>
          <w:p w:rsidR="005B0EC1" w:rsidRPr="00776E55" w:rsidRDefault="005B0EC1" w:rsidP="005B0EC1">
            <w:pPr>
              <w:jc w:val="both"/>
              <w:rPr>
                <w:sz w:val="20"/>
                <w:lang w:val="fr-CA"/>
              </w:rPr>
            </w:pPr>
          </w:p>
          <w:p w:rsidR="005B0EC1" w:rsidRPr="00776E55" w:rsidRDefault="005B0EC1" w:rsidP="005B0EC1">
            <w:pPr>
              <w:jc w:val="both"/>
              <w:rPr>
                <w:sz w:val="20"/>
                <w:lang w:val="fr-CA"/>
              </w:rPr>
            </w:pPr>
            <w:r w:rsidRPr="00776E55">
              <w:rPr>
                <w:sz w:val="20"/>
                <w:lang w:val="fr-CA"/>
              </w:rPr>
              <w:t>Les défendeurs, la LNH, la LHMJQ, la LHO, la WHL, et Hockey Canada, ont présenté une requête en radiation de la déclaration de M. Mohr, au motif que celle</w:t>
            </w:r>
            <w:r w:rsidRPr="00776E55">
              <w:rPr>
                <w:sz w:val="20"/>
                <w:lang w:val="fr-CA"/>
              </w:rPr>
              <w:noBreakHyphen/>
              <w:t>ci ne révélait aucune cause d’action valable ou constituait autrement un abus de procédure. M. Mohr a présenté une requête en modification de sa déclaration.</w:t>
            </w:r>
          </w:p>
          <w:p w:rsidR="005B0EC1" w:rsidRPr="00776E55" w:rsidRDefault="005B0EC1" w:rsidP="005B0EC1">
            <w:pPr>
              <w:jc w:val="both"/>
              <w:rPr>
                <w:sz w:val="20"/>
                <w:lang w:val="fr-CA"/>
              </w:rPr>
            </w:pPr>
          </w:p>
          <w:p w:rsidR="005B0EC1" w:rsidRPr="00776E55" w:rsidRDefault="005B0EC1" w:rsidP="005B0EC1">
            <w:pPr>
              <w:jc w:val="both"/>
              <w:rPr>
                <w:sz w:val="20"/>
                <w:lang w:val="fr-CA"/>
              </w:rPr>
            </w:pPr>
            <w:r w:rsidRPr="00776E55">
              <w:rPr>
                <w:sz w:val="20"/>
                <w:lang w:val="fr-CA"/>
              </w:rPr>
              <w:t>La Cour fédérale a rejeté la requête en modification et accueilli la requête en radiation. La Cour d’appel fédérale a rejeté l’appel de M. Mohr.</w:t>
            </w:r>
          </w:p>
        </w:tc>
      </w:tr>
      <w:tr w:rsidR="005B0EC1" w:rsidRPr="001E30F0" w:rsidTr="00ED2DCE">
        <w:tc>
          <w:tcPr>
            <w:tcW w:w="5000" w:type="pct"/>
            <w:gridSpan w:val="4"/>
          </w:tcPr>
          <w:p w:rsidR="005B0EC1" w:rsidRPr="00776E55" w:rsidRDefault="005B0EC1" w:rsidP="005B0EC1">
            <w:pPr>
              <w:jc w:val="both"/>
              <w:rPr>
                <w:sz w:val="20"/>
                <w:lang w:val="fr-CA"/>
              </w:rPr>
            </w:pPr>
          </w:p>
        </w:tc>
      </w:tr>
      <w:tr w:rsidR="005B0EC1" w:rsidRPr="001E30F0" w:rsidTr="00ED2DCE">
        <w:tc>
          <w:tcPr>
            <w:tcW w:w="2427" w:type="pct"/>
            <w:gridSpan w:val="2"/>
          </w:tcPr>
          <w:p w:rsidR="005B0EC1" w:rsidRPr="00776E55" w:rsidRDefault="005B0EC1" w:rsidP="005B0EC1">
            <w:pPr>
              <w:jc w:val="both"/>
              <w:rPr>
                <w:sz w:val="20"/>
                <w:lang w:val="fr-CA"/>
              </w:rPr>
            </w:pPr>
            <w:r w:rsidRPr="00776E55">
              <w:rPr>
                <w:sz w:val="20"/>
                <w:lang w:val="fr-CA"/>
              </w:rPr>
              <w:t>27 mai 2021</w:t>
            </w:r>
          </w:p>
          <w:p w:rsidR="005B0EC1" w:rsidRPr="00776E55" w:rsidRDefault="005B0EC1" w:rsidP="005B0EC1">
            <w:pPr>
              <w:jc w:val="both"/>
              <w:rPr>
                <w:sz w:val="20"/>
                <w:lang w:val="fr-CA"/>
              </w:rPr>
            </w:pPr>
            <w:r w:rsidRPr="00776E55">
              <w:rPr>
                <w:sz w:val="20"/>
                <w:lang w:val="fr-CA"/>
              </w:rPr>
              <w:t>Cour fédérale</w:t>
            </w:r>
          </w:p>
          <w:p w:rsidR="005B0EC1" w:rsidRPr="00776E55" w:rsidRDefault="005B0EC1" w:rsidP="005B0EC1">
            <w:pPr>
              <w:jc w:val="both"/>
              <w:rPr>
                <w:sz w:val="20"/>
                <w:lang w:val="fr-CA"/>
              </w:rPr>
            </w:pPr>
            <w:r w:rsidRPr="00776E55">
              <w:rPr>
                <w:sz w:val="20"/>
                <w:lang w:val="fr-CA"/>
              </w:rPr>
              <w:t>(juge en chef Crampton)</w:t>
            </w:r>
          </w:p>
          <w:p w:rsidR="005B0EC1" w:rsidRPr="00776E55" w:rsidRDefault="005B0EC1" w:rsidP="005B0EC1">
            <w:pPr>
              <w:jc w:val="both"/>
              <w:rPr>
                <w:rStyle w:val="Hyperlink"/>
                <w:color w:val="auto"/>
                <w:sz w:val="20"/>
                <w:u w:val="none"/>
                <w:lang w:val="fr-CA"/>
              </w:rPr>
            </w:pPr>
            <w:r w:rsidRPr="00776E55">
              <w:rPr>
                <w:rStyle w:val="Hyperlink"/>
                <w:sz w:val="20"/>
                <w:lang w:val="fr-CA"/>
              </w:rPr>
              <w:fldChar w:fldCharType="begin"/>
            </w:r>
            <w:r w:rsidRPr="00776E55">
              <w:rPr>
                <w:rStyle w:val="Hyperlink"/>
                <w:sz w:val="20"/>
                <w:lang w:val="fr-CA"/>
              </w:rPr>
              <w:instrText xml:space="preserve"> HYPERLINK "https://www.canlii.org/fr/ca/cfpi/doc/2021/2021cf488/2021cf488.html" </w:instrText>
            </w:r>
            <w:r w:rsidRPr="00776E55">
              <w:rPr>
                <w:rStyle w:val="Hyperlink"/>
                <w:sz w:val="20"/>
                <w:lang w:val="fr-CA"/>
              </w:rPr>
              <w:fldChar w:fldCharType="separate"/>
            </w:r>
            <w:r w:rsidRPr="00776E55">
              <w:rPr>
                <w:rStyle w:val="Hyperlink"/>
                <w:sz w:val="20"/>
                <w:lang w:val="fr-CA"/>
              </w:rPr>
              <w:t>2021 CF 488</w:t>
            </w:r>
          </w:p>
          <w:p w:rsidR="005B0EC1" w:rsidRPr="00776E55" w:rsidRDefault="005B0EC1" w:rsidP="005B0EC1">
            <w:pPr>
              <w:jc w:val="both"/>
              <w:rPr>
                <w:sz w:val="20"/>
                <w:lang w:val="fr-CA"/>
              </w:rPr>
            </w:pPr>
            <w:r w:rsidRPr="00776E55">
              <w:rPr>
                <w:rStyle w:val="Hyperlink"/>
                <w:sz w:val="20"/>
                <w:lang w:val="fr-CA"/>
              </w:rPr>
              <w:fldChar w:fldCharType="end"/>
            </w:r>
          </w:p>
        </w:tc>
        <w:tc>
          <w:tcPr>
            <w:tcW w:w="243" w:type="pct"/>
          </w:tcPr>
          <w:p w:rsidR="005B0EC1" w:rsidRPr="00776E55" w:rsidRDefault="005B0EC1" w:rsidP="005B0EC1">
            <w:pPr>
              <w:jc w:val="both"/>
              <w:rPr>
                <w:sz w:val="20"/>
                <w:lang w:val="fr-CA"/>
              </w:rPr>
            </w:pPr>
          </w:p>
        </w:tc>
        <w:tc>
          <w:tcPr>
            <w:tcW w:w="2330" w:type="pct"/>
          </w:tcPr>
          <w:p w:rsidR="005B0EC1" w:rsidRPr="00776E55" w:rsidRDefault="005B0EC1" w:rsidP="005B0EC1">
            <w:pPr>
              <w:jc w:val="both"/>
              <w:rPr>
                <w:sz w:val="20"/>
                <w:lang w:val="fr-CA"/>
              </w:rPr>
            </w:pPr>
            <w:r w:rsidRPr="00776E55">
              <w:rPr>
                <w:sz w:val="20"/>
                <w:lang w:val="fr-CA"/>
              </w:rPr>
              <w:t xml:space="preserve">Requête en modification de la déclaration rejetée; requête en radiation de la déclaration accueillie </w:t>
            </w:r>
          </w:p>
        </w:tc>
      </w:tr>
      <w:tr w:rsidR="005B0EC1" w:rsidRPr="00776E55" w:rsidTr="00ED2DCE">
        <w:tc>
          <w:tcPr>
            <w:tcW w:w="2427" w:type="pct"/>
            <w:gridSpan w:val="2"/>
          </w:tcPr>
          <w:p w:rsidR="005B0EC1" w:rsidRPr="00776E55" w:rsidRDefault="005B0EC1" w:rsidP="005B0EC1">
            <w:pPr>
              <w:jc w:val="both"/>
              <w:rPr>
                <w:sz w:val="20"/>
                <w:lang w:val="fr-CA"/>
              </w:rPr>
            </w:pPr>
            <w:r w:rsidRPr="00776E55">
              <w:rPr>
                <w:sz w:val="20"/>
                <w:lang w:val="fr-CA"/>
              </w:rPr>
              <w:t>17 août 2022</w:t>
            </w:r>
          </w:p>
          <w:p w:rsidR="005B0EC1" w:rsidRPr="00776E55" w:rsidRDefault="005B0EC1" w:rsidP="005B0EC1">
            <w:pPr>
              <w:jc w:val="both"/>
              <w:rPr>
                <w:sz w:val="20"/>
                <w:lang w:val="fr-CA"/>
              </w:rPr>
            </w:pPr>
            <w:r w:rsidRPr="00776E55">
              <w:rPr>
                <w:sz w:val="20"/>
                <w:lang w:val="fr-CA"/>
              </w:rPr>
              <w:t xml:space="preserve">Cour d’appel fédérale </w:t>
            </w:r>
          </w:p>
          <w:p w:rsidR="005B0EC1" w:rsidRPr="00776E55" w:rsidRDefault="005B0EC1" w:rsidP="005B0EC1">
            <w:pPr>
              <w:jc w:val="both"/>
              <w:rPr>
                <w:sz w:val="20"/>
                <w:lang w:val="fr-CA"/>
              </w:rPr>
            </w:pPr>
            <w:r w:rsidRPr="00776E55">
              <w:rPr>
                <w:sz w:val="20"/>
                <w:lang w:val="fr-CA"/>
              </w:rPr>
              <w:t>(juges Stratas, Rennie et Mactavish)</w:t>
            </w:r>
          </w:p>
          <w:p w:rsidR="005B0EC1" w:rsidRPr="00776E55" w:rsidRDefault="001E30F0" w:rsidP="005B0EC1">
            <w:pPr>
              <w:jc w:val="both"/>
              <w:rPr>
                <w:sz w:val="20"/>
                <w:lang w:val="fr-CA"/>
              </w:rPr>
            </w:pPr>
            <w:hyperlink r:id="rId87" w:history="1">
              <w:r w:rsidR="005B0EC1" w:rsidRPr="00776E55">
                <w:rPr>
                  <w:rStyle w:val="Hyperlink"/>
                  <w:sz w:val="20"/>
                  <w:lang w:val="fr-CA"/>
                </w:rPr>
                <w:t>2022 CAF 145</w:t>
              </w:r>
            </w:hyperlink>
            <w:r w:rsidR="005B0EC1" w:rsidRPr="00776E55">
              <w:rPr>
                <w:sz w:val="20"/>
                <w:lang w:val="fr-CA"/>
              </w:rPr>
              <w:t>; A-182-21</w:t>
            </w:r>
          </w:p>
          <w:p w:rsidR="005B0EC1" w:rsidRPr="00776E55" w:rsidRDefault="005B0EC1" w:rsidP="005B0EC1">
            <w:pPr>
              <w:jc w:val="both"/>
              <w:rPr>
                <w:sz w:val="20"/>
                <w:lang w:val="fr-CA"/>
              </w:rPr>
            </w:pPr>
          </w:p>
        </w:tc>
        <w:tc>
          <w:tcPr>
            <w:tcW w:w="243" w:type="pct"/>
          </w:tcPr>
          <w:p w:rsidR="005B0EC1" w:rsidRPr="00776E55" w:rsidRDefault="005B0EC1" w:rsidP="005B0EC1">
            <w:pPr>
              <w:jc w:val="both"/>
              <w:rPr>
                <w:sz w:val="20"/>
                <w:lang w:val="fr-CA"/>
              </w:rPr>
            </w:pPr>
          </w:p>
        </w:tc>
        <w:tc>
          <w:tcPr>
            <w:tcW w:w="2330" w:type="pct"/>
          </w:tcPr>
          <w:p w:rsidR="005B0EC1" w:rsidRPr="00776E55" w:rsidRDefault="005B0EC1" w:rsidP="005B0EC1">
            <w:pPr>
              <w:jc w:val="both"/>
              <w:rPr>
                <w:sz w:val="20"/>
                <w:lang w:val="fr-CA"/>
              </w:rPr>
            </w:pPr>
            <w:r w:rsidRPr="00776E55">
              <w:rPr>
                <w:sz w:val="20"/>
                <w:lang w:val="fr-CA"/>
              </w:rPr>
              <w:t>Appel rejeté</w:t>
            </w:r>
          </w:p>
          <w:p w:rsidR="005B0EC1" w:rsidRPr="00776E55" w:rsidRDefault="005B0EC1" w:rsidP="005B0EC1">
            <w:pPr>
              <w:jc w:val="both"/>
              <w:rPr>
                <w:sz w:val="20"/>
                <w:lang w:val="fr-CA"/>
              </w:rPr>
            </w:pPr>
          </w:p>
        </w:tc>
      </w:tr>
      <w:tr w:rsidR="005B0EC1" w:rsidRPr="00776E55" w:rsidTr="00ED2DCE">
        <w:tc>
          <w:tcPr>
            <w:tcW w:w="2427" w:type="pct"/>
            <w:gridSpan w:val="2"/>
          </w:tcPr>
          <w:p w:rsidR="005B0EC1" w:rsidRPr="00776E55" w:rsidRDefault="005B0EC1" w:rsidP="005B0EC1">
            <w:pPr>
              <w:jc w:val="both"/>
              <w:rPr>
                <w:sz w:val="20"/>
                <w:lang w:val="fr-CA"/>
              </w:rPr>
            </w:pPr>
            <w:r w:rsidRPr="00776E55">
              <w:rPr>
                <w:sz w:val="20"/>
                <w:lang w:val="fr-CA"/>
              </w:rPr>
              <w:t>17 octobre 2022</w:t>
            </w:r>
          </w:p>
          <w:p w:rsidR="005B0EC1" w:rsidRPr="00776E55" w:rsidRDefault="005B0EC1" w:rsidP="005B0EC1">
            <w:pPr>
              <w:jc w:val="both"/>
              <w:rPr>
                <w:sz w:val="20"/>
                <w:lang w:val="fr-CA"/>
              </w:rPr>
            </w:pPr>
            <w:r w:rsidRPr="00776E55">
              <w:rPr>
                <w:sz w:val="20"/>
                <w:lang w:val="fr-CA"/>
              </w:rPr>
              <w:t>Cour suprême du Canada</w:t>
            </w:r>
          </w:p>
        </w:tc>
        <w:tc>
          <w:tcPr>
            <w:tcW w:w="243" w:type="pct"/>
          </w:tcPr>
          <w:p w:rsidR="005B0EC1" w:rsidRPr="00776E55" w:rsidRDefault="005B0EC1" w:rsidP="005B0EC1">
            <w:pPr>
              <w:jc w:val="both"/>
              <w:rPr>
                <w:sz w:val="20"/>
                <w:lang w:val="fr-CA"/>
              </w:rPr>
            </w:pPr>
          </w:p>
        </w:tc>
        <w:tc>
          <w:tcPr>
            <w:tcW w:w="2330" w:type="pct"/>
          </w:tcPr>
          <w:p w:rsidR="005B0EC1" w:rsidRPr="00776E55" w:rsidRDefault="005B0EC1" w:rsidP="005B0EC1">
            <w:pPr>
              <w:jc w:val="both"/>
              <w:rPr>
                <w:sz w:val="20"/>
                <w:lang w:val="fr-CA"/>
              </w:rPr>
            </w:pPr>
            <w:r w:rsidRPr="00776E55">
              <w:rPr>
                <w:sz w:val="20"/>
                <w:lang w:val="fr-CA"/>
              </w:rPr>
              <w:t>Demande d’autorisation d’appel déposée</w:t>
            </w:r>
          </w:p>
          <w:p w:rsidR="005B0EC1" w:rsidRPr="00776E55" w:rsidRDefault="005B0EC1" w:rsidP="005B0EC1">
            <w:pPr>
              <w:jc w:val="both"/>
              <w:rPr>
                <w:sz w:val="20"/>
                <w:lang w:val="fr-CA"/>
              </w:rPr>
            </w:pPr>
          </w:p>
        </w:tc>
      </w:tr>
    </w:tbl>
    <w:p w:rsidR="006F6761" w:rsidRPr="00776E55" w:rsidRDefault="006F6761" w:rsidP="006F6761">
      <w:pPr>
        <w:jc w:val="both"/>
        <w:rPr>
          <w:sz w:val="20"/>
          <w:lang w:val="fr-CA"/>
        </w:rPr>
      </w:pPr>
    </w:p>
    <w:p w:rsidR="00716BAC" w:rsidRPr="00776E55" w:rsidRDefault="001E30F0" w:rsidP="006F6761">
      <w:pPr>
        <w:widowControl w:val="0"/>
        <w:jc w:val="both"/>
        <w:rPr>
          <w:sz w:val="20"/>
          <w:lang w:val="fr-CA"/>
        </w:rPr>
      </w:pPr>
      <w:r>
        <w:rPr>
          <w:sz w:val="20"/>
        </w:rPr>
        <w:pict>
          <v:rect id="_x0000_i1060" style="width:2in;height:1pt" o:hrpct="0" o:hralign="center" o:hrstd="t" o:hrnoshade="t" o:hr="t" fillcolor="black [3213]" stroked="f"/>
        </w:pict>
      </w:r>
    </w:p>
    <w:p w:rsidR="00311655" w:rsidRPr="00776E55" w:rsidRDefault="00311655" w:rsidP="00350651">
      <w:pPr>
        <w:ind w:left="142" w:hanging="142"/>
        <w:jc w:val="both"/>
        <w:rPr>
          <w:sz w:val="20"/>
        </w:rPr>
      </w:pPr>
    </w:p>
    <w:p w:rsidR="008F2F11" w:rsidRPr="00776E55" w:rsidRDefault="008F2F11" w:rsidP="00350651">
      <w:pPr>
        <w:ind w:left="142" w:hanging="142"/>
        <w:jc w:val="both"/>
        <w:rPr>
          <w:sz w:val="20"/>
        </w:rPr>
      </w:pPr>
    </w:p>
    <w:p w:rsidR="008F2F11" w:rsidRPr="00776E55" w:rsidRDefault="008F2F11" w:rsidP="00350651">
      <w:pPr>
        <w:ind w:left="142" w:hanging="142"/>
        <w:jc w:val="both"/>
        <w:rPr>
          <w:sz w:val="20"/>
        </w:rPr>
      </w:pPr>
    </w:p>
    <w:p w:rsidR="00D3344A" w:rsidRPr="00776E55" w:rsidRDefault="00D3344A" w:rsidP="00D3344A">
      <w:pPr>
        <w:widowControl w:val="0"/>
        <w:outlineLvl w:val="0"/>
        <w:rPr>
          <w:sz w:val="20"/>
        </w:rPr>
      </w:pPr>
      <w:r w:rsidRPr="00776E55">
        <w:rPr>
          <w:sz w:val="20"/>
        </w:rPr>
        <w:t xml:space="preserve">Supreme Court of Canada / Cour suprême du </w:t>
      </w:r>
      <w:proofErr w:type="gramStart"/>
      <w:r w:rsidRPr="00776E55">
        <w:rPr>
          <w:sz w:val="20"/>
        </w:rPr>
        <w:t>Canad</w:t>
      </w:r>
      <w:r w:rsidR="00EE289F" w:rsidRPr="00776E55">
        <w:rPr>
          <w:sz w:val="20"/>
        </w:rPr>
        <w:t>a</w:t>
      </w:r>
      <w:r w:rsidRPr="00776E55">
        <w:rPr>
          <w:sz w:val="20"/>
        </w:rPr>
        <w:t xml:space="preserve"> :</w:t>
      </w:r>
      <w:proofErr w:type="gramEnd"/>
    </w:p>
    <w:p w:rsidR="00D3344A" w:rsidRPr="00776E55" w:rsidRDefault="001E30F0" w:rsidP="00D3344A">
      <w:pPr>
        <w:widowControl w:val="0"/>
        <w:outlineLvl w:val="0"/>
        <w:rPr>
          <w:sz w:val="20"/>
          <w:u w:val="single"/>
        </w:rPr>
      </w:pPr>
      <w:hyperlink r:id="rId88" w:history="1">
        <w:r w:rsidR="009B7391" w:rsidRPr="00776E55">
          <w:rPr>
            <w:rStyle w:val="Hyperlink"/>
            <w:sz w:val="20"/>
          </w:rPr>
          <w:t>comments-commentaires@scc-csc.ca</w:t>
        </w:r>
      </w:hyperlink>
    </w:p>
    <w:p w:rsidR="00D3344A" w:rsidRPr="00776E55" w:rsidRDefault="0065588C" w:rsidP="00D3344A">
      <w:pPr>
        <w:widowControl w:val="0"/>
        <w:outlineLvl w:val="0"/>
        <w:rPr>
          <w:sz w:val="20"/>
        </w:rPr>
      </w:pPr>
      <w:r w:rsidRPr="00776E55">
        <w:rPr>
          <w:sz w:val="20"/>
        </w:rPr>
        <w:t>613-</w:t>
      </w:r>
      <w:r w:rsidR="00D3344A" w:rsidRPr="00776E55">
        <w:rPr>
          <w:sz w:val="20"/>
        </w:rPr>
        <w:t>995-4330</w:t>
      </w:r>
    </w:p>
    <w:p w:rsidR="00497B5E" w:rsidRPr="00776E55" w:rsidRDefault="00497B5E" w:rsidP="00497B5E">
      <w:pPr>
        <w:widowControl w:val="0"/>
        <w:rPr>
          <w:sz w:val="20"/>
        </w:rPr>
      </w:pPr>
    </w:p>
    <w:p w:rsidR="00F6251B" w:rsidRPr="007607A2" w:rsidRDefault="003F43E6" w:rsidP="00F6251B">
      <w:pPr>
        <w:pStyle w:val="Footer"/>
        <w:jc w:val="center"/>
        <w:rPr>
          <w:sz w:val="20"/>
        </w:rPr>
      </w:pPr>
      <w:r w:rsidRPr="00776E55">
        <w:rPr>
          <w:sz w:val="20"/>
        </w:rPr>
        <w:t>- 30 -</w:t>
      </w:r>
    </w:p>
    <w:sectPr w:rsidR="00F6251B" w:rsidRPr="007607A2" w:rsidSect="00E62F93">
      <w:headerReference w:type="even" r:id="rId89"/>
      <w:headerReference w:type="default" r:id="rId90"/>
      <w:footerReference w:type="even" r:id="rId91"/>
      <w:footerReference w:type="default" r:id="rId92"/>
      <w:headerReference w:type="first" r:id="rId93"/>
      <w:footerReference w:type="first" r:id="rId94"/>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CE" w:rsidRDefault="00ED2DCE" w:rsidP="0034178A">
      <w:r>
        <w:separator/>
      </w:r>
    </w:p>
  </w:endnote>
  <w:endnote w:type="continuationSeparator" w:id="0">
    <w:p w:rsidR="00ED2DCE" w:rsidRDefault="00ED2DC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CE" w:rsidRDefault="00ED2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CE" w:rsidRPr="009F77F0" w:rsidRDefault="00ED2DC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CE" w:rsidRDefault="00ED2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CE" w:rsidRDefault="00ED2DCE" w:rsidP="0034178A">
      <w:r>
        <w:separator/>
      </w:r>
    </w:p>
  </w:footnote>
  <w:footnote w:type="continuationSeparator" w:id="0">
    <w:p w:rsidR="00ED2DCE" w:rsidRDefault="00ED2DC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CE" w:rsidRDefault="00ED2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CE" w:rsidRDefault="00ED2D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CE" w:rsidRDefault="00ED2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33"/>
  </w:num>
  <w:num w:numId="4">
    <w:abstractNumId w:val="15"/>
  </w:num>
  <w:num w:numId="5">
    <w:abstractNumId w:val="12"/>
  </w:num>
  <w:num w:numId="6">
    <w:abstractNumId w:val="29"/>
  </w:num>
  <w:num w:numId="7">
    <w:abstractNumId w:val="26"/>
  </w:num>
  <w:num w:numId="8">
    <w:abstractNumId w:val="31"/>
  </w:num>
  <w:num w:numId="9">
    <w:abstractNumId w:val="4"/>
  </w:num>
  <w:num w:numId="10">
    <w:abstractNumId w:val="9"/>
  </w:num>
  <w:num w:numId="11">
    <w:abstractNumId w:val="1"/>
  </w:num>
  <w:num w:numId="12">
    <w:abstractNumId w:val="28"/>
  </w:num>
  <w:num w:numId="13">
    <w:abstractNumId w:val="2"/>
  </w:num>
  <w:num w:numId="14">
    <w:abstractNumId w:val="14"/>
  </w:num>
  <w:num w:numId="15">
    <w:abstractNumId w:val="6"/>
  </w:num>
  <w:num w:numId="16">
    <w:abstractNumId w:val="10"/>
  </w:num>
  <w:num w:numId="17">
    <w:abstractNumId w:val="32"/>
  </w:num>
  <w:num w:numId="18">
    <w:abstractNumId w:val="19"/>
  </w:num>
  <w:num w:numId="19">
    <w:abstractNumId w:val="13"/>
  </w:num>
  <w:num w:numId="20">
    <w:abstractNumId w:val="25"/>
  </w:num>
  <w:num w:numId="21">
    <w:abstractNumId w:val="8"/>
  </w:num>
  <w:num w:numId="22">
    <w:abstractNumId w:val="30"/>
  </w:num>
  <w:num w:numId="23">
    <w:abstractNumId w:val="24"/>
  </w:num>
  <w:num w:numId="24">
    <w:abstractNumId w:val="18"/>
  </w:num>
  <w:num w:numId="25">
    <w:abstractNumId w:val="21"/>
  </w:num>
  <w:num w:numId="26">
    <w:abstractNumId w:val="27"/>
  </w:num>
  <w:num w:numId="27">
    <w:abstractNumId w:val="17"/>
  </w:num>
  <w:num w:numId="28">
    <w:abstractNumId w:val="5"/>
  </w:num>
  <w:num w:numId="29">
    <w:abstractNumId w:val="23"/>
  </w:num>
  <w:num w:numId="30">
    <w:abstractNumId w:val="16"/>
  </w:num>
  <w:num w:numId="31">
    <w:abstractNumId w:val="7"/>
  </w:num>
  <w:num w:numId="32">
    <w:abstractNumId w:val="20"/>
  </w:num>
  <w:num w:numId="33">
    <w:abstractNumId w:val="3"/>
  </w:num>
  <w:num w:numId="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71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ED5"/>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427" TargetMode="External"/><Relationship Id="rId18" Type="http://schemas.openxmlformats.org/officeDocument/2006/relationships/hyperlink" Target="https://www.scc-csc.ca/case-dossier/info/sum-som-eng.aspx?cas=40532" TargetMode="External"/><Relationship Id="rId26" Type="http://schemas.openxmlformats.org/officeDocument/2006/relationships/hyperlink" Target="https://www.canlii.org/en/on/onsc/doc/2017/2017onsc5471/2017onsc5471.html" TargetMode="External"/><Relationship Id="rId39" Type="http://schemas.openxmlformats.org/officeDocument/2006/relationships/hyperlink" Target="https://canlii.ca/t/jddlz" TargetMode="External"/><Relationship Id="rId21" Type="http://schemas.openxmlformats.org/officeDocument/2006/relationships/hyperlink" Target="https://www.scc-csc.ca/case-dossier/info/sum-som-eng.aspx?cas=40436" TargetMode="External"/><Relationship Id="rId34" Type="http://schemas.openxmlformats.org/officeDocument/2006/relationships/hyperlink" Target="https://www.canlii.org/en/on/onsc/doc/2017/2017onsc7252/2017onsc7252.html?resultIndex=1" TargetMode="External"/><Relationship Id="rId42" Type="http://schemas.openxmlformats.org/officeDocument/2006/relationships/hyperlink" Target="https://canlii.ca/t/jrk47" TargetMode="External"/><Relationship Id="rId47" Type="http://schemas.openxmlformats.org/officeDocument/2006/relationships/hyperlink" Target="https://canlii.ca/t/jrflw" TargetMode="External"/><Relationship Id="rId50" Type="http://schemas.openxmlformats.org/officeDocument/2006/relationships/hyperlink" Target="https://www.canlii.org/en/ab/abca/doc/2022/2022abca229/2022abca229.html?autocompleteStr=flock%20estate%20&amp;autocompletePos=7" TargetMode="External"/><Relationship Id="rId55" Type="http://schemas.openxmlformats.org/officeDocument/2006/relationships/hyperlink" Target="https://www.canlii.org/en/on/onscdc/doc/2022/2022onsc1343/2022onsc1343.html?resultIndex=1" TargetMode="External"/><Relationship Id="rId63" Type="http://schemas.openxmlformats.org/officeDocument/2006/relationships/hyperlink" Target="https://canlii.ca/t/jhk4g" TargetMode="External"/><Relationship Id="rId68" Type="http://schemas.openxmlformats.org/officeDocument/2006/relationships/hyperlink" Target="https://canlii.ca/t/jc9d3" TargetMode="External"/><Relationship Id="rId76" Type="http://schemas.openxmlformats.org/officeDocument/2006/relationships/hyperlink" Target="https://www.canlii.org/fr/qc/qcca/doc/2022/2022qcca1603/2022qcca1603.html" TargetMode="External"/><Relationship Id="rId84" Type="http://schemas.openxmlformats.org/officeDocument/2006/relationships/hyperlink" Target="https://canlii.ca/t/jrht2"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canlii.ca/t/jc9d3"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eng.aspx?cas=40501" TargetMode="External"/><Relationship Id="rId29" Type="http://schemas.openxmlformats.org/officeDocument/2006/relationships/hyperlink" Target="https://www.canlii.org/en/on/onsc/doc/2017/2017onsc5471/2017onsc5471.html" TargetMode="External"/><Relationship Id="rId11" Type="http://schemas.openxmlformats.org/officeDocument/2006/relationships/hyperlink" Target="https://www.scc-csc.ca/case-dossier/info/sum-som-fra.aspx?cas=40425" TargetMode="External"/><Relationship Id="rId24" Type="http://schemas.openxmlformats.org/officeDocument/2006/relationships/hyperlink" Target="https://www.scc-csc.ca/case-dossier/info/sum-som-eng.aspx?cas=40426" TargetMode="External"/><Relationship Id="rId32" Type="http://schemas.openxmlformats.org/officeDocument/2006/relationships/hyperlink" Target="https://www.canlii.org/en/on/onsc/doc/2017/2017onsc7305/2017onsc7305.html?resultIndex=1" TargetMode="External"/><Relationship Id="rId37" Type="http://schemas.openxmlformats.org/officeDocument/2006/relationships/hyperlink" Target="https://www.canlii.org/en/on/onca/doc/2022/2022onca518/2022onca518.html?autocompleteStr=karkhan&amp;autocompletePos=2" TargetMode="External"/><Relationship Id="rId40" Type="http://schemas.openxmlformats.org/officeDocument/2006/relationships/hyperlink" Target="https://canlii.ca/t/jrk47" TargetMode="External"/><Relationship Id="rId45" Type="http://schemas.openxmlformats.org/officeDocument/2006/relationships/hyperlink" Target="https://www.canlii.org/en/mb/mbqb/doc/2021/2021mbqb24/2021mbqb24.html" TargetMode="External"/><Relationship Id="rId53" Type="http://schemas.openxmlformats.org/officeDocument/2006/relationships/hyperlink" Target="https://www.canlii.org/en/on/onhrt/doc/2019/2019hrto526/2019hrto526.html?resultIndex=1" TargetMode="External"/><Relationship Id="rId58" Type="http://schemas.openxmlformats.org/officeDocument/2006/relationships/hyperlink" Target="https://www.canlii.org/en/on/onscdc/doc/2022/2022onsc1343/2022onsc1343.html?resultIndex=1" TargetMode="External"/><Relationship Id="rId66" Type="http://schemas.openxmlformats.org/officeDocument/2006/relationships/hyperlink" Target="https://canlii.ca/t/jpm2k" TargetMode="External"/><Relationship Id="rId74" Type="http://schemas.openxmlformats.org/officeDocument/2006/relationships/hyperlink" Target="https://www.canlii.org/fr/qc/qcca/doc/2021/2021qcca1914/2021qcca1914.html" TargetMode="External"/><Relationship Id="rId79" Type="http://schemas.openxmlformats.org/officeDocument/2006/relationships/hyperlink" Target="https://www.canlii.org/fr/qc/qcca/doc/2022/2022qcca1155/2022qcca1155.html?autocompleteStr=Loblaw%20Companies%20Limited%20c%20Govan&amp;autocompletePos=8" TargetMode="External"/><Relationship Id="rId87" Type="http://schemas.openxmlformats.org/officeDocument/2006/relationships/hyperlink" Target="https://www.canlii.org/fr/ca/caf/doc/2022/2022caf145/2022caf145.html" TargetMode="External"/><Relationship Id="rId5" Type="http://schemas.openxmlformats.org/officeDocument/2006/relationships/webSettings" Target="webSettings.xml"/><Relationship Id="rId61" Type="http://schemas.openxmlformats.org/officeDocument/2006/relationships/hyperlink" Target="https://www.canlii.org/en/bc/bcca/doc/2022/2022bcca361/2022bcca361.html?autocompleteStr=2022%20BCCA%20361&amp;autocompletePos=1" TargetMode="External"/><Relationship Id="rId82" Type="http://schemas.openxmlformats.org/officeDocument/2006/relationships/hyperlink" Target="https://www.canlii.org/en/on/onca/doc/2022/2022onca635/2022onca635.html"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s://www.scc-csc.ca/case-dossier/info/sum-som-fra.aspx?cas=40336" TargetMode="External"/><Relationship Id="rId14" Type="http://schemas.openxmlformats.org/officeDocument/2006/relationships/hyperlink" Target="https://www.scc-csc.ca/case-dossier/info/sum-som-eng.aspx?cas=40368" TargetMode="External"/><Relationship Id="rId22" Type="http://schemas.openxmlformats.org/officeDocument/2006/relationships/hyperlink" Target="https://www.scc-csc.ca/case-dossier/info/sum-som-eng.aspx?cas=40445" TargetMode="External"/><Relationship Id="rId27" Type="http://schemas.openxmlformats.org/officeDocument/2006/relationships/hyperlink" Target="https://www.canlii.org/en/on/onca/doc/2022/2022onca657/2022onca657.html" TargetMode="External"/><Relationship Id="rId30" Type="http://schemas.openxmlformats.org/officeDocument/2006/relationships/hyperlink" Target="https://www.canlii.org/en/on/onca/doc/2022/2022onca657/2022onca657.html" TargetMode="External"/><Relationship Id="rId35" Type="http://schemas.openxmlformats.org/officeDocument/2006/relationships/hyperlink" Target="https://www.canlii.org/en/on/onsc/doc/2017/2017onsc7305/2017onsc7305.html?resultIndex=1" TargetMode="External"/><Relationship Id="rId43" Type="http://schemas.openxmlformats.org/officeDocument/2006/relationships/hyperlink" Target="https://www.canlii.org/en/mb/mbqb/doc/2021/2021mbqb24/2021mbqb24.html" TargetMode="External"/><Relationship Id="rId48" Type="http://schemas.openxmlformats.org/officeDocument/2006/relationships/hyperlink" Target="https://canlii.ca/t/jrflw" TargetMode="External"/><Relationship Id="rId56" Type="http://schemas.openxmlformats.org/officeDocument/2006/relationships/hyperlink" Target="https://www.canlii.org/en/on/onhrt/doc/2019/2019hrto526/2019hrto526.html?resultIndex=1" TargetMode="External"/><Relationship Id="rId64" Type="http://schemas.openxmlformats.org/officeDocument/2006/relationships/hyperlink" Target="https://canlii.ca/t/jpm2k" TargetMode="External"/><Relationship Id="rId69" Type="http://schemas.openxmlformats.org/officeDocument/2006/relationships/hyperlink" Target="https://canlii.ca/t/jr96s" TargetMode="External"/><Relationship Id="rId77" Type="http://schemas.openxmlformats.org/officeDocument/2006/relationships/hyperlink" Target="https://www.canlii.org/fr/qc/qccs/doc/2021/2021qccs2060/2021qccs2060.html" TargetMode="External"/><Relationship Id="rId8" Type="http://schemas.openxmlformats.org/officeDocument/2006/relationships/hyperlink" Target="https://www.scc-csc.ca/case-dossier/info/sum-som-eng.aspx?cas=40463" TargetMode="External"/><Relationship Id="rId51" Type="http://schemas.openxmlformats.org/officeDocument/2006/relationships/hyperlink" Target="https://www.canlii.org/en/ab/abqb/doc/2021/2021abqb502/2021abqb502.html?autocompleteStr=flock%20estate&amp;autocompletePos=5" TargetMode="External"/><Relationship Id="rId72" Type="http://schemas.openxmlformats.org/officeDocument/2006/relationships/hyperlink" Target="https://canlii.ca/t/jr96s" TargetMode="External"/><Relationship Id="rId80" Type="http://schemas.openxmlformats.org/officeDocument/2006/relationships/hyperlink" Target="https://www.canlii.org/fr/qc/qcca/doc/2022/2022qcca1603/2022qcca1603.html" TargetMode="External"/><Relationship Id="rId85" Type="http://schemas.openxmlformats.org/officeDocument/2006/relationships/hyperlink" Target="https://www.canlii.org/en/ca/fct/doc/2021/2021fc488/2021fc488.html"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scc-csc.ca/case-dossier/info/sum-som-eng.aspx?cas=40457" TargetMode="External"/><Relationship Id="rId17" Type="http://schemas.openxmlformats.org/officeDocument/2006/relationships/hyperlink" Target="https://www.scc-csc.ca/case-dossier/info/sum-som-eng.aspx?cas=40467" TargetMode="External"/><Relationship Id="rId25" Type="http://schemas.openxmlformats.org/officeDocument/2006/relationships/hyperlink" Target="https://www.canlii.org/en/on/onsc/doc/2017/2017onsc4741/2017onsc4741.html" TargetMode="External"/><Relationship Id="rId33" Type="http://schemas.openxmlformats.org/officeDocument/2006/relationships/hyperlink" Target="https://www.canlii.org/en/on/onca/doc/2022/2022onca530/2022onca530.html?resultIndex=1" TargetMode="External"/><Relationship Id="rId38" Type="http://schemas.openxmlformats.org/officeDocument/2006/relationships/hyperlink" Target="https://www.canlii.org/en/on/onca/doc/2022/2022onca518/2022onca518.html?autocompleteStr=karkhan&amp;autocompletePos=2" TargetMode="External"/><Relationship Id="rId46" Type="http://schemas.openxmlformats.org/officeDocument/2006/relationships/hyperlink" Target="https://www.canlii.org/en/mb/mbca/doc/2022/2022mbca73/2022mbca73.html?autocompleteStr=2022%20MBCA%2073&amp;autocompletePos=1" TargetMode="External"/><Relationship Id="rId59" Type="http://schemas.openxmlformats.org/officeDocument/2006/relationships/hyperlink" Target="https://canlii.ca/t/js264" TargetMode="External"/><Relationship Id="rId67" Type="http://schemas.openxmlformats.org/officeDocument/2006/relationships/hyperlink" Target="https://canlii.ca/t/j4tcj" TargetMode="External"/><Relationship Id="rId20" Type="http://schemas.openxmlformats.org/officeDocument/2006/relationships/hyperlink" Target="https://www.scc-csc.ca/case-dossier/info/sum-som-eng.aspx?cas=40402" TargetMode="External"/><Relationship Id="rId41" Type="http://schemas.openxmlformats.org/officeDocument/2006/relationships/hyperlink" Target="https://canlii.ca/t/jddlz" TargetMode="External"/><Relationship Id="rId54" Type="http://schemas.openxmlformats.org/officeDocument/2006/relationships/hyperlink" Target="https://www.canlii.org/en/on/onhrt/doc/2019/2019hrto1131/2019hrto1131.html?resultIndex=1" TargetMode="External"/><Relationship Id="rId62" Type="http://schemas.openxmlformats.org/officeDocument/2006/relationships/hyperlink" Target="https://www.canlii.org/en/bc/bcca/doc/2022/2022bcca361/2022bcca361.html?autocompleteStr=2022%20BCCA%20361&amp;autocompletePos=1" TargetMode="External"/><Relationship Id="rId70" Type="http://schemas.openxmlformats.org/officeDocument/2006/relationships/hyperlink" Target="https://canlii.ca/t/j4tcj" TargetMode="External"/><Relationship Id="rId75" Type="http://schemas.openxmlformats.org/officeDocument/2006/relationships/hyperlink" Target="https://www.canlii.org/fr/qc/qcca/doc/2022/2022qcca1155/2022qcca1155.html?autocompleteStr=Loblaw%20Companies%20Limited%20c%20Govan&amp;autocompletePos=8" TargetMode="External"/><Relationship Id="rId83" Type="http://schemas.openxmlformats.org/officeDocument/2006/relationships/hyperlink" Target="https://canlii.ca/t/jrht2" TargetMode="External"/><Relationship Id="rId88" Type="http://schemas.openxmlformats.org/officeDocument/2006/relationships/hyperlink" Target="mailto:comments-commentaires@scc-csc.ca"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40450" TargetMode="External"/><Relationship Id="rId23" Type="http://schemas.openxmlformats.org/officeDocument/2006/relationships/hyperlink" Target="https://www.scc-csc.ca/case-dossier/info/sum-som-fra.aspx?cas=40382" TargetMode="External"/><Relationship Id="rId28" Type="http://schemas.openxmlformats.org/officeDocument/2006/relationships/hyperlink" Target="https://www.canlii.org/en/on/onsc/doc/2017/2017onsc4741/2017onsc4741.html" TargetMode="External"/><Relationship Id="rId36" Type="http://schemas.openxmlformats.org/officeDocument/2006/relationships/hyperlink" Target="https://www.canlii.org/en/on/onca/doc/2022/2022onca530/2022onca530.html?resultIndex=1" TargetMode="External"/><Relationship Id="rId49" Type="http://schemas.openxmlformats.org/officeDocument/2006/relationships/hyperlink" Target="https://www.canlii.org/en/ab/abqb/doc/2021/2021abqb502/2021abqb502.html?autocompleteStr=flock%20estate&amp;autocompletePos=5" TargetMode="External"/><Relationship Id="rId57" Type="http://schemas.openxmlformats.org/officeDocument/2006/relationships/hyperlink" Target="https://www.canlii.org/en/on/onhrt/doc/2019/2019hrto1131/2019hrto1131.html?resultIndex=1" TargetMode="External"/><Relationship Id="rId10" Type="http://schemas.openxmlformats.org/officeDocument/2006/relationships/hyperlink" Target="https://www.scc-csc.ca/case-dossier/info/sum-som-eng.aspx?cas=40411" TargetMode="External"/><Relationship Id="rId31" Type="http://schemas.openxmlformats.org/officeDocument/2006/relationships/hyperlink" Target="https://www.canlii.org/en/on/onsc/doc/2017/2017onsc7252/2017onsc7252.html?resultIndex=1" TargetMode="External"/><Relationship Id="rId44" Type="http://schemas.openxmlformats.org/officeDocument/2006/relationships/hyperlink" Target="https://www.canlii.org/en/mb/mbca/doc/2022/2022mbca73/2022mbca73.html?autocompleteStr=2022%20MBCA%2073&amp;autocompletePos=1" TargetMode="External"/><Relationship Id="rId52" Type="http://schemas.openxmlformats.org/officeDocument/2006/relationships/hyperlink" Target="https://www.canlii.org/en/ab/abca/doc/2022/2022abca229/2022abca229.html?autocompleteStr=flock%20estate%20&amp;autocompletePos=7" TargetMode="External"/><Relationship Id="rId60" Type="http://schemas.openxmlformats.org/officeDocument/2006/relationships/hyperlink" Target="https://canlii.ca/t/js264" TargetMode="External"/><Relationship Id="rId65" Type="http://schemas.openxmlformats.org/officeDocument/2006/relationships/hyperlink" Target="https://canlii.ca/t/jhk4g" TargetMode="External"/><Relationship Id="rId73" Type="http://schemas.openxmlformats.org/officeDocument/2006/relationships/hyperlink" Target="https://www.canlii.org/fr/qc/qccs/doc/2021/2021qccs2060/2021qccs2060.html" TargetMode="External"/><Relationship Id="rId78" Type="http://schemas.openxmlformats.org/officeDocument/2006/relationships/hyperlink" Target="https://www.canlii.org/fr/qc/qcca/doc/2021/2021qcca1914/2021qcca1914.html" TargetMode="External"/><Relationship Id="rId81" Type="http://schemas.openxmlformats.org/officeDocument/2006/relationships/hyperlink" Target="https://www.canlii.org/en/on/onca/doc/2022/2022onca635/2022onca635.html" TargetMode="External"/><Relationship Id="rId86" Type="http://schemas.openxmlformats.org/officeDocument/2006/relationships/hyperlink" Target="https://www.canlii.org/en/ca/fca/doc/2022/2022fca145/2022fca145.html"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40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A136-CE39-482D-8397-6ED3ECB9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14131</Words>
  <Characters>80553</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94496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2023-03-29T13:38:00Z</dcterms:created>
  <dcterms:modified xsi:type="dcterms:W3CDTF">2023-04-18T14:16:00Z</dcterms:modified>
</cp:coreProperties>
</file>