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C03148" w:rsidRDefault="000E391F" w:rsidP="000E391F">
      <w:pPr>
        <w:pStyle w:val="Header"/>
        <w:jc w:val="center"/>
        <w:rPr>
          <w:b/>
          <w:sz w:val="32"/>
          <w:szCs w:val="32"/>
        </w:rPr>
      </w:pPr>
      <w:r w:rsidRPr="00C03148">
        <w:rPr>
          <w:b/>
          <w:sz w:val="32"/>
          <w:szCs w:val="32"/>
        </w:rPr>
        <w:t>Supreme Court of Canada / Cour suprême du Canada</w:t>
      </w:r>
    </w:p>
    <w:p w:rsidR="000E391F" w:rsidRPr="00C03148" w:rsidRDefault="000E391F" w:rsidP="000E391F">
      <w:pPr>
        <w:widowControl w:val="0"/>
        <w:rPr>
          <w:sz w:val="20"/>
        </w:rPr>
      </w:pPr>
    </w:p>
    <w:p w:rsidR="000E391F" w:rsidRPr="00C03148" w:rsidRDefault="000E391F" w:rsidP="000E391F">
      <w:pPr>
        <w:widowControl w:val="0"/>
        <w:rPr>
          <w:i/>
          <w:sz w:val="20"/>
        </w:rPr>
      </w:pPr>
    </w:p>
    <w:p w:rsidR="006F2579" w:rsidRPr="00C03148" w:rsidRDefault="006F2579" w:rsidP="006F2579">
      <w:pPr>
        <w:widowControl w:val="0"/>
        <w:rPr>
          <w:i/>
          <w:sz w:val="20"/>
        </w:rPr>
      </w:pPr>
      <w:r w:rsidRPr="00C03148">
        <w:rPr>
          <w:i/>
          <w:sz w:val="20"/>
        </w:rPr>
        <w:t>(</w:t>
      </w:r>
      <w:r w:rsidR="003240B6" w:rsidRPr="00C03148">
        <w:rPr>
          <w:i/>
          <w:sz w:val="20"/>
        </w:rPr>
        <w:t>L</w:t>
      </w:r>
      <w:r w:rsidRPr="00C03148">
        <w:rPr>
          <w:i/>
          <w:sz w:val="20"/>
        </w:rPr>
        <w:t>e français suit)</w:t>
      </w:r>
    </w:p>
    <w:p w:rsidR="006F2579" w:rsidRPr="00C03148" w:rsidRDefault="006F2579" w:rsidP="006F2579">
      <w:pPr>
        <w:widowControl w:val="0"/>
        <w:rPr>
          <w:sz w:val="20"/>
        </w:rPr>
      </w:pPr>
    </w:p>
    <w:p w:rsidR="006F2579" w:rsidRPr="00C03148" w:rsidRDefault="00B07908" w:rsidP="006F2579">
      <w:pPr>
        <w:widowControl w:val="0"/>
        <w:jc w:val="center"/>
        <w:rPr>
          <w:b/>
          <w:szCs w:val="24"/>
        </w:rPr>
      </w:pPr>
      <w:r w:rsidRPr="00C03148">
        <w:rPr>
          <w:szCs w:val="24"/>
        </w:rPr>
        <w:fldChar w:fldCharType="begin"/>
      </w:r>
      <w:r w:rsidR="006F2579" w:rsidRPr="00C03148">
        <w:rPr>
          <w:szCs w:val="24"/>
        </w:rPr>
        <w:instrText xml:space="preserve"> SEQ CHAPTER \h \r 1</w:instrText>
      </w:r>
      <w:r w:rsidRPr="00C03148">
        <w:rPr>
          <w:szCs w:val="24"/>
        </w:rPr>
        <w:fldChar w:fldCharType="end"/>
      </w:r>
      <w:r w:rsidR="006F2579" w:rsidRPr="00C03148">
        <w:rPr>
          <w:b/>
          <w:szCs w:val="24"/>
        </w:rPr>
        <w:t>JUDGMENT</w:t>
      </w:r>
      <w:r w:rsidR="004F5491" w:rsidRPr="00C03148">
        <w:rPr>
          <w:b/>
          <w:szCs w:val="24"/>
        </w:rPr>
        <w:t>S</w:t>
      </w:r>
      <w:r w:rsidR="006F2579" w:rsidRPr="00C03148">
        <w:rPr>
          <w:b/>
          <w:szCs w:val="24"/>
        </w:rPr>
        <w:t xml:space="preserve"> TO B</w:t>
      </w:r>
      <w:r w:rsidR="00001846" w:rsidRPr="00C03148">
        <w:rPr>
          <w:b/>
          <w:szCs w:val="24"/>
        </w:rPr>
        <w:t>E RENDERED IN LE</w:t>
      </w:r>
      <w:r w:rsidR="00A0288A" w:rsidRPr="00C03148">
        <w:rPr>
          <w:b/>
          <w:szCs w:val="24"/>
        </w:rPr>
        <w:t>A</w:t>
      </w:r>
      <w:r w:rsidR="00001846" w:rsidRPr="00C03148">
        <w:rPr>
          <w:b/>
          <w:szCs w:val="24"/>
        </w:rPr>
        <w:t>VE APPLICATION</w:t>
      </w:r>
      <w:r w:rsidR="004F5491" w:rsidRPr="00C03148">
        <w:rPr>
          <w:b/>
          <w:szCs w:val="24"/>
        </w:rPr>
        <w:t>S</w:t>
      </w:r>
    </w:p>
    <w:p w:rsidR="006F2579" w:rsidRPr="00C03148" w:rsidRDefault="006F2579" w:rsidP="006F2579">
      <w:pPr>
        <w:widowControl w:val="0"/>
        <w:rPr>
          <w:szCs w:val="24"/>
        </w:rPr>
      </w:pPr>
    </w:p>
    <w:p w:rsidR="006F2579" w:rsidRPr="00C03148" w:rsidRDefault="00A80025" w:rsidP="006F2579">
      <w:pPr>
        <w:widowControl w:val="0"/>
        <w:rPr>
          <w:szCs w:val="24"/>
        </w:rPr>
      </w:pPr>
      <w:r w:rsidRPr="00C03148">
        <w:rPr>
          <w:b/>
          <w:szCs w:val="24"/>
        </w:rPr>
        <w:t>April</w:t>
      </w:r>
      <w:r w:rsidR="00A15B66" w:rsidRPr="00C03148">
        <w:rPr>
          <w:b/>
          <w:szCs w:val="24"/>
        </w:rPr>
        <w:t xml:space="preserve"> </w:t>
      </w:r>
      <w:r w:rsidR="002D3AC0" w:rsidRPr="00C03148">
        <w:rPr>
          <w:b/>
          <w:szCs w:val="24"/>
        </w:rPr>
        <w:t>24</w:t>
      </w:r>
      <w:r w:rsidR="004441C7" w:rsidRPr="00C03148">
        <w:rPr>
          <w:b/>
          <w:szCs w:val="24"/>
        </w:rPr>
        <w:t>,</w:t>
      </w:r>
      <w:r w:rsidR="006F2579" w:rsidRPr="00C03148">
        <w:rPr>
          <w:b/>
          <w:szCs w:val="24"/>
        </w:rPr>
        <w:t xml:space="preserve"> </w:t>
      </w:r>
      <w:r w:rsidR="0054689F" w:rsidRPr="00C03148">
        <w:rPr>
          <w:b/>
          <w:szCs w:val="24"/>
        </w:rPr>
        <w:t>20</w:t>
      </w:r>
      <w:r w:rsidR="00526754" w:rsidRPr="00C03148">
        <w:rPr>
          <w:b/>
          <w:szCs w:val="24"/>
        </w:rPr>
        <w:t>2</w:t>
      </w:r>
      <w:r w:rsidR="00534CCB" w:rsidRPr="00C03148">
        <w:rPr>
          <w:b/>
          <w:szCs w:val="24"/>
        </w:rPr>
        <w:t>3</w:t>
      </w:r>
    </w:p>
    <w:p w:rsidR="006F2579" w:rsidRPr="00C03148" w:rsidRDefault="00674F39" w:rsidP="006F2579">
      <w:pPr>
        <w:widowControl w:val="0"/>
        <w:rPr>
          <w:b/>
          <w:szCs w:val="24"/>
        </w:rPr>
      </w:pPr>
      <w:r w:rsidRPr="00C03148">
        <w:rPr>
          <w:b/>
          <w:szCs w:val="24"/>
        </w:rPr>
        <w:t>For immediate release</w:t>
      </w:r>
    </w:p>
    <w:p w:rsidR="006F2579" w:rsidRPr="00C03148" w:rsidRDefault="006F2579" w:rsidP="006F2579">
      <w:pPr>
        <w:widowControl w:val="0"/>
        <w:rPr>
          <w:szCs w:val="24"/>
        </w:rPr>
      </w:pPr>
    </w:p>
    <w:p w:rsidR="006F2579" w:rsidRPr="00C03148" w:rsidRDefault="006F2579" w:rsidP="006F2579">
      <w:pPr>
        <w:widowControl w:val="0"/>
        <w:rPr>
          <w:szCs w:val="24"/>
          <w:lang w:val="fr-CA"/>
        </w:rPr>
      </w:pPr>
      <w:r w:rsidRPr="00C03148">
        <w:rPr>
          <w:b/>
          <w:szCs w:val="24"/>
        </w:rPr>
        <w:t>OTTAWA</w:t>
      </w:r>
      <w:r w:rsidRPr="00C03148">
        <w:rPr>
          <w:szCs w:val="24"/>
        </w:rPr>
        <w:t xml:space="preserve"> – The Supreme Court of Canad</w:t>
      </w:r>
      <w:r w:rsidR="006246E4" w:rsidRPr="00C03148">
        <w:rPr>
          <w:szCs w:val="24"/>
        </w:rPr>
        <w:t>a</w:t>
      </w:r>
      <w:r w:rsidRPr="00C03148">
        <w:rPr>
          <w:szCs w:val="24"/>
        </w:rPr>
        <w:t xml:space="preserve"> announced today that judgment in the following </w:t>
      </w:r>
      <w:r w:rsidR="00DB6199" w:rsidRPr="00C03148">
        <w:rPr>
          <w:szCs w:val="24"/>
        </w:rPr>
        <w:t>leave application</w:t>
      </w:r>
      <w:r w:rsidR="004F5491" w:rsidRPr="00C03148">
        <w:rPr>
          <w:szCs w:val="24"/>
        </w:rPr>
        <w:t>s</w:t>
      </w:r>
      <w:r w:rsidR="00DB6199" w:rsidRPr="00C03148">
        <w:rPr>
          <w:szCs w:val="24"/>
        </w:rPr>
        <w:t xml:space="preserve"> </w:t>
      </w:r>
      <w:r w:rsidRPr="00C03148">
        <w:rPr>
          <w:szCs w:val="24"/>
        </w:rPr>
        <w:t>will be delivere</w:t>
      </w:r>
      <w:r w:rsidR="00CE2C5F" w:rsidRPr="00C03148">
        <w:rPr>
          <w:szCs w:val="24"/>
        </w:rPr>
        <w:t>d</w:t>
      </w:r>
      <w:r w:rsidRPr="00C03148">
        <w:rPr>
          <w:szCs w:val="24"/>
        </w:rPr>
        <w:t xml:space="preserve"> at 9:45 a.m. </w:t>
      </w:r>
      <w:r w:rsidR="00E05816" w:rsidRPr="00C03148">
        <w:rPr>
          <w:szCs w:val="24"/>
        </w:rPr>
        <w:t>E</w:t>
      </w:r>
      <w:r w:rsidR="00A00FDF" w:rsidRPr="00C03148">
        <w:rPr>
          <w:szCs w:val="24"/>
        </w:rPr>
        <w:t>D</w:t>
      </w:r>
      <w:r w:rsidR="00E05816" w:rsidRPr="00C03148">
        <w:rPr>
          <w:szCs w:val="24"/>
        </w:rPr>
        <w:t>T</w:t>
      </w:r>
      <w:r w:rsidRPr="00C03148">
        <w:rPr>
          <w:szCs w:val="24"/>
        </w:rPr>
        <w:t xml:space="preserve"> on </w:t>
      </w:r>
      <w:r w:rsidR="00322A9C" w:rsidRPr="00C03148">
        <w:rPr>
          <w:szCs w:val="24"/>
        </w:rPr>
        <w:t>Thurs</w:t>
      </w:r>
      <w:r w:rsidR="00680A85" w:rsidRPr="00C03148">
        <w:rPr>
          <w:szCs w:val="24"/>
        </w:rPr>
        <w:t>day</w:t>
      </w:r>
      <w:r w:rsidRPr="00C03148">
        <w:rPr>
          <w:szCs w:val="24"/>
        </w:rPr>
        <w:t xml:space="preserve">, </w:t>
      </w:r>
      <w:r w:rsidR="00A80025" w:rsidRPr="00C03148">
        <w:rPr>
          <w:szCs w:val="24"/>
        </w:rPr>
        <w:t>April</w:t>
      </w:r>
      <w:r w:rsidR="00455912" w:rsidRPr="00C03148">
        <w:rPr>
          <w:szCs w:val="24"/>
        </w:rPr>
        <w:t xml:space="preserve"> </w:t>
      </w:r>
      <w:r w:rsidR="00D038C0" w:rsidRPr="00C03148">
        <w:rPr>
          <w:szCs w:val="24"/>
        </w:rPr>
        <w:t>2</w:t>
      </w:r>
      <w:r w:rsidR="002D3AC0" w:rsidRPr="00C03148">
        <w:rPr>
          <w:szCs w:val="24"/>
        </w:rPr>
        <w:t>7</w:t>
      </w:r>
      <w:r w:rsidR="007E112F" w:rsidRPr="00C03148">
        <w:rPr>
          <w:szCs w:val="24"/>
        </w:rPr>
        <w:t>,</w:t>
      </w:r>
      <w:r w:rsidR="002F38D7" w:rsidRPr="00C03148">
        <w:rPr>
          <w:szCs w:val="24"/>
        </w:rPr>
        <w:t xml:space="preserve"> </w:t>
      </w:r>
      <w:r w:rsidR="006648D1" w:rsidRPr="00C03148">
        <w:rPr>
          <w:szCs w:val="24"/>
        </w:rPr>
        <w:t>20</w:t>
      </w:r>
      <w:r w:rsidR="00526754" w:rsidRPr="00C03148">
        <w:rPr>
          <w:szCs w:val="24"/>
        </w:rPr>
        <w:t>2</w:t>
      </w:r>
      <w:r w:rsidR="00534CCB" w:rsidRPr="00C03148">
        <w:rPr>
          <w:szCs w:val="24"/>
        </w:rPr>
        <w:t>3</w:t>
      </w:r>
      <w:r w:rsidRPr="00C03148">
        <w:rPr>
          <w:szCs w:val="24"/>
        </w:rPr>
        <w:t xml:space="preserve">. </w:t>
      </w:r>
      <w:r w:rsidRPr="00C03148">
        <w:rPr>
          <w:szCs w:val="24"/>
          <w:lang w:val="fr-CA"/>
        </w:rPr>
        <w:t>This list is subject to chang</w:t>
      </w:r>
      <w:r w:rsidR="00192F7F" w:rsidRPr="00C03148">
        <w:rPr>
          <w:szCs w:val="24"/>
          <w:lang w:val="fr-CA"/>
        </w:rPr>
        <w:t>e</w:t>
      </w:r>
      <w:r w:rsidRPr="00C03148">
        <w:rPr>
          <w:szCs w:val="24"/>
          <w:lang w:val="fr-CA"/>
        </w:rPr>
        <w:t>.</w:t>
      </w:r>
    </w:p>
    <w:p w:rsidR="00FF5AA4" w:rsidRPr="00C03148" w:rsidRDefault="00FF5AA4" w:rsidP="006F2579">
      <w:pPr>
        <w:widowControl w:val="0"/>
        <w:rPr>
          <w:szCs w:val="24"/>
          <w:lang w:val="fr-CA"/>
        </w:rPr>
      </w:pPr>
    </w:p>
    <w:p w:rsidR="00B43418" w:rsidRPr="00C03148" w:rsidRDefault="00B43418" w:rsidP="006F2579">
      <w:pPr>
        <w:widowControl w:val="0"/>
        <w:rPr>
          <w:szCs w:val="24"/>
          <w:lang w:val="fr-CA"/>
        </w:rPr>
      </w:pPr>
    </w:p>
    <w:p w:rsidR="006F2579" w:rsidRPr="00C03148" w:rsidRDefault="006F2579" w:rsidP="006F2579">
      <w:pPr>
        <w:widowControl w:val="0"/>
        <w:jc w:val="center"/>
        <w:rPr>
          <w:szCs w:val="24"/>
          <w:lang w:val="fr-CA"/>
        </w:rPr>
      </w:pPr>
      <w:r w:rsidRPr="00C03148">
        <w:rPr>
          <w:b/>
          <w:szCs w:val="24"/>
          <w:lang w:val="fr-CA"/>
        </w:rPr>
        <w:t>PROCHAIN</w:t>
      </w:r>
      <w:r w:rsidR="004F5491" w:rsidRPr="00C03148">
        <w:rPr>
          <w:b/>
          <w:szCs w:val="24"/>
          <w:lang w:val="fr-CA"/>
        </w:rPr>
        <w:t>S</w:t>
      </w:r>
      <w:r w:rsidRPr="00C03148">
        <w:rPr>
          <w:b/>
          <w:szCs w:val="24"/>
          <w:lang w:val="fr-CA"/>
        </w:rPr>
        <w:t xml:space="preserve"> JUGEMENT</w:t>
      </w:r>
      <w:r w:rsidR="004F5491" w:rsidRPr="00C03148">
        <w:rPr>
          <w:b/>
          <w:szCs w:val="24"/>
          <w:lang w:val="fr-CA"/>
        </w:rPr>
        <w:t>S</w:t>
      </w:r>
      <w:r w:rsidR="00001846" w:rsidRPr="00C03148">
        <w:rPr>
          <w:b/>
          <w:szCs w:val="24"/>
          <w:lang w:val="fr-CA"/>
        </w:rPr>
        <w:t xml:space="preserve"> SUR DEMANDE</w:t>
      </w:r>
      <w:r w:rsidR="004F5491" w:rsidRPr="00C03148">
        <w:rPr>
          <w:b/>
          <w:szCs w:val="24"/>
          <w:lang w:val="fr-CA"/>
        </w:rPr>
        <w:t>S</w:t>
      </w:r>
      <w:r w:rsidRPr="00C03148">
        <w:rPr>
          <w:b/>
          <w:szCs w:val="24"/>
          <w:lang w:val="fr-CA"/>
        </w:rPr>
        <w:t xml:space="preserve"> D’AUTORISATION</w:t>
      </w:r>
    </w:p>
    <w:p w:rsidR="006F2579" w:rsidRPr="00C03148" w:rsidRDefault="006F2579" w:rsidP="006F2579">
      <w:pPr>
        <w:widowControl w:val="0"/>
        <w:rPr>
          <w:szCs w:val="24"/>
          <w:lang w:val="fr-CA"/>
        </w:rPr>
      </w:pPr>
    </w:p>
    <w:p w:rsidR="006F2579" w:rsidRPr="00C03148" w:rsidRDefault="006F2579" w:rsidP="006F2579">
      <w:pPr>
        <w:widowControl w:val="0"/>
        <w:rPr>
          <w:szCs w:val="24"/>
          <w:lang w:val="fr-CA"/>
        </w:rPr>
      </w:pPr>
      <w:r w:rsidRPr="00C03148">
        <w:rPr>
          <w:b/>
          <w:szCs w:val="24"/>
          <w:lang w:val="fr-CA"/>
        </w:rPr>
        <w:t>Le</w:t>
      </w:r>
      <w:r w:rsidR="00957A76" w:rsidRPr="00C03148">
        <w:rPr>
          <w:b/>
          <w:szCs w:val="24"/>
          <w:lang w:val="fr-CA"/>
        </w:rPr>
        <w:t xml:space="preserve"> </w:t>
      </w:r>
      <w:r w:rsidR="002D3AC0" w:rsidRPr="00C03148">
        <w:rPr>
          <w:b/>
          <w:szCs w:val="24"/>
          <w:lang w:val="fr-CA"/>
        </w:rPr>
        <w:t>24</w:t>
      </w:r>
      <w:r w:rsidR="00FA6BAB" w:rsidRPr="00C03148">
        <w:rPr>
          <w:b/>
          <w:szCs w:val="24"/>
          <w:lang w:val="fr-CA"/>
        </w:rPr>
        <w:t xml:space="preserve"> </w:t>
      </w:r>
      <w:r w:rsidR="00956B11" w:rsidRPr="00C03148">
        <w:rPr>
          <w:b/>
          <w:szCs w:val="24"/>
          <w:lang w:val="fr-CA"/>
        </w:rPr>
        <w:t>a</w:t>
      </w:r>
      <w:r w:rsidR="00A80025" w:rsidRPr="00C03148">
        <w:rPr>
          <w:b/>
          <w:szCs w:val="24"/>
          <w:lang w:val="fr-CA"/>
        </w:rPr>
        <w:t>v</w:t>
      </w:r>
      <w:r w:rsidR="00956B11" w:rsidRPr="00C03148">
        <w:rPr>
          <w:b/>
          <w:szCs w:val="24"/>
          <w:lang w:val="fr-CA"/>
        </w:rPr>
        <w:t>r</w:t>
      </w:r>
      <w:r w:rsidR="00A80025" w:rsidRPr="00C03148">
        <w:rPr>
          <w:b/>
          <w:szCs w:val="24"/>
          <w:lang w:val="fr-CA"/>
        </w:rPr>
        <w:t>il</w:t>
      </w:r>
      <w:r w:rsidR="00A151D1" w:rsidRPr="00C03148">
        <w:rPr>
          <w:b/>
          <w:szCs w:val="24"/>
          <w:lang w:val="fr-CA"/>
        </w:rPr>
        <w:t xml:space="preserve"> 20</w:t>
      </w:r>
      <w:r w:rsidR="00526754" w:rsidRPr="00C03148">
        <w:rPr>
          <w:b/>
          <w:szCs w:val="24"/>
          <w:lang w:val="fr-CA"/>
        </w:rPr>
        <w:t>2</w:t>
      </w:r>
      <w:r w:rsidR="00534CCB" w:rsidRPr="00C03148">
        <w:rPr>
          <w:b/>
          <w:szCs w:val="24"/>
          <w:lang w:val="fr-CA"/>
        </w:rPr>
        <w:t>3</w:t>
      </w:r>
    </w:p>
    <w:p w:rsidR="006F2579" w:rsidRPr="00C03148" w:rsidRDefault="006F2579" w:rsidP="006F2579">
      <w:pPr>
        <w:widowControl w:val="0"/>
        <w:rPr>
          <w:b/>
          <w:szCs w:val="24"/>
          <w:lang w:val="fr-CA"/>
        </w:rPr>
      </w:pPr>
      <w:r w:rsidRPr="00C03148">
        <w:rPr>
          <w:b/>
          <w:szCs w:val="24"/>
          <w:lang w:val="fr-CA"/>
        </w:rPr>
        <w:t>Pour diffusion immédiate</w:t>
      </w:r>
    </w:p>
    <w:p w:rsidR="006F2579" w:rsidRPr="00C03148" w:rsidRDefault="006F2579" w:rsidP="006F2579">
      <w:pPr>
        <w:widowControl w:val="0"/>
        <w:rPr>
          <w:szCs w:val="24"/>
          <w:lang w:val="fr-CA"/>
        </w:rPr>
      </w:pPr>
    </w:p>
    <w:p w:rsidR="006F2579" w:rsidRPr="00C03148" w:rsidRDefault="006F2579" w:rsidP="006F2579">
      <w:pPr>
        <w:widowControl w:val="0"/>
        <w:rPr>
          <w:szCs w:val="24"/>
          <w:lang w:val="fr-CA"/>
        </w:rPr>
      </w:pPr>
      <w:r w:rsidRPr="00C03148">
        <w:rPr>
          <w:b/>
          <w:szCs w:val="24"/>
          <w:lang w:val="fr-CA"/>
        </w:rPr>
        <w:t>OTTAWA</w:t>
      </w:r>
      <w:r w:rsidRPr="00C03148">
        <w:rPr>
          <w:szCs w:val="24"/>
          <w:lang w:val="fr-CA"/>
        </w:rPr>
        <w:t xml:space="preserve"> – La Cour suprême du Canada annonce que jugement ser</w:t>
      </w:r>
      <w:r w:rsidR="004259F9" w:rsidRPr="00C03148">
        <w:rPr>
          <w:szCs w:val="24"/>
          <w:lang w:val="fr-CA"/>
        </w:rPr>
        <w:t>a</w:t>
      </w:r>
      <w:r w:rsidRPr="00C03148">
        <w:rPr>
          <w:szCs w:val="24"/>
          <w:lang w:val="fr-CA"/>
        </w:rPr>
        <w:t xml:space="preserve"> rendu dans l</w:t>
      </w:r>
      <w:r w:rsidR="004F5491" w:rsidRPr="00C03148">
        <w:rPr>
          <w:szCs w:val="24"/>
          <w:lang w:val="fr-CA"/>
        </w:rPr>
        <w:t>es</w:t>
      </w:r>
      <w:r w:rsidRPr="00C03148">
        <w:rPr>
          <w:szCs w:val="24"/>
          <w:lang w:val="fr-CA"/>
        </w:rPr>
        <w:t xml:space="preserve"> demande</w:t>
      </w:r>
      <w:r w:rsidR="004F5491" w:rsidRPr="00C03148">
        <w:rPr>
          <w:szCs w:val="24"/>
          <w:lang w:val="fr-CA"/>
        </w:rPr>
        <w:t>s</w:t>
      </w:r>
      <w:r w:rsidRPr="00C03148">
        <w:rPr>
          <w:szCs w:val="24"/>
          <w:lang w:val="fr-CA"/>
        </w:rPr>
        <w:t xml:space="preserve"> d</w:t>
      </w:r>
      <w:r w:rsidR="00001846" w:rsidRPr="00C03148">
        <w:rPr>
          <w:szCs w:val="24"/>
          <w:lang w:val="fr-CA"/>
        </w:rPr>
        <w:t>’autorisation suivante</w:t>
      </w:r>
      <w:r w:rsidR="004F5491" w:rsidRPr="00C03148">
        <w:rPr>
          <w:szCs w:val="24"/>
          <w:lang w:val="fr-CA"/>
        </w:rPr>
        <w:t>s</w:t>
      </w:r>
      <w:r w:rsidRPr="00C03148">
        <w:rPr>
          <w:szCs w:val="24"/>
          <w:lang w:val="fr-CA"/>
        </w:rPr>
        <w:t xml:space="preserve"> le </w:t>
      </w:r>
      <w:r w:rsidR="00322A9C" w:rsidRPr="00C03148">
        <w:rPr>
          <w:szCs w:val="24"/>
          <w:lang w:val="fr-CA"/>
        </w:rPr>
        <w:t>jeu</w:t>
      </w:r>
      <w:r w:rsidR="00680A85" w:rsidRPr="00C03148">
        <w:rPr>
          <w:szCs w:val="24"/>
          <w:lang w:val="fr-CA"/>
        </w:rPr>
        <w:t>di</w:t>
      </w:r>
      <w:r w:rsidRPr="00C03148">
        <w:rPr>
          <w:szCs w:val="24"/>
          <w:lang w:val="fr-CA"/>
        </w:rPr>
        <w:t xml:space="preserve"> </w:t>
      </w:r>
      <w:r w:rsidR="00D038C0" w:rsidRPr="00C03148">
        <w:rPr>
          <w:szCs w:val="24"/>
          <w:lang w:val="fr-CA"/>
        </w:rPr>
        <w:t>2</w:t>
      </w:r>
      <w:r w:rsidR="002D3AC0" w:rsidRPr="00C03148">
        <w:rPr>
          <w:szCs w:val="24"/>
          <w:lang w:val="fr-CA"/>
        </w:rPr>
        <w:t>7</w:t>
      </w:r>
      <w:r w:rsidR="009E0BD3" w:rsidRPr="00C03148">
        <w:rPr>
          <w:szCs w:val="24"/>
          <w:lang w:val="fr-CA"/>
        </w:rPr>
        <w:t xml:space="preserve"> </w:t>
      </w:r>
      <w:r w:rsidR="008F57B9" w:rsidRPr="00C03148">
        <w:rPr>
          <w:szCs w:val="24"/>
          <w:lang w:val="fr-CA"/>
        </w:rPr>
        <w:t>a</w:t>
      </w:r>
      <w:r w:rsidR="00A80025" w:rsidRPr="00C03148">
        <w:rPr>
          <w:szCs w:val="24"/>
          <w:lang w:val="fr-CA"/>
        </w:rPr>
        <w:t>v</w:t>
      </w:r>
      <w:r w:rsidR="008F57B9" w:rsidRPr="00C03148">
        <w:rPr>
          <w:szCs w:val="24"/>
          <w:lang w:val="fr-CA"/>
        </w:rPr>
        <w:t>r</w:t>
      </w:r>
      <w:r w:rsidR="00A80025" w:rsidRPr="00C03148">
        <w:rPr>
          <w:szCs w:val="24"/>
          <w:lang w:val="fr-CA"/>
        </w:rPr>
        <w:t>il</w:t>
      </w:r>
      <w:r w:rsidR="00694391" w:rsidRPr="00C03148">
        <w:rPr>
          <w:szCs w:val="24"/>
          <w:lang w:val="fr-CA"/>
        </w:rPr>
        <w:t xml:space="preserve"> 2</w:t>
      </w:r>
      <w:r w:rsidR="006648D1" w:rsidRPr="00C03148">
        <w:rPr>
          <w:szCs w:val="24"/>
          <w:lang w:val="fr-CA"/>
        </w:rPr>
        <w:t>0</w:t>
      </w:r>
      <w:r w:rsidR="00526754" w:rsidRPr="00C03148">
        <w:rPr>
          <w:szCs w:val="24"/>
          <w:lang w:val="fr-CA"/>
        </w:rPr>
        <w:t>2</w:t>
      </w:r>
      <w:r w:rsidR="00534CCB" w:rsidRPr="00C03148">
        <w:rPr>
          <w:szCs w:val="24"/>
          <w:lang w:val="fr-CA"/>
        </w:rPr>
        <w:t>3</w:t>
      </w:r>
      <w:r w:rsidRPr="00C03148">
        <w:rPr>
          <w:szCs w:val="24"/>
          <w:lang w:val="fr-CA"/>
        </w:rPr>
        <w:t xml:space="preserve">, à 9 h 45 </w:t>
      </w:r>
      <w:r w:rsidR="000627A2" w:rsidRPr="00C03148">
        <w:rPr>
          <w:szCs w:val="24"/>
          <w:lang w:val="fr-CA"/>
        </w:rPr>
        <w:t>H</w:t>
      </w:r>
      <w:r w:rsidR="00A00FDF" w:rsidRPr="00C03148">
        <w:rPr>
          <w:szCs w:val="24"/>
          <w:lang w:val="fr-CA"/>
        </w:rPr>
        <w:t>A</w:t>
      </w:r>
      <w:r w:rsidRPr="00C03148">
        <w:rPr>
          <w:szCs w:val="24"/>
          <w:lang w:val="fr-CA"/>
        </w:rPr>
        <w:t>E. Cette liste est sujette à modification</w:t>
      </w:r>
      <w:r w:rsidR="00130ADB" w:rsidRPr="00C03148">
        <w:rPr>
          <w:szCs w:val="24"/>
          <w:lang w:val="fr-CA"/>
        </w:rPr>
        <w:t>s</w:t>
      </w:r>
      <w:r w:rsidRPr="00C03148">
        <w:rPr>
          <w:szCs w:val="24"/>
          <w:lang w:val="fr-CA"/>
        </w:rPr>
        <w:t>.</w:t>
      </w:r>
    </w:p>
    <w:p w:rsidR="0080556B" w:rsidRPr="00C03148" w:rsidRDefault="0080556B" w:rsidP="005F2A78">
      <w:pPr>
        <w:widowControl w:val="0"/>
        <w:tabs>
          <w:tab w:val="left" w:pos="3840"/>
        </w:tabs>
        <w:jc w:val="both"/>
        <w:rPr>
          <w:sz w:val="20"/>
          <w:lang w:val="fr-CA"/>
        </w:rPr>
      </w:pPr>
    </w:p>
    <w:p w:rsidR="00867C61" w:rsidRPr="00C03148" w:rsidRDefault="00E66AF5" w:rsidP="009B14F4">
      <w:pPr>
        <w:widowControl w:val="0"/>
        <w:jc w:val="both"/>
        <w:rPr>
          <w:sz w:val="20"/>
        </w:rPr>
      </w:pPr>
      <w:r>
        <w:rPr>
          <w:sz w:val="20"/>
        </w:rPr>
        <w:pict>
          <v:rect id="_x0000_i1025" style="width:2in;height:1pt" o:hrpct="0" o:hralign="center" o:hrstd="t" o:hrnoshade="t" o:hr="t" fillcolor="black [3213]" stroked="f"/>
        </w:pict>
      </w:r>
    </w:p>
    <w:p w:rsidR="003666ED" w:rsidRPr="00C03148" w:rsidRDefault="003666ED" w:rsidP="003666ED">
      <w:pPr>
        <w:tabs>
          <w:tab w:val="left" w:pos="360"/>
        </w:tabs>
        <w:ind w:left="357" w:hanging="357"/>
        <w:rPr>
          <w:sz w:val="20"/>
          <w:lang w:val="fr-CA"/>
        </w:rPr>
      </w:pPr>
    </w:p>
    <w:p w:rsidR="003666ED" w:rsidRPr="00C03148" w:rsidRDefault="003666ED" w:rsidP="003666ED">
      <w:pPr>
        <w:pStyle w:val="ListParagraph"/>
        <w:numPr>
          <w:ilvl w:val="0"/>
          <w:numId w:val="36"/>
        </w:numPr>
        <w:tabs>
          <w:tab w:val="left" w:pos="360"/>
        </w:tabs>
        <w:ind w:left="357" w:hanging="357"/>
        <w:rPr>
          <w:sz w:val="20"/>
          <w:lang w:val="fr-CA"/>
        </w:rPr>
      </w:pPr>
      <w:r w:rsidRPr="00C03148">
        <w:rPr>
          <w:i/>
          <w:sz w:val="20"/>
          <w:lang w:val="fr-CA"/>
        </w:rPr>
        <w:t xml:space="preserve">Ville de Trois-Rivières c. Royal &amp; Sun Alliance du Canada, société d’assurances, </w:t>
      </w:r>
      <w:r w:rsidR="00E92046" w:rsidRPr="00C03148">
        <w:rPr>
          <w:i/>
          <w:sz w:val="20"/>
          <w:lang w:val="fr-CA"/>
        </w:rPr>
        <w:t>et al.</w:t>
      </w:r>
      <w:r w:rsidRPr="00C03148">
        <w:rPr>
          <w:sz w:val="20"/>
          <w:lang w:val="fr-CA"/>
        </w:rPr>
        <w:t xml:space="preserve"> (Qc) (Civile) (Autorisation) (</w:t>
      </w:r>
      <w:hyperlink r:id="rId8" w:history="1">
        <w:r w:rsidRPr="00C03148">
          <w:rPr>
            <w:rStyle w:val="Hyperlink"/>
            <w:sz w:val="20"/>
            <w:szCs w:val="20"/>
            <w:lang w:val="fr-CA"/>
          </w:rPr>
          <w:t>404</w:t>
        </w:r>
        <w:r w:rsidR="00E92046" w:rsidRPr="00C03148">
          <w:rPr>
            <w:rStyle w:val="Hyperlink"/>
            <w:sz w:val="20"/>
            <w:szCs w:val="20"/>
            <w:lang w:val="fr-CA"/>
          </w:rPr>
          <w:t>19</w:t>
        </w:r>
      </w:hyperlink>
      <w:r w:rsidRPr="00C03148">
        <w:rPr>
          <w:sz w:val="20"/>
          <w:lang w:val="fr-CA"/>
        </w:rPr>
        <w:t>)</w:t>
      </w:r>
    </w:p>
    <w:p w:rsidR="003666ED" w:rsidRPr="00C03148" w:rsidRDefault="003666ED" w:rsidP="003666ED">
      <w:pPr>
        <w:tabs>
          <w:tab w:val="left" w:pos="360"/>
        </w:tabs>
        <w:ind w:left="357" w:hanging="357"/>
        <w:rPr>
          <w:sz w:val="20"/>
          <w:lang w:val="fr-CA"/>
        </w:rPr>
      </w:pPr>
    </w:p>
    <w:p w:rsidR="003666ED" w:rsidRPr="00C03148" w:rsidRDefault="003666ED" w:rsidP="003666ED">
      <w:pPr>
        <w:pStyle w:val="ListParagraph"/>
        <w:numPr>
          <w:ilvl w:val="0"/>
          <w:numId w:val="36"/>
        </w:numPr>
        <w:tabs>
          <w:tab w:val="left" w:pos="360"/>
        </w:tabs>
        <w:ind w:left="357" w:hanging="357"/>
        <w:rPr>
          <w:sz w:val="20"/>
        </w:rPr>
      </w:pPr>
      <w:r w:rsidRPr="00C03148">
        <w:rPr>
          <w:i/>
          <w:sz w:val="20"/>
          <w:lang w:val="fr-CA"/>
        </w:rPr>
        <w:t xml:space="preserve">Apotex Inc., </w:t>
      </w:r>
      <w:r w:rsidR="00CE6F60" w:rsidRPr="00C03148">
        <w:rPr>
          <w:i/>
          <w:sz w:val="20"/>
          <w:lang w:val="fr-CA"/>
        </w:rPr>
        <w:t>et al</w:t>
      </w:r>
      <w:r w:rsidRPr="00C03148">
        <w:rPr>
          <w:i/>
          <w:sz w:val="20"/>
          <w:lang w:val="fr-CA"/>
        </w:rPr>
        <w:t xml:space="preserve">. v. Eli Lilly Canada Inc., </w:t>
      </w:r>
      <w:r w:rsidR="00CE6F60" w:rsidRPr="00C03148">
        <w:rPr>
          <w:i/>
          <w:sz w:val="20"/>
          <w:lang w:val="fr-CA"/>
        </w:rPr>
        <w:t>et al.</w:t>
      </w:r>
      <w:r w:rsidRPr="00C03148">
        <w:rPr>
          <w:sz w:val="20"/>
          <w:lang w:val="fr-CA"/>
        </w:rPr>
        <w:t xml:space="preserve"> </w:t>
      </w:r>
      <w:r w:rsidRPr="00C03148">
        <w:rPr>
          <w:sz w:val="20"/>
        </w:rPr>
        <w:t>(Ont.) (Civil) (By Leave) (</w:t>
      </w:r>
      <w:hyperlink r:id="rId9" w:history="1">
        <w:r w:rsidRPr="00C03148">
          <w:rPr>
            <w:rStyle w:val="Hyperlink"/>
            <w:sz w:val="20"/>
            <w:szCs w:val="20"/>
          </w:rPr>
          <w:t>404</w:t>
        </w:r>
        <w:r w:rsidR="00CE6F60" w:rsidRPr="00C03148">
          <w:rPr>
            <w:rStyle w:val="Hyperlink"/>
            <w:sz w:val="20"/>
            <w:szCs w:val="20"/>
          </w:rPr>
          <w:t>20</w:t>
        </w:r>
      </w:hyperlink>
      <w:r w:rsidRPr="00C03148">
        <w:rPr>
          <w:sz w:val="20"/>
        </w:rPr>
        <w:t>)</w:t>
      </w:r>
    </w:p>
    <w:p w:rsidR="003666ED" w:rsidRPr="00C03148" w:rsidRDefault="003666ED" w:rsidP="003666ED">
      <w:pPr>
        <w:tabs>
          <w:tab w:val="left" w:pos="360"/>
        </w:tabs>
        <w:ind w:left="357" w:hanging="357"/>
        <w:rPr>
          <w:sz w:val="20"/>
        </w:rPr>
      </w:pPr>
    </w:p>
    <w:p w:rsidR="003666ED" w:rsidRPr="00C03148" w:rsidRDefault="003666ED" w:rsidP="003666ED">
      <w:pPr>
        <w:pStyle w:val="ListParagraph"/>
        <w:numPr>
          <w:ilvl w:val="0"/>
          <w:numId w:val="36"/>
        </w:numPr>
        <w:tabs>
          <w:tab w:val="left" w:pos="360"/>
        </w:tabs>
        <w:ind w:left="357" w:hanging="357"/>
        <w:rPr>
          <w:sz w:val="20"/>
        </w:rPr>
      </w:pPr>
      <w:r w:rsidRPr="00C03148">
        <w:rPr>
          <w:i/>
          <w:sz w:val="20"/>
        </w:rPr>
        <w:t>Shannon Hancock v. College of Registered Nurses of Manitoba</w:t>
      </w:r>
      <w:r w:rsidRPr="00C03148">
        <w:rPr>
          <w:sz w:val="20"/>
        </w:rPr>
        <w:t xml:space="preserve"> (Man.) (Civil) (By Leave) (</w:t>
      </w:r>
      <w:hyperlink r:id="rId10" w:history="1">
        <w:r w:rsidRPr="00C03148">
          <w:rPr>
            <w:rStyle w:val="Hyperlink"/>
            <w:sz w:val="20"/>
            <w:szCs w:val="20"/>
          </w:rPr>
          <w:t>404</w:t>
        </w:r>
        <w:r w:rsidR="00CE6F60" w:rsidRPr="00C03148">
          <w:rPr>
            <w:rStyle w:val="Hyperlink"/>
            <w:sz w:val="20"/>
            <w:szCs w:val="20"/>
          </w:rPr>
          <w:t>7</w:t>
        </w:r>
        <w:r w:rsidRPr="00C03148">
          <w:rPr>
            <w:rStyle w:val="Hyperlink"/>
            <w:sz w:val="20"/>
            <w:szCs w:val="20"/>
          </w:rPr>
          <w:t>3</w:t>
        </w:r>
      </w:hyperlink>
      <w:r w:rsidRPr="00C03148">
        <w:rPr>
          <w:sz w:val="20"/>
        </w:rPr>
        <w:t>)</w:t>
      </w:r>
    </w:p>
    <w:p w:rsidR="0074008A" w:rsidRPr="00C03148" w:rsidRDefault="0074008A" w:rsidP="00142166">
      <w:pPr>
        <w:jc w:val="both"/>
        <w:rPr>
          <w:sz w:val="20"/>
        </w:rPr>
      </w:pPr>
    </w:p>
    <w:p w:rsidR="0057402C" w:rsidRPr="00C03148" w:rsidRDefault="00E66AF5" w:rsidP="00142166">
      <w:pPr>
        <w:widowControl w:val="0"/>
        <w:jc w:val="both"/>
        <w:rPr>
          <w:sz w:val="20"/>
        </w:rPr>
      </w:pPr>
      <w:r>
        <w:rPr>
          <w:sz w:val="20"/>
        </w:rPr>
        <w:pict>
          <v:rect id="_x0000_i1026" style="width:2in;height:1pt" o:hrpct="0" o:hralign="center" o:hrstd="t" o:hrnoshade="t" o:hr="t" fillcolor="black [3213]" stroked="f"/>
        </w:pict>
      </w:r>
    </w:p>
    <w:p w:rsidR="0014490F" w:rsidRPr="00C03148" w:rsidRDefault="0014490F" w:rsidP="0014216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0780" w:rsidRPr="00C03148" w:rsidTr="00E95A6A">
        <w:tc>
          <w:tcPr>
            <w:tcW w:w="543" w:type="pct"/>
          </w:tcPr>
          <w:p w:rsidR="00FC0780" w:rsidRPr="00C03148" w:rsidRDefault="00FC0780" w:rsidP="00FC0780">
            <w:pPr>
              <w:jc w:val="both"/>
              <w:rPr>
                <w:sz w:val="20"/>
                <w:lang w:val="en-CA"/>
              </w:rPr>
            </w:pPr>
            <w:bookmarkStart w:id="0" w:name="_GoBack"/>
            <w:bookmarkEnd w:id="0"/>
            <w:r w:rsidRPr="00C03148">
              <w:rPr>
                <w:rStyle w:val="SCCFileNumberChar"/>
                <w:sz w:val="20"/>
                <w:szCs w:val="20"/>
              </w:rPr>
              <w:t>40419</w:t>
            </w:r>
          </w:p>
        </w:tc>
        <w:tc>
          <w:tcPr>
            <w:tcW w:w="4457" w:type="pct"/>
            <w:gridSpan w:val="3"/>
          </w:tcPr>
          <w:p w:rsidR="00FC0780" w:rsidRPr="00C03148" w:rsidRDefault="00FC0780" w:rsidP="00FC0780">
            <w:pPr>
              <w:pStyle w:val="SCCLsocParty"/>
              <w:jc w:val="both"/>
              <w:rPr>
                <w:b/>
                <w:sz w:val="20"/>
                <w:szCs w:val="20"/>
                <w:lang w:val="en-CA"/>
              </w:rPr>
            </w:pPr>
            <w:r w:rsidRPr="00C03148">
              <w:rPr>
                <w:b/>
                <w:sz w:val="20"/>
                <w:szCs w:val="20"/>
                <w:lang w:val="en-CA"/>
              </w:rPr>
              <w:t>Ville de Trois-Rivières v. Royal &amp; Sun Alliance Insurance Company of Canada, 9081-1035 Québec inc., carrying on business as Déneigement F.L. inc., Fernand Lamarre</w:t>
            </w:r>
          </w:p>
          <w:p w:rsidR="00FC0780" w:rsidRPr="00C03148" w:rsidRDefault="00FC0780" w:rsidP="00FC0780">
            <w:pPr>
              <w:jc w:val="both"/>
              <w:rPr>
                <w:sz w:val="20"/>
                <w:lang w:val="en-CA"/>
              </w:rPr>
            </w:pPr>
            <w:r w:rsidRPr="00C03148">
              <w:rPr>
                <w:sz w:val="20"/>
                <w:lang w:val="en-CA"/>
              </w:rPr>
              <w:t>(Que.) (Civil) (By Leave)</w:t>
            </w:r>
          </w:p>
        </w:tc>
      </w:tr>
      <w:tr w:rsidR="00FC0780" w:rsidRPr="00C03148" w:rsidTr="00E95A6A">
        <w:tc>
          <w:tcPr>
            <w:tcW w:w="5000" w:type="pct"/>
            <w:gridSpan w:val="4"/>
          </w:tcPr>
          <w:p w:rsidR="00FC0780" w:rsidRPr="00C03148" w:rsidRDefault="00FC0780" w:rsidP="00FC0780">
            <w:pPr>
              <w:jc w:val="both"/>
              <w:rPr>
                <w:sz w:val="20"/>
                <w:lang w:val="en-CA"/>
              </w:rPr>
            </w:pPr>
            <w:proofErr w:type="gramStart"/>
            <w:r w:rsidRPr="00C03148">
              <w:rPr>
                <w:sz w:val="20"/>
                <w:lang w:val="en-CA"/>
              </w:rPr>
              <w:t xml:space="preserve">Municipal law — Civil liability — Damage resulting from intervention of fire safety service during fire — Immunity of municipality from civil liability for damage that may result from its intervention during fire or emergency — Conditions for application of immunity under s. 47 </w:t>
            </w:r>
            <w:r w:rsidRPr="00C03148">
              <w:rPr>
                <w:i/>
                <w:sz w:val="20"/>
                <w:lang w:val="en-CA"/>
              </w:rPr>
              <w:t>F.S.A.</w:t>
            </w:r>
            <w:r w:rsidRPr="00C03148">
              <w:rPr>
                <w:sz w:val="20"/>
                <w:lang w:val="en-CA"/>
              </w:rPr>
              <w:t xml:space="preserve"> in absence of intentional or gross fault — Whether immunity provided for in s. 47 </w:t>
            </w:r>
            <w:r w:rsidRPr="00C03148">
              <w:rPr>
                <w:i/>
                <w:sz w:val="20"/>
                <w:lang w:val="en-CA"/>
              </w:rPr>
              <w:t>F.S.A.</w:t>
            </w:r>
            <w:r w:rsidRPr="00C03148">
              <w:rPr>
                <w:sz w:val="20"/>
                <w:lang w:val="en-CA"/>
              </w:rPr>
              <w:t xml:space="preserve"> should be interpreted broadly as suggested by Justice Simon Ruel, dissenting, and as held by Doyon, Kasirer and Gascon JJ.A.</w:t>
            </w:r>
            <w:proofErr w:type="gramEnd"/>
            <w:r w:rsidRPr="00C03148">
              <w:rPr>
                <w:sz w:val="20"/>
                <w:lang w:val="en-CA"/>
              </w:rPr>
              <w:t xml:space="preserve"> in </w:t>
            </w:r>
            <w:r w:rsidRPr="00C03148">
              <w:rPr>
                <w:i/>
                <w:sz w:val="20"/>
                <w:lang w:val="en-CA"/>
              </w:rPr>
              <w:t>Compagnie canadienne d’assurances générales Lombard v. St</w:t>
            </w:r>
            <w:r w:rsidRPr="00C03148">
              <w:rPr>
                <w:i/>
                <w:sz w:val="20"/>
                <w:lang w:val="en-CA"/>
              </w:rPr>
              <w:noBreakHyphen/>
              <w:t>Jérôme (Ville de)</w:t>
            </w:r>
            <w:r w:rsidRPr="00C03148">
              <w:rPr>
                <w:sz w:val="20"/>
                <w:lang w:val="en-CA"/>
              </w:rPr>
              <w:t xml:space="preserve">, 2013 QCCA 1107, or narrowly as held by Justice France Thibault, writing for majority of Court of Appeal — </w:t>
            </w:r>
            <w:r w:rsidRPr="00C03148">
              <w:rPr>
                <w:i/>
                <w:sz w:val="20"/>
                <w:lang w:val="en-CA"/>
              </w:rPr>
              <w:t>Fire Safety Act</w:t>
            </w:r>
            <w:r w:rsidRPr="00C03148">
              <w:rPr>
                <w:sz w:val="20"/>
                <w:lang w:val="en-CA"/>
              </w:rPr>
              <w:t>, CQLR, c. S-3.4, s. 47.</w:t>
            </w:r>
          </w:p>
        </w:tc>
      </w:tr>
      <w:tr w:rsidR="00FC0780" w:rsidRPr="00C03148" w:rsidTr="00E95A6A">
        <w:tc>
          <w:tcPr>
            <w:tcW w:w="5000" w:type="pct"/>
            <w:gridSpan w:val="4"/>
          </w:tcPr>
          <w:p w:rsidR="00FC0780" w:rsidRPr="00C03148" w:rsidRDefault="00FC0780" w:rsidP="00FC0780">
            <w:pPr>
              <w:jc w:val="both"/>
              <w:rPr>
                <w:sz w:val="20"/>
                <w:lang w:val="en-CA"/>
              </w:rPr>
            </w:pPr>
          </w:p>
        </w:tc>
      </w:tr>
      <w:tr w:rsidR="00FC0780" w:rsidRPr="00C03148" w:rsidTr="00E95A6A">
        <w:tc>
          <w:tcPr>
            <w:tcW w:w="5000" w:type="pct"/>
            <w:gridSpan w:val="4"/>
          </w:tcPr>
          <w:p w:rsidR="00FC0780" w:rsidRPr="00C03148" w:rsidRDefault="00FC0780" w:rsidP="00FC0780">
            <w:pPr>
              <w:jc w:val="both"/>
              <w:rPr>
                <w:sz w:val="20"/>
                <w:lang w:val="en-CA"/>
              </w:rPr>
            </w:pPr>
            <w:r w:rsidRPr="00C03148">
              <w:rPr>
                <w:sz w:val="20"/>
                <w:lang w:val="en-CA"/>
              </w:rPr>
              <w:t xml:space="preserve">On June 22, 2012, a fire broke out in a commercial and industrial sector of Ville de Trois-Rivières. The intervention timeline showed that only 6 firefighters were at the scene of the fire 10 minutes after the alarm </w:t>
            </w:r>
            <w:proofErr w:type="gramStart"/>
            <w:r w:rsidRPr="00C03148">
              <w:rPr>
                <w:sz w:val="20"/>
                <w:lang w:val="en-CA"/>
              </w:rPr>
              <w:t>was transmitted</w:t>
            </w:r>
            <w:proofErr w:type="gramEnd"/>
            <w:r w:rsidRPr="00C03148">
              <w:rPr>
                <w:sz w:val="20"/>
                <w:lang w:val="en-CA"/>
              </w:rPr>
              <w:t xml:space="preserve"> to the safety service. The respondents sued the applicant for $1,174,045.19 as reimbursement for damage incurred </w:t>
            </w:r>
            <w:proofErr w:type="gramStart"/>
            <w:r w:rsidRPr="00C03148">
              <w:rPr>
                <w:sz w:val="20"/>
                <w:lang w:val="en-CA"/>
              </w:rPr>
              <w:t>as a result</w:t>
            </w:r>
            <w:proofErr w:type="gramEnd"/>
            <w:r w:rsidRPr="00C03148">
              <w:rPr>
                <w:sz w:val="20"/>
                <w:lang w:val="en-CA"/>
              </w:rPr>
              <w:t xml:space="preserve"> of the fire. They alleged mainly that the intervention of the applicant’s firefighters had been faulty. The applicant invoked its immunity under s. 47 of the </w:t>
            </w:r>
            <w:r w:rsidRPr="00C03148">
              <w:rPr>
                <w:i/>
                <w:sz w:val="20"/>
                <w:lang w:val="en-CA"/>
              </w:rPr>
              <w:t>Fire Safety Act</w:t>
            </w:r>
            <w:r w:rsidRPr="00C03148">
              <w:rPr>
                <w:sz w:val="20"/>
                <w:lang w:val="en-CA"/>
              </w:rPr>
              <w:t xml:space="preserve">, CQLR, </w:t>
            </w:r>
            <w:proofErr w:type="gramStart"/>
            <w:r w:rsidRPr="00C03148">
              <w:rPr>
                <w:sz w:val="20"/>
                <w:lang w:val="en-CA"/>
              </w:rPr>
              <w:t>c</w:t>
            </w:r>
            <w:proofErr w:type="gramEnd"/>
            <w:r w:rsidRPr="00C03148">
              <w:rPr>
                <w:sz w:val="20"/>
                <w:lang w:val="en-CA"/>
              </w:rPr>
              <w:t>. S-3.4 (“</w:t>
            </w:r>
            <w:r w:rsidRPr="00C03148">
              <w:rPr>
                <w:i/>
                <w:sz w:val="20"/>
                <w:lang w:val="en-CA"/>
              </w:rPr>
              <w:t>F.S.A.</w:t>
            </w:r>
            <w:r w:rsidRPr="00C03148">
              <w:rPr>
                <w:sz w:val="20"/>
                <w:lang w:val="en-CA"/>
              </w:rPr>
              <w:t xml:space="preserve">”). The Quebec Superior Court determined that the applicant’s </w:t>
            </w:r>
            <w:proofErr w:type="gramStart"/>
            <w:r w:rsidRPr="00C03148">
              <w:rPr>
                <w:sz w:val="20"/>
                <w:lang w:val="en-CA"/>
              </w:rPr>
              <w:t>fire safety cover plan</w:t>
            </w:r>
            <w:proofErr w:type="gramEnd"/>
            <w:r w:rsidRPr="00C03148">
              <w:rPr>
                <w:sz w:val="20"/>
                <w:lang w:val="en-CA"/>
              </w:rPr>
              <w:t xml:space="preserve"> had not been complied with and that the applicant had therefore breached its undertakings by not sending 10 firefighters to the scene within 10 minutes after the alarm was transmitted. The court held that the applicant was not immune under s. 47 </w:t>
            </w:r>
            <w:r w:rsidRPr="00C03148">
              <w:rPr>
                <w:i/>
                <w:sz w:val="20"/>
                <w:lang w:val="en-CA"/>
              </w:rPr>
              <w:t>F.S.A.</w:t>
            </w:r>
            <w:r w:rsidRPr="00C03148">
              <w:rPr>
                <w:sz w:val="20"/>
                <w:lang w:val="en-CA"/>
              </w:rPr>
              <w:t xml:space="preserve"> and that it was 25 percent liable for the damage incurred by the respondents. The majority of the Quebec Court of Appeal dismissed the applicant’s appeal, finding that it could not enjoy immunity because it had breached the undertakings made in its plan for the implementation of its fire safety cover plan. However, Ruel J.A., dissenting, would have allowed the appeal. In his view, the applicant was immune under s. 47 </w:t>
            </w:r>
            <w:r w:rsidRPr="00C03148">
              <w:rPr>
                <w:i/>
                <w:sz w:val="20"/>
                <w:lang w:val="en-CA"/>
              </w:rPr>
              <w:t>F.S.A.</w:t>
            </w:r>
          </w:p>
          <w:p w:rsidR="00FC0780" w:rsidRPr="00C03148" w:rsidRDefault="00FC0780" w:rsidP="00FC0780">
            <w:pPr>
              <w:jc w:val="both"/>
              <w:rPr>
                <w:sz w:val="20"/>
                <w:lang w:val="en-CA"/>
              </w:rPr>
            </w:pPr>
          </w:p>
        </w:tc>
      </w:tr>
      <w:tr w:rsidR="00FC0780" w:rsidRPr="00C03148" w:rsidTr="00E95A6A">
        <w:tc>
          <w:tcPr>
            <w:tcW w:w="2427" w:type="pct"/>
            <w:gridSpan w:val="2"/>
          </w:tcPr>
          <w:p w:rsidR="00FC0780" w:rsidRPr="00C03148" w:rsidRDefault="00FC0780" w:rsidP="00FC0780">
            <w:pPr>
              <w:jc w:val="both"/>
              <w:rPr>
                <w:sz w:val="20"/>
                <w:lang w:val="en-CA"/>
              </w:rPr>
            </w:pPr>
            <w:r w:rsidRPr="00C03148">
              <w:rPr>
                <w:sz w:val="20"/>
                <w:lang w:val="en-CA"/>
              </w:rPr>
              <w:t>July 22, 2019</w:t>
            </w:r>
          </w:p>
          <w:p w:rsidR="00FC0780" w:rsidRPr="00C03148" w:rsidRDefault="00FC0780" w:rsidP="00FC0780">
            <w:pPr>
              <w:jc w:val="both"/>
              <w:rPr>
                <w:sz w:val="20"/>
                <w:lang w:val="en-CA"/>
              </w:rPr>
            </w:pPr>
            <w:r w:rsidRPr="00C03148">
              <w:rPr>
                <w:sz w:val="20"/>
                <w:lang w:val="en-CA"/>
              </w:rPr>
              <w:t>Quebec Superior Court</w:t>
            </w:r>
          </w:p>
          <w:p w:rsidR="00FC0780" w:rsidRPr="00C03148" w:rsidRDefault="00FC0780" w:rsidP="00FC0780">
            <w:pPr>
              <w:jc w:val="both"/>
              <w:rPr>
                <w:sz w:val="20"/>
                <w:lang w:val="en-CA"/>
              </w:rPr>
            </w:pPr>
            <w:r w:rsidRPr="00C03148">
              <w:rPr>
                <w:sz w:val="20"/>
                <w:lang w:val="en-CA"/>
              </w:rPr>
              <w:t>(Geoffroy J.)</w:t>
            </w:r>
          </w:p>
          <w:p w:rsidR="00FC0780" w:rsidRPr="00C03148" w:rsidRDefault="00FC0780" w:rsidP="00FC0780">
            <w:pPr>
              <w:jc w:val="both"/>
              <w:rPr>
                <w:sz w:val="20"/>
                <w:lang w:val="en-CA"/>
              </w:rPr>
            </w:pPr>
            <w:r w:rsidRPr="00C03148">
              <w:rPr>
                <w:sz w:val="20"/>
                <w:lang w:val="en-CA"/>
              </w:rPr>
              <w:t>File: 400-17-002977-128</w:t>
            </w:r>
          </w:p>
          <w:p w:rsidR="00FC0780" w:rsidRPr="00C03148" w:rsidRDefault="00E66AF5" w:rsidP="00FC0780">
            <w:pPr>
              <w:jc w:val="both"/>
              <w:rPr>
                <w:sz w:val="20"/>
                <w:lang w:val="en-CA"/>
              </w:rPr>
            </w:pPr>
            <w:hyperlink r:id="rId11" w:history="1">
              <w:r w:rsidR="00FC0780" w:rsidRPr="00C03148">
                <w:rPr>
                  <w:rStyle w:val="Hyperlink"/>
                  <w:sz w:val="20"/>
                  <w:lang w:val="en-CA"/>
                </w:rPr>
                <w:t>2019 QCCS 3181</w:t>
              </w:r>
            </w:hyperlink>
          </w:p>
          <w:p w:rsidR="00FC0780" w:rsidRPr="00C03148" w:rsidRDefault="00FC0780" w:rsidP="00FC0780">
            <w:pPr>
              <w:jc w:val="both"/>
              <w:rPr>
                <w:sz w:val="20"/>
                <w:lang w:val="en-CA"/>
              </w:rPr>
            </w:pPr>
          </w:p>
        </w:tc>
        <w:tc>
          <w:tcPr>
            <w:tcW w:w="243" w:type="pct"/>
          </w:tcPr>
          <w:p w:rsidR="00FC0780" w:rsidRPr="00C03148" w:rsidRDefault="00FC0780" w:rsidP="00FC0780">
            <w:pPr>
              <w:jc w:val="both"/>
              <w:rPr>
                <w:sz w:val="20"/>
                <w:lang w:val="en-CA"/>
              </w:rPr>
            </w:pPr>
          </w:p>
        </w:tc>
        <w:tc>
          <w:tcPr>
            <w:tcW w:w="2330" w:type="pct"/>
          </w:tcPr>
          <w:p w:rsidR="00FC0780" w:rsidRPr="00C03148" w:rsidRDefault="00FC0780" w:rsidP="00FC0780">
            <w:pPr>
              <w:jc w:val="both"/>
              <w:rPr>
                <w:sz w:val="20"/>
                <w:lang w:val="en-CA"/>
              </w:rPr>
            </w:pPr>
            <w:r w:rsidRPr="00C03148">
              <w:rPr>
                <w:sz w:val="20"/>
                <w:lang w:val="en-CA"/>
              </w:rPr>
              <w:t>Applicant found to be liable for 25 percent of damage incurred by respondents</w:t>
            </w:r>
          </w:p>
          <w:p w:rsidR="00FC0780" w:rsidRPr="00C03148" w:rsidRDefault="00FC0780" w:rsidP="00FC0780">
            <w:pPr>
              <w:jc w:val="both"/>
              <w:rPr>
                <w:sz w:val="20"/>
                <w:lang w:val="en-CA"/>
              </w:rPr>
            </w:pPr>
          </w:p>
        </w:tc>
      </w:tr>
      <w:tr w:rsidR="00FC0780" w:rsidRPr="00C03148" w:rsidTr="00E95A6A">
        <w:tc>
          <w:tcPr>
            <w:tcW w:w="2427" w:type="pct"/>
            <w:gridSpan w:val="2"/>
          </w:tcPr>
          <w:p w:rsidR="00FC0780" w:rsidRPr="00C03148" w:rsidRDefault="00FC0780" w:rsidP="00FC0780">
            <w:pPr>
              <w:jc w:val="both"/>
              <w:rPr>
                <w:sz w:val="20"/>
                <w:lang w:val="en-CA"/>
              </w:rPr>
            </w:pPr>
            <w:r w:rsidRPr="00C03148">
              <w:rPr>
                <w:sz w:val="20"/>
                <w:lang w:val="en-CA"/>
              </w:rPr>
              <w:t>August 15, 2022</w:t>
            </w:r>
          </w:p>
          <w:p w:rsidR="00FC0780" w:rsidRPr="00C03148" w:rsidRDefault="00FC0780" w:rsidP="00FC0780">
            <w:pPr>
              <w:jc w:val="both"/>
              <w:rPr>
                <w:sz w:val="20"/>
                <w:lang w:val="en-CA"/>
              </w:rPr>
            </w:pPr>
            <w:r w:rsidRPr="00C03148">
              <w:rPr>
                <w:sz w:val="20"/>
                <w:lang w:val="en-CA"/>
              </w:rPr>
              <w:t>Quebec Court of Appeal (Québec)</w:t>
            </w:r>
          </w:p>
          <w:p w:rsidR="00FC0780" w:rsidRPr="00C03148" w:rsidRDefault="00FC0780" w:rsidP="00FC0780">
            <w:pPr>
              <w:jc w:val="both"/>
              <w:rPr>
                <w:sz w:val="20"/>
                <w:lang w:val="en-CA"/>
              </w:rPr>
            </w:pPr>
            <w:r w:rsidRPr="00C03148">
              <w:rPr>
                <w:sz w:val="20"/>
                <w:lang w:val="en-CA"/>
              </w:rPr>
              <w:t>(Thibault, Bouchard and Ruel (dissenting) JJ.A.)</w:t>
            </w:r>
          </w:p>
          <w:p w:rsidR="00FC0780" w:rsidRPr="00C03148" w:rsidRDefault="00FC0780" w:rsidP="00FC0780">
            <w:pPr>
              <w:jc w:val="both"/>
              <w:rPr>
                <w:sz w:val="20"/>
                <w:lang w:val="en-CA"/>
              </w:rPr>
            </w:pPr>
            <w:r w:rsidRPr="00C03148">
              <w:rPr>
                <w:sz w:val="20"/>
                <w:lang w:val="en-CA"/>
              </w:rPr>
              <w:t>File: 200-09-010083-191</w:t>
            </w:r>
          </w:p>
          <w:p w:rsidR="00FC0780" w:rsidRPr="00C03148" w:rsidRDefault="00E66AF5" w:rsidP="00FC0780">
            <w:pPr>
              <w:jc w:val="both"/>
              <w:rPr>
                <w:sz w:val="20"/>
                <w:lang w:val="en-CA"/>
              </w:rPr>
            </w:pPr>
            <w:hyperlink r:id="rId12" w:history="1">
              <w:r w:rsidR="00FC0780" w:rsidRPr="00C03148">
                <w:rPr>
                  <w:rStyle w:val="Hyperlink"/>
                  <w:sz w:val="20"/>
                  <w:lang w:val="en-CA"/>
                </w:rPr>
                <w:t>2022 QCCA 1105</w:t>
              </w:r>
            </w:hyperlink>
          </w:p>
          <w:p w:rsidR="00FC0780" w:rsidRPr="00C03148" w:rsidRDefault="00FC0780" w:rsidP="00FC0780">
            <w:pPr>
              <w:jc w:val="both"/>
              <w:rPr>
                <w:sz w:val="20"/>
                <w:lang w:val="en-CA"/>
              </w:rPr>
            </w:pPr>
          </w:p>
        </w:tc>
        <w:tc>
          <w:tcPr>
            <w:tcW w:w="243" w:type="pct"/>
          </w:tcPr>
          <w:p w:rsidR="00FC0780" w:rsidRPr="00C03148" w:rsidRDefault="00FC0780" w:rsidP="00FC0780">
            <w:pPr>
              <w:jc w:val="both"/>
              <w:rPr>
                <w:sz w:val="20"/>
                <w:lang w:val="en-CA"/>
              </w:rPr>
            </w:pPr>
          </w:p>
        </w:tc>
        <w:tc>
          <w:tcPr>
            <w:tcW w:w="2330" w:type="pct"/>
          </w:tcPr>
          <w:p w:rsidR="00FC0780" w:rsidRPr="00C03148" w:rsidRDefault="00FC0780" w:rsidP="00FC0780">
            <w:pPr>
              <w:jc w:val="both"/>
              <w:rPr>
                <w:sz w:val="20"/>
                <w:lang w:val="en-CA"/>
              </w:rPr>
            </w:pPr>
            <w:r w:rsidRPr="00C03148">
              <w:rPr>
                <w:sz w:val="20"/>
                <w:lang w:val="en-CA"/>
              </w:rPr>
              <w:t>Appeal dismissed</w:t>
            </w:r>
          </w:p>
          <w:p w:rsidR="00FC0780" w:rsidRPr="00C03148" w:rsidRDefault="00FC0780" w:rsidP="00FC0780">
            <w:pPr>
              <w:jc w:val="both"/>
              <w:rPr>
                <w:sz w:val="20"/>
                <w:lang w:val="en-CA"/>
              </w:rPr>
            </w:pPr>
          </w:p>
        </w:tc>
      </w:tr>
      <w:tr w:rsidR="00FC0780" w:rsidRPr="00C03148" w:rsidTr="00E95A6A">
        <w:tc>
          <w:tcPr>
            <w:tcW w:w="2427" w:type="pct"/>
            <w:gridSpan w:val="2"/>
          </w:tcPr>
          <w:p w:rsidR="00FC0780" w:rsidRPr="00C03148" w:rsidRDefault="00FC0780" w:rsidP="00FC0780">
            <w:pPr>
              <w:jc w:val="both"/>
              <w:rPr>
                <w:sz w:val="20"/>
                <w:lang w:val="en-CA"/>
              </w:rPr>
            </w:pPr>
            <w:r w:rsidRPr="00C03148">
              <w:rPr>
                <w:sz w:val="20"/>
                <w:lang w:val="en-CA"/>
              </w:rPr>
              <w:t>October 14, 2022</w:t>
            </w:r>
          </w:p>
          <w:p w:rsidR="00FC0780" w:rsidRPr="00C03148" w:rsidRDefault="00FC0780" w:rsidP="00FC0780">
            <w:pPr>
              <w:jc w:val="both"/>
              <w:rPr>
                <w:sz w:val="20"/>
                <w:lang w:val="en-CA"/>
              </w:rPr>
            </w:pPr>
            <w:r w:rsidRPr="00C03148">
              <w:rPr>
                <w:sz w:val="20"/>
                <w:lang w:val="en-CA"/>
              </w:rPr>
              <w:t>Supreme Court of Canada</w:t>
            </w:r>
          </w:p>
        </w:tc>
        <w:tc>
          <w:tcPr>
            <w:tcW w:w="243" w:type="pct"/>
          </w:tcPr>
          <w:p w:rsidR="00FC0780" w:rsidRPr="00C03148" w:rsidRDefault="00FC0780" w:rsidP="00FC0780">
            <w:pPr>
              <w:jc w:val="both"/>
              <w:rPr>
                <w:sz w:val="20"/>
                <w:lang w:val="en-CA"/>
              </w:rPr>
            </w:pPr>
          </w:p>
        </w:tc>
        <w:tc>
          <w:tcPr>
            <w:tcW w:w="2330" w:type="pct"/>
          </w:tcPr>
          <w:p w:rsidR="00FC0780" w:rsidRPr="00C03148" w:rsidRDefault="00FC0780" w:rsidP="00FC0780">
            <w:pPr>
              <w:jc w:val="both"/>
              <w:rPr>
                <w:sz w:val="20"/>
                <w:lang w:val="en-CA"/>
              </w:rPr>
            </w:pPr>
            <w:r w:rsidRPr="00C03148">
              <w:rPr>
                <w:sz w:val="20"/>
                <w:lang w:val="en-CA"/>
              </w:rPr>
              <w:t>Application for leave to appeal filed</w:t>
            </w:r>
          </w:p>
          <w:p w:rsidR="00FC0780" w:rsidRPr="00C03148" w:rsidRDefault="00FC0780" w:rsidP="00FC0780">
            <w:pPr>
              <w:jc w:val="both"/>
              <w:rPr>
                <w:sz w:val="20"/>
                <w:lang w:val="en-CA"/>
              </w:rPr>
            </w:pPr>
          </w:p>
        </w:tc>
      </w:tr>
    </w:tbl>
    <w:p w:rsidR="00FC0780" w:rsidRPr="00C03148" w:rsidRDefault="00FC0780" w:rsidP="00FC0780">
      <w:pPr>
        <w:jc w:val="both"/>
        <w:rPr>
          <w:sz w:val="20"/>
          <w:lang w:val="en-CA"/>
        </w:rPr>
      </w:pPr>
    </w:p>
    <w:p w:rsidR="00FC0780" w:rsidRPr="00C03148" w:rsidRDefault="00E66AF5" w:rsidP="00FC0780">
      <w:pPr>
        <w:jc w:val="both"/>
        <w:rPr>
          <w:sz w:val="20"/>
          <w:lang w:val="en-CA"/>
        </w:rPr>
      </w:pPr>
      <w:r>
        <w:rPr>
          <w:sz w:val="20"/>
        </w:rPr>
        <w:pict>
          <v:rect id="_x0000_i1029" style="width:2in;height:1pt" o:hrpct="0" o:hralign="center" o:hrstd="t" o:hrnoshade="t" o:hr="t" fillcolor="black [3213]" stroked="f"/>
        </w:pict>
      </w:r>
    </w:p>
    <w:p w:rsidR="00FC0780" w:rsidRPr="00C03148" w:rsidRDefault="00FC0780" w:rsidP="00FC078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0780" w:rsidRPr="00C03148" w:rsidTr="00E95A6A">
        <w:tc>
          <w:tcPr>
            <w:tcW w:w="543" w:type="pct"/>
          </w:tcPr>
          <w:p w:rsidR="00FC0780" w:rsidRPr="00C03148" w:rsidRDefault="00FC0780" w:rsidP="00FC0780">
            <w:pPr>
              <w:jc w:val="both"/>
              <w:rPr>
                <w:sz w:val="20"/>
              </w:rPr>
            </w:pPr>
            <w:r w:rsidRPr="00C03148">
              <w:rPr>
                <w:rStyle w:val="SCCFileNumberChar"/>
                <w:sz w:val="20"/>
                <w:szCs w:val="20"/>
              </w:rPr>
              <w:t>40419</w:t>
            </w:r>
          </w:p>
        </w:tc>
        <w:tc>
          <w:tcPr>
            <w:tcW w:w="4457" w:type="pct"/>
            <w:gridSpan w:val="3"/>
          </w:tcPr>
          <w:p w:rsidR="00FC0780" w:rsidRPr="00C03148" w:rsidRDefault="00FC0780" w:rsidP="00FC0780">
            <w:pPr>
              <w:pStyle w:val="SCCLsocParty"/>
              <w:jc w:val="both"/>
              <w:rPr>
                <w:b/>
                <w:sz w:val="20"/>
                <w:szCs w:val="20"/>
              </w:rPr>
            </w:pPr>
            <w:r w:rsidRPr="00C03148">
              <w:rPr>
                <w:b/>
                <w:sz w:val="20"/>
                <w:szCs w:val="20"/>
              </w:rPr>
              <w:t>Ville de Trois-Rivières c. Royal &amp; Sun Alliance du Canada, société d’assurances, 9081-1035 Québec inc., faisant affaire sous la raison sociale de Déneigement F.L. inc., Fernand Lamarre</w:t>
            </w:r>
          </w:p>
          <w:p w:rsidR="00FC0780" w:rsidRPr="00C03148" w:rsidRDefault="00FC0780" w:rsidP="00FC0780">
            <w:pPr>
              <w:jc w:val="both"/>
              <w:rPr>
                <w:sz w:val="20"/>
              </w:rPr>
            </w:pPr>
            <w:r w:rsidRPr="00C03148">
              <w:rPr>
                <w:sz w:val="20"/>
              </w:rPr>
              <w:t>(Qc) (Civile) (Autorisation)</w:t>
            </w:r>
          </w:p>
        </w:tc>
      </w:tr>
      <w:tr w:rsidR="00FC0780" w:rsidRPr="00E66AF5" w:rsidTr="00E95A6A">
        <w:tc>
          <w:tcPr>
            <w:tcW w:w="5000" w:type="pct"/>
            <w:gridSpan w:val="4"/>
          </w:tcPr>
          <w:p w:rsidR="00FC0780" w:rsidRPr="00C03148" w:rsidRDefault="00FC0780" w:rsidP="00FC0780">
            <w:pPr>
              <w:jc w:val="both"/>
              <w:rPr>
                <w:sz w:val="20"/>
                <w:lang w:val="fr-CA"/>
              </w:rPr>
            </w:pPr>
            <w:r w:rsidRPr="00C03148">
              <w:rPr>
                <w:sz w:val="20"/>
                <w:lang w:val="fr-CA"/>
              </w:rPr>
              <w:t xml:space="preserve">Droit municipal — Responsabilité civile — Préjudice résultant de l’intervention d’un service de sécurité incendie lors d’un incendie — Immunité de la municipalité contre la responsabilité civile pour le préjudice qui peut résulter de son intervention lors d’un incendie ou d’une situation d’urgence — En l’absence d’une faute intentionnelle ou lourde, quelles sont les conditions d’application de l’immunité prévue à l’art. 47 </w:t>
            </w:r>
            <w:r w:rsidRPr="00C03148">
              <w:rPr>
                <w:i/>
                <w:sz w:val="20"/>
                <w:lang w:val="fr-CA"/>
              </w:rPr>
              <w:t>L.s.i.</w:t>
            </w:r>
            <w:r w:rsidRPr="00C03148">
              <w:rPr>
                <w:sz w:val="20"/>
                <w:lang w:val="fr-CA"/>
              </w:rPr>
              <w:t xml:space="preserve">? — L’immunité prévue à </w:t>
            </w:r>
            <w:r w:rsidRPr="00C03148">
              <w:rPr>
                <w:sz w:val="20"/>
                <w:lang w:val="fr-CA"/>
              </w:rPr>
              <w:lastRenderedPageBreak/>
              <w:t xml:space="preserve">l’art. 47 </w:t>
            </w:r>
            <w:r w:rsidRPr="00C03148">
              <w:rPr>
                <w:i/>
                <w:sz w:val="20"/>
                <w:lang w:val="fr-CA"/>
              </w:rPr>
              <w:t>L.s.i.</w:t>
            </w:r>
            <w:r w:rsidRPr="00C03148">
              <w:rPr>
                <w:sz w:val="20"/>
                <w:lang w:val="fr-CA"/>
              </w:rPr>
              <w:t xml:space="preserve"> doit-elle être interprétée largement, comme le suggère le juge Simon Ruel, dissident, et comme l’ont décidé les juges Doyon, Kasirer et Gascon dans l’affaire </w:t>
            </w:r>
            <w:r w:rsidRPr="00C03148">
              <w:rPr>
                <w:i/>
                <w:sz w:val="20"/>
                <w:lang w:val="fr-CA"/>
              </w:rPr>
              <w:t>Compagnie canadienne d’assurances générales Lombard c. St</w:t>
            </w:r>
            <w:r w:rsidRPr="00C03148">
              <w:rPr>
                <w:i/>
                <w:sz w:val="20"/>
                <w:lang w:val="fr-CA"/>
              </w:rPr>
              <w:noBreakHyphen/>
              <w:t>Jérôme (Ville de)</w:t>
            </w:r>
            <w:r w:rsidRPr="00C03148">
              <w:rPr>
                <w:sz w:val="20"/>
                <w:lang w:val="fr-CA"/>
              </w:rPr>
              <w:t xml:space="preserve">, 2013 QCCA 1107, ou de façon restrictive, comme l’a décidé la juge France Thibault, parlant au nom de la majorité de la Cour d’appel? — </w:t>
            </w:r>
            <w:r w:rsidRPr="00C03148">
              <w:rPr>
                <w:i/>
                <w:sz w:val="20"/>
                <w:lang w:val="fr-CA"/>
              </w:rPr>
              <w:t>Loi sur la sécurité incendie</w:t>
            </w:r>
            <w:r w:rsidRPr="00C03148">
              <w:rPr>
                <w:sz w:val="20"/>
                <w:lang w:val="fr-CA"/>
              </w:rPr>
              <w:t>, RLRQ, c. S-3.4, art. 47.</w:t>
            </w:r>
          </w:p>
        </w:tc>
      </w:tr>
      <w:tr w:rsidR="00FC0780" w:rsidRPr="00E66AF5" w:rsidTr="00E95A6A">
        <w:tc>
          <w:tcPr>
            <w:tcW w:w="5000" w:type="pct"/>
            <w:gridSpan w:val="4"/>
          </w:tcPr>
          <w:p w:rsidR="00FC0780" w:rsidRPr="00C03148" w:rsidRDefault="00FC0780" w:rsidP="00FC0780">
            <w:pPr>
              <w:jc w:val="both"/>
              <w:rPr>
                <w:sz w:val="20"/>
                <w:lang w:val="fr-CA"/>
              </w:rPr>
            </w:pPr>
          </w:p>
        </w:tc>
      </w:tr>
      <w:tr w:rsidR="00FC0780" w:rsidRPr="00E66AF5" w:rsidTr="00E95A6A">
        <w:tc>
          <w:tcPr>
            <w:tcW w:w="5000" w:type="pct"/>
            <w:gridSpan w:val="4"/>
          </w:tcPr>
          <w:p w:rsidR="00FC0780" w:rsidRPr="00C03148" w:rsidRDefault="00FC0780" w:rsidP="00FC0780">
            <w:pPr>
              <w:jc w:val="both"/>
              <w:rPr>
                <w:sz w:val="20"/>
                <w:lang w:val="fr-CA"/>
              </w:rPr>
            </w:pPr>
            <w:r w:rsidRPr="00C03148">
              <w:rPr>
                <w:sz w:val="20"/>
                <w:lang w:val="fr-CA"/>
              </w:rPr>
              <w:t xml:space="preserve">Le 22 juin 2012, un incendie survient dans un secteur commercial et industriel de la Ville de Trois-Rivières. Il ressort de la chronologie de l’intervention qu’il n’y avait que 6 pompiers sur les lieux de l’incendie 10 minutes après la transmission de l’alerte au service d’incendie. Les intimés réclament de la demanderesse une somme de 1 174 045,19 $ en remboursement de dommages subis à la suite de l’incendie. Ils allèguent principalement une intervention fautive des pompiers de la demanderesse qui, pour sa part, invoque l’immunité dont elle bénéficie en vertu de l’art. 47 de la </w:t>
            </w:r>
            <w:r w:rsidRPr="00C03148">
              <w:rPr>
                <w:i/>
                <w:sz w:val="20"/>
                <w:lang w:val="fr-CA"/>
              </w:rPr>
              <w:t>Loi sur la sécurité incendie</w:t>
            </w:r>
            <w:r w:rsidRPr="00C03148">
              <w:rPr>
                <w:sz w:val="20"/>
                <w:lang w:val="fr-CA"/>
              </w:rPr>
              <w:t>, RLRQ, c. S-3.4 (« </w:t>
            </w:r>
            <w:r w:rsidRPr="00C03148">
              <w:rPr>
                <w:i/>
                <w:sz w:val="20"/>
                <w:lang w:val="fr-CA"/>
              </w:rPr>
              <w:t>L.s.i.</w:t>
            </w:r>
            <w:r w:rsidRPr="00C03148">
              <w:rPr>
                <w:sz w:val="20"/>
                <w:lang w:val="fr-CA"/>
              </w:rPr>
              <w:t xml:space="preserve"> »). La Cour supérieure du Québec détermine que le Schéma de couverture de risques de la demanderesse n’a pas été respecté et que la demanderesse a donc manqué à ses engagements en ne déployant pas 10 pompiers sur les lieux dans un délai de 10 minutes à compter du moment où l’alerte a été transmise. La cour conclut que la demanderesse ne bénéficie pas de l’immunité prévue à l’art. 47 </w:t>
            </w:r>
            <w:r w:rsidRPr="00C03148">
              <w:rPr>
                <w:i/>
                <w:sz w:val="20"/>
                <w:lang w:val="fr-CA"/>
              </w:rPr>
              <w:t>L.s.i.</w:t>
            </w:r>
            <w:r w:rsidRPr="00C03148">
              <w:rPr>
                <w:sz w:val="20"/>
                <w:lang w:val="fr-CA"/>
              </w:rPr>
              <w:t xml:space="preserve"> et elle établit à 25 p. 100 la responsabilité de la demanderesse dans les dommages subis par les intimés. Les juges majoritaires de la Cour d’appel du Québec rejettent l’appel de la demanderesse. Ils sont d’avis que la demanderesse ne pouvait bénéficier de l’immunité, car elle a manqué à ses engagements pris dans son P</w:t>
            </w:r>
            <w:r w:rsidRPr="00C03148">
              <w:rPr>
                <w:iCs/>
                <w:sz w:val="20"/>
                <w:lang w:val="fr-CA"/>
              </w:rPr>
              <w:t xml:space="preserve">lan de mise en œuvre </w:t>
            </w:r>
            <w:r w:rsidRPr="00C03148">
              <w:rPr>
                <w:sz w:val="20"/>
                <w:lang w:val="fr-CA"/>
              </w:rPr>
              <w:t xml:space="preserve">du Schéma de couverture de risques. Par contre, le juge Ruel, dissident, aurait accueilli l’appel. Selon lui, la demanderesse bénéficie de l’immunité prévue à l’art. 47 </w:t>
            </w:r>
            <w:r w:rsidRPr="00C03148">
              <w:rPr>
                <w:i/>
                <w:sz w:val="20"/>
                <w:lang w:val="fr-CA"/>
              </w:rPr>
              <w:t>L.s.i.</w:t>
            </w:r>
          </w:p>
          <w:p w:rsidR="00FC0780" w:rsidRPr="00C03148" w:rsidRDefault="00FC0780" w:rsidP="00FC0780">
            <w:pPr>
              <w:jc w:val="both"/>
              <w:rPr>
                <w:sz w:val="20"/>
                <w:lang w:val="fr-CA"/>
              </w:rPr>
            </w:pPr>
          </w:p>
        </w:tc>
      </w:tr>
      <w:tr w:rsidR="00FC0780" w:rsidRPr="00E66AF5" w:rsidTr="00E95A6A">
        <w:tc>
          <w:tcPr>
            <w:tcW w:w="2427" w:type="pct"/>
            <w:gridSpan w:val="2"/>
          </w:tcPr>
          <w:p w:rsidR="00FC0780" w:rsidRPr="00C03148" w:rsidRDefault="00FC0780" w:rsidP="00FC0780">
            <w:pPr>
              <w:jc w:val="both"/>
              <w:rPr>
                <w:sz w:val="20"/>
                <w:lang w:val="fr-CA"/>
              </w:rPr>
            </w:pPr>
            <w:r w:rsidRPr="00C03148">
              <w:rPr>
                <w:sz w:val="20"/>
                <w:lang w:val="fr-CA"/>
              </w:rPr>
              <w:t>Le 22 juillet 2019</w:t>
            </w:r>
          </w:p>
          <w:p w:rsidR="00FC0780" w:rsidRPr="00C03148" w:rsidRDefault="00FC0780" w:rsidP="00FC0780">
            <w:pPr>
              <w:jc w:val="both"/>
              <w:rPr>
                <w:sz w:val="20"/>
                <w:lang w:val="fr-CA"/>
              </w:rPr>
            </w:pPr>
            <w:r w:rsidRPr="00C03148">
              <w:rPr>
                <w:sz w:val="20"/>
                <w:lang w:val="fr-CA"/>
              </w:rPr>
              <w:t>Cour supérieure du Québec</w:t>
            </w:r>
          </w:p>
          <w:p w:rsidR="00FC0780" w:rsidRPr="00C03148" w:rsidRDefault="00FC0780" w:rsidP="00FC0780">
            <w:pPr>
              <w:jc w:val="both"/>
              <w:rPr>
                <w:sz w:val="20"/>
                <w:lang w:val="fr-CA"/>
              </w:rPr>
            </w:pPr>
            <w:r w:rsidRPr="00C03148">
              <w:rPr>
                <w:sz w:val="20"/>
                <w:lang w:val="fr-CA"/>
              </w:rPr>
              <w:t>(Le juge Geoffroy)</w:t>
            </w:r>
          </w:p>
          <w:p w:rsidR="00FC0780" w:rsidRPr="00C03148" w:rsidRDefault="00FC0780" w:rsidP="00FC0780">
            <w:pPr>
              <w:jc w:val="both"/>
              <w:rPr>
                <w:sz w:val="20"/>
                <w:lang w:val="fr-CA"/>
              </w:rPr>
            </w:pPr>
            <w:r w:rsidRPr="00C03148">
              <w:rPr>
                <w:sz w:val="20"/>
                <w:lang w:val="fr-CA"/>
              </w:rPr>
              <w:t>Dossier : 400-17-002977-128</w:t>
            </w:r>
          </w:p>
          <w:p w:rsidR="00FC0780" w:rsidRPr="00C03148" w:rsidRDefault="00E66AF5" w:rsidP="00FC0780">
            <w:pPr>
              <w:jc w:val="both"/>
              <w:rPr>
                <w:sz w:val="20"/>
                <w:lang w:val="fr-CA"/>
              </w:rPr>
            </w:pPr>
            <w:hyperlink r:id="rId13" w:history="1">
              <w:r w:rsidR="00FC0780" w:rsidRPr="00C03148">
                <w:rPr>
                  <w:rStyle w:val="Hyperlink"/>
                  <w:sz w:val="20"/>
                  <w:lang w:val="fr-CA"/>
                </w:rPr>
                <w:t>2019 QCCS 3181</w:t>
              </w:r>
            </w:hyperlink>
          </w:p>
          <w:p w:rsidR="00FC0780" w:rsidRPr="00C03148" w:rsidRDefault="00FC0780" w:rsidP="00FC0780">
            <w:pPr>
              <w:jc w:val="both"/>
              <w:rPr>
                <w:sz w:val="20"/>
                <w:lang w:val="fr-CA"/>
              </w:rPr>
            </w:pPr>
          </w:p>
        </w:tc>
        <w:tc>
          <w:tcPr>
            <w:tcW w:w="243" w:type="pct"/>
          </w:tcPr>
          <w:p w:rsidR="00FC0780" w:rsidRPr="00C03148" w:rsidRDefault="00FC0780" w:rsidP="00FC0780">
            <w:pPr>
              <w:jc w:val="both"/>
              <w:rPr>
                <w:sz w:val="20"/>
                <w:lang w:val="fr-CA"/>
              </w:rPr>
            </w:pPr>
          </w:p>
        </w:tc>
        <w:tc>
          <w:tcPr>
            <w:tcW w:w="2330" w:type="pct"/>
          </w:tcPr>
          <w:p w:rsidR="00FC0780" w:rsidRPr="00C03148" w:rsidRDefault="00FC0780" w:rsidP="00FC0780">
            <w:pPr>
              <w:jc w:val="both"/>
              <w:rPr>
                <w:sz w:val="20"/>
                <w:lang w:val="fr-CA"/>
              </w:rPr>
            </w:pPr>
            <w:r w:rsidRPr="00C03148">
              <w:rPr>
                <w:sz w:val="20"/>
                <w:lang w:val="fr-CA"/>
              </w:rPr>
              <w:t>Déclaration selon laquelle la demanderesse est responsable de 25 p. 100 des dommages subis par les intimés.</w:t>
            </w:r>
          </w:p>
          <w:p w:rsidR="00FC0780" w:rsidRPr="00C03148" w:rsidRDefault="00FC0780" w:rsidP="00FC0780">
            <w:pPr>
              <w:jc w:val="both"/>
              <w:rPr>
                <w:sz w:val="20"/>
                <w:lang w:val="fr-CA"/>
              </w:rPr>
            </w:pPr>
          </w:p>
        </w:tc>
      </w:tr>
      <w:tr w:rsidR="00FC0780" w:rsidRPr="00C03148" w:rsidTr="00E95A6A">
        <w:tc>
          <w:tcPr>
            <w:tcW w:w="2427" w:type="pct"/>
            <w:gridSpan w:val="2"/>
          </w:tcPr>
          <w:p w:rsidR="00FC0780" w:rsidRPr="00C03148" w:rsidRDefault="00FC0780" w:rsidP="00FC0780">
            <w:pPr>
              <w:jc w:val="both"/>
              <w:rPr>
                <w:sz w:val="20"/>
                <w:lang w:val="fr-CA"/>
              </w:rPr>
            </w:pPr>
            <w:r w:rsidRPr="00C03148">
              <w:rPr>
                <w:sz w:val="20"/>
                <w:lang w:val="fr-CA"/>
              </w:rPr>
              <w:t>Le 15 août 2022</w:t>
            </w:r>
          </w:p>
          <w:p w:rsidR="00FC0780" w:rsidRPr="00C03148" w:rsidRDefault="00FC0780" w:rsidP="00FC0780">
            <w:pPr>
              <w:jc w:val="both"/>
              <w:rPr>
                <w:sz w:val="20"/>
                <w:lang w:val="fr-CA"/>
              </w:rPr>
            </w:pPr>
            <w:r w:rsidRPr="00C03148">
              <w:rPr>
                <w:sz w:val="20"/>
                <w:lang w:val="fr-CA"/>
              </w:rPr>
              <w:t>Cour d’appel du Québec (Québec)</w:t>
            </w:r>
          </w:p>
          <w:p w:rsidR="00FC0780" w:rsidRPr="00C03148" w:rsidRDefault="00FC0780" w:rsidP="00FC0780">
            <w:pPr>
              <w:jc w:val="both"/>
              <w:rPr>
                <w:sz w:val="20"/>
                <w:lang w:val="fr-CA"/>
              </w:rPr>
            </w:pPr>
            <w:r w:rsidRPr="00C03148">
              <w:rPr>
                <w:sz w:val="20"/>
                <w:lang w:val="fr-CA"/>
              </w:rPr>
              <w:t>(Les juges Thibault, Bouchard et Ruel [dissident])</w:t>
            </w:r>
          </w:p>
          <w:p w:rsidR="00FC0780" w:rsidRPr="00C03148" w:rsidRDefault="00FC0780" w:rsidP="00FC0780">
            <w:pPr>
              <w:jc w:val="both"/>
              <w:rPr>
                <w:sz w:val="20"/>
              </w:rPr>
            </w:pPr>
            <w:r w:rsidRPr="00C03148">
              <w:rPr>
                <w:sz w:val="20"/>
              </w:rPr>
              <w:t>Dossier : 200-09-010083-191</w:t>
            </w:r>
          </w:p>
          <w:p w:rsidR="00FC0780" w:rsidRPr="00C03148" w:rsidRDefault="00E66AF5" w:rsidP="00FC0780">
            <w:pPr>
              <w:jc w:val="both"/>
              <w:rPr>
                <w:sz w:val="20"/>
              </w:rPr>
            </w:pPr>
            <w:hyperlink r:id="rId14" w:history="1">
              <w:r w:rsidR="00FC0780" w:rsidRPr="00C03148">
                <w:rPr>
                  <w:rStyle w:val="Hyperlink"/>
                  <w:sz w:val="20"/>
                </w:rPr>
                <w:t>2022 QCCA 1105</w:t>
              </w:r>
            </w:hyperlink>
          </w:p>
          <w:p w:rsidR="00FC0780" w:rsidRPr="00C03148" w:rsidRDefault="00FC0780" w:rsidP="00FC0780">
            <w:pPr>
              <w:jc w:val="both"/>
              <w:rPr>
                <w:sz w:val="20"/>
              </w:rPr>
            </w:pPr>
          </w:p>
        </w:tc>
        <w:tc>
          <w:tcPr>
            <w:tcW w:w="243" w:type="pct"/>
          </w:tcPr>
          <w:p w:rsidR="00FC0780" w:rsidRPr="00C03148" w:rsidRDefault="00FC0780" w:rsidP="00FC0780">
            <w:pPr>
              <w:jc w:val="both"/>
              <w:rPr>
                <w:sz w:val="20"/>
              </w:rPr>
            </w:pPr>
          </w:p>
        </w:tc>
        <w:tc>
          <w:tcPr>
            <w:tcW w:w="2330" w:type="pct"/>
          </w:tcPr>
          <w:p w:rsidR="00FC0780" w:rsidRPr="00C03148" w:rsidRDefault="00FC0780" w:rsidP="00FC0780">
            <w:pPr>
              <w:jc w:val="both"/>
              <w:rPr>
                <w:sz w:val="20"/>
              </w:rPr>
            </w:pPr>
            <w:r w:rsidRPr="00C03148">
              <w:rPr>
                <w:sz w:val="20"/>
              </w:rPr>
              <w:t>Appel rejeté.</w:t>
            </w:r>
          </w:p>
          <w:p w:rsidR="00FC0780" w:rsidRPr="00C03148" w:rsidRDefault="00FC0780" w:rsidP="00FC0780">
            <w:pPr>
              <w:jc w:val="both"/>
              <w:rPr>
                <w:sz w:val="20"/>
              </w:rPr>
            </w:pPr>
          </w:p>
        </w:tc>
      </w:tr>
      <w:tr w:rsidR="00FC0780" w:rsidRPr="00C03148" w:rsidTr="00E95A6A">
        <w:tc>
          <w:tcPr>
            <w:tcW w:w="2427" w:type="pct"/>
            <w:gridSpan w:val="2"/>
          </w:tcPr>
          <w:p w:rsidR="00FC0780" w:rsidRPr="00C03148" w:rsidRDefault="00FC0780" w:rsidP="00FC0780">
            <w:pPr>
              <w:jc w:val="both"/>
              <w:rPr>
                <w:sz w:val="20"/>
                <w:lang w:val="fr-CA"/>
              </w:rPr>
            </w:pPr>
            <w:r w:rsidRPr="00C03148">
              <w:rPr>
                <w:sz w:val="20"/>
                <w:lang w:val="fr-CA"/>
              </w:rPr>
              <w:t>Le 14 octobre 2022</w:t>
            </w:r>
          </w:p>
          <w:p w:rsidR="00FC0780" w:rsidRPr="00C03148" w:rsidRDefault="00FC0780" w:rsidP="00FC0780">
            <w:pPr>
              <w:jc w:val="both"/>
              <w:rPr>
                <w:sz w:val="20"/>
                <w:lang w:val="fr-CA"/>
              </w:rPr>
            </w:pPr>
            <w:r w:rsidRPr="00C03148">
              <w:rPr>
                <w:sz w:val="20"/>
                <w:lang w:val="fr-CA"/>
              </w:rPr>
              <w:t>Cour suprême du Canada</w:t>
            </w:r>
          </w:p>
        </w:tc>
        <w:tc>
          <w:tcPr>
            <w:tcW w:w="243" w:type="pct"/>
          </w:tcPr>
          <w:p w:rsidR="00FC0780" w:rsidRPr="00C03148" w:rsidRDefault="00FC0780" w:rsidP="00FC0780">
            <w:pPr>
              <w:jc w:val="both"/>
              <w:rPr>
                <w:sz w:val="20"/>
                <w:lang w:val="fr-CA"/>
              </w:rPr>
            </w:pPr>
          </w:p>
        </w:tc>
        <w:tc>
          <w:tcPr>
            <w:tcW w:w="2330" w:type="pct"/>
          </w:tcPr>
          <w:p w:rsidR="00FC0780" w:rsidRPr="00C03148" w:rsidRDefault="00FC0780" w:rsidP="00FC0780">
            <w:pPr>
              <w:jc w:val="both"/>
              <w:rPr>
                <w:sz w:val="20"/>
              </w:rPr>
            </w:pPr>
            <w:r w:rsidRPr="00C03148">
              <w:rPr>
                <w:sz w:val="20"/>
              </w:rPr>
              <w:t>Demande d’autorisation d’appel déposée.</w:t>
            </w:r>
          </w:p>
          <w:p w:rsidR="00FC0780" w:rsidRPr="00C03148" w:rsidRDefault="00FC0780" w:rsidP="00FC0780">
            <w:pPr>
              <w:jc w:val="both"/>
              <w:rPr>
                <w:sz w:val="20"/>
              </w:rPr>
            </w:pPr>
          </w:p>
        </w:tc>
      </w:tr>
    </w:tbl>
    <w:p w:rsidR="00FC0780" w:rsidRPr="00C03148" w:rsidRDefault="00FC0780" w:rsidP="00FC0780">
      <w:pPr>
        <w:jc w:val="both"/>
        <w:rPr>
          <w:sz w:val="20"/>
        </w:rPr>
      </w:pPr>
    </w:p>
    <w:p w:rsidR="00FC0780" w:rsidRPr="00C03148" w:rsidRDefault="00E66AF5" w:rsidP="00FC0780">
      <w:pPr>
        <w:jc w:val="both"/>
        <w:rPr>
          <w:sz w:val="20"/>
        </w:rPr>
      </w:pPr>
      <w:r>
        <w:rPr>
          <w:sz w:val="20"/>
        </w:rPr>
        <w:pict>
          <v:rect id="_x0000_i1030" style="width:2in;height:1pt" o:hrpct="0" o:hralign="center" o:hrstd="t" o:hrnoshade="t" o:hr="t" fillcolor="black [3213]" stroked="f"/>
        </w:pict>
      </w:r>
    </w:p>
    <w:p w:rsidR="00FC0780" w:rsidRPr="00C03148" w:rsidRDefault="00FC0780" w:rsidP="00FC07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0780" w:rsidRPr="00C03148" w:rsidTr="00E95A6A">
        <w:tc>
          <w:tcPr>
            <w:tcW w:w="543" w:type="pct"/>
          </w:tcPr>
          <w:p w:rsidR="00FC0780" w:rsidRPr="00C03148" w:rsidRDefault="00FC0780" w:rsidP="00FC0780">
            <w:pPr>
              <w:jc w:val="both"/>
              <w:rPr>
                <w:sz w:val="20"/>
              </w:rPr>
            </w:pPr>
            <w:r w:rsidRPr="00C03148">
              <w:rPr>
                <w:rStyle w:val="SCCFileNumberChar"/>
                <w:sz w:val="20"/>
                <w:szCs w:val="20"/>
              </w:rPr>
              <w:t>40420</w:t>
            </w:r>
          </w:p>
        </w:tc>
        <w:tc>
          <w:tcPr>
            <w:tcW w:w="4457" w:type="pct"/>
            <w:gridSpan w:val="3"/>
          </w:tcPr>
          <w:p w:rsidR="00FC0780" w:rsidRPr="00C03148" w:rsidRDefault="00FC0780" w:rsidP="00FC0780">
            <w:pPr>
              <w:pStyle w:val="SCCLsocParty"/>
              <w:jc w:val="both"/>
              <w:rPr>
                <w:b/>
                <w:sz w:val="20"/>
                <w:szCs w:val="20"/>
                <w:lang w:val="en-US"/>
              </w:rPr>
            </w:pPr>
            <w:r w:rsidRPr="00C03148">
              <w:rPr>
                <w:b/>
                <w:sz w:val="20"/>
                <w:szCs w:val="20"/>
                <w:lang w:val="en-US"/>
              </w:rPr>
              <w:t>Apotex Inc., Apotex Pharmachem Inc. v. Eli Lilly Canada Inc., Eli Lilly and Company, Eli Lilly and Company Limited, Eli Lilly SA</w:t>
            </w:r>
          </w:p>
          <w:p w:rsidR="00FC0780" w:rsidRPr="00C03148" w:rsidRDefault="00FC0780" w:rsidP="00FC0780">
            <w:pPr>
              <w:jc w:val="both"/>
              <w:rPr>
                <w:sz w:val="20"/>
              </w:rPr>
            </w:pPr>
            <w:r w:rsidRPr="00C03148">
              <w:rPr>
                <w:sz w:val="20"/>
              </w:rPr>
              <w:t>(Ont.) (Civil) (By Leave)</w:t>
            </w:r>
          </w:p>
        </w:tc>
      </w:tr>
      <w:tr w:rsidR="00FC0780" w:rsidRPr="00C03148" w:rsidTr="00E95A6A">
        <w:tc>
          <w:tcPr>
            <w:tcW w:w="5000" w:type="pct"/>
            <w:gridSpan w:val="4"/>
          </w:tcPr>
          <w:p w:rsidR="00FC0780" w:rsidRPr="00C03148" w:rsidRDefault="00FC0780" w:rsidP="00FC0780">
            <w:pPr>
              <w:jc w:val="both"/>
              <w:rPr>
                <w:sz w:val="20"/>
              </w:rPr>
            </w:pPr>
            <w:r w:rsidRPr="00C03148">
              <w:rPr>
                <w:sz w:val="20"/>
              </w:rPr>
              <w:t>(SEALING ORDER)</w:t>
            </w:r>
          </w:p>
          <w:p w:rsidR="00FC0780" w:rsidRPr="00C03148" w:rsidRDefault="00FC0780" w:rsidP="00FC0780">
            <w:pPr>
              <w:jc w:val="both"/>
              <w:rPr>
                <w:sz w:val="20"/>
              </w:rPr>
            </w:pPr>
          </w:p>
          <w:p w:rsidR="00FC0780" w:rsidRPr="00C03148" w:rsidRDefault="00FC0780" w:rsidP="00FC0780">
            <w:pPr>
              <w:jc w:val="both"/>
              <w:rPr>
                <w:sz w:val="20"/>
              </w:rPr>
            </w:pPr>
            <w:r w:rsidRPr="00C03148">
              <w:rPr>
                <w:sz w:val="20"/>
              </w:rPr>
              <w:t xml:space="preserve">Intellectual property — Patents — Medicines — Whether a patent found to be void can shield the patentee from liability for the harm caused by its unlawful enforcement? — Are causes of action created by federal and provincial statutes and by the common law incapable of redressing the manifest legal and commercial injustice of permitting the unlawful monopolist from retaining its ill-gotten, </w:t>
            </w:r>
            <w:r w:rsidRPr="00C03148">
              <w:rPr>
                <w:i/>
                <w:sz w:val="20"/>
              </w:rPr>
              <w:t>supra</w:t>
            </w:r>
            <w:r w:rsidRPr="00C03148">
              <w:rPr>
                <w:sz w:val="20"/>
              </w:rPr>
              <w:t>-competitive profits?</w:t>
            </w:r>
          </w:p>
        </w:tc>
      </w:tr>
      <w:tr w:rsidR="00FC0780" w:rsidRPr="00C03148" w:rsidTr="00E95A6A">
        <w:tc>
          <w:tcPr>
            <w:tcW w:w="5000" w:type="pct"/>
            <w:gridSpan w:val="4"/>
          </w:tcPr>
          <w:p w:rsidR="00FC0780" w:rsidRPr="00C03148" w:rsidRDefault="00FC0780" w:rsidP="00FC0780">
            <w:pPr>
              <w:jc w:val="both"/>
              <w:rPr>
                <w:sz w:val="20"/>
              </w:rPr>
            </w:pPr>
          </w:p>
          <w:p w:rsidR="00FC0780" w:rsidRPr="00C03148" w:rsidRDefault="00FC0780" w:rsidP="00FC0780">
            <w:pPr>
              <w:ind w:right="56"/>
              <w:jc w:val="both"/>
              <w:rPr>
                <w:sz w:val="20"/>
              </w:rPr>
            </w:pPr>
            <w:r w:rsidRPr="00C03148">
              <w:rPr>
                <w:sz w:val="20"/>
              </w:rPr>
              <w:t xml:space="preserve">The applicants (collectively “Apotex”), a generic drug manufacturer, and the respondents (collectively, “Eli Lilly”), an innovator company, were engaged in litigation over Eli Lilly’s 113 Patent for the drug, Olanzapine, used to treat schizophrenia, anxiety and other disorders. The 113 Patent was declared void </w:t>
            </w:r>
            <w:r w:rsidRPr="00C03148">
              <w:rPr>
                <w:i/>
                <w:sz w:val="20"/>
              </w:rPr>
              <w:t>ab initio</w:t>
            </w:r>
            <w:r w:rsidRPr="00C03148">
              <w:rPr>
                <w:sz w:val="20"/>
              </w:rPr>
              <w:t xml:space="preserve"> in 2011, in an action involving another generic manufacturer. Apotex was unsuccessful in its own prohibition proceedings against Eli Lilly under the </w:t>
            </w:r>
            <w:r w:rsidRPr="00C03148">
              <w:rPr>
                <w:i/>
                <w:sz w:val="20"/>
              </w:rPr>
              <w:t>Patented Medicines (Notice of Compliance) Regulations</w:t>
            </w:r>
            <w:r w:rsidRPr="00C03148">
              <w:rPr>
                <w:sz w:val="20"/>
              </w:rPr>
              <w:t xml:space="preserve">, SOR/93-133, and could not claim s. 8 damages for delayed market entry. In this action, Apotex sought damages under the </w:t>
            </w:r>
            <w:r w:rsidRPr="00C03148">
              <w:rPr>
                <w:i/>
                <w:sz w:val="20"/>
              </w:rPr>
              <w:t>Statute of Monopolies</w:t>
            </w:r>
            <w:r w:rsidRPr="00C03148">
              <w:rPr>
                <w:sz w:val="20"/>
              </w:rPr>
              <w:t xml:space="preserve">, R.S.O. 1897, Ch. 323, the </w:t>
            </w:r>
            <w:r w:rsidRPr="00C03148">
              <w:rPr>
                <w:i/>
                <w:sz w:val="20"/>
              </w:rPr>
              <w:t>Trademarks Act</w:t>
            </w:r>
            <w:r w:rsidRPr="00C03148">
              <w:rPr>
                <w:sz w:val="20"/>
              </w:rPr>
              <w:t>, R.S.C. 1985, c. T-13, and the common law tort of civil conspiracy. Eli Lilly brought a motion for summary judgment to have this action dismissed.</w:t>
            </w:r>
          </w:p>
          <w:p w:rsidR="00FC0780" w:rsidRPr="00C03148" w:rsidRDefault="00FC0780" w:rsidP="00FC0780">
            <w:pPr>
              <w:jc w:val="both"/>
              <w:rPr>
                <w:sz w:val="20"/>
              </w:rPr>
            </w:pPr>
          </w:p>
          <w:p w:rsidR="00FC0780" w:rsidRPr="00C03148" w:rsidRDefault="00FC0780" w:rsidP="00FC0780">
            <w:pPr>
              <w:jc w:val="both"/>
              <w:rPr>
                <w:sz w:val="20"/>
              </w:rPr>
            </w:pPr>
            <w:r w:rsidRPr="00C03148">
              <w:rPr>
                <w:sz w:val="20"/>
              </w:rPr>
              <w:t>The motion judge granted Eli Lilly’s motion. Eli Lilly was awarded partial indemnity costs. These decisions were upheld on appeal.</w:t>
            </w:r>
          </w:p>
        </w:tc>
      </w:tr>
      <w:tr w:rsidR="00FC0780" w:rsidRPr="00C03148" w:rsidTr="00E95A6A">
        <w:tc>
          <w:tcPr>
            <w:tcW w:w="5000" w:type="pct"/>
            <w:gridSpan w:val="4"/>
          </w:tcPr>
          <w:p w:rsidR="00FC0780" w:rsidRPr="00C03148" w:rsidRDefault="00FC0780" w:rsidP="00FC0780">
            <w:pPr>
              <w:jc w:val="both"/>
              <w:rPr>
                <w:sz w:val="20"/>
              </w:rPr>
            </w:pPr>
          </w:p>
        </w:tc>
      </w:tr>
      <w:tr w:rsidR="00FC0780" w:rsidRPr="00C03148" w:rsidTr="00E95A6A">
        <w:tc>
          <w:tcPr>
            <w:tcW w:w="2427" w:type="pct"/>
            <w:gridSpan w:val="2"/>
          </w:tcPr>
          <w:p w:rsidR="00FC0780" w:rsidRPr="00C03148" w:rsidRDefault="00FC0780" w:rsidP="00FC0780">
            <w:pPr>
              <w:jc w:val="both"/>
              <w:rPr>
                <w:sz w:val="20"/>
              </w:rPr>
            </w:pPr>
            <w:r w:rsidRPr="00C03148">
              <w:rPr>
                <w:sz w:val="20"/>
              </w:rPr>
              <w:t>March 8, 2021</w:t>
            </w:r>
          </w:p>
          <w:p w:rsidR="00FC0780" w:rsidRPr="00C03148" w:rsidRDefault="00FC0780" w:rsidP="00FC0780">
            <w:pPr>
              <w:jc w:val="both"/>
              <w:rPr>
                <w:sz w:val="20"/>
              </w:rPr>
            </w:pPr>
            <w:r w:rsidRPr="00C03148">
              <w:rPr>
                <w:sz w:val="20"/>
              </w:rPr>
              <w:t>Ontario Superior Court of Justice</w:t>
            </w:r>
          </w:p>
          <w:p w:rsidR="00FC0780" w:rsidRPr="00C03148" w:rsidRDefault="00FC0780" w:rsidP="00FC0780">
            <w:pPr>
              <w:jc w:val="both"/>
              <w:rPr>
                <w:sz w:val="20"/>
              </w:rPr>
            </w:pPr>
            <w:r w:rsidRPr="00C03148">
              <w:rPr>
                <w:sz w:val="20"/>
              </w:rPr>
              <w:t>(Schabas J.)</w:t>
            </w:r>
          </w:p>
          <w:p w:rsidR="00FC0780" w:rsidRPr="00C03148" w:rsidRDefault="00E66AF5" w:rsidP="00FC0780">
            <w:pPr>
              <w:jc w:val="both"/>
              <w:rPr>
                <w:sz w:val="20"/>
              </w:rPr>
            </w:pPr>
            <w:hyperlink r:id="rId15" w:history="1">
              <w:r w:rsidR="00FC0780" w:rsidRPr="00C03148">
                <w:rPr>
                  <w:rStyle w:val="Hyperlink"/>
                  <w:sz w:val="20"/>
                </w:rPr>
                <w:t>2021 ONSC 1588</w:t>
              </w:r>
            </w:hyperlink>
          </w:p>
          <w:p w:rsidR="00FC0780" w:rsidRPr="00C03148" w:rsidRDefault="00FC0780" w:rsidP="00FC0780">
            <w:pPr>
              <w:jc w:val="both"/>
              <w:rPr>
                <w:sz w:val="20"/>
              </w:rPr>
            </w:pPr>
          </w:p>
        </w:tc>
        <w:tc>
          <w:tcPr>
            <w:tcW w:w="243" w:type="pct"/>
          </w:tcPr>
          <w:p w:rsidR="00FC0780" w:rsidRPr="00C03148" w:rsidRDefault="00FC0780" w:rsidP="00FC0780">
            <w:pPr>
              <w:jc w:val="both"/>
              <w:rPr>
                <w:sz w:val="20"/>
              </w:rPr>
            </w:pPr>
          </w:p>
        </w:tc>
        <w:tc>
          <w:tcPr>
            <w:tcW w:w="2330" w:type="pct"/>
          </w:tcPr>
          <w:p w:rsidR="00FC0780" w:rsidRPr="00C03148" w:rsidRDefault="00FC0780" w:rsidP="00FC0780">
            <w:pPr>
              <w:jc w:val="both"/>
              <w:rPr>
                <w:sz w:val="20"/>
              </w:rPr>
            </w:pPr>
            <w:r w:rsidRPr="00C03148">
              <w:rPr>
                <w:sz w:val="20"/>
              </w:rPr>
              <w:t>Respondents’ motion for summary judgment granted; Applicants’ action dismissed.</w:t>
            </w:r>
          </w:p>
          <w:p w:rsidR="00FC0780" w:rsidRPr="00C03148" w:rsidRDefault="00FC0780" w:rsidP="00FC0780">
            <w:pPr>
              <w:jc w:val="both"/>
              <w:rPr>
                <w:sz w:val="20"/>
              </w:rPr>
            </w:pPr>
          </w:p>
          <w:p w:rsidR="00FC0780" w:rsidRPr="00C03148" w:rsidRDefault="00FC0780" w:rsidP="00FC0780">
            <w:pPr>
              <w:jc w:val="both"/>
              <w:rPr>
                <w:sz w:val="20"/>
              </w:rPr>
            </w:pPr>
          </w:p>
        </w:tc>
      </w:tr>
      <w:tr w:rsidR="00FC0780" w:rsidRPr="00C03148" w:rsidTr="00E95A6A">
        <w:tc>
          <w:tcPr>
            <w:tcW w:w="2427" w:type="pct"/>
            <w:gridSpan w:val="2"/>
          </w:tcPr>
          <w:p w:rsidR="00FC0780" w:rsidRPr="00C03148" w:rsidRDefault="00FC0780" w:rsidP="00FC0780">
            <w:pPr>
              <w:jc w:val="both"/>
              <w:rPr>
                <w:sz w:val="20"/>
              </w:rPr>
            </w:pPr>
            <w:r w:rsidRPr="00C03148">
              <w:rPr>
                <w:sz w:val="20"/>
              </w:rPr>
              <w:t>August 29, 2022</w:t>
            </w:r>
          </w:p>
          <w:p w:rsidR="00FC0780" w:rsidRPr="00C03148" w:rsidRDefault="00FC0780" w:rsidP="00FC0780">
            <w:pPr>
              <w:jc w:val="both"/>
              <w:rPr>
                <w:sz w:val="20"/>
              </w:rPr>
            </w:pPr>
            <w:r w:rsidRPr="00C03148">
              <w:rPr>
                <w:sz w:val="20"/>
              </w:rPr>
              <w:t>Court of Appeal for Ontario</w:t>
            </w:r>
          </w:p>
          <w:p w:rsidR="00FC0780" w:rsidRPr="00C03148" w:rsidRDefault="00FC0780" w:rsidP="00FC0780">
            <w:pPr>
              <w:jc w:val="both"/>
              <w:rPr>
                <w:sz w:val="20"/>
              </w:rPr>
            </w:pPr>
            <w:r w:rsidRPr="00C03148">
              <w:rPr>
                <w:sz w:val="20"/>
              </w:rPr>
              <w:t>(Strathy, Roberts and Sossin JJ.A.)</w:t>
            </w:r>
          </w:p>
          <w:p w:rsidR="00FC0780" w:rsidRPr="00C03148" w:rsidRDefault="00E66AF5" w:rsidP="00FC0780">
            <w:pPr>
              <w:jc w:val="both"/>
              <w:rPr>
                <w:sz w:val="20"/>
              </w:rPr>
            </w:pPr>
            <w:hyperlink r:id="rId16" w:history="1">
              <w:r w:rsidR="00FC0780" w:rsidRPr="00C03148">
                <w:rPr>
                  <w:rStyle w:val="Hyperlink"/>
                  <w:sz w:val="20"/>
                </w:rPr>
                <w:t>2022 ONCA 587</w:t>
              </w:r>
            </w:hyperlink>
          </w:p>
          <w:p w:rsidR="00FC0780" w:rsidRPr="00C03148" w:rsidRDefault="00FC0780" w:rsidP="00FC0780">
            <w:pPr>
              <w:jc w:val="both"/>
              <w:rPr>
                <w:sz w:val="20"/>
              </w:rPr>
            </w:pPr>
          </w:p>
        </w:tc>
        <w:tc>
          <w:tcPr>
            <w:tcW w:w="243" w:type="pct"/>
          </w:tcPr>
          <w:p w:rsidR="00FC0780" w:rsidRPr="00C03148" w:rsidRDefault="00FC0780" w:rsidP="00FC0780">
            <w:pPr>
              <w:jc w:val="both"/>
              <w:rPr>
                <w:sz w:val="20"/>
              </w:rPr>
            </w:pPr>
          </w:p>
        </w:tc>
        <w:tc>
          <w:tcPr>
            <w:tcW w:w="2330" w:type="pct"/>
          </w:tcPr>
          <w:p w:rsidR="00FC0780" w:rsidRPr="00C03148" w:rsidRDefault="00FC0780" w:rsidP="00FC0780">
            <w:pPr>
              <w:jc w:val="both"/>
              <w:rPr>
                <w:sz w:val="20"/>
              </w:rPr>
            </w:pPr>
            <w:r w:rsidRPr="00C03148">
              <w:rPr>
                <w:sz w:val="20"/>
              </w:rPr>
              <w:t>Applicants’ appeal dismissed</w:t>
            </w:r>
          </w:p>
          <w:p w:rsidR="00FC0780" w:rsidRPr="00C03148" w:rsidRDefault="00FC0780" w:rsidP="00FC0780">
            <w:pPr>
              <w:jc w:val="both"/>
              <w:rPr>
                <w:sz w:val="20"/>
              </w:rPr>
            </w:pPr>
          </w:p>
        </w:tc>
      </w:tr>
      <w:tr w:rsidR="00FC0780" w:rsidRPr="00C03148" w:rsidTr="00E95A6A">
        <w:tc>
          <w:tcPr>
            <w:tcW w:w="2427" w:type="pct"/>
            <w:gridSpan w:val="2"/>
          </w:tcPr>
          <w:p w:rsidR="00FC0780" w:rsidRPr="00C03148" w:rsidRDefault="00FC0780" w:rsidP="00FC0780">
            <w:pPr>
              <w:jc w:val="both"/>
              <w:rPr>
                <w:sz w:val="20"/>
              </w:rPr>
            </w:pPr>
            <w:r w:rsidRPr="00C03148">
              <w:rPr>
                <w:sz w:val="20"/>
              </w:rPr>
              <w:t>October 17, 2022</w:t>
            </w:r>
          </w:p>
          <w:p w:rsidR="00FC0780" w:rsidRPr="00C03148" w:rsidRDefault="00FC0780" w:rsidP="00FC0780">
            <w:pPr>
              <w:jc w:val="both"/>
              <w:rPr>
                <w:sz w:val="20"/>
              </w:rPr>
            </w:pPr>
            <w:r w:rsidRPr="00C03148">
              <w:rPr>
                <w:sz w:val="20"/>
              </w:rPr>
              <w:t>Supreme Court of Canada</w:t>
            </w:r>
          </w:p>
        </w:tc>
        <w:tc>
          <w:tcPr>
            <w:tcW w:w="243" w:type="pct"/>
          </w:tcPr>
          <w:p w:rsidR="00FC0780" w:rsidRPr="00C03148" w:rsidRDefault="00FC0780" w:rsidP="00FC0780">
            <w:pPr>
              <w:jc w:val="both"/>
              <w:rPr>
                <w:sz w:val="20"/>
              </w:rPr>
            </w:pPr>
          </w:p>
        </w:tc>
        <w:tc>
          <w:tcPr>
            <w:tcW w:w="2330" w:type="pct"/>
          </w:tcPr>
          <w:p w:rsidR="00FC0780" w:rsidRPr="00C03148" w:rsidRDefault="00FC0780" w:rsidP="00FC0780">
            <w:pPr>
              <w:jc w:val="both"/>
              <w:rPr>
                <w:sz w:val="20"/>
              </w:rPr>
            </w:pPr>
            <w:r w:rsidRPr="00C03148">
              <w:rPr>
                <w:sz w:val="20"/>
              </w:rPr>
              <w:t>Application for leave to appeal filed</w:t>
            </w:r>
          </w:p>
          <w:p w:rsidR="00FC0780" w:rsidRPr="00C03148" w:rsidRDefault="00FC0780" w:rsidP="00FC0780">
            <w:pPr>
              <w:jc w:val="both"/>
              <w:rPr>
                <w:sz w:val="20"/>
              </w:rPr>
            </w:pPr>
          </w:p>
        </w:tc>
      </w:tr>
    </w:tbl>
    <w:p w:rsidR="00FC0780" w:rsidRPr="00C03148" w:rsidRDefault="00FC0780" w:rsidP="00FC0780">
      <w:pPr>
        <w:jc w:val="both"/>
        <w:rPr>
          <w:sz w:val="20"/>
        </w:rPr>
      </w:pPr>
    </w:p>
    <w:p w:rsidR="00FC0780" w:rsidRPr="00C03148" w:rsidRDefault="00E66AF5" w:rsidP="00FC0780">
      <w:pPr>
        <w:jc w:val="both"/>
        <w:rPr>
          <w:sz w:val="20"/>
        </w:rPr>
      </w:pPr>
      <w:r>
        <w:rPr>
          <w:sz w:val="20"/>
        </w:rPr>
        <w:pict>
          <v:rect id="_x0000_i1031" style="width:2in;height:1pt" o:hrpct="0" o:hralign="center" o:hrstd="t" o:hrnoshade="t" o:hr="t" fillcolor="black [3213]" stroked="f"/>
        </w:pict>
      </w:r>
    </w:p>
    <w:p w:rsidR="00FC0780" w:rsidRPr="00C03148" w:rsidRDefault="00FC0780" w:rsidP="00FC07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0780" w:rsidRPr="00C03148" w:rsidTr="004F472A">
        <w:tc>
          <w:tcPr>
            <w:tcW w:w="543" w:type="pct"/>
          </w:tcPr>
          <w:p w:rsidR="00FC0780" w:rsidRPr="00C03148" w:rsidRDefault="00FC0780" w:rsidP="00FC0780">
            <w:pPr>
              <w:jc w:val="both"/>
              <w:rPr>
                <w:sz w:val="20"/>
              </w:rPr>
            </w:pPr>
            <w:r w:rsidRPr="00C03148">
              <w:rPr>
                <w:rStyle w:val="SCCFileNumberChar"/>
                <w:sz w:val="20"/>
                <w:szCs w:val="20"/>
              </w:rPr>
              <w:t>40420</w:t>
            </w:r>
          </w:p>
        </w:tc>
        <w:tc>
          <w:tcPr>
            <w:tcW w:w="4457" w:type="pct"/>
            <w:gridSpan w:val="3"/>
          </w:tcPr>
          <w:p w:rsidR="00FC0780" w:rsidRPr="00C03148" w:rsidRDefault="00FC0780" w:rsidP="00FC0780">
            <w:pPr>
              <w:pStyle w:val="SCCLsocParty"/>
              <w:jc w:val="both"/>
              <w:rPr>
                <w:b/>
                <w:sz w:val="20"/>
                <w:szCs w:val="20"/>
                <w:lang w:val="en-US"/>
              </w:rPr>
            </w:pPr>
            <w:r w:rsidRPr="00C03148">
              <w:rPr>
                <w:b/>
                <w:sz w:val="20"/>
                <w:szCs w:val="20"/>
                <w:lang w:val="en-US"/>
              </w:rPr>
              <w:t>Apotex Inc., Apotex Pharmachem Inc. c. Eli Lilly Canada Inc., Eli Lilly and Company, Eli Lilly and Company Limited, Eli Lilly SA</w:t>
            </w:r>
          </w:p>
          <w:p w:rsidR="00FC0780" w:rsidRPr="00C03148" w:rsidRDefault="00FC0780" w:rsidP="00FC0780">
            <w:pPr>
              <w:jc w:val="both"/>
              <w:rPr>
                <w:sz w:val="20"/>
              </w:rPr>
            </w:pPr>
            <w:r w:rsidRPr="00C03148">
              <w:rPr>
                <w:sz w:val="20"/>
              </w:rPr>
              <w:t>(Ont.) (Civile) (Autorisation)</w:t>
            </w:r>
          </w:p>
        </w:tc>
      </w:tr>
      <w:tr w:rsidR="00FC0780" w:rsidRPr="00E66AF5" w:rsidTr="004F472A">
        <w:tc>
          <w:tcPr>
            <w:tcW w:w="5000" w:type="pct"/>
            <w:gridSpan w:val="4"/>
          </w:tcPr>
          <w:p w:rsidR="00FC0780" w:rsidRPr="00C03148" w:rsidRDefault="00FC0780" w:rsidP="00FC0780">
            <w:pPr>
              <w:jc w:val="both"/>
              <w:rPr>
                <w:sz w:val="20"/>
                <w:lang w:val="fr-CA"/>
              </w:rPr>
            </w:pPr>
            <w:r w:rsidRPr="00C03148">
              <w:rPr>
                <w:sz w:val="20"/>
                <w:lang w:val="fr-CA"/>
              </w:rPr>
              <w:t>(</w:t>
            </w:r>
            <w:r w:rsidRPr="00C03148">
              <w:rPr>
                <w:caps/>
                <w:sz w:val="20"/>
                <w:lang w:val="fr-CA"/>
              </w:rPr>
              <w:t>ordonnance de mise sous scellés</w:t>
            </w:r>
            <w:r w:rsidRPr="00C03148">
              <w:rPr>
                <w:sz w:val="20"/>
                <w:lang w:val="fr-CA"/>
              </w:rPr>
              <w:t>)</w:t>
            </w:r>
          </w:p>
          <w:p w:rsidR="00FC0780" w:rsidRPr="00C03148" w:rsidRDefault="00FC0780" w:rsidP="00FC0780">
            <w:pPr>
              <w:jc w:val="both"/>
              <w:rPr>
                <w:sz w:val="20"/>
                <w:lang w:val="fr-CA"/>
              </w:rPr>
            </w:pPr>
          </w:p>
          <w:p w:rsidR="00FC0780" w:rsidRPr="00C03148" w:rsidRDefault="00FC0780" w:rsidP="00FC0780">
            <w:pPr>
              <w:jc w:val="both"/>
              <w:rPr>
                <w:sz w:val="20"/>
                <w:lang w:val="fr-CA"/>
              </w:rPr>
            </w:pPr>
            <w:r w:rsidRPr="00C03148">
              <w:rPr>
                <w:sz w:val="20"/>
                <w:lang w:val="fr-CA"/>
              </w:rPr>
              <w:t>Propriété intellectuelle — Brevets — Médicaments — Un brevet déclaré nul peut-il protéger son titulaire contre une action en responsabilité en raison du préjudice causé par sa mise en application illicite? — Les causes d’action créées par des lois fédérales, provinciales, et par la common law sont</w:t>
            </w:r>
            <w:r w:rsidRPr="00C03148">
              <w:rPr>
                <w:sz w:val="20"/>
                <w:lang w:val="fr-CA"/>
              </w:rPr>
              <w:noBreakHyphen/>
              <w:t>elles inefficaces quand il s’agit de réparer l’injustice juridique et commerciale manifeste consistant à permettre le monopole illicite de la rétention mal acquise de profits supra</w:t>
            </w:r>
            <w:r w:rsidRPr="00C03148">
              <w:rPr>
                <w:sz w:val="20"/>
                <w:lang w:val="fr-CA"/>
              </w:rPr>
              <w:noBreakHyphen/>
              <w:t xml:space="preserve">concurrentiels? </w:t>
            </w:r>
          </w:p>
        </w:tc>
      </w:tr>
      <w:tr w:rsidR="00FC0780" w:rsidRPr="00C03148" w:rsidTr="004F472A">
        <w:tc>
          <w:tcPr>
            <w:tcW w:w="5000" w:type="pct"/>
            <w:gridSpan w:val="4"/>
          </w:tcPr>
          <w:p w:rsidR="00FC0780" w:rsidRPr="00C03148" w:rsidRDefault="00FC0780" w:rsidP="00FC0780">
            <w:pPr>
              <w:jc w:val="both"/>
              <w:rPr>
                <w:sz w:val="20"/>
                <w:lang w:val="fr-CA"/>
              </w:rPr>
            </w:pPr>
          </w:p>
          <w:p w:rsidR="00FC0780" w:rsidRPr="00C03148" w:rsidRDefault="00FC0780" w:rsidP="00FC0780">
            <w:pPr>
              <w:jc w:val="both"/>
              <w:rPr>
                <w:sz w:val="20"/>
                <w:lang w:val="fr-CA"/>
              </w:rPr>
            </w:pPr>
            <w:r w:rsidRPr="00C03148">
              <w:rPr>
                <w:sz w:val="20"/>
                <w:lang w:val="fr-CA"/>
              </w:rPr>
              <w:t xml:space="preserve">Les demanderesses (collectivement « Apotex »), des fabricantes de médicaments génériques, et les défenderesses (collectivement « Eli Lilly »), des sociétés innovatrices, avaient un litige relativement au brevet 113 dont Eli Lilly était titulaire et qui visait le médicament Olanzapine, utilisé pour soigner la schizophrénie, l’anxiété et d’autres troubles. Le brevet 113 a été déclaré nul </w:t>
            </w:r>
            <w:r w:rsidRPr="00C03148">
              <w:rPr>
                <w:i/>
                <w:sz w:val="20"/>
                <w:lang w:val="fr-CA"/>
              </w:rPr>
              <w:t>ab initio</w:t>
            </w:r>
            <w:r w:rsidRPr="00C03148">
              <w:rPr>
                <w:sz w:val="20"/>
                <w:lang w:val="fr-CA"/>
              </w:rPr>
              <w:t xml:space="preserve"> en 2011, dans le cadre d’une action concernant un autre fabricant de médicaments génériques. Apotex a échoué dans sa procédure d’interdiction contre Eli Lilly, laquelle était fondée sur le </w:t>
            </w:r>
            <w:r w:rsidRPr="00C03148">
              <w:rPr>
                <w:i/>
                <w:sz w:val="20"/>
                <w:lang w:val="fr-CA"/>
              </w:rPr>
              <w:t>Règlement sur les médicaments brevetés (avis de conformité)</w:t>
            </w:r>
            <w:r w:rsidRPr="00C03148">
              <w:rPr>
                <w:sz w:val="20"/>
                <w:lang w:val="fr-CA"/>
              </w:rPr>
              <w:t>, DORS/93-133, et ne pouvait pas réclamer des dommages</w:t>
            </w:r>
            <w:r w:rsidRPr="00C03148">
              <w:rPr>
                <w:sz w:val="20"/>
                <w:lang w:val="fr-CA"/>
              </w:rPr>
              <w:noBreakHyphen/>
              <w:t>intérêts au titre de l’art. 8 pour le retard dans l’entrée sur le marché. Dans cette action, Apotex a sollicité des dommages</w:t>
            </w:r>
            <w:r w:rsidRPr="00C03148">
              <w:rPr>
                <w:sz w:val="20"/>
                <w:lang w:val="fr-CA"/>
              </w:rPr>
              <w:noBreakHyphen/>
              <w:t xml:space="preserve">intérêts en application du </w:t>
            </w:r>
            <w:r w:rsidRPr="00C03148">
              <w:rPr>
                <w:i/>
                <w:sz w:val="20"/>
                <w:lang w:val="fr-CA"/>
              </w:rPr>
              <w:t>Statute of Monopolies</w:t>
            </w:r>
            <w:r w:rsidRPr="00C03148">
              <w:rPr>
                <w:sz w:val="20"/>
                <w:lang w:val="fr-CA"/>
              </w:rPr>
              <w:t xml:space="preserve">, R.S.O. 1897, Ch. 323, de la </w:t>
            </w:r>
            <w:r w:rsidRPr="00C03148">
              <w:rPr>
                <w:i/>
                <w:sz w:val="20"/>
                <w:lang w:val="fr-CA"/>
              </w:rPr>
              <w:t>Loi sur les marques de commerce</w:t>
            </w:r>
            <w:r w:rsidRPr="00C03148">
              <w:rPr>
                <w:sz w:val="20"/>
                <w:lang w:val="fr-CA"/>
              </w:rPr>
              <w:t xml:space="preserve">, L.R.C. 1985, c. T-13, et la common law en matière de droit de la responsabilité civile délictuelle pour délit de complot civil. Eli Lilly a présenté une motion en vue d’obtenir un jugement sommaire pour que cette action soit rejetée. </w:t>
            </w:r>
          </w:p>
          <w:p w:rsidR="00FC0780" w:rsidRPr="00C03148" w:rsidRDefault="00FC0780" w:rsidP="00FC0780">
            <w:pPr>
              <w:jc w:val="both"/>
              <w:rPr>
                <w:sz w:val="20"/>
                <w:lang w:val="fr-CA"/>
              </w:rPr>
            </w:pPr>
          </w:p>
          <w:p w:rsidR="00FC0780" w:rsidRPr="00C03148" w:rsidRDefault="00FC0780" w:rsidP="00FC0780">
            <w:pPr>
              <w:jc w:val="both"/>
              <w:rPr>
                <w:sz w:val="20"/>
                <w:lang w:val="fr-CA"/>
              </w:rPr>
            </w:pPr>
            <w:r w:rsidRPr="00C03148">
              <w:rPr>
                <w:sz w:val="20"/>
                <w:lang w:val="fr-CA"/>
              </w:rPr>
              <w:t>Le juge des motions a accueilli la motion d’Eli Lilly. Des dépens d’indemnisation partielle ont été adjugés à Eli Lilly. Ces décisions ont été confirmées en appel.</w:t>
            </w:r>
          </w:p>
        </w:tc>
      </w:tr>
      <w:tr w:rsidR="00FC0780" w:rsidRPr="00C03148" w:rsidTr="004F472A">
        <w:tc>
          <w:tcPr>
            <w:tcW w:w="5000" w:type="pct"/>
            <w:gridSpan w:val="4"/>
          </w:tcPr>
          <w:p w:rsidR="00FC0780" w:rsidRPr="00C03148" w:rsidRDefault="00FC0780" w:rsidP="00FC0780">
            <w:pPr>
              <w:jc w:val="both"/>
              <w:rPr>
                <w:sz w:val="20"/>
                <w:lang w:val="fr-CA"/>
              </w:rPr>
            </w:pPr>
          </w:p>
        </w:tc>
      </w:tr>
      <w:tr w:rsidR="00FC0780" w:rsidRPr="00E66AF5" w:rsidTr="004F472A">
        <w:tc>
          <w:tcPr>
            <w:tcW w:w="2427" w:type="pct"/>
            <w:gridSpan w:val="2"/>
          </w:tcPr>
          <w:p w:rsidR="00FC0780" w:rsidRPr="00C03148" w:rsidRDefault="00FC0780" w:rsidP="00FC0780">
            <w:pPr>
              <w:jc w:val="both"/>
              <w:rPr>
                <w:sz w:val="20"/>
                <w:lang w:val="fr-CA"/>
              </w:rPr>
            </w:pPr>
            <w:r w:rsidRPr="00C03148">
              <w:rPr>
                <w:sz w:val="20"/>
                <w:lang w:val="fr-CA"/>
              </w:rPr>
              <w:t>8 mars 2021</w:t>
            </w:r>
          </w:p>
          <w:p w:rsidR="00FC0780" w:rsidRPr="00C03148" w:rsidRDefault="00FC0780" w:rsidP="00FC0780">
            <w:pPr>
              <w:jc w:val="both"/>
              <w:rPr>
                <w:sz w:val="20"/>
                <w:lang w:val="fr-CA"/>
              </w:rPr>
            </w:pPr>
            <w:r w:rsidRPr="00C03148">
              <w:rPr>
                <w:sz w:val="20"/>
                <w:lang w:val="fr-CA"/>
              </w:rPr>
              <w:t>Cour supérieure de justice de l’Ontario</w:t>
            </w:r>
          </w:p>
          <w:p w:rsidR="00FC0780" w:rsidRPr="00C03148" w:rsidRDefault="00FC0780" w:rsidP="00FC0780">
            <w:pPr>
              <w:jc w:val="both"/>
              <w:rPr>
                <w:sz w:val="20"/>
                <w:lang w:val="fr-CA"/>
              </w:rPr>
            </w:pPr>
            <w:r w:rsidRPr="00C03148">
              <w:rPr>
                <w:sz w:val="20"/>
                <w:lang w:val="fr-CA"/>
              </w:rPr>
              <w:t>(juge Schabas)</w:t>
            </w:r>
          </w:p>
          <w:p w:rsidR="00FC0780" w:rsidRPr="00C03148" w:rsidRDefault="00E66AF5" w:rsidP="00FC0780">
            <w:pPr>
              <w:jc w:val="both"/>
              <w:rPr>
                <w:sz w:val="20"/>
                <w:lang w:val="fr-CA"/>
              </w:rPr>
            </w:pPr>
            <w:hyperlink r:id="rId17" w:history="1">
              <w:r w:rsidR="00FC0780" w:rsidRPr="00C03148">
                <w:rPr>
                  <w:rStyle w:val="Hyperlink"/>
                  <w:sz w:val="20"/>
                  <w:lang w:val="fr-CA"/>
                </w:rPr>
                <w:t>2021 ONSC 1588</w:t>
              </w:r>
            </w:hyperlink>
          </w:p>
          <w:p w:rsidR="00FC0780" w:rsidRPr="00C03148" w:rsidRDefault="00FC0780" w:rsidP="00FC0780">
            <w:pPr>
              <w:jc w:val="both"/>
              <w:rPr>
                <w:sz w:val="20"/>
                <w:lang w:val="fr-CA"/>
              </w:rPr>
            </w:pPr>
          </w:p>
        </w:tc>
        <w:tc>
          <w:tcPr>
            <w:tcW w:w="243" w:type="pct"/>
          </w:tcPr>
          <w:p w:rsidR="00FC0780" w:rsidRPr="00C03148" w:rsidRDefault="00FC0780" w:rsidP="00FC0780">
            <w:pPr>
              <w:jc w:val="both"/>
              <w:rPr>
                <w:sz w:val="20"/>
                <w:lang w:val="fr-CA"/>
              </w:rPr>
            </w:pPr>
          </w:p>
        </w:tc>
        <w:tc>
          <w:tcPr>
            <w:tcW w:w="2330" w:type="pct"/>
          </w:tcPr>
          <w:p w:rsidR="00FC0780" w:rsidRPr="00C03148" w:rsidRDefault="00FC0780" w:rsidP="00FC0780">
            <w:pPr>
              <w:jc w:val="both"/>
              <w:rPr>
                <w:sz w:val="20"/>
                <w:lang w:val="fr-CA"/>
              </w:rPr>
            </w:pPr>
            <w:r w:rsidRPr="00C03148">
              <w:rPr>
                <w:sz w:val="20"/>
                <w:lang w:val="fr-CA"/>
              </w:rPr>
              <w:t>Requête des défenderesses en jugement sommaire accueillie; rejet de l’action des demanderesses.</w:t>
            </w:r>
          </w:p>
          <w:p w:rsidR="00FC0780" w:rsidRPr="00C03148" w:rsidRDefault="00FC0780" w:rsidP="00FC0780">
            <w:pPr>
              <w:jc w:val="both"/>
              <w:rPr>
                <w:sz w:val="20"/>
                <w:lang w:val="fr-CA"/>
              </w:rPr>
            </w:pPr>
          </w:p>
          <w:p w:rsidR="00FC0780" w:rsidRPr="00C03148" w:rsidRDefault="00FC0780" w:rsidP="00FC0780">
            <w:pPr>
              <w:jc w:val="both"/>
              <w:rPr>
                <w:sz w:val="20"/>
                <w:lang w:val="fr-CA"/>
              </w:rPr>
            </w:pPr>
          </w:p>
        </w:tc>
      </w:tr>
      <w:tr w:rsidR="00FC0780" w:rsidRPr="00E66AF5" w:rsidTr="004F472A">
        <w:tc>
          <w:tcPr>
            <w:tcW w:w="2427" w:type="pct"/>
            <w:gridSpan w:val="2"/>
          </w:tcPr>
          <w:p w:rsidR="00FC0780" w:rsidRPr="00C03148" w:rsidRDefault="00FC0780" w:rsidP="00FC0780">
            <w:pPr>
              <w:jc w:val="both"/>
              <w:rPr>
                <w:sz w:val="20"/>
                <w:lang w:val="fr-CA"/>
              </w:rPr>
            </w:pPr>
            <w:r w:rsidRPr="00C03148">
              <w:rPr>
                <w:sz w:val="20"/>
                <w:lang w:val="fr-CA"/>
              </w:rPr>
              <w:t>29 août 2022</w:t>
            </w:r>
          </w:p>
          <w:p w:rsidR="00FC0780" w:rsidRPr="00C03148" w:rsidRDefault="00FC0780" w:rsidP="00FC0780">
            <w:pPr>
              <w:jc w:val="both"/>
              <w:rPr>
                <w:sz w:val="20"/>
                <w:lang w:val="fr-CA"/>
              </w:rPr>
            </w:pPr>
            <w:r w:rsidRPr="00C03148">
              <w:rPr>
                <w:sz w:val="20"/>
                <w:lang w:val="fr-CA"/>
              </w:rPr>
              <w:t>Cour d’appel de l’Ontario</w:t>
            </w:r>
          </w:p>
          <w:p w:rsidR="00FC0780" w:rsidRPr="00C03148" w:rsidRDefault="00FC0780" w:rsidP="00FC0780">
            <w:pPr>
              <w:jc w:val="both"/>
              <w:rPr>
                <w:sz w:val="20"/>
                <w:lang w:val="fr-CA"/>
              </w:rPr>
            </w:pPr>
            <w:r w:rsidRPr="00C03148">
              <w:rPr>
                <w:sz w:val="20"/>
                <w:lang w:val="fr-CA"/>
              </w:rPr>
              <w:t>(juges Strathy, Roberts et Sossin)</w:t>
            </w:r>
          </w:p>
          <w:p w:rsidR="00FC0780" w:rsidRPr="00C03148" w:rsidRDefault="00E66AF5" w:rsidP="00FC0780">
            <w:pPr>
              <w:jc w:val="both"/>
              <w:rPr>
                <w:sz w:val="20"/>
                <w:lang w:val="fr-CA"/>
              </w:rPr>
            </w:pPr>
            <w:hyperlink r:id="rId18" w:history="1">
              <w:r w:rsidR="00FC0780" w:rsidRPr="00C03148">
                <w:rPr>
                  <w:rStyle w:val="Hyperlink"/>
                  <w:sz w:val="20"/>
                  <w:lang w:val="fr-CA"/>
                </w:rPr>
                <w:t>2022 ONCA 587</w:t>
              </w:r>
            </w:hyperlink>
          </w:p>
          <w:p w:rsidR="00FC0780" w:rsidRPr="00C03148" w:rsidRDefault="00FC0780" w:rsidP="00FC0780">
            <w:pPr>
              <w:jc w:val="both"/>
              <w:rPr>
                <w:sz w:val="20"/>
                <w:lang w:val="fr-CA"/>
              </w:rPr>
            </w:pPr>
          </w:p>
        </w:tc>
        <w:tc>
          <w:tcPr>
            <w:tcW w:w="243" w:type="pct"/>
          </w:tcPr>
          <w:p w:rsidR="00FC0780" w:rsidRPr="00C03148" w:rsidRDefault="00FC0780" w:rsidP="00FC0780">
            <w:pPr>
              <w:jc w:val="both"/>
              <w:rPr>
                <w:sz w:val="20"/>
                <w:lang w:val="fr-CA"/>
              </w:rPr>
            </w:pPr>
          </w:p>
        </w:tc>
        <w:tc>
          <w:tcPr>
            <w:tcW w:w="2330" w:type="pct"/>
          </w:tcPr>
          <w:p w:rsidR="00FC0780" w:rsidRPr="00C03148" w:rsidRDefault="00FC0780" w:rsidP="00FC0780">
            <w:pPr>
              <w:jc w:val="both"/>
              <w:rPr>
                <w:sz w:val="20"/>
                <w:lang w:val="fr-CA"/>
              </w:rPr>
            </w:pPr>
            <w:r w:rsidRPr="00C03148">
              <w:rPr>
                <w:sz w:val="20"/>
                <w:lang w:val="fr-CA"/>
              </w:rPr>
              <w:t xml:space="preserve">Rejet de l’appel des demanderesses. </w:t>
            </w:r>
          </w:p>
          <w:p w:rsidR="00FC0780" w:rsidRPr="00C03148" w:rsidRDefault="00FC0780" w:rsidP="00FC0780">
            <w:pPr>
              <w:jc w:val="both"/>
              <w:rPr>
                <w:sz w:val="20"/>
                <w:lang w:val="fr-CA"/>
              </w:rPr>
            </w:pPr>
          </w:p>
        </w:tc>
      </w:tr>
      <w:tr w:rsidR="00FC0780" w:rsidRPr="00E66AF5" w:rsidTr="004F472A">
        <w:tc>
          <w:tcPr>
            <w:tcW w:w="2427" w:type="pct"/>
            <w:gridSpan w:val="2"/>
          </w:tcPr>
          <w:p w:rsidR="00FC0780" w:rsidRPr="00C03148" w:rsidRDefault="00FC0780" w:rsidP="00FC0780">
            <w:pPr>
              <w:jc w:val="both"/>
              <w:rPr>
                <w:sz w:val="20"/>
                <w:lang w:val="fr-CA"/>
              </w:rPr>
            </w:pPr>
            <w:r w:rsidRPr="00C03148">
              <w:rPr>
                <w:sz w:val="20"/>
                <w:lang w:val="fr-CA"/>
              </w:rPr>
              <w:t>17 octobre 2022</w:t>
            </w:r>
          </w:p>
          <w:p w:rsidR="00FC0780" w:rsidRPr="00C03148" w:rsidRDefault="00FC0780" w:rsidP="00FC0780">
            <w:pPr>
              <w:jc w:val="both"/>
              <w:rPr>
                <w:sz w:val="20"/>
                <w:lang w:val="fr-CA"/>
              </w:rPr>
            </w:pPr>
            <w:r w:rsidRPr="00C03148">
              <w:rPr>
                <w:sz w:val="20"/>
                <w:lang w:val="fr-CA"/>
              </w:rPr>
              <w:t>Cour suprême du Canada</w:t>
            </w:r>
          </w:p>
        </w:tc>
        <w:tc>
          <w:tcPr>
            <w:tcW w:w="243" w:type="pct"/>
          </w:tcPr>
          <w:p w:rsidR="00FC0780" w:rsidRPr="00C03148" w:rsidRDefault="00FC0780" w:rsidP="00FC0780">
            <w:pPr>
              <w:jc w:val="both"/>
              <w:rPr>
                <w:sz w:val="20"/>
                <w:lang w:val="fr-CA"/>
              </w:rPr>
            </w:pPr>
          </w:p>
        </w:tc>
        <w:tc>
          <w:tcPr>
            <w:tcW w:w="2330" w:type="pct"/>
          </w:tcPr>
          <w:p w:rsidR="00FC0780" w:rsidRPr="00C03148" w:rsidRDefault="00FC0780" w:rsidP="00FC0780">
            <w:pPr>
              <w:jc w:val="both"/>
              <w:rPr>
                <w:sz w:val="20"/>
                <w:lang w:val="fr-CA"/>
              </w:rPr>
            </w:pPr>
            <w:r w:rsidRPr="00C03148">
              <w:rPr>
                <w:sz w:val="20"/>
                <w:lang w:val="fr-CA"/>
              </w:rPr>
              <w:t xml:space="preserve">Dépôt de la demande d’autorisation d’appel. </w:t>
            </w:r>
          </w:p>
          <w:p w:rsidR="00FC0780" w:rsidRPr="00C03148" w:rsidRDefault="00FC0780" w:rsidP="00FC0780">
            <w:pPr>
              <w:jc w:val="both"/>
              <w:rPr>
                <w:sz w:val="20"/>
                <w:lang w:val="fr-CA"/>
              </w:rPr>
            </w:pPr>
          </w:p>
        </w:tc>
      </w:tr>
    </w:tbl>
    <w:p w:rsidR="00FC0780" w:rsidRPr="00C03148" w:rsidRDefault="00FC0780" w:rsidP="00FC0780">
      <w:pPr>
        <w:jc w:val="both"/>
        <w:rPr>
          <w:sz w:val="20"/>
          <w:lang w:val="fr-CA"/>
        </w:rPr>
      </w:pPr>
    </w:p>
    <w:p w:rsidR="00FC0780" w:rsidRPr="00C03148" w:rsidRDefault="00E66AF5" w:rsidP="00FC0780">
      <w:pPr>
        <w:jc w:val="both"/>
        <w:rPr>
          <w:sz w:val="20"/>
          <w:lang w:val="fr-CA"/>
        </w:rPr>
      </w:pPr>
      <w:r>
        <w:rPr>
          <w:sz w:val="20"/>
        </w:rPr>
        <w:pict>
          <v:rect id="_x0000_i1032" style="width:2in;height:1pt" o:hrpct="0" o:hralign="center" o:hrstd="t" o:hrnoshade="t" o:hr="t" fillcolor="black [3213]" stroked="f"/>
        </w:pict>
      </w:r>
    </w:p>
    <w:p w:rsidR="00FC0780" w:rsidRPr="00C03148" w:rsidRDefault="00FC0780" w:rsidP="00FC078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0780" w:rsidRPr="00C03148" w:rsidTr="00E95A6A">
        <w:tc>
          <w:tcPr>
            <w:tcW w:w="543" w:type="pct"/>
          </w:tcPr>
          <w:p w:rsidR="00FC0780" w:rsidRPr="00C03148" w:rsidRDefault="00FC0780" w:rsidP="00FC0780">
            <w:pPr>
              <w:jc w:val="both"/>
              <w:rPr>
                <w:sz w:val="20"/>
              </w:rPr>
            </w:pPr>
            <w:r w:rsidRPr="00C03148">
              <w:rPr>
                <w:rStyle w:val="SCCFileNumberChar"/>
                <w:sz w:val="20"/>
                <w:szCs w:val="20"/>
              </w:rPr>
              <w:t>40473</w:t>
            </w:r>
          </w:p>
        </w:tc>
        <w:tc>
          <w:tcPr>
            <w:tcW w:w="4457" w:type="pct"/>
            <w:gridSpan w:val="3"/>
          </w:tcPr>
          <w:p w:rsidR="00FC0780" w:rsidRPr="00C03148" w:rsidRDefault="00FC0780" w:rsidP="00FC0780">
            <w:pPr>
              <w:pStyle w:val="SCCLsocParty"/>
              <w:jc w:val="both"/>
              <w:rPr>
                <w:b/>
                <w:sz w:val="20"/>
                <w:szCs w:val="20"/>
                <w:lang w:val="en-US"/>
              </w:rPr>
            </w:pPr>
            <w:r w:rsidRPr="00C03148">
              <w:rPr>
                <w:b/>
                <w:sz w:val="20"/>
                <w:szCs w:val="20"/>
                <w:lang w:val="en-US"/>
              </w:rPr>
              <w:t>Shannon Hancock v. College of Registered Nurses of Manitoba</w:t>
            </w:r>
          </w:p>
          <w:p w:rsidR="00FC0780" w:rsidRPr="00C03148" w:rsidRDefault="00FC0780" w:rsidP="00FC0780">
            <w:pPr>
              <w:jc w:val="both"/>
              <w:rPr>
                <w:sz w:val="20"/>
              </w:rPr>
            </w:pPr>
            <w:r w:rsidRPr="00C03148">
              <w:rPr>
                <w:sz w:val="20"/>
              </w:rPr>
              <w:t>(Man.) (Civil) (By Leave)</w:t>
            </w:r>
          </w:p>
        </w:tc>
      </w:tr>
      <w:tr w:rsidR="00FC0780" w:rsidRPr="00C03148" w:rsidTr="00E95A6A">
        <w:tc>
          <w:tcPr>
            <w:tcW w:w="5000" w:type="pct"/>
            <w:gridSpan w:val="4"/>
          </w:tcPr>
          <w:p w:rsidR="00FC0780" w:rsidRPr="00C03148" w:rsidRDefault="00FC0780" w:rsidP="00FC0780">
            <w:pPr>
              <w:jc w:val="both"/>
              <w:rPr>
                <w:sz w:val="20"/>
              </w:rPr>
            </w:pPr>
            <w:r w:rsidRPr="00C03148">
              <w:rPr>
                <w:sz w:val="20"/>
              </w:rPr>
              <w:t xml:space="preserve">Law of professions — Discipline — Nurses — Administrative law — Appeals — Standard of review — Statutory appeal of administrative decision on penalty and costs — Professional body’s inquiry panel imposing a penalty and costs on a member — Court of Appeal dismissing member’s appeal — Whether the Court of Appeal deviated from standard of review framework for statutory appeals set out in </w:t>
            </w:r>
            <w:r w:rsidRPr="00C03148">
              <w:rPr>
                <w:i/>
                <w:sz w:val="20"/>
              </w:rPr>
              <w:t>Canada (Minister of Citizenship and Immigration) v. Vavilov</w:t>
            </w:r>
            <w:r w:rsidRPr="00C03148">
              <w:rPr>
                <w:sz w:val="20"/>
              </w:rPr>
              <w:t xml:space="preserve">, 2019 SCC 65, [2019] 4 S.C.R. 653, and thereby created undue uncertainty, incoherence, and unworkability — Whether the Court of Appeal and the inquiry panel failed to apply the </w:t>
            </w:r>
            <w:r w:rsidRPr="00C03148">
              <w:rPr>
                <w:i/>
                <w:sz w:val="20"/>
              </w:rPr>
              <w:t xml:space="preserve">Charter </w:t>
            </w:r>
            <w:r w:rsidRPr="00C03148">
              <w:rPr>
                <w:sz w:val="20"/>
              </w:rPr>
              <w:t xml:space="preserve">scrutiny required by </w:t>
            </w:r>
            <w:r w:rsidRPr="00C03148">
              <w:rPr>
                <w:i/>
                <w:sz w:val="20"/>
              </w:rPr>
              <w:t>Doré v. Barreau du Québec</w:t>
            </w:r>
            <w:r w:rsidRPr="00C03148">
              <w:rPr>
                <w:sz w:val="20"/>
              </w:rPr>
              <w:t xml:space="preserve">, 2012 SCC 12, [2012] 1 S.C.R. 395, thereby failing to hold the inquiry panel accountable to the </w:t>
            </w:r>
            <w:r w:rsidRPr="00C03148">
              <w:rPr>
                <w:i/>
                <w:sz w:val="20"/>
              </w:rPr>
              <w:t xml:space="preserve">Charter </w:t>
            </w:r>
            <w:r w:rsidRPr="00C03148">
              <w:rPr>
                <w:sz w:val="20"/>
              </w:rPr>
              <w:t xml:space="preserve">— Whether the Court of Appeal’s and the inquiry panel’s failures to consider the inquiry panel’s ability to reconsider a decision and admit new evidence were incorrect — Whether the Court of Appeal’s incorrect standards of review led to cascading failures to consider extricable legal errors and palpable and overriding mixed fact and law errors — </w:t>
            </w:r>
            <w:r w:rsidRPr="00C03148">
              <w:rPr>
                <w:i/>
                <w:sz w:val="20"/>
              </w:rPr>
              <w:t>The Regulated Health Professions Act</w:t>
            </w:r>
            <w:r w:rsidRPr="00C03148">
              <w:rPr>
                <w:sz w:val="20"/>
              </w:rPr>
              <w:t>, C.C.S.M., c. R117.</w:t>
            </w:r>
          </w:p>
        </w:tc>
      </w:tr>
      <w:tr w:rsidR="00FC0780" w:rsidRPr="00C03148" w:rsidTr="00E95A6A">
        <w:tc>
          <w:tcPr>
            <w:tcW w:w="5000" w:type="pct"/>
            <w:gridSpan w:val="4"/>
          </w:tcPr>
          <w:p w:rsidR="00FC0780" w:rsidRPr="00C03148" w:rsidRDefault="00FC0780" w:rsidP="00FC0780">
            <w:pPr>
              <w:jc w:val="both"/>
              <w:rPr>
                <w:sz w:val="20"/>
              </w:rPr>
            </w:pPr>
          </w:p>
        </w:tc>
      </w:tr>
      <w:tr w:rsidR="00FC0780" w:rsidRPr="00C03148" w:rsidTr="00E95A6A">
        <w:tc>
          <w:tcPr>
            <w:tcW w:w="5000" w:type="pct"/>
            <w:gridSpan w:val="4"/>
          </w:tcPr>
          <w:p w:rsidR="00FC0780" w:rsidRPr="00C03148" w:rsidRDefault="00FC0780" w:rsidP="00FC0780">
            <w:pPr>
              <w:jc w:val="both"/>
              <w:rPr>
                <w:sz w:val="20"/>
              </w:rPr>
            </w:pPr>
            <w:r w:rsidRPr="00C03148">
              <w:rPr>
                <w:sz w:val="20"/>
              </w:rPr>
              <w:t xml:space="preserve">The applicant, Ms. Hancock, was a member of the respondent College of Registered Nurses of Manitoba (“College”). An inquiry panel of the College held a hearing into Ms. Hancock’s conduct, and found her guilty of misconduct and to be ungovernable. Ms. Hancock did not appeal that decision to the Manitoba Court of Appeal as she was entitled to do under </w:t>
            </w:r>
            <w:r w:rsidRPr="00C03148">
              <w:rPr>
                <w:i/>
                <w:sz w:val="20"/>
              </w:rPr>
              <w:t>The Regulated Health Professions Act</w:t>
            </w:r>
            <w:r w:rsidRPr="00C03148">
              <w:rPr>
                <w:sz w:val="20"/>
              </w:rPr>
              <w:t xml:space="preserve">, C.C.S.M. c. R117. Instead, she sought a reconsideration of that decision at a subsequent hearing that was held to determine the penalty to impose. The inquiry panel declined to reconsider its misconduct decision. It ordered that Ms. Hancock’s registration under </w:t>
            </w:r>
            <w:r w:rsidRPr="00C03148">
              <w:rPr>
                <w:i/>
                <w:sz w:val="20"/>
              </w:rPr>
              <w:t>The Regulated Health Professions Act</w:t>
            </w:r>
            <w:r w:rsidRPr="00C03148">
              <w:rPr>
                <w:sz w:val="20"/>
              </w:rPr>
              <w:t xml:space="preserve"> be cancelled and that she pay costs in the amount of $40,000. Ms. Hancock appealed that decision. The Manitoba Court of Appeal dismissed her appeal. It concluded it had no jurisdiction over the misconduct decision as it was not under appeal. It held that there were no reversible errors in the inquiry panel’s decision on penalty and costs.</w:t>
            </w:r>
          </w:p>
          <w:p w:rsidR="00FC0780" w:rsidRPr="00C03148" w:rsidRDefault="00FC0780" w:rsidP="00FC0780">
            <w:pPr>
              <w:jc w:val="both"/>
              <w:rPr>
                <w:sz w:val="20"/>
              </w:rPr>
            </w:pPr>
          </w:p>
        </w:tc>
      </w:tr>
      <w:tr w:rsidR="00FC0780" w:rsidRPr="00C03148" w:rsidTr="00E95A6A">
        <w:tc>
          <w:tcPr>
            <w:tcW w:w="2427" w:type="pct"/>
            <w:gridSpan w:val="2"/>
          </w:tcPr>
          <w:p w:rsidR="00FC0780" w:rsidRPr="00C03148" w:rsidRDefault="00FC0780" w:rsidP="00FC0780">
            <w:pPr>
              <w:jc w:val="both"/>
              <w:rPr>
                <w:sz w:val="20"/>
              </w:rPr>
            </w:pPr>
            <w:r w:rsidRPr="00C03148">
              <w:rPr>
                <w:sz w:val="20"/>
              </w:rPr>
              <w:t>May 12, 2021</w:t>
            </w:r>
          </w:p>
          <w:p w:rsidR="00FC0780" w:rsidRPr="00C03148" w:rsidRDefault="00FC0780" w:rsidP="00FC0780">
            <w:pPr>
              <w:jc w:val="both"/>
              <w:rPr>
                <w:sz w:val="20"/>
              </w:rPr>
            </w:pPr>
            <w:r w:rsidRPr="00C03148">
              <w:rPr>
                <w:sz w:val="20"/>
              </w:rPr>
              <w:t xml:space="preserve">College of Registered Nurses of Manitoba </w:t>
            </w:r>
          </w:p>
          <w:p w:rsidR="00FC0780" w:rsidRPr="00C03148" w:rsidRDefault="00FC0780" w:rsidP="00FC0780">
            <w:pPr>
              <w:jc w:val="both"/>
              <w:rPr>
                <w:sz w:val="20"/>
              </w:rPr>
            </w:pPr>
            <w:r w:rsidRPr="00C03148">
              <w:rPr>
                <w:sz w:val="20"/>
              </w:rPr>
              <w:t>Inquiry Committee Panel</w:t>
            </w:r>
          </w:p>
          <w:p w:rsidR="00FC0780" w:rsidRPr="00C03148" w:rsidRDefault="00FC0780" w:rsidP="00FC0780">
            <w:pPr>
              <w:jc w:val="both"/>
              <w:rPr>
                <w:sz w:val="20"/>
              </w:rPr>
            </w:pPr>
            <w:r w:rsidRPr="00C03148">
              <w:rPr>
                <w:sz w:val="20"/>
              </w:rPr>
              <w:t>(Sandy Forrest, Chair)</w:t>
            </w:r>
          </w:p>
          <w:p w:rsidR="00FC0780" w:rsidRPr="00C03148" w:rsidRDefault="00FC0780" w:rsidP="00FC0780">
            <w:pPr>
              <w:jc w:val="both"/>
              <w:rPr>
                <w:sz w:val="20"/>
              </w:rPr>
            </w:pPr>
            <w:r w:rsidRPr="00C03148">
              <w:rPr>
                <w:sz w:val="20"/>
              </w:rPr>
              <w:t>Unreported</w:t>
            </w:r>
          </w:p>
          <w:p w:rsidR="00FC0780" w:rsidRPr="00C03148" w:rsidRDefault="00FC0780" w:rsidP="00FC0780">
            <w:pPr>
              <w:jc w:val="both"/>
              <w:rPr>
                <w:sz w:val="20"/>
              </w:rPr>
            </w:pPr>
          </w:p>
        </w:tc>
        <w:tc>
          <w:tcPr>
            <w:tcW w:w="243" w:type="pct"/>
          </w:tcPr>
          <w:p w:rsidR="00FC0780" w:rsidRPr="00C03148" w:rsidRDefault="00FC0780" w:rsidP="00FC0780">
            <w:pPr>
              <w:jc w:val="both"/>
              <w:rPr>
                <w:sz w:val="20"/>
              </w:rPr>
            </w:pPr>
          </w:p>
        </w:tc>
        <w:tc>
          <w:tcPr>
            <w:tcW w:w="2330" w:type="pct"/>
          </w:tcPr>
          <w:p w:rsidR="00FC0780" w:rsidRPr="00C03148" w:rsidRDefault="00FC0780" w:rsidP="00FC0780">
            <w:pPr>
              <w:jc w:val="both"/>
              <w:rPr>
                <w:sz w:val="20"/>
              </w:rPr>
            </w:pPr>
            <w:r w:rsidRPr="00C03148">
              <w:rPr>
                <w:sz w:val="20"/>
              </w:rPr>
              <w:t xml:space="preserve">Conclusion that panel’s prior decision finding misconduct final and not subject to variation or reconsideration. Applicant’s certificate to practice revoked and costs awarded against applicant. </w:t>
            </w:r>
          </w:p>
        </w:tc>
      </w:tr>
      <w:tr w:rsidR="00FC0780" w:rsidRPr="00C03148" w:rsidTr="00E95A6A">
        <w:tc>
          <w:tcPr>
            <w:tcW w:w="2427" w:type="pct"/>
            <w:gridSpan w:val="2"/>
          </w:tcPr>
          <w:p w:rsidR="00FC0780" w:rsidRPr="00C03148" w:rsidRDefault="00FC0780" w:rsidP="00FC0780">
            <w:pPr>
              <w:jc w:val="both"/>
              <w:rPr>
                <w:sz w:val="20"/>
              </w:rPr>
            </w:pPr>
            <w:r w:rsidRPr="00C03148">
              <w:rPr>
                <w:sz w:val="20"/>
              </w:rPr>
              <w:t>September 7, 2022</w:t>
            </w:r>
          </w:p>
          <w:p w:rsidR="00FC0780" w:rsidRPr="00C03148" w:rsidRDefault="00FC0780" w:rsidP="00FC0780">
            <w:pPr>
              <w:jc w:val="both"/>
              <w:rPr>
                <w:sz w:val="20"/>
              </w:rPr>
            </w:pPr>
            <w:r w:rsidRPr="00C03148">
              <w:rPr>
                <w:sz w:val="20"/>
              </w:rPr>
              <w:t>Court of Appeal of Manitoba</w:t>
            </w:r>
          </w:p>
          <w:p w:rsidR="00FC0780" w:rsidRPr="00C03148" w:rsidRDefault="00FC0780" w:rsidP="00FC0780">
            <w:pPr>
              <w:jc w:val="both"/>
              <w:rPr>
                <w:sz w:val="20"/>
              </w:rPr>
            </w:pPr>
            <w:r w:rsidRPr="00C03148">
              <w:rPr>
                <w:sz w:val="20"/>
              </w:rPr>
              <w:t>(Cameron, Mainella, and Pfuetzner JJ.A.)</w:t>
            </w:r>
          </w:p>
          <w:p w:rsidR="00FC0780" w:rsidRPr="00C03148" w:rsidRDefault="00E66AF5" w:rsidP="00FC0780">
            <w:pPr>
              <w:jc w:val="both"/>
              <w:rPr>
                <w:sz w:val="20"/>
              </w:rPr>
            </w:pPr>
            <w:hyperlink r:id="rId19" w:history="1">
              <w:r w:rsidR="00FC0780" w:rsidRPr="00C03148">
                <w:rPr>
                  <w:rStyle w:val="Hyperlink"/>
                  <w:sz w:val="20"/>
                </w:rPr>
                <w:t>2022 MBCA 70</w:t>
              </w:r>
            </w:hyperlink>
            <w:r w:rsidR="00FC0780" w:rsidRPr="00C03148">
              <w:rPr>
                <w:sz w:val="20"/>
              </w:rPr>
              <w:t xml:space="preserve"> (Docket: AI21-30-09681)</w:t>
            </w:r>
          </w:p>
          <w:p w:rsidR="00FC0780" w:rsidRPr="00C03148" w:rsidRDefault="00FC0780" w:rsidP="00FC0780">
            <w:pPr>
              <w:jc w:val="both"/>
              <w:rPr>
                <w:sz w:val="20"/>
                <w:lang w:val="fr-CA"/>
              </w:rPr>
            </w:pPr>
          </w:p>
        </w:tc>
        <w:tc>
          <w:tcPr>
            <w:tcW w:w="243" w:type="pct"/>
          </w:tcPr>
          <w:p w:rsidR="00FC0780" w:rsidRPr="00C03148" w:rsidRDefault="00FC0780" w:rsidP="00FC0780">
            <w:pPr>
              <w:jc w:val="both"/>
              <w:rPr>
                <w:sz w:val="20"/>
                <w:lang w:val="fr-CA"/>
              </w:rPr>
            </w:pPr>
          </w:p>
        </w:tc>
        <w:tc>
          <w:tcPr>
            <w:tcW w:w="2330" w:type="pct"/>
          </w:tcPr>
          <w:p w:rsidR="00FC0780" w:rsidRPr="00C03148" w:rsidRDefault="00FC0780" w:rsidP="00FC0780">
            <w:pPr>
              <w:jc w:val="both"/>
              <w:rPr>
                <w:sz w:val="20"/>
              </w:rPr>
            </w:pPr>
            <w:r w:rsidRPr="00C03148">
              <w:rPr>
                <w:sz w:val="20"/>
              </w:rPr>
              <w:t>Applicant’s appeal dismissed.</w:t>
            </w:r>
          </w:p>
          <w:p w:rsidR="00FC0780" w:rsidRPr="00C03148" w:rsidRDefault="00FC0780" w:rsidP="00FC0780">
            <w:pPr>
              <w:jc w:val="both"/>
              <w:rPr>
                <w:sz w:val="20"/>
              </w:rPr>
            </w:pPr>
          </w:p>
        </w:tc>
      </w:tr>
      <w:tr w:rsidR="00FC0780" w:rsidRPr="00C03148" w:rsidTr="00E95A6A">
        <w:tc>
          <w:tcPr>
            <w:tcW w:w="2427" w:type="pct"/>
            <w:gridSpan w:val="2"/>
          </w:tcPr>
          <w:p w:rsidR="00FC0780" w:rsidRPr="00C03148" w:rsidRDefault="00FC0780" w:rsidP="00FC0780">
            <w:pPr>
              <w:jc w:val="both"/>
              <w:rPr>
                <w:sz w:val="20"/>
              </w:rPr>
            </w:pPr>
            <w:r w:rsidRPr="00C03148">
              <w:rPr>
                <w:sz w:val="20"/>
              </w:rPr>
              <w:t>November 29, 2022</w:t>
            </w:r>
          </w:p>
          <w:p w:rsidR="00FC0780" w:rsidRPr="00C03148" w:rsidRDefault="00FC0780" w:rsidP="00FC0780">
            <w:pPr>
              <w:jc w:val="both"/>
              <w:rPr>
                <w:sz w:val="20"/>
              </w:rPr>
            </w:pPr>
            <w:r w:rsidRPr="00C03148">
              <w:rPr>
                <w:sz w:val="20"/>
              </w:rPr>
              <w:t>Supreme Court of Canada</w:t>
            </w:r>
          </w:p>
          <w:p w:rsidR="00FC0780" w:rsidRPr="00C03148" w:rsidRDefault="00FC0780" w:rsidP="00FC0780">
            <w:pPr>
              <w:jc w:val="both"/>
              <w:rPr>
                <w:sz w:val="20"/>
              </w:rPr>
            </w:pPr>
          </w:p>
        </w:tc>
        <w:tc>
          <w:tcPr>
            <w:tcW w:w="243" w:type="pct"/>
          </w:tcPr>
          <w:p w:rsidR="00FC0780" w:rsidRPr="00C03148" w:rsidRDefault="00FC0780" w:rsidP="00FC0780">
            <w:pPr>
              <w:jc w:val="both"/>
              <w:rPr>
                <w:sz w:val="20"/>
              </w:rPr>
            </w:pPr>
          </w:p>
        </w:tc>
        <w:tc>
          <w:tcPr>
            <w:tcW w:w="2330" w:type="pct"/>
          </w:tcPr>
          <w:p w:rsidR="00FC0780" w:rsidRPr="00C03148" w:rsidRDefault="00FC0780" w:rsidP="00FC0780">
            <w:pPr>
              <w:jc w:val="both"/>
              <w:rPr>
                <w:sz w:val="20"/>
              </w:rPr>
            </w:pPr>
            <w:r w:rsidRPr="00C03148">
              <w:rPr>
                <w:sz w:val="20"/>
              </w:rPr>
              <w:t>Application for leave to appeal and motion for extension of time to serve and file application for leave to appeal filed.</w:t>
            </w:r>
          </w:p>
        </w:tc>
      </w:tr>
    </w:tbl>
    <w:p w:rsidR="00FC0780" w:rsidRPr="00C03148" w:rsidRDefault="00FC0780" w:rsidP="00FC0780">
      <w:pPr>
        <w:jc w:val="both"/>
        <w:rPr>
          <w:sz w:val="20"/>
        </w:rPr>
      </w:pPr>
    </w:p>
    <w:p w:rsidR="00FC0780" w:rsidRPr="00C03148" w:rsidRDefault="00E66AF5" w:rsidP="00FC0780">
      <w:pPr>
        <w:jc w:val="both"/>
        <w:rPr>
          <w:sz w:val="20"/>
        </w:rPr>
      </w:pPr>
      <w:r>
        <w:rPr>
          <w:sz w:val="20"/>
        </w:rPr>
        <w:pict>
          <v:rect id="_x0000_i1033" style="width:2in;height:1pt" o:hrpct="0" o:hralign="center" o:hrstd="t" o:hrnoshade="t" o:hr="t" fillcolor="black [3213]" stroked="f"/>
        </w:pict>
      </w:r>
    </w:p>
    <w:p w:rsidR="00FC0780" w:rsidRPr="00C03148" w:rsidRDefault="00FC0780" w:rsidP="00FC078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0780" w:rsidRPr="00C03148" w:rsidTr="00ED5D3D">
        <w:tc>
          <w:tcPr>
            <w:tcW w:w="543" w:type="pct"/>
          </w:tcPr>
          <w:p w:rsidR="00FC0780" w:rsidRPr="00C03148" w:rsidRDefault="00FC0780" w:rsidP="00FC0780">
            <w:pPr>
              <w:jc w:val="both"/>
              <w:rPr>
                <w:sz w:val="20"/>
                <w:lang w:val="fr-CA"/>
              </w:rPr>
            </w:pPr>
            <w:r w:rsidRPr="00C03148">
              <w:rPr>
                <w:rStyle w:val="SCCFileNumberChar"/>
                <w:sz w:val="20"/>
                <w:szCs w:val="20"/>
                <w:lang w:val="fr-CA"/>
              </w:rPr>
              <w:t>40473</w:t>
            </w:r>
          </w:p>
        </w:tc>
        <w:tc>
          <w:tcPr>
            <w:tcW w:w="4457" w:type="pct"/>
            <w:gridSpan w:val="3"/>
          </w:tcPr>
          <w:p w:rsidR="00FC0780" w:rsidRPr="00C03148" w:rsidRDefault="00FC0780" w:rsidP="00FC0780">
            <w:pPr>
              <w:pStyle w:val="SCCLsocParty"/>
              <w:jc w:val="both"/>
              <w:rPr>
                <w:b/>
                <w:sz w:val="20"/>
                <w:szCs w:val="20"/>
                <w:lang w:val="en-US"/>
              </w:rPr>
            </w:pPr>
            <w:r w:rsidRPr="00C03148">
              <w:rPr>
                <w:b/>
                <w:sz w:val="20"/>
                <w:szCs w:val="20"/>
                <w:lang w:val="en-US"/>
              </w:rPr>
              <w:t>Shannon Hancock c. College of Registered Nurses of Manitoba</w:t>
            </w:r>
          </w:p>
          <w:p w:rsidR="00FC0780" w:rsidRPr="00C03148" w:rsidRDefault="00FC0780" w:rsidP="00FC0780">
            <w:pPr>
              <w:jc w:val="both"/>
              <w:rPr>
                <w:sz w:val="20"/>
                <w:lang w:val="fr-CA"/>
              </w:rPr>
            </w:pPr>
            <w:r w:rsidRPr="00C03148">
              <w:rPr>
                <w:sz w:val="20"/>
                <w:lang w:val="fr-CA"/>
              </w:rPr>
              <w:t>(Man.) (Civile) (Autorisation)</w:t>
            </w:r>
          </w:p>
        </w:tc>
      </w:tr>
      <w:tr w:rsidR="00FC0780" w:rsidRPr="00E66AF5" w:rsidTr="00ED5D3D">
        <w:tc>
          <w:tcPr>
            <w:tcW w:w="5000" w:type="pct"/>
            <w:gridSpan w:val="4"/>
          </w:tcPr>
          <w:p w:rsidR="00FC0780" w:rsidRPr="00C03148" w:rsidRDefault="00FC0780" w:rsidP="00FC0780">
            <w:pPr>
              <w:jc w:val="both"/>
              <w:rPr>
                <w:sz w:val="20"/>
                <w:lang w:val="fr-CA"/>
              </w:rPr>
            </w:pPr>
            <w:r w:rsidRPr="00C03148">
              <w:rPr>
                <w:sz w:val="20"/>
                <w:lang w:val="fr-CA"/>
              </w:rPr>
              <w:t>Droit des professions — Discipline — Infirmiers et infirmières — Droit administratif — Appels — Norme de contrôle — Appels prévus par la loi contre des décisions administratives relatives aux peines et aux frais — Comité d’enquête de l’Ordre professionnel qui impose une peine et des frais à une de ses membres — Cour d’appel rejetant l’appel interjeté par une de ses membres — La Cour d’appel s’est</w:t>
            </w:r>
            <w:r w:rsidRPr="00C03148">
              <w:rPr>
                <w:sz w:val="20"/>
                <w:lang w:val="fr-CA"/>
              </w:rPr>
              <w:noBreakHyphen/>
              <w:t xml:space="preserve">elle écartée du cadre d’analyse de la norme de contrôle applicable aux appels prévus par la loi, lequel est énoncé dans l’arrêt </w:t>
            </w:r>
            <w:r w:rsidRPr="00C03148">
              <w:rPr>
                <w:i/>
                <w:sz w:val="20"/>
                <w:lang w:val="fr-CA"/>
              </w:rPr>
              <w:t>Canada (Ministre de la Citoyenneté et de l’Immigration) c. Vavilov</w:t>
            </w:r>
            <w:r w:rsidRPr="00C03148">
              <w:rPr>
                <w:sz w:val="20"/>
                <w:lang w:val="fr-CA"/>
              </w:rPr>
              <w:t>, 2019 CSC 65, [2019] 4 R.C.S. 653, et a–t</w:t>
            </w:r>
            <w:r w:rsidRPr="00C03148">
              <w:rPr>
                <w:sz w:val="20"/>
                <w:lang w:val="fr-CA"/>
              </w:rPr>
              <w:noBreakHyphen/>
              <w:t>elle donc créé indûment de l’incertitude, de l’incohérence et l’inapplicabilité? — La Cour d’appel et le comité d’enquête ont</w:t>
            </w:r>
            <w:r w:rsidRPr="00C03148">
              <w:rPr>
                <w:sz w:val="20"/>
                <w:lang w:val="fr-CA"/>
              </w:rPr>
              <w:noBreakHyphen/>
              <w:t xml:space="preserve">ils omis d’appliquer le principe de conformité à la </w:t>
            </w:r>
            <w:r w:rsidRPr="00C03148">
              <w:rPr>
                <w:i/>
                <w:sz w:val="20"/>
                <w:lang w:val="fr-CA"/>
              </w:rPr>
              <w:t>Charte</w:t>
            </w:r>
            <w:r w:rsidRPr="00C03148">
              <w:rPr>
                <w:sz w:val="20"/>
                <w:lang w:val="fr-CA"/>
              </w:rPr>
              <w:t xml:space="preserve"> requis par l’arrêt </w:t>
            </w:r>
            <w:r w:rsidRPr="00C03148">
              <w:rPr>
                <w:i/>
                <w:sz w:val="20"/>
                <w:lang w:val="fr-CA"/>
              </w:rPr>
              <w:t>Doré c. Barreau du Québec</w:t>
            </w:r>
            <w:r w:rsidRPr="00C03148">
              <w:rPr>
                <w:sz w:val="20"/>
                <w:lang w:val="fr-CA"/>
              </w:rPr>
              <w:t xml:space="preserve">, 2012 CSC 12, [2012] 1 R.C.S. 395, s’abstenant ainsi d’engager la responsabilité du comité d’enquête au regard de la </w:t>
            </w:r>
            <w:r w:rsidRPr="00C03148">
              <w:rPr>
                <w:i/>
                <w:sz w:val="20"/>
                <w:lang w:val="fr-CA"/>
              </w:rPr>
              <w:t>Charte</w:t>
            </w:r>
            <w:r w:rsidRPr="00C03148">
              <w:rPr>
                <w:sz w:val="20"/>
                <w:lang w:val="fr-CA"/>
              </w:rPr>
              <w:t>? — Les défauts de la Cour d’appel et du comité d’enquête de prendre en compte l’incapacité du comité d’enquête d’effectuer un nouvel examen d’une décision et d’admettre de nouveaux éléments de preuve étaient</w:t>
            </w:r>
            <w:r w:rsidRPr="00C03148">
              <w:rPr>
                <w:sz w:val="20"/>
                <w:lang w:val="fr-CA"/>
              </w:rPr>
              <w:noBreakHyphen/>
              <w:t>ils incorrects? — Le fait que la Cour d’appel a appliqué les mauvaises normes de contrôle a</w:t>
            </w:r>
            <w:r w:rsidRPr="00C03148">
              <w:rPr>
                <w:sz w:val="20"/>
                <w:lang w:val="fr-CA"/>
              </w:rPr>
              <w:noBreakHyphen/>
              <w:t>t-il mené à des omissions en cascade de considérer des erreurs juridiques mixtes de faits et de droit isolables, manifestes et déterminantes? —</w:t>
            </w:r>
            <w:r w:rsidRPr="00C03148">
              <w:rPr>
                <w:i/>
                <w:sz w:val="20"/>
                <w:lang w:val="fr-CA"/>
              </w:rPr>
              <w:t xml:space="preserve"> Loi sur les professions de la santé réglementées</w:t>
            </w:r>
            <w:r w:rsidRPr="00C03148">
              <w:rPr>
                <w:sz w:val="20"/>
                <w:lang w:val="fr-CA"/>
              </w:rPr>
              <w:t>, C.P.L.M., c. R117.</w:t>
            </w:r>
          </w:p>
        </w:tc>
      </w:tr>
      <w:tr w:rsidR="00FC0780" w:rsidRPr="00E66AF5" w:rsidTr="00ED5D3D">
        <w:tc>
          <w:tcPr>
            <w:tcW w:w="5000" w:type="pct"/>
            <w:gridSpan w:val="4"/>
          </w:tcPr>
          <w:p w:rsidR="00FC0780" w:rsidRPr="00C03148" w:rsidRDefault="00FC0780" w:rsidP="00FC0780">
            <w:pPr>
              <w:jc w:val="both"/>
              <w:rPr>
                <w:sz w:val="20"/>
                <w:lang w:val="fr-CA"/>
              </w:rPr>
            </w:pPr>
          </w:p>
        </w:tc>
      </w:tr>
      <w:tr w:rsidR="00FC0780" w:rsidRPr="00E66AF5" w:rsidTr="00ED5D3D">
        <w:tc>
          <w:tcPr>
            <w:tcW w:w="5000" w:type="pct"/>
            <w:gridSpan w:val="4"/>
          </w:tcPr>
          <w:p w:rsidR="00FC0780" w:rsidRPr="00C03148" w:rsidRDefault="00FC0780" w:rsidP="00FC0780">
            <w:pPr>
              <w:jc w:val="both"/>
              <w:rPr>
                <w:sz w:val="20"/>
                <w:lang w:val="fr-CA"/>
              </w:rPr>
            </w:pPr>
            <w:r w:rsidRPr="00C03148">
              <w:rPr>
                <w:sz w:val="20"/>
                <w:lang w:val="fr-CA"/>
              </w:rPr>
              <w:t>La demanderesse, M</w:t>
            </w:r>
            <w:r w:rsidRPr="00C03148">
              <w:rPr>
                <w:sz w:val="20"/>
                <w:vertAlign w:val="superscript"/>
                <w:lang w:val="fr-CA"/>
              </w:rPr>
              <w:t>me</w:t>
            </w:r>
            <w:r w:rsidRPr="00C03148">
              <w:rPr>
                <w:sz w:val="20"/>
                <w:lang w:val="fr-CA"/>
              </w:rPr>
              <w:t> Hancock, était membre du College of Registered Nurses of Manitoba (« Ordre »). Un comité d’enquête de l’Ordre a tenu une audience sur la conduite de M</w:t>
            </w:r>
            <w:r w:rsidRPr="00C03148">
              <w:rPr>
                <w:sz w:val="20"/>
                <w:vertAlign w:val="superscript"/>
                <w:lang w:val="fr-CA"/>
              </w:rPr>
              <w:t>me</w:t>
            </w:r>
            <w:r w:rsidRPr="00C03148">
              <w:rPr>
                <w:sz w:val="20"/>
                <w:lang w:val="fr-CA"/>
              </w:rPr>
              <w:t> Hancock et il l’a déclarée coupable de faute professionnelle et d’être impossible à gérer. M</w:t>
            </w:r>
            <w:r w:rsidRPr="00C03148">
              <w:rPr>
                <w:sz w:val="20"/>
                <w:vertAlign w:val="superscript"/>
                <w:lang w:val="fr-CA"/>
              </w:rPr>
              <w:t>me</w:t>
            </w:r>
            <w:r w:rsidRPr="00C03148">
              <w:rPr>
                <w:sz w:val="20"/>
                <w:lang w:val="fr-CA"/>
              </w:rPr>
              <w:t xml:space="preserve"> Hancock n’a pas interjeté appel de cette décision à la Cour d’appel du Manitoba, même si la </w:t>
            </w:r>
            <w:r w:rsidRPr="00C03148">
              <w:rPr>
                <w:i/>
                <w:sz w:val="20"/>
                <w:lang w:val="fr-CA"/>
              </w:rPr>
              <w:t>Loi sur les professions de la santé réglementées</w:t>
            </w:r>
            <w:r w:rsidRPr="00C03148">
              <w:rPr>
                <w:sz w:val="20"/>
                <w:lang w:val="fr-CA"/>
              </w:rPr>
              <w:t>, C.P.L.M., c. R117, le lui permettait. Elle a plutôt sollicité un nouvel examen de la décision lors d’une audience subséquente tenue afin de déterminer la peine à lui infliger. Le comité d’enquête a refusé de réexaminer sa décision relative à la faute professionnelle. Il a ordonné que l’inscription de M</w:t>
            </w:r>
            <w:r w:rsidRPr="00C03148">
              <w:rPr>
                <w:sz w:val="20"/>
                <w:vertAlign w:val="superscript"/>
                <w:lang w:val="fr-CA"/>
              </w:rPr>
              <w:t>me</w:t>
            </w:r>
            <w:r w:rsidRPr="00C03148">
              <w:rPr>
                <w:sz w:val="20"/>
                <w:lang w:val="fr-CA"/>
              </w:rPr>
              <w:t xml:space="preserve"> Hancock au titre de la </w:t>
            </w:r>
            <w:r w:rsidRPr="00C03148">
              <w:rPr>
                <w:i/>
                <w:sz w:val="20"/>
                <w:lang w:val="fr-CA"/>
              </w:rPr>
              <w:t>Loi sur les professions de la santé réglementées</w:t>
            </w:r>
            <w:r w:rsidRPr="00C03148">
              <w:rPr>
                <w:sz w:val="20"/>
                <w:lang w:val="fr-CA"/>
              </w:rPr>
              <w:t xml:space="preserve"> soit annulée et qu’elle paye des frais d’un montant de 40 000 $. M</w:t>
            </w:r>
            <w:r w:rsidRPr="00C03148">
              <w:rPr>
                <w:sz w:val="20"/>
                <w:vertAlign w:val="superscript"/>
                <w:lang w:val="fr-CA"/>
              </w:rPr>
              <w:t>me</w:t>
            </w:r>
            <w:r w:rsidRPr="00C03148">
              <w:rPr>
                <w:sz w:val="20"/>
                <w:lang w:val="fr-CA"/>
              </w:rPr>
              <w:t> Hancock a interjeté appel de cette décision</w:t>
            </w:r>
            <w:r w:rsidRPr="00C03148">
              <w:rPr>
                <w:sz w:val="20"/>
                <w:lang w:val="fr-CA"/>
              </w:rPr>
              <w:noBreakHyphen/>
              <w:t>là. La Cour d’appel du Manitoba a rejeté son appel. Elle a conclu qu’elle n’avait pas la compétence requise pour entendre la décision portant sur la faute professionnelle, car cette décision n’était pas soumise à un appel. Elle a décidé qu’il n’y avait pas d’erreur susceptible de contrôle dans la décision du comité d’enquête concernant la peine et les frais.</w:t>
            </w:r>
          </w:p>
          <w:p w:rsidR="00FC0780" w:rsidRPr="00C03148" w:rsidRDefault="00FC0780" w:rsidP="00FC0780">
            <w:pPr>
              <w:jc w:val="both"/>
              <w:rPr>
                <w:sz w:val="20"/>
                <w:lang w:val="fr-CA"/>
              </w:rPr>
            </w:pPr>
          </w:p>
        </w:tc>
      </w:tr>
      <w:tr w:rsidR="00FC0780" w:rsidRPr="00E66AF5" w:rsidTr="00ED5D3D">
        <w:tc>
          <w:tcPr>
            <w:tcW w:w="2427" w:type="pct"/>
            <w:gridSpan w:val="2"/>
          </w:tcPr>
          <w:p w:rsidR="00FC0780" w:rsidRPr="00C03148" w:rsidRDefault="00FC0780" w:rsidP="00FC0780">
            <w:pPr>
              <w:jc w:val="both"/>
              <w:rPr>
                <w:sz w:val="20"/>
              </w:rPr>
            </w:pPr>
            <w:r w:rsidRPr="00C03148">
              <w:rPr>
                <w:sz w:val="20"/>
              </w:rPr>
              <w:t>12 mai 2021</w:t>
            </w:r>
          </w:p>
          <w:p w:rsidR="00FC0780" w:rsidRPr="00C03148" w:rsidRDefault="00FC0780" w:rsidP="00FC0780">
            <w:pPr>
              <w:jc w:val="both"/>
              <w:rPr>
                <w:sz w:val="20"/>
              </w:rPr>
            </w:pPr>
            <w:r w:rsidRPr="00C03148">
              <w:rPr>
                <w:sz w:val="20"/>
              </w:rPr>
              <w:t xml:space="preserve">College of Registered Nurses of Manitoba </w:t>
            </w:r>
          </w:p>
          <w:p w:rsidR="00FC0780" w:rsidRPr="00C03148" w:rsidRDefault="00FC0780" w:rsidP="00FC0780">
            <w:pPr>
              <w:jc w:val="both"/>
              <w:rPr>
                <w:sz w:val="20"/>
                <w:lang w:val="fr-CA"/>
              </w:rPr>
            </w:pPr>
            <w:r w:rsidRPr="00C03148">
              <w:rPr>
                <w:sz w:val="20"/>
                <w:lang w:val="fr-CA"/>
              </w:rPr>
              <w:t xml:space="preserve">Formation du comité d’enquête </w:t>
            </w:r>
          </w:p>
          <w:p w:rsidR="00FC0780" w:rsidRPr="00C03148" w:rsidRDefault="00FC0780" w:rsidP="00FC0780">
            <w:pPr>
              <w:jc w:val="both"/>
              <w:rPr>
                <w:sz w:val="20"/>
                <w:lang w:val="fr-CA"/>
              </w:rPr>
            </w:pPr>
            <w:r w:rsidRPr="00C03148">
              <w:rPr>
                <w:sz w:val="20"/>
                <w:lang w:val="fr-CA"/>
              </w:rPr>
              <w:t>(Sandy Forrest, présidente)</w:t>
            </w:r>
          </w:p>
          <w:p w:rsidR="00FC0780" w:rsidRPr="00C03148" w:rsidRDefault="00FC0780" w:rsidP="00FC0780">
            <w:pPr>
              <w:jc w:val="both"/>
              <w:rPr>
                <w:sz w:val="20"/>
                <w:lang w:val="fr-CA"/>
              </w:rPr>
            </w:pPr>
            <w:r w:rsidRPr="00C03148">
              <w:rPr>
                <w:sz w:val="20"/>
                <w:lang w:val="fr-CA"/>
              </w:rPr>
              <w:t>Non-publiée</w:t>
            </w:r>
          </w:p>
          <w:p w:rsidR="00FC0780" w:rsidRPr="00C03148" w:rsidRDefault="00FC0780" w:rsidP="00FC0780">
            <w:pPr>
              <w:jc w:val="both"/>
              <w:rPr>
                <w:sz w:val="20"/>
                <w:lang w:val="fr-CA"/>
              </w:rPr>
            </w:pPr>
          </w:p>
        </w:tc>
        <w:tc>
          <w:tcPr>
            <w:tcW w:w="243" w:type="pct"/>
          </w:tcPr>
          <w:p w:rsidR="00FC0780" w:rsidRPr="00C03148" w:rsidRDefault="00FC0780" w:rsidP="00FC0780">
            <w:pPr>
              <w:jc w:val="both"/>
              <w:rPr>
                <w:sz w:val="20"/>
                <w:lang w:val="fr-CA"/>
              </w:rPr>
            </w:pPr>
          </w:p>
        </w:tc>
        <w:tc>
          <w:tcPr>
            <w:tcW w:w="2330" w:type="pct"/>
          </w:tcPr>
          <w:p w:rsidR="00FC0780" w:rsidRPr="00C03148" w:rsidRDefault="00FC0780" w:rsidP="00FC0780">
            <w:pPr>
              <w:jc w:val="both"/>
              <w:rPr>
                <w:sz w:val="20"/>
                <w:lang w:val="fr-CA"/>
              </w:rPr>
            </w:pPr>
            <w:r w:rsidRPr="00C03148">
              <w:rPr>
                <w:sz w:val="20"/>
                <w:lang w:val="fr-CA"/>
              </w:rPr>
              <w:t xml:space="preserve">Conclusion selon laquelle la décision antérieure du comité concluant à la faute professionnelle est définitive et non susceptible d’être annulée ou réexaminée. Certificat de pratique de la demanderesse révoqué et frais ordonnés contre la demanderesse. </w:t>
            </w:r>
          </w:p>
        </w:tc>
      </w:tr>
      <w:tr w:rsidR="00FC0780" w:rsidRPr="00E66AF5" w:rsidTr="00ED5D3D">
        <w:tc>
          <w:tcPr>
            <w:tcW w:w="2427" w:type="pct"/>
            <w:gridSpan w:val="2"/>
          </w:tcPr>
          <w:p w:rsidR="00FC0780" w:rsidRPr="00C03148" w:rsidRDefault="00FC0780" w:rsidP="00FC0780">
            <w:pPr>
              <w:jc w:val="both"/>
              <w:rPr>
                <w:sz w:val="20"/>
                <w:lang w:val="fr-CA"/>
              </w:rPr>
            </w:pPr>
            <w:r w:rsidRPr="00C03148">
              <w:rPr>
                <w:sz w:val="20"/>
                <w:lang w:val="fr-CA"/>
              </w:rPr>
              <w:t>7 septembre 2022</w:t>
            </w:r>
          </w:p>
          <w:p w:rsidR="00FC0780" w:rsidRPr="00C03148" w:rsidRDefault="00FC0780" w:rsidP="00FC0780">
            <w:pPr>
              <w:jc w:val="both"/>
              <w:rPr>
                <w:sz w:val="20"/>
                <w:lang w:val="fr-CA"/>
              </w:rPr>
            </w:pPr>
            <w:r w:rsidRPr="00C03148">
              <w:rPr>
                <w:sz w:val="20"/>
                <w:lang w:val="fr-CA"/>
              </w:rPr>
              <w:t>Cour d’appel du Manitoba</w:t>
            </w:r>
          </w:p>
          <w:p w:rsidR="00FC0780" w:rsidRPr="00C03148" w:rsidRDefault="00FC0780" w:rsidP="00FC0780">
            <w:pPr>
              <w:jc w:val="both"/>
              <w:rPr>
                <w:sz w:val="20"/>
                <w:lang w:val="fr-CA"/>
              </w:rPr>
            </w:pPr>
            <w:r w:rsidRPr="00C03148">
              <w:rPr>
                <w:sz w:val="20"/>
                <w:lang w:val="fr-CA"/>
              </w:rPr>
              <w:t>(juges Cameron, Mainella, et Pfuetzner)</w:t>
            </w:r>
          </w:p>
          <w:p w:rsidR="00FC0780" w:rsidRPr="00C03148" w:rsidRDefault="00E66AF5" w:rsidP="00FC0780">
            <w:pPr>
              <w:jc w:val="both"/>
              <w:rPr>
                <w:sz w:val="20"/>
                <w:lang w:val="fr-CA"/>
              </w:rPr>
            </w:pPr>
            <w:hyperlink r:id="rId20" w:history="1">
              <w:r w:rsidR="00FC0780" w:rsidRPr="00C03148">
                <w:rPr>
                  <w:rStyle w:val="Hyperlink"/>
                  <w:sz w:val="20"/>
                  <w:lang w:val="fr-CA"/>
                </w:rPr>
                <w:t>2022 MBCA 70</w:t>
              </w:r>
            </w:hyperlink>
            <w:r w:rsidR="00FC0780" w:rsidRPr="00C03148">
              <w:rPr>
                <w:sz w:val="20"/>
                <w:lang w:val="fr-CA"/>
              </w:rPr>
              <w:t xml:space="preserve"> (Dossier : AI21-30-09681)</w:t>
            </w:r>
          </w:p>
          <w:p w:rsidR="00FC0780" w:rsidRPr="00C03148" w:rsidRDefault="00FC0780" w:rsidP="00FC0780">
            <w:pPr>
              <w:jc w:val="both"/>
              <w:rPr>
                <w:sz w:val="20"/>
                <w:lang w:val="fr-CA"/>
              </w:rPr>
            </w:pPr>
          </w:p>
        </w:tc>
        <w:tc>
          <w:tcPr>
            <w:tcW w:w="243" w:type="pct"/>
          </w:tcPr>
          <w:p w:rsidR="00FC0780" w:rsidRPr="00C03148" w:rsidRDefault="00FC0780" w:rsidP="00FC0780">
            <w:pPr>
              <w:jc w:val="both"/>
              <w:rPr>
                <w:sz w:val="20"/>
                <w:lang w:val="fr-CA"/>
              </w:rPr>
            </w:pPr>
          </w:p>
        </w:tc>
        <w:tc>
          <w:tcPr>
            <w:tcW w:w="2330" w:type="pct"/>
          </w:tcPr>
          <w:p w:rsidR="00FC0780" w:rsidRPr="00C03148" w:rsidRDefault="00FC0780" w:rsidP="00FC0780">
            <w:pPr>
              <w:jc w:val="both"/>
              <w:rPr>
                <w:sz w:val="20"/>
                <w:lang w:val="fr-CA"/>
              </w:rPr>
            </w:pPr>
            <w:r w:rsidRPr="00C03148">
              <w:rPr>
                <w:sz w:val="20"/>
                <w:lang w:val="fr-CA"/>
              </w:rPr>
              <w:t>Rejet de l’appel de la demanderesse.</w:t>
            </w:r>
          </w:p>
          <w:p w:rsidR="00FC0780" w:rsidRPr="00C03148" w:rsidRDefault="00FC0780" w:rsidP="00FC0780">
            <w:pPr>
              <w:jc w:val="both"/>
              <w:rPr>
                <w:sz w:val="20"/>
                <w:lang w:val="fr-CA"/>
              </w:rPr>
            </w:pPr>
          </w:p>
        </w:tc>
      </w:tr>
      <w:tr w:rsidR="00FC0780" w:rsidRPr="00E66AF5" w:rsidTr="00ED5D3D">
        <w:tc>
          <w:tcPr>
            <w:tcW w:w="2427" w:type="pct"/>
            <w:gridSpan w:val="2"/>
          </w:tcPr>
          <w:p w:rsidR="00FC0780" w:rsidRPr="00C03148" w:rsidRDefault="00FC0780" w:rsidP="00FC0780">
            <w:pPr>
              <w:jc w:val="both"/>
              <w:rPr>
                <w:sz w:val="20"/>
                <w:lang w:val="fr-CA"/>
              </w:rPr>
            </w:pPr>
            <w:r w:rsidRPr="00C03148">
              <w:rPr>
                <w:sz w:val="20"/>
                <w:lang w:val="fr-CA"/>
              </w:rPr>
              <w:t>29 novembre 2022</w:t>
            </w:r>
          </w:p>
          <w:p w:rsidR="00FC0780" w:rsidRPr="00C03148" w:rsidRDefault="00FC0780" w:rsidP="00FC0780">
            <w:pPr>
              <w:jc w:val="both"/>
              <w:rPr>
                <w:sz w:val="20"/>
                <w:lang w:val="fr-CA"/>
              </w:rPr>
            </w:pPr>
            <w:r w:rsidRPr="00C03148">
              <w:rPr>
                <w:sz w:val="20"/>
                <w:lang w:val="fr-CA"/>
              </w:rPr>
              <w:t>Cour suprême du Canada</w:t>
            </w:r>
          </w:p>
          <w:p w:rsidR="00FC0780" w:rsidRPr="00C03148" w:rsidRDefault="00FC0780" w:rsidP="00FC0780">
            <w:pPr>
              <w:jc w:val="both"/>
              <w:rPr>
                <w:sz w:val="20"/>
                <w:lang w:val="fr-CA"/>
              </w:rPr>
            </w:pPr>
          </w:p>
        </w:tc>
        <w:tc>
          <w:tcPr>
            <w:tcW w:w="243" w:type="pct"/>
          </w:tcPr>
          <w:p w:rsidR="00FC0780" w:rsidRPr="00C03148" w:rsidRDefault="00FC0780" w:rsidP="00FC0780">
            <w:pPr>
              <w:jc w:val="both"/>
              <w:rPr>
                <w:sz w:val="20"/>
                <w:lang w:val="fr-CA"/>
              </w:rPr>
            </w:pPr>
          </w:p>
        </w:tc>
        <w:tc>
          <w:tcPr>
            <w:tcW w:w="2330" w:type="pct"/>
          </w:tcPr>
          <w:p w:rsidR="00FC0780" w:rsidRPr="00C03148" w:rsidRDefault="00FC0780" w:rsidP="00FC0780">
            <w:pPr>
              <w:jc w:val="both"/>
              <w:rPr>
                <w:sz w:val="20"/>
                <w:lang w:val="fr-CA"/>
              </w:rPr>
            </w:pPr>
            <w:r w:rsidRPr="00C03148">
              <w:rPr>
                <w:sz w:val="20"/>
                <w:lang w:val="fr-CA"/>
              </w:rPr>
              <w:t>Dépôts de la demande d’autorisation d’appel et de la requête en vue de la prorogation du délai pour signifier et déposer la demande d’appel.</w:t>
            </w:r>
          </w:p>
        </w:tc>
      </w:tr>
    </w:tbl>
    <w:p w:rsidR="00FC0780" w:rsidRPr="00C03148" w:rsidRDefault="00FC0780" w:rsidP="00FC0780">
      <w:pPr>
        <w:jc w:val="both"/>
        <w:rPr>
          <w:sz w:val="20"/>
          <w:lang w:val="fr-CA"/>
        </w:rPr>
      </w:pPr>
    </w:p>
    <w:p w:rsidR="002D3AC0" w:rsidRPr="00C03148" w:rsidRDefault="00E66AF5" w:rsidP="00142166">
      <w:pPr>
        <w:widowControl w:val="0"/>
        <w:jc w:val="both"/>
        <w:rPr>
          <w:sz w:val="20"/>
          <w:lang w:val="fr-CA"/>
        </w:rPr>
      </w:pPr>
      <w:r>
        <w:rPr>
          <w:sz w:val="20"/>
        </w:rPr>
        <w:pict>
          <v:rect id="_x0000_i1034" style="width:2in;height:1pt" o:hrpct="0" o:hralign="center" o:hrstd="t" o:hrnoshade="t" o:hr="t" fillcolor="black [3213]" stroked="f"/>
        </w:pict>
      </w:r>
    </w:p>
    <w:p w:rsidR="00311655" w:rsidRPr="00C03148" w:rsidRDefault="00311655" w:rsidP="00350651">
      <w:pPr>
        <w:ind w:left="142" w:hanging="142"/>
        <w:jc w:val="both"/>
        <w:rPr>
          <w:sz w:val="20"/>
        </w:rPr>
      </w:pPr>
    </w:p>
    <w:p w:rsidR="008F2F11" w:rsidRPr="00C03148" w:rsidRDefault="008F2F11" w:rsidP="00350651">
      <w:pPr>
        <w:ind w:left="142" w:hanging="142"/>
        <w:jc w:val="both"/>
        <w:rPr>
          <w:sz w:val="20"/>
        </w:rPr>
      </w:pPr>
    </w:p>
    <w:p w:rsidR="008F2F11" w:rsidRPr="00C03148" w:rsidRDefault="008F2F11" w:rsidP="00350651">
      <w:pPr>
        <w:ind w:left="142" w:hanging="142"/>
        <w:jc w:val="both"/>
        <w:rPr>
          <w:sz w:val="20"/>
        </w:rPr>
      </w:pPr>
    </w:p>
    <w:p w:rsidR="00D3344A" w:rsidRPr="00C03148" w:rsidRDefault="00D3344A" w:rsidP="00D3344A">
      <w:pPr>
        <w:widowControl w:val="0"/>
        <w:outlineLvl w:val="0"/>
        <w:rPr>
          <w:sz w:val="20"/>
        </w:rPr>
      </w:pPr>
      <w:r w:rsidRPr="00C03148">
        <w:rPr>
          <w:sz w:val="20"/>
        </w:rPr>
        <w:t xml:space="preserve">Supreme Court of Canada / Cour suprême du </w:t>
      </w:r>
      <w:proofErr w:type="gramStart"/>
      <w:r w:rsidRPr="00C03148">
        <w:rPr>
          <w:sz w:val="20"/>
        </w:rPr>
        <w:t>Canad</w:t>
      </w:r>
      <w:r w:rsidR="00EE289F" w:rsidRPr="00C03148">
        <w:rPr>
          <w:sz w:val="20"/>
        </w:rPr>
        <w:t>a</w:t>
      </w:r>
      <w:r w:rsidRPr="00C03148">
        <w:rPr>
          <w:sz w:val="20"/>
        </w:rPr>
        <w:t xml:space="preserve"> :</w:t>
      </w:r>
      <w:proofErr w:type="gramEnd"/>
    </w:p>
    <w:p w:rsidR="00D3344A" w:rsidRPr="00C03148" w:rsidRDefault="00E66AF5" w:rsidP="00D3344A">
      <w:pPr>
        <w:widowControl w:val="0"/>
        <w:outlineLvl w:val="0"/>
        <w:rPr>
          <w:sz w:val="20"/>
          <w:u w:val="single"/>
        </w:rPr>
      </w:pPr>
      <w:hyperlink r:id="rId21" w:history="1">
        <w:r w:rsidR="009B7391" w:rsidRPr="00C03148">
          <w:rPr>
            <w:rStyle w:val="Hyperlink"/>
            <w:sz w:val="20"/>
          </w:rPr>
          <w:t>comments-commentaires@scc-csc.ca</w:t>
        </w:r>
      </w:hyperlink>
    </w:p>
    <w:p w:rsidR="00D3344A" w:rsidRPr="00C03148" w:rsidRDefault="0065588C" w:rsidP="00D3344A">
      <w:pPr>
        <w:widowControl w:val="0"/>
        <w:outlineLvl w:val="0"/>
        <w:rPr>
          <w:sz w:val="20"/>
        </w:rPr>
      </w:pPr>
      <w:r w:rsidRPr="00C03148">
        <w:rPr>
          <w:sz w:val="20"/>
        </w:rPr>
        <w:t>613-</w:t>
      </w:r>
      <w:r w:rsidR="00D3344A" w:rsidRPr="00C03148">
        <w:rPr>
          <w:sz w:val="20"/>
        </w:rPr>
        <w:t>995-4330</w:t>
      </w:r>
    </w:p>
    <w:p w:rsidR="00497B5E" w:rsidRPr="00C03148" w:rsidRDefault="00497B5E" w:rsidP="00497B5E">
      <w:pPr>
        <w:widowControl w:val="0"/>
        <w:rPr>
          <w:sz w:val="20"/>
        </w:rPr>
      </w:pPr>
    </w:p>
    <w:p w:rsidR="00F6251B" w:rsidRPr="007607A2" w:rsidRDefault="003F43E6" w:rsidP="00F6251B">
      <w:pPr>
        <w:pStyle w:val="Footer"/>
        <w:jc w:val="center"/>
        <w:rPr>
          <w:sz w:val="20"/>
        </w:rPr>
      </w:pPr>
      <w:r w:rsidRPr="00C03148">
        <w:rPr>
          <w:sz w:val="20"/>
        </w:rPr>
        <w:t>- 30 -</w:t>
      </w:r>
    </w:p>
    <w:sectPr w:rsidR="00F6251B" w:rsidRPr="007607A2" w:rsidSect="00E62F93">
      <w:headerReference w:type="even" r:id="rId22"/>
      <w:headerReference w:type="default" r:id="rId23"/>
      <w:footerReference w:type="even" r:id="rId24"/>
      <w:footerReference w:type="default" r:id="rId25"/>
      <w:headerReference w:type="first" r:id="rId26"/>
      <w:footerReference w:type="first" r:id="rId2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CE" w:rsidRDefault="00ED2DCE" w:rsidP="0034178A">
      <w:r>
        <w:separator/>
      </w:r>
    </w:p>
  </w:endnote>
  <w:endnote w:type="continuationSeparator" w:id="0">
    <w:p w:rsidR="00ED2DCE" w:rsidRDefault="00ED2DC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Default="00ED2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Pr="009F77F0" w:rsidRDefault="00ED2DC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Default="00ED2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CE" w:rsidRDefault="00ED2DCE" w:rsidP="0034178A">
      <w:r>
        <w:separator/>
      </w:r>
    </w:p>
  </w:footnote>
  <w:footnote w:type="continuationSeparator" w:id="0">
    <w:p w:rsidR="00ED2DCE" w:rsidRDefault="00ED2DC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Default="00ED2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Default="00ED2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CE" w:rsidRDefault="00ED2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3"/>
  </w:num>
  <w:num w:numId="3">
    <w:abstractNumId w:val="35"/>
  </w:num>
  <w:num w:numId="4">
    <w:abstractNumId w:val="16"/>
  </w:num>
  <w:num w:numId="5">
    <w:abstractNumId w:val="12"/>
  </w:num>
  <w:num w:numId="6">
    <w:abstractNumId w:val="30"/>
  </w:num>
  <w:num w:numId="7">
    <w:abstractNumId w:val="27"/>
  </w:num>
  <w:num w:numId="8">
    <w:abstractNumId w:val="32"/>
  </w:num>
  <w:num w:numId="9">
    <w:abstractNumId w:val="4"/>
  </w:num>
  <w:num w:numId="10">
    <w:abstractNumId w:val="9"/>
  </w:num>
  <w:num w:numId="11">
    <w:abstractNumId w:val="1"/>
  </w:num>
  <w:num w:numId="12">
    <w:abstractNumId w:val="29"/>
  </w:num>
  <w:num w:numId="13">
    <w:abstractNumId w:val="2"/>
  </w:num>
  <w:num w:numId="14">
    <w:abstractNumId w:val="15"/>
  </w:num>
  <w:num w:numId="15">
    <w:abstractNumId w:val="6"/>
  </w:num>
  <w:num w:numId="16">
    <w:abstractNumId w:val="10"/>
  </w:num>
  <w:num w:numId="17">
    <w:abstractNumId w:val="33"/>
  </w:num>
  <w:num w:numId="18">
    <w:abstractNumId w:val="20"/>
  </w:num>
  <w:num w:numId="19">
    <w:abstractNumId w:val="13"/>
  </w:num>
  <w:num w:numId="20">
    <w:abstractNumId w:val="26"/>
  </w:num>
  <w:num w:numId="21">
    <w:abstractNumId w:val="8"/>
  </w:num>
  <w:num w:numId="22">
    <w:abstractNumId w:val="31"/>
  </w:num>
  <w:num w:numId="23">
    <w:abstractNumId w:val="25"/>
  </w:num>
  <w:num w:numId="24">
    <w:abstractNumId w:val="19"/>
  </w:num>
  <w:num w:numId="25">
    <w:abstractNumId w:val="22"/>
  </w:num>
  <w:num w:numId="26">
    <w:abstractNumId w:val="28"/>
  </w:num>
  <w:num w:numId="27">
    <w:abstractNumId w:val="18"/>
  </w:num>
  <w:num w:numId="28">
    <w:abstractNumId w:val="5"/>
  </w:num>
  <w:num w:numId="29">
    <w:abstractNumId w:val="24"/>
  </w:num>
  <w:num w:numId="30">
    <w:abstractNumId w:val="17"/>
  </w:num>
  <w:num w:numId="31">
    <w:abstractNumId w:val="7"/>
  </w:num>
  <w:num w:numId="32">
    <w:abstractNumId w:val="21"/>
  </w:num>
  <w:num w:numId="33">
    <w:abstractNumId w:val="3"/>
  </w:num>
  <w:num w:numId="34">
    <w:abstractNumId w:val="0"/>
  </w:num>
  <w:num w:numId="35">
    <w:abstractNumId w:val="14"/>
  </w:num>
  <w:num w:numId="36">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79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2D2C"/>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66AF5"/>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9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419" TargetMode="External"/><Relationship Id="rId13" Type="http://schemas.openxmlformats.org/officeDocument/2006/relationships/hyperlink" Target="https://www.canlii.org/fr/qc/qccs/doc/2019/2019qccs3181/2019qccs3181.html?autocompleteStr=2019%20QCCS%203181&amp;autocompletePos=1" TargetMode="External"/><Relationship Id="rId18" Type="http://schemas.openxmlformats.org/officeDocument/2006/relationships/hyperlink" Target="https://canlii.ca/t/jrg0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canlii.org/fr/qc/qcca/doc/2022/2022qcca1105/2022qcca1105.html?autocompleteStr=2022%20QCCA%201105&amp;autocompletePos=1" TargetMode="External"/><Relationship Id="rId17" Type="http://schemas.openxmlformats.org/officeDocument/2006/relationships/hyperlink" Target="https://canlii.ca/t/jdqp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anlii.ca/t/jrg0h" TargetMode="External"/><Relationship Id="rId20" Type="http://schemas.openxmlformats.org/officeDocument/2006/relationships/hyperlink" Target="https://www.canlii.org/en/mb/mbca/doc/2022/2022mbca70/2022mbca70.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fr/qc/qccs/doc/2019/2019qccs3181/2019qccs3181.html?autocompleteStr=2019%20QCCS%203181&amp;autocompletePos=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nlii.ca/t/jdqp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eng.aspx?cas=40473" TargetMode="External"/><Relationship Id="rId19" Type="http://schemas.openxmlformats.org/officeDocument/2006/relationships/hyperlink" Target="https://www.canlii.org/en/mb/mbca/doc/2022/2022mbca70/2022mbca70.html" TargetMode="External"/><Relationship Id="rId4" Type="http://schemas.openxmlformats.org/officeDocument/2006/relationships/settings" Target="settings.xml"/><Relationship Id="rId9" Type="http://schemas.openxmlformats.org/officeDocument/2006/relationships/hyperlink" Target="https://www.scc-csc.ca/case-dossier/info/sum-som-eng.aspx?cas=40420" TargetMode="External"/><Relationship Id="rId14" Type="http://schemas.openxmlformats.org/officeDocument/2006/relationships/hyperlink" Target="https://www.canlii.org/fr/qc/qcca/doc/2022/2022qcca1105/2022qcca1105.html?autocompleteStr=2022%20QCCA%201105&amp;autocompletePos=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E8BB-903A-4265-8C85-F59DE47D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2023-03-29T13:38:00Z</dcterms:created>
  <dcterms:modified xsi:type="dcterms:W3CDTF">2023-04-21T14:31:00Z</dcterms:modified>
</cp:coreProperties>
</file>