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40161" w:rsidRDefault="002A192B" w:rsidP="00346405">
      <w:pPr>
        <w:pStyle w:val="Header"/>
        <w:jc w:val="center"/>
        <w:rPr>
          <w:b/>
          <w:sz w:val="32"/>
        </w:rPr>
      </w:pPr>
      <w:r w:rsidRPr="00E40161">
        <w:rPr>
          <w:b/>
          <w:sz w:val="32"/>
        </w:rPr>
        <w:t>Supreme Court of Canada / Cour suprême du Canada</w:t>
      </w:r>
    </w:p>
    <w:p w:rsidR="002A192B" w:rsidRPr="00E40161" w:rsidRDefault="002A192B" w:rsidP="00346405">
      <w:pPr>
        <w:widowControl w:val="0"/>
        <w:rPr>
          <w:i/>
        </w:rPr>
      </w:pPr>
    </w:p>
    <w:p w:rsidR="002A192B" w:rsidRPr="00E40161" w:rsidRDefault="002A192B" w:rsidP="00346405">
      <w:pPr>
        <w:widowControl w:val="0"/>
        <w:rPr>
          <w:i/>
        </w:rPr>
      </w:pPr>
    </w:p>
    <w:p w:rsidR="001C4415" w:rsidRPr="00E40161" w:rsidRDefault="001C4415" w:rsidP="00346405">
      <w:pPr>
        <w:widowControl w:val="0"/>
        <w:rPr>
          <w:i/>
          <w:sz w:val="20"/>
        </w:rPr>
      </w:pPr>
      <w:r w:rsidRPr="00E40161">
        <w:rPr>
          <w:i/>
          <w:sz w:val="20"/>
        </w:rPr>
        <w:t>(</w:t>
      </w:r>
      <w:r w:rsidR="003C50BF" w:rsidRPr="00E40161">
        <w:rPr>
          <w:i/>
          <w:sz w:val="20"/>
        </w:rPr>
        <w:t>Le</w:t>
      </w:r>
      <w:r w:rsidRPr="00E40161">
        <w:rPr>
          <w:i/>
          <w:sz w:val="20"/>
        </w:rPr>
        <w:t xml:space="preserve"> français suit)</w:t>
      </w:r>
    </w:p>
    <w:p w:rsidR="001C4415" w:rsidRPr="00E40161" w:rsidRDefault="001C4415" w:rsidP="00346405">
      <w:pPr>
        <w:widowControl w:val="0"/>
      </w:pPr>
    </w:p>
    <w:p w:rsidR="001C4415" w:rsidRPr="00E40161" w:rsidRDefault="000347C1" w:rsidP="00346405">
      <w:pPr>
        <w:widowControl w:val="0"/>
        <w:jc w:val="center"/>
        <w:rPr>
          <w:b/>
        </w:rPr>
      </w:pPr>
      <w:r w:rsidRPr="00E40161">
        <w:fldChar w:fldCharType="begin"/>
      </w:r>
      <w:r w:rsidR="00FA7412" w:rsidRPr="00E40161">
        <w:instrText xml:space="preserve"> SEQ CHAPTER \h \r 1</w:instrText>
      </w:r>
      <w:r w:rsidRPr="00E40161">
        <w:fldChar w:fldCharType="end"/>
      </w:r>
      <w:r w:rsidR="00455BB9" w:rsidRPr="00E40161">
        <w:rPr>
          <w:b/>
        </w:rPr>
        <w:t>JUDGMENT</w:t>
      </w:r>
      <w:r w:rsidR="00FA7412" w:rsidRPr="00E40161">
        <w:rPr>
          <w:b/>
        </w:rPr>
        <w:t xml:space="preserve"> TO BE RENDERED IN APPEA</w:t>
      </w:r>
      <w:r w:rsidR="00CC2799" w:rsidRPr="00E40161">
        <w:rPr>
          <w:b/>
        </w:rPr>
        <w:t>L</w:t>
      </w:r>
    </w:p>
    <w:p w:rsidR="005A7C1B" w:rsidRPr="00E40161" w:rsidRDefault="005A7C1B" w:rsidP="00346405">
      <w:pPr>
        <w:widowControl w:val="0"/>
      </w:pPr>
    </w:p>
    <w:p w:rsidR="00EC79B0" w:rsidRPr="00E40161" w:rsidRDefault="00C13CC9" w:rsidP="00346405">
      <w:pPr>
        <w:widowControl w:val="0"/>
      </w:pPr>
      <w:r w:rsidRPr="00E40161">
        <w:rPr>
          <w:b/>
        </w:rPr>
        <w:t>April</w:t>
      </w:r>
      <w:r w:rsidR="00C86395" w:rsidRPr="00E40161">
        <w:rPr>
          <w:b/>
        </w:rPr>
        <w:t xml:space="preserve"> </w:t>
      </w:r>
      <w:r w:rsidR="00E40161" w:rsidRPr="00E40161">
        <w:rPr>
          <w:b/>
        </w:rPr>
        <w:t>24</w:t>
      </w:r>
      <w:r w:rsidR="00EC79B0" w:rsidRPr="00E40161">
        <w:rPr>
          <w:b/>
        </w:rPr>
        <w:t>, 2</w:t>
      </w:r>
      <w:r w:rsidR="00E6600C" w:rsidRPr="00E40161">
        <w:rPr>
          <w:b/>
        </w:rPr>
        <w:t>0</w:t>
      </w:r>
      <w:r w:rsidR="009544E9" w:rsidRPr="00E40161">
        <w:rPr>
          <w:b/>
        </w:rPr>
        <w:t>2</w:t>
      </w:r>
      <w:r w:rsidR="005C0628" w:rsidRPr="00E40161">
        <w:rPr>
          <w:b/>
        </w:rPr>
        <w:t>3</w:t>
      </w:r>
    </w:p>
    <w:p w:rsidR="00EC79B0" w:rsidRPr="00E40161" w:rsidRDefault="00EC79B0" w:rsidP="00346405">
      <w:pPr>
        <w:widowControl w:val="0"/>
        <w:rPr>
          <w:b/>
        </w:rPr>
      </w:pPr>
      <w:r w:rsidRPr="00E40161">
        <w:rPr>
          <w:b/>
        </w:rPr>
        <w:t>For immediate release</w:t>
      </w:r>
    </w:p>
    <w:p w:rsidR="00EC79B0" w:rsidRPr="00E40161" w:rsidRDefault="00EC79B0" w:rsidP="00346405">
      <w:pPr>
        <w:widowControl w:val="0"/>
      </w:pPr>
    </w:p>
    <w:p w:rsidR="00EC79B0" w:rsidRPr="00E40161" w:rsidRDefault="00EC79B0" w:rsidP="00346405">
      <w:pPr>
        <w:widowControl w:val="0"/>
        <w:rPr>
          <w:lang w:val="fr-CA"/>
        </w:rPr>
      </w:pPr>
      <w:r w:rsidRPr="00E40161">
        <w:rPr>
          <w:b/>
        </w:rPr>
        <w:t>OTTAWA</w:t>
      </w:r>
      <w:r w:rsidRPr="00E40161">
        <w:t xml:space="preserve"> – The Supreme Court of Canad</w:t>
      </w:r>
      <w:r w:rsidR="00455BB9" w:rsidRPr="00E40161">
        <w:t>a announced today that judgment</w:t>
      </w:r>
      <w:r w:rsidRPr="00E40161">
        <w:t xml:space="preserve"> in the following appeal will be delivered at 9:45 a.m. E</w:t>
      </w:r>
      <w:r w:rsidR="001D312F" w:rsidRPr="00E40161">
        <w:t>D</w:t>
      </w:r>
      <w:r w:rsidR="00DC6C1E" w:rsidRPr="00E40161">
        <w:t>T</w:t>
      </w:r>
      <w:r w:rsidR="00D74667" w:rsidRPr="00E40161">
        <w:t xml:space="preserve"> on</w:t>
      </w:r>
      <w:r w:rsidR="00DC6C1E" w:rsidRPr="00E40161">
        <w:t xml:space="preserve"> </w:t>
      </w:r>
      <w:r w:rsidR="00E40161" w:rsidRPr="00E40161">
        <w:t>Friday</w:t>
      </w:r>
      <w:r w:rsidR="000A7900" w:rsidRPr="00E40161">
        <w:t xml:space="preserve">, </w:t>
      </w:r>
      <w:r w:rsidR="00C13CC9" w:rsidRPr="00E40161">
        <w:t>April</w:t>
      </w:r>
      <w:r w:rsidR="004E605A" w:rsidRPr="00E40161">
        <w:t xml:space="preserve"> </w:t>
      </w:r>
      <w:r w:rsidR="00E40161" w:rsidRPr="00E40161">
        <w:t>28</w:t>
      </w:r>
      <w:r w:rsidR="00E63199" w:rsidRPr="00E40161">
        <w:t>, 2</w:t>
      </w:r>
      <w:r w:rsidR="0086609D" w:rsidRPr="00E40161">
        <w:t>0</w:t>
      </w:r>
      <w:r w:rsidR="009544E9" w:rsidRPr="00E40161">
        <w:t>2</w:t>
      </w:r>
      <w:r w:rsidR="005C0628" w:rsidRPr="00E40161">
        <w:t>3</w:t>
      </w:r>
      <w:r w:rsidR="00455BB9" w:rsidRPr="00E40161">
        <w:t xml:space="preserve">. </w:t>
      </w:r>
      <w:r w:rsidR="00455BB9" w:rsidRPr="00E40161">
        <w:rPr>
          <w:lang w:val="fr-CA"/>
        </w:rPr>
        <w:t>This</w:t>
      </w:r>
      <w:r w:rsidRPr="00E40161">
        <w:rPr>
          <w:lang w:val="fr-CA"/>
        </w:rPr>
        <w:t xml:space="preserve"> list is subject to change.</w:t>
      </w:r>
    </w:p>
    <w:p w:rsidR="001F76DD" w:rsidRPr="00E40161" w:rsidRDefault="001F76DD" w:rsidP="00346405">
      <w:pPr>
        <w:widowControl w:val="0"/>
        <w:rPr>
          <w:szCs w:val="24"/>
          <w:lang w:val="fr-CA"/>
        </w:rPr>
      </w:pPr>
    </w:p>
    <w:p w:rsidR="001C4415" w:rsidRPr="00E40161" w:rsidRDefault="001C4415" w:rsidP="00346405">
      <w:pPr>
        <w:widowControl w:val="0"/>
        <w:rPr>
          <w:lang w:val="fr-CA"/>
        </w:rPr>
      </w:pPr>
    </w:p>
    <w:p w:rsidR="001335A1" w:rsidRPr="00E40161" w:rsidRDefault="001335A1" w:rsidP="00346405">
      <w:pPr>
        <w:widowControl w:val="0"/>
        <w:jc w:val="center"/>
        <w:rPr>
          <w:b/>
          <w:lang w:val="fr-CA"/>
        </w:rPr>
      </w:pPr>
      <w:r w:rsidRPr="00E40161">
        <w:rPr>
          <w:b/>
          <w:lang w:val="fr-CA"/>
        </w:rPr>
        <w:t>PROCHAIN JUGEMENT</w:t>
      </w:r>
      <w:r w:rsidR="00455BB9" w:rsidRPr="00E40161">
        <w:rPr>
          <w:b/>
          <w:lang w:val="fr-CA"/>
        </w:rPr>
        <w:t xml:space="preserve"> SUR APPEL</w:t>
      </w:r>
    </w:p>
    <w:p w:rsidR="001335A1" w:rsidRPr="00E40161" w:rsidRDefault="001335A1" w:rsidP="00346405">
      <w:pPr>
        <w:widowControl w:val="0"/>
        <w:rPr>
          <w:lang w:val="fr-CA"/>
        </w:rPr>
      </w:pPr>
    </w:p>
    <w:p w:rsidR="00EC79B0" w:rsidRPr="00E40161" w:rsidRDefault="00EC79B0" w:rsidP="00346405">
      <w:pPr>
        <w:widowControl w:val="0"/>
        <w:rPr>
          <w:lang w:val="fr-CA"/>
        </w:rPr>
      </w:pPr>
      <w:r w:rsidRPr="00E40161">
        <w:rPr>
          <w:b/>
          <w:lang w:val="fr-CA"/>
        </w:rPr>
        <w:t xml:space="preserve">Le </w:t>
      </w:r>
      <w:r w:rsidR="00E40161" w:rsidRPr="00E40161">
        <w:rPr>
          <w:b/>
          <w:lang w:val="fr-CA"/>
        </w:rPr>
        <w:t>24</w:t>
      </w:r>
      <w:r w:rsidR="00FA5450" w:rsidRPr="00E40161">
        <w:rPr>
          <w:b/>
          <w:lang w:val="fr-CA"/>
        </w:rPr>
        <w:t xml:space="preserve"> </w:t>
      </w:r>
      <w:r w:rsidR="00DA73D5" w:rsidRPr="00E40161">
        <w:rPr>
          <w:b/>
          <w:lang w:val="fr-CA"/>
        </w:rPr>
        <w:t>a</w:t>
      </w:r>
      <w:r w:rsidR="00C13CC9" w:rsidRPr="00E40161">
        <w:rPr>
          <w:b/>
          <w:lang w:val="fr-CA"/>
        </w:rPr>
        <w:t xml:space="preserve">vril </w:t>
      </w:r>
      <w:r w:rsidR="0086609D" w:rsidRPr="00E40161">
        <w:rPr>
          <w:b/>
          <w:lang w:val="fr-CA"/>
        </w:rPr>
        <w:t>20</w:t>
      </w:r>
      <w:r w:rsidR="009544E9" w:rsidRPr="00E40161">
        <w:rPr>
          <w:b/>
          <w:lang w:val="fr-CA"/>
        </w:rPr>
        <w:t>2</w:t>
      </w:r>
      <w:r w:rsidR="005C0628" w:rsidRPr="00E40161">
        <w:rPr>
          <w:b/>
          <w:lang w:val="fr-CA"/>
        </w:rPr>
        <w:t>3</w:t>
      </w:r>
    </w:p>
    <w:p w:rsidR="00EC79B0" w:rsidRPr="00E40161" w:rsidRDefault="00EC79B0" w:rsidP="00346405">
      <w:pPr>
        <w:widowControl w:val="0"/>
        <w:rPr>
          <w:b/>
          <w:lang w:val="fr-CA"/>
        </w:rPr>
      </w:pPr>
      <w:r w:rsidRPr="00E40161">
        <w:rPr>
          <w:b/>
          <w:lang w:val="fr-CA"/>
        </w:rPr>
        <w:t>Pour diffusion immédiate</w:t>
      </w:r>
    </w:p>
    <w:p w:rsidR="00EC79B0" w:rsidRPr="00E40161" w:rsidRDefault="00EC79B0" w:rsidP="00346405">
      <w:pPr>
        <w:widowControl w:val="0"/>
        <w:rPr>
          <w:lang w:val="fr-CA"/>
        </w:rPr>
      </w:pPr>
    </w:p>
    <w:p w:rsidR="00EC79B0" w:rsidRPr="00E40161" w:rsidRDefault="00EC79B0" w:rsidP="00346405">
      <w:pPr>
        <w:widowControl w:val="0"/>
        <w:rPr>
          <w:lang w:val="fr-CA"/>
        </w:rPr>
      </w:pPr>
      <w:r w:rsidRPr="00E40161">
        <w:rPr>
          <w:b/>
          <w:lang w:val="fr-CA"/>
        </w:rPr>
        <w:t>OTTAWA</w:t>
      </w:r>
      <w:r w:rsidRPr="00E40161">
        <w:rPr>
          <w:lang w:val="fr-CA"/>
        </w:rPr>
        <w:t xml:space="preserve"> – La Cour suprême du Canada annonce que jugement ser</w:t>
      </w:r>
      <w:r w:rsidR="00204750" w:rsidRPr="00E40161">
        <w:rPr>
          <w:lang w:val="fr-CA"/>
        </w:rPr>
        <w:t>a</w:t>
      </w:r>
      <w:r w:rsidRPr="00E40161">
        <w:rPr>
          <w:lang w:val="fr-CA"/>
        </w:rPr>
        <w:t xml:space="preserve"> rendu dans </w:t>
      </w:r>
      <w:r w:rsidR="001F1643" w:rsidRPr="00E40161">
        <w:rPr>
          <w:lang w:val="fr-CA"/>
        </w:rPr>
        <w:t>l</w:t>
      </w:r>
      <w:r w:rsidR="00204750" w:rsidRPr="00E40161">
        <w:rPr>
          <w:lang w:val="fr-CA"/>
        </w:rPr>
        <w:t>’</w:t>
      </w:r>
      <w:r w:rsidR="001F1643" w:rsidRPr="00E40161">
        <w:rPr>
          <w:lang w:val="fr-CA"/>
        </w:rPr>
        <w:t xml:space="preserve">appel </w:t>
      </w:r>
      <w:r w:rsidRPr="00E40161">
        <w:rPr>
          <w:lang w:val="fr-CA"/>
        </w:rPr>
        <w:t xml:space="preserve">suivant le </w:t>
      </w:r>
      <w:r w:rsidR="00E40161" w:rsidRPr="00E40161">
        <w:rPr>
          <w:lang w:val="fr-CA"/>
        </w:rPr>
        <w:t>v</w:t>
      </w:r>
      <w:r w:rsidR="001D312F" w:rsidRPr="00E40161">
        <w:rPr>
          <w:lang w:val="fr-CA"/>
        </w:rPr>
        <w:t>e</w:t>
      </w:r>
      <w:r w:rsidR="00E40161" w:rsidRPr="00E40161">
        <w:rPr>
          <w:lang w:val="fr-CA"/>
        </w:rPr>
        <w:t>ndre</w:t>
      </w:r>
      <w:r w:rsidR="001D312F" w:rsidRPr="00E40161">
        <w:rPr>
          <w:lang w:val="fr-CA"/>
        </w:rPr>
        <w:t>di</w:t>
      </w:r>
      <w:r w:rsidR="007C1648" w:rsidRPr="00E40161">
        <w:rPr>
          <w:lang w:val="fr-CA"/>
        </w:rPr>
        <w:t xml:space="preserve"> </w:t>
      </w:r>
      <w:r w:rsidR="00E40161" w:rsidRPr="00E40161">
        <w:rPr>
          <w:lang w:val="fr-CA"/>
        </w:rPr>
        <w:t>28</w:t>
      </w:r>
      <w:r w:rsidR="00F62251" w:rsidRPr="00E40161">
        <w:rPr>
          <w:lang w:val="fr-CA"/>
        </w:rPr>
        <w:t xml:space="preserve"> </w:t>
      </w:r>
      <w:r w:rsidR="00DA73D5" w:rsidRPr="00E40161">
        <w:rPr>
          <w:lang w:val="fr-CA"/>
        </w:rPr>
        <w:t>a</w:t>
      </w:r>
      <w:r w:rsidR="00C13CC9" w:rsidRPr="00E40161">
        <w:rPr>
          <w:lang w:val="fr-CA"/>
        </w:rPr>
        <w:t>v</w:t>
      </w:r>
      <w:r w:rsidR="00DA73D5" w:rsidRPr="00E40161">
        <w:rPr>
          <w:lang w:val="fr-CA"/>
        </w:rPr>
        <w:t>r</w:t>
      </w:r>
      <w:r w:rsidR="00C13CC9" w:rsidRPr="00E40161">
        <w:rPr>
          <w:lang w:val="fr-CA"/>
        </w:rPr>
        <w:t>il</w:t>
      </w:r>
      <w:r w:rsidR="00282563" w:rsidRPr="00E40161">
        <w:rPr>
          <w:lang w:val="fr-CA"/>
        </w:rPr>
        <w:t xml:space="preserve"> </w:t>
      </w:r>
      <w:r w:rsidRPr="00E40161">
        <w:rPr>
          <w:lang w:val="fr-CA"/>
        </w:rPr>
        <w:t>20</w:t>
      </w:r>
      <w:r w:rsidR="009544E9" w:rsidRPr="00E40161">
        <w:rPr>
          <w:lang w:val="fr-CA"/>
        </w:rPr>
        <w:t>2</w:t>
      </w:r>
      <w:r w:rsidR="005C0628" w:rsidRPr="00E40161">
        <w:rPr>
          <w:lang w:val="fr-CA"/>
        </w:rPr>
        <w:t>3</w:t>
      </w:r>
      <w:r w:rsidRPr="00E40161">
        <w:rPr>
          <w:lang w:val="fr-CA"/>
        </w:rPr>
        <w:t>, à 9 h 45 H</w:t>
      </w:r>
      <w:r w:rsidR="001D312F" w:rsidRPr="00E40161">
        <w:rPr>
          <w:lang w:val="fr-CA"/>
        </w:rPr>
        <w:t>A</w:t>
      </w:r>
      <w:r w:rsidRPr="00E40161">
        <w:rPr>
          <w:lang w:val="fr-CA"/>
        </w:rPr>
        <w:t>E. Cette liste est sujette à modifications.</w:t>
      </w:r>
    </w:p>
    <w:p w:rsidR="001F76DD" w:rsidRPr="00E40161" w:rsidRDefault="001F76DD" w:rsidP="00346405">
      <w:pPr>
        <w:widowControl w:val="0"/>
        <w:jc w:val="both"/>
        <w:rPr>
          <w:szCs w:val="24"/>
          <w:lang w:val="fr-CA"/>
        </w:rPr>
      </w:pPr>
    </w:p>
    <w:p w:rsidR="00EF4622" w:rsidRPr="00E40161" w:rsidRDefault="00E40161" w:rsidP="00346405">
      <w:pPr>
        <w:widowControl w:val="0"/>
        <w:jc w:val="both"/>
        <w:rPr>
          <w:szCs w:val="24"/>
          <w:lang w:val="fr-CA"/>
        </w:rPr>
      </w:pPr>
      <w:r w:rsidRPr="00E40161">
        <w:rPr>
          <w:sz w:val="20"/>
        </w:rPr>
        <w:pict>
          <v:rect id="_x0000_i1025" style="width:2in;height:1pt" o:hrpct="0" o:hralign="center" o:hrstd="t" o:hrnoshade="t" o:hr="t" fillcolor="black [3213]" stroked="f"/>
        </w:pict>
      </w:r>
    </w:p>
    <w:p w:rsidR="001335A1" w:rsidRPr="00E40161" w:rsidRDefault="001335A1" w:rsidP="00346405">
      <w:pPr>
        <w:widowControl w:val="0"/>
        <w:rPr>
          <w:szCs w:val="24"/>
          <w:lang w:val="fr-CA"/>
        </w:rPr>
      </w:pPr>
    </w:p>
    <w:p w:rsidR="00DA73D5" w:rsidRPr="00E40161" w:rsidRDefault="00E40161" w:rsidP="00DA73D5">
      <w:pPr>
        <w:jc w:val="both"/>
        <w:rPr>
          <w:szCs w:val="24"/>
        </w:rPr>
      </w:pPr>
      <w:r w:rsidRPr="00E40161">
        <w:rPr>
          <w:i/>
          <w:szCs w:val="24"/>
        </w:rPr>
        <w:t>His Majesty the King v. Matthew James Johnston, et al.</w:t>
      </w:r>
      <w:r w:rsidR="00DA73D5" w:rsidRPr="00E40161">
        <w:rPr>
          <w:i/>
          <w:szCs w:val="24"/>
        </w:rPr>
        <w:t xml:space="preserve"> </w:t>
      </w:r>
      <w:r w:rsidR="00DA73D5" w:rsidRPr="00E40161">
        <w:rPr>
          <w:szCs w:val="24"/>
        </w:rPr>
        <w:t>(</w:t>
      </w:r>
      <w:r w:rsidRPr="00E40161">
        <w:rPr>
          <w:szCs w:val="24"/>
        </w:rPr>
        <w:t>B.C</w:t>
      </w:r>
      <w:r w:rsidR="00DA73D5" w:rsidRPr="00E40161">
        <w:rPr>
          <w:szCs w:val="24"/>
        </w:rPr>
        <w:t>.) (</w:t>
      </w:r>
      <w:hyperlink r:id="rId7" w:history="1">
        <w:r w:rsidR="001D312F" w:rsidRPr="00E40161">
          <w:rPr>
            <w:rStyle w:val="Hyperlink"/>
            <w:szCs w:val="24"/>
          </w:rPr>
          <w:t>39</w:t>
        </w:r>
        <w:r w:rsidRPr="00E40161">
          <w:rPr>
            <w:rStyle w:val="Hyperlink"/>
            <w:szCs w:val="24"/>
          </w:rPr>
          <w:t>635</w:t>
        </w:r>
      </w:hyperlink>
      <w:r w:rsidR="00DA73D5" w:rsidRPr="00E40161">
        <w:rPr>
          <w:szCs w:val="24"/>
        </w:rPr>
        <w:t>)</w:t>
      </w:r>
    </w:p>
    <w:p w:rsidR="000E38C2" w:rsidRPr="00E40161" w:rsidRDefault="000E38C2" w:rsidP="00346405">
      <w:pPr>
        <w:jc w:val="both"/>
        <w:rPr>
          <w:sz w:val="20"/>
        </w:rPr>
      </w:pPr>
    </w:p>
    <w:p w:rsidR="00E40161" w:rsidRPr="00E40161" w:rsidRDefault="00E40161" w:rsidP="00346405">
      <w:pPr>
        <w:jc w:val="both"/>
        <w:rPr>
          <w:sz w:val="20"/>
        </w:rPr>
      </w:pPr>
    </w:p>
    <w:p w:rsidR="00E40161" w:rsidRPr="00E40161" w:rsidRDefault="00E40161" w:rsidP="00E40161">
      <w:pPr>
        <w:widowControl w:val="0"/>
        <w:tabs>
          <w:tab w:val="left" w:pos="900"/>
        </w:tabs>
        <w:ind w:left="1440" w:hanging="1440"/>
        <w:jc w:val="both"/>
        <w:rPr>
          <w:b/>
          <w:i/>
          <w:sz w:val="20"/>
          <w:lang w:val="en-CA"/>
        </w:rPr>
      </w:pPr>
      <w:r w:rsidRPr="00E40161">
        <w:rPr>
          <w:sz w:val="20"/>
          <w:lang w:val="en-CA"/>
        </w:rPr>
        <w:fldChar w:fldCharType="begin"/>
      </w:r>
      <w:r w:rsidRPr="00E40161">
        <w:rPr>
          <w:sz w:val="20"/>
        </w:rPr>
        <w:instrText xml:space="preserve"> SEQ CHAPTER \h \r 1</w:instrText>
      </w:r>
      <w:r w:rsidRPr="00E40161">
        <w:rPr>
          <w:sz w:val="20"/>
        </w:rPr>
        <w:fldChar w:fldCharType="end"/>
      </w:r>
      <w:r w:rsidRPr="00E40161">
        <w:rPr>
          <w:b/>
          <w:sz w:val="20"/>
          <w:lang w:val="en-CA"/>
        </w:rPr>
        <w:t>39635</w:t>
      </w:r>
      <w:r w:rsidRPr="00E40161">
        <w:rPr>
          <w:sz w:val="20"/>
          <w:lang w:val="en-CA"/>
        </w:rPr>
        <w:tab/>
      </w:r>
      <w:bookmarkStart w:id="0" w:name="3"/>
      <w:bookmarkEnd w:id="0"/>
      <w:r w:rsidRPr="00E40161">
        <w:rPr>
          <w:b/>
          <w:i/>
          <w:sz w:val="20"/>
          <w:lang w:val="en-CA"/>
        </w:rPr>
        <w:t>His Majesty the King v. Matthew James Johnston, et al.</w:t>
      </w:r>
    </w:p>
    <w:p w:rsidR="00E40161" w:rsidRPr="00E40161" w:rsidRDefault="00E40161" w:rsidP="00E40161">
      <w:pPr>
        <w:widowControl w:val="0"/>
        <w:tabs>
          <w:tab w:val="left" w:pos="900"/>
        </w:tabs>
        <w:ind w:left="1440" w:hanging="1440"/>
        <w:jc w:val="both"/>
        <w:rPr>
          <w:sz w:val="20"/>
          <w:lang w:val="en-CA"/>
        </w:rPr>
      </w:pPr>
      <w:r w:rsidRPr="00E40161">
        <w:rPr>
          <w:sz w:val="20"/>
          <w:lang w:val="en-CA"/>
        </w:rPr>
        <w:tab/>
        <w:t>(B.C.) (Criminal) (By Leave)</w:t>
      </w:r>
    </w:p>
    <w:p w:rsidR="00E40161" w:rsidRPr="00E40161" w:rsidRDefault="00E40161" w:rsidP="00E40161">
      <w:pPr>
        <w:widowControl w:val="0"/>
        <w:jc w:val="both"/>
        <w:rPr>
          <w:sz w:val="20"/>
          <w:lang w:val="en-CA"/>
        </w:rPr>
      </w:pPr>
    </w:p>
    <w:p w:rsidR="00E40161" w:rsidRPr="00E40161" w:rsidRDefault="00E40161" w:rsidP="00E40161">
      <w:pPr>
        <w:widowControl w:val="0"/>
        <w:jc w:val="both"/>
        <w:rPr>
          <w:smallCaps/>
          <w:sz w:val="20"/>
          <w:lang w:val="en-CA"/>
        </w:rPr>
      </w:pPr>
      <w:r w:rsidRPr="00E40161">
        <w:rPr>
          <w:smallCaps/>
          <w:sz w:val="20"/>
          <w:lang w:val="en-CA"/>
        </w:rPr>
        <w:t>(Publication ban in case) (Sealing order) (Certain information not available to the public)</w:t>
      </w:r>
    </w:p>
    <w:p w:rsidR="00E40161" w:rsidRPr="00E40161" w:rsidRDefault="00E40161" w:rsidP="00E40161">
      <w:pPr>
        <w:jc w:val="both"/>
        <w:rPr>
          <w:sz w:val="20"/>
          <w:lang w:val="en-CA"/>
        </w:rPr>
      </w:pPr>
    </w:p>
    <w:p w:rsidR="00E40161" w:rsidRPr="00E40161" w:rsidRDefault="00E40161" w:rsidP="00E40161">
      <w:pPr>
        <w:widowControl w:val="0"/>
        <w:jc w:val="both"/>
        <w:rPr>
          <w:sz w:val="20"/>
          <w:lang w:val="en-CA"/>
        </w:rPr>
      </w:pPr>
      <w:r w:rsidRPr="00E40161">
        <w:rPr>
          <w:i/>
          <w:sz w:val="20"/>
          <w:lang w:val="en-CA"/>
        </w:rPr>
        <w:t xml:space="preserve">Charter of Rights </w:t>
      </w:r>
      <w:r w:rsidRPr="00E40161">
        <w:rPr>
          <w:sz w:val="20"/>
          <w:lang w:val="en-CA"/>
        </w:rPr>
        <w:t>— Criminal law — Stay of proceedings — Abuse of process — Summary dismissal of applications — Whether, and to what extent, a judge is permitted to assess or weigh an applicant’s proposed evidence when determining whether to permit a full evidentiary hearing on an application for a stay of proceedings for abuse of process — Whether the Court of Appeal applied too low a threshold for determining whether a full evidentiary hearing is required on an application for a stay of proceedings for abuse of process.</w:t>
      </w:r>
    </w:p>
    <w:p w:rsidR="00E40161" w:rsidRPr="00E40161" w:rsidRDefault="00E40161" w:rsidP="00E40161">
      <w:pPr>
        <w:jc w:val="both"/>
        <w:rPr>
          <w:sz w:val="20"/>
          <w:lang w:val="en-CA"/>
        </w:rPr>
      </w:pPr>
    </w:p>
    <w:p w:rsidR="00E40161" w:rsidRPr="00E40161" w:rsidRDefault="00E40161" w:rsidP="00E40161">
      <w:pPr>
        <w:widowControl w:val="0"/>
        <w:jc w:val="both"/>
        <w:rPr>
          <w:sz w:val="20"/>
          <w:lang w:val="en-CA"/>
        </w:rPr>
      </w:pPr>
      <w:r w:rsidRPr="00E40161">
        <w:rPr>
          <w:sz w:val="20"/>
          <w:lang w:val="en-CA"/>
        </w:rPr>
        <w:t xml:space="preserve">The respondents were found guilty of six counts of first degree murder and one count of conspiracy to commit murder. The respondents filed applications for stays of proceedings pursuant to s. 24(1) of the </w:t>
      </w:r>
      <w:r w:rsidRPr="00E40161">
        <w:rPr>
          <w:i/>
          <w:sz w:val="20"/>
          <w:lang w:val="en-CA"/>
        </w:rPr>
        <w:t>Charter</w:t>
      </w:r>
      <w:r w:rsidRPr="00E40161">
        <w:rPr>
          <w:sz w:val="20"/>
          <w:lang w:val="en-CA"/>
        </w:rPr>
        <w:t>, alleging abuses of process due to police misconduct during the investigation, and also because of their conditions while in pre-trial custody. The Crown applied for summary dismissal of the applications. Finding that the serious nature of the offences committed by the respondents could not justify a stay of proceedings, the trial judge allowed the Crown’s applications for summary dismissal, dismissed the respondents’ applications for stays of proceedings, and entered convictions. The Court of Appeal for British Columbia dismissed the respondents’ ground of appeal relating to non-disclosure of evidence, but allowed the respondents’ appeal in part, quashed the convictions but affirmed the verdicts of guilt, and ordered that the matter be remitted to the trial court for an evidentiary hearing on the respondents’ applications for a stay of proceedings for abuse of process.</w:t>
      </w:r>
    </w:p>
    <w:p w:rsidR="00E40161" w:rsidRPr="00E40161" w:rsidRDefault="00E40161" w:rsidP="00E40161">
      <w:pPr>
        <w:widowControl w:val="0"/>
        <w:jc w:val="both"/>
        <w:rPr>
          <w:sz w:val="20"/>
          <w:lang w:val="en-CA"/>
        </w:rPr>
      </w:pPr>
    </w:p>
    <w:p w:rsidR="00E40161" w:rsidRPr="00E40161" w:rsidRDefault="00E40161" w:rsidP="00E40161">
      <w:pPr>
        <w:widowControl w:val="0"/>
        <w:jc w:val="both"/>
        <w:rPr>
          <w:sz w:val="20"/>
          <w:lang w:val="en-CA"/>
        </w:rPr>
      </w:pPr>
      <w:r w:rsidRPr="00E40161">
        <w:rPr>
          <w:sz w:val="20"/>
        </w:rPr>
        <w:pict>
          <v:rect id="_x0000_i1028" style="width:2in;height:1pt" o:hrpct="0" o:hralign="center" o:hrstd="t" o:hrnoshade="t" o:hr="t" fillcolor="black [3213]" stroked="f"/>
        </w:pict>
      </w:r>
    </w:p>
    <w:p w:rsidR="00E40161" w:rsidRPr="00E40161" w:rsidRDefault="00E40161" w:rsidP="00E40161">
      <w:pPr>
        <w:widowControl w:val="0"/>
        <w:jc w:val="both"/>
        <w:rPr>
          <w:sz w:val="20"/>
          <w:lang w:val="en-CA"/>
        </w:rPr>
      </w:pPr>
    </w:p>
    <w:p w:rsidR="00E40161" w:rsidRPr="00E40161" w:rsidRDefault="00E40161" w:rsidP="00E40161">
      <w:pPr>
        <w:pStyle w:val="SCCLsocParty"/>
        <w:rPr>
          <w:b/>
          <w:sz w:val="20"/>
          <w:szCs w:val="20"/>
        </w:rPr>
      </w:pPr>
      <w:r w:rsidRPr="00E40161">
        <w:rPr>
          <w:rStyle w:val="SCCFileNumberChar"/>
          <w:i w:val="0"/>
          <w:sz w:val="20"/>
          <w:szCs w:val="20"/>
          <w:lang w:val="fr-CA"/>
        </w:rPr>
        <w:t>39635</w:t>
      </w:r>
      <w:r w:rsidRPr="00E40161">
        <w:rPr>
          <w:rStyle w:val="SCCFileNumberChar"/>
          <w:i w:val="0"/>
          <w:sz w:val="20"/>
          <w:szCs w:val="20"/>
          <w:lang w:val="fr-CA"/>
        </w:rPr>
        <w:tab/>
      </w:r>
      <w:r w:rsidRPr="00E40161">
        <w:rPr>
          <w:b/>
          <w:sz w:val="20"/>
          <w:szCs w:val="20"/>
        </w:rPr>
        <w:t>Sa Majesté le Roi c. Matthew James Johnston, et al.</w:t>
      </w:r>
    </w:p>
    <w:p w:rsidR="00E40161" w:rsidRPr="00E40161" w:rsidRDefault="00E40161" w:rsidP="00E40161">
      <w:pPr>
        <w:widowControl w:val="0"/>
        <w:ind w:left="360" w:firstLine="360"/>
        <w:jc w:val="both"/>
        <w:rPr>
          <w:sz w:val="20"/>
          <w:lang w:val="en-CA"/>
        </w:rPr>
      </w:pPr>
      <w:r w:rsidRPr="00E40161">
        <w:rPr>
          <w:sz w:val="20"/>
        </w:rPr>
        <w:t>(C.</w:t>
      </w:r>
      <w:r w:rsidRPr="00E40161">
        <w:rPr>
          <w:sz w:val="20"/>
        </w:rPr>
        <w:noBreakHyphen/>
        <w:t>B.) (Criminelle) (Autorisation)</w:t>
      </w:r>
    </w:p>
    <w:p w:rsidR="00E40161" w:rsidRPr="00E40161" w:rsidRDefault="00E40161" w:rsidP="00E40161">
      <w:pPr>
        <w:pStyle w:val="SCCBanSummary"/>
        <w:rPr>
          <w:sz w:val="20"/>
          <w:szCs w:val="20"/>
          <w:lang w:val="fr-CA"/>
        </w:rPr>
      </w:pPr>
    </w:p>
    <w:p w:rsidR="00E40161" w:rsidRPr="00E40161" w:rsidRDefault="00E40161" w:rsidP="00E40161">
      <w:pPr>
        <w:pStyle w:val="SCCBanSummary"/>
        <w:rPr>
          <w:sz w:val="20"/>
          <w:szCs w:val="20"/>
          <w:lang w:val="fr-CA"/>
        </w:rPr>
      </w:pPr>
      <w:r w:rsidRPr="00E40161">
        <w:rPr>
          <w:sz w:val="20"/>
          <w:szCs w:val="20"/>
          <w:lang w:val="fr-CA"/>
        </w:rPr>
        <w:t>(Ordonnance de non</w:t>
      </w:r>
      <w:r w:rsidRPr="00E40161">
        <w:rPr>
          <w:sz w:val="20"/>
          <w:szCs w:val="20"/>
          <w:lang w:val="fr-CA"/>
        </w:rPr>
        <w:noBreakHyphen/>
        <w:t>publication dans le dossier) (ordonnance de mise sous scellés) (certains renseignements non disponibles pour le public)</w:t>
      </w:r>
    </w:p>
    <w:p w:rsidR="00E40161" w:rsidRPr="00E40161" w:rsidRDefault="00E40161" w:rsidP="00E40161">
      <w:pPr>
        <w:jc w:val="both"/>
        <w:rPr>
          <w:sz w:val="20"/>
          <w:lang w:val="fr-CA"/>
        </w:rPr>
      </w:pPr>
    </w:p>
    <w:p w:rsidR="00E40161" w:rsidRPr="00E40161" w:rsidRDefault="00E40161" w:rsidP="00E40161">
      <w:pPr>
        <w:widowControl w:val="0"/>
        <w:jc w:val="both"/>
        <w:rPr>
          <w:sz w:val="20"/>
          <w:lang w:val="fr-CA"/>
        </w:rPr>
      </w:pPr>
      <w:r w:rsidRPr="00E40161">
        <w:rPr>
          <w:i/>
          <w:sz w:val="20"/>
          <w:lang w:val="fr-CA"/>
        </w:rPr>
        <w:t xml:space="preserve">Charte des droits </w:t>
      </w:r>
      <w:r w:rsidRPr="00E40161">
        <w:rPr>
          <w:sz w:val="20"/>
          <w:lang w:val="fr-CA"/>
        </w:rPr>
        <w:t>— Droit criminel — Suspension de l’instance — Abus de procédures — Rejet sommaire des demandes — Lorsqu’il décide s’il autorise une audition complète de la preuve dans une demande de suspension de l’instance pour abus de procédures, le juge peut</w:t>
      </w:r>
      <w:r w:rsidRPr="00E40161">
        <w:rPr>
          <w:sz w:val="20"/>
          <w:lang w:val="fr-CA"/>
        </w:rPr>
        <w:noBreakHyphen/>
        <w:t>il évaluer ou soupeser la preuve présentée par le demandeur, et si oui, dans quelle mesure? — La Cour d’appel a</w:t>
      </w:r>
      <w:r w:rsidRPr="00E40161">
        <w:rPr>
          <w:sz w:val="20"/>
          <w:lang w:val="fr-CA"/>
        </w:rPr>
        <w:noBreakHyphen/>
        <w:t>t</w:t>
      </w:r>
      <w:r w:rsidRPr="00E40161">
        <w:rPr>
          <w:sz w:val="20"/>
          <w:lang w:val="fr-CA"/>
        </w:rPr>
        <w:noBreakHyphen/>
        <w:t>elle adopté un seuil trop bas pour déterminer si une audition complète de la preuve est nécessaire dans une demande de suspension de l’instance pour abus de procédures?</w:t>
      </w:r>
    </w:p>
    <w:p w:rsidR="00E40161" w:rsidRPr="00E40161" w:rsidRDefault="00E40161" w:rsidP="00E40161">
      <w:pPr>
        <w:widowControl w:val="0"/>
        <w:jc w:val="both"/>
        <w:rPr>
          <w:sz w:val="20"/>
          <w:lang w:val="fr-CA"/>
        </w:rPr>
      </w:pPr>
    </w:p>
    <w:p w:rsidR="00E40161" w:rsidRPr="00E40161" w:rsidRDefault="00E40161" w:rsidP="00E40161">
      <w:pPr>
        <w:jc w:val="both"/>
        <w:rPr>
          <w:sz w:val="20"/>
          <w:lang w:val="fr-CA"/>
        </w:rPr>
      </w:pPr>
      <w:r w:rsidRPr="00E40161">
        <w:rPr>
          <w:sz w:val="20"/>
          <w:lang w:val="fr-CA"/>
        </w:rPr>
        <w:t xml:space="preserve">Les intimés ont été déclarés coupables de six chefs d’accusation de meurtre au premier degré et d’un chef d’accusation de complot en vue de commettre un meurtre. Les intimés ont déposé des demandes de suspension de l’instance, au titre du par. 24(1) de la </w:t>
      </w:r>
      <w:r w:rsidRPr="00E40161">
        <w:rPr>
          <w:i/>
          <w:sz w:val="20"/>
          <w:lang w:val="fr-CA"/>
        </w:rPr>
        <w:t>Charte</w:t>
      </w:r>
      <w:r w:rsidRPr="00E40161">
        <w:rPr>
          <w:sz w:val="20"/>
          <w:lang w:val="fr-CA"/>
        </w:rPr>
        <w:t>, faisant valoir que des abus de procédures avaient été commis, en raison de la conduite répréhensible des policiers pendant l’enquête et aussi de leurs conditions pendant leur détention avant le procès. La Couronne a sollicité le rejet sommaire des demandes. Concluant que la nature grave des infractions commises par les intimés ne pouvait pas justifier une suspension de l’instance, le juge du procès a accueilli les demandes de la Couronne en vue du rejet sommaire, a rejeté les demandes des intimés visant la suspension de l’instance, et a prononcé les déclarations de culpabilité. La Cour d’appel de la Colombie</w:t>
      </w:r>
      <w:r w:rsidRPr="00E40161">
        <w:rPr>
          <w:sz w:val="20"/>
          <w:lang w:val="fr-CA"/>
        </w:rPr>
        <w:noBreakHyphen/>
        <w:t>Britannique a rejeté le moyen d’appel lié à la non</w:t>
      </w:r>
      <w:r w:rsidRPr="00E40161">
        <w:rPr>
          <w:sz w:val="20"/>
          <w:lang w:val="fr-CA"/>
        </w:rPr>
        <w:noBreakHyphen/>
        <w:t>communication de la preuve avancé par les intimés, mais a accueilli en partie l’appel interjeté par les intimés, a écarté les déclarations de culpabilité, mais a confirmé les verdicts de culpabilité et ordonné que l’affaire soit renvoyée au tribunal de première instance pour une audition de la preuve relativement aux demandes des intimés visant la suspension de l’instance pour abus de procédures.</w:t>
      </w:r>
    </w:p>
    <w:p w:rsidR="00E40161" w:rsidRPr="00E40161" w:rsidRDefault="00E40161">
      <w:pPr>
        <w:widowControl w:val="0"/>
        <w:jc w:val="both"/>
        <w:rPr>
          <w:sz w:val="20"/>
          <w:lang w:val="fr-CA"/>
        </w:rPr>
      </w:pPr>
    </w:p>
    <w:p w:rsidR="00E40161" w:rsidRPr="00E40161" w:rsidRDefault="00E40161">
      <w:pPr>
        <w:widowControl w:val="0"/>
        <w:jc w:val="both"/>
        <w:rPr>
          <w:sz w:val="20"/>
          <w:lang w:val="fr-CA"/>
        </w:rPr>
      </w:pPr>
      <w:r w:rsidRPr="00E40161">
        <w:rPr>
          <w:sz w:val="20"/>
        </w:rPr>
        <w:pict>
          <v:rect id="_x0000_i1029" style="width:2in;height:1pt" o:hrpct="0" o:hralign="center" o:hrstd="t" o:hrnoshade="t" o:hr="t" fillcolor="black [3213]" stroked="f"/>
        </w:pict>
      </w:r>
    </w:p>
    <w:p w:rsidR="00E92006" w:rsidRPr="00E40161" w:rsidRDefault="00E92006" w:rsidP="00346405">
      <w:pPr>
        <w:jc w:val="both"/>
        <w:rPr>
          <w:sz w:val="20"/>
          <w:lang w:val="fr-CA"/>
        </w:rPr>
      </w:pPr>
    </w:p>
    <w:p w:rsidR="00F401B9" w:rsidRPr="00E40161" w:rsidRDefault="00F401B9" w:rsidP="00346405">
      <w:pPr>
        <w:jc w:val="both"/>
        <w:rPr>
          <w:sz w:val="20"/>
          <w:lang w:val="fr-CA"/>
        </w:rPr>
      </w:pPr>
    </w:p>
    <w:p w:rsidR="00072A63" w:rsidRPr="00E40161" w:rsidRDefault="00072A63" w:rsidP="00346405">
      <w:pPr>
        <w:jc w:val="both"/>
        <w:rPr>
          <w:sz w:val="20"/>
          <w:lang w:val="fr-CA"/>
        </w:rPr>
      </w:pPr>
    </w:p>
    <w:p w:rsidR="001C4415" w:rsidRPr="00E40161" w:rsidRDefault="001C4415" w:rsidP="00346405">
      <w:pPr>
        <w:widowControl w:val="0"/>
        <w:outlineLvl w:val="0"/>
      </w:pPr>
      <w:r w:rsidRPr="00E40161">
        <w:t xml:space="preserve">Supreme Court of Canada / Cour suprême du </w:t>
      </w:r>
      <w:proofErr w:type="gramStart"/>
      <w:r w:rsidRPr="00E40161">
        <w:t>Canada :</w:t>
      </w:r>
      <w:proofErr w:type="gramEnd"/>
      <w:r w:rsidRPr="00E40161">
        <w:t xml:space="preserve"> </w:t>
      </w:r>
    </w:p>
    <w:p w:rsidR="001C4415" w:rsidRPr="00E40161" w:rsidRDefault="00E40161" w:rsidP="00346405">
      <w:pPr>
        <w:widowControl w:val="0"/>
        <w:outlineLvl w:val="0"/>
      </w:pPr>
      <w:hyperlink r:id="rId8" w:history="1">
        <w:r w:rsidR="001C4415" w:rsidRPr="00E40161">
          <w:rPr>
            <w:rStyle w:val="Hyperlink"/>
          </w:rPr>
          <w:t>comments-commentaires@scc-csc.ca</w:t>
        </w:r>
      </w:hyperlink>
    </w:p>
    <w:p w:rsidR="001C4415" w:rsidRPr="00E40161" w:rsidRDefault="001C4415" w:rsidP="00346405">
      <w:pPr>
        <w:widowControl w:val="0"/>
        <w:outlineLvl w:val="0"/>
      </w:pPr>
      <w:r w:rsidRPr="00E40161">
        <w:t>(613) 995-4330</w:t>
      </w:r>
    </w:p>
    <w:p w:rsidR="001C4415" w:rsidRPr="00E40161" w:rsidRDefault="001C4415" w:rsidP="00346405">
      <w:pPr>
        <w:widowControl w:val="0"/>
        <w:rPr>
          <w:sz w:val="20"/>
        </w:rPr>
      </w:pPr>
    </w:p>
    <w:p w:rsidR="0036476C" w:rsidRPr="00A8502B" w:rsidRDefault="001C4415" w:rsidP="00346405">
      <w:pPr>
        <w:pStyle w:val="Footer"/>
        <w:jc w:val="center"/>
        <w:rPr>
          <w:lang w:val="fr-CA"/>
        </w:rPr>
      </w:pPr>
      <w:r w:rsidRPr="00E40161">
        <w:rPr>
          <w:lang w:val="fr-CA"/>
        </w:rPr>
        <w:t xml:space="preserve">- 30 </w:t>
      </w:r>
      <w:r w:rsidR="003C1B6E" w:rsidRPr="00E40161">
        <w:rPr>
          <w:lang w:val="fr-CA"/>
        </w:rPr>
        <w:t>-</w:t>
      </w:r>
      <w:bookmarkStart w:id="1" w:name="_GoBack"/>
      <w:bookmarkEnd w:id="1"/>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6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2023-03-29T13:15:00Z</dcterms:modified>
</cp:coreProperties>
</file>