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C327EE" w:rsidRDefault="00D01671" w:rsidP="00D01671">
      <w:pPr>
        <w:pStyle w:val="Header"/>
        <w:jc w:val="center"/>
        <w:rPr>
          <w:b/>
          <w:sz w:val="32"/>
        </w:rPr>
      </w:pPr>
      <w:r w:rsidRPr="00C327EE">
        <w:rPr>
          <w:b/>
          <w:sz w:val="32"/>
        </w:rPr>
        <w:t>Supreme Court of Canada / Cour suprême du Canada</w:t>
      </w:r>
    </w:p>
    <w:p w:rsidR="00D01671" w:rsidRPr="00C327EE" w:rsidRDefault="00D01671" w:rsidP="00D01671">
      <w:pPr>
        <w:widowControl w:val="0"/>
        <w:rPr>
          <w:i/>
        </w:rPr>
      </w:pPr>
    </w:p>
    <w:p w:rsidR="00D01671" w:rsidRPr="00C327EE" w:rsidRDefault="00D01671" w:rsidP="00D01671">
      <w:pPr>
        <w:widowControl w:val="0"/>
        <w:rPr>
          <w:i/>
        </w:rPr>
      </w:pPr>
    </w:p>
    <w:p w:rsidR="006F2579" w:rsidRPr="00C327EE" w:rsidRDefault="006F2579" w:rsidP="006F2579">
      <w:pPr>
        <w:widowControl w:val="0"/>
        <w:rPr>
          <w:i/>
          <w:sz w:val="20"/>
          <w:lang w:val="fr-CA"/>
        </w:rPr>
      </w:pPr>
      <w:r w:rsidRPr="00C327EE">
        <w:rPr>
          <w:i/>
          <w:sz w:val="20"/>
          <w:lang w:val="fr-CA"/>
        </w:rPr>
        <w:t>(</w:t>
      </w:r>
      <w:r w:rsidR="00423943" w:rsidRPr="00C327EE">
        <w:rPr>
          <w:i/>
          <w:sz w:val="20"/>
          <w:lang w:val="fr-CA"/>
        </w:rPr>
        <w:t>L</w:t>
      </w:r>
      <w:r w:rsidRPr="00C327EE">
        <w:rPr>
          <w:i/>
          <w:sz w:val="20"/>
          <w:lang w:val="fr-CA"/>
        </w:rPr>
        <w:t>e français suit)</w:t>
      </w:r>
    </w:p>
    <w:p w:rsidR="006F2579" w:rsidRPr="00C327EE" w:rsidRDefault="006F2579" w:rsidP="006F2579">
      <w:pPr>
        <w:widowControl w:val="0"/>
        <w:rPr>
          <w:lang w:val="fr-CA"/>
        </w:rPr>
      </w:pPr>
    </w:p>
    <w:p w:rsidR="006F2579" w:rsidRPr="00C327EE" w:rsidRDefault="00F404D5" w:rsidP="006F2579">
      <w:pPr>
        <w:widowControl w:val="0"/>
        <w:jc w:val="center"/>
        <w:rPr>
          <w:b/>
          <w:lang w:val="fr-CA"/>
        </w:rPr>
      </w:pPr>
      <w:r w:rsidRPr="00C327EE">
        <w:rPr>
          <w:b/>
          <w:lang w:val="fr-CA"/>
        </w:rPr>
        <w:t>AGENDA</w:t>
      </w:r>
    </w:p>
    <w:p w:rsidR="006F2579" w:rsidRPr="00C327EE" w:rsidRDefault="006F2579" w:rsidP="006F2579">
      <w:pPr>
        <w:widowControl w:val="0"/>
        <w:rPr>
          <w:lang w:val="fr-CA"/>
        </w:rPr>
      </w:pPr>
    </w:p>
    <w:p w:rsidR="006F2579" w:rsidRPr="00C327EE" w:rsidRDefault="00F8050A" w:rsidP="006F2579">
      <w:pPr>
        <w:widowControl w:val="0"/>
        <w:rPr>
          <w:b/>
          <w:lang w:val="fr-CA"/>
        </w:rPr>
      </w:pPr>
      <w:r w:rsidRPr="00C327EE">
        <w:rPr>
          <w:b/>
          <w:lang w:val="fr-CA"/>
        </w:rPr>
        <w:t>April</w:t>
      </w:r>
      <w:r w:rsidR="00B205BF" w:rsidRPr="00C327EE">
        <w:rPr>
          <w:b/>
          <w:lang w:val="fr-CA"/>
        </w:rPr>
        <w:t xml:space="preserve"> </w:t>
      </w:r>
      <w:r w:rsidRPr="00C327EE">
        <w:rPr>
          <w:b/>
          <w:lang w:val="fr-CA"/>
        </w:rPr>
        <w:t>28</w:t>
      </w:r>
      <w:r w:rsidR="000E1CD6" w:rsidRPr="00C327EE">
        <w:rPr>
          <w:b/>
          <w:lang w:val="fr-CA"/>
        </w:rPr>
        <w:t>, 20</w:t>
      </w:r>
      <w:r w:rsidR="00ED24DA" w:rsidRPr="00C327EE">
        <w:rPr>
          <w:b/>
          <w:lang w:val="fr-CA"/>
        </w:rPr>
        <w:t>2</w:t>
      </w:r>
      <w:r w:rsidR="00932999" w:rsidRPr="00C327EE">
        <w:rPr>
          <w:b/>
          <w:lang w:val="fr-CA"/>
        </w:rPr>
        <w:t>3</w:t>
      </w:r>
    </w:p>
    <w:p w:rsidR="006F2579" w:rsidRPr="00C327EE" w:rsidRDefault="006F2579" w:rsidP="006F2579">
      <w:pPr>
        <w:widowControl w:val="0"/>
        <w:rPr>
          <w:b/>
        </w:rPr>
      </w:pPr>
      <w:r w:rsidRPr="00C327EE">
        <w:rPr>
          <w:b/>
        </w:rPr>
        <w:t>For immediate release</w:t>
      </w:r>
    </w:p>
    <w:p w:rsidR="006F2579" w:rsidRPr="00C327EE" w:rsidRDefault="006F2579" w:rsidP="006F2579">
      <w:pPr>
        <w:widowControl w:val="0"/>
      </w:pPr>
    </w:p>
    <w:p w:rsidR="009010F1" w:rsidRPr="00C327EE" w:rsidRDefault="006F2579" w:rsidP="009010F1">
      <w:pPr>
        <w:widowControl w:val="0"/>
      </w:pPr>
      <w:r w:rsidRPr="00C327EE">
        <w:rPr>
          <w:b/>
        </w:rPr>
        <w:t>OTTAWA</w:t>
      </w:r>
      <w:r w:rsidRPr="00C327EE">
        <w:t xml:space="preserve"> – </w:t>
      </w:r>
      <w:r w:rsidR="009010F1" w:rsidRPr="00C327EE">
        <w:t>The Supreme Court of Canada announced today the list of appeals</w:t>
      </w:r>
      <w:r w:rsidR="00700E69" w:rsidRPr="00C327EE">
        <w:t xml:space="preserve"> </w:t>
      </w:r>
      <w:r w:rsidR="009010F1" w:rsidRPr="00C327EE">
        <w:t>that will be heard</w:t>
      </w:r>
      <w:r w:rsidR="00264572" w:rsidRPr="00C327EE">
        <w:t xml:space="preserve"> </w:t>
      </w:r>
      <w:r w:rsidR="0053286F" w:rsidRPr="00C327EE">
        <w:t xml:space="preserve">from </w:t>
      </w:r>
      <w:r w:rsidR="00F8050A" w:rsidRPr="00C327EE">
        <w:t>May</w:t>
      </w:r>
      <w:r w:rsidR="0053286F" w:rsidRPr="00C327EE">
        <w:t xml:space="preserve"> </w:t>
      </w:r>
      <w:r w:rsidR="00F8050A" w:rsidRPr="00C327EE">
        <w:t>8</w:t>
      </w:r>
      <w:r w:rsidR="0053286F" w:rsidRPr="00C327EE">
        <w:t xml:space="preserve"> t</w:t>
      </w:r>
      <w:r w:rsidR="007A4306" w:rsidRPr="00C327EE">
        <w:t>o</w:t>
      </w:r>
      <w:r w:rsidR="0053286F" w:rsidRPr="00C327EE">
        <w:t xml:space="preserve"> </w:t>
      </w:r>
      <w:r w:rsidR="00F8050A" w:rsidRPr="00C327EE">
        <w:t>May</w:t>
      </w:r>
      <w:r w:rsidR="00D3650C" w:rsidRPr="00C327EE">
        <w:t xml:space="preserve"> </w:t>
      </w:r>
      <w:r w:rsidR="005C327F" w:rsidRPr="00C327EE">
        <w:t>1</w:t>
      </w:r>
      <w:r w:rsidR="00F8050A" w:rsidRPr="00C327EE">
        <w:t>9</w:t>
      </w:r>
      <w:r w:rsidR="0053286F" w:rsidRPr="00C327EE">
        <w:t>, 20</w:t>
      </w:r>
      <w:r w:rsidR="00ED24DA" w:rsidRPr="00C327EE">
        <w:t>2</w:t>
      </w:r>
      <w:r w:rsidR="00D3650C" w:rsidRPr="00C327EE">
        <w:t>3</w:t>
      </w:r>
      <w:r w:rsidR="00645CF5" w:rsidRPr="00C327EE">
        <w:t>.</w:t>
      </w:r>
    </w:p>
    <w:p w:rsidR="00D32CC0" w:rsidRPr="00C327EE" w:rsidRDefault="00D32CC0" w:rsidP="006F2579">
      <w:pPr>
        <w:widowControl w:val="0"/>
      </w:pPr>
    </w:p>
    <w:p w:rsidR="006A00B5" w:rsidRPr="00C327EE" w:rsidRDefault="006A00B5" w:rsidP="006F2579">
      <w:pPr>
        <w:widowControl w:val="0"/>
      </w:pPr>
    </w:p>
    <w:p w:rsidR="006F2579" w:rsidRPr="00C327EE" w:rsidRDefault="00F404D5" w:rsidP="006F2579">
      <w:pPr>
        <w:widowControl w:val="0"/>
        <w:jc w:val="center"/>
        <w:rPr>
          <w:lang w:val="fr-CA"/>
        </w:rPr>
      </w:pPr>
      <w:r w:rsidRPr="00C327EE">
        <w:rPr>
          <w:b/>
          <w:lang w:val="fr-CA"/>
        </w:rPr>
        <w:t>CALENDRIER</w:t>
      </w:r>
    </w:p>
    <w:p w:rsidR="006F2579" w:rsidRPr="00C327EE" w:rsidRDefault="006F2579" w:rsidP="006F2579">
      <w:pPr>
        <w:widowControl w:val="0"/>
        <w:rPr>
          <w:lang w:val="fr-CA"/>
        </w:rPr>
      </w:pPr>
    </w:p>
    <w:p w:rsidR="006F2579" w:rsidRPr="00C327EE" w:rsidRDefault="006F2579" w:rsidP="006F2579">
      <w:pPr>
        <w:widowControl w:val="0"/>
        <w:rPr>
          <w:b/>
          <w:lang w:val="fr-CA"/>
        </w:rPr>
      </w:pPr>
      <w:r w:rsidRPr="00C327EE">
        <w:rPr>
          <w:b/>
          <w:lang w:val="fr-CA"/>
        </w:rPr>
        <w:t xml:space="preserve">Le </w:t>
      </w:r>
      <w:r w:rsidR="00F8050A" w:rsidRPr="00C327EE">
        <w:rPr>
          <w:b/>
          <w:lang w:val="fr-CA"/>
        </w:rPr>
        <w:t>28</w:t>
      </w:r>
      <w:r w:rsidR="00380A0F" w:rsidRPr="00C327EE">
        <w:rPr>
          <w:b/>
          <w:lang w:val="fr-CA"/>
        </w:rPr>
        <w:t xml:space="preserve"> </w:t>
      </w:r>
      <w:r w:rsidR="002A7F67" w:rsidRPr="00C327EE">
        <w:rPr>
          <w:b/>
          <w:lang w:val="fr-CA"/>
        </w:rPr>
        <w:t>a</w:t>
      </w:r>
      <w:r w:rsidR="00F8050A" w:rsidRPr="00C327EE">
        <w:rPr>
          <w:b/>
          <w:lang w:val="fr-CA"/>
        </w:rPr>
        <w:t>v</w:t>
      </w:r>
      <w:r w:rsidR="002A7F67" w:rsidRPr="00C327EE">
        <w:rPr>
          <w:b/>
          <w:lang w:val="fr-CA"/>
        </w:rPr>
        <w:t>r</w:t>
      </w:r>
      <w:r w:rsidR="00F8050A" w:rsidRPr="00C327EE">
        <w:rPr>
          <w:b/>
          <w:lang w:val="fr-CA"/>
        </w:rPr>
        <w:t>il</w:t>
      </w:r>
      <w:r w:rsidR="006B24D0" w:rsidRPr="00C327EE">
        <w:rPr>
          <w:b/>
          <w:lang w:val="fr-CA"/>
        </w:rPr>
        <w:t xml:space="preserve"> </w:t>
      </w:r>
      <w:r w:rsidRPr="00C327EE">
        <w:rPr>
          <w:b/>
          <w:lang w:val="fr-CA"/>
        </w:rPr>
        <w:t>20</w:t>
      </w:r>
      <w:r w:rsidR="00ED24DA" w:rsidRPr="00C327EE">
        <w:rPr>
          <w:b/>
          <w:lang w:val="fr-CA"/>
        </w:rPr>
        <w:t>2</w:t>
      </w:r>
      <w:r w:rsidR="00932999" w:rsidRPr="00C327EE">
        <w:rPr>
          <w:b/>
          <w:lang w:val="fr-CA"/>
        </w:rPr>
        <w:t>3</w:t>
      </w:r>
    </w:p>
    <w:p w:rsidR="006F2579" w:rsidRPr="00C327EE" w:rsidRDefault="006F2579" w:rsidP="006F2579">
      <w:pPr>
        <w:widowControl w:val="0"/>
        <w:rPr>
          <w:lang w:val="fr-CA"/>
        </w:rPr>
      </w:pPr>
      <w:r w:rsidRPr="00C327EE">
        <w:rPr>
          <w:b/>
          <w:lang w:val="fr-CA"/>
        </w:rPr>
        <w:t>Pour diffusion immédiate</w:t>
      </w:r>
    </w:p>
    <w:p w:rsidR="006F2579" w:rsidRPr="00C327EE" w:rsidRDefault="006F2579" w:rsidP="006F2579">
      <w:pPr>
        <w:widowControl w:val="0"/>
        <w:rPr>
          <w:lang w:val="fr-CA"/>
        </w:rPr>
      </w:pPr>
    </w:p>
    <w:p w:rsidR="006F2579" w:rsidRPr="00C327EE" w:rsidRDefault="006F2579" w:rsidP="006F2579">
      <w:pPr>
        <w:widowControl w:val="0"/>
        <w:rPr>
          <w:lang w:val="fr-CA"/>
        </w:rPr>
      </w:pPr>
      <w:r w:rsidRPr="00C327EE">
        <w:rPr>
          <w:b/>
          <w:lang w:val="fr-CA"/>
        </w:rPr>
        <w:t>OTTAWA</w:t>
      </w:r>
      <w:r w:rsidRPr="00C327EE">
        <w:rPr>
          <w:lang w:val="fr-CA"/>
        </w:rPr>
        <w:t xml:space="preserve"> – </w:t>
      </w:r>
      <w:r w:rsidR="009010F1" w:rsidRPr="00C327EE">
        <w:rPr>
          <w:lang w:val="fr-CA"/>
        </w:rPr>
        <w:t xml:space="preserve">La Cour suprême du Canada a </w:t>
      </w:r>
      <w:r w:rsidR="00423943" w:rsidRPr="00C327EE">
        <w:rPr>
          <w:lang w:val="fr-CA"/>
        </w:rPr>
        <w:t>annonc</w:t>
      </w:r>
      <w:r w:rsidR="00CE7AB4" w:rsidRPr="00C327EE">
        <w:rPr>
          <w:lang w:val="fr-CA"/>
        </w:rPr>
        <w:t>é aujourd’hui la liste d</w:t>
      </w:r>
      <w:r w:rsidR="00163EC7" w:rsidRPr="00C327EE">
        <w:rPr>
          <w:lang w:val="fr-CA"/>
        </w:rPr>
        <w:t xml:space="preserve">es </w:t>
      </w:r>
      <w:r w:rsidR="009010F1" w:rsidRPr="00C327EE">
        <w:rPr>
          <w:lang w:val="fr-CA"/>
        </w:rPr>
        <w:t>appels</w:t>
      </w:r>
      <w:r w:rsidR="00700E69" w:rsidRPr="00C327EE">
        <w:rPr>
          <w:lang w:val="fr-CA"/>
        </w:rPr>
        <w:t xml:space="preserve"> </w:t>
      </w:r>
      <w:r w:rsidR="009010F1" w:rsidRPr="00C327EE">
        <w:rPr>
          <w:lang w:val="fr-CA"/>
        </w:rPr>
        <w:t xml:space="preserve">qui seront entendus </w:t>
      </w:r>
      <w:r w:rsidR="0053286F" w:rsidRPr="00C327EE">
        <w:rPr>
          <w:lang w:val="fr-CA"/>
        </w:rPr>
        <w:t xml:space="preserve">du </w:t>
      </w:r>
      <w:r w:rsidR="00F8050A" w:rsidRPr="00C327EE">
        <w:rPr>
          <w:lang w:val="fr-CA"/>
        </w:rPr>
        <w:t>8</w:t>
      </w:r>
      <w:r w:rsidR="00D3650C" w:rsidRPr="00C327EE">
        <w:rPr>
          <w:lang w:val="fr-CA"/>
        </w:rPr>
        <w:t xml:space="preserve"> </w:t>
      </w:r>
      <w:r w:rsidR="00F8050A" w:rsidRPr="00C327EE">
        <w:rPr>
          <w:lang w:val="fr-CA"/>
        </w:rPr>
        <w:t>mai</w:t>
      </w:r>
      <w:r w:rsidR="00D3650C" w:rsidRPr="00C327EE">
        <w:rPr>
          <w:lang w:val="fr-CA"/>
        </w:rPr>
        <w:t xml:space="preserve"> </w:t>
      </w:r>
      <w:r w:rsidR="0053286F" w:rsidRPr="00C327EE">
        <w:rPr>
          <w:lang w:val="fr-CA"/>
        </w:rPr>
        <w:t xml:space="preserve">au </w:t>
      </w:r>
      <w:r w:rsidR="005C327F" w:rsidRPr="00C327EE">
        <w:rPr>
          <w:lang w:val="fr-CA"/>
        </w:rPr>
        <w:t>1</w:t>
      </w:r>
      <w:r w:rsidR="00F8050A" w:rsidRPr="00C327EE">
        <w:rPr>
          <w:lang w:val="fr-CA"/>
        </w:rPr>
        <w:t>9 mai</w:t>
      </w:r>
      <w:r w:rsidR="00364285" w:rsidRPr="00C327EE">
        <w:rPr>
          <w:lang w:val="fr-CA"/>
        </w:rPr>
        <w:t xml:space="preserve"> 20</w:t>
      </w:r>
      <w:r w:rsidR="00ED24DA" w:rsidRPr="00C327EE">
        <w:rPr>
          <w:lang w:val="fr-CA"/>
        </w:rPr>
        <w:t>2</w:t>
      </w:r>
      <w:r w:rsidR="00D3650C" w:rsidRPr="00C327EE">
        <w:rPr>
          <w:lang w:val="fr-CA"/>
        </w:rPr>
        <w:t>3</w:t>
      </w:r>
      <w:r w:rsidR="00645CF5" w:rsidRPr="00C327EE">
        <w:rPr>
          <w:lang w:val="fr-CA"/>
        </w:rPr>
        <w:t>.</w:t>
      </w:r>
    </w:p>
    <w:p w:rsidR="00D32CC0" w:rsidRPr="00C327EE" w:rsidRDefault="00D32CC0" w:rsidP="006F2579">
      <w:pPr>
        <w:widowControl w:val="0"/>
        <w:rPr>
          <w:lang w:val="fr-CA"/>
        </w:rPr>
      </w:pPr>
    </w:p>
    <w:p w:rsidR="00493382" w:rsidRPr="00C327EE" w:rsidRDefault="00C327EE" w:rsidP="006F2579">
      <w:pPr>
        <w:widowControl w:val="0"/>
        <w:rPr>
          <w:lang w:val="fr-CA"/>
        </w:rPr>
      </w:pPr>
      <w:r w:rsidRPr="00C327EE">
        <w:rPr>
          <w:sz w:val="20"/>
        </w:rPr>
        <w:pict>
          <v:rect id="_x0000_i1025" style="width:2in;height:1pt" o:hrpct="0" o:hralign="center" o:hrstd="t" o:hrnoshade="t" o:hr="t" fillcolor="black [3213]" stroked="f"/>
        </w:pict>
      </w:r>
    </w:p>
    <w:p w:rsidR="004F46E6" w:rsidRPr="00C327EE" w:rsidRDefault="004F46E6" w:rsidP="004F46E6">
      <w:pPr>
        <w:widowControl w:val="0"/>
        <w:rPr>
          <w:sz w:val="16"/>
          <w:szCs w:val="16"/>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C327EE" w:rsidTr="004F1AF3">
        <w:trPr>
          <w:trHeight w:val="561"/>
        </w:trPr>
        <w:tc>
          <w:tcPr>
            <w:tcW w:w="1250" w:type="pct"/>
            <w:shd w:val="clear" w:color="auto" w:fill="auto"/>
            <w:tcMar>
              <w:top w:w="0" w:type="dxa"/>
              <w:left w:w="45" w:type="dxa"/>
              <w:bottom w:w="0" w:type="dxa"/>
              <w:right w:w="45" w:type="dxa"/>
            </w:tcMar>
            <w:hideMark/>
          </w:tcPr>
          <w:p w:rsidR="004F1AF3" w:rsidRPr="00C327EE" w:rsidRDefault="004F1AF3" w:rsidP="007655B2">
            <w:pPr>
              <w:widowControl w:val="0"/>
              <w:spacing w:after="120"/>
              <w:rPr>
                <w:b/>
                <w:sz w:val="20"/>
              </w:rPr>
            </w:pPr>
            <w:r w:rsidRPr="00C327EE">
              <w:rPr>
                <w:b/>
                <w:sz w:val="20"/>
              </w:rPr>
              <w:t>DATE OF HEARING /</w:t>
            </w:r>
            <w:r w:rsidRPr="00C327EE">
              <w:rPr>
                <w:b/>
                <w:sz w:val="20"/>
              </w:rPr>
              <w:br/>
              <w:t>DATE D’AUDITION</w:t>
            </w:r>
          </w:p>
        </w:tc>
        <w:tc>
          <w:tcPr>
            <w:tcW w:w="3750" w:type="pct"/>
            <w:shd w:val="clear" w:color="auto" w:fill="auto"/>
            <w:tcMar>
              <w:top w:w="0" w:type="dxa"/>
              <w:left w:w="45" w:type="dxa"/>
              <w:bottom w:w="0" w:type="dxa"/>
              <w:right w:w="45" w:type="dxa"/>
            </w:tcMar>
            <w:hideMark/>
          </w:tcPr>
          <w:p w:rsidR="004F1AF3" w:rsidRPr="00C327EE" w:rsidRDefault="004F1AF3" w:rsidP="00A66695">
            <w:pPr>
              <w:widowControl w:val="0"/>
              <w:spacing w:after="120"/>
              <w:rPr>
                <w:b/>
                <w:sz w:val="20"/>
                <w:lang w:val="fr-CA"/>
              </w:rPr>
            </w:pPr>
            <w:r w:rsidRPr="00C327EE">
              <w:rPr>
                <w:b/>
                <w:sz w:val="20"/>
                <w:lang w:val="fr-CA"/>
              </w:rPr>
              <w:t>NAME AND CASE NUMBER /</w:t>
            </w:r>
            <w:r w:rsidRPr="00C327EE">
              <w:rPr>
                <w:b/>
                <w:sz w:val="20"/>
                <w:lang w:val="fr-CA"/>
              </w:rPr>
              <w:br/>
              <w:t>NOM DE LA CAUSE ET NUMÉRO</w:t>
            </w:r>
          </w:p>
        </w:tc>
      </w:tr>
      <w:tr w:rsidR="00292C0E" w:rsidRPr="00C327EE" w:rsidTr="005C7117">
        <w:trPr>
          <w:trHeight w:val="415"/>
        </w:trPr>
        <w:tc>
          <w:tcPr>
            <w:tcW w:w="1250" w:type="pct"/>
            <w:shd w:val="clear" w:color="auto" w:fill="auto"/>
            <w:tcMar>
              <w:top w:w="0" w:type="dxa"/>
              <w:left w:w="45" w:type="dxa"/>
              <w:bottom w:w="0" w:type="dxa"/>
              <w:right w:w="45" w:type="dxa"/>
            </w:tcMar>
          </w:tcPr>
          <w:p w:rsidR="00292C0E" w:rsidRPr="00C327EE" w:rsidRDefault="00932999" w:rsidP="00F8050A">
            <w:pPr>
              <w:rPr>
                <w:sz w:val="20"/>
              </w:rPr>
            </w:pPr>
            <w:r w:rsidRPr="00C327EE">
              <w:rPr>
                <w:color w:val="000000"/>
                <w:sz w:val="20"/>
              </w:rPr>
              <w:t>2023-0</w:t>
            </w:r>
            <w:r w:rsidR="00F8050A" w:rsidRPr="00C327EE">
              <w:rPr>
                <w:color w:val="000000"/>
                <w:sz w:val="20"/>
              </w:rPr>
              <w:t>5</w:t>
            </w:r>
            <w:r w:rsidRPr="00C327EE">
              <w:rPr>
                <w:color w:val="000000"/>
                <w:sz w:val="20"/>
              </w:rPr>
              <w:t>-</w:t>
            </w:r>
            <w:r w:rsidR="005C327F" w:rsidRPr="00C327EE">
              <w:rPr>
                <w:color w:val="000000"/>
                <w:sz w:val="20"/>
              </w:rPr>
              <w:t>1</w:t>
            </w:r>
            <w:r w:rsidR="00F8050A" w:rsidRPr="00C327EE">
              <w:rPr>
                <w:color w:val="000000"/>
                <w:sz w:val="20"/>
              </w:rPr>
              <w:t>5</w:t>
            </w:r>
          </w:p>
        </w:tc>
        <w:tc>
          <w:tcPr>
            <w:tcW w:w="3750" w:type="pct"/>
            <w:shd w:val="clear" w:color="auto" w:fill="auto"/>
            <w:tcMar>
              <w:top w:w="0" w:type="dxa"/>
              <w:left w:w="45" w:type="dxa"/>
              <w:bottom w:w="0" w:type="dxa"/>
              <w:right w:w="45" w:type="dxa"/>
            </w:tcMar>
          </w:tcPr>
          <w:p w:rsidR="005D4B99" w:rsidRPr="00C327EE" w:rsidRDefault="00F8050A" w:rsidP="002A7F67">
            <w:pPr>
              <w:spacing w:after="120"/>
              <w:rPr>
                <w:iCs/>
                <w:sz w:val="20"/>
              </w:rPr>
            </w:pPr>
            <w:r w:rsidRPr="00C327EE">
              <w:rPr>
                <w:i/>
                <w:iCs/>
                <w:color w:val="000000"/>
                <w:sz w:val="20"/>
              </w:rPr>
              <w:t>George Zacharias v. His Majesty the King </w:t>
            </w:r>
            <w:r w:rsidRPr="00C327EE">
              <w:rPr>
                <w:iCs/>
                <w:color w:val="000000"/>
                <w:sz w:val="20"/>
              </w:rPr>
              <w:t>(Alta.) (Criminal) (As of Right) (</w:t>
            </w:r>
            <w:hyperlink r:id="rId8" w:history="1">
              <w:r w:rsidRPr="00C327EE">
                <w:rPr>
                  <w:rStyle w:val="Hyperlink"/>
                  <w:iCs/>
                  <w:sz w:val="20"/>
                </w:rPr>
                <w:t>40117</w:t>
              </w:r>
            </w:hyperlink>
            <w:r w:rsidRPr="00C327EE">
              <w:rPr>
                <w:iCs/>
                <w:color w:val="000000"/>
                <w:sz w:val="20"/>
              </w:rPr>
              <w:t>)</w:t>
            </w:r>
          </w:p>
        </w:tc>
      </w:tr>
      <w:tr w:rsidR="00E57045" w:rsidRPr="00C327EE" w:rsidTr="005C7117">
        <w:trPr>
          <w:trHeight w:val="415"/>
        </w:trPr>
        <w:tc>
          <w:tcPr>
            <w:tcW w:w="1250" w:type="pct"/>
            <w:shd w:val="clear" w:color="auto" w:fill="auto"/>
            <w:tcMar>
              <w:top w:w="0" w:type="dxa"/>
              <w:left w:w="45" w:type="dxa"/>
              <w:bottom w:w="0" w:type="dxa"/>
              <w:right w:w="45" w:type="dxa"/>
            </w:tcMar>
          </w:tcPr>
          <w:p w:rsidR="00E57045" w:rsidRPr="00C327EE" w:rsidRDefault="00932999" w:rsidP="00F8050A">
            <w:pPr>
              <w:rPr>
                <w:sz w:val="20"/>
              </w:rPr>
            </w:pPr>
            <w:r w:rsidRPr="00C327EE">
              <w:rPr>
                <w:color w:val="000000"/>
                <w:sz w:val="20"/>
              </w:rPr>
              <w:t>2023-0</w:t>
            </w:r>
            <w:r w:rsidR="00F8050A" w:rsidRPr="00C327EE">
              <w:rPr>
                <w:color w:val="000000"/>
                <w:sz w:val="20"/>
              </w:rPr>
              <w:t>5</w:t>
            </w:r>
            <w:r w:rsidRPr="00C327EE">
              <w:rPr>
                <w:color w:val="000000"/>
                <w:sz w:val="20"/>
              </w:rPr>
              <w:t>-</w:t>
            </w:r>
            <w:r w:rsidR="002A7F67" w:rsidRPr="00C327EE">
              <w:rPr>
                <w:color w:val="000000"/>
                <w:sz w:val="20"/>
              </w:rPr>
              <w:t>1</w:t>
            </w:r>
            <w:r w:rsidR="00F8050A" w:rsidRPr="00C327EE">
              <w:rPr>
                <w:color w:val="000000"/>
                <w:sz w:val="20"/>
              </w:rPr>
              <w:t>6</w:t>
            </w:r>
          </w:p>
        </w:tc>
        <w:tc>
          <w:tcPr>
            <w:tcW w:w="3750" w:type="pct"/>
            <w:shd w:val="clear" w:color="auto" w:fill="auto"/>
            <w:tcMar>
              <w:top w:w="0" w:type="dxa"/>
              <w:left w:w="45" w:type="dxa"/>
              <w:bottom w:w="0" w:type="dxa"/>
              <w:right w:w="45" w:type="dxa"/>
            </w:tcMar>
          </w:tcPr>
          <w:p w:rsidR="00E57045" w:rsidRPr="00C327EE" w:rsidRDefault="00F8050A" w:rsidP="002A7F67">
            <w:pPr>
              <w:spacing w:after="120"/>
              <w:rPr>
                <w:i/>
                <w:sz w:val="20"/>
              </w:rPr>
            </w:pPr>
            <w:r w:rsidRPr="00C327EE">
              <w:rPr>
                <w:i/>
                <w:iCs/>
                <w:color w:val="000000"/>
                <w:sz w:val="20"/>
                <w:lang w:val="fr-CA"/>
              </w:rPr>
              <w:t>La Presse inc. c. Frédérick Silva, et al. </w:t>
            </w:r>
            <w:r w:rsidRPr="00C327EE">
              <w:rPr>
                <w:iCs/>
                <w:color w:val="000000"/>
                <w:sz w:val="20"/>
              </w:rPr>
              <w:t>(Qc) (Criminelle) (Autorisation) (</w:t>
            </w:r>
            <w:hyperlink r:id="rId9" w:history="1">
              <w:r w:rsidRPr="00C327EE">
                <w:rPr>
                  <w:rStyle w:val="Hyperlink"/>
                  <w:iCs/>
                  <w:sz w:val="20"/>
                </w:rPr>
                <w:t>40175</w:t>
              </w:r>
            </w:hyperlink>
            <w:r w:rsidRPr="00C327EE">
              <w:rPr>
                <w:iCs/>
                <w:color w:val="000000"/>
                <w:sz w:val="20"/>
              </w:rPr>
              <w:t>)</w:t>
            </w:r>
          </w:p>
        </w:tc>
      </w:tr>
      <w:tr w:rsidR="00902477" w:rsidRPr="00C327EE" w:rsidTr="005C7117">
        <w:trPr>
          <w:trHeight w:val="415"/>
        </w:trPr>
        <w:tc>
          <w:tcPr>
            <w:tcW w:w="1250" w:type="pct"/>
            <w:shd w:val="clear" w:color="auto" w:fill="auto"/>
            <w:tcMar>
              <w:top w:w="0" w:type="dxa"/>
              <w:left w:w="45" w:type="dxa"/>
              <w:bottom w:w="0" w:type="dxa"/>
              <w:right w:w="45" w:type="dxa"/>
            </w:tcMar>
          </w:tcPr>
          <w:p w:rsidR="00902477" w:rsidRPr="00C327EE" w:rsidRDefault="00932999" w:rsidP="00F8050A">
            <w:pPr>
              <w:rPr>
                <w:sz w:val="20"/>
              </w:rPr>
            </w:pPr>
            <w:r w:rsidRPr="00C327EE">
              <w:rPr>
                <w:color w:val="000000"/>
                <w:sz w:val="20"/>
              </w:rPr>
              <w:t>2023-0</w:t>
            </w:r>
            <w:r w:rsidR="00F8050A" w:rsidRPr="00C327EE">
              <w:rPr>
                <w:color w:val="000000"/>
                <w:sz w:val="20"/>
              </w:rPr>
              <w:t>5</w:t>
            </w:r>
            <w:r w:rsidR="002A7F67" w:rsidRPr="00C327EE">
              <w:rPr>
                <w:color w:val="000000"/>
                <w:sz w:val="20"/>
              </w:rPr>
              <w:t>-</w:t>
            </w:r>
            <w:r w:rsidR="00F8050A" w:rsidRPr="00C327EE">
              <w:rPr>
                <w:color w:val="000000"/>
                <w:sz w:val="20"/>
              </w:rPr>
              <w:t>17</w:t>
            </w:r>
          </w:p>
        </w:tc>
        <w:tc>
          <w:tcPr>
            <w:tcW w:w="3750" w:type="pct"/>
            <w:shd w:val="clear" w:color="auto" w:fill="auto"/>
            <w:tcMar>
              <w:top w:w="0" w:type="dxa"/>
              <w:left w:w="45" w:type="dxa"/>
              <w:bottom w:w="0" w:type="dxa"/>
              <w:right w:w="45" w:type="dxa"/>
            </w:tcMar>
          </w:tcPr>
          <w:p w:rsidR="00902477" w:rsidRPr="00C327EE" w:rsidRDefault="00F8050A" w:rsidP="002A7F67">
            <w:pPr>
              <w:spacing w:after="120"/>
              <w:rPr>
                <w:i/>
                <w:sz w:val="20"/>
              </w:rPr>
            </w:pPr>
            <w:r w:rsidRPr="00C327EE">
              <w:rPr>
                <w:i/>
                <w:iCs/>
                <w:color w:val="000000"/>
                <w:sz w:val="20"/>
              </w:rPr>
              <w:t>Canadian Broadcasting Corporation, et al. v. Aydin Coban, et al. </w:t>
            </w:r>
            <w:r w:rsidRPr="00C327EE">
              <w:rPr>
                <w:iCs/>
                <w:color w:val="000000"/>
                <w:sz w:val="20"/>
              </w:rPr>
              <w:t>(B.C.) (Criminal) (By Leave) (</w:t>
            </w:r>
            <w:hyperlink r:id="rId10" w:history="1">
              <w:r w:rsidRPr="00C327EE">
                <w:rPr>
                  <w:rStyle w:val="Hyperlink"/>
                  <w:iCs/>
                  <w:sz w:val="20"/>
                </w:rPr>
                <w:t>40223</w:t>
              </w:r>
            </w:hyperlink>
            <w:r w:rsidRPr="00C327EE">
              <w:rPr>
                <w:iCs/>
                <w:color w:val="000000"/>
                <w:sz w:val="20"/>
              </w:rPr>
              <w:t>)</w:t>
            </w:r>
          </w:p>
        </w:tc>
      </w:tr>
      <w:tr w:rsidR="00F8050A" w:rsidRPr="00C327EE" w:rsidTr="005C7117">
        <w:trPr>
          <w:trHeight w:val="415"/>
        </w:trPr>
        <w:tc>
          <w:tcPr>
            <w:tcW w:w="1250" w:type="pct"/>
            <w:vMerge w:val="restart"/>
            <w:shd w:val="clear" w:color="auto" w:fill="auto"/>
            <w:tcMar>
              <w:top w:w="0" w:type="dxa"/>
              <w:left w:w="45" w:type="dxa"/>
              <w:bottom w:w="0" w:type="dxa"/>
              <w:right w:w="45" w:type="dxa"/>
            </w:tcMar>
          </w:tcPr>
          <w:p w:rsidR="00F8050A" w:rsidRPr="00C327EE" w:rsidRDefault="00F8050A" w:rsidP="00F8050A">
            <w:pPr>
              <w:rPr>
                <w:color w:val="000000"/>
                <w:sz w:val="20"/>
              </w:rPr>
            </w:pPr>
            <w:r w:rsidRPr="00C327EE">
              <w:rPr>
                <w:color w:val="000000"/>
                <w:sz w:val="20"/>
              </w:rPr>
              <w:t>2023-05-1</w:t>
            </w:r>
            <w:r w:rsidRPr="00C327EE">
              <w:rPr>
                <w:color w:val="000000"/>
                <w:sz w:val="20"/>
              </w:rPr>
              <w:t>8</w:t>
            </w:r>
          </w:p>
        </w:tc>
        <w:tc>
          <w:tcPr>
            <w:tcW w:w="3750" w:type="pct"/>
            <w:shd w:val="clear" w:color="auto" w:fill="auto"/>
            <w:tcMar>
              <w:top w:w="0" w:type="dxa"/>
              <w:left w:w="45" w:type="dxa"/>
              <w:bottom w:w="0" w:type="dxa"/>
              <w:right w:w="45" w:type="dxa"/>
            </w:tcMar>
          </w:tcPr>
          <w:p w:rsidR="00F8050A" w:rsidRPr="00C327EE" w:rsidRDefault="00F8050A" w:rsidP="002A7F67">
            <w:pPr>
              <w:spacing w:after="120"/>
              <w:rPr>
                <w:i/>
                <w:iCs/>
                <w:color w:val="000000"/>
                <w:sz w:val="20"/>
                <w:lang w:val="fr-CA"/>
              </w:rPr>
            </w:pPr>
            <w:r w:rsidRPr="00C327EE">
              <w:rPr>
                <w:i/>
                <w:iCs/>
                <w:color w:val="000000"/>
                <w:sz w:val="20"/>
              </w:rPr>
              <w:t>His Majesty the King v. Christopher James Kruk </w:t>
            </w:r>
            <w:r w:rsidRPr="00C327EE">
              <w:rPr>
                <w:iCs/>
                <w:color w:val="000000"/>
                <w:sz w:val="20"/>
              </w:rPr>
              <w:t>(B.C.) (Criminal) (By Leave) (</w:t>
            </w:r>
            <w:hyperlink r:id="rId11" w:history="1">
              <w:r w:rsidRPr="00C327EE">
                <w:rPr>
                  <w:rStyle w:val="Hyperlink"/>
                  <w:iCs/>
                  <w:sz w:val="20"/>
                </w:rPr>
                <w:t>40095</w:t>
              </w:r>
            </w:hyperlink>
            <w:r w:rsidRPr="00C327EE">
              <w:rPr>
                <w:iCs/>
                <w:color w:val="000000"/>
                <w:sz w:val="20"/>
              </w:rPr>
              <w:t>)</w:t>
            </w:r>
          </w:p>
        </w:tc>
      </w:tr>
      <w:tr w:rsidR="00F8050A" w:rsidRPr="00C327EE" w:rsidTr="005C7117">
        <w:trPr>
          <w:trHeight w:val="415"/>
        </w:trPr>
        <w:tc>
          <w:tcPr>
            <w:tcW w:w="1250" w:type="pct"/>
            <w:vMerge/>
            <w:shd w:val="clear" w:color="auto" w:fill="auto"/>
            <w:tcMar>
              <w:top w:w="0" w:type="dxa"/>
              <w:left w:w="45" w:type="dxa"/>
              <w:bottom w:w="0" w:type="dxa"/>
              <w:right w:w="45" w:type="dxa"/>
            </w:tcMar>
          </w:tcPr>
          <w:p w:rsidR="00F8050A" w:rsidRPr="00C327EE" w:rsidRDefault="00F8050A" w:rsidP="00F8050A">
            <w:pPr>
              <w:rPr>
                <w:color w:val="000000"/>
                <w:sz w:val="20"/>
              </w:rPr>
            </w:pPr>
          </w:p>
        </w:tc>
        <w:tc>
          <w:tcPr>
            <w:tcW w:w="3750" w:type="pct"/>
            <w:shd w:val="clear" w:color="auto" w:fill="auto"/>
            <w:tcMar>
              <w:top w:w="0" w:type="dxa"/>
              <w:left w:w="45" w:type="dxa"/>
              <w:bottom w:w="0" w:type="dxa"/>
              <w:right w:w="45" w:type="dxa"/>
            </w:tcMar>
          </w:tcPr>
          <w:p w:rsidR="00F8050A" w:rsidRPr="00C327EE" w:rsidRDefault="00F8050A" w:rsidP="002A7F67">
            <w:pPr>
              <w:spacing w:after="120"/>
              <w:rPr>
                <w:i/>
                <w:iCs/>
                <w:color w:val="000000"/>
                <w:sz w:val="20"/>
                <w:lang w:val="fr-CA"/>
              </w:rPr>
            </w:pPr>
            <w:r w:rsidRPr="00C327EE">
              <w:rPr>
                <w:i/>
                <w:iCs/>
                <w:color w:val="000000"/>
                <w:sz w:val="20"/>
              </w:rPr>
              <w:t>His Majesty the King v. Edwin Tsang </w:t>
            </w:r>
            <w:r w:rsidRPr="00C327EE">
              <w:rPr>
                <w:iCs/>
                <w:color w:val="000000"/>
                <w:sz w:val="20"/>
              </w:rPr>
              <w:t>(B.C.) (Criminal) (By Leave) (</w:t>
            </w:r>
            <w:hyperlink r:id="rId12" w:history="1">
              <w:r w:rsidRPr="00C327EE">
                <w:rPr>
                  <w:rStyle w:val="Hyperlink"/>
                  <w:iCs/>
                  <w:sz w:val="20"/>
                </w:rPr>
                <w:t>40447</w:t>
              </w:r>
            </w:hyperlink>
            <w:r w:rsidRPr="00C327EE">
              <w:rPr>
                <w:iCs/>
                <w:color w:val="000000"/>
                <w:sz w:val="20"/>
              </w:rPr>
              <w:t>)</w:t>
            </w:r>
          </w:p>
        </w:tc>
      </w:tr>
      <w:tr w:rsidR="00F8050A" w:rsidRPr="00C327EE" w:rsidTr="005C7117">
        <w:trPr>
          <w:trHeight w:val="415"/>
        </w:trPr>
        <w:tc>
          <w:tcPr>
            <w:tcW w:w="1250" w:type="pct"/>
            <w:shd w:val="clear" w:color="auto" w:fill="auto"/>
            <w:tcMar>
              <w:top w:w="0" w:type="dxa"/>
              <w:left w:w="45" w:type="dxa"/>
              <w:bottom w:w="0" w:type="dxa"/>
              <w:right w:w="45" w:type="dxa"/>
            </w:tcMar>
          </w:tcPr>
          <w:p w:rsidR="00F8050A" w:rsidRPr="00C327EE" w:rsidRDefault="00F8050A" w:rsidP="00F8050A">
            <w:pPr>
              <w:rPr>
                <w:color w:val="000000"/>
                <w:sz w:val="20"/>
              </w:rPr>
            </w:pPr>
            <w:r w:rsidRPr="00C327EE">
              <w:rPr>
                <w:color w:val="000000"/>
                <w:sz w:val="20"/>
              </w:rPr>
              <w:t>2023-05-1</w:t>
            </w:r>
            <w:r w:rsidRPr="00C327EE">
              <w:rPr>
                <w:color w:val="000000"/>
                <w:sz w:val="20"/>
              </w:rPr>
              <w:t>9</w:t>
            </w:r>
          </w:p>
        </w:tc>
        <w:tc>
          <w:tcPr>
            <w:tcW w:w="3750" w:type="pct"/>
            <w:shd w:val="clear" w:color="auto" w:fill="auto"/>
            <w:tcMar>
              <w:top w:w="0" w:type="dxa"/>
              <w:left w:w="45" w:type="dxa"/>
              <w:bottom w:w="0" w:type="dxa"/>
              <w:right w:w="45" w:type="dxa"/>
            </w:tcMar>
          </w:tcPr>
          <w:p w:rsidR="00F8050A" w:rsidRPr="00C327EE" w:rsidRDefault="00F8050A" w:rsidP="002A7F67">
            <w:pPr>
              <w:spacing w:after="120"/>
              <w:rPr>
                <w:i/>
                <w:iCs/>
                <w:color w:val="000000"/>
                <w:sz w:val="20"/>
                <w:lang w:val="fr-CA"/>
              </w:rPr>
            </w:pPr>
            <w:r w:rsidRPr="00C327EE">
              <w:rPr>
                <w:i/>
                <w:iCs/>
                <w:color w:val="000000"/>
                <w:sz w:val="20"/>
              </w:rPr>
              <w:t>Jason Donald Hay v. His Majesty the King </w:t>
            </w:r>
            <w:r w:rsidRPr="00C327EE">
              <w:rPr>
                <w:iCs/>
                <w:color w:val="000000"/>
                <w:sz w:val="20"/>
              </w:rPr>
              <w:t>(Alta.) (Criminal) (As of Right) (</w:t>
            </w:r>
            <w:hyperlink r:id="rId13" w:history="1">
              <w:r w:rsidRPr="00C327EE">
                <w:rPr>
                  <w:rStyle w:val="Hyperlink"/>
                  <w:iCs/>
                  <w:sz w:val="20"/>
                </w:rPr>
                <w:t>40316</w:t>
              </w:r>
            </w:hyperlink>
            <w:r w:rsidRPr="00C327EE">
              <w:rPr>
                <w:iCs/>
                <w:color w:val="000000"/>
                <w:sz w:val="20"/>
              </w:rPr>
              <w:t>)</w:t>
            </w:r>
          </w:p>
        </w:tc>
      </w:tr>
    </w:tbl>
    <w:p w:rsidR="00BE50C2" w:rsidRPr="00C327EE" w:rsidRDefault="00BE50C2" w:rsidP="0048502A">
      <w:pPr>
        <w:widowControl w:val="0"/>
        <w:rPr>
          <w:sz w:val="20"/>
        </w:rPr>
      </w:pPr>
    </w:p>
    <w:p w:rsidR="00EE4187" w:rsidRPr="00C327EE" w:rsidRDefault="00EE4187" w:rsidP="00EE4187">
      <w:pPr>
        <w:widowControl w:val="0"/>
        <w:jc w:val="both"/>
        <w:rPr>
          <w:sz w:val="18"/>
          <w:szCs w:val="18"/>
        </w:rPr>
      </w:pPr>
      <w:r w:rsidRPr="00C327EE">
        <w:rPr>
          <w:b/>
          <w:sz w:val="18"/>
          <w:szCs w:val="18"/>
        </w:rPr>
        <w:t>NOTE:</w:t>
      </w:r>
      <w:r w:rsidRPr="00C327EE">
        <w:rPr>
          <w:sz w:val="18"/>
          <w:szCs w:val="18"/>
        </w:rPr>
        <w:t xml:space="preserve"> This agenda is subject to change. Hearings normally commence at 9:30 a.m.</w:t>
      </w:r>
      <w:r w:rsidR="00DF5D71" w:rsidRPr="00C327EE">
        <w:rPr>
          <w:sz w:val="18"/>
          <w:szCs w:val="18"/>
        </w:rPr>
        <w:t xml:space="preserve"> ET</w:t>
      </w:r>
      <w:r w:rsidRPr="00C327EE">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C327EE" w:rsidRDefault="00EE4187" w:rsidP="00EE4187">
      <w:pPr>
        <w:widowControl w:val="0"/>
        <w:jc w:val="both"/>
        <w:rPr>
          <w:sz w:val="18"/>
          <w:szCs w:val="18"/>
        </w:rPr>
      </w:pPr>
    </w:p>
    <w:p w:rsidR="00EE4187" w:rsidRPr="00C327EE" w:rsidRDefault="00EE4187" w:rsidP="00EE4187">
      <w:pPr>
        <w:jc w:val="both"/>
        <w:rPr>
          <w:sz w:val="18"/>
          <w:szCs w:val="18"/>
          <w:lang w:val="fr-CA"/>
        </w:rPr>
      </w:pPr>
      <w:r w:rsidRPr="00C327EE">
        <w:rPr>
          <w:sz w:val="18"/>
          <w:szCs w:val="18"/>
          <w:lang w:val="fr-CA"/>
        </w:rPr>
        <w:t>Ce calendrier est sujet à modification. Les audiences débutent normalement à 9</w:t>
      </w:r>
      <w:r w:rsidR="00DF5D71" w:rsidRPr="00C327EE">
        <w:rPr>
          <w:sz w:val="18"/>
          <w:szCs w:val="18"/>
          <w:lang w:val="fr-CA"/>
        </w:rPr>
        <w:t xml:space="preserve"> </w:t>
      </w:r>
      <w:r w:rsidRPr="00C327EE">
        <w:rPr>
          <w:sz w:val="18"/>
          <w:szCs w:val="18"/>
          <w:lang w:val="fr-CA"/>
        </w:rPr>
        <w:t>h</w:t>
      </w:r>
      <w:r w:rsidR="00DF5D71" w:rsidRPr="00C327EE">
        <w:rPr>
          <w:sz w:val="18"/>
          <w:szCs w:val="18"/>
          <w:lang w:val="fr-CA"/>
        </w:rPr>
        <w:t xml:space="preserve"> </w:t>
      </w:r>
      <w:r w:rsidRPr="00C327EE">
        <w:rPr>
          <w:sz w:val="18"/>
          <w:szCs w:val="18"/>
          <w:lang w:val="fr-CA"/>
        </w:rPr>
        <w:t>30</w:t>
      </w:r>
      <w:r w:rsidR="00DF5D71" w:rsidRPr="00C327EE">
        <w:rPr>
          <w:sz w:val="18"/>
          <w:szCs w:val="18"/>
          <w:lang w:val="fr-CA"/>
        </w:rPr>
        <w:t xml:space="preserve"> HE</w:t>
      </w:r>
      <w:r w:rsidRPr="00C327EE">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C327EE" w:rsidRDefault="00EE4187" w:rsidP="0052538B">
      <w:pPr>
        <w:widowControl w:val="0"/>
        <w:jc w:val="both"/>
        <w:rPr>
          <w:sz w:val="20"/>
          <w:lang w:val="fr-CA"/>
        </w:rPr>
      </w:pPr>
    </w:p>
    <w:p w:rsidR="00493382" w:rsidRPr="00C327EE" w:rsidRDefault="00C327EE" w:rsidP="0052538B">
      <w:pPr>
        <w:widowControl w:val="0"/>
        <w:jc w:val="both"/>
        <w:rPr>
          <w:sz w:val="20"/>
          <w:lang w:val="fr-CA"/>
        </w:rPr>
      </w:pPr>
      <w:r w:rsidRPr="00C327EE">
        <w:rPr>
          <w:sz w:val="20"/>
        </w:rPr>
        <w:pict>
          <v:rect id="_x0000_i1026" style="width:2in;height:1pt" o:hrpct="0" o:hralign="center" o:hrstd="t" o:hrnoshade="t" o:hr="t" fillcolor="black [3213]" stroked="f"/>
        </w:pict>
      </w:r>
    </w:p>
    <w:p w:rsidR="002A7F67" w:rsidRPr="00C327EE" w:rsidRDefault="002A7F67" w:rsidP="002A7F67">
      <w:pPr>
        <w:widowControl w:val="0"/>
        <w:tabs>
          <w:tab w:val="left" w:pos="720"/>
        </w:tabs>
        <w:ind w:left="1440" w:hanging="1440"/>
        <w:jc w:val="both"/>
        <w:rPr>
          <w:sz w:val="20"/>
          <w:lang w:val="en-CA"/>
        </w:rPr>
      </w:pPr>
      <w:bookmarkStart w:id="0" w:name="1"/>
      <w:bookmarkEnd w:id="0"/>
    </w:p>
    <w:p w:rsidR="003224E1" w:rsidRPr="00C327EE" w:rsidRDefault="003224E1" w:rsidP="003224E1">
      <w:pPr>
        <w:widowControl w:val="0"/>
        <w:tabs>
          <w:tab w:val="left" w:pos="720"/>
        </w:tabs>
        <w:ind w:left="1440" w:hanging="1440"/>
        <w:jc w:val="both"/>
        <w:rPr>
          <w:b/>
          <w:i/>
          <w:sz w:val="20"/>
          <w:lang w:val="en-CA"/>
        </w:rPr>
      </w:pPr>
      <w:r w:rsidRPr="00C327EE">
        <w:rPr>
          <w:b/>
          <w:sz w:val="20"/>
          <w:lang w:val="en-CA"/>
        </w:rPr>
        <w:fldChar w:fldCharType="begin"/>
      </w:r>
      <w:r w:rsidRPr="00C327EE">
        <w:rPr>
          <w:b/>
          <w:sz w:val="20"/>
        </w:rPr>
        <w:instrText xml:space="preserve"> SEQ CHAPTER \h \r 1</w:instrText>
      </w:r>
      <w:r w:rsidRPr="00C327EE">
        <w:rPr>
          <w:b/>
          <w:sz w:val="20"/>
        </w:rPr>
        <w:fldChar w:fldCharType="end"/>
      </w:r>
      <w:r w:rsidRPr="00C327EE">
        <w:rPr>
          <w:b/>
          <w:sz w:val="20"/>
          <w:lang w:val="en-CA"/>
        </w:rPr>
        <w:t>40117</w:t>
      </w:r>
      <w:r w:rsidRPr="00C327EE">
        <w:rPr>
          <w:sz w:val="20"/>
          <w:lang w:val="en-CA"/>
        </w:rPr>
        <w:tab/>
      </w:r>
      <w:bookmarkStart w:id="1" w:name="3"/>
      <w:bookmarkEnd w:id="1"/>
      <w:r w:rsidRPr="00C327EE">
        <w:rPr>
          <w:b/>
          <w:i/>
          <w:sz w:val="20"/>
          <w:lang w:val="en-CA"/>
        </w:rPr>
        <w:t>George Zacharias v. H</w:t>
      </w:r>
      <w:r w:rsidR="00C327EE" w:rsidRPr="00C327EE">
        <w:rPr>
          <w:b/>
          <w:i/>
          <w:sz w:val="20"/>
          <w:lang w:val="en-CA"/>
        </w:rPr>
        <w:t>is</w:t>
      </w:r>
      <w:r w:rsidRPr="00C327EE">
        <w:rPr>
          <w:b/>
          <w:i/>
          <w:sz w:val="20"/>
          <w:lang w:val="en-CA"/>
        </w:rPr>
        <w:t xml:space="preserve"> Majesty the </w:t>
      </w:r>
      <w:r w:rsidR="00C327EE" w:rsidRPr="00C327EE">
        <w:rPr>
          <w:b/>
          <w:i/>
          <w:sz w:val="20"/>
          <w:lang w:val="en-CA"/>
        </w:rPr>
        <w:t>King</w:t>
      </w:r>
    </w:p>
    <w:p w:rsidR="003224E1" w:rsidRPr="00C327EE" w:rsidRDefault="003224E1" w:rsidP="003224E1">
      <w:pPr>
        <w:widowControl w:val="0"/>
        <w:tabs>
          <w:tab w:val="left" w:pos="720"/>
        </w:tabs>
        <w:ind w:left="1440" w:hanging="1440"/>
        <w:jc w:val="both"/>
        <w:rPr>
          <w:sz w:val="20"/>
          <w:lang w:val="en-CA"/>
        </w:rPr>
      </w:pPr>
      <w:r w:rsidRPr="00C327EE">
        <w:rPr>
          <w:sz w:val="20"/>
          <w:lang w:val="en-CA"/>
        </w:rPr>
        <w:tab/>
        <w:t>(Alta.) (Criminal) (As of Right)</w:t>
      </w:r>
    </w:p>
    <w:p w:rsidR="003224E1" w:rsidRPr="00C327EE" w:rsidRDefault="003224E1" w:rsidP="003224E1">
      <w:pPr>
        <w:widowControl w:val="0"/>
        <w:jc w:val="both"/>
        <w:rPr>
          <w:sz w:val="20"/>
          <w:lang w:val="en-CA"/>
        </w:rPr>
      </w:pPr>
    </w:p>
    <w:p w:rsidR="003224E1" w:rsidRPr="00C327EE" w:rsidRDefault="003224E1" w:rsidP="003224E1">
      <w:pPr>
        <w:widowControl w:val="0"/>
        <w:jc w:val="both"/>
        <w:rPr>
          <w:sz w:val="20"/>
          <w:lang w:val="en-CA"/>
        </w:rPr>
      </w:pPr>
      <w:bookmarkStart w:id="2" w:name="QuickMark_1"/>
      <w:bookmarkEnd w:id="2"/>
      <w:r w:rsidRPr="00C327EE">
        <w:rPr>
          <w:sz w:val="20"/>
          <w:lang w:val="en-CA"/>
        </w:rPr>
        <w:t xml:space="preserve">Constitutional Law — Charter of Rights — Arbitrary detention — Search and seizure — Enforcement — Exclusion of evidence — </w:t>
      </w:r>
      <w:proofErr w:type="gramStart"/>
      <w:r w:rsidRPr="00C327EE">
        <w:rPr>
          <w:sz w:val="20"/>
        </w:rPr>
        <w:t>Whether</w:t>
      </w:r>
      <w:proofErr w:type="gramEnd"/>
      <w:r w:rsidRPr="00C327EE">
        <w:rPr>
          <w:sz w:val="20"/>
        </w:rPr>
        <w:t xml:space="preserve"> the trial judge properly considered all the relevant </w:t>
      </w:r>
      <w:r w:rsidRPr="00C327EE">
        <w:rPr>
          <w:i/>
          <w:sz w:val="20"/>
        </w:rPr>
        <w:t>Charter</w:t>
      </w:r>
      <w:r w:rsidRPr="00C327EE">
        <w:rPr>
          <w:sz w:val="20"/>
        </w:rPr>
        <w:t>-infringing state conduct.</w:t>
      </w:r>
    </w:p>
    <w:p w:rsidR="003224E1" w:rsidRPr="00C327EE" w:rsidRDefault="003224E1" w:rsidP="003224E1">
      <w:pPr>
        <w:widowControl w:val="0"/>
        <w:jc w:val="both"/>
        <w:rPr>
          <w:sz w:val="20"/>
          <w:lang w:val="en-CA"/>
        </w:rPr>
      </w:pPr>
    </w:p>
    <w:p w:rsidR="003224E1" w:rsidRPr="00C327EE" w:rsidRDefault="003224E1" w:rsidP="003224E1">
      <w:pPr>
        <w:widowControl w:val="0"/>
        <w:tabs>
          <w:tab w:val="left" w:pos="938"/>
        </w:tabs>
        <w:spacing w:line="0" w:lineRule="atLeast"/>
        <w:jc w:val="both"/>
        <w:rPr>
          <w:sz w:val="20"/>
        </w:rPr>
      </w:pPr>
      <w:r w:rsidRPr="00C327EE">
        <w:rPr>
          <w:sz w:val="20"/>
        </w:rPr>
        <w:t xml:space="preserve">The appellant, George Zacharias, was convicted under s. 5(2) of the </w:t>
      </w:r>
      <w:r w:rsidRPr="00C327EE">
        <w:rPr>
          <w:i/>
          <w:sz w:val="20"/>
        </w:rPr>
        <w:t>Controlled Drugs and Substances Act</w:t>
      </w:r>
      <w:r w:rsidRPr="00C327EE">
        <w:rPr>
          <w:sz w:val="20"/>
        </w:rPr>
        <w:t xml:space="preserve">, S.C. 1996, c. 19, for possession of 101.5 pounds of cannabis for the purpose of trafficking. The main issue at trial was whether Cst. MacPhail, who conducted a traffic stop of Mr. Zacharias’ truck, had reasonable suspicion to enter into an investigative detention and deploy a sniffer dog. The trial judge found that the initial investigative detention and the sniffer dog search were unlawful and breached the ss. 8 and 9 </w:t>
      </w:r>
      <w:r w:rsidRPr="00C327EE">
        <w:rPr>
          <w:i/>
          <w:sz w:val="20"/>
        </w:rPr>
        <w:t>Charter</w:t>
      </w:r>
      <w:r w:rsidRPr="00C327EE">
        <w:rPr>
          <w:sz w:val="20"/>
        </w:rPr>
        <w:t xml:space="preserve"> rights of Mr. Zacharias to be free from unreasonable search and arbitrary detention. Applying the test in </w:t>
      </w:r>
      <w:r w:rsidRPr="00C327EE">
        <w:rPr>
          <w:i/>
          <w:sz w:val="20"/>
        </w:rPr>
        <w:t>R. v. Grant</w:t>
      </w:r>
      <w:r w:rsidRPr="00C327EE">
        <w:rPr>
          <w:sz w:val="20"/>
        </w:rPr>
        <w:t xml:space="preserve">, 2009 SCC 32, the trial judge then found that the first two factors did not strongly favour exclusion of the evidence and that the third one favoured inclusion. The evidence was therefore admitted. </w:t>
      </w:r>
    </w:p>
    <w:p w:rsidR="003224E1" w:rsidRPr="00C327EE" w:rsidRDefault="003224E1" w:rsidP="003224E1">
      <w:pPr>
        <w:widowControl w:val="0"/>
        <w:tabs>
          <w:tab w:val="left" w:pos="938"/>
        </w:tabs>
        <w:spacing w:line="0" w:lineRule="atLeast"/>
        <w:jc w:val="both"/>
        <w:rPr>
          <w:sz w:val="20"/>
        </w:rPr>
      </w:pPr>
    </w:p>
    <w:p w:rsidR="003224E1" w:rsidRPr="00C327EE" w:rsidRDefault="003224E1" w:rsidP="003224E1">
      <w:pPr>
        <w:widowControl w:val="0"/>
        <w:tabs>
          <w:tab w:val="left" w:pos="938"/>
        </w:tabs>
        <w:spacing w:line="0" w:lineRule="atLeast"/>
        <w:jc w:val="both"/>
        <w:rPr>
          <w:sz w:val="20"/>
        </w:rPr>
      </w:pPr>
      <w:r w:rsidRPr="00C327EE">
        <w:rPr>
          <w:sz w:val="20"/>
        </w:rPr>
        <w:t xml:space="preserve">A majority of the Court of Appeal dismissed Mr. Zacharias’ appeal, declining to consider his arguments regarding the additional breaches that were neither included in his </w:t>
      </w:r>
      <w:r w:rsidRPr="00C327EE">
        <w:rPr>
          <w:i/>
          <w:sz w:val="20"/>
        </w:rPr>
        <w:t xml:space="preserve">Charter </w:t>
      </w:r>
      <w:r w:rsidRPr="00C327EE">
        <w:rPr>
          <w:sz w:val="20"/>
        </w:rPr>
        <w:t xml:space="preserve">notice nor argued at trial, as it would have been unfair for an appellate court to make findings of fact of new breach arguments. Further, the majority concluded that while the trial judge did not expressly include the s. 9 </w:t>
      </w:r>
      <w:r w:rsidRPr="00C327EE">
        <w:rPr>
          <w:i/>
          <w:sz w:val="20"/>
        </w:rPr>
        <w:t>Charter</w:t>
      </w:r>
      <w:r w:rsidRPr="00C327EE">
        <w:rPr>
          <w:sz w:val="20"/>
        </w:rPr>
        <w:t xml:space="preserve"> breach in her consideration of the second stage of the </w:t>
      </w:r>
      <w:r w:rsidRPr="00C327EE">
        <w:rPr>
          <w:i/>
          <w:sz w:val="20"/>
        </w:rPr>
        <w:t>Grant</w:t>
      </w:r>
      <w:r w:rsidRPr="00C327EE">
        <w:rPr>
          <w:sz w:val="20"/>
        </w:rPr>
        <w:t xml:space="preserve"> analysis, her failure to do so did not affect the result. In dissent, Khullar J.A. would have allowed Mr. Zacharias’ appeal, excluded the drug evidence and other evidence seized, set aside the conviction and entered an acquittal. In her view, while there was no reviewable error at the first and third stage of the </w:t>
      </w:r>
      <w:r w:rsidRPr="00C327EE">
        <w:rPr>
          <w:i/>
          <w:sz w:val="20"/>
        </w:rPr>
        <w:t>Grant</w:t>
      </w:r>
      <w:r w:rsidRPr="00C327EE">
        <w:rPr>
          <w:sz w:val="20"/>
        </w:rPr>
        <w:t xml:space="preserve"> test, the second </w:t>
      </w:r>
      <w:r w:rsidRPr="00C327EE">
        <w:rPr>
          <w:i/>
          <w:sz w:val="20"/>
        </w:rPr>
        <w:t>Grant</w:t>
      </w:r>
      <w:r w:rsidRPr="00C327EE">
        <w:rPr>
          <w:sz w:val="20"/>
        </w:rPr>
        <w:t xml:space="preserve"> factor strongly favoured exclusion of the evidence. The trial judge only considered the exterior search of the vehicle by the sniffer dog, but there were several more </w:t>
      </w:r>
      <w:r w:rsidRPr="00C327EE">
        <w:rPr>
          <w:i/>
          <w:sz w:val="20"/>
        </w:rPr>
        <w:t xml:space="preserve">Charter </w:t>
      </w:r>
      <w:r w:rsidRPr="00C327EE">
        <w:rPr>
          <w:sz w:val="20"/>
        </w:rPr>
        <w:t>breaches. Balancing the three factors together, Khullar J.A. found that admitting the evidence would undermine the reputation of the criminal justice system in the eyes of a reasonable person informed of all the relevant circumstances.</w:t>
      </w:r>
    </w:p>
    <w:p w:rsidR="00C327EE" w:rsidRPr="00C327EE" w:rsidRDefault="00C327EE" w:rsidP="003224E1">
      <w:pPr>
        <w:widowControl w:val="0"/>
        <w:tabs>
          <w:tab w:val="left" w:pos="938"/>
        </w:tabs>
        <w:spacing w:line="0" w:lineRule="atLeast"/>
        <w:jc w:val="both"/>
        <w:rPr>
          <w:sz w:val="20"/>
        </w:rPr>
      </w:pPr>
    </w:p>
    <w:p w:rsidR="00C327EE" w:rsidRPr="00C327EE" w:rsidRDefault="00C327EE" w:rsidP="003224E1">
      <w:pPr>
        <w:widowControl w:val="0"/>
        <w:tabs>
          <w:tab w:val="left" w:pos="938"/>
        </w:tabs>
        <w:spacing w:line="0" w:lineRule="atLeast"/>
        <w:jc w:val="both"/>
        <w:rPr>
          <w:sz w:val="20"/>
        </w:rPr>
      </w:pPr>
      <w:r w:rsidRPr="00C327EE">
        <w:rPr>
          <w:sz w:val="20"/>
        </w:rPr>
        <w:pict>
          <v:rect id="_x0000_i1034" style="width:2in;height:1pt" o:hrpct="0" o:hralign="center" o:hrstd="t" o:hrnoshade="t" o:hr="t" fillcolor="black [3213]" stroked="f"/>
        </w:pict>
      </w:r>
    </w:p>
    <w:p w:rsidR="00C327EE" w:rsidRPr="00C327EE" w:rsidRDefault="00C327EE" w:rsidP="003224E1">
      <w:pPr>
        <w:widowControl w:val="0"/>
        <w:tabs>
          <w:tab w:val="left" w:pos="938"/>
        </w:tabs>
        <w:spacing w:line="0" w:lineRule="atLeast"/>
        <w:jc w:val="both"/>
        <w:rPr>
          <w:sz w:val="20"/>
        </w:rPr>
      </w:pPr>
    </w:p>
    <w:p w:rsidR="003224E1" w:rsidRPr="00C327EE" w:rsidRDefault="003224E1" w:rsidP="003224E1">
      <w:pPr>
        <w:widowControl w:val="0"/>
        <w:tabs>
          <w:tab w:val="left" w:pos="720"/>
        </w:tabs>
        <w:ind w:left="1440" w:hanging="1440"/>
        <w:jc w:val="both"/>
        <w:rPr>
          <w:b/>
          <w:i/>
          <w:sz w:val="20"/>
          <w:lang w:val="fr-CA"/>
        </w:rPr>
      </w:pPr>
      <w:r w:rsidRPr="00C327EE">
        <w:rPr>
          <w:b/>
          <w:sz w:val="20"/>
          <w:lang w:val="en-CA"/>
        </w:rPr>
        <w:fldChar w:fldCharType="begin"/>
      </w:r>
      <w:r w:rsidRPr="00C327EE">
        <w:rPr>
          <w:b/>
          <w:sz w:val="20"/>
          <w:lang w:val="fr-CA"/>
        </w:rPr>
        <w:instrText xml:space="preserve"> SEQ CHAPTER \h \r 1</w:instrText>
      </w:r>
      <w:r w:rsidRPr="00C327EE">
        <w:rPr>
          <w:b/>
          <w:sz w:val="20"/>
        </w:rPr>
        <w:fldChar w:fldCharType="end"/>
      </w:r>
      <w:r w:rsidRPr="00C327EE">
        <w:rPr>
          <w:b/>
          <w:sz w:val="20"/>
          <w:lang w:val="fr-CA"/>
        </w:rPr>
        <w:t>40117</w:t>
      </w:r>
      <w:r w:rsidRPr="00C327EE">
        <w:rPr>
          <w:sz w:val="20"/>
          <w:lang w:val="fr-CA"/>
        </w:rPr>
        <w:tab/>
      </w:r>
      <w:r w:rsidRPr="00C327EE">
        <w:rPr>
          <w:b/>
          <w:i/>
          <w:sz w:val="20"/>
          <w:lang w:val="fr-CA"/>
        </w:rPr>
        <w:t>George Zacharias c. Sa Majesté l</w:t>
      </w:r>
      <w:r w:rsidR="00C327EE" w:rsidRPr="00C327EE">
        <w:rPr>
          <w:b/>
          <w:i/>
          <w:sz w:val="20"/>
          <w:lang w:val="fr-CA"/>
        </w:rPr>
        <w:t>e</w:t>
      </w:r>
      <w:r w:rsidRPr="00C327EE">
        <w:rPr>
          <w:b/>
          <w:i/>
          <w:sz w:val="20"/>
          <w:lang w:val="fr-CA"/>
        </w:rPr>
        <w:t xml:space="preserve"> R</w:t>
      </w:r>
      <w:r w:rsidR="00C327EE" w:rsidRPr="00C327EE">
        <w:rPr>
          <w:b/>
          <w:i/>
          <w:sz w:val="20"/>
          <w:lang w:val="fr-CA"/>
        </w:rPr>
        <w:t>o</w:t>
      </w:r>
      <w:r w:rsidRPr="00C327EE">
        <w:rPr>
          <w:b/>
          <w:i/>
          <w:sz w:val="20"/>
          <w:lang w:val="fr-CA"/>
        </w:rPr>
        <w:t>i</w:t>
      </w:r>
    </w:p>
    <w:p w:rsidR="003224E1" w:rsidRPr="00C327EE" w:rsidRDefault="003224E1" w:rsidP="003224E1">
      <w:pPr>
        <w:widowControl w:val="0"/>
        <w:tabs>
          <w:tab w:val="left" w:pos="720"/>
        </w:tabs>
        <w:ind w:left="1440" w:hanging="1440"/>
        <w:jc w:val="both"/>
        <w:rPr>
          <w:sz w:val="20"/>
          <w:lang w:val="fr-CA"/>
        </w:rPr>
      </w:pPr>
      <w:r w:rsidRPr="00C327EE">
        <w:rPr>
          <w:sz w:val="20"/>
          <w:lang w:val="fr-CA"/>
        </w:rPr>
        <w:tab/>
        <w:t>(Alb.) (Criminelle) (De plein droit)</w:t>
      </w:r>
    </w:p>
    <w:p w:rsidR="003224E1" w:rsidRPr="00C327EE" w:rsidRDefault="003224E1" w:rsidP="003224E1">
      <w:pPr>
        <w:widowControl w:val="0"/>
        <w:jc w:val="both"/>
        <w:rPr>
          <w:sz w:val="20"/>
          <w:lang w:val="fr-CA"/>
        </w:rPr>
      </w:pPr>
    </w:p>
    <w:p w:rsidR="003224E1" w:rsidRPr="00C327EE" w:rsidRDefault="003224E1" w:rsidP="003224E1">
      <w:pPr>
        <w:widowControl w:val="0"/>
        <w:jc w:val="both"/>
        <w:rPr>
          <w:sz w:val="20"/>
          <w:lang w:val="fr-CA"/>
        </w:rPr>
      </w:pPr>
      <w:r w:rsidRPr="00C327EE">
        <w:rPr>
          <w:sz w:val="20"/>
          <w:lang w:val="fr-CA"/>
        </w:rPr>
        <w:t xml:space="preserve">Droit constitutionnel — Charte des droits — Détention arbitraire — Fouilles, perquisitions et saisies — Exécution — Exclusion d’éléments de preuve — La juge du procès a-t-elle tenu dûment compte de toute la conduite attentatoire pertinente de l’État? </w:t>
      </w:r>
    </w:p>
    <w:p w:rsidR="003224E1" w:rsidRPr="00C327EE" w:rsidRDefault="003224E1" w:rsidP="003224E1">
      <w:pPr>
        <w:widowControl w:val="0"/>
        <w:jc w:val="both"/>
        <w:rPr>
          <w:sz w:val="20"/>
          <w:lang w:val="fr-CA"/>
        </w:rPr>
      </w:pPr>
    </w:p>
    <w:p w:rsidR="003224E1" w:rsidRPr="00C327EE" w:rsidRDefault="003224E1" w:rsidP="003224E1">
      <w:pPr>
        <w:widowControl w:val="0"/>
        <w:tabs>
          <w:tab w:val="left" w:pos="938"/>
        </w:tabs>
        <w:spacing w:line="0" w:lineRule="atLeast"/>
        <w:jc w:val="both"/>
        <w:rPr>
          <w:sz w:val="20"/>
          <w:lang w:val="fr-CA"/>
        </w:rPr>
      </w:pPr>
      <w:r w:rsidRPr="00C327EE">
        <w:rPr>
          <w:sz w:val="20"/>
          <w:lang w:val="fr-CA"/>
        </w:rPr>
        <w:t xml:space="preserve">L’appelant, George Zacharias, a été déclaré coupable au titre du par. 5(2) de la </w:t>
      </w:r>
      <w:r w:rsidRPr="00C327EE">
        <w:rPr>
          <w:i/>
          <w:sz w:val="20"/>
          <w:lang w:val="fr-CA"/>
        </w:rPr>
        <w:t>Loi réglementant certaines drogues et autres substances</w:t>
      </w:r>
      <w:r w:rsidRPr="00C327EE">
        <w:rPr>
          <w:sz w:val="20"/>
          <w:lang w:val="fr-CA"/>
        </w:rPr>
        <w:t xml:space="preserve">, L.C. 1996, c. 19, de possession de 101,5 lb de cannabis en vue d’en faire le trafic. La question principale au procès était de savoir si l’agent MacPhail qui a effectué un contrôle routier du camion de M. Zacharias avait des soupçons raisonnables justifiant qu’il procède à une détention aux fins d’enquête et qu’il ait recours à un chien renifleur. La juge du procès a conclu que la détention initiale aux fins d’enquête et la fouille à l’aide du chien renifleur étaient arbitraires et violaient les droits que </w:t>
      </w:r>
      <w:proofErr w:type="gramStart"/>
      <w:r w:rsidRPr="00C327EE">
        <w:rPr>
          <w:sz w:val="20"/>
          <w:lang w:val="fr-CA"/>
        </w:rPr>
        <w:t>les art</w:t>
      </w:r>
      <w:proofErr w:type="gramEnd"/>
      <w:r w:rsidRPr="00C327EE">
        <w:rPr>
          <w:sz w:val="20"/>
          <w:lang w:val="fr-CA"/>
        </w:rPr>
        <w:t xml:space="preserve">. 8 et 9 de la </w:t>
      </w:r>
      <w:r w:rsidRPr="00C327EE">
        <w:rPr>
          <w:i/>
          <w:sz w:val="20"/>
          <w:lang w:val="fr-CA"/>
        </w:rPr>
        <w:t>Charte</w:t>
      </w:r>
      <w:r w:rsidRPr="00C327EE">
        <w:rPr>
          <w:sz w:val="20"/>
          <w:lang w:val="fr-CA"/>
        </w:rPr>
        <w:t xml:space="preserve"> garantissent à M. Zacharias d’être à l’abri de fouilles abusives et de détention arbitraire. Appliquant le test de </w:t>
      </w:r>
      <w:r w:rsidRPr="00C327EE">
        <w:rPr>
          <w:i/>
          <w:sz w:val="20"/>
          <w:lang w:val="fr-CA"/>
        </w:rPr>
        <w:t>R. c. Grant</w:t>
      </w:r>
      <w:r w:rsidRPr="00C327EE">
        <w:rPr>
          <w:sz w:val="20"/>
          <w:lang w:val="fr-CA"/>
        </w:rPr>
        <w:t>, 2009 CSC 32, la juge du procès a ensuite conclu que les deux premiers facteurs ne militaient pas fortement en faveur de l’exclusion des éléments de preuve et que le troisième facteur militait en faveur de l’inclusion. Les éléments de preuve ont donc été admis.</w:t>
      </w:r>
    </w:p>
    <w:p w:rsidR="003224E1" w:rsidRPr="00C327EE" w:rsidRDefault="003224E1" w:rsidP="003224E1">
      <w:pPr>
        <w:widowControl w:val="0"/>
        <w:tabs>
          <w:tab w:val="left" w:pos="938"/>
        </w:tabs>
        <w:spacing w:line="0" w:lineRule="atLeast"/>
        <w:jc w:val="both"/>
        <w:rPr>
          <w:sz w:val="20"/>
          <w:lang w:val="fr-CA"/>
        </w:rPr>
      </w:pPr>
    </w:p>
    <w:p w:rsidR="003224E1" w:rsidRPr="00C327EE" w:rsidRDefault="003224E1" w:rsidP="003224E1">
      <w:pPr>
        <w:widowControl w:val="0"/>
        <w:tabs>
          <w:tab w:val="left" w:pos="938"/>
        </w:tabs>
        <w:spacing w:line="0" w:lineRule="atLeast"/>
        <w:jc w:val="both"/>
        <w:rPr>
          <w:sz w:val="20"/>
          <w:lang w:val="fr-CA"/>
        </w:rPr>
      </w:pPr>
      <w:r w:rsidRPr="00C327EE">
        <w:rPr>
          <w:sz w:val="20"/>
          <w:lang w:val="fr-CA"/>
        </w:rPr>
        <w:t xml:space="preserve">Les juges majoritaires de la Cour d’appel ont rejeté l’appel de M. Zacharias, refusant d’examiner ses arguments relatifs aux violations additionnelles, qui n’étaient ni incluses dans son avis exigé par la </w:t>
      </w:r>
      <w:r w:rsidRPr="00C327EE">
        <w:rPr>
          <w:i/>
          <w:sz w:val="20"/>
          <w:lang w:val="fr-CA"/>
        </w:rPr>
        <w:t>Charte</w:t>
      </w:r>
      <w:r w:rsidRPr="00C327EE">
        <w:rPr>
          <w:sz w:val="20"/>
          <w:lang w:val="fr-CA"/>
        </w:rPr>
        <w:t xml:space="preserve"> ni plaidées au procès, car il aurait été injuste qu’une cour d’appel tire des conclusions de faits relativement à de nouveaux arguments portant sur les violations de la </w:t>
      </w:r>
      <w:r w:rsidRPr="00C327EE">
        <w:rPr>
          <w:i/>
          <w:sz w:val="20"/>
          <w:lang w:val="fr-CA"/>
        </w:rPr>
        <w:t>Charte</w:t>
      </w:r>
      <w:r w:rsidRPr="00C327EE">
        <w:rPr>
          <w:sz w:val="20"/>
          <w:lang w:val="fr-CA"/>
        </w:rPr>
        <w:t xml:space="preserve">. De plus, les juges majoritaires ont conclu que, certes, la juge du procès n’a pas expressément inclus la violation de l’art. 9 de la </w:t>
      </w:r>
      <w:r w:rsidRPr="00C327EE">
        <w:rPr>
          <w:i/>
          <w:sz w:val="20"/>
          <w:lang w:val="fr-CA"/>
        </w:rPr>
        <w:t>Charte</w:t>
      </w:r>
      <w:r w:rsidRPr="00C327EE">
        <w:rPr>
          <w:sz w:val="20"/>
          <w:lang w:val="fr-CA"/>
        </w:rPr>
        <w:t xml:space="preserve"> dans son évaluation du deuxième volet de l’analyse de l’arrêt </w:t>
      </w:r>
      <w:r w:rsidRPr="00C327EE">
        <w:rPr>
          <w:i/>
          <w:sz w:val="20"/>
          <w:lang w:val="fr-CA"/>
        </w:rPr>
        <w:t>Grant</w:t>
      </w:r>
      <w:r w:rsidRPr="00C327EE">
        <w:rPr>
          <w:sz w:val="20"/>
          <w:lang w:val="fr-CA"/>
        </w:rPr>
        <w:t xml:space="preserve">, mais son omission à cet égard n’a pas eu de conséquence sur l’issue de l’affaire. En dissidence, la juge d’appel Khullar aurait accueilli l’appel de M. Zacharias, exclu la preuve relative à la drogue et les autres éléments de preuve saisis, annulé la déclaration de culpabilité et inscrit un acquittement. Selon elle, bien qu’il n’y ait pas eu d’erreur susceptible de contrôle eu égard aux premier et troisième volets du test de </w:t>
      </w:r>
      <w:r w:rsidRPr="00C327EE">
        <w:rPr>
          <w:i/>
          <w:sz w:val="20"/>
          <w:lang w:val="fr-CA"/>
        </w:rPr>
        <w:t>Grant</w:t>
      </w:r>
      <w:r w:rsidRPr="00C327EE">
        <w:rPr>
          <w:sz w:val="20"/>
          <w:lang w:val="fr-CA"/>
        </w:rPr>
        <w:t xml:space="preserve">, le deuxième volet de </w:t>
      </w:r>
      <w:r w:rsidRPr="00C327EE">
        <w:rPr>
          <w:i/>
          <w:sz w:val="20"/>
          <w:lang w:val="fr-CA"/>
        </w:rPr>
        <w:t>Grant</w:t>
      </w:r>
      <w:r w:rsidRPr="00C327EE">
        <w:rPr>
          <w:sz w:val="20"/>
          <w:lang w:val="fr-CA"/>
        </w:rPr>
        <w:t xml:space="preserve"> militait fortement en faveur de l’exclusion des éléments de preuve. La juge du procès a uniquement examiné la fouille extérieure du véhicule effectuée grâce à un chien renifleur, mais il existait plusieurs autres violations de la </w:t>
      </w:r>
      <w:r w:rsidRPr="00C327EE">
        <w:rPr>
          <w:i/>
          <w:sz w:val="20"/>
          <w:lang w:val="fr-CA"/>
        </w:rPr>
        <w:t>Charte</w:t>
      </w:r>
      <w:r w:rsidRPr="00C327EE">
        <w:rPr>
          <w:sz w:val="20"/>
          <w:lang w:val="fr-CA"/>
        </w:rPr>
        <w:t>. Mettant en balance les trois facteurs ensemble, la juge Khullar a conclu que l’admission des éléments de preuve minerait la réputation du système de justice pénale aux yeux d’une personne raisonnable au fait de l’ensemble des circonstances pertinentes.</w:t>
      </w:r>
    </w:p>
    <w:p w:rsidR="00C327EE" w:rsidRPr="00C327EE" w:rsidRDefault="00C327EE" w:rsidP="003224E1">
      <w:pPr>
        <w:widowControl w:val="0"/>
        <w:tabs>
          <w:tab w:val="left" w:pos="938"/>
        </w:tabs>
        <w:spacing w:line="0" w:lineRule="atLeast"/>
        <w:jc w:val="both"/>
        <w:rPr>
          <w:sz w:val="20"/>
          <w:lang w:val="fr-CA"/>
        </w:rPr>
      </w:pPr>
    </w:p>
    <w:p w:rsidR="00C327EE" w:rsidRPr="00C327EE" w:rsidRDefault="00C327EE" w:rsidP="003224E1">
      <w:pPr>
        <w:widowControl w:val="0"/>
        <w:tabs>
          <w:tab w:val="left" w:pos="938"/>
        </w:tabs>
        <w:spacing w:line="0" w:lineRule="atLeast"/>
        <w:jc w:val="both"/>
        <w:rPr>
          <w:sz w:val="20"/>
          <w:lang w:val="fr-CA"/>
        </w:rPr>
      </w:pPr>
      <w:r w:rsidRPr="00C327EE">
        <w:rPr>
          <w:sz w:val="20"/>
        </w:rPr>
        <w:pict>
          <v:rect id="_x0000_i1035" style="width:2in;height:1pt" o:hrpct="0" o:hralign="center" o:hrstd="t" o:hrnoshade="t" o:hr="t" fillcolor="black [3213]" stroked="f"/>
        </w:pict>
      </w:r>
    </w:p>
    <w:p w:rsidR="003224E1" w:rsidRPr="00C327EE" w:rsidRDefault="003224E1" w:rsidP="003224E1">
      <w:pPr>
        <w:widowControl w:val="0"/>
        <w:tabs>
          <w:tab w:val="left" w:pos="938"/>
        </w:tabs>
        <w:spacing w:line="0" w:lineRule="atLeast"/>
        <w:jc w:val="both"/>
        <w:rPr>
          <w:sz w:val="20"/>
          <w:lang w:val="fr-CA"/>
        </w:rPr>
      </w:pPr>
    </w:p>
    <w:p w:rsidR="00C327EE" w:rsidRPr="00C327EE" w:rsidRDefault="00C327EE" w:rsidP="00C327EE">
      <w:pPr>
        <w:pStyle w:val="SCCLsocParty"/>
        <w:jc w:val="both"/>
        <w:rPr>
          <w:b/>
          <w:i/>
          <w:sz w:val="20"/>
          <w:szCs w:val="20"/>
          <w:lang w:val="en-CA"/>
        </w:rPr>
      </w:pPr>
      <w:r w:rsidRPr="00C327EE">
        <w:rPr>
          <w:rStyle w:val="SCCFileNumberChar"/>
          <w:sz w:val="20"/>
          <w:szCs w:val="20"/>
        </w:rPr>
        <w:t>40175</w:t>
      </w:r>
      <w:r w:rsidRPr="00C327EE">
        <w:rPr>
          <w:rStyle w:val="SCCFileNumberChar"/>
          <w:sz w:val="20"/>
          <w:szCs w:val="20"/>
        </w:rPr>
        <w:tab/>
      </w:r>
      <w:r w:rsidRPr="00C327EE">
        <w:rPr>
          <w:b/>
          <w:i/>
          <w:sz w:val="20"/>
          <w:szCs w:val="20"/>
          <w:lang w:val="en-CA"/>
        </w:rPr>
        <w:t>La Presse inc. v. Frédérick Silva and His Majesty the King</w:t>
      </w:r>
    </w:p>
    <w:p w:rsidR="00C327EE" w:rsidRPr="00C327EE" w:rsidRDefault="00C327EE" w:rsidP="00C327EE">
      <w:pPr>
        <w:widowControl w:val="0"/>
        <w:tabs>
          <w:tab w:val="left" w:pos="938"/>
        </w:tabs>
        <w:spacing w:line="0" w:lineRule="atLeast"/>
        <w:jc w:val="both"/>
        <w:rPr>
          <w:sz w:val="20"/>
          <w:lang w:val="fr-CA"/>
        </w:rPr>
      </w:pPr>
      <w:r w:rsidRPr="00C327EE">
        <w:rPr>
          <w:sz w:val="20"/>
          <w:lang w:val="en-CA"/>
        </w:rPr>
        <w:tab/>
      </w:r>
      <w:r w:rsidRPr="00C327EE">
        <w:rPr>
          <w:sz w:val="20"/>
          <w:lang w:val="en-CA"/>
        </w:rPr>
        <w:t>(Que.) (Civil) (By Leave)</w:t>
      </w:r>
    </w:p>
    <w:p w:rsidR="00C327EE" w:rsidRPr="00C327EE" w:rsidRDefault="00C327EE" w:rsidP="003224E1">
      <w:pPr>
        <w:widowControl w:val="0"/>
        <w:tabs>
          <w:tab w:val="left" w:pos="938"/>
        </w:tabs>
        <w:spacing w:line="0" w:lineRule="atLeast"/>
        <w:jc w:val="both"/>
        <w:rPr>
          <w:sz w:val="20"/>
          <w:lang w:val="fr-CA"/>
        </w:rPr>
      </w:pPr>
    </w:p>
    <w:p w:rsidR="00C327EE" w:rsidRPr="00C327EE" w:rsidRDefault="00C327EE" w:rsidP="00C327EE">
      <w:pPr>
        <w:pStyle w:val="SCCBanSummary"/>
        <w:rPr>
          <w:sz w:val="20"/>
          <w:szCs w:val="20"/>
        </w:rPr>
      </w:pPr>
      <w:r w:rsidRPr="00C327EE">
        <w:rPr>
          <w:sz w:val="20"/>
          <w:szCs w:val="20"/>
        </w:rPr>
        <w:t>(Certain information not available to the public)</w:t>
      </w:r>
    </w:p>
    <w:p w:rsidR="00C327EE" w:rsidRPr="00C327EE" w:rsidRDefault="00C327EE" w:rsidP="00C327EE">
      <w:pPr>
        <w:jc w:val="both"/>
        <w:rPr>
          <w:sz w:val="20"/>
          <w:lang w:val="en-CA"/>
        </w:rPr>
      </w:pPr>
    </w:p>
    <w:p w:rsidR="00C327EE" w:rsidRPr="00C327EE" w:rsidRDefault="00C327EE" w:rsidP="00C327EE">
      <w:pPr>
        <w:widowControl w:val="0"/>
        <w:tabs>
          <w:tab w:val="left" w:pos="938"/>
        </w:tabs>
        <w:spacing w:line="0" w:lineRule="atLeast"/>
        <w:jc w:val="both"/>
        <w:rPr>
          <w:sz w:val="20"/>
        </w:rPr>
      </w:pPr>
      <w:r w:rsidRPr="00C327EE">
        <w:rPr>
          <w:sz w:val="20"/>
          <w:lang w:val="en-CA"/>
        </w:rPr>
        <w:t xml:space="preserve">Criminal law ⸺ Publication ban ⸺ Orders prohibiting publication, broadcasting and transmission in relation to judgments on </w:t>
      </w:r>
      <w:r w:rsidRPr="00C327EE">
        <w:rPr>
          <w:i/>
          <w:sz w:val="20"/>
          <w:lang w:val="en-CA"/>
        </w:rPr>
        <w:t>voir dire</w:t>
      </w:r>
      <w:r w:rsidRPr="00C327EE">
        <w:rPr>
          <w:sz w:val="20"/>
          <w:lang w:val="en-CA"/>
        </w:rPr>
        <w:t xml:space="preserve"> ⸺ Whether s. 648 of </w:t>
      </w:r>
      <w:r w:rsidRPr="00C327EE">
        <w:rPr>
          <w:i/>
          <w:sz w:val="20"/>
          <w:lang w:val="en-CA"/>
        </w:rPr>
        <w:t>Criminal Code</w:t>
      </w:r>
      <w:r w:rsidRPr="00C327EE">
        <w:rPr>
          <w:sz w:val="20"/>
          <w:lang w:val="en-CA"/>
        </w:rPr>
        <w:t xml:space="preserve"> applies prior to jury selection ⸺ Whether Superior Court erred in applying </w:t>
      </w:r>
      <w:r w:rsidRPr="00C327EE">
        <w:rPr>
          <w:i/>
          <w:sz w:val="20"/>
          <w:lang w:val="en-CA"/>
        </w:rPr>
        <w:t>Dagenais/Mentuck</w:t>
      </w:r>
      <w:r w:rsidRPr="00C327EE">
        <w:rPr>
          <w:sz w:val="20"/>
          <w:lang w:val="en-CA"/>
        </w:rPr>
        <w:t xml:space="preserve"> test ⸺ </w:t>
      </w:r>
      <w:r w:rsidRPr="00C327EE">
        <w:rPr>
          <w:i/>
          <w:sz w:val="20"/>
          <w:lang w:val="en-CA"/>
        </w:rPr>
        <w:t>Criminal Code,</w:t>
      </w:r>
      <w:r w:rsidRPr="00C327EE">
        <w:rPr>
          <w:sz w:val="20"/>
          <w:lang w:val="en-CA"/>
        </w:rPr>
        <w:t xml:space="preserve"> R.S.C. 1985, c. C</w:t>
      </w:r>
      <w:r w:rsidRPr="00C327EE">
        <w:rPr>
          <w:sz w:val="20"/>
          <w:lang w:val="en-CA"/>
        </w:rPr>
        <w:noBreakHyphen/>
        <w:t>46, s. 648.</w:t>
      </w:r>
    </w:p>
    <w:p w:rsidR="00C327EE" w:rsidRPr="00C327EE" w:rsidRDefault="00C327EE" w:rsidP="003224E1">
      <w:pPr>
        <w:widowControl w:val="0"/>
        <w:tabs>
          <w:tab w:val="left" w:pos="938"/>
        </w:tabs>
        <w:spacing w:line="0" w:lineRule="atLeast"/>
        <w:jc w:val="both"/>
        <w:rPr>
          <w:sz w:val="20"/>
        </w:rPr>
      </w:pPr>
    </w:p>
    <w:p w:rsidR="00C327EE" w:rsidRPr="00C327EE" w:rsidRDefault="00C327EE" w:rsidP="003224E1">
      <w:pPr>
        <w:widowControl w:val="0"/>
        <w:tabs>
          <w:tab w:val="left" w:pos="938"/>
        </w:tabs>
        <w:spacing w:line="0" w:lineRule="atLeast"/>
        <w:jc w:val="both"/>
        <w:rPr>
          <w:sz w:val="20"/>
        </w:rPr>
      </w:pPr>
      <w:r w:rsidRPr="00C327EE">
        <w:rPr>
          <w:sz w:val="20"/>
          <w:lang w:val="en-CA"/>
        </w:rPr>
        <w:t xml:space="preserve">The respondent Frédérick Silva was charged with four counts of murder and one count of attempted murder based on incidents that occurred on February 21, 2017, and December 20, 2018. On November 22, 2019, the prosecution laid five charges by direct indictment. On August 2 and October 15, 2021, respectively, the Superior Court dismissed Mr. Silva’s motion for a stay of proceedings and </w:t>
      </w:r>
      <w:r w:rsidRPr="00C327EE">
        <w:rPr>
          <w:i/>
          <w:sz w:val="20"/>
          <w:lang w:val="en-CA"/>
        </w:rPr>
        <w:t>Garofoli</w:t>
      </w:r>
      <w:r w:rsidRPr="00C327EE">
        <w:rPr>
          <w:sz w:val="20"/>
          <w:lang w:val="en-CA"/>
        </w:rPr>
        <w:t xml:space="preserve"> motion. It also made orders under s. 648(1) of the </w:t>
      </w:r>
      <w:r w:rsidRPr="00C327EE">
        <w:rPr>
          <w:i/>
          <w:sz w:val="20"/>
          <w:lang w:val="en-CA"/>
        </w:rPr>
        <w:t>Criminal Code</w:t>
      </w:r>
      <w:r w:rsidRPr="00C327EE">
        <w:rPr>
          <w:sz w:val="20"/>
          <w:lang w:val="en-CA"/>
        </w:rPr>
        <w:t>, R.S.C. 1985, c. C</w:t>
      </w:r>
      <w:r w:rsidRPr="00C327EE">
        <w:rPr>
          <w:sz w:val="20"/>
          <w:lang w:val="en-CA"/>
        </w:rPr>
        <w:noBreakHyphen/>
        <w:t>46 (</w:t>
      </w:r>
      <w:r w:rsidRPr="00C327EE">
        <w:rPr>
          <w:i/>
          <w:sz w:val="20"/>
          <w:lang w:val="en-CA"/>
        </w:rPr>
        <w:t>Cr. C.</w:t>
      </w:r>
      <w:r w:rsidRPr="00C327EE">
        <w:rPr>
          <w:sz w:val="20"/>
          <w:lang w:val="en-CA"/>
        </w:rPr>
        <w:t xml:space="preserve">), prohibiting publication, broadcasting and transmission in relation to the two judgments. Further to those judgments, and by consent of the parties, Mr. Silva was tried by a judge alone, without a jury, on four of the five counts. On November 16, 2021, he formally recognized that the prosecution had discharged its burden on each essential element of the four offences through a </w:t>
      </w:r>
      <w:r w:rsidRPr="00C327EE">
        <w:rPr>
          <w:i/>
          <w:sz w:val="20"/>
          <w:lang w:val="en-CA"/>
        </w:rPr>
        <w:t>nolo contendere</w:t>
      </w:r>
      <w:r w:rsidRPr="00C327EE">
        <w:rPr>
          <w:sz w:val="20"/>
          <w:lang w:val="en-CA"/>
        </w:rPr>
        <w:t xml:space="preserve"> proceeding. On January 27, 2022, Mr. Silva was convicted on the four counts. The parties agreed that the last count, which was for second degree murder, would be separated from the indictment and that Mr. Silva would have a trial by judge and jury on that count in May 2022. Before the trial began, La Presse brought a motion to lift the orders prohibiting publication, broadcasting and transmission in relation to the two judgments. On March 11, 2022, the Superior Court dismissed the motion. On May 6, 2022, Mr. Silva filed a </w:t>
      </w:r>
      <w:r w:rsidRPr="00C327EE">
        <w:rPr>
          <w:i/>
          <w:sz w:val="20"/>
          <w:lang w:val="en-CA"/>
        </w:rPr>
        <w:t>nolo contendere</w:t>
      </w:r>
      <w:r w:rsidRPr="00C327EE">
        <w:rPr>
          <w:sz w:val="20"/>
          <w:lang w:val="en-CA"/>
        </w:rPr>
        <w:t xml:space="preserve"> proceeding on the last count, leading to the cancellation of the jury trial.</w:t>
      </w:r>
    </w:p>
    <w:p w:rsidR="00C327EE" w:rsidRPr="00C327EE" w:rsidRDefault="00C327EE" w:rsidP="003224E1">
      <w:pPr>
        <w:widowControl w:val="0"/>
        <w:tabs>
          <w:tab w:val="left" w:pos="938"/>
        </w:tabs>
        <w:spacing w:line="0" w:lineRule="atLeast"/>
        <w:jc w:val="both"/>
        <w:rPr>
          <w:sz w:val="20"/>
        </w:rPr>
      </w:pPr>
    </w:p>
    <w:p w:rsidR="00C327EE" w:rsidRPr="00C327EE" w:rsidRDefault="00C327EE" w:rsidP="003224E1">
      <w:pPr>
        <w:widowControl w:val="0"/>
        <w:tabs>
          <w:tab w:val="left" w:pos="938"/>
        </w:tabs>
        <w:spacing w:line="0" w:lineRule="atLeast"/>
        <w:jc w:val="both"/>
        <w:rPr>
          <w:sz w:val="20"/>
        </w:rPr>
      </w:pPr>
      <w:r w:rsidRPr="00C327EE">
        <w:rPr>
          <w:sz w:val="20"/>
        </w:rPr>
        <w:pict>
          <v:rect id="_x0000_i1039" style="width:2in;height:1pt" o:hrpct="0" o:hralign="center" o:hrstd="t" o:hrnoshade="t" o:hr="t" fillcolor="black [3213]" stroked="f"/>
        </w:pict>
      </w:r>
    </w:p>
    <w:p w:rsidR="003224E1" w:rsidRPr="00C327EE" w:rsidRDefault="003224E1" w:rsidP="003224E1">
      <w:pPr>
        <w:jc w:val="both"/>
        <w:rPr>
          <w:sz w:val="20"/>
          <w:lang w:val="en-CA"/>
        </w:rPr>
      </w:pPr>
    </w:p>
    <w:p w:rsidR="00C327EE" w:rsidRPr="00C327EE" w:rsidRDefault="00C327EE" w:rsidP="00C327EE">
      <w:pPr>
        <w:pStyle w:val="SCCLsocParty"/>
        <w:jc w:val="both"/>
        <w:rPr>
          <w:b/>
          <w:i/>
          <w:sz w:val="20"/>
          <w:szCs w:val="20"/>
        </w:rPr>
      </w:pPr>
      <w:r w:rsidRPr="00C327EE">
        <w:rPr>
          <w:rStyle w:val="SCCFileNumberChar"/>
          <w:rFonts w:cstheme="minorBidi"/>
          <w:sz w:val="20"/>
          <w:szCs w:val="20"/>
          <w:lang w:val="fr-CA"/>
        </w:rPr>
        <w:t>40175</w:t>
      </w:r>
      <w:r w:rsidRPr="00C327EE">
        <w:rPr>
          <w:rStyle w:val="SCCFileNumberChar"/>
          <w:rFonts w:cstheme="minorBidi"/>
          <w:sz w:val="20"/>
          <w:szCs w:val="20"/>
          <w:lang w:val="fr-CA"/>
        </w:rPr>
        <w:tab/>
      </w:r>
      <w:r w:rsidRPr="00C327EE">
        <w:rPr>
          <w:b/>
          <w:i/>
          <w:sz w:val="20"/>
          <w:szCs w:val="20"/>
        </w:rPr>
        <w:t>La Presse inc. c. Frédérick Silva et Sa Majesté le Roi</w:t>
      </w:r>
    </w:p>
    <w:p w:rsidR="00C327EE" w:rsidRPr="00C327EE" w:rsidRDefault="00C327EE" w:rsidP="00C327EE">
      <w:pPr>
        <w:ind w:firstLine="720"/>
        <w:jc w:val="both"/>
        <w:rPr>
          <w:sz w:val="20"/>
          <w:lang w:val="fr-CA"/>
        </w:rPr>
      </w:pPr>
      <w:r w:rsidRPr="00C327EE">
        <w:rPr>
          <w:sz w:val="20"/>
          <w:lang w:val="fr-CA"/>
        </w:rPr>
        <w:t>(Qc) (Civile) (Autorisation)</w:t>
      </w:r>
    </w:p>
    <w:p w:rsidR="00C327EE" w:rsidRPr="00C327EE" w:rsidRDefault="00C327EE" w:rsidP="003224E1">
      <w:pPr>
        <w:jc w:val="both"/>
        <w:rPr>
          <w:sz w:val="20"/>
          <w:lang w:val="fr-CA"/>
        </w:rPr>
      </w:pPr>
    </w:p>
    <w:p w:rsidR="003224E1" w:rsidRPr="00C327EE" w:rsidRDefault="003224E1" w:rsidP="003224E1">
      <w:pPr>
        <w:pStyle w:val="SCCBanSummary"/>
        <w:rPr>
          <w:sz w:val="20"/>
          <w:szCs w:val="20"/>
          <w:lang w:val="fr-CA"/>
        </w:rPr>
      </w:pPr>
      <w:r w:rsidRPr="00C327EE">
        <w:rPr>
          <w:sz w:val="20"/>
          <w:szCs w:val="20"/>
          <w:lang w:val="fr-CA"/>
        </w:rPr>
        <w:t>(Certaines informations non disponibles pour le public)</w:t>
      </w:r>
    </w:p>
    <w:p w:rsidR="003224E1" w:rsidRPr="00C327EE" w:rsidRDefault="003224E1" w:rsidP="003224E1">
      <w:pPr>
        <w:jc w:val="both"/>
        <w:rPr>
          <w:sz w:val="20"/>
          <w:lang w:val="fr-CA"/>
        </w:rPr>
      </w:pPr>
    </w:p>
    <w:p w:rsidR="003224E1" w:rsidRPr="00C327EE" w:rsidRDefault="003224E1" w:rsidP="003224E1">
      <w:pPr>
        <w:jc w:val="both"/>
        <w:rPr>
          <w:sz w:val="20"/>
          <w:lang w:val="fr-CA"/>
        </w:rPr>
      </w:pPr>
      <w:r w:rsidRPr="00C327EE">
        <w:rPr>
          <w:sz w:val="20"/>
          <w:lang w:val="fr-CA"/>
        </w:rPr>
        <w:t xml:space="preserve">Droit criminel </w:t>
      </w:r>
      <w:r w:rsidRPr="00C327EE">
        <w:rPr>
          <w:sz w:val="20"/>
        </w:rPr>
        <w:t>⸺</w:t>
      </w:r>
      <w:r w:rsidRPr="00C327EE">
        <w:rPr>
          <w:sz w:val="20"/>
          <w:lang w:val="fr-CA"/>
        </w:rPr>
        <w:t xml:space="preserve"> Interdiction de publication </w:t>
      </w:r>
      <w:r w:rsidRPr="00C327EE">
        <w:rPr>
          <w:sz w:val="20"/>
        </w:rPr>
        <w:t>⸺</w:t>
      </w:r>
      <w:r w:rsidRPr="00C327EE">
        <w:rPr>
          <w:sz w:val="20"/>
          <w:lang w:val="fr-CA"/>
        </w:rPr>
        <w:t xml:space="preserve"> Ordonnances de non-publications et de non-diffusion relatives à des jugements sur voir-dire </w:t>
      </w:r>
      <w:r w:rsidRPr="00C327EE">
        <w:rPr>
          <w:sz w:val="20"/>
        </w:rPr>
        <w:t>⸺</w:t>
      </w:r>
      <w:r w:rsidRPr="00C327EE">
        <w:rPr>
          <w:sz w:val="20"/>
          <w:lang w:val="fr-CA"/>
        </w:rPr>
        <w:t xml:space="preserve"> L’article 648 du </w:t>
      </w:r>
      <w:r w:rsidRPr="00C327EE">
        <w:rPr>
          <w:i/>
          <w:sz w:val="20"/>
          <w:lang w:val="fr-CA"/>
        </w:rPr>
        <w:t>Code criminel</w:t>
      </w:r>
      <w:r w:rsidRPr="00C327EE">
        <w:rPr>
          <w:sz w:val="20"/>
          <w:lang w:val="fr-CA"/>
        </w:rPr>
        <w:t xml:space="preserve"> trouve-t-il application avant la sélection du jury? </w:t>
      </w:r>
      <w:r w:rsidRPr="00C327EE">
        <w:rPr>
          <w:sz w:val="20"/>
        </w:rPr>
        <w:t>⸺</w:t>
      </w:r>
      <w:r w:rsidRPr="00C327EE">
        <w:rPr>
          <w:sz w:val="20"/>
          <w:lang w:val="fr-CA"/>
        </w:rPr>
        <w:t xml:space="preserve"> La Cour supérieure a-t-elle erré dans l’application du test </w:t>
      </w:r>
      <w:r w:rsidRPr="00C327EE">
        <w:rPr>
          <w:i/>
          <w:sz w:val="20"/>
          <w:lang w:val="fr-CA"/>
        </w:rPr>
        <w:t>Dagenais/Mentuck</w:t>
      </w:r>
      <w:r w:rsidRPr="00C327EE">
        <w:rPr>
          <w:sz w:val="20"/>
          <w:lang w:val="fr-CA"/>
        </w:rPr>
        <w:t xml:space="preserve">? </w:t>
      </w:r>
      <w:r w:rsidRPr="00C327EE">
        <w:rPr>
          <w:sz w:val="20"/>
        </w:rPr>
        <w:t>⸺</w:t>
      </w:r>
      <w:r w:rsidRPr="00C327EE">
        <w:rPr>
          <w:sz w:val="20"/>
          <w:lang w:val="fr-CA"/>
        </w:rPr>
        <w:t xml:space="preserve"> </w:t>
      </w:r>
      <w:r w:rsidRPr="00C327EE">
        <w:rPr>
          <w:i/>
          <w:sz w:val="20"/>
          <w:lang w:val="fr-CA"/>
        </w:rPr>
        <w:t>Code criminel,</w:t>
      </w:r>
      <w:r w:rsidRPr="00C327EE">
        <w:rPr>
          <w:sz w:val="20"/>
          <w:lang w:val="fr-CA"/>
        </w:rPr>
        <w:t xml:space="preserve"> LRC 1985, c. C-46, art. 648.</w:t>
      </w:r>
    </w:p>
    <w:p w:rsidR="003224E1" w:rsidRPr="00C327EE" w:rsidRDefault="003224E1" w:rsidP="003224E1">
      <w:pPr>
        <w:widowControl w:val="0"/>
        <w:jc w:val="both"/>
        <w:rPr>
          <w:sz w:val="20"/>
          <w:lang w:val="fr-CA"/>
        </w:rPr>
      </w:pPr>
    </w:p>
    <w:p w:rsidR="003224E1" w:rsidRPr="00C327EE" w:rsidRDefault="003224E1" w:rsidP="003224E1">
      <w:pPr>
        <w:jc w:val="both"/>
        <w:rPr>
          <w:sz w:val="20"/>
          <w:lang w:val="fr-CA"/>
        </w:rPr>
      </w:pPr>
      <w:r w:rsidRPr="00C327EE">
        <w:rPr>
          <w:sz w:val="20"/>
          <w:lang w:val="fr-CA"/>
        </w:rPr>
        <w:t xml:space="preserve">M. Frédérick Silva, intimé, est accusé de quatre meurtres et d’une tentative de meurtre pour des évènements survenus entre le 21 février 2017 et le 20 décembre 2018. Le 22 novembre 2019, la poursuite a déposé cinq chefs d’accusation par le biais d’un acte d’accusation direct. Le 2 août 2021 et le 15 octobre 2021, la Cour supérieure a rejeté respectivement une requête en arrêt de procédures et une requête de type </w:t>
      </w:r>
      <w:r w:rsidRPr="00C327EE">
        <w:rPr>
          <w:i/>
          <w:sz w:val="20"/>
          <w:lang w:val="fr-CA"/>
        </w:rPr>
        <w:t>Garofoli</w:t>
      </w:r>
      <w:r w:rsidRPr="00C327EE">
        <w:rPr>
          <w:sz w:val="20"/>
          <w:lang w:val="fr-CA"/>
        </w:rPr>
        <w:t xml:space="preserve">, déposées par M. Silva. Elle a également émis des ordonnances de non-publication et de non-diffusion relativement aux deux jugements en vertu de l’art. 648(1) du </w:t>
      </w:r>
      <w:r w:rsidRPr="00C327EE">
        <w:rPr>
          <w:i/>
          <w:sz w:val="20"/>
          <w:lang w:val="fr-CA"/>
        </w:rPr>
        <w:t>Code criminel</w:t>
      </w:r>
      <w:r w:rsidRPr="00C327EE">
        <w:rPr>
          <w:sz w:val="20"/>
          <w:lang w:val="fr-CA"/>
        </w:rPr>
        <w:t xml:space="preserve"> L.R.C. 1985, c. C-46 (</w:t>
      </w:r>
      <w:r w:rsidRPr="00C327EE">
        <w:rPr>
          <w:i/>
          <w:sz w:val="20"/>
          <w:lang w:val="fr-CA"/>
        </w:rPr>
        <w:t>C.cr.</w:t>
      </w:r>
      <w:r w:rsidRPr="00C327EE">
        <w:rPr>
          <w:sz w:val="20"/>
          <w:lang w:val="fr-CA"/>
        </w:rPr>
        <w:t xml:space="preserve">). Comme suite à ces jugements, et sur consentement des parties, M. Silva a subi un procès sans jury et devant un seul juge pour quatre des cinq chefs. Le 16 novembre 2021, M. Silva a reconnu formellement que la poursuite s’est déchargée de son fardeau à l’égard de chacun des éléments essentiels des quatre infractions par le biais d’une procédure de </w:t>
      </w:r>
      <w:r w:rsidRPr="00C327EE">
        <w:rPr>
          <w:i/>
          <w:sz w:val="20"/>
          <w:lang w:val="fr-CA"/>
        </w:rPr>
        <w:t>nolo contendere</w:t>
      </w:r>
      <w:r w:rsidRPr="00C327EE">
        <w:rPr>
          <w:sz w:val="20"/>
          <w:lang w:val="fr-CA"/>
        </w:rPr>
        <w:t xml:space="preserve">. Le 27 janvier 2022, M. Silva a été déclaré coupable des quatre chefs d’accusation. Quant au dernier chef d’accusation, relatifs à un meurtre au second degré, les parties ont consenti à ce qu’il soit séparé de l’acte d’accusation et que M. Silva subisse un procès devant juge et jury au mois de mai 2022. Avant que ne débute le procès, La Presse a demandé par requête la levée des ordonnances de non-publication et de non-diffusion relatives aux deux jugements. Le 11 mars 2022, la Cour supérieure a rejeté la requête de La Presse. Le 6 mai 2022, M. Silva a déposé une procédure de </w:t>
      </w:r>
      <w:r w:rsidRPr="00C327EE">
        <w:rPr>
          <w:i/>
          <w:sz w:val="20"/>
          <w:lang w:val="fr-CA"/>
        </w:rPr>
        <w:t>nolo contendere</w:t>
      </w:r>
      <w:r w:rsidRPr="00C327EE">
        <w:rPr>
          <w:sz w:val="20"/>
          <w:lang w:val="fr-CA"/>
        </w:rPr>
        <w:t xml:space="preserve"> quant au dernier chef d’accusation entrainant ainsi l’annulation de la tenue du procès devant jury.</w:t>
      </w:r>
    </w:p>
    <w:p w:rsidR="00F8050A" w:rsidRPr="00C327EE" w:rsidRDefault="00F8050A" w:rsidP="003224E1">
      <w:pPr>
        <w:widowControl w:val="0"/>
        <w:tabs>
          <w:tab w:val="left" w:pos="720"/>
        </w:tabs>
        <w:ind w:left="1440" w:hanging="1440"/>
        <w:jc w:val="both"/>
        <w:rPr>
          <w:sz w:val="20"/>
          <w:lang w:val="fr-CA"/>
        </w:rPr>
      </w:pPr>
    </w:p>
    <w:p w:rsidR="00F8050A" w:rsidRPr="00C327EE" w:rsidRDefault="00C327EE" w:rsidP="003224E1">
      <w:pPr>
        <w:widowControl w:val="0"/>
        <w:tabs>
          <w:tab w:val="left" w:pos="720"/>
        </w:tabs>
        <w:ind w:left="1440" w:hanging="1440"/>
        <w:jc w:val="both"/>
        <w:rPr>
          <w:sz w:val="20"/>
          <w:lang w:val="fr-CA"/>
        </w:rPr>
      </w:pPr>
      <w:r w:rsidRPr="00C327EE">
        <w:rPr>
          <w:sz w:val="20"/>
        </w:rPr>
        <w:pict>
          <v:rect id="_x0000_i1040" style="width:2in;height:1pt" o:hrpct="0" o:hralign="center" o:hrstd="t" o:hrnoshade="t" o:hr="t" fillcolor="black [3213]" stroked="f"/>
        </w:pict>
      </w:r>
    </w:p>
    <w:p w:rsidR="00C327EE" w:rsidRPr="00C327EE" w:rsidRDefault="00C327EE" w:rsidP="003224E1">
      <w:pPr>
        <w:widowControl w:val="0"/>
        <w:tabs>
          <w:tab w:val="left" w:pos="720"/>
        </w:tabs>
        <w:ind w:left="1440" w:hanging="1440"/>
        <w:jc w:val="both"/>
        <w:rPr>
          <w:sz w:val="20"/>
          <w:lang w:val="fr-CA"/>
        </w:rPr>
      </w:pPr>
    </w:p>
    <w:p w:rsidR="003224E1" w:rsidRPr="00C327EE" w:rsidRDefault="003224E1" w:rsidP="003224E1">
      <w:pPr>
        <w:widowControl w:val="0"/>
        <w:ind w:left="709" w:hanging="709"/>
        <w:jc w:val="both"/>
        <w:rPr>
          <w:b/>
          <w:i/>
          <w:sz w:val="20"/>
          <w:lang w:val="en-CA"/>
        </w:rPr>
      </w:pPr>
      <w:r w:rsidRPr="00C327EE">
        <w:rPr>
          <w:b/>
          <w:sz w:val="20"/>
          <w:lang w:val="en-CA"/>
        </w:rPr>
        <w:fldChar w:fldCharType="begin"/>
      </w:r>
      <w:r w:rsidRPr="00C327EE">
        <w:rPr>
          <w:b/>
          <w:sz w:val="20"/>
        </w:rPr>
        <w:instrText xml:space="preserve"> SEQ CHAPTER \h \r 1</w:instrText>
      </w:r>
      <w:r w:rsidRPr="00C327EE">
        <w:rPr>
          <w:b/>
          <w:sz w:val="20"/>
        </w:rPr>
        <w:fldChar w:fldCharType="end"/>
      </w:r>
      <w:r w:rsidRPr="00C327EE">
        <w:rPr>
          <w:b/>
          <w:sz w:val="20"/>
          <w:lang w:val="en-CA"/>
        </w:rPr>
        <w:t>40223</w:t>
      </w:r>
      <w:r w:rsidRPr="00C327EE">
        <w:rPr>
          <w:sz w:val="20"/>
          <w:lang w:val="en-CA"/>
        </w:rPr>
        <w:tab/>
      </w:r>
      <w:r w:rsidRPr="00C327EE">
        <w:rPr>
          <w:b/>
          <w:i/>
          <w:sz w:val="20"/>
        </w:rPr>
        <w:t>Canadian Broadcasting Corporation, Global News (a division of Corus Television Limited Partnership), Postmedia Network Inc., CTV News (a division of Bell Media Inc.), Glacier Media Inc., CityNews (a division of Rogers Media Inc.), Globe and Mail Inc., Torstar Corporation v. Aydin Coban, His Majesty the King</w:t>
      </w:r>
    </w:p>
    <w:p w:rsidR="003224E1" w:rsidRPr="00C327EE" w:rsidRDefault="003224E1" w:rsidP="003224E1">
      <w:pPr>
        <w:widowControl w:val="0"/>
        <w:tabs>
          <w:tab w:val="left" w:pos="720"/>
        </w:tabs>
        <w:ind w:left="1440" w:hanging="1440"/>
        <w:jc w:val="both"/>
        <w:rPr>
          <w:b/>
          <w:sz w:val="20"/>
        </w:rPr>
      </w:pPr>
      <w:r w:rsidRPr="00C327EE">
        <w:rPr>
          <w:sz w:val="20"/>
        </w:rPr>
        <w:tab/>
        <w:t>(B.C.) (Criminal) (By Leave)</w:t>
      </w:r>
      <w:bookmarkStart w:id="3" w:name="4"/>
      <w:bookmarkEnd w:id="3"/>
    </w:p>
    <w:p w:rsidR="003224E1" w:rsidRPr="00C327EE" w:rsidRDefault="003224E1" w:rsidP="003224E1">
      <w:pPr>
        <w:widowControl w:val="0"/>
        <w:ind w:left="1440" w:hanging="1440"/>
        <w:jc w:val="both"/>
        <w:rPr>
          <w:sz w:val="20"/>
          <w:lang w:val="en-CA"/>
        </w:rPr>
      </w:pPr>
    </w:p>
    <w:p w:rsidR="003224E1" w:rsidRPr="00C327EE" w:rsidRDefault="003224E1" w:rsidP="003224E1">
      <w:pPr>
        <w:pStyle w:val="SCCLsocParty"/>
        <w:jc w:val="both"/>
        <w:rPr>
          <w:sz w:val="20"/>
          <w:szCs w:val="20"/>
          <w:lang w:val="en-US"/>
        </w:rPr>
      </w:pPr>
      <w:r w:rsidRPr="00C327EE">
        <w:rPr>
          <w:sz w:val="20"/>
          <w:szCs w:val="20"/>
          <w:lang w:val="en-US"/>
        </w:rPr>
        <w:t>(</w:t>
      </w:r>
      <w:r w:rsidRPr="00C327EE">
        <w:rPr>
          <w:smallCaps/>
          <w:sz w:val="20"/>
          <w:szCs w:val="20"/>
          <w:lang w:val="en-US"/>
        </w:rPr>
        <w:t>Publication Ban in Case</w:t>
      </w:r>
      <w:r w:rsidRPr="00C327EE">
        <w:rPr>
          <w:sz w:val="20"/>
          <w:szCs w:val="20"/>
          <w:lang w:val="en-US"/>
        </w:rPr>
        <w:t xml:space="preserve">) </w:t>
      </w:r>
    </w:p>
    <w:p w:rsidR="003224E1" w:rsidRPr="00C327EE" w:rsidRDefault="003224E1" w:rsidP="003224E1">
      <w:pPr>
        <w:widowControl w:val="0"/>
        <w:jc w:val="both"/>
        <w:rPr>
          <w:sz w:val="20"/>
          <w:lang w:val="en-CA"/>
        </w:rPr>
      </w:pPr>
    </w:p>
    <w:p w:rsidR="003224E1" w:rsidRPr="00C327EE" w:rsidRDefault="003224E1" w:rsidP="003224E1">
      <w:pPr>
        <w:jc w:val="both"/>
        <w:rPr>
          <w:sz w:val="20"/>
        </w:rPr>
      </w:pPr>
      <w:r w:rsidRPr="00C327EE">
        <w:rPr>
          <w:sz w:val="20"/>
        </w:rPr>
        <w:t xml:space="preserve">Criminal law — Publication bans — </w:t>
      </w:r>
      <w:proofErr w:type="gramStart"/>
      <w:r w:rsidRPr="00C327EE">
        <w:rPr>
          <w:sz w:val="20"/>
        </w:rPr>
        <w:t>Whether</w:t>
      </w:r>
      <w:proofErr w:type="gramEnd"/>
      <w:r w:rsidRPr="00C327EE">
        <w:rPr>
          <w:sz w:val="20"/>
        </w:rPr>
        <w:t xml:space="preserve"> a publication ban pursuant to s. 648 of the </w:t>
      </w:r>
      <w:r w:rsidRPr="00C327EE">
        <w:rPr>
          <w:i/>
          <w:sz w:val="20"/>
        </w:rPr>
        <w:t>Criminal Code</w:t>
      </w:r>
      <w:r w:rsidRPr="00C327EE">
        <w:rPr>
          <w:sz w:val="20"/>
        </w:rPr>
        <w:t xml:space="preserve"> applies to proceedings before a jury is empaneled?</w:t>
      </w:r>
    </w:p>
    <w:p w:rsidR="003224E1" w:rsidRPr="00C327EE" w:rsidRDefault="003224E1" w:rsidP="003224E1">
      <w:pPr>
        <w:widowControl w:val="0"/>
        <w:jc w:val="both"/>
        <w:rPr>
          <w:sz w:val="20"/>
          <w:lang w:val="en-CA"/>
        </w:rPr>
      </w:pPr>
    </w:p>
    <w:p w:rsidR="003224E1" w:rsidRPr="00C327EE" w:rsidRDefault="003224E1" w:rsidP="003224E1">
      <w:pPr>
        <w:widowControl w:val="0"/>
        <w:kinsoku w:val="0"/>
        <w:overflowPunct w:val="0"/>
        <w:jc w:val="both"/>
        <w:textAlignment w:val="baseline"/>
        <w:rPr>
          <w:sz w:val="20"/>
        </w:rPr>
      </w:pPr>
      <w:r w:rsidRPr="00C327EE">
        <w:rPr>
          <w:sz w:val="20"/>
        </w:rPr>
        <w:t xml:space="preserve">An accused was charged with several offences. Before the jury selection process began, a ban on publication was imposed on all pre-trial applications in the proceedings pursuant to s. 648(1) of the </w:t>
      </w:r>
      <w:r w:rsidRPr="00C327EE">
        <w:rPr>
          <w:i/>
          <w:sz w:val="20"/>
        </w:rPr>
        <w:t xml:space="preserve">Criminal Code. </w:t>
      </w:r>
      <w:r w:rsidRPr="00C327EE">
        <w:rPr>
          <w:sz w:val="20"/>
        </w:rPr>
        <w:t>A consortium of major media outlets applied to have the ban clarified and declared applicable only after the jury is empaneled. The motion judge dismissed the application.</w:t>
      </w:r>
    </w:p>
    <w:p w:rsidR="00C327EE" w:rsidRPr="00C327EE" w:rsidRDefault="00C327EE" w:rsidP="003224E1">
      <w:pPr>
        <w:widowControl w:val="0"/>
        <w:kinsoku w:val="0"/>
        <w:overflowPunct w:val="0"/>
        <w:jc w:val="both"/>
        <w:textAlignment w:val="baseline"/>
        <w:rPr>
          <w:sz w:val="20"/>
        </w:rPr>
      </w:pPr>
    </w:p>
    <w:p w:rsidR="00C327EE" w:rsidRPr="00C327EE" w:rsidRDefault="00C327EE" w:rsidP="003224E1">
      <w:pPr>
        <w:widowControl w:val="0"/>
        <w:kinsoku w:val="0"/>
        <w:overflowPunct w:val="0"/>
        <w:jc w:val="both"/>
        <w:textAlignment w:val="baseline"/>
        <w:rPr>
          <w:sz w:val="20"/>
        </w:rPr>
      </w:pPr>
      <w:r w:rsidRPr="00C327EE">
        <w:rPr>
          <w:sz w:val="20"/>
        </w:rPr>
        <w:pict>
          <v:rect id="_x0000_i1041" style="width:2in;height:1pt" o:hrpct="0" o:hralign="center" o:hrstd="t" o:hrnoshade="t" o:hr="t" fillcolor="black [3213]" stroked="f"/>
        </w:pict>
      </w:r>
    </w:p>
    <w:p w:rsidR="00C327EE" w:rsidRPr="00C327EE" w:rsidRDefault="00C327EE" w:rsidP="003224E1">
      <w:pPr>
        <w:widowControl w:val="0"/>
        <w:kinsoku w:val="0"/>
        <w:overflowPunct w:val="0"/>
        <w:jc w:val="both"/>
        <w:textAlignment w:val="baseline"/>
        <w:rPr>
          <w:sz w:val="20"/>
        </w:rPr>
      </w:pPr>
    </w:p>
    <w:p w:rsidR="00C327EE" w:rsidRPr="00C327EE" w:rsidRDefault="00C327EE" w:rsidP="00C327EE">
      <w:pPr>
        <w:pStyle w:val="SCCLsocParty"/>
        <w:ind w:left="720" w:hanging="720"/>
        <w:jc w:val="both"/>
        <w:rPr>
          <w:b/>
          <w:i/>
          <w:sz w:val="20"/>
          <w:szCs w:val="20"/>
          <w:lang w:val="en-US"/>
        </w:rPr>
      </w:pPr>
      <w:r w:rsidRPr="00C327EE">
        <w:rPr>
          <w:rStyle w:val="SCCFileNumberChar"/>
          <w:sz w:val="20"/>
          <w:szCs w:val="20"/>
          <w:lang w:val="en-US"/>
        </w:rPr>
        <w:t>40223</w:t>
      </w:r>
      <w:r w:rsidRPr="00C327EE">
        <w:rPr>
          <w:rStyle w:val="SCCFileNumberChar"/>
          <w:sz w:val="20"/>
          <w:szCs w:val="20"/>
          <w:lang w:val="en-US"/>
        </w:rPr>
        <w:tab/>
      </w:r>
      <w:r w:rsidRPr="00C327EE">
        <w:rPr>
          <w:b/>
          <w:i/>
          <w:sz w:val="20"/>
          <w:szCs w:val="20"/>
          <w:lang w:val="en-US"/>
        </w:rPr>
        <w:t>Société Radio-Canada, Global News (une division de Corus Television Limited Partnership), Postmedia Network Inc., CTV News (une division de Bell Média inc.), Glacier Media Inc., CityNews (une division de Rogers Media Inc.), Globe and Mail Inc., Torstar Corporation c. Aydin Coban, Sa Majesté le Roi</w:t>
      </w:r>
    </w:p>
    <w:p w:rsidR="00C327EE" w:rsidRPr="00C327EE" w:rsidRDefault="00C327EE" w:rsidP="00C327EE">
      <w:pPr>
        <w:widowControl w:val="0"/>
        <w:kinsoku w:val="0"/>
        <w:overflowPunct w:val="0"/>
        <w:ind w:firstLine="720"/>
        <w:jc w:val="both"/>
        <w:textAlignment w:val="baseline"/>
        <w:rPr>
          <w:sz w:val="20"/>
          <w:lang w:val="fr-CA"/>
        </w:rPr>
      </w:pPr>
      <w:r w:rsidRPr="00C327EE">
        <w:rPr>
          <w:sz w:val="20"/>
          <w:lang w:val="fr-CA"/>
        </w:rPr>
        <w:t>(C.-B.) (Criminelle) (Sur autorisation)</w:t>
      </w:r>
    </w:p>
    <w:p w:rsidR="00C327EE" w:rsidRPr="00C327EE" w:rsidRDefault="00C327EE" w:rsidP="003224E1">
      <w:pPr>
        <w:widowControl w:val="0"/>
        <w:kinsoku w:val="0"/>
        <w:overflowPunct w:val="0"/>
        <w:jc w:val="both"/>
        <w:textAlignment w:val="baseline"/>
        <w:rPr>
          <w:sz w:val="20"/>
          <w:lang w:val="fr-CA"/>
        </w:rPr>
      </w:pPr>
    </w:p>
    <w:p w:rsidR="00C327EE" w:rsidRPr="00C327EE" w:rsidRDefault="00C327EE" w:rsidP="00C327EE">
      <w:pPr>
        <w:pStyle w:val="SCCBanSummary"/>
        <w:rPr>
          <w:sz w:val="20"/>
          <w:szCs w:val="20"/>
          <w:lang w:val="fr-CA"/>
        </w:rPr>
      </w:pPr>
      <w:r w:rsidRPr="00C327EE">
        <w:rPr>
          <w:sz w:val="20"/>
          <w:szCs w:val="20"/>
          <w:lang w:val="fr-CA"/>
        </w:rPr>
        <w:t xml:space="preserve">(Ordonnance de non-publication au dossier) </w:t>
      </w:r>
    </w:p>
    <w:p w:rsidR="00C327EE" w:rsidRPr="00C327EE" w:rsidRDefault="00C327EE" w:rsidP="00C327EE">
      <w:pPr>
        <w:pStyle w:val="SCCBanSummary"/>
        <w:rPr>
          <w:sz w:val="20"/>
          <w:szCs w:val="20"/>
          <w:lang w:val="fr-CA"/>
        </w:rPr>
      </w:pPr>
    </w:p>
    <w:p w:rsidR="00C327EE" w:rsidRPr="00C327EE" w:rsidRDefault="00C327EE" w:rsidP="00C327EE">
      <w:pPr>
        <w:widowControl w:val="0"/>
        <w:kinsoku w:val="0"/>
        <w:overflowPunct w:val="0"/>
        <w:jc w:val="both"/>
        <w:textAlignment w:val="baseline"/>
        <w:rPr>
          <w:sz w:val="20"/>
          <w:lang w:val="fr-CA"/>
        </w:rPr>
      </w:pPr>
      <w:r w:rsidRPr="00C327EE">
        <w:rPr>
          <w:sz w:val="20"/>
          <w:lang w:val="fr-CA"/>
        </w:rPr>
        <w:t xml:space="preserve">Droit criminel — </w:t>
      </w:r>
      <w:r w:rsidRPr="00C327EE">
        <w:rPr>
          <w:iCs/>
          <w:sz w:val="20"/>
          <w:lang w:val="fr-CA"/>
        </w:rPr>
        <w:t>Interdictions de publication</w:t>
      </w:r>
      <w:r w:rsidRPr="00C327EE">
        <w:rPr>
          <w:sz w:val="20"/>
          <w:lang w:val="fr-CA"/>
        </w:rPr>
        <w:t xml:space="preserve"> — Une interdiction de publication rendue en vertu de l’art. 648 du </w:t>
      </w:r>
      <w:r w:rsidRPr="00C327EE">
        <w:rPr>
          <w:i/>
          <w:sz w:val="20"/>
          <w:lang w:val="fr-CA"/>
        </w:rPr>
        <w:t>Code criminel</w:t>
      </w:r>
      <w:r w:rsidRPr="00C327EE">
        <w:rPr>
          <w:sz w:val="20"/>
          <w:lang w:val="fr-CA"/>
        </w:rPr>
        <w:t xml:space="preserve"> s’applique-t-elle à l’instance avant que le jury ne soit constitué ?</w:t>
      </w:r>
    </w:p>
    <w:p w:rsidR="00C327EE" w:rsidRPr="00C327EE" w:rsidRDefault="00C327EE" w:rsidP="003224E1">
      <w:pPr>
        <w:widowControl w:val="0"/>
        <w:kinsoku w:val="0"/>
        <w:overflowPunct w:val="0"/>
        <w:jc w:val="both"/>
        <w:textAlignment w:val="baseline"/>
        <w:rPr>
          <w:sz w:val="20"/>
          <w:lang w:val="fr-CA"/>
        </w:rPr>
      </w:pPr>
    </w:p>
    <w:p w:rsidR="00C327EE" w:rsidRPr="00C327EE" w:rsidRDefault="00C327EE" w:rsidP="00C327EE">
      <w:pPr>
        <w:widowControl w:val="0"/>
        <w:kinsoku w:val="0"/>
        <w:overflowPunct w:val="0"/>
        <w:jc w:val="both"/>
        <w:textAlignment w:val="baseline"/>
        <w:rPr>
          <w:sz w:val="20"/>
          <w:lang w:val="fr-CA"/>
        </w:rPr>
      </w:pPr>
      <w:r w:rsidRPr="00C327EE">
        <w:rPr>
          <w:sz w:val="20"/>
          <w:lang w:val="fr-CA"/>
        </w:rPr>
        <w:t xml:space="preserve">Un accusé a été inculpé de plusieurs infractions. Avant le début du processus de sélection des jurés, une interdiction de publication a été imposée relativement à toutes les demandes préalables au procès dans le cadre de l’instance, en vertu du par. 648(1) du </w:t>
      </w:r>
      <w:r w:rsidRPr="00C327EE">
        <w:rPr>
          <w:i/>
          <w:sz w:val="20"/>
          <w:lang w:val="fr-CA"/>
        </w:rPr>
        <w:t>Code criminel</w:t>
      </w:r>
      <w:r w:rsidRPr="00C327EE">
        <w:rPr>
          <w:sz w:val="20"/>
          <w:lang w:val="fr-CA"/>
        </w:rPr>
        <w:t>. Un consortium des grands médias a présenté une demande pour que l’interdiction soit précisée et qu’elle soit déclarée applicable seulement une fois le jury constitué. La juge des requêtes a rejeté la demande.</w:t>
      </w:r>
    </w:p>
    <w:p w:rsidR="00C327EE" w:rsidRPr="00C327EE" w:rsidRDefault="00C327EE" w:rsidP="003224E1">
      <w:pPr>
        <w:widowControl w:val="0"/>
        <w:kinsoku w:val="0"/>
        <w:overflowPunct w:val="0"/>
        <w:jc w:val="both"/>
        <w:textAlignment w:val="baseline"/>
        <w:rPr>
          <w:sz w:val="20"/>
          <w:lang w:val="fr-CA"/>
        </w:rPr>
      </w:pPr>
    </w:p>
    <w:p w:rsidR="00C327EE" w:rsidRPr="00C327EE" w:rsidRDefault="00C327EE" w:rsidP="003224E1">
      <w:pPr>
        <w:widowControl w:val="0"/>
        <w:kinsoku w:val="0"/>
        <w:overflowPunct w:val="0"/>
        <w:jc w:val="both"/>
        <w:textAlignment w:val="baseline"/>
        <w:rPr>
          <w:sz w:val="20"/>
          <w:lang w:val="fr-CA"/>
        </w:rPr>
      </w:pPr>
      <w:r w:rsidRPr="00C327EE">
        <w:rPr>
          <w:sz w:val="20"/>
        </w:rPr>
        <w:pict>
          <v:rect id="_x0000_i1042" style="width:2in;height:1pt" o:hrpct="0" o:hralign="center" o:hrstd="t" o:hrnoshade="t" o:hr="t" fillcolor="black [3213]" stroked="f"/>
        </w:pict>
      </w:r>
    </w:p>
    <w:p w:rsidR="003224E1" w:rsidRPr="00C327EE" w:rsidRDefault="003224E1" w:rsidP="003224E1">
      <w:pPr>
        <w:jc w:val="both"/>
        <w:rPr>
          <w:sz w:val="20"/>
          <w:lang w:val="fr-CA"/>
        </w:rPr>
      </w:pPr>
    </w:p>
    <w:p w:rsidR="003224E1" w:rsidRPr="00C327EE" w:rsidRDefault="003224E1" w:rsidP="003224E1">
      <w:pPr>
        <w:widowControl w:val="0"/>
        <w:tabs>
          <w:tab w:val="left" w:pos="720"/>
        </w:tabs>
        <w:ind w:left="1440" w:hanging="1440"/>
        <w:jc w:val="both"/>
        <w:rPr>
          <w:b/>
          <w:i/>
          <w:sz w:val="20"/>
          <w:lang w:val="en-CA"/>
        </w:rPr>
      </w:pPr>
      <w:r w:rsidRPr="00C327EE">
        <w:rPr>
          <w:b/>
          <w:sz w:val="20"/>
          <w:lang w:val="en-CA"/>
        </w:rPr>
        <w:fldChar w:fldCharType="begin"/>
      </w:r>
      <w:r w:rsidRPr="00C327EE">
        <w:rPr>
          <w:b/>
          <w:sz w:val="20"/>
        </w:rPr>
        <w:instrText xml:space="preserve"> SEQ CHAPTER \h \r 1</w:instrText>
      </w:r>
      <w:r w:rsidRPr="00C327EE">
        <w:rPr>
          <w:b/>
          <w:sz w:val="20"/>
        </w:rPr>
        <w:fldChar w:fldCharType="end"/>
      </w:r>
      <w:r w:rsidRPr="00C327EE">
        <w:rPr>
          <w:b/>
          <w:sz w:val="20"/>
          <w:lang w:val="en-CA"/>
        </w:rPr>
        <w:t>40095</w:t>
      </w:r>
      <w:r w:rsidRPr="00C327EE">
        <w:rPr>
          <w:sz w:val="20"/>
          <w:lang w:val="en-CA"/>
        </w:rPr>
        <w:tab/>
      </w:r>
      <w:r w:rsidRPr="00C327EE">
        <w:rPr>
          <w:b/>
          <w:i/>
          <w:sz w:val="20"/>
          <w:lang w:val="en-CA"/>
        </w:rPr>
        <w:t xml:space="preserve">His Majesty the King v. </w:t>
      </w:r>
      <w:r w:rsidRPr="00C327EE">
        <w:rPr>
          <w:b/>
          <w:i/>
          <w:sz w:val="20"/>
        </w:rPr>
        <w:t>Christopher James Kruk</w:t>
      </w:r>
    </w:p>
    <w:p w:rsidR="003224E1" w:rsidRPr="00C327EE" w:rsidRDefault="003224E1" w:rsidP="003224E1">
      <w:pPr>
        <w:widowControl w:val="0"/>
        <w:tabs>
          <w:tab w:val="left" w:pos="720"/>
        </w:tabs>
        <w:ind w:left="1440" w:hanging="1440"/>
        <w:jc w:val="both"/>
        <w:rPr>
          <w:sz w:val="20"/>
          <w:lang w:val="en-CA"/>
        </w:rPr>
      </w:pPr>
      <w:r w:rsidRPr="00C327EE">
        <w:rPr>
          <w:sz w:val="20"/>
          <w:lang w:val="en-CA"/>
        </w:rPr>
        <w:tab/>
      </w:r>
      <w:r w:rsidRPr="00C327EE">
        <w:rPr>
          <w:sz w:val="20"/>
        </w:rPr>
        <w:t>(B.C.) (Criminal) (By Leave)</w:t>
      </w:r>
    </w:p>
    <w:p w:rsidR="003224E1" w:rsidRPr="00C327EE" w:rsidRDefault="003224E1" w:rsidP="003224E1">
      <w:pPr>
        <w:widowControl w:val="0"/>
        <w:jc w:val="both"/>
        <w:rPr>
          <w:sz w:val="20"/>
          <w:lang w:val="en-CA"/>
        </w:rPr>
      </w:pPr>
    </w:p>
    <w:p w:rsidR="003224E1" w:rsidRPr="00C327EE" w:rsidRDefault="003224E1" w:rsidP="003224E1">
      <w:pPr>
        <w:widowControl w:val="0"/>
        <w:jc w:val="both"/>
        <w:rPr>
          <w:sz w:val="20"/>
          <w:lang w:val="en-CA"/>
        </w:rPr>
      </w:pPr>
      <w:r w:rsidRPr="00C327EE">
        <w:rPr>
          <w:sz w:val="20"/>
          <w:lang w:val="en-CA"/>
        </w:rPr>
        <w:t>(</w:t>
      </w:r>
      <w:r w:rsidRPr="00C327EE">
        <w:rPr>
          <w:sz w:val="20"/>
        </w:rPr>
        <w:t>PUBLICATION BAN IN CASE)</w:t>
      </w:r>
    </w:p>
    <w:p w:rsidR="003224E1" w:rsidRPr="00C327EE" w:rsidRDefault="003224E1" w:rsidP="003224E1">
      <w:pPr>
        <w:widowControl w:val="0"/>
        <w:jc w:val="both"/>
        <w:rPr>
          <w:sz w:val="20"/>
          <w:lang w:val="en-CA"/>
        </w:rPr>
      </w:pPr>
    </w:p>
    <w:p w:rsidR="003224E1" w:rsidRPr="00C327EE" w:rsidRDefault="003224E1" w:rsidP="003224E1">
      <w:pPr>
        <w:jc w:val="both"/>
        <w:rPr>
          <w:sz w:val="20"/>
        </w:rPr>
      </w:pPr>
      <w:r w:rsidRPr="00C327EE">
        <w:rPr>
          <w:sz w:val="20"/>
        </w:rPr>
        <w:t>Criminal law — Trial — Judgments — Sexual assault — Whether the Court of Appeal erred in concluding that the trial judge relied on speculative reasoning in accepting the complainant’s evidence — Whether there was no merit to the respondent’s alternate argument regarding alleged misapprehensions of evidence, and the appropriate remedy was to restore the conviction.</w:t>
      </w:r>
    </w:p>
    <w:p w:rsidR="003224E1" w:rsidRPr="00C327EE" w:rsidRDefault="003224E1" w:rsidP="003224E1">
      <w:pPr>
        <w:widowControl w:val="0"/>
        <w:jc w:val="both"/>
        <w:rPr>
          <w:sz w:val="20"/>
          <w:lang w:val="en-CA"/>
        </w:rPr>
      </w:pPr>
    </w:p>
    <w:p w:rsidR="003224E1" w:rsidRPr="00C327EE" w:rsidRDefault="003224E1" w:rsidP="003224E1">
      <w:pPr>
        <w:jc w:val="both"/>
        <w:rPr>
          <w:sz w:val="20"/>
        </w:rPr>
      </w:pPr>
      <w:r w:rsidRPr="00C327EE">
        <w:rPr>
          <w:color w:val="000000"/>
          <w:sz w:val="20"/>
        </w:rPr>
        <w:t>The complainant was intoxicated, and eventually passed out or fell asleep in the respondent’s bedroom. She testified that she woke up to find the respondent on top of her with his penis inside her vagina. The respondent denied having sex with the complainant.</w:t>
      </w:r>
      <w:r w:rsidRPr="00C327EE">
        <w:rPr>
          <w:sz w:val="20"/>
        </w:rPr>
        <w:t xml:space="preserve"> The respondent was convicted of sexual assault. The Court of Appeal allowed the respondent’s appeal, set aside the conviction, and ordered a new trial.</w:t>
      </w:r>
    </w:p>
    <w:p w:rsidR="00C327EE" w:rsidRPr="00C327EE" w:rsidRDefault="00C327EE" w:rsidP="003224E1">
      <w:pPr>
        <w:jc w:val="both"/>
        <w:rPr>
          <w:sz w:val="20"/>
        </w:rPr>
      </w:pPr>
    </w:p>
    <w:p w:rsidR="00C327EE" w:rsidRPr="00C327EE" w:rsidRDefault="00C327EE" w:rsidP="003224E1">
      <w:pPr>
        <w:jc w:val="both"/>
        <w:rPr>
          <w:sz w:val="20"/>
        </w:rPr>
      </w:pPr>
      <w:r w:rsidRPr="00C327EE">
        <w:rPr>
          <w:sz w:val="20"/>
        </w:rPr>
        <w:pict>
          <v:rect id="_x0000_i1043" style="width:2in;height:1pt" o:hrpct="0" o:hralign="center" o:hrstd="t" o:hrnoshade="t" o:hr="t" fillcolor="black [3213]" stroked="f"/>
        </w:pict>
      </w:r>
    </w:p>
    <w:p w:rsidR="00C327EE" w:rsidRPr="00C327EE" w:rsidRDefault="00C327EE" w:rsidP="003224E1">
      <w:pPr>
        <w:jc w:val="both"/>
        <w:rPr>
          <w:sz w:val="20"/>
        </w:rPr>
      </w:pPr>
    </w:p>
    <w:p w:rsidR="00C327EE" w:rsidRPr="00C327EE" w:rsidRDefault="00C327EE" w:rsidP="00C327EE">
      <w:pPr>
        <w:pStyle w:val="SCCLsocParty"/>
        <w:jc w:val="both"/>
        <w:rPr>
          <w:b/>
          <w:i/>
          <w:sz w:val="20"/>
          <w:szCs w:val="20"/>
        </w:rPr>
      </w:pPr>
      <w:r w:rsidRPr="00C327EE">
        <w:rPr>
          <w:rStyle w:val="SCCFileNumberChar"/>
          <w:sz w:val="20"/>
          <w:szCs w:val="20"/>
          <w:lang w:val="fr-CA"/>
        </w:rPr>
        <w:t>40095</w:t>
      </w:r>
      <w:r w:rsidRPr="00C327EE">
        <w:rPr>
          <w:rStyle w:val="SCCFileNumberChar"/>
          <w:sz w:val="20"/>
          <w:szCs w:val="20"/>
          <w:lang w:val="fr-CA"/>
        </w:rPr>
        <w:tab/>
      </w:r>
      <w:r w:rsidRPr="00C327EE">
        <w:rPr>
          <w:b/>
          <w:i/>
          <w:sz w:val="20"/>
          <w:szCs w:val="20"/>
        </w:rPr>
        <w:t>Sa Majesté le Roi c. Christopher James Kruk</w:t>
      </w:r>
    </w:p>
    <w:p w:rsidR="00C327EE" w:rsidRPr="00C327EE" w:rsidRDefault="00C327EE" w:rsidP="00C327EE">
      <w:pPr>
        <w:ind w:firstLine="720"/>
        <w:jc w:val="both"/>
        <w:rPr>
          <w:sz w:val="20"/>
          <w:lang w:val="fr-CA"/>
        </w:rPr>
      </w:pPr>
      <w:r w:rsidRPr="00C327EE">
        <w:rPr>
          <w:sz w:val="20"/>
          <w:lang w:val="fr-CA"/>
        </w:rPr>
        <w:t>(C.-B.) (Criminelle) (Sur autorisation)</w:t>
      </w:r>
    </w:p>
    <w:p w:rsidR="00C327EE" w:rsidRPr="00C327EE" w:rsidRDefault="00C327EE" w:rsidP="003224E1">
      <w:pPr>
        <w:jc w:val="both"/>
        <w:rPr>
          <w:sz w:val="20"/>
          <w:lang w:val="fr-CA"/>
        </w:rPr>
      </w:pPr>
    </w:p>
    <w:p w:rsidR="00C327EE" w:rsidRPr="00C327EE" w:rsidRDefault="00C327EE" w:rsidP="00C327EE">
      <w:pPr>
        <w:pStyle w:val="SCCBanSummary"/>
        <w:rPr>
          <w:sz w:val="20"/>
          <w:szCs w:val="20"/>
          <w:lang w:val="fr-CA"/>
        </w:rPr>
      </w:pPr>
      <w:r w:rsidRPr="00C327EE">
        <w:rPr>
          <w:sz w:val="20"/>
          <w:szCs w:val="20"/>
          <w:lang w:val="fr-CA"/>
        </w:rPr>
        <w:t>(Ordonnance de non-publication au dossier)</w:t>
      </w:r>
    </w:p>
    <w:p w:rsidR="00C327EE" w:rsidRPr="00C327EE" w:rsidRDefault="00C327EE" w:rsidP="00C327EE">
      <w:pPr>
        <w:jc w:val="both"/>
        <w:rPr>
          <w:sz w:val="20"/>
          <w:lang w:val="fr-CA"/>
        </w:rPr>
      </w:pPr>
    </w:p>
    <w:p w:rsidR="00C327EE" w:rsidRPr="00C327EE" w:rsidRDefault="00C327EE" w:rsidP="00C327EE">
      <w:pPr>
        <w:jc w:val="both"/>
        <w:rPr>
          <w:sz w:val="20"/>
          <w:lang w:val="fr-CA"/>
        </w:rPr>
      </w:pPr>
      <w:r w:rsidRPr="00C327EE">
        <w:rPr>
          <w:sz w:val="20"/>
          <w:lang w:val="fr-CA"/>
        </w:rPr>
        <w:t>Droit criminel — Procès — Jugements — Agression sexuelle — La Cour d’appel a-t-elle commis une erreur en concluant que le juge du procès s’était fondé sur un raisonnement conjectural lorsqu’il a retenu le témoignage de la plaignante? — L’argument subsidiaire de l’intimé selon lequel il y avait eu mauvaise interprétation de la preuve était-il sans fondement, et la réparation appropriée était-elle de rétablir la déclaration de culpabilité?</w:t>
      </w:r>
    </w:p>
    <w:p w:rsidR="00C327EE" w:rsidRPr="00C327EE" w:rsidRDefault="00C327EE" w:rsidP="003224E1">
      <w:pPr>
        <w:jc w:val="both"/>
        <w:rPr>
          <w:sz w:val="20"/>
          <w:lang w:val="fr-CA"/>
        </w:rPr>
      </w:pPr>
    </w:p>
    <w:p w:rsidR="00C327EE" w:rsidRPr="00C327EE" w:rsidRDefault="00C327EE" w:rsidP="003224E1">
      <w:pPr>
        <w:jc w:val="both"/>
        <w:rPr>
          <w:sz w:val="20"/>
          <w:lang w:val="fr-CA"/>
        </w:rPr>
      </w:pPr>
      <w:r w:rsidRPr="00C327EE">
        <w:rPr>
          <w:color w:val="000000"/>
          <w:sz w:val="20"/>
          <w:lang w:val="fr-CA"/>
        </w:rPr>
        <w:t>La plaignante, qui était en état d’ébriété, a fini par perdre connaissance ou tomber endormie dans la chambre à coucher de l’intimé. Elle a témoigné qu’elle s’est réveillée pour constater que l’intimé était au-dessus d’elle et qu’il avait inséré son pénis dans son vagin. L’intimé a nié avoir eu des relations sexuelles avec la plaignante.</w:t>
      </w:r>
      <w:r w:rsidRPr="00C327EE">
        <w:rPr>
          <w:sz w:val="20"/>
          <w:lang w:val="fr-CA"/>
        </w:rPr>
        <w:t xml:space="preserve"> L’intimé a été déclaré coupable d’agression sexuelle. La Cour d’appel a accueilli l’appel de l’intimé, a annulé la déclaration de culpabilité et a ordonné la tenue d’un nouveau procès.</w:t>
      </w:r>
    </w:p>
    <w:p w:rsidR="00C327EE" w:rsidRPr="00C327EE" w:rsidRDefault="00C327EE" w:rsidP="003224E1">
      <w:pPr>
        <w:jc w:val="both"/>
        <w:rPr>
          <w:sz w:val="20"/>
          <w:lang w:val="fr-CA"/>
        </w:rPr>
      </w:pPr>
    </w:p>
    <w:p w:rsidR="00C327EE" w:rsidRPr="00C327EE" w:rsidRDefault="00C327EE" w:rsidP="003224E1">
      <w:pPr>
        <w:jc w:val="both"/>
        <w:rPr>
          <w:sz w:val="20"/>
          <w:lang w:val="fr-CA"/>
        </w:rPr>
      </w:pPr>
      <w:r w:rsidRPr="00C327EE">
        <w:rPr>
          <w:sz w:val="20"/>
        </w:rPr>
        <w:pict>
          <v:rect id="_x0000_i1044" style="width:2in;height:1pt" o:hrpct="0" o:hralign="center" o:hrstd="t" o:hrnoshade="t" o:hr="t" fillcolor="black [3213]" stroked="f"/>
        </w:pict>
      </w:r>
    </w:p>
    <w:p w:rsidR="003224E1" w:rsidRPr="00C327EE" w:rsidRDefault="003224E1" w:rsidP="003224E1">
      <w:pPr>
        <w:jc w:val="both"/>
        <w:rPr>
          <w:sz w:val="20"/>
          <w:lang w:val="fr-CA"/>
        </w:rPr>
      </w:pPr>
    </w:p>
    <w:p w:rsidR="003224E1" w:rsidRPr="00C327EE" w:rsidRDefault="003224E1" w:rsidP="003224E1">
      <w:pPr>
        <w:widowControl w:val="0"/>
        <w:tabs>
          <w:tab w:val="left" w:pos="720"/>
        </w:tabs>
        <w:ind w:left="1440" w:hanging="1440"/>
        <w:jc w:val="both"/>
        <w:rPr>
          <w:b/>
          <w:i/>
          <w:sz w:val="20"/>
          <w:lang w:val="en-CA"/>
        </w:rPr>
      </w:pPr>
      <w:r w:rsidRPr="00C327EE">
        <w:rPr>
          <w:b/>
          <w:sz w:val="20"/>
          <w:lang w:val="en-CA"/>
        </w:rPr>
        <w:fldChar w:fldCharType="begin"/>
      </w:r>
      <w:r w:rsidRPr="00C327EE">
        <w:rPr>
          <w:b/>
          <w:sz w:val="20"/>
        </w:rPr>
        <w:instrText xml:space="preserve"> SEQ CHAPTER \h \r 1</w:instrText>
      </w:r>
      <w:r w:rsidRPr="00C327EE">
        <w:rPr>
          <w:b/>
          <w:sz w:val="20"/>
        </w:rPr>
        <w:fldChar w:fldCharType="end"/>
      </w:r>
      <w:r w:rsidRPr="00C327EE">
        <w:rPr>
          <w:b/>
          <w:sz w:val="20"/>
          <w:lang w:val="en-CA"/>
        </w:rPr>
        <w:t>40447</w:t>
      </w:r>
      <w:r w:rsidRPr="00C327EE">
        <w:rPr>
          <w:sz w:val="20"/>
          <w:lang w:val="en-CA"/>
        </w:rPr>
        <w:tab/>
      </w:r>
      <w:r w:rsidRPr="00C327EE">
        <w:rPr>
          <w:b/>
          <w:i/>
          <w:sz w:val="20"/>
          <w:lang w:val="en-CA"/>
        </w:rPr>
        <w:t>His Majesty the King v. Edwin Tsang</w:t>
      </w:r>
    </w:p>
    <w:p w:rsidR="003224E1" w:rsidRPr="00C327EE" w:rsidRDefault="003224E1" w:rsidP="003224E1">
      <w:pPr>
        <w:widowControl w:val="0"/>
        <w:tabs>
          <w:tab w:val="left" w:pos="720"/>
        </w:tabs>
        <w:ind w:left="1440" w:hanging="1440"/>
        <w:jc w:val="both"/>
        <w:rPr>
          <w:sz w:val="20"/>
        </w:rPr>
      </w:pPr>
      <w:r w:rsidRPr="00C327EE">
        <w:rPr>
          <w:sz w:val="20"/>
        </w:rPr>
        <w:tab/>
        <w:t>(B.C.) (Criminal) (By Leave)</w:t>
      </w:r>
    </w:p>
    <w:p w:rsidR="003224E1" w:rsidRPr="00C327EE" w:rsidRDefault="003224E1" w:rsidP="003224E1">
      <w:pPr>
        <w:widowControl w:val="0"/>
        <w:ind w:left="1440" w:hanging="1440"/>
        <w:jc w:val="both"/>
        <w:rPr>
          <w:sz w:val="20"/>
          <w:lang w:val="en-CA"/>
        </w:rPr>
      </w:pPr>
    </w:p>
    <w:p w:rsidR="003224E1" w:rsidRPr="00C327EE" w:rsidRDefault="003224E1" w:rsidP="003224E1">
      <w:pPr>
        <w:widowControl w:val="0"/>
        <w:jc w:val="both"/>
        <w:rPr>
          <w:sz w:val="20"/>
          <w:lang w:val="en-CA"/>
        </w:rPr>
      </w:pPr>
      <w:r w:rsidRPr="00C327EE">
        <w:rPr>
          <w:sz w:val="20"/>
          <w:lang w:val="en-CA"/>
        </w:rPr>
        <w:t>(PUBLICATION BAN IN CASE)</w:t>
      </w:r>
    </w:p>
    <w:p w:rsidR="003224E1" w:rsidRPr="00C327EE" w:rsidRDefault="003224E1" w:rsidP="003224E1">
      <w:pPr>
        <w:widowControl w:val="0"/>
        <w:jc w:val="both"/>
        <w:rPr>
          <w:sz w:val="20"/>
          <w:lang w:val="en-CA"/>
        </w:rPr>
      </w:pPr>
    </w:p>
    <w:p w:rsidR="003224E1" w:rsidRPr="00C327EE" w:rsidRDefault="003224E1" w:rsidP="003224E1">
      <w:pPr>
        <w:jc w:val="both"/>
        <w:rPr>
          <w:sz w:val="20"/>
        </w:rPr>
      </w:pPr>
      <w:r w:rsidRPr="00C327EE">
        <w:rPr>
          <w:sz w:val="20"/>
        </w:rPr>
        <w:t>Criminal law — Trial — Judgments — Sexual assault — Whether the Court of Appeal erred by not applying a deferential standard of review, and intervening on the basis that the trial judge erred in law by basing her credibility conclusions on unfounded generalizations — Whether the Court of Appeal erred by not conducting a functional and contextual review of the trial judge’s reasons — Whether the Court of Appeal erred by improperly re-weighing the evidence in concluding that the alleged unfounded generalizations were material — What is the appropriate remedy for the Court of Appeal’s errors?</w:t>
      </w:r>
    </w:p>
    <w:p w:rsidR="003224E1" w:rsidRPr="00C327EE" w:rsidRDefault="003224E1" w:rsidP="003224E1">
      <w:pPr>
        <w:widowControl w:val="0"/>
        <w:jc w:val="both"/>
        <w:rPr>
          <w:sz w:val="20"/>
          <w:lang w:val="en-CA"/>
        </w:rPr>
      </w:pPr>
    </w:p>
    <w:p w:rsidR="003224E1" w:rsidRPr="00C327EE" w:rsidRDefault="003224E1" w:rsidP="003224E1">
      <w:pPr>
        <w:jc w:val="both"/>
        <w:rPr>
          <w:color w:val="000000"/>
          <w:sz w:val="20"/>
        </w:rPr>
      </w:pPr>
      <w:bookmarkStart w:id="4" w:name="_Hlk105337403"/>
      <w:r w:rsidRPr="00C327EE">
        <w:rPr>
          <w:color w:val="000000"/>
          <w:sz w:val="20"/>
        </w:rPr>
        <w:t>The respondent and the complainant had mutual friends, but met for the first time at an event. When that event ended, the respondent drove the complainant and her friend, to Commodore Ballroom. The respondent and the complainant continued drinking and dancing and later left the Commodore in the respondent’s car. On the way to the complainant’s home, they got into the back seat to “make out”. The trial judge found that what ensued after the initial consensual foreplay was a sexual assault.</w:t>
      </w:r>
      <w:bookmarkEnd w:id="4"/>
      <w:r w:rsidRPr="00C327EE">
        <w:rPr>
          <w:color w:val="000000"/>
          <w:sz w:val="20"/>
        </w:rPr>
        <w:t xml:space="preserve"> The trial judge convicted the respondent of sexual assault. The Court of Appeal allowed the conviction appeal, set aside the conviction and ordered a new trial.</w:t>
      </w:r>
    </w:p>
    <w:p w:rsidR="00C327EE" w:rsidRPr="00C327EE" w:rsidRDefault="00C327EE" w:rsidP="003224E1">
      <w:pPr>
        <w:jc w:val="both"/>
        <w:rPr>
          <w:color w:val="000000"/>
          <w:sz w:val="20"/>
        </w:rPr>
      </w:pPr>
    </w:p>
    <w:p w:rsidR="00C327EE" w:rsidRPr="00C327EE" w:rsidRDefault="00C327EE" w:rsidP="003224E1">
      <w:pPr>
        <w:jc w:val="both"/>
        <w:rPr>
          <w:color w:val="000000"/>
          <w:sz w:val="20"/>
        </w:rPr>
      </w:pPr>
      <w:r w:rsidRPr="00C327EE">
        <w:rPr>
          <w:sz w:val="20"/>
        </w:rPr>
        <w:pict>
          <v:rect id="_x0000_i1045" style="width:2in;height:1pt" o:hrpct="0" o:hralign="center" o:hrstd="t" o:hrnoshade="t" o:hr="t" fillcolor="black [3213]" stroked="f"/>
        </w:pict>
      </w:r>
    </w:p>
    <w:p w:rsidR="00C327EE" w:rsidRPr="00C327EE" w:rsidRDefault="00C327EE" w:rsidP="003224E1">
      <w:pPr>
        <w:jc w:val="both"/>
        <w:rPr>
          <w:color w:val="000000"/>
          <w:sz w:val="20"/>
        </w:rPr>
      </w:pPr>
    </w:p>
    <w:p w:rsidR="00C327EE" w:rsidRPr="00C327EE" w:rsidRDefault="00C327EE" w:rsidP="00C327EE">
      <w:pPr>
        <w:pStyle w:val="SCCLsocParty"/>
        <w:jc w:val="both"/>
        <w:rPr>
          <w:b/>
          <w:i/>
          <w:sz w:val="20"/>
          <w:szCs w:val="20"/>
        </w:rPr>
      </w:pPr>
      <w:r w:rsidRPr="00C327EE">
        <w:rPr>
          <w:rStyle w:val="SCCFileNumberChar"/>
          <w:sz w:val="20"/>
          <w:szCs w:val="20"/>
          <w:lang w:val="fr-CA"/>
        </w:rPr>
        <w:t>40447</w:t>
      </w:r>
      <w:r w:rsidRPr="00C327EE">
        <w:rPr>
          <w:rStyle w:val="SCCFileNumberChar"/>
          <w:sz w:val="20"/>
          <w:szCs w:val="20"/>
          <w:lang w:val="fr-CA"/>
        </w:rPr>
        <w:tab/>
      </w:r>
      <w:r w:rsidRPr="00C327EE">
        <w:rPr>
          <w:b/>
          <w:i/>
          <w:sz w:val="20"/>
          <w:szCs w:val="20"/>
        </w:rPr>
        <w:t>Sa Majesté le Roi c. Edwin Tsang</w:t>
      </w:r>
    </w:p>
    <w:p w:rsidR="00C327EE" w:rsidRPr="00C327EE" w:rsidRDefault="00C327EE" w:rsidP="00C327EE">
      <w:pPr>
        <w:ind w:firstLine="720"/>
        <w:jc w:val="both"/>
        <w:rPr>
          <w:color w:val="000000"/>
          <w:sz w:val="20"/>
          <w:lang w:val="fr-CA"/>
        </w:rPr>
      </w:pPr>
      <w:r w:rsidRPr="00C327EE">
        <w:rPr>
          <w:sz w:val="20"/>
          <w:lang w:val="fr-CA"/>
        </w:rPr>
        <w:t>(C.-B.) (Criminelle) (Sur autorisation)</w:t>
      </w:r>
    </w:p>
    <w:p w:rsidR="00C327EE" w:rsidRPr="00C327EE" w:rsidRDefault="00C327EE" w:rsidP="00C327EE">
      <w:pPr>
        <w:jc w:val="both"/>
        <w:rPr>
          <w:sz w:val="20"/>
          <w:lang w:val="fr-CA"/>
        </w:rPr>
      </w:pPr>
    </w:p>
    <w:p w:rsidR="00C327EE" w:rsidRPr="00C327EE" w:rsidRDefault="00C327EE" w:rsidP="00C327EE">
      <w:pPr>
        <w:pStyle w:val="SCCBanSummary"/>
        <w:rPr>
          <w:sz w:val="20"/>
          <w:szCs w:val="20"/>
          <w:lang w:val="fr-CA"/>
        </w:rPr>
      </w:pPr>
      <w:r w:rsidRPr="00C327EE">
        <w:rPr>
          <w:sz w:val="20"/>
          <w:szCs w:val="20"/>
          <w:lang w:val="fr-CA"/>
        </w:rPr>
        <w:t>(Ordonnance de non-publication au dossier)</w:t>
      </w:r>
    </w:p>
    <w:p w:rsidR="00C327EE" w:rsidRPr="00C327EE" w:rsidRDefault="00C327EE" w:rsidP="003224E1">
      <w:pPr>
        <w:jc w:val="both"/>
        <w:rPr>
          <w:sz w:val="20"/>
          <w:lang w:val="fr-CA"/>
        </w:rPr>
      </w:pPr>
    </w:p>
    <w:p w:rsidR="00C327EE" w:rsidRPr="00C327EE" w:rsidRDefault="00C327EE" w:rsidP="00C327EE">
      <w:pPr>
        <w:jc w:val="both"/>
        <w:rPr>
          <w:sz w:val="20"/>
          <w:lang w:val="fr-CA"/>
        </w:rPr>
      </w:pPr>
      <w:r w:rsidRPr="00C327EE">
        <w:rPr>
          <w:sz w:val="20"/>
          <w:lang w:val="fr-CA"/>
        </w:rPr>
        <w:t xml:space="preserve">Droit criminel — Procès — Jugements — Agression sexuelle — La Cour d’appel a-t-elle fait erreur en omettant d'appliquer une norme de contrôle empreinte de déférence, et en intervenant au motif que la juge de première instance a commis une erreur de droit lorsqu’elle s’est basée sur des généralisations non fondées pour tirer des conclusions quant à la crédibilité? La Cour d’appel a-t-elle eu tort de ne pas procéder à un examen fonctionnel et contextuel des motifs de la juge de première instance? La Cour d’appel a-t-elle commis une erreur en soupesant, à tort, la preuve de nouveau lorsqu'elle a conclu que les présumées généralisations non fondées étaient importantes? Quelle réparation convient-il d’accorder en raison des erreurs commises par la Cour d’appel? </w:t>
      </w:r>
    </w:p>
    <w:p w:rsidR="00C327EE" w:rsidRPr="00C327EE" w:rsidRDefault="00C327EE" w:rsidP="003224E1">
      <w:pPr>
        <w:jc w:val="both"/>
        <w:rPr>
          <w:sz w:val="20"/>
          <w:lang w:val="fr-CA"/>
        </w:rPr>
      </w:pPr>
    </w:p>
    <w:p w:rsidR="00C327EE" w:rsidRPr="00C327EE" w:rsidRDefault="00C327EE" w:rsidP="003224E1">
      <w:pPr>
        <w:jc w:val="both"/>
        <w:rPr>
          <w:sz w:val="20"/>
          <w:lang w:val="fr-CA"/>
        </w:rPr>
      </w:pPr>
      <w:r w:rsidRPr="00C327EE">
        <w:rPr>
          <w:color w:val="000000"/>
          <w:sz w:val="20"/>
          <w:lang w:val="fr-CA"/>
        </w:rPr>
        <w:t>L’intimé et la plaignante avaient des amis en commun, mais ils se sont rencontrés pour la première fois lors d'un événement. À la fin de l’événement, l’intimé a conduit la plaignante et son amie au Commodore Ballroom. L’intimé et la plaignante ont continué à boire et à danser et ont ensuite quitté le Commodore dans la voiture de l’intimé. Sur le chemin du domicile de la plaignante, ils se sont installés sur la banquette arrière pour « se peloter ». La juge de première instance a estimé que ce qui s'est passé après les premiers préliminaires consensuels était une agression sexuelle. La juge de première instance a déclaré l’intimé coupable d’agression sexuelle. La Cour d’appel a accueilli l’appel de la déclaration de culpabilité, a annulé la déclaration de culpabilité et a ordonné la tenue d’un nouveau procès.</w:t>
      </w:r>
    </w:p>
    <w:p w:rsidR="00C327EE" w:rsidRPr="00C327EE" w:rsidRDefault="00C327EE" w:rsidP="003224E1">
      <w:pPr>
        <w:jc w:val="both"/>
        <w:rPr>
          <w:sz w:val="20"/>
          <w:lang w:val="fr-CA"/>
        </w:rPr>
      </w:pPr>
    </w:p>
    <w:p w:rsidR="003224E1" w:rsidRPr="00C327EE" w:rsidRDefault="00C327EE" w:rsidP="003224E1">
      <w:pPr>
        <w:jc w:val="both"/>
        <w:rPr>
          <w:sz w:val="20"/>
          <w:lang w:val="fr-CA"/>
        </w:rPr>
      </w:pPr>
      <w:r w:rsidRPr="00C327EE">
        <w:rPr>
          <w:sz w:val="20"/>
        </w:rPr>
        <w:pict>
          <v:rect id="_x0000_i1046" style="width:2in;height:1pt" o:hrpct="0" o:hralign="center" o:hrstd="t" o:hrnoshade="t" o:hr="t" fillcolor="black [3213]" stroked="f"/>
        </w:pict>
      </w:r>
    </w:p>
    <w:p w:rsidR="00F8050A" w:rsidRPr="00C327EE" w:rsidRDefault="00F8050A" w:rsidP="003224E1">
      <w:pPr>
        <w:widowControl w:val="0"/>
        <w:tabs>
          <w:tab w:val="left" w:pos="720"/>
        </w:tabs>
        <w:ind w:left="1440" w:hanging="1440"/>
        <w:jc w:val="both"/>
        <w:rPr>
          <w:sz w:val="20"/>
          <w:lang w:val="fr-CA"/>
        </w:rPr>
      </w:pPr>
    </w:p>
    <w:p w:rsidR="003224E1" w:rsidRPr="00C327EE" w:rsidRDefault="003224E1" w:rsidP="003224E1">
      <w:pPr>
        <w:widowControl w:val="0"/>
        <w:tabs>
          <w:tab w:val="left" w:pos="720"/>
        </w:tabs>
        <w:ind w:left="1440" w:hanging="1440"/>
        <w:jc w:val="both"/>
        <w:rPr>
          <w:b/>
          <w:i/>
          <w:sz w:val="20"/>
          <w:lang w:val="en-CA"/>
        </w:rPr>
      </w:pPr>
      <w:r w:rsidRPr="00C327EE">
        <w:rPr>
          <w:b/>
          <w:sz w:val="20"/>
          <w:lang w:val="en-CA"/>
        </w:rPr>
        <w:fldChar w:fldCharType="begin"/>
      </w:r>
      <w:r w:rsidRPr="00C327EE">
        <w:rPr>
          <w:b/>
          <w:sz w:val="20"/>
        </w:rPr>
        <w:instrText xml:space="preserve"> SEQ CHAPTER \h \r 1</w:instrText>
      </w:r>
      <w:r w:rsidRPr="00C327EE">
        <w:rPr>
          <w:b/>
          <w:sz w:val="20"/>
        </w:rPr>
        <w:fldChar w:fldCharType="end"/>
      </w:r>
      <w:r w:rsidRPr="00C327EE">
        <w:rPr>
          <w:b/>
          <w:sz w:val="20"/>
          <w:lang w:val="en-CA"/>
        </w:rPr>
        <w:t>40316</w:t>
      </w:r>
      <w:r w:rsidRPr="00C327EE">
        <w:rPr>
          <w:sz w:val="20"/>
          <w:lang w:val="en-CA"/>
        </w:rPr>
        <w:tab/>
      </w:r>
      <w:r w:rsidRPr="00C327EE">
        <w:rPr>
          <w:b/>
          <w:i/>
          <w:sz w:val="20"/>
          <w:lang w:val="en-CA"/>
        </w:rPr>
        <w:t>Jason Donald Hay v. His Majesty the King</w:t>
      </w:r>
    </w:p>
    <w:p w:rsidR="003224E1" w:rsidRPr="00C327EE" w:rsidRDefault="003224E1" w:rsidP="003224E1">
      <w:pPr>
        <w:widowControl w:val="0"/>
        <w:tabs>
          <w:tab w:val="left" w:pos="720"/>
        </w:tabs>
        <w:ind w:left="1440" w:hanging="1440"/>
        <w:jc w:val="both"/>
        <w:rPr>
          <w:sz w:val="20"/>
          <w:lang w:val="en-CA"/>
        </w:rPr>
      </w:pPr>
      <w:r w:rsidRPr="00C327EE">
        <w:rPr>
          <w:sz w:val="20"/>
          <w:lang w:val="en-CA"/>
        </w:rPr>
        <w:tab/>
        <w:t>(Alta.) (</w:t>
      </w:r>
      <w:r w:rsidRPr="00C327EE">
        <w:rPr>
          <w:sz w:val="20"/>
        </w:rPr>
        <w:t>Crim</w:t>
      </w:r>
      <w:r w:rsidR="00C327EE" w:rsidRPr="00C327EE">
        <w:rPr>
          <w:sz w:val="20"/>
        </w:rPr>
        <w:t>inal</w:t>
      </w:r>
      <w:r w:rsidRPr="00C327EE">
        <w:rPr>
          <w:sz w:val="20"/>
          <w:lang w:val="en-CA"/>
        </w:rPr>
        <w:t>) (As of Right)</w:t>
      </w:r>
    </w:p>
    <w:p w:rsidR="003224E1" w:rsidRPr="00C327EE" w:rsidRDefault="003224E1" w:rsidP="003224E1">
      <w:pPr>
        <w:jc w:val="both"/>
        <w:rPr>
          <w:sz w:val="20"/>
          <w:lang w:val="en-CA"/>
        </w:rPr>
      </w:pPr>
    </w:p>
    <w:p w:rsidR="003224E1" w:rsidRPr="00C327EE" w:rsidRDefault="003224E1" w:rsidP="003224E1">
      <w:pPr>
        <w:widowControl w:val="0"/>
        <w:jc w:val="both"/>
        <w:rPr>
          <w:sz w:val="20"/>
          <w:lang w:val="en-CA"/>
        </w:rPr>
      </w:pPr>
      <w:r w:rsidRPr="00C327EE">
        <w:rPr>
          <w:sz w:val="20"/>
          <w:lang w:val="en-CA"/>
        </w:rPr>
        <w:t>(</w:t>
      </w:r>
      <w:r w:rsidRPr="00C327EE">
        <w:rPr>
          <w:smallCaps/>
          <w:sz w:val="20"/>
          <w:lang w:val="en-CA"/>
        </w:rPr>
        <w:t>Publication Ban in Case</w:t>
      </w:r>
      <w:r w:rsidRPr="00C327EE">
        <w:rPr>
          <w:sz w:val="20"/>
          <w:lang w:val="en-CA"/>
        </w:rPr>
        <w:t xml:space="preserve">) </w:t>
      </w:r>
    </w:p>
    <w:p w:rsidR="003224E1" w:rsidRPr="00C327EE" w:rsidRDefault="003224E1" w:rsidP="003224E1">
      <w:pPr>
        <w:widowControl w:val="0"/>
        <w:jc w:val="both"/>
        <w:rPr>
          <w:sz w:val="20"/>
          <w:lang w:val="en-CA"/>
        </w:rPr>
      </w:pPr>
    </w:p>
    <w:p w:rsidR="003224E1" w:rsidRPr="00C327EE" w:rsidRDefault="003224E1" w:rsidP="003224E1">
      <w:pPr>
        <w:jc w:val="both"/>
        <w:rPr>
          <w:sz w:val="20"/>
          <w:lang w:val="en-CA"/>
        </w:rPr>
      </w:pPr>
      <w:r w:rsidRPr="00C327EE">
        <w:rPr>
          <w:sz w:val="20"/>
          <w:lang w:val="en-CA"/>
        </w:rPr>
        <w:t>Criminal law – Offences – Sexual assault – Consent – Evidence – Defence – Whether the Court of Appeal of Alberta erred by reversing the trial judge’s</w:t>
      </w:r>
      <w:r w:rsidRPr="00C327EE">
        <w:rPr>
          <w:sz w:val="20"/>
        </w:rPr>
        <w:t xml:space="preserve"> decision to allow evidence of prior sexual acts per </w:t>
      </w:r>
      <w:r w:rsidRPr="00C327EE">
        <w:rPr>
          <w:sz w:val="20"/>
          <w:lang w:val="en-CA"/>
        </w:rPr>
        <w:t xml:space="preserve">s. 276 </w:t>
      </w:r>
      <w:r w:rsidRPr="00C327EE">
        <w:rPr>
          <w:sz w:val="20"/>
        </w:rPr>
        <w:t xml:space="preserve">of the </w:t>
      </w:r>
      <w:r w:rsidRPr="00C327EE">
        <w:rPr>
          <w:i/>
          <w:sz w:val="20"/>
        </w:rPr>
        <w:t>Criminal Code</w:t>
      </w:r>
      <w:r w:rsidRPr="00C327EE">
        <w:rPr>
          <w:sz w:val="20"/>
        </w:rPr>
        <w:t xml:space="preserve"> as part of the defence – </w:t>
      </w:r>
      <w:r w:rsidRPr="00C327EE">
        <w:rPr>
          <w:sz w:val="20"/>
          <w:lang w:val="en-CA"/>
        </w:rPr>
        <w:t xml:space="preserve">Whether the Court of Appeal erred by conflating the </w:t>
      </w:r>
      <w:r w:rsidRPr="00C327EE">
        <w:rPr>
          <w:sz w:val="20"/>
        </w:rPr>
        <w:t xml:space="preserve">requirement of consent into the defence of mistaken belief in communicated consent – Whether the </w:t>
      </w:r>
      <w:r w:rsidRPr="00C327EE">
        <w:rPr>
          <w:sz w:val="20"/>
          <w:lang w:val="en-CA"/>
        </w:rPr>
        <w:t>Court of Appeal erred</w:t>
      </w:r>
      <w:r w:rsidRPr="00C327EE">
        <w:rPr>
          <w:sz w:val="20"/>
        </w:rPr>
        <w:t xml:space="preserve"> </w:t>
      </w:r>
      <w:r w:rsidRPr="00C327EE">
        <w:rPr>
          <w:sz w:val="20"/>
          <w:lang w:val="en-CA"/>
        </w:rPr>
        <w:t xml:space="preserve">by reversing the criminal standard of proof </w:t>
      </w:r>
      <w:r w:rsidRPr="00C327EE">
        <w:rPr>
          <w:sz w:val="20"/>
        </w:rPr>
        <w:t>onto the appellant to establish his innocence</w:t>
      </w:r>
      <w:r w:rsidRPr="00C327EE">
        <w:rPr>
          <w:sz w:val="20"/>
          <w:lang w:val="en-CA"/>
        </w:rPr>
        <w:t xml:space="preserve"> </w:t>
      </w:r>
      <w:r w:rsidRPr="00C327EE">
        <w:rPr>
          <w:sz w:val="20"/>
        </w:rPr>
        <w:t xml:space="preserve">– </w:t>
      </w:r>
      <w:r w:rsidRPr="00C327EE">
        <w:rPr>
          <w:sz w:val="20"/>
          <w:lang w:val="en-CA"/>
        </w:rPr>
        <w:t>Whether the Court of Appeal erred in substituting its own view of the facts contrary to the trial judge’s findings in relation to the testimony of the appellant</w:t>
      </w:r>
      <w:r w:rsidRPr="00C327EE">
        <w:rPr>
          <w:sz w:val="20"/>
        </w:rPr>
        <w:t xml:space="preserve"> – </w:t>
      </w:r>
      <w:r w:rsidRPr="00C327EE">
        <w:rPr>
          <w:sz w:val="20"/>
          <w:lang w:val="en-CA"/>
        </w:rPr>
        <w:t>Whether the Court of Appeal erred by requiring proof of explicit consent as a prerequisite for the defence of mistaken belief i</w:t>
      </w:r>
      <w:r w:rsidRPr="00C327EE">
        <w:rPr>
          <w:sz w:val="20"/>
        </w:rPr>
        <w:t>n communicated consent to apply.</w:t>
      </w:r>
    </w:p>
    <w:p w:rsidR="003224E1" w:rsidRPr="00C327EE" w:rsidRDefault="003224E1" w:rsidP="003224E1">
      <w:pPr>
        <w:widowControl w:val="0"/>
        <w:jc w:val="both"/>
        <w:rPr>
          <w:sz w:val="20"/>
        </w:rPr>
      </w:pPr>
    </w:p>
    <w:p w:rsidR="003224E1" w:rsidRPr="00C327EE" w:rsidRDefault="003224E1" w:rsidP="003224E1">
      <w:pPr>
        <w:widowControl w:val="0"/>
        <w:tabs>
          <w:tab w:val="left" w:pos="938"/>
        </w:tabs>
        <w:jc w:val="both"/>
        <w:rPr>
          <w:color w:val="000000"/>
          <w:sz w:val="20"/>
        </w:rPr>
      </w:pPr>
      <w:r w:rsidRPr="00C327EE">
        <w:rPr>
          <w:sz w:val="20"/>
          <w:lang w:val="en-CA"/>
        </w:rPr>
        <w:t xml:space="preserve">Following a judge-alone trial, the appellant, Mr. Hay, was acquitted of one count of sexual assault under s. 271 of the </w:t>
      </w:r>
      <w:r w:rsidRPr="00C327EE">
        <w:rPr>
          <w:i/>
          <w:sz w:val="20"/>
          <w:lang w:val="en-CA"/>
        </w:rPr>
        <w:t>Criminal Code</w:t>
      </w:r>
      <w:r w:rsidRPr="00C327EE">
        <w:rPr>
          <w:sz w:val="20"/>
          <w:lang w:val="en-CA"/>
        </w:rPr>
        <w:t xml:space="preserve">, R.S.C. 1985, </w:t>
      </w:r>
      <w:proofErr w:type="gramStart"/>
      <w:r w:rsidRPr="00C327EE">
        <w:rPr>
          <w:sz w:val="20"/>
          <w:lang w:val="en-CA"/>
        </w:rPr>
        <w:t>c</w:t>
      </w:r>
      <w:proofErr w:type="gramEnd"/>
      <w:r w:rsidRPr="00C327EE">
        <w:rPr>
          <w:sz w:val="20"/>
          <w:lang w:val="en-CA"/>
        </w:rPr>
        <w:t xml:space="preserve">. C-46. The appellant conceded </w:t>
      </w:r>
      <w:r w:rsidRPr="00C327EE">
        <w:rPr>
          <w:color w:val="000000"/>
          <w:sz w:val="20"/>
        </w:rPr>
        <w:t xml:space="preserve">that the complainant did not consent to anal intercourse on September 13, 2019. The only issue on appeal was whether Mr. Hay had an honest but mistaken belief in the complainant’s communicated consent. Following </w:t>
      </w:r>
      <w:proofErr w:type="gramStart"/>
      <w:r w:rsidRPr="00C327EE">
        <w:rPr>
          <w:color w:val="000000"/>
          <w:sz w:val="20"/>
        </w:rPr>
        <w:t>a</w:t>
      </w:r>
      <w:proofErr w:type="gramEnd"/>
      <w:r w:rsidRPr="00C327EE">
        <w:rPr>
          <w:color w:val="000000"/>
          <w:sz w:val="20"/>
        </w:rPr>
        <w:t xml:space="preserve"> s. 276 </w:t>
      </w:r>
      <w:r w:rsidRPr="00C327EE">
        <w:rPr>
          <w:i/>
          <w:iCs/>
          <w:color w:val="000000"/>
          <w:sz w:val="20"/>
        </w:rPr>
        <w:t>voir dire</w:t>
      </w:r>
      <w:r w:rsidRPr="00C327EE">
        <w:rPr>
          <w:color w:val="000000"/>
          <w:sz w:val="20"/>
        </w:rPr>
        <w:t>, the trial judge admitted evidence of a previous sexual encounter on August 24, 2019.</w:t>
      </w:r>
    </w:p>
    <w:p w:rsidR="003224E1" w:rsidRPr="00C327EE" w:rsidRDefault="003224E1" w:rsidP="003224E1">
      <w:pPr>
        <w:widowControl w:val="0"/>
        <w:tabs>
          <w:tab w:val="left" w:pos="938"/>
        </w:tabs>
        <w:jc w:val="both"/>
        <w:rPr>
          <w:color w:val="000000"/>
          <w:sz w:val="20"/>
        </w:rPr>
      </w:pPr>
    </w:p>
    <w:p w:rsidR="003224E1" w:rsidRPr="00C327EE" w:rsidRDefault="003224E1" w:rsidP="003224E1">
      <w:pPr>
        <w:widowControl w:val="0"/>
        <w:tabs>
          <w:tab w:val="left" w:pos="938"/>
        </w:tabs>
        <w:jc w:val="both"/>
        <w:rPr>
          <w:color w:val="000000"/>
          <w:sz w:val="20"/>
        </w:rPr>
      </w:pPr>
      <w:r w:rsidRPr="00C327EE">
        <w:rPr>
          <w:color w:val="000000"/>
          <w:sz w:val="20"/>
        </w:rPr>
        <w:t>The trial judge found there was an air of reality to the appellant’s defence of honest but mistaken belief in communicated consent. She concluded that the Crown had failed to prove the necessary </w:t>
      </w:r>
      <w:r w:rsidRPr="00C327EE">
        <w:rPr>
          <w:i/>
          <w:iCs/>
          <w:color w:val="000000"/>
          <w:sz w:val="20"/>
        </w:rPr>
        <w:t>mens rea</w:t>
      </w:r>
      <w:r w:rsidRPr="00C327EE">
        <w:rPr>
          <w:color w:val="000000"/>
          <w:sz w:val="20"/>
        </w:rPr>
        <w:t xml:space="preserve"> and acquitted him. The Court of Appeal unanimously allowed the appeal, quashed the acquittal and entered a conviction for sexual assault. It found the trial judge erred in law both by admitting the evidence of previous sexual conduct and by finding there was an air of reality to the defence of honest but mistaken </w:t>
      </w:r>
      <w:r w:rsidR="00C327EE" w:rsidRPr="00C327EE">
        <w:rPr>
          <w:color w:val="000000"/>
          <w:sz w:val="20"/>
        </w:rPr>
        <w:t>belief in communicated consent.</w:t>
      </w:r>
    </w:p>
    <w:p w:rsidR="00C327EE" w:rsidRPr="00C327EE" w:rsidRDefault="00C327EE" w:rsidP="003224E1">
      <w:pPr>
        <w:widowControl w:val="0"/>
        <w:tabs>
          <w:tab w:val="left" w:pos="938"/>
        </w:tabs>
        <w:jc w:val="both"/>
        <w:rPr>
          <w:color w:val="000000"/>
          <w:sz w:val="20"/>
        </w:rPr>
      </w:pPr>
    </w:p>
    <w:p w:rsidR="00C327EE" w:rsidRPr="00C327EE" w:rsidRDefault="00C327EE" w:rsidP="003224E1">
      <w:pPr>
        <w:widowControl w:val="0"/>
        <w:tabs>
          <w:tab w:val="left" w:pos="938"/>
        </w:tabs>
        <w:jc w:val="both"/>
        <w:rPr>
          <w:color w:val="000000"/>
          <w:sz w:val="20"/>
        </w:rPr>
      </w:pPr>
      <w:r w:rsidRPr="00C327EE">
        <w:rPr>
          <w:sz w:val="20"/>
        </w:rPr>
        <w:pict>
          <v:rect id="_x0000_i1047" style="width:2in;height:1pt" o:hrpct="0" o:hralign="center" o:hrstd="t" o:hrnoshade="t" o:hr="t" fillcolor="black [3213]" stroked="f"/>
        </w:pict>
      </w:r>
    </w:p>
    <w:p w:rsidR="00C327EE" w:rsidRPr="00C327EE" w:rsidRDefault="00C327EE" w:rsidP="003224E1">
      <w:pPr>
        <w:widowControl w:val="0"/>
        <w:tabs>
          <w:tab w:val="left" w:pos="938"/>
        </w:tabs>
        <w:jc w:val="both"/>
        <w:rPr>
          <w:sz w:val="20"/>
        </w:rPr>
      </w:pPr>
    </w:p>
    <w:p w:rsidR="003224E1" w:rsidRPr="00C327EE" w:rsidRDefault="003224E1" w:rsidP="003224E1">
      <w:pPr>
        <w:widowControl w:val="0"/>
        <w:tabs>
          <w:tab w:val="left" w:pos="720"/>
        </w:tabs>
        <w:ind w:left="1440" w:hanging="1440"/>
        <w:jc w:val="both"/>
        <w:rPr>
          <w:b/>
          <w:i/>
          <w:sz w:val="20"/>
          <w:lang w:val="fr-CA"/>
        </w:rPr>
      </w:pPr>
      <w:r w:rsidRPr="00C327EE">
        <w:rPr>
          <w:b/>
          <w:sz w:val="20"/>
          <w:lang w:val="en-CA"/>
        </w:rPr>
        <w:fldChar w:fldCharType="begin"/>
      </w:r>
      <w:r w:rsidRPr="00C327EE">
        <w:rPr>
          <w:b/>
          <w:sz w:val="20"/>
          <w:lang w:val="fr-CA"/>
        </w:rPr>
        <w:instrText xml:space="preserve"> SEQ CHAPTER \h \r 1</w:instrText>
      </w:r>
      <w:r w:rsidRPr="00C327EE">
        <w:rPr>
          <w:b/>
          <w:sz w:val="20"/>
        </w:rPr>
        <w:fldChar w:fldCharType="end"/>
      </w:r>
      <w:r w:rsidRPr="00C327EE">
        <w:rPr>
          <w:b/>
          <w:sz w:val="20"/>
          <w:lang w:val="fr-CA"/>
        </w:rPr>
        <w:t>40316</w:t>
      </w:r>
      <w:r w:rsidRPr="00C327EE">
        <w:rPr>
          <w:sz w:val="20"/>
          <w:lang w:val="fr-CA"/>
        </w:rPr>
        <w:tab/>
      </w:r>
      <w:r w:rsidRPr="00C327EE">
        <w:rPr>
          <w:b/>
          <w:i/>
          <w:sz w:val="20"/>
          <w:lang w:val="fr-CA"/>
        </w:rPr>
        <w:t>Jason Donald Hay c. Sa Majesté le Roi</w:t>
      </w:r>
    </w:p>
    <w:p w:rsidR="003224E1" w:rsidRPr="00C327EE" w:rsidRDefault="003224E1" w:rsidP="003224E1">
      <w:pPr>
        <w:widowControl w:val="0"/>
        <w:tabs>
          <w:tab w:val="left" w:pos="720"/>
        </w:tabs>
        <w:ind w:left="1440" w:hanging="1440"/>
        <w:jc w:val="both"/>
        <w:rPr>
          <w:sz w:val="20"/>
          <w:lang w:val="fr-CA"/>
        </w:rPr>
      </w:pPr>
      <w:r w:rsidRPr="00C327EE">
        <w:rPr>
          <w:sz w:val="20"/>
          <w:lang w:val="fr-CA"/>
        </w:rPr>
        <w:tab/>
        <w:t>(Alb.) (Crim</w:t>
      </w:r>
      <w:r w:rsidR="00C327EE" w:rsidRPr="00C327EE">
        <w:rPr>
          <w:sz w:val="20"/>
          <w:lang w:val="fr-CA"/>
        </w:rPr>
        <w:t>inelle</w:t>
      </w:r>
      <w:r w:rsidRPr="00C327EE">
        <w:rPr>
          <w:sz w:val="20"/>
          <w:lang w:val="fr-CA"/>
        </w:rPr>
        <w:t>) (De plein droit)</w:t>
      </w:r>
    </w:p>
    <w:p w:rsidR="003224E1" w:rsidRPr="00C327EE" w:rsidRDefault="003224E1" w:rsidP="003224E1">
      <w:pPr>
        <w:jc w:val="both"/>
        <w:rPr>
          <w:sz w:val="20"/>
          <w:lang w:val="fr-CA"/>
        </w:rPr>
      </w:pPr>
    </w:p>
    <w:p w:rsidR="003224E1" w:rsidRPr="00C327EE" w:rsidRDefault="003224E1" w:rsidP="003224E1">
      <w:pPr>
        <w:widowControl w:val="0"/>
        <w:jc w:val="both"/>
        <w:rPr>
          <w:sz w:val="20"/>
          <w:lang w:val="fr-CA"/>
        </w:rPr>
      </w:pPr>
      <w:r w:rsidRPr="00C327EE">
        <w:rPr>
          <w:sz w:val="20"/>
          <w:lang w:val="fr-CA"/>
        </w:rPr>
        <w:t>(O</w:t>
      </w:r>
      <w:r w:rsidRPr="00C327EE">
        <w:rPr>
          <w:smallCaps/>
          <w:sz w:val="20"/>
          <w:lang w:val="fr-CA"/>
        </w:rPr>
        <w:t>rdonnance de non-publication dans le dossier</w:t>
      </w:r>
      <w:r w:rsidRPr="00C327EE">
        <w:rPr>
          <w:sz w:val="20"/>
          <w:lang w:val="fr-CA"/>
        </w:rPr>
        <w:t xml:space="preserve">) </w:t>
      </w:r>
    </w:p>
    <w:p w:rsidR="003224E1" w:rsidRPr="00C327EE" w:rsidRDefault="003224E1" w:rsidP="003224E1">
      <w:pPr>
        <w:widowControl w:val="0"/>
        <w:jc w:val="both"/>
        <w:rPr>
          <w:sz w:val="20"/>
          <w:lang w:val="fr-CA"/>
        </w:rPr>
      </w:pPr>
    </w:p>
    <w:p w:rsidR="003224E1" w:rsidRPr="00C327EE" w:rsidRDefault="003224E1" w:rsidP="003224E1">
      <w:pPr>
        <w:widowControl w:val="0"/>
        <w:jc w:val="both"/>
        <w:rPr>
          <w:sz w:val="20"/>
          <w:lang w:val="fr-CA"/>
        </w:rPr>
      </w:pPr>
      <w:r w:rsidRPr="00C327EE">
        <w:rPr>
          <w:sz w:val="20"/>
          <w:lang w:val="fr-CA"/>
        </w:rPr>
        <w:t xml:space="preserve">Droit criminel – Infractions – Agression sexuelle – Consentement – Preuve – Défense – La Cour d’appel de l’Alberta a-t-elle commis une erreur en infirmant la décision de la juge du procès de permettre, en vertu de l’art. 276 du </w:t>
      </w:r>
      <w:r w:rsidRPr="00C327EE">
        <w:rPr>
          <w:i/>
          <w:sz w:val="20"/>
          <w:lang w:val="fr-CA"/>
        </w:rPr>
        <w:t>Code criminel</w:t>
      </w:r>
      <w:r w:rsidRPr="00C327EE">
        <w:rPr>
          <w:sz w:val="20"/>
          <w:lang w:val="fr-CA"/>
        </w:rPr>
        <w:t>, la preuve d’actes sexuels antérieurs dans la défense de l’appelant? – La Cour d’appel a-t-elle fait erreur en intégrant l’exigence de consentement dans le moyen de défense fondé sur la croyance erronée au consentement communiqué? – La Cour d’appel a-t-elle fait erreur en inversant la norme de preuve requise en matière criminelle pour imposer à l’appelant le fardeau d’établir son innocence? – La Cour d’appel a-t-elle commis une erreur en substituant sa propre opinion des faits, allant ainsi à l’encontre des conclusions de la juge du procès concernant le témoignage de l’appelant? – La Cour d’appel a-t-elle eu tort d’exiger la preuve d’un consentement explicite en tant que condition préalable à l’application du moyen de défense fondé sur la croyance erronée au consentement communiqué?</w:t>
      </w:r>
    </w:p>
    <w:p w:rsidR="003224E1" w:rsidRPr="00C327EE" w:rsidRDefault="003224E1" w:rsidP="003224E1">
      <w:pPr>
        <w:widowControl w:val="0"/>
        <w:jc w:val="both"/>
        <w:rPr>
          <w:sz w:val="20"/>
          <w:lang w:val="fr-CA"/>
        </w:rPr>
      </w:pPr>
    </w:p>
    <w:p w:rsidR="003224E1" w:rsidRPr="00C327EE" w:rsidRDefault="003224E1" w:rsidP="003224E1">
      <w:pPr>
        <w:widowControl w:val="0"/>
        <w:tabs>
          <w:tab w:val="left" w:pos="938"/>
        </w:tabs>
        <w:jc w:val="both"/>
        <w:rPr>
          <w:color w:val="000000"/>
          <w:sz w:val="20"/>
          <w:lang w:val="fr-CA"/>
        </w:rPr>
      </w:pPr>
      <w:r w:rsidRPr="00C327EE">
        <w:rPr>
          <w:sz w:val="20"/>
          <w:lang w:val="fr-CA"/>
        </w:rPr>
        <w:t xml:space="preserve">Au terme d’un procès devant juge seul, l’appelant, M. Hay, a été acquitté d’un chef d’accusation d’agression sexuelle, une infraction à l’art. 271 du </w:t>
      </w:r>
      <w:r w:rsidRPr="00C327EE">
        <w:rPr>
          <w:i/>
          <w:sz w:val="20"/>
          <w:lang w:val="fr-CA"/>
        </w:rPr>
        <w:t>Code criminel</w:t>
      </w:r>
      <w:r w:rsidRPr="00C327EE">
        <w:rPr>
          <w:sz w:val="20"/>
          <w:lang w:val="fr-CA"/>
        </w:rPr>
        <w:t xml:space="preserve">, L.R.C. 1985, c. C-46. L’appelant a concédé que la plaignante n’avait pas consenti à une relation sexuelle anale le 13 septembre </w:t>
      </w:r>
      <w:r w:rsidRPr="00C327EE">
        <w:rPr>
          <w:color w:val="000000"/>
          <w:sz w:val="20"/>
          <w:lang w:val="fr-CA"/>
        </w:rPr>
        <w:t>2019. La seule question à trancher en appel était de savoir si M. Hay avait une croyance sincère mais erronée au consentement communiqué de la plaignante. À la suite d’un voir-dire tenu en application de l’art. 276, la juge du procès a admis la preuve d’une rencontre à caractère sexuel qui a eu lieu le 24 août 2019.</w:t>
      </w:r>
    </w:p>
    <w:p w:rsidR="003224E1" w:rsidRPr="00C327EE" w:rsidRDefault="003224E1" w:rsidP="003224E1">
      <w:pPr>
        <w:widowControl w:val="0"/>
        <w:tabs>
          <w:tab w:val="left" w:pos="938"/>
        </w:tabs>
        <w:jc w:val="both"/>
        <w:rPr>
          <w:color w:val="000000"/>
          <w:sz w:val="20"/>
          <w:lang w:val="fr-CA"/>
        </w:rPr>
      </w:pPr>
    </w:p>
    <w:p w:rsidR="003224E1" w:rsidRPr="00C327EE" w:rsidRDefault="003224E1" w:rsidP="003224E1">
      <w:pPr>
        <w:widowControl w:val="0"/>
        <w:tabs>
          <w:tab w:val="left" w:pos="938"/>
        </w:tabs>
        <w:jc w:val="both"/>
        <w:rPr>
          <w:sz w:val="20"/>
          <w:lang w:val="fr-CA"/>
        </w:rPr>
      </w:pPr>
      <w:r w:rsidRPr="00C327EE">
        <w:rPr>
          <w:color w:val="000000"/>
          <w:sz w:val="20"/>
          <w:lang w:val="fr-CA"/>
        </w:rPr>
        <w:t xml:space="preserve">Selon la juge du procès, la défense de l’appelant fondée sur la croyance sincère mais erronée au consentement communiqué était vraisemblable. Elle a conclu que la Couronne n’avait pas prouvé la </w:t>
      </w:r>
      <w:r w:rsidRPr="00C327EE">
        <w:rPr>
          <w:i/>
          <w:iCs/>
          <w:color w:val="000000"/>
          <w:sz w:val="20"/>
          <w:lang w:val="fr-CA"/>
        </w:rPr>
        <w:t>mens rea</w:t>
      </w:r>
      <w:r w:rsidRPr="00C327EE">
        <w:rPr>
          <w:color w:val="000000"/>
          <w:sz w:val="20"/>
          <w:lang w:val="fr-CA"/>
        </w:rPr>
        <w:t xml:space="preserve"> requise, et a acquitté l’appelant. La Cour d’appel a accueilli l’appel, cassé l’acquittement et inscrit une déclaration de culpabilité pour agression sexuelle. D’après la Cour d’appel, la juge du procès a commis une erreur de droit en admettant la preuve relative au comportement sexuel antérieur et en concluant à la vraisemblance du moyen de défense fondé sur la croyance sincère mais erronée au consentement communiqué.</w:t>
      </w:r>
    </w:p>
    <w:p w:rsidR="00F8050A" w:rsidRPr="00C327EE" w:rsidRDefault="00F8050A" w:rsidP="002A7F67">
      <w:pPr>
        <w:widowControl w:val="0"/>
        <w:tabs>
          <w:tab w:val="left" w:pos="720"/>
        </w:tabs>
        <w:ind w:left="1440" w:hanging="1440"/>
        <w:jc w:val="both"/>
        <w:rPr>
          <w:sz w:val="20"/>
          <w:lang w:val="fr-CA"/>
        </w:rPr>
      </w:pPr>
    </w:p>
    <w:p w:rsidR="00F8050A" w:rsidRPr="00C327EE" w:rsidRDefault="00C327EE" w:rsidP="002A7F67">
      <w:pPr>
        <w:widowControl w:val="0"/>
        <w:tabs>
          <w:tab w:val="left" w:pos="720"/>
        </w:tabs>
        <w:ind w:left="1440" w:hanging="1440"/>
        <w:jc w:val="both"/>
        <w:rPr>
          <w:sz w:val="20"/>
          <w:lang w:val="fr-CA"/>
        </w:rPr>
      </w:pPr>
      <w:r w:rsidRPr="00C327EE">
        <w:rPr>
          <w:sz w:val="20"/>
        </w:rPr>
        <w:pict>
          <v:rect id="_x0000_i1048" style="width:2in;height:1pt" o:hrpct="0" o:hralign="center" o:hrstd="t" o:hrnoshade="t" o:hr="t" fillcolor="black [3213]" stroked="f"/>
        </w:pict>
      </w:r>
    </w:p>
    <w:p w:rsidR="00F8050A" w:rsidRPr="00C327EE" w:rsidRDefault="00F8050A" w:rsidP="002A7F67">
      <w:pPr>
        <w:widowControl w:val="0"/>
        <w:tabs>
          <w:tab w:val="left" w:pos="720"/>
        </w:tabs>
        <w:ind w:left="1440" w:hanging="1440"/>
        <w:jc w:val="both"/>
        <w:rPr>
          <w:sz w:val="20"/>
          <w:lang w:val="fr-CA"/>
        </w:rPr>
      </w:pPr>
    </w:p>
    <w:p w:rsidR="00831114" w:rsidRPr="00C327EE" w:rsidRDefault="00831114" w:rsidP="00991060">
      <w:pPr>
        <w:jc w:val="both"/>
        <w:rPr>
          <w:sz w:val="20"/>
          <w:lang w:val="fr-CA"/>
        </w:rPr>
      </w:pPr>
    </w:p>
    <w:p w:rsidR="003F43E6" w:rsidRPr="00C327EE" w:rsidRDefault="003F43E6" w:rsidP="006F2579">
      <w:pPr>
        <w:widowControl w:val="0"/>
        <w:outlineLvl w:val="0"/>
        <w:rPr>
          <w:sz w:val="20"/>
          <w:lang w:val="fr-CA"/>
        </w:rPr>
      </w:pPr>
    </w:p>
    <w:p w:rsidR="008A4B5A" w:rsidRPr="00C327EE" w:rsidRDefault="008A4B5A" w:rsidP="008A4B5A">
      <w:pPr>
        <w:widowControl w:val="0"/>
        <w:outlineLvl w:val="0"/>
      </w:pPr>
      <w:r w:rsidRPr="00C327EE">
        <w:t xml:space="preserve">Supreme Court of Canada / Cour suprême du </w:t>
      </w:r>
      <w:proofErr w:type="gramStart"/>
      <w:r w:rsidRPr="00C327EE">
        <w:t>Canada :</w:t>
      </w:r>
      <w:proofErr w:type="gramEnd"/>
      <w:r w:rsidRPr="00C327EE">
        <w:t xml:space="preserve"> </w:t>
      </w:r>
    </w:p>
    <w:p w:rsidR="008A4B5A" w:rsidRPr="00C327EE" w:rsidRDefault="00C327EE" w:rsidP="008A4B5A">
      <w:pPr>
        <w:widowControl w:val="0"/>
        <w:outlineLvl w:val="0"/>
        <w:rPr>
          <w:u w:val="single"/>
        </w:rPr>
      </w:pPr>
      <w:hyperlink r:id="rId14" w:history="1">
        <w:r w:rsidR="008A4B5A" w:rsidRPr="00C327EE">
          <w:rPr>
            <w:rStyle w:val="Hyperlink"/>
          </w:rPr>
          <w:t>comments-commentaires@scc-csc.ca</w:t>
        </w:r>
      </w:hyperlink>
    </w:p>
    <w:p w:rsidR="008A4B5A" w:rsidRPr="00C327EE" w:rsidRDefault="008A4B5A" w:rsidP="008A4B5A">
      <w:pPr>
        <w:widowControl w:val="0"/>
        <w:outlineLvl w:val="0"/>
      </w:pPr>
      <w:r w:rsidRPr="00C327EE">
        <w:t>613-995-4330</w:t>
      </w:r>
    </w:p>
    <w:p w:rsidR="008A4B5A" w:rsidRPr="00C327EE" w:rsidRDefault="008A4B5A" w:rsidP="008A4B5A">
      <w:pPr>
        <w:widowControl w:val="0"/>
        <w:rPr>
          <w:sz w:val="20"/>
        </w:rPr>
      </w:pPr>
    </w:p>
    <w:p w:rsidR="008A4B5A" w:rsidRPr="0003141B" w:rsidRDefault="008A4B5A" w:rsidP="008A4B5A">
      <w:pPr>
        <w:pStyle w:val="Footer"/>
        <w:jc w:val="center"/>
      </w:pPr>
      <w:r w:rsidRPr="00C327EE">
        <w:t>- 30 -</w:t>
      </w:r>
      <w:bookmarkStart w:id="5" w:name="_GoBack"/>
      <w:bookmarkEnd w:id="5"/>
    </w:p>
    <w:p w:rsidR="008A4B5A" w:rsidRPr="0003141B" w:rsidRDefault="008A4B5A" w:rsidP="008A4B5A">
      <w:pPr>
        <w:pStyle w:val="Footer"/>
        <w:jc w:val="center"/>
      </w:pPr>
    </w:p>
    <w:sectPr w:rsidR="008A4B5A" w:rsidRPr="0003141B" w:rsidSect="00A705DC">
      <w:headerReference w:type="even" r:id="rId15"/>
      <w:headerReference w:type="default" r:id="rId16"/>
      <w:footerReference w:type="even" r:id="rId17"/>
      <w:footerReference w:type="default" r:id="rId18"/>
      <w:headerReference w:type="first" r:id="rId19"/>
      <w:footerReference w:type="first" r:id="rId20"/>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E2" w:rsidRDefault="00E039E2" w:rsidP="0034178A">
      <w:r>
        <w:separator/>
      </w:r>
    </w:p>
  </w:endnote>
  <w:endnote w:type="continuationSeparator" w:id="0">
    <w:p w:rsidR="00E039E2" w:rsidRDefault="00E039E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E2" w:rsidRDefault="00E039E2" w:rsidP="0034178A">
      <w:r>
        <w:separator/>
      </w:r>
    </w:p>
  </w:footnote>
  <w:footnote w:type="continuationSeparator" w:id="0">
    <w:p w:rsidR="00E039E2" w:rsidRDefault="00E039E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984"/>
    <w:multiLevelType w:val="hybridMultilevel"/>
    <w:tmpl w:val="EAE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3"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E06E4"/>
    <w:multiLevelType w:val="hybridMultilevel"/>
    <w:tmpl w:val="EAE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8"/>
  </w:num>
  <w:num w:numId="4">
    <w:abstractNumId w:val="15"/>
  </w:num>
  <w:num w:numId="5">
    <w:abstractNumId w:val="27"/>
  </w:num>
  <w:num w:numId="6">
    <w:abstractNumId w:val="1"/>
  </w:num>
  <w:num w:numId="7">
    <w:abstractNumId w:val="39"/>
  </w:num>
  <w:num w:numId="8">
    <w:abstractNumId w:val="44"/>
  </w:num>
  <w:num w:numId="9">
    <w:abstractNumId w:val="14"/>
  </w:num>
  <w:num w:numId="10">
    <w:abstractNumId w:val="11"/>
  </w:num>
  <w:num w:numId="11">
    <w:abstractNumId w:val="12"/>
  </w:num>
  <w:num w:numId="12">
    <w:abstractNumId w:val="30"/>
  </w:num>
  <w:num w:numId="13">
    <w:abstractNumId w:val="40"/>
  </w:num>
  <w:num w:numId="14">
    <w:abstractNumId w:val="6"/>
  </w:num>
  <w:num w:numId="15">
    <w:abstractNumId w:val="9"/>
  </w:num>
  <w:num w:numId="16">
    <w:abstractNumId w:val="48"/>
  </w:num>
  <w:num w:numId="17">
    <w:abstractNumId w:val="8"/>
  </w:num>
  <w:num w:numId="18">
    <w:abstractNumId w:val="41"/>
  </w:num>
  <w:num w:numId="19">
    <w:abstractNumId w:val="31"/>
  </w:num>
  <w:num w:numId="20">
    <w:abstractNumId w:val="19"/>
  </w:num>
  <w:num w:numId="21">
    <w:abstractNumId w:val="46"/>
  </w:num>
  <w:num w:numId="22">
    <w:abstractNumId w:val="20"/>
  </w:num>
  <w:num w:numId="23">
    <w:abstractNumId w:val="21"/>
  </w:num>
  <w:num w:numId="24">
    <w:abstractNumId w:val="36"/>
  </w:num>
  <w:num w:numId="25">
    <w:abstractNumId w:val="47"/>
  </w:num>
  <w:num w:numId="26">
    <w:abstractNumId w:val="13"/>
  </w:num>
  <w:num w:numId="27">
    <w:abstractNumId w:val="35"/>
  </w:num>
  <w:num w:numId="28">
    <w:abstractNumId w:val="16"/>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2"/>
  </w:num>
  <w:num w:numId="33">
    <w:abstractNumId w:val="34"/>
  </w:num>
  <w:num w:numId="34">
    <w:abstractNumId w:val="5"/>
  </w:num>
  <w:num w:numId="35">
    <w:abstractNumId w:val="32"/>
  </w:num>
  <w:num w:numId="36">
    <w:abstractNumId w:val="25"/>
  </w:num>
  <w:num w:numId="37">
    <w:abstractNumId w:val="45"/>
  </w:num>
  <w:num w:numId="38">
    <w:abstractNumId w:val="10"/>
  </w:num>
  <w:num w:numId="39">
    <w:abstractNumId w:val="3"/>
  </w:num>
  <w:num w:numId="40">
    <w:abstractNumId w:val="42"/>
  </w:num>
  <w:num w:numId="41">
    <w:abstractNumId w:val="17"/>
  </w:num>
  <w:num w:numId="42">
    <w:abstractNumId w:val="4"/>
  </w:num>
  <w:num w:numId="43">
    <w:abstractNumId w:val="28"/>
  </w:num>
  <w:num w:numId="44">
    <w:abstractNumId w:val="37"/>
  </w:num>
  <w:num w:numId="45">
    <w:abstractNumId w:val="24"/>
  </w:num>
  <w:num w:numId="46">
    <w:abstractNumId w:val="26"/>
  </w:num>
  <w:num w:numId="47">
    <w:abstractNumId w:val="18"/>
  </w:num>
  <w:num w:numId="48">
    <w:abstractNumId w:val="33"/>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E2"/>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4A4D"/>
    <w:rsid w:val="000470B9"/>
    <w:rsid w:val="00047CD6"/>
    <w:rsid w:val="00051DE6"/>
    <w:rsid w:val="000530B5"/>
    <w:rsid w:val="000577D9"/>
    <w:rsid w:val="000623CD"/>
    <w:rsid w:val="000627A2"/>
    <w:rsid w:val="00065F8F"/>
    <w:rsid w:val="00066570"/>
    <w:rsid w:val="00066B80"/>
    <w:rsid w:val="00067F50"/>
    <w:rsid w:val="0007009F"/>
    <w:rsid w:val="00070830"/>
    <w:rsid w:val="000775A9"/>
    <w:rsid w:val="00077E16"/>
    <w:rsid w:val="0008184B"/>
    <w:rsid w:val="00082444"/>
    <w:rsid w:val="000825A5"/>
    <w:rsid w:val="000843DB"/>
    <w:rsid w:val="000845B4"/>
    <w:rsid w:val="00084988"/>
    <w:rsid w:val="00085D13"/>
    <w:rsid w:val="00086629"/>
    <w:rsid w:val="00087124"/>
    <w:rsid w:val="00087808"/>
    <w:rsid w:val="00092C48"/>
    <w:rsid w:val="000941B1"/>
    <w:rsid w:val="00095627"/>
    <w:rsid w:val="000A0444"/>
    <w:rsid w:val="000A245A"/>
    <w:rsid w:val="000A260E"/>
    <w:rsid w:val="000A34A2"/>
    <w:rsid w:val="000A4311"/>
    <w:rsid w:val="000A50F9"/>
    <w:rsid w:val="000B163F"/>
    <w:rsid w:val="000B2456"/>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E603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1379"/>
    <w:rsid w:val="001716F7"/>
    <w:rsid w:val="001731CA"/>
    <w:rsid w:val="00173B3A"/>
    <w:rsid w:val="001740F8"/>
    <w:rsid w:val="00174655"/>
    <w:rsid w:val="0017579D"/>
    <w:rsid w:val="001764FA"/>
    <w:rsid w:val="00176790"/>
    <w:rsid w:val="001813C3"/>
    <w:rsid w:val="00181FBC"/>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491"/>
    <w:rsid w:val="001C0C39"/>
    <w:rsid w:val="001C0E0C"/>
    <w:rsid w:val="001C22B1"/>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CA3"/>
    <w:rsid w:val="00245D73"/>
    <w:rsid w:val="002514CA"/>
    <w:rsid w:val="00252FDB"/>
    <w:rsid w:val="002567CD"/>
    <w:rsid w:val="002613AC"/>
    <w:rsid w:val="00261D3C"/>
    <w:rsid w:val="002620C3"/>
    <w:rsid w:val="00262C42"/>
    <w:rsid w:val="0026349D"/>
    <w:rsid w:val="00264549"/>
    <w:rsid w:val="00264572"/>
    <w:rsid w:val="00266E0E"/>
    <w:rsid w:val="002671CC"/>
    <w:rsid w:val="0026793A"/>
    <w:rsid w:val="00267F92"/>
    <w:rsid w:val="002709E7"/>
    <w:rsid w:val="00276C42"/>
    <w:rsid w:val="00280E55"/>
    <w:rsid w:val="002848CB"/>
    <w:rsid w:val="002858BA"/>
    <w:rsid w:val="0028662D"/>
    <w:rsid w:val="0028686B"/>
    <w:rsid w:val="002909AB"/>
    <w:rsid w:val="00292574"/>
    <w:rsid w:val="00292C0E"/>
    <w:rsid w:val="00292CB4"/>
    <w:rsid w:val="00292F81"/>
    <w:rsid w:val="002A5245"/>
    <w:rsid w:val="002A55D1"/>
    <w:rsid w:val="002A5C41"/>
    <w:rsid w:val="002A652A"/>
    <w:rsid w:val="002A7390"/>
    <w:rsid w:val="002A7F67"/>
    <w:rsid w:val="002B5525"/>
    <w:rsid w:val="002C10D1"/>
    <w:rsid w:val="002C2254"/>
    <w:rsid w:val="002C793E"/>
    <w:rsid w:val="002C7E1E"/>
    <w:rsid w:val="002D0C49"/>
    <w:rsid w:val="002D16B9"/>
    <w:rsid w:val="002D2553"/>
    <w:rsid w:val="002D43A1"/>
    <w:rsid w:val="002D6680"/>
    <w:rsid w:val="002E261F"/>
    <w:rsid w:val="002E3092"/>
    <w:rsid w:val="002E3911"/>
    <w:rsid w:val="002E5BD3"/>
    <w:rsid w:val="002F0031"/>
    <w:rsid w:val="002F06D0"/>
    <w:rsid w:val="002F0A56"/>
    <w:rsid w:val="002F0B78"/>
    <w:rsid w:val="002F3830"/>
    <w:rsid w:val="002F414C"/>
    <w:rsid w:val="002F4929"/>
    <w:rsid w:val="002F4D71"/>
    <w:rsid w:val="002F7DDE"/>
    <w:rsid w:val="002F7E97"/>
    <w:rsid w:val="003012A2"/>
    <w:rsid w:val="003063D0"/>
    <w:rsid w:val="00313652"/>
    <w:rsid w:val="00313A1F"/>
    <w:rsid w:val="003151B5"/>
    <w:rsid w:val="00315D98"/>
    <w:rsid w:val="003224E1"/>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0C5B"/>
    <w:rsid w:val="003710CD"/>
    <w:rsid w:val="00372FD5"/>
    <w:rsid w:val="00376958"/>
    <w:rsid w:val="00377C17"/>
    <w:rsid w:val="00380A0F"/>
    <w:rsid w:val="00380B69"/>
    <w:rsid w:val="00380E76"/>
    <w:rsid w:val="0038431A"/>
    <w:rsid w:val="0038547C"/>
    <w:rsid w:val="00385A88"/>
    <w:rsid w:val="00387AF8"/>
    <w:rsid w:val="00390065"/>
    <w:rsid w:val="00392B9E"/>
    <w:rsid w:val="00393660"/>
    <w:rsid w:val="003940A4"/>
    <w:rsid w:val="003958AE"/>
    <w:rsid w:val="00395F63"/>
    <w:rsid w:val="00395FC2"/>
    <w:rsid w:val="0039624A"/>
    <w:rsid w:val="0039709D"/>
    <w:rsid w:val="00397213"/>
    <w:rsid w:val="00397831"/>
    <w:rsid w:val="003A00C9"/>
    <w:rsid w:val="003A0258"/>
    <w:rsid w:val="003A11C4"/>
    <w:rsid w:val="003A1F69"/>
    <w:rsid w:val="003A2770"/>
    <w:rsid w:val="003A5371"/>
    <w:rsid w:val="003A58BA"/>
    <w:rsid w:val="003B0718"/>
    <w:rsid w:val="003B1455"/>
    <w:rsid w:val="003B2312"/>
    <w:rsid w:val="003B2AC6"/>
    <w:rsid w:val="003B39D7"/>
    <w:rsid w:val="003B61F0"/>
    <w:rsid w:val="003B63AB"/>
    <w:rsid w:val="003B64B3"/>
    <w:rsid w:val="003B6E18"/>
    <w:rsid w:val="003B77CF"/>
    <w:rsid w:val="003B7E97"/>
    <w:rsid w:val="003C15F9"/>
    <w:rsid w:val="003C5F5E"/>
    <w:rsid w:val="003C6BB7"/>
    <w:rsid w:val="003D0A88"/>
    <w:rsid w:val="003D0BC8"/>
    <w:rsid w:val="003D27BD"/>
    <w:rsid w:val="003D3E2B"/>
    <w:rsid w:val="003D618C"/>
    <w:rsid w:val="003E2C4E"/>
    <w:rsid w:val="003E3957"/>
    <w:rsid w:val="003E569F"/>
    <w:rsid w:val="003E6A7D"/>
    <w:rsid w:val="003E6AB5"/>
    <w:rsid w:val="003F17F0"/>
    <w:rsid w:val="003F1E6F"/>
    <w:rsid w:val="003F3BC1"/>
    <w:rsid w:val="003F43E6"/>
    <w:rsid w:val="003F566D"/>
    <w:rsid w:val="003F73EF"/>
    <w:rsid w:val="004000BE"/>
    <w:rsid w:val="00400236"/>
    <w:rsid w:val="004026BA"/>
    <w:rsid w:val="00403038"/>
    <w:rsid w:val="00405B84"/>
    <w:rsid w:val="0040709C"/>
    <w:rsid w:val="004116DA"/>
    <w:rsid w:val="004117D6"/>
    <w:rsid w:val="00411834"/>
    <w:rsid w:val="004149DA"/>
    <w:rsid w:val="00416A0A"/>
    <w:rsid w:val="00416D4C"/>
    <w:rsid w:val="004171D3"/>
    <w:rsid w:val="0042157A"/>
    <w:rsid w:val="0042212F"/>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8604E"/>
    <w:rsid w:val="00490DDC"/>
    <w:rsid w:val="00491D60"/>
    <w:rsid w:val="00493382"/>
    <w:rsid w:val="00494394"/>
    <w:rsid w:val="00494CD1"/>
    <w:rsid w:val="004957BA"/>
    <w:rsid w:val="004970C9"/>
    <w:rsid w:val="00497B5E"/>
    <w:rsid w:val="004A224A"/>
    <w:rsid w:val="004A3074"/>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40AB"/>
    <w:rsid w:val="004F431D"/>
    <w:rsid w:val="004F46E6"/>
    <w:rsid w:val="004F7301"/>
    <w:rsid w:val="00500E35"/>
    <w:rsid w:val="005012D5"/>
    <w:rsid w:val="00501C1A"/>
    <w:rsid w:val="005021F6"/>
    <w:rsid w:val="00502F3E"/>
    <w:rsid w:val="00503196"/>
    <w:rsid w:val="00504706"/>
    <w:rsid w:val="00505BA4"/>
    <w:rsid w:val="005103F9"/>
    <w:rsid w:val="00511E62"/>
    <w:rsid w:val="00515205"/>
    <w:rsid w:val="005208AC"/>
    <w:rsid w:val="00521EFA"/>
    <w:rsid w:val="0052538B"/>
    <w:rsid w:val="00525B79"/>
    <w:rsid w:val="0053286F"/>
    <w:rsid w:val="00532EB0"/>
    <w:rsid w:val="00533C07"/>
    <w:rsid w:val="00535069"/>
    <w:rsid w:val="00535A60"/>
    <w:rsid w:val="005418C8"/>
    <w:rsid w:val="00542443"/>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27F"/>
    <w:rsid w:val="005C3DE0"/>
    <w:rsid w:val="005C42FB"/>
    <w:rsid w:val="005C7117"/>
    <w:rsid w:val="005C7BBF"/>
    <w:rsid w:val="005D019B"/>
    <w:rsid w:val="005D1044"/>
    <w:rsid w:val="005D3069"/>
    <w:rsid w:val="005D3730"/>
    <w:rsid w:val="005D4016"/>
    <w:rsid w:val="005D4B99"/>
    <w:rsid w:val="005D4DBD"/>
    <w:rsid w:val="005E10A3"/>
    <w:rsid w:val="005E2D77"/>
    <w:rsid w:val="005E2F89"/>
    <w:rsid w:val="005E4F3B"/>
    <w:rsid w:val="005E73A1"/>
    <w:rsid w:val="005F0456"/>
    <w:rsid w:val="005F4197"/>
    <w:rsid w:val="005F5163"/>
    <w:rsid w:val="006005B0"/>
    <w:rsid w:val="00604007"/>
    <w:rsid w:val="006067DB"/>
    <w:rsid w:val="006071E4"/>
    <w:rsid w:val="00610BC0"/>
    <w:rsid w:val="0061282A"/>
    <w:rsid w:val="006132AE"/>
    <w:rsid w:val="00615108"/>
    <w:rsid w:val="006167B8"/>
    <w:rsid w:val="006167C9"/>
    <w:rsid w:val="00621F03"/>
    <w:rsid w:val="00624469"/>
    <w:rsid w:val="00625B63"/>
    <w:rsid w:val="0063061F"/>
    <w:rsid w:val="00632A4A"/>
    <w:rsid w:val="00634573"/>
    <w:rsid w:val="00635A24"/>
    <w:rsid w:val="00636008"/>
    <w:rsid w:val="00636ADD"/>
    <w:rsid w:val="00636C1A"/>
    <w:rsid w:val="0063798A"/>
    <w:rsid w:val="006406E5"/>
    <w:rsid w:val="00640B24"/>
    <w:rsid w:val="0064267F"/>
    <w:rsid w:val="006442C8"/>
    <w:rsid w:val="00644B38"/>
    <w:rsid w:val="00645CF5"/>
    <w:rsid w:val="0065124F"/>
    <w:rsid w:val="006514E6"/>
    <w:rsid w:val="00655090"/>
    <w:rsid w:val="00656E1D"/>
    <w:rsid w:val="0066004E"/>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3EEF"/>
    <w:rsid w:val="00695005"/>
    <w:rsid w:val="00696375"/>
    <w:rsid w:val="006965DF"/>
    <w:rsid w:val="006966C2"/>
    <w:rsid w:val="00697DD5"/>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DC0"/>
    <w:rsid w:val="006D0F19"/>
    <w:rsid w:val="006D247F"/>
    <w:rsid w:val="006D3FB0"/>
    <w:rsid w:val="006D41DB"/>
    <w:rsid w:val="006D443D"/>
    <w:rsid w:val="006D5A96"/>
    <w:rsid w:val="006D614A"/>
    <w:rsid w:val="006D6B5E"/>
    <w:rsid w:val="006D7DA7"/>
    <w:rsid w:val="006E27D1"/>
    <w:rsid w:val="006E4B08"/>
    <w:rsid w:val="006E4EB7"/>
    <w:rsid w:val="006E7F81"/>
    <w:rsid w:val="006F04E4"/>
    <w:rsid w:val="006F248E"/>
    <w:rsid w:val="006F2579"/>
    <w:rsid w:val="006F409C"/>
    <w:rsid w:val="006F7688"/>
    <w:rsid w:val="00700E69"/>
    <w:rsid w:val="00701BB5"/>
    <w:rsid w:val="0070488F"/>
    <w:rsid w:val="00704CDE"/>
    <w:rsid w:val="0070582E"/>
    <w:rsid w:val="00707CEA"/>
    <w:rsid w:val="007226F3"/>
    <w:rsid w:val="007240C3"/>
    <w:rsid w:val="007243CC"/>
    <w:rsid w:val="007301CB"/>
    <w:rsid w:val="0073047B"/>
    <w:rsid w:val="00733EF3"/>
    <w:rsid w:val="00734E8D"/>
    <w:rsid w:val="007356BB"/>
    <w:rsid w:val="00735BED"/>
    <w:rsid w:val="00735EA8"/>
    <w:rsid w:val="0073666D"/>
    <w:rsid w:val="0073669E"/>
    <w:rsid w:val="0073707B"/>
    <w:rsid w:val="007371F4"/>
    <w:rsid w:val="00737D1D"/>
    <w:rsid w:val="00737F76"/>
    <w:rsid w:val="007403BE"/>
    <w:rsid w:val="00741002"/>
    <w:rsid w:val="00741637"/>
    <w:rsid w:val="00744F24"/>
    <w:rsid w:val="007471FA"/>
    <w:rsid w:val="00747C5A"/>
    <w:rsid w:val="00751DE7"/>
    <w:rsid w:val="007572E3"/>
    <w:rsid w:val="00761E6B"/>
    <w:rsid w:val="007655B2"/>
    <w:rsid w:val="00766432"/>
    <w:rsid w:val="00766983"/>
    <w:rsid w:val="00767D92"/>
    <w:rsid w:val="007712C3"/>
    <w:rsid w:val="007736D0"/>
    <w:rsid w:val="00775F1C"/>
    <w:rsid w:val="00775FEC"/>
    <w:rsid w:val="007823D7"/>
    <w:rsid w:val="00782E96"/>
    <w:rsid w:val="00784088"/>
    <w:rsid w:val="00786937"/>
    <w:rsid w:val="0078776F"/>
    <w:rsid w:val="00795FC0"/>
    <w:rsid w:val="007975AC"/>
    <w:rsid w:val="007A10D6"/>
    <w:rsid w:val="007A12C8"/>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0325"/>
    <w:rsid w:val="007E1AD7"/>
    <w:rsid w:val="007E3B55"/>
    <w:rsid w:val="007E6196"/>
    <w:rsid w:val="007E70BF"/>
    <w:rsid w:val="007E735A"/>
    <w:rsid w:val="007F0325"/>
    <w:rsid w:val="007F0D2E"/>
    <w:rsid w:val="007F0DF0"/>
    <w:rsid w:val="007F0F01"/>
    <w:rsid w:val="007F155F"/>
    <w:rsid w:val="007F1E21"/>
    <w:rsid w:val="007F22ED"/>
    <w:rsid w:val="007F3A38"/>
    <w:rsid w:val="007F4F42"/>
    <w:rsid w:val="007F522C"/>
    <w:rsid w:val="00800DF8"/>
    <w:rsid w:val="008021FD"/>
    <w:rsid w:val="008031DB"/>
    <w:rsid w:val="008036BE"/>
    <w:rsid w:val="00804FE6"/>
    <w:rsid w:val="00805589"/>
    <w:rsid w:val="00805636"/>
    <w:rsid w:val="0080792B"/>
    <w:rsid w:val="00807EB6"/>
    <w:rsid w:val="008115B8"/>
    <w:rsid w:val="00812315"/>
    <w:rsid w:val="00814BC7"/>
    <w:rsid w:val="00815D1B"/>
    <w:rsid w:val="00816C1F"/>
    <w:rsid w:val="0082143F"/>
    <w:rsid w:val="0082254A"/>
    <w:rsid w:val="00822691"/>
    <w:rsid w:val="00823610"/>
    <w:rsid w:val="00823C10"/>
    <w:rsid w:val="00825565"/>
    <w:rsid w:val="0082608B"/>
    <w:rsid w:val="008267D6"/>
    <w:rsid w:val="00831114"/>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57C7A"/>
    <w:rsid w:val="008601E2"/>
    <w:rsid w:val="008613D7"/>
    <w:rsid w:val="00861CAB"/>
    <w:rsid w:val="00864CB6"/>
    <w:rsid w:val="00865274"/>
    <w:rsid w:val="00866A27"/>
    <w:rsid w:val="00866D43"/>
    <w:rsid w:val="0087081B"/>
    <w:rsid w:val="00874308"/>
    <w:rsid w:val="00877B13"/>
    <w:rsid w:val="00877E0F"/>
    <w:rsid w:val="00882F70"/>
    <w:rsid w:val="00883138"/>
    <w:rsid w:val="008836A7"/>
    <w:rsid w:val="0089173C"/>
    <w:rsid w:val="008A1084"/>
    <w:rsid w:val="008A3884"/>
    <w:rsid w:val="008A4ABF"/>
    <w:rsid w:val="008A4B5A"/>
    <w:rsid w:val="008A6DF0"/>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8F76D2"/>
    <w:rsid w:val="009010F1"/>
    <w:rsid w:val="00902477"/>
    <w:rsid w:val="009035A2"/>
    <w:rsid w:val="00903AF6"/>
    <w:rsid w:val="00904226"/>
    <w:rsid w:val="00904AA3"/>
    <w:rsid w:val="009079F7"/>
    <w:rsid w:val="009100DC"/>
    <w:rsid w:val="009111E7"/>
    <w:rsid w:val="00923186"/>
    <w:rsid w:val="00924618"/>
    <w:rsid w:val="00930982"/>
    <w:rsid w:val="00932999"/>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07F"/>
    <w:rsid w:val="009833CB"/>
    <w:rsid w:val="00983671"/>
    <w:rsid w:val="009837A3"/>
    <w:rsid w:val="009861EE"/>
    <w:rsid w:val="009879FE"/>
    <w:rsid w:val="0099216F"/>
    <w:rsid w:val="0099251E"/>
    <w:rsid w:val="00996373"/>
    <w:rsid w:val="00997705"/>
    <w:rsid w:val="00997838"/>
    <w:rsid w:val="009A013E"/>
    <w:rsid w:val="009A1215"/>
    <w:rsid w:val="009A20E4"/>
    <w:rsid w:val="009A2448"/>
    <w:rsid w:val="009A488C"/>
    <w:rsid w:val="009A5727"/>
    <w:rsid w:val="009A6007"/>
    <w:rsid w:val="009A6F9E"/>
    <w:rsid w:val="009B0602"/>
    <w:rsid w:val="009B0708"/>
    <w:rsid w:val="009B0987"/>
    <w:rsid w:val="009B140F"/>
    <w:rsid w:val="009B360B"/>
    <w:rsid w:val="009B38BC"/>
    <w:rsid w:val="009B4C4F"/>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19A"/>
    <w:rsid w:val="00A01AAA"/>
    <w:rsid w:val="00A041C7"/>
    <w:rsid w:val="00A06B3C"/>
    <w:rsid w:val="00A104A0"/>
    <w:rsid w:val="00A11C56"/>
    <w:rsid w:val="00A12CC9"/>
    <w:rsid w:val="00A2060D"/>
    <w:rsid w:val="00A20EE9"/>
    <w:rsid w:val="00A216B7"/>
    <w:rsid w:val="00A24265"/>
    <w:rsid w:val="00A242EA"/>
    <w:rsid w:val="00A2504D"/>
    <w:rsid w:val="00A3383E"/>
    <w:rsid w:val="00A35E13"/>
    <w:rsid w:val="00A36C6C"/>
    <w:rsid w:val="00A37E1D"/>
    <w:rsid w:val="00A41B5E"/>
    <w:rsid w:val="00A42042"/>
    <w:rsid w:val="00A4281A"/>
    <w:rsid w:val="00A442A1"/>
    <w:rsid w:val="00A44802"/>
    <w:rsid w:val="00A466AC"/>
    <w:rsid w:val="00A50604"/>
    <w:rsid w:val="00A50E26"/>
    <w:rsid w:val="00A54818"/>
    <w:rsid w:val="00A60CA4"/>
    <w:rsid w:val="00A6164E"/>
    <w:rsid w:val="00A62285"/>
    <w:rsid w:val="00A632BC"/>
    <w:rsid w:val="00A63459"/>
    <w:rsid w:val="00A63E1C"/>
    <w:rsid w:val="00A65845"/>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0CC7"/>
    <w:rsid w:val="00A9444F"/>
    <w:rsid w:val="00A95CA8"/>
    <w:rsid w:val="00A960E9"/>
    <w:rsid w:val="00A9663A"/>
    <w:rsid w:val="00A97F93"/>
    <w:rsid w:val="00AA0E4D"/>
    <w:rsid w:val="00AA1E09"/>
    <w:rsid w:val="00AA2D6A"/>
    <w:rsid w:val="00AA3100"/>
    <w:rsid w:val="00AA68BF"/>
    <w:rsid w:val="00AB05C9"/>
    <w:rsid w:val="00AB16C9"/>
    <w:rsid w:val="00AB2A71"/>
    <w:rsid w:val="00AB2AAE"/>
    <w:rsid w:val="00AB2C0F"/>
    <w:rsid w:val="00AB669C"/>
    <w:rsid w:val="00AC0631"/>
    <w:rsid w:val="00AC16D4"/>
    <w:rsid w:val="00AC21C6"/>
    <w:rsid w:val="00AC3779"/>
    <w:rsid w:val="00AC4061"/>
    <w:rsid w:val="00AC6616"/>
    <w:rsid w:val="00AD0097"/>
    <w:rsid w:val="00AD020B"/>
    <w:rsid w:val="00AD0609"/>
    <w:rsid w:val="00AD52A6"/>
    <w:rsid w:val="00AD5B1D"/>
    <w:rsid w:val="00AD6AD0"/>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5291"/>
    <w:rsid w:val="00B1644E"/>
    <w:rsid w:val="00B205BF"/>
    <w:rsid w:val="00B245B8"/>
    <w:rsid w:val="00B24ABA"/>
    <w:rsid w:val="00B25FB2"/>
    <w:rsid w:val="00B26753"/>
    <w:rsid w:val="00B30861"/>
    <w:rsid w:val="00B33BF0"/>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0C42"/>
    <w:rsid w:val="00BC44FE"/>
    <w:rsid w:val="00BC45E1"/>
    <w:rsid w:val="00BC471A"/>
    <w:rsid w:val="00BC52D2"/>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21BB"/>
    <w:rsid w:val="00C03932"/>
    <w:rsid w:val="00C22E65"/>
    <w:rsid w:val="00C22EB5"/>
    <w:rsid w:val="00C23824"/>
    <w:rsid w:val="00C239B6"/>
    <w:rsid w:val="00C24FF6"/>
    <w:rsid w:val="00C25F01"/>
    <w:rsid w:val="00C264D9"/>
    <w:rsid w:val="00C26F6A"/>
    <w:rsid w:val="00C273F1"/>
    <w:rsid w:val="00C31354"/>
    <w:rsid w:val="00C319FB"/>
    <w:rsid w:val="00C31C5A"/>
    <w:rsid w:val="00C3269C"/>
    <w:rsid w:val="00C327EE"/>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2451"/>
    <w:rsid w:val="00C827D0"/>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ACC"/>
    <w:rsid w:val="00D32CC0"/>
    <w:rsid w:val="00D3344A"/>
    <w:rsid w:val="00D34B11"/>
    <w:rsid w:val="00D363D8"/>
    <w:rsid w:val="00D3650C"/>
    <w:rsid w:val="00D36BE9"/>
    <w:rsid w:val="00D3722A"/>
    <w:rsid w:val="00D43F58"/>
    <w:rsid w:val="00D460AB"/>
    <w:rsid w:val="00D47829"/>
    <w:rsid w:val="00D53A7A"/>
    <w:rsid w:val="00D542A9"/>
    <w:rsid w:val="00D5501F"/>
    <w:rsid w:val="00D55807"/>
    <w:rsid w:val="00D56479"/>
    <w:rsid w:val="00D645E0"/>
    <w:rsid w:val="00D64AF5"/>
    <w:rsid w:val="00D64E5A"/>
    <w:rsid w:val="00D6599A"/>
    <w:rsid w:val="00D66822"/>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4990"/>
    <w:rsid w:val="00DD620A"/>
    <w:rsid w:val="00DD7F61"/>
    <w:rsid w:val="00DE11D6"/>
    <w:rsid w:val="00DF2C09"/>
    <w:rsid w:val="00DF3CA1"/>
    <w:rsid w:val="00DF5D71"/>
    <w:rsid w:val="00DF631D"/>
    <w:rsid w:val="00DF6C2D"/>
    <w:rsid w:val="00E010DC"/>
    <w:rsid w:val="00E02941"/>
    <w:rsid w:val="00E03081"/>
    <w:rsid w:val="00E039E2"/>
    <w:rsid w:val="00E059AD"/>
    <w:rsid w:val="00E05B90"/>
    <w:rsid w:val="00E06224"/>
    <w:rsid w:val="00E114D9"/>
    <w:rsid w:val="00E12244"/>
    <w:rsid w:val="00E134A9"/>
    <w:rsid w:val="00E150E0"/>
    <w:rsid w:val="00E2108D"/>
    <w:rsid w:val="00E21F9F"/>
    <w:rsid w:val="00E220EA"/>
    <w:rsid w:val="00E224EC"/>
    <w:rsid w:val="00E2288D"/>
    <w:rsid w:val="00E23054"/>
    <w:rsid w:val="00E237A8"/>
    <w:rsid w:val="00E25852"/>
    <w:rsid w:val="00E31BA9"/>
    <w:rsid w:val="00E337E8"/>
    <w:rsid w:val="00E34AA2"/>
    <w:rsid w:val="00E37FAF"/>
    <w:rsid w:val="00E40674"/>
    <w:rsid w:val="00E41878"/>
    <w:rsid w:val="00E41DB6"/>
    <w:rsid w:val="00E42B30"/>
    <w:rsid w:val="00E42DA2"/>
    <w:rsid w:val="00E45E6B"/>
    <w:rsid w:val="00E46932"/>
    <w:rsid w:val="00E47F5A"/>
    <w:rsid w:val="00E5097C"/>
    <w:rsid w:val="00E5361B"/>
    <w:rsid w:val="00E54925"/>
    <w:rsid w:val="00E57045"/>
    <w:rsid w:val="00E61C4E"/>
    <w:rsid w:val="00E64912"/>
    <w:rsid w:val="00E65318"/>
    <w:rsid w:val="00E65A41"/>
    <w:rsid w:val="00E710C9"/>
    <w:rsid w:val="00E724E4"/>
    <w:rsid w:val="00E73312"/>
    <w:rsid w:val="00E735D4"/>
    <w:rsid w:val="00E73F4C"/>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4DA"/>
    <w:rsid w:val="00ED2E12"/>
    <w:rsid w:val="00ED41A6"/>
    <w:rsid w:val="00ED4F03"/>
    <w:rsid w:val="00EE0B61"/>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578D3"/>
    <w:rsid w:val="00F60DAD"/>
    <w:rsid w:val="00F61E10"/>
    <w:rsid w:val="00F61F8E"/>
    <w:rsid w:val="00F63405"/>
    <w:rsid w:val="00F63943"/>
    <w:rsid w:val="00F64156"/>
    <w:rsid w:val="00F6581C"/>
    <w:rsid w:val="00F7226D"/>
    <w:rsid w:val="00F72880"/>
    <w:rsid w:val="00F74F81"/>
    <w:rsid w:val="00F76A83"/>
    <w:rsid w:val="00F76A93"/>
    <w:rsid w:val="00F8050A"/>
    <w:rsid w:val="00F8064E"/>
    <w:rsid w:val="00F83ED3"/>
    <w:rsid w:val="00F857B4"/>
    <w:rsid w:val="00F86C88"/>
    <w:rsid w:val="00F87535"/>
    <w:rsid w:val="00F9031B"/>
    <w:rsid w:val="00F962B4"/>
    <w:rsid w:val="00F96B69"/>
    <w:rsid w:val="00FA0210"/>
    <w:rsid w:val="00FA0464"/>
    <w:rsid w:val="00FA04D9"/>
    <w:rsid w:val="00FA1A10"/>
    <w:rsid w:val="00FA2115"/>
    <w:rsid w:val="00FA3AA3"/>
    <w:rsid w:val="00FA4D85"/>
    <w:rsid w:val="00FA5D62"/>
    <w:rsid w:val="00FA5F70"/>
    <w:rsid w:val="00FB08CC"/>
    <w:rsid w:val="00FB3686"/>
    <w:rsid w:val="00FB4545"/>
    <w:rsid w:val="00FB578C"/>
    <w:rsid w:val="00FB597D"/>
    <w:rsid w:val="00FC1A5C"/>
    <w:rsid w:val="00FC35F2"/>
    <w:rsid w:val="00FC39EA"/>
    <w:rsid w:val="00FC3A9F"/>
    <w:rsid w:val="00FD0CB3"/>
    <w:rsid w:val="00FD15AF"/>
    <w:rsid w:val="00FD2BEA"/>
    <w:rsid w:val="00FD2F1A"/>
    <w:rsid w:val="00FD5066"/>
    <w:rsid w:val="00FD7F01"/>
    <w:rsid w:val="00FE0A72"/>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sparanotopmargin2">
    <w:name w:val="ss_paranotopmargin2"/>
    <w:basedOn w:val="Normal"/>
    <w:rsid w:val="007E0325"/>
    <w:pPr>
      <w:spacing w:after="100" w:afterAutospacing="1"/>
    </w:pPr>
    <w:rPr>
      <w:szCs w:val="24"/>
    </w:rPr>
  </w:style>
  <w:style w:type="paragraph" w:customStyle="1" w:styleId="SCCLsocSubfileSeparator">
    <w:name w:val="SCC.Lsoc.SubfileSeparator"/>
    <w:basedOn w:val="Normal"/>
    <w:next w:val="Normal"/>
    <w:link w:val="SCCLsocSubfileSeparatorChar"/>
    <w:rsid w:val="007E0325"/>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7E0325"/>
    <w:rPr>
      <w:rFonts w:ascii="Times New Roman" w:eastAsiaTheme="minorHAnsi" w:hAnsi="Times New Roman"/>
      <w:b/>
      <w:sz w:val="24"/>
      <w:szCs w:val="24"/>
      <w:lang w:eastAsia="en-US"/>
    </w:rPr>
  </w:style>
  <w:style w:type="paragraph" w:customStyle="1" w:styleId="SCCCaseDescriptor">
    <w:name w:val="SCC.CaseDescriptor"/>
    <w:basedOn w:val="Normal"/>
    <w:link w:val="SCCCaseDescriptorChar"/>
    <w:qFormat/>
    <w:rsid w:val="00A9444F"/>
    <w:rPr>
      <w:b/>
      <w:lang w:val="en-CA" w:eastAsia="en-CA"/>
    </w:rPr>
  </w:style>
  <w:style w:type="character" w:customStyle="1" w:styleId="SCCCaseDescriptorChar">
    <w:name w:val="SCC.CaseDescriptor Char"/>
    <w:basedOn w:val="DefaultParagraphFont"/>
    <w:link w:val="SCCCaseDescriptor"/>
    <w:rsid w:val="00A9444F"/>
    <w:rPr>
      <w:rFonts w:ascii="Times New Roman" w:eastAsia="Times New Roman" w:hAnsi="Times New Roman"/>
      <w:b/>
      <w:sz w:val="24"/>
    </w:rPr>
  </w:style>
  <w:style w:type="character" w:styleId="Strong">
    <w:name w:val="Strong"/>
    <w:basedOn w:val="DefaultParagraphFont"/>
    <w:uiPriority w:val="22"/>
    <w:qFormat/>
    <w:rsid w:val="00831114"/>
    <w:rPr>
      <w:b/>
      <w:bCs/>
    </w:rPr>
  </w:style>
  <w:style w:type="paragraph" w:styleId="Quote">
    <w:name w:val="Quote"/>
    <w:basedOn w:val="Normal"/>
    <w:link w:val="QuoteChar"/>
    <w:uiPriority w:val="29"/>
    <w:qFormat/>
    <w:rsid w:val="00F578D3"/>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F578D3"/>
    <w:rPr>
      <w:rFonts w:ascii="Times New Roman" w:eastAsia="Times New Roman" w:hAnsi="Times New Roman"/>
      <w:sz w:val="24"/>
      <w:szCs w:val="24"/>
      <w:lang w:val="fr-CA" w:eastAsia="fr-CA"/>
    </w:rPr>
  </w:style>
  <w:style w:type="paragraph" w:customStyle="1" w:styleId="SCCLsocOtherPartySeparator">
    <w:name w:val="SCC.Lsoc.OtherPartySeparator"/>
    <w:basedOn w:val="Normal"/>
    <w:next w:val="Normal"/>
    <w:link w:val="SCCLsocOtherPartySeparatorChar"/>
    <w:rsid w:val="007403BE"/>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7403BE"/>
    <w:rPr>
      <w:rFonts w:ascii="Times New Roman" w:eastAsiaTheme="minorHAnsi" w:hAnsi="Times New Roman"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049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444346693">
      <w:bodyDiv w:val="1"/>
      <w:marLeft w:val="0"/>
      <w:marRight w:val="0"/>
      <w:marTop w:val="0"/>
      <w:marBottom w:val="0"/>
      <w:divBdr>
        <w:top w:val="none" w:sz="0" w:space="0" w:color="auto"/>
        <w:left w:val="none" w:sz="0" w:space="0" w:color="auto"/>
        <w:bottom w:val="none" w:sz="0" w:space="0" w:color="auto"/>
        <w:right w:val="none" w:sz="0" w:space="0" w:color="auto"/>
      </w:divBdr>
    </w:div>
    <w:div w:id="467363780">
      <w:bodyDiv w:val="1"/>
      <w:marLeft w:val="0"/>
      <w:marRight w:val="0"/>
      <w:marTop w:val="0"/>
      <w:marBottom w:val="0"/>
      <w:divBdr>
        <w:top w:val="none" w:sz="0" w:space="0" w:color="auto"/>
        <w:left w:val="none" w:sz="0" w:space="0" w:color="auto"/>
        <w:bottom w:val="none" w:sz="0" w:space="0" w:color="auto"/>
        <w:right w:val="none" w:sz="0" w:space="0" w:color="auto"/>
      </w:divBdr>
    </w:div>
    <w:div w:id="477697258">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176192390">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117" TargetMode="External"/><Relationship Id="rId13" Type="http://schemas.openxmlformats.org/officeDocument/2006/relationships/hyperlink" Target="https://www.scc-csc.ca/case-dossier/info/sum-som-eng.aspx?cas=4031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4044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09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c-csc.ca/case-dossier/info/sum-som-eng.aspx?cas=4022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fra.aspx?cas=40175" TargetMode="External"/><Relationship Id="rId14" Type="http://schemas.openxmlformats.org/officeDocument/2006/relationships/hyperlink" Target="mailto:comments-commentaires@scc-csc.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E690F-C0DC-4959-BD77-E93F0B62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23649</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2021-11-16T13:13:00Z</dcterms:created>
  <dcterms:modified xsi:type="dcterms:W3CDTF">2023-04-21T12:37:00Z</dcterms:modified>
</cp:coreProperties>
</file>