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A2294" w:rsidRDefault="000E391F" w:rsidP="000E391F">
      <w:pPr>
        <w:pStyle w:val="Header"/>
        <w:jc w:val="center"/>
        <w:rPr>
          <w:b/>
          <w:sz w:val="32"/>
          <w:szCs w:val="32"/>
        </w:rPr>
      </w:pPr>
      <w:r w:rsidRPr="000A2294">
        <w:rPr>
          <w:b/>
          <w:sz w:val="32"/>
          <w:szCs w:val="32"/>
        </w:rPr>
        <w:t>Supreme Court of Canada / Cour suprême du Canada</w:t>
      </w:r>
    </w:p>
    <w:p w:rsidR="000E391F" w:rsidRPr="000A2294" w:rsidRDefault="000E391F" w:rsidP="000E391F">
      <w:pPr>
        <w:widowControl w:val="0"/>
        <w:rPr>
          <w:sz w:val="20"/>
        </w:rPr>
      </w:pPr>
    </w:p>
    <w:p w:rsidR="000E391F" w:rsidRPr="000A2294" w:rsidRDefault="000E391F" w:rsidP="000E391F">
      <w:pPr>
        <w:widowControl w:val="0"/>
        <w:rPr>
          <w:i/>
          <w:sz w:val="20"/>
        </w:rPr>
      </w:pPr>
    </w:p>
    <w:p w:rsidR="006F2579" w:rsidRPr="000A2294" w:rsidRDefault="006F2579" w:rsidP="006F2579">
      <w:pPr>
        <w:widowControl w:val="0"/>
        <w:rPr>
          <w:i/>
          <w:sz w:val="20"/>
        </w:rPr>
      </w:pPr>
      <w:r w:rsidRPr="000A2294">
        <w:rPr>
          <w:i/>
          <w:sz w:val="20"/>
        </w:rPr>
        <w:t>(</w:t>
      </w:r>
      <w:r w:rsidR="003240B6" w:rsidRPr="000A2294">
        <w:rPr>
          <w:i/>
          <w:sz w:val="20"/>
        </w:rPr>
        <w:t>L</w:t>
      </w:r>
      <w:r w:rsidRPr="000A2294">
        <w:rPr>
          <w:i/>
          <w:sz w:val="20"/>
        </w:rPr>
        <w:t>e français suit)</w:t>
      </w:r>
    </w:p>
    <w:p w:rsidR="006F2579" w:rsidRPr="000A2294" w:rsidRDefault="006F2579" w:rsidP="006F2579">
      <w:pPr>
        <w:widowControl w:val="0"/>
        <w:rPr>
          <w:sz w:val="20"/>
        </w:rPr>
      </w:pPr>
    </w:p>
    <w:p w:rsidR="006F2579" w:rsidRPr="000A2294" w:rsidRDefault="00B07908" w:rsidP="006F2579">
      <w:pPr>
        <w:widowControl w:val="0"/>
        <w:jc w:val="center"/>
        <w:rPr>
          <w:b/>
          <w:szCs w:val="24"/>
        </w:rPr>
      </w:pPr>
      <w:r w:rsidRPr="000A2294">
        <w:rPr>
          <w:szCs w:val="24"/>
        </w:rPr>
        <w:fldChar w:fldCharType="begin"/>
      </w:r>
      <w:r w:rsidR="006F2579" w:rsidRPr="000A2294">
        <w:rPr>
          <w:szCs w:val="24"/>
        </w:rPr>
        <w:instrText xml:space="preserve"> SEQ CHAPTER \h \r 1</w:instrText>
      </w:r>
      <w:r w:rsidRPr="000A2294">
        <w:rPr>
          <w:szCs w:val="24"/>
        </w:rPr>
        <w:fldChar w:fldCharType="end"/>
      </w:r>
      <w:r w:rsidR="006F2579" w:rsidRPr="000A2294">
        <w:rPr>
          <w:b/>
          <w:szCs w:val="24"/>
        </w:rPr>
        <w:t>JUDGMENT</w:t>
      </w:r>
      <w:r w:rsidR="004F5491" w:rsidRPr="000A2294">
        <w:rPr>
          <w:b/>
          <w:szCs w:val="24"/>
        </w:rPr>
        <w:t>S</w:t>
      </w:r>
      <w:r w:rsidR="006F2579" w:rsidRPr="000A2294">
        <w:rPr>
          <w:b/>
          <w:szCs w:val="24"/>
        </w:rPr>
        <w:t xml:space="preserve"> TO B</w:t>
      </w:r>
      <w:r w:rsidR="00001846" w:rsidRPr="000A2294">
        <w:rPr>
          <w:b/>
          <w:szCs w:val="24"/>
        </w:rPr>
        <w:t>E RENDERED IN LE</w:t>
      </w:r>
      <w:r w:rsidR="00A0288A" w:rsidRPr="000A2294">
        <w:rPr>
          <w:b/>
          <w:szCs w:val="24"/>
        </w:rPr>
        <w:t>A</w:t>
      </w:r>
      <w:r w:rsidR="00001846" w:rsidRPr="000A2294">
        <w:rPr>
          <w:b/>
          <w:szCs w:val="24"/>
        </w:rPr>
        <w:t>VE APPLICATION</w:t>
      </w:r>
      <w:r w:rsidR="004F5491" w:rsidRPr="000A2294">
        <w:rPr>
          <w:b/>
          <w:szCs w:val="24"/>
        </w:rPr>
        <w:t>S</w:t>
      </w:r>
    </w:p>
    <w:p w:rsidR="006F2579" w:rsidRPr="000A2294" w:rsidRDefault="006F2579" w:rsidP="006F2579">
      <w:pPr>
        <w:widowControl w:val="0"/>
        <w:rPr>
          <w:szCs w:val="24"/>
        </w:rPr>
      </w:pPr>
    </w:p>
    <w:p w:rsidR="006F2579" w:rsidRPr="000A2294" w:rsidRDefault="006E4F94" w:rsidP="006F2579">
      <w:pPr>
        <w:widowControl w:val="0"/>
        <w:rPr>
          <w:szCs w:val="24"/>
        </w:rPr>
      </w:pPr>
      <w:r w:rsidRPr="000A2294">
        <w:rPr>
          <w:b/>
          <w:szCs w:val="24"/>
        </w:rPr>
        <w:t>May</w:t>
      </w:r>
      <w:r w:rsidR="00A15B66" w:rsidRPr="000A2294">
        <w:rPr>
          <w:b/>
          <w:szCs w:val="24"/>
        </w:rPr>
        <w:t xml:space="preserve"> </w:t>
      </w:r>
      <w:r w:rsidR="00E20752" w:rsidRPr="000A2294">
        <w:rPr>
          <w:b/>
          <w:szCs w:val="24"/>
        </w:rPr>
        <w:t>23</w:t>
      </w:r>
      <w:r w:rsidR="004441C7" w:rsidRPr="000A2294">
        <w:rPr>
          <w:b/>
          <w:szCs w:val="24"/>
        </w:rPr>
        <w:t>,</w:t>
      </w:r>
      <w:r w:rsidR="006F2579" w:rsidRPr="000A2294">
        <w:rPr>
          <w:b/>
          <w:szCs w:val="24"/>
        </w:rPr>
        <w:t xml:space="preserve"> </w:t>
      </w:r>
      <w:r w:rsidR="0054689F" w:rsidRPr="000A2294">
        <w:rPr>
          <w:b/>
          <w:szCs w:val="24"/>
        </w:rPr>
        <w:t>20</w:t>
      </w:r>
      <w:r w:rsidR="00526754" w:rsidRPr="000A2294">
        <w:rPr>
          <w:b/>
          <w:szCs w:val="24"/>
        </w:rPr>
        <w:t>2</w:t>
      </w:r>
      <w:r w:rsidR="00534CCB" w:rsidRPr="000A2294">
        <w:rPr>
          <w:b/>
          <w:szCs w:val="24"/>
        </w:rPr>
        <w:t>3</w:t>
      </w:r>
    </w:p>
    <w:p w:rsidR="006F2579" w:rsidRPr="000A2294" w:rsidRDefault="00674F39" w:rsidP="006F2579">
      <w:pPr>
        <w:widowControl w:val="0"/>
        <w:rPr>
          <w:b/>
          <w:szCs w:val="24"/>
        </w:rPr>
      </w:pPr>
      <w:r w:rsidRPr="000A2294">
        <w:rPr>
          <w:b/>
          <w:szCs w:val="24"/>
        </w:rPr>
        <w:t>For immediate release</w:t>
      </w:r>
    </w:p>
    <w:p w:rsidR="006F2579" w:rsidRPr="000A2294" w:rsidRDefault="006F2579" w:rsidP="006F2579">
      <w:pPr>
        <w:widowControl w:val="0"/>
        <w:rPr>
          <w:szCs w:val="24"/>
        </w:rPr>
      </w:pPr>
    </w:p>
    <w:p w:rsidR="006F2579" w:rsidRPr="000A2294" w:rsidRDefault="006F2579" w:rsidP="006F2579">
      <w:pPr>
        <w:widowControl w:val="0"/>
        <w:rPr>
          <w:szCs w:val="24"/>
          <w:lang w:val="fr-CA"/>
        </w:rPr>
      </w:pPr>
      <w:r w:rsidRPr="000A2294">
        <w:rPr>
          <w:b/>
          <w:szCs w:val="24"/>
        </w:rPr>
        <w:t>OTTAWA</w:t>
      </w:r>
      <w:r w:rsidRPr="000A2294">
        <w:rPr>
          <w:szCs w:val="24"/>
        </w:rPr>
        <w:t xml:space="preserve"> – The Supreme Court of Canad</w:t>
      </w:r>
      <w:r w:rsidR="006246E4" w:rsidRPr="000A2294">
        <w:rPr>
          <w:szCs w:val="24"/>
        </w:rPr>
        <w:t>a</w:t>
      </w:r>
      <w:r w:rsidRPr="000A2294">
        <w:rPr>
          <w:szCs w:val="24"/>
        </w:rPr>
        <w:t xml:space="preserve"> announced today that judgment in the following </w:t>
      </w:r>
      <w:r w:rsidR="00DB6199" w:rsidRPr="000A2294">
        <w:rPr>
          <w:szCs w:val="24"/>
        </w:rPr>
        <w:t>leave application</w:t>
      </w:r>
      <w:r w:rsidR="004F5491" w:rsidRPr="000A2294">
        <w:rPr>
          <w:szCs w:val="24"/>
        </w:rPr>
        <w:t>s</w:t>
      </w:r>
      <w:r w:rsidR="00DB6199" w:rsidRPr="000A2294">
        <w:rPr>
          <w:szCs w:val="24"/>
        </w:rPr>
        <w:t xml:space="preserve"> </w:t>
      </w:r>
      <w:r w:rsidRPr="000A2294">
        <w:rPr>
          <w:szCs w:val="24"/>
        </w:rPr>
        <w:t>will be delivere</w:t>
      </w:r>
      <w:r w:rsidR="00CE2C5F" w:rsidRPr="000A2294">
        <w:rPr>
          <w:szCs w:val="24"/>
        </w:rPr>
        <w:t>d</w:t>
      </w:r>
      <w:r w:rsidRPr="000A2294">
        <w:rPr>
          <w:szCs w:val="24"/>
        </w:rPr>
        <w:t xml:space="preserve"> at 9:45 a.m. </w:t>
      </w:r>
      <w:r w:rsidR="00E05816" w:rsidRPr="000A2294">
        <w:rPr>
          <w:szCs w:val="24"/>
        </w:rPr>
        <w:t>E</w:t>
      </w:r>
      <w:r w:rsidR="00A00FDF" w:rsidRPr="000A2294">
        <w:rPr>
          <w:szCs w:val="24"/>
        </w:rPr>
        <w:t>D</w:t>
      </w:r>
      <w:r w:rsidR="00E05816" w:rsidRPr="000A2294">
        <w:rPr>
          <w:szCs w:val="24"/>
        </w:rPr>
        <w:t>T</w:t>
      </w:r>
      <w:r w:rsidRPr="000A2294">
        <w:rPr>
          <w:szCs w:val="24"/>
        </w:rPr>
        <w:t xml:space="preserve"> on </w:t>
      </w:r>
      <w:r w:rsidR="00322A9C" w:rsidRPr="000A2294">
        <w:rPr>
          <w:szCs w:val="24"/>
        </w:rPr>
        <w:t>Thurs</w:t>
      </w:r>
      <w:r w:rsidR="00680A85" w:rsidRPr="000A2294">
        <w:rPr>
          <w:szCs w:val="24"/>
        </w:rPr>
        <w:t>day</w:t>
      </w:r>
      <w:r w:rsidRPr="000A2294">
        <w:rPr>
          <w:szCs w:val="24"/>
        </w:rPr>
        <w:t xml:space="preserve">, </w:t>
      </w:r>
      <w:r w:rsidR="006E4F94" w:rsidRPr="000A2294">
        <w:rPr>
          <w:szCs w:val="24"/>
        </w:rPr>
        <w:t>May</w:t>
      </w:r>
      <w:r w:rsidR="00455912" w:rsidRPr="000A2294">
        <w:rPr>
          <w:szCs w:val="24"/>
        </w:rPr>
        <w:t xml:space="preserve"> </w:t>
      </w:r>
      <w:r w:rsidR="00E20752" w:rsidRPr="000A2294">
        <w:rPr>
          <w:szCs w:val="24"/>
        </w:rPr>
        <w:t>25</w:t>
      </w:r>
      <w:r w:rsidR="007E112F" w:rsidRPr="000A2294">
        <w:rPr>
          <w:szCs w:val="24"/>
        </w:rPr>
        <w:t>,</w:t>
      </w:r>
      <w:r w:rsidR="002F38D7" w:rsidRPr="000A2294">
        <w:rPr>
          <w:szCs w:val="24"/>
        </w:rPr>
        <w:t xml:space="preserve"> </w:t>
      </w:r>
      <w:r w:rsidR="006648D1" w:rsidRPr="000A2294">
        <w:rPr>
          <w:szCs w:val="24"/>
        </w:rPr>
        <w:t>20</w:t>
      </w:r>
      <w:r w:rsidR="00526754" w:rsidRPr="000A2294">
        <w:rPr>
          <w:szCs w:val="24"/>
        </w:rPr>
        <w:t>2</w:t>
      </w:r>
      <w:r w:rsidR="00534CCB" w:rsidRPr="000A2294">
        <w:rPr>
          <w:szCs w:val="24"/>
        </w:rPr>
        <w:t>3</w:t>
      </w:r>
      <w:r w:rsidRPr="000A2294">
        <w:rPr>
          <w:szCs w:val="24"/>
        </w:rPr>
        <w:t xml:space="preserve">. </w:t>
      </w:r>
      <w:r w:rsidRPr="000A2294">
        <w:rPr>
          <w:szCs w:val="24"/>
          <w:lang w:val="fr-CA"/>
        </w:rPr>
        <w:t>This list is subject to chang</w:t>
      </w:r>
      <w:r w:rsidR="00192F7F" w:rsidRPr="000A2294">
        <w:rPr>
          <w:szCs w:val="24"/>
          <w:lang w:val="fr-CA"/>
        </w:rPr>
        <w:t>e</w:t>
      </w:r>
      <w:r w:rsidRPr="000A2294">
        <w:rPr>
          <w:szCs w:val="24"/>
          <w:lang w:val="fr-CA"/>
        </w:rPr>
        <w:t>.</w:t>
      </w:r>
    </w:p>
    <w:p w:rsidR="00FF5AA4" w:rsidRPr="000A2294" w:rsidRDefault="00FF5AA4" w:rsidP="006F2579">
      <w:pPr>
        <w:widowControl w:val="0"/>
        <w:rPr>
          <w:szCs w:val="24"/>
          <w:lang w:val="fr-CA"/>
        </w:rPr>
      </w:pPr>
    </w:p>
    <w:p w:rsidR="00B43418" w:rsidRPr="000A2294" w:rsidRDefault="00B43418" w:rsidP="006F2579">
      <w:pPr>
        <w:widowControl w:val="0"/>
        <w:rPr>
          <w:szCs w:val="24"/>
          <w:lang w:val="fr-CA"/>
        </w:rPr>
      </w:pPr>
    </w:p>
    <w:p w:rsidR="006F2579" w:rsidRPr="000A2294" w:rsidRDefault="006F2579" w:rsidP="006F2579">
      <w:pPr>
        <w:widowControl w:val="0"/>
        <w:jc w:val="center"/>
        <w:rPr>
          <w:szCs w:val="24"/>
          <w:lang w:val="fr-CA"/>
        </w:rPr>
      </w:pPr>
      <w:r w:rsidRPr="000A2294">
        <w:rPr>
          <w:b/>
          <w:szCs w:val="24"/>
          <w:lang w:val="fr-CA"/>
        </w:rPr>
        <w:t>PROCHAIN</w:t>
      </w:r>
      <w:r w:rsidR="004F5491" w:rsidRPr="000A2294">
        <w:rPr>
          <w:b/>
          <w:szCs w:val="24"/>
          <w:lang w:val="fr-CA"/>
        </w:rPr>
        <w:t>S</w:t>
      </w:r>
      <w:r w:rsidRPr="000A2294">
        <w:rPr>
          <w:b/>
          <w:szCs w:val="24"/>
          <w:lang w:val="fr-CA"/>
        </w:rPr>
        <w:t xml:space="preserve"> JUGEMENT</w:t>
      </w:r>
      <w:r w:rsidR="004F5491" w:rsidRPr="000A2294">
        <w:rPr>
          <w:b/>
          <w:szCs w:val="24"/>
          <w:lang w:val="fr-CA"/>
        </w:rPr>
        <w:t>S</w:t>
      </w:r>
      <w:r w:rsidR="00001846" w:rsidRPr="000A2294">
        <w:rPr>
          <w:b/>
          <w:szCs w:val="24"/>
          <w:lang w:val="fr-CA"/>
        </w:rPr>
        <w:t xml:space="preserve"> SUR DEMANDE</w:t>
      </w:r>
      <w:r w:rsidR="004F5491" w:rsidRPr="000A2294">
        <w:rPr>
          <w:b/>
          <w:szCs w:val="24"/>
          <w:lang w:val="fr-CA"/>
        </w:rPr>
        <w:t>S</w:t>
      </w:r>
      <w:r w:rsidRPr="000A2294">
        <w:rPr>
          <w:b/>
          <w:szCs w:val="24"/>
          <w:lang w:val="fr-CA"/>
        </w:rPr>
        <w:t xml:space="preserve"> D’AUTORISATION</w:t>
      </w:r>
    </w:p>
    <w:p w:rsidR="006F2579" w:rsidRPr="000A2294" w:rsidRDefault="006F2579" w:rsidP="006F2579">
      <w:pPr>
        <w:widowControl w:val="0"/>
        <w:rPr>
          <w:szCs w:val="24"/>
          <w:lang w:val="fr-CA"/>
        </w:rPr>
      </w:pPr>
    </w:p>
    <w:p w:rsidR="006F2579" w:rsidRPr="000A2294" w:rsidRDefault="006F2579" w:rsidP="006F2579">
      <w:pPr>
        <w:widowControl w:val="0"/>
        <w:rPr>
          <w:szCs w:val="24"/>
          <w:lang w:val="fr-CA"/>
        </w:rPr>
      </w:pPr>
      <w:r w:rsidRPr="000A2294">
        <w:rPr>
          <w:b/>
          <w:szCs w:val="24"/>
          <w:lang w:val="fr-CA"/>
        </w:rPr>
        <w:t>Le</w:t>
      </w:r>
      <w:r w:rsidR="00957A76" w:rsidRPr="000A2294">
        <w:rPr>
          <w:b/>
          <w:szCs w:val="24"/>
          <w:lang w:val="fr-CA"/>
        </w:rPr>
        <w:t xml:space="preserve"> </w:t>
      </w:r>
      <w:r w:rsidR="00E20752" w:rsidRPr="000A2294">
        <w:rPr>
          <w:b/>
          <w:szCs w:val="24"/>
          <w:lang w:val="fr-CA"/>
        </w:rPr>
        <w:t>23</w:t>
      </w:r>
      <w:r w:rsidR="00FA6BAB" w:rsidRPr="000A2294">
        <w:rPr>
          <w:b/>
          <w:szCs w:val="24"/>
          <w:lang w:val="fr-CA"/>
        </w:rPr>
        <w:t xml:space="preserve"> </w:t>
      </w:r>
      <w:r w:rsidR="006E4F94" w:rsidRPr="000A2294">
        <w:rPr>
          <w:b/>
          <w:szCs w:val="24"/>
          <w:lang w:val="fr-CA"/>
        </w:rPr>
        <w:t>mai</w:t>
      </w:r>
      <w:r w:rsidR="00A151D1" w:rsidRPr="000A2294">
        <w:rPr>
          <w:b/>
          <w:szCs w:val="24"/>
          <w:lang w:val="fr-CA"/>
        </w:rPr>
        <w:t xml:space="preserve"> 20</w:t>
      </w:r>
      <w:r w:rsidR="00526754" w:rsidRPr="000A2294">
        <w:rPr>
          <w:b/>
          <w:szCs w:val="24"/>
          <w:lang w:val="fr-CA"/>
        </w:rPr>
        <w:t>2</w:t>
      </w:r>
      <w:r w:rsidR="00534CCB" w:rsidRPr="000A2294">
        <w:rPr>
          <w:b/>
          <w:szCs w:val="24"/>
          <w:lang w:val="fr-CA"/>
        </w:rPr>
        <w:t>3</w:t>
      </w:r>
    </w:p>
    <w:p w:rsidR="006F2579" w:rsidRPr="000A2294" w:rsidRDefault="006F2579" w:rsidP="006F2579">
      <w:pPr>
        <w:widowControl w:val="0"/>
        <w:rPr>
          <w:b/>
          <w:szCs w:val="24"/>
          <w:lang w:val="fr-CA"/>
        </w:rPr>
      </w:pPr>
      <w:r w:rsidRPr="000A2294">
        <w:rPr>
          <w:b/>
          <w:szCs w:val="24"/>
          <w:lang w:val="fr-CA"/>
        </w:rPr>
        <w:t>Pour diffusion immédiate</w:t>
      </w:r>
    </w:p>
    <w:p w:rsidR="006F2579" w:rsidRPr="000A2294" w:rsidRDefault="006F2579" w:rsidP="006F2579">
      <w:pPr>
        <w:widowControl w:val="0"/>
        <w:rPr>
          <w:szCs w:val="24"/>
          <w:lang w:val="fr-CA"/>
        </w:rPr>
      </w:pPr>
    </w:p>
    <w:p w:rsidR="006F2579" w:rsidRPr="000A2294" w:rsidRDefault="006F2579" w:rsidP="006F2579">
      <w:pPr>
        <w:widowControl w:val="0"/>
        <w:rPr>
          <w:szCs w:val="24"/>
          <w:lang w:val="fr-CA"/>
        </w:rPr>
      </w:pPr>
      <w:r w:rsidRPr="000A2294">
        <w:rPr>
          <w:b/>
          <w:szCs w:val="24"/>
          <w:lang w:val="fr-CA"/>
        </w:rPr>
        <w:t>OTTAWA</w:t>
      </w:r>
      <w:r w:rsidRPr="000A2294">
        <w:rPr>
          <w:szCs w:val="24"/>
          <w:lang w:val="fr-CA"/>
        </w:rPr>
        <w:t xml:space="preserve"> – La Cour suprême du Canada annonce que jugement ser</w:t>
      </w:r>
      <w:r w:rsidR="004259F9" w:rsidRPr="000A2294">
        <w:rPr>
          <w:szCs w:val="24"/>
          <w:lang w:val="fr-CA"/>
        </w:rPr>
        <w:t>a</w:t>
      </w:r>
      <w:r w:rsidRPr="000A2294">
        <w:rPr>
          <w:szCs w:val="24"/>
          <w:lang w:val="fr-CA"/>
        </w:rPr>
        <w:t xml:space="preserve"> rendu dans l</w:t>
      </w:r>
      <w:r w:rsidR="004F5491" w:rsidRPr="000A2294">
        <w:rPr>
          <w:szCs w:val="24"/>
          <w:lang w:val="fr-CA"/>
        </w:rPr>
        <w:t>es</w:t>
      </w:r>
      <w:r w:rsidRPr="000A2294">
        <w:rPr>
          <w:szCs w:val="24"/>
          <w:lang w:val="fr-CA"/>
        </w:rPr>
        <w:t xml:space="preserve"> demande</w:t>
      </w:r>
      <w:r w:rsidR="004F5491" w:rsidRPr="000A2294">
        <w:rPr>
          <w:szCs w:val="24"/>
          <w:lang w:val="fr-CA"/>
        </w:rPr>
        <w:t>s</w:t>
      </w:r>
      <w:r w:rsidRPr="000A2294">
        <w:rPr>
          <w:szCs w:val="24"/>
          <w:lang w:val="fr-CA"/>
        </w:rPr>
        <w:t xml:space="preserve"> d</w:t>
      </w:r>
      <w:r w:rsidR="00001846" w:rsidRPr="000A2294">
        <w:rPr>
          <w:szCs w:val="24"/>
          <w:lang w:val="fr-CA"/>
        </w:rPr>
        <w:t>’autorisation suivante</w:t>
      </w:r>
      <w:r w:rsidR="004F5491" w:rsidRPr="000A2294">
        <w:rPr>
          <w:szCs w:val="24"/>
          <w:lang w:val="fr-CA"/>
        </w:rPr>
        <w:t>s</w:t>
      </w:r>
      <w:r w:rsidRPr="000A2294">
        <w:rPr>
          <w:szCs w:val="24"/>
          <w:lang w:val="fr-CA"/>
        </w:rPr>
        <w:t xml:space="preserve"> le </w:t>
      </w:r>
      <w:r w:rsidR="00322A9C" w:rsidRPr="000A2294">
        <w:rPr>
          <w:szCs w:val="24"/>
          <w:lang w:val="fr-CA"/>
        </w:rPr>
        <w:t>jeu</w:t>
      </w:r>
      <w:r w:rsidR="00680A85" w:rsidRPr="000A2294">
        <w:rPr>
          <w:szCs w:val="24"/>
          <w:lang w:val="fr-CA"/>
        </w:rPr>
        <w:t>di</w:t>
      </w:r>
      <w:r w:rsidRPr="000A2294">
        <w:rPr>
          <w:szCs w:val="24"/>
          <w:lang w:val="fr-CA"/>
        </w:rPr>
        <w:t xml:space="preserve"> </w:t>
      </w:r>
      <w:r w:rsidR="00E20752" w:rsidRPr="000A2294">
        <w:rPr>
          <w:szCs w:val="24"/>
          <w:lang w:val="fr-CA"/>
        </w:rPr>
        <w:t>25</w:t>
      </w:r>
      <w:r w:rsidR="009E0BD3" w:rsidRPr="000A2294">
        <w:rPr>
          <w:szCs w:val="24"/>
          <w:lang w:val="fr-CA"/>
        </w:rPr>
        <w:t xml:space="preserve"> </w:t>
      </w:r>
      <w:r w:rsidR="006E4F94" w:rsidRPr="000A2294">
        <w:rPr>
          <w:szCs w:val="24"/>
          <w:lang w:val="fr-CA"/>
        </w:rPr>
        <w:t>mai</w:t>
      </w:r>
      <w:r w:rsidR="00694391" w:rsidRPr="000A2294">
        <w:rPr>
          <w:szCs w:val="24"/>
          <w:lang w:val="fr-CA"/>
        </w:rPr>
        <w:t xml:space="preserve"> 2</w:t>
      </w:r>
      <w:r w:rsidR="006648D1" w:rsidRPr="000A2294">
        <w:rPr>
          <w:szCs w:val="24"/>
          <w:lang w:val="fr-CA"/>
        </w:rPr>
        <w:t>0</w:t>
      </w:r>
      <w:r w:rsidR="00526754" w:rsidRPr="000A2294">
        <w:rPr>
          <w:szCs w:val="24"/>
          <w:lang w:val="fr-CA"/>
        </w:rPr>
        <w:t>2</w:t>
      </w:r>
      <w:r w:rsidR="00534CCB" w:rsidRPr="000A2294">
        <w:rPr>
          <w:szCs w:val="24"/>
          <w:lang w:val="fr-CA"/>
        </w:rPr>
        <w:t>3</w:t>
      </w:r>
      <w:r w:rsidRPr="000A2294">
        <w:rPr>
          <w:szCs w:val="24"/>
          <w:lang w:val="fr-CA"/>
        </w:rPr>
        <w:t xml:space="preserve">, à 9 h 45 </w:t>
      </w:r>
      <w:r w:rsidR="000627A2" w:rsidRPr="000A2294">
        <w:rPr>
          <w:szCs w:val="24"/>
          <w:lang w:val="fr-CA"/>
        </w:rPr>
        <w:t>H</w:t>
      </w:r>
      <w:r w:rsidR="00A00FDF" w:rsidRPr="000A2294">
        <w:rPr>
          <w:szCs w:val="24"/>
          <w:lang w:val="fr-CA"/>
        </w:rPr>
        <w:t>A</w:t>
      </w:r>
      <w:r w:rsidRPr="000A2294">
        <w:rPr>
          <w:szCs w:val="24"/>
          <w:lang w:val="fr-CA"/>
        </w:rPr>
        <w:t>E. Cette liste est sujette à modification</w:t>
      </w:r>
      <w:r w:rsidR="00130ADB" w:rsidRPr="000A2294">
        <w:rPr>
          <w:szCs w:val="24"/>
          <w:lang w:val="fr-CA"/>
        </w:rPr>
        <w:t>s</w:t>
      </w:r>
      <w:r w:rsidRPr="000A2294">
        <w:rPr>
          <w:szCs w:val="24"/>
          <w:lang w:val="fr-CA"/>
        </w:rPr>
        <w:t>.</w:t>
      </w:r>
    </w:p>
    <w:p w:rsidR="0080556B" w:rsidRPr="000A2294" w:rsidRDefault="0080556B" w:rsidP="005F2A78">
      <w:pPr>
        <w:widowControl w:val="0"/>
        <w:tabs>
          <w:tab w:val="left" w:pos="3840"/>
        </w:tabs>
        <w:jc w:val="both"/>
        <w:rPr>
          <w:sz w:val="20"/>
          <w:lang w:val="fr-CA"/>
        </w:rPr>
      </w:pPr>
    </w:p>
    <w:p w:rsidR="00867C61" w:rsidRPr="000A2294" w:rsidRDefault="00F935FF" w:rsidP="009B14F4">
      <w:pPr>
        <w:widowControl w:val="0"/>
        <w:jc w:val="both"/>
        <w:rPr>
          <w:sz w:val="20"/>
        </w:rPr>
      </w:pPr>
      <w:r>
        <w:rPr>
          <w:sz w:val="20"/>
        </w:rPr>
        <w:pict>
          <v:rect id="_x0000_i1025" style="width:2in;height:1pt" o:hrpct="0" o:hralign="center" o:hrstd="t" o:hrnoshade="t" o:hr="t" fillcolor="black [3213]" stroked="f"/>
        </w:pict>
      </w:r>
    </w:p>
    <w:p w:rsidR="004A6E51" w:rsidRPr="000A2294" w:rsidRDefault="004A6E51" w:rsidP="00EA3314">
      <w:pPr>
        <w:rPr>
          <w:sz w:val="20"/>
          <w:lang w:val="fr-CA"/>
        </w:rPr>
      </w:pPr>
    </w:p>
    <w:p w:rsidR="00EA3314" w:rsidRPr="000A2294" w:rsidRDefault="007B1825" w:rsidP="0001621B">
      <w:pPr>
        <w:pStyle w:val="ListParagraph"/>
        <w:numPr>
          <w:ilvl w:val="0"/>
          <w:numId w:val="43"/>
        </w:numPr>
        <w:ind w:left="357" w:hanging="357"/>
        <w:rPr>
          <w:i/>
          <w:sz w:val="20"/>
          <w:szCs w:val="20"/>
          <w:lang w:val="fr-CA"/>
        </w:rPr>
      </w:pPr>
      <w:r w:rsidRPr="000A2294">
        <w:rPr>
          <w:i/>
          <w:sz w:val="20"/>
          <w:szCs w:val="20"/>
          <w:lang w:val="fr-CA"/>
        </w:rPr>
        <w:t>A</w:t>
      </w:r>
      <w:r w:rsidR="00EA3314" w:rsidRPr="000A2294">
        <w:rPr>
          <w:i/>
          <w:sz w:val="20"/>
          <w:szCs w:val="20"/>
          <w:lang w:val="fr-CA"/>
        </w:rPr>
        <w:t>vocats et notaires de l'État québécois (LANEQ) c. Procureur général du Québec</w:t>
      </w:r>
      <w:r w:rsidR="00EA3314" w:rsidRPr="000A2294">
        <w:rPr>
          <w:sz w:val="20"/>
          <w:szCs w:val="20"/>
          <w:lang w:val="fr-CA"/>
        </w:rPr>
        <w:t xml:space="preserve"> (Qc) (Civile) (Autorisation)</w:t>
      </w:r>
      <w:r w:rsidR="00AD5411" w:rsidRPr="000A2294">
        <w:rPr>
          <w:sz w:val="20"/>
          <w:szCs w:val="20"/>
          <w:lang w:val="fr-CA"/>
        </w:rPr>
        <w:t xml:space="preserve"> (</w:t>
      </w:r>
      <w:hyperlink r:id="rId8" w:history="1">
        <w:r w:rsidR="00AD5411" w:rsidRPr="000A2294">
          <w:rPr>
            <w:rStyle w:val="Hyperlink"/>
            <w:sz w:val="20"/>
            <w:szCs w:val="20"/>
            <w:lang w:val="fr-CA"/>
          </w:rPr>
          <w:t>402</w:t>
        </w:r>
        <w:r w:rsidRPr="000A2294">
          <w:rPr>
            <w:rStyle w:val="Hyperlink"/>
            <w:sz w:val="20"/>
            <w:szCs w:val="20"/>
            <w:lang w:val="fr-CA"/>
          </w:rPr>
          <w:t>15</w:t>
        </w:r>
      </w:hyperlink>
      <w:r w:rsidR="00AD5411" w:rsidRPr="000A2294">
        <w:rPr>
          <w:sz w:val="20"/>
          <w:szCs w:val="20"/>
          <w:lang w:val="fr-CA"/>
        </w:rPr>
        <w:t>)</w:t>
      </w:r>
    </w:p>
    <w:p w:rsidR="00EA3314" w:rsidRPr="000A2294" w:rsidRDefault="00EA3314" w:rsidP="0001621B">
      <w:pPr>
        <w:ind w:left="357" w:hanging="357"/>
        <w:rPr>
          <w:sz w:val="20"/>
          <w:lang w:val="fr-CA"/>
        </w:rPr>
      </w:pPr>
    </w:p>
    <w:p w:rsidR="00EA3314" w:rsidRPr="000A2294" w:rsidRDefault="00EA3314" w:rsidP="0001621B">
      <w:pPr>
        <w:pStyle w:val="ListParagraph"/>
        <w:numPr>
          <w:ilvl w:val="0"/>
          <w:numId w:val="43"/>
        </w:numPr>
        <w:tabs>
          <w:tab w:val="left" w:pos="540"/>
        </w:tabs>
        <w:ind w:left="357" w:hanging="357"/>
        <w:rPr>
          <w:sz w:val="20"/>
          <w:szCs w:val="20"/>
        </w:rPr>
      </w:pPr>
      <w:r w:rsidRPr="000A2294">
        <w:rPr>
          <w:i/>
          <w:sz w:val="20"/>
          <w:szCs w:val="20"/>
        </w:rPr>
        <w:t xml:space="preserve">Stephen Charles Walton, </w:t>
      </w:r>
      <w:r w:rsidR="007B1825" w:rsidRPr="000A2294">
        <w:rPr>
          <w:i/>
          <w:sz w:val="20"/>
          <w:szCs w:val="20"/>
        </w:rPr>
        <w:t>et al.</w:t>
      </w:r>
      <w:r w:rsidRPr="000A2294">
        <w:rPr>
          <w:i/>
          <w:sz w:val="20"/>
          <w:szCs w:val="20"/>
        </w:rPr>
        <w:t xml:space="preserve"> v. His Majesty the King</w:t>
      </w:r>
      <w:r w:rsidRPr="000A2294">
        <w:rPr>
          <w:sz w:val="20"/>
          <w:szCs w:val="20"/>
        </w:rPr>
        <w:t xml:space="preserve"> (Alta.) (Criminal) (By Leave)</w:t>
      </w:r>
      <w:r w:rsidR="00AD5411" w:rsidRPr="000A2294">
        <w:rPr>
          <w:sz w:val="20"/>
          <w:szCs w:val="20"/>
        </w:rPr>
        <w:t xml:space="preserve"> (</w:t>
      </w:r>
      <w:hyperlink r:id="rId9" w:history="1">
        <w:r w:rsidR="00AD5411" w:rsidRPr="000A2294">
          <w:rPr>
            <w:rStyle w:val="Hyperlink"/>
            <w:sz w:val="20"/>
            <w:szCs w:val="20"/>
          </w:rPr>
          <w:t>40</w:t>
        </w:r>
        <w:r w:rsidR="007B1825" w:rsidRPr="000A2294">
          <w:rPr>
            <w:rStyle w:val="Hyperlink"/>
            <w:sz w:val="20"/>
            <w:szCs w:val="20"/>
          </w:rPr>
          <w:t>480</w:t>
        </w:r>
      </w:hyperlink>
      <w:r w:rsidR="00AD5411" w:rsidRPr="000A2294">
        <w:rPr>
          <w:sz w:val="20"/>
          <w:szCs w:val="20"/>
        </w:rPr>
        <w:t>)</w:t>
      </w:r>
    </w:p>
    <w:p w:rsidR="00EA3314" w:rsidRPr="000A2294" w:rsidRDefault="00EA3314" w:rsidP="0001621B">
      <w:pPr>
        <w:ind w:left="357" w:hanging="357"/>
        <w:rPr>
          <w:sz w:val="20"/>
        </w:rPr>
      </w:pPr>
    </w:p>
    <w:p w:rsidR="00EA3314" w:rsidRPr="000A2294" w:rsidRDefault="00EA3314" w:rsidP="0001621B">
      <w:pPr>
        <w:pStyle w:val="ListParagraph"/>
        <w:numPr>
          <w:ilvl w:val="0"/>
          <w:numId w:val="43"/>
        </w:numPr>
        <w:tabs>
          <w:tab w:val="left" w:pos="360"/>
        </w:tabs>
        <w:ind w:left="357" w:hanging="357"/>
        <w:rPr>
          <w:i/>
          <w:sz w:val="20"/>
          <w:szCs w:val="20"/>
        </w:rPr>
      </w:pPr>
      <w:r w:rsidRPr="000A2294">
        <w:rPr>
          <w:i/>
          <w:sz w:val="20"/>
          <w:szCs w:val="20"/>
        </w:rPr>
        <w:t>Mohamma</w:t>
      </w:r>
      <w:r w:rsidR="00701BD4" w:rsidRPr="000A2294">
        <w:rPr>
          <w:i/>
          <w:sz w:val="20"/>
          <w:szCs w:val="20"/>
        </w:rPr>
        <w:t>d Haque v. His Majesty the King</w:t>
      </w:r>
      <w:r w:rsidRPr="000A2294">
        <w:rPr>
          <w:sz w:val="20"/>
          <w:szCs w:val="20"/>
        </w:rPr>
        <w:t xml:space="preserve"> (Sask.) (Criminal) (By Leave)</w:t>
      </w:r>
      <w:r w:rsidR="00AD5411" w:rsidRPr="000A2294">
        <w:rPr>
          <w:sz w:val="20"/>
          <w:szCs w:val="20"/>
        </w:rPr>
        <w:t xml:space="preserve"> (</w:t>
      </w:r>
      <w:hyperlink r:id="rId10" w:history="1">
        <w:r w:rsidR="00AD5411" w:rsidRPr="000A2294">
          <w:rPr>
            <w:rStyle w:val="Hyperlink"/>
            <w:sz w:val="20"/>
            <w:szCs w:val="20"/>
          </w:rPr>
          <w:t>40</w:t>
        </w:r>
        <w:r w:rsidR="00701BD4" w:rsidRPr="000A2294">
          <w:rPr>
            <w:rStyle w:val="Hyperlink"/>
            <w:sz w:val="20"/>
            <w:szCs w:val="20"/>
          </w:rPr>
          <w:t>544</w:t>
        </w:r>
      </w:hyperlink>
      <w:r w:rsidR="00AD5411" w:rsidRPr="000A2294">
        <w:rPr>
          <w:sz w:val="20"/>
          <w:szCs w:val="20"/>
        </w:rPr>
        <w:t>)</w:t>
      </w:r>
    </w:p>
    <w:p w:rsidR="00EA3314" w:rsidRPr="000A2294" w:rsidRDefault="00EA3314" w:rsidP="0001621B">
      <w:pPr>
        <w:tabs>
          <w:tab w:val="left" w:pos="360"/>
        </w:tabs>
        <w:ind w:left="357" w:hanging="357"/>
        <w:rPr>
          <w:sz w:val="20"/>
        </w:rPr>
      </w:pPr>
    </w:p>
    <w:p w:rsidR="00EA3314" w:rsidRPr="000A2294" w:rsidRDefault="00EA3314" w:rsidP="0001621B">
      <w:pPr>
        <w:pStyle w:val="ListParagraph"/>
        <w:numPr>
          <w:ilvl w:val="0"/>
          <w:numId w:val="43"/>
        </w:numPr>
        <w:tabs>
          <w:tab w:val="left" w:pos="360"/>
        </w:tabs>
        <w:ind w:left="357" w:hanging="357"/>
        <w:rPr>
          <w:i/>
          <w:sz w:val="20"/>
          <w:szCs w:val="20"/>
        </w:rPr>
      </w:pPr>
      <w:r w:rsidRPr="000A2294">
        <w:rPr>
          <w:i/>
          <w:sz w:val="20"/>
          <w:szCs w:val="20"/>
        </w:rPr>
        <w:t>Kenneth Robert Carter v. His Majesty the King</w:t>
      </w:r>
      <w:r w:rsidRPr="000A2294">
        <w:rPr>
          <w:sz w:val="20"/>
          <w:szCs w:val="20"/>
        </w:rPr>
        <w:t xml:space="preserve"> (Alta.) (Criminal) (By Leave)</w:t>
      </w:r>
      <w:r w:rsidR="00AD5411" w:rsidRPr="000A2294">
        <w:rPr>
          <w:sz w:val="20"/>
          <w:szCs w:val="20"/>
        </w:rPr>
        <w:t xml:space="preserve"> (</w:t>
      </w:r>
      <w:hyperlink r:id="rId11" w:history="1">
        <w:r w:rsidR="00AD5411" w:rsidRPr="000A2294">
          <w:rPr>
            <w:rStyle w:val="Hyperlink"/>
            <w:sz w:val="20"/>
            <w:szCs w:val="20"/>
          </w:rPr>
          <w:t>40</w:t>
        </w:r>
        <w:r w:rsidR="002D21CC" w:rsidRPr="000A2294">
          <w:rPr>
            <w:rStyle w:val="Hyperlink"/>
            <w:sz w:val="20"/>
            <w:szCs w:val="20"/>
          </w:rPr>
          <w:t>554</w:t>
        </w:r>
      </w:hyperlink>
      <w:r w:rsidR="00AD5411" w:rsidRPr="000A2294">
        <w:rPr>
          <w:sz w:val="20"/>
          <w:szCs w:val="20"/>
        </w:rPr>
        <w:t>)</w:t>
      </w:r>
    </w:p>
    <w:p w:rsidR="00EA3314" w:rsidRPr="000A2294" w:rsidRDefault="00EA3314" w:rsidP="0001621B">
      <w:pPr>
        <w:tabs>
          <w:tab w:val="left" w:pos="360"/>
        </w:tabs>
        <w:ind w:left="357" w:hanging="357"/>
        <w:rPr>
          <w:sz w:val="20"/>
        </w:rPr>
      </w:pPr>
    </w:p>
    <w:p w:rsidR="00EA3314" w:rsidRPr="000A2294" w:rsidRDefault="00EA3314" w:rsidP="0001621B">
      <w:pPr>
        <w:pStyle w:val="ListParagraph"/>
        <w:numPr>
          <w:ilvl w:val="0"/>
          <w:numId w:val="43"/>
        </w:numPr>
        <w:tabs>
          <w:tab w:val="left" w:pos="360"/>
        </w:tabs>
        <w:ind w:left="357" w:hanging="357"/>
        <w:rPr>
          <w:i/>
          <w:sz w:val="20"/>
          <w:szCs w:val="20"/>
          <w:lang w:val="fr-CA"/>
        </w:rPr>
      </w:pPr>
      <w:r w:rsidRPr="000A2294">
        <w:rPr>
          <w:i/>
          <w:sz w:val="20"/>
          <w:szCs w:val="20"/>
          <w:lang w:val="fr-CA"/>
        </w:rPr>
        <w:t xml:space="preserve">Francis Chamberland, </w:t>
      </w:r>
      <w:r w:rsidR="006411B9" w:rsidRPr="000A2294">
        <w:rPr>
          <w:i/>
          <w:sz w:val="20"/>
          <w:szCs w:val="20"/>
          <w:lang w:val="fr-CA"/>
        </w:rPr>
        <w:t>et al.</w:t>
      </w:r>
      <w:r w:rsidRPr="000A2294">
        <w:rPr>
          <w:i/>
          <w:sz w:val="20"/>
          <w:szCs w:val="20"/>
          <w:lang w:val="fr-CA"/>
        </w:rPr>
        <w:t xml:space="preserve"> c. Placements Riokim (Québec) inc. </w:t>
      </w:r>
      <w:r w:rsidRPr="000A2294">
        <w:rPr>
          <w:sz w:val="20"/>
          <w:szCs w:val="20"/>
          <w:lang w:val="fr-CA"/>
        </w:rPr>
        <w:t>(Qc) (Civile) (Autorisation)</w:t>
      </w:r>
      <w:r w:rsidR="00AD5411" w:rsidRPr="000A2294">
        <w:rPr>
          <w:sz w:val="20"/>
          <w:szCs w:val="20"/>
          <w:lang w:val="fr-CA"/>
        </w:rPr>
        <w:t xml:space="preserve"> (</w:t>
      </w:r>
      <w:hyperlink r:id="rId12" w:history="1">
        <w:r w:rsidR="00AD5411" w:rsidRPr="000A2294">
          <w:rPr>
            <w:rStyle w:val="Hyperlink"/>
            <w:sz w:val="20"/>
            <w:szCs w:val="20"/>
            <w:lang w:val="fr-CA"/>
          </w:rPr>
          <w:t>40</w:t>
        </w:r>
        <w:r w:rsidR="006411B9" w:rsidRPr="000A2294">
          <w:rPr>
            <w:rStyle w:val="Hyperlink"/>
            <w:sz w:val="20"/>
            <w:szCs w:val="20"/>
            <w:lang w:val="fr-CA"/>
          </w:rPr>
          <w:t>393</w:t>
        </w:r>
      </w:hyperlink>
      <w:r w:rsidR="00AD5411" w:rsidRPr="000A2294">
        <w:rPr>
          <w:sz w:val="20"/>
          <w:szCs w:val="20"/>
          <w:lang w:val="fr-CA"/>
        </w:rPr>
        <w:t>)</w:t>
      </w:r>
    </w:p>
    <w:p w:rsidR="00EA3314" w:rsidRPr="000A2294" w:rsidRDefault="00EA3314" w:rsidP="0001621B">
      <w:pPr>
        <w:tabs>
          <w:tab w:val="left" w:pos="360"/>
        </w:tabs>
        <w:ind w:left="357" w:hanging="357"/>
        <w:rPr>
          <w:sz w:val="20"/>
          <w:lang w:val="fr-CA"/>
        </w:rPr>
      </w:pPr>
    </w:p>
    <w:p w:rsidR="00EA3314" w:rsidRPr="00F935FF" w:rsidRDefault="00EA3314" w:rsidP="0001621B">
      <w:pPr>
        <w:pStyle w:val="ListParagraph"/>
        <w:numPr>
          <w:ilvl w:val="0"/>
          <w:numId w:val="43"/>
        </w:numPr>
        <w:tabs>
          <w:tab w:val="left" w:pos="360"/>
        </w:tabs>
        <w:ind w:left="357" w:hanging="357"/>
        <w:rPr>
          <w:i/>
          <w:sz w:val="20"/>
          <w:szCs w:val="20"/>
        </w:rPr>
      </w:pPr>
      <w:r w:rsidRPr="00F935FF">
        <w:rPr>
          <w:i/>
          <w:sz w:val="20"/>
          <w:szCs w:val="20"/>
        </w:rPr>
        <w:t xml:space="preserve">Anica Visic v. Elia Associates Professional Corporation, </w:t>
      </w:r>
      <w:r w:rsidR="006411B9" w:rsidRPr="00F935FF">
        <w:rPr>
          <w:i/>
          <w:sz w:val="20"/>
          <w:szCs w:val="20"/>
        </w:rPr>
        <w:t>et al.</w:t>
      </w:r>
      <w:r w:rsidRPr="00F935FF">
        <w:rPr>
          <w:i/>
          <w:sz w:val="20"/>
          <w:szCs w:val="20"/>
        </w:rPr>
        <w:t xml:space="preserve"> </w:t>
      </w:r>
      <w:r w:rsidRPr="00F935FF">
        <w:rPr>
          <w:sz w:val="20"/>
          <w:szCs w:val="20"/>
        </w:rPr>
        <w:t>(Ont.) (Civil) (By Leave)</w:t>
      </w:r>
      <w:r w:rsidR="00AD5411" w:rsidRPr="00F935FF">
        <w:rPr>
          <w:sz w:val="20"/>
          <w:szCs w:val="20"/>
        </w:rPr>
        <w:t xml:space="preserve"> (</w:t>
      </w:r>
      <w:r w:rsidR="00F935FF">
        <w:rPr>
          <w:rStyle w:val="Hyperlink"/>
          <w:sz w:val="20"/>
          <w:szCs w:val="20"/>
          <w:lang w:val="fr-CA"/>
        </w:rPr>
        <w:fldChar w:fldCharType="begin"/>
      </w:r>
      <w:r w:rsidR="00F935FF" w:rsidRPr="00F935FF">
        <w:rPr>
          <w:rStyle w:val="Hyperlink"/>
          <w:sz w:val="20"/>
          <w:szCs w:val="20"/>
        </w:rPr>
        <w:instrText xml:space="preserve"> HYPERLINK "https://www.scc-csc.ca/case-dossier/info/sum-som-eng.aspx?cas=40590" </w:instrText>
      </w:r>
      <w:r w:rsidR="00F935FF">
        <w:rPr>
          <w:rStyle w:val="Hyperlink"/>
          <w:sz w:val="20"/>
          <w:szCs w:val="20"/>
          <w:lang w:val="fr-CA"/>
        </w:rPr>
        <w:fldChar w:fldCharType="separate"/>
      </w:r>
      <w:r w:rsidR="00AD5411" w:rsidRPr="00F935FF">
        <w:rPr>
          <w:rStyle w:val="Hyperlink"/>
          <w:sz w:val="20"/>
          <w:szCs w:val="20"/>
        </w:rPr>
        <w:t>40</w:t>
      </w:r>
      <w:r w:rsidR="006411B9" w:rsidRPr="00F935FF">
        <w:rPr>
          <w:rStyle w:val="Hyperlink"/>
          <w:sz w:val="20"/>
          <w:szCs w:val="20"/>
        </w:rPr>
        <w:t>590</w:t>
      </w:r>
      <w:r w:rsidR="00F935FF">
        <w:rPr>
          <w:rStyle w:val="Hyperlink"/>
          <w:sz w:val="20"/>
          <w:szCs w:val="20"/>
          <w:lang w:val="fr-CA"/>
        </w:rPr>
        <w:fldChar w:fldCharType="end"/>
      </w:r>
      <w:r w:rsidR="00AD5411" w:rsidRPr="00F935FF">
        <w:rPr>
          <w:sz w:val="20"/>
          <w:szCs w:val="20"/>
        </w:rPr>
        <w:t>)</w:t>
      </w:r>
    </w:p>
    <w:p w:rsidR="00EA3314" w:rsidRPr="00F935FF" w:rsidRDefault="00EA3314" w:rsidP="0001621B">
      <w:pPr>
        <w:tabs>
          <w:tab w:val="left" w:pos="360"/>
        </w:tabs>
        <w:ind w:left="357" w:hanging="357"/>
        <w:rPr>
          <w:sz w:val="20"/>
        </w:rPr>
      </w:pPr>
    </w:p>
    <w:p w:rsidR="00EA3314" w:rsidRPr="000A2294" w:rsidRDefault="00EA3314" w:rsidP="0001621B">
      <w:pPr>
        <w:pStyle w:val="ListParagraph"/>
        <w:numPr>
          <w:ilvl w:val="0"/>
          <w:numId w:val="43"/>
        </w:numPr>
        <w:tabs>
          <w:tab w:val="left" w:pos="360"/>
        </w:tabs>
        <w:ind w:left="357" w:hanging="357"/>
        <w:rPr>
          <w:sz w:val="20"/>
          <w:szCs w:val="20"/>
          <w:lang w:val="fr-CA"/>
        </w:rPr>
      </w:pPr>
      <w:r w:rsidRPr="000A2294">
        <w:rPr>
          <w:i/>
          <w:sz w:val="20"/>
          <w:szCs w:val="20"/>
          <w:lang w:val="fr-CA"/>
        </w:rPr>
        <w:t>G.C. c. Compagnie d’assurance vie RBC</w:t>
      </w:r>
      <w:r w:rsidRPr="000A2294">
        <w:rPr>
          <w:sz w:val="20"/>
          <w:szCs w:val="20"/>
          <w:lang w:val="fr-CA"/>
        </w:rPr>
        <w:t xml:space="preserve"> (Qc) (Civile) (Autorisation)</w:t>
      </w:r>
      <w:r w:rsidR="00AD5411" w:rsidRPr="000A2294">
        <w:rPr>
          <w:sz w:val="20"/>
          <w:szCs w:val="20"/>
          <w:lang w:val="fr-CA"/>
        </w:rPr>
        <w:t xml:space="preserve"> (</w:t>
      </w:r>
      <w:hyperlink r:id="rId13" w:history="1">
        <w:r w:rsidR="00AD5411" w:rsidRPr="000A2294">
          <w:rPr>
            <w:rStyle w:val="Hyperlink"/>
            <w:sz w:val="20"/>
            <w:szCs w:val="20"/>
            <w:lang w:val="fr-CA"/>
          </w:rPr>
          <w:t>40</w:t>
        </w:r>
        <w:r w:rsidR="006411B9" w:rsidRPr="000A2294">
          <w:rPr>
            <w:rStyle w:val="Hyperlink"/>
            <w:sz w:val="20"/>
            <w:szCs w:val="20"/>
            <w:lang w:val="fr-CA"/>
          </w:rPr>
          <w:t>431</w:t>
        </w:r>
      </w:hyperlink>
      <w:r w:rsidR="00AD5411" w:rsidRPr="000A2294">
        <w:rPr>
          <w:sz w:val="20"/>
          <w:szCs w:val="20"/>
          <w:lang w:val="fr-CA"/>
        </w:rPr>
        <w:t>)</w:t>
      </w:r>
    </w:p>
    <w:p w:rsidR="00EA3314" w:rsidRPr="000A2294" w:rsidRDefault="00EA3314" w:rsidP="0001621B">
      <w:pPr>
        <w:tabs>
          <w:tab w:val="left" w:pos="360"/>
        </w:tabs>
        <w:ind w:left="357" w:hanging="357"/>
        <w:rPr>
          <w:sz w:val="20"/>
          <w:lang w:val="fr-CA"/>
        </w:rPr>
      </w:pPr>
    </w:p>
    <w:p w:rsidR="00EA3314" w:rsidRPr="000A2294" w:rsidRDefault="00EA3314" w:rsidP="0001621B">
      <w:pPr>
        <w:pStyle w:val="ListParagraph"/>
        <w:numPr>
          <w:ilvl w:val="0"/>
          <w:numId w:val="43"/>
        </w:numPr>
        <w:tabs>
          <w:tab w:val="left" w:pos="360"/>
        </w:tabs>
        <w:ind w:left="357" w:hanging="357"/>
        <w:rPr>
          <w:sz w:val="20"/>
          <w:szCs w:val="20"/>
          <w:lang w:val="fr-CA"/>
        </w:rPr>
      </w:pPr>
      <w:r w:rsidRPr="000A2294">
        <w:rPr>
          <w:i/>
          <w:sz w:val="20"/>
          <w:szCs w:val="20"/>
          <w:lang w:val="fr-CA"/>
        </w:rPr>
        <w:t>O.C. c. Compagnie d’assurance vie RBC</w:t>
      </w:r>
      <w:r w:rsidRPr="000A2294">
        <w:rPr>
          <w:sz w:val="20"/>
          <w:szCs w:val="20"/>
          <w:lang w:val="fr-CA"/>
        </w:rPr>
        <w:t xml:space="preserve"> (Qc) (Civile) (Autorisation)</w:t>
      </w:r>
      <w:r w:rsidR="00AD5411" w:rsidRPr="000A2294">
        <w:rPr>
          <w:sz w:val="20"/>
          <w:szCs w:val="20"/>
          <w:lang w:val="fr-CA"/>
        </w:rPr>
        <w:t xml:space="preserve"> (</w:t>
      </w:r>
      <w:hyperlink r:id="rId14" w:history="1">
        <w:r w:rsidR="00AD5411" w:rsidRPr="000A2294">
          <w:rPr>
            <w:rStyle w:val="Hyperlink"/>
            <w:sz w:val="20"/>
            <w:szCs w:val="20"/>
            <w:lang w:val="fr-CA"/>
          </w:rPr>
          <w:t>40</w:t>
        </w:r>
        <w:r w:rsidR="006411B9" w:rsidRPr="000A2294">
          <w:rPr>
            <w:rStyle w:val="Hyperlink"/>
            <w:sz w:val="20"/>
            <w:szCs w:val="20"/>
            <w:lang w:val="fr-CA"/>
          </w:rPr>
          <w:t>434</w:t>
        </w:r>
      </w:hyperlink>
      <w:r w:rsidR="00AD5411" w:rsidRPr="000A2294">
        <w:rPr>
          <w:sz w:val="20"/>
          <w:szCs w:val="20"/>
          <w:lang w:val="fr-CA"/>
        </w:rPr>
        <w:t>)</w:t>
      </w:r>
    </w:p>
    <w:p w:rsidR="00EA3314" w:rsidRPr="000A2294" w:rsidRDefault="00EA3314" w:rsidP="0001621B">
      <w:pPr>
        <w:tabs>
          <w:tab w:val="left" w:pos="360"/>
        </w:tabs>
        <w:ind w:left="357" w:hanging="357"/>
        <w:rPr>
          <w:sz w:val="20"/>
          <w:lang w:val="fr-CA"/>
        </w:rPr>
      </w:pPr>
    </w:p>
    <w:p w:rsidR="00EA3314" w:rsidRPr="000A2294" w:rsidRDefault="00EA3314" w:rsidP="0001621B">
      <w:pPr>
        <w:pStyle w:val="ListParagraph"/>
        <w:numPr>
          <w:ilvl w:val="0"/>
          <w:numId w:val="43"/>
        </w:numPr>
        <w:tabs>
          <w:tab w:val="left" w:pos="360"/>
        </w:tabs>
        <w:ind w:left="357" w:hanging="357"/>
        <w:rPr>
          <w:sz w:val="20"/>
          <w:szCs w:val="20"/>
        </w:rPr>
      </w:pPr>
      <w:r w:rsidRPr="000A2294">
        <w:rPr>
          <w:i/>
          <w:sz w:val="20"/>
          <w:szCs w:val="20"/>
        </w:rPr>
        <w:t>Glenn Bogue v. Andrew Clifford Miracle c.o.b. as Smokin’ Joes</w:t>
      </w:r>
      <w:r w:rsidRPr="000A2294">
        <w:rPr>
          <w:sz w:val="20"/>
          <w:szCs w:val="20"/>
          <w:lang w:val="en-CA"/>
        </w:rPr>
        <w:t xml:space="preserve"> (Ont.) </w:t>
      </w:r>
      <w:r w:rsidRPr="000A2294">
        <w:rPr>
          <w:sz w:val="20"/>
          <w:szCs w:val="20"/>
        </w:rPr>
        <w:t>(Civil) (By Leave)</w:t>
      </w:r>
      <w:r w:rsidR="00AD5411" w:rsidRPr="000A2294">
        <w:rPr>
          <w:sz w:val="20"/>
          <w:szCs w:val="20"/>
        </w:rPr>
        <w:t xml:space="preserve"> (</w:t>
      </w:r>
      <w:hyperlink r:id="rId15" w:history="1">
        <w:r w:rsidR="00AD5411" w:rsidRPr="000A2294">
          <w:rPr>
            <w:rStyle w:val="Hyperlink"/>
            <w:sz w:val="20"/>
            <w:szCs w:val="20"/>
          </w:rPr>
          <w:t>40</w:t>
        </w:r>
        <w:r w:rsidR="009C2217" w:rsidRPr="000A2294">
          <w:rPr>
            <w:rStyle w:val="Hyperlink"/>
            <w:sz w:val="20"/>
            <w:szCs w:val="20"/>
          </w:rPr>
          <w:t>471</w:t>
        </w:r>
      </w:hyperlink>
      <w:r w:rsidR="00AD5411" w:rsidRPr="000A2294">
        <w:rPr>
          <w:sz w:val="20"/>
          <w:szCs w:val="20"/>
        </w:rPr>
        <w:t>)</w:t>
      </w:r>
    </w:p>
    <w:p w:rsidR="00EA3314" w:rsidRPr="000A2294" w:rsidRDefault="00EA3314" w:rsidP="0001621B">
      <w:pPr>
        <w:tabs>
          <w:tab w:val="left" w:pos="360"/>
        </w:tabs>
        <w:ind w:left="357" w:hanging="357"/>
        <w:rPr>
          <w:sz w:val="20"/>
          <w:lang w:val="en-CA"/>
        </w:rPr>
      </w:pPr>
    </w:p>
    <w:p w:rsidR="00EA3314" w:rsidRPr="000A2294" w:rsidRDefault="00EA3314" w:rsidP="0001621B">
      <w:pPr>
        <w:pStyle w:val="ListParagraph"/>
        <w:numPr>
          <w:ilvl w:val="0"/>
          <w:numId w:val="43"/>
        </w:numPr>
        <w:tabs>
          <w:tab w:val="left" w:pos="360"/>
        </w:tabs>
        <w:ind w:left="357" w:hanging="357"/>
        <w:rPr>
          <w:sz w:val="20"/>
          <w:szCs w:val="20"/>
          <w:lang w:val="en-CA"/>
        </w:rPr>
      </w:pPr>
      <w:r w:rsidRPr="000A2294">
        <w:rPr>
          <w:i/>
          <w:sz w:val="20"/>
          <w:szCs w:val="20"/>
          <w:lang w:val="en-CA"/>
        </w:rPr>
        <w:t>Braydon Wolfe v. His Majesty the King</w:t>
      </w:r>
      <w:r w:rsidRPr="000A2294">
        <w:rPr>
          <w:sz w:val="20"/>
          <w:szCs w:val="20"/>
          <w:lang w:val="en-CA"/>
        </w:rPr>
        <w:t xml:space="preserve"> (Sask.) (Criminal) (By Leave)</w:t>
      </w:r>
      <w:r w:rsidR="00AD5411" w:rsidRPr="000A2294">
        <w:rPr>
          <w:sz w:val="20"/>
          <w:szCs w:val="20"/>
          <w:lang w:val="en-CA"/>
        </w:rPr>
        <w:t xml:space="preserve"> </w:t>
      </w:r>
      <w:r w:rsidR="00AD5411" w:rsidRPr="000A2294">
        <w:rPr>
          <w:sz w:val="20"/>
          <w:szCs w:val="20"/>
        </w:rPr>
        <w:t>(</w:t>
      </w:r>
      <w:hyperlink r:id="rId16" w:history="1">
        <w:r w:rsidR="00AD5411" w:rsidRPr="000A2294">
          <w:rPr>
            <w:rStyle w:val="Hyperlink"/>
            <w:sz w:val="20"/>
            <w:szCs w:val="20"/>
          </w:rPr>
          <w:t>40</w:t>
        </w:r>
        <w:r w:rsidR="00786DB0" w:rsidRPr="000A2294">
          <w:rPr>
            <w:rStyle w:val="Hyperlink"/>
            <w:sz w:val="20"/>
            <w:szCs w:val="20"/>
          </w:rPr>
          <w:t>558</w:t>
        </w:r>
      </w:hyperlink>
      <w:r w:rsidR="00AD5411" w:rsidRPr="000A2294">
        <w:rPr>
          <w:sz w:val="20"/>
          <w:szCs w:val="20"/>
        </w:rPr>
        <w:t>)</w:t>
      </w:r>
    </w:p>
    <w:p w:rsidR="00EA3314" w:rsidRPr="000A2294" w:rsidRDefault="00EA3314" w:rsidP="0001621B">
      <w:pPr>
        <w:tabs>
          <w:tab w:val="left" w:pos="360"/>
        </w:tabs>
        <w:ind w:left="357" w:hanging="357"/>
        <w:rPr>
          <w:sz w:val="20"/>
        </w:rPr>
      </w:pPr>
    </w:p>
    <w:p w:rsidR="00EA3314" w:rsidRPr="000A2294" w:rsidRDefault="00EA3314" w:rsidP="0001621B">
      <w:pPr>
        <w:pStyle w:val="ListParagraph"/>
        <w:numPr>
          <w:ilvl w:val="0"/>
          <w:numId w:val="43"/>
        </w:numPr>
        <w:tabs>
          <w:tab w:val="left" w:pos="360"/>
        </w:tabs>
        <w:ind w:left="357" w:hanging="357"/>
        <w:rPr>
          <w:sz w:val="20"/>
          <w:szCs w:val="20"/>
          <w:lang w:val="fr-CA"/>
        </w:rPr>
      </w:pPr>
      <w:r w:rsidRPr="000A2294">
        <w:rPr>
          <w:i/>
          <w:sz w:val="20"/>
          <w:szCs w:val="20"/>
          <w:lang w:val="fr-CA"/>
        </w:rPr>
        <w:t xml:space="preserve">Richard Lamothe c. André Joncas, </w:t>
      </w:r>
      <w:r w:rsidR="00786DB0" w:rsidRPr="000A2294">
        <w:rPr>
          <w:i/>
          <w:sz w:val="20"/>
          <w:szCs w:val="20"/>
          <w:lang w:val="fr-CA"/>
        </w:rPr>
        <w:t>et al.</w:t>
      </w:r>
      <w:r w:rsidRPr="000A2294">
        <w:rPr>
          <w:sz w:val="20"/>
          <w:szCs w:val="20"/>
          <w:lang w:val="fr-CA"/>
        </w:rPr>
        <w:t xml:space="preserve"> (Qc) (Civile) (Autorisation)</w:t>
      </w:r>
      <w:r w:rsidR="00AD5411" w:rsidRPr="000A2294">
        <w:rPr>
          <w:sz w:val="20"/>
          <w:szCs w:val="20"/>
          <w:lang w:val="fr-CA"/>
        </w:rPr>
        <w:t xml:space="preserve"> (</w:t>
      </w:r>
      <w:hyperlink r:id="rId17" w:history="1">
        <w:r w:rsidR="00AD5411" w:rsidRPr="000A2294">
          <w:rPr>
            <w:rStyle w:val="Hyperlink"/>
            <w:sz w:val="20"/>
            <w:szCs w:val="20"/>
            <w:lang w:val="fr-CA"/>
          </w:rPr>
          <w:t>402</w:t>
        </w:r>
        <w:r w:rsidR="00786DB0" w:rsidRPr="000A2294">
          <w:rPr>
            <w:rStyle w:val="Hyperlink"/>
            <w:sz w:val="20"/>
            <w:szCs w:val="20"/>
            <w:lang w:val="fr-CA"/>
          </w:rPr>
          <w:t>44</w:t>
        </w:r>
      </w:hyperlink>
      <w:r w:rsidR="00AD5411" w:rsidRPr="000A2294">
        <w:rPr>
          <w:sz w:val="20"/>
          <w:szCs w:val="20"/>
          <w:lang w:val="fr-CA"/>
        </w:rPr>
        <w:t>)</w:t>
      </w:r>
    </w:p>
    <w:p w:rsidR="00EA3314" w:rsidRPr="000A2294" w:rsidRDefault="00EA3314" w:rsidP="0001621B">
      <w:pPr>
        <w:tabs>
          <w:tab w:val="left" w:pos="360"/>
        </w:tabs>
        <w:ind w:left="357" w:hanging="357"/>
        <w:rPr>
          <w:sz w:val="20"/>
          <w:lang w:val="fr-CA"/>
        </w:rPr>
      </w:pPr>
    </w:p>
    <w:p w:rsidR="00EA3314" w:rsidRPr="000A2294" w:rsidRDefault="00EA3314" w:rsidP="0001621B">
      <w:pPr>
        <w:pStyle w:val="ListParagraph"/>
        <w:numPr>
          <w:ilvl w:val="0"/>
          <w:numId w:val="43"/>
        </w:numPr>
        <w:tabs>
          <w:tab w:val="left" w:pos="360"/>
        </w:tabs>
        <w:ind w:left="357" w:hanging="357"/>
        <w:rPr>
          <w:sz w:val="20"/>
          <w:szCs w:val="20"/>
          <w:lang w:val="fr-CA"/>
        </w:rPr>
      </w:pPr>
      <w:r w:rsidRPr="000A2294">
        <w:rPr>
          <w:i/>
          <w:sz w:val="20"/>
          <w:szCs w:val="20"/>
          <w:lang w:val="fr-CA"/>
        </w:rPr>
        <w:t xml:space="preserve">N. Turenne Brique et Pierre inc., </w:t>
      </w:r>
      <w:r w:rsidR="00786DB0" w:rsidRPr="000A2294">
        <w:rPr>
          <w:i/>
          <w:sz w:val="20"/>
          <w:szCs w:val="20"/>
          <w:lang w:val="fr-CA"/>
        </w:rPr>
        <w:t>et al.</w:t>
      </w:r>
      <w:r w:rsidRPr="000A2294">
        <w:rPr>
          <w:i/>
          <w:sz w:val="20"/>
          <w:szCs w:val="20"/>
          <w:lang w:val="fr-CA"/>
        </w:rPr>
        <w:t xml:space="preserve"> c. FTQ-Construction</w:t>
      </w:r>
      <w:r w:rsidRPr="000A2294">
        <w:rPr>
          <w:sz w:val="20"/>
          <w:szCs w:val="20"/>
          <w:lang w:val="fr-CA"/>
        </w:rPr>
        <w:t xml:space="preserve"> (Qc) (Civile) (Autorisation)</w:t>
      </w:r>
      <w:r w:rsidR="00AD5411" w:rsidRPr="000A2294">
        <w:rPr>
          <w:sz w:val="20"/>
          <w:szCs w:val="20"/>
          <w:lang w:val="fr-CA"/>
        </w:rPr>
        <w:t xml:space="preserve"> (</w:t>
      </w:r>
      <w:hyperlink r:id="rId18" w:history="1">
        <w:r w:rsidR="00AD5411" w:rsidRPr="000A2294">
          <w:rPr>
            <w:rStyle w:val="Hyperlink"/>
            <w:sz w:val="20"/>
            <w:szCs w:val="20"/>
            <w:lang w:val="fr-CA"/>
          </w:rPr>
          <w:t>40</w:t>
        </w:r>
        <w:r w:rsidR="00786DB0" w:rsidRPr="000A2294">
          <w:rPr>
            <w:rStyle w:val="Hyperlink"/>
            <w:sz w:val="20"/>
            <w:szCs w:val="20"/>
            <w:lang w:val="fr-CA"/>
          </w:rPr>
          <w:t>385</w:t>
        </w:r>
      </w:hyperlink>
      <w:r w:rsidR="00AD5411" w:rsidRPr="000A2294">
        <w:rPr>
          <w:sz w:val="20"/>
          <w:szCs w:val="20"/>
          <w:lang w:val="fr-CA"/>
        </w:rPr>
        <w:t>)</w:t>
      </w:r>
    </w:p>
    <w:p w:rsidR="00EA3314" w:rsidRPr="000A2294" w:rsidRDefault="00EA3314" w:rsidP="0001621B">
      <w:pPr>
        <w:tabs>
          <w:tab w:val="left" w:pos="360"/>
        </w:tabs>
        <w:ind w:left="357" w:hanging="357"/>
        <w:rPr>
          <w:sz w:val="20"/>
          <w:lang w:val="fr-CA"/>
        </w:rPr>
      </w:pPr>
    </w:p>
    <w:p w:rsidR="00EA3314" w:rsidRPr="000A2294" w:rsidRDefault="00EA3314" w:rsidP="0001621B">
      <w:pPr>
        <w:pStyle w:val="ListParagraph"/>
        <w:numPr>
          <w:ilvl w:val="0"/>
          <w:numId w:val="43"/>
        </w:numPr>
        <w:tabs>
          <w:tab w:val="left" w:pos="360"/>
        </w:tabs>
        <w:ind w:left="357" w:hanging="357"/>
        <w:rPr>
          <w:sz w:val="20"/>
          <w:szCs w:val="20"/>
          <w:lang w:val="fr-CA"/>
        </w:rPr>
      </w:pPr>
      <w:r w:rsidRPr="000A2294">
        <w:rPr>
          <w:i/>
          <w:sz w:val="20"/>
          <w:szCs w:val="20"/>
          <w:lang w:val="fr-CA"/>
        </w:rPr>
        <w:t>CAE Inc. c. Sa Majesté le Roi</w:t>
      </w:r>
      <w:r w:rsidRPr="000A2294">
        <w:rPr>
          <w:sz w:val="20"/>
          <w:szCs w:val="20"/>
          <w:lang w:val="fr-CA"/>
        </w:rPr>
        <w:t xml:space="preserve"> (</w:t>
      </w:r>
      <w:r w:rsidR="00786DB0" w:rsidRPr="000A2294">
        <w:rPr>
          <w:sz w:val="20"/>
          <w:szCs w:val="20"/>
          <w:lang w:val="fr-CA"/>
        </w:rPr>
        <w:t>C</w:t>
      </w:r>
      <w:r w:rsidR="000F714A" w:rsidRPr="000A2294">
        <w:rPr>
          <w:sz w:val="20"/>
          <w:szCs w:val="20"/>
          <w:lang w:val="fr-CA"/>
        </w:rPr>
        <w:t>.</w:t>
      </w:r>
      <w:r w:rsidR="00786DB0" w:rsidRPr="000A2294">
        <w:rPr>
          <w:sz w:val="20"/>
          <w:szCs w:val="20"/>
          <w:lang w:val="fr-CA"/>
        </w:rPr>
        <w:t>F</w:t>
      </w:r>
      <w:r w:rsidRPr="000A2294">
        <w:rPr>
          <w:sz w:val="20"/>
          <w:szCs w:val="20"/>
          <w:lang w:val="fr-CA"/>
        </w:rPr>
        <w:t>.) (Civile) (Autorisation)</w:t>
      </w:r>
      <w:r w:rsidR="00AD5411" w:rsidRPr="000A2294">
        <w:rPr>
          <w:sz w:val="20"/>
          <w:szCs w:val="20"/>
          <w:lang w:val="fr-CA"/>
        </w:rPr>
        <w:t xml:space="preserve"> (</w:t>
      </w:r>
      <w:hyperlink r:id="rId19" w:history="1">
        <w:r w:rsidR="00AD5411" w:rsidRPr="000A2294">
          <w:rPr>
            <w:rStyle w:val="Hyperlink"/>
            <w:sz w:val="20"/>
            <w:szCs w:val="20"/>
          </w:rPr>
          <w:t>40</w:t>
        </w:r>
        <w:r w:rsidR="00786DB0" w:rsidRPr="000A2294">
          <w:rPr>
            <w:rStyle w:val="Hyperlink"/>
            <w:sz w:val="20"/>
            <w:szCs w:val="20"/>
          </w:rPr>
          <w:t>504</w:t>
        </w:r>
      </w:hyperlink>
      <w:r w:rsidR="00AD5411" w:rsidRPr="000A2294">
        <w:rPr>
          <w:sz w:val="20"/>
          <w:szCs w:val="20"/>
        </w:rPr>
        <w:t>)</w:t>
      </w:r>
    </w:p>
    <w:p w:rsidR="00EA3314" w:rsidRPr="000A2294" w:rsidRDefault="00EA3314" w:rsidP="0001621B">
      <w:pPr>
        <w:tabs>
          <w:tab w:val="left" w:pos="360"/>
        </w:tabs>
        <w:ind w:left="357" w:hanging="357"/>
        <w:rPr>
          <w:sz w:val="20"/>
          <w:lang w:val="fr-CA"/>
        </w:rPr>
      </w:pPr>
    </w:p>
    <w:p w:rsidR="00EA3314" w:rsidRPr="000A2294" w:rsidRDefault="00EA3314" w:rsidP="0001621B">
      <w:pPr>
        <w:pStyle w:val="ListParagraph"/>
        <w:numPr>
          <w:ilvl w:val="0"/>
          <w:numId w:val="43"/>
        </w:numPr>
        <w:tabs>
          <w:tab w:val="left" w:pos="360"/>
        </w:tabs>
        <w:ind w:left="357" w:hanging="357"/>
        <w:rPr>
          <w:sz w:val="20"/>
          <w:szCs w:val="20"/>
          <w:lang w:val="en-CA"/>
        </w:rPr>
      </w:pPr>
      <w:r w:rsidRPr="000A2294">
        <w:rPr>
          <w:i/>
          <w:sz w:val="20"/>
          <w:szCs w:val="20"/>
          <w:lang w:val="en-CA"/>
        </w:rPr>
        <w:t xml:space="preserve">His Majesty the King in Right of the Province of British Columbia v. Apotex Inc., Apotex Pharmaceutical Holdings, Inc., </w:t>
      </w:r>
      <w:r w:rsidR="00BC4B67" w:rsidRPr="000A2294">
        <w:rPr>
          <w:i/>
          <w:sz w:val="20"/>
          <w:szCs w:val="20"/>
          <w:lang w:val="en-CA"/>
        </w:rPr>
        <w:t>et al.</w:t>
      </w:r>
      <w:r w:rsidRPr="000A2294">
        <w:rPr>
          <w:sz w:val="20"/>
          <w:szCs w:val="20"/>
          <w:lang w:val="en-CA"/>
        </w:rPr>
        <w:t xml:space="preserve"> (B.C.) (Civil) (By Leave)</w:t>
      </w:r>
      <w:r w:rsidR="00AD5411" w:rsidRPr="000A2294">
        <w:rPr>
          <w:sz w:val="20"/>
          <w:szCs w:val="20"/>
          <w:lang w:val="en-CA"/>
        </w:rPr>
        <w:t xml:space="preserve"> </w:t>
      </w:r>
      <w:r w:rsidR="00AD5411" w:rsidRPr="000A2294">
        <w:rPr>
          <w:sz w:val="20"/>
          <w:szCs w:val="20"/>
        </w:rPr>
        <w:t>(</w:t>
      </w:r>
      <w:hyperlink r:id="rId20" w:history="1">
        <w:r w:rsidR="00AD5411" w:rsidRPr="000A2294">
          <w:rPr>
            <w:rStyle w:val="Hyperlink"/>
            <w:sz w:val="20"/>
            <w:szCs w:val="20"/>
          </w:rPr>
          <w:t>40</w:t>
        </w:r>
        <w:r w:rsidR="00BC4B67" w:rsidRPr="000A2294">
          <w:rPr>
            <w:rStyle w:val="Hyperlink"/>
            <w:sz w:val="20"/>
            <w:szCs w:val="20"/>
          </w:rPr>
          <w:t>556</w:t>
        </w:r>
      </w:hyperlink>
      <w:r w:rsidR="00AD5411" w:rsidRPr="000A2294">
        <w:rPr>
          <w:sz w:val="20"/>
          <w:szCs w:val="20"/>
        </w:rPr>
        <w:t>)</w:t>
      </w:r>
    </w:p>
    <w:p w:rsidR="00EA3314" w:rsidRPr="000A2294" w:rsidRDefault="00EA3314" w:rsidP="0001621B">
      <w:pPr>
        <w:tabs>
          <w:tab w:val="left" w:pos="360"/>
        </w:tabs>
        <w:ind w:left="357" w:hanging="357"/>
        <w:rPr>
          <w:sz w:val="20"/>
          <w:lang w:val="en-CA"/>
        </w:rPr>
      </w:pPr>
    </w:p>
    <w:p w:rsidR="00EA3314" w:rsidRPr="000A2294" w:rsidRDefault="00EA3314" w:rsidP="0001621B">
      <w:pPr>
        <w:pStyle w:val="ListParagraph"/>
        <w:numPr>
          <w:ilvl w:val="0"/>
          <w:numId w:val="43"/>
        </w:numPr>
        <w:tabs>
          <w:tab w:val="left" w:pos="360"/>
        </w:tabs>
        <w:ind w:left="357" w:hanging="357"/>
        <w:rPr>
          <w:sz w:val="20"/>
          <w:szCs w:val="20"/>
          <w:lang w:val="en-CA"/>
        </w:rPr>
      </w:pPr>
      <w:r w:rsidRPr="000A2294">
        <w:rPr>
          <w:i/>
          <w:sz w:val="20"/>
          <w:szCs w:val="20"/>
          <w:lang w:val="en-CA"/>
        </w:rPr>
        <w:lastRenderedPageBreak/>
        <w:t>Robyn Cove v. His Majesty the King</w:t>
      </w:r>
      <w:r w:rsidRPr="000A2294">
        <w:rPr>
          <w:sz w:val="20"/>
          <w:szCs w:val="20"/>
          <w:lang w:val="en-CA"/>
        </w:rPr>
        <w:t xml:space="preserve"> (Ont.) (Criminal) (By Leave)</w:t>
      </w:r>
      <w:r w:rsidR="00AD5411" w:rsidRPr="000A2294">
        <w:rPr>
          <w:sz w:val="20"/>
          <w:szCs w:val="20"/>
          <w:lang w:val="en-CA"/>
        </w:rPr>
        <w:t xml:space="preserve"> </w:t>
      </w:r>
      <w:r w:rsidR="00AD5411" w:rsidRPr="000A2294">
        <w:rPr>
          <w:sz w:val="20"/>
          <w:szCs w:val="20"/>
        </w:rPr>
        <w:t>(</w:t>
      </w:r>
      <w:hyperlink r:id="rId21" w:history="1">
        <w:r w:rsidR="00AD5411" w:rsidRPr="000A2294">
          <w:rPr>
            <w:rStyle w:val="Hyperlink"/>
            <w:sz w:val="20"/>
            <w:szCs w:val="20"/>
          </w:rPr>
          <w:t>40</w:t>
        </w:r>
        <w:r w:rsidR="00BC4B67" w:rsidRPr="000A2294">
          <w:rPr>
            <w:rStyle w:val="Hyperlink"/>
            <w:sz w:val="20"/>
            <w:szCs w:val="20"/>
          </w:rPr>
          <w:t>610</w:t>
        </w:r>
      </w:hyperlink>
      <w:r w:rsidR="00AD5411" w:rsidRPr="000A2294">
        <w:rPr>
          <w:sz w:val="20"/>
          <w:szCs w:val="20"/>
        </w:rPr>
        <w:t>)</w:t>
      </w:r>
    </w:p>
    <w:p w:rsidR="00EA3314" w:rsidRPr="000A2294" w:rsidRDefault="00EA3314" w:rsidP="0001621B">
      <w:pPr>
        <w:tabs>
          <w:tab w:val="left" w:pos="360"/>
        </w:tabs>
        <w:ind w:left="357" w:hanging="357"/>
        <w:rPr>
          <w:sz w:val="20"/>
        </w:rPr>
      </w:pPr>
    </w:p>
    <w:p w:rsidR="00EA3314" w:rsidRPr="000A2294" w:rsidRDefault="00EA3314" w:rsidP="0001621B">
      <w:pPr>
        <w:pStyle w:val="ListParagraph"/>
        <w:numPr>
          <w:ilvl w:val="0"/>
          <w:numId w:val="43"/>
        </w:numPr>
        <w:tabs>
          <w:tab w:val="left" w:pos="360"/>
        </w:tabs>
        <w:ind w:left="357" w:hanging="357"/>
        <w:rPr>
          <w:i/>
          <w:sz w:val="20"/>
          <w:szCs w:val="20"/>
          <w:lang w:val="fr-CA"/>
        </w:rPr>
      </w:pPr>
      <w:r w:rsidRPr="000A2294">
        <w:rPr>
          <w:i/>
          <w:sz w:val="20"/>
          <w:szCs w:val="20"/>
          <w:lang w:val="fr-CA"/>
        </w:rPr>
        <w:t xml:space="preserve">A.B., </w:t>
      </w:r>
      <w:r w:rsidR="00EA2861" w:rsidRPr="000A2294">
        <w:rPr>
          <w:i/>
          <w:sz w:val="20"/>
          <w:szCs w:val="20"/>
          <w:lang w:val="fr-CA"/>
        </w:rPr>
        <w:t>et al.</w:t>
      </w:r>
      <w:r w:rsidRPr="000A2294">
        <w:rPr>
          <w:i/>
          <w:sz w:val="20"/>
          <w:szCs w:val="20"/>
          <w:lang w:val="fr-CA"/>
        </w:rPr>
        <w:t xml:space="preserve"> c. Jean-François Robillard, </w:t>
      </w:r>
      <w:r w:rsidR="00EA2861" w:rsidRPr="000A2294">
        <w:rPr>
          <w:i/>
          <w:sz w:val="20"/>
          <w:szCs w:val="20"/>
          <w:lang w:val="fr-CA"/>
        </w:rPr>
        <w:t>et al.</w:t>
      </w:r>
      <w:r w:rsidRPr="000A2294">
        <w:rPr>
          <w:sz w:val="20"/>
          <w:szCs w:val="20"/>
          <w:lang w:val="fr-CA"/>
        </w:rPr>
        <w:t xml:space="preserve"> (Qc) (Civile) (Autorisation)</w:t>
      </w:r>
      <w:r w:rsidR="00AD5411" w:rsidRPr="000A2294">
        <w:rPr>
          <w:sz w:val="20"/>
          <w:szCs w:val="20"/>
          <w:lang w:val="fr-CA"/>
        </w:rPr>
        <w:t xml:space="preserve"> (</w:t>
      </w:r>
      <w:hyperlink r:id="rId22" w:history="1">
        <w:r w:rsidR="00AD5411" w:rsidRPr="000A2294">
          <w:rPr>
            <w:rStyle w:val="Hyperlink"/>
            <w:sz w:val="20"/>
            <w:szCs w:val="20"/>
            <w:lang w:val="fr-CA"/>
          </w:rPr>
          <w:t>40</w:t>
        </w:r>
        <w:r w:rsidR="00EA2861" w:rsidRPr="000A2294">
          <w:rPr>
            <w:rStyle w:val="Hyperlink"/>
            <w:sz w:val="20"/>
            <w:szCs w:val="20"/>
            <w:lang w:val="fr-CA"/>
          </w:rPr>
          <w:t>446</w:t>
        </w:r>
      </w:hyperlink>
      <w:r w:rsidR="00AD5411" w:rsidRPr="000A2294">
        <w:rPr>
          <w:sz w:val="20"/>
          <w:szCs w:val="20"/>
          <w:lang w:val="fr-CA"/>
        </w:rPr>
        <w:t>)</w:t>
      </w:r>
    </w:p>
    <w:p w:rsidR="00EA3314" w:rsidRPr="000A2294" w:rsidRDefault="00EA3314" w:rsidP="0001621B">
      <w:pPr>
        <w:tabs>
          <w:tab w:val="left" w:pos="360"/>
        </w:tabs>
        <w:ind w:left="357" w:hanging="357"/>
        <w:rPr>
          <w:sz w:val="20"/>
          <w:lang w:val="fr-CA"/>
        </w:rPr>
      </w:pPr>
    </w:p>
    <w:p w:rsidR="00EA3314" w:rsidRPr="000A2294" w:rsidRDefault="00EA3314" w:rsidP="0001621B">
      <w:pPr>
        <w:pStyle w:val="ListParagraph"/>
        <w:numPr>
          <w:ilvl w:val="0"/>
          <w:numId w:val="43"/>
        </w:numPr>
        <w:tabs>
          <w:tab w:val="left" w:pos="360"/>
        </w:tabs>
        <w:ind w:left="357" w:hanging="357"/>
        <w:rPr>
          <w:sz w:val="20"/>
          <w:szCs w:val="20"/>
          <w:lang w:val="fr-CA"/>
        </w:rPr>
      </w:pPr>
      <w:r w:rsidRPr="000A2294">
        <w:rPr>
          <w:i/>
          <w:sz w:val="20"/>
          <w:szCs w:val="20"/>
          <w:lang w:val="fr-CA"/>
        </w:rPr>
        <w:t>Louise-Anne Gélinas c. Diane Gareau, en sa qualité de syndique de la Chambre des notaires du Québec</w:t>
      </w:r>
      <w:r w:rsidRPr="000A2294">
        <w:rPr>
          <w:sz w:val="20"/>
          <w:szCs w:val="20"/>
          <w:lang w:val="fr-CA"/>
        </w:rPr>
        <w:t xml:space="preserve"> (Qc) (Civile) (Autorisation)</w:t>
      </w:r>
      <w:r w:rsidR="00AD5411" w:rsidRPr="000A2294">
        <w:rPr>
          <w:sz w:val="20"/>
          <w:szCs w:val="20"/>
          <w:lang w:val="fr-CA"/>
        </w:rPr>
        <w:t xml:space="preserve"> (</w:t>
      </w:r>
      <w:hyperlink r:id="rId23" w:history="1">
        <w:r w:rsidR="00AD5411" w:rsidRPr="000A2294">
          <w:rPr>
            <w:rStyle w:val="Hyperlink"/>
            <w:sz w:val="20"/>
            <w:szCs w:val="20"/>
            <w:lang w:val="fr-CA"/>
          </w:rPr>
          <w:t>40</w:t>
        </w:r>
        <w:r w:rsidR="006E747C" w:rsidRPr="000A2294">
          <w:rPr>
            <w:rStyle w:val="Hyperlink"/>
            <w:sz w:val="20"/>
            <w:szCs w:val="20"/>
            <w:lang w:val="fr-CA"/>
          </w:rPr>
          <w:t>5</w:t>
        </w:r>
        <w:r w:rsidR="00AD5411" w:rsidRPr="000A2294">
          <w:rPr>
            <w:rStyle w:val="Hyperlink"/>
            <w:sz w:val="20"/>
            <w:szCs w:val="20"/>
            <w:lang w:val="fr-CA"/>
          </w:rPr>
          <w:t>2</w:t>
        </w:r>
        <w:r w:rsidR="006E747C" w:rsidRPr="000A2294">
          <w:rPr>
            <w:rStyle w:val="Hyperlink"/>
            <w:sz w:val="20"/>
            <w:szCs w:val="20"/>
            <w:lang w:val="fr-CA"/>
          </w:rPr>
          <w:t>8</w:t>
        </w:r>
      </w:hyperlink>
      <w:r w:rsidR="00AD5411" w:rsidRPr="000A2294">
        <w:rPr>
          <w:sz w:val="20"/>
          <w:szCs w:val="20"/>
          <w:lang w:val="fr-CA"/>
        </w:rPr>
        <w:t>)</w:t>
      </w:r>
    </w:p>
    <w:p w:rsidR="00EA3314" w:rsidRPr="000A2294" w:rsidRDefault="00EA3314" w:rsidP="0001621B">
      <w:pPr>
        <w:tabs>
          <w:tab w:val="left" w:pos="360"/>
        </w:tabs>
        <w:ind w:left="357" w:hanging="357"/>
        <w:rPr>
          <w:sz w:val="20"/>
          <w:lang w:val="fr-CA"/>
        </w:rPr>
      </w:pPr>
    </w:p>
    <w:p w:rsidR="00EA3314" w:rsidRPr="000A2294" w:rsidRDefault="00EA3314" w:rsidP="0001621B">
      <w:pPr>
        <w:pStyle w:val="ListParagraph"/>
        <w:numPr>
          <w:ilvl w:val="0"/>
          <w:numId w:val="43"/>
        </w:numPr>
        <w:tabs>
          <w:tab w:val="left" w:pos="360"/>
        </w:tabs>
        <w:ind w:left="357" w:hanging="357"/>
        <w:rPr>
          <w:sz w:val="20"/>
          <w:szCs w:val="20"/>
          <w:lang w:val="en-CA"/>
        </w:rPr>
      </w:pPr>
      <w:r w:rsidRPr="000A2294">
        <w:rPr>
          <w:i/>
          <w:sz w:val="20"/>
          <w:szCs w:val="20"/>
          <w:lang w:val="en-CA"/>
        </w:rPr>
        <w:t>Kevin Drizen v. MBM Intellectual Property Law LLP</w:t>
      </w:r>
      <w:r w:rsidRPr="000A2294">
        <w:rPr>
          <w:sz w:val="20"/>
          <w:szCs w:val="20"/>
        </w:rPr>
        <w:t xml:space="preserve"> (Ont.) (Civil) (By Leave</w:t>
      </w:r>
      <w:r w:rsidRPr="000A2294">
        <w:rPr>
          <w:sz w:val="20"/>
          <w:szCs w:val="20"/>
          <w:lang w:val="en-CA"/>
        </w:rPr>
        <w:t>)</w:t>
      </w:r>
      <w:r w:rsidR="00AD5411" w:rsidRPr="000A2294">
        <w:rPr>
          <w:sz w:val="20"/>
          <w:szCs w:val="20"/>
          <w:lang w:val="en-CA"/>
        </w:rPr>
        <w:t xml:space="preserve"> </w:t>
      </w:r>
      <w:r w:rsidR="00AD5411" w:rsidRPr="000A2294">
        <w:rPr>
          <w:sz w:val="20"/>
          <w:szCs w:val="20"/>
        </w:rPr>
        <w:t>(</w:t>
      </w:r>
      <w:hyperlink r:id="rId24" w:history="1">
        <w:r w:rsidR="00AD5411" w:rsidRPr="000A2294">
          <w:rPr>
            <w:rStyle w:val="Hyperlink"/>
            <w:sz w:val="20"/>
            <w:szCs w:val="20"/>
          </w:rPr>
          <w:t>40</w:t>
        </w:r>
        <w:r w:rsidR="006E747C" w:rsidRPr="000A2294">
          <w:rPr>
            <w:rStyle w:val="Hyperlink"/>
            <w:sz w:val="20"/>
            <w:szCs w:val="20"/>
          </w:rPr>
          <w:t>5</w:t>
        </w:r>
        <w:r w:rsidR="00AD5411" w:rsidRPr="000A2294">
          <w:rPr>
            <w:rStyle w:val="Hyperlink"/>
            <w:sz w:val="20"/>
            <w:szCs w:val="20"/>
          </w:rPr>
          <w:t>9</w:t>
        </w:r>
        <w:r w:rsidR="006E747C" w:rsidRPr="000A2294">
          <w:rPr>
            <w:rStyle w:val="Hyperlink"/>
            <w:sz w:val="20"/>
            <w:szCs w:val="20"/>
          </w:rPr>
          <w:t>1</w:t>
        </w:r>
      </w:hyperlink>
      <w:r w:rsidR="00AD5411" w:rsidRPr="000A2294">
        <w:rPr>
          <w:sz w:val="20"/>
          <w:szCs w:val="20"/>
        </w:rPr>
        <w:t>)</w:t>
      </w:r>
    </w:p>
    <w:p w:rsidR="00E20752" w:rsidRPr="000A2294" w:rsidRDefault="00E20752" w:rsidP="0001621B">
      <w:pPr>
        <w:ind w:left="357" w:hanging="357"/>
        <w:rPr>
          <w:sz w:val="20"/>
        </w:rPr>
      </w:pPr>
    </w:p>
    <w:p w:rsidR="0001621B" w:rsidRPr="000A2294" w:rsidRDefault="0001621B" w:rsidP="0001621B">
      <w:pPr>
        <w:pStyle w:val="ListParagraph"/>
        <w:numPr>
          <w:ilvl w:val="0"/>
          <w:numId w:val="43"/>
        </w:numPr>
        <w:ind w:left="357" w:hanging="357"/>
        <w:rPr>
          <w:sz w:val="20"/>
          <w:szCs w:val="20"/>
        </w:rPr>
      </w:pPr>
      <w:r w:rsidRPr="000A2294">
        <w:rPr>
          <w:i/>
          <w:sz w:val="20"/>
          <w:szCs w:val="20"/>
          <w:lang w:val="fr-CA"/>
        </w:rPr>
        <w:t>Kootenay Zinc Corporation, et al. v. Michael Tietz, et al.</w:t>
      </w:r>
      <w:r w:rsidRPr="000A2294">
        <w:rPr>
          <w:sz w:val="20"/>
          <w:szCs w:val="20"/>
          <w:lang w:val="fr-CA"/>
        </w:rPr>
        <w:t xml:space="preserve"> </w:t>
      </w:r>
      <w:r w:rsidRPr="000A2294">
        <w:rPr>
          <w:sz w:val="20"/>
          <w:szCs w:val="20"/>
        </w:rPr>
        <w:t>(B.C.) (Civil) (By Leave)</w:t>
      </w:r>
      <w:r w:rsidR="00AD5411" w:rsidRPr="000A2294">
        <w:rPr>
          <w:sz w:val="20"/>
          <w:szCs w:val="20"/>
        </w:rPr>
        <w:t xml:space="preserve"> (</w:t>
      </w:r>
      <w:hyperlink r:id="rId25" w:history="1">
        <w:r w:rsidR="00AD5411" w:rsidRPr="000A2294">
          <w:rPr>
            <w:rStyle w:val="Hyperlink"/>
            <w:sz w:val="20"/>
            <w:szCs w:val="20"/>
          </w:rPr>
          <w:t>40</w:t>
        </w:r>
        <w:r w:rsidR="00242D81" w:rsidRPr="000A2294">
          <w:rPr>
            <w:rStyle w:val="Hyperlink"/>
            <w:sz w:val="20"/>
            <w:szCs w:val="20"/>
          </w:rPr>
          <w:t>45</w:t>
        </w:r>
        <w:r w:rsidR="00AD5411" w:rsidRPr="000A2294">
          <w:rPr>
            <w:rStyle w:val="Hyperlink"/>
            <w:sz w:val="20"/>
            <w:szCs w:val="20"/>
          </w:rPr>
          <w:t>3</w:t>
        </w:r>
      </w:hyperlink>
      <w:r w:rsidR="00AD5411" w:rsidRPr="000A2294">
        <w:rPr>
          <w:sz w:val="20"/>
          <w:szCs w:val="20"/>
        </w:rPr>
        <w:t>)</w:t>
      </w:r>
    </w:p>
    <w:p w:rsidR="0001621B" w:rsidRPr="000A2294" w:rsidRDefault="0001621B" w:rsidP="0001621B">
      <w:pPr>
        <w:ind w:left="357" w:hanging="357"/>
        <w:rPr>
          <w:sz w:val="20"/>
        </w:rPr>
      </w:pPr>
    </w:p>
    <w:p w:rsidR="0001621B" w:rsidRPr="000A2294" w:rsidRDefault="0001621B" w:rsidP="0001621B">
      <w:pPr>
        <w:pStyle w:val="ListParagraph"/>
        <w:numPr>
          <w:ilvl w:val="0"/>
          <w:numId w:val="43"/>
        </w:numPr>
        <w:ind w:left="357" w:hanging="357"/>
        <w:rPr>
          <w:sz w:val="20"/>
          <w:szCs w:val="20"/>
          <w:lang w:val="en-CA"/>
        </w:rPr>
      </w:pPr>
      <w:r w:rsidRPr="000A2294">
        <w:rPr>
          <w:i/>
          <w:sz w:val="20"/>
          <w:szCs w:val="20"/>
        </w:rPr>
        <w:t>Affinor Growers Inc. v. Michael Tietz, et al.</w:t>
      </w:r>
      <w:r w:rsidRPr="000A2294">
        <w:rPr>
          <w:sz w:val="20"/>
          <w:szCs w:val="20"/>
        </w:rPr>
        <w:t xml:space="preserve"> (B.C.) (Civil) (By Leave)</w:t>
      </w:r>
      <w:r w:rsidR="00AD5411" w:rsidRPr="000A2294">
        <w:rPr>
          <w:sz w:val="20"/>
          <w:szCs w:val="20"/>
        </w:rPr>
        <w:t xml:space="preserve"> (</w:t>
      </w:r>
      <w:hyperlink r:id="rId26" w:history="1">
        <w:r w:rsidR="00AD5411" w:rsidRPr="000A2294">
          <w:rPr>
            <w:rStyle w:val="Hyperlink"/>
            <w:sz w:val="20"/>
            <w:szCs w:val="20"/>
          </w:rPr>
          <w:t>40</w:t>
        </w:r>
        <w:r w:rsidR="00242D81" w:rsidRPr="000A2294">
          <w:rPr>
            <w:rStyle w:val="Hyperlink"/>
            <w:sz w:val="20"/>
            <w:szCs w:val="20"/>
          </w:rPr>
          <w:t>458</w:t>
        </w:r>
      </w:hyperlink>
      <w:r w:rsidR="00AD5411" w:rsidRPr="000A2294">
        <w:rPr>
          <w:sz w:val="20"/>
          <w:szCs w:val="20"/>
        </w:rPr>
        <w:t>)</w:t>
      </w:r>
    </w:p>
    <w:p w:rsidR="0001621B" w:rsidRPr="000A2294" w:rsidRDefault="0001621B" w:rsidP="0001621B">
      <w:pPr>
        <w:ind w:left="357" w:hanging="357"/>
        <w:rPr>
          <w:sz w:val="20"/>
        </w:rPr>
      </w:pPr>
      <w:bookmarkStart w:id="0" w:name="_GoBack"/>
      <w:bookmarkEnd w:id="0"/>
    </w:p>
    <w:p w:rsidR="0001621B" w:rsidRPr="000A2294" w:rsidRDefault="0001621B" w:rsidP="0001621B">
      <w:pPr>
        <w:pStyle w:val="ListParagraph"/>
        <w:numPr>
          <w:ilvl w:val="0"/>
          <w:numId w:val="43"/>
        </w:numPr>
        <w:ind w:left="357" w:hanging="357"/>
        <w:rPr>
          <w:sz w:val="20"/>
          <w:szCs w:val="20"/>
        </w:rPr>
      </w:pPr>
      <w:r w:rsidRPr="000A2294">
        <w:rPr>
          <w:i/>
          <w:sz w:val="20"/>
          <w:szCs w:val="20"/>
          <w:lang w:val="fr-CA"/>
        </w:rPr>
        <w:t>Sam Chaudhry v. Michael Tietz, et al.</w:t>
      </w:r>
      <w:r w:rsidRPr="000A2294">
        <w:rPr>
          <w:sz w:val="20"/>
          <w:szCs w:val="20"/>
          <w:lang w:val="fr-CA"/>
        </w:rPr>
        <w:t xml:space="preserve"> </w:t>
      </w:r>
      <w:r w:rsidRPr="000A2294">
        <w:rPr>
          <w:sz w:val="20"/>
          <w:szCs w:val="20"/>
        </w:rPr>
        <w:t>(B.C.) (Civil) (By Leave)</w:t>
      </w:r>
      <w:r w:rsidR="00AD5411" w:rsidRPr="000A2294">
        <w:rPr>
          <w:sz w:val="20"/>
          <w:szCs w:val="20"/>
        </w:rPr>
        <w:t xml:space="preserve"> (</w:t>
      </w:r>
      <w:hyperlink r:id="rId27" w:history="1">
        <w:r w:rsidR="00AD5411" w:rsidRPr="000A2294">
          <w:rPr>
            <w:rStyle w:val="Hyperlink"/>
            <w:sz w:val="20"/>
            <w:szCs w:val="20"/>
          </w:rPr>
          <w:t>40</w:t>
        </w:r>
        <w:r w:rsidR="00242D81" w:rsidRPr="000A2294">
          <w:rPr>
            <w:rStyle w:val="Hyperlink"/>
            <w:sz w:val="20"/>
            <w:szCs w:val="20"/>
          </w:rPr>
          <w:t>459</w:t>
        </w:r>
      </w:hyperlink>
      <w:r w:rsidR="00AD5411" w:rsidRPr="000A2294">
        <w:rPr>
          <w:sz w:val="20"/>
          <w:szCs w:val="20"/>
        </w:rPr>
        <w:t>)</w:t>
      </w:r>
    </w:p>
    <w:p w:rsidR="0001621B" w:rsidRPr="000A2294" w:rsidRDefault="0001621B" w:rsidP="0001621B">
      <w:pPr>
        <w:ind w:left="357" w:hanging="357"/>
        <w:rPr>
          <w:sz w:val="20"/>
        </w:rPr>
      </w:pPr>
    </w:p>
    <w:p w:rsidR="0001621B" w:rsidRPr="000A2294" w:rsidRDefault="0001621B" w:rsidP="0001621B">
      <w:pPr>
        <w:pStyle w:val="ListParagraph"/>
        <w:numPr>
          <w:ilvl w:val="0"/>
          <w:numId w:val="43"/>
        </w:numPr>
        <w:ind w:left="357" w:hanging="357"/>
        <w:rPr>
          <w:sz w:val="20"/>
          <w:szCs w:val="20"/>
        </w:rPr>
      </w:pPr>
      <w:r w:rsidRPr="000A2294">
        <w:rPr>
          <w:i/>
          <w:sz w:val="20"/>
          <w:szCs w:val="20"/>
        </w:rPr>
        <w:t>Nicholas Brusatore v. Michael Tietz</w:t>
      </w:r>
      <w:r w:rsidRPr="00F935FF">
        <w:rPr>
          <w:i/>
          <w:sz w:val="20"/>
          <w:szCs w:val="20"/>
        </w:rPr>
        <w:t xml:space="preserve">, </w:t>
      </w:r>
      <w:r w:rsidRPr="00F935FF">
        <w:rPr>
          <w:i/>
          <w:sz w:val="20"/>
          <w:szCs w:val="20"/>
          <w:lang w:val="en-CA"/>
        </w:rPr>
        <w:t>et al.</w:t>
      </w:r>
      <w:r w:rsidRPr="000A2294">
        <w:rPr>
          <w:sz w:val="20"/>
          <w:szCs w:val="20"/>
          <w:lang w:val="en-CA"/>
        </w:rPr>
        <w:t xml:space="preserve"> </w:t>
      </w:r>
      <w:r w:rsidRPr="000A2294">
        <w:rPr>
          <w:sz w:val="20"/>
          <w:szCs w:val="20"/>
        </w:rPr>
        <w:t>(B.C.) (Civil) (By Leave)</w:t>
      </w:r>
      <w:r w:rsidR="00AD5411" w:rsidRPr="000A2294">
        <w:rPr>
          <w:sz w:val="20"/>
          <w:szCs w:val="20"/>
        </w:rPr>
        <w:t xml:space="preserve"> (</w:t>
      </w:r>
      <w:hyperlink r:id="rId28" w:history="1">
        <w:r w:rsidR="00AD5411" w:rsidRPr="000A2294">
          <w:rPr>
            <w:rStyle w:val="Hyperlink"/>
            <w:sz w:val="20"/>
            <w:szCs w:val="20"/>
          </w:rPr>
          <w:t>40</w:t>
        </w:r>
        <w:r w:rsidR="00242D81" w:rsidRPr="000A2294">
          <w:rPr>
            <w:rStyle w:val="Hyperlink"/>
            <w:sz w:val="20"/>
            <w:szCs w:val="20"/>
          </w:rPr>
          <w:t>632</w:t>
        </w:r>
      </w:hyperlink>
      <w:r w:rsidR="00AD5411" w:rsidRPr="000A2294">
        <w:rPr>
          <w:sz w:val="20"/>
          <w:szCs w:val="20"/>
        </w:rPr>
        <w:t>)</w:t>
      </w:r>
    </w:p>
    <w:p w:rsidR="0001621B" w:rsidRPr="000A2294" w:rsidRDefault="0001621B" w:rsidP="0001621B">
      <w:pPr>
        <w:ind w:left="357" w:hanging="357"/>
        <w:rPr>
          <w:sz w:val="20"/>
        </w:rPr>
      </w:pPr>
    </w:p>
    <w:p w:rsidR="0001621B" w:rsidRPr="000A2294" w:rsidRDefault="0001621B" w:rsidP="0001621B">
      <w:pPr>
        <w:pStyle w:val="SCCLsocParty"/>
        <w:numPr>
          <w:ilvl w:val="0"/>
          <w:numId w:val="43"/>
        </w:numPr>
        <w:ind w:left="357" w:hanging="357"/>
        <w:jc w:val="left"/>
        <w:rPr>
          <w:i/>
          <w:sz w:val="20"/>
          <w:szCs w:val="20"/>
        </w:rPr>
      </w:pPr>
      <w:r w:rsidRPr="000A2294">
        <w:rPr>
          <w:i/>
          <w:sz w:val="20"/>
          <w:szCs w:val="20"/>
        </w:rPr>
        <w:t>Jonathan Lafrenière-Milot c. Sa Majesté le Roi</w:t>
      </w:r>
      <w:r w:rsidRPr="000A2294">
        <w:rPr>
          <w:sz w:val="20"/>
          <w:szCs w:val="20"/>
        </w:rPr>
        <w:t xml:space="preserve"> (Qc) (Criminelle) (Autorisation)</w:t>
      </w:r>
      <w:r w:rsidR="00AD5411" w:rsidRPr="000A2294">
        <w:rPr>
          <w:sz w:val="20"/>
          <w:szCs w:val="20"/>
        </w:rPr>
        <w:t xml:space="preserve"> (</w:t>
      </w:r>
      <w:hyperlink r:id="rId29" w:history="1">
        <w:r w:rsidR="00AD5411" w:rsidRPr="000A2294">
          <w:rPr>
            <w:rStyle w:val="Hyperlink"/>
            <w:sz w:val="20"/>
            <w:szCs w:val="20"/>
          </w:rPr>
          <w:t>40</w:t>
        </w:r>
        <w:r w:rsidR="00242D81" w:rsidRPr="000A2294">
          <w:rPr>
            <w:rStyle w:val="Hyperlink"/>
            <w:sz w:val="20"/>
            <w:szCs w:val="20"/>
          </w:rPr>
          <w:t>380</w:t>
        </w:r>
      </w:hyperlink>
      <w:r w:rsidR="00AD5411" w:rsidRPr="000A2294">
        <w:rPr>
          <w:sz w:val="20"/>
          <w:szCs w:val="20"/>
        </w:rPr>
        <w:t>)</w:t>
      </w:r>
    </w:p>
    <w:p w:rsidR="0001621B" w:rsidRPr="000A2294" w:rsidRDefault="0001621B" w:rsidP="0001621B">
      <w:pPr>
        <w:ind w:left="357" w:hanging="357"/>
        <w:rPr>
          <w:sz w:val="20"/>
          <w:lang w:val="fr-CA"/>
        </w:rPr>
      </w:pPr>
    </w:p>
    <w:p w:rsidR="0001621B" w:rsidRPr="000A2294" w:rsidRDefault="0001621B" w:rsidP="0001621B">
      <w:pPr>
        <w:pStyle w:val="SCCLsocParty"/>
        <w:numPr>
          <w:ilvl w:val="0"/>
          <w:numId w:val="43"/>
        </w:numPr>
        <w:ind w:left="357" w:hanging="357"/>
        <w:jc w:val="left"/>
        <w:rPr>
          <w:i/>
          <w:sz w:val="20"/>
          <w:szCs w:val="20"/>
          <w:lang w:val="en-US"/>
        </w:rPr>
      </w:pPr>
      <w:r w:rsidRPr="000A2294">
        <w:rPr>
          <w:i/>
          <w:sz w:val="20"/>
          <w:szCs w:val="20"/>
          <w:lang w:val="en-US"/>
        </w:rPr>
        <w:t>Mitchell Lui v. His Majesty the King</w:t>
      </w:r>
      <w:r w:rsidRPr="000A2294">
        <w:rPr>
          <w:sz w:val="20"/>
          <w:szCs w:val="20"/>
          <w:lang w:val="en-US"/>
        </w:rPr>
        <w:t xml:space="preserve"> (N.B.) (Criminal) (By Leave)</w:t>
      </w:r>
      <w:r w:rsidR="00AD5411" w:rsidRPr="000A2294">
        <w:rPr>
          <w:sz w:val="20"/>
          <w:szCs w:val="20"/>
          <w:lang w:val="en-US"/>
        </w:rPr>
        <w:t xml:space="preserve"> </w:t>
      </w:r>
      <w:r w:rsidR="00AD5411" w:rsidRPr="000A2294">
        <w:rPr>
          <w:sz w:val="20"/>
          <w:szCs w:val="20"/>
        </w:rPr>
        <w:t>(</w:t>
      </w:r>
      <w:hyperlink r:id="rId30" w:history="1">
        <w:r w:rsidR="00AD5411" w:rsidRPr="000A2294">
          <w:rPr>
            <w:rStyle w:val="Hyperlink"/>
            <w:sz w:val="20"/>
            <w:szCs w:val="20"/>
          </w:rPr>
          <w:t>40</w:t>
        </w:r>
        <w:r w:rsidR="00C55AA8" w:rsidRPr="000A2294">
          <w:rPr>
            <w:rStyle w:val="Hyperlink"/>
            <w:sz w:val="20"/>
            <w:szCs w:val="20"/>
          </w:rPr>
          <w:t>537</w:t>
        </w:r>
      </w:hyperlink>
      <w:r w:rsidR="00AD5411" w:rsidRPr="000A2294">
        <w:rPr>
          <w:sz w:val="20"/>
          <w:szCs w:val="20"/>
        </w:rPr>
        <w:t>)</w:t>
      </w:r>
    </w:p>
    <w:p w:rsidR="0001621B" w:rsidRPr="000A2294" w:rsidRDefault="0001621B" w:rsidP="0001621B">
      <w:pPr>
        <w:ind w:left="357" w:hanging="357"/>
        <w:rPr>
          <w:sz w:val="20"/>
          <w:lang w:val="en-CA"/>
        </w:rPr>
      </w:pPr>
    </w:p>
    <w:p w:rsidR="0001621B" w:rsidRPr="000A2294" w:rsidRDefault="0001621B" w:rsidP="0001621B">
      <w:pPr>
        <w:pStyle w:val="SCCLsocParty"/>
        <w:numPr>
          <w:ilvl w:val="0"/>
          <w:numId w:val="43"/>
        </w:numPr>
        <w:ind w:left="357" w:hanging="357"/>
        <w:jc w:val="left"/>
        <w:rPr>
          <w:i/>
          <w:sz w:val="20"/>
          <w:szCs w:val="20"/>
          <w:lang w:val="en-US"/>
        </w:rPr>
      </w:pPr>
      <w:r w:rsidRPr="000A2294">
        <w:rPr>
          <w:i/>
          <w:sz w:val="20"/>
          <w:szCs w:val="20"/>
          <w:lang w:val="en-US"/>
        </w:rPr>
        <w:t>Michael Pohoresky, et al. v. Otsuka Pharmaceutical Company Limited, et al.</w:t>
      </w:r>
      <w:r w:rsidRPr="000A2294">
        <w:rPr>
          <w:sz w:val="20"/>
          <w:szCs w:val="20"/>
          <w:lang w:val="en-US"/>
        </w:rPr>
        <w:t xml:space="preserve"> (Que.) (Civil) (By Leave)</w:t>
      </w:r>
      <w:r w:rsidR="00AD5411" w:rsidRPr="000A2294">
        <w:rPr>
          <w:sz w:val="20"/>
          <w:szCs w:val="20"/>
          <w:lang w:val="en-US"/>
        </w:rPr>
        <w:t xml:space="preserve"> (</w:t>
      </w:r>
      <w:hyperlink r:id="rId31" w:history="1">
        <w:r w:rsidR="00AD5411" w:rsidRPr="000A2294">
          <w:rPr>
            <w:rStyle w:val="Hyperlink"/>
            <w:sz w:val="20"/>
            <w:szCs w:val="20"/>
            <w:lang w:val="en-US"/>
          </w:rPr>
          <w:t>40</w:t>
        </w:r>
        <w:r w:rsidR="00C55AA8" w:rsidRPr="000A2294">
          <w:rPr>
            <w:rStyle w:val="Hyperlink"/>
            <w:sz w:val="20"/>
            <w:szCs w:val="20"/>
            <w:lang w:val="en-US"/>
          </w:rPr>
          <w:t>452</w:t>
        </w:r>
      </w:hyperlink>
      <w:r w:rsidR="00AD5411" w:rsidRPr="000A2294">
        <w:rPr>
          <w:sz w:val="20"/>
          <w:szCs w:val="20"/>
          <w:lang w:val="en-US"/>
        </w:rPr>
        <w:t>)</w:t>
      </w:r>
    </w:p>
    <w:p w:rsidR="0001621B" w:rsidRPr="000A2294" w:rsidRDefault="0001621B" w:rsidP="0001621B">
      <w:pPr>
        <w:ind w:left="357" w:hanging="357"/>
        <w:rPr>
          <w:sz w:val="20"/>
        </w:rPr>
      </w:pPr>
    </w:p>
    <w:p w:rsidR="0001621B" w:rsidRPr="000A2294" w:rsidRDefault="0001621B" w:rsidP="0001621B">
      <w:pPr>
        <w:pStyle w:val="ListParagraph"/>
        <w:numPr>
          <w:ilvl w:val="0"/>
          <w:numId w:val="43"/>
        </w:numPr>
        <w:ind w:left="357" w:hanging="357"/>
        <w:rPr>
          <w:sz w:val="20"/>
          <w:szCs w:val="20"/>
          <w:lang w:val="fr-CA"/>
        </w:rPr>
      </w:pPr>
      <w:r w:rsidRPr="000A2294">
        <w:rPr>
          <w:i/>
          <w:sz w:val="20"/>
          <w:szCs w:val="20"/>
          <w:lang w:val="fr-CA"/>
        </w:rPr>
        <w:t xml:space="preserve">Éric Yvan Lemay c. Centre de santé </w:t>
      </w:r>
      <w:r w:rsidR="00C55AA8" w:rsidRPr="000A2294">
        <w:rPr>
          <w:i/>
          <w:sz w:val="20"/>
          <w:szCs w:val="20"/>
          <w:lang w:val="fr-CA"/>
        </w:rPr>
        <w:t xml:space="preserve">universitaire </w:t>
      </w:r>
      <w:r w:rsidRPr="000A2294">
        <w:rPr>
          <w:i/>
          <w:sz w:val="20"/>
          <w:szCs w:val="20"/>
          <w:lang w:val="fr-CA"/>
        </w:rPr>
        <w:t>McGill</w:t>
      </w:r>
      <w:r w:rsidRPr="000A2294">
        <w:rPr>
          <w:sz w:val="20"/>
          <w:szCs w:val="20"/>
          <w:lang w:val="fr-CA"/>
        </w:rPr>
        <w:t xml:space="preserve"> (Qc) (Civile) (Autorisation)</w:t>
      </w:r>
      <w:r w:rsidR="00AD5411" w:rsidRPr="000A2294">
        <w:rPr>
          <w:sz w:val="20"/>
          <w:szCs w:val="20"/>
          <w:lang w:val="fr-CA"/>
        </w:rPr>
        <w:t xml:space="preserve"> (</w:t>
      </w:r>
      <w:hyperlink r:id="rId32" w:history="1">
        <w:r w:rsidR="00AD5411" w:rsidRPr="000A2294">
          <w:rPr>
            <w:rStyle w:val="Hyperlink"/>
            <w:sz w:val="20"/>
            <w:szCs w:val="20"/>
            <w:lang w:val="fr-CA"/>
          </w:rPr>
          <w:t>40</w:t>
        </w:r>
        <w:r w:rsidR="00C55AA8" w:rsidRPr="000A2294">
          <w:rPr>
            <w:rStyle w:val="Hyperlink"/>
            <w:sz w:val="20"/>
            <w:szCs w:val="20"/>
            <w:lang w:val="fr-CA"/>
          </w:rPr>
          <w:t>534</w:t>
        </w:r>
      </w:hyperlink>
      <w:r w:rsidR="00AD5411" w:rsidRPr="000A2294">
        <w:rPr>
          <w:sz w:val="20"/>
          <w:szCs w:val="20"/>
          <w:lang w:val="fr-CA"/>
        </w:rPr>
        <w:t>)</w:t>
      </w:r>
    </w:p>
    <w:p w:rsidR="0074008A" w:rsidRPr="000A2294" w:rsidRDefault="0074008A" w:rsidP="00E028BD">
      <w:pPr>
        <w:jc w:val="both"/>
        <w:rPr>
          <w:sz w:val="20"/>
          <w:lang w:val="fr-CA"/>
        </w:rPr>
      </w:pPr>
    </w:p>
    <w:p w:rsidR="0057402C" w:rsidRPr="000A2294" w:rsidRDefault="00F935FF" w:rsidP="00E028BD">
      <w:pPr>
        <w:widowControl w:val="0"/>
        <w:jc w:val="both"/>
        <w:rPr>
          <w:sz w:val="20"/>
        </w:rPr>
      </w:pPr>
      <w:r>
        <w:rPr>
          <w:sz w:val="20"/>
        </w:rPr>
        <w:pict>
          <v:rect id="_x0000_i1026" style="width:2in;height:1pt" o:hrpct="0" o:hralign="center" o:hrstd="t" o:hrnoshade="t" o:hr="t" fillcolor="black [3213]" stroked="f"/>
        </w:pict>
      </w:r>
    </w:p>
    <w:p w:rsidR="0014490F" w:rsidRPr="000A2294" w:rsidRDefault="0014490F" w:rsidP="00E028BD">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28BD" w:rsidRPr="000A2294" w:rsidTr="00D40080">
        <w:tc>
          <w:tcPr>
            <w:tcW w:w="543" w:type="pct"/>
          </w:tcPr>
          <w:p w:rsidR="00E028BD" w:rsidRPr="000A2294" w:rsidRDefault="00E028BD" w:rsidP="00E028BD">
            <w:pPr>
              <w:jc w:val="both"/>
              <w:rPr>
                <w:sz w:val="20"/>
                <w:lang w:val="en-CA"/>
              </w:rPr>
            </w:pPr>
            <w:r w:rsidRPr="000A2294">
              <w:rPr>
                <w:rStyle w:val="SCCFileNumberChar"/>
                <w:sz w:val="20"/>
                <w:szCs w:val="20"/>
              </w:rPr>
              <w:t>40215</w:t>
            </w:r>
          </w:p>
        </w:tc>
        <w:tc>
          <w:tcPr>
            <w:tcW w:w="4457" w:type="pct"/>
            <w:gridSpan w:val="3"/>
          </w:tcPr>
          <w:p w:rsidR="00E028BD" w:rsidRPr="000A2294" w:rsidRDefault="00E028BD" w:rsidP="00E028BD">
            <w:pPr>
              <w:pStyle w:val="SCCLsocParty"/>
              <w:jc w:val="both"/>
              <w:rPr>
                <w:b/>
                <w:sz w:val="20"/>
                <w:szCs w:val="20"/>
              </w:rPr>
            </w:pPr>
            <w:r w:rsidRPr="000A2294">
              <w:rPr>
                <w:b/>
                <w:sz w:val="20"/>
                <w:szCs w:val="20"/>
              </w:rPr>
              <w:t>Les avocats et notaires de l’État québécois (LANEQ) v. Attorney General of Quebec</w:t>
            </w:r>
          </w:p>
          <w:p w:rsidR="00E028BD" w:rsidRPr="000A2294" w:rsidRDefault="00E028BD" w:rsidP="00E028BD">
            <w:pPr>
              <w:pStyle w:val="SCCLsocOtherPartySeparator"/>
              <w:rPr>
                <w:sz w:val="20"/>
                <w:szCs w:val="20"/>
                <w:lang w:val="en-CA"/>
              </w:rPr>
            </w:pPr>
            <w:r w:rsidRPr="000A2294">
              <w:rPr>
                <w:sz w:val="20"/>
                <w:szCs w:val="20"/>
                <w:lang w:val="en-CA"/>
              </w:rPr>
              <w:t>- and -</w:t>
            </w:r>
          </w:p>
          <w:p w:rsidR="00E028BD" w:rsidRPr="000A2294" w:rsidRDefault="00E028BD" w:rsidP="00E028BD">
            <w:pPr>
              <w:pStyle w:val="SCCLsocParty"/>
              <w:jc w:val="both"/>
              <w:rPr>
                <w:b/>
                <w:sz w:val="20"/>
                <w:szCs w:val="20"/>
                <w:lang w:val="en-CA"/>
              </w:rPr>
            </w:pPr>
            <w:r w:rsidRPr="000A2294">
              <w:rPr>
                <w:b/>
                <w:sz w:val="20"/>
                <w:szCs w:val="20"/>
                <w:lang w:val="en-CA"/>
              </w:rPr>
              <w:t>Administrative Labour Tribunal</w:t>
            </w:r>
          </w:p>
          <w:p w:rsidR="00E028BD" w:rsidRPr="000A2294" w:rsidRDefault="00E028BD" w:rsidP="00E028BD">
            <w:pPr>
              <w:jc w:val="both"/>
              <w:rPr>
                <w:sz w:val="20"/>
                <w:lang w:val="en-CA"/>
              </w:rPr>
            </w:pPr>
            <w:r w:rsidRPr="000A2294">
              <w:rPr>
                <w:sz w:val="20"/>
                <w:lang w:val="en-CA"/>
              </w:rPr>
              <w:t>(Que.) (Civil) (By Leave)</w:t>
            </w:r>
          </w:p>
        </w:tc>
      </w:tr>
      <w:tr w:rsidR="00E028BD" w:rsidRPr="000A2294" w:rsidTr="00D40080">
        <w:tc>
          <w:tcPr>
            <w:tcW w:w="5000" w:type="pct"/>
            <w:gridSpan w:val="4"/>
          </w:tcPr>
          <w:p w:rsidR="00E028BD" w:rsidRPr="000A2294" w:rsidRDefault="00E028BD" w:rsidP="00E028BD">
            <w:pPr>
              <w:jc w:val="both"/>
              <w:rPr>
                <w:sz w:val="20"/>
                <w:lang w:val="en-CA"/>
              </w:rPr>
            </w:pPr>
            <w:proofErr w:type="gramStart"/>
            <w:r w:rsidRPr="000A2294">
              <w:rPr>
                <w:sz w:val="20"/>
                <w:lang w:val="en-CA"/>
              </w:rPr>
              <w:t xml:space="preserve">Labour relations — Bargaining unit — Counsel employed in provincial public service — Exclusions — Whether legal counsel who have access to confidential information in performance of their duties with persons exercising executive and political power of state are, for that reason, prevented from belonging to union, having regard to applicable legal rules, including under </w:t>
            </w:r>
            <w:r w:rsidRPr="000A2294">
              <w:rPr>
                <w:i/>
                <w:sz w:val="20"/>
                <w:lang w:val="en-CA"/>
              </w:rPr>
              <w:t>Labour Code</w:t>
            </w:r>
            <w:r w:rsidRPr="000A2294">
              <w:rPr>
                <w:sz w:val="20"/>
                <w:lang w:val="en-CA"/>
              </w:rPr>
              <w:t xml:space="preserve"> — In light of exclusion provided for in joint committee’s report, what is legal impact of government orders conferring status of Associate Secretary General, with rank and privileges of Associate Deputy Minister — Similarly, what is impact of use of words [</w:t>
            </w:r>
            <w:r w:rsidRPr="000A2294">
              <w:rPr>
                <w:smallCaps/>
                <w:sz w:val="20"/>
                <w:lang w:val="en-CA"/>
              </w:rPr>
              <w:t>translation</w:t>
            </w:r>
            <w:r w:rsidRPr="000A2294">
              <w:rPr>
                <w:rFonts w:asciiTheme="minorBidi" w:hAnsiTheme="minorBidi"/>
                <w:sz w:val="20"/>
                <w:lang w:val="en-CA"/>
              </w:rPr>
              <w:t>]</w:t>
            </w:r>
            <w:r w:rsidRPr="000A2294">
              <w:rPr>
                <w:sz w:val="20"/>
                <w:lang w:val="en-CA"/>
              </w:rPr>
              <w:t xml:space="preserve"> “assigned to the Conseil exécutif” in joint committee’s report, given fact that Ministère du Conseil exécutif is distinct legal entity — Whether daily reality of performance of work, with subordination to department, takes priority over instrument of appointment of Crown counsel acting as jurisconsult for government — </w:t>
            </w:r>
            <w:r w:rsidRPr="000A2294">
              <w:rPr>
                <w:i/>
                <w:sz w:val="20"/>
                <w:lang w:val="en-CA"/>
              </w:rPr>
              <w:t>Labour Code</w:t>
            </w:r>
            <w:r w:rsidRPr="000A2294">
              <w:rPr>
                <w:sz w:val="20"/>
                <w:lang w:val="en-CA"/>
              </w:rPr>
              <w:t>, CQLR, c. C-27, s. 1(</w:t>
            </w:r>
            <w:r w:rsidRPr="000A2294">
              <w:rPr>
                <w:i/>
                <w:sz w:val="20"/>
                <w:lang w:val="en-CA"/>
              </w:rPr>
              <w:t>l</w:t>
            </w:r>
            <w:r w:rsidRPr="000A2294">
              <w:rPr>
                <w:sz w:val="20"/>
                <w:lang w:val="en-CA"/>
              </w:rPr>
              <w:t>) paras. </w:t>
            </w:r>
            <w:proofErr w:type="gramEnd"/>
            <w:r w:rsidRPr="000A2294">
              <w:rPr>
                <w:color w:val="000000"/>
                <w:sz w:val="20"/>
                <w:lang w:val="en-CA"/>
              </w:rPr>
              <w:t>1, 3 and 3.1.</w:t>
            </w:r>
          </w:p>
        </w:tc>
      </w:tr>
      <w:tr w:rsidR="00E028BD" w:rsidRPr="000A2294" w:rsidTr="00D40080">
        <w:tc>
          <w:tcPr>
            <w:tcW w:w="5000" w:type="pct"/>
            <w:gridSpan w:val="4"/>
          </w:tcPr>
          <w:p w:rsidR="00E028BD" w:rsidRPr="000A2294" w:rsidRDefault="00E028BD" w:rsidP="00E028BD">
            <w:pPr>
              <w:jc w:val="both"/>
              <w:rPr>
                <w:sz w:val="20"/>
                <w:lang w:val="en-CA"/>
              </w:rPr>
            </w:pPr>
          </w:p>
        </w:tc>
      </w:tr>
      <w:tr w:rsidR="00E028BD" w:rsidRPr="000A2294" w:rsidTr="00D40080">
        <w:tc>
          <w:tcPr>
            <w:tcW w:w="5000" w:type="pct"/>
            <w:gridSpan w:val="4"/>
          </w:tcPr>
          <w:p w:rsidR="00E028BD" w:rsidRPr="000A2294" w:rsidRDefault="00E028BD" w:rsidP="00E028BD">
            <w:pPr>
              <w:jc w:val="both"/>
              <w:rPr>
                <w:sz w:val="20"/>
                <w:lang w:val="en-CA"/>
              </w:rPr>
            </w:pPr>
            <w:r w:rsidRPr="000A2294">
              <w:rPr>
                <w:sz w:val="20"/>
                <w:lang w:val="en-CA"/>
              </w:rPr>
              <w:t xml:space="preserve">The applicant, Les avocats et notaires de l'État québécois (LANEQ), an association certified to represent the lawyers and notaries in the public service of the province of Quebec, filed an application with the Administrative Labour Tribunal (ALT) seeking to have 32 counsel included in the bargaining unit it represents. Those counsel worked at the Ministère de la Justice (in the office of the Deputy Minister and two Associate Deputy Ministers) and the Ministère du Conseil exécutif. </w:t>
            </w:r>
            <w:proofErr w:type="gramStart"/>
            <w:r w:rsidRPr="000A2294">
              <w:rPr>
                <w:sz w:val="20"/>
                <w:lang w:val="en-CA"/>
              </w:rPr>
              <w:t>In August 2019, the ALT dismissed the application for inclusion on the ground that an exclusion applied to each counsel, either under the definition of “employee” in s. 1(</w:t>
            </w:r>
            <w:r w:rsidRPr="000A2294">
              <w:rPr>
                <w:i/>
                <w:sz w:val="20"/>
                <w:lang w:val="en-CA"/>
              </w:rPr>
              <w:t>l</w:t>
            </w:r>
            <w:r w:rsidRPr="000A2294">
              <w:rPr>
                <w:sz w:val="20"/>
                <w:lang w:val="en-CA"/>
              </w:rPr>
              <w:t xml:space="preserve">) of the </w:t>
            </w:r>
            <w:r w:rsidRPr="000A2294">
              <w:rPr>
                <w:i/>
                <w:sz w:val="20"/>
                <w:lang w:val="en-CA"/>
              </w:rPr>
              <w:t>Labour Code</w:t>
            </w:r>
            <w:r w:rsidRPr="000A2294">
              <w:rPr>
                <w:sz w:val="20"/>
                <w:lang w:val="en-CA"/>
              </w:rPr>
              <w:t xml:space="preserve"> or under the report of the joint committee constituted by the government for the certification of the Association des juristes de l’État as an association of employees who were members of a professional order.</w:t>
            </w:r>
            <w:proofErr w:type="gramEnd"/>
            <w:r w:rsidRPr="000A2294">
              <w:rPr>
                <w:sz w:val="20"/>
                <w:lang w:val="en-CA"/>
              </w:rPr>
              <w:t xml:space="preserve"> The Superior Court allowed the application for judicial review with respect to 26 of the 27 counsel for whom the ALT’s decision on their status as excluded from the bargaining unit was the subject of the application. The Court of Appeal allowed the appeal. </w:t>
            </w:r>
          </w:p>
          <w:p w:rsidR="00E028BD" w:rsidRPr="000A2294" w:rsidRDefault="00E028BD" w:rsidP="00E028BD">
            <w:pPr>
              <w:jc w:val="both"/>
              <w:rPr>
                <w:sz w:val="20"/>
                <w:lang w:val="en-CA"/>
              </w:rPr>
            </w:pPr>
          </w:p>
        </w:tc>
      </w:tr>
      <w:tr w:rsidR="00E028BD" w:rsidRPr="000A2294" w:rsidTr="00D40080">
        <w:tc>
          <w:tcPr>
            <w:tcW w:w="2427" w:type="pct"/>
            <w:gridSpan w:val="2"/>
          </w:tcPr>
          <w:p w:rsidR="00E028BD" w:rsidRPr="000A2294" w:rsidRDefault="00E028BD" w:rsidP="00E028BD">
            <w:pPr>
              <w:jc w:val="both"/>
              <w:rPr>
                <w:sz w:val="20"/>
                <w:lang w:val="en-CA"/>
              </w:rPr>
            </w:pPr>
            <w:r w:rsidRPr="000A2294">
              <w:rPr>
                <w:sz w:val="20"/>
                <w:lang w:val="en-CA"/>
              </w:rPr>
              <w:t>August 16, 2019</w:t>
            </w:r>
          </w:p>
          <w:p w:rsidR="00E028BD" w:rsidRPr="000A2294" w:rsidRDefault="00E028BD" w:rsidP="00E028BD">
            <w:pPr>
              <w:jc w:val="both"/>
              <w:rPr>
                <w:sz w:val="20"/>
                <w:lang w:val="en-CA"/>
              </w:rPr>
            </w:pPr>
            <w:r w:rsidRPr="000A2294">
              <w:rPr>
                <w:sz w:val="20"/>
                <w:lang w:val="en-CA"/>
              </w:rPr>
              <w:t>Administrative Labour Tribunal</w:t>
            </w:r>
          </w:p>
          <w:p w:rsidR="00E028BD" w:rsidRPr="000A2294" w:rsidRDefault="00E028BD" w:rsidP="00E028BD">
            <w:pPr>
              <w:jc w:val="both"/>
              <w:rPr>
                <w:sz w:val="20"/>
                <w:lang w:val="en-CA"/>
              </w:rPr>
            </w:pPr>
            <w:r w:rsidRPr="000A2294">
              <w:rPr>
                <w:sz w:val="20"/>
                <w:lang w:val="en-CA"/>
              </w:rPr>
              <w:t>(Administrative Judge Morin)</w:t>
            </w:r>
          </w:p>
          <w:p w:rsidR="00E028BD" w:rsidRPr="000A2294" w:rsidRDefault="00F935FF" w:rsidP="00E028BD">
            <w:pPr>
              <w:jc w:val="both"/>
              <w:rPr>
                <w:sz w:val="20"/>
                <w:lang w:val="en-CA"/>
              </w:rPr>
            </w:pPr>
            <w:hyperlink r:id="rId33" w:history="1">
              <w:r w:rsidR="00E028BD" w:rsidRPr="000A2294">
                <w:rPr>
                  <w:rStyle w:val="Hyperlink"/>
                  <w:sz w:val="20"/>
                  <w:lang w:val="en-CA"/>
                </w:rPr>
                <w:t>2019 QCTAT 3701</w:t>
              </w:r>
            </w:hyperlink>
          </w:p>
          <w:p w:rsidR="00E028BD" w:rsidRPr="000A2294" w:rsidRDefault="00E028BD" w:rsidP="00E028BD">
            <w:pPr>
              <w:jc w:val="both"/>
              <w:rPr>
                <w:sz w:val="20"/>
                <w:lang w:val="en-CA"/>
              </w:rPr>
            </w:pPr>
          </w:p>
        </w:tc>
        <w:tc>
          <w:tcPr>
            <w:tcW w:w="243" w:type="pct"/>
          </w:tcPr>
          <w:p w:rsidR="00E028BD" w:rsidRPr="000A2294" w:rsidRDefault="00E028BD" w:rsidP="00E028BD">
            <w:pPr>
              <w:jc w:val="both"/>
              <w:rPr>
                <w:sz w:val="20"/>
                <w:lang w:val="en-CA"/>
              </w:rPr>
            </w:pPr>
          </w:p>
        </w:tc>
        <w:tc>
          <w:tcPr>
            <w:tcW w:w="2330" w:type="pct"/>
          </w:tcPr>
          <w:p w:rsidR="00E028BD" w:rsidRPr="000A2294" w:rsidRDefault="00E028BD" w:rsidP="00E028BD">
            <w:pPr>
              <w:jc w:val="both"/>
              <w:rPr>
                <w:sz w:val="20"/>
                <w:lang w:val="en-CA"/>
              </w:rPr>
            </w:pPr>
            <w:r w:rsidRPr="000A2294">
              <w:rPr>
                <w:sz w:val="20"/>
                <w:lang w:val="en-CA"/>
              </w:rPr>
              <w:t xml:space="preserve">Motion by LANEQ for inclusion in its bargaining unit of counsel assigned to offices of Associate Secretaries General of Conseil exécutif and Ministère du Conseil exécutif, counsel in office of Deputy Minister of Ministère de la Justice and counsel in offices of </w:t>
            </w:r>
            <w:r w:rsidRPr="000A2294">
              <w:rPr>
                <w:sz w:val="20"/>
                <w:lang w:val="en-CA"/>
              </w:rPr>
              <w:lastRenderedPageBreak/>
              <w:t xml:space="preserve">Associate Deputy Ministers Paquette and Rodrigue in Ministère de la Justice dismissed </w:t>
            </w:r>
          </w:p>
          <w:p w:rsidR="00E028BD" w:rsidRPr="000A2294" w:rsidRDefault="00E028BD" w:rsidP="00E028BD">
            <w:pPr>
              <w:jc w:val="both"/>
              <w:rPr>
                <w:sz w:val="20"/>
                <w:lang w:val="en-CA"/>
              </w:rPr>
            </w:pPr>
          </w:p>
        </w:tc>
      </w:tr>
      <w:tr w:rsidR="00E028BD" w:rsidRPr="000A2294" w:rsidTr="00D40080">
        <w:tc>
          <w:tcPr>
            <w:tcW w:w="2427" w:type="pct"/>
            <w:gridSpan w:val="2"/>
          </w:tcPr>
          <w:p w:rsidR="00E028BD" w:rsidRPr="000A2294" w:rsidRDefault="00E028BD" w:rsidP="00E028BD">
            <w:pPr>
              <w:jc w:val="both"/>
              <w:rPr>
                <w:sz w:val="20"/>
                <w:lang w:val="en-CA"/>
              </w:rPr>
            </w:pPr>
            <w:r w:rsidRPr="000A2294">
              <w:rPr>
                <w:sz w:val="20"/>
                <w:lang w:val="en-CA"/>
              </w:rPr>
              <w:lastRenderedPageBreak/>
              <w:t>July 10, 2020</w:t>
            </w:r>
          </w:p>
          <w:p w:rsidR="00E028BD" w:rsidRPr="000A2294" w:rsidRDefault="00E028BD" w:rsidP="00E028BD">
            <w:pPr>
              <w:jc w:val="both"/>
              <w:rPr>
                <w:sz w:val="20"/>
                <w:lang w:val="en-CA"/>
              </w:rPr>
            </w:pPr>
            <w:r w:rsidRPr="000A2294">
              <w:rPr>
                <w:sz w:val="20"/>
                <w:lang w:val="en-CA"/>
              </w:rPr>
              <w:t>Quebec Superior Court</w:t>
            </w:r>
          </w:p>
          <w:p w:rsidR="00E028BD" w:rsidRPr="000A2294" w:rsidRDefault="00E028BD" w:rsidP="00E028BD">
            <w:pPr>
              <w:jc w:val="both"/>
              <w:rPr>
                <w:sz w:val="20"/>
                <w:lang w:val="en-CA"/>
              </w:rPr>
            </w:pPr>
            <w:r w:rsidRPr="000A2294">
              <w:rPr>
                <w:sz w:val="20"/>
                <w:lang w:val="en-CA"/>
              </w:rPr>
              <w:t>(Hardy J.)</w:t>
            </w:r>
          </w:p>
          <w:p w:rsidR="00E028BD" w:rsidRPr="000A2294" w:rsidRDefault="00F935FF" w:rsidP="00E028BD">
            <w:pPr>
              <w:jc w:val="both"/>
              <w:rPr>
                <w:sz w:val="20"/>
                <w:lang w:val="en-CA"/>
              </w:rPr>
            </w:pPr>
            <w:hyperlink r:id="rId34" w:history="1">
              <w:r w:rsidR="00E028BD" w:rsidRPr="000A2294">
                <w:rPr>
                  <w:rStyle w:val="Hyperlink"/>
                  <w:sz w:val="20"/>
                  <w:lang w:val="en-CA"/>
                </w:rPr>
                <w:t>2020 QCCS 2143</w:t>
              </w:r>
            </w:hyperlink>
          </w:p>
          <w:p w:rsidR="00E028BD" w:rsidRPr="000A2294" w:rsidRDefault="00E028BD" w:rsidP="00E028BD">
            <w:pPr>
              <w:jc w:val="both"/>
              <w:rPr>
                <w:sz w:val="20"/>
                <w:lang w:val="en-CA"/>
              </w:rPr>
            </w:pPr>
          </w:p>
        </w:tc>
        <w:tc>
          <w:tcPr>
            <w:tcW w:w="243" w:type="pct"/>
          </w:tcPr>
          <w:p w:rsidR="00E028BD" w:rsidRPr="000A2294" w:rsidRDefault="00E028BD" w:rsidP="00E028BD">
            <w:pPr>
              <w:jc w:val="both"/>
              <w:rPr>
                <w:sz w:val="20"/>
                <w:lang w:val="en-CA"/>
              </w:rPr>
            </w:pPr>
          </w:p>
        </w:tc>
        <w:tc>
          <w:tcPr>
            <w:tcW w:w="2330" w:type="pct"/>
          </w:tcPr>
          <w:p w:rsidR="00E028BD" w:rsidRPr="000A2294" w:rsidRDefault="00E028BD" w:rsidP="00E028BD">
            <w:pPr>
              <w:jc w:val="both"/>
              <w:rPr>
                <w:sz w:val="20"/>
                <w:lang w:val="en-CA"/>
              </w:rPr>
            </w:pPr>
            <w:r w:rsidRPr="000A2294">
              <w:rPr>
                <w:sz w:val="20"/>
                <w:lang w:val="en-CA"/>
              </w:rPr>
              <w:t xml:space="preserve">Application for judicial review allowed </w:t>
            </w:r>
          </w:p>
          <w:p w:rsidR="00E028BD" w:rsidRPr="000A2294" w:rsidRDefault="00E028BD" w:rsidP="00E028BD">
            <w:pPr>
              <w:jc w:val="both"/>
              <w:rPr>
                <w:sz w:val="20"/>
                <w:lang w:val="en-CA"/>
              </w:rPr>
            </w:pPr>
            <w:r w:rsidRPr="000A2294">
              <w:rPr>
                <w:sz w:val="20"/>
                <w:lang w:val="en-CA"/>
              </w:rPr>
              <w:t>Decision of Administrative Labour Tribunal quashed and set aside</w:t>
            </w:r>
          </w:p>
          <w:p w:rsidR="00E028BD" w:rsidRPr="000A2294" w:rsidRDefault="00E028BD" w:rsidP="00E028BD">
            <w:pPr>
              <w:jc w:val="both"/>
              <w:rPr>
                <w:sz w:val="20"/>
                <w:lang w:val="en-CA"/>
              </w:rPr>
            </w:pPr>
            <w:r w:rsidRPr="000A2294">
              <w:rPr>
                <w:sz w:val="20"/>
                <w:lang w:val="en-CA"/>
              </w:rPr>
              <w:t>All counsel concerned, except Ms. Grondin, declared to be part of bargaining unit represented by Les avocats et notaires de l’État québécois</w:t>
            </w:r>
          </w:p>
          <w:p w:rsidR="00E028BD" w:rsidRPr="000A2294" w:rsidRDefault="00E028BD" w:rsidP="00E028BD">
            <w:pPr>
              <w:jc w:val="both"/>
              <w:rPr>
                <w:sz w:val="20"/>
                <w:lang w:val="en-CA"/>
              </w:rPr>
            </w:pPr>
          </w:p>
        </w:tc>
      </w:tr>
      <w:tr w:rsidR="00E028BD" w:rsidRPr="000A2294" w:rsidTr="00D40080">
        <w:tc>
          <w:tcPr>
            <w:tcW w:w="2427" w:type="pct"/>
            <w:gridSpan w:val="2"/>
          </w:tcPr>
          <w:p w:rsidR="00E028BD" w:rsidRPr="000A2294" w:rsidRDefault="00E028BD" w:rsidP="00E028BD">
            <w:pPr>
              <w:jc w:val="both"/>
              <w:rPr>
                <w:sz w:val="20"/>
                <w:lang w:val="en-CA"/>
              </w:rPr>
            </w:pPr>
            <w:r w:rsidRPr="000A2294">
              <w:rPr>
                <w:sz w:val="20"/>
                <w:lang w:val="en-CA"/>
              </w:rPr>
              <w:t>April 14, 2022</w:t>
            </w:r>
          </w:p>
          <w:p w:rsidR="00E028BD" w:rsidRPr="000A2294" w:rsidRDefault="00E028BD" w:rsidP="00E028BD">
            <w:pPr>
              <w:jc w:val="both"/>
              <w:rPr>
                <w:sz w:val="20"/>
                <w:lang w:val="en-CA"/>
              </w:rPr>
            </w:pPr>
            <w:r w:rsidRPr="000A2294">
              <w:rPr>
                <w:sz w:val="20"/>
                <w:lang w:val="en-CA"/>
              </w:rPr>
              <w:t>Quebec Court of Appeal (Québec)</w:t>
            </w:r>
          </w:p>
          <w:p w:rsidR="00E028BD" w:rsidRPr="000A2294" w:rsidRDefault="00E028BD" w:rsidP="00E028BD">
            <w:pPr>
              <w:jc w:val="both"/>
              <w:rPr>
                <w:sz w:val="20"/>
                <w:lang w:val="en-CA"/>
              </w:rPr>
            </w:pPr>
            <w:r w:rsidRPr="000A2294">
              <w:rPr>
                <w:sz w:val="20"/>
                <w:lang w:val="en-CA"/>
              </w:rPr>
              <w:t>(Dutil, Rancourt and Beaupré JJ.A.)</w:t>
            </w:r>
          </w:p>
          <w:p w:rsidR="00E028BD" w:rsidRPr="000A2294" w:rsidRDefault="00F935FF" w:rsidP="00E028BD">
            <w:pPr>
              <w:jc w:val="both"/>
              <w:rPr>
                <w:sz w:val="20"/>
                <w:lang w:val="en-CA"/>
              </w:rPr>
            </w:pPr>
            <w:hyperlink r:id="rId35" w:history="1">
              <w:r w:rsidR="00E028BD" w:rsidRPr="000A2294">
                <w:rPr>
                  <w:rStyle w:val="Hyperlink"/>
                  <w:sz w:val="20"/>
                  <w:lang w:val="en-CA"/>
                </w:rPr>
                <w:t>2022 QCCA 530</w:t>
              </w:r>
            </w:hyperlink>
            <w:r w:rsidR="00E028BD" w:rsidRPr="000A2294">
              <w:rPr>
                <w:sz w:val="20"/>
                <w:lang w:val="en-CA"/>
              </w:rPr>
              <w:t xml:space="preserve"> </w:t>
            </w:r>
          </w:p>
          <w:p w:rsidR="00E028BD" w:rsidRPr="000A2294" w:rsidRDefault="00E028BD" w:rsidP="00E028BD">
            <w:pPr>
              <w:jc w:val="both"/>
              <w:rPr>
                <w:sz w:val="20"/>
                <w:lang w:val="en-CA"/>
              </w:rPr>
            </w:pPr>
          </w:p>
        </w:tc>
        <w:tc>
          <w:tcPr>
            <w:tcW w:w="243" w:type="pct"/>
          </w:tcPr>
          <w:p w:rsidR="00E028BD" w:rsidRPr="000A2294" w:rsidRDefault="00E028BD" w:rsidP="00E028BD">
            <w:pPr>
              <w:jc w:val="both"/>
              <w:rPr>
                <w:sz w:val="20"/>
                <w:lang w:val="en-CA"/>
              </w:rPr>
            </w:pPr>
          </w:p>
        </w:tc>
        <w:tc>
          <w:tcPr>
            <w:tcW w:w="2330" w:type="pct"/>
          </w:tcPr>
          <w:p w:rsidR="00E028BD" w:rsidRPr="000A2294" w:rsidRDefault="00E028BD" w:rsidP="00E028BD">
            <w:pPr>
              <w:jc w:val="both"/>
              <w:rPr>
                <w:sz w:val="20"/>
                <w:lang w:val="en-CA"/>
              </w:rPr>
            </w:pPr>
            <w:r w:rsidRPr="000A2294">
              <w:rPr>
                <w:sz w:val="20"/>
                <w:lang w:val="en-CA"/>
              </w:rPr>
              <w:t xml:space="preserve">Appeal allowed </w:t>
            </w:r>
          </w:p>
          <w:p w:rsidR="00E028BD" w:rsidRPr="000A2294" w:rsidRDefault="00E028BD" w:rsidP="00E028BD">
            <w:pPr>
              <w:jc w:val="both"/>
              <w:rPr>
                <w:sz w:val="20"/>
                <w:lang w:val="en-CA"/>
              </w:rPr>
            </w:pPr>
            <w:r w:rsidRPr="000A2294">
              <w:rPr>
                <w:sz w:val="20"/>
                <w:lang w:val="en-CA"/>
              </w:rPr>
              <w:t>Judgment of Superior Court set aside</w:t>
            </w:r>
          </w:p>
          <w:p w:rsidR="00E028BD" w:rsidRPr="000A2294" w:rsidRDefault="00E028BD" w:rsidP="00E028BD">
            <w:pPr>
              <w:jc w:val="both"/>
              <w:rPr>
                <w:sz w:val="20"/>
                <w:lang w:val="en-CA"/>
              </w:rPr>
            </w:pPr>
            <w:r w:rsidRPr="000A2294">
              <w:rPr>
                <w:sz w:val="20"/>
                <w:lang w:val="en-CA"/>
              </w:rPr>
              <w:t xml:space="preserve">Application for judicial review dismissed </w:t>
            </w:r>
          </w:p>
          <w:p w:rsidR="00E028BD" w:rsidRPr="000A2294" w:rsidRDefault="00E028BD" w:rsidP="00E028BD">
            <w:pPr>
              <w:jc w:val="both"/>
              <w:rPr>
                <w:sz w:val="20"/>
                <w:lang w:val="en-CA"/>
              </w:rPr>
            </w:pPr>
            <w:r w:rsidRPr="000A2294">
              <w:rPr>
                <w:sz w:val="20"/>
                <w:lang w:val="en-CA"/>
              </w:rPr>
              <w:t>Decision of Administrative Labour Tribunal restored</w:t>
            </w:r>
          </w:p>
          <w:p w:rsidR="00E028BD" w:rsidRPr="000A2294" w:rsidRDefault="00E028BD" w:rsidP="00E028BD">
            <w:pPr>
              <w:jc w:val="both"/>
              <w:rPr>
                <w:sz w:val="20"/>
                <w:lang w:val="en-CA"/>
              </w:rPr>
            </w:pPr>
          </w:p>
        </w:tc>
      </w:tr>
      <w:tr w:rsidR="00E028BD" w:rsidRPr="000A2294" w:rsidTr="00D40080">
        <w:tc>
          <w:tcPr>
            <w:tcW w:w="2427" w:type="pct"/>
            <w:gridSpan w:val="2"/>
          </w:tcPr>
          <w:p w:rsidR="00E028BD" w:rsidRPr="000A2294" w:rsidRDefault="00E028BD" w:rsidP="00E028BD">
            <w:pPr>
              <w:jc w:val="both"/>
              <w:rPr>
                <w:sz w:val="20"/>
                <w:lang w:val="en-CA"/>
              </w:rPr>
            </w:pPr>
            <w:r w:rsidRPr="000A2294">
              <w:rPr>
                <w:sz w:val="20"/>
                <w:lang w:val="en-CA"/>
              </w:rPr>
              <w:t>June 13, 2022</w:t>
            </w:r>
          </w:p>
          <w:p w:rsidR="00E028BD" w:rsidRPr="000A2294" w:rsidRDefault="00E028BD" w:rsidP="00E028BD">
            <w:pPr>
              <w:jc w:val="both"/>
              <w:rPr>
                <w:sz w:val="20"/>
                <w:lang w:val="en-CA"/>
              </w:rPr>
            </w:pPr>
            <w:r w:rsidRPr="000A2294">
              <w:rPr>
                <w:sz w:val="20"/>
                <w:lang w:val="en-CA"/>
              </w:rPr>
              <w:t>Supreme Court of Canada</w:t>
            </w:r>
          </w:p>
        </w:tc>
        <w:tc>
          <w:tcPr>
            <w:tcW w:w="243" w:type="pct"/>
          </w:tcPr>
          <w:p w:rsidR="00E028BD" w:rsidRPr="000A2294" w:rsidRDefault="00E028BD" w:rsidP="00E028BD">
            <w:pPr>
              <w:jc w:val="both"/>
              <w:rPr>
                <w:sz w:val="20"/>
                <w:lang w:val="en-CA"/>
              </w:rPr>
            </w:pPr>
          </w:p>
        </w:tc>
        <w:tc>
          <w:tcPr>
            <w:tcW w:w="2330" w:type="pct"/>
          </w:tcPr>
          <w:p w:rsidR="00E028BD" w:rsidRPr="000A2294" w:rsidRDefault="00E028BD" w:rsidP="00E028BD">
            <w:pPr>
              <w:jc w:val="both"/>
              <w:rPr>
                <w:sz w:val="20"/>
                <w:lang w:val="en-CA"/>
              </w:rPr>
            </w:pPr>
            <w:r w:rsidRPr="000A2294">
              <w:rPr>
                <w:sz w:val="20"/>
                <w:lang w:val="en-CA"/>
              </w:rPr>
              <w:t>Application for leave to appeal filed</w:t>
            </w:r>
          </w:p>
          <w:p w:rsidR="00E028BD" w:rsidRPr="000A2294" w:rsidRDefault="00E028BD" w:rsidP="00E028BD">
            <w:pPr>
              <w:jc w:val="both"/>
              <w:rPr>
                <w:sz w:val="20"/>
                <w:lang w:val="en-CA"/>
              </w:rPr>
            </w:pPr>
          </w:p>
        </w:tc>
      </w:tr>
    </w:tbl>
    <w:p w:rsidR="00E028BD" w:rsidRPr="000A2294" w:rsidRDefault="00E028BD" w:rsidP="00E028BD">
      <w:pPr>
        <w:jc w:val="both"/>
        <w:rPr>
          <w:sz w:val="20"/>
          <w:lang w:val="en-CA"/>
        </w:rPr>
      </w:pPr>
    </w:p>
    <w:p w:rsidR="00E028BD" w:rsidRPr="000A2294" w:rsidRDefault="00F935FF" w:rsidP="00E028BD">
      <w:pPr>
        <w:jc w:val="both"/>
        <w:rPr>
          <w:sz w:val="20"/>
          <w:lang w:val="en-CA"/>
        </w:rPr>
      </w:pPr>
      <w:r>
        <w:rPr>
          <w:sz w:val="20"/>
        </w:rPr>
        <w:pict>
          <v:rect id="_x0000_i1027" style="width:2in;height:1pt" o:hrpct="0" o:hralign="center" o:hrstd="t" o:hrnoshade="t" o:hr="t" fillcolor="black [3213]" stroked="f"/>
        </w:pict>
      </w:r>
    </w:p>
    <w:p w:rsidR="00E028BD" w:rsidRPr="000A2294" w:rsidRDefault="00E028BD" w:rsidP="00E028B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28BD" w:rsidRPr="00F935FF" w:rsidTr="00D40080">
        <w:tc>
          <w:tcPr>
            <w:tcW w:w="543" w:type="pct"/>
          </w:tcPr>
          <w:p w:rsidR="00E028BD" w:rsidRPr="000A2294" w:rsidRDefault="00E028BD" w:rsidP="00E028BD">
            <w:pPr>
              <w:jc w:val="both"/>
              <w:rPr>
                <w:sz w:val="20"/>
              </w:rPr>
            </w:pPr>
            <w:r w:rsidRPr="000A2294">
              <w:rPr>
                <w:rStyle w:val="SCCFileNumberChar"/>
                <w:sz w:val="20"/>
                <w:szCs w:val="20"/>
              </w:rPr>
              <w:t>40215</w:t>
            </w:r>
          </w:p>
        </w:tc>
        <w:tc>
          <w:tcPr>
            <w:tcW w:w="4457" w:type="pct"/>
            <w:gridSpan w:val="3"/>
          </w:tcPr>
          <w:p w:rsidR="00E028BD" w:rsidRPr="000A2294" w:rsidRDefault="00E028BD" w:rsidP="00E028BD">
            <w:pPr>
              <w:pStyle w:val="SCCLsocParty"/>
              <w:jc w:val="both"/>
              <w:rPr>
                <w:b/>
                <w:sz w:val="20"/>
                <w:szCs w:val="20"/>
              </w:rPr>
            </w:pPr>
            <w:r w:rsidRPr="000A2294">
              <w:rPr>
                <w:b/>
                <w:sz w:val="20"/>
                <w:szCs w:val="20"/>
              </w:rPr>
              <w:t>Les avocats et notaires de l'État québécois (LANEQ) c. Procureur général du Québec</w:t>
            </w:r>
          </w:p>
          <w:p w:rsidR="00E028BD" w:rsidRPr="000A2294" w:rsidRDefault="00E028BD" w:rsidP="00E028BD">
            <w:pPr>
              <w:pStyle w:val="SCCLsocOtherPartySeparator"/>
              <w:rPr>
                <w:sz w:val="20"/>
                <w:szCs w:val="20"/>
              </w:rPr>
            </w:pPr>
            <w:r w:rsidRPr="000A2294">
              <w:rPr>
                <w:sz w:val="20"/>
                <w:szCs w:val="20"/>
              </w:rPr>
              <w:t>- et -</w:t>
            </w:r>
          </w:p>
          <w:p w:rsidR="00E028BD" w:rsidRPr="000A2294" w:rsidRDefault="00E028BD" w:rsidP="00E028BD">
            <w:pPr>
              <w:pStyle w:val="SCCLsocParty"/>
              <w:jc w:val="both"/>
              <w:rPr>
                <w:b/>
                <w:sz w:val="20"/>
                <w:szCs w:val="20"/>
              </w:rPr>
            </w:pPr>
            <w:r w:rsidRPr="000A2294">
              <w:rPr>
                <w:b/>
                <w:sz w:val="20"/>
                <w:szCs w:val="20"/>
              </w:rPr>
              <w:t>Tribunal administratif du travail</w:t>
            </w:r>
          </w:p>
          <w:p w:rsidR="00E028BD" w:rsidRPr="000A2294" w:rsidRDefault="00E028BD" w:rsidP="00E028BD">
            <w:pPr>
              <w:jc w:val="both"/>
              <w:rPr>
                <w:sz w:val="20"/>
                <w:lang w:val="fr-CA"/>
              </w:rPr>
            </w:pPr>
            <w:r w:rsidRPr="000A2294">
              <w:rPr>
                <w:sz w:val="20"/>
                <w:lang w:val="fr-CA"/>
              </w:rPr>
              <w:t>(Qc) (Civile) (Autorisation)</w:t>
            </w:r>
          </w:p>
        </w:tc>
      </w:tr>
      <w:tr w:rsidR="00E028BD" w:rsidRPr="00F935FF" w:rsidTr="00D40080">
        <w:tc>
          <w:tcPr>
            <w:tcW w:w="5000" w:type="pct"/>
            <w:gridSpan w:val="4"/>
          </w:tcPr>
          <w:p w:rsidR="00E028BD" w:rsidRPr="000A2294" w:rsidRDefault="00E028BD" w:rsidP="00E028BD">
            <w:pPr>
              <w:jc w:val="both"/>
              <w:rPr>
                <w:sz w:val="20"/>
                <w:lang w:val="fr-CA"/>
              </w:rPr>
            </w:pPr>
            <w:r w:rsidRPr="000A2294">
              <w:rPr>
                <w:sz w:val="20"/>
                <w:lang w:val="fr-CA"/>
              </w:rPr>
              <w:t xml:space="preserve">Relations de travail — Unité de négociation — Juristes à l’emploi de la fonction publique provinciale — Exclusions — Le fait d’être conseiller juridique ayant accès à des informations confidentielles, dans le cadre de ses fonctions auprès de personnes qui exercent le pouvoir exécutif et politique de l’État, empêche-t-il la syndicalisation de ceux-ci, au regard des normes juridiques applicables, notamment sous l’égide du </w:t>
            </w:r>
            <w:r w:rsidRPr="000A2294">
              <w:rPr>
                <w:i/>
                <w:sz w:val="20"/>
                <w:lang w:val="fr-CA"/>
              </w:rPr>
              <w:t>Code du travail</w:t>
            </w:r>
            <w:r w:rsidRPr="000A2294">
              <w:rPr>
                <w:sz w:val="20"/>
                <w:lang w:val="fr-CA"/>
              </w:rPr>
              <w:t xml:space="preserve"> ? — Quels sont les impacts juridiques au regard de l’exclusion prévue au Rapport du comité conjoint, des décrets gouvernementaux accordant le statut de secrétaire général associé, avec rang et privilège d’un sous-ministre associé ? Dans la même ligne de pensée, quel est l’impact de l’emploi des termes « affectés au conseil exécutif », que l’on retrouve dans le Rapport du comité conjoint, au regard du fait que le MCE est une entité juridique distincte ? — La réalité quotidienne de la prestation de travail, sous la subordination d’un ministère, a-t-elle priorité sur l’acte de nomination d’un juriste de l’État agissant comme jurisconsulte du gouvernement ? — </w:t>
            </w:r>
            <w:r w:rsidRPr="000A2294">
              <w:rPr>
                <w:i/>
                <w:sz w:val="20"/>
                <w:lang w:val="fr-CA"/>
              </w:rPr>
              <w:t>Code du travail</w:t>
            </w:r>
            <w:r w:rsidRPr="000A2294">
              <w:rPr>
                <w:sz w:val="20"/>
                <w:lang w:val="fr-CA"/>
              </w:rPr>
              <w:t>, RLRQ, c. C-27, art. 1 l), par. </w:t>
            </w:r>
            <w:r w:rsidRPr="000A2294">
              <w:rPr>
                <w:color w:val="000000"/>
                <w:sz w:val="20"/>
                <w:lang w:val="fr-CA"/>
              </w:rPr>
              <w:t>1, 3 et 3.1.</w:t>
            </w:r>
          </w:p>
        </w:tc>
      </w:tr>
      <w:tr w:rsidR="00E028BD" w:rsidRPr="00F935FF" w:rsidTr="00D40080">
        <w:tc>
          <w:tcPr>
            <w:tcW w:w="5000" w:type="pct"/>
            <w:gridSpan w:val="4"/>
          </w:tcPr>
          <w:p w:rsidR="00E028BD" w:rsidRPr="000A2294" w:rsidRDefault="00E028BD" w:rsidP="00E028BD">
            <w:pPr>
              <w:jc w:val="both"/>
              <w:rPr>
                <w:sz w:val="20"/>
                <w:lang w:val="fr-CA"/>
              </w:rPr>
            </w:pPr>
          </w:p>
        </w:tc>
      </w:tr>
      <w:tr w:rsidR="00E028BD" w:rsidRPr="000A2294" w:rsidTr="00D40080">
        <w:tc>
          <w:tcPr>
            <w:tcW w:w="5000" w:type="pct"/>
            <w:gridSpan w:val="4"/>
          </w:tcPr>
          <w:p w:rsidR="00E028BD" w:rsidRPr="000A2294" w:rsidRDefault="00E028BD" w:rsidP="00E028BD">
            <w:pPr>
              <w:jc w:val="both"/>
              <w:rPr>
                <w:sz w:val="20"/>
              </w:rPr>
            </w:pPr>
            <w:r w:rsidRPr="000A2294">
              <w:rPr>
                <w:sz w:val="20"/>
                <w:lang w:val="fr-CA"/>
              </w:rPr>
              <w:t xml:space="preserve">La demanderesse, Les avocats et notaires de l'État québécois (LANEQ), une association accréditée pour représenter les avocats et notaires de la fonction publique de la province de Québec a déposé devant le Tribunal administratif du travail (TAT) une demande afin de faire inclure 32 juristes dans l’unité de négociation qu’elle représente. Ces juristes exercent leurs fonctions au ministère de la Justice (au bureau du sous-ministre et de deux de ses sous-ministres associés) et au ministère du Conseil exécutif. En août 2019, le TAT a rejeté la demande d’inclusion au motif qu’il existait une exclusion concernant chacun de ces juristes soit en vertu de la définition de salariée prévue à l’art. 1 l) du </w:t>
            </w:r>
            <w:r w:rsidRPr="000A2294">
              <w:rPr>
                <w:i/>
                <w:sz w:val="20"/>
                <w:lang w:val="fr-CA"/>
              </w:rPr>
              <w:t>Code du travail</w:t>
            </w:r>
            <w:r w:rsidRPr="000A2294">
              <w:rPr>
                <w:sz w:val="20"/>
                <w:lang w:val="fr-CA"/>
              </w:rPr>
              <w:t xml:space="preserve">, soit en vertu du rapport du Comité conjoint constitué par le gouvernement afin d’accorder l’accréditation à l’association des juristes de l’État comme association de salariés membre d’un ordre professionnel. La Cour supérieure a accueilli le pourvoi en contrôle judiciaire relativement à 26 des 27 juristes pour lesquels la décision du TAT quant à leur statut d’exclus de l’unité de négociation fait l’objet du pourvoi. </w:t>
            </w:r>
            <w:r w:rsidRPr="000A2294">
              <w:rPr>
                <w:sz w:val="20"/>
              </w:rPr>
              <w:t xml:space="preserve">La Cour d’appel accueilli l’appel. </w:t>
            </w:r>
          </w:p>
          <w:p w:rsidR="00E028BD" w:rsidRPr="000A2294" w:rsidRDefault="00E028BD" w:rsidP="00E028BD">
            <w:pPr>
              <w:jc w:val="both"/>
              <w:rPr>
                <w:sz w:val="20"/>
              </w:rPr>
            </w:pPr>
          </w:p>
        </w:tc>
      </w:tr>
      <w:tr w:rsidR="00E028BD" w:rsidRPr="00F935FF" w:rsidTr="00D40080">
        <w:tc>
          <w:tcPr>
            <w:tcW w:w="2427" w:type="pct"/>
            <w:gridSpan w:val="2"/>
          </w:tcPr>
          <w:p w:rsidR="00E028BD" w:rsidRPr="000A2294" w:rsidRDefault="00E028BD" w:rsidP="00E028BD">
            <w:pPr>
              <w:jc w:val="both"/>
              <w:rPr>
                <w:sz w:val="20"/>
                <w:lang w:val="fr-CA"/>
              </w:rPr>
            </w:pPr>
            <w:r w:rsidRPr="000A2294">
              <w:rPr>
                <w:sz w:val="20"/>
                <w:lang w:val="fr-CA"/>
              </w:rPr>
              <w:t>Le 16 août 2019</w:t>
            </w:r>
          </w:p>
          <w:p w:rsidR="00E028BD" w:rsidRPr="000A2294" w:rsidRDefault="00E028BD" w:rsidP="00E028BD">
            <w:pPr>
              <w:jc w:val="both"/>
              <w:rPr>
                <w:sz w:val="20"/>
                <w:lang w:val="fr-CA"/>
              </w:rPr>
            </w:pPr>
            <w:r w:rsidRPr="000A2294">
              <w:rPr>
                <w:sz w:val="20"/>
                <w:lang w:val="fr-CA"/>
              </w:rPr>
              <w:t>Tribunal administratif du travail</w:t>
            </w:r>
          </w:p>
          <w:p w:rsidR="00E028BD" w:rsidRPr="000A2294" w:rsidRDefault="00E028BD" w:rsidP="00E028BD">
            <w:pPr>
              <w:jc w:val="both"/>
              <w:rPr>
                <w:sz w:val="20"/>
                <w:lang w:val="fr-CA"/>
              </w:rPr>
            </w:pPr>
            <w:r w:rsidRPr="000A2294">
              <w:rPr>
                <w:sz w:val="20"/>
                <w:lang w:val="fr-CA"/>
              </w:rPr>
              <w:t>(La juge administrative Morin)</w:t>
            </w:r>
          </w:p>
          <w:p w:rsidR="00E028BD" w:rsidRPr="000A2294" w:rsidRDefault="00F935FF" w:rsidP="00E028BD">
            <w:pPr>
              <w:jc w:val="both"/>
              <w:rPr>
                <w:sz w:val="20"/>
                <w:lang w:val="fr-CA"/>
              </w:rPr>
            </w:pPr>
            <w:hyperlink r:id="rId36" w:history="1">
              <w:r w:rsidR="00E028BD" w:rsidRPr="000A2294">
                <w:rPr>
                  <w:rStyle w:val="Hyperlink"/>
                  <w:sz w:val="20"/>
                  <w:lang w:val="fr-CA"/>
                </w:rPr>
                <w:t>2019 QCTAT 3701</w:t>
              </w:r>
            </w:hyperlink>
          </w:p>
          <w:p w:rsidR="00E028BD" w:rsidRPr="000A2294" w:rsidRDefault="00E028BD" w:rsidP="00E028BD">
            <w:pPr>
              <w:jc w:val="both"/>
              <w:rPr>
                <w:sz w:val="20"/>
                <w:lang w:val="fr-CA"/>
              </w:rPr>
            </w:pPr>
          </w:p>
        </w:tc>
        <w:tc>
          <w:tcPr>
            <w:tcW w:w="243" w:type="pct"/>
          </w:tcPr>
          <w:p w:rsidR="00E028BD" w:rsidRPr="000A2294" w:rsidRDefault="00E028BD" w:rsidP="00E028BD">
            <w:pPr>
              <w:jc w:val="both"/>
              <w:rPr>
                <w:sz w:val="20"/>
                <w:lang w:val="fr-CA"/>
              </w:rPr>
            </w:pPr>
          </w:p>
        </w:tc>
        <w:tc>
          <w:tcPr>
            <w:tcW w:w="2330" w:type="pct"/>
          </w:tcPr>
          <w:p w:rsidR="00E028BD" w:rsidRPr="000A2294" w:rsidRDefault="00E028BD" w:rsidP="00E028BD">
            <w:pPr>
              <w:jc w:val="both"/>
              <w:rPr>
                <w:sz w:val="20"/>
                <w:lang w:val="fr-CA"/>
              </w:rPr>
            </w:pPr>
            <w:r w:rsidRPr="000A2294">
              <w:rPr>
                <w:sz w:val="20"/>
                <w:lang w:val="fr-CA"/>
              </w:rPr>
              <w:t xml:space="preserve">Requête de LANEQ visant à inclure dans son unité de négociation les juristes affectés aux bureaux des secrétaires généraux associés du Conseil exécutif et du ministère du Conseil exécutif, les juristes au bureau du sous-ministre du ministère de la Justice et les juristes aux bureaux des sous-ministres associés Paquette et Rodrigue du ministère de la Justice rejetée. </w:t>
            </w:r>
          </w:p>
          <w:p w:rsidR="00E028BD" w:rsidRPr="000A2294" w:rsidRDefault="00E028BD" w:rsidP="00E028BD">
            <w:pPr>
              <w:jc w:val="both"/>
              <w:rPr>
                <w:sz w:val="20"/>
                <w:lang w:val="fr-CA"/>
              </w:rPr>
            </w:pPr>
          </w:p>
        </w:tc>
      </w:tr>
      <w:tr w:rsidR="00E028BD" w:rsidRPr="00F935FF" w:rsidTr="00D40080">
        <w:tc>
          <w:tcPr>
            <w:tcW w:w="2427" w:type="pct"/>
            <w:gridSpan w:val="2"/>
          </w:tcPr>
          <w:p w:rsidR="00E028BD" w:rsidRPr="000A2294" w:rsidRDefault="00E028BD" w:rsidP="00E028BD">
            <w:pPr>
              <w:jc w:val="both"/>
              <w:rPr>
                <w:sz w:val="20"/>
                <w:lang w:val="fr-CA"/>
              </w:rPr>
            </w:pPr>
            <w:r w:rsidRPr="000A2294">
              <w:rPr>
                <w:sz w:val="20"/>
                <w:lang w:val="fr-CA"/>
              </w:rPr>
              <w:lastRenderedPageBreak/>
              <w:t>Le 10 juillet 2020</w:t>
            </w:r>
          </w:p>
          <w:p w:rsidR="00E028BD" w:rsidRPr="000A2294" w:rsidRDefault="00E028BD" w:rsidP="00E028BD">
            <w:pPr>
              <w:jc w:val="both"/>
              <w:rPr>
                <w:sz w:val="20"/>
                <w:lang w:val="fr-CA"/>
              </w:rPr>
            </w:pPr>
            <w:r w:rsidRPr="000A2294">
              <w:rPr>
                <w:sz w:val="20"/>
                <w:lang w:val="fr-CA"/>
              </w:rPr>
              <w:t>Cour supérieure du Québec</w:t>
            </w:r>
          </w:p>
          <w:p w:rsidR="00E028BD" w:rsidRPr="000A2294" w:rsidRDefault="00E028BD" w:rsidP="00E028BD">
            <w:pPr>
              <w:jc w:val="both"/>
              <w:rPr>
                <w:sz w:val="20"/>
              </w:rPr>
            </w:pPr>
            <w:r w:rsidRPr="000A2294">
              <w:rPr>
                <w:sz w:val="20"/>
              </w:rPr>
              <w:t>(Le juge Hardy)</w:t>
            </w:r>
          </w:p>
          <w:p w:rsidR="00E028BD" w:rsidRPr="000A2294" w:rsidRDefault="00F935FF" w:rsidP="00E028BD">
            <w:pPr>
              <w:jc w:val="both"/>
              <w:rPr>
                <w:sz w:val="20"/>
              </w:rPr>
            </w:pPr>
            <w:hyperlink r:id="rId37" w:history="1">
              <w:r w:rsidR="00E028BD" w:rsidRPr="000A2294">
                <w:rPr>
                  <w:rStyle w:val="Hyperlink"/>
                  <w:sz w:val="20"/>
                </w:rPr>
                <w:t>2020 QCCS 2143</w:t>
              </w:r>
            </w:hyperlink>
          </w:p>
          <w:p w:rsidR="00E028BD" w:rsidRPr="000A2294" w:rsidRDefault="00E028BD" w:rsidP="00E028BD">
            <w:pPr>
              <w:jc w:val="both"/>
              <w:rPr>
                <w:sz w:val="20"/>
              </w:rPr>
            </w:pPr>
          </w:p>
        </w:tc>
        <w:tc>
          <w:tcPr>
            <w:tcW w:w="243" w:type="pct"/>
          </w:tcPr>
          <w:p w:rsidR="00E028BD" w:rsidRPr="000A2294" w:rsidRDefault="00E028BD" w:rsidP="00E028BD">
            <w:pPr>
              <w:jc w:val="both"/>
              <w:rPr>
                <w:sz w:val="20"/>
              </w:rPr>
            </w:pPr>
          </w:p>
        </w:tc>
        <w:tc>
          <w:tcPr>
            <w:tcW w:w="2330" w:type="pct"/>
          </w:tcPr>
          <w:p w:rsidR="00E028BD" w:rsidRPr="000A2294" w:rsidRDefault="00E028BD" w:rsidP="00E028BD">
            <w:pPr>
              <w:jc w:val="both"/>
              <w:rPr>
                <w:sz w:val="20"/>
                <w:lang w:val="fr-CA"/>
              </w:rPr>
            </w:pPr>
            <w:r w:rsidRPr="000A2294">
              <w:rPr>
                <w:sz w:val="20"/>
                <w:lang w:val="fr-CA"/>
              </w:rPr>
              <w:t xml:space="preserve">Pourvoi en contrôle judiciaire accueilli. </w:t>
            </w:r>
          </w:p>
          <w:p w:rsidR="00E028BD" w:rsidRPr="000A2294" w:rsidRDefault="00E028BD" w:rsidP="00E028BD">
            <w:pPr>
              <w:jc w:val="both"/>
              <w:rPr>
                <w:sz w:val="20"/>
                <w:lang w:val="fr-CA"/>
              </w:rPr>
            </w:pPr>
            <w:r w:rsidRPr="000A2294">
              <w:rPr>
                <w:sz w:val="20"/>
                <w:lang w:val="fr-CA"/>
              </w:rPr>
              <w:t>Décision du Tribunal administratif du travail cassée et annulée.</w:t>
            </w:r>
          </w:p>
          <w:p w:rsidR="00E028BD" w:rsidRPr="000A2294" w:rsidRDefault="00E028BD" w:rsidP="00E028BD">
            <w:pPr>
              <w:jc w:val="both"/>
              <w:rPr>
                <w:sz w:val="20"/>
                <w:lang w:val="fr-CA"/>
              </w:rPr>
            </w:pPr>
            <w:r w:rsidRPr="000A2294">
              <w:rPr>
                <w:sz w:val="20"/>
                <w:lang w:val="fr-CA"/>
              </w:rPr>
              <w:t>Tous les juristes visés, à l’exception de Me Grondin, déclarés comme partie de l’unité de négociation que représente l’association Les avocats et notaires de l’État québécois.</w:t>
            </w:r>
          </w:p>
          <w:p w:rsidR="00E028BD" w:rsidRPr="000A2294" w:rsidRDefault="00E028BD" w:rsidP="00E028BD">
            <w:pPr>
              <w:jc w:val="both"/>
              <w:rPr>
                <w:sz w:val="20"/>
                <w:lang w:val="fr-CA"/>
              </w:rPr>
            </w:pPr>
          </w:p>
        </w:tc>
      </w:tr>
      <w:tr w:rsidR="00E028BD" w:rsidRPr="00F935FF" w:rsidTr="00D40080">
        <w:tc>
          <w:tcPr>
            <w:tcW w:w="2427" w:type="pct"/>
            <w:gridSpan w:val="2"/>
          </w:tcPr>
          <w:p w:rsidR="00E028BD" w:rsidRPr="000A2294" w:rsidRDefault="00E028BD" w:rsidP="00E028BD">
            <w:pPr>
              <w:jc w:val="both"/>
              <w:rPr>
                <w:sz w:val="20"/>
                <w:lang w:val="fr-CA"/>
              </w:rPr>
            </w:pPr>
            <w:r w:rsidRPr="000A2294">
              <w:rPr>
                <w:sz w:val="20"/>
                <w:lang w:val="fr-CA"/>
              </w:rPr>
              <w:t>Le 14 avril 2022</w:t>
            </w:r>
          </w:p>
          <w:p w:rsidR="00E028BD" w:rsidRPr="000A2294" w:rsidRDefault="00E028BD" w:rsidP="00E028BD">
            <w:pPr>
              <w:jc w:val="both"/>
              <w:rPr>
                <w:sz w:val="20"/>
                <w:lang w:val="fr-CA"/>
              </w:rPr>
            </w:pPr>
            <w:r w:rsidRPr="000A2294">
              <w:rPr>
                <w:sz w:val="20"/>
                <w:lang w:val="fr-CA"/>
              </w:rPr>
              <w:t>Cour d’appel du Québec (Québec)</w:t>
            </w:r>
          </w:p>
          <w:p w:rsidR="00E028BD" w:rsidRPr="000A2294" w:rsidRDefault="00E028BD" w:rsidP="00E028BD">
            <w:pPr>
              <w:jc w:val="both"/>
              <w:rPr>
                <w:sz w:val="20"/>
                <w:lang w:val="fr-CA"/>
              </w:rPr>
            </w:pPr>
            <w:r w:rsidRPr="000A2294">
              <w:rPr>
                <w:sz w:val="20"/>
                <w:lang w:val="fr-CA"/>
              </w:rPr>
              <w:t>(Les juges Dutil, Rancourt et Beaupré)</w:t>
            </w:r>
          </w:p>
          <w:p w:rsidR="00E028BD" w:rsidRPr="000A2294" w:rsidRDefault="00F935FF" w:rsidP="00E028BD">
            <w:pPr>
              <w:jc w:val="both"/>
              <w:rPr>
                <w:sz w:val="20"/>
              </w:rPr>
            </w:pPr>
            <w:hyperlink r:id="rId38" w:history="1">
              <w:r w:rsidR="00E028BD" w:rsidRPr="000A2294">
                <w:rPr>
                  <w:rStyle w:val="Hyperlink"/>
                  <w:sz w:val="20"/>
                </w:rPr>
                <w:t>2022 QCCA 530</w:t>
              </w:r>
            </w:hyperlink>
            <w:r w:rsidR="00E028BD" w:rsidRPr="000A2294">
              <w:rPr>
                <w:sz w:val="20"/>
              </w:rPr>
              <w:t xml:space="preserve"> </w:t>
            </w:r>
          </w:p>
          <w:p w:rsidR="00E028BD" w:rsidRPr="000A2294" w:rsidRDefault="00E028BD" w:rsidP="00E028BD">
            <w:pPr>
              <w:jc w:val="both"/>
              <w:rPr>
                <w:sz w:val="20"/>
              </w:rPr>
            </w:pPr>
          </w:p>
        </w:tc>
        <w:tc>
          <w:tcPr>
            <w:tcW w:w="243" w:type="pct"/>
          </w:tcPr>
          <w:p w:rsidR="00E028BD" w:rsidRPr="000A2294" w:rsidRDefault="00E028BD" w:rsidP="00E028BD">
            <w:pPr>
              <w:jc w:val="both"/>
              <w:rPr>
                <w:sz w:val="20"/>
              </w:rPr>
            </w:pPr>
          </w:p>
        </w:tc>
        <w:tc>
          <w:tcPr>
            <w:tcW w:w="2330" w:type="pct"/>
          </w:tcPr>
          <w:p w:rsidR="00E028BD" w:rsidRPr="000A2294" w:rsidRDefault="00E028BD" w:rsidP="00E028BD">
            <w:pPr>
              <w:jc w:val="both"/>
              <w:rPr>
                <w:sz w:val="20"/>
                <w:lang w:val="fr-CA"/>
              </w:rPr>
            </w:pPr>
            <w:r w:rsidRPr="000A2294">
              <w:rPr>
                <w:sz w:val="20"/>
                <w:lang w:val="fr-CA"/>
              </w:rPr>
              <w:t xml:space="preserve">Appel accueilli. </w:t>
            </w:r>
          </w:p>
          <w:p w:rsidR="00E028BD" w:rsidRPr="000A2294" w:rsidRDefault="00E028BD" w:rsidP="00E028BD">
            <w:pPr>
              <w:jc w:val="both"/>
              <w:rPr>
                <w:sz w:val="20"/>
                <w:lang w:val="fr-CA"/>
              </w:rPr>
            </w:pPr>
            <w:r w:rsidRPr="000A2294">
              <w:rPr>
                <w:sz w:val="20"/>
                <w:lang w:val="fr-CA"/>
              </w:rPr>
              <w:t>Jugement de la Cour supérieure infirmé.</w:t>
            </w:r>
          </w:p>
          <w:p w:rsidR="00E028BD" w:rsidRPr="000A2294" w:rsidRDefault="00E028BD" w:rsidP="00E028BD">
            <w:pPr>
              <w:jc w:val="both"/>
              <w:rPr>
                <w:sz w:val="20"/>
                <w:lang w:val="fr-CA"/>
              </w:rPr>
            </w:pPr>
            <w:r w:rsidRPr="000A2294">
              <w:rPr>
                <w:sz w:val="20"/>
                <w:lang w:val="fr-CA"/>
              </w:rPr>
              <w:t xml:space="preserve">Pourvoi en contrôle judiciaire rejeté. </w:t>
            </w:r>
          </w:p>
          <w:p w:rsidR="00E028BD" w:rsidRPr="000A2294" w:rsidRDefault="00E028BD" w:rsidP="00E028BD">
            <w:pPr>
              <w:jc w:val="both"/>
              <w:rPr>
                <w:sz w:val="20"/>
                <w:lang w:val="fr-CA"/>
              </w:rPr>
            </w:pPr>
            <w:r w:rsidRPr="000A2294">
              <w:rPr>
                <w:sz w:val="20"/>
                <w:lang w:val="fr-CA"/>
              </w:rPr>
              <w:t>Décision du Tribunal administratif du travail rétablit.</w:t>
            </w:r>
          </w:p>
          <w:p w:rsidR="00E028BD" w:rsidRPr="000A2294" w:rsidRDefault="00E028BD" w:rsidP="00E028BD">
            <w:pPr>
              <w:jc w:val="both"/>
              <w:rPr>
                <w:sz w:val="20"/>
                <w:lang w:val="fr-CA"/>
              </w:rPr>
            </w:pPr>
          </w:p>
        </w:tc>
      </w:tr>
      <w:tr w:rsidR="00E028BD" w:rsidRPr="000A2294" w:rsidTr="00D40080">
        <w:tc>
          <w:tcPr>
            <w:tcW w:w="2427" w:type="pct"/>
            <w:gridSpan w:val="2"/>
          </w:tcPr>
          <w:p w:rsidR="00E028BD" w:rsidRPr="000A2294" w:rsidRDefault="00E028BD" w:rsidP="00E028BD">
            <w:pPr>
              <w:jc w:val="both"/>
              <w:rPr>
                <w:sz w:val="20"/>
                <w:lang w:val="fr-CA"/>
              </w:rPr>
            </w:pPr>
            <w:r w:rsidRPr="000A2294">
              <w:rPr>
                <w:sz w:val="20"/>
                <w:lang w:val="fr-CA"/>
              </w:rPr>
              <w:t>Le 13 juin 2022</w:t>
            </w:r>
          </w:p>
          <w:p w:rsidR="00E028BD" w:rsidRPr="000A2294" w:rsidRDefault="00E028BD" w:rsidP="00E028BD">
            <w:pPr>
              <w:jc w:val="both"/>
              <w:rPr>
                <w:sz w:val="20"/>
                <w:lang w:val="fr-CA"/>
              </w:rPr>
            </w:pPr>
            <w:r w:rsidRPr="000A2294">
              <w:rPr>
                <w:sz w:val="20"/>
                <w:lang w:val="fr-CA"/>
              </w:rPr>
              <w:t>Cour suprême du Canada</w:t>
            </w:r>
          </w:p>
        </w:tc>
        <w:tc>
          <w:tcPr>
            <w:tcW w:w="243" w:type="pct"/>
          </w:tcPr>
          <w:p w:rsidR="00E028BD" w:rsidRPr="000A2294" w:rsidRDefault="00E028BD" w:rsidP="00E028BD">
            <w:pPr>
              <w:jc w:val="both"/>
              <w:rPr>
                <w:sz w:val="20"/>
                <w:lang w:val="fr-CA"/>
              </w:rPr>
            </w:pPr>
          </w:p>
        </w:tc>
        <w:tc>
          <w:tcPr>
            <w:tcW w:w="2330" w:type="pct"/>
          </w:tcPr>
          <w:p w:rsidR="00E028BD" w:rsidRPr="000A2294" w:rsidRDefault="00E028BD" w:rsidP="00E028BD">
            <w:pPr>
              <w:jc w:val="both"/>
              <w:rPr>
                <w:sz w:val="20"/>
              </w:rPr>
            </w:pPr>
            <w:r w:rsidRPr="000A2294">
              <w:rPr>
                <w:sz w:val="20"/>
              </w:rPr>
              <w:t>Demande d'autorisation d'appel déposée</w:t>
            </w:r>
          </w:p>
          <w:p w:rsidR="00E028BD" w:rsidRPr="000A2294" w:rsidRDefault="00E028BD" w:rsidP="00E028BD">
            <w:pPr>
              <w:jc w:val="both"/>
              <w:rPr>
                <w:sz w:val="20"/>
              </w:rPr>
            </w:pPr>
          </w:p>
        </w:tc>
      </w:tr>
    </w:tbl>
    <w:p w:rsidR="00E028BD" w:rsidRPr="000A2294" w:rsidRDefault="00E028BD" w:rsidP="00930252">
      <w:pPr>
        <w:jc w:val="both"/>
        <w:rPr>
          <w:sz w:val="20"/>
        </w:rPr>
      </w:pPr>
    </w:p>
    <w:p w:rsidR="00E20752" w:rsidRPr="000A2294" w:rsidRDefault="00F935FF" w:rsidP="00930252">
      <w:pPr>
        <w:widowControl w:val="0"/>
        <w:jc w:val="both"/>
        <w:rPr>
          <w:sz w:val="20"/>
        </w:rPr>
      </w:pPr>
      <w:r>
        <w:rPr>
          <w:sz w:val="20"/>
        </w:rPr>
        <w:pict>
          <v:rect id="_x0000_i1028" style="width:2in;height:1pt" o:hrpct="0" o:hralign="center" o:hrstd="t" o:hrnoshade="t" o:hr="t" fillcolor="black [3213]" stroked="f"/>
        </w:pict>
      </w:r>
    </w:p>
    <w:p w:rsidR="00880679" w:rsidRPr="000A2294" w:rsidRDefault="00880679" w:rsidP="0093025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30252" w:rsidRPr="000A2294" w:rsidTr="00E95A6A">
        <w:tc>
          <w:tcPr>
            <w:tcW w:w="543" w:type="pct"/>
          </w:tcPr>
          <w:p w:rsidR="00930252" w:rsidRPr="000A2294" w:rsidRDefault="00930252" w:rsidP="00930252">
            <w:pPr>
              <w:jc w:val="both"/>
              <w:rPr>
                <w:sz w:val="20"/>
              </w:rPr>
            </w:pPr>
            <w:r w:rsidRPr="000A2294">
              <w:rPr>
                <w:rStyle w:val="SCCFileNumberChar"/>
                <w:sz w:val="20"/>
                <w:szCs w:val="20"/>
              </w:rPr>
              <w:t>40480</w:t>
            </w:r>
          </w:p>
        </w:tc>
        <w:tc>
          <w:tcPr>
            <w:tcW w:w="4457" w:type="pct"/>
          </w:tcPr>
          <w:p w:rsidR="00930252" w:rsidRPr="000A2294" w:rsidRDefault="00930252" w:rsidP="00930252">
            <w:pPr>
              <w:pStyle w:val="SCCLsocParty"/>
              <w:jc w:val="both"/>
              <w:rPr>
                <w:b/>
                <w:sz w:val="20"/>
                <w:szCs w:val="20"/>
                <w:lang w:val="en-US"/>
              </w:rPr>
            </w:pPr>
            <w:r w:rsidRPr="000A2294">
              <w:rPr>
                <w:b/>
                <w:sz w:val="20"/>
                <w:szCs w:val="20"/>
                <w:lang w:val="en-US"/>
              </w:rPr>
              <w:t>Stephen Charles Walton, Heather Naomi Walton v. His Majesty the King</w:t>
            </w:r>
          </w:p>
          <w:p w:rsidR="00930252" w:rsidRPr="000A2294" w:rsidRDefault="00930252" w:rsidP="00930252">
            <w:pPr>
              <w:jc w:val="both"/>
              <w:rPr>
                <w:sz w:val="20"/>
              </w:rPr>
            </w:pPr>
            <w:r w:rsidRPr="000A2294">
              <w:rPr>
                <w:sz w:val="20"/>
              </w:rPr>
              <w:t>(Alta.) (Criminal) (By Leave)</w:t>
            </w:r>
          </w:p>
        </w:tc>
      </w:tr>
      <w:tr w:rsidR="00930252" w:rsidRPr="000A2294" w:rsidTr="00E95A6A">
        <w:tc>
          <w:tcPr>
            <w:tcW w:w="5000" w:type="pct"/>
            <w:gridSpan w:val="2"/>
          </w:tcPr>
          <w:p w:rsidR="00930252" w:rsidRPr="000A2294" w:rsidRDefault="00930252" w:rsidP="00930252">
            <w:pPr>
              <w:jc w:val="both"/>
              <w:rPr>
                <w:sz w:val="20"/>
              </w:rPr>
            </w:pPr>
            <w:r w:rsidRPr="000A2294">
              <w:rPr>
                <w:i/>
                <w:sz w:val="20"/>
              </w:rPr>
              <w:t>Charter of Rights</w:t>
            </w:r>
            <w:r w:rsidRPr="000A2294">
              <w:rPr>
                <w:sz w:val="20"/>
              </w:rPr>
              <w:t xml:space="preserve"> — Search and Seizure — Standing — Whether the applicants had standing to assert a violation of their rights pursuant to </w:t>
            </w:r>
            <w:r w:rsidRPr="000A2294">
              <w:rPr>
                <w:iCs/>
                <w:color w:val="000000"/>
                <w:sz w:val="20"/>
              </w:rPr>
              <w:t xml:space="preserve">s. 8 of the </w:t>
            </w:r>
            <w:r w:rsidRPr="000A2294">
              <w:rPr>
                <w:i/>
                <w:iCs/>
                <w:color w:val="000000"/>
                <w:sz w:val="20"/>
              </w:rPr>
              <w:t>Charter</w:t>
            </w:r>
            <w:r w:rsidRPr="000A2294">
              <w:rPr>
                <w:iCs/>
                <w:color w:val="000000"/>
                <w:sz w:val="20"/>
              </w:rPr>
              <w:t xml:space="preserve"> </w:t>
            </w:r>
            <w:r w:rsidRPr="000A2294">
              <w:rPr>
                <w:sz w:val="20"/>
              </w:rPr>
              <w:t>—</w:t>
            </w:r>
            <w:r w:rsidRPr="000A2294">
              <w:rPr>
                <w:iCs/>
                <w:color w:val="000000"/>
                <w:sz w:val="20"/>
              </w:rPr>
              <w:t xml:space="preserve"> </w:t>
            </w:r>
            <w:r w:rsidRPr="000A2294">
              <w:rPr>
                <w:sz w:val="20"/>
              </w:rPr>
              <w:t xml:space="preserve">Did the trial judge err in law in interpreting and applying the legal test to find that the applicants did not have a reasonable expectation of privacy in electronic communications in possession of a third party — Did the trial judge err in law by relying on the failure of the applicants to testify at the </w:t>
            </w:r>
            <w:r w:rsidRPr="000A2294">
              <w:rPr>
                <w:i/>
                <w:sz w:val="20"/>
              </w:rPr>
              <w:t xml:space="preserve">voir dire </w:t>
            </w:r>
            <w:r w:rsidRPr="000A2294">
              <w:rPr>
                <w:sz w:val="20"/>
              </w:rPr>
              <w:t xml:space="preserve">to find that they did not have a reasonable expectation of privacy — </w:t>
            </w:r>
            <w:r w:rsidRPr="000A2294">
              <w:rPr>
                <w:i/>
                <w:sz w:val="20"/>
              </w:rPr>
              <w:t>Canadian Charter of Rights and Freedoms</w:t>
            </w:r>
            <w:r w:rsidRPr="000A2294">
              <w:rPr>
                <w:sz w:val="20"/>
              </w:rPr>
              <w:t>, s. 8.</w:t>
            </w:r>
          </w:p>
          <w:p w:rsidR="00930252" w:rsidRPr="000A2294" w:rsidRDefault="00930252" w:rsidP="00930252">
            <w:pPr>
              <w:jc w:val="both"/>
              <w:rPr>
                <w:sz w:val="20"/>
              </w:rPr>
            </w:pPr>
          </w:p>
        </w:tc>
      </w:tr>
      <w:tr w:rsidR="00930252" w:rsidRPr="000A2294" w:rsidTr="00E95A6A">
        <w:tc>
          <w:tcPr>
            <w:tcW w:w="5000" w:type="pct"/>
            <w:gridSpan w:val="2"/>
          </w:tcPr>
          <w:p w:rsidR="00930252" w:rsidRPr="000A2294" w:rsidRDefault="00930252" w:rsidP="00930252">
            <w:pPr>
              <w:pStyle w:val="felskynumbering12"/>
              <w:spacing w:before="0" w:beforeAutospacing="0" w:after="0" w:afterAutospacing="0"/>
              <w:jc w:val="both"/>
              <w:rPr>
                <w:color w:val="000000"/>
                <w:sz w:val="20"/>
                <w:szCs w:val="20"/>
              </w:rPr>
            </w:pPr>
            <w:r w:rsidRPr="000A2294">
              <w:rPr>
                <w:color w:val="000000"/>
                <w:sz w:val="20"/>
                <w:szCs w:val="20"/>
              </w:rPr>
              <w:t xml:space="preserve">The Waltons operated a private security company. They </w:t>
            </w:r>
            <w:proofErr w:type="gramStart"/>
            <w:r w:rsidRPr="000A2294">
              <w:rPr>
                <w:color w:val="000000"/>
                <w:sz w:val="20"/>
                <w:szCs w:val="20"/>
              </w:rPr>
              <w:t>were hired</w:t>
            </w:r>
            <w:proofErr w:type="gramEnd"/>
            <w:r w:rsidRPr="000A2294">
              <w:rPr>
                <w:color w:val="000000"/>
                <w:sz w:val="20"/>
                <w:szCs w:val="20"/>
              </w:rPr>
              <w:t xml:space="preserve"> by Mr. Carter to provide protection services and to gather information in support of Mr. Carter’s position in a custody dispute. Mr. </w:t>
            </w:r>
            <w:r w:rsidRPr="000A2294">
              <w:rPr>
                <w:sz w:val="20"/>
                <w:szCs w:val="20"/>
              </w:rPr>
              <w:t>Braile worked for the Waltons. He contacted the mother of the child directly and then the police. A criminal investigation ensued. The police relied on Mr. Braile’s voluntary consent and electronic communications to secure the production orders and search warrants.</w:t>
            </w:r>
            <w:r w:rsidRPr="000A2294">
              <w:rPr>
                <w:color w:val="000000"/>
                <w:sz w:val="20"/>
                <w:szCs w:val="20"/>
              </w:rPr>
              <w:t xml:space="preserve"> At a </w:t>
            </w:r>
            <w:r w:rsidRPr="000A2294">
              <w:rPr>
                <w:i/>
                <w:color w:val="000000"/>
                <w:sz w:val="20"/>
                <w:szCs w:val="20"/>
              </w:rPr>
              <w:t>voir dire</w:t>
            </w:r>
            <w:r w:rsidRPr="000A2294">
              <w:rPr>
                <w:color w:val="000000"/>
                <w:sz w:val="20"/>
                <w:szCs w:val="20"/>
              </w:rPr>
              <w:t xml:space="preserve">, the trial judge dismissed the Waltons’ s. 8 </w:t>
            </w:r>
            <w:r w:rsidRPr="000A2294">
              <w:rPr>
                <w:i/>
                <w:iCs/>
                <w:color w:val="000000"/>
                <w:sz w:val="20"/>
                <w:szCs w:val="20"/>
              </w:rPr>
              <w:t xml:space="preserve">Charter </w:t>
            </w:r>
            <w:r w:rsidRPr="000A2294">
              <w:rPr>
                <w:color w:val="000000"/>
                <w:sz w:val="20"/>
                <w:szCs w:val="20"/>
              </w:rPr>
              <w:t xml:space="preserve">challenge finding that they lacked standing to bring the application because they did not have a reasonable expectation of privacy in the electronic communications stored by Mr. Braile on his email account. After a trial by judge and jury, Mr. Walton </w:t>
            </w:r>
            <w:proofErr w:type="gramStart"/>
            <w:r w:rsidRPr="000A2294">
              <w:rPr>
                <w:color w:val="000000"/>
                <w:sz w:val="20"/>
                <w:szCs w:val="20"/>
              </w:rPr>
              <w:t>was convicted</w:t>
            </w:r>
            <w:proofErr w:type="gramEnd"/>
            <w:r w:rsidRPr="000A2294">
              <w:rPr>
                <w:color w:val="000000"/>
                <w:sz w:val="20"/>
                <w:szCs w:val="20"/>
              </w:rPr>
              <w:t xml:space="preserve"> of criminal harassment. Both Mr. Walton and Ms. Walton </w:t>
            </w:r>
            <w:proofErr w:type="gramStart"/>
            <w:r w:rsidRPr="000A2294">
              <w:rPr>
                <w:color w:val="000000"/>
                <w:sz w:val="20"/>
                <w:szCs w:val="20"/>
              </w:rPr>
              <w:t>were convicted</w:t>
            </w:r>
            <w:proofErr w:type="gramEnd"/>
            <w:r w:rsidRPr="000A2294">
              <w:rPr>
                <w:color w:val="000000"/>
                <w:sz w:val="20"/>
                <w:szCs w:val="20"/>
              </w:rPr>
              <w:t xml:space="preserve"> of bribery of a peace officer and a firearms offence. The Court of Appeal dismissed the Waltons’ appeal.</w:t>
            </w:r>
          </w:p>
        </w:tc>
      </w:tr>
      <w:tr w:rsidR="00930252" w:rsidRPr="000A2294" w:rsidTr="00E95A6A">
        <w:tc>
          <w:tcPr>
            <w:tcW w:w="5000" w:type="pct"/>
            <w:gridSpan w:val="2"/>
          </w:tcPr>
          <w:p w:rsidR="00930252" w:rsidRPr="000A2294" w:rsidRDefault="00930252" w:rsidP="00930252">
            <w:pPr>
              <w:jc w:val="both"/>
              <w:rPr>
                <w:sz w:val="20"/>
              </w:rPr>
            </w:pPr>
          </w:p>
        </w:tc>
      </w:tr>
      <w:tr w:rsidR="00930252" w:rsidRPr="000A2294" w:rsidTr="00E95A6A">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930252" w:rsidRPr="000A2294" w:rsidTr="003131F8">
              <w:tc>
                <w:tcPr>
                  <w:tcW w:w="2367" w:type="pct"/>
                </w:tcPr>
                <w:p w:rsidR="00930252" w:rsidRPr="000A2294" w:rsidRDefault="00930252" w:rsidP="00930252">
                  <w:pPr>
                    <w:jc w:val="both"/>
                    <w:rPr>
                      <w:sz w:val="20"/>
                    </w:rPr>
                  </w:pPr>
                  <w:r w:rsidRPr="000A2294">
                    <w:rPr>
                      <w:sz w:val="20"/>
                    </w:rPr>
                    <w:t>September 17, 2018</w:t>
                  </w:r>
                </w:p>
                <w:p w:rsidR="00930252" w:rsidRPr="000A2294" w:rsidRDefault="00930252" w:rsidP="00930252">
                  <w:pPr>
                    <w:jc w:val="both"/>
                    <w:rPr>
                      <w:sz w:val="20"/>
                    </w:rPr>
                  </w:pPr>
                  <w:r w:rsidRPr="000A2294">
                    <w:rPr>
                      <w:sz w:val="20"/>
                    </w:rPr>
                    <w:t>Court of Queen’s Bench of Alberta</w:t>
                  </w:r>
                </w:p>
                <w:p w:rsidR="00930252" w:rsidRPr="000A2294" w:rsidRDefault="00930252" w:rsidP="00930252">
                  <w:pPr>
                    <w:jc w:val="both"/>
                    <w:rPr>
                      <w:sz w:val="20"/>
                    </w:rPr>
                  </w:pPr>
                  <w:r w:rsidRPr="000A2294">
                    <w:rPr>
                      <w:sz w:val="20"/>
                    </w:rPr>
                    <w:t xml:space="preserve">(Poelman J.) </w:t>
                  </w:r>
                </w:p>
                <w:p w:rsidR="00930252" w:rsidRPr="00491E7D" w:rsidRDefault="00F935FF" w:rsidP="00930252">
                  <w:pPr>
                    <w:jc w:val="both"/>
                    <w:rPr>
                      <w:sz w:val="20"/>
                    </w:rPr>
                  </w:pPr>
                  <w:hyperlink r:id="rId39" w:history="1">
                    <w:r w:rsidR="00930252" w:rsidRPr="00491E7D">
                      <w:rPr>
                        <w:rStyle w:val="Hyperlink"/>
                        <w:sz w:val="20"/>
                      </w:rPr>
                      <w:t>2018 ABQB 667</w:t>
                    </w:r>
                  </w:hyperlink>
                  <w:r w:rsidR="00930252" w:rsidRPr="00491E7D">
                    <w:rPr>
                      <w:sz w:val="20"/>
                    </w:rPr>
                    <w:t> </w:t>
                  </w:r>
                </w:p>
                <w:p w:rsidR="00930252" w:rsidRPr="000A2294" w:rsidRDefault="00930252" w:rsidP="00930252">
                  <w:pPr>
                    <w:jc w:val="both"/>
                    <w:rPr>
                      <w:sz w:val="20"/>
                    </w:rPr>
                  </w:pPr>
                </w:p>
              </w:tc>
              <w:tc>
                <w:tcPr>
                  <w:tcW w:w="267" w:type="pct"/>
                </w:tcPr>
                <w:p w:rsidR="00930252" w:rsidRPr="000A2294" w:rsidRDefault="00930252" w:rsidP="00930252">
                  <w:pPr>
                    <w:jc w:val="both"/>
                    <w:rPr>
                      <w:sz w:val="20"/>
                    </w:rPr>
                  </w:pPr>
                </w:p>
              </w:tc>
              <w:tc>
                <w:tcPr>
                  <w:tcW w:w="2366" w:type="pct"/>
                </w:tcPr>
                <w:p w:rsidR="00930252" w:rsidRPr="000A2294" w:rsidRDefault="00930252" w:rsidP="00930252">
                  <w:pPr>
                    <w:jc w:val="both"/>
                    <w:rPr>
                      <w:sz w:val="20"/>
                    </w:rPr>
                  </w:pPr>
                  <w:r w:rsidRPr="000A2294">
                    <w:rPr>
                      <w:i/>
                      <w:sz w:val="20"/>
                    </w:rPr>
                    <w:t>Voir dire</w:t>
                  </w:r>
                  <w:r w:rsidRPr="000A2294">
                    <w:rPr>
                      <w:sz w:val="20"/>
                    </w:rPr>
                    <w:t xml:space="preserve"> ruling: the Waltons’ </w:t>
                  </w:r>
                  <w:r w:rsidRPr="000A2294">
                    <w:rPr>
                      <w:i/>
                      <w:sz w:val="20"/>
                    </w:rPr>
                    <w:t>Charter</w:t>
                  </w:r>
                  <w:r w:rsidRPr="000A2294">
                    <w:rPr>
                      <w:sz w:val="20"/>
                    </w:rPr>
                    <w:t xml:space="preserve"> application dismissed</w:t>
                  </w:r>
                </w:p>
                <w:p w:rsidR="00930252" w:rsidRPr="000A2294" w:rsidRDefault="00930252" w:rsidP="00930252">
                  <w:pPr>
                    <w:jc w:val="both"/>
                    <w:rPr>
                      <w:sz w:val="20"/>
                    </w:rPr>
                  </w:pPr>
                </w:p>
              </w:tc>
            </w:tr>
            <w:tr w:rsidR="00930252" w:rsidRPr="000A2294" w:rsidTr="003131F8">
              <w:tc>
                <w:tcPr>
                  <w:tcW w:w="2367" w:type="pct"/>
                </w:tcPr>
                <w:p w:rsidR="00930252" w:rsidRPr="000A2294" w:rsidRDefault="00930252" w:rsidP="00930252">
                  <w:pPr>
                    <w:jc w:val="both"/>
                    <w:rPr>
                      <w:sz w:val="20"/>
                    </w:rPr>
                  </w:pPr>
                  <w:r w:rsidRPr="000A2294">
                    <w:rPr>
                      <w:sz w:val="20"/>
                    </w:rPr>
                    <w:t>October 19, 2018</w:t>
                  </w:r>
                </w:p>
                <w:p w:rsidR="00930252" w:rsidRPr="000A2294" w:rsidRDefault="00930252" w:rsidP="00930252">
                  <w:pPr>
                    <w:jc w:val="both"/>
                    <w:rPr>
                      <w:sz w:val="20"/>
                    </w:rPr>
                  </w:pPr>
                  <w:r w:rsidRPr="000A2294">
                    <w:rPr>
                      <w:sz w:val="20"/>
                    </w:rPr>
                    <w:t>Court of Queen’s Bench of Alberta</w:t>
                  </w:r>
                </w:p>
                <w:p w:rsidR="00930252" w:rsidRPr="000A2294" w:rsidRDefault="00930252" w:rsidP="00930252">
                  <w:pPr>
                    <w:jc w:val="both"/>
                    <w:rPr>
                      <w:sz w:val="20"/>
                    </w:rPr>
                  </w:pPr>
                  <w:r w:rsidRPr="000A2294">
                    <w:rPr>
                      <w:sz w:val="20"/>
                    </w:rPr>
                    <w:t>(Poelman J.)</w:t>
                  </w:r>
                </w:p>
              </w:tc>
              <w:tc>
                <w:tcPr>
                  <w:tcW w:w="267" w:type="pct"/>
                </w:tcPr>
                <w:p w:rsidR="00930252" w:rsidRPr="000A2294" w:rsidRDefault="00930252" w:rsidP="00930252">
                  <w:pPr>
                    <w:jc w:val="both"/>
                    <w:rPr>
                      <w:sz w:val="20"/>
                    </w:rPr>
                  </w:pPr>
                </w:p>
              </w:tc>
              <w:tc>
                <w:tcPr>
                  <w:tcW w:w="2366" w:type="pct"/>
                </w:tcPr>
                <w:p w:rsidR="00930252" w:rsidRPr="000A2294" w:rsidRDefault="00930252" w:rsidP="00930252">
                  <w:pPr>
                    <w:pStyle w:val="felskynumbering12"/>
                    <w:spacing w:before="0" w:beforeAutospacing="0" w:after="240" w:afterAutospacing="0"/>
                    <w:jc w:val="both"/>
                    <w:rPr>
                      <w:color w:val="000000"/>
                      <w:sz w:val="20"/>
                      <w:szCs w:val="20"/>
                    </w:rPr>
                  </w:pPr>
                  <w:r w:rsidRPr="000A2294">
                    <w:rPr>
                      <w:color w:val="000000"/>
                      <w:sz w:val="20"/>
                      <w:szCs w:val="20"/>
                    </w:rPr>
                    <w:t>Mr. Walton convicted of criminal harassment; both Mr. Walton and Ms. Walton convicted of bribery of a peace officer and a firearms offence</w:t>
                  </w:r>
                </w:p>
              </w:tc>
            </w:tr>
            <w:tr w:rsidR="00930252" w:rsidRPr="000A2294" w:rsidTr="003131F8">
              <w:tc>
                <w:tcPr>
                  <w:tcW w:w="2367" w:type="pct"/>
                </w:tcPr>
                <w:p w:rsidR="00930252" w:rsidRPr="000A2294" w:rsidRDefault="00930252" w:rsidP="00930252">
                  <w:pPr>
                    <w:jc w:val="both"/>
                    <w:rPr>
                      <w:sz w:val="20"/>
                    </w:rPr>
                  </w:pPr>
                  <w:r w:rsidRPr="000A2294">
                    <w:rPr>
                      <w:sz w:val="20"/>
                    </w:rPr>
                    <w:t>August 25, 2022</w:t>
                  </w:r>
                </w:p>
                <w:p w:rsidR="00930252" w:rsidRPr="000A2294" w:rsidRDefault="00930252" w:rsidP="00930252">
                  <w:pPr>
                    <w:jc w:val="both"/>
                    <w:rPr>
                      <w:sz w:val="20"/>
                    </w:rPr>
                  </w:pPr>
                  <w:r w:rsidRPr="000A2294">
                    <w:rPr>
                      <w:sz w:val="20"/>
                    </w:rPr>
                    <w:t>Court of Appeal of Alberta (Calgary)</w:t>
                  </w:r>
                </w:p>
                <w:p w:rsidR="00930252" w:rsidRPr="000A2294" w:rsidRDefault="00930252" w:rsidP="00930252">
                  <w:pPr>
                    <w:jc w:val="both"/>
                    <w:rPr>
                      <w:sz w:val="20"/>
                    </w:rPr>
                  </w:pPr>
                  <w:r w:rsidRPr="000A2294">
                    <w:rPr>
                      <w:sz w:val="20"/>
                    </w:rPr>
                    <w:t>(Rowbotham, Hughes, Kirker JJ.A.)</w:t>
                  </w:r>
                </w:p>
                <w:p w:rsidR="00930252" w:rsidRPr="000A2294" w:rsidRDefault="00F935FF" w:rsidP="00930252">
                  <w:pPr>
                    <w:jc w:val="both"/>
                    <w:rPr>
                      <w:sz w:val="20"/>
                    </w:rPr>
                  </w:pPr>
                  <w:hyperlink r:id="rId40" w:history="1">
                    <w:r w:rsidR="00930252" w:rsidRPr="000A2294">
                      <w:rPr>
                        <w:rStyle w:val="Hyperlink"/>
                        <w:sz w:val="20"/>
                      </w:rPr>
                      <w:t>2022 ABCA 276</w:t>
                    </w:r>
                  </w:hyperlink>
                </w:p>
                <w:p w:rsidR="00930252" w:rsidRPr="000A2294" w:rsidRDefault="00930252" w:rsidP="00930252">
                  <w:pPr>
                    <w:jc w:val="both"/>
                    <w:rPr>
                      <w:sz w:val="20"/>
                    </w:rPr>
                  </w:pPr>
                </w:p>
              </w:tc>
              <w:tc>
                <w:tcPr>
                  <w:tcW w:w="267" w:type="pct"/>
                </w:tcPr>
                <w:p w:rsidR="00930252" w:rsidRPr="000A2294" w:rsidRDefault="00930252" w:rsidP="00930252">
                  <w:pPr>
                    <w:jc w:val="both"/>
                    <w:rPr>
                      <w:sz w:val="20"/>
                    </w:rPr>
                  </w:pPr>
                </w:p>
              </w:tc>
              <w:tc>
                <w:tcPr>
                  <w:tcW w:w="2366" w:type="pct"/>
                </w:tcPr>
                <w:p w:rsidR="00930252" w:rsidRPr="000A2294" w:rsidRDefault="00930252" w:rsidP="00930252">
                  <w:pPr>
                    <w:jc w:val="both"/>
                    <w:rPr>
                      <w:sz w:val="20"/>
                    </w:rPr>
                  </w:pPr>
                  <w:r w:rsidRPr="000A2294">
                    <w:rPr>
                      <w:sz w:val="20"/>
                    </w:rPr>
                    <w:t>Appeal dismissed</w:t>
                  </w:r>
                </w:p>
                <w:p w:rsidR="00930252" w:rsidRPr="000A2294" w:rsidRDefault="00930252" w:rsidP="00930252">
                  <w:pPr>
                    <w:jc w:val="both"/>
                    <w:rPr>
                      <w:sz w:val="20"/>
                    </w:rPr>
                  </w:pPr>
                </w:p>
              </w:tc>
            </w:tr>
            <w:tr w:rsidR="00930252" w:rsidRPr="000A2294" w:rsidTr="003131F8">
              <w:tc>
                <w:tcPr>
                  <w:tcW w:w="2367" w:type="pct"/>
                </w:tcPr>
                <w:p w:rsidR="00930252" w:rsidRPr="000A2294" w:rsidRDefault="00930252" w:rsidP="00930252">
                  <w:pPr>
                    <w:jc w:val="both"/>
                    <w:rPr>
                      <w:sz w:val="20"/>
                    </w:rPr>
                  </w:pPr>
                  <w:r w:rsidRPr="000A2294">
                    <w:rPr>
                      <w:sz w:val="20"/>
                    </w:rPr>
                    <w:t>December 2, 2022</w:t>
                  </w:r>
                </w:p>
                <w:p w:rsidR="00930252" w:rsidRPr="000A2294" w:rsidRDefault="00930252" w:rsidP="00930252">
                  <w:pPr>
                    <w:jc w:val="both"/>
                    <w:rPr>
                      <w:sz w:val="20"/>
                    </w:rPr>
                  </w:pPr>
                  <w:r w:rsidRPr="000A2294">
                    <w:rPr>
                      <w:sz w:val="20"/>
                    </w:rPr>
                    <w:t>Supreme Court of Canada</w:t>
                  </w:r>
                </w:p>
                <w:p w:rsidR="00930252" w:rsidRPr="000A2294" w:rsidRDefault="00930252" w:rsidP="00930252">
                  <w:pPr>
                    <w:jc w:val="both"/>
                    <w:rPr>
                      <w:sz w:val="20"/>
                    </w:rPr>
                  </w:pPr>
                </w:p>
              </w:tc>
              <w:tc>
                <w:tcPr>
                  <w:tcW w:w="267" w:type="pct"/>
                </w:tcPr>
                <w:p w:rsidR="00930252" w:rsidRPr="000A2294" w:rsidRDefault="00930252" w:rsidP="00930252">
                  <w:pPr>
                    <w:jc w:val="both"/>
                    <w:rPr>
                      <w:sz w:val="20"/>
                    </w:rPr>
                  </w:pPr>
                </w:p>
              </w:tc>
              <w:tc>
                <w:tcPr>
                  <w:tcW w:w="2366" w:type="pct"/>
                </w:tcPr>
                <w:p w:rsidR="00930252" w:rsidRPr="000A2294" w:rsidRDefault="00930252" w:rsidP="00930252">
                  <w:pPr>
                    <w:jc w:val="both"/>
                    <w:rPr>
                      <w:sz w:val="20"/>
                    </w:rPr>
                  </w:pPr>
                  <w:r w:rsidRPr="000A2294">
                    <w:rPr>
                      <w:sz w:val="20"/>
                    </w:rPr>
                    <w:t>Motion for an extension of time to serve and file the application for leave to appeal and application for leave to appeal filed</w:t>
                  </w:r>
                </w:p>
              </w:tc>
            </w:tr>
          </w:tbl>
          <w:p w:rsidR="00930252" w:rsidRPr="000A2294" w:rsidRDefault="00930252" w:rsidP="00930252">
            <w:pPr>
              <w:jc w:val="both"/>
              <w:rPr>
                <w:sz w:val="20"/>
              </w:rPr>
            </w:pPr>
          </w:p>
        </w:tc>
      </w:tr>
    </w:tbl>
    <w:p w:rsidR="00930252" w:rsidRPr="000A2294" w:rsidRDefault="00930252" w:rsidP="00930252">
      <w:pPr>
        <w:jc w:val="both"/>
        <w:rPr>
          <w:sz w:val="20"/>
        </w:rPr>
      </w:pPr>
    </w:p>
    <w:p w:rsidR="00930252" w:rsidRPr="000A2294" w:rsidRDefault="00F935FF" w:rsidP="00930252">
      <w:pPr>
        <w:jc w:val="both"/>
        <w:rPr>
          <w:sz w:val="20"/>
        </w:rPr>
      </w:pPr>
      <w:r>
        <w:rPr>
          <w:sz w:val="20"/>
        </w:rPr>
        <w:pict>
          <v:rect id="_x0000_i1029" style="width:2in;height:1pt" o:hrpct="0" o:hralign="center" o:hrstd="t" o:hrnoshade="t" o:hr="t" fillcolor="black [3213]" stroked="f"/>
        </w:pict>
      </w:r>
    </w:p>
    <w:p w:rsidR="00930252" w:rsidRPr="000A2294" w:rsidRDefault="00930252" w:rsidP="009302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30252" w:rsidRPr="00F935FF" w:rsidTr="00E95A6A">
        <w:tc>
          <w:tcPr>
            <w:tcW w:w="543" w:type="pct"/>
          </w:tcPr>
          <w:p w:rsidR="00930252" w:rsidRPr="000A2294" w:rsidRDefault="00930252" w:rsidP="00930252">
            <w:pPr>
              <w:jc w:val="both"/>
              <w:rPr>
                <w:sz w:val="20"/>
                <w:lang w:val="fr-CA"/>
              </w:rPr>
            </w:pPr>
            <w:r w:rsidRPr="000A2294">
              <w:rPr>
                <w:rStyle w:val="SCCFileNumberChar"/>
                <w:sz w:val="20"/>
                <w:szCs w:val="20"/>
                <w:lang w:val="fr-CA"/>
              </w:rPr>
              <w:t>40480</w:t>
            </w:r>
          </w:p>
        </w:tc>
        <w:tc>
          <w:tcPr>
            <w:tcW w:w="4457" w:type="pct"/>
          </w:tcPr>
          <w:p w:rsidR="00930252" w:rsidRPr="000A2294" w:rsidRDefault="00930252" w:rsidP="00930252">
            <w:pPr>
              <w:pStyle w:val="SCCLsocParty"/>
              <w:jc w:val="both"/>
              <w:rPr>
                <w:b/>
                <w:sz w:val="20"/>
                <w:szCs w:val="20"/>
              </w:rPr>
            </w:pPr>
            <w:r w:rsidRPr="000A2294">
              <w:rPr>
                <w:b/>
                <w:sz w:val="20"/>
                <w:szCs w:val="20"/>
              </w:rPr>
              <w:t>Stephen Charles Walton, Heather Naomi Walton c. Sa Majesté le Roi</w:t>
            </w:r>
          </w:p>
          <w:p w:rsidR="00930252" w:rsidRPr="000A2294" w:rsidRDefault="00930252" w:rsidP="00930252">
            <w:pPr>
              <w:jc w:val="both"/>
              <w:rPr>
                <w:sz w:val="20"/>
                <w:lang w:val="fr-CA"/>
              </w:rPr>
            </w:pPr>
            <w:r w:rsidRPr="000A2294">
              <w:rPr>
                <w:sz w:val="20"/>
                <w:lang w:val="fr-CA"/>
              </w:rPr>
              <w:t>(Alb.) (Criminelle) (Autorisation)</w:t>
            </w:r>
          </w:p>
        </w:tc>
      </w:tr>
      <w:tr w:rsidR="00930252" w:rsidRPr="00F935FF" w:rsidTr="00E95A6A">
        <w:tc>
          <w:tcPr>
            <w:tcW w:w="5000" w:type="pct"/>
            <w:gridSpan w:val="2"/>
          </w:tcPr>
          <w:p w:rsidR="00930252" w:rsidRPr="000A2294" w:rsidRDefault="00930252" w:rsidP="00930252">
            <w:pPr>
              <w:jc w:val="both"/>
              <w:rPr>
                <w:sz w:val="20"/>
                <w:lang w:val="fr-CA"/>
              </w:rPr>
            </w:pPr>
            <w:r w:rsidRPr="000A2294">
              <w:rPr>
                <w:i/>
                <w:sz w:val="20"/>
                <w:lang w:val="fr-CA"/>
              </w:rPr>
              <w:t xml:space="preserve">Charte des droits </w:t>
            </w:r>
            <w:r w:rsidRPr="000A2294">
              <w:rPr>
                <w:sz w:val="20"/>
                <w:lang w:val="fr-CA"/>
              </w:rPr>
              <w:t xml:space="preserve">— </w:t>
            </w:r>
            <w:proofErr w:type="gramStart"/>
            <w:r w:rsidRPr="000A2294">
              <w:rPr>
                <w:sz w:val="20"/>
                <w:lang w:val="fr-CA"/>
              </w:rPr>
              <w:t>Fouilles</w:t>
            </w:r>
            <w:proofErr w:type="gramEnd"/>
            <w:r w:rsidRPr="000A2294">
              <w:rPr>
                <w:sz w:val="20"/>
                <w:lang w:val="fr-CA"/>
              </w:rPr>
              <w:t>, perquisitions et saisies — Qualité pour agir — Les demandeurs avaient</w:t>
            </w:r>
            <w:r w:rsidRPr="000A2294">
              <w:rPr>
                <w:sz w:val="20"/>
                <w:lang w:val="fr-CA"/>
              </w:rPr>
              <w:noBreakHyphen/>
              <w:t>ils la qualité pour agir afin de faire valoir une violation de leurs droits garantis à l’art</w:t>
            </w:r>
            <w:r w:rsidRPr="000A2294">
              <w:rPr>
                <w:iCs/>
                <w:color w:val="000000"/>
                <w:sz w:val="20"/>
                <w:lang w:val="fr-CA"/>
              </w:rPr>
              <w:t xml:space="preserve">. 8 de la </w:t>
            </w:r>
            <w:r w:rsidRPr="000A2294">
              <w:rPr>
                <w:i/>
                <w:iCs/>
                <w:color w:val="000000"/>
                <w:sz w:val="20"/>
                <w:lang w:val="fr-CA"/>
              </w:rPr>
              <w:t>Charte</w:t>
            </w:r>
            <w:r w:rsidRPr="000A2294">
              <w:rPr>
                <w:iCs/>
                <w:color w:val="000000"/>
                <w:sz w:val="20"/>
                <w:lang w:val="fr-CA"/>
              </w:rPr>
              <w:t xml:space="preserve">? </w:t>
            </w:r>
            <w:r w:rsidRPr="000A2294">
              <w:rPr>
                <w:sz w:val="20"/>
                <w:lang w:val="fr-CA"/>
              </w:rPr>
              <w:t>—</w:t>
            </w:r>
            <w:r w:rsidRPr="000A2294">
              <w:rPr>
                <w:iCs/>
                <w:color w:val="000000"/>
                <w:sz w:val="20"/>
                <w:lang w:val="fr-CA"/>
              </w:rPr>
              <w:t xml:space="preserve"> Le juge du procès a-t-il commis une erreur en droit, en interprétant et en appliquant le critère juridique afin de conclure que les demandeurs n’avaient pas d’attente raisonnable en matière de vie privée à l’égard des communications électroniques en la possession d’une tierce partie? </w:t>
            </w:r>
            <w:r w:rsidRPr="000A2294">
              <w:rPr>
                <w:sz w:val="20"/>
                <w:lang w:val="fr-CA"/>
              </w:rPr>
              <w:t>— Le juge du procès a</w:t>
            </w:r>
            <w:r w:rsidRPr="000A2294">
              <w:rPr>
                <w:sz w:val="20"/>
                <w:lang w:val="fr-CA"/>
              </w:rPr>
              <w:noBreakHyphen/>
              <w:t>t</w:t>
            </w:r>
            <w:r w:rsidRPr="000A2294">
              <w:rPr>
                <w:sz w:val="20"/>
                <w:lang w:val="fr-CA"/>
              </w:rPr>
              <w:noBreakHyphen/>
              <w:t xml:space="preserve">il commis une erreur en droit, en se fondant sur le défaut des demandeurs de témoigner lors du voir dire afin de conclure qu’ils n’avaient pas d’attente raisonnable en matière de vie privée? — </w:t>
            </w:r>
            <w:r w:rsidRPr="000A2294">
              <w:rPr>
                <w:i/>
                <w:sz w:val="20"/>
                <w:lang w:val="fr-CA"/>
              </w:rPr>
              <w:t>Charte canadienne des droits et libertés</w:t>
            </w:r>
            <w:r w:rsidRPr="000A2294">
              <w:rPr>
                <w:sz w:val="20"/>
                <w:lang w:val="fr-CA"/>
              </w:rPr>
              <w:t>, art. 8.</w:t>
            </w:r>
          </w:p>
          <w:p w:rsidR="00930252" w:rsidRPr="000A2294" w:rsidRDefault="00930252" w:rsidP="00930252">
            <w:pPr>
              <w:jc w:val="both"/>
              <w:rPr>
                <w:sz w:val="20"/>
                <w:lang w:val="fr-CA"/>
              </w:rPr>
            </w:pPr>
          </w:p>
        </w:tc>
      </w:tr>
      <w:tr w:rsidR="00930252" w:rsidRPr="000A2294" w:rsidTr="00E95A6A">
        <w:tc>
          <w:tcPr>
            <w:tcW w:w="5000" w:type="pct"/>
            <w:gridSpan w:val="2"/>
          </w:tcPr>
          <w:p w:rsidR="00930252" w:rsidRPr="000A2294" w:rsidRDefault="00930252" w:rsidP="00930252">
            <w:pPr>
              <w:pStyle w:val="felskynumbering12"/>
              <w:spacing w:before="0" w:beforeAutospacing="0" w:after="0" w:afterAutospacing="0"/>
              <w:jc w:val="both"/>
              <w:rPr>
                <w:color w:val="000000"/>
                <w:sz w:val="20"/>
                <w:szCs w:val="20"/>
                <w:lang w:val="fr-CA"/>
              </w:rPr>
            </w:pPr>
            <w:r w:rsidRPr="000A2294">
              <w:rPr>
                <w:color w:val="000000"/>
                <w:sz w:val="20"/>
                <w:szCs w:val="20"/>
                <w:lang w:val="fr-CA"/>
              </w:rPr>
              <w:t xml:space="preserve">Les Walton exploitaient une entreprise privée de sécurité. Ils ont été engagés par M. Carter pour fournir des services de protection et recueillir des renseignements à l’appui de la position de M. Carter dans un contentieux relatif à la garde. M. Braile travaillait pour les Walton. Il a communiqué directement avec la mère de l’enfant, et ensuite, avec la police. Une enquête criminelle s’en est suivie. La police s’est fondée sur le consentement volontaire de M. Braile et sur des communications électroniques pour obtenir des ordonnances de communication et des mandats de perquisition. Lors d’un voir dire, le juge du procès a rejeté la contestation des Walton fondée sur l’art. 8 de la </w:t>
            </w:r>
            <w:r w:rsidRPr="000A2294">
              <w:rPr>
                <w:i/>
                <w:color w:val="000000"/>
                <w:sz w:val="20"/>
                <w:szCs w:val="20"/>
                <w:lang w:val="fr-CA"/>
              </w:rPr>
              <w:t>Charte</w:t>
            </w:r>
            <w:r w:rsidRPr="000A2294">
              <w:rPr>
                <w:color w:val="000000"/>
                <w:sz w:val="20"/>
                <w:szCs w:val="20"/>
                <w:lang w:val="fr-CA"/>
              </w:rPr>
              <w:t>, concluant qu’ils n’avaient pas qualité pour agir afin de présenter la demande, parce qu’ils n’avaient pas d’attente raisonnable en matière de vie privée à l’égard des communications électroniques conservées par M. Braile dans le compte de son courriel. Après un procès mené devant un juge et un jury, M. Walton a été déclaré coupable de harcèlement criminel. M. et M</w:t>
            </w:r>
            <w:r w:rsidRPr="000A2294">
              <w:rPr>
                <w:color w:val="000000"/>
                <w:sz w:val="20"/>
                <w:szCs w:val="20"/>
                <w:vertAlign w:val="superscript"/>
                <w:lang w:val="fr-CA"/>
              </w:rPr>
              <w:t>me</w:t>
            </w:r>
            <w:r w:rsidRPr="000A2294">
              <w:rPr>
                <w:color w:val="000000"/>
                <w:sz w:val="20"/>
                <w:szCs w:val="20"/>
                <w:lang w:val="fr-CA"/>
              </w:rPr>
              <w:t> Walton ont été déclarés coupables de corruption d’un agent de la paix et d’une infraction liée aux armes à feu. La Cour d’appel a rejeté l’appel des Walton.</w:t>
            </w:r>
          </w:p>
        </w:tc>
      </w:tr>
      <w:tr w:rsidR="00930252" w:rsidRPr="000A2294" w:rsidTr="00E95A6A">
        <w:tc>
          <w:tcPr>
            <w:tcW w:w="5000" w:type="pct"/>
            <w:gridSpan w:val="2"/>
          </w:tcPr>
          <w:p w:rsidR="00930252" w:rsidRPr="000A2294" w:rsidRDefault="00930252" w:rsidP="00930252">
            <w:pPr>
              <w:jc w:val="both"/>
              <w:rPr>
                <w:sz w:val="20"/>
                <w:lang w:val="fr-CA"/>
              </w:rPr>
            </w:pPr>
          </w:p>
        </w:tc>
      </w:tr>
      <w:tr w:rsidR="00930252" w:rsidRPr="00F935FF" w:rsidTr="00E95A6A">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930252" w:rsidRPr="00F935FF" w:rsidTr="00BE7A34">
              <w:tc>
                <w:tcPr>
                  <w:tcW w:w="2367" w:type="pct"/>
                </w:tcPr>
                <w:p w:rsidR="00930252" w:rsidRPr="000A2294" w:rsidRDefault="00930252" w:rsidP="00930252">
                  <w:pPr>
                    <w:jc w:val="both"/>
                    <w:rPr>
                      <w:sz w:val="20"/>
                      <w:lang w:val="fr-CA"/>
                    </w:rPr>
                  </w:pPr>
                  <w:r w:rsidRPr="000A2294">
                    <w:rPr>
                      <w:sz w:val="20"/>
                      <w:lang w:val="fr-CA"/>
                    </w:rPr>
                    <w:t>17 septembre 2018</w:t>
                  </w:r>
                </w:p>
                <w:p w:rsidR="00930252" w:rsidRPr="000A2294" w:rsidRDefault="00930252" w:rsidP="00930252">
                  <w:pPr>
                    <w:jc w:val="both"/>
                    <w:rPr>
                      <w:sz w:val="20"/>
                      <w:lang w:val="fr-CA"/>
                    </w:rPr>
                  </w:pPr>
                  <w:r w:rsidRPr="000A2294">
                    <w:rPr>
                      <w:sz w:val="20"/>
                      <w:lang w:val="fr-CA"/>
                    </w:rPr>
                    <w:t>Cour du Banc de la Reine de l’Alberta</w:t>
                  </w:r>
                </w:p>
                <w:p w:rsidR="00930252" w:rsidRPr="000A2294" w:rsidRDefault="00930252" w:rsidP="00930252">
                  <w:pPr>
                    <w:jc w:val="both"/>
                    <w:rPr>
                      <w:sz w:val="20"/>
                      <w:lang w:val="fr-CA"/>
                    </w:rPr>
                  </w:pPr>
                  <w:r w:rsidRPr="000A2294">
                    <w:rPr>
                      <w:sz w:val="20"/>
                      <w:lang w:val="fr-CA"/>
                    </w:rPr>
                    <w:t xml:space="preserve">(juge Poelman) </w:t>
                  </w:r>
                </w:p>
                <w:p w:rsidR="00930252" w:rsidRPr="00491E7D" w:rsidRDefault="00F935FF" w:rsidP="00930252">
                  <w:pPr>
                    <w:jc w:val="both"/>
                    <w:rPr>
                      <w:sz w:val="20"/>
                      <w:lang w:val="fr-CA"/>
                    </w:rPr>
                  </w:pPr>
                  <w:hyperlink r:id="rId41" w:history="1">
                    <w:r w:rsidR="00930252" w:rsidRPr="00491E7D">
                      <w:rPr>
                        <w:rStyle w:val="Hyperlink"/>
                        <w:sz w:val="20"/>
                        <w:lang w:val="fr-CA"/>
                      </w:rPr>
                      <w:t>2018 ABQB 667</w:t>
                    </w:r>
                  </w:hyperlink>
                  <w:r w:rsidR="00930252" w:rsidRPr="00491E7D">
                    <w:rPr>
                      <w:sz w:val="20"/>
                      <w:lang w:val="fr-CA"/>
                    </w:rPr>
                    <w:t> </w:t>
                  </w:r>
                </w:p>
                <w:p w:rsidR="00930252" w:rsidRPr="000A2294" w:rsidRDefault="00930252" w:rsidP="00930252">
                  <w:pPr>
                    <w:jc w:val="both"/>
                    <w:rPr>
                      <w:sz w:val="20"/>
                      <w:lang w:val="fr-CA"/>
                    </w:rPr>
                  </w:pPr>
                </w:p>
              </w:tc>
              <w:tc>
                <w:tcPr>
                  <w:tcW w:w="267" w:type="pct"/>
                </w:tcPr>
                <w:p w:rsidR="00930252" w:rsidRPr="000A2294" w:rsidRDefault="00930252" w:rsidP="00930252">
                  <w:pPr>
                    <w:jc w:val="both"/>
                    <w:rPr>
                      <w:sz w:val="20"/>
                      <w:lang w:val="fr-CA"/>
                    </w:rPr>
                  </w:pPr>
                </w:p>
              </w:tc>
              <w:tc>
                <w:tcPr>
                  <w:tcW w:w="2366" w:type="pct"/>
                </w:tcPr>
                <w:p w:rsidR="00930252" w:rsidRPr="000A2294" w:rsidRDefault="00930252" w:rsidP="00930252">
                  <w:pPr>
                    <w:jc w:val="both"/>
                    <w:rPr>
                      <w:sz w:val="20"/>
                      <w:lang w:val="fr-CA"/>
                    </w:rPr>
                  </w:pPr>
                  <w:r w:rsidRPr="000A2294">
                    <w:rPr>
                      <w:sz w:val="20"/>
                      <w:lang w:val="fr-CA"/>
                    </w:rPr>
                    <w:t xml:space="preserve">Décision de voir dire : les demandes des Walton fondées sur la </w:t>
                  </w:r>
                  <w:r w:rsidRPr="000A2294">
                    <w:rPr>
                      <w:i/>
                      <w:sz w:val="20"/>
                      <w:lang w:val="fr-CA"/>
                    </w:rPr>
                    <w:t>Charte</w:t>
                  </w:r>
                  <w:r w:rsidRPr="000A2294">
                    <w:rPr>
                      <w:sz w:val="20"/>
                      <w:lang w:val="fr-CA"/>
                    </w:rPr>
                    <w:t xml:space="preserve"> sont rejetées </w:t>
                  </w:r>
                </w:p>
                <w:p w:rsidR="00930252" w:rsidRPr="000A2294" w:rsidRDefault="00930252" w:rsidP="00930252">
                  <w:pPr>
                    <w:jc w:val="both"/>
                    <w:rPr>
                      <w:sz w:val="20"/>
                      <w:lang w:val="fr-CA"/>
                    </w:rPr>
                  </w:pPr>
                </w:p>
              </w:tc>
            </w:tr>
            <w:tr w:rsidR="00930252" w:rsidRPr="00F935FF" w:rsidTr="00BE7A34">
              <w:tc>
                <w:tcPr>
                  <w:tcW w:w="2367" w:type="pct"/>
                </w:tcPr>
                <w:p w:rsidR="00930252" w:rsidRPr="000A2294" w:rsidRDefault="00930252" w:rsidP="00930252">
                  <w:pPr>
                    <w:jc w:val="both"/>
                    <w:rPr>
                      <w:sz w:val="20"/>
                      <w:lang w:val="fr-CA"/>
                    </w:rPr>
                  </w:pPr>
                  <w:r w:rsidRPr="000A2294">
                    <w:rPr>
                      <w:sz w:val="20"/>
                      <w:lang w:val="fr-CA"/>
                    </w:rPr>
                    <w:t>19 octobre 2018</w:t>
                  </w:r>
                </w:p>
                <w:p w:rsidR="00930252" w:rsidRPr="000A2294" w:rsidRDefault="00930252" w:rsidP="00930252">
                  <w:pPr>
                    <w:jc w:val="both"/>
                    <w:rPr>
                      <w:sz w:val="20"/>
                      <w:lang w:val="fr-CA"/>
                    </w:rPr>
                  </w:pPr>
                  <w:r w:rsidRPr="000A2294">
                    <w:rPr>
                      <w:sz w:val="20"/>
                      <w:lang w:val="fr-CA"/>
                    </w:rPr>
                    <w:t>Cour du Banc de la Reine de l’Alberta</w:t>
                  </w:r>
                </w:p>
                <w:p w:rsidR="00930252" w:rsidRPr="000A2294" w:rsidRDefault="00930252" w:rsidP="00930252">
                  <w:pPr>
                    <w:jc w:val="both"/>
                    <w:rPr>
                      <w:sz w:val="20"/>
                      <w:lang w:val="fr-CA"/>
                    </w:rPr>
                  </w:pPr>
                  <w:r w:rsidRPr="000A2294">
                    <w:rPr>
                      <w:sz w:val="20"/>
                      <w:lang w:val="fr-CA"/>
                    </w:rPr>
                    <w:t>(juge Poelman)</w:t>
                  </w:r>
                </w:p>
              </w:tc>
              <w:tc>
                <w:tcPr>
                  <w:tcW w:w="267" w:type="pct"/>
                </w:tcPr>
                <w:p w:rsidR="00930252" w:rsidRPr="000A2294" w:rsidRDefault="00930252" w:rsidP="00930252">
                  <w:pPr>
                    <w:jc w:val="both"/>
                    <w:rPr>
                      <w:sz w:val="20"/>
                      <w:lang w:val="fr-CA"/>
                    </w:rPr>
                  </w:pPr>
                </w:p>
              </w:tc>
              <w:tc>
                <w:tcPr>
                  <w:tcW w:w="2366" w:type="pct"/>
                </w:tcPr>
                <w:p w:rsidR="00930252" w:rsidRPr="000A2294" w:rsidRDefault="00930252" w:rsidP="00930252">
                  <w:pPr>
                    <w:pStyle w:val="felskynumbering12"/>
                    <w:spacing w:before="0" w:beforeAutospacing="0" w:after="240" w:afterAutospacing="0"/>
                    <w:jc w:val="both"/>
                    <w:rPr>
                      <w:color w:val="000000"/>
                      <w:sz w:val="20"/>
                      <w:szCs w:val="20"/>
                      <w:lang w:val="fr-CA"/>
                    </w:rPr>
                  </w:pPr>
                  <w:r w:rsidRPr="000A2294">
                    <w:rPr>
                      <w:color w:val="000000"/>
                      <w:sz w:val="20"/>
                      <w:szCs w:val="20"/>
                      <w:lang w:val="fr-CA"/>
                    </w:rPr>
                    <w:t>M. Walton est déclaré coupable de harcèlement criminel; M. Walton et M</w:t>
                  </w:r>
                  <w:r w:rsidRPr="000A2294">
                    <w:rPr>
                      <w:color w:val="000000"/>
                      <w:sz w:val="20"/>
                      <w:szCs w:val="20"/>
                      <w:vertAlign w:val="superscript"/>
                      <w:lang w:val="fr-CA"/>
                    </w:rPr>
                    <w:t>me</w:t>
                  </w:r>
                  <w:r w:rsidRPr="000A2294">
                    <w:rPr>
                      <w:color w:val="000000"/>
                      <w:sz w:val="20"/>
                      <w:szCs w:val="20"/>
                      <w:lang w:val="fr-CA"/>
                    </w:rPr>
                    <w:t> Walton sont déclarés coupables de l’infraction de corruption d’un agent de la paix et d’une infraction liée aux armes à feu</w:t>
                  </w:r>
                </w:p>
              </w:tc>
            </w:tr>
            <w:tr w:rsidR="00930252" w:rsidRPr="000A2294" w:rsidTr="00BE7A34">
              <w:tc>
                <w:tcPr>
                  <w:tcW w:w="2367" w:type="pct"/>
                </w:tcPr>
                <w:p w:rsidR="00930252" w:rsidRPr="000A2294" w:rsidRDefault="00930252" w:rsidP="00930252">
                  <w:pPr>
                    <w:jc w:val="both"/>
                    <w:rPr>
                      <w:sz w:val="20"/>
                      <w:lang w:val="fr-CA"/>
                    </w:rPr>
                  </w:pPr>
                  <w:r w:rsidRPr="000A2294">
                    <w:rPr>
                      <w:sz w:val="20"/>
                      <w:lang w:val="fr-CA"/>
                    </w:rPr>
                    <w:t>25 août 2022</w:t>
                  </w:r>
                </w:p>
                <w:p w:rsidR="00930252" w:rsidRPr="000A2294" w:rsidRDefault="00930252" w:rsidP="00930252">
                  <w:pPr>
                    <w:jc w:val="both"/>
                    <w:rPr>
                      <w:sz w:val="20"/>
                      <w:lang w:val="fr-CA"/>
                    </w:rPr>
                  </w:pPr>
                  <w:r w:rsidRPr="000A2294">
                    <w:rPr>
                      <w:sz w:val="20"/>
                      <w:lang w:val="fr-CA"/>
                    </w:rPr>
                    <w:t>Cour d’appel de l’Alberta (Calgary)</w:t>
                  </w:r>
                </w:p>
                <w:p w:rsidR="00930252" w:rsidRPr="000A2294" w:rsidRDefault="00930252" w:rsidP="00930252">
                  <w:pPr>
                    <w:jc w:val="both"/>
                    <w:rPr>
                      <w:sz w:val="20"/>
                    </w:rPr>
                  </w:pPr>
                  <w:r w:rsidRPr="000A2294">
                    <w:rPr>
                      <w:sz w:val="20"/>
                    </w:rPr>
                    <w:t>(juges Rowbotham, Hughes, Kirker)</w:t>
                  </w:r>
                </w:p>
                <w:p w:rsidR="00930252" w:rsidRPr="000A2294" w:rsidRDefault="00F935FF" w:rsidP="00930252">
                  <w:pPr>
                    <w:jc w:val="both"/>
                    <w:rPr>
                      <w:sz w:val="20"/>
                    </w:rPr>
                  </w:pPr>
                  <w:hyperlink r:id="rId42" w:history="1">
                    <w:r w:rsidR="00930252" w:rsidRPr="000A2294">
                      <w:rPr>
                        <w:rStyle w:val="Hyperlink"/>
                        <w:sz w:val="20"/>
                      </w:rPr>
                      <w:t>2022 ABCA 276</w:t>
                    </w:r>
                  </w:hyperlink>
                </w:p>
                <w:p w:rsidR="00930252" w:rsidRPr="000A2294" w:rsidRDefault="00930252" w:rsidP="00930252">
                  <w:pPr>
                    <w:jc w:val="both"/>
                    <w:rPr>
                      <w:sz w:val="20"/>
                    </w:rPr>
                  </w:pPr>
                </w:p>
              </w:tc>
              <w:tc>
                <w:tcPr>
                  <w:tcW w:w="267" w:type="pct"/>
                </w:tcPr>
                <w:p w:rsidR="00930252" w:rsidRPr="000A2294" w:rsidRDefault="00930252" w:rsidP="00930252">
                  <w:pPr>
                    <w:jc w:val="both"/>
                    <w:rPr>
                      <w:sz w:val="20"/>
                    </w:rPr>
                  </w:pPr>
                </w:p>
              </w:tc>
              <w:tc>
                <w:tcPr>
                  <w:tcW w:w="2366" w:type="pct"/>
                </w:tcPr>
                <w:p w:rsidR="00930252" w:rsidRPr="000A2294" w:rsidRDefault="00930252" w:rsidP="00930252">
                  <w:pPr>
                    <w:jc w:val="both"/>
                    <w:rPr>
                      <w:sz w:val="20"/>
                      <w:lang w:val="fr-CA"/>
                    </w:rPr>
                  </w:pPr>
                  <w:r w:rsidRPr="000A2294">
                    <w:rPr>
                      <w:sz w:val="20"/>
                      <w:lang w:val="fr-CA"/>
                    </w:rPr>
                    <w:t>Appel rejeté</w:t>
                  </w:r>
                </w:p>
                <w:p w:rsidR="00930252" w:rsidRPr="000A2294" w:rsidRDefault="00930252" w:rsidP="00930252">
                  <w:pPr>
                    <w:jc w:val="both"/>
                    <w:rPr>
                      <w:sz w:val="20"/>
                      <w:lang w:val="fr-CA"/>
                    </w:rPr>
                  </w:pPr>
                </w:p>
              </w:tc>
            </w:tr>
            <w:tr w:rsidR="00930252" w:rsidRPr="00F935FF" w:rsidTr="00BE7A34">
              <w:tc>
                <w:tcPr>
                  <w:tcW w:w="2367" w:type="pct"/>
                </w:tcPr>
                <w:p w:rsidR="00930252" w:rsidRPr="000A2294" w:rsidRDefault="00930252" w:rsidP="00930252">
                  <w:pPr>
                    <w:jc w:val="both"/>
                    <w:rPr>
                      <w:sz w:val="20"/>
                      <w:lang w:val="fr-CA"/>
                    </w:rPr>
                  </w:pPr>
                  <w:r w:rsidRPr="000A2294">
                    <w:rPr>
                      <w:sz w:val="20"/>
                      <w:lang w:val="fr-CA"/>
                    </w:rPr>
                    <w:t>2 décembre 2022</w:t>
                  </w:r>
                </w:p>
                <w:p w:rsidR="00930252" w:rsidRPr="000A2294" w:rsidRDefault="00930252" w:rsidP="00930252">
                  <w:pPr>
                    <w:jc w:val="both"/>
                    <w:rPr>
                      <w:sz w:val="20"/>
                      <w:lang w:val="fr-CA"/>
                    </w:rPr>
                  </w:pPr>
                  <w:r w:rsidRPr="000A2294">
                    <w:rPr>
                      <w:sz w:val="20"/>
                      <w:lang w:val="fr-CA"/>
                    </w:rPr>
                    <w:t>Cour suprême du Canada</w:t>
                  </w:r>
                </w:p>
                <w:p w:rsidR="00930252" w:rsidRPr="000A2294" w:rsidRDefault="00930252" w:rsidP="00930252">
                  <w:pPr>
                    <w:jc w:val="both"/>
                    <w:rPr>
                      <w:sz w:val="20"/>
                      <w:lang w:val="fr-CA"/>
                    </w:rPr>
                  </w:pPr>
                </w:p>
              </w:tc>
              <w:tc>
                <w:tcPr>
                  <w:tcW w:w="267" w:type="pct"/>
                </w:tcPr>
                <w:p w:rsidR="00930252" w:rsidRPr="000A2294" w:rsidRDefault="00930252" w:rsidP="00930252">
                  <w:pPr>
                    <w:jc w:val="both"/>
                    <w:rPr>
                      <w:sz w:val="20"/>
                      <w:lang w:val="fr-CA"/>
                    </w:rPr>
                  </w:pPr>
                </w:p>
              </w:tc>
              <w:tc>
                <w:tcPr>
                  <w:tcW w:w="2366" w:type="pct"/>
                </w:tcPr>
                <w:p w:rsidR="00930252" w:rsidRPr="000A2294" w:rsidRDefault="00930252" w:rsidP="00930252">
                  <w:pPr>
                    <w:jc w:val="both"/>
                    <w:rPr>
                      <w:sz w:val="20"/>
                      <w:lang w:val="fr-CA"/>
                    </w:rPr>
                  </w:pPr>
                  <w:r w:rsidRPr="000A2294">
                    <w:rPr>
                      <w:sz w:val="20"/>
                      <w:lang w:val="fr-CA"/>
                    </w:rPr>
                    <w:t xml:space="preserve">Requête en vue de la prorogation du délai pour signifier et déposer la demande d’autorisation d’appel et demande d’autorisation </w:t>
                  </w:r>
                  <w:proofErr w:type="gramStart"/>
                  <w:r w:rsidRPr="000A2294">
                    <w:rPr>
                      <w:sz w:val="20"/>
                      <w:lang w:val="fr-CA"/>
                    </w:rPr>
                    <w:t>d’appel déposées</w:t>
                  </w:r>
                  <w:proofErr w:type="gramEnd"/>
                </w:p>
              </w:tc>
            </w:tr>
          </w:tbl>
          <w:p w:rsidR="00930252" w:rsidRPr="000A2294" w:rsidRDefault="00930252" w:rsidP="00930252">
            <w:pPr>
              <w:jc w:val="both"/>
              <w:rPr>
                <w:sz w:val="20"/>
                <w:lang w:val="fr-CA"/>
              </w:rPr>
            </w:pPr>
          </w:p>
        </w:tc>
      </w:tr>
    </w:tbl>
    <w:p w:rsidR="00930252" w:rsidRPr="000A2294" w:rsidRDefault="00930252" w:rsidP="00930252">
      <w:pPr>
        <w:jc w:val="both"/>
        <w:rPr>
          <w:sz w:val="20"/>
          <w:lang w:val="fr-CA"/>
        </w:rPr>
      </w:pPr>
    </w:p>
    <w:p w:rsidR="00880679" w:rsidRPr="000A2294" w:rsidRDefault="00F935FF" w:rsidP="00930252">
      <w:pPr>
        <w:widowControl w:val="0"/>
        <w:jc w:val="both"/>
        <w:rPr>
          <w:sz w:val="20"/>
          <w:lang w:val="fr-CA"/>
        </w:rPr>
      </w:pPr>
      <w:r>
        <w:rPr>
          <w:sz w:val="20"/>
        </w:rPr>
        <w:pict>
          <v:rect id="_x0000_i1030" style="width:2in;height:1pt" o:hrpct="0" o:hralign="center" o:hrstd="t" o:hrnoshade="t" o:hr="t" fillcolor="black [3213]" stroked="f"/>
        </w:pict>
      </w:r>
    </w:p>
    <w:p w:rsidR="00880679" w:rsidRPr="000A2294" w:rsidRDefault="00880679" w:rsidP="0093025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30252" w:rsidRPr="000A2294" w:rsidTr="00E95A6A">
        <w:tc>
          <w:tcPr>
            <w:tcW w:w="543" w:type="pct"/>
          </w:tcPr>
          <w:p w:rsidR="00930252" w:rsidRPr="000A2294" w:rsidRDefault="00930252" w:rsidP="00930252">
            <w:pPr>
              <w:jc w:val="both"/>
              <w:rPr>
                <w:sz w:val="20"/>
              </w:rPr>
            </w:pPr>
            <w:r w:rsidRPr="000A2294">
              <w:rPr>
                <w:rStyle w:val="SCCFileNumberChar"/>
                <w:sz w:val="20"/>
                <w:szCs w:val="20"/>
              </w:rPr>
              <w:t>40544</w:t>
            </w:r>
          </w:p>
        </w:tc>
        <w:tc>
          <w:tcPr>
            <w:tcW w:w="4457" w:type="pct"/>
            <w:gridSpan w:val="3"/>
          </w:tcPr>
          <w:p w:rsidR="00930252" w:rsidRPr="000A2294" w:rsidRDefault="00930252" w:rsidP="00930252">
            <w:pPr>
              <w:pStyle w:val="SCCLsocParty"/>
              <w:jc w:val="both"/>
              <w:rPr>
                <w:b/>
                <w:sz w:val="20"/>
                <w:szCs w:val="20"/>
                <w:lang w:val="en-US"/>
              </w:rPr>
            </w:pPr>
            <w:r w:rsidRPr="000A2294">
              <w:rPr>
                <w:b/>
                <w:sz w:val="20"/>
                <w:szCs w:val="20"/>
                <w:lang w:val="en-US"/>
              </w:rPr>
              <w:t>Mohammad Haque v. His Majesty the King</w:t>
            </w:r>
          </w:p>
          <w:p w:rsidR="00930252" w:rsidRPr="000A2294" w:rsidRDefault="00930252" w:rsidP="00930252">
            <w:pPr>
              <w:jc w:val="both"/>
              <w:rPr>
                <w:sz w:val="20"/>
              </w:rPr>
            </w:pPr>
            <w:r w:rsidRPr="000A2294">
              <w:rPr>
                <w:sz w:val="20"/>
              </w:rPr>
              <w:t>(Sask.) (Criminal) (By Leave)</w:t>
            </w:r>
          </w:p>
        </w:tc>
      </w:tr>
      <w:tr w:rsidR="00930252" w:rsidRPr="000A2294" w:rsidTr="00E95A6A">
        <w:tc>
          <w:tcPr>
            <w:tcW w:w="5000" w:type="pct"/>
            <w:gridSpan w:val="4"/>
          </w:tcPr>
          <w:p w:rsidR="00930252" w:rsidRPr="000A2294" w:rsidRDefault="00930252" w:rsidP="00930252">
            <w:pPr>
              <w:pStyle w:val="SCCBanSummary"/>
              <w:rPr>
                <w:sz w:val="20"/>
                <w:szCs w:val="20"/>
              </w:rPr>
            </w:pPr>
            <w:r w:rsidRPr="000A2294">
              <w:rPr>
                <w:sz w:val="20"/>
                <w:szCs w:val="20"/>
              </w:rPr>
              <w:t>(Publication ban in case)</w:t>
            </w:r>
          </w:p>
          <w:p w:rsidR="00930252" w:rsidRPr="000A2294" w:rsidRDefault="00930252" w:rsidP="00930252">
            <w:pPr>
              <w:jc w:val="both"/>
              <w:rPr>
                <w:sz w:val="20"/>
              </w:rPr>
            </w:pPr>
          </w:p>
          <w:p w:rsidR="00930252" w:rsidRPr="000A2294" w:rsidRDefault="00930252" w:rsidP="00930252">
            <w:pPr>
              <w:jc w:val="both"/>
              <w:rPr>
                <w:sz w:val="20"/>
              </w:rPr>
            </w:pPr>
            <w:r w:rsidRPr="000A2294">
              <w:rPr>
                <w:sz w:val="20"/>
              </w:rPr>
              <w:t>Criminal law — Evidence — Assessment — Credibility — Whether there now is an evidentiary precedent that permits credibility attacks against an accused and witnesses because they consult and rely on their own business records in giving evidence?</w:t>
            </w:r>
          </w:p>
        </w:tc>
      </w:tr>
      <w:tr w:rsidR="00930252" w:rsidRPr="000A2294" w:rsidTr="00E95A6A">
        <w:tc>
          <w:tcPr>
            <w:tcW w:w="5000" w:type="pct"/>
            <w:gridSpan w:val="4"/>
          </w:tcPr>
          <w:p w:rsidR="00930252" w:rsidRPr="000A2294" w:rsidRDefault="00930252" w:rsidP="00930252">
            <w:pPr>
              <w:jc w:val="both"/>
              <w:rPr>
                <w:sz w:val="20"/>
              </w:rPr>
            </w:pPr>
          </w:p>
        </w:tc>
      </w:tr>
      <w:tr w:rsidR="00930252" w:rsidRPr="000A2294" w:rsidTr="00E95A6A">
        <w:tc>
          <w:tcPr>
            <w:tcW w:w="5000" w:type="pct"/>
            <w:gridSpan w:val="4"/>
          </w:tcPr>
          <w:p w:rsidR="00930252" w:rsidRPr="000A2294" w:rsidRDefault="00930252" w:rsidP="00930252">
            <w:pPr>
              <w:jc w:val="both"/>
              <w:rPr>
                <w:color w:val="000000"/>
                <w:spacing w:val="-1"/>
                <w:sz w:val="20"/>
              </w:rPr>
            </w:pPr>
            <w:r w:rsidRPr="000A2294">
              <w:rPr>
                <w:sz w:val="20"/>
              </w:rPr>
              <w:t xml:space="preserve">Dr. Haque practiced obstetrics and gynecology and was charged with 16 counts of sexual assault after patients complained following medical examinations in his office. </w:t>
            </w:r>
            <w:r w:rsidRPr="000A2294">
              <w:rPr>
                <w:color w:val="000000"/>
                <w:sz w:val="20"/>
              </w:rPr>
              <w:t xml:space="preserve">His medical records were seized and Crown counsel disclosed records </w:t>
            </w:r>
            <w:r w:rsidRPr="000A2294">
              <w:rPr>
                <w:sz w:val="20"/>
              </w:rPr>
              <w:t>pertaining to the complainant</w:t>
            </w:r>
            <w:r w:rsidRPr="000A2294">
              <w:rPr>
                <w:color w:val="000000"/>
                <w:sz w:val="20"/>
              </w:rPr>
              <w:t xml:space="preserve">s. </w:t>
            </w:r>
            <w:r w:rsidRPr="000A2294">
              <w:rPr>
                <w:sz w:val="20"/>
              </w:rPr>
              <w:t>Dr. Haque testified and relied on his medical notes</w:t>
            </w:r>
            <w:r w:rsidRPr="000A2294">
              <w:rPr>
                <w:color w:val="000000"/>
                <w:spacing w:val="-1"/>
                <w:sz w:val="20"/>
              </w:rPr>
              <w:t xml:space="preserve">. He was convicted on 4 counts of sexual assault and acquitted on 12 counts of sexual assault. His appeal from the convictions was dismissed. </w:t>
            </w:r>
          </w:p>
          <w:p w:rsidR="00930252" w:rsidRPr="000A2294" w:rsidRDefault="00930252" w:rsidP="00930252">
            <w:pPr>
              <w:jc w:val="both"/>
              <w:rPr>
                <w:sz w:val="20"/>
              </w:rPr>
            </w:pPr>
          </w:p>
        </w:tc>
      </w:tr>
      <w:tr w:rsidR="00930252" w:rsidRPr="000A2294" w:rsidTr="00E95A6A">
        <w:tc>
          <w:tcPr>
            <w:tcW w:w="2427" w:type="pct"/>
            <w:gridSpan w:val="2"/>
          </w:tcPr>
          <w:p w:rsidR="00930252" w:rsidRPr="000A2294" w:rsidRDefault="00930252" w:rsidP="00930252">
            <w:pPr>
              <w:jc w:val="both"/>
              <w:rPr>
                <w:sz w:val="20"/>
              </w:rPr>
            </w:pPr>
            <w:r w:rsidRPr="000A2294">
              <w:rPr>
                <w:sz w:val="20"/>
              </w:rPr>
              <w:t>May 15, 2018</w:t>
            </w:r>
          </w:p>
          <w:p w:rsidR="00930252" w:rsidRPr="000A2294" w:rsidRDefault="00930252" w:rsidP="00930252">
            <w:pPr>
              <w:jc w:val="both"/>
              <w:rPr>
                <w:sz w:val="20"/>
              </w:rPr>
            </w:pPr>
            <w:r w:rsidRPr="000A2294">
              <w:rPr>
                <w:sz w:val="20"/>
              </w:rPr>
              <w:t>Court of Queen’s Bench of Saskatchewan</w:t>
            </w:r>
          </w:p>
          <w:p w:rsidR="00930252" w:rsidRPr="000A2294" w:rsidRDefault="00930252" w:rsidP="00930252">
            <w:pPr>
              <w:jc w:val="both"/>
              <w:rPr>
                <w:sz w:val="20"/>
              </w:rPr>
            </w:pPr>
            <w:r w:rsidRPr="000A2294">
              <w:rPr>
                <w:sz w:val="20"/>
              </w:rPr>
              <w:t>(Mills J.)(unreported)</w:t>
            </w:r>
          </w:p>
          <w:p w:rsidR="00930252" w:rsidRPr="000A2294" w:rsidRDefault="00930252" w:rsidP="00930252">
            <w:pPr>
              <w:jc w:val="both"/>
              <w:rPr>
                <w:sz w:val="20"/>
              </w:rPr>
            </w:pPr>
          </w:p>
        </w:tc>
        <w:tc>
          <w:tcPr>
            <w:tcW w:w="243" w:type="pct"/>
          </w:tcPr>
          <w:p w:rsidR="00930252" w:rsidRPr="000A2294" w:rsidRDefault="00930252" w:rsidP="00930252">
            <w:pPr>
              <w:jc w:val="both"/>
              <w:rPr>
                <w:sz w:val="20"/>
              </w:rPr>
            </w:pPr>
          </w:p>
        </w:tc>
        <w:tc>
          <w:tcPr>
            <w:tcW w:w="2330" w:type="pct"/>
          </w:tcPr>
          <w:p w:rsidR="00930252" w:rsidRPr="000A2294" w:rsidRDefault="00930252" w:rsidP="00930252">
            <w:pPr>
              <w:jc w:val="both"/>
              <w:rPr>
                <w:sz w:val="20"/>
              </w:rPr>
            </w:pPr>
            <w:r w:rsidRPr="000A2294">
              <w:rPr>
                <w:sz w:val="20"/>
              </w:rPr>
              <w:t>Convictions on 4 counts of sexual assault; acquittals on 12 counts of sexual assault</w:t>
            </w:r>
          </w:p>
          <w:p w:rsidR="00930252" w:rsidRPr="000A2294" w:rsidRDefault="00930252" w:rsidP="00930252">
            <w:pPr>
              <w:jc w:val="both"/>
              <w:rPr>
                <w:sz w:val="20"/>
              </w:rPr>
            </w:pPr>
          </w:p>
        </w:tc>
      </w:tr>
      <w:tr w:rsidR="00930252" w:rsidRPr="000A2294" w:rsidTr="00E95A6A">
        <w:tc>
          <w:tcPr>
            <w:tcW w:w="2427" w:type="pct"/>
            <w:gridSpan w:val="2"/>
          </w:tcPr>
          <w:p w:rsidR="00930252" w:rsidRPr="000A2294" w:rsidRDefault="00930252" w:rsidP="00930252">
            <w:pPr>
              <w:jc w:val="both"/>
              <w:rPr>
                <w:sz w:val="20"/>
              </w:rPr>
            </w:pPr>
            <w:r w:rsidRPr="000A2294">
              <w:rPr>
                <w:sz w:val="20"/>
              </w:rPr>
              <w:t>October 31, 2022</w:t>
            </w:r>
          </w:p>
          <w:p w:rsidR="00930252" w:rsidRPr="000A2294" w:rsidRDefault="00930252" w:rsidP="00930252">
            <w:pPr>
              <w:jc w:val="both"/>
              <w:rPr>
                <w:sz w:val="20"/>
              </w:rPr>
            </w:pPr>
            <w:r w:rsidRPr="000A2294">
              <w:rPr>
                <w:sz w:val="20"/>
              </w:rPr>
              <w:t>Court of Appeal for Saskatchewan</w:t>
            </w:r>
          </w:p>
          <w:p w:rsidR="00930252" w:rsidRPr="000A2294" w:rsidRDefault="00930252" w:rsidP="00930252">
            <w:pPr>
              <w:jc w:val="both"/>
              <w:rPr>
                <w:sz w:val="20"/>
              </w:rPr>
            </w:pPr>
            <w:r w:rsidRPr="000A2294">
              <w:rPr>
                <w:sz w:val="20"/>
              </w:rPr>
              <w:t>(Leurer, Schwann, Tholl JJ.A.)</w:t>
            </w:r>
          </w:p>
          <w:p w:rsidR="00930252" w:rsidRPr="000A2294" w:rsidRDefault="00F935FF" w:rsidP="00930252">
            <w:pPr>
              <w:jc w:val="both"/>
              <w:rPr>
                <w:sz w:val="20"/>
              </w:rPr>
            </w:pPr>
            <w:hyperlink r:id="rId43" w:history="1">
              <w:r w:rsidR="00930252" w:rsidRPr="000A2294">
                <w:rPr>
                  <w:rStyle w:val="Hyperlink"/>
                  <w:sz w:val="20"/>
                </w:rPr>
                <w:t>2022 SKCA 124</w:t>
              </w:r>
            </w:hyperlink>
            <w:r w:rsidR="00930252" w:rsidRPr="000A2294">
              <w:rPr>
                <w:sz w:val="20"/>
              </w:rPr>
              <w:t>; CACR3167</w:t>
            </w:r>
          </w:p>
          <w:p w:rsidR="00930252" w:rsidRPr="000A2294" w:rsidRDefault="00930252" w:rsidP="00930252">
            <w:pPr>
              <w:jc w:val="both"/>
              <w:rPr>
                <w:sz w:val="20"/>
              </w:rPr>
            </w:pPr>
          </w:p>
        </w:tc>
        <w:tc>
          <w:tcPr>
            <w:tcW w:w="243" w:type="pct"/>
          </w:tcPr>
          <w:p w:rsidR="00930252" w:rsidRPr="000A2294" w:rsidRDefault="00930252" w:rsidP="00930252">
            <w:pPr>
              <w:jc w:val="both"/>
              <w:rPr>
                <w:sz w:val="20"/>
              </w:rPr>
            </w:pPr>
          </w:p>
        </w:tc>
        <w:tc>
          <w:tcPr>
            <w:tcW w:w="2330" w:type="pct"/>
          </w:tcPr>
          <w:p w:rsidR="00930252" w:rsidRPr="000A2294" w:rsidRDefault="00930252" w:rsidP="00930252">
            <w:pPr>
              <w:jc w:val="both"/>
              <w:rPr>
                <w:sz w:val="20"/>
              </w:rPr>
            </w:pPr>
            <w:r w:rsidRPr="000A2294">
              <w:rPr>
                <w:sz w:val="20"/>
              </w:rPr>
              <w:t>Appeal from convictions dismissed</w:t>
            </w:r>
          </w:p>
          <w:p w:rsidR="00930252" w:rsidRPr="000A2294" w:rsidRDefault="00930252" w:rsidP="00930252">
            <w:pPr>
              <w:jc w:val="both"/>
              <w:rPr>
                <w:sz w:val="20"/>
              </w:rPr>
            </w:pPr>
          </w:p>
        </w:tc>
      </w:tr>
      <w:tr w:rsidR="00930252" w:rsidRPr="000A2294" w:rsidTr="00E95A6A">
        <w:tc>
          <w:tcPr>
            <w:tcW w:w="2427" w:type="pct"/>
            <w:gridSpan w:val="2"/>
          </w:tcPr>
          <w:p w:rsidR="00930252" w:rsidRPr="000A2294" w:rsidRDefault="00930252" w:rsidP="00930252">
            <w:pPr>
              <w:jc w:val="both"/>
              <w:rPr>
                <w:sz w:val="20"/>
              </w:rPr>
            </w:pPr>
            <w:r w:rsidRPr="000A2294">
              <w:rPr>
                <w:sz w:val="20"/>
              </w:rPr>
              <w:t>December 30, 2022</w:t>
            </w:r>
          </w:p>
          <w:p w:rsidR="00930252" w:rsidRPr="000A2294" w:rsidRDefault="00930252" w:rsidP="00930252">
            <w:pPr>
              <w:jc w:val="both"/>
              <w:rPr>
                <w:sz w:val="20"/>
              </w:rPr>
            </w:pPr>
            <w:r w:rsidRPr="000A2294">
              <w:rPr>
                <w:sz w:val="20"/>
              </w:rPr>
              <w:t>Supreme Court of Canada</w:t>
            </w:r>
          </w:p>
        </w:tc>
        <w:tc>
          <w:tcPr>
            <w:tcW w:w="243" w:type="pct"/>
          </w:tcPr>
          <w:p w:rsidR="00930252" w:rsidRPr="000A2294" w:rsidRDefault="00930252" w:rsidP="00930252">
            <w:pPr>
              <w:jc w:val="both"/>
              <w:rPr>
                <w:sz w:val="20"/>
              </w:rPr>
            </w:pPr>
          </w:p>
        </w:tc>
        <w:tc>
          <w:tcPr>
            <w:tcW w:w="2330" w:type="pct"/>
          </w:tcPr>
          <w:p w:rsidR="00930252" w:rsidRPr="000A2294" w:rsidRDefault="00930252" w:rsidP="00930252">
            <w:pPr>
              <w:jc w:val="both"/>
              <w:rPr>
                <w:sz w:val="20"/>
              </w:rPr>
            </w:pPr>
            <w:r w:rsidRPr="000A2294">
              <w:rPr>
                <w:sz w:val="20"/>
              </w:rPr>
              <w:t>Application for leave to appeal filed</w:t>
            </w:r>
          </w:p>
          <w:p w:rsidR="00930252" w:rsidRPr="000A2294" w:rsidRDefault="00930252" w:rsidP="00930252">
            <w:pPr>
              <w:jc w:val="both"/>
              <w:rPr>
                <w:sz w:val="20"/>
              </w:rPr>
            </w:pPr>
          </w:p>
        </w:tc>
      </w:tr>
    </w:tbl>
    <w:p w:rsidR="00930252" w:rsidRPr="000A2294" w:rsidRDefault="00930252" w:rsidP="00930252">
      <w:pPr>
        <w:jc w:val="both"/>
        <w:rPr>
          <w:sz w:val="20"/>
        </w:rPr>
      </w:pPr>
    </w:p>
    <w:p w:rsidR="00930252" w:rsidRPr="000A2294" w:rsidRDefault="00F935FF" w:rsidP="00930252">
      <w:pPr>
        <w:jc w:val="both"/>
        <w:rPr>
          <w:sz w:val="20"/>
        </w:rPr>
      </w:pPr>
      <w:r>
        <w:rPr>
          <w:sz w:val="20"/>
        </w:rPr>
        <w:pict>
          <v:rect id="_x0000_i1031" style="width:2in;height:1pt" o:hrpct="0" o:hralign="center" o:hrstd="t" o:hrnoshade="t" o:hr="t" fillcolor="black [3213]" stroked="f"/>
        </w:pict>
      </w:r>
    </w:p>
    <w:p w:rsidR="00930252" w:rsidRPr="000A2294" w:rsidRDefault="00930252" w:rsidP="0093025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30252" w:rsidRPr="000A2294" w:rsidTr="00E95A6A">
        <w:tc>
          <w:tcPr>
            <w:tcW w:w="543" w:type="pct"/>
          </w:tcPr>
          <w:p w:rsidR="00930252" w:rsidRPr="000A2294" w:rsidRDefault="00930252" w:rsidP="00930252">
            <w:pPr>
              <w:jc w:val="both"/>
              <w:rPr>
                <w:sz w:val="20"/>
                <w:lang w:val="fr-CA"/>
              </w:rPr>
            </w:pPr>
            <w:r w:rsidRPr="000A2294">
              <w:rPr>
                <w:rStyle w:val="SCCFileNumberChar"/>
                <w:sz w:val="20"/>
                <w:szCs w:val="20"/>
                <w:lang w:val="fr-CA"/>
              </w:rPr>
              <w:t>40544</w:t>
            </w:r>
          </w:p>
        </w:tc>
        <w:tc>
          <w:tcPr>
            <w:tcW w:w="4457" w:type="pct"/>
            <w:gridSpan w:val="3"/>
          </w:tcPr>
          <w:p w:rsidR="00930252" w:rsidRPr="000A2294" w:rsidRDefault="00930252" w:rsidP="00930252">
            <w:pPr>
              <w:pStyle w:val="SCCLsocParty"/>
              <w:jc w:val="both"/>
              <w:rPr>
                <w:b/>
                <w:sz w:val="20"/>
                <w:szCs w:val="20"/>
              </w:rPr>
            </w:pPr>
            <w:r w:rsidRPr="000A2294">
              <w:rPr>
                <w:b/>
                <w:sz w:val="20"/>
                <w:szCs w:val="20"/>
              </w:rPr>
              <w:t>Mohammad Haque c. Sa Majesté le Roi</w:t>
            </w:r>
          </w:p>
          <w:p w:rsidR="00930252" w:rsidRPr="000A2294" w:rsidRDefault="00930252" w:rsidP="00930252">
            <w:pPr>
              <w:jc w:val="both"/>
              <w:rPr>
                <w:sz w:val="20"/>
                <w:lang w:val="fr-CA"/>
              </w:rPr>
            </w:pPr>
            <w:r w:rsidRPr="000A2294">
              <w:rPr>
                <w:sz w:val="20"/>
                <w:lang w:val="fr-CA"/>
              </w:rPr>
              <w:t>(Sask.) (Criminelle) (Sur autorisation)</w:t>
            </w:r>
          </w:p>
        </w:tc>
      </w:tr>
      <w:tr w:rsidR="00930252" w:rsidRPr="00F935FF" w:rsidTr="00E95A6A">
        <w:tc>
          <w:tcPr>
            <w:tcW w:w="5000" w:type="pct"/>
            <w:gridSpan w:val="4"/>
          </w:tcPr>
          <w:p w:rsidR="00930252" w:rsidRPr="000A2294" w:rsidRDefault="00930252" w:rsidP="00930252">
            <w:pPr>
              <w:pStyle w:val="SCCBanSummary"/>
              <w:rPr>
                <w:sz w:val="20"/>
                <w:szCs w:val="20"/>
                <w:lang w:val="fr-CA"/>
              </w:rPr>
            </w:pPr>
            <w:r w:rsidRPr="000A2294">
              <w:rPr>
                <w:sz w:val="20"/>
                <w:szCs w:val="20"/>
                <w:lang w:val="fr-CA"/>
              </w:rPr>
              <w:t>(Ordonnance de non-publication dans le dossier)</w:t>
            </w:r>
          </w:p>
          <w:p w:rsidR="00930252" w:rsidRPr="000A2294" w:rsidRDefault="00930252" w:rsidP="00930252">
            <w:pPr>
              <w:jc w:val="both"/>
              <w:rPr>
                <w:sz w:val="20"/>
                <w:lang w:val="fr-CA"/>
              </w:rPr>
            </w:pPr>
          </w:p>
          <w:p w:rsidR="00930252" w:rsidRPr="000A2294" w:rsidRDefault="00930252" w:rsidP="00930252">
            <w:pPr>
              <w:jc w:val="both"/>
              <w:rPr>
                <w:sz w:val="20"/>
                <w:lang w:val="fr-CA"/>
              </w:rPr>
            </w:pPr>
            <w:r w:rsidRPr="000A2294">
              <w:rPr>
                <w:sz w:val="20"/>
                <w:lang w:val="fr-CA"/>
              </w:rPr>
              <w:t xml:space="preserve">Droit criminel — Preuve — Appréciation — Crédibilité — Existe-t-il dorénavant un précédent en matière de preuve permettant d’attaquer la crédibilité des accusés et des témoins au motif qu’ils consultent leurs propres dossiers d’entreprise et s’appuient sur ceux-ci dans leur témoignage? </w:t>
            </w:r>
          </w:p>
        </w:tc>
      </w:tr>
      <w:tr w:rsidR="00930252" w:rsidRPr="00F935FF" w:rsidTr="00E95A6A">
        <w:tc>
          <w:tcPr>
            <w:tcW w:w="5000" w:type="pct"/>
            <w:gridSpan w:val="4"/>
          </w:tcPr>
          <w:p w:rsidR="00930252" w:rsidRPr="000A2294" w:rsidRDefault="00930252" w:rsidP="00930252">
            <w:pPr>
              <w:jc w:val="both"/>
              <w:rPr>
                <w:sz w:val="20"/>
                <w:lang w:val="fr-CA"/>
              </w:rPr>
            </w:pPr>
          </w:p>
        </w:tc>
      </w:tr>
      <w:tr w:rsidR="00930252" w:rsidRPr="00F935FF" w:rsidTr="00E95A6A">
        <w:tc>
          <w:tcPr>
            <w:tcW w:w="5000" w:type="pct"/>
            <w:gridSpan w:val="4"/>
          </w:tcPr>
          <w:p w:rsidR="00930252" w:rsidRPr="000A2294" w:rsidRDefault="00930252" w:rsidP="00930252">
            <w:pPr>
              <w:jc w:val="both"/>
              <w:rPr>
                <w:sz w:val="20"/>
                <w:lang w:val="fr-CA"/>
              </w:rPr>
            </w:pPr>
            <w:r w:rsidRPr="000A2294">
              <w:rPr>
                <w:sz w:val="20"/>
                <w:lang w:val="fr-CA"/>
              </w:rPr>
              <w:t>Le D</w:t>
            </w:r>
            <w:r w:rsidRPr="000A2294">
              <w:rPr>
                <w:sz w:val="20"/>
                <w:vertAlign w:val="superscript"/>
                <w:lang w:val="fr-CA"/>
              </w:rPr>
              <w:t>r</w:t>
            </w:r>
            <w:r w:rsidRPr="000A2294">
              <w:rPr>
                <w:sz w:val="20"/>
                <w:lang w:val="fr-CA"/>
              </w:rPr>
              <w:t> Haque pratiquait l’obstétrique et la gynécologie et il a été accusé de 16 chefs d’agression sexuelle à la suite de plaintes déposées par des patientes ayant subi un examen médical dans son cabinet. Les dossiers médicaux du D</w:t>
            </w:r>
            <w:r w:rsidRPr="000A2294">
              <w:rPr>
                <w:sz w:val="20"/>
                <w:vertAlign w:val="superscript"/>
                <w:lang w:val="fr-CA"/>
              </w:rPr>
              <w:t>r</w:t>
            </w:r>
            <w:r w:rsidRPr="000A2294">
              <w:rPr>
                <w:sz w:val="20"/>
                <w:lang w:val="fr-CA"/>
              </w:rPr>
              <w:t xml:space="preserve"> Haque ont été saisis et le ministère public a divulgué des dossiers concernant les plaignantes dans la communication de la preuve. </w:t>
            </w:r>
            <w:r w:rsidRPr="000A2294">
              <w:rPr>
                <w:color w:val="000000"/>
                <w:sz w:val="20"/>
                <w:lang w:val="fr-CA"/>
              </w:rPr>
              <w:t xml:space="preserve">Le </w:t>
            </w:r>
            <w:r w:rsidRPr="000A2294">
              <w:rPr>
                <w:sz w:val="20"/>
                <w:lang w:val="fr-CA"/>
              </w:rPr>
              <w:t>D</w:t>
            </w:r>
            <w:r w:rsidRPr="000A2294">
              <w:rPr>
                <w:sz w:val="20"/>
                <w:vertAlign w:val="superscript"/>
                <w:lang w:val="fr-CA"/>
              </w:rPr>
              <w:t>r</w:t>
            </w:r>
            <w:r w:rsidRPr="000A2294">
              <w:rPr>
                <w:sz w:val="20"/>
                <w:lang w:val="fr-CA"/>
              </w:rPr>
              <w:t> Haque a témoigné en s’appuyant sur ses notes médicales. Il a été déclaré coupable à l’égard de 4 des 16 chefs d’agression sexuelle et acquitté à l’égard des 12 autres. Son appel visant les déclarations de culpabilité a été rejeté.</w:t>
            </w:r>
          </w:p>
          <w:p w:rsidR="00930252" w:rsidRPr="000A2294" w:rsidRDefault="00930252" w:rsidP="00930252">
            <w:pPr>
              <w:jc w:val="both"/>
              <w:rPr>
                <w:sz w:val="20"/>
                <w:lang w:val="fr-CA"/>
              </w:rPr>
            </w:pPr>
          </w:p>
        </w:tc>
      </w:tr>
      <w:tr w:rsidR="00930252" w:rsidRPr="00F935FF" w:rsidTr="00E95A6A">
        <w:tc>
          <w:tcPr>
            <w:tcW w:w="2427" w:type="pct"/>
            <w:gridSpan w:val="2"/>
          </w:tcPr>
          <w:p w:rsidR="00930252" w:rsidRPr="000A2294" w:rsidRDefault="00930252" w:rsidP="00930252">
            <w:pPr>
              <w:jc w:val="both"/>
              <w:rPr>
                <w:sz w:val="20"/>
                <w:lang w:val="fr-CA"/>
              </w:rPr>
            </w:pPr>
            <w:r w:rsidRPr="000A2294">
              <w:rPr>
                <w:sz w:val="20"/>
                <w:lang w:val="fr-CA"/>
              </w:rPr>
              <w:t>15 mai 2018</w:t>
            </w:r>
          </w:p>
          <w:p w:rsidR="00930252" w:rsidRPr="000A2294" w:rsidRDefault="00930252" w:rsidP="00930252">
            <w:pPr>
              <w:jc w:val="both"/>
              <w:rPr>
                <w:sz w:val="20"/>
                <w:lang w:val="fr-CA"/>
              </w:rPr>
            </w:pPr>
            <w:r w:rsidRPr="000A2294">
              <w:rPr>
                <w:sz w:val="20"/>
                <w:lang w:val="fr-CA"/>
              </w:rPr>
              <w:t>Cour du Banc de la Reine de la Saskatchewan</w:t>
            </w:r>
          </w:p>
          <w:p w:rsidR="00930252" w:rsidRPr="000A2294" w:rsidRDefault="00930252" w:rsidP="00930252">
            <w:pPr>
              <w:jc w:val="both"/>
              <w:rPr>
                <w:sz w:val="20"/>
                <w:lang w:val="fr-CA"/>
              </w:rPr>
            </w:pPr>
            <w:r w:rsidRPr="000A2294">
              <w:rPr>
                <w:sz w:val="20"/>
                <w:lang w:val="fr-CA"/>
              </w:rPr>
              <w:t>(Juge Mills)(non publié)</w:t>
            </w:r>
          </w:p>
          <w:p w:rsidR="00930252" w:rsidRPr="000A2294" w:rsidRDefault="00930252" w:rsidP="00930252">
            <w:pPr>
              <w:jc w:val="both"/>
              <w:rPr>
                <w:sz w:val="20"/>
                <w:lang w:val="fr-CA"/>
              </w:rPr>
            </w:pPr>
          </w:p>
        </w:tc>
        <w:tc>
          <w:tcPr>
            <w:tcW w:w="243" w:type="pct"/>
          </w:tcPr>
          <w:p w:rsidR="00930252" w:rsidRPr="000A2294" w:rsidRDefault="00930252" w:rsidP="00930252">
            <w:pPr>
              <w:jc w:val="both"/>
              <w:rPr>
                <w:sz w:val="20"/>
                <w:lang w:val="fr-CA"/>
              </w:rPr>
            </w:pPr>
          </w:p>
        </w:tc>
        <w:tc>
          <w:tcPr>
            <w:tcW w:w="2330" w:type="pct"/>
          </w:tcPr>
          <w:p w:rsidR="00930252" w:rsidRPr="000A2294" w:rsidRDefault="00930252" w:rsidP="00930252">
            <w:pPr>
              <w:jc w:val="both"/>
              <w:rPr>
                <w:sz w:val="20"/>
                <w:lang w:val="fr-CA"/>
              </w:rPr>
            </w:pPr>
            <w:r w:rsidRPr="000A2294">
              <w:rPr>
                <w:sz w:val="20"/>
                <w:lang w:val="fr-CA"/>
              </w:rPr>
              <w:t xml:space="preserve">Déclarations de culpabilité à l’égard de 4 chefs d’agression sexuelle et acquittements à l’égard de 12 chefs d’agression sexuelle. </w:t>
            </w:r>
          </w:p>
          <w:p w:rsidR="00930252" w:rsidRPr="000A2294" w:rsidRDefault="00930252" w:rsidP="00930252">
            <w:pPr>
              <w:jc w:val="both"/>
              <w:rPr>
                <w:sz w:val="20"/>
                <w:lang w:val="fr-CA"/>
              </w:rPr>
            </w:pPr>
          </w:p>
        </w:tc>
      </w:tr>
      <w:tr w:rsidR="00930252" w:rsidRPr="00F935FF" w:rsidTr="00E95A6A">
        <w:tc>
          <w:tcPr>
            <w:tcW w:w="2427" w:type="pct"/>
            <w:gridSpan w:val="2"/>
          </w:tcPr>
          <w:p w:rsidR="00930252" w:rsidRPr="000A2294" w:rsidRDefault="00930252" w:rsidP="00930252">
            <w:pPr>
              <w:jc w:val="both"/>
              <w:rPr>
                <w:sz w:val="20"/>
                <w:lang w:val="fr-CA"/>
              </w:rPr>
            </w:pPr>
            <w:r w:rsidRPr="000A2294">
              <w:rPr>
                <w:sz w:val="20"/>
                <w:lang w:val="fr-CA"/>
              </w:rPr>
              <w:t>31 octobre 2022</w:t>
            </w:r>
          </w:p>
          <w:p w:rsidR="00930252" w:rsidRPr="000A2294" w:rsidRDefault="00930252" w:rsidP="00930252">
            <w:pPr>
              <w:jc w:val="both"/>
              <w:rPr>
                <w:sz w:val="20"/>
                <w:lang w:val="fr-CA"/>
              </w:rPr>
            </w:pPr>
            <w:r w:rsidRPr="000A2294">
              <w:rPr>
                <w:sz w:val="20"/>
                <w:lang w:val="fr-CA"/>
              </w:rPr>
              <w:t>Cour d’appel de la Saskatchewan</w:t>
            </w:r>
          </w:p>
          <w:p w:rsidR="00930252" w:rsidRPr="000A2294" w:rsidRDefault="00930252" w:rsidP="00930252">
            <w:pPr>
              <w:jc w:val="both"/>
              <w:rPr>
                <w:sz w:val="20"/>
                <w:lang w:val="fr-CA"/>
              </w:rPr>
            </w:pPr>
            <w:r w:rsidRPr="000A2294">
              <w:rPr>
                <w:sz w:val="20"/>
                <w:lang w:val="fr-CA"/>
              </w:rPr>
              <w:t>(Juges Leurer, Schwann et Tholl)</w:t>
            </w:r>
          </w:p>
          <w:p w:rsidR="00930252" w:rsidRPr="000A2294" w:rsidRDefault="00F935FF" w:rsidP="00930252">
            <w:pPr>
              <w:jc w:val="both"/>
              <w:rPr>
                <w:sz w:val="20"/>
                <w:lang w:val="fr-CA"/>
              </w:rPr>
            </w:pPr>
            <w:hyperlink r:id="rId44" w:history="1">
              <w:r w:rsidR="00930252" w:rsidRPr="000A2294">
                <w:rPr>
                  <w:rStyle w:val="Hyperlink"/>
                  <w:sz w:val="20"/>
                  <w:lang w:val="fr-CA"/>
                </w:rPr>
                <w:t>2022 SKCA 124</w:t>
              </w:r>
            </w:hyperlink>
            <w:r w:rsidR="00930252" w:rsidRPr="000A2294">
              <w:rPr>
                <w:sz w:val="20"/>
                <w:lang w:val="fr-CA"/>
              </w:rPr>
              <w:t>; CACR3167</w:t>
            </w:r>
          </w:p>
          <w:p w:rsidR="00930252" w:rsidRPr="000A2294" w:rsidRDefault="00930252" w:rsidP="00930252">
            <w:pPr>
              <w:jc w:val="both"/>
              <w:rPr>
                <w:sz w:val="20"/>
                <w:lang w:val="fr-CA"/>
              </w:rPr>
            </w:pPr>
          </w:p>
        </w:tc>
        <w:tc>
          <w:tcPr>
            <w:tcW w:w="243" w:type="pct"/>
          </w:tcPr>
          <w:p w:rsidR="00930252" w:rsidRPr="000A2294" w:rsidRDefault="00930252" w:rsidP="00930252">
            <w:pPr>
              <w:jc w:val="both"/>
              <w:rPr>
                <w:sz w:val="20"/>
                <w:lang w:val="fr-CA"/>
              </w:rPr>
            </w:pPr>
          </w:p>
        </w:tc>
        <w:tc>
          <w:tcPr>
            <w:tcW w:w="2330" w:type="pct"/>
          </w:tcPr>
          <w:p w:rsidR="00930252" w:rsidRPr="000A2294" w:rsidRDefault="00930252" w:rsidP="00930252">
            <w:pPr>
              <w:jc w:val="both"/>
              <w:rPr>
                <w:sz w:val="20"/>
                <w:lang w:val="fr-CA"/>
              </w:rPr>
            </w:pPr>
            <w:r w:rsidRPr="000A2294">
              <w:rPr>
                <w:sz w:val="20"/>
                <w:lang w:val="fr-CA"/>
              </w:rPr>
              <w:t xml:space="preserve">Rejet de l’appel des déclarations de culpabilité. </w:t>
            </w:r>
          </w:p>
          <w:p w:rsidR="00930252" w:rsidRPr="000A2294" w:rsidRDefault="00930252" w:rsidP="00930252">
            <w:pPr>
              <w:jc w:val="both"/>
              <w:rPr>
                <w:sz w:val="20"/>
                <w:lang w:val="fr-CA"/>
              </w:rPr>
            </w:pPr>
          </w:p>
        </w:tc>
      </w:tr>
      <w:tr w:rsidR="00930252" w:rsidRPr="000A2294" w:rsidTr="00E95A6A">
        <w:tc>
          <w:tcPr>
            <w:tcW w:w="2427" w:type="pct"/>
            <w:gridSpan w:val="2"/>
          </w:tcPr>
          <w:p w:rsidR="00930252" w:rsidRPr="000A2294" w:rsidRDefault="00930252" w:rsidP="00930252">
            <w:pPr>
              <w:jc w:val="both"/>
              <w:rPr>
                <w:sz w:val="20"/>
                <w:lang w:val="fr-CA"/>
              </w:rPr>
            </w:pPr>
            <w:r w:rsidRPr="000A2294">
              <w:rPr>
                <w:sz w:val="20"/>
                <w:lang w:val="fr-CA"/>
              </w:rPr>
              <w:t>30 décembre 2022</w:t>
            </w:r>
          </w:p>
          <w:p w:rsidR="00930252" w:rsidRPr="000A2294" w:rsidRDefault="00930252" w:rsidP="00930252">
            <w:pPr>
              <w:jc w:val="both"/>
              <w:rPr>
                <w:sz w:val="20"/>
                <w:lang w:val="fr-CA"/>
              </w:rPr>
            </w:pPr>
            <w:r w:rsidRPr="000A2294">
              <w:rPr>
                <w:sz w:val="20"/>
                <w:lang w:val="fr-CA"/>
              </w:rPr>
              <w:t>Cour suprême du Canada</w:t>
            </w:r>
          </w:p>
        </w:tc>
        <w:tc>
          <w:tcPr>
            <w:tcW w:w="243" w:type="pct"/>
          </w:tcPr>
          <w:p w:rsidR="00930252" w:rsidRPr="000A2294" w:rsidRDefault="00930252" w:rsidP="00930252">
            <w:pPr>
              <w:jc w:val="both"/>
              <w:rPr>
                <w:sz w:val="20"/>
                <w:lang w:val="fr-CA"/>
              </w:rPr>
            </w:pPr>
          </w:p>
        </w:tc>
        <w:tc>
          <w:tcPr>
            <w:tcW w:w="2330" w:type="pct"/>
          </w:tcPr>
          <w:p w:rsidR="00930252" w:rsidRPr="000A2294" w:rsidRDefault="00930252" w:rsidP="00930252">
            <w:pPr>
              <w:jc w:val="both"/>
              <w:rPr>
                <w:sz w:val="20"/>
                <w:lang w:val="fr-CA"/>
              </w:rPr>
            </w:pPr>
            <w:r w:rsidRPr="000A2294">
              <w:rPr>
                <w:sz w:val="20"/>
                <w:lang w:val="fr-CA"/>
              </w:rPr>
              <w:t xml:space="preserve">Demande d’autorisation d’appel déposée. </w:t>
            </w:r>
          </w:p>
          <w:p w:rsidR="00930252" w:rsidRPr="000A2294" w:rsidRDefault="00930252" w:rsidP="00930252">
            <w:pPr>
              <w:jc w:val="both"/>
              <w:rPr>
                <w:sz w:val="20"/>
                <w:lang w:val="fr-CA"/>
              </w:rPr>
            </w:pPr>
          </w:p>
        </w:tc>
      </w:tr>
    </w:tbl>
    <w:p w:rsidR="00930252" w:rsidRPr="000A2294" w:rsidRDefault="00930252" w:rsidP="00930252">
      <w:pPr>
        <w:jc w:val="both"/>
        <w:rPr>
          <w:sz w:val="20"/>
          <w:lang w:val="fr-CA"/>
        </w:rPr>
      </w:pPr>
    </w:p>
    <w:p w:rsidR="00880679" w:rsidRPr="000A2294" w:rsidRDefault="00F935FF" w:rsidP="008F3DE8">
      <w:pPr>
        <w:widowControl w:val="0"/>
        <w:jc w:val="both"/>
        <w:rPr>
          <w:sz w:val="20"/>
          <w:lang w:val="fr-CA"/>
        </w:rPr>
      </w:pPr>
      <w:r>
        <w:rPr>
          <w:sz w:val="20"/>
        </w:rPr>
        <w:pict>
          <v:rect id="_x0000_i1032" style="width:2in;height:1pt" o:hrpct="0" o:hralign="center" o:hrstd="t" o:hrnoshade="t" o:hr="t" fillcolor="black [3213]" stroked="f"/>
        </w:pict>
      </w:r>
    </w:p>
    <w:p w:rsidR="00880679" w:rsidRPr="000A2294" w:rsidRDefault="00880679" w:rsidP="008F3DE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3DE8" w:rsidRPr="000A2294" w:rsidTr="00E95A6A">
        <w:tc>
          <w:tcPr>
            <w:tcW w:w="543" w:type="pct"/>
          </w:tcPr>
          <w:p w:rsidR="008F3DE8" w:rsidRPr="000A2294" w:rsidRDefault="008F3DE8" w:rsidP="008F3DE8">
            <w:pPr>
              <w:jc w:val="both"/>
              <w:rPr>
                <w:sz w:val="20"/>
              </w:rPr>
            </w:pPr>
            <w:r w:rsidRPr="000A2294">
              <w:rPr>
                <w:rStyle w:val="SCCFileNumberChar"/>
                <w:sz w:val="20"/>
                <w:szCs w:val="20"/>
              </w:rPr>
              <w:t>40554</w:t>
            </w:r>
          </w:p>
        </w:tc>
        <w:tc>
          <w:tcPr>
            <w:tcW w:w="4457" w:type="pct"/>
            <w:gridSpan w:val="3"/>
          </w:tcPr>
          <w:p w:rsidR="008F3DE8" w:rsidRPr="000A2294" w:rsidRDefault="008F3DE8" w:rsidP="008F3DE8">
            <w:pPr>
              <w:pStyle w:val="SCCLsocParty"/>
              <w:jc w:val="both"/>
              <w:rPr>
                <w:b/>
                <w:sz w:val="20"/>
                <w:szCs w:val="20"/>
                <w:lang w:val="en-US"/>
              </w:rPr>
            </w:pPr>
            <w:r w:rsidRPr="000A2294">
              <w:rPr>
                <w:b/>
                <w:sz w:val="20"/>
                <w:szCs w:val="20"/>
                <w:lang w:val="en-US"/>
              </w:rPr>
              <w:t>Kenneth Robert Carter v. His Majesty the King</w:t>
            </w:r>
          </w:p>
          <w:p w:rsidR="008F3DE8" w:rsidRPr="000A2294" w:rsidRDefault="008F3DE8" w:rsidP="008F3DE8">
            <w:pPr>
              <w:jc w:val="both"/>
              <w:rPr>
                <w:sz w:val="20"/>
              </w:rPr>
            </w:pPr>
            <w:r w:rsidRPr="000A2294">
              <w:rPr>
                <w:sz w:val="20"/>
              </w:rPr>
              <w:t>(Alta.) (Criminal) (By Leave)</w:t>
            </w:r>
          </w:p>
        </w:tc>
      </w:tr>
      <w:tr w:rsidR="008F3DE8" w:rsidRPr="000A2294" w:rsidTr="00E95A6A">
        <w:tc>
          <w:tcPr>
            <w:tcW w:w="5000" w:type="pct"/>
            <w:gridSpan w:val="4"/>
          </w:tcPr>
          <w:p w:rsidR="008F3DE8" w:rsidRPr="000A2294" w:rsidRDefault="008F3DE8" w:rsidP="008F3DE8">
            <w:pPr>
              <w:jc w:val="both"/>
              <w:rPr>
                <w:sz w:val="20"/>
              </w:rPr>
            </w:pPr>
            <w:r w:rsidRPr="000A2294">
              <w:rPr>
                <w:i/>
                <w:sz w:val="20"/>
              </w:rPr>
              <w:t>Charter of Rights</w:t>
            </w:r>
            <w:r w:rsidRPr="000A2294">
              <w:rPr>
                <w:sz w:val="20"/>
              </w:rPr>
              <w:t xml:space="preserve"> — </w:t>
            </w:r>
            <w:r w:rsidRPr="000A2294">
              <w:rPr>
                <w:sz w:val="20"/>
                <w:lang w:val="en-GB"/>
              </w:rPr>
              <w:t xml:space="preserve">Right to be tried within a reasonable </w:t>
            </w:r>
            <w:r w:rsidRPr="000A2294">
              <w:rPr>
                <w:iCs/>
                <w:sz w:val="20"/>
                <w:lang w:val="en-GB"/>
              </w:rPr>
              <w:t xml:space="preserve">time </w:t>
            </w:r>
            <w:r w:rsidRPr="000A2294">
              <w:rPr>
                <w:sz w:val="20"/>
              </w:rPr>
              <w:t>— Criminal law — Charge to jury — Does the 18-month presumptive ceiling apply to a one-stage criminal proceeding where the Crown prefers a direct indictment prior to the first court appearance — Should a trial judge ever instruct a jury that the failure to reach a unanimous verdict will result in a mistrial and the trial having to begin again with an entirely new jury?</w:t>
            </w:r>
          </w:p>
        </w:tc>
      </w:tr>
      <w:tr w:rsidR="008F3DE8" w:rsidRPr="000A2294" w:rsidTr="00E95A6A">
        <w:tc>
          <w:tcPr>
            <w:tcW w:w="5000" w:type="pct"/>
            <w:gridSpan w:val="4"/>
          </w:tcPr>
          <w:p w:rsidR="008F3DE8" w:rsidRPr="000A2294" w:rsidRDefault="008F3DE8" w:rsidP="008F3DE8">
            <w:pPr>
              <w:jc w:val="both"/>
              <w:rPr>
                <w:sz w:val="20"/>
              </w:rPr>
            </w:pPr>
          </w:p>
          <w:p w:rsidR="008F3DE8" w:rsidRPr="000A2294" w:rsidRDefault="008F3DE8" w:rsidP="008F3DE8">
            <w:pPr>
              <w:jc w:val="both"/>
              <w:rPr>
                <w:sz w:val="20"/>
              </w:rPr>
            </w:pPr>
            <w:r w:rsidRPr="000A2294">
              <w:rPr>
                <w:color w:val="000000"/>
                <w:sz w:val="20"/>
              </w:rPr>
              <w:t xml:space="preserve">Mr. Carter </w:t>
            </w:r>
            <w:r w:rsidRPr="000A2294">
              <w:rPr>
                <w:spacing w:val="-2"/>
                <w:sz w:val="20"/>
              </w:rPr>
              <w:t xml:space="preserve">was charged with </w:t>
            </w:r>
            <w:r w:rsidRPr="000A2294">
              <w:rPr>
                <w:sz w:val="20"/>
              </w:rPr>
              <w:t xml:space="preserve">criminal harassment and tried jointly with co-accused. </w:t>
            </w:r>
            <w:r w:rsidRPr="000A2294">
              <w:rPr>
                <w:spacing w:val="-2"/>
                <w:sz w:val="20"/>
              </w:rPr>
              <w:t xml:space="preserve">The </w:t>
            </w:r>
            <w:r w:rsidRPr="000A2294">
              <w:rPr>
                <w:sz w:val="20"/>
              </w:rPr>
              <w:t>Court of Queen’s Bench of Alberta dismissed an</w:t>
            </w:r>
            <w:r w:rsidRPr="000A2294">
              <w:rPr>
                <w:spacing w:val="-2"/>
                <w:sz w:val="20"/>
              </w:rPr>
              <w:t xml:space="preserve"> application to stay the proceedings for unreasonable delay in breach of s. 11(d) of the </w:t>
            </w:r>
            <w:r w:rsidRPr="000A2294">
              <w:rPr>
                <w:i/>
                <w:spacing w:val="-2"/>
                <w:sz w:val="20"/>
              </w:rPr>
              <w:t>Charter</w:t>
            </w:r>
            <w:r w:rsidRPr="000A2294">
              <w:rPr>
                <w:spacing w:val="-2"/>
                <w:sz w:val="20"/>
              </w:rPr>
              <w:t>.</w:t>
            </w:r>
            <w:r w:rsidRPr="000A2294">
              <w:rPr>
                <w:sz w:val="20"/>
              </w:rPr>
              <w:t xml:space="preserve"> Mr. Carter was convicted by a jury of criminal harassment.  The Court of Appeal dismissed an appeal.</w:t>
            </w:r>
          </w:p>
        </w:tc>
      </w:tr>
      <w:tr w:rsidR="008F3DE8" w:rsidRPr="000A2294" w:rsidTr="00E95A6A">
        <w:tc>
          <w:tcPr>
            <w:tcW w:w="5000" w:type="pct"/>
            <w:gridSpan w:val="4"/>
          </w:tcPr>
          <w:p w:rsidR="008F3DE8" w:rsidRPr="000A2294" w:rsidRDefault="008F3DE8" w:rsidP="008F3DE8">
            <w:pPr>
              <w:jc w:val="both"/>
              <w:rPr>
                <w:sz w:val="20"/>
              </w:rPr>
            </w:pPr>
          </w:p>
        </w:tc>
      </w:tr>
      <w:tr w:rsidR="008F3DE8" w:rsidRPr="000A2294" w:rsidTr="00E95A6A">
        <w:tc>
          <w:tcPr>
            <w:tcW w:w="2427" w:type="pct"/>
            <w:gridSpan w:val="2"/>
          </w:tcPr>
          <w:p w:rsidR="008F3DE8" w:rsidRPr="000A2294" w:rsidRDefault="008F3DE8" w:rsidP="008F3DE8">
            <w:pPr>
              <w:jc w:val="both"/>
              <w:rPr>
                <w:sz w:val="20"/>
              </w:rPr>
            </w:pPr>
            <w:r w:rsidRPr="000A2294">
              <w:rPr>
                <w:sz w:val="20"/>
              </w:rPr>
              <w:t>October 19, 2018</w:t>
            </w:r>
          </w:p>
          <w:p w:rsidR="008F3DE8" w:rsidRPr="000A2294" w:rsidRDefault="008F3DE8" w:rsidP="008F3DE8">
            <w:pPr>
              <w:jc w:val="both"/>
              <w:rPr>
                <w:sz w:val="20"/>
              </w:rPr>
            </w:pPr>
            <w:r w:rsidRPr="000A2294">
              <w:rPr>
                <w:sz w:val="20"/>
              </w:rPr>
              <w:t>Court of Queen’s Bench of Alberta</w:t>
            </w:r>
          </w:p>
          <w:p w:rsidR="008F3DE8" w:rsidRPr="000A2294" w:rsidRDefault="008F3DE8" w:rsidP="008F3DE8">
            <w:pPr>
              <w:jc w:val="both"/>
              <w:rPr>
                <w:sz w:val="20"/>
              </w:rPr>
            </w:pPr>
            <w:r w:rsidRPr="000A2294">
              <w:rPr>
                <w:sz w:val="20"/>
              </w:rPr>
              <w:t>(Poelman J.)</w:t>
            </w:r>
          </w:p>
          <w:p w:rsidR="008F3DE8" w:rsidRPr="000A2294" w:rsidRDefault="00F935FF" w:rsidP="008F3DE8">
            <w:pPr>
              <w:jc w:val="both"/>
              <w:rPr>
                <w:sz w:val="20"/>
              </w:rPr>
            </w:pPr>
            <w:hyperlink r:id="rId45" w:history="1">
              <w:r w:rsidR="008F3DE8" w:rsidRPr="000A2294">
                <w:rPr>
                  <w:rStyle w:val="Hyperlink"/>
                  <w:sz w:val="20"/>
                </w:rPr>
                <w:t>2018 ABQB 657</w:t>
              </w:r>
            </w:hyperlink>
          </w:p>
          <w:p w:rsidR="008F3DE8" w:rsidRPr="000A2294" w:rsidRDefault="008F3DE8" w:rsidP="008F3DE8">
            <w:pPr>
              <w:jc w:val="both"/>
              <w:rPr>
                <w:sz w:val="20"/>
              </w:rPr>
            </w:pPr>
          </w:p>
        </w:tc>
        <w:tc>
          <w:tcPr>
            <w:tcW w:w="243" w:type="pct"/>
          </w:tcPr>
          <w:p w:rsidR="008F3DE8" w:rsidRPr="000A2294" w:rsidRDefault="008F3DE8" w:rsidP="008F3DE8">
            <w:pPr>
              <w:jc w:val="both"/>
              <w:rPr>
                <w:sz w:val="20"/>
              </w:rPr>
            </w:pPr>
          </w:p>
        </w:tc>
        <w:tc>
          <w:tcPr>
            <w:tcW w:w="2330" w:type="pct"/>
          </w:tcPr>
          <w:p w:rsidR="008F3DE8" w:rsidRPr="000A2294" w:rsidRDefault="008F3DE8" w:rsidP="008F3DE8">
            <w:pPr>
              <w:jc w:val="both"/>
              <w:rPr>
                <w:sz w:val="20"/>
              </w:rPr>
            </w:pPr>
            <w:r w:rsidRPr="000A2294">
              <w:rPr>
                <w:sz w:val="20"/>
              </w:rPr>
              <w:t>Application to stay proceedings for unreasonable delay dismissed</w:t>
            </w:r>
          </w:p>
        </w:tc>
      </w:tr>
      <w:tr w:rsidR="008F3DE8" w:rsidRPr="000A2294" w:rsidTr="00E95A6A">
        <w:tc>
          <w:tcPr>
            <w:tcW w:w="2427" w:type="pct"/>
            <w:gridSpan w:val="2"/>
          </w:tcPr>
          <w:p w:rsidR="008F3DE8" w:rsidRPr="000A2294" w:rsidRDefault="008F3DE8" w:rsidP="008F3DE8">
            <w:pPr>
              <w:jc w:val="both"/>
              <w:rPr>
                <w:sz w:val="20"/>
              </w:rPr>
            </w:pPr>
            <w:r w:rsidRPr="000A2294">
              <w:rPr>
                <w:sz w:val="20"/>
              </w:rPr>
              <w:t>October 19, 2018</w:t>
            </w:r>
          </w:p>
          <w:p w:rsidR="008F3DE8" w:rsidRPr="000A2294" w:rsidRDefault="008F3DE8" w:rsidP="008F3DE8">
            <w:pPr>
              <w:jc w:val="both"/>
              <w:rPr>
                <w:sz w:val="20"/>
              </w:rPr>
            </w:pPr>
            <w:r w:rsidRPr="000A2294">
              <w:rPr>
                <w:sz w:val="20"/>
              </w:rPr>
              <w:t>Court of Queen’s Bench of Alberta</w:t>
            </w:r>
          </w:p>
          <w:p w:rsidR="008F3DE8" w:rsidRPr="000A2294" w:rsidRDefault="008F3DE8" w:rsidP="008F3DE8">
            <w:pPr>
              <w:jc w:val="both"/>
              <w:rPr>
                <w:sz w:val="20"/>
              </w:rPr>
            </w:pPr>
            <w:r w:rsidRPr="000A2294">
              <w:rPr>
                <w:sz w:val="20"/>
              </w:rPr>
              <w:t xml:space="preserve">(Poelman J.)(Unreported) </w:t>
            </w:r>
          </w:p>
          <w:p w:rsidR="008F3DE8" w:rsidRPr="000A2294" w:rsidRDefault="008F3DE8" w:rsidP="008F3DE8">
            <w:pPr>
              <w:jc w:val="both"/>
              <w:rPr>
                <w:sz w:val="20"/>
              </w:rPr>
            </w:pPr>
          </w:p>
        </w:tc>
        <w:tc>
          <w:tcPr>
            <w:tcW w:w="243" w:type="pct"/>
          </w:tcPr>
          <w:p w:rsidR="008F3DE8" w:rsidRPr="000A2294" w:rsidRDefault="008F3DE8" w:rsidP="008F3DE8">
            <w:pPr>
              <w:jc w:val="both"/>
              <w:rPr>
                <w:sz w:val="20"/>
              </w:rPr>
            </w:pPr>
          </w:p>
        </w:tc>
        <w:tc>
          <w:tcPr>
            <w:tcW w:w="2330" w:type="pct"/>
          </w:tcPr>
          <w:p w:rsidR="008F3DE8" w:rsidRPr="000A2294" w:rsidRDefault="008F3DE8" w:rsidP="008F3DE8">
            <w:pPr>
              <w:jc w:val="both"/>
              <w:rPr>
                <w:sz w:val="20"/>
              </w:rPr>
            </w:pPr>
            <w:r w:rsidRPr="000A2294">
              <w:rPr>
                <w:sz w:val="20"/>
              </w:rPr>
              <w:t>Conviction by jury for criminal harassment</w:t>
            </w:r>
          </w:p>
        </w:tc>
      </w:tr>
      <w:tr w:rsidR="008F3DE8" w:rsidRPr="000A2294" w:rsidTr="00E95A6A">
        <w:tc>
          <w:tcPr>
            <w:tcW w:w="2427" w:type="pct"/>
            <w:gridSpan w:val="2"/>
          </w:tcPr>
          <w:p w:rsidR="008F3DE8" w:rsidRPr="000A2294" w:rsidRDefault="008F3DE8" w:rsidP="008F3DE8">
            <w:pPr>
              <w:jc w:val="both"/>
              <w:rPr>
                <w:sz w:val="20"/>
              </w:rPr>
            </w:pPr>
            <w:r w:rsidRPr="000A2294">
              <w:rPr>
                <w:sz w:val="20"/>
              </w:rPr>
              <w:t>August 25, 2022</w:t>
            </w:r>
          </w:p>
          <w:p w:rsidR="008F3DE8" w:rsidRPr="000A2294" w:rsidRDefault="008F3DE8" w:rsidP="008F3DE8">
            <w:pPr>
              <w:jc w:val="both"/>
              <w:rPr>
                <w:sz w:val="20"/>
              </w:rPr>
            </w:pPr>
            <w:r w:rsidRPr="000A2294">
              <w:rPr>
                <w:sz w:val="20"/>
              </w:rPr>
              <w:t>Court of Appeal of Alberta (Calgary)</w:t>
            </w:r>
          </w:p>
          <w:p w:rsidR="008F3DE8" w:rsidRPr="000A2294" w:rsidRDefault="008F3DE8" w:rsidP="008F3DE8">
            <w:pPr>
              <w:jc w:val="both"/>
              <w:rPr>
                <w:sz w:val="20"/>
              </w:rPr>
            </w:pPr>
            <w:r w:rsidRPr="000A2294">
              <w:rPr>
                <w:sz w:val="20"/>
              </w:rPr>
              <w:t>(Rowbotham, Hughes, Kirker JJ.A.)</w:t>
            </w:r>
          </w:p>
          <w:p w:rsidR="008F3DE8" w:rsidRPr="000A2294" w:rsidRDefault="00F935FF" w:rsidP="008F3DE8">
            <w:pPr>
              <w:jc w:val="both"/>
              <w:rPr>
                <w:sz w:val="20"/>
              </w:rPr>
            </w:pPr>
            <w:hyperlink r:id="rId46" w:history="1">
              <w:r w:rsidR="008F3DE8" w:rsidRPr="000A2294">
                <w:rPr>
                  <w:rStyle w:val="Hyperlink"/>
                  <w:sz w:val="20"/>
                </w:rPr>
                <w:t>2022 ABCA 276</w:t>
              </w:r>
            </w:hyperlink>
            <w:r w:rsidR="008F3DE8" w:rsidRPr="000A2294">
              <w:rPr>
                <w:sz w:val="20"/>
              </w:rPr>
              <w:t>; 2001-0145A</w:t>
            </w:r>
          </w:p>
          <w:p w:rsidR="008F3DE8" w:rsidRPr="000A2294" w:rsidRDefault="008F3DE8" w:rsidP="008F3DE8">
            <w:pPr>
              <w:jc w:val="both"/>
              <w:rPr>
                <w:sz w:val="20"/>
              </w:rPr>
            </w:pPr>
          </w:p>
        </w:tc>
        <w:tc>
          <w:tcPr>
            <w:tcW w:w="243" w:type="pct"/>
          </w:tcPr>
          <w:p w:rsidR="008F3DE8" w:rsidRPr="000A2294" w:rsidRDefault="008F3DE8" w:rsidP="008F3DE8">
            <w:pPr>
              <w:jc w:val="both"/>
              <w:rPr>
                <w:sz w:val="20"/>
              </w:rPr>
            </w:pPr>
          </w:p>
        </w:tc>
        <w:tc>
          <w:tcPr>
            <w:tcW w:w="2330" w:type="pct"/>
          </w:tcPr>
          <w:p w:rsidR="008F3DE8" w:rsidRPr="000A2294" w:rsidRDefault="008F3DE8" w:rsidP="008F3DE8">
            <w:pPr>
              <w:jc w:val="both"/>
              <w:rPr>
                <w:sz w:val="20"/>
              </w:rPr>
            </w:pPr>
            <w:r w:rsidRPr="000A2294">
              <w:rPr>
                <w:sz w:val="20"/>
              </w:rPr>
              <w:t>Appeal dismissed</w:t>
            </w:r>
          </w:p>
        </w:tc>
      </w:tr>
      <w:tr w:rsidR="008F3DE8" w:rsidRPr="000A2294" w:rsidTr="00E95A6A">
        <w:tc>
          <w:tcPr>
            <w:tcW w:w="2427" w:type="pct"/>
            <w:gridSpan w:val="2"/>
          </w:tcPr>
          <w:p w:rsidR="008F3DE8" w:rsidRPr="000A2294" w:rsidRDefault="008F3DE8" w:rsidP="008F3DE8">
            <w:pPr>
              <w:jc w:val="both"/>
              <w:rPr>
                <w:sz w:val="20"/>
              </w:rPr>
            </w:pPr>
            <w:r w:rsidRPr="000A2294">
              <w:rPr>
                <w:sz w:val="20"/>
              </w:rPr>
              <w:t>January 10, 2023</w:t>
            </w:r>
          </w:p>
          <w:p w:rsidR="008F3DE8" w:rsidRPr="000A2294" w:rsidRDefault="008F3DE8" w:rsidP="008F3DE8">
            <w:pPr>
              <w:jc w:val="both"/>
              <w:rPr>
                <w:sz w:val="20"/>
              </w:rPr>
            </w:pPr>
            <w:r w:rsidRPr="000A2294">
              <w:rPr>
                <w:sz w:val="20"/>
              </w:rPr>
              <w:t>Supreme Court of Canada</w:t>
            </w:r>
          </w:p>
        </w:tc>
        <w:tc>
          <w:tcPr>
            <w:tcW w:w="243" w:type="pct"/>
          </w:tcPr>
          <w:p w:rsidR="008F3DE8" w:rsidRPr="000A2294" w:rsidRDefault="008F3DE8" w:rsidP="008F3DE8">
            <w:pPr>
              <w:jc w:val="both"/>
              <w:rPr>
                <w:sz w:val="20"/>
              </w:rPr>
            </w:pPr>
          </w:p>
        </w:tc>
        <w:tc>
          <w:tcPr>
            <w:tcW w:w="2330" w:type="pct"/>
          </w:tcPr>
          <w:p w:rsidR="008F3DE8" w:rsidRPr="000A2294" w:rsidRDefault="008F3DE8" w:rsidP="008F3DE8">
            <w:pPr>
              <w:jc w:val="both"/>
              <w:rPr>
                <w:sz w:val="20"/>
              </w:rPr>
            </w:pPr>
            <w:r w:rsidRPr="000A2294">
              <w:rPr>
                <w:sz w:val="20"/>
              </w:rPr>
              <w:t>Application for leave to appeal and motion for extension of time to serve and file application for leave to appeal filed</w:t>
            </w:r>
          </w:p>
        </w:tc>
      </w:tr>
    </w:tbl>
    <w:p w:rsidR="008F3DE8" w:rsidRPr="000A2294" w:rsidRDefault="008F3DE8" w:rsidP="008F3DE8">
      <w:pPr>
        <w:jc w:val="both"/>
        <w:rPr>
          <w:sz w:val="20"/>
        </w:rPr>
      </w:pPr>
    </w:p>
    <w:p w:rsidR="008F3DE8" w:rsidRPr="000A2294" w:rsidRDefault="00F935FF" w:rsidP="008F3DE8">
      <w:pPr>
        <w:jc w:val="both"/>
        <w:rPr>
          <w:sz w:val="20"/>
        </w:rPr>
      </w:pPr>
      <w:r>
        <w:rPr>
          <w:sz w:val="20"/>
        </w:rPr>
        <w:pict>
          <v:rect id="_x0000_i1033" style="width:2in;height:1pt" o:hrpct="0" o:hralign="center" o:hrstd="t" o:hrnoshade="t" o:hr="t" fillcolor="black [3213]" stroked="f"/>
        </w:pict>
      </w:r>
    </w:p>
    <w:p w:rsidR="008F3DE8" w:rsidRPr="000A2294" w:rsidRDefault="008F3DE8" w:rsidP="008F3D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3DE8" w:rsidRPr="000A2294" w:rsidTr="00E95A6A">
        <w:tc>
          <w:tcPr>
            <w:tcW w:w="543" w:type="pct"/>
          </w:tcPr>
          <w:p w:rsidR="008F3DE8" w:rsidRPr="000A2294" w:rsidRDefault="008F3DE8" w:rsidP="008F3DE8">
            <w:pPr>
              <w:jc w:val="both"/>
              <w:rPr>
                <w:sz w:val="20"/>
                <w:lang w:val="fr-CA"/>
              </w:rPr>
            </w:pPr>
            <w:r w:rsidRPr="000A2294">
              <w:rPr>
                <w:rStyle w:val="SCCFileNumberChar"/>
                <w:sz w:val="20"/>
                <w:szCs w:val="20"/>
                <w:lang w:val="fr-CA"/>
              </w:rPr>
              <w:t>40554</w:t>
            </w:r>
          </w:p>
        </w:tc>
        <w:tc>
          <w:tcPr>
            <w:tcW w:w="4457" w:type="pct"/>
            <w:gridSpan w:val="3"/>
          </w:tcPr>
          <w:p w:rsidR="008F3DE8" w:rsidRPr="000A2294" w:rsidRDefault="008F3DE8" w:rsidP="008F3DE8">
            <w:pPr>
              <w:pStyle w:val="SCCLsocParty"/>
              <w:jc w:val="both"/>
              <w:rPr>
                <w:b/>
                <w:sz w:val="20"/>
                <w:szCs w:val="20"/>
              </w:rPr>
            </w:pPr>
            <w:r w:rsidRPr="000A2294">
              <w:rPr>
                <w:b/>
                <w:sz w:val="20"/>
                <w:szCs w:val="20"/>
              </w:rPr>
              <w:t>Kenneth Robert Carter c. Sa Majesté le Roi</w:t>
            </w:r>
          </w:p>
          <w:p w:rsidR="008F3DE8" w:rsidRPr="000A2294" w:rsidRDefault="008F3DE8" w:rsidP="008F3DE8">
            <w:pPr>
              <w:jc w:val="both"/>
              <w:rPr>
                <w:sz w:val="20"/>
                <w:lang w:val="fr-CA"/>
              </w:rPr>
            </w:pPr>
            <w:r w:rsidRPr="000A2294">
              <w:rPr>
                <w:sz w:val="20"/>
                <w:lang w:val="fr-CA"/>
              </w:rPr>
              <w:t>(Alb.) (Criminelle) (Sur autorisation)</w:t>
            </w:r>
          </w:p>
        </w:tc>
      </w:tr>
      <w:tr w:rsidR="008F3DE8" w:rsidRPr="00F935FF" w:rsidTr="00E95A6A">
        <w:tc>
          <w:tcPr>
            <w:tcW w:w="5000" w:type="pct"/>
            <w:gridSpan w:val="4"/>
          </w:tcPr>
          <w:p w:rsidR="008F3DE8" w:rsidRPr="000A2294" w:rsidRDefault="008F3DE8" w:rsidP="008F3DE8">
            <w:pPr>
              <w:jc w:val="both"/>
              <w:rPr>
                <w:sz w:val="20"/>
                <w:lang w:val="fr-CA"/>
              </w:rPr>
            </w:pPr>
            <w:r w:rsidRPr="000A2294">
              <w:rPr>
                <w:i/>
                <w:sz w:val="20"/>
                <w:lang w:val="fr-CA"/>
              </w:rPr>
              <w:t>Charte des droits</w:t>
            </w:r>
            <w:r w:rsidRPr="000A2294">
              <w:rPr>
                <w:sz w:val="20"/>
                <w:lang w:val="fr-CA"/>
              </w:rPr>
              <w:t xml:space="preserve"> — Procès dans un délai raisonnable — Droit criminel — Exposé au jury — Le plafond présumé de 18 mois s’applique-t-il aux procès à un seul volet lorsque le ministère public opte pour la mise en accusation directe avant la première comparution en cour? — Le juge du procès devrait-il, dans quelque situation que ce soit, informer le jury que le fait de ne pas rapporter un verdict unanime entraîne l’annulation du procès et sa reprise intégrale devant un jury entièrement nouveau? </w:t>
            </w:r>
          </w:p>
        </w:tc>
      </w:tr>
      <w:tr w:rsidR="008F3DE8" w:rsidRPr="00F935FF" w:rsidTr="00E95A6A">
        <w:tc>
          <w:tcPr>
            <w:tcW w:w="5000" w:type="pct"/>
            <w:gridSpan w:val="4"/>
          </w:tcPr>
          <w:p w:rsidR="008F3DE8" w:rsidRPr="000A2294" w:rsidRDefault="008F3DE8" w:rsidP="008F3DE8">
            <w:pPr>
              <w:jc w:val="both"/>
              <w:rPr>
                <w:sz w:val="20"/>
                <w:lang w:val="fr-CA"/>
              </w:rPr>
            </w:pPr>
          </w:p>
          <w:p w:rsidR="008F3DE8" w:rsidRPr="000A2294" w:rsidRDefault="008F3DE8" w:rsidP="008F3DE8">
            <w:pPr>
              <w:jc w:val="both"/>
              <w:rPr>
                <w:sz w:val="20"/>
                <w:lang w:val="fr-CA"/>
              </w:rPr>
            </w:pPr>
            <w:r w:rsidRPr="000A2294">
              <w:rPr>
                <w:color w:val="000000"/>
                <w:sz w:val="20"/>
                <w:lang w:val="fr-CA"/>
              </w:rPr>
              <w:t>M. Carter a été accusé de harcèlement criminel et a subi son procès conjointement avec ses coaccusés. Sa</w:t>
            </w:r>
            <w:r w:rsidRPr="000A2294">
              <w:rPr>
                <w:spacing w:val="-2"/>
                <w:sz w:val="20"/>
                <w:lang w:val="fr-CA"/>
              </w:rPr>
              <w:t xml:space="preserve"> requête en arrêt des procédures, pour cause de délai déraisonnable en contravention de l’al. 11d) de la </w:t>
            </w:r>
            <w:r w:rsidRPr="000A2294">
              <w:rPr>
                <w:i/>
                <w:spacing w:val="-2"/>
                <w:sz w:val="20"/>
                <w:lang w:val="fr-CA"/>
              </w:rPr>
              <w:t>Charte</w:t>
            </w:r>
            <w:r w:rsidRPr="000A2294">
              <w:rPr>
                <w:spacing w:val="-2"/>
                <w:sz w:val="20"/>
                <w:lang w:val="fr-CA"/>
              </w:rPr>
              <w:t>, a été rejetée par la Cour du Banc de la Reine de l’Alberta</w:t>
            </w:r>
            <w:r w:rsidRPr="000A2294">
              <w:rPr>
                <w:sz w:val="20"/>
                <w:lang w:val="fr-CA"/>
              </w:rPr>
              <w:t xml:space="preserve">. Le jury l’a déclaré coupable de harcèlement criminel. La Cour d’appel a rejeté son appel. </w:t>
            </w:r>
          </w:p>
        </w:tc>
      </w:tr>
      <w:tr w:rsidR="008F3DE8" w:rsidRPr="00F935FF" w:rsidTr="00E95A6A">
        <w:tc>
          <w:tcPr>
            <w:tcW w:w="5000" w:type="pct"/>
            <w:gridSpan w:val="4"/>
          </w:tcPr>
          <w:p w:rsidR="008F3DE8" w:rsidRPr="000A2294" w:rsidRDefault="008F3DE8" w:rsidP="008F3DE8">
            <w:pPr>
              <w:jc w:val="both"/>
              <w:rPr>
                <w:sz w:val="20"/>
                <w:lang w:val="fr-CA"/>
              </w:rPr>
            </w:pPr>
          </w:p>
        </w:tc>
      </w:tr>
      <w:tr w:rsidR="008F3DE8" w:rsidRPr="00F935FF" w:rsidTr="00E95A6A">
        <w:tc>
          <w:tcPr>
            <w:tcW w:w="2427" w:type="pct"/>
            <w:gridSpan w:val="2"/>
          </w:tcPr>
          <w:p w:rsidR="008F3DE8" w:rsidRPr="000A2294" w:rsidRDefault="008F3DE8" w:rsidP="008F3DE8">
            <w:pPr>
              <w:jc w:val="both"/>
              <w:rPr>
                <w:sz w:val="20"/>
                <w:lang w:val="fr-CA"/>
              </w:rPr>
            </w:pPr>
            <w:r w:rsidRPr="000A2294">
              <w:rPr>
                <w:sz w:val="20"/>
                <w:lang w:val="fr-CA"/>
              </w:rPr>
              <w:t>19 octobre 2018</w:t>
            </w:r>
          </w:p>
          <w:p w:rsidR="008F3DE8" w:rsidRPr="000A2294" w:rsidRDefault="008F3DE8" w:rsidP="008F3DE8">
            <w:pPr>
              <w:jc w:val="both"/>
              <w:rPr>
                <w:sz w:val="20"/>
                <w:lang w:val="fr-CA"/>
              </w:rPr>
            </w:pPr>
            <w:r w:rsidRPr="000A2294">
              <w:rPr>
                <w:sz w:val="20"/>
                <w:lang w:val="fr-CA"/>
              </w:rPr>
              <w:t>Cour du Banc de la Reine de l’Alberta</w:t>
            </w:r>
          </w:p>
          <w:p w:rsidR="008F3DE8" w:rsidRPr="000A2294" w:rsidRDefault="008F3DE8" w:rsidP="008F3DE8">
            <w:pPr>
              <w:jc w:val="both"/>
              <w:rPr>
                <w:sz w:val="20"/>
                <w:lang w:val="fr-CA"/>
              </w:rPr>
            </w:pPr>
            <w:r w:rsidRPr="000A2294">
              <w:rPr>
                <w:sz w:val="20"/>
                <w:lang w:val="fr-CA"/>
              </w:rPr>
              <w:t>(Juge Poelman)</w:t>
            </w:r>
          </w:p>
          <w:p w:rsidR="008F3DE8" w:rsidRPr="000A2294" w:rsidRDefault="00F935FF" w:rsidP="008F3DE8">
            <w:pPr>
              <w:jc w:val="both"/>
              <w:rPr>
                <w:sz w:val="20"/>
                <w:lang w:val="fr-CA"/>
              </w:rPr>
            </w:pPr>
            <w:hyperlink r:id="rId47" w:history="1">
              <w:r w:rsidR="008F3DE8" w:rsidRPr="000A2294">
                <w:rPr>
                  <w:rStyle w:val="Hyperlink"/>
                  <w:sz w:val="20"/>
                  <w:lang w:val="fr-CA"/>
                </w:rPr>
                <w:t>2018 ABQB 657</w:t>
              </w:r>
            </w:hyperlink>
          </w:p>
          <w:p w:rsidR="008F3DE8" w:rsidRPr="000A2294" w:rsidRDefault="008F3DE8" w:rsidP="008F3DE8">
            <w:pPr>
              <w:jc w:val="both"/>
              <w:rPr>
                <w:sz w:val="20"/>
                <w:lang w:val="fr-CA"/>
              </w:rPr>
            </w:pPr>
          </w:p>
        </w:tc>
        <w:tc>
          <w:tcPr>
            <w:tcW w:w="243" w:type="pct"/>
          </w:tcPr>
          <w:p w:rsidR="008F3DE8" w:rsidRPr="000A2294" w:rsidRDefault="008F3DE8" w:rsidP="008F3DE8">
            <w:pPr>
              <w:jc w:val="both"/>
              <w:rPr>
                <w:sz w:val="20"/>
                <w:lang w:val="fr-CA"/>
              </w:rPr>
            </w:pPr>
          </w:p>
        </w:tc>
        <w:tc>
          <w:tcPr>
            <w:tcW w:w="2330" w:type="pct"/>
          </w:tcPr>
          <w:p w:rsidR="008F3DE8" w:rsidRPr="000A2294" w:rsidRDefault="008F3DE8" w:rsidP="008F3DE8">
            <w:pPr>
              <w:jc w:val="both"/>
              <w:rPr>
                <w:sz w:val="20"/>
                <w:lang w:val="fr-CA"/>
              </w:rPr>
            </w:pPr>
            <w:r w:rsidRPr="000A2294">
              <w:rPr>
                <w:sz w:val="20"/>
                <w:lang w:val="fr-CA"/>
              </w:rPr>
              <w:t xml:space="preserve">La requête en arrêt des procédures pour cause de délai déraisonnable est rejetée. </w:t>
            </w:r>
          </w:p>
        </w:tc>
      </w:tr>
      <w:tr w:rsidR="008F3DE8" w:rsidRPr="00F935FF" w:rsidTr="00E95A6A">
        <w:tc>
          <w:tcPr>
            <w:tcW w:w="2427" w:type="pct"/>
            <w:gridSpan w:val="2"/>
          </w:tcPr>
          <w:p w:rsidR="008F3DE8" w:rsidRPr="000A2294" w:rsidRDefault="008F3DE8" w:rsidP="008F3DE8">
            <w:pPr>
              <w:jc w:val="both"/>
              <w:rPr>
                <w:sz w:val="20"/>
                <w:lang w:val="fr-CA"/>
              </w:rPr>
            </w:pPr>
            <w:r w:rsidRPr="000A2294">
              <w:rPr>
                <w:sz w:val="20"/>
                <w:lang w:val="fr-CA"/>
              </w:rPr>
              <w:t>19 octobre 2018</w:t>
            </w:r>
          </w:p>
          <w:p w:rsidR="008F3DE8" w:rsidRPr="000A2294" w:rsidRDefault="008F3DE8" w:rsidP="008F3DE8">
            <w:pPr>
              <w:jc w:val="both"/>
              <w:rPr>
                <w:sz w:val="20"/>
                <w:lang w:val="fr-CA"/>
              </w:rPr>
            </w:pPr>
            <w:r w:rsidRPr="000A2294">
              <w:rPr>
                <w:sz w:val="20"/>
                <w:lang w:val="fr-CA"/>
              </w:rPr>
              <w:t>Cour du Banc de la Reine de l’Alberta</w:t>
            </w:r>
          </w:p>
          <w:p w:rsidR="008F3DE8" w:rsidRPr="000A2294" w:rsidRDefault="008F3DE8" w:rsidP="008F3DE8">
            <w:pPr>
              <w:jc w:val="both"/>
              <w:rPr>
                <w:sz w:val="20"/>
                <w:lang w:val="fr-CA"/>
              </w:rPr>
            </w:pPr>
            <w:r w:rsidRPr="000A2294">
              <w:rPr>
                <w:sz w:val="20"/>
                <w:lang w:val="fr-CA"/>
              </w:rPr>
              <w:t xml:space="preserve">(Juge Poelman)(non publié) </w:t>
            </w:r>
          </w:p>
          <w:p w:rsidR="008F3DE8" w:rsidRPr="000A2294" w:rsidRDefault="008F3DE8" w:rsidP="008F3DE8">
            <w:pPr>
              <w:jc w:val="both"/>
              <w:rPr>
                <w:sz w:val="20"/>
                <w:lang w:val="fr-CA"/>
              </w:rPr>
            </w:pPr>
          </w:p>
        </w:tc>
        <w:tc>
          <w:tcPr>
            <w:tcW w:w="243" w:type="pct"/>
          </w:tcPr>
          <w:p w:rsidR="008F3DE8" w:rsidRPr="000A2294" w:rsidRDefault="008F3DE8" w:rsidP="008F3DE8">
            <w:pPr>
              <w:jc w:val="both"/>
              <w:rPr>
                <w:sz w:val="20"/>
                <w:lang w:val="fr-CA"/>
              </w:rPr>
            </w:pPr>
          </w:p>
        </w:tc>
        <w:tc>
          <w:tcPr>
            <w:tcW w:w="2330" w:type="pct"/>
          </w:tcPr>
          <w:p w:rsidR="008F3DE8" w:rsidRPr="000A2294" w:rsidRDefault="008F3DE8" w:rsidP="008F3DE8">
            <w:pPr>
              <w:jc w:val="both"/>
              <w:rPr>
                <w:sz w:val="20"/>
                <w:lang w:val="fr-CA"/>
              </w:rPr>
            </w:pPr>
            <w:r w:rsidRPr="000A2294">
              <w:rPr>
                <w:sz w:val="20"/>
                <w:lang w:val="fr-CA"/>
              </w:rPr>
              <w:t xml:space="preserve">Le jury rend un verdict de culpabilité pour harcèlement criminel. </w:t>
            </w:r>
          </w:p>
        </w:tc>
      </w:tr>
      <w:tr w:rsidR="008F3DE8" w:rsidRPr="000A2294" w:rsidTr="00E95A6A">
        <w:tc>
          <w:tcPr>
            <w:tcW w:w="2427" w:type="pct"/>
            <w:gridSpan w:val="2"/>
          </w:tcPr>
          <w:p w:rsidR="008F3DE8" w:rsidRPr="000A2294" w:rsidRDefault="008F3DE8" w:rsidP="008F3DE8">
            <w:pPr>
              <w:jc w:val="both"/>
              <w:rPr>
                <w:sz w:val="20"/>
                <w:lang w:val="fr-CA"/>
              </w:rPr>
            </w:pPr>
            <w:r w:rsidRPr="000A2294">
              <w:rPr>
                <w:sz w:val="20"/>
                <w:lang w:val="fr-CA"/>
              </w:rPr>
              <w:t>25 août 2022</w:t>
            </w:r>
          </w:p>
          <w:p w:rsidR="008F3DE8" w:rsidRPr="000A2294" w:rsidRDefault="008F3DE8" w:rsidP="008F3DE8">
            <w:pPr>
              <w:jc w:val="both"/>
              <w:rPr>
                <w:sz w:val="20"/>
                <w:lang w:val="fr-CA"/>
              </w:rPr>
            </w:pPr>
            <w:r w:rsidRPr="000A2294">
              <w:rPr>
                <w:sz w:val="20"/>
                <w:lang w:val="fr-CA"/>
              </w:rPr>
              <w:t>Cour d’appel de l’Alberta (Calgary)</w:t>
            </w:r>
          </w:p>
          <w:p w:rsidR="008F3DE8" w:rsidRPr="000A2294" w:rsidRDefault="008F3DE8" w:rsidP="008F3DE8">
            <w:pPr>
              <w:jc w:val="both"/>
              <w:rPr>
                <w:sz w:val="20"/>
              </w:rPr>
            </w:pPr>
            <w:r w:rsidRPr="000A2294">
              <w:rPr>
                <w:sz w:val="20"/>
              </w:rPr>
              <w:t>(Juges Rowbotham, Hughes et Kirker)</w:t>
            </w:r>
          </w:p>
          <w:p w:rsidR="008F3DE8" w:rsidRPr="000A2294" w:rsidRDefault="00F935FF" w:rsidP="008F3DE8">
            <w:pPr>
              <w:jc w:val="both"/>
              <w:rPr>
                <w:sz w:val="20"/>
                <w:lang w:val="fr-CA"/>
              </w:rPr>
            </w:pPr>
            <w:hyperlink r:id="rId48" w:history="1">
              <w:r w:rsidR="008F3DE8" w:rsidRPr="000A2294">
                <w:rPr>
                  <w:rStyle w:val="Hyperlink"/>
                  <w:sz w:val="20"/>
                  <w:lang w:val="fr-CA"/>
                </w:rPr>
                <w:t>2022 ABCA 276</w:t>
              </w:r>
            </w:hyperlink>
            <w:r w:rsidR="008F3DE8" w:rsidRPr="000A2294">
              <w:rPr>
                <w:sz w:val="20"/>
                <w:lang w:val="fr-CA"/>
              </w:rPr>
              <w:t>; 2001-0145A</w:t>
            </w:r>
          </w:p>
          <w:p w:rsidR="008F3DE8" w:rsidRPr="000A2294" w:rsidRDefault="008F3DE8" w:rsidP="008F3DE8">
            <w:pPr>
              <w:jc w:val="both"/>
              <w:rPr>
                <w:sz w:val="20"/>
                <w:lang w:val="fr-CA"/>
              </w:rPr>
            </w:pPr>
          </w:p>
        </w:tc>
        <w:tc>
          <w:tcPr>
            <w:tcW w:w="243" w:type="pct"/>
          </w:tcPr>
          <w:p w:rsidR="008F3DE8" w:rsidRPr="000A2294" w:rsidRDefault="008F3DE8" w:rsidP="008F3DE8">
            <w:pPr>
              <w:jc w:val="both"/>
              <w:rPr>
                <w:sz w:val="20"/>
                <w:lang w:val="fr-CA"/>
              </w:rPr>
            </w:pPr>
          </w:p>
        </w:tc>
        <w:tc>
          <w:tcPr>
            <w:tcW w:w="2330" w:type="pct"/>
          </w:tcPr>
          <w:p w:rsidR="008F3DE8" w:rsidRPr="000A2294" w:rsidRDefault="008F3DE8" w:rsidP="008F3DE8">
            <w:pPr>
              <w:jc w:val="both"/>
              <w:rPr>
                <w:sz w:val="20"/>
                <w:lang w:val="fr-CA"/>
              </w:rPr>
            </w:pPr>
            <w:r w:rsidRPr="000A2294">
              <w:rPr>
                <w:sz w:val="20"/>
                <w:lang w:val="fr-CA"/>
              </w:rPr>
              <w:t xml:space="preserve">L’appel est rejeté. </w:t>
            </w:r>
          </w:p>
        </w:tc>
      </w:tr>
      <w:tr w:rsidR="008F3DE8" w:rsidRPr="00F935FF" w:rsidTr="00E95A6A">
        <w:tc>
          <w:tcPr>
            <w:tcW w:w="2427" w:type="pct"/>
            <w:gridSpan w:val="2"/>
          </w:tcPr>
          <w:p w:rsidR="008F3DE8" w:rsidRPr="000A2294" w:rsidRDefault="008F3DE8" w:rsidP="008F3DE8">
            <w:pPr>
              <w:jc w:val="both"/>
              <w:rPr>
                <w:sz w:val="20"/>
                <w:lang w:val="fr-CA"/>
              </w:rPr>
            </w:pPr>
            <w:r w:rsidRPr="000A2294">
              <w:rPr>
                <w:sz w:val="20"/>
                <w:lang w:val="fr-CA"/>
              </w:rPr>
              <w:t>10 janvier 2023</w:t>
            </w:r>
          </w:p>
          <w:p w:rsidR="008F3DE8" w:rsidRPr="000A2294" w:rsidRDefault="008F3DE8" w:rsidP="008F3DE8">
            <w:pPr>
              <w:jc w:val="both"/>
              <w:rPr>
                <w:sz w:val="20"/>
                <w:lang w:val="fr-CA"/>
              </w:rPr>
            </w:pPr>
            <w:r w:rsidRPr="000A2294">
              <w:rPr>
                <w:sz w:val="20"/>
                <w:lang w:val="fr-CA"/>
              </w:rPr>
              <w:t>Cour suprême du Canada</w:t>
            </w:r>
          </w:p>
        </w:tc>
        <w:tc>
          <w:tcPr>
            <w:tcW w:w="243" w:type="pct"/>
          </w:tcPr>
          <w:p w:rsidR="008F3DE8" w:rsidRPr="000A2294" w:rsidRDefault="008F3DE8" w:rsidP="008F3DE8">
            <w:pPr>
              <w:jc w:val="both"/>
              <w:rPr>
                <w:sz w:val="20"/>
                <w:lang w:val="fr-CA"/>
              </w:rPr>
            </w:pPr>
          </w:p>
        </w:tc>
        <w:tc>
          <w:tcPr>
            <w:tcW w:w="2330" w:type="pct"/>
          </w:tcPr>
          <w:p w:rsidR="008F3DE8" w:rsidRPr="000A2294" w:rsidRDefault="008F3DE8" w:rsidP="008F3DE8">
            <w:pPr>
              <w:jc w:val="both"/>
              <w:rPr>
                <w:sz w:val="20"/>
                <w:lang w:val="fr-CA"/>
              </w:rPr>
            </w:pPr>
            <w:r w:rsidRPr="000A2294">
              <w:rPr>
                <w:sz w:val="20"/>
                <w:lang w:val="fr-CA"/>
              </w:rPr>
              <w:t xml:space="preserve">Dépôt de la demande d’autorisation d’appel et de la requête en prorogation du délai pour signifier et déposer la demande d’autorisation d’appel. </w:t>
            </w:r>
          </w:p>
        </w:tc>
      </w:tr>
    </w:tbl>
    <w:p w:rsidR="008F3DE8" w:rsidRPr="000A2294" w:rsidRDefault="008F3DE8" w:rsidP="008F3DE8">
      <w:pPr>
        <w:jc w:val="both"/>
        <w:rPr>
          <w:sz w:val="20"/>
          <w:lang w:val="fr-CA"/>
        </w:rPr>
      </w:pPr>
    </w:p>
    <w:p w:rsidR="00880679" w:rsidRPr="000A2294" w:rsidRDefault="00F935FF" w:rsidP="008F3DE8">
      <w:pPr>
        <w:widowControl w:val="0"/>
        <w:jc w:val="both"/>
        <w:rPr>
          <w:sz w:val="20"/>
          <w:lang w:val="fr-CA"/>
        </w:rPr>
      </w:pPr>
      <w:r>
        <w:rPr>
          <w:sz w:val="20"/>
        </w:rPr>
        <w:pict>
          <v:rect id="_x0000_i1034" style="width:2in;height:1pt" o:hrpct="0" o:hralign="center" o:hrstd="t" o:hrnoshade="t" o:hr="t" fillcolor="black [3213]" stroked="f"/>
        </w:pict>
      </w:r>
    </w:p>
    <w:p w:rsidR="00E028BD" w:rsidRPr="000A2294" w:rsidRDefault="00E028BD" w:rsidP="0070160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160A" w:rsidRPr="000A2294" w:rsidTr="00E95A6A">
        <w:tc>
          <w:tcPr>
            <w:tcW w:w="543" w:type="pct"/>
          </w:tcPr>
          <w:p w:rsidR="0070160A" w:rsidRPr="000A2294" w:rsidRDefault="0070160A" w:rsidP="0070160A">
            <w:pPr>
              <w:jc w:val="both"/>
              <w:rPr>
                <w:sz w:val="20"/>
                <w:lang w:val="en-CA"/>
              </w:rPr>
            </w:pPr>
            <w:r w:rsidRPr="000A2294">
              <w:rPr>
                <w:rStyle w:val="SCCFileNumberChar"/>
                <w:sz w:val="20"/>
                <w:szCs w:val="20"/>
              </w:rPr>
              <w:t>40393</w:t>
            </w:r>
          </w:p>
        </w:tc>
        <w:tc>
          <w:tcPr>
            <w:tcW w:w="4457" w:type="pct"/>
            <w:gridSpan w:val="3"/>
          </w:tcPr>
          <w:p w:rsidR="0070160A" w:rsidRPr="000A2294" w:rsidRDefault="0070160A" w:rsidP="0070160A">
            <w:pPr>
              <w:pStyle w:val="SCCLsocParty"/>
              <w:jc w:val="both"/>
              <w:rPr>
                <w:b/>
                <w:sz w:val="20"/>
                <w:szCs w:val="20"/>
              </w:rPr>
            </w:pPr>
            <w:r w:rsidRPr="000A2294">
              <w:rPr>
                <w:b/>
                <w:sz w:val="20"/>
                <w:szCs w:val="20"/>
              </w:rPr>
              <w:t>Francis Chamberland, Les entreprises Chambert inc. and 9287-9535 Québec inc. v. Riokim Holdings (Quebec) Inc.</w:t>
            </w:r>
          </w:p>
          <w:p w:rsidR="0070160A" w:rsidRPr="000A2294" w:rsidRDefault="0070160A" w:rsidP="0070160A">
            <w:pPr>
              <w:jc w:val="both"/>
              <w:rPr>
                <w:sz w:val="20"/>
                <w:lang w:val="en-CA"/>
              </w:rPr>
            </w:pPr>
            <w:r w:rsidRPr="000A2294">
              <w:rPr>
                <w:sz w:val="20"/>
                <w:lang w:val="en-CA"/>
              </w:rPr>
              <w:t>(Que.) (Civil) (By Leave)</w:t>
            </w:r>
          </w:p>
        </w:tc>
      </w:tr>
      <w:tr w:rsidR="0070160A" w:rsidRPr="000A2294" w:rsidTr="00E95A6A">
        <w:tc>
          <w:tcPr>
            <w:tcW w:w="5000" w:type="pct"/>
            <w:gridSpan w:val="4"/>
          </w:tcPr>
          <w:p w:rsidR="0070160A" w:rsidRPr="000A2294" w:rsidRDefault="0070160A" w:rsidP="0070160A">
            <w:pPr>
              <w:jc w:val="both"/>
              <w:rPr>
                <w:sz w:val="20"/>
                <w:lang w:val="en-CA"/>
              </w:rPr>
            </w:pPr>
            <w:r w:rsidRPr="000A2294">
              <w:rPr>
                <w:sz w:val="20"/>
                <w:lang w:val="en-CA"/>
              </w:rPr>
              <w:t xml:space="preserve">Prescription </w:t>
            </w:r>
            <w:r w:rsidRPr="000A2294">
              <w:rPr>
                <w:iCs/>
                <w:color w:val="000000"/>
                <w:sz w:val="20"/>
                <w:lang w:val="en-CA"/>
              </w:rPr>
              <w:t>— Resiliation of lease</w:t>
            </w:r>
            <w:r w:rsidRPr="000A2294">
              <w:rPr>
                <w:sz w:val="20"/>
                <w:lang w:val="en-CA"/>
              </w:rPr>
              <w:t xml:space="preserve"> </w:t>
            </w:r>
            <w:r w:rsidRPr="000A2294">
              <w:rPr>
                <w:iCs/>
                <w:color w:val="000000"/>
                <w:sz w:val="20"/>
                <w:lang w:val="en-CA"/>
              </w:rPr>
              <w:t xml:space="preserve">— Non-payment — Lessor sued for fault in performance of lease — Starting point for prescription — Whether judge erred in law in finding that starting point for </w:t>
            </w:r>
            <w:r w:rsidRPr="000A2294">
              <w:rPr>
                <w:sz w:val="20"/>
                <w:lang w:val="en-CA"/>
              </w:rPr>
              <w:t>prescription of applicants’ action was day they were served with notice of resiliation of their lease rather than day they were evicted from premises.</w:t>
            </w:r>
          </w:p>
          <w:p w:rsidR="0070160A" w:rsidRPr="000A2294" w:rsidRDefault="0070160A" w:rsidP="0070160A">
            <w:pPr>
              <w:jc w:val="both"/>
              <w:rPr>
                <w:sz w:val="20"/>
                <w:lang w:val="en-CA"/>
              </w:rPr>
            </w:pPr>
          </w:p>
        </w:tc>
      </w:tr>
      <w:tr w:rsidR="0070160A" w:rsidRPr="000A2294" w:rsidTr="00E95A6A">
        <w:tc>
          <w:tcPr>
            <w:tcW w:w="5000" w:type="pct"/>
            <w:gridSpan w:val="4"/>
          </w:tcPr>
          <w:p w:rsidR="0070160A" w:rsidRPr="000A2294" w:rsidRDefault="0070160A" w:rsidP="0070160A">
            <w:pPr>
              <w:jc w:val="both"/>
              <w:rPr>
                <w:sz w:val="20"/>
                <w:lang w:val="en-CA"/>
              </w:rPr>
            </w:pPr>
            <w:r w:rsidRPr="000A2294">
              <w:rPr>
                <w:sz w:val="20"/>
                <w:lang w:val="en-CA"/>
              </w:rPr>
              <w:t xml:space="preserve">In May 2016, the respondent, Riokim Holdings (Quebec) Inc. (“Riokim”), terminated its contract of lease with the applicants, Mr. Chamberland and companies controlled by him (collectively “Chamberland”), for arrears of rent. The next month, Chamberland </w:t>
            </w:r>
            <w:proofErr w:type="gramStart"/>
            <w:r w:rsidRPr="000A2294">
              <w:rPr>
                <w:sz w:val="20"/>
                <w:lang w:val="en-CA"/>
              </w:rPr>
              <w:t>was evicted</w:t>
            </w:r>
            <w:proofErr w:type="gramEnd"/>
            <w:r w:rsidRPr="000A2294">
              <w:rPr>
                <w:sz w:val="20"/>
                <w:lang w:val="en-CA"/>
              </w:rPr>
              <w:t xml:space="preserve"> from the premises. Much later, in June 2019, Chamberland brought an action against its lawyers for professional fault in the preparation of the lease, as the lawyers had allegedly not informed Chamberland that the lease could be resiliated unilaterally, and against Riokim for lack of transparency in the performance of the lease. The Superior Court held that the action was unfounded because it was prescribed and because no fault could be alleged against the defendants; the </w:t>
            </w:r>
            <w:proofErr w:type="gramStart"/>
            <w:r w:rsidRPr="000A2294">
              <w:rPr>
                <w:sz w:val="20"/>
                <w:lang w:val="en-CA"/>
              </w:rPr>
              <w:t>court also</w:t>
            </w:r>
            <w:proofErr w:type="gramEnd"/>
            <w:r w:rsidRPr="000A2294">
              <w:rPr>
                <w:sz w:val="20"/>
                <w:lang w:val="en-CA"/>
              </w:rPr>
              <w:t xml:space="preserve"> held that the action was abusive because it was clearly unfounded, frivolous and had no chance of success. </w:t>
            </w:r>
            <w:proofErr w:type="gramStart"/>
            <w:r w:rsidRPr="000A2294">
              <w:rPr>
                <w:sz w:val="20"/>
                <w:lang w:val="en-CA"/>
              </w:rPr>
              <w:t>The Court of Appeal dismissed the motion for leave to appeal, having determined that no new issue, question of principle or issue of law that had given rise to conflicting judicial decisions was raised by the proposed appeal so as to merit the court’s attention, and that the judgment under appeal contained no apparent defect and was, on the contrary, a well-reasoned decision.</w:t>
            </w:r>
            <w:proofErr w:type="gramEnd"/>
          </w:p>
        </w:tc>
      </w:tr>
      <w:tr w:rsidR="0070160A" w:rsidRPr="000A2294" w:rsidTr="00E95A6A">
        <w:tc>
          <w:tcPr>
            <w:tcW w:w="5000" w:type="pct"/>
            <w:gridSpan w:val="4"/>
          </w:tcPr>
          <w:p w:rsidR="0070160A" w:rsidRPr="000A2294" w:rsidRDefault="0070160A" w:rsidP="0070160A">
            <w:pPr>
              <w:jc w:val="both"/>
              <w:rPr>
                <w:sz w:val="20"/>
                <w:lang w:val="en-CA"/>
              </w:rPr>
            </w:pPr>
          </w:p>
        </w:tc>
      </w:tr>
      <w:tr w:rsidR="0070160A" w:rsidRPr="000A2294" w:rsidTr="00E95A6A">
        <w:tc>
          <w:tcPr>
            <w:tcW w:w="2427" w:type="pct"/>
            <w:gridSpan w:val="2"/>
          </w:tcPr>
          <w:p w:rsidR="0070160A" w:rsidRPr="000A2294" w:rsidRDefault="0070160A" w:rsidP="0070160A">
            <w:pPr>
              <w:jc w:val="both"/>
              <w:rPr>
                <w:sz w:val="20"/>
                <w:lang w:val="en-CA"/>
              </w:rPr>
            </w:pPr>
            <w:r w:rsidRPr="000A2294">
              <w:rPr>
                <w:sz w:val="20"/>
                <w:lang w:val="en-CA"/>
              </w:rPr>
              <w:t>May 10, 2022</w:t>
            </w:r>
          </w:p>
          <w:p w:rsidR="0070160A" w:rsidRPr="000A2294" w:rsidRDefault="0070160A" w:rsidP="0070160A">
            <w:pPr>
              <w:jc w:val="both"/>
              <w:rPr>
                <w:sz w:val="20"/>
                <w:lang w:val="en-CA"/>
              </w:rPr>
            </w:pPr>
            <w:r w:rsidRPr="000A2294">
              <w:rPr>
                <w:sz w:val="20"/>
                <w:lang w:val="en-CA"/>
              </w:rPr>
              <w:t>Quebec Superior Court</w:t>
            </w:r>
          </w:p>
          <w:p w:rsidR="0070160A" w:rsidRPr="000A2294" w:rsidRDefault="0070160A" w:rsidP="0070160A">
            <w:pPr>
              <w:jc w:val="both"/>
              <w:rPr>
                <w:sz w:val="20"/>
                <w:lang w:val="en-CA"/>
              </w:rPr>
            </w:pPr>
            <w:r w:rsidRPr="000A2294">
              <w:rPr>
                <w:sz w:val="20"/>
                <w:lang w:val="en-CA"/>
              </w:rPr>
              <w:t>(Quach J.)</w:t>
            </w:r>
          </w:p>
          <w:p w:rsidR="0070160A" w:rsidRPr="000A2294" w:rsidRDefault="00F935FF" w:rsidP="0070160A">
            <w:pPr>
              <w:jc w:val="both"/>
              <w:rPr>
                <w:sz w:val="20"/>
                <w:lang w:val="en-CA"/>
              </w:rPr>
            </w:pPr>
            <w:hyperlink r:id="rId49" w:history="1">
              <w:r w:rsidR="0070160A" w:rsidRPr="000A2294">
                <w:rPr>
                  <w:rStyle w:val="Hyperlink"/>
                  <w:sz w:val="20"/>
                  <w:lang w:val="en-CA"/>
                </w:rPr>
                <w:t>2022 QCCS 1671</w:t>
              </w:r>
            </w:hyperlink>
          </w:p>
          <w:p w:rsidR="0070160A" w:rsidRPr="000A2294" w:rsidRDefault="0070160A" w:rsidP="0070160A">
            <w:pPr>
              <w:jc w:val="both"/>
              <w:rPr>
                <w:sz w:val="20"/>
                <w:lang w:val="en-CA"/>
              </w:rPr>
            </w:pPr>
          </w:p>
        </w:tc>
        <w:tc>
          <w:tcPr>
            <w:tcW w:w="243" w:type="pct"/>
          </w:tcPr>
          <w:p w:rsidR="0070160A" w:rsidRPr="000A2294" w:rsidRDefault="0070160A" w:rsidP="0070160A">
            <w:pPr>
              <w:jc w:val="both"/>
              <w:rPr>
                <w:sz w:val="20"/>
                <w:lang w:val="en-CA"/>
              </w:rPr>
            </w:pPr>
          </w:p>
        </w:tc>
        <w:tc>
          <w:tcPr>
            <w:tcW w:w="2330" w:type="pct"/>
          </w:tcPr>
          <w:p w:rsidR="0070160A" w:rsidRPr="000A2294" w:rsidRDefault="0070160A" w:rsidP="0070160A">
            <w:pPr>
              <w:jc w:val="both"/>
              <w:rPr>
                <w:sz w:val="20"/>
                <w:lang w:val="en-CA"/>
              </w:rPr>
            </w:pPr>
            <w:r w:rsidRPr="000A2294">
              <w:rPr>
                <w:sz w:val="20"/>
                <w:lang w:val="en-CA"/>
              </w:rPr>
              <w:t>Application to dismiss allowed; application to dismiss for abuse allowed; originating application declared abusive; originating application dismissed</w:t>
            </w:r>
          </w:p>
          <w:p w:rsidR="0070160A" w:rsidRPr="000A2294" w:rsidRDefault="0070160A" w:rsidP="0070160A">
            <w:pPr>
              <w:jc w:val="both"/>
              <w:rPr>
                <w:sz w:val="20"/>
                <w:lang w:val="en-CA"/>
              </w:rPr>
            </w:pPr>
          </w:p>
        </w:tc>
      </w:tr>
      <w:tr w:rsidR="0070160A" w:rsidRPr="000A2294" w:rsidTr="00E95A6A">
        <w:tc>
          <w:tcPr>
            <w:tcW w:w="2427" w:type="pct"/>
            <w:gridSpan w:val="2"/>
          </w:tcPr>
          <w:p w:rsidR="0070160A" w:rsidRPr="000A2294" w:rsidRDefault="0070160A" w:rsidP="0070160A">
            <w:pPr>
              <w:jc w:val="both"/>
              <w:rPr>
                <w:sz w:val="20"/>
                <w:lang w:val="en-CA"/>
              </w:rPr>
            </w:pPr>
            <w:r w:rsidRPr="000A2294">
              <w:rPr>
                <w:sz w:val="20"/>
                <w:lang w:val="en-CA"/>
              </w:rPr>
              <w:t>July 7, 2022</w:t>
            </w:r>
          </w:p>
          <w:p w:rsidR="0070160A" w:rsidRPr="000A2294" w:rsidRDefault="0070160A" w:rsidP="0070160A">
            <w:pPr>
              <w:jc w:val="both"/>
              <w:rPr>
                <w:sz w:val="20"/>
                <w:lang w:val="en-CA"/>
              </w:rPr>
            </w:pPr>
            <w:r w:rsidRPr="000A2294">
              <w:rPr>
                <w:sz w:val="20"/>
                <w:lang w:val="en-CA"/>
              </w:rPr>
              <w:t>Quebec Court of Appeal (Montréal)</w:t>
            </w:r>
          </w:p>
          <w:p w:rsidR="0070160A" w:rsidRPr="000A2294" w:rsidRDefault="0070160A" w:rsidP="0070160A">
            <w:pPr>
              <w:jc w:val="both"/>
              <w:rPr>
                <w:sz w:val="20"/>
                <w:lang w:val="fr-CA"/>
              </w:rPr>
            </w:pPr>
            <w:r w:rsidRPr="000A2294">
              <w:rPr>
                <w:sz w:val="20"/>
                <w:lang w:val="fr-CA"/>
              </w:rPr>
              <w:t>(Sansfaçon J.A.)</w:t>
            </w:r>
          </w:p>
          <w:p w:rsidR="0070160A" w:rsidRPr="000A2294" w:rsidRDefault="0070160A" w:rsidP="0070160A">
            <w:pPr>
              <w:jc w:val="both"/>
              <w:rPr>
                <w:sz w:val="20"/>
                <w:lang w:val="fr-CA"/>
              </w:rPr>
            </w:pPr>
            <w:r w:rsidRPr="000A2294">
              <w:rPr>
                <w:sz w:val="20"/>
                <w:lang w:val="fr-CA"/>
              </w:rPr>
              <w:t>No. 500-09-030103-220</w:t>
            </w:r>
          </w:p>
          <w:p w:rsidR="0070160A" w:rsidRPr="000A2294" w:rsidRDefault="00F935FF" w:rsidP="0070160A">
            <w:pPr>
              <w:jc w:val="both"/>
              <w:rPr>
                <w:sz w:val="20"/>
                <w:lang w:val="fr-CA"/>
              </w:rPr>
            </w:pPr>
            <w:hyperlink r:id="rId50" w:anchor="_ftn1" w:history="1">
              <w:r w:rsidR="0070160A" w:rsidRPr="000A2294">
                <w:rPr>
                  <w:rStyle w:val="Hyperlink"/>
                  <w:sz w:val="20"/>
                  <w:lang w:val="fr-CA"/>
                </w:rPr>
                <w:t>2022 QCCA 953</w:t>
              </w:r>
            </w:hyperlink>
          </w:p>
          <w:p w:rsidR="0070160A" w:rsidRPr="000A2294" w:rsidRDefault="0070160A" w:rsidP="0070160A">
            <w:pPr>
              <w:jc w:val="both"/>
              <w:rPr>
                <w:sz w:val="20"/>
                <w:lang w:val="fr-CA"/>
              </w:rPr>
            </w:pPr>
          </w:p>
        </w:tc>
        <w:tc>
          <w:tcPr>
            <w:tcW w:w="243" w:type="pct"/>
          </w:tcPr>
          <w:p w:rsidR="0070160A" w:rsidRPr="000A2294" w:rsidRDefault="0070160A" w:rsidP="0070160A">
            <w:pPr>
              <w:jc w:val="both"/>
              <w:rPr>
                <w:sz w:val="20"/>
                <w:lang w:val="fr-CA"/>
              </w:rPr>
            </w:pPr>
          </w:p>
        </w:tc>
        <w:tc>
          <w:tcPr>
            <w:tcW w:w="2330" w:type="pct"/>
          </w:tcPr>
          <w:p w:rsidR="0070160A" w:rsidRPr="000A2294" w:rsidRDefault="0070160A" w:rsidP="0070160A">
            <w:pPr>
              <w:jc w:val="both"/>
              <w:rPr>
                <w:sz w:val="20"/>
                <w:lang w:val="en-CA"/>
              </w:rPr>
            </w:pPr>
            <w:r w:rsidRPr="000A2294">
              <w:rPr>
                <w:sz w:val="20"/>
                <w:lang w:val="en-CA"/>
              </w:rPr>
              <w:t>Motion for leave to appeal dismissed</w:t>
            </w:r>
          </w:p>
        </w:tc>
      </w:tr>
      <w:tr w:rsidR="0070160A" w:rsidRPr="000A2294" w:rsidTr="00E95A6A">
        <w:tc>
          <w:tcPr>
            <w:tcW w:w="2427" w:type="pct"/>
            <w:gridSpan w:val="2"/>
          </w:tcPr>
          <w:p w:rsidR="0070160A" w:rsidRPr="000A2294" w:rsidRDefault="0070160A" w:rsidP="0070160A">
            <w:pPr>
              <w:jc w:val="both"/>
              <w:rPr>
                <w:sz w:val="20"/>
                <w:lang w:val="en-CA"/>
              </w:rPr>
            </w:pPr>
            <w:r w:rsidRPr="000A2294">
              <w:rPr>
                <w:sz w:val="20"/>
                <w:lang w:val="en-CA"/>
              </w:rPr>
              <w:t>October 3, 2022</w:t>
            </w:r>
          </w:p>
          <w:p w:rsidR="0070160A" w:rsidRPr="000A2294" w:rsidRDefault="0070160A" w:rsidP="0070160A">
            <w:pPr>
              <w:jc w:val="both"/>
              <w:rPr>
                <w:sz w:val="20"/>
                <w:lang w:val="en-CA"/>
              </w:rPr>
            </w:pPr>
            <w:r w:rsidRPr="000A2294">
              <w:rPr>
                <w:sz w:val="20"/>
                <w:lang w:val="en-CA"/>
              </w:rPr>
              <w:t>Supreme Court of Canada</w:t>
            </w:r>
          </w:p>
          <w:p w:rsidR="0070160A" w:rsidRPr="000A2294" w:rsidRDefault="0070160A" w:rsidP="0070160A">
            <w:pPr>
              <w:jc w:val="both"/>
              <w:rPr>
                <w:sz w:val="20"/>
                <w:lang w:val="en-CA"/>
              </w:rPr>
            </w:pPr>
          </w:p>
        </w:tc>
        <w:tc>
          <w:tcPr>
            <w:tcW w:w="243" w:type="pct"/>
          </w:tcPr>
          <w:p w:rsidR="0070160A" w:rsidRPr="000A2294" w:rsidRDefault="0070160A" w:rsidP="0070160A">
            <w:pPr>
              <w:jc w:val="both"/>
              <w:rPr>
                <w:sz w:val="20"/>
                <w:lang w:val="en-CA"/>
              </w:rPr>
            </w:pPr>
          </w:p>
        </w:tc>
        <w:tc>
          <w:tcPr>
            <w:tcW w:w="2330" w:type="pct"/>
          </w:tcPr>
          <w:p w:rsidR="0070160A" w:rsidRPr="000A2294" w:rsidRDefault="0070160A" w:rsidP="0070160A">
            <w:pPr>
              <w:jc w:val="both"/>
              <w:rPr>
                <w:sz w:val="20"/>
                <w:lang w:val="en-CA"/>
              </w:rPr>
            </w:pPr>
            <w:r w:rsidRPr="000A2294">
              <w:rPr>
                <w:sz w:val="20"/>
                <w:lang w:val="en-CA"/>
              </w:rPr>
              <w:t>Application for leave to appeal filed</w:t>
            </w:r>
          </w:p>
          <w:p w:rsidR="0070160A" w:rsidRPr="000A2294" w:rsidRDefault="0070160A" w:rsidP="0070160A">
            <w:pPr>
              <w:jc w:val="both"/>
              <w:rPr>
                <w:sz w:val="20"/>
                <w:lang w:val="en-CA"/>
              </w:rPr>
            </w:pPr>
          </w:p>
        </w:tc>
      </w:tr>
      <w:tr w:rsidR="0070160A" w:rsidRPr="000A2294" w:rsidTr="00E95A6A">
        <w:tc>
          <w:tcPr>
            <w:tcW w:w="2427" w:type="pct"/>
            <w:gridSpan w:val="2"/>
          </w:tcPr>
          <w:p w:rsidR="0070160A" w:rsidRPr="000A2294" w:rsidRDefault="0070160A" w:rsidP="0070160A">
            <w:pPr>
              <w:jc w:val="both"/>
              <w:rPr>
                <w:sz w:val="20"/>
                <w:lang w:val="en-CA"/>
              </w:rPr>
            </w:pPr>
            <w:r w:rsidRPr="000A2294">
              <w:rPr>
                <w:sz w:val="20"/>
                <w:lang w:val="en-CA"/>
              </w:rPr>
              <w:t>March 13, 2023</w:t>
            </w:r>
          </w:p>
          <w:p w:rsidR="0070160A" w:rsidRPr="000A2294" w:rsidRDefault="0070160A" w:rsidP="0070160A">
            <w:pPr>
              <w:jc w:val="both"/>
              <w:rPr>
                <w:sz w:val="20"/>
                <w:lang w:val="en-CA"/>
              </w:rPr>
            </w:pPr>
            <w:r w:rsidRPr="000A2294">
              <w:rPr>
                <w:sz w:val="20"/>
                <w:lang w:val="en-CA"/>
              </w:rPr>
              <w:t>Supreme Court of Canada</w:t>
            </w:r>
          </w:p>
        </w:tc>
        <w:tc>
          <w:tcPr>
            <w:tcW w:w="243" w:type="pct"/>
          </w:tcPr>
          <w:p w:rsidR="0070160A" w:rsidRPr="000A2294" w:rsidRDefault="0070160A" w:rsidP="0070160A">
            <w:pPr>
              <w:jc w:val="both"/>
              <w:rPr>
                <w:sz w:val="20"/>
                <w:lang w:val="en-CA"/>
              </w:rPr>
            </w:pPr>
          </w:p>
        </w:tc>
        <w:tc>
          <w:tcPr>
            <w:tcW w:w="2330" w:type="pct"/>
          </w:tcPr>
          <w:p w:rsidR="0070160A" w:rsidRPr="000A2294" w:rsidRDefault="0070160A" w:rsidP="0070160A">
            <w:pPr>
              <w:jc w:val="both"/>
              <w:rPr>
                <w:sz w:val="20"/>
                <w:lang w:val="en-CA"/>
              </w:rPr>
            </w:pPr>
            <w:r w:rsidRPr="000A2294">
              <w:rPr>
                <w:sz w:val="20"/>
                <w:lang w:val="en-CA"/>
              </w:rPr>
              <w:t>Motion to extend time to serve and file application for leave to appeal filed</w:t>
            </w:r>
          </w:p>
        </w:tc>
      </w:tr>
    </w:tbl>
    <w:p w:rsidR="0070160A" w:rsidRPr="000A2294" w:rsidRDefault="0070160A" w:rsidP="0070160A">
      <w:pPr>
        <w:jc w:val="both"/>
        <w:rPr>
          <w:sz w:val="20"/>
          <w:lang w:val="en-CA"/>
        </w:rPr>
      </w:pPr>
    </w:p>
    <w:p w:rsidR="0070160A" w:rsidRPr="000A2294" w:rsidRDefault="00F935FF" w:rsidP="0070160A">
      <w:pPr>
        <w:jc w:val="both"/>
        <w:rPr>
          <w:sz w:val="20"/>
          <w:lang w:val="en-CA"/>
        </w:rPr>
      </w:pPr>
      <w:r>
        <w:rPr>
          <w:sz w:val="20"/>
        </w:rPr>
        <w:pict>
          <v:rect id="_x0000_i1035" style="width:2in;height:1pt" o:hrpct="0" o:hralign="center" o:hrstd="t" o:hrnoshade="t" o:hr="t" fillcolor="black [3213]" stroked="f"/>
        </w:pict>
      </w:r>
    </w:p>
    <w:p w:rsidR="0070160A" w:rsidRPr="000A2294" w:rsidRDefault="0070160A" w:rsidP="0070160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160A" w:rsidRPr="000A2294" w:rsidTr="00E95A6A">
        <w:tc>
          <w:tcPr>
            <w:tcW w:w="543" w:type="pct"/>
          </w:tcPr>
          <w:p w:rsidR="0070160A" w:rsidRPr="000A2294" w:rsidRDefault="0070160A" w:rsidP="0070160A">
            <w:pPr>
              <w:jc w:val="both"/>
              <w:rPr>
                <w:sz w:val="20"/>
              </w:rPr>
            </w:pPr>
            <w:r w:rsidRPr="000A2294">
              <w:rPr>
                <w:rStyle w:val="SCCFileNumberChar"/>
                <w:sz w:val="20"/>
                <w:szCs w:val="20"/>
              </w:rPr>
              <w:t>40393</w:t>
            </w:r>
          </w:p>
        </w:tc>
        <w:tc>
          <w:tcPr>
            <w:tcW w:w="4457" w:type="pct"/>
            <w:gridSpan w:val="3"/>
          </w:tcPr>
          <w:p w:rsidR="0070160A" w:rsidRPr="000A2294" w:rsidRDefault="0070160A" w:rsidP="0070160A">
            <w:pPr>
              <w:pStyle w:val="SCCLsocParty"/>
              <w:jc w:val="both"/>
              <w:rPr>
                <w:b/>
                <w:sz w:val="20"/>
                <w:szCs w:val="20"/>
              </w:rPr>
            </w:pPr>
            <w:r w:rsidRPr="000A2294">
              <w:rPr>
                <w:b/>
                <w:sz w:val="20"/>
                <w:szCs w:val="20"/>
              </w:rPr>
              <w:t>Francis Chamberland, Les entreprises Chambert inc. et 9287-9535 Québec inc. c. Riokim Holdings (Québec) inc.</w:t>
            </w:r>
          </w:p>
          <w:p w:rsidR="0070160A" w:rsidRPr="000A2294" w:rsidRDefault="0070160A" w:rsidP="0070160A">
            <w:pPr>
              <w:jc w:val="both"/>
              <w:rPr>
                <w:sz w:val="20"/>
              </w:rPr>
            </w:pPr>
            <w:r w:rsidRPr="000A2294">
              <w:rPr>
                <w:sz w:val="20"/>
              </w:rPr>
              <w:t>(Qc) (Civile) (Autorisation)</w:t>
            </w:r>
          </w:p>
        </w:tc>
      </w:tr>
      <w:tr w:rsidR="0070160A" w:rsidRPr="00F935FF" w:rsidTr="00E95A6A">
        <w:tc>
          <w:tcPr>
            <w:tcW w:w="5000" w:type="pct"/>
            <w:gridSpan w:val="4"/>
          </w:tcPr>
          <w:p w:rsidR="0070160A" w:rsidRPr="000A2294" w:rsidRDefault="0070160A" w:rsidP="0070160A">
            <w:pPr>
              <w:jc w:val="both"/>
              <w:rPr>
                <w:sz w:val="20"/>
                <w:lang w:val="fr-CA"/>
              </w:rPr>
            </w:pPr>
            <w:r w:rsidRPr="000A2294">
              <w:rPr>
                <w:sz w:val="20"/>
                <w:lang w:val="fr-CA"/>
              </w:rPr>
              <w:t xml:space="preserve">Prescription </w:t>
            </w:r>
            <w:r w:rsidRPr="000A2294">
              <w:rPr>
                <w:iCs/>
                <w:color w:val="000000"/>
                <w:sz w:val="20"/>
                <w:lang w:val="fr-CA"/>
              </w:rPr>
              <w:t xml:space="preserve">— </w:t>
            </w:r>
            <w:r w:rsidRPr="000A2294">
              <w:rPr>
                <w:sz w:val="20"/>
                <w:lang w:val="fr-CA"/>
              </w:rPr>
              <w:t xml:space="preserve">Résiliation de bail </w:t>
            </w:r>
            <w:r w:rsidRPr="000A2294">
              <w:rPr>
                <w:iCs/>
                <w:color w:val="000000"/>
                <w:sz w:val="20"/>
                <w:lang w:val="fr-CA"/>
              </w:rPr>
              <w:t xml:space="preserve">— Non-paiement — Poursuite contre bailleur pour faute dans l’exécution du bail — Point de départ de la prescription — </w:t>
            </w:r>
            <w:r w:rsidRPr="000A2294">
              <w:rPr>
                <w:sz w:val="20"/>
                <w:lang w:val="fr-CA"/>
              </w:rPr>
              <w:t>La juge a-t-elle commis une erreur de droit en faisant correspondre le départ de la prescription du recours des demandeurs au jour où ils ont reçu signification de l’avis de résiliation de leur bail plutôt qu’au jour où leur expulsion des lieux a été réalisée?</w:t>
            </w:r>
          </w:p>
          <w:p w:rsidR="0070160A" w:rsidRPr="000A2294" w:rsidRDefault="0070160A" w:rsidP="0070160A">
            <w:pPr>
              <w:jc w:val="both"/>
              <w:rPr>
                <w:sz w:val="20"/>
                <w:lang w:val="fr-CA"/>
              </w:rPr>
            </w:pPr>
          </w:p>
        </w:tc>
      </w:tr>
      <w:tr w:rsidR="0070160A" w:rsidRPr="00F935FF" w:rsidTr="00E95A6A">
        <w:tc>
          <w:tcPr>
            <w:tcW w:w="5000" w:type="pct"/>
            <w:gridSpan w:val="4"/>
          </w:tcPr>
          <w:p w:rsidR="0070160A" w:rsidRPr="000A2294" w:rsidRDefault="0070160A" w:rsidP="0070160A">
            <w:pPr>
              <w:jc w:val="both"/>
              <w:rPr>
                <w:sz w:val="20"/>
                <w:lang w:val="fr-CA"/>
              </w:rPr>
            </w:pPr>
            <w:r w:rsidRPr="000A2294">
              <w:rPr>
                <w:sz w:val="20"/>
                <w:lang w:val="fr-CA"/>
              </w:rPr>
              <w:t>En mai 2016, l’intimée Riokim Holdings (Québec) inc. (« Riokim »), a mis fin au contrat de bail l’opposant au demandeur M. Chamberland et des entreprises demanderesses dont il exerce le contrôle (collectivement « Chamberland ») en raison d’arrérages de loyer. Le mois suivant, Chamberland a été expulsé des lieux. Beaucoup plus tard, en juin 2019, Chamberland a intenté un recours contre ses avocats pour faute professionnelle dans la préparation du bail, parce que ces derniers ne lui auraient pas informé que le bail pouvait être résilié de manière unilatérale, et contre Riokim pour manque de transparence dans l’exécution du bail. La Cour supérieure a conclu que l’action était mal fondée parce que prescrite et parce qu’aucune faute ne pouvait être reprochée aux intimés, et au surplus, qu’elle était abusive puisque manifestement mal fondée, frivole et n’ayant aucune chance de succès. La Cour d’appel a rejeté la requête pour permission d’appeler, ayant déterminé que l’appel projeté ne soulevait aucune question nouvelle, de principe ou de droit faisant l’objet d’une jurisprudence contradictoire qui mériterait l’attention de la cour, et que le jugement entrepris ne faisait preuve d’aucune faiblesse apparente, étant au contraire bien motivé.</w:t>
            </w:r>
          </w:p>
        </w:tc>
      </w:tr>
      <w:tr w:rsidR="0070160A" w:rsidRPr="00F935FF" w:rsidTr="00E95A6A">
        <w:tc>
          <w:tcPr>
            <w:tcW w:w="5000" w:type="pct"/>
            <w:gridSpan w:val="4"/>
          </w:tcPr>
          <w:p w:rsidR="0070160A" w:rsidRPr="000A2294" w:rsidRDefault="0070160A" w:rsidP="0070160A">
            <w:pPr>
              <w:jc w:val="both"/>
              <w:rPr>
                <w:sz w:val="20"/>
                <w:lang w:val="fr-CA"/>
              </w:rPr>
            </w:pPr>
          </w:p>
        </w:tc>
      </w:tr>
      <w:tr w:rsidR="0070160A" w:rsidRPr="00F935FF" w:rsidTr="00E95A6A">
        <w:tc>
          <w:tcPr>
            <w:tcW w:w="2427" w:type="pct"/>
            <w:gridSpan w:val="2"/>
          </w:tcPr>
          <w:p w:rsidR="0070160A" w:rsidRPr="000A2294" w:rsidRDefault="0070160A" w:rsidP="0070160A">
            <w:pPr>
              <w:jc w:val="both"/>
              <w:rPr>
                <w:sz w:val="20"/>
                <w:lang w:val="fr-CA"/>
              </w:rPr>
            </w:pPr>
            <w:r w:rsidRPr="000A2294">
              <w:rPr>
                <w:sz w:val="20"/>
                <w:lang w:val="fr-CA"/>
              </w:rPr>
              <w:t>Le 10 mai 2022</w:t>
            </w:r>
          </w:p>
          <w:p w:rsidR="0070160A" w:rsidRPr="000A2294" w:rsidRDefault="0070160A" w:rsidP="0070160A">
            <w:pPr>
              <w:jc w:val="both"/>
              <w:rPr>
                <w:sz w:val="20"/>
                <w:lang w:val="fr-CA"/>
              </w:rPr>
            </w:pPr>
            <w:r w:rsidRPr="000A2294">
              <w:rPr>
                <w:sz w:val="20"/>
                <w:lang w:val="fr-CA"/>
              </w:rPr>
              <w:t>Cour supérieure du Québec</w:t>
            </w:r>
          </w:p>
          <w:p w:rsidR="0070160A" w:rsidRPr="000A2294" w:rsidRDefault="0070160A" w:rsidP="0070160A">
            <w:pPr>
              <w:jc w:val="both"/>
              <w:rPr>
                <w:sz w:val="20"/>
              </w:rPr>
            </w:pPr>
            <w:r w:rsidRPr="000A2294">
              <w:rPr>
                <w:sz w:val="20"/>
              </w:rPr>
              <w:t>(la juge Quach)</w:t>
            </w:r>
          </w:p>
          <w:p w:rsidR="0070160A" w:rsidRPr="000A2294" w:rsidRDefault="00F935FF" w:rsidP="0070160A">
            <w:pPr>
              <w:jc w:val="both"/>
              <w:rPr>
                <w:sz w:val="20"/>
              </w:rPr>
            </w:pPr>
            <w:hyperlink r:id="rId51" w:history="1">
              <w:r w:rsidR="0070160A" w:rsidRPr="000A2294">
                <w:rPr>
                  <w:rStyle w:val="Hyperlink"/>
                  <w:sz w:val="20"/>
                </w:rPr>
                <w:t>2022 QCCS 1671</w:t>
              </w:r>
            </w:hyperlink>
          </w:p>
          <w:p w:rsidR="0070160A" w:rsidRPr="000A2294" w:rsidRDefault="0070160A" w:rsidP="0070160A">
            <w:pPr>
              <w:jc w:val="both"/>
              <w:rPr>
                <w:sz w:val="20"/>
              </w:rPr>
            </w:pPr>
          </w:p>
        </w:tc>
        <w:tc>
          <w:tcPr>
            <w:tcW w:w="243" w:type="pct"/>
          </w:tcPr>
          <w:p w:rsidR="0070160A" w:rsidRPr="000A2294" w:rsidRDefault="0070160A" w:rsidP="0070160A">
            <w:pPr>
              <w:jc w:val="both"/>
              <w:rPr>
                <w:sz w:val="20"/>
              </w:rPr>
            </w:pPr>
          </w:p>
        </w:tc>
        <w:tc>
          <w:tcPr>
            <w:tcW w:w="2330" w:type="pct"/>
          </w:tcPr>
          <w:p w:rsidR="0070160A" w:rsidRPr="000A2294" w:rsidRDefault="0070160A" w:rsidP="0070160A">
            <w:pPr>
              <w:jc w:val="both"/>
              <w:rPr>
                <w:sz w:val="20"/>
                <w:lang w:val="fr-CA"/>
              </w:rPr>
            </w:pPr>
            <w:r w:rsidRPr="000A2294">
              <w:rPr>
                <w:sz w:val="20"/>
                <w:lang w:val="fr-CA"/>
              </w:rPr>
              <w:t>Demande en rejet accueillie; demande en irrecevabilité et en rejet pour abus accueillie; demande introductive d’instance déclarée abusive; demande introductive d’instance rejetée</w:t>
            </w:r>
          </w:p>
          <w:p w:rsidR="0070160A" w:rsidRPr="000A2294" w:rsidRDefault="0070160A" w:rsidP="0070160A">
            <w:pPr>
              <w:jc w:val="both"/>
              <w:rPr>
                <w:sz w:val="20"/>
                <w:lang w:val="fr-CA"/>
              </w:rPr>
            </w:pPr>
          </w:p>
        </w:tc>
      </w:tr>
      <w:tr w:rsidR="0070160A" w:rsidRPr="00F935FF" w:rsidTr="00E95A6A">
        <w:tc>
          <w:tcPr>
            <w:tcW w:w="2427" w:type="pct"/>
            <w:gridSpan w:val="2"/>
          </w:tcPr>
          <w:p w:rsidR="0070160A" w:rsidRPr="000A2294" w:rsidRDefault="0070160A" w:rsidP="0070160A">
            <w:pPr>
              <w:jc w:val="both"/>
              <w:rPr>
                <w:sz w:val="20"/>
                <w:lang w:val="fr-CA"/>
              </w:rPr>
            </w:pPr>
            <w:r w:rsidRPr="000A2294">
              <w:rPr>
                <w:sz w:val="20"/>
                <w:lang w:val="fr-CA"/>
              </w:rPr>
              <w:t>Le 7 juillet 2022</w:t>
            </w:r>
          </w:p>
          <w:p w:rsidR="0070160A" w:rsidRPr="000A2294" w:rsidRDefault="0070160A" w:rsidP="0070160A">
            <w:pPr>
              <w:jc w:val="both"/>
              <w:rPr>
                <w:sz w:val="20"/>
                <w:lang w:val="fr-CA"/>
              </w:rPr>
            </w:pPr>
            <w:r w:rsidRPr="000A2294">
              <w:rPr>
                <w:sz w:val="20"/>
                <w:lang w:val="fr-CA"/>
              </w:rPr>
              <w:t>Cour d’appel du Québec (Montréal)</w:t>
            </w:r>
          </w:p>
          <w:p w:rsidR="0070160A" w:rsidRPr="000A2294" w:rsidRDefault="0070160A" w:rsidP="0070160A">
            <w:pPr>
              <w:jc w:val="both"/>
              <w:rPr>
                <w:sz w:val="20"/>
                <w:lang w:val="fr-CA"/>
              </w:rPr>
            </w:pPr>
            <w:r w:rsidRPr="000A2294">
              <w:rPr>
                <w:sz w:val="20"/>
                <w:lang w:val="fr-CA"/>
              </w:rPr>
              <w:t>(le juge Sansfaçon)</w:t>
            </w:r>
          </w:p>
          <w:p w:rsidR="0070160A" w:rsidRPr="000A2294" w:rsidRDefault="0070160A" w:rsidP="0070160A">
            <w:pPr>
              <w:jc w:val="both"/>
              <w:rPr>
                <w:sz w:val="20"/>
                <w:lang w:val="fr-CA"/>
              </w:rPr>
            </w:pPr>
            <w:r w:rsidRPr="000A2294">
              <w:rPr>
                <w:sz w:val="20"/>
                <w:lang w:val="fr-CA"/>
              </w:rPr>
              <w:t>No. 500-09-030103-220</w:t>
            </w:r>
          </w:p>
          <w:p w:rsidR="0070160A" w:rsidRPr="000A2294" w:rsidRDefault="00F935FF" w:rsidP="0070160A">
            <w:pPr>
              <w:jc w:val="both"/>
              <w:rPr>
                <w:sz w:val="20"/>
                <w:lang w:val="fr-CA"/>
              </w:rPr>
            </w:pPr>
            <w:hyperlink r:id="rId52" w:anchor="_ftn1" w:history="1">
              <w:r w:rsidR="0070160A" w:rsidRPr="000A2294">
                <w:rPr>
                  <w:rStyle w:val="Hyperlink"/>
                  <w:sz w:val="20"/>
                  <w:lang w:val="fr-CA"/>
                </w:rPr>
                <w:t>2022 QCCA 953</w:t>
              </w:r>
            </w:hyperlink>
          </w:p>
          <w:p w:rsidR="0070160A" w:rsidRPr="000A2294" w:rsidRDefault="0070160A" w:rsidP="0070160A">
            <w:pPr>
              <w:jc w:val="both"/>
              <w:rPr>
                <w:sz w:val="20"/>
                <w:lang w:val="fr-CA"/>
              </w:rPr>
            </w:pPr>
          </w:p>
        </w:tc>
        <w:tc>
          <w:tcPr>
            <w:tcW w:w="243" w:type="pct"/>
          </w:tcPr>
          <w:p w:rsidR="0070160A" w:rsidRPr="000A2294" w:rsidRDefault="0070160A" w:rsidP="0070160A">
            <w:pPr>
              <w:jc w:val="both"/>
              <w:rPr>
                <w:sz w:val="20"/>
                <w:lang w:val="fr-CA"/>
              </w:rPr>
            </w:pPr>
          </w:p>
        </w:tc>
        <w:tc>
          <w:tcPr>
            <w:tcW w:w="2330" w:type="pct"/>
          </w:tcPr>
          <w:p w:rsidR="0070160A" w:rsidRPr="000A2294" w:rsidRDefault="0070160A" w:rsidP="0070160A">
            <w:pPr>
              <w:jc w:val="both"/>
              <w:rPr>
                <w:sz w:val="20"/>
                <w:lang w:val="fr-CA"/>
              </w:rPr>
            </w:pPr>
            <w:r w:rsidRPr="000A2294">
              <w:rPr>
                <w:sz w:val="20"/>
                <w:lang w:val="fr-CA"/>
              </w:rPr>
              <w:t>Requête pour permission d’appeler rejetée</w:t>
            </w:r>
          </w:p>
        </w:tc>
      </w:tr>
      <w:tr w:rsidR="0070160A" w:rsidRPr="000A2294" w:rsidTr="00E95A6A">
        <w:tc>
          <w:tcPr>
            <w:tcW w:w="2427" w:type="pct"/>
            <w:gridSpan w:val="2"/>
          </w:tcPr>
          <w:p w:rsidR="0070160A" w:rsidRPr="000A2294" w:rsidRDefault="0070160A" w:rsidP="0070160A">
            <w:pPr>
              <w:jc w:val="both"/>
              <w:rPr>
                <w:sz w:val="20"/>
                <w:lang w:val="fr-CA"/>
              </w:rPr>
            </w:pPr>
            <w:r w:rsidRPr="000A2294">
              <w:rPr>
                <w:sz w:val="20"/>
                <w:lang w:val="fr-CA"/>
              </w:rPr>
              <w:t>Le 3 octobre 2022</w:t>
            </w:r>
          </w:p>
          <w:p w:rsidR="0070160A" w:rsidRPr="000A2294" w:rsidRDefault="0070160A" w:rsidP="0070160A">
            <w:pPr>
              <w:jc w:val="both"/>
              <w:rPr>
                <w:sz w:val="20"/>
                <w:lang w:val="fr-CA"/>
              </w:rPr>
            </w:pPr>
            <w:r w:rsidRPr="000A2294">
              <w:rPr>
                <w:sz w:val="20"/>
                <w:lang w:val="fr-CA"/>
              </w:rPr>
              <w:t>Cour suprême du Canada</w:t>
            </w:r>
          </w:p>
          <w:p w:rsidR="0070160A" w:rsidRPr="000A2294" w:rsidRDefault="0070160A" w:rsidP="0070160A">
            <w:pPr>
              <w:jc w:val="both"/>
              <w:rPr>
                <w:sz w:val="20"/>
                <w:lang w:val="fr-CA"/>
              </w:rPr>
            </w:pPr>
          </w:p>
        </w:tc>
        <w:tc>
          <w:tcPr>
            <w:tcW w:w="243" w:type="pct"/>
          </w:tcPr>
          <w:p w:rsidR="0070160A" w:rsidRPr="000A2294" w:rsidRDefault="0070160A" w:rsidP="0070160A">
            <w:pPr>
              <w:jc w:val="both"/>
              <w:rPr>
                <w:sz w:val="20"/>
                <w:lang w:val="fr-CA"/>
              </w:rPr>
            </w:pPr>
          </w:p>
        </w:tc>
        <w:tc>
          <w:tcPr>
            <w:tcW w:w="2330" w:type="pct"/>
          </w:tcPr>
          <w:p w:rsidR="0070160A" w:rsidRPr="000A2294" w:rsidRDefault="0070160A" w:rsidP="0070160A">
            <w:pPr>
              <w:jc w:val="both"/>
              <w:rPr>
                <w:sz w:val="20"/>
              </w:rPr>
            </w:pPr>
            <w:r w:rsidRPr="000A2294">
              <w:rPr>
                <w:sz w:val="20"/>
              </w:rPr>
              <w:t>Demande d’autorisation d’appel déposée</w:t>
            </w:r>
          </w:p>
          <w:p w:rsidR="0070160A" w:rsidRPr="000A2294" w:rsidRDefault="0070160A" w:rsidP="0070160A">
            <w:pPr>
              <w:jc w:val="both"/>
              <w:rPr>
                <w:sz w:val="20"/>
              </w:rPr>
            </w:pPr>
          </w:p>
        </w:tc>
      </w:tr>
      <w:tr w:rsidR="0070160A" w:rsidRPr="00F935FF" w:rsidTr="00E95A6A">
        <w:tc>
          <w:tcPr>
            <w:tcW w:w="2427" w:type="pct"/>
            <w:gridSpan w:val="2"/>
          </w:tcPr>
          <w:p w:rsidR="0070160A" w:rsidRPr="000A2294" w:rsidRDefault="0070160A" w:rsidP="0070160A">
            <w:pPr>
              <w:jc w:val="both"/>
              <w:rPr>
                <w:sz w:val="20"/>
                <w:lang w:val="fr-CA"/>
              </w:rPr>
            </w:pPr>
            <w:r w:rsidRPr="000A2294">
              <w:rPr>
                <w:sz w:val="20"/>
                <w:lang w:val="fr-CA"/>
              </w:rPr>
              <w:t>Le 13 mars 2023</w:t>
            </w:r>
          </w:p>
          <w:p w:rsidR="0070160A" w:rsidRPr="000A2294" w:rsidRDefault="0070160A" w:rsidP="0070160A">
            <w:pPr>
              <w:jc w:val="both"/>
              <w:rPr>
                <w:sz w:val="20"/>
                <w:lang w:val="fr-CA"/>
              </w:rPr>
            </w:pPr>
            <w:r w:rsidRPr="000A2294">
              <w:rPr>
                <w:sz w:val="20"/>
                <w:lang w:val="fr-CA"/>
              </w:rPr>
              <w:t>Cour suprême du Canada</w:t>
            </w:r>
          </w:p>
        </w:tc>
        <w:tc>
          <w:tcPr>
            <w:tcW w:w="243" w:type="pct"/>
          </w:tcPr>
          <w:p w:rsidR="0070160A" w:rsidRPr="000A2294" w:rsidRDefault="0070160A" w:rsidP="0070160A">
            <w:pPr>
              <w:jc w:val="both"/>
              <w:rPr>
                <w:sz w:val="20"/>
                <w:lang w:val="fr-CA"/>
              </w:rPr>
            </w:pPr>
          </w:p>
        </w:tc>
        <w:tc>
          <w:tcPr>
            <w:tcW w:w="2330" w:type="pct"/>
          </w:tcPr>
          <w:p w:rsidR="0070160A" w:rsidRPr="000A2294" w:rsidRDefault="0070160A" w:rsidP="0070160A">
            <w:pPr>
              <w:jc w:val="both"/>
              <w:rPr>
                <w:sz w:val="20"/>
                <w:lang w:val="fr-CA"/>
              </w:rPr>
            </w:pPr>
            <w:r w:rsidRPr="000A2294">
              <w:rPr>
                <w:sz w:val="20"/>
                <w:lang w:val="fr-CA"/>
              </w:rPr>
              <w:t>Requête en prorogation du délai de signification et de dépôt de la demande d’autorisation d’appel déposée</w:t>
            </w:r>
          </w:p>
        </w:tc>
      </w:tr>
    </w:tbl>
    <w:p w:rsidR="0070160A" w:rsidRPr="000A2294" w:rsidRDefault="0070160A" w:rsidP="0070160A">
      <w:pPr>
        <w:jc w:val="both"/>
        <w:rPr>
          <w:sz w:val="20"/>
          <w:lang w:val="fr-CA"/>
        </w:rPr>
      </w:pPr>
    </w:p>
    <w:p w:rsidR="00E028BD" w:rsidRPr="000A2294" w:rsidRDefault="00F935FF" w:rsidP="0070160A">
      <w:pPr>
        <w:widowControl w:val="0"/>
        <w:jc w:val="both"/>
        <w:rPr>
          <w:sz w:val="20"/>
          <w:lang w:val="fr-CA"/>
        </w:rPr>
      </w:pPr>
      <w:r>
        <w:rPr>
          <w:sz w:val="20"/>
        </w:rPr>
        <w:pict>
          <v:rect id="_x0000_i1036" style="width:2in;height:1pt" o:hrpct="0" o:hralign="center" o:hrstd="t" o:hrnoshade="t" o:hr="t" fillcolor="black [3213]" stroked="f"/>
        </w:pict>
      </w:r>
    </w:p>
    <w:p w:rsidR="00E028BD" w:rsidRPr="000A2294" w:rsidRDefault="00E028BD" w:rsidP="00F2598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5986" w:rsidRPr="000A2294" w:rsidTr="00E95A6A">
        <w:tc>
          <w:tcPr>
            <w:tcW w:w="543" w:type="pct"/>
          </w:tcPr>
          <w:p w:rsidR="00F25986" w:rsidRPr="000A2294" w:rsidRDefault="00F25986" w:rsidP="00F25986">
            <w:pPr>
              <w:jc w:val="both"/>
              <w:rPr>
                <w:sz w:val="20"/>
              </w:rPr>
            </w:pPr>
            <w:r w:rsidRPr="000A2294">
              <w:rPr>
                <w:rStyle w:val="SCCFileNumberChar"/>
                <w:sz w:val="20"/>
                <w:szCs w:val="20"/>
              </w:rPr>
              <w:t>40590</w:t>
            </w:r>
          </w:p>
        </w:tc>
        <w:tc>
          <w:tcPr>
            <w:tcW w:w="4457" w:type="pct"/>
            <w:gridSpan w:val="3"/>
          </w:tcPr>
          <w:p w:rsidR="00F25986" w:rsidRPr="000A2294" w:rsidRDefault="00F25986" w:rsidP="00F25986">
            <w:pPr>
              <w:pStyle w:val="SCCLsocParty"/>
              <w:jc w:val="both"/>
              <w:rPr>
                <w:b/>
                <w:sz w:val="20"/>
                <w:szCs w:val="20"/>
                <w:lang w:val="en-US"/>
              </w:rPr>
            </w:pPr>
            <w:r w:rsidRPr="000A2294">
              <w:rPr>
                <w:b/>
                <w:sz w:val="20"/>
                <w:szCs w:val="20"/>
                <w:lang w:val="en-US"/>
              </w:rPr>
              <w:t>Anica Visic v. Elia Associates Professional Corporation, Patricia Elia and University of Windsor</w:t>
            </w:r>
          </w:p>
          <w:p w:rsidR="00F25986" w:rsidRPr="000A2294" w:rsidRDefault="00F25986" w:rsidP="00F25986">
            <w:pPr>
              <w:jc w:val="both"/>
              <w:rPr>
                <w:sz w:val="20"/>
              </w:rPr>
            </w:pPr>
            <w:r w:rsidRPr="000A2294">
              <w:rPr>
                <w:sz w:val="20"/>
              </w:rPr>
              <w:t>(Ont.) (Civil) (By Leave)</w:t>
            </w:r>
          </w:p>
        </w:tc>
      </w:tr>
      <w:tr w:rsidR="00F25986" w:rsidRPr="000A2294" w:rsidTr="00E95A6A">
        <w:tc>
          <w:tcPr>
            <w:tcW w:w="5000" w:type="pct"/>
            <w:gridSpan w:val="4"/>
          </w:tcPr>
          <w:p w:rsidR="00F25986" w:rsidRPr="000A2294" w:rsidRDefault="00F25986" w:rsidP="00F25986">
            <w:pPr>
              <w:jc w:val="both"/>
              <w:rPr>
                <w:sz w:val="20"/>
              </w:rPr>
            </w:pPr>
            <w:r w:rsidRPr="000A2294">
              <w:rPr>
                <w:sz w:val="20"/>
              </w:rPr>
              <w:t>Limitation of actions — A</w:t>
            </w:r>
            <w:r w:rsidRPr="000A2294">
              <w:rPr>
                <w:color w:val="000000"/>
                <w:sz w:val="20"/>
              </w:rPr>
              <w:t xml:space="preserve">ction dismissed on summary judgment on basis it was commenced beyond limitation period set out in </w:t>
            </w:r>
            <w:r w:rsidRPr="000A2294">
              <w:rPr>
                <w:i/>
                <w:iCs/>
                <w:color w:val="000000" w:themeColor="text1"/>
                <w:sz w:val="20"/>
              </w:rPr>
              <w:t>Limitations Act,</w:t>
            </w:r>
            <w:hyperlink r:id="rId53" w:history="1"/>
            <w:r w:rsidRPr="000A2294">
              <w:rPr>
                <w:color w:val="000000" w:themeColor="text1"/>
                <w:sz w:val="20"/>
              </w:rPr>
              <w:t xml:space="preserve"> </w:t>
            </w:r>
            <w:hyperlink r:id="rId54" w:history="1">
              <w:r w:rsidRPr="000A2294">
                <w:rPr>
                  <w:i/>
                  <w:iCs/>
                  <w:color w:val="000000" w:themeColor="text1"/>
                  <w:sz w:val="20"/>
                </w:rPr>
                <w:t>2002</w:t>
              </w:r>
            </w:hyperlink>
            <w:r w:rsidRPr="000A2294">
              <w:rPr>
                <w:color w:val="000000" w:themeColor="text1"/>
                <w:sz w:val="20"/>
              </w:rPr>
              <w:t xml:space="preserve">, S.O. 2002, c. 24 </w:t>
            </w:r>
            <w:r w:rsidRPr="000A2294">
              <w:rPr>
                <w:sz w:val="20"/>
              </w:rPr>
              <w:t>— W</w:t>
            </w:r>
            <w:r w:rsidRPr="000A2294">
              <w:rPr>
                <w:color w:val="000000"/>
                <w:sz w:val="20"/>
              </w:rPr>
              <w:t xml:space="preserve">hether there was no genuine issue requiring a trial </w:t>
            </w:r>
            <w:r w:rsidRPr="000A2294">
              <w:rPr>
                <w:sz w:val="20"/>
              </w:rPr>
              <w:t>— Whether summary judgment ought to have been granted to applicant who refused</w:t>
            </w:r>
            <w:r w:rsidRPr="000A2294">
              <w:rPr>
                <w:spacing w:val="-4"/>
                <w:sz w:val="20"/>
              </w:rPr>
              <w:t xml:space="preserve"> </w:t>
            </w:r>
            <w:r w:rsidRPr="000A2294">
              <w:rPr>
                <w:sz w:val="20"/>
              </w:rPr>
              <w:t>to</w:t>
            </w:r>
            <w:r w:rsidRPr="000A2294">
              <w:rPr>
                <w:spacing w:val="-4"/>
                <w:sz w:val="20"/>
              </w:rPr>
              <w:t xml:space="preserve"> </w:t>
            </w:r>
            <w:r w:rsidRPr="000A2294">
              <w:rPr>
                <w:sz w:val="20"/>
              </w:rPr>
              <w:t>attend</w:t>
            </w:r>
            <w:r w:rsidRPr="000A2294">
              <w:rPr>
                <w:spacing w:val="-3"/>
                <w:sz w:val="20"/>
              </w:rPr>
              <w:t xml:space="preserve"> </w:t>
            </w:r>
            <w:r w:rsidRPr="000A2294">
              <w:rPr>
                <w:sz w:val="20"/>
              </w:rPr>
              <w:t>for</w:t>
            </w:r>
            <w:r w:rsidRPr="000A2294">
              <w:rPr>
                <w:spacing w:val="-5"/>
                <w:sz w:val="20"/>
              </w:rPr>
              <w:t xml:space="preserve"> </w:t>
            </w:r>
            <w:r w:rsidRPr="000A2294">
              <w:rPr>
                <w:sz w:val="20"/>
              </w:rPr>
              <w:t>cross-examination and failed to meet onus of proof — Whether leave ought to be granted to amend statement of claim — Whether hearing wrongly proceeded to summary judgment notwithstanding endorsement of motion to strike claims — Who</w:t>
            </w:r>
            <w:r w:rsidRPr="000A2294">
              <w:rPr>
                <w:spacing w:val="-1"/>
                <w:sz w:val="20"/>
              </w:rPr>
              <w:t xml:space="preserve"> </w:t>
            </w:r>
            <w:r w:rsidRPr="000A2294">
              <w:rPr>
                <w:sz w:val="20"/>
              </w:rPr>
              <w:t>has onus of</w:t>
            </w:r>
            <w:r w:rsidRPr="000A2294">
              <w:rPr>
                <w:spacing w:val="-1"/>
                <w:sz w:val="20"/>
              </w:rPr>
              <w:t xml:space="preserve"> </w:t>
            </w:r>
            <w:r w:rsidRPr="000A2294">
              <w:rPr>
                <w:sz w:val="20"/>
              </w:rPr>
              <w:t>proof</w:t>
            </w:r>
            <w:r w:rsidRPr="000A2294">
              <w:rPr>
                <w:spacing w:val="-1"/>
                <w:sz w:val="20"/>
              </w:rPr>
              <w:t xml:space="preserve"> </w:t>
            </w:r>
            <w:r w:rsidRPr="000A2294">
              <w:rPr>
                <w:sz w:val="20"/>
              </w:rPr>
              <w:t>on</w:t>
            </w:r>
            <w:r w:rsidRPr="000A2294">
              <w:rPr>
                <w:spacing w:val="-1"/>
                <w:sz w:val="20"/>
              </w:rPr>
              <w:t xml:space="preserve"> </w:t>
            </w:r>
            <w:r w:rsidRPr="000A2294">
              <w:rPr>
                <w:sz w:val="20"/>
              </w:rPr>
              <w:t>a</w:t>
            </w:r>
            <w:r w:rsidRPr="000A2294">
              <w:rPr>
                <w:spacing w:val="-1"/>
                <w:sz w:val="20"/>
              </w:rPr>
              <w:t xml:space="preserve"> </w:t>
            </w:r>
            <w:r w:rsidRPr="000A2294">
              <w:rPr>
                <w:sz w:val="20"/>
              </w:rPr>
              <w:t>motion</w:t>
            </w:r>
            <w:r w:rsidRPr="000A2294">
              <w:rPr>
                <w:spacing w:val="-1"/>
                <w:sz w:val="20"/>
              </w:rPr>
              <w:t xml:space="preserve"> </w:t>
            </w:r>
            <w:r w:rsidRPr="000A2294">
              <w:rPr>
                <w:sz w:val="20"/>
              </w:rPr>
              <w:t>for</w:t>
            </w:r>
            <w:r w:rsidRPr="000A2294">
              <w:rPr>
                <w:spacing w:val="-1"/>
                <w:sz w:val="20"/>
              </w:rPr>
              <w:t xml:space="preserve"> </w:t>
            </w:r>
            <w:r w:rsidRPr="000A2294">
              <w:rPr>
                <w:sz w:val="20"/>
              </w:rPr>
              <w:t xml:space="preserve">summary </w:t>
            </w:r>
            <w:r w:rsidRPr="000A2294">
              <w:rPr>
                <w:spacing w:val="-2"/>
                <w:sz w:val="20"/>
              </w:rPr>
              <w:t xml:space="preserve">judgment </w:t>
            </w:r>
            <w:r w:rsidRPr="000A2294">
              <w:rPr>
                <w:sz w:val="20"/>
              </w:rPr>
              <w:t xml:space="preserve">— </w:t>
            </w:r>
            <w:r w:rsidRPr="000A2294">
              <w:rPr>
                <w:spacing w:val="-2"/>
                <w:sz w:val="20"/>
              </w:rPr>
              <w:t>W</w:t>
            </w:r>
            <w:r w:rsidRPr="000A2294">
              <w:rPr>
                <w:sz w:val="20"/>
              </w:rPr>
              <w:t>hat</w:t>
            </w:r>
            <w:r w:rsidRPr="000A2294">
              <w:rPr>
                <w:spacing w:val="29"/>
                <w:sz w:val="20"/>
              </w:rPr>
              <w:t xml:space="preserve"> </w:t>
            </w:r>
            <w:r w:rsidRPr="000A2294">
              <w:rPr>
                <w:sz w:val="20"/>
              </w:rPr>
              <w:t>constitutes</w:t>
            </w:r>
            <w:r w:rsidRPr="000A2294">
              <w:rPr>
                <w:spacing w:val="30"/>
                <w:sz w:val="20"/>
              </w:rPr>
              <w:t xml:space="preserve"> </w:t>
            </w:r>
            <w:r w:rsidRPr="000A2294">
              <w:rPr>
                <w:sz w:val="20"/>
              </w:rPr>
              <w:t>a</w:t>
            </w:r>
            <w:r w:rsidRPr="000A2294">
              <w:rPr>
                <w:spacing w:val="28"/>
                <w:sz w:val="20"/>
              </w:rPr>
              <w:t xml:space="preserve"> </w:t>
            </w:r>
            <w:r w:rsidRPr="000A2294">
              <w:rPr>
                <w:sz w:val="20"/>
              </w:rPr>
              <w:t>“genuine</w:t>
            </w:r>
            <w:r w:rsidRPr="000A2294">
              <w:rPr>
                <w:spacing w:val="28"/>
                <w:sz w:val="20"/>
              </w:rPr>
              <w:t xml:space="preserve"> </w:t>
            </w:r>
            <w:r w:rsidRPr="000A2294">
              <w:rPr>
                <w:sz w:val="20"/>
              </w:rPr>
              <w:t>issue”</w:t>
            </w:r>
            <w:r w:rsidRPr="000A2294">
              <w:rPr>
                <w:spacing w:val="28"/>
                <w:sz w:val="20"/>
              </w:rPr>
              <w:t xml:space="preserve"> </w:t>
            </w:r>
            <w:r w:rsidRPr="000A2294">
              <w:rPr>
                <w:sz w:val="20"/>
              </w:rPr>
              <w:t>for</w:t>
            </w:r>
            <w:r w:rsidRPr="000A2294">
              <w:rPr>
                <w:spacing w:val="27"/>
                <w:sz w:val="20"/>
              </w:rPr>
              <w:t xml:space="preserve"> </w:t>
            </w:r>
            <w:r w:rsidRPr="000A2294">
              <w:rPr>
                <w:sz w:val="20"/>
              </w:rPr>
              <w:t>the</w:t>
            </w:r>
            <w:r w:rsidRPr="000A2294">
              <w:rPr>
                <w:spacing w:val="28"/>
                <w:sz w:val="20"/>
              </w:rPr>
              <w:t xml:space="preserve"> </w:t>
            </w:r>
            <w:r w:rsidRPr="000A2294">
              <w:rPr>
                <w:sz w:val="20"/>
              </w:rPr>
              <w:t>purposes</w:t>
            </w:r>
            <w:r w:rsidRPr="000A2294">
              <w:rPr>
                <w:spacing w:val="29"/>
                <w:sz w:val="20"/>
              </w:rPr>
              <w:t xml:space="preserve"> </w:t>
            </w:r>
            <w:r w:rsidRPr="000A2294">
              <w:rPr>
                <w:sz w:val="20"/>
              </w:rPr>
              <w:t>of</w:t>
            </w:r>
            <w:r w:rsidRPr="000A2294">
              <w:rPr>
                <w:spacing w:val="28"/>
                <w:sz w:val="20"/>
              </w:rPr>
              <w:t xml:space="preserve"> </w:t>
            </w:r>
            <w:r w:rsidRPr="000A2294">
              <w:rPr>
                <w:sz w:val="20"/>
              </w:rPr>
              <w:t>s.</w:t>
            </w:r>
            <w:r w:rsidRPr="000A2294">
              <w:rPr>
                <w:spacing w:val="29"/>
                <w:sz w:val="20"/>
              </w:rPr>
              <w:t> </w:t>
            </w:r>
            <w:r w:rsidRPr="000A2294">
              <w:rPr>
                <w:sz w:val="20"/>
              </w:rPr>
              <w:t>5(1)(a)(ii)</w:t>
            </w:r>
            <w:r w:rsidRPr="000A2294">
              <w:rPr>
                <w:spacing w:val="28"/>
                <w:sz w:val="20"/>
              </w:rPr>
              <w:t xml:space="preserve"> </w:t>
            </w:r>
            <w:r w:rsidRPr="000A2294">
              <w:rPr>
                <w:sz w:val="20"/>
              </w:rPr>
              <w:t>of</w:t>
            </w:r>
            <w:r w:rsidRPr="000A2294">
              <w:rPr>
                <w:spacing w:val="28"/>
                <w:sz w:val="20"/>
              </w:rPr>
              <w:t xml:space="preserve"> </w:t>
            </w:r>
            <w:r w:rsidRPr="000A2294">
              <w:rPr>
                <w:sz w:val="20"/>
              </w:rPr>
              <w:t>the</w:t>
            </w:r>
            <w:r w:rsidRPr="000A2294">
              <w:rPr>
                <w:spacing w:val="33"/>
                <w:sz w:val="20"/>
              </w:rPr>
              <w:t xml:space="preserve"> </w:t>
            </w:r>
            <w:r w:rsidRPr="000A2294">
              <w:rPr>
                <w:i/>
                <w:sz w:val="20"/>
              </w:rPr>
              <w:t>Limitations</w:t>
            </w:r>
            <w:r w:rsidRPr="000A2294">
              <w:rPr>
                <w:i/>
                <w:spacing w:val="29"/>
                <w:sz w:val="20"/>
              </w:rPr>
              <w:t xml:space="preserve"> </w:t>
            </w:r>
            <w:r w:rsidRPr="000A2294">
              <w:rPr>
                <w:i/>
                <w:sz w:val="20"/>
              </w:rPr>
              <w:t>Act</w:t>
            </w:r>
            <w:r w:rsidRPr="000A2294">
              <w:rPr>
                <w:i/>
                <w:spacing w:val="31"/>
                <w:sz w:val="20"/>
              </w:rPr>
              <w:t xml:space="preserve"> </w:t>
            </w:r>
            <w:r w:rsidRPr="000A2294">
              <w:rPr>
                <w:sz w:val="20"/>
              </w:rPr>
              <w:t xml:space="preserve">in respect of different causes of action and distinct claims — What is the meaning of an “appropriate” proceeding in s. 5(1)(a)(iv) of the </w:t>
            </w:r>
            <w:r w:rsidRPr="000A2294">
              <w:rPr>
                <w:i/>
                <w:sz w:val="20"/>
              </w:rPr>
              <w:t>Limitations Act</w:t>
            </w:r>
            <w:r w:rsidRPr="000A2294">
              <w:rPr>
                <w:sz w:val="20"/>
              </w:rPr>
              <w:t xml:space="preserve"> — What</w:t>
            </w:r>
            <w:r w:rsidRPr="000A2294">
              <w:rPr>
                <w:spacing w:val="-3"/>
                <w:sz w:val="20"/>
              </w:rPr>
              <w:t xml:space="preserve"> </w:t>
            </w:r>
            <w:r w:rsidRPr="000A2294">
              <w:rPr>
                <w:sz w:val="20"/>
              </w:rPr>
              <w:t>is</w:t>
            </w:r>
            <w:r w:rsidRPr="000A2294">
              <w:rPr>
                <w:spacing w:val="-3"/>
                <w:sz w:val="20"/>
              </w:rPr>
              <w:t xml:space="preserve"> </w:t>
            </w:r>
            <w:r w:rsidRPr="000A2294">
              <w:rPr>
                <w:sz w:val="20"/>
              </w:rPr>
              <w:t>the</w:t>
            </w:r>
            <w:r w:rsidRPr="000A2294">
              <w:rPr>
                <w:spacing w:val="-3"/>
                <w:sz w:val="20"/>
              </w:rPr>
              <w:t xml:space="preserve"> </w:t>
            </w:r>
            <w:r w:rsidRPr="000A2294">
              <w:rPr>
                <w:sz w:val="20"/>
              </w:rPr>
              <w:t>purpose</w:t>
            </w:r>
            <w:r w:rsidRPr="000A2294">
              <w:rPr>
                <w:spacing w:val="-4"/>
                <w:sz w:val="20"/>
              </w:rPr>
              <w:t xml:space="preserve"> </w:t>
            </w:r>
            <w:r w:rsidRPr="000A2294">
              <w:rPr>
                <w:sz w:val="20"/>
              </w:rPr>
              <w:t>of</w:t>
            </w:r>
            <w:r w:rsidRPr="000A2294">
              <w:rPr>
                <w:spacing w:val="-3"/>
                <w:sz w:val="20"/>
              </w:rPr>
              <w:t xml:space="preserve"> </w:t>
            </w:r>
            <w:r w:rsidRPr="000A2294">
              <w:rPr>
                <w:sz w:val="20"/>
              </w:rPr>
              <w:t>the</w:t>
            </w:r>
            <w:r w:rsidRPr="000A2294">
              <w:rPr>
                <w:spacing w:val="-4"/>
                <w:sz w:val="20"/>
              </w:rPr>
              <w:t xml:space="preserve"> </w:t>
            </w:r>
            <w:r w:rsidRPr="000A2294">
              <w:rPr>
                <w:sz w:val="20"/>
              </w:rPr>
              <w:t>ultimate</w:t>
            </w:r>
            <w:r w:rsidRPr="000A2294">
              <w:rPr>
                <w:spacing w:val="-3"/>
                <w:sz w:val="20"/>
              </w:rPr>
              <w:t xml:space="preserve"> </w:t>
            </w:r>
            <w:r w:rsidRPr="000A2294">
              <w:rPr>
                <w:sz w:val="20"/>
              </w:rPr>
              <w:t>limitation</w:t>
            </w:r>
            <w:r w:rsidRPr="000A2294">
              <w:rPr>
                <w:spacing w:val="-3"/>
                <w:sz w:val="20"/>
              </w:rPr>
              <w:t xml:space="preserve"> </w:t>
            </w:r>
            <w:r w:rsidRPr="000A2294">
              <w:rPr>
                <w:sz w:val="20"/>
              </w:rPr>
              <w:t>periods</w:t>
            </w:r>
            <w:r w:rsidRPr="000A2294">
              <w:rPr>
                <w:spacing w:val="-3"/>
                <w:sz w:val="20"/>
              </w:rPr>
              <w:t xml:space="preserve"> </w:t>
            </w:r>
            <w:r w:rsidRPr="000A2294">
              <w:rPr>
                <w:sz w:val="20"/>
              </w:rPr>
              <w:t>pursuant</w:t>
            </w:r>
            <w:r w:rsidRPr="000A2294">
              <w:rPr>
                <w:spacing w:val="-3"/>
                <w:sz w:val="20"/>
              </w:rPr>
              <w:t xml:space="preserve"> </w:t>
            </w:r>
            <w:r w:rsidRPr="000A2294">
              <w:rPr>
                <w:sz w:val="20"/>
              </w:rPr>
              <w:t>to</w:t>
            </w:r>
            <w:r w:rsidRPr="000A2294">
              <w:rPr>
                <w:spacing w:val="-3"/>
                <w:sz w:val="20"/>
              </w:rPr>
              <w:t xml:space="preserve"> </w:t>
            </w:r>
            <w:r w:rsidRPr="000A2294">
              <w:rPr>
                <w:sz w:val="20"/>
              </w:rPr>
              <w:t>s.</w:t>
            </w:r>
            <w:r w:rsidRPr="000A2294">
              <w:rPr>
                <w:spacing w:val="-3"/>
                <w:sz w:val="20"/>
              </w:rPr>
              <w:t> </w:t>
            </w:r>
            <w:r w:rsidRPr="000A2294">
              <w:rPr>
                <w:sz w:val="20"/>
              </w:rPr>
              <w:t>15</w:t>
            </w:r>
            <w:r w:rsidRPr="000A2294">
              <w:rPr>
                <w:spacing w:val="-3"/>
                <w:sz w:val="20"/>
              </w:rPr>
              <w:t xml:space="preserve"> </w:t>
            </w:r>
            <w:r w:rsidRPr="000A2294">
              <w:rPr>
                <w:sz w:val="20"/>
              </w:rPr>
              <w:t>of</w:t>
            </w:r>
            <w:r w:rsidRPr="000A2294">
              <w:rPr>
                <w:spacing w:val="-3"/>
                <w:sz w:val="20"/>
              </w:rPr>
              <w:t xml:space="preserve"> </w:t>
            </w:r>
            <w:r w:rsidRPr="000A2294">
              <w:rPr>
                <w:sz w:val="20"/>
              </w:rPr>
              <w:t>the</w:t>
            </w:r>
            <w:r w:rsidRPr="000A2294">
              <w:rPr>
                <w:spacing w:val="-1"/>
                <w:sz w:val="20"/>
              </w:rPr>
              <w:t xml:space="preserve"> </w:t>
            </w:r>
            <w:r w:rsidRPr="000A2294">
              <w:rPr>
                <w:i/>
                <w:sz w:val="20"/>
              </w:rPr>
              <w:t>Limitations</w:t>
            </w:r>
            <w:r w:rsidRPr="000A2294">
              <w:rPr>
                <w:i/>
                <w:spacing w:val="-3"/>
                <w:sz w:val="20"/>
              </w:rPr>
              <w:t xml:space="preserve"> </w:t>
            </w:r>
            <w:r w:rsidRPr="000A2294">
              <w:rPr>
                <w:i/>
                <w:sz w:val="20"/>
              </w:rPr>
              <w:t>Act</w:t>
            </w:r>
            <w:r w:rsidRPr="000A2294">
              <w:rPr>
                <w:sz w:val="20"/>
              </w:rPr>
              <w:t>?</w:t>
            </w:r>
          </w:p>
        </w:tc>
      </w:tr>
      <w:tr w:rsidR="00F25986" w:rsidRPr="000A2294" w:rsidTr="00E95A6A">
        <w:tc>
          <w:tcPr>
            <w:tcW w:w="5000" w:type="pct"/>
            <w:gridSpan w:val="4"/>
          </w:tcPr>
          <w:p w:rsidR="00F25986" w:rsidRPr="000A2294" w:rsidRDefault="00F25986" w:rsidP="00F25986">
            <w:pPr>
              <w:jc w:val="both"/>
              <w:rPr>
                <w:sz w:val="20"/>
              </w:rPr>
            </w:pPr>
          </w:p>
        </w:tc>
      </w:tr>
      <w:tr w:rsidR="00F25986" w:rsidRPr="000A2294" w:rsidTr="00E95A6A">
        <w:tc>
          <w:tcPr>
            <w:tcW w:w="5000" w:type="pct"/>
            <w:gridSpan w:val="4"/>
          </w:tcPr>
          <w:p w:rsidR="00F25986" w:rsidRPr="000A2294" w:rsidRDefault="00F25986" w:rsidP="00F25986">
            <w:pPr>
              <w:jc w:val="both"/>
              <w:rPr>
                <w:sz w:val="20"/>
              </w:rPr>
            </w:pPr>
            <w:r w:rsidRPr="000A2294">
              <w:rPr>
                <w:color w:val="000000"/>
                <w:sz w:val="20"/>
              </w:rPr>
              <w:t xml:space="preserve">Ms. Visic was employed by the law firm </w:t>
            </w:r>
            <w:r w:rsidRPr="000A2294">
              <w:rPr>
                <w:sz w:val="20"/>
              </w:rPr>
              <w:t>Elia Associates Professional Corporation</w:t>
            </w:r>
            <w:r w:rsidRPr="000A2294">
              <w:rPr>
                <w:color w:val="000000"/>
                <w:sz w:val="20"/>
              </w:rPr>
              <w:t xml:space="preserve"> in 2007 as an articling student and Ms. Elia was her principal. Her articles ended after 5 months. In 2018, Ms. Visic commenced an action for defamation, negligence, wrongful termination, breach of duty and other causes of action. The defendants filed a motion for summary judgment arguing that the action was barred by a limitation period set out in </w:t>
            </w:r>
            <w:r w:rsidRPr="000A2294">
              <w:rPr>
                <w:i/>
                <w:iCs/>
                <w:color w:val="000000" w:themeColor="text1"/>
                <w:sz w:val="20"/>
              </w:rPr>
              <w:t>Limitations Act,</w:t>
            </w:r>
            <w:hyperlink r:id="rId55" w:history="1"/>
            <w:r w:rsidRPr="000A2294">
              <w:rPr>
                <w:color w:val="000000" w:themeColor="text1"/>
                <w:sz w:val="20"/>
              </w:rPr>
              <w:t xml:space="preserve"> </w:t>
            </w:r>
            <w:hyperlink r:id="rId56" w:history="1">
              <w:r w:rsidRPr="000A2294">
                <w:rPr>
                  <w:i/>
                  <w:iCs/>
                  <w:color w:val="000000" w:themeColor="text1"/>
                  <w:sz w:val="20"/>
                </w:rPr>
                <w:t>2002</w:t>
              </w:r>
            </w:hyperlink>
            <w:r w:rsidRPr="000A2294">
              <w:rPr>
                <w:color w:val="000000" w:themeColor="text1"/>
                <w:sz w:val="20"/>
              </w:rPr>
              <w:t xml:space="preserve">, S.O. 2002, c. 24. The </w:t>
            </w:r>
            <w:r w:rsidRPr="000A2294">
              <w:rPr>
                <w:sz w:val="20"/>
              </w:rPr>
              <w:t>Ontario Superior Court of Justice granted summary judgment and dismissed the claim. The Court of Appeal dismissed an appeal.</w:t>
            </w:r>
          </w:p>
          <w:p w:rsidR="00F25986" w:rsidRPr="000A2294" w:rsidRDefault="00F25986" w:rsidP="00F25986">
            <w:pPr>
              <w:jc w:val="both"/>
              <w:rPr>
                <w:sz w:val="20"/>
              </w:rPr>
            </w:pPr>
          </w:p>
        </w:tc>
      </w:tr>
      <w:tr w:rsidR="00F25986" w:rsidRPr="000A2294" w:rsidTr="00E95A6A">
        <w:tc>
          <w:tcPr>
            <w:tcW w:w="2427" w:type="pct"/>
            <w:gridSpan w:val="2"/>
          </w:tcPr>
          <w:p w:rsidR="00F25986" w:rsidRPr="000A2294" w:rsidRDefault="00F25986" w:rsidP="00F25986">
            <w:pPr>
              <w:jc w:val="both"/>
              <w:rPr>
                <w:sz w:val="20"/>
              </w:rPr>
            </w:pPr>
            <w:r w:rsidRPr="000A2294">
              <w:rPr>
                <w:sz w:val="20"/>
              </w:rPr>
              <w:t>May 20, 2022</w:t>
            </w:r>
          </w:p>
          <w:p w:rsidR="00F25986" w:rsidRPr="000A2294" w:rsidRDefault="00F25986" w:rsidP="00F25986">
            <w:pPr>
              <w:jc w:val="both"/>
              <w:rPr>
                <w:sz w:val="20"/>
              </w:rPr>
            </w:pPr>
            <w:r w:rsidRPr="000A2294">
              <w:rPr>
                <w:sz w:val="20"/>
              </w:rPr>
              <w:t>Ontario Superior Court of Justice</w:t>
            </w:r>
          </w:p>
          <w:p w:rsidR="00F25986" w:rsidRPr="000A2294" w:rsidRDefault="00F25986" w:rsidP="00F25986">
            <w:pPr>
              <w:jc w:val="both"/>
              <w:rPr>
                <w:sz w:val="20"/>
              </w:rPr>
            </w:pPr>
            <w:r w:rsidRPr="000A2294">
              <w:rPr>
                <w:sz w:val="20"/>
              </w:rPr>
              <w:t xml:space="preserve">(Vella J.) </w:t>
            </w:r>
          </w:p>
          <w:p w:rsidR="00F25986" w:rsidRPr="000A2294" w:rsidRDefault="00F935FF" w:rsidP="00F25986">
            <w:pPr>
              <w:jc w:val="both"/>
              <w:rPr>
                <w:sz w:val="20"/>
              </w:rPr>
            </w:pPr>
            <w:hyperlink r:id="rId57" w:history="1">
              <w:r w:rsidR="00F25986" w:rsidRPr="000A2294">
                <w:rPr>
                  <w:rStyle w:val="Hyperlink"/>
                  <w:sz w:val="20"/>
                </w:rPr>
                <w:t>2022 ONSC 3030</w:t>
              </w:r>
            </w:hyperlink>
          </w:p>
          <w:p w:rsidR="00F25986" w:rsidRPr="000A2294" w:rsidRDefault="00F25986" w:rsidP="00F25986">
            <w:pPr>
              <w:jc w:val="both"/>
              <w:rPr>
                <w:sz w:val="20"/>
              </w:rPr>
            </w:pPr>
          </w:p>
        </w:tc>
        <w:tc>
          <w:tcPr>
            <w:tcW w:w="243" w:type="pct"/>
          </w:tcPr>
          <w:p w:rsidR="00F25986" w:rsidRPr="000A2294" w:rsidRDefault="00F25986" w:rsidP="00F25986">
            <w:pPr>
              <w:jc w:val="both"/>
              <w:rPr>
                <w:sz w:val="20"/>
              </w:rPr>
            </w:pPr>
          </w:p>
        </w:tc>
        <w:tc>
          <w:tcPr>
            <w:tcW w:w="2330" w:type="pct"/>
          </w:tcPr>
          <w:p w:rsidR="00F25986" w:rsidRPr="000A2294" w:rsidRDefault="00F25986" w:rsidP="00F25986">
            <w:pPr>
              <w:jc w:val="both"/>
              <w:rPr>
                <w:sz w:val="20"/>
              </w:rPr>
            </w:pPr>
            <w:r w:rsidRPr="000A2294">
              <w:rPr>
                <w:sz w:val="20"/>
              </w:rPr>
              <w:t>Summary judgment granted dismissing action</w:t>
            </w:r>
          </w:p>
          <w:p w:rsidR="00F25986" w:rsidRPr="000A2294" w:rsidRDefault="00F25986" w:rsidP="00F25986">
            <w:pPr>
              <w:jc w:val="both"/>
              <w:rPr>
                <w:sz w:val="20"/>
              </w:rPr>
            </w:pPr>
          </w:p>
        </w:tc>
      </w:tr>
      <w:tr w:rsidR="00F25986" w:rsidRPr="000A2294" w:rsidTr="00E95A6A">
        <w:tc>
          <w:tcPr>
            <w:tcW w:w="2427" w:type="pct"/>
            <w:gridSpan w:val="2"/>
          </w:tcPr>
          <w:p w:rsidR="00F25986" w:rsidRPr="000A2294" w:rsidRDefault="00F25986" w:rsidP="00F25986">
            <w:pPr>
              <w:jc w:val="both"/>
              <w:rPr>
                <w:sz w:val="20"/>
              </w:rPr>
            </w:pPr>
            <w:r w:rsidRPr="000A2294">
              <w:rPr>
                <w:sz w:val="20"/>
              </w:rPr>
              <w:t>December 1, 2022</w:t>
            </w:r>
          </w:p>
          <w:p w:rsidR="00F25986" w:rsidRPr="000A2294" w:rsidRDefault="00F25986" w:rsidP="00F25986">
            <w:pPr>
              <w:jc w:val="both"/>
              <w:rPr>
                <w:sz w:val="20"/>
              </w:rPr>
            </w:pPr>
            <w:r w:rsidRPr="000A2294">
              <w:rPr>
                <w:sz w:val="20"/>
              </w:rPr>
              <w:t>Court of Appeal for Ontario</w:t>
            </w:r>
          </w:p>
          <w:p w:rsidR="00F25986" w:rsidRPr="000A2294" w:rsidRDefault="00F25986" w:rsidP="00F25986">
            <w:pPr>
              <w:jc w:val="both"/>
              <w:rPr>
                <w:sz w:val="20"/>
                <w:lang w:val="fr-CA"/>
              </w:rPr>
            </w:pPr>
            <w:r w:rsidRPr="000A2294">
              <w:rPr>
                <w:sz w:val="20"/>
                <w:lang w:val="fr-CA"/>
              </w:rPr>
              <w:t>(MacPherson, Miller, Copeland JJ.A.)</w:t>
            </w:r>
          </w:p>
          <w:p w:rsidR="00F25986" w:rsidRPr="000A2294" w:rsidRDefault="00F935FF" w:rsidP="00F25986">
            <w:pPr>
              <w:jc w:val="both"/>
              <w:rPr>
                <w:sz w:val="20"/>
              </w:rPr>
            </w:pPr>
            <w:hyperlink r:id="rId58" w:history="1">
              <w:r w:rsidR="00F25986" w:rsidRPr="000A2294">
                <w:rPr>
                  <w:rStyle w:val="Hyperlink"/>
                  <w:sz w:val="20"/>
                </w:rPr>
                <w:t>2022 ONCA 841</w:t>
              </w:r>
            </w:hyperlink>
            <w:r w:rsidR="00F25986" w:rsidRPr="000A2294">
              <w:rPr>
                <w:sz w:val="20"/>
              </w:rPr>
              <w:t>; C70804</w:t>
            </w:r>
          </w:p>
          <w:p w:rsidR="00F25986" w:rsidRPr="000A2294" w:rsidRDefault="00F25986" w:rsidP="00F25986">
            <w:pPr>
              <w:jc w:val="both"/>
              <w:rPr>
                <w:sz w:val="20"/>
                <w:lang w:val="fr-CA"/>
              </w:rPr>
            </w:pPr>
          </w:p>
        </w:tc>
        <w:tc>
          <w:tcPr>
            <w:tcW w:w="243" w:type="pct"/>
          </w:tcPr>
          <w:p w:rsidR="00F25986" w:rsidRPr="000A2294" w:rsidRDefault="00F25986" w:rsidP="00F25986">
            <w:pPr>
              <w:jc w:val="both"/>
              <w:rPr>
                <w:sz w:val="20"/>
                <w:lang w:val="fr-CA"/>
              </w:rPr>
            </w:pPr>
          </w:p>
        </w:tc>
        <w:tc>
          <w:tcPr>
            <w:tcW w:w="2330" w:type="pct"/>
          </w:tcPr>
          <w:p w:rsidR="00F25986" w:rsidRPr="000A2294" w:rsidRDefault="00F25986" w:rsidP="00F25986">
            <w:pPr>
              <w:jc w:val="both"/>
              <w:rPr>
                <w:sz w:val="20"/>
              </w:rPr>
            </w:pPr>
            <w:r w:rsidRPr="000A2294">
              <w:rPr>
                <w:sz w:val="20"/>
              </w:rPr>
              <w:t>Appeal dismissed</w:t>
            </w:r>
          </w:p>
          <w:p w:rsidR="00F25986" w:rsidRPr="000A2294" w:rsidRDefault="00F25986" w:rsidP="00F25986">
            <w:pPr>
              <w:jc w:val="both"/>
              <w:rPr>
                <w:sz w:val="20"/>
              </w:rPr>
            </w:pPr>
          </w:p>
        </w:tc>
      </w:tr>
      <w:tr w:rsidR="00F25986" w:rsidRPr="000A2294" w:rsidTr="00E95A6A">
        <w:tc>
          <w:tcPr>
            <w:tcW w:w="2427" w:type="pct"/>
            <w:gridSpan w:val="2"/>
          </w:tcPr>
          <w:p w:rsidR="00F25986" w:rsidRPr="000A2294" w:rsidRDefault="00F25986" w:rsidP="00F25986">
            <w:pPr>
              <w:jc w:val="both"/>
              <w:rPr>
                <w:sz w:val="20"/>
              </w:rPr>
            </w:pPr>
            <w:r w:rsidRPr="000A2294">
              <w:rPr>
                <w:sz w:val="20"/>
              </w:rPr>
              <w:t>January 16, 2023</w:t>
            </w:r>
          </w:p>
          <w:p w:rsidR="00F25986" w:rsidRPr="000A2294" w:rsidRDefault="00F25986" w:rsidP="00F25986">
            <w:pPr>
              <w:jc w:val="both"/>
              <w:rPr>
                <w:sz w:val="20"/>
              </w:rPr>
            </w:pPr>
            <w:r w:rsidRPr="000A2294">
              <w:rPr>
                <w:sz w:val="20"/>
              </w:rPr>
              <w:t>Supreme Court of Canada</w:t>
            </w:r>
          </w:p>
        </w:tc>
        <w:tc>
          <w:tcPr>
            <w:tcW w:w="243" w:type="pct"/>
          </w:tcPr>
          <w:p w:rsidR="00F25986" w:rsidRPr="000A2294" w:rsidRDefault="00F25986" w:rsidP="00F25986">
            <w:pPr>
              <w:jc w:val="both"/>
              <w:rPr>
                <w:sz w:val="20"/>
              </w:rPr>
            </w:pPr>
          </w:p>
        </w:tc>
        <w:tc>
          <w:tcPr>
            <w:tcW w:w="2330" w:type="pct"/>
          </w:tcPr>
          <w:p w:rsidR="00F25986" w:rsidRPr="000A2294" w:rsidRDefault="00F25986" w:rsidP="00F25986">
            <w:pPr>
              <w:jc w:val="both"/>
              <w:rPr>
                <w:sz w:val="20"/>
              </w:rPr>
            </w:pPr>
            <w:r w:rsidRPr="000A2294">
              <w:rPr>
                <w:sz w:val="20"/>
              </w:rPr>
              <w:t>Application for leave to appeal filed</w:t>
            </w:r>
          </w:p>
          <w:p w:rsidR="00F25986" w:rsidRPr="000A2294" w:rsidRDefault="00F25986" w:rsidP="00F25986">
            <w:pPr>
              <w:jc w:val="both"/>
              <w:rPr>
                <w:sz w:val="20"/>
              </w:rPr>
            </w:pPr>
          </w:p>
        </w:tc>
      </w:tr>
    </w:tbl>
    <w:p w:rsidR="00F25986" w:rsidRPr="000A2294" w:rsidRDefault="00F25986" w:rsidP="00F25986">
      <w:pPr>
        <w:jc w:val="both"/>
        <w:rPr>
          <w:sz w:val="20"/>
        </w:rPr>
      </w:pPr>
    </w:p>
    <w:p w:rsidR="00F25986" w:rsidRPr="000A2294" w:rsidRDefault="00F935FF" w:rsidP="00F25986">
      <w:pPr>
        <w:jc w:val="both"/>
        <w:rPr>
          <w:sz w:val="20"/>
        </w:rPr>
      </w:pPr>
      <w:r>
        <w:rPr>
          <w:sz w:val="20"/>
        </w:rPr>
        <w:pict>
          <v:rect id="_x0000_i1037" style="width:2in;height:1pt" o:hrpct="0" o:hralign="center" o:hrstd="t" o:hrnoshade="t" o:hr="t" fillcolor="black [3213]" stroked="f"/>
        </w:pict>
      </w:r>
    </w:p>
    <w:p w:rsidR="00F25986" w:rsidRPr="000A2294" w:rsidRDefault="00F25986" w:rsidP="00F2598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5986" w:rsidRPr="00F935FF" w:rsidTr="00E95A6A">
        <w:tc>
          <w:tcPr>
            <w:tcW w:w="543" w:type="pct"/>
          </w:tcPr>
          <w:p w:rsidR="00F25986" w:rsidRPr="000A2294" w:rsidRDefault="00F25986" w:rsidP="00F25986">
            <w:pPr>
              <w:jc w:val="both"/>
              <w:rPr>
                <w:sz w:val="20"/>
                <w:lang w:val="fr-CA"/>
              </w:rPr>
            </w:pPr>
            <w:r w:rsidRPr="000A2294">
              <w:rPr>
                <w:rStyle w:val="SCCFileNumberChar"/>
                <w:sz w:val="20"/>
                <w:szCs w:val="20"/>
                <w:lang w:val="fr-CA"/>
              </w:rPr>
              <w:t>40590</w:t>
            </w:r>
          </w:p>
        </w:tc>
        <w:tc>
          <w:tcPr>
            <w:tcW w:w="4457" w:type="pct"/>
            <w:gridSpan w:val="3"/>
          </w:tcPr>
          <w:p w:rsidR="00F25986" w:rsidRPr="000A2294" w:rsidRDefault="00F25986" w:rsidP="00F25986">
            <w:pPr>
              <w:pStyle w:val="SCCLsocParty"/>
              <w:jc w:val="both"/>
              <w:rPr>
                <w:b/>
                <w:sz w:val="20"/>
                <w:szCs w:val="20"/>
              </w:rPr>
            </w:pPr>
            <w:r w:rsidRPr="000A2294">
              <w:rPr>
                <w:b/>
                <w:sz w:val="20"/>
                <w:szCs w:val="20"/>
              </w:rPr>
              <w:t>Anica Visic c. Elia Associates Professional Corporation, Patricia Elia et Université de Windsor</w:t>
            </w:r>
          </w:p>
          <w:p w:rsidR="00F25986" w:rsidRPr="000A2294" w:rsidRDefault="00F25986" w:rsidP="00F25986">
            <w:pPr>
              <w:jc w:val="both"/>
              <w:rPr>
                <w:sz w:val="20"/>
                <w:lang w:val="fr-CA"/>
              </w:rPr>
            </w:pPr>
            <w:r w:rsidRPr="000A2294">
              <w:rPr>
                <w:sz w:val="20"/>
                <w:lang w:val="fr-CA"/>
              </w:rPr>
              <w:t>(Ont.) (Civile) (Sur autorisation)</w:t>
            </w:r>
          </w:p>
        </w:tc>
      </w:tr>
      <w:tr w:rsidR="00F25986" w:rsidRPr="00F935FF" w:rsidTr="00E95A6A">
        <w:tc>
          <w:tcPr>
            <w:tcW w:w="5000" w:type="pct"/>
            <w:gridSpan w:val="4"/>
          </w:tcPr>
          <w:p w:rsidR="00F25986" w:rsidRPr="000A2294" w:rsidRDefault="00F25986" w:rsidP="00F25986">
            <w:pPr>
              <w:jc w:val="both"/>
              <w:rPr>
                <w:sz w:val="20"/>
                <w:lang w:val="fr-CA"/>
              </w:rPr>
            </w:pPr>
            <w:r w:rsidRPr="000A2294">
              <w:rPr>
                <w:sz w:val="20"/>
                <w:lang w:val="fr-CA"/>
              </w:rPr>
              <w:t xml:space="preserve">Prescription — Action rejetée par jugement sommaire au motif qu’elle a été introduite après le délai de prescription prévu dans la </w:t>
            </w:r>
            <w:r w:rsidRPr="000A2294">
              <w:rPr>
                <w:i/>
                <w:sz w:val="20"/>
                <w:lang w:val="fr-CA"/>
              </w:rPr>
              <w:t>Loi de 2002 sur la prescription des actions</w:t>
            </w:r>
            <w:hyperlink r:id="rId59" w:history="1"/>
            <w:r w:rsidRPr="000A2294">
              <w:rPr>
                <w:color w:val="000000" w:themeColor="text1"/>
                <w:sz w:val="20"/>
                <w:lang w:val="fr-CA"/>
              </w:rPr>
              <w:t>, L.O. 2002, c. 24 </w:t>
            </w:r>
            <w:r w:rsidRPr="000A2294">
              <w:rPr>
                <w:sz w:val="20"/>
                <w:lang w:val="fr-CA"/>
              </w:rPr>
              <w:t>— L’affaire ne soulevait-elle aucune véritable question litigieuse nécessitant la tenue d’un procès? — Convenait-il d’accorder un jugement sommaire en faveur de la requérante qui avait refusé de comparaître en contre-interrogatoire et omis de s’acquitter du fardeau de preuve qui lui incombait? — La permission de modifier une déclaration devrait-elle être accordée? — L’instruction a-t-elle indûment procédé par voie sommaire malgré l’acceptation de la motion en radiation visant les demandes? — À qui incombe le fardeau de la preuve à l’égard d’une motion en jugement sommaire? — Qu’est-ce qui constitue une « véritable question litigieuse » pour l’application du s.</w:t>
            </w:r>
            <w:r w:rsidRPr="000A2294">
              <w:rPr>
                <w:sz w:val="20"/>
                <w:lang w:val="fr-CA"/>
              </w:rPr>
              <w:noBreakHyphen/>
              <w:t>al. 5(1)a</w:t>
            </w:r>
            <w:proofErr w:type="gramStart"/>
            <w:r w:rsidRPr="000A2294">
              <w:rPr>
                <w:sz w:val="20"/>
                <w:lang w:val="fr-CA"/>
              </w:rPr>
              <w:t>)(</w:t>
            </w:r>
            <w:proofErr w:type="gramEnd"/>
            <w:r w:rsidRPr="000A2294">
              <w:rPr>
                <w:sz w:val="20"/>
                <w:lang w:val="fr-CA"/>
              </w:rPr>
              <w:t xml:space="preserve">ii) de la </w:t>
            </w:r>
            <w:r w:rsidRPr="000A2294">
              <w:rPr>
                <w:i/>
                <w:sz w:val="20"/>
                <w:lang w:val="fr-CA"/>
              </w:rPr>
              <w:t xml:space="preserve">Loi sur la prescription </w:t>
            </w:r>
            <w:r w:rsidRPr="000A2294">
              <w:rPr>
                <w:spacing w:val="-2"/>
                <w:sz w:val="20"/>
                <w:lang w:val="fr-CA"/>
              </w:rPr>
              <w:t xml:space="preserve">dans le cas de causes d’actions différentes et de demandes distinctes? </w:t>
            </w:r>
            <w:r w:rsidRPr="000A2294">
              <w:rPr>
                <w:sz w:val="20"/>
                <w:lang w:val="fr-CA"/>
              </w:rPr>
              <w:t>— Que signifie une instance « approprié[e] » au sens du s.</w:t>
            </w:r>
            <w:r w:rsidRPr="000A2294">
              <w:rPr>
                <w:sz w:val="20"/>
                <w:lang w:val="fr-CA"/>
              </w:rPr>
              <w:noBreakHyphen/>
              <w:t>al. 5(1)a</w:t>
            </w:r>
            <w:proofErr w:type="gramStart"/>
            <w:r w:rsidRPr="000A2294">
              <w:rPr>
                <w:sz w:val="20"/>
                <w:lang w:val="fr-CA"/>
              </w:rPr>
              <w:t>)(</w:t>
            </w:r>
            <w:proofErr w:type="gramEnd"/>
            <w:r w:rsidRPr="000A2294">
              <w:rPr>
                <w:sz w:val="20"/>
                <w:lang w:val="fr-CA"/>
              </w:rPr>
              <w:t xml:space="preserve">iv) de la </w:t>
            </w:r>
            <w:r w:rsidRPr="000A2294">
              <w:rPr>
                <w:i/>
                <w:sz w:val="20"/>
                <w:lang w:val="fr-CA"/>
              </w:rPr>
              <w:t>Loi sur la prescription</w:t>
            </w:r>
            <w:r w:rsidRPr="000A2294">
              <w:rPr>
                <w:sz w:val="20"/>
                <w:lang w:val="fr-CA"/>
              </w:rPr>
              <w:t xml:space="preserve">? — Quel est l’objectif des délais de prescription ultimes prévus à l’art. 15 de la </w:t>
            </w:r>
            <w:r w:rsidRPr="000A2294">
              <w:rPr>
                <w:i/>
                <w:sz w:val="20"/>
                <w:lang w:val="fr-CA"/>
              </w:rPr>
              <w:t>Loi sur la prescription</w:t>
            </w:r>
            <w:r w:rsidRPr="000A2294">
              <w:rPr>
                <w:sz w:val="20"/>
                <w:lang w:val="fr-CA"/>
              </w:rPr>
              <w:t xml:space="preserve">? </w:t>
            </w:r>
          </w:p>
        </w:tc>
      </w:tr>
      <w:tr w:rsidR="00F25986" w:rsidRPr="00F935FF" w:rsidTr="00E95A6A">
        <w:tc>
          <w:tcPr>
            <w:tcW w:w="5000" w:type="pct"/>
            <w:gridSpan w:val="4"/>
          </w:tcPr>
          <w:p w:rsidR="00F25986" w:rsidRPr="000A2294" w:rsidRDefault="00F25986" w:rsidP="00F25986">
            <w:pPr>
              <w:jc w:val="both"/>
              <w:rPr>
                <w:sz w:val="20"/>
                <w:lang w:val="fr-CA"/>
              </w:rPr>
            </w:pPr>
          </w:p>
        </w:tc>
      </w:tr>
      <w:tr w:rsidR="00F25986" w:rsidRPr="000A2294" w:rsidTr="00E95A6A">
        <w:tc>
          <w:tcPr>
            <w:tcW w:w="5000" w:type="pct"/>
            <w:gridSpan w:val="4"/>
          </w:tcPr>
          <w:p w:rsidR="00F25986" w:rsidRPr="000A2294" w:rsidRDefault="00F25986" w:rsidP="00F25986">
            <w:pPr>
              <w:jc w:val="both"/>
              <w:rPr>
                <w:sz w:val="20"/>
                <w:lang w:val="fr-CA"/>
              </w:rPr>
            </w:pPr>
            <w:r w:rsidRPr="000A2294">
              <w:rPr>
                <w:color w:val="000000"/>
                <w:sz w:val="20"/>
                <w:lang w:val="fr-CA"/>
              </w:rPr>
              <w:t>En 2007, M</w:t>
            </w:r>
            <w:r w:rsidRPr="000A2294">
              <w:rPr>
                <w:color w:val="000000"/>
                <w:sz w:val="20"/>
                <w:vertAlign w:val="superscript"/>
                <w:lang w:val="fr-CA"/>
              </w:rPr>
              <w:t>me</w:t>
            </w:r>
            <w:r w:rsidRPr="000A2294">
              <w:rPr>
                <w:color w:val="000000"/>
                <w:sz w:val="20"/>
                <w:lang w:val="fr-CA"/>
              </w:rPr>
              <w:t> Visic a été embauchée par le cabinet d’avocats E</w:t>
            </w:r>
            <w:r w:rsidRPr="000A2294">
              <w:rPr>
                <w:sz w:val="20"/>
                <w:lang w:val="fr-CA"/>
              </w:rPr>
              <w:t>lia Associates Professional Corporation</w:t>
            </w:r>
            <w:r w:rsidRPr="000A2294">
              <w:rPr>
                <w:color w:val="000000"/>
                <w:sz w:val="20"/>
                <w:lang w:val="fr-CA"/>
              </w:rPr>
              <w:t xml:space="preserve"> à titre de stagiaire en droit sous la supervision de M</w:t>
            </w:r>
            <w:r w:rsidRPr="000A2294">
              <w:rPr>
                <w:color w:val="000000"/>
                <w:sz w:val="20"/>
                <w:vertAlign w:val="superscript"/>
                <w:lang w:val="fr-CA"/>
              </w:rPr>
              <w:t>me</w:t>
            </w:r>
            <w:r w:rsidRPr="000A2294">
              <w:rPr>
                <w:color w:val="000000"/>
                <w:sz w:val="20"/>
                <w:lang w:val="fr-CA"/>
              </w:rPr>
              <w:t> Elia, son maître de stage. Le stage s’est terminé après cinq mois. En 2018, M</w:t>
            </w:r>
            <w:r w:rsidRPr="000A2294">
              <w:rPr>
                <w:color w:val="000000"/>
                <w:sz w:val="20"/>
                <w:vertAlign w:val="superscript"/>
                <w:lang w:val="fr-CA"/>
              </w:rPr>
              <w:t>me</w:t>
            </w:r>
            <w:r w:rsidRPr="000A2294">
              <w:rPr>
                <w:color w:val="000000"/>
                <w:sz w:val="20"/>
                <w:lang w:val="fr-CA"/>
              </w:rPr>
              <w:t> Visic a intenté une action pour diffamation, négligence, congédiement injustifié, manquement professionnel et autres causes d’action. Les défenderesses ont présenté une motion en jugement sommaire dans laquelle elles faisaient valoir que l’action de M</w:t>
            </w:r>
            <w:r w:rsidRPr="000A2294">
              <w:rPr>
                <w:color w:val="000000"/>
                <w:sz w:val="20"/>
                <w:vertAlign w:val="superscript"/>
                <w:lang w:val="fr-CA"/>
              </w:rPr>
              <w:t>me</w:t>
            </w:r>
            <w:r w:rsidRPr="000A2294">
              <w:rPr>
                <w:color w:val="000000"/>
                <w:sz w:val="20"/>
                <w:lang w:val="fr-CA"/>
              </w:rPr>
              <w:t xml:space="preserve"> Visic était prescrite en application du délai de prescription prévu dans la </w:t>
            </w:r>
            <w:r w:rsidRPr="000A2294">
              <w:rPr>
                <w:i/>
                <w:sz w:val="20"/>
                <w:lang w:val="fr-CA"/>
              </w:rPr>
              <w:t>Loi de 2002 sur la prescription des actions</w:t>
            </w:r>
            <w:hyperlink r:id="rId60" w:history="1"/>
            <w:r w:rsidRPr="000A2294">
              <w:rPr>
                <w:color w:val="000000" w:themeColor="text1"/>
                <w:sz w:val="20"/>
                <w:lang w:val="fr-CA"/>
              </w:rPr>
              <w:t>, L.O. 2002, c. 24. La Cour supérieure de justice de l’Ontario a accordé le jugement sommaire et rejeté l’action</w:t>
            </w:r>
            <w:r w:rsidRPr="000A2294">
              <w:rPr>
                <w:color w:val="000000"/>
                <w:sz w:val="20"/>
                <w:lang w:val="fr-CA"/>
              </w:rPr>
              <w:t xml:space="preserve"> de M</w:t>
            </w:r>
            <w:r w:rsidRPr="000A2294">
              <w:rPr>
                <w:color w:val="000000"/>
                <w:sz w:val="20"/>
                <w:vertAlign w:val="superscript"/>
                <w:lang w:val="fr-CA"/>
              </w:rPr>
              <w:t>me</w:t>
            </w:r>
            <w:r w:rsidRPr="000A2294">
              <w:rPr>
                <w:color w:val="000000"/>
                <w:sz w:val="20"/>
                <w:lang w:val="fr-CA"/>
              </w:rPr>
              <w:t> Visic</w:t>
            </w:r>
            <w:r w:rsidRPr="000A2294">
              <w:rPr>
                <w:color w:val="000000" w:themeColor="text1"/>
                <w:sz w:val="20"/>
                <w:lang w:val="fr-CA"/>
              </w:rPr>
              <w:t xml:space="preserve">. La Cour d’appel a rejeté l’appel. </w:t>
            </w:r>
          </w:p>
          <w:p w:rsidR="00F25986" w:rsidRPr="000A2294" w:rsidRDefault="00F25986" w:rsidP="00F25986">
            <w:pPr>
              <w:jc w:val="both"/>
              <w:rPr>
                <w:sz w:val="20"/>
                <w:lang w:val="fr-CA"/>
              </w:rPr>
            </w:pPr>
          </w:p>
        </w:tc>
      </w:tr>
      <w:tr w:rsidR="00F25986" w:rsidRPr="00F935FF" w:rsidTr="00E95A6A">
        <w:tc>
          <w:tcPr>
            <w:tcW w:w="2427" w:type="pct"/>
            <w:gridSpan w:val="2"/>
          </w:tcPr>
          <w:p w:rsidR="00F25986" w:rsidRPr="000A2294" w:rsidRDefault="00F25986" w:rsidP="00F25986">
            <w:pPr>
              <w:jc w:val="both"/>
              <w:rPr>
                <w:sz w:val="20"/>
                <w:lang w:val="fr-CA"/>
              </w:rPr>
            </w:pPr>
            <w:r w:rsidRPr="000A2294">
              <w:rPr>
                <w:sz w:val="20"/>
                <w:lang w:val="fr-CA"/>
              </w:rPr>
              <w:t>20 mai 2022</w:t>
            </w:r>
          </w:p>
          <w:p w:rsidR="00F25986" w:rsidRPr="000A2294" w:rsidRDefault="00F25986" w:rsidP="00F25986">
            <w:pPr>
              <w:jc w:val="both"/>
              <w:rPr>
                <w:sz w:val="20"/>
                <w:lang w:val="fr-CA"/>
              </w:rPr>
            </w:pPr>
            <w:r w:rsidRPr="000A2294">
              <w:rPr>
                <w:sz w:val="20"/>
                <w:lang w:val="fr-CA"/>
              </w:rPr>
              <w:t>Cour supérieure de justice de l’Ontario</w:t>
            </w:r>
          </w:p>
          <w:p w:rsidR="00F25986" w:rsidRPr="000A2294" w:rsidRDefault="00F25986" w:rsidP="00F25986">
            <w:pPr>
              <w:jc w:val="both"/>
              <w:rPr>
                <w:sz w:val="20"/>
                <w:lang w:val="fr-CA"/>
              </w:rPr>
            </w:pPr>
            <w:r w:rsidRPr="000A2294">
              <w:rPr>
                <w:sz w:val="20"/>
                <w:lang w:val="fr-CA"/>
              </w:rPr>
              <w:t xml:space="preserve">(Juge Vella) </w:t>
            </w:r>
          </w:p>
          <w:p w:rsidR="00F25986" w:rsidRPr="000A2294" w:rsidRDefault="00F935FF" w:rsidP="00F25986">
            <w:pPr>
              <w:jc w:val="both"/>
              <w:rPr>
                <w:sz w:val="20"/>
                <w:lang w:val="fr-CA"/>
              </w:rPr>
            </w:pPr>
            <w:hyperlink r:id="rId61" w:history="1">
              <w:r w:rsidR="00F25986" w:rsidRPr="000A2294">
                <w:rPr>
                  <w:rStyle w:val="Hyperlink"/>
                  <w:sz w:val="20"/>
                  <w:lang w:val="fr-CA"/>
                </w:rPr>
                <w:t>2022 ONSC 3030</w:t>
              </w:r>
            </w:hyperlink>
          </w:p>
          <w:p w:rsidR="00F25986" w:rsidRPr="000A2294" w:rsidRDefault="00F25986" w:rsidP="00F25986">
            <w:pPr>
              <w:jc w:val="both"/>
              <w:rPr>
                <w:sz w:val="20"/>
                <w:lang w:val="fr-CA"/>
              </w:rPr>
            </w:pPr>
          </w:p>
        </w:tc>
        <w:tc>
          <w:tcPr>
            <w:tcW w:w="243" w:type="pct"/>
          </w:tcPr>
          <w:p w:rsidR="00F25986" w:rsidRPr="000A2294" w:rsidRDefault="00F25986" w:rsidP="00F25986">
            <w:pPr>
              <w:jc w:val="both"/>
              <w:rPr>
                <w:sz w:val="20"/>
                <w:lang w:val="fr-CA"/>
              </w:rPr>
            </w:pPr>
          </w:p>
        </w:tc>
        <w:tc>
          <w:tcPr>
            <w:tcW w:w="2330" w:type="pct"/>
          </w:tcPr>
          <w:p w:rsidR="00F25986" w:rsidRPr="000A2294" w:rsidRDefault="00F25986" w:rsidP="00F25986">
            <w:pPr>
              <w:jc w:val="both"/>
              <w:rPr>
                <w:sz w:val="20"/>
                <w:lang w:val="fr-CA"/>
              </w:rPr>
            </w:pPr>
            <w:r w:rsidRPr="000A2294">
              <w:rPr>
                <w:sz w:val="20"/>
                <w:lang w:val="fr-CA"/>
              </w:rPr>
              <w:t xml:space="preserve">Motion en jugement sommaire accueillie et action rejetée. </w:t>
            </w:r>
          </w:p>
          <w:p w:rsidR="00F25986" w:rsidRPr="000A2294" w:rsidRDefault="00F25986" w:rsidP="00F25986">
            <w:pPr>
              <w:jc w:val="both"/>
              <w:rPr>
                <w:sz w:val="20"/>
                <w:lang w:val="fr-CA"/>
              </w:rPr>
            </w:pPr>
          </w:p>
        </w:tc>
      </w:tr>
      <w:tr w:rsidR="00F25986" w:rsidRPr="000A2294" w:rsidTr="00E95A6A">
        <w:tc>
          <w:tcPr>
            <w:tcW w:w="2427" w:type="pct"/>
            <w:gridSpan w:val="2"/>
          </w:tcPr>
          <w:p w:rsidR="00F25986" w:rsidRPr="000A2294" w:rsidRDefault="00F25986" w:rsidP="00F25986">
            <w:pPr>
              <w:jc w:val="both"/>
              <w:rPr>
                <w:sz w:val="20"/>
                <w:lang w:val="fr-CA"/>
              </w:rPr>
            </w:pPr>
            <w:r w:rsidRPr="000A2294">
              <w:rPr>
                <w:sz w:val="20"/>
                <w:lang w:val="fr-CA"/>
              </w:rPr>
              <w:t>1</w:t>
            </w:r>
            <w:r w:rsidRPr="000A2294">
              <w:rPr>
                <w:sz w:val="20"/>
                <w:vertAlign w:val="superscript"/>
                <w:lang w:val="fr-CA"/>
              </w:rPr>
              <w:t>er</w:t>
            </w:r>
            <w:r w:rsidRPr="000A2294">
              <w:rPr>
                <w:sz w:val="20"/>
                <w:lang w:val="fr-CA"/>
              </w:rPr>
              <w:t xml:space="preserve"> décembre 2022</w:t>
            </w:r>
          </w:p>
          <w:p w:rsidR="00F25986" w:rsidRPr="000A2294" w:rsidRDefault="00F25986" w:rsidP="00F25986">
            <w:pPr>
              <w:jc w:val="both"/>
              <w:rPr>
                <w:sz w:val="20"/>
                <w:lang w:val="fr-CA"/>
              </w:rPr>
            </w:pPr>
            <w:r w:rsidRPr="000A2294">
              <w:rPr>
                <w:sz w:val="20"/>
                <w:lang w:val="fr-CA"/>
              </w:rPr>
              <w:t>Cour d’appel de l’Ontario</w:t>
            </w:r>
          </w:p>
          <w:p w:rsidR="00F25986" w:rsidRPr="000A2294" w:rsidRDefault="00F25986" w:rsidP="00F25986">
            <w:pPr>
              <w:jc w:val="both"/>
              <w:rPr>
                <w:sz w:val="20"/>
                <w:lang w:val="fr-CA"/>
              </w:rPr>
            </w:pPr>
            <w:r w:rsidRPr="000A2294">
              <w:rPr>
                <w:sz w:val="20"/>
                <w:lang w:val="fr-CA"/>
              </w:rPr>
              <w:t>(Juges MacPherson, Miller et Copeland)</w:t>
            </w:r>
          </w:p>
          <w:p w:rsidR="00F25986" w:rsidRPr="000A2294" w:rsidRDefault="00F935FF" w:rsidP="00F25986">
            <w:pPr>
              <w:jc w:val="both"/>
              <w:rPr>
                <w:sz w:val="20"/>
                <w:lang w:val="fr-CA"/>
              </w:rPr>
            </w:pPr>
            <w:hyperlink r:id="rId62" w:history="1">
              <w:r w:rsidR="00F25986" w:rsidRPr="000A2294">
                <w:rPr>
                  <w:rStyle w:val="Hyperlink"/>
                  <w:sz w:val="20"/>
                  <w:lang w:val="fr-CA"/>
                </w:rPr>
                <w:t>2022 ONCA 841</w:t>
              </w:r>
            </w:hyperlink>
            <w:r w:rsidR="00F25986" w:rsidRPr="000A2294">
              <w:rPr>
                <w:sz w:val="20"/>
                <w:lang w:val="fr-CA"/>
              </w:rPr>
              <w:t>; C70804</w:t>
            </w:r>
          </w:p>
          <w:p w:rsidR="00F25986" w:rsidRPr="000A2294" w:rsidRDefault="00F25986" w:rsidP="00F25986">
            <w:pPr>
              <w:jc w:val="both"/>
              <w:rPr>
                <w:sz w:val="20"/>
                <w:lang w:val="fr-CA"/>
              </w:rPr>
            </w:pPr>
          </w:p>
        </w:tc>
        <w:tc>
          <w:tcPr>
            <w:tcW w:w="243" w:type="pct"/>
          </w:tcPr>
          <w:p w:rsidR="00F25986" w:rsidRPr="000A2294" w:rsidRDefault="00F25986" w:rsidP="00F25986">
            <w:pPr>
              <w:jc w:val="both"/>
              <w:rPr>
                <w:sz w:val="20"/>
                <w:lang w:val="fr-CA"/>
              </w:rPr>
            </w:pPr>
          </w:p>
        </w:tc>
        <w:tc>
          <w:tcPr>
            <w:tcW w:w="2330" w:type="pct"/>
          </w:tcPr>
          <w:p w:rsidR="00F25986" w:rsidRPr="000A2294" w:rsidRDefault="00F25986" w:rsidP="00F25986">
            <w:pPr>
              <w:jc w:val="both"/>
              <w:rPr>
                <w:sz w:val="20"/>
                <w:lang w:val="fr-CA"/>
              </w:rPr>
            </w:pPr>
            <w:r w:rsidRPr="000A2294">
              <w:rPr>
                <w:sz w:val="20"/>
                <w:lang w:val="fr-CA"/>
              </w:rPr>
              <w:t xml:space="preserve">Appel rejeté. </w:t>
            </w:r>
          </w:p>
          <w:p w:rsidR="00F25986" w:rsidRPr="000A2294" w:rsidRDefault="00F25986" w:rsidP="00F25986">
            <w:pPr>
              <w:jc w:val="both"/>
              <w:rPr>
                <w:sz w:val="20"/>
                <w:lang w:val="fr-CA"/>
              </w:rPr>
            </w:pPr>
          </w:p>
        </w:tc>
      </w:tr>
      <w:tr w:rsidR="00F25986" w:rsidRPr="000A2294" w:rsidTr="00E95A6A">
        <w:tc>
          <w:tcPr>
            <w:tcW w:w="2427" w:type="pct"/>
            <w:gridSpan w:val="2"/>
          </w:tcPr>
          <w:p w:rsidR="00F25986" w:rsidRPr="000A2294" w:rsidRDefault="00F25986" w:rsidP="00F25986">
            <w:pPr>
              <w:jc w:val="both"/>
              <w:rPr>
                <w:sz w:val="20"/>
                <w:lang w:val="fr-CA"/>
              </w:rPr>
            </w:pPr>
            <w:r w:rsidRPr="000A2294">
              <w:rPr>
                <w:sz w:val="20"/>
                <w:lang w:val="fr-CA"/>
              </w:rPr>
              <w:t>16 janvier 2023</w:t>
            </w:r>
          </w:p>
          <w:p w:rsidR="00F25986" w:rsidRPr="000A2294" w:rsidRDefault="00F25986" w:rsidP="00F25986">
            <w:pPr>
              <w:jc w:val="both"/>
              <w:rPr>
                <w:sz w:val="20"/>
                <w:lang w:val="fr-CA"/>
              </w:rPr>
            </w:pPr>
            <w:r w:rsidRPr="000A2294">
              <w:rPr>
                <w:sz w:val="20"/>
                <w:lang w:val="fr-CA"/>
              </w:rPr>
              <w:t>Cour suprême du Canada</w:t>
            </w:r>
          </w:p>
        </w:tc>
        <w:tc>
          <w:tcPr>
            <w:tcW w:w="243" w:type="pct"/>
          </w:tcPr>
          <w:p w:rsidR="00F25986" w:rsidRPr="000A2294" w:rsidRDefault="00F25986" w:rsidP="00F25986">
            <w:pPr>
              <w:jc w:val="both"/>
              <w:rPr>
                <w:sz w:val="20"/>
                <w:lang w:val="fr-CA"/>
              </w:rPr>
            </w:pPr>
          </w:p>
        </w:tc>
        <w:tc>
          <w:tcPr>
            <w:tcW w:w="2330" w:type="pct"/>
          </w:tcPr>
          <w:p w:rsidR="00F25986" w:rsidRPr="000A2294" w:rsidRDefault="00F25986" w:rsidP="00F25986">
            <w:pPr>
              <w:jc w:val="both"/>
              <w:rPr>
                <w:sz w:val="20"/>
                <w:lang w:val="fr-CA"/>
              </w:rPr>
            </w:pPr>
            <w:r w:rsidRPr="000A2294">
              <w:rPr>
                <w:sz w:val="20"/>
                <w:lang w:val="fr-CA"/>
              </w:rPr>
              <w:t>Demande d’autorisation d’appel déposée.</w:t>
            </w:r>
          </w:p>
          <w:p w:rsidR="00F25986" w:rsidRPr="000A2294" w:rsidRDefault="00F25986" w:rsidP="00F25986">
            <w:pPr>
              <w:jc w:val="both"/>
              <w:rPr>
                <w:sz w:val="20"/>
                <w:lang w:val="fr-CA"/>
              </w:rPr>
            </w:pPr>
          </w:p>
        </w:tc>
      </w:tr>
    </w:tbl>
    <w:p w:rsidR="00F25986" w:rsidRPr="000A2294" w:rsidRDefault="00F25986" w:rsidP="00906DE0">
      <w:pPr>
        <w:jc w:val="both"/>
        <w:rPr>
          <w:sz w:val="20"/>
          <w:lang w:val="fr-CA"/>
        </w:rPr>
      </w:pPr>
    </w:p>
    <w:p w:rsidR="00E028BD" w:rsidRPr="000A2294" w:rsidRDefault="00F935FF" w:rsidP="00906DE0">
      <w:pPr>
        <w:widowControl w:val="0"/>
        <w:jc w:val="both"/>
        <w:rPr>
          <w:sz w:val="20"/>
          <w:lang w:val="fr-CA"/>
        </w:rPr>
      </w:pPr>
      <w:r>
        <w:rPr>
          <w:sz w:val="20"/>
        </w:rPr>
        <w:pict>
          <v:rect id="_x0000_i1038" style="width:2in;height:1pt" o:hrpct="0" o:hralign="center" o:hrstd="t" o:hrnoshade="t" o:hr="t" fillcolor="black [3213]" stroked="f"/>
        </w:pict>
      </w:r>
    </w:p>
    <w:p w:rsidR="00E028BD" w:rsidRPr="000A2294" w:rsidRDefault="00E028BD" w:rsidP="00906DE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6DE0" w:rsidRPr="000A2294" w:rsidTr="00E95A6A">
        <w:tc>
          <w:tcPr>
            <w:tcW w:w="543" w:type="pct"/>
          </w:tcPr>
          <w:p w:rsidR="00906DE0" w:rsidRPr="000A2294" w:rsidRDefault="00906DE0" w:rsidP="00906DE0">
            <w:pPr>
              <w:jc w:val="both"/>
              <w:rPr>
                <w:sz w:val="20"/>
                <w:lang w:val="en-CA"/>
              </w:rPr>
            </w:pPr>
            <w:r w:rsidRPr="000A2294">
              <w:rPr>
                <w:rStyle w:val="SCCFileNumberChar"/>
                <w:sz w:val="20"/>
                <w:szCs w:val="20"/>
              </w:rPr>
              <w:t>40431</w:t>
            </w:r>
          </w:p>
        </w:tc>
        <w:tc>
          <w:tcPr>
            <w:tcW w:w="4457" w:type="pct"/>
            <w:gridSpan w:val="3"/>
          </w:tcPr>
          <w:p w:rsidR="00906DE0" w:rsidRPr="000A2294" w:rsidRDefault="00906DE0" w:rsidP="00906DE0">
            <w:pPr>
              <w:pStyle w:val="SCCLsocParty"/>
              <w:jc w:val="both"/>
              <w:rPr>
                <w:b/>
                <w:sz w:val="20"/>
                <w:szCs w:val="20"/>
                <w:lang w:val="en-CA"/>
              </w:rPr>
            </w:pPr>
            <w:r w:rsidRPr="000A2294">
              <w:rPr>
                <w:b/>
                <w:sz w:val="20"/>
                <w:szCs w:val="20"/>
                <w:lang w:val="en-CA"/>
              </w:rPr>
              <w:t>G.C. v. RBC Life Insurance Company</w:t>
            </w:r>
          </w:p>
          <w:p w:rsidR="00906DE0" w:rsidRPr="000A2294" w:rsidRDefault="00906DE0" w:rsidP="00906DE0">
            <w:pPr>
              <w:jc w:val="both"/>
              <w:rPr>
                <w:sz w:val="20"/>
                <w:lang w:val="en-CA"/>
              </w:rPr>
            </w:pPr>
            <w:r w:rsidRPr="000A2294">
              <w:rPr>
                <w:sz w:val="20"/>
                <w:lang w:val="en-CA"/>
              </w:rPr>
              <w:t>(Que.) (Civil) (By Leave)</w:t>
            </w:r>
          </w:p>
        </w:tc>
      </w:tr>
      <w:tr w:rsidR="00906DE0" w:rsidRPr="000A2294" w:rsidTr="00E95A6A">
        <w:tc>
          <w:tcPr>
            <w:tcW w:w="5000" w:type="pct"/>
            <w:gridSpan w:val="4"/>
          </w:tcPr>
          <w:p w:rsidR="00906DE0" w:rsidRPr="000A2294" w:rsidRDefault="00906DE0" w:rsidP="00906DE0">
            <w:pPr>
              <w:pStyle w:val="SCCBanSummary"/>
              <w:rPr>
                <w:sz w:val="20"/>
                <w:szCs w:val="20"/>
              </w:rPr>
            </w:pPr>
            <w:r w:rsidRPr="000A2294">
              <w:rPr>
                <w:sz w:val="20"/>
                <w:szCs w:val="20"/>
              </w:rPr>
              <w:t>(Publication ban in case) (Sealing order)</w:t>
            </w:r>
          </w:p>
          <w:p w:rsidR="00906DE0" w:rsidRPr="000A2294" w:rsidRDefault="00906DE0" w:rsidP="00906DE0">
            <w:pPr>
              <w:pStyle w:val="SCCBanSummary"/>
              <w:rPr>
                <w:sz w:val="20"/>
                <w:szCs w:val="20"/>
              </w:rPr>
            </w:pPr>
            <w:r w:rsidRPr="000A2294">
              <w:rPr>
                <w:sz w:val="20"/>
                <w:szCs w:val="20"/>
              </w:rPr>
              <w:t>(Certain information not available to the public)</w:t>
            </w:r>
          </w:p>
          <w:p w:rsidR="00906DE0" w:rsidRPr="000A2294" w:rsidRDefault="00906DE0" w:rsidP="00906DE0">
            <w:pPr>
              <w:jc w:val="both"/>
              <w:rPr>
                <w:sz w:val="20"/>
                <w:lang w:val="en-CA"/>
              </w:rPr>
            </w:pPr>
          </w:p>
          <w:p w:rsidR="00906DE0" w:rsidRPr="000A2294" w:rsidRDefault="00906DE0" w:rsidP="00906DE0">
            <w:pPr>
              <w:jc w:val="both"/>
              <w:rPr>
                <w:sz w:val="20"/>
                <w:lang w:val="en-CA"/>
              </w:rPr>
            </w:pPr>
            <w:r w:rsidRPr="000A2294">
              <w:rPr>
                <w:sz w:val="20"/>
                <w:lang w:val="en-CA"/>
              </w:rPr>
              <w:t>Insurance — Personal insurance — Disability insurance — Total disability — Rider amending definition of total disability in insurance policy — Whether concept of total disability means inability to perform all important duties of an occupation or rather substantial inability to perform important duties of insured’s occupation.</w:t>
            </w:r>
          </w:p>
        </w:tc>
      </w:tr>
      <w:tr w:rsidR="00906DE0" w:rsidRPr="000A2294" w:rsidTr="00E95A6A">
        <w:tc>
          <w:tcPr>
            <w:tcW w:w="5000" w:type="pct"/>
            <w:gridSpan w:val="4"/>
          </w:tcPr>
          <w:p w:rsidR="00906DE0" w:rsidRPr="000A2294" w:rsidRDefault="00906DE0" w:rsidP="00906DE0">
            <w:pPr>
              <w:jc w:val="both"/>
              <w:rPr>
                <w:sz w:val="20"/>
                <w:lang w:val="en-CA"/>
              </w:rPr>
            </w:pPr>
          </w:p>
          <w:p w:rsidR="00906DE0" w:rsidRPr="000A2294" w:rsidRDefault="00906DE0" w:rsidP="00906DE0">
            <w:pPr>
              <w:jc w:val="both"/>
              <w:rPr>
                <w:sz w:val="20"/>
                <w:lang w:val="en-CA"/>
              </w:rPr>
            </w:pPr>
            <w:r w:rsidRPr="000A2294">
              <w:rPr>
                <w:sz w:val="20"/>
                <w:lang w:val="en-CA"/>
              </w:rPr>
              <w:t xml:space="preserve">The applicant took out a disability insurance policy with an insurance company (today the respondent). The policy included a rider that amended the definition of total disability in the policy. On April 13, 2014, the applicant went into cardiac arrest. He received total disability benefits and partial disability benefits for some time. However, on January 7, 2016, the respondent informed him that it believed there was no objective medical evidence supporting a persistent partial disability that would have prevented him from resuming work full time after February 11, 2015. The applicant brought legal proceedings in the Quebec Superior Court, seeking to be declared </w:t>
            </w:r>
            <w:proofErr w:type="gramStart"/>
            <w:r w:rsidRPr="000A2294">
              <w:rPr>
                <w:sz w:val="20"/>
                <w:lang w:val="en-CA"/>
              </w:rPr>
              <w:t>totally</w:t>
            </w:r>
            <w:proofErr w:type="gramEnd"/>
            <w:r w:rsidRPr="000A2294">
              <w:rPr>
                <w:sz w:val="20"/>
                <w:lang w:val="en-CA"/>
              </w:rPr>
              <w:t xml:space="preserve"> disabled and to receive disability benefits accordingly. To his application, he added alternative conclusions in which he sought residual disability benefits and reimbursement of the premiums paid between February 2015 and February 2016. The Superior Court allowed the </w:t>
            </w:r>
            <w:proofErr w:type="gramStart"/>
            <w:r w:rsidRPr="000A2294">
              <w:rPr>
                <w:sz w:val="20"/>
                <w:lang w:val="en-CA"/>
              </w:rPr>
              <w:t>applicant’s</w:t>
            </w:r>
            <w:proofErr w:type="gramEnd"/>
            <w:r w:rsidRPr="000A2294">
              <w:rPr>
                <w:sz w:val="20"/>
                <w:lang w:val="en-CA"/>
              </w:rPr>
              <w:t xml:space="preserve"> amended application in part. It declared that he did not have a total disability within the meaning of the insurance policy, except during the period of April 13, 2014, to April 11, 2015. In addition, having found that no amount was owing to him for the period prior to February 11, 2015, the Superior Court declared that he was entitled to total disability benefits only for the period of February 11 to April 11, 2015, and residual disability benefits only for the period of April 11, 2015, to February 11, 2016. It therefore ordered the respondent to pay the applicant a total of $49,247 in disability benefits and $3,053.44 to reimburse the premiums he had paid between February 1, 2015, and February 28, 2016. The applicant appealed the Superior Court’s judgment, but the Quebec Court of Appeal dismissed the appeal. In its view, the applicant did not have a total disability.</w:t>
            </w:r>
          </w:p>
          <w:p w:rsidR="00906DE0" w:rsidRPr="000A2294" w:rsidRDefault="00906DE0" w:rsidP="00906DE0">
            <w:pPr>
              <w:jc w:val="both"/>
              <w:rPr>
                <w:sz w:val="20"/>
                <w:lang w:val="en-CA"/>
              </w:rPr>
            </w:pPr>
          </w:p>
        </w:tc>
      </w:tr>
      <w:tr w:rsidR="00906DE0" w:rsidRPr="000A2294" w:rsidTr="00E95A6A">
        <w:tc>
          <w:tcPr>
            <w:tcW w:w="2427" w:type="pct"/>
            <w:gridSpan w:val="2"/>
          </w:tcPr>
          <w:p w:rsidR="00906DE0" w:rsidRPr="000A2294" w:rsidRDefault="00906DE0" w:rsidP="00906DE0">
            <w:pPr>
              <w:jc w:val="both"/>
              <w:rPr>
                <w:sz w:val="20"/>
                <w:lang w:val="en-CA"/>
              </w:rPr>
            </w:pPr>
            <w:r w:rsidRPr="000A2294">
              <w:rPr>
                <w:sz w:val="20"/>
                <w:lang w:val="en-CA"/>
              </w:rPr>
              <w:t>February 9, 2021</w:t>
            </w:r>
          </w:p>
          <w:p w:rsidR="00906DE0" w:rsidRPr="000A2294" w:rsidRDefault="00906DE0" w:rsidP="00906DE0">
            <w:pPr>
              <w:jc w:val="both"/>
              <w:rPr>
                <w:sz w:val="20"/>
                <w:lang w:val="en-CA"/>
              </w:rPr>
            </w:pPr>
            <w:r w:rsidRPr="000A2294">
              <w:rPr>
                <w:sz w:val="20"/>
                <w:lang w:val="en-CA"/>
              </w:rPr>
              <w:t>Quebec Superior Court</w:t>
            </w:r>
          </w:p>
          <w:p w:rsidR="00906DE0" w:rsidRPr="000A2294" w:rsidRDefault="00906DE0" w:rsidP="00906DE0">
            <w:pPr>
              <w:jc w:val="both"/>
              <w:rPr>
                <w:sz w:val="20"/>
                <w:lang w:val="en-CA"/>
              </w:rPr>
            </w:pPr>
            <w:r w:rsidRPr="000A2294">
              <w:rPr>
                <w:sz w:val="20"/>
                <w:lang w:val="en-CA"/>
              </w:rPr>
              <w:t>(Villeneuve J.)</w:t>
            </w:r>
          </w:p>
          <w:p w:rsidR="00906DE0" w:rsidRPr="000A2294" w:rsidRDefault="00906DE0" w:rsidP="00906DE0">
            <w:pPr>
              <w:jc w:val="both"/>
              <w:rPr>
                <w:sz w:val="20"/>
                <w:lang w:val="en-CA"/>
              </w:rPr>
            </w:pPr>
            <w:r w:rsidRPr="000A2294">
              <w:rPr>
                <w:sz w:val="20"/>
                <w:lang w:val="en-CA"/>
              </w:rPr>
              <w:t>File: 460-17-002441-178</w:t>
            </w:r>
          </w:p>
          <w:p w:rsidR="00906DE0" w:rsidRPr="000A2294" w:rsidRDefault="00F935FF" w:rsidP="00906DE0">
            <w:pPr>
              <w:jc w:val="both"/>
              <w:rPr>
                <w:sz w:val="20"/>
                <w:lang w:val="en-CA"/>
              </w:rPr>
            </w:pPr>
            <w:hyperlink r:id="rId63" w:history="1">
              <w:r w:rsidR="00906DE0" w:rsidRPr="000A2294">
                <w:rPr>
                  <w:rStyle w:val="Hyperlink"/>
                  <w:sz w:val="20"/>
                  <w:lang w:val="en-CA"/>
                </w:rPr>
                <w:t>2021 QCCS 322</w:t>
              </w:r>
            </w:hyperlink>
          </w:p>
        </w:tc>
        <w:tc>
          <w:tcPr>
            <w:tcW w:w="243" w:type="pct"/>
          </w:tcPr>
          <w:p w:rsidR="00906DE0" w:rsidRPr="000A2294" w:rsidRDefault="00906DE0" w:rsidP="00906DE0">
            <w:pPr>
              <w:jc w:val="both"/>
              <w:rPr>
                <w:sz w:val="20"/>
                <w:lang w:val="en-CA"/>
              </w:rPr>
            </w:pPr>
          </w:p>
        </w:tc>
        <w:tc>
          <w:tcPr>
            <w:tcW w:w="2330" w:type="pct"/>
          </w:tcPr>
          <w:p w:rsidR="00906DE0" w:rsidRPr="000A2294" w:rsidRDefault="00906DE0" w:rsidP="00906DE0">
            <w:pPr>
              <w:jc w:val="both"/>
              <w:rPr>
                <w:sz w:val="20"/>
                <w:lang w:val="en-CA"/>
              </w:rPr>
            </w:pPr>
            <w:r w:rsidRPr="000A2294">
              <w:rPr>
                <w:sz w:val="20"/>
                <w:lang w:val="en-CA"/>
              </w:rPr>
              <w:t>Applicant’s amended originating application allowed in part</w:t>
            </w:r>
          </w:p>
        </w:tc>
      </w:tr>
      <w:tr w:rsidR="00906DE0" w:rsidRPr="000A2294" w:rsidTr="00E95A6A">
        <w:tc>
          <w:tcPr>
            <w:tcW w:w="2427" w:type="pct"/>
            <w:gridSpan w:val="2"/>
          </w:tcPr>
          <w:p w:rsidR="00906DE0" w:rsidRPr="000A2294" w:rsidRDefault="00906DE0" w:rsidP="00906DE0">
            <w:pPr>
              <w:jc w:val="both"/>
              <w:rPr>
                <w:sz w:val="20"/>
                <w:lang w:val="en-CA"/>
              </w:rPr>
            </w:pPr>
          </w:p>
          <w:p w:rsidR="00906DE0" w:rsidRPr="000A2294" w:rsidRDefault="00906DE0" w:rsidP="00906DE0">
            <w:pPr>
              <w:jc w:val="both"/>
              <w:rPr>
                <w:sz w:val="20"/>
                <w:lang w:val="en-CA"/>
              </w:rPr>
            </w:pPr>
            <w:r w:rsidRPr="000A2294">
              <w:rPr>
                <w:sz w:val="20"/>
                <w:lang w:val="en-CA"/>
              </w:rPr>
              <w:t>August 23, 2022</w:t>
            </w:r>
          </w:p>
          <w:p w:rsidR="00906DE0" w:rsidRPr="000A2294" w:rsidRDefault="00906DE0" w:rsidP="00906DE0">
            <w:pPr>
              <w:jc w:val="both"/>
              <w:rPr>
                <w:sz w:val="20"/>
                <w:lang w:val="en-CA"/>
              </w:rPr>
            </w:pPr>
            <w:r w:rsidRPr="000A2294">
              <w:rPr>
                <w:sz w:val="20"/>
                <w:lang w:val="en-CA"/>
              </w:rPr>
              <w:t>Quebec Court of Appeal (Montréal)</w:t>
            </w:r>
          </w:p>
          <w:p w:rsidR="00906DE0" w:rsidRPr="000A2294" w:rsidRDefault="00906DE0" w:rsidP="00906DE0">
            <w:pPr>
              <w:jc w:val="both"/>
              <w:rPr>
                <w:sz w:val="20"/>
                <w:lang w:val="en-CA"/>
              </w:rPr>
            </w:pPr>
            <w:r w:rsidRPr="000A2294">
              <w:rPr>
                <w:sz w:val="20"/>
                <w:lang w:val="en-CA"/>
              </w:rPr>
              <w:t>(Schrager, Hogue and Sansfaçon JJ.A.)</w:t>
            </w:r>
          </w:p>
          <w:p w:rsidR="00906DE0" w:rsidRPr="000A2294" w:rsidRDefault="00906DE0" w:rsidP="00906DE0">
            <w:pPr>
              <w:jc w:val="both"/>
              <w:rPr>
                <w:sz w:val="20"/>
                <w:lang w:val="en-CA"/>
              </w:rPr>
            </w:pPr>
            <w:r w:rsidRPr="000A2294">
              <w:rPr>
                <w:sz w:val="20"/>
                <w:lang w:val="en-CA"/>
              </w:rPr>
              <w:t>File: 500-09-029409-216</w:t>
            </w:r>
          </w:p>
          <w:p w:rsidR="00906DE0" w:rsidRPr="000A2294" w:rsidRDefault="00F935FF" w:rsidP="00906DE0">
            <w:pPr>
              <w:jc w:val="both"/>
              <w:rPr>
                <w:sz w:val="20"/>
                <w:lang w:val="en-CA"/>
              </w:rPr>
            </w:pPr>
            <w:hyperlink r:id="rId64" w:history="1">
              <w:r w:rsidR="00906DE0" w:rsidRPr="000A2294">
                <w:rPr>
                  <w:rStyle w:val="Hyperlink"/>
                  <w:sz w:val="20"/>
                  <w:lang w:val="en-CA"/>
                </w:rPr>
                <w:t>2022 QCCA 1141</w:t>
              </w:r>
            </w:hyperlink>
          </w:p>
          <w:p w:rsidR="00906DE0" w:rsidRPr="000A2294" w:rsidRDefault="00906DE0" w:rsidP="00906DE0">
            <w:pPr>
              <w:jc w:val="both"/>
              <w:rPr>
                <w:sz w:val="20"/>
                <w:lang w:val="en-CA"/>
              </w:rPr>
            </w:pPr>
          </w:p>
        </w:tc>
        <w:tc>
          <w:tcPr>
            <w:tcW w:w="243" w:type="pct"/>
          </w:tcPr>
          <w:p w:rsidR="00906DE0" w:rsidRPr="000A2294" w:rsidRDefault="00906DE0" w:rsidP="00906DE0">
            <w:pPr>
              <w:jc w:val="both"/>
              <w:rPr>
                <w:sz w:val="20"/>
                <w:lang w:val="en-CA"/>
              </w:rPr>
            </w:pPr>
          </w:p>
        </w:tc>
        <w:tc>
          <w:tcPr>
            <w:tcW w:w="2330" w:type="pct"/>
          </w:tcPr>
          <w:p w:rsidR="00906DE0" w:rsidRPr="000A2294" w:rsidRDefault="00906DE0" w:rsidP="00906DE0">
            <w:pPr>
              <w:jc w:val="both"/>
              <w:rPr>
                <w:sz w:val="20"/>
                <w:lang w:val="en-CA"/>
              </w:rPr>
            </w:pPr>
          </w:p>
          <w:p w:rsidR="00906DE0" w:rsidRPr="000A2294" w:rsidRDefault="00906DE0" w:rsidP="00906DE0">
            <w:pPr>
              <w:jc w:val="both"/>
              <w:rPr>
                <w:sz w:val="20"/>
                <w:lang w:val="en-CA"/>
              </w:rPr>
            </w:pPr>
            <w:r w:rsidRPr="000A2294">
              <w:rPr>
                <w:sz w:val="20"/>
                <w:lang w:val="en-CA"/>
              </w:rPr>
              <w:t>Appeal dismissed</w:t>
            </w:r>
          </w:p>
          <w:p w:rsidR="00906DE0" w:rsidRPr="000A2294" w:rsidRDefault="00906DE0" w:rsidP="00906DE0">
            <w:pPr>
              <w:jc w:val="both"/>
              <w:rPr>
                <w:sz w:val="20"/>
                <w:lang w:val="en-CA"/>
              </w:rPr>
            </w:pPr>
          </w:p>
        </w:tc>
      </w:tr>
      <w:tr w:rsidR="00906DE0" w:rsidRPr="000A2294" w:rsidTr="00E95A6A">
        <w:tc>
          <w:tcPr>
            <w:tcW w:w="2427" w:type="pct"/>
            <w:gridSpan w:val="2"/>
          </w:tcPr>
          <w:p w:rsidR="00906DE0" w:rsidRPr="000A2294" w:rsidRDefault="00906DE0" w:rsidP="00906DE0">
            <w:pPr>
              <w:jc w:val="both"/>
              <w:rPr>
                <w:sz w:val="20"/>
                <w:lang w:val="en-CA"/>
              </w:rPr>
            </w:pPr>
            <w:r w:rsidRPr="000A2294">
              <w:rPr>
                <w:sz w:val="20"/>
                <w:lang w:val="en-CA"/>
              </w:rPr>
              <w:t>October 24, 2022</w:t>
            </w:r>
          </w:p>
          <w:p w:rsidR="00906DE0" w:rsidRPr="000A2294" w:rsidRDefault="00906DE0" w:rsidP="00906DE0">
            <w:pPr>
              <w:jc w:val="both"/>
              <w:rPr>
                <w:sz w:val="20"/>
                <w:lang w:val="en-CA"/>
              </w:rPr>
            </w:pPr>
            <w:r w:rsidRPr="000A2294">
              <w:rPr>
                <w:sz w:val="20"/>
                <w:lang w:val="en-CA"/>
              </w:rPr>
              <w:t>Supreme Court of Canada</w:t>
            </w:r>
          </w:p>
        </w:tc>
        <w:tc>
          <w:tcPr>
            <w:tcW w:w="243" w:type="pct"/>
          </w:tcPr>
          <w:p w:rsidR="00906DE0" w:rsidRPr="000A2294" w:rsidRDefault="00906DE0" w:rsidP="00906DE0">
            <w:pPr>
              <w:jc w:val="both"/>
              <w:rPr>
                <w:sz w:val="20"/>
                <w:lang w:val="en-CA"/>
              </w:rPr>
            </w:pPr>
          </w:p>
        </w:tc>
        <w:tc>
          <w:tcPr>
            <w:tcW w:w="2330" w:type="pct"/>
          </w:tcPr>
          <w:p w:rsidR="00906DE0" w:rsidRPr="000A2294" w:rsidRDefault="00906DE0" w:rsidP="00906DE0">
            <w:pPr>
              <w:jc w:val="both"/>
              <w:rPr>
                <w:sz w:val="20"/>
                <w:lang w:val="en-CA"/>
              </w:rPr>
            </w:pPr>
            <w:r w:rsidRPr="000A2294">
              <w:rPr>
                <w:sz w:val="20"/>
                <w:lang w:val="en-CA"/>
              </w:rPr>
              <w:t>Application for leave to appeal filed</w:t>
            </w:r>
          </w:p>
          <w:p w:rsidR="00906DE0" w:rsidRPr="000A2294" w:rsidRDefault="00906DE0" w:rsidP="00906DE0">
            <w:pPr>
              <w:jc w:val="both"/>
              <w:rPr>
                <w:sz w:val="20"/>
                <w:lang w:val="en-CA"/>
              </w:rPr>
            </w:pPr>
          </w:p>
        </w:tc>
      </w:tr>
    </w:tbl>
    <w:p w:rsidR="00906DE0" w:rsidRPr="000A2294" w:rsidRDefault="00906DE0" w:rsidP="00906DE0">
      <w:pPr>
        <w:jc w:val="both"/>
        <w:rPr>
          <w:sz w:val="20"/>
          <w:lang w:val="en-CA"/>
        </w:rPr>
      </w:pPr>
    </w:p>
    <w:p w:rsidR="00906DE0" w:rsidRPr="000A2294" w:rsidRDefault="00F935FF" w:rsidP="00906DE0">
      <w:pPr>
        <w:jc w:val="both"/>
        <w:rPr>
          <w:sz w:val="20"/>
          <w:lang w:val="en-CA"/>
        </w:rPr>
      </w:pPr>
      <w:r>
        <w:rPr>
          <w:sz w:val="20"/>
        </w:rPr>
        <w:pict>
          <v:rect id="_x0000_i1039" style="width:2in;height:1pt" o:hrpct="0" o:hralign="center" o:hrstd="t" o:hrnoshade="t" o:hr="t" fillcolor="black [3213]" stroked="f"/>
        </w:pict>
      </w:r>
    </w:p>
    <w:p w:rsidR="00906DE0" w:rsidRPr="000A2294" w:rsidRDefault="00906DE0" w:rsidP="00906DE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6DE0" w:rsidRPr="000A2294" w:rsidTr="00E95A6A">
        <w:tc>
          <w:tcPr>
            <w:tcW w:w="543" w:type="pct"/>
          </w:tcPr>
          <w:p w:rsidR="00906DE0" w:rsidRPr="000A2294" w:rsidRDefault="00906DE0" w:rsidP="00906DE0">
            <w:pPr>
              <w:jc w:val="both"/>
              <w:rPr>
                <w:sz w:val="20"/>
              </w:rPr>
            </w:pPr>
            <w:r w:rsidRPr="000A2294">
              <w:rPr>
                <w:rStyle w:val="SCCFileNumberChar"/>
                <w:sz w:val="20"/>
                <w:szCs w:val="20"/>
              </w:rPr>
              <w:t>40431</w:t>
            </w:r>
          </w:p>
        </w:tc>
        <w:tc>
          <w:tcPr>
            <w:tcW w:w="4457" w:type="pct"/>
            <w:gridSpan w:val="3"/>
          </w:tcPr>
          <w:p w:rsidR="00906DE0" w:rsidRPr="000A2294" w:rsidRDefault="00906DE0" w:rsidP="00906DE0">
            <w:pPr>
              <w:pStyle w:val="SCCLsocParty"/>
              <w:jc w:val="both"/>
              <w:rPr>
                <w:b/>
                <w:sz w:val="20"/>
                <w:szCs w:val="20"/>
              </w:rPr>
            </w:pPr>
            <w:r w:rsidRPr="000A2294">
              <w:rPr>
                <w:b/>
                <w:sz w:val="20"/>
                <w:szCs w:val="20"/>
              </w:rPr>
              <w:t>G.C. c. Compagnie d’assurance vie RBC</w:t>
            </w:r>
          </w:p>
          <w:p w:rsidR="00906DE0" w:rsidRPr="000A2294" w:rsidRDefault="00906DE0" w:rsidP="00906DE0">
            <w:pPr>
              <w:jc w:val="both"/>
              <w:rPr>
                <w:sz w:val="20"/>
              </w:rPr>
            </w:pPr>
            <w:r w:rsidRPr="000A2294">
              <w:rPr>
                <w:sz w:val="20"/>
              </w:rPr>
              <w:t>(Qc) (Civile) (Autorisation)</w:t>
            </w:r>
          </w:p>
        </w:tc>
      </w:tr>
      <w:tr w:rsidR="00906DE0" w:rsidRPr="00F935FF" w:rsidTr="00E95A6A">
        <w:tc>
          <w:tcPr>
            <w:tcW w:w="5000" w:type="pct"/>
            <w:gridSpan w:val="4"/>
          </w:tcPr>
          <w:p w:rsidR="00906DE0" w:rsidRPr="000A2294" w:rsidRDefault="00906DE0" w:rsidP="00906DE0">
            <w:pPr>
              <w:pStyle w:val="SCCBanSummary"/>
              <w:rPr>
                <w:sz w:val="20"/>
                <w:szCs w:val="20"/>
                <w:lang w:val="fr-CA"/>
              </w:rPr>
            </w:pPr>
            <w:r w:rsidRPr="000A2294">
              <w:rPr>
                <w:sz w:val="20"/>
                <w:szCs w:val="20"/>
                <w:lang w:val="fr-CA"/>
              </w:rPr>
              <w:t>(Ordonnance de non-publication dans le dossier) (Ordonnance de mise sous scellés)</w:t>
            </w:r>
          </w:p>
          <w:p w:rsidR="00906DE0" w:rsidRPr="000A2294" w:rsidRDefault="00906DE0" w:rsidP="00906DE0">
            <w:pPr>
              <w:pStyle w:val="SCCBanSummary"/>
              <w:rPr>
                <w:sz w:val="20"/>
                <w:szCs w:val="20"/>
                <w:lang w:val="fr-CA"/>
              </w:rPr>
            </w:pPr>
            <w:r w:rsidRPr="000A2294">
              <w:rPr>
                <w:sz w:val="20"/>
                <w:szCs w:val="20"/>
                <w:lang w:val="fr-CA"/>
              </w:rPr>
              <w:t>(Certaines informations non disponibles pour le public)</w:t>
            </w:r>
          </w:p>
          <w:p w:rsidR="00906DE0" w:rsidRPr="000A2294" w:rsidRDefault="00906DE0" w:rsidP="00906DE0">
            <w:pPr>
              <w:jc w:val="both"/>
              <w:rPr>
                <w:sz w:val="20"/>
                <w:lang w:val="fr-CA"/>
              </w:rPr>
            </w:pPr>
          </w:p>
          <w:p w:rsidR="00906DE0" w:rsidRPr="000A2294" w:rsidRDefault="00906DE0" w:rsidP="00906DE0">
            <w:pPr>
              <w:jc w:val="both"/>
              <w:rPr>
                <w:sz w:val="20"/>
                <w:lang w:val="fr-CA"/>
              </w:rPr>
            </w:pPr>
            <w:r w:rsidRPr="000A2294">
              <w:rPr>
                <w:sz w:val="20"/>
                <w:lang w:val="fr-CA"/>
              </w:rPr>
              <w:t>Assurances — Assurances de personnes — Assurance invalidité — Invalidité totale — Avenant modifiant la définition d’invalidité totale dans la police d’assurance — La notion d’invalidité totale signifie-t-elle une incapacité d’accomplir toutes les tâches importantes d’une profession ou plutôt une incapacité substantielle d’exercer les tâches importantes de la profession de l’assuré?</w:t>
            </w:r>
          </w:p>
        </w:tc>
      </w:tr>
      <w:tr w:rsidR="00906DE0" w:rsidRPr="00F935FF" w:rsidTr="00E95A6A">
        <w:tc>
          <w:tcPr>
            <w:tcW w:w="5000" w:type="pct"/>
            <w:gridSpan w:val="4"/>
          </w:tcPr>
          <w:p w:rsidR="00906DE0" w:rsidRPr="000A2294" w:rsidRDefault="00906DE0" w:rsidP="00906DE0">
            <w:pPr>
              <w:jc w:val="both"/>
              <w:rPr>
                <w:sz w:val="20"/>
                <w:lang w:val="fr-CA"/>
              </w:rPr>
            </w:pPr>
          </w:p>
          <w:p w:rsidR="00906DE0" w:rsidRPr="000A2294" w:rsidRDefault="00906DE0" w:rsidP="00906DE0">
            <w:pPr>
              <w:jc w:val="both"/>
              <w:rPr>
                <w:sz w:val="20"/>
                <w:lang w:val="fr-CA"/>
              </w:rPr>
            </w:pPr>
            <w:r w:rsidRPr="000A2294">
              <w:rPr>
                <w:sz w:val="20"/>
                <w:lang w:val="fr-CA"/>
              </w:rPr>
              <w:t xml:space="preserve">Le demandeur souscrit à une police d’assurance invalidité auprès d’une compagnie d’assurance (aujourd’hui l’intimée). Cette police comprend un avenant qui modifie la définition d’invalidité totale qui y est contenue. Le 13 avril 2014, le demandeur est victime d’un arrêt cardiaque. Il reçoit des prestations d’invalidité totale et d’invalidité partielle pour un certain temps. Par contre, le 7 janvier 2016, l’intimée l’informe qu’elle considère qu’il n’existe </w:t>
            </w:r>
            <w:r w:rsidRPr="000A2294">
              <w:rPr>
                <w:iCs/>
                <w:sz w:val="20"/>
                <w:lang w:val="fr-CA"/>
              </w:rPr>
              <w:t>aucune preuve médicale objective à l’appui d’une déficience partielle continue qui l’empêcherait de recommencer à travailler à temps plein après le 11 février 2015</w:t>
            </w:r>
            <w:r w:rsidRPr="000A2294">
              <w:rPr>
                <w:sz w:val="20"/>
                <w:lang w:val="fr-CA"/>
              </w:rPr>
              <w:t>.</w:t>
            </w:r>
            <w:r w:rsidRPr="000A2294">
              <w:rPr>
                <w:sz w:val="20"/>
                <w:lang w:val="fr-CA" w:eastAsia="en-CA"/>
              </w:rPr>
              <w:t xml:space="preserve"> </w:t>
            </w:r>
            <w:r w:rsidRPr="000A2294">
              <w:rPr>
                <w:sz w:val="20"/>
                <w:lang w:val="fr-CA"/>
              </w:rPr>
              <w:t>Le demandeur introduit des procédures judiciaires à la Cour supérieure du Québec afin d’être déclaré totalement invalide et recevoir des prestations d’invalidité en conséquence. Il ajoute à sa demande des conclusions subsidiaires afin d’obtenir des prestations d’invalidité résiduelle, ainsi que le remboursement des primes payées entre février 2015 et février 2016. La Cour supérieure accueille en partie la demande modifiée du demandeur. Elle déclare que le demandeur n’est pas totalement invalide au sens de la police d’assurance, sauf durant la période du 13 avril 2014 au 11 avril 2015. De plus, ayant conclu qu’aucune somme n’est due au demandeur pour la période antérieure au 11 février 2015, la Cour supérieure déclare que le demandeur n’a droit à des prestations d’invalidité totale que pour la période du 11 février 2015 au 11 avril 2015, et à des prestations d’invalidité résiduelle que pour la période du 11 avril 2015 au 11 février 2016. Elle condamne ainsi l’intimée à verser au demandeur un total de 49 247 $ de prestations d’invalidité ainsi que 3 053,44 $ à titre de remboursement des primes qu’il a payées entre le 1</w:t>
            </w:r>
            <w:r w:rsidRPr="000A2294">
              <w:rPr>
                <w:sz w:val="20"/>
                <w:vertAlign w:val="superscript"/>
                <w:lang w:val="fr-CA"/>
              </w:rPr>
              <w:t xml:space="preserve">er </w:t>
            </w:r>
            <w:r w:rsidRPr="000A2294">
              <w:rPr>
                <w:sz w:val="20"/>
                <w:lang w:val="fr-CA"/>
              </w:rPr>
              <w:t>février 2015 et le 28 février 2016. Le demandeur porte le jugement de la Cour supérieure en appel, mais la Cour d’appel du Québec rejette l’appel. Elle est d’avis que le demandeur n’est pas totalement invalide.</w:t>
            </w:r>
          </w:p>
          <w:p w:rsidR="00906DE0" w:rsidRPr="000A2294" w:rsidRDefault="00906DE0" w:rsidP="00906DE0">
            <w:pPr>
              <w:jc w:val="both"/>
              <w:rPr>
                <w:sz w:val="20"/>
                <w:lang w:val="fr-CA"/>
              </w:rPr>
            </w:pPr>
          </w:p>
        </w:tc>
      </w:tr>
      <w:tr w:rsidR="00906DE0" w:rsidRPr="00F935FF" w:rsidTr="00E95A6A">
        <w:tc>
          <w:tcPr>
            <w:tcW w:w="2427" w:type="pct"/>
            <w:gridSpan w:val="2"/>
          </w:tcPr>
          <w:p w:rsidR="00906DE0" w:rsidRPr="000A2294" w:rsidRDefault="00906DE0" w:rsidP="00906DE0">
            <w:pPr>
              <w:jc w:val="both"/>
              <w:rPr>
                <w:sz w:val="20"/>
                <w:lang w:val="fr-CA"/>
              </w:rPr>
            </w:pPr>
            <w:r w:rsidRPr="000A2294">
              <w:rPr>
                <w:sz w:val="20"/>
                <w:lang w:val="fr-CA"/>
              </w:rPr>
              <w:t>Le 9 février 2021</w:t>
            </w:r>
          </w:p>
          <w:p w:rsidR="00906DE0" w:rsidRPr="000A2294" w:rsidRDefault="00906DE0" w:rsidP="00906DE0">
            <w:pPr>
              <w:jc w:val="both"/>
              <w:rPr>
                <w:sz w:val="20"/>
                <w:lang w:val="fr-CA"/>
              </w:rPr>
            </w:pPr>
            <w:r w:rsidRPr="000A2294">
              <w:rPr>
                <w:sz w:val="20"/>
                <w:lang w:val="fr-CA"/>
              </w:rPr>
              <w:t>Cour supérieure du Québec</w:t>
            </w:r>
          </w:p>
          <w:p w:rsidR="00906DE0" w:rsidRPr="000A2294" w:rsidRDefault="00906DE0" w:rsidP="00906DE0">
            <w:pPr>
              <w:jc w:val="both"/>
              <w:rPr>
                <w:sz w:val="20"/>
              </w:rPr>
            </w:pPr>
            <w:r w:rsidRPr="000A2294">
              <w:rPr>
                <w:sz w:val="20"/>
              </w:rPr>
              <w:t>(Le jugeVilleneuve)</w:t>
            </w:r>
          </w:p>
          <w:p w:rsidR="00906DE0" w:rsidRPr="000A2294" w:rsidRDefault="00906DE0" w:rsidP="00906DE0">
            <w:pPr>
              <w:jc w:val="both"/>
              <w:rPr>
                <w:sz w:val="20"/>
              </w:rPr>
            </w:pPr>
            <w:r w:rsidRPr="000A2294">
              <w:rPr>
                <w:sz w:val="20"/>
              </w:rPr>
              <w:t>Dossier :</w:t>
            </w:r>
            <w:r w:rsidRPr="000A2294">
              <w:rPr>
                <w:rFonts w:ascii="Arial" w:hAnsi="Arial" w:cs="Arial"/>
                <w:color w:val="000000"/>
                <w:sz w:val="20"/>
              </w:rPr>
              <w:t xml:space="preserve"> </w:t>
            </w:r>
            <w:r w:rsidRPr="000A2294">
              <w:rPr>
                <w:sz w:val="20"/>
              </w:rPr>
              <w:t>460-17-002441-178</w:t>
            </w:r>
          </w:p>
          <w:p w:rsidR="00906DE0" w:rsidRPr="000A2294" w:rsidRDefault="00F935FF" w:rsidP="00906DE0">
            <w:pPr>
              <w:jc w:val="both"/>
              <w:rPr>
                <w:sz w:val="20"/>
              </w:rPr>
            </w:pPr>
            <w:hyperlink r:id="rId65" w:history="1">
              <w:r w:rsidR="00906DE0" w:rsidRPr="000A2294">
                <w:rPr>
                  <w:rStyle w:val="Hyperlink"/>
                  <w:sz w:val="20"/>
                </w:rPr>
                <w:t>2021 QCCS 322</w:t>
              </w:r>
            </w:hyperlink>
          </w:p>
          <w:p w:rsidR="00906DE0" w:rsidRPr="000A2294" w:rsidRDefault="00906DE0" w:rsidP="00906DE0">
            <w:pPr>
              <w:jc w:val="both"/>
              <w:rPr>
                <w:sz w:val="20"/>
              </w:rPr>
            </w:pPr>
          </w:p>
        </w:tc>
        <w:tc>
          <w:tcPr>
            <w:tcW w:w="243" w:type="pct"/>
          </w:tcPr>
          <w:p w:rsidR="00906DE0" w:rsidRPr="000A2294" w:rsidRDefault="00906DE0" w:rsidP="00906DE0">
            <w:pPr>
              <w:jc w:val="both"/>
              <w:rPr>
                <w:sz w:val="20"/>
              </w:rPr>
            </w:pPr>
          </w:p>
        </w:tc>
        <w:tc>
          <w:tcPr>
            <w:tcW w:w="2330" w:type="pct"/>
          </w:tcPr>
          <w:p w:rsidR="00906DE0" w:rsidRPr="000A2294" w:rsidRDefault="00906DE0" w:rsidP="00906DE0">
            <w:pPr>
              <w:jc w:val="both"/>
              <w:rPr>
                <w:sz w:val="20"/>
                <w:lang w:val="fr-CA"/>
              </w:rPr>
            </w:pPr>
            <w:r w:rsidRPr="000A2294">
              <w:rPr>
                <w:sz w:val="20"/>
                <w:lang w:val="fr-CA"/>
              </w:rPr>
              <w:t>Demande introductive d’instance modifiée du demandeur accueillie en partie.</w:t>
            </w:r>
          </w:p>
        </w:tc>
      </w:tr>
      <w:tr w:rsidR="00906DE0" w:rsidRPr="000A2294" w:rsidTr="00E95A6A">
        <w:tc>
          <w:tcPr>
            <w:tcW w:w="2427" w:type="pct"/>
            <w:gridSpan w:val="2"/>
          </w:tcPr>
          <w:p w:rsidR="00906DE0" w:rsidRPr="000A2294" w:rsidRDefault="00906DE0" w:rsidP="00906DE0">
            <w:pPr>
              <w:jc w:val="both"/>
              <w:rPr>
                <w:sz w:val="20"/>
                <w:lang w:val="fr-CA"/>
              </w:rPr>
            </w:pPr>
            <w:r w:rsidRPr="000A2294">
              <w:rPr>
                <w:sz w:val="20"/>
                <w:lang w:val="fr-CA"/>
              </w:rPr>
              <w:t>Le 23 août 2022</w:t>
            </w:r>
          </w:p>
          <w:p w:rsidR="00906DE0" w:rsidRPr="000A2294" w:rsidRDefault="00906DE0" w:rsidP="00906DE0">
            <w:pPr>
              <w:jc w:val="both"/>
              <w:rPr>
                <w:sz w:val="20"/>
                <w:lang w:val="fr-CA"/>
              </w:rPr>
            </w:pPr>
            <w:r w:rsidRPr="000A2294">
              <w:rPr>
                <w:sz w:val="20"/>
                <w:lang w:val="fr-CA"/>
              </w:rPr>
              <w:t>Cour d’appel du Québec (Montréal)</w:t>
            </w:r>
          </w:p>
          <w:p w:rsidR="00906DE0" w:rsidRPr="000A2294" w:rsidRDefault="00906DE0" w:rsidP="00906DE0">
            <w:pPr>
              <w:jc w:val="both"/>
              <w:rPr>
                <w:sz w:val="20"/>
                <w:lang w:val="fr-CA"/>
              </w:rPr>
            </w:pPr>
            <w:r w:rsidRPr="000A2294">
              <w:rPr>
                <w:sz w:val="20"/>
                <w:lang w:val="fr-CA"/>
              </w:rPr>
              <w:t>(Les juges Schrager, Hogue et Sansfaçon)</w:t>
            </w:r>
          </w:p>
          <w:p w:rsidR="00906DE0" w:rsidRPr="000A2294" w:rsidRDefault="00906DE0" w:rsidP="00906DE0">
            <w:pPr>
              <w:jc w:val="both"/>
              <w:rPr>
                <w:sz w:val="20"/>
              </w:rPr>
            </w:pPr>
            <w:r w:rsidRPr="000A2294">
              <w:rPr>
                <w:sz w:val="20"/>
              </w:rPr>
              <w:t>Dossier : 500-09-029409-216</w:t>
            </w:r>
          </w:p>
          <w:p w:rsidR="00906DE0" w:rsidRPr="000A2294" w:rsidRDefault="00F935FF" w:rsidP="00906DE0">
            <w:pPr>
              <w:jc w:val="both"/>
              <w:rPr>
                <w:sz w:val="20"/>
              </w:rPr>
            </w:pPr>
            <w:hyperlink r:id="rId66" w:history="1">
              <w:r w:rsidR="00906DE0" w:rsidRPr="000A2294">
                <w:rPr>
                  <w:rStyle w:val="Hyperlink"/>
                  <w:sz w:val="20"/>
                </w:rPr>
                <w:t>2022 QCCA 1141</w:t>
              </w:r>
            </w:hyperlink>
          </w:p>
          <w:p w:rsidR="00906DE0" w:rsidRPr="000A2294" w:rsidRDefault="00906DE0" w:rsidP="00906DE0">
            <w:pPr>
              <w:jc w:val="both"/>
              <w:rPr>
                <w:sz w:val="20"/>
              </w:rPr>
            </w:pPr>
          </w:p>
        </w:tc>
        <w:tc>
          <w:tcPr>
            <w:tcW w:w="243" w:type="pct"/>
          </w:tcPr>
          <w:p w:rsidR="00906DE0" w:rsidRPr="000A2294" w:rsidRDefault="00906DE0" w:rsidP="00906DE0">
            <w:pPr>
              <w:jc w:val="both"/>
              <w:rPr>
                <w:sz w:val="20"/>
              </w:rPr>
            </w:pPr>
          </w:p>
        </w:tc>
        <w:tc>
          <w:tcPr>
            <w:tcW w:w="2330" w:type="pct"/>
          </w:tcPr>
          <w:p w:rsidR="00906DE0" w:rsidRPr="000A2294" w:rsidRDefault="00906DE0" w:rsidP="00906DE0">
            <w:pPr>
              <w:jc w:val="both"/>
              <w:rPr>
                <w:sz w:val="20"/>
              </w:rPr>
            </w:pPr>
            <w:r w:rsidRPr="000A2294">
              <w:rPr>
                <w:sz w:val="20"/>
              </w:rPr>
              <w:t>Appel rejeté.</w:t>
            </w:r>
          </w:p>
          <w:p w:rsidR="00906DE0" w:rsidRPr="000A2294" w:rsidRDefault="00906DE0" w:rsidP="00906DE0">
            <w:pPr>
              <w:jc w:val="both"/>
              <w:rPr>
                <w:sz w:val="20"/>
              </w:rPr>
            </w:pPr>
          </w:p>
        </w:tc>
      </w:tr>
      <w:tr w:rsidR="00906DE0" w:rsidRPr="000A2294" w:rsidTr="00E95A6A">
        <w:tc>
          <w:tcPr>
            <w:tcW w:w="2427" w:type="pct"/>
            <w:gridSpan w:val="2"/>
          </w:tcPr>
          <w:p w:rsidR="00906DE0" w:rsidRPr="000A2294" w:rsidRDefault="00906DE0" w:rsidP="00906DE0">
            <w:pPr>
              <w:jc w:val="both"/>
              <w:rPr>
                <w:sz w:val="20"/>
                <w:lang w:val="fr-CA"/>
              </w:rPr>
            </w:pPr>
            <w:r w:rsidRPr="000A2294">
              <w:rPr>
                <w:sz w:val="20"/>
                <w:lang w:val="fr-CA"/>
              </w:rPr>
              <w:t>Le 24 octobre 2022</w:t>
            </w:r>
          </w:p>
          <w:p w:rsidR="00906DE0" w:rsidRPr="000A2294" w:rsidRDefault="00906DE0" w:rsidP="00906DE0">
            <w:pPr>
              <w:jc w:val="both"/>
              <w:rPr>
                <w:sz w:val="20"/>
                <w:lang w:val="fr-CA"/>
              </w:rPr>
            </w:pPr>
            <w:r w:rsidRPr="000A2294">
              <w:rPr>
                <w:sz w:val="20"/>
                <w:lang w:val="fr-CA"/>
              </w:rPr>
              <w:t>Cour suprême du Canada</w:t>
            </w:r>
          </w:p>
        </w:tc>
        <w:tc>
          <w:tcPr>
            <w:tcW w:w="243" w:type="pct"/>
          </w:tcPr>
          <w:p w:rsidR="00906DE0" w:rsidRPr="000A2294" w:rsidRDefault="00906DE0" w:rsidP="00906DE0">
            <w:pPr>
              <w:jc w:val="both"/>
              <w:rPr>
                <w:sz w:val="20"/>
                <w:lang w:val="fr-CA"/>
              </w:rPr>
            </w:pPr>
          </w:p>
        </w:tc>
        <w:tc>
          <w:tcPr>
            <w:tcW w:w="2330" w:type="pct"/>
          </w:tcPr>
          <w:p w:rsidR="00906DE0" w:rsidRPr="000A2294" w:rsidRDefault="00906DE0" w:rsidP="00906DE0">
            <w:pPr>
              <w:jc w:val="both"/>
              <w:rPr>
                <w:sz w:val="20"/>
              </w:rPr>
            </w:pPr>
            <w:r w:rsidRPr="000A2294">
              <w:rPr>
                <w:sz w:val="20"/>
              </w:rPr>
              <w:t>Demande d’autorisation d’appel déposée.</w:t>
            </w:r>
          </w:p>
          <w:p w:rsidR="00906DE0" w:rsidRPr="000A2294" w:rsidRDefault="00906DE0" w:rsidP="00906DE0">
            <w:pPr>
              <w:jc w:val="both"/>
              <w:rPr>
                <w:sz w:val="20"/>
              </w:rPr>
            </w:pPr>
          </w:p>
        </w:tc>
      </w:tr>
    </w:tbl>
    <w:p w:rsidR="00906DE0" w:rsidRPr="000A2294" w:rsidRDefault="00906DE0" w:rsidP="00906DE0">
      <w:pPr>
        <w:jc w:val="both"/>
        <w:rPr>
          <w:sz w:val="20"/>
        </w:rPr>
      </w:pPr>
    </w:p>
    <w:p w:rsidR="00E028BD" w:rsidRPr="000A2294" w:rsidRDefault="00F935FF" w:rsidP="00906DE0">
      <w:pPr>
        <w:widowControl w:val="0"/>
        <w:jc w:val="both"/>
        <w:rPr>
          <w:sz w:val="20"/>
          <w:lang w:val="fr-CA"/>
        </w:rPr>
      </w:pPr>
      <w:r>
        <w:rPr>
          <w:sz w:val="20"/>
        </w:rPr>
        <w:pict>
          <v:rect id="_x0000_i1040" style="width:2in;height:1pt" o:hrpct="0" o:hralign="center" o:hrstd="t" o:hrnoshade="t" o:hr="t" fillcolor="black [3213]" stroked="f"/>
        </w:pict>
      </w:r>
    </w:p>
    <w:p w:rsidR="00E028BD" w:rsidRPr="000A2294" w:rsidRDefault="00E028BD" w:rsidP="00906DE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6DE0" w:rsidRPr="000A2294" w:rsidTr="00E95A6A">
        <w:tc>
          <w:tcPr>
            <w:tcW w:w="543" w:type="pct"/>
          </w:tcPr>
          <w:p w:rsidR="00906DE0" w:rsidRPr="000A2294" w:rsidRDefault="00906DE0" w:rsidP="00906DE0">
            <w:pPr>
              <w:jc w:val="both"/>
              <w:rPr>
                <w:sz w:val="20"/>
                <w:lang w:val="en-CA"/>
              </w:rPr>
            </w:pPr>
            <w:r w:rsidRPr="000A2294">
              <w:rPr>
                <w:rStyle w:val="SCCFileNumberChar"/>
                <w:sz w:val="20"/>
                <w:szCs w:val="20"/>
              </w:rPr>
              <w:t>40434</w:t>
            </w:r>
          </w:p>
        </w:tc>
        <w:tc>
          <w:tcPr>
            <w:tcW w:w="4457" w:type="pct"/>
            <w:gridSpan w:val="3"/>
          </w:tcPr>
          <w:p w:rsidR="00906DE0" w:rsidRPr="000A2294" w:rsidRDefault="00906DE0" w:rsidP="00906DE0">
            <w:pPr>
              <w:pStyle w:val="SCCLsocParty"/>
              <w:jc w:val="both"/>
              <w:rPr>
                <w:b/>
                <w:sz w:val="20"/>
                <w:szCs w:val="20"/>
                <w:lang w:val="en-CA"/>
              </w:rPr>
            </w:pPr>
            <w:r w:rsidRPr="000A2294">
              <w:rPr>
                <w:b/>
                <w:sz w:val="20"/>
                <w:szCs w:val="20"/>
                <w:lang w:val="en-CA"/>
              </w:rPr>
              <w:t>O.C. v. RBC Life Insurance Company</w:t>
            </w:r>
          </w:p>
          <w:p w:rsidR="00906DE0" w:rsidRPr="000A2294" w:rsidRDefault="00906DE0" w:rsidP="00906DE0">
            <w:pPr>
              <w:jc w:val="both"/>
              <w:rPr>
                <w:sz w:val="20"/>
                <w:lang w:val="en-CA"/>
              </w:rPr>
            </w:pPr>
            <w:r w:rsidRPr="000A2294">
              <w:rPr>
                <w:sz w:val="20"/>
                <w:lang w:val="en-CA"/>
              </w:rPr>
              <w:t>(Que.) (Civil) (By Leave)</w:t>
            </w:r>
          </w:p>
        </w:tc>
      </w:tr>
      <w:tr w:rsidR="00906DE0" w:rsidRPr="000A2294" w:rsidTr="00E95A6A">
        <w:tc>
          <w:tcPr>
            <w:tcW w:w="5000" w:type="pct"/>
            <w:gridSpan w:val="4"/>
          </w:tcPr>
          <w:p w:rsidR="00906DE0" w:rsidRPr="000A2294" w:rsidRDefault="00906DE0" w:rsidP="00906DE0">
            <w:pPr>
              <w:pStyle w:val="SCCBanSummary"/>
              <w:rPr>
                <w:sz w:val="20"/>
                <w:szCs w:val="20"/>
              </w:rPr>
            </w:pPr>
            <w:r w:rsidRPr="000A2294">
              <w:rPr>
                <w:sz w:val="20"/>
                <w:szCs w:val="20"/>
              </w:rPr>
              <w:t>(Publication ban in case) (Sealing order) (Certain information not available to the public)</w:t>
            </w:r>
          </w:p>
          <w:p w:rsidR="00906DE0" w:rsidRPr="000A2294" w:rsidRDefault="00906DE0" w:rsidP="00906DE0">
            <w:pPr>
              <w:jc w:val="both"/>
              <w:rPr>
                <w:sz w:val="20"/>
                <w:lang w:val="en-CA"/>
              </w:rPr>
            </w:pPr>
          </w:p>
          <w:p w:rsidR="00906DE0" w:rsidRPr="000A2294" w:rsidRDefault="00906DE0" w:rsidP="00906DE0">
            <w:pPr>
              <w:jc w:val="both"/>
              <w:rPr>
                <w:sz w:val="20"/>
                <w:lang w:val="en-CA"/>
              </w:rPr>
            </w:pPr>
            <w:proofErr w:type="gramStart"/>
            <w:r w:rsidRPr="000A2294">
              <w:rPr>
                <w:sz w:val="20"/>
                <w:lang w:val="en-CA"/>
              </w:rPr>
              <w:t>Insurance — Personal insurance — Disability insurance — Total disability — Rider amending definition of total disability in insurance policy — Standard of review applicable to question of whether insured has total disability within meaning of disability insurance contract — Whether concept of total disability requires demonstration that insured is no longer able to perform any important duties of their occupation or rather that insured is no longer able to substantially perform important duties of their occupation.</w:t>
            </w:r>
            <w:proofErr w:type="gramEnd"/>
          </w:p>
        </w:tc>
      </w:tr>
      <w:tr w:rsidR="00906DE0" w:rsidRPr="000A2294" w:rsidTr="00E95A6A">
        <w:tc>
          <w:tcPr>
            <w:tcW w:w="5000" w:type="pct"/>
            <w:gridSpan w:val="4"/>
          </w:tcPr>
          <w:p w:rsidR="00906DE0" w:rsidRPr="000A2294" w:rsidRDefault="00906DE0" w:rsidP="00906DE0">
            <w:pPr>
              <w:jc w:val="both"/>
              <w:rPr>
                <w:sz w:val="20"/>
                <w:lang w:val="en-CA"/>
              </w:rPr>
            </w:pPr>
          </w:p>
          <w:p w:rsidR="00906DE0" w:rsidRPr="000A2294" w:rsidRDefault="00906DE0" w:rsidP="00906DE0">
            <w:pPr>
              <w:jc w:val="both"/>
              <w:rPr>
                <w:sz w:val="20"/>
                <w:lang w:val="en-CA"/>
              </w:rPr>
            </w:pPr>
            <w:r w:rsidRPr="000A2294">
              <w:rPr>
                <w:sz w:val="20"/>
                <w:lang w:val="en-CA"/>
              </w:rPr>
              <w:t>The applicant had a disability insurance policy issued by the respondent. The policy included a rider that amended the definition of total disability in the policy. In March 2015, the applicant believed that he was no longer able to perform his work duties because of anxiety-related problems. In April 2015, the applicant filed a claim for disability benefits with the respondent. He received partial or residual disability benefits for some time. The applicant maintained that the respondent should recognize him as having a total disability instead because he could no longer perform the important duties of the occupation he held at the time he became disabled. He brought legal proceedings in the Quebec Superior Court, which allowed his application in part. It declared that he had had a total disability within the meaning of the rider since April 1, 2015, and that he was entitled to the monthly disability benefits provided for in such cases as of June 30, 2015. It therefore ordered the respondent to pay the applicant the difference between the disability benefits it had paid him between June 30, 2015, and July 31, 2017, and the total disability benefits that it should have paid him as of the same date. It also ordered the respondent to pay the applicant total disability benefits monthly as long as the disability lasted or until the contract expired. It dismissed the applicant’s claim for moral damages. The respondent appealed the trial judgment. The Quebec Court of Appeal allowed the appeal and set aside the trial judgment. It also dismissed the applicant’s originating application.</w:t>
            </w:r>
          </w:p>
          <w:p w:rsidR="00906DE0" w:rsidRPr="000A2294" w:rsidRDefault="00906DE0" w:rsidP="00906DE0">
            <w:pPr>
              <w:jc w:val="both"/>
              <w:rPr>
                <w:sz w:val="20"/>
                <w:lang w:val="en-CA"/>
              </w:rPr>
            </w:pPr>
          </w:p>
        </w:tc>
      </w:tr>
      <w:tr w:rsidR="00906DE0" w:rsidRPr="000A2294" w:rsidTr="00E95A6A">
        <w:tc>
          <w:tcPr>
            <w:tcW w:w="2427" w:type="pct"/>
            <w:gridSpan w:val="2"/>
          </w:tcPr>
          <w:p w:rsidR="00906DE0" w:rsidRPr="000A2294" w:rsidRDefault="00906DE0" w:rsidP="00906DE0">
            <w:pPr>
              <w:jc w:val="both"/>
              <w:rPr>
                <w:sz w:val="20"/>
                <w:lang w:val="en-CA"/>
              </w:rPr>
            </w:pPr>
            <w:r w:rsidRPr="000A2294">
              <w:rPr>
                <w:sz w:val="20"/>
                <w:lang w:val="en-CA"/>
              </w:rPr>
              <w:t>December 15, 2020</w:t>
            </w:r>
          </w:p>
          <w:p w:rsidR="00906DE0" w:rsidRPr="000A2294" w:rsidRDefault="00906DE0" w:rsidP="00906DE0">
            <w:pPr>
              <w:jc w:val="both"/>
              <w:rPr>
                <w:sz w:val="20"/>
                <w:lang w:val="en-CA"/>
              </w:rPr>
            </w:pPr>
            <w:r w:rsidRPr="000A2294">
              <w:rPr>
                <w:sz w:val="20"/>
                <w:lang w:val="en-CA"/>
              </w:rPr>
              <w:t>Quebec Superior Court</w:t>
            </w:r>
          </w:p>
          <w:p w:rsidR="00906DE0" w:rsidRPr="000A2294" w:rsidRDefault="00906DE0" w:rsidP="00906DE0">
            <w:pPr>
              <w:jc w:val="both"/>
              <w:rPr>
                <w:sz w:val="20"/>
                <w:lang w:val="en-CA"/>
              </w:rPr>
            </w:pPr>
            <w:r w:rsidRPr="000A2294">
              <w:rPr>
                <w:sz w:val="20"/>
                <w:lang w:val="en-CA"/>
              </w:rPr>
              <w:t>(Déziel J.)</w:t>
            </w:r>
          </w:p>
          <w:p w:rsidR="00906DE0" w:rsidRPr="000A2294" w:rsidRDefault="00906DE0" w:rsidP="00906DE0">
            <w:pPr>
              <w:jc w:val="both"/>
              <w:rPr>
                <w:sz w:val="20"/>
                <w:lang w:val="en-CA"/>
              </w:rPr>
            </w:pPr>
            <w:r w:rsidRPr="000A2294">
              <w:rPr>
                <w:sz w:val="20"/>
                <w:lang w:val="en-CA"/>
              </w:rPr>
              <w:t>File: 500-17-104277-184</w:t>
            </w:r>
          </w:p>
          <w:p w:rsidR="00906DE0" w:rsidRPr="000A2294" w:rsidRDefault="00F935FF" w:rsidP="00906DE0">
            <w:pPr>
              <w:jc w:val="both"/>
              <w:rPr>
                <w:sz w:val="20"/>
                <w:lang w:val="en-CA"/>
              </w:rPr>
            </w:pPr>
            <w:hyperlink r:id="rId67" w:history="1">
              <w:r w:rsidR="00906DE0" w:rsidRPr="000A2294">
                <w:rPr>
                  <w:rStyle w:val="Hyperlink"/>
                  <w:sz w:val="20"/>
                  <w:lang w:val="en-CA"/>
                </w:rPr>
                <w:t>2020 QCCS 4800</w:t>
              </w:r>
            </w:hyperlink>
          </w:p>
          <w:p w:rsidR="00906DE0" w:rsidRPr="000A2294" w:rsidRDefault="00906DE0" w:rsidP="00906DE0">
            <w:pPr>
              <w:jc w:val="both"/>
              <w:rPr>
                <w:sz w:val="20"/>
                <w:lang w:val="en-CA"/>
              </w:rPr>
            </w:pPr>
          </w:p>
        </w:tc>
        <w:tc>
          <w:tcPr>
            <w:tcW w:w="243" w:type="pct"/>
          </w:tcPr>
          <w:p w:rsidR="00906DE0" w:rsidRPr="000A2294" w:rsidRDefault="00906DE0" w:rsidP="00906DE0">
            <w:pPr>
              <w:jc w:val="both"/>
              <w:rPr>
                <w:sz w:val="20"/>
                <w:lang w:val="en-CA"/>
              </w:rPr>
            </w:pPr>
          </w:p>
        </w:tc>
        <w:tc>
          <w:tcPr>
            <w:tcW w:w="2330" w:type="pct"/>
          </w:tcPr>
          <w:p w:rsidR="00906DE0" w:rsidRPr="000A2294" w:rsidRDefault="00906DE0" w:rsidP="00906DE0">
            <w:pPr>
              <w:jc w:val="both"/>
              <w:rPr>
                <w:sz w:val="20"/>
                <w:lang w:val="en-CA"/>
              </w:rPr>
            </w:pPr>
            <w:r w:rsidRPr="000A2294">
              <w:rPr>
                <w:sz w:val="20"/>
                <w:lang w:val="en-CA"/>
              </w:rPr>
              <w:t>Applicant’s originating application allowed in part</w:t>
            </w:r>
          </w:p>
          <w:p w:rsidR="00906DE0" w:rsidRPr="000A2294" w:rsidRDefault="00906DE0" w:rsidP="00906DE0">
            <w:pPr>
              <w:jc w:val="both"/>
              <w:rPr>
                <w:sz w:val="20"/>
                <w:lang w:val="en-CA"/>
              </w:rPr>
            </w:pPr>
          </w:p>
        </w:tc>
      </w:tr>
      <w:tr w:rsidR="00906DE0" w:rsidRPr="000A2294" w:rsidTr="00E95A6A">
        <w:tc>
          <w:tcPr>
            <w:tcW w:w="2427" w:type="pct"/>
            <w:gridSpan w:val="2"/>
          </w:tcPr>
          <w:p w:rsidR="00906DE0" w:rsidRPr="000A2294" w:rsidRDefault="00906DE0" w:rsidP="00906DE0">
            <w:pPr>
              <w:jc w:val="both"/>
              <w:rPr>
                <w:sz w:val="20"/>
                <w:lang w:val="en-CA"/>
              </w:rPr>
            </w:pPr>
            <w:r w:rsidRPr="000A2294">
              <w:rPr>
                <w:sz w:val="20"/>
                <w:lang w:val="en-CA"/>
              </w:rPr>
              <w:t>August 23, 2022</w:t>
            </w:r>
          </w:p>
          <w:p w:rsidR="00906DE0" w:rsidRPr="000A2294" w:rsidRDefault="00906DE0" w:rsidP="00906DE0">
            <w:pPr>
              <w:jc w:val="both"/>
              <w:rPr>
                <w:sz w:val="20"/>
                <w:lang w:val="en-CA"/>
              </w:rPr>
            </w:pPr>
            <w:r w:rsidRPr="000A2294">
              <w:rPr>
                <w:sz w:val="20"/>
                <w:lang w:val="en-CA"/>
              </w:rPr>
              <w:t>Quebec Court of Appeal (Montréal)</w:t>
            </w:r>
          </w:p>
          <w:p w:rsidR="00906DE0" w:rsidRPr="000A2294" w:rsidRDefault="00906DE0" w:rsidP="00906DE0">
            <w:pPr>
              <w:jc w:val="both"/>
              <w:rPr>
                <w:sz w:val="20"/>
                <w:lang w:val="en-CA"/>
              </w:rPr>
            </w:pPr>
            <w:r w:rsidRPr="000A2294">
              <w:rPr>
                <w:sz w:val="20"/>
                <w:lang w:val="en-CA"/>
              </w:rPr>
              <w:t>(Schrager, Hogue and Sansfaçon JJ.A.)</w:t>
            </w:r>
          </w:p>
          <w:p w:rsidR="00906DE0" w:rsidRPr="000A2294" w:rsidRDefault="00906DE0" w:rsidP="00906DE0">
            <w:pPr>
              <w:jc w:val="both"/>
              <w:rPr>
                <w:sz w:val="20"/>
                <w:lang w:val="en-CA"/>
              </w:rPr>
            </w:pPr>
            <w:r w:rsidRPr="000A2294">
              <w:rPr>
                <w:sz w:val="20"/>
                <w:lang w:val="en-CA"/>
              </w:rPr>
              <w:t>File: 500-09-029299-211</w:t>
            </w:r>
          </w:p>
          <w:p w:rsidR="00906DE0" w:rsidRPr="000A2294" w:rsidRDefault="00F935FF" w:rsidP="00906DE0">
            <w:pPr>
              <w:jc w:val="both"/>
              <w:rPr>
                <w:sz w:val="20"/>
                <w:lang w:val="en-CA"/>
              </w:rPr>
            </w:pPr>
            <w:hyperlink r:id="rId68" w:history="1">
              <w:r w:rsidR="00906DE0" w:rsidRPr="000A2294">
                <w:rPr>
                  <w:rStyle w:val="Hyperlink"/>
                  <w:sz w:val="20"/>
                  <w:lang w:val="en-CA"/>
                </w:rPr>
                <w:t>2022 QCCA 1142</w:t>
              </w:r>
            </w:hyperlink>
          </w:p>
          <w:p w:rsidR="00906DE0" w:rsidRPr="000A2294" w:rsidRDefault="00906DE0" w:rsidP="00906DE0">
            <w:pPr>
              <w:jc w:val="both"/>
              <w:rPr>
                <w:sz w:val="20"/>
                <w:lang w:val="en-CA"/>
              </w:rPr>
            </w:pPr>
          </w:p>
        </w:tc>
        <w:tc>
          <w:tcPr>
            <w:tcW w:w="243" w:type="pct"/>
          </w:tcPr>
          <w:p w:rsidR="00906DE0" w:rsidRPr="000A2294" w:rsidRDefault="00906DE0" w:rsidP="00906DE0">
            <w:pPr>
              <w:jc w:val="both"/>
              <w:rPr>
                <w:sz w:val="20"/>
                <w:lang w:val="en-CA"/>
              </w:rPr>
            </w:pPr>
          </w:p>
        </w:tc>
        <w:tc>
          <w:tcPr>
            <w:tcW w:w="2330" w:type="pct"/>
          </w:tcPr>
          <w:p w:rsidR="00906DE0" w:rsidRPr="000A2294" w:rsidRDefault="00906DE0" w:rsidP="00906DE0">
            <w:pPr>
              <w:jc w:val="both"/>
              <w:rPr>
                <w:sz w:val="20"/>
                <w:lang w:val="en-CA"/>
              </w:rPr>
            </w:pPr>
            <w:r w:rsidRPr="000A2294">
              <w:rPr>
                <w:sz w:val="20"/>
                <w:lang w:val="en-CA"/>
              </w:rPr>
              <w:t>Appeal allowed; trial judgment set aside; applicant’s originating application dismissed</w:t>
            </w:r>
          </w:p>
        </w:tc>
      </w:tr>
      <w:tr w:rsidR="00906DE0" w:rsidRPr="000A2294" w:rsidTr="00E95A6A">
        <w:tc>
          <w:tcPr>
            <w:tcW w:w="2427" w:type="pct"/>
            <w:gridSpan w:val="2"/>
          </w:tcPr>
          <w:p w:rsidR="00906DE0" w:rsidRPr="000A2294" w:rsidRDefault="00906DE0" w:rsidP="00906DE0">
            <w:pPr>
              <w:jc w:val="both"/>
              <w:rPr>
                <w:sz w:val="20"/>
                <w:lang w:val="en-CA"/>
              </w:rPr>
            </w:pPr>
            <w:r w:rsidRPr="000A2294">
              <w:rPr>
                <w:sz w:val="20"/>
                <w:lang w:val="en-CA"/>
              </w:rPr>
              <w:t>October 21, 2022</w:t>
            </w:r>
          </w:p>
          <w:p w:rsidR="00906DE0" w:rsidRPr="000A2294" w:rsidRDefault="00906DE0" w:rsidP="00906DE0">
            <w:pPr>
              <w:jc w:val="both"/>
              <w:rPr>
                <w:sz w:val="20"/>
                <w:lang w:val="en-CA"/>
              </w:rPr>
            </w:pPr>
            <w:r w:rsidRPr="000A2294">
              <w:rPr>
                <w:sz w:val="20"/>
                <w:lang w:val="en-CA"/>
              </w:rPr>
              <w:t>Supreme Court of Canada</w:t>
            </w:r>
          </w:p>
        </w:tc>
        <w:tc>
          <w:tcPr>
            <w:tcW w:w="243" w:type="pct"/>
          </w:tcPr>
          <w:p w:rsidR="00906DE0" w:rsidRPr="000A2294" w:rsidRDefault="00906DE0" w:rsidP="00906DE0">
            <w:pPr>
              <w:jc w:val="both"/>
              <w:rPr>
                <w:sz w:val="20"/>
                <w:lang w:val="en-CA"/>
              </w:rPr>
            </w:pPr>
          </w:p>
        </w:tc>
        <w:tc>
          <w:tcPr>
            <w:tcW w:w="2330" w:type="pct"/>
          </w:tcPr>
          <w:p w:rsidR="00906DE0" w:rsidRPr="000A2294" w:rsidRDefault="00906DE0" w:rsidP="00906DE0">
            <w:pPr>
              <w:jc w:val="both"/>
              <w:rPr>
                <w:sz w:val="20"/>
                <w:lang w:val="en-CA"/>
              </w:rPr>
            </w:pPr>
            <w:r w:rsidRPr="000A2294">
              <w:rPr>
                <w:sz w:val="20"/>
                <w:lang w:val="en-CA"/>
              </w:rPr>
              <w:t>Application for leave to appeal filed</w:t>
            </w:r>
          </w:p>
          <w:p w:rsidR="00906DE0" w:rsidRPr="000A2294" w:rsidRDefault="00906DE0" w:rsidP="00906DE0">
            <w:pPr>
              <w:jc w:val="both"/>
              <w:rPr>
                <w:sz w:val="20"/>
                <w:lang w:val="en-CA"/>
              </w:rPr>
            </w:pPr>
          </w:p>
        </w:tc>
      </w:tr>
    </w:tbl>
    <w:p w:rsidR="00906DE0" w:rsidRPr="000A2294" w:rsidRDefault="00906DE0" w:rsidP="00906DE0">
      <w:pPr>
        <w:jc w:val="both"/>
        <w:rPr>
          <w:sz w:val="20"/>
          <w:lang w:val="en-CA"/>
        </w:rPr>
      </w:pPr>
    </w:p>
    <w:p w:rsidR="00906DE0" w:rsidRPr="000A2294" w:rsidRDefault="00F935FF" w:rsidP="00906DE0">
      <w:pPr>
        <w:jc w:val="both"/>
        <w:rPr>
          <w:sz w:val="20"/>
          <w:lang w:val="en-CA"/>
        </w:rPr>
      </w:pPr>
      <w:r>
        <w:rPr>
          <w:sz w:val="20"/>
        </w:rPr>
        <w:pict>
          <v:rect id="_x0000_i1041" style="width:2in;height:1pt" o:hrpct="0" o:hralign="center" o:hrstd="t" o:hrnoshade="t" o:hr="t" fillcolor="black [3213]" stroked="f"/>
        </w:pict>
      </w:r>
    </w:p>
    <w:p w:rsidR="00906DE0" w:rsidRPr="000A2294" w:rsidRDefault="00906DE0" w:rsidP="00906DE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06DE0" w:rsidRPr="000A2294" w:rsidTr="00E95A6A">
        <w:tc>
          <w:tcPr>
            <w:tcW w:w="543" w:type="pct"/>
          </w:tcPr>
          <w:p w:rsidR="00906DE0" w:rsidRPr="000A2294" w:rsidRDefault="00906DE0" w:rsidP="00906DE0">
            <w:pPr>
              <w:jc w:val="both"/>
              <w:rPr>
                <w:sz w:val="20"/>
              </w:rPr>
            </w:pPr>
            <w:r w:rsidRPr="000A2294">
              <w:rPr>
                <w:rStyle w:val="SCCFileNumberChar"/>
                <w:sz w:val="20"/>
                <w:szCs w:val="20"/>
              </w:rPr>
              <w:t>40434</w:t>
            </w:r>
          </w:p>
        </w:tc>
        <w:tc>
          <w:tcPr>
            <w:tcW w:w="4457" w:type="pct"/>
            <w:gridSpan w:val="3"/>
          </w:tcPr>
          <w:p w:rsidR="00906DE0" w:rsidRPr="000A2294" w:rsidRDefault="00906DE0" w:rsidP="00906DE0">
            <w:pPr>
              <w:pStyle w:val="SCCLsocParty"/>
              <w:jc w:val="both"/>
              <w:rPr>
                <w:b/>
                <w:sz w:val="20"/>
                <w:szCs w:val="20"/>
              </w:rPr>
            </w:pPr>
            <w:r w:rsidRPr="000A2294">
              <w:rPr>
                <w:b/>
                <w:sz w:val="20"/>
                <w:szCs w:val="20"/>
              </w:rPr>
              <w:t>O.C. c. Compagnie d’assurance vie RBC</w:t>
            </w:r>
          </w:p>
          <w:p w:rsidR="00906DE0" w:rsidRPr="000A2294" w:rsidRDefault="00906DE0" w:rsidP="00906DE0">
            <w:pPr>
              <w:jc w:val="both"/>
              <w:rPr>
                <w:sz w:val="20"/>
              </w:rPr>
            </w:pPr>
            <w:r w:rsidRPr="000A2294">
              <w:rPr>
                <w:sz w:val="20"/>
              </w:rPr>
              <w:t>(Qc) (Civile) (Autorisation)</w:t>
            </w:r>
          </w:p>
        </w:tc>
      </w:tr>
      <w:tr w:rsidR="00906DE0" w:rsidRPr="00F935FF" w:rsidTr="00E95A6A">
        <w:tc>
          <w:tcPr>
            <w:tcW w:w="5000" w:type="pct"/>
            <w:gridSpan w:val="4"/>
          </w:tcPr>
          <w:p w:rsidR="00906DE0" w:rsidRPr="000A2294" w:rsidRDefault="00906DE0" w:rsidP="00906DE0">
            <w:pPr>
              <w:pStyle w:val="SCCBanSummary"/>
              <w:rPr>
                <w:sz w:val="20"/>
                <w:szCs w:val="20"/>
                <w:lang w:val="fr-CA"/>
              </w:rPr>
            </w:pPr>
            <w:r w:rsidRPr="000A2294">
              <w:rPr>
                <w:sz w:val="20"/>
                <w:szCs w:val="20"/>
                <w:lang w:val="fr-CA"/>
              </w:rPr>
              <w:t>(Ordonnance de non-publication dans le dossier) (Ordonnance de mise sous scellés) (Certaines informations non disponibles pour le public)</w:t>
            </w:r>
          </w:p>
          <w:p w:rsidR="00906DE0" w:rsidRPr="000A2294" w:rsidRDefault="00906DE0" w:rsidP="00906DE0">
            <w:pPr>
              <w:jc w:val="both"/>
              <w:rPr>
                <w:sz w:val="20"/>
                <w:lang w:val="fr-CA"/>
              </w:rPr>
            </w:pPr>
          </w:p>
          <w:p w:rsidR="00906DE0" w:rsidRPr="000A2294" w:rsidRDefault="00906DE0" w:rsidP="00906DE0">
            <w:pPr>
              <w:jc w:val="both"/>
              <w:rPr>
                <w:sz w:val="20"/>
                <w:lang w:val="fr-CA"/>
              </w:rPr>
            </w:pPr>
            <w:r w:rsidRPr="000A2294">
              <w:rPr>
                <w:sz w:val="20"/>
                <w:lang w:val="fr-CA"/>
              </w:rPr>
              <w:t>Assurances — Assurances de personnes — Assurance invalidité — Invalidité totale — Avenant modifiant la définition d’invalidité totale dans la police d’assurance — Quelle est la norme de contrôle applicable à la question de savoir si un assuré est totalement invalide aux termes d’un contrat d’assurance invalidité? — Est-ce que la notion d’invalidité totale requiert la démonstration que l’assuré n’est plus capable d’accomplir aucune des tâches importantes de sa profession ou plutôt la démonstration que l’assuré n’est plus capable d’exécuter de façon substantielle les tâches importantes de sa profession?</w:t>
            </w:r>
          </w:p>
        </w:tc>
      </w:tr>
      <w:tr w:rsidR="00906DE0" w:rsidRPr="000A2294" w:rsidTr="00E95A6A">
        <w:tc>
          <w:tcPr>
            <w:tcW w:w="5000" w:type="pct"/>
            <w:gridSpan w:val="4"/>
          </w:tcPr>
          <w:p w:rsidR="00906DE0" w:rsidRPr="000A2294" w:rsidRDefault="00906DE0" w:rsidP="00906DE0">
            <w:pPr>
              <w:jc w:val="both"/>
              <w:rPr>
                <w:sz w:val="20"/>
                <w:lang w:val="fr-CA"/>
              </w:rPr>
            </w:pPr>
          </w:p>
          <w:p w:rsidR="00906DE0" w:rsidRPr="000A2294" w:rsidRDefault="00906DE0" w:rsidP="00906DE0">
            <w:pPr>
              <w:jc w:val="both"/>
              <w:rPr>
                <w:sz w:val="20"/>
              </w:rPr>
            </w:pPr>
            <w:r w:rsidRPr="000A2294">
              <w:rPr>
                <w:sz w:val="20"/>
                <w:lang w:val="fr-CA"/>
              </w:rPr>
              <w:t>Le demandeur bénéficie d’une police d’assurance invalidité émise par l’intimée. Cette police comprend un avenant qui modifie la définition d’invalidité totale qui y est contenue. En mars 2015, le demandeur se considère ne plus être en mesure d’exécuter les tâches de son travail à cause de problèmes liées à l’anxiété. En avril 2015, le demandeur soumet à l’intimée une demande de prestation d’invalidité. Il reçoit des prestations d’invalidité partielle ou résiduelle pour un certain temps. Le demandeur soutient que l’intimée devait plutôt lui reconnaître une invalidité totale puisqu’il ne peut plus exercer les tâches importantes de la profession qu’il pratiquait au moment où il est devenu invalide. Il introduit des procédures judiciaires à la Cour supérieure du Québec. Celle-ci accueille en partie sa demande. Elle déclare que le demandeur est totalement invalide depuis le 1</w:t>
            </w:r>
            <w:r w:rsidRPr="000A2294">
              <w:rPr>
                <w:sz w:val="20"/>
                <w:vertAlign w:val="superscript"/>
                <w:lang w:val="fr-CA"/>
              </w:rPr>
              <w:t>er</w:t>
            </w:r>
            <w:r w:rsidRPr="000A2294">
              <w:rPr>
                <w:sz w:val="20"/>
                <w:lang w:val="fr-CA"/>
              </w:rPr>
              <w:t xml:space="preserve"> avril 2015 au sens de l’avenant et qu’il a droit, à compter du 30 juin 2015, aux prestations mensuelles d’invalidité prévues en pareil cas. Elle ordonne ainsi à l’intimée de lui verser la différence entre les prestations d’invalidité qu’elle lui a payées entre le 30 juin 2015 et le 31 juillet 2017 et celles qu’elle aurait dû lui payer pour invalidité totale depuis la même date, et de lui verser mensuellement des prestations d’invalidité totale tant que l’invalidité durera ou jusqu’à l’échéance du contrat. Elle rejette sa demande pour dommages moraux. L’intimée se pourvoit contre le jugement de première instance. La Cour d’appel du Québec accueille l’appel et infirme le jugement de première instance. </w:t>
            </w:r>
            <w:r w:rsidRPr="000A2294">
              <w:rPr>
                <w:sz w:val="20"/>
              </w:rPr>
              <w:t>Elle rejette aussi la demande introductive d’instance du demandeur.</w:t>
            </w:r>
          </w:p>
          <w:p w:rsidR="00906DE0" w:rsidRPr="000A2294" w:rsidRDefault="00906DE0" w:rsidP="00906DE0">
            <w:pPr>
              <w:jc w:val="both"/>
              <w:rPr>
                <w:sz w:val="20"/>
              </w:rPr>
            </w:pPr>
          </w:p>
        </w:tc>
      </w:tr>
      <w:tr w:rsidR="00906DE0" w:rsidRPr="00F935FF" w:rsidTr="00E95A6A">
        <w:tc>
          <w:tcPr>
            <w:tcW w:w="2427" w:type="pct"/>
            <w:gridSpan w:val="2"/>
          </w:tcPr>
          <w:p w:rsidR="00906DE0" w:rsidRPr="000A2294" w:rsidRDefault="00906DE0" w:rsidP="00906DE0">
            <w:pPr>
              <w:jc w:val="both"/>
              <w:rPr>
                <w:sz w:val="20"/>
                <w:lang w:val="fr-CA"/>
              </w:rPr>
            </w:pPr>
            <w:r w:rsidRPr="000A2294">
              <w:rPr>
                <w:sz w:val="20"/>
                <w:lang w:val="fr-CA"/>
              </w:rPr>
              <w:t>Le 15 décembre 2020</w:t>
            </w:r>
          </w:p>
          <w:p w:rsidR="00906DE0" w:rsidRPr="000A2294" w:rsidRDefault="00906DE0" w:rsidP="00906DE0">
            <w:pPr>
              <w:jc w:val="both"/>
              <w:rPr>
                <w:sz w:val="20"/>
                <w:lang w:val="fr-CA"/>
              </w:rPr>
            </w:pPr>
            <w:r w:rsidRPr="000A2294">
              <w:rPr>
                <w:sz w:val="20"/>
                <w:lang w:val="fr-CA"/>
              </w:rPr>
              <w:t>Cour supérieure du Québec</w:t>
            </w:r>
          </w:p>
          <w:p w:rsidR="00906DE0" w:rsidRPr="000A2294" w:rsidRDefault="00906DE0" w:rsidP="00906DE0">
            <w:pPr>
              <w:jc w:val="both"/>
              <w:rPr>
                <w:sz w:val="20"/>
                <w:lang w:val="fr-CA"/>
              </w:rPr>
            </w:pPr>
            <w:r w:rsidRPr="000A2294">
              <w:rPr>
                <w:sz w:val="20"/>
                <w:lang w:val="fr-CA"/>
              </w:rPr>
              <w:t>(Le juge Déziel)</w:t>
            </w:r>
          </w:p>
          <w:p w:rsidR="00906DE0" w:rsidRPr="000A2294" w:rsidRDefault="00906DE0" w:rsidP="00906DE0">
            <w:pPr>
              <w:jc w:val="both"/>
              <w:rPr>
                <w:sz w:val="20"/>
                <w:lang w:val="fr-CA"/>
              </w:rPr>
            </w:pPr>
            <w:r w:rsidRPr="000A2294">
              <w:rPr>
                <w:sz w:val="20"/>
                <w:lang w:val="fr-CA"/>
              </w:rPr>
              <w:t>Dossier : 500-17-104277-184</w:t>
            </w:r>
          </w:p>
          <w:p w:rsidR="00906DE0" w:rsidRPr="000A2294" w:rsidRDefault="00F935FF" w:rsidP="00906DE0">
            <w:pPr>
              <w:jc w:val="both"/>
              <w:rPr>
                <w:sz w:val="20"/>
                <w:lang w:val="fr-CA"/>
              </w:rPr>
            </w:pPr>
            <w:hyperlink r:id="rId69" w:history="1">
              <w:r w:rsidR="00906DE0" w:rsidRPr="000A2294">
                <w:rPr>
                  <w:rStyle w:val="Hyperlink"/>
                  <w:sz w:val="20"/>
                  <w:lang w:val="fr-CA"/>
                </w:rPr>
                <w:t>2020 QCCS 4800</w:t>
              </w:r>
            </w:hyperlink>
          </w:p>
          <w:p w:rsidR="00906DE0" w:rsidRPr="000A2294" w:rsidRDefault="00906DE0" w:rsidP="00906DE0">
            <w:pPr>
              <w:jc w:val="both"/>
              <w:rPr>
                <w:sz w:val="20"/>
                <w:lang w:val="fr-CA"/>
              </w:rPr>
            </w:pPr>
          </w:p>
        </w:tc>
        <w:tc>
          <w:tcPr>
            <w:tcW w:w="243" w:type="pct"/>
          </w:tcPr>
          <w:p w:rsidR="00906DE0" w:rsidRPr="000A2294" w:rsidRDefault="00906DE0" w:rsidP="00906DE0">
            <w:pPr>
              <w:jc w:val="both"/>
              <w:rPr>
                <w:sz w:val="20"/>
                <w:lang w:val="fr-CA"/>
              </w:rPr>
            </w:pPr>
          </w:p>
        </w:tc>
        <w:tc>
          <w:tcPr>
            <w:tcW w:w="2330" w:type="pct"/>
          </w:tcPr>
          <w:p w:rsidR="00906DE0" w:rsidRPr="000A2294" w:rsidRDefault="00906DE0" w:rsidP="00906DE0">
            <w:pPr>
              <w:jc w:val="both"/>
              <w:rPr>
                <w:sz w:val="20"/>
                <w:lang w:val="fr-CA"/>
              </w:rPr>
            </w:pPr>
            <w:r w:rsidRPr="000A2294">
              <w:rPr>
                <w:sz w:val="20"/>
                <w:lang w:val="fr-CA"/>
              </w:rPr>
              <w:t>Demande introductive d’instance du demandeur accueillie en partie.</w:t>
            </w:r>
          </w:p>
          <w:p w:rsidR="00906DE0" w:rsidRPr="000A2294" w:rsidRDefault="00906DE0" w:rsidP="00906DE0">
            <w:pPr>
              <w:jc w:val="both"/>
              <w:rPr>
                <w:sz w:val="20"/>
                <w:lang w:val="fr-CA"/>
              </w:rPr>
            </w:pPr>
          </w:p>
        </w:tc>
      </w:tr>
      <w:tr w:rsidR="00906DE0" w:rsidRPr="00F935FF" w:rsidTr="00E95A6A">
        <w:tc>
          <w:tcPr>
            <w:tcW w:w="2427" w:type="pct"/>
            <w:gridSpan w:val="2"/>
          </w:tcPr>
          <w:p w:rsidR="00906DE0" w:rsidRPr="000A2294" w:rsidRDefault="00906DE0" w:rsidP="00906DE0">
            <w:pPr>
              <w:jc w:val="both"/>
              <w:rPr>
                <w:sz w:val="20"/>
                <w:lang w:val="fr-CA"/>
              </w:rPr>
            </w:pPr>
            <w:r w:rsidRPr="000A2294">
              <w:rPr>
                <w:sz w:val="20"/>
                <w:lang w:val="fr-CA"/>
              </w:rPr>
              <w:t>Le 23 août 2022</w:t>
            </w:r>
          </w:p>
          <w:p w:rsidR="00906DE0" w:rsidRPr="000A2294" w:rsidRDefault="00906DE0" w:rsidP="00906DE0">
            <w:pPr>
              <w:jc w:val="both"/>
              <w:rPr>
                <w:sz w:val="20"/>
                <w:lang w:val="fr-CA"/>
              </w:rPr>
            </w:pPr>
            <w:r w:rsidRPr="000A2294">
              <w:rPr>
                <w:sz w:val="20"/>
                <w:lang w:val="fr-CA"/>
              </w:rPr>
              <w:t>Cour d’appel du Québec (Montréal)</w:t>
            </w:r>
          </w:p>
          <w:p w:rsidR="00906DE0" w:rsidRPr="000A2294" w:rsidRDefault="00906DE0" w:rsidP="00906DE0">
            <w:pPr>
              <w:jc w:val="both"/>
              <w:rPr>
                <w:sz w:val="20"/>
                <w:lang w:val="fr-CA"/>
              </w:rPr>
            </w:pPr>
            <w:r w:rsidRPr="000A2294">
              <w:rPr>
                <w:sz w:val="20"/>
                <w:lang w:val="fr-CA"/>
              </w:rPr>
              <w:t>(Les juges Schrager, Hogue et Sansfaçon)</w:t>
            </w:r>
          </w:p>
          <w:p w:rsidR="00906DE0" w:rsidRPr="000A2294" w:rsidRDefault="00906DE0" w:rsidP="00906DE0">
            <w:pPr>
              <w:jc w:val="both"/>
              <w:rPr>
                <w:sz w:val="20"/>
              </w:rPr>
            </w:pPr>
            <w:r w:rsidRPr="000A2294">
              <w:rPr>
                <w:sz w:val="20"/>
              </w:rPr>
              <w:t>Dossier : 500-09-029299-211</w:t>
            </w:r>
          </w:p>
          <w:p w:rsidR="00906DE0" w:rsidRPr="000A2294" w:rsidRDefault="00F935FF" w:rsidP="00906DE0">
            <w:pPr>
              <w:jc w:val="both"/>
              <w:rPr>
                <w:sz w:val="20"/>
              </w:rPr>
            </w:pPr>
            <w:hyperlink r:id="rId70" w:history="1">
              <w:r w:rsidR="00906DE0" w:rsidRPr="000A2294">
                <w:rPr>
                  <w:rStyle w:val="Hyperlink"/>
                  <w:sz w:val="20"/>
                </w:rPr>
                <w:t>2022 QCCA 1142</w:t>
              </w:r>
            </w:hyperlink>
          </w:p>
          <w:p w:rsidR="00906DE0" w:rsidRPr="000A2294" w:rsidRDefault="00906DE0" w:rsidP="00906DE0">
            <w:pPr>
              <w:jc w:val="both"/>
              <w:rPr>
                <w:sz w:val="20"/>
              </w:rPr>
            </w:pPr>
          </w:p>
        </w:tc>
        <w:tc>
          <w:tcPr>
            <w:tcW w:w="243" w:type="pct"/>
          </w:tcPr>
          <w:p w:rsidR="00906DE0" w:rsidRPr="000A2294" w:rsidRDefault="00906DE0" w:rsidP="00906DE0">
            <w:pPr>
              <w:jc w:val="both"/>
              <w:rPr>
                <w:sz w:val="20"/>
              </w:rPr>
            </w:pPr>
          </w:p>
        </w:tc>
        <w:tc>
          <w:tcPr>
            <w:tcW w:w="2330" w:type="pct"/>
          </w:tcPr>
          <w:p w:rsidR="00906DE0" w:rsidRPr="000A2294" w:rsidRDefault="00906DE0" w:rsidP="00906DE0">
            <w:pPr>
              <w:jc w:val="both"/>
              <w:rPr>
                <w:sz w:val="20"/>
                <w:lang w:val="fr-CA"/>
              </w:rPr>
            </w:pPr>
            <w:r w:rsidRPr="000A2294">
              <w:rPr>
                <w:sz w:val="20"/>
                <w:lang w:val="fr-CA"/>
              </w:rPr>
              <w:t>Appel accueilli. Jugement de première instance infirmé. Demande introductive d’instance du demandeur rejetée.</w:t>
            </w:r>
          </w:p>
        </w:tc>
      </w:tr>
      <w:tr w:rsidR="00906DE0" w:rsidRPr="000A2294" w:rsidTr="00E95A6A">
        <w:tc>
          <w:tcPr>
            <w:tcW w:w="2427" w:type="pct"/>
            <w:gridSpan w:val="2"/>
          </w:tcPr>
          <w:p w:rsidR="00906DE0" w:rsidRPr="000A2294" w:rsidRDefault="00906DE0" w:rsidP="00906DE0">
            <w:pPr>
              <w:jc w:val="both"/>
              <w:rPr>
                <w:sz w:val="20"/>
                <w:lang w:val="fr-CA"/>
              </w:rPr>
            </w:pPr>
            <w:r w:rsidRPr="000A2294">
              <w:rPr>
                <w:sz w:val="20"/>
                <w:lang w:val="fr-CA"/>
              </w:rPr>
              <w:t>Le 21 octobre 2022</w:t>
            </w:r>
          </w:p>
          <w:p w:rsidR="00906DE0" w:rsidRPr="000A2294" w:rsidRDefault="00906DE0" w:rsidP="00906DE0">
            <w:pPr>
              <w:jc w:val="both"/>
              <w:rPr>
                <w:sz w:val="20"/>
                <w:lang w:val="fr-CA"/>
              </w:rPr>
            </w:pPr>
            <w:r w:rsidRPr="000A2294">
              <w:rPr>
                <w:sz w:val="20"/>
                <w:lang w:val="fr-CA"/>
              </w:rPr>
              <w:t>Cour suprême du Canada</w:t>
            </w:r>
          </w:p>
        </w:tc>
        <w:tc>
          <w:tcPr>
            <w:tcW w:w="243" w:type="pct"/>
          </w:tcPr>
          <w:p w:rsidR="00906DE0" w:rsidRPr="000A2294" w:rsidRDefault="00906DE0" w:rsidP="00906DE0">
            <w:pPr>
              <w:jc w:val="both"/>
              <w:rPr>
                <w:sz w:val="20"/>
                <w:lang w:val="fr-CA"/>
              </w:rPr>
            </w:pPr>
          </w:p>
        </w:tc>
        <w:tc>
          <w:tcPr>
            <w:tcW w:w="2330" w:type="pct"/>
          </w:tcPr>
          <w:p w:rsidR="00906DE0" w:rsidRPr="000A2294" w:rsidRDefault="00906DE0" w:rsidP="00906DE0">
            <w:pPr>
              <w:jc w:val="both"/>
              <w:rPr>
                <w:sz w:val="20"/>
              </w:rPr>
            </w:pPr>
            <w:r w:rsidRPr="000A2294">
              <w:rPr>
                <w:sz w:val="20"/>
              </w:rPr>
              <w:t>Demande d’autorisation d’appel déposée.</w:t>
            </w:r>
          </w:p>
          <w:p w:rsidR="00906DE0" w:rsidRPr="000A2294" w:rsidRDefault="00906DE0" w:rsidP="00906DE0">
            <w:pPr>
              <w:jc w:val="both"/>
              <w:rPr>
                <w:sz w:val="20"/>
              </w:rPr>
            </w:pPr>
          </w:p>
        </w:tc>
      </w:tr>
    </w:tbl>
    <w:p w:rsidR="00906DE0" w:rsidRPr="000A2294" w:rsidRDefault="00906DE0" w:rsidP="00906DE0">
      <w:pPr>
        <w:jc w:val="both"/>
        <w:rPr>
          <w:sz w:val="20"/>
        </w:rPr>
      </w:pPr>
    </w:p>
    <w:p w:rsidR="00E028BD" w:rsidRPr="000A2294" w:rsidRDefault="00F935FF" w:rsidP="00C900D8">
      <w:pPr>
        <w:widowControl w:val="0"/>
        <w:jc w:val="both"/>
        <w:rPr>
          <w:sz w:val="20"/>
          <w:lang w:val="fr-CA"/>
        </w:rPr>
      </w:pPr>
      <w:r>
        <w:rPr>
          <w:sz w:val="20"/>
        </w:rPr>
        <w:pict>
          <v:rect id="_x0000_i1042" style="width:2in;height:1pt" o:hrpct="0" o:hralign="center" o:hrstd="t" o:hrnoshade="t" o:hr="t" fillcolor="black [3213]" stroked="f"/>
        </w:pict>
      </w:r>
    </w:p>
    <w:p w:rsidR="00E028BD" w:rsidRPr="000A2294" w:rsidRDefault="00E028BD" w:rsidP="00C900D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00D8" w:rsidRPr="000A2294" w:rsidTr="00E95A6A">
        <w:tc>
          <w:tcPr>
            <w:tcW w:w="543" w:type="pct"/>
          </w:tcPr>
          <w:p w:rsidR="00C900D8" w:rsidRPr="000A2294" w:rsidRDefault="00C900D8" w:rsidP="00C900D8">
            <w:pPr>
              <w:jc w:val="both"/>
              <w:rPr>
                <w:sz w:val="20"/>
              </w:rPr>
            </w:pPr>
            <w:r w:rsidRPr="000A2294">
              <w:rPr>
                <w:rStyle w:val="SCCFileNumberChar"/>
                <w:sz w:val="20"/>
                <w:szCs w:val="20"/>
              </w:rPr>
              <w:t>40471</w:t>
            </w:r>
          </w:p>
        </w:tc>
        <w:tc>
          <w:tcPr>
            <w:tcW w:w="4457" w:type="pct"/>
            <w:gridSpan w:val="3"/>
          </w:tcPr>
          <w:p w:rsidR="00C900D8" w:rsidRPr="000A2294" w:rsidRDefault="00C900D8" w:rsidP="00C900D8">
            <w:pPr>
              <w:pStyle w:val="SCCLsocParty"/>
              <w:jc w:val="both"/>
              <w:rPr>
                <w:b/>
                <w:sz w:val="20"/>
                <w:szCs w:val="20"/>
                <w:lang w:val="en-US"/>
              </w:rPr>
            </w:pPr>
            <w:r w:rsidRPr="000A2294">
              <w:rPr>
                <w:b/>
                <w:sz w:val="20"/>
                <w:szCs w:val="20"/>
                <w:lang w:val="en-US"/>
              </w:rPr>
              <w:t>Glenn Bogue v. Andrew Clifford Miracle c.o.b. as Smokin’ Joes</w:t>
            </w:r>
          </w:p>
          <w:p w:rsidR="00C900D8" w:rsidRPr="000A2294" w:rsidRDefault="00C900D8" w:rsidP="00C900D8">
            <w:pPr>
              <w:jc w:val="both"/>
              <w:rPr>
                <w:sz w:val="20"/>
              </w:rPr>
            </w:pPr>
            <w:r w:rsidRPr="000A2294">
              <w:rPr>
                <w:sz w:val="20"/>
              </w:rPr>
              <w:t>(Ont.) (Civil) (By Leave)</w:t>
            </w:r>
          </w:p>
        </w:tc>
      </w:tr>
      <w:tr w:rsidR="00C900D8" w:rsidRPr="000A2294" w:rsidTr="00E95A6A">
        <w:tc>
          <w:tcPr>
            <w:tcW w:w="5000" w:type="pct"/>
            <w:gridSpan w:val="4"/>
          </w:tcPr>
          <w:p w:rsidR="00C900D8" w:rsidRPr="000A2294" w:rsidRDefault="00C900D8" w:rsidP="00C900D8">
            <w:pPr>
              <w:jc w:val="both"/>
              <w:rPr>
                <w:sz w:val="20"/>
              </w:rPr>
            </w:pPr>
            <w:r w:rsidRPr="000A2294">
              <w:rPr>
                <w:sz w:val="20"/>
              </w:rPr>
              <w:t xml:space="preserve">Charter of Rights — Right to equality — Judgments and orders — Reasons — Whether s. 89 of the </w:t>
            </w:r>
            <w:r w:rsidRPr="000A2294">
              <w:rPr>
                <w:i/>
                <w:sz w:val="20"/>
              </w:rPr>
              <w:t>Indian Act</w:t>
            </w:r>
            <w:r w:rsidRPr="000A2294">
              <w:rPr>
                <w:sz w:val="20"/>
              </w:rPr>
              <w:t xml:space="preserve"> unjustifiably infringes the equality rights of non-status Indians and Métis — Whether s. 89 of the </w:t>
            </w:r>
            <w:r w:rsidRPr="000A2294">
              <w:rPr>
                <w:i/>
                <w:sz w:val="20"/>
              </w:rPr>
              <w:t>Indian Act</w:t>
            </w:r>
            <w:r w:rsidRPr="000A2294">
              <w:rPr>
                <w:sz w:val="20"/>
              </w:rPr>
              <w:t xml:space="preserve"> unjustifiably infringes the equality rights of Indians holding property situated on a reserve —Whether the Court of Appeal provided sufficient reasons for holding that the respondent did not waive his rights under s. 89 of the </w:t>
            </w:r>
            <w:r w:rsidRPr="000A2294">
              <w:rPr>
                <w:i/>
                <w:sz w:val="20"/>
              </w:rPr>
              <w:t xml:space="preserve">Indian Act </w:t>
            </w:r>
            <w:r w:rsidRPr="000A2294">
              <w:rPr>
                <w:sz w:val="20"/>
              </w:rPr>
              <w:t xml:space="preserve">— </w:t>
            </w:r>
            <w:r w:rsidRPr="000A2294">
              <w:rPr>
                <w:i/>
                <w:sz w:val="20"/>
              </w:rPr>
              <w:t>Indian Act</w:t>
            </w:r>
            <w:r w:rsidRPr="000A2294">
              <w:rPr>
                <w:sz w:val="20"/>
              </w:rPr>
              <w:t>, R.S.C. 1985, c. I-5, s. 89.</w:t>
            </w:r>
          </w:p>
        </w:tc>
      </w:tr>
      <w:tr w:rsidR="00C900D8" w:rsidRPr="000A2294" w:rsidTr="00E95A6A">
        <w:tc>
          <w:tcPr>
            <w:tcW w:w="5000" w:type="pct"/>
            <w:gridSpan w:val="4"/>
          </w:tcPr>
          <w:p w:rsidR="00C900D8" w:rsidRPr="000A2294" w:rsidRDefault="00C900D8" w:rsidP="00C900D8">
            <w:pPr>
              <w:jc w:val="both"/>
              <w:rPr>
                <w:sz w:val="20"/>
              </w:rPr>
            </w:pPr>
          </w:p>
        </w:tc>
      </w:tr>
      <w:tr w:rsidR="00C900D8" w:rsidRPr="000A2294" w:rsidTr="00E95A6A">
        <w:tc>
          <w:tcPr>
            <w:tcW w:w="5000" w:type="pct"/>
            <w:gridSpan w:val="4"/>
          </w:tcPr>
          <w:p w:rsidR="00C900D8" w:rsidRPr="000A2294" w:rsidRDefault="00C900D8" w:rsidP="00C900D8">
            <w:pPr>
              <w:jc w:val="both"/>
              <w:rPr>
                <w:sz w:val="20"/>
              </w:rPr>
            </w:pPr>
            <w:r w:rsidRPr="000A2294">
              <w:rPr>
                <w:sz w:val="20"/>
              </w:rPr>
              <w:t>The applicant provided legal services to the respondent. The respondent has not paid his legal fees in full. The applicant maintains a solicitor’s lien over some of the respondent’s property that he seeks to enforce through the appointment of a receiver-manager. The respondent’s property includes, among other things, a business situated on a reserve.</w:t>
            </w:r>
          </w:p>
          <w:p w:rsidR="00C900D8" w:rsidRPr="000A2294" w:rsidRDefault="00C900D8" w:rsidP="00C900D8">
            <w:pPr>
              <w:jc w:val="both"/>
              <w:rPr>
                <w:sz w:val="20"/>
              </w:rPr>
            </w:pPr>
          </w:p>
          <w:p w:rsidR="00C900D8" w:rsidRPr="000A2294" w:rsidRDefault="00C900D8" w:rsidP="00C900D8">
            <w:pPr>
              <w:jc w:val="both"/>
              <w:rPr>
                <w:sz w:val="20"/>
              </w:rPr>
            </w:pPr>
            <w:r w:rsidRPr="000A2294">
              <w:rPr>
                <w:sz w:val="20"/>
              </w:rPr>
              <w:t xml:space="preserve">The application judge first appointed a receiver-manager for all of the respondent’s property. The Court of Appeal remitted the matter to the application judge to consider whether s. 89 of the </w:t>
            </w:r>
            <w:r w:rsidRPr="000A2294">
              <w:rPr>
                <w:i/>
                <w:sz w:val="20"/>
              </w:rPr>
              <w:t>Indian Act</w:t>
            </w:r>
            <w:r w:rsidRPr="000A2294">
              <w:rPr>
                <w:sz w:val="20"/>
              </w:rPr>
              <w:t xml:space="preserve"> prevents the appointment of a receiver-manager over the respondent’s on-reserve property.</w:t>
            </w:r>
          </w:p>
          <w:p w:rsidR="00C900D8" w:rsidRPr="000A2294" w:rsidRDefault="00C900D8" w:rsidP="00C900D8">
            <w:pPr>
              <w:jc w:val="both"/>
              <w:rPr>
                <w:sz w:val="20"/>
              </w:rPr>
            </w:pPr>
          </w:p>
          <w:p w:rsidR="00C900D8" w:rsidRPr="000A2294" w:rsidRDefault="00C900D8" w:rsidP="00C900D8">
            <w:pPr>
              <w:jc w:val="both"/>
              <w:rPr>
                <w:sz w:val="20"/>
              </w:rPr>
            </w:pPr>
            <w:r w:rsidRPr="000A2294">
              <w:rPr>
                <w:sz w:val="20"/>
              </w:rPr>
              <w:t>The application judge held that s. 89 does not protect on-reserve property where that property originates, as it does in this case, from normal business transactions conducted in the commercial mainstream.</w:t>
            </w:r>
          </w:p>
          <w:p w:rsidR="00C900D8" w:rsidRPr="000A2294" w:rsidRDefault="00C900D8" w:rsidP="00C900D8">
            <w:pPr>
              <w:jc w:val="both"/>
              <w:rPr>
                <w:sz w:val="20"/>
              </w:rPr>
            </w:pPr>
          </w:p>
          <w:p w:rsidR="00C900D8" w:rsidRPr="000A2294" w:rsidRDefault="00C900D8" w:rsidP="00C900D8">
            <w:pPr>
              <w:jc w:val="both"/>
              <w:rPr>
                <w:sz w:val="20"/>
              </w:rPr>
            </w:pPr>
            <w:r w:rsidRPr="000A2294">
              <w:rPr>
                <w:sz w:val="20"/>
              </w:rPr>
              <w:t>The Court of Appeal held that there is no exception to s. 89 for property originating from normal business transactions in the commercial mainstream. The respondent did not waive his rights under s. 89 as against the applicant. The Court of Appeal therefore allowed the appeal and held that the receivership and management order would not apply to the respondent’s on-reserve property.</w:t>
            </w:r>
          </w:p>
          <w:p w:rsidR="00C900D8" w:rsidRPr="000A2294" w:rsidRDefault="00C900D8" w:rsidP="00C900D8">
            <w:pPr>
              <w:jc w:val="both"/>
              <w:rPr>
                <w:sz w:val="20"/>
              </w:rPr>
            </w:pPr>
          </w:p>
        </w:tc>
      </w:tr>
      <w:tr w:rsidR="00C900D8" w:rsidRPr="000A2294" w:rsidTr="00E95A6A">
        <w:tc>
          <w:tcPr>
            <w:tcW w:w="2427" w:type="pct"/>
            <w:gridSpan w:val="2"/>
          </w:tcPr>
          <w:p w:rsidR="00C900D8" w:rsidRPr="000A2294" w:rsidRDefault="00C900D8" w:rsidP="00C900D8">
            <w:pPr>
              <w:jc w:val="both"/>
              <w:rPr>
                <w:sz w:val="20"/>
              </w:rPr>
            </w:pPr>
            <w:r w:rsidRPr="000A2294">
              <w:rPr>
                <w:sz w:val="20"/>
              </w:rPr>
              <w:t>October 11, 2019</w:t>
            </w:r>
          </w:p>
          <w:p w:rsidR="00C900D8" w:rsidRPr="000A2294" w:rsidRDefault="00C900D8" w:rsidP="00C900D8">
            <w:pPr>
              <w:jc w:val="both"/>
              <w:rPr>
                <w:sz w:val="20"/>
              </w:rPr>
            </w:pPr>
            <w:r w:rsidRPr="000A2294">
              <w:rPr>
                <w:sz w:val="20"/>
              </w:rPr>
              <w:t>Ontario Superior Court of Justice</w:t>
            </w:r>
          </w:p>
          <w:p w:rsidR="00C900D8" w:rsidRPr="000A2294" w:rsidRDefault="00C900D8" w:rsidP="00C900D8">
            <w:pPr>
              <w:jc w:val="both"/>
              <w:rPr>
                <w:sz w:val="20"/>
              </w:rPr>
            </w:pPr>
            <w:r w:rsidRPr="000A2294">
              <w:rPr>
                <w:sz w:val="20"/>
              </w:rPr>
              <w:t>(Kershman J.)</w:t>
            </w:r>
          </w:p>
          <w:p w:rsidR="00C900D8" w:rsidRPr="000A2294" w:rsidRDefault="00C900D8" w:rsidP="00C900D8">
            <w:pPr>
              <w:jc w:val="both"/>
              <w:rPr>
                <w:sz w:val="20"/>
              </w:rPr>
            </w:pPr>
          </w:p>
        </w:tc>
        <w:tc>
          <w:tcPr>
            <w:tcW w:w="243" w:type="pct"/>
          </w:tcPr>
          <w:p w:rsidR="00C900D8" w:rsidRPr="000A2294" w:rsidRDefault="00C900D8" w:rsidP="00C900D8">
            <w:pPr>
              <w:jc w:val="both"/>
              <w:rPr>
                <w:sz w:val="20"/>
              </w:rPr>
            </w:pPr>
          </w:p>
        </w:tc>
        <w:tc>
          <w:tcPr>
            <w:tcW w:w="2330" w:type="pct"/>
          </w:tcPr>
          <w:p w:rsidR="00C900D8" w:rsidRPr="000A2294" w:rsidRDefault="00C900D8" w:rsidP="00C900D8">
            <w:pPr>
              <w:jc w:val="both"/>
              <w:rPr>
                <w:sz w:val="20"/>
              </w:rPr>
            </w:pPr>
            <w:r w:rsidRPr="000A2294">
              <w:rPr>
                <w:sz w:val="20"/>
              </w:rPr>
              <w:t>Order appointing receiver-manager over respondent’s property granted.</w:t>
            </w:r>
          </w:p>
        </w:tc>
      </w:tr>
      <w:tr w:rsidR="00C900D8" w:rsidRPr="000A2294" w:rsidTr="00E95A6A">
        <w:tc>
          <w:tcPr>
            <w:tcW w:w="2427" w:type="pct"/>
            <w:gridSpan w:val="2"/>
          </w:tcPr>
          <w:p w:rsidR="00C900D8" w:rsidRPr="000A2294" w:rsidRDefault="00C900D8" w:rsidP="00C900D8">
            <w:pPr>
              <w:jc w:val="both"/>
              <w:rPr>
                <w:sz w:val="20"/>
              </w:rPr>
            </w:pPr>
            <w:r w:rsidRPr="000A2294">
              <w:rPr>
                <w:sz w:val="20"/>
              </w:rPr>
              <w:t>April 30, 2021</w:t>
            </w:r>
          </w:p>
          <w:p w:rsidR="00C900D8" w:rsidRPr="000A2294" w:rsidRDefault="00C900D8" w:rsidP="00C900D8">
            <w:pPr>
              <w:jc w:val="both"/>
              <w:rPr>
                <w:sz w:val="20"/>
              </w:rPr>
            </w:pPr>
            <w:r w:rsidRPr="000A2294">
              <w:rPr>
                <w:sz w:val="20"/>
              </w:rPr>
              <w:t>Court of Appeal for Ontario</w:t>
            </w:r>
          </w:p>
          <w:p w:rsidR="00C900D8" w:rsidRPr="000A2294" w:rsidRDefault="00C900D8" w:rsidP="00C900D8">
            <w:pPr>
              <w:jc w:val="both"/>
              <w:rPr>
                <w:sz w:val="20"/>
              </w:rPr>
            </w:pPr>
            <w:r w:rsidRPr="000A2294">
              <w:rPr>
                <w:sz w:val="20"/>
              </w:rPr>
              <w:t>(Benotto, Miller, and Trotter JJ.A.)</w:t>
            </w:r>
          </w:p>
          <w:p w:rsidR="00C900D8" w:rsidRPr="000A2294" w:rsidRDefault="00F935FF" w:rsidP="00C900D8">
            <w:pPr>
              <w:jc w:val="both"/>
              <w:rPr>
                <w:sz w:val="20"/>
              </w:rPr>
            </w:pPr>
            <w:hyperlink r:id="rId71" w:history="1">
              <w:r w:rsidR="00C900D8" w:rsidRPr="000A2294">
                <w:rPr>
                  <w:rStyle w:val="Hyperlink"/>
                  <w:rFonts w:eastAsiaTheme="minorHAnsi"/>
                  <w:sz w:val="20"/>
                </w:rPr>
                <w:t>2021 ONCA 278</w:t>
              </w:r>
            </w:hyperlink>
          </w:p>
          <w:p w:rsidR="00C900D8" w:rsidRPr="000A2294" w:rsidRDefault="00C900D8" w:rsidP="00C900D8">
            <w:pPr>
              <w:jc w:val="both"/>
              <w:rPr>
                <w:sz w:val="20"/>
              </w:rPr>
            </w:pPr>
          </w:p>
        </w:tc>
        <w:tc>
          <w:tcPr>
            <w:tcW w:w="243" w:type="pct"/>
          </w:tcPr>
          <w:p w:rsidR="00C900D8" w:rsidRPr="000A2294" w:rsidRDefault="00C900D8" w:rsidP="00C900D8">
            <w:pPr>
              <w:jc w:val="both"/>
              <w:rPr>
                <w:sz w:val="20"/>
              </w:rPr>
            </w:pPr>
          </w:p>
        </w:tc>
        <w:tc>
          <w:tcPr>
            <w:tcW w:w="2330" w:type="pct"/>
          </w:tcPr>
          <w:p w:rsidR="00C900D8" w:rsidRPr="000A2294" w:rsidRDefault="00C900D8" w:rsidP="00C900D8">
            <w:pPr>
              <w:jc w:val="both"/>
              <w:rPr>
                <w:sz w:val="20"/>
              </w:rPr>
            </w:pPr>
            <w:r w:rsidRPr="000A2294">
              <w:rPr>
                <w:sz w:val="20"/>
              </w:rPr>
              <w:t xml:space="preserve">Matter remitted to application judge to consider application of s. 89 of </w:t>
            </w:r>
            <w:r w:rsidRPr="000A2294">
              <w:rPr>
                <w:i/>
                <w:sz w:val="20"/>
              </w:rPr>
              <w:t>Indian Act</w:t>
            </w:r>
            <w:r w:rsidRPr="000A2294">
              <w:rPr>
                <w:sz w:val="20"/>
              </w:rPr>
              <w:t>.</w:t>
            </w:r>
          </w:p>
          <w:p w:rsidR="00C900D8" w:rsidRPr="000A2294" w:rsidRDefault="00C900D8" w:rsidP="00C900D8">
            <w:pPr>
              <w:jc w:val="both"/>
              <w:rPr>
                <w:sz w:val="20"/>
              </w:rPr>
            </w:pPr>
          </w:p>
        </w:tc>
      </w:tr>
      <w:tr w:rsidR="00C900D8" w:rsidRPr="000A2294" w:rsidTr="00E95A6A">
        <w:tc>
          <w:tcPr>
            <w:tcW w:w="2427" w:type="pct"/>
            <w:gridSpan w:val="2"/>
          </w:tcPr>
          <w:p w:rsidR="00C900D8" w:rsidRPr="000A2294" w:rsidRDefault="00C900D8" w:rsidP="00C900D8">
            <w:pPr>
              <w:jc w:val="both"/>
              <w:rPr>
                <w:sz w:val="20"/>
              </w:rPr>
            </w:pPr>
            <w:r w:rsidRPr="000A2294">
              <w:rPr>
                <w:sz w:val="20"/>
              </w:rPr>
              <w:t>November 15, 2021</w:t>
            </w:r>
          </w:p>
          <w:p w:rsidR="00C900D8" w:rsidRPr="000A2294" w:rsidRDefault="00C900D8" w:rsidP="00C900D8">
            <w:pPr>
              <w:jc w:val="both"/>
              <w:rPr>
                <w:sz w:val="20"/>
              </w:rPr>
            </w:pPr>
            <w:r w:rsidRPr="000A2294">
              <w:rPr>
                <w:sz w:val="20"/>
              </w:rPr>
              <w:t>Ontario Superior Court of Justice</w:t>
            </w:r>
          </w:p>
          <w:p w:rsidR="00C900D8" w:rsidRPr="000A2294" w:rsidRDefault="00C900D8" w:rsidP="00C900D8">
            <w:pPr>
              <w:jc w:val="both"/>
              <w:rPr>
                <w:sz w:val="20"/>
              </w:rPr>
            </w:pPr>
            <w:r w:rsidRPr="000A2294">
              <w:rPr>
                <w:sz w:val="20"/>
              </w:rPr>
              <w:t>(Kershman J.)</w:t>
            </w:r>
          </w:p>
          <w:p w:rsidR="00C900D8" w:rsidRPr="000A2294" w:rsidRDefault="00C900D8" w:rsidP="00C900D8">
            <w:pPr>
              <w:jc w:val="both"/>
              <w:rPr>
                <w:sz w:val="20"/>
              </w:rPr>
            </w:pPr>
          </w:p>
        </w:tc>
        <w:tc>
          <w:tcPr>
            <w:tcW w:w="243" w:type="pct"/>
          </w:tcPr>
          <w:p w:rsidR="00C900D8" w:rsidRPr="000A2294" w:rsidRDefault="00C900D8" w:rsidP="00C900D8">
            <w:pPr>
              <w:jc w:val="both"/>
              <w:rPr>
                <w:sz w:val="20"/>
              </w:rPr>
            </w:pPr>
          </w:p>
        </w:tc>
        <w:tc>
          <w:tcPr>
            <w:tcW w:w="2330" w:type="pct"/>
          </w:tcPr>
          <w:p w:rsidR="00C900D8" w:rsidRPr="000A2294" w:rsidRDefault="00C900D8" w:rsidP="00C900D8">
            <w:pPr>
              <w:jc w:val="both"/>
              <w:rPr>
                <w:sz w:val="20"/>
              </w:rPr>
            </w:pPr>
            <w:r w:rsidRPr="000A2294">
              <w:rPr>
                <w:sz w:val="20"/>
              </w:rPr>
              <w:t xml:space="preserve">Order appointing receiver-manager confirmed after consideration of s. 89 of </w:t>
            </w:r>
            <w:r w:rsidRPr="000A2294">
              <w:rPr>
                <w:i/>
                <w:sz w:val="20"/>
              </w:rPr>
              <w:t>Indian Act</w:t>
            </w:r>
            <w:r w:rsidRPr="000A2294">
              <w:rPr>
                <w:sz w:val="20"/>
              </w:rPr>
              <w:t>.</w:t>
            </w:r>
          </w:p>
          <w:p w:rsidR="00C900D8" w:rsidRPr="000A2294" w:rsidRDefault="00C900D8" w:rsidP="00C900D8">
            <w:pPr>
              <w:jc w:val="both"/>
              <w:rPr>
                <w:sz w:val="20"/>
              </w:rPr>
            </w:pPr>
          </w:p>
        </w:tc>
      </w:tr>
      <w:tr w:rsidR="00C900D8" w:rsidRPr="000A2294" w:rsidTr="00E95A6A">
        <w:tc>
          <w:tcPr>
            <w:tcW w:w="2427" w:type="pct"/>
            <w:gridSpan w:val="2"/>
          </w:tcPr>
          <w:p w:rsidR="00C900D8" w:rsidRPr="000A2294" w:rsidRDefault="00C900D8" w:rsidP="00C900D8">
            <w:pPr>
              <w:jc w:val="both"/>
              <w:rPr>
                <w:sz w:val="20"/>
              </w:rPr>
            </w:pPr>
            <w:r w:rsidRPr="000A2294">
              <w:rPr>
                <w:sz w:val="20"/>
              </w:rPr>
              <w:t>September 29, 2022</w:t>
            </w:r>
          </w:p>
          <w:p w:rsidR="00C900D8" w:rsidRPr="000A2294" w:rsidRDefault="00C900D8" w:rsidP="00C900D8">
            <w:pPr>
              <w:jc w:val="both"/>
              <w:rPr>
                <w:sz w:val="20"/>
              </w:rPr>
            </w:pPr>
            <w:r w:rsidRPr="000A2294">
              <w:rPr>
                <w:sz w:val="20"/>
              </w:rPr>
              <w:t>Court of Appeal for Ontario</w:t>
            </w:r>
          </w:p>
          <w:p w:rsidR="00C900D8" w:rsidRPr="000A2294" w:rsidRDefault="00C900D8" w:rsidP="00C900D8">
            <w:pPr>
              <w:jc w:val="both"/>
              <w:rPr>
                <w:sz w:val="20"/>
              </w:rPr>
            </w:pPr>
            <w:r w:rsidRPr="000A2294">
              <w:rPr>
                <w:sz w:val="20"/>
              </w:rPr>
              <w:t>(Doherty, Tulloch, and Miller JJ.A.)</w:t>
            </w:r>
          </w:p>
          <w:p w:rsidR="00C900D8" w:rsidRPr="000A2294" w:rsidRDefault="00F935FF" w:rsidP="00C900D8">
            <w:pPr>
              <w:jc w:val="both"/>
              <w:rPr>
                <w:sz w:val="20"/>
              </w:rPr>
            </w:pPr>
            <w:hyperlink r:id="rId72" w:history="1">
              <w:r w:rsidR="00C900D8" w:rsidRPr="000A2294">
                <w:rPr>
                  <w:rStyle w:val="Hyperlink"/>
                  <w:rFonts w:eastAsiaTheme="minorHAnsi"/>
                  <w:sz w:val="20"/>
                </w:rPr>
                <w:t>2022 ONCA 672</w:t>
              </w:r>
            </w:hyperlink>
          </w:p>
          <w:p w:rsidR="00C900D8" w:rsidRPr="000A2294" w:rsidRDefault="00C900D8" w:rsidP="00C900D8">
            <w:pPr>
              <w:jc w:val="both"/>
              <w:rPr>
                <w:sz w:val="20"/>
              </w:rPr>
            </w:pPr>
          </w:p>
        </w:tc>
        <w:tc>
          <w:tcPr>
            <w:tcW w:w="243" w:type="pct"/>
          </w:tcPr>
          <w:p w:rsidR="00C900D8" w:rsidRPr="000A2294" w:rsidRDefault="00C900D8" w:rsidP="00C900D8">
            <w:pPr>
              <w:jc w:val="both"/>
              <w:rPr>
                <w:sz w:val="20"/>
              </w:rPr>
            </w:pPr>
          </w:p>
        </w:tc>
        <w:tc>
          <w:tcPr>
            <w:tcW w:w="2330" w:type="pct"/>
          </w:tcPr>
          <w:p w:rsidR="00C900D8" w:rsidRPr="000A2294" w:rsidRDefault="00C900D8" w:rsidP="00C900D8">
            <w:pPr>
              <w:jc w:val="both"/>
              <w:rPr>
                <w:sz w:val="20"/>
              </w:rPr>
            </w:pPr>
            <w:r w:rsidRPr="000A2294">
              <w:rPr>
                <w:sz w:val="20"/>
              </w:rPr>
              <w:t>Appeal allowed in relation to respondent’s on-reserve property.</w:t>
            </w:r>
          </w:p>
          <w:p w:rsidR="00C900D8" w:rsidRPr="000A2294" w:rsidRDefault="00C900D8" w:rsidP="00C900D8">
            <w:pPr>
              <w:jc w:val="both"/>
              <w:rPr>
                <w:sz w:val="20"/>
              </w:rPr>
            </w:pPr>
          </w:p>
        </w:tc>
      </w:tr>
      <w:tr w:rsidR="00C900D8" w:rsidRPr="000A2294" w:rsidTr="00E95A6A">
        <w:tc>
          <w:tcPr>
            <w:tcW w:w="2427" w:type="pct"/>
            <w:gridSpan w:val="2"/>
          </w:tcPr>
          <w:p w:rsidR="00C900D8" w:rsidRPr="000A2294" w:rsidRDefault="00C900D8" w:rsidP="00C900D8">
            <w:pPr>
              <w:jc w:val="both"/>
              <w:rPr>
                <w:sz w:val="20"/>
              </w:rPr>
            </w:pPr>
            <w:r w:rsidRPr="000A2294">
              <w:rPr>
                <w:sz w:val="20"/>
              </w:rPr>
              <w:t>November 28, 2022</w:t>
            </w:r>
          </w:p>
          <w:p w:rsidR="00C900D8" w:rsidRPr="000A2294" w:rsidRDefault="00C900D8" w:rsidP="00C900D8">
            <w:pPr>
              <w:jc w:val="both"/>
              <w:rPr>
                <w:sz w:val="20"/>
              </w:rPr>
            </w:pPr>
            <w:r w:rsidRPr="000A2294">
              <w:rPr>
                <w:sz w:val="20"/>
              </w:rPr>
              <w:t>Supreme Court of Canada</w:t>
            </w:r>
          </w:p>
        </w:tc>
        <w:tc>
          <w:tcPr>
            <w:tcW w:w="243" w:type="pct"/>
          </w:tcPr>
          <w:p w:rsidR="00C900D8" w:rsidRPr="000A2294" w:rsidRDefault="00C900D8" w:rsidP="00C900D8">
            <w:pPr>
              <w:jc w:val="both"/>
              <w:rPr>
                <w:sz w:val="20"/>
              </w:rPr>
            </w:pPr>
          </w:p>
        </w:tc>
        <w:tc>
          <w:tcPr>
            <w:tcW w:w="2330" w:type="pct"/>
          </w:tcPr>
          <w:p w:rsidR="00C900D8" w:rsidRPr="000A2294" w:rsidRDefault="00C900D8" w:rsidP="00C900D8">
            <w:pPr>
              <w:jc w:val="both"/>
              <w:rPr>
                <w:sz w:val="20"/>
              </w:rPr>
            </w:pPr>
            <w:r w:rsidRPr="000A2294">
              <w:rPr>
                <w:sz w:val="20"/>
              </w:rPr>
              <w:t>Application for leave to appeal filed.</w:t>
            </w:r>
          </w:p>
          <w:p w:rsidR="00C900D8" w:rsidRPr="000A2294" w:rsidRDefault="00C900D8" w:rsidP="00C900D8">
            <w:pPr>
              <w:jc w:val="both"/>
              <w:rPr>
                <w:sz w:val="20"/>
              </w:rPr>
            </w:pPr>
          </w:p>
        </w:tc>
      </w:tr>
    </w:tbl>
    <w:p w:rsidR="00C900D8" w:rsidRPr="000A2294" w:rsidRDefault="00C900D8" w:rsidP="00C900D8">
      <w:pPr>
        <w:jc w:val="both"/>
        <w:rPr>
          <w:sz w:val="20"/>
        </w:rPr>
      </w:pPr>
    </w:p>
    <w:p w:rsidR="00C900D8" w:rsidRPr="000A2294" w:rsidRDefault="00F935FF" w:rsidP="00C900D8">
      <w:pPr>
        <w:jc w:val="both"/>
        <w:rPr>
          <w:sz w:val="20"/>
        </w:rPr>
      </w:pPr>
      <w:r>
        <w:rPr>
          <w:sz w:val="20"/>
        </w:rPr>
        <w:pict>
          <v:rect id="_x0000_i1043" style="width:2in;height:1pt" o:hrpct="0" o:hralign="center" o:hrstd="t" o:hrnoshade="t" o:hr="t" fillcolor="black [3213]" stroked="f"/>
        </w:pict>
      </w:r>
    </w:p>
    <w:p w:rsidR="00C900D8" w:rsidRPr="000A2294" w:rsidRDefault="00C900D8" w:rsidP="00C900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00D8" w:rsidRPr="000A2294" w:rsidTr="006C4BDA">
        <w:tc>
          <w:tcPr>
            <w:tcW w:w="543" w:type="pct"/>
          </w:tcPr>
          <w:p w:rsidR="00C900D8" w:rsidRPr="000A2294" w:rsidRDefault="00C900D8" w:rsidP="00C900D8">
            <w:pPr>
              <w:jc w:val="both"/>
              <w:rPr>
                <w:sz w:val="20"/>
                <w:lang w:val="fr-CA"/>
              </w:rPr>
            </w:pPr>
            <w:r w:rsidRPr="000A2294">
              <w:rPr>
                <w:rStyle w:val="SCCFileNumberChar"/>
                <w:sz w:val="20"/>
                <w:szCs w:val="20"/>
                <w:lang w:val="fr-CA"/>
              </w:rPr>
              <w:t>40471</w:t>
            </w:r>
          </w:p>
        </w:tc>
        <w:tc>
          <w:tcPr>
            <w:tcW w:w="4457" w:type="pct"/>
            <w:gridSpan w:val="3"/>
          </w:tcPr>
          <w:p w:rsidR="00C900D8" w:rsidRPr="000A2294" w:rsidRDefault="00C900D8" w:rsidP="00C900D8">
            <w:pPr>
              <w:pStyle w:val="SCCLsocParty"/>
              <w:jc w:val="both"/>
              <w:rPr>
                <w:b/>
                <w:sz w:val="20"/>
                <w:szCs w:val="20"/>
                <w:lang w:val="en-US"/>
              </w:rPr>
            </w:pPr>
            <w:r w:rsidRPr="000A2294">
              <w:rPr>
                <w:b/>
                <w:sz w:val="20"/>
                <w:szCs w:val="20"/>
                <w:lang w:val="en-US"/>
              </w:rPr>
              <w:t>Glenn Bogue c. Andrew Clifford Miracle f.a.s.r.s. Smokin’ Joes</w:t>
            </w:r>
          </w:p>
          <w:p w:rsidR="00C900D8" w:rsidRPr="000A2294" w:rsidRDefault="00C900D8" w:rsidP="00C900D8">
            <w:pPr>
              <w:jc w:val="both"/>
              <w:rPr>
                <w:sz w:val="20"/>
                <w:lang w:val="fr-CA"/>
              </w:rPr>
            </w:pPr>
            <w:r w:rsidRPr="000A2294">
              <w:rPr>
                <w:sz w:val="20"/>
                <w:lang w:val="fr-CA"/>
              </w:rPr>
              <w:t>(Ont.) (Civile) (Autorisation)</w:t>
            </w:r>
          </w:p>
        </w:tc>
      </w:tr>
      <w:tr w:rsidR="00C900D8" w:rsidRPr="00F935FF" w:rsidTr="006C4BDA">
        <w:tc>
          <w:tcPr>
            <w:tcW w:w="5000" w:type="pct"/>
            <w:gridSpan w:val="4"/>
          </w:tcPr>
          <w:p w:rsidR="00C900D8" w:rsidRPr="000A2294" w:rsidRDefault="00C900D8" w:rsidP="00C900D8">
            <w:pPr>
              <w:jc w:val="both"/>
              <w:rPr>
                <w:sz w:val="20"/>
                <w:lang w:val="fr-CA"/>
              </w:rPr>
            </w:pPr>
            <w:r w:rsidRPr="000A2294">
              <w:rPr>
                <w:sz w:val="20"/>
                <w:lang w:val="fr-CA"/>
              </w:rPr>
              <w:t xml:space="preserve">Charte des droits — Droit à l’égalité — Jugements et ordonnances — Motifs — L’art. 89 de la </w:t>
            </w:r>
            <w:r w:rsidRPr="000A2294">
              <w:rPr>
                <w:i/>
                <w:sz w:val="20"/>
                <w:lang w:val="fr-CA"/>
              </w:rPr>
              <w:t>Loi sur les Indiens</w:t>
            </w:r>
            <w:r w:rsidRPr="000A2294">
              <w:rPr>
                <w:sz w:val="20"/>
                <w:lang w:val="fr-CA"/>
              </w:rPr>
              <w:t xml:space="preserve"> porte</w:t>
            </w:r>
            <w:r w:rsidRPr="000A2294">
              <w:rPr>
                <w:sz w:val="20"/>
                <w:lang w:val="fr-CA"/>
              </w:rPr>
              <w:noBreakHyphen/>
              <w:t>t</w:t>
            </w:r>
            <w:r w:rsidRPr="000A2294">
              <w:rPr>
                <w:sz w:val="20"/>
                <w:lang w:val="fr-CA"/>
              </w:rPr>
              <w:noBreakHyphen/>
              <w:t>il atteinte de manière injustifiable aux droits à l’égalité des Indiens non</w:t>
            </w:r>
            <w:r w:rsidRPr="000A2294">
              <w:rPr>
                <w:sz w:val="20"/>
                <w:lang w:val="fr-CA"/>
              </w:rPr>
              <w:noBreakHyphen/>
              <w:t xml:space="preserve">inscrits et des Métis? — L’art. 89 de la </w:t>
            </w:r>
            <w:r w:rsidRPr="000A2294">
              <w:rPr>
                <w:i/>
                <w:sz w:val="20"/>
                <w:lang w:val="fr-CA"/>
              </w:rPr>
              <w:t>Loi sur les Indiens</w:t>
            </w:r>
            <w:r w:rsidRPr="000A2294">
              <w:rPr>
                <w:sz w:val="20"/>
                <w:lang w:val="fr-CA"/>
              </w:rPr>
              <w:t xml:space="preserve"> porte</w:t>
            </w:r>
            <w:r w:rsidRPr="000A2294">
              <w:rPr>
                <w:sz w:val="20"/>
                <w:lang w:val="fr-CA"/>
              </w:rPr>
              <w:noBreakHyphen/>
              <w:t>t</w:t>
            </w:r>
            <w:r w:rsidRPr="000A2294">
              <w:rPr>
                <w:sz w:val="20"/>
                <w:lang w:val="fr-CA"/>
              </w:rPr>
              <w:noBreakHyphen/>
              <w:t>il atteinte de manière injustifiable aux droits à l’égalité des Indiens qui possèdent un bien situé sur une réserve? — La Cour d’appel a</w:t>
            </w:r>
            <w:r w:rsidRPr="000A2294">
              <w:rPr>
                <w:sz w:val="20"/>
                <w:lang w:val="fr-CA"/>
              </w:rPr>
              <w:noBreakHyphen/>
              <w:t>t</w:t>
            </w:r>
            <w:r w:rsidRPr="000A2294">
              <w:rPr>
                <w:sz w:val="20"/>
                <w:lang w:val="fr-CA"/>
              </w:rPr>
              <w:noBreakHyphen/>
              <w:t xml:space="preserve">elle suffisamment motivé sa décision selon laquelle le défendeur n’a pas renoncé aux droits que lui confère l’art. 89 de la </w:t>
            </w:r>
            <w:r w:rsidRPr="000A2294">
              <w:rPr>
                <w:i/>
                <w:sz w:val="20"/>
                <w:lang w:val="fr-CA"/>
              </w:rPr>
              <w:t>Loi sur les Indiens</w:t>
            </w:r>
            <w:r w:rsidRPr="000A2294">
              <w:rPr>
                <w:sz w:val="20"/>
                <w:lang w:val="fr-CA"/>
              </w:rPr>
              <w:t>? —</w:t>
            </w:r>
            <w:r w:rsidRPr="000A2294">
              <w:rPr>
                <w:i/>
                <w:sz w:val="20"/>
                <w:lang w:val="fr-CA"/>
              </w:rPr>
              <w:t xml:space="preserve"> Loi sur les Indiens</w:t>
            </w:r>
            <w:r w:rsidRPr="000A2294">
              <w:rPr>
                <w:sz w:val="20"/>
                <w:lang w:val="fr-CA"/>
              </w:rPr>
              <w:t>, L.R.C. 1985, c. I-5, art. 89.</w:t>
            </w:r>
          </w:p>
        </w:tc>
      </w:tr>
      <w:tr w:rsidR="00C900D8" w:rsidRPr="00F935FF" w:rsidTr="006C4BDA">
        <w:tc>
          <w:tcPr>
            <w:tcW w:w="5000" w:type="pct"/>
            <w:gridSpan w:val="4"/>
          </w:tcPr>
          <w:p w:rsidR="00C900D8" w:rsidRPr="000A2294" w:rsidRDefault="00C900D8" w:rsidP="00C900D8">
            <w:pPr>
              <w:jc w:val="both"/>
              <w:rPr>
                <w:sz w:val="20"/>
                <w:lang w:val="fr-CA"/>
              </w:rPr>
            </w:pPr>
          </w:p>
        </w:tc>
      </w:tr>
      <w:tr w:rsidR="00C900D8" w:rsidRPr="00F935FF" w:rsidTr="006C4BDA">
        <w:tc>
          <w:tcPr>
            <w:tcW w:w="5000" w:type="pct"/>
            <w:gridSpan w:val="4"/>
          </w:tcPr>
          <w:p w:rsidR="00C900D8" w:rsidRPr="000A2294" w:rsidRDefault="00C900D8" w:rsidP="00C900D8">
            <w:pPr>
              <w:jc w:val="both"/>
              <w:rPr>
                <w:sz w:val="20"/>
                <w:lang w:val="fr-CA"/>
              </w:rPr>
            </w:pPr>
            <w:r w:rsidRPr="000A2294">
              <w:rPr>
                <w:sz w:val="20"/>
                <w:lang w:val="fr-CA"/>
              </w:rPr>
              <w:t>Le demandeur fournissait des services juridiques au défendeur. Le défendeur n’a pas payé la totalité de ses frais juridiques. Le demandeur a conservé un privilège de procureur sur certains biens du défendeur dont il sollicite la mise en exécution par la nomination d’un séquestre</w:t>
            </w:r>
            <w:r w:rsidRPr="000A2294">
              <w:rPr>
                <w:sz w:val="20"/>
                <w:lang w:val="fr-CA"/>
              </w:rPr>
              <w:noBreakHyphen/>
              <w:t>gérant. Les biens du défendeur comprennent notamment une entreprise située sur une réserve.</w:t>
            </w:r>
          </w:p>
          <w:p w:rsidR="00C900D8" w:rsidRPr="000A2294" w:rsidRDefault="00C900D8" w:rsidP="00C900D8">
            <w:pPr>
              <w:jc w:val="both"/>
              <w:rPr>
                <w:sz w:val="20"/>
                <w:lang w:val="fr-CA"/>
              </w:rPr>
            </w:pPr>
          </w:p>
          <w:p w:rsidR="00C900D8" w:rsidRPr="000A2294" w:rsidRDefault="00C900D8" w:rsidP="00C900D8">
            <w:pPr>
              <w:jc w:val="both"/>
              <w:rPr>
                <w:sz w:val="20"/>
                <w:lang w:val="fr-CA"/>
              </w:rPr>
            </w:pPr>
            <w:r w:rsidRPr="000A2294">
              <w:rPr>
                <w:sz w:val="20"/>
                <w:lang w:val="fr-CA"/>
              </w:rPr>
              <w:t>Le juge de première instance a d’abord nommé un séquestre</w:t>
            </w:r>
            <w:r w:rsidRPr="000A2294">
              <w:rPr>
                <w:sz w:val="20"/>
                <w:lang w:val="fr-CA"/>
              </w:rPr>
              <w:noBreakHyphen/>
              <w:t xml:space="preserve">gérant pour l’ensemble des biens du défendeur. La Cour d’appel a renvoyé l’affaire au juge de première instance pour qu’il examine si l’art. 89 de la </w:t>
            </w:r>
            <w:r w:rsidRPr="000A2294">
              <w:rPr>
                <w:i/>
                <w:sz w:val="20"/>
                <w:lang w:val="fr-CA"/>
              </w:rPr>
              <w:t>Loi sur les Indiens</w:t>
            </w:r>
            <w:r w:rsidRPr="000A2294">
              <w:rPr>
                <w:sz w:val="20"/>
                <w:lang w:val="fr-CA"/>
              </w:rPr>
              <w:t xml:space="preserve"> interdit la nomination d’un séquestre-gérant pour les biens du défendeur situés sur la réserve.</w:t>
            </w:r>
          </w:p>
          <w:p w:rsidR="00C900D8" w:rsidRPr="000A2294" w:rsidRDefault="00C900D8" w:rsidP="00C900D8">
            <w:pPr>
              <w:jc w:val="both"/>
              <w:rPr>
                <w:sz w:val="20"/>
                <w:lang w:val="fr-CA"/>
              </w:rPr>
            </w:pPr>
          </w:p>
          <w:p w:rsidR="00C900D8" w:rsidRPr="000A2294" w:rsidRDefault="00C900D8" w:rsidP="00C900D8">
            <w:pPr>
              <w:jc w:val="both"/>
              <w:rPr>
                <w:sz w:val="20"/>
                <w:lang w:val="fr-CA"/>
              </w:rPr>
            </w:pPr>
            <w:r w:rsidRPr="000A2294">
              <w:rPr>
                <w:sz w:val="20"/>
                <w:lang w:val="fr-CA"/>
              </w:rPr>
              <w:t>Le juge de première instance a décidé que l’art. 89 ne protège pas les biens situés sur la réserve lorsque ceux</w:t>
            </w:r>
            <w:r w:rsidRPr="000A2294">
              <w:rPr>
                <w:sz w:val="20"/>
                <w:lang w:val="fr-CA"/>
              </w:rPr>
              <w:noBreakHyphen/>
              <w:t>ci proviennent, comme c’est le cas en l’espèce, d’opérations commerciales normales effectuées dans un marché ordinaire.</w:t>
            </w:r>
          </w:p>
          <w:p w:rsidR="00C900D8" w:rsidRPr="000A2294" w:rsidRDefault="00C900D8" w:rsidP="00C900D8">
            <w:pPr>
              <w:jc w:val="both"/>
              <w:rPr>
                <w:sz w:val="20"/>
                <w:lang w:val="fr-CA"/>
              </w:rPr>
            </w:pPr>
          </w:p>
          <w:p w:rsidR="00C900D8" w:rsidRPr="000A2294" w:rsidRDefault="00C900D8" w:rsidP="00C900D8">
            <w:pPr>
              <w:jc w:val="both"/>
              <w:rPr>
                <w:sz w:val="20"/>
                <w:lang w:val="fr-CA"/>
              </w:rPr>
            </w:pPr>
            <w:r w:rsidRPr="000A2294">
              <w:rPr>
                <w:sz w:val="20"/>
                <w:lang w:val="fr-CA"/>
              </w:rPr>
              <w:t>La Cour d’appel a statué qu’il n’y avait pas d’exception à l’art. 89 pour les biens provenant d’opérations commerciales normales effectuées dans un marché ordinaire. Le défendeur n’a pas renoncé à ses droits prévus à l’art. 89 contre le demandeur. La Cour d’appel a donc accueilli l’appel et jugé que l’ordonnance nommant le séquestre et la gestion ne s’appliquerait pas aux biens du défendeur situés sur la réserve.</w:t>
            </w:r>
          </w:p>
          <w:p w:rsidR="00C900D8" w:rsidRPr="000A2294" w:rsidRDefault="00C900D8" w:rsidP="00C900D8">
            <w:pPr>
              <w:jc w:val="both"/>
              <w:rPr>
                <w:sz w:val="20"/>
                <w:lang w:val="fr-CA"/>
              </w:rPr>
            </w:pPr>
          </w:p>
        </w:tc>
      </w:tr>
      <w:tr w:rsidR="00C900D8" w:rsidRPr="00F935FF" w:rsidTr="006C4BDA">
        <w:tc>
          <w:tcPr>
            <w:tcW w:w="2427" w:type="pct"/>
            <w:gridSpan w:val="2"/>
          </w:tcPr>
          <w:p w:rsidR="00C900D8" w:rsidRPr="000A2294" w:rsidRDefault="00C900D8" w:rsidP="00C900D8">
            <w:pPr>
              <w:jc w:val="both"/>
              <w:rPr>
                <w:sz w:val="20"/>
                <w:lang w:val="fr-CA"/>
              </w:rPr>
            </w:pPr>
            <w:r w:rsidRPr="000A2294">
              <w:rPr>
                <w:sz w:val="20"/>
                <w:lang w:val="fr-CA"/>
              </w:rPr>
              <w:t>11 octobre 2019</w:t>
            </w:r>
          </w:p>
          <w:p w:rsidR="00C900D8" w:rsidRPr="000A2294" w:rsidRDefault="00C900D8" w:rsidP="00C900D8">
            <w:pPr>
              <w:jc w:val="both"/>
              <w:rPr>
                <w:sz w:val="20"/>
                <w:lang w:val="fr-CA"/>
              </w:rPr>
            </w:pPr>
            <w:r w:rsidRPr="000A2294">
              <w:rPr>
                <w:sz w:val="20"/>
                <w:lang w:val="fr-CA"/>
              </w:rPr>
              <w:t>Cour supérieure de justice de l’Ontario</w:t>
            </w:r>
          </w:p>
          <w:p w:rsidR="00C900D8" w:rsidRPr="000A2294" w:rsidRDefault="00C900D8" w:rsidP="00C900D8">
            <w:pPr>
              <w:jc w:val="both"/>
              <w:rPr>
                <w:sz w:val="20"/>
                <w:lang w:val="fr-CA"/>
              </w:rPr>
            </w:pPr>
            <w:r w:rsidRPr="000A2294">
              <w:rPr>
                <w:sz w:val="20"/>
                <w:lang w:val="fr-CA"/>
              </w:rPr>
              <w:t>(juge Kershman)</w:t>
            </w:r>
          </w:p>
          <w:p w:rsidR="00C900D8" w:rsidRPr="000A2294" w:rsidRDefault="00C900D8" w:rsidP="00C900D8">
            <w:pPr>
              <w:jc w:val="both"/>
              <w:rPr>
                <w:sz w:val="20"/>
                <w:lang w:val="fr-CA"/>
              </w:rPr>
            </w:pPr>
          </w:p>
        </w:tc>
        <w:tc>
          <w:tcPr>
            <w:tcW w:w="243" w:type="pct"/>
          </w:tcPr>
          <w:p w:rsidR="00C900D8" w:rsidRPr="000A2294" w:rsidRDefault="00C900D8" w:rsidP="00C900D8">
            <w:pPr>
              <w:jc w:val="both"/>
              <w:rPr>
                <w:sz w:val="20"/>
                <w:lang w:val="fr-CA"/>
              </w:rPr>
            </w:pPr>
          </w:p>
        </w:tc>
        <w:tc>
          <w:tcPr>
            <w:tcW w:w="2330" w:type="pct"/>
          </w:tcPr>
          <w:p w:rsidR="00C900D8" w:rsidRPr="000A2294" w:rsidRDefault="00C900D8" w:rsidP="00C900D8">
            <w:pPr>
              <w:jc w:val="both"/>
              <w:rPr>
                <w:sz w:val="20"/>
                <w:lang w:val="fr-CA"/>
              </w:rPr>
            </w:pPr>
            <w:r w:rsidRPr="000A2294">
              <w:rPr>
                <w:sz w:val="20"/>
                <w:lang w:val="fr-CA"/>
              </w:rPr>
              <w:t>Octroi de l’ordonnance nommant un séquestre</w:t>
            </w:r>
            <w:r w:rsidRPr="000A2294">
              <w:rPr>
                <w:sz w:val="20"/>
                <w:lang w:val="fr-CA"/>
              </w:rPr>
              <w:noBreakHyphen/>
              <w:t>gérant pour les biens du défendeur situés sur la réserve.</w:t>
            </w:r>
          </w:p>
        </w:tc>
      </w:tr>
      <w:tr w:rsidR="00C900D8" w:rsidRPr="00F935FF" w:rsidTr="006C4BDA">
        <w:tc>
          <w:tcPr>
            <w:tcW w:w="2427" w:type="pct"/>
            <w:gridSpan w:val="2"/>
          </w:tcPr>
          <w:p w:rsidR="00C900D8" w:rsidRPr="000A2294" w:rsidRDefault="00C900D8" w:rsidP="00C900D8">
            <w:pPr>
              <w:jc w:val="both"/>
              <w:rPr>
                <w:sz w:val="20"/>
                <w:lang w:val="fr-CA"/>
              </w:rPr>
            </w:pPr>
            <w:r w:rsidRPr="000A2294">
              <w:rPr>
                <w:sz w:val="20"/>
                <w:lang w:val="fr-CA"/>
              </w:rPr>
              <w:t>30 avril 2021</w:t>
            </w:r>
          </w:p>
          <w:p w:rsidR="00C900D8" w:rsidRPr="000A2294" w:rsidRDefault="00C900D8" w:rsidP="00C900D8">
            <w:pPr>
              <w:jc w:val="both"/>
              <w:rPr>
                <w:sz w:val="20"/>
                <w:lang w:val="fr-CA"/>
              </w:rPr>
            </w:pPr>
            <w:r w:rsidRPr="000A2294">
              <w:rPr>
                <w:sz w:val="20"/>
                <w:lang w:val="fr-CA"/>
              </w:rPr>
              <w:t>Cour d’appel de l’Ontario</w:t>
            </w:r>
          </w:p>
          <w:p w:rsidR="00C900D8" w:rsidRPr="000A2294" w:rsidRDefault="00C900D8" w:rsidP="00C900D8">
            <w:pPr>
              <w:jc w:val="both"/>
              <w:rPr>
                <w:sz w:val="20"/>
                <w:lang w:val="fr-CA"/>
              </w:rPr>
            </w:pPr>
            <w:r w:rsidRPr="000A2294">
              <w:rPr>
                <w:sz w:val="20"/>
                <w:lang w:val="fr-CA"/>
              </w:rPr>
              <w:t>(juges Benotto, Miller, et Trotter)</w:t>
            </w:r>
          </w:p>
          <w:p w:rsidR="00C900D8" w:rsidRPr="000A2294" w:rsidRDefault="00F935FF" w:rsidP="00C900D8">
            <w:pPr>
              <w:jc w:val="both"/>
              <w:rPr>
                <w:sz w:val="20"/>
                <w:lang w:val="fr-CA"/>
              </w:rPr>
            </w:pPr>
            <w:hyperlink r:id="rId73" w:history="1">
              <w:r w:rsidR="00C900D8" w:rsidRPr="000A2294">
                <w:rPr>
                  <w:rStyle w:val="Hyperlink"/>
                  <w:rFonts w:eastAsiaTheme="minorHAnsi"/>
                  <w:sz w:val="20"/>
                </w:rPr>
                <w:t>2021 ONCA 278</w:t>
              </w:r>
            </w:hyperlink>
          </w:p>
          <w:p w:rsidR="00C900D8" w:rsidRPr="000A2294" w:rsidRDefault="00C900D8" w:rsidP="00C900D8">
            <w:pPr>
              <w:jc w:val="both"/>
              <w:rPr>
                <w:sz w:val="20"/>
                <w:lang w:val="fr-CA"/>
              </w:rPr>
            </w:pPr>
          </w:p>
        </w:tc>
        <w:tc>
          <w:tcPr>
            <w:tcW w:w="243" w:type="pct"/>
          </w:tcPr>
          <w:p w:rsidR="00C900D8" w:rsidRPr="000A2294" w:rsidRDefault="00C900D8" w:rsidP="00C900D8">
            <w:pPr>
              <w:jc w:val="both"/>
              <w:rPr>
                <w:sz w:val="20"/>
                <w:lang w:val="fr-CA"/>
              </w:rPr>
            </w:pPr>
          </w:p>
        </w:tc>
        <w:tc>
          <w:tcPr>
            <w:tcW w:w="2330" w:type="pct"/>
          </w:tcPr>
          <w:p w:rsidR="00C900D8" w:rsidRPr="000A2294" w:rsidRDefault="00C900D8" w:rsidP="00C900D8">
            <w:pPr>
              <w:jc w:val="both"/>
              <w:rPr>
                <w:sz w:val="20"/>
                <w:lang w:val="fr-CA"/>
              </w:rPr>
            </w:pPr>
            <w:r w:rsidRPr="000A2294">
              <w:rPr>
                <w:sz w:val="20"/>
                <w:lang w:val="fr-CA"/>
              </w:rPr>
              <w:t xml:space="preserve">Affaire renvoyée au juge de première instance pour qu’il examine l’application de l’art. 89 de la </w:t>
            </w:r>
            <w:r w:rsidRPr="000A2294">
              <w:rPr>
                <w:i/>
                <w:sz w:val="20"/>
                <w:lang w:val="fr-CA"/>
              </w:rPr>
              <w:t>Loi sur les Indiens</w:t>
            </w:r>
            <w:r w:rsidRPr="000A2294">
              <w:rPr>
                <w:sz w:val="20"/>
                <w:lang w:val="fr-CA"/>
              </w:rPr>
              <w:t>.</w:t>
            </w:r>
          </w:p>
          <w:p w:rsidR="00C900D8" w:rsidRPr="000A2294" w:rsidRDefault="00C900D8" w:rsidP="00C900D8">
            <w:pPr>
              <w:jc w:val="both"/>
              <w:rPr>
                <w:sz w:val="20"/>
                <w:lang w:val="fr-CA"/>
              </w:rPr>
            </w:pPr>
          </w:p>
        </w:tc>
      </w:tr>
      <w:tr w:rsidR="00C900D8" w:rsidRPr="00F935FF" w:rsidTr="006C4BDA">
        <w:tc>
          <w:tcPr>
            <w:tcW w:w="2427" w:type="pct"/>
            <w:gridSpan w:val="2"/>
          </w:tcPr>
          <w:p w:rsidR="00C900D8" w:rsidRPr="000A2294" w:rsidRDefault="00C900D8" w:rsidP="00C900D8">
            <w:pPr>
              <w:jc w:val="both"/>
              <w:rPr>
                <w:sz w:val="20"/>
                <w:lang w:val="fr-CA"/>
              </w:rPr>
            </w:pPr>
            <w:r w:rsidRPr="000A2294">
              <w:rPr>
                <w:sz w:val="20"/>
                <w:lang w:val="fr-CA"/>
              </w:rPr>
              <w:t>15 novembre 2021</w:t>
            </w:r>
          </w:p>
          <w:p w:rsidR="00C900D8" w:rsidRPr="000A2294" w:rsidRDefault="00C900D8" w:rsidP="00C900D8">
            <w:pPr>
              <w:jc w:val="both"/>
              <w:rPr>
                <w:sz w:val="20"/>
                <w:lang w:val="fr-CA"/>
              </w:rPr>
            </w:pPr>
            <w:r w:rsidRPr="000A2294">
              <w:rPr>
                <w:sz w:val="20"/>
                <w:lang w:val="fr-CA"/>
              </w:rPr>
              <w:t>Cour supérieure de justice de l’Ontario</w:t>
            </w:r>
          </w:p>
          <w:p w:rsidR="00C900D8" w:rsidRPr="000A2294" w:rsidRDefault="00C900D8" w:rsidP="00C900D8">
            <w:pPr>
              <w:jc w:val="both"/>
              <w:rPr>
                <w:sz w:val="20"/>
                <w:lang w:val="fr-CA"/>
              </w:rPr>
            </w:pPr>
            <w:r w:rsidRPr="000A2294">
              <w:rPr>
                <w:sz w:val="20"/>
                <w:lang w:val="fr-CA"/>
              </w:rPr>
              <w:t>(juge Kershman)</w:t>
            </w:r>
          </w:p>
          <w:p w:rsidR="00C900D8" w:rsidRPr="000A2294" w:rsidRDefault="00C900D8" w:rsidP="00C900D8">
            <w:pPr>
              <w:jc w:val="both"/>
              <w:rPr>
                <w:sz w:val="20"/>
                <w:lang w:val="fr-CA"/>
              </w:rPr>
            </w:pPr>
          </w:p>
        </w:tc>
        <w:tc>
          <w:tcPr>
            <w:tcW w:w="243" w:type="pct"/>
          </w:tcPr>
          <w:p w:rsidR="00C900D8" w:rsidRPr="000A2294" w:rsidRDefault="00C900D8" w:rsidP="00C900D8">
            <w:pPr>
              <w:jc w:val="both"/>
              <w:rPr>
                <w:sz w:val="20"/>
                <w:lang w:val="fr-CA"/>
              </w:rPr>
            </w:pPr>
          </w:p>
        </w:tc>
        <w:tc>
          <w:tcPr>
            <w:tcW w:w="2330" w:type="pct"/>
          </w:tcPr>
          <w:p w:rsidR="00C900D8" w:rsidRPr="000A2294" w:rsidRDefault="00C900D8" w:rsidP="00C900D8">
            <w:pPr>
              <w:jc w:val="both"/>
              <w:rPr>
                <w:sz w:val="20"/>
                <w:lang w:val="fr-CA"/>
              </w:rPr>
            </w:pPr>
            <w:r w:rsidRPr="000A2294">
              <w:rPr>
                <w:sz w:val="20"/>
                <w:lang w:val="fr-CA"/>
              </w:rPr>
              <w:t>Ordonnance nommant le séquestre</w:t>
            </w:r>
            <w:r w:rsidRPr="000A2294">
              <w:rPr>
                <w:sz w:val="20"/>
                <w:lang w:val="fr-CA"/>
              </w:rPr>
              <w:noBreakHyphen/>
              <w:t xml:space="preserve">gérant confirmée après examen de l’art. 89 de la </w:t>
            </w:r>
            <w:r w:rsidRPr="000A2294">
              <w:rPr>
                <w:i/>
                <w:sz w:val="20"/>
                <w:lang w:val="fr-CA"/>
              </w:rPr>
              <w:t>Loi sur les Indiens</w:t>
            </w:r>
            <w:r w:rsidRPr="000A2294">
              <w:rPr>
                <w:sz w:val="20"/>
                <w:lang w:val="fr-CA"/>
              </w:rPr>
              <w:t>.</w:t>
            </w:r>
          </w:p>
          <w:p w:rsidR="00C900D8" w:rsidRPr="000A2294" w:rsidRDefault="00C900D8" w:rsidP="00C900D8">
            <w:pPr>
              <w:jc w:val="both"/>
              <w:rPr>
                <w:sz w:val="20"/>
                <w:lang w:val="fr-CA"/>
              </w:rPr>
            </w:pPr>
          </w:p>
        </w:tc>
      </w:tr>
      <w:tr w:rsidR="00C900D8" w:rsidRPr="00F935FF" w:rsidTr="006C4BDA">
        <w:tc>
          <w:tcPr>
            <w:tcW w:w="2427" w:type="pct"/>
            <w:gridSpan w:val="2"/>
          </w:tcPr>
          <w:p w:rsidR="00C900D8" w:rsidRPr="000A2294" w:rsidRDefault="00C900D8" w:rsidP="00C900D8">
            <w:pPr>
              <w:jc w:val="both"/>
              <w:rPr>
                <w:sz w:val="20"/>
                <w:lang w:val="fr-CA"/>
              </w:rPr>
            </w:pPr>
            <w:r w:rsidRPr="000A2294">
              <w:rPr>
                <w:sz w:val="20"/>
                <w:lang w:val="fr-CA"/>
              </w:rPr>
              <w:t>29 septembre 2022</w:t>
            </w:r>
          </w:p>
          <w:p w:rsidR="00C900D8" w:rsidRPr="000A2294" w:rsidRDefault="00C900D8" w:rsidP="00C900D8">
            <w:pPr>
              <w:jc w:val="both"/>
              <w:rPr>
                <w:sz w:val="20"/>
                <w:lang w:val="fr-CA"/>
              </w:rPr>
            </w:pPr>
            <w:r w:rsidRPr="000A2294">
              <w:rPr>
                <w:sz w:val="20"/>
                <w:lang w:val="fr-CA"/>
              </w:rPr>
              <w:t>Cour d’appel de l’Ontario</w:t>
            </w:r>
          </w:p>
          <w:p w:rsidR="00C900D8" w:rsidRPr="000A2294" w:rsidRDefault="00C900D8" w:rsidP="00C900D8">
            <w:pPr>
              <w:jc w:val="both"/>
              <w:rPr>
                <w:sz w:val="20"/>
                <w:lang w:val="fr-CA"/>
              </w:rPr>
            </w:pPr>
            <w:r w:rsidRPr="000A2294">
              <w:rPr>
                <w:sz w:val="20"/>
                <w:lang w:val="fr-CA"/>
              </w:rPr>
              <w:t>(juges Doherty, Tulloch, et Miller)</w:t>
            </w:r>
          </w:p>
          <w:p w:rsidR="00C900D8" w:rsidRPr="000A2294" w:rsidRDefault="00F935FF" w:rsidP="00C900D8">
            <w:pPr>
              <w:jc w:val="both"/>
              <w:rPr>
                <w:sz w:val="20"/>
                <w:lang w:val="fr-CA"/>
              </w:rPr>
            </w:pPr>
            <w:hyperlink r:id="rId74" w:history="1">
              <w:r w:rsidR="00C900D8" w:rsidRPr="000A2294">
                <w:rPr>
                  <w:rStyle w:val="Hyperlink"/>
                  <w:rFonts w:eastAsiaTheme="minorHAnsi"/>
                  <w:sz w:val="20"/>
                </w:rPr>
                <w:t>2022 ONCA 672</w:t>
              </w:r>
            </w:hyperlink>
          </w:p>
          <w:p w:rsidR="00C900D8" w:rsidRPr="000A2294" w:rsidRDefault="00C900D8" w:rsidP="00C900D8">
            <w:pPr>
              <w:jc w:val="both"/>
              <w:rPr>
                <w:sz w:val="20"/>
                <w:lang w:val="fr-CA"/>
              </w:rPr>
            </w:pPr>
          </w:p>
        </w:tc>
        <w:tc>
          <w:tcPr>
            <w:tcW w:w="243" w:type="pct"/>
          </w:tcPr>
          <w:p w:rsidR="00C900D8" w:rsidRPr="000A2294" w:rsidRDefault="00C900D8" w:rsidP="00C900D8">
            <w:pPr>
              <w:jc w:val="both"/>
              <w:rPr>
                <w:sz w:val="20"/>
                <w:lang w:val="fr-CA"/>
              </w:rPr>
            </w:pPr>
          </w:p>
        </w:tc>
        <w:tc>
          <w:tcPr>
            <w:tcW w:w="2330" w:type="pct"/>
          </w:tcPr>
          <w:p w:rsidR="00C900D8" w:rsidRPr="000A2294" w:rsidRDefault="00C900D8" w:rsidP="00C900D8">
            <w:pPr>
              <w:jc w:val="both"/>
              <w:rPr>
                <w:sz w:val="20"/>
                <w:lang w:val="fr-CA"/>
              </w:rPr>
            </w:pPr>
            <w:r w:rsidRPr="000A2294">
              <w:rPr>
                <w:sz w:val="20"/>
                <w:lang w:val="fr-CA"/>
              </w:rPr>
              <w:t>Appel accueilli relativement aux biens du défendeur situés sur la réserve.</w:t>
            </w:r>
          </w:p>
          <w:p w:rsidR="00C900D8" w:rsidRPr="000A2294" w:rsidRDefault="00C900D8" w:rsidP="00C900D8">
            <w:pPr>
              <w:jc w:val="both"/>
              <w:rPr>
                <w:sz w:val="20"/>
                <w:lang w:val="fr-CA"/>
              </w:rPr>
            </w:pPr>
          </w:p>
        </w:tc>
      </w:tr>
      <w:tr w:rsidR="00C900D8" w:rsidRPr="000A2294" w:rsidTr="006C4BDA">
        <w:tc>
          <w:tcPr>
            <w:tcW w:w="2427" w:type="pct"/>
            <w:gridSpan w:val="2"/>
          </w:tcPr>
          <w:p w:rsidR="00C900D8" w:rsidRPr="000A2294" w:rsidRDefault="00C900D8" w:rsidP="00C900D8">
            <w:pPr>
              <w:jc w:val="both"/>
              <w:rPr>
                <w:sz w:val="20"/>
                <w:lang w:val="fr-CA"/>
              </w:rPr>
            </w:pPr>
            <w:r w:rsidRPr="000A2294">
              <w:rPr>
                <w:sz w:val="20"/>
                <w:lang w:val="fr-CA"/>
              </w:rPr>
              <w:t>28 novembre 2022</w:t>
            </w:r>
          </w:p>
          <w:p w:rsidR="00C900D8" w:rsidRPr="000A2294" w:rsidRDefault="00C900D8" w:rsidP="00C900D8">
            <w:pPr>
              <w:jc w:val="both"/>
              <w:rPr>
                <w:sz w:val="20"/>
                <w:lang w:val="fr-CA"/>
              </w:rPr>
            </w:pPr>
            <w:r w:rsidRPr="000A2294">
              <w:rPr>
                <w:sz w:val="20"/>
                <w:lang w:val="fr-CA"/>
              </w:rPr>
              <w:t>Cour suprême du Canada</w:t>
            </w:r>
          </w:p>
        </w:tc>
        <w:tc>
          <w:tcPr>
            <w:tcW w:w="243" w:type="pct"/>
          </w:tcPr>
          <w:p w:rsidR="00C900D8" w:rsidRPr="000A2294" w:rsidRDefault="00C900D8" w:rsidP="00C900D8">
            <w:pPr>
              <w:jc w:val="both"/>
              <w:rPr>
                <w:sz w:val="20"/>
                <w:lang w:val="fr-CA"/>
              </w:rPr>
            </w:pPr>
          </w:p>
        </w:tc>
        <w:tc>
          <w:tcPr>
            <w:tcW w:w="2330" w:type="pct"/>
          </w:tcPr>
          <w:p w:rsidR="00C900D8" w:rsidRPr="000A2294" w:rsidRDefault="00C900D8" w:rsidP="00C900D8">
            <w:pPr>
              <w:jc w:val="both"/>
              <w:rPr>
                <w:sz w:val="20"/>
                <w:lang w:val="fr-CA"/>
              </w:rPr>
            </w:pPr>
            <w:r w:rsidRPr="000A2294">
              <w:rPr>
                <w:sz w:val="20"/>
                <w:lang w:val="fr-CA"/>
              </w:rPr>
              <w:t>Demande d’autorisation d’appel déposée.</w:t>
            </w:r>
          </w:p>
          <w:p w:rsidR="00C900D8" w:rsidRPr="000A2294" w:rsidRDefault="00C900D8" w:rsidP="00C900D8">
            <w:pPr>
              <w:jc w:val="both"/>
              <w:rPr>
                <w:sz w:val="20"/>
                <w:lang w:val="fr-CA"/>
              </w:rPr>
            </w:pPr>
          </w:p>
        </w:tc>
      </w:tr>
    </w:tbl>
    <w:p w:rsidR="00C900D8" w:rsidRPr="000A2294" w:rsidRDefault="00C900D8" w:rsidP="00C900D8">
      <w:pPr>
        <w:jc w:val="both"/>
        <w:rPr>
          <w:sz w:val="20"/>
          <w:lang w:val="fr-CA"/>
        </w:rPr>
      </w:pPr>
    </w:p>
    <w:p w:rsidR="00E028BD" w:rsidRPr="000A2294" w:rsidRDefault="00F935FF" w:rsidP="003A505B">
      <w:pPr>
        <w:widowControl w:val="0"/>
        <w:jc w:val="both"/>
        <w:rPr>
          <w:sz w:val="20"/>
          <w:lang w:val="fr-CA"/>
        </w:rPr>
      </w:pPr>
      <w:r>
        <w:rPr>
          <w:sz w:val="20"/>
        </w:rPr>
        <w:pict>
          <v:rect id="_x0000_i1044" style="width:2in;height:1pt" o:hrpct="0" o:hralign="center" o:hrstd="t" o:hrnoshade="t" o:hr="t" fillcolor="black [3213]" stroked="f"/>
        </w:pict>
      </w:r>
    </w:p>
    <w:p w:rsidR="00E028BD" w:rsidRPr="000A2294" w:rsidRDefault="00E028BD" w:rsidP="003A505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505B" w:rsidRPr="000A2294" w:rsidTr="00E95A6A">
        <w:tc>
          <w:tcPr>
            <w:tcW w:w="543" w:type="pct"/>
          </w:tcPr>
          <w:p w:rsidR="003A505B" w:rsidRPr="000A2294" w:rsidRDefault="003A505B" w:rsidP="003A505B">
            <w:pPr>
              <w:jc w:val="both"/>
              <w:rPr>
                <w:sz w:val="20"/>
              </w:rPr>
            </w:pPr>
            <w:r w:rsidRPr="000A2294">
              <w:rPr>
                <w:rStyle w:val="SCCFileNumberChar"/>
                <w:sz w:val="20"/>
                <w:szCs w:val="20"/>
              </w:rPr>
              <w:t>40558</w:t>
            </w:r>
          </w:p>
        </w:tc>
        <w:tc>
          <w:tcPr>
            <w:tcW w:w="4457" w:type="pct"/>
            <w:gridSpan w:val="3"/>
          </w:tcPr>
          <w:p w:rsidR="003A505B" w:rsidRPr="000A2294" w:rsidRDefault="003A505B" w:rsidP="003A505B">
            <w:pPr>
              <w:pStyle w:val="SCCLsocParty"/>
              <w:jc w:val="both"/>
              <w:rPr>
                <w:b/>
                <w:sz w:val="20"/>
                <w:szCs w:val="20"/>
                <w:lang w:val="en-US"/>
              </w:rPr>
            </w:pPr>
            <w:r w:rsidRPr="000A2294">
              <w:rPr>
                <w:b/>
                <w:sz w:val="20"/>
                <w:szCs w:val="20"/>
                <w:lang w:val="en-US"/>
              </w:rPr>
              <w:t>Braydon Wolfe v. His Majesty the King</w:t>
            </w:r>
          </w:p>
          <w:p w:rsidR="003A505B" w:rsidRPr="000A2294" w:rsidRDefault="003A505B" w:rsidP="003A505B">
            <w:pPr>
              <w:jc w:val="both"/>
              <w:rPr>
                <w:sz w:val="20"/>
              </w:rPr>
            </w:pPr>
            <w:r w:rsidRPr="000A2294">
              <w:rPr>
                <w:sz w:val="20"/>
              </w:rPr>
              <w:t>(Sask.) (Criminal) (By Leave)</w:t>
            </w:r>
          </w:p>
        </w:tc>
      </w:tr>
      <w:tr w:rsidR="003A505B" w:rsidRPr="000A2294" w:rsidTr="00E95A6A">
        <w:tc>
          <w:tcPr>
            <w:tcW w:w="5000" w:type="pct"/>
            <w:gridSpan w:val="4"/>
          </w:tcPr>
          <w:p w:rsidR="003A505B" w:rsidRPr="000A2294" w:rsidRDefault="003A505B" w:rsidP="003A505B">
            <w:pPr>
              <w:jc w:val="both"/>
              <w:rPr>
                <w:sz w:val="20"/>
              </w:rPr>
            </w:pPr>
            <w:r w:rsidRPr="000A2294">
              <w:rPr>
                <w:sz w:val="20"/>
              </w:rPr>
              <w:t xml:space="preserve">Criminal law — Sentencing — Driving prohibition — Can a driving prohibition be imposed under s. 320.24(4) of the </w:t>
            </w:r>
            <w:r w:rsidRPr="000A2294">
              <w:rPr>
                <w:i/>
                <w:sz w:val="20"/>
              </w:rPr>
              <w:t>Criminal Code</w:t>
            </w:r>
            <w:r w:rsidRPr="000A2294">
              <w:rPr>
                <w:sz w:val="20"/>
              </w:rPr>
              <w:t xml:space="preserve"> following conviction for criminal negligence causing death or bodily harm through the operation of a conveyance? </w:t>
            </w:r>
          </w:p>
        </w:tc>
      </w:tr>
      <w:tr w:rsidR="003A505B" w:rsidRPr="000A2294" w:rsidTr="00E95A6A">
        <w:tc>
          <w:tcPr>
            <w:tcW w:w="5000" w:type="pct"/>
            <w:gridSpan w:val="4"/>
          </w:tcPr>
          <w:p w:rsidR="003A505B" w:rsidRPr="000A2294" w:rsidRDefault="003A505B" w:rsidP="003A505B">
            <w:pPr>
              <w:jc w:val="both"/>
              <w:rPr>
                <w:sz w:val="20"/>
              </w:rPr>
            </w:pPr>
          </w:p>
          <w:p w:rsidR="003A505B" w:rsidRPr="000A2294" w:rsidRDefault="003A505B" w:rsidP="003A505B">
            <w:pPr>
              <w:widowControl w:val="0"/>
              <w:tabs>
                <w:tab w:val="left" w:pos="936"/>
              </w:tabs>
              <w:kinsoku w:val="0"/>
              <w:overflowPunct w:val="0"/>
              <w:jc w:val="both"/>
              <w:textAlignment w:val="baseline"/>
              <w:rPr>
                <w:sz w:val="20"/>
              </w:rPr>
            </w:pPr>
            <w:r w:rsidRPr="000A2294">
              <w:rPr>
                <w:spacing w:val="-1"/>
                <w:sz w:val="20"/>
              </w:rPr>
              <w:t xml:space="preserve">After consuming alcohol, Mr. Wolfe drove his vehicle on the wrong side of a divided highway at night and collided head-on with another vehicle. Two occupants of the other vehicle were killed. The third occupant was seriously injured. Mr. Wolfe was convicted on </w:t>
            </w:r>
            <w:r w:rsidRPr="000A2294">
              <w:rPr>
                <w:sz w:val="20"/>
              </w:rPr>
              <w:t>two counts of criminally negligent operation of a motor vehicle causing death and one count of criminally negligent operation of a motor vehicle causing bodily harm</w:t>
            </w:r>
            <w:r w:rsidRPr="000A2294">
              <w:rPr>
                <w:spacing w:val="-2"/>
                <w:sz w:val="20"/>
              </w:rPr>
              <w:t>. He was sentenced to three concurrent terms of imprisonment and</w:t>
            </w:r>
            <w:r w:rsidRPr="000A2294">
              <w:rPr>
                <w:spacing w:val="-1"/>
                <w:sz w:val="20"/>
              </w:rPr>
              <w:t xml:space="preserve"> three driving prohibitions. The Court of Appeal dismissed an appeal from the sentences.</w:t>
            </w:r>
          </w:p>
        </w:tc>
      </w:tr>
      <w:tr w:rsidR="003A505B" w:rsidRPr="000A2294" w:rsidTr="00E95A6A">
        <w:tc>
          <w:tcPr>
            <w:tcW w:w="5000" w:type="pct"/>
            <w:gridSpan w:val="4"/>
          </w:tcPr>
          <w:p w:rsidR="003A505B" w:rsidRPr="000A2294" w:rsidRDefault="003A505B" w:rsidP="003A505B">
            <w:pPr>
              <w:jc w:val="both"/>
              <w:rPr>
                <w:sz w:val="20"/>
              </w:rPr>
            </w:pPr>
          </w:p>
        </w:tc>
      </w:tr>
      <w:tr w:rsidR="003A505B" w:rsidRPr="000A2294" w:rsidTr="00E95A6A">
        <w:tc>
          <w:tcPr>
            <w:tcW w:w="2427" w:type="pct"/>
            <w:gridSpan w:val="2"/>
          </w:tcPr>
          <w:p w:rsidR="003A505B" w:rsidRPr="000A2294" w:rsidRDefault="003A505B" w:rsidP="003A505B">
            <w:pPr>
              <w:jc w:val="both"/>
              <w:rPr>
                <w:sz w:val="20"/>
              </w:rPr>
            </w:pPr>
            <w:r w:rsidRPr="000A2294">
              <w:rPr>
                <w:sz w:val="20"/>
              </w:rPr>
              <w:t xml:space="preserve">December 8, 2020 </w:t>
            </w:r>
          </w:p>
          <w:p w:rsidR="003A505B" w:rsidRPr="000A2294" w:rsidRDefault="003A505B" w:rsidP="003A505B">
            <w:pPr>
              <w:jc w:val="both"/>
              <w:rPr>
                <w:sz w:val="20"/>
              </w:rPr>
            </w:pPr>
            <w:r w:rsidRPr="000A2294">
              <w:rPr>
                <w:sz w:val="20"/>
              </w:rPr>
              <w:t>Court of Queen’s Bench of Saskatchewan</w:t>
            </w:r>
          </w:p>
          <w:p w:rsidR="003A505B" w:rsidRPr="000A2294" w:rsidRDefault="003A505B" w:rsidP="003A505B">
            <w:pPr>
              <w:jc w:val="both"/>
              <w:rPr>
                <w:sz w:val="20"/>
              </w:rPr>
            </w:pPr>
            <w:r w:rsidRPr="000A2294">
              <w:rPr>
                <w:sz w:val="20"/>
              </w:rPr>
              <w:t>(Danyliuk J.)</w:t>
            </w:r>
          </w:p>
          <w:p w:rsidR="003A505B" w:rsidRPr="000A2294" w:rsidRDefault="00F935FF" w:rsidP="003A505B">
            <w:pPr>
              <w:jc w:val="both"/>
              <w:rPr>
                <w:sz w:val="20"/>
              </w:rPr>
            </w:pPr>
            <w:hyperlink r:id="rId75" w:history="1">
              <w:r w:rsidR="003A505B" w:rsidRPr="000A2294">
                <w:rPr>
                  <w:rStyle w:val="Hyperlink"/>
                  <w:sz w:val="20"/>
                </w:rPr>
                <w:t>2020 SKQB 324</w:t>
              </w:r>
            </w:hyperlink>
          </w:p>
          <w:p w:rsidR="003A505B" w:rsidRPr="000A2294" w:rsidRDefault="003A505B" w:rsidP="003A505B">
            <w:pPr>
              <w:jc w:val="both"/>
              <w:rPr>
                <w:sz w:val="20"/>
              </w:rPr>
            </w:pPr>
          </w:p>
        </w:tc>
        <w:tc>
          <w:tcPr>
            <w:tcW w:w="243" w:type="pct"/>
          </w:tcPr>
          <w:p w:rsidR="003A505B" w:rsidRPr="000A2294" w:rsidRDefault="003A505B" w:rsidP="003A505B">
            <w:pPr>
              <w:jc w:val="both"/>
              <w:rPr>
                <w:sz w:val="20"/>
              </w:rPr>
            </w:pPr>
          </w:p>
        </w:tc>
        <w:tc>
          <w:tcPr>
            <w:tcW w:w="2330" w:type="pct"/>
          </w:tcPr>
          <w:p w:rsidR="003A505B" w:rsidRPr="000A2294" w:rsidRDefault="003A505B" w:rsidP="003A505B">
            <w:pPr>
              <w:jc w:val="both"/>
              <w:rPr>
                <w:spacing w:val="-4"/>
                <w:sz w:val="20"/>
              </w:rPr>
            </w:pPr>
            <w:r w:rsidRPr="000A2294">
              <w:rPr>
                <w:sz w:val="20"/>
              </w:rPr>
              <w:t xml:space="preserve">Convictions on two counts of </w:t>
            </w:r>
            <w:r w:rsidRPr="000A2294">
              <w:rPr>
                <w:spacing w:val="-4"/>
                <w:sz w:val="20"/>
              </w:rPr>
              <w:t>criminal negligence causing death and one count of criminal negligence causing bodily harm</w:t>
            </w:r>
          </w:p>
        </w:tc>
      </w:tr>
      <w:tr w:rsidR="003A505B" w:rsidRPr="000A2294" w:rsidTr="00E95A6A">
        <w:tc>
          <w:tcPr>
            <w:tcW w:w="2427" w:type="pct"/>
            <w:gridSpan w:val="2"/>
          </w:tcPr>
          <w:p w:rsidR="003A505B" w:rsidRPr="000A2294" w:rsidRDefault="003A505B" w:rsidP="003A505B">
            <w:pPr>
              <w:jc w:val="both"/>
              <w:rPr>
                <w:sz w:val="20"/>
              </w:rPr>
            </w:pPr>
            <w:r w:rsidRPr="000A2294">
              <w:rPr>
                <w:sz w:val="20"/>
              </w:rPr>
              <w:t>May 13, 2021</w:t>
            </w:r>
          </w:p>
          <w:p w:rsidR="003A505B" w:rsidRPr="000A2294" w:rsidRDefault="003A505B" w:rsidP="003A505B">
            <w:pPr>
              <w:jc w:val="both"/>
              <w:rPr>
                <w:sz w:val="20"/>
              </w:rPr>
            </w:pPr>
            <w:r w:rsidRPr="000A2294">
              <w:rPr>
                <w:sz w:val="20"/>
              </w:rPr>
              <w:t>Court of Queen’s Bench of Saskatchewan</w:t>
            </w:r>
          </w:p>
          <w:p w:rsidR="003A505B" w:rsidRPr="000A2294" w:rsidRDefault="003A505B" w:rsidP="003A505B">
            <w:pPr>
              <w:jc w:val="both"/>
              <w:rPr>
                <w:sz w:val="20"/>
              </w:rPr>
            </w:pPr>
            <w:r w:rsidRPr="000A2294">
              <w:rPr>
                <w:sz w:val="20"/>
              </w:rPr>
              <w:t>(Danyliuk J.)</w:t>
            </w:r>
          </w:p>
          <w:p w:rsidR="003A505B" w:rsidRPr="000A2294" w:rsidRDefault="00F935FF" w:rsidP="003A505B">
            <w:pPr>
              <w:jc w:val="both"/>
              <w:rPr>
                <w:sz w:val="20"/>
              </w:rPr>
            </w:pPr>
            <w:hyperlink r:id="rId76" w:history="1">
              <w:r w:rsidR="003A505B" w:rsidRPr="000A2294">
                <w:rPr>
                  <w:rStyle w:val="Hyperlink"/>
                  <w:sz w:val="20"/>
                </w:rPr>
                <w:t>2021 SKQB 141</w:t>
              </w:r>
            </w:hyperlink>
          </w:p>
        </w:tc>
        <w:tc>
          <w:tcPr>
            <w:tcW w:w="243" w:type="pct"/>
          </w:tcPr>
          <w:p w:rsidR="003A505B" w:rsidRPr="000A2294" w:rsidRDefault="003A505B" w:rsidP="003A505B">
            <w:pPr>
              <w:jc w:val="both"/>
              <w:rPr>
                <w:sz w:val="20"/>
              </w:rPr>
            </w:pPr>
          </w:p>
        </w:tc>
        <w:tc>
          <w:tcPr>
            <w:tcW w:w="2330" w:type="pct"/>
          </w:tcPr>
          <w:p w:rsidR="003A505B" w:rsidRPr="000A2294" w:rsidRDefault="003A505B" w:rsidP="003A505B">
            <w:pPr>
              <w:widowControl w:val="0"/>
              <w:kinsoku w:val="0"/>
              <w:overflowPunct w:val="0"/>
              <w:jc w:val="both"/>
              <w:textAlignment w:val="baseline"/>
              <w:rPr>
                <w:sz w:val="20"/>
              </w:rPr>
            </w:pPr>
            <w:r w:rsidRPr="000A2294">
              <w:rPr>
                <w:sz w:val="20"/>
              </w:rPr>
              <w:t xml:space="preserve">Sentence of 6 years, 6 years concurrent, and 3 years concurrent, and driving prohibitions for 10 years, 10 years concurrent, and 7 years concurrent </w:t>
            </w:r>
          </w:p>
          <w:p w:rsidR="003A505B" w:rsidRPr="000A2294" w:rsidRDefault="003A505B" w:rsidP="003A505B">
            <w:pPr>
              <w:jc w:val="both"/>
              <w:rPr>
                <w:sz w:val="20"/>
              </w:rPr>
            </w:pPr>
          </w:p>
        </w:tc>
      </w:tr>
      <w:tr w:rsidR="003A505B" w:rsidRPr="000A2294" w:rsidTr="00E95A6A">
        <w:tc>
          <w:tcPr>
            <w:tcW w:w="2427" w:type="pct"/>
            <w:gridSpan w:val="2"/>
          </w:tcPr>
          <w:p w:rsidR="003A505B" w:rsidRPr="000A2294" w:rsidRDefault="003A505B" w:rsidP="003A505B">
            <w:pPr>
              <w:jc w:val="both"/>
              <w:rPr>
                <w:sz w:val="20"/>
              </w:rPr>
            </w:pPr>
            <w:r w:rsidRPr="000A2294">
              <w:rPr>
                <w:sz w:val="20"/>
              </w:rPr>
              <w:t>November 16, 2022</w:t>
            </w:r>
          </w:p>
          <w:p w:rsidR="003A505B" w:rsidRPr="000A2294" w:rsidRDefault="003A505B" w:rsidP="003A505B">
            <w:pPr>
              <w:jc w:val="both"/>
              <w:rPr>
                <w:sz w:val="20"/>
              </w:rPr>
            </w:pPr>
            <w:r w:rsidRPr="000A2294">
              <w:rPr>
                <w:sz w:val="20"/>
              </w:rPr>
              <w:t>Court of Appeal for Saskatchewan</w:t>
            </w:r>
          </w:p>
          <w:p w:rsidR="003A505B" w:rsidRPr="000A2294" w:rsidRDefault="003A505B" w:rsidP="003A505B">
            <w:pPr>
              <w:jc w:val="both"/>
              <w:rPr>
                <w:sz w:val="20"/>
              </w:rPr>
            </w:pPr>
            <w:r w:rsidRPr="000A2294">
              <w:rPr>
                <w:sz w:val="20"/>
              </w:rPr>
              <w:t>(Kalmakoff, Schwann, McCreary JJ.A.)</w:t>
            </w:r>
          </w:p>
          <w:p w:rsidR="003A505B" w:rsidRPr="000A2294" w:rsidRDefault="00F935FF" w:rsidP="003A505B">
            <w:pPr>
              <w:jc w:val="both"/>
              <w:rPr>
                <w:sz w:val="20"/>
              </w:rPr>
            </w:pPr>
            <w:hyperlink r:id="rId77" w:history="1">
              <w:r w:rsidR="003A505B" w:rsidRPr="000A2294">
                <w:rPr>
                  <w:rStyle w:val="Hyperlink"/>
                  <w:sz w:val="20"/>
                </w:rPr>
                <w:t>2022 SKCA 132</w:t>
              </w:r>
            </w:hyperlink>
            <w:r w:rsidR="003A505B" w:rsidRPr="000A2294">
              <w:rPr>
                <w:sz w:val="20"/>
              </w:rPr>
              <w:t xml:space="preserve">; </w:t>
            </w:r>
            <w:r w:rsidR="003A505B" w:rsidRPr="000A2294">
              <w:rPr>
                <w:bCs/>
                <w:color w:val="000000"/>
                <w:sz w:val="20"/>
              </w:rPr>
              <w:t>CACR3462</w:t>
            </w:r>
          </w:p>
          <w:p w:rsidR="003A505B" w:rsidRPr="000A2294" w:rsidRDefault="003A505B" w:rsidP="003A505B">
            <w:pPr>
              <w:jc w:val="both"/>
              <w:rPr>
                <w:sz w:val="20"/>
              </w:rPr>
            </w:pPr>
          </w:p>
        </w:tc>
        <w:tc>
          <w:tcPr>
            <w:tcW w:w="243" w:type="pct"/>
          </w:tcPr>
          <w:p w:rsidR="003A505B" w:rsidRPr="000A2294" w:rsidRDefault="003A505B" w:rsidP="003A505B">
            <w:pPr>
              <w:jc w:val="both"/>
              <w:rPr>
                <w:sz w:val="20"/>
              </w:rPr>
            </w:pPr>
          </w:p>
        </w:tc>
        <w:tc>
          <w:tcPr>
            <w:tcW w:w="2330" w:type="pct"/>
          </w:tcPr>
          <w:p w:rsidR="003A505B" w:rsidRPr="000A2294" w:rsidRDefault="003A505B" w:rsidP="003A505B">
            <w:pPr>
              <w:jc w:val="both"/>
              <w:rPr>
                <w:sz w:val="20"/>
              </w:rPr>
            </w:pPr>
            <w:r w:rsidRPr="000A2294">
              <w:rPr>
                <w:sz w:val="20"/>
              </w:rPr>
              <w:t>Appeal from sentences dismissed</w:t>
            </w:r>
          </w:p>
          <w:p w:rsidR="003A505B" w:rsidRPr="000A2294" w:rsidRDefault="003A505B" w:rsidP="003A505B">
            <w:pPr>
              <w:jc w:val="both"/>
              <w:rPr>
                <w:sz w:val="20"/>
              </w:rPr>
            </w:pPr>
          </w:p>
        </w:tc>
      </w:tr>
      <w:tr w:rsidR="003A505B" w:rsidRPr="000A2294" w:rsidTr="00E95A6A">
        <w:tc>
          <w:tcPr>
            <w:tcW w:w="2427" w:type="pct"/>
            <w:gridSpan w:val="2"/>
          </w:tcPr>
          <w:p w:rsidR="003A505B" w:rsidRPr="000A2294" w:rsidRDefault="003A505B" w:rsidP="003A505B">
            <w:pPr>
              <w:jc w:val="both"/>
              <w:rPr>
                <w:sz w:val="20"/>
              </w:rPr>
            </w:pPr>
            <w:r w:rsidRPr="000A2294">
              <w:rPr>
                <w:sz w:val="20"/>
              </w:rPr>
              <w:t>January 13, 2023</w:t>
            </w:r>
          </w:p>
          <w:p w:rsidR="003A505B" w:rsidRPr="000A2294" w:rsidRDefault="003A505B" w:rsidP="003A505B">
            <w:pPr>
              <w:jc w:val="both"/>
              <w:rPr>
                <w:sz w:val="20"/>
              </w:rPr>
            </w:pPr>
            <w:r w:rsidRPr="000A2294">
              <w:rPr>
                <w:sz w:val="20"/>
              </w:rPr>
              <w:t>Supreme Court of Canada</w:t>
            </w:r>
          </w:p>
        </w:tc>
        <w:tc>
          <w:tcPr>
            <w:tcW w:w="243" w:type="pct"/>
          </w:tcPr>
          <w:p w:rsidR="003A505B" w:rsidRPr="000A2294" w:rsidRDefault="003A505B" w:rsidP="003A505B">
            <w:pPr>
              <w:jc w:val="both"/>
              <w:rPr>
                <w:sz w:val="20"/>
              </w:rPr>
            </w:pPr>
          </w:p>
        </w:tc>
        <w:tc>
          <w:tcPr>
            <w:tcW w:w="2330" w:type="pct"/>
          </w:tcPr>
          <w:p w:rsidR="003A505B" w:rsidRPr="000A2294" w:rsidRDefault="003A505B" w:rsidP="003A505B">
            <w:pPr>
              <w:jc w:val="both"/>
              <w:rPr>
                <w:sz w:val="20"/>
              </w:rPr>
            </w:pPr>
            <w:r w:rsidRPr="000A2294">
              <w:rPr>
                <w:sz w:val="20"/>
              </w:rPr>
              <w:t>Application for leave to appeal filed</w:t>
            </w:r>
          </w:p>
          <w:p w:rsidR="003A505B" w:rsidRPr="000A2294" w:rsidRDefault="003A505B" w:rsidP="003A505B">
            <w:pPr>
              <w:jc w:val="both"/>
              <w:rPr>
                <w:sz w:val="20"/>
              </w:rPr>
            </w:pPr>
          </w:p>
        </w:tc>
      </w:tr>
    </w:tbl>
    <w:p w:rsidR="003A505B" w:rsidRPr="000A2294" w:rsidRDefault="003A505B" w:rsidP="003A505B">
      <w:pPr>
        <w:jc w:val="both"/>
        <w:rPr>
          <w:sz w:val="20"/>
        </w:rPr>
      </w:pPr>
    </w:p>
    <w:p w:rsidR="003A505B" w:rsidRPr="000A2294" w:rsidRDefault="00F935FF" w:rsidP="003A505B">
      <w:pPr>
        <w:jc w:val="both"/>
        <w:rPr>
          <w:sz w:val="20"/>
        </w:rPr>
      </w:pPr>
      <w:r>
        <w:rPr>
          <w:sz w:val="20"/>
        </w:rPr>
        <w:pict>
          <v:rect id="_x0000_i1045" style="width:2in;height:1pt" o:hrpct="0" o:hralign="center" o:hrstd="t" o:hrnoshade="t" o:hr="t" fillcolor="black [3213]" stroked="f"/>
        </w:pict>
      </w:r>
    </w:p>
    <w:p w:rsidR="003A505B" w:rsidRPr="000A2294" w:rsidRDefault="003A505B" w:rsidP="003A505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505B" w:rsidRPr="000A2294" w:rsidTr="0058481F">
        <w:tc>
          <w:tcPr>
            <w:tcW w:w="543" w:type="pct"/>
          </w:tcPr>
          <w:p w:rsidR="003A505B" w:rsidRPr="000A2294" w:rsidRDefault="003A505B" w:rsidP="003A505B">
            <w:pPr>
              <w:jc w:val="both"/>
              <w:rPr>
                <w:sz w:val="20"/>
                <w:lang w:val="fr-CA"/>
              </w:rPr>
            </w:pPr>
            <w:r w:rsidRPr="000A2294">
              <w:rPr>
                <w:rStyle w:val="SCCFileNumberChar"/>
                <w:sz w:val="20"/>
                <w:szCs w:val="20"/>
                <w:lang w:val="fr-CA"/>
              </w:rPr>
              <w:t>40558</w:t>
            </w:r>
          </w:p>
        </w:tc>
        <w:tc>
          <w:tcPr>
            <w:tcW w:w="4457" w:type="pct"/>
            <w:gridSpan w:val="3"/>
          </w:tcPr>
          <w:p w:rsidR="003A505B" w:rsidRPr="000A2294" w:rsidRDefault="003A505B" w:rsidP="003A505B">
            <w:pPr>
              <w:pStyle w:val="SCCLsocParty"/>
              <w:jc w:val="both"/>
              <w:rPr>
                <w:b/>
                <w:sz w:val="20"/>
                <w:szCs w:val="20"/>
              </w:rPr>
            </w:pPr>
            <w:r w:rsidRPr="000A2294">
              <w:rPr>
                <w:b/>
                <w:sz w:val="20"/>
                <w:szCs w:val="20"/>
              </w:rPr>
              <w:t>Braydon Wolfe c. Sa Majesté le Roi</w:t>
            </w:r>
          </w:p>
          <w:p w:rsidR="003A505B" w:rsidRPr="000A2294" w:rsidRDefault="003A505B" w:rsidP="003A505B">
            <w:pPr>
              <w:jc w:val="both"/>
              <w:rPr>
                <w:sz w:val="20"/>
                <w:lang w:val="fr-CA"/>
              </w:rPr>
            </w:pPr>
            <w:r w:rsidRPr="000A2294">
              <w:rPr>
                <w:sz w:val="20"/>
                <w:lang w:val="fr-CA"/>
              </w:rPr>
              <w:t>(Sask.) (Criminelle) (Autorisation)</w:t>
            </w:r>
          </w:p>
        </w:tc>
      </w:tr>
      <w:tr w:rsidR="003A505B" w:rsidRPr="00F935FF" w:rsidTr="0058481F">
        <w:tc>
          <w:tcPr>
            <w:tcW w:w="5000" w:type="pct"/>
            <w:gridSpan w:val="4"/>
          </w:tcPr>
          <w:p w:rsidR="003A505B" w:rsidRPr="000A2294" w:rsidRDefault="003A505B" w:rsidP="003A505B">
            <w:pPr>
              <w:jc w:val="both"/>
              <w:rPr>
                <w:sz w:val="20"/>
                <w:lang w:val="fr-CA"/>
              </w:rPr>
            </w:pPr>
            <w:r w:rsidRPr="000A2294">
              <w:rPr>
                <w:sz w:val="20"/>
                <w:lang w:val="fr-CA"/>
              </w:rPr>
              <w:t xml:space="preserve">Droit criminel — Détermination de la peine — Interdiction de conduire — Une interdiction de conduire peut-elle être infligée en vertu du par. 320.24(4) du </w:t>
            </w:r>
            <w:r w:rsidRPr="000A2294">
              <w:rPr>
                <w:i/>
                <w:sz w:val="20"/>
                <w:lang w:val="fr-CA"/>
              </w:rPr>
              <w:t>Code criminel</w:t>
            </w:r>
            <w:r w:rsidRPr="000A2294">
              <w:rPr>
                <w:sz w:val="20"/>
                <w:lang w:val="fr-CA"/>
              </w:rPr>
              <w:t xml:space="preserve"> après une déclaration de culpabilité pour négligence criminelle ayant causé la mort ou des lésions corporelles par le moyen de transport en cause? </w:t>
            </w:r>
          </w:p>
        </w:tc>
      </w:tr>
      <w:tr w:rsidR="003A505B" w:rsidRPr="00F935FF" w:rsidTr="0058481F">
        <w:tc>
          <w:tcPr>
            <w:tcW w:w="5000" w:type="pct"/>
            <w:gridSpan w:val="4"/>
          </w:tcPr>
          <w:p w:rsidR="003A505B" w:rsidRPr="000A2294" w:rsidRDefault="003A505B" w:rsidP="003A505B">
            <w:pPr>
              <w:jc w:val="both"/>
              <w:rPr>
                <w:sz w:val="20"/>
                <w:lang w:val="fr-CA"/>
              </w:rPr>
            </w:pPr>
          </w:p>
          <w:p w:rsidR="003A505B" w:rsidRPr="000A2294" w:rsidRDefault="003A505B" w:rsidP="003A505B">
            <w:pPr>
              <w:widowControl w:val="0"/>
              <w:tabs>
                <w:tab w:val="left" w:pos="936"/>
              </w:tabs>
              <w:kinsoku w:val="0"/>
              <w:overflowPunct w:val="0"/>
              <w:jc w:val="both"/>
              <w:textAlignment w:val="baseline"/>
              <w:rPr>
                <w:sz w:val="20"/>
                <w:lang w:val="fr-CA"/>
              </w:rPr>
            </w:pPr>
            <w:r w:rsidRPr="000A2294">
              <w:rPr>
                <w:spacing w:val="-1"/>
                <w:sz w:val="20"/>
                <w:lang w:val="fr-CA"/>
              </w:rPr>
              <w:t>Après avoir consommé de l’alcool, M. Wolfe a conduit son véhicule</w:t>
            </w:r>
            <w:r w:rsidRPr="000A2294">
              <w:rPr>
                <w:sz w:val="20"/>
                <w:lang w:val="fr-CA"/>
              </w:rPr>
              <w:t xml:space="preserve"> </w:t>
            </w:r>
            <w:r w:rsidRPr="000A2294">
              <w:rPr>
                <w:spacing w:val="-1"/>
                <w:sz w:val="20"/>
                <w:lang w:val="fr-CA"/>
              </w:rPr>
              <w:t>pendant la nuit dans le sens contraire d’une autoroute à voies séparées et a eu une collision frontale avec un autre véhicule. Deux des occupants de l’autre véhicule sont décédés. Le troisième occupant a été grièvement blessé. M. Wolfe a été déclaré coupable relativement à deux chefs de négligence criminelle de conduite d’un véhicule à moteur ayant causé la mort, et à un chef de négligence criminelle de conduite d’un véhicule à moteur ayant causé des lésions corporelles. Il a été condamné à trois peines d’emprisonnement à purger de façon concurrente, et à trois interdictions de conduire. La Cour d’appel a rejeté un appel interjeté contre ces peines.</w:t>
            </w:r>
          </w:p>
        </w:tc>
      </w:tr>
      <w:tr w:rsidR="003A505B" w:rsidRPr="00F935FF" w:rsidTr="0058481F">
        <w:tc>
          <w:tcPr>
            <w:tcW w:w="5000" w:type="pct"/>
            <w:gridSpan w:val="4"/>
          </w:tcPr>
          <w:p w:rsidR="003A505B" w:rsidRPr="000A2294" w:rsidRDefault="003A505B" w:rsidP="003A505B">
            <w:pPr>
              <w:jc w:val="both"/>
              <w:rPr>
                <w:sz w:val="20"/>
                <w:lang w:val="fr-CA"/>
              </w:rPr>
            </w:pPr>
          </w:p>
        </w:tc>
      </w:tr>
      <w:tr w:rsidR="003A505B" w:rsidRPr="00F935FF" w:rsidTr="0058481F">
        <w:tc>
          <w:tcPr>
            <w:tcW w:w="2427" w:type="pct"/>
            <w:gridSpan w:val="2"/>
          </w:tcPr>
          <w:p w:rsidR="003A505B" w:rsidRPr="000A2294" w:rsidRDefault="003A505B" w:rsidP="003A505B">
            <w:pPr>
              <w:jc w:val="both"/>
              <w:rPr>
                <w:sz w:val="20"/>
                <w:lang w:val="fr-CA"/>
              </w:rPr>
            </w:pPr>
            <w:r w:rsidRPr="000A2294">
              <w:rPr>
                <w:sz w:val="20"/>
                <w:lang w:val="fr-CA"/>
              </w:rPr>
              <w:t xml:space="preserve">8 décembre 2020 </w:t>
            </w:r>
          </w:p>
          <w:p w:rsidR="003A505B" w:rsidRPr="000A2294" w:rsidRDefault="003A505B" w:rsidP="003A505B">
            <w:pPr>
              <w:jc w:val="both"/>
              <w:rPr>
                <w:sz w:val="20"/>
                <w:lang w:val="fr-CA"/>
              </w:rPr>
            </w:pPr>
            <w:r w:rsidRPr="000A2294">
              <w:rPr>
                <w:sz w:val="20"/>
                <w:lang w:val="fr-CA"/>
              </w:rPr>
              <w:t>Cour du Banc de la Reine de la Saskatchewan</w:t>
            </w:r>
          </w:p>
          <w:p w:rsidR="003A505B" w:rsidRPr="000A2294" w:rsidRDefault="003A505B" w:rsidP="003A505B">
            <w:pPr>
              <w:jc w:val="both"/>
              <w:rPr>
                <w:sz w:val="20"/>
                <w:lang w:val="fr-CA"/>
              </w:rPr>
            </w:pPr>
            <w:r w:rsidRPr="000A2294">
              <w:rPr>
                <w:sz w:val="20"/>
                <w:lang w:val="fr-CA"/>
              </w:rPr>
              <w:t>(juge Danyliuk)</w:t>
            </w:r>
          </w:p>
          <w:p w:rsidR="003A505B" w:rsidRPr="000A2294" w:rsidRDefault="00F935FF" w:rsidP="003A505B">
            <w:pPr>
              <w:jc w:val="both"/>
              <w:rPr>
                <w:sz w:val="20"/>
                <w:lang w:val="fr-CA"/>
              </w:rPr>
            </w:pPr>
            <w:hyperlink r:id="rId78" w:history="1">
              <w:r w:rsidR="003A505B" w:rsidRPr="000A2294">
                <w:rPr>
                  <w:rStyle w:val="Hyperlink"/>
                  <w:sz w:val="20"/>
                  <w:lang w:val="fr-CA"/>
                </w:rPr>
                <w:t>2020 SKQB 324</w:t>
              </w:r>
            </w:hyperlink>
          </w:p>
          <w:p w:rsidR="003A505B" w:rsidRPr="000A2294" w:rsidRDefault="003A505B" w:rsidP="003A505B">
            <w:pPr>
              <w:jc w:val="both"/>
              <w:rPr>
                <w:sz w:val="20"/>
                <w:lang w:val="fr-CA"/>
              </w:rPr>
            </w:pPr>
          </w:p>
        </w:tc>
        <w:tc>
          <w:tcPr>
            <w:tcW w:w="243" w:type="pct"/>
          </w:tcPr>
          <w:p w:rsidR="003A505B" w:rsidRPr="000A2294" w:rsidRDefault="003A505B" w:rsidP="003A505B">
            <w:pPr>
              <w:jc w:val="both"/>
              <w:rPr>
                <w:sz w:val="20"/>
                <w:lang w:val="fr-CA"/>
              </w:rPr>
            </w:pPr>
          </w:p>
        </w:tc>
        <w:tc>
          <w:tcPr>
            <w:tcW w:w="2330" w:type="pct"/>
          </w:tcPr>
          <w:p w:rsidR="003A505B" w:rsidRPr="000A2294" w:rsidRDefault="003A505B" w:rsidP="003A505B">
            <w:pPr>
              <w:jc w:val="both"/>
              <w:rPr>
                <w:spacing w:val="-4"/>
                <w:sz w:val="20"/>
                <w:lang w:val="fr-CA"/>
              </w:rPr>
            </w:pPr>
            <w:r w:rsidRPr="000A2294">
              <w:rPr>
                <w:sz w:val="20"/>
                <w:lang w:val="fr-CA"/>
              </w:rPr>
              <w:t xml:space="preserve">Déclarations de culpabilité relativement à deux chefs de négligence criminelle ayant causé la mort et à un chef de négligence  criminelle ayant causé des lésions corporelles </w:t>
            </w:r>
          </w:p>
        </w:tc>
      </w:tr>
      <w:tr w:rsidR="003A505B" w:rsidRPr="00F935FF" w:rsidTr="0058481F">
        <w:tc>
          <w:tcPr>
            <w:tcW w:w="2427" w:type="pct"/>
            <w:gridSpan w:val="2"/>
          </w:tcPr>
          <w:p w:rsidR="003A505B" w:rsidRPr="000A2294" w:rsidRDefault="003A505B" w:rsidP="003A505B">
            <w:pPr>
              <w:jc w:val="both"/>
              <w:rPr>
                <w:sz w:val="20"/>
                <w:lang w:val="fr-CA"/>
              </w:rPr>
            </w:pPr>
            <w:r w:rsidRPr="000A2294">
              <w:rPr>
                <w:sz w:val="20"/>
                <w:lang w:val="fr-CA"/>
              </w:rPr>
              <w:t>13 mai 2021</w:t>
            </w:r>
          </w:p>
          <w:p w:rsidR="003A505B" w:rsidRPr="000A2294" w:rsidRDefault="003A505B" w:rsidP="003A505B">
            <w:pPr>
              <w:jc w:val="both"/>
              <w:rPr>
                <w:sz w:val="20"/>
                <w:lang w:val="fr-CA"/>
              </w:rPr>
            </w:pPr>
            <w:r w:rsidRPr="000A2294">
              <w:rPr>
                <w:sz w:val="20"/>
                <w:lang w:val="fr-CA"/>
              </w:rPr>
              <w:t>Cour du Banc de la Reine de la Saskatchewan</w:t>
            </w:r>
          </w:p>
          <w:p w:rsidR="003A505B" w:rsidRPr="000A2294" w:rsidRDefault="003A505B" w:rsidP="003A505B">
            <w:pPr>
              <w:jc w:val="both"/>
              <w:rPr>
                <w:sz w:val="20"/>
                <w:lang w:val="fr-CA"/>
              </w:rPr>
            </w:pPr>
            <w:r w:rsidRPr="000A2294">
              <w:rPr>
                <w:sz w:val="20"/>
                <w:lang w:val="fr-CA"/>
              </w:rPr>
              <w:t>(juge Danyliuk)</w:t>
            </w:r>
          </w:p>
          <w:p w:rsidR="003A505B" w:rsidRPr="000A2294" w:rsidRDefault="00F935FF" w:rsidP="003A505B">
            <w:pPr>
              <w:jc w:val="both"/>
              <w:rPr>
                <w:sz w:val="20"/>
                <w:lang w:val="fr-CA"/>
              </w:rPr>
            </w:pPr>
            <w:hyperlink r:id="rId79" w:history="1">
              <w:r w:rsidR="003A505B" w:rsidRPr="000A2294">
                <w:rPr>
                  <w:rStyle w:val="Hyperlink"/>
                  <w:sz w:val="20"/>
                  <w:lang w:val="fr-CA"/>
                </w:rPr>
                <w:t>2021 SKQB 141</w:t>
              </w:r>
            </w:hyperlink>
          </w:p>
        </w:tc>
        <w:tc>
          <w:tcPr>
            <w:tcW w:w="243" w:type="pct"/>
          </w:tcPr>
          <w:p w:rsidR="003A505B" w:rsidRPr="000A2294" w:rsidRDefault="003A505B" w:rsidP="003A505B">
            <w:pPr>
              <w:jc w:val="both"/>
              <w:rPr>
                <w:sz w:val="20"/>
                <w:lang w:val="fr-CA"/>
              </w:rPr>
            </w:pPr>
          </w:p>
        </w:tc>
        <w:tc>
          <w:tcPr>
            <w:tcW w:w="2330" w:type="pct"/>
          </w:tcPr>
          <w:p w:rsidR="003A505B" w:rsidRPr="000A2294" w:rsidRDefault="003A505B" w:rsidP="003A505B">
            <w:pPr>
              <w:widowControl w:val="0"/>
              <w:kinsoku w:val="0"/>
              <w:overflowPunct w:val="0"/>
              <w:jc w:val="both"/>
              <w:textAlignment w:val="baseline"/>
              <w:rPr>
                <w:sz w:val="20"/>
                <w:lang w:val="fr-CA"/>
              </w:rPr>
            </w:pPr>
            <w:r w:rsidRPr="000A2294">
              <w:rPr>
                <w:sz w:val="20"/>
                <w:lang w:val="fr-CA"/>
              </w:rPr>
              <w:t>Peine de 6 années, 6 années à purger de façon concurrente et 3 années à purger de façon concurrente et interdictions de conduire pendant 10 années, 10 années concurrentes, et 7 années concurrentes</w:t>
            </w:r>
          </w:p>
          <w:p w:rsidR="003A505B" w:rsidRPr="000A2294" w:rsidRDefault="003A505B" w:rsidP="003A505B">
            <w:pPr>
              <w:jc w:val="both"/>
              <w:rPr>
                <w:sz w:val="20"/>
                <w:lang w:val="fr-CA"/>
              </w:rPr>
            </w:pPr>
          </w:p>
        </w:tc>
      </w:tr>
      <w:tr w:rsidR="003A505B" w:rsidRPr="00F935FF" w:rsidTr="0058481F">
        <w:tc>
          <w:tcPr>
            <w:tcW w:w="2427" w:type="pct"/>
            <w:gridSpan w:val="2"/>
          </w:tcPr>
          <w:p w:rsidR="003A505B" w:rsidRPr="000A2294" w:rsidRDefault="003A505B" w:rsidP="003A505B">
            <w:pPr>
              <w:jc w:val="both"/>
              <w:rPr>
                <w:sz w:val="20"/>
                <w:lang w:val="fr-CA"/>
              </w:rPr>
            </w:pPr>
            <w:r w:rsidRPr="000A2294">
              <w:rPr>
                <w:sz w:val="20"/>
                <w:lang w:val="fr-CA"/>
              </w:rPr>
              <w:t>16 novembre 2022</w:t>
            </w:r>
          </w:p>
          <w:p w:rsidR="003A505B" w:rsidRPr="000A2294" w:rsidRDefault="003A505B" w:rsidP="003A505B">
            <w:pPr>
              <w:jc w:val="both"/>
              <w:rPr>
                <w:sz w:val="20"/>
                <w:lang w:val="fr-CA"/>
              </w:rPr>
            </w:pPr>
            <w:r w:rsidRPr="000A2294">
              <w:rPr>
                <w:sz w:val="20"/>
                <w:lang w:val="fr-CA"/>
              </w:rPr>
              <w:t>Cour d’appel de la Saskatchewan</w:t>
            </w:r>
          </w:p>
          <w:p w:rsidR="003A505B" w:rsidRPr="000A2294" w:rsidRDefault="003A505B" w:rsidP="003A505B">
            <w:pPr>
              <w:jc w:val="both"/>
              <w:rPr>
                <w:sz w:val="20"/>
              </w:rPr>
            </w:pPr>
            <w:r w:rsidRPr="000A2294">
              <w:rPr>
                <w:sz w:val="20"/>
              </w:rPr>
              <w:t>(juges Kalmakoff, Schwann, McCreary)</w:t>
            </w:r>
          </w:p>
          <w:p w:rsidR="003A505B" w:rsidRPr="000A2294" w:rsidRDefault="00F935FF" w:rsidP="003A505B">
            <w:pPr>
              <w:jc w:val="both"/>
              <w:rPr>
                <w:sz w:val="20"/>
              </w:rPr>
            </w:pPr>
            <w:hyperlink r:id="rId80" w:history="1">
              <w:r w:rsidR="003A505B" w:rsidRPr="000A2294">
                <w:rPr>
                  <w:rStyle w:val="Hyperlink"/>
                  <w:sz w:val="20"/>
                </w:rPr>
                <w:t>2022 SKCA 132</w:t>
              </w:r>
            </w:hyperlink>
            <w:r w:rsidR="003A505B" w:rsidRPr="000A2294">
              <w:rPr>
                <w:sz w:val="20"/>
              </w:rPr>
              <w:t xml:space="preserve">; </w:t>
            </w:r>
            <w:r w:rsidR="003A505B" w:rsidRPr="000A2294">
              <w:rPr>
                <w:bCs/>
                <w:color w:val="000000"/>
                <w:sz w:val="20"/>
              </w:rPr>
              <w:t>CACR3462</w:t>
            </w:r>
          </w:p>
          <w:p w:rsidR="003A505B" w:rsidRPr="000A2294" w:rsidRDefault="003A505B" w:rsidP="003A505B">
            <w:pPr>
              <w:jc w:val="both"/>
              <w:rPr>
                <w:sz w:val="20"/>
              </w:rPr>
            </w:pPr>
          </w:p>
        </w:tc>
        <w:tc>
          <w:tcPr>
            <w:tcW w:w="243" w:type="pct"/>
          </w:tcPr>
          <w:p w:rsidR="003A505B" w:rsidRPr="000A2294" w:rsidRDefault="003A505B" w:rsidP="003A505B">
            <w:pPr>
              <w:jc w:val="both"/>
              <w:rPr>
                <w:sz w:val="20"/>
              </w:rPr>
            </w:pPr>
          </w:p>
        </w:tc>
        <w:tc>
          <w:tcPr>
            <w:tcW w:w="2330" w:type="pct"/>
          </w:tcPr>
          <w:p w:rsidR="003A505B" w:rsidRPr="000A2294" w:rsidRDefault="003A505B" w:rsidP="003A505B">
            <w:pPr>
              <w:jc w:val="both"/>
              <w:rPr>
                <w:sz w:val="20"/>
                <w:lang w:val="fr-CA"/>
              </w:rPr>
            </w:pPr>
            <w:r w:rsidRPr="000A2294">
              <w:rPr>
                <w:sz w:val="20"/>
                <w:lang w:val="fr-CA"/>
              </w:rPr>
              <w:t>Rejet de l’appel interjeté contre les peines</w:t>
            </w:r>
          </w:p>
          <w:p w:rsidR="003A505B" w:rsidRPr="000A2294" w:rsidRDefault="003A505B" w:rsidP="003A505B">
            <w:pPr>
              <w:jc w:val="both"/>
              <w:rPr>
                <w:sz w:val="20"/>
                <w:lang w:val="fr-CA"/>
              </w:rPr>
            </w:pPr>
          </w:p>
        </w:tc>
      </w:tr>
      <w:tr w:rsidR="003A505B" w:rsidRPr="00F935FF" w:rsidTr="0058481F">
        <w:tc>
          <w:tcPr>
            <w:tcW w:w="2427" w:type="pct"/>
            <w:gridSpan w:val="2"/>
          </w:tcPr>
          <w:p w:rsidR="003A505B" w:rsidRPr="000A2294" w:rsidRDefault="003A505B" w:rsidP="003A505B">
            <w:pPr>
              <w:jc w:val="both"/>
              <w:rPr>
                <w:sz w:val="20"/>
                <w:lang w:val="fr-CA"/>
              </w:rPr>
            </w:pPr>
            <w:r w:rsidRPr="000A2294">
              <w:rPr>
                <w:sz w:val="20"/>
                <w:lang w:val="fr-CA"/>
              </w:rPr>
              <w:t>13 janvier 2023</w:t>
            </w:r>
          </w:p>
          <w:p w:rsidR="003A505B" w:rsidRPr="000A2294" w:rsidRDefault="003A505B" w:rsidP="003A505B">
            <w:pPr>
              <w:jc w:val="both"/>
              <w:rPr>
                <w:sz w:val="20"/>
                <w:lang w:val="fr-CA"/>
              </w:rPr>
            </w:pPr>
            <w:r w:rsidRPr="000A2294">
              <w:rPr>
                <w:sz w:val="20"/>
                <w:lang w:val="fr-CA"/>
              </w:rPr>
              <w:t>Cour suprême du Canada</w:t>
            </w:r>
          </w:p>
        </w:tc>
        <w:tc>
          <w:tcPr>
            <w:tcW w:w="243" w:type="pct"/>
          </w:tcPr>
          <w:p w:rsidR="003A505B" w:rsidRPr="000A2294" w:rsidRDefault="003A505B" w:rsidP="003A505B">
            <w:pPr>
              <w:jc w:val="both"/>
              <w:rPr>
                <w:sz w:val="20"/>
                <w:lang w:val="fr-CA"/>
              </w:rPr>
            </w:pPr>
          </w:p>
        </w:tc>
        <w:tc>
          <w:tcPr>
            <w:tcW w:w="2330" w:type="pct"/>
          </w:tcPr>
          <w:p w:rsidR="003A505B" w:rsidRPr="000A2294" w:rsidRDefault="003A505B" w:rsidP="003A505B">
            <w:pPr>
              <w:jc w:val="both"/>
              <w:rPr>
                <w:sz w:val="20"/>
                <w:lang w:val="fr-CA"/>
              </w:rPr>
            </w:pPr>
            <w:r w:rsidRPr="000A2294">
              <w:rPr>
                <w:sz w:val="20"/>
                <w:lang w:val="fr-CA"/>
              </w:rPr>
              <w:t>Dépôt de la demande d’autorisation d’appel</w:t>
            </w:r>
          </w:p>
          <w:p w:rsidR="003A505B" w:rsidRPr="000A2294" w:rsidRDefault="003A505B" w:rsidP="003A505B">
            <w:pPr>
              <w:jc w:val="both"/>
              <w:rPr>
                <w:sz w:val="20"/>
                <w:lang w:val="fr-CA"/>
              </w:rPr>
            </w:pPr>
          </w:p>
        </w:tc>
      </w:tr>
    </w:tbl>
    <w:p w:rsidR="003A505B" w:rsidRPr="000A2294" w:rsidRDefault="003A505B" w:rsidP="003A505B">
      <w:pPr>
        <w:jc w:val="both"/>
        <w:rPr>
          <w:sz w:val="20"/>
          <w:lang w:val="fr-CA"/>
        </w:rPr>
      </w:pPr>
    </w:p>
    <w:p w:rsidR="00E028BD" w:rsidRPr="000A2294" w:rsidRDefault="00F935FF" w:rsidP="004A6EE8">
      <w:pPr>
        <w:widowControl w:val="0"/>
        <w:jc w:val="both"/>
        <w:rPr>
          <w:sz w:val="20"/>
          <w:lang w:val="fr-CA"/>
        </w:rPr>
      </w:pPr>
      <w:r>
        <w:rPr>
          <w:sz w:val="20"/>
        </w:rPr>
        <w:pict>
          <v:rect id="_x0000_i1046" style="width:2in;height:1pt" o:hrpct="0" o:hralign="center" o:hrstd="t" o:hrnoshade="t" o:hr="t" fillcolor="black [3213]" stroked="f"/>
        </w:pict>
      </w:r>
    </w:p>
    <w:p w:rsidR="00E028BD" w:rsidRPr="000A2294" w:rsidRDefault="00E028BD" w:rsidP="003A505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505B" w:rsidRPr="000A2294" w:rsidTr="00E95A6A">
        <w:tc>
          <w:tcPr>
            <w:tcW w:w="543" w:type="pct"/>
          </w:tcPr>
          <w:p w:rsidR="003A505B" w:rsidRPr="000A2294" w:rsidRDefault="003A505B" w:rsidP="003A505B">
            <w:pPr>
              <w:jc w:val="both"/>
              <w:rPr>
                <w:sz w:val="20"/>
                <w:lang w:val="en-CA"/>
              </w:rPr>
            </w:pPr>
            <w:r w:rsidRPr="000A2294">
              <w:rPr>
                <w:rStyle w:val="SCCFileNumberChar"/>
                <w:sz w:val="20"/>
                <w:szCs w:val="20"/>
              </w:rPr>
              <w:t>40244</w:t>
            </w:r>
          </w:p>
        </w:tc>
        <w:tc>
          <w:tcPr>
            <w:tcW w:w="4457" w:type="pct"/>
            <w:gridSpan w:val="3"/>
          </w:tcPr>
          <w:p w:rsidR="003A505B" w:rsidRPr="000A2294" w:rsidRDefault="003A505B" w:rsidP="003A505B">
            <w:pPr>
              <w:pStyle w:val="SCCLsocParty"/>
              <w:jc w:val="both"/>
              <w:rPr>
                <w:b/>
                <w:sz w:val="20"/>
                <w:szCs w:val="20"/>
              </w:rPr>
            </w:pPr>
            <w:r w:rsidRPr="000A2294">
              <w:rPr>
                <w:b/>
                <w:sz w:val="20"/>
                <w:szCs w:val="20"/>
              </w:rPr>
              <w:t>Richard Lamothe v. André Joncas, Services Financiers André Joncas inc., Westport Insurance Corporation</w:t>
            </w:r>
          </w:p>
          <w:p w:rsidR="003A505B" w:rsidRPr="000A2294" w:rsidRDefault="003A505B" w:rsidP="003A505B">
            <w:pPr>
              <w:jc w:val="both"/>
              <w:rPr>
                <w:sz w:val="20"/>
                <w:lang w:val="en-CA"/>
              </w:rPr>
            </w:pPr>
            <w:r w:rsidRPr="000A2294">
              <w:rPr>
                <w:sz w:val="20"/>
                <w:lang w:val="en-CA"/>
              </w:rPr>
              <w:t>(Que.) (Civil) (By Leave)</w:t>
            </w:r>
          </w:p>
        </w:tc>
      </w:tr>
      <w:tr w:rsidR="003A505B" w:rsidRPr="000A2294" w:rsidTr="00E95A6A">
        <w:tc>
          <w:tcPr>
            <w:tcW w:w="5000" w:type="pct"/>
            <w:gridSpan w:val="4"/>
          </w:tcPr>
          <w:p w:rsidR="003A505B" w:rsidRPr="000A2294" w:rsidRDefault="003A505B" w:rsidP="003A505B">
            <w:pPr>
              <w:jc w:val="both"/>
              <w:rPr>
                <w:sz w:val="20"/>
                <w:lang w:val="en-CA"/>
              </w:rPr>
            </w:pPr>
            <w:r w:rsidRPr="000A2294">
              <w:rPr>
                <w:iCs/>
                <w:color w:val="000000"/>
                <w:sz w:val="20"/>
                <w:lang w:val="en-CA"/>
              </w:rPr>
              <w:t>Civil liability — Fault — Negligence — Insurance broker not following up on client’s request to increase disability benefit and to review his insurance — Client suffering injury about two years later — Court of Québec dismissing application for damages — Court of Appeal dismissing motion for leave to appeal — Whether leave application raises questions of public importance.</w:t>
            </w:r>
          </w:p>
          <w:p w:rsidR="003A505B" w:rsidRPr="000A2294" w:rsidRDefault="003A505B" w:rsidP="003A505B">
            <w:pPr>
              <w:jc w:val="both"/>
              <w:rPr>
                <w:sz w:val="20"/>
                <w:lang w:val="en-CA"/>
              </w:rPr>
            </w:pPr>
          </w:p>
        </w:tc>
      </w:tr>
      <w:tr w:rsidR="003A505B" w:rsidRPr="000A2294" w:rsidTr="00E95A6A">
        <w:tc>
          <w:tcPr>
            <w:tcW w:w="5000" w:type="pct"/>
            <w:gridSpan w:val="4"/>
          </w:tcPr>
          <w:p w:rsidR="003A505B" w:rsidRPr="000A2294" w:rsidRDefault="003A505B" w:rsidP="003A505B">
            <w:pPr>
              <w:jc w:val="both"/>
              <w:rPr>
                <w:sz w:val="20"/>
                <w:lang w:val="en-CA"/>
              </w:rPr>
            </w:pPr>
            <w:r w:rsidRPr="000A2294">
              <w:rPr>
                <w:sz w:val="20"/>
                <w:lang w:val="en-CA"/>
              </w:rPr>
              <w:t>The applicant, Mr. Lamothe, brought an action in damages against the respondents, a personal insurance broker, his company and his professional liability insurer. Mr. Lamothe argued that the insurer broker had committed various faults and been negligent in carrying out his mandate. The Court of Québec judge held that Mr. Lamothe had not shown on a balance of probabilities that the insurance broker had not acted prudently and diligently in carrying out his mandate. He dismissed the action. The Court of Appeal dismissed Mr. Lamothe’s motion for leave to appeal from that judgment, finding that none of the grounds stated raised a question of principle, a new issue or an issue that had given rise to conflicting judicial decisions.</w:t>
            </w:r>
          </w:p>
        </w:tc>
      </w:tr>
      <w:tr w:rsidR="003A505B" w:rsidRPr="000A2294" w:rsidTr="00E95A6A">
        <w:tc>
          <w:tcPr>
            <w:tcW w:w="5000" w:type="pct"/>
            <w:gridSpan w:val="4"/>
          </w:tcPr>
          <w:p w:rsidR="003A505B" w:rsidRPr="000A2294" w:rsidRDefault="003A505B" w:rsidP="003A505B">
            <w:pPr>
              <w:jc w:val="both"/>
              <w:rPr>
                <w:sz w:val="20"/>
                <w:lang w:val="en-CA"/>
              </w:rPr>
            </w:pPr>
          </w:p>
        </w:tc>
      </w:tr>
      <w:tr w:rsidR="003A505B" w:rsidRPr="000A2294" w:rsidTr="00E95A6A">
        <w:tc>
          <w:tcPr>
            <w:tcW w:w="2427" w:type="pct"/>
            <w:gridSpan w:val="2"/>
          </w:tcPr>
          <w:p w:rsidR="003A505B" w:rsidRPr="000A2294" w:rsidRDefault="003A505B" w:rsidP="003A505B">
            <w:pPr>
              <w:jc w:val="both"/>
              <w:rPr>
                <w:sz w:val="20"/>
                <w:lang w:val="en-CA"/>
              </w:rPr>
            </w:pPr>
            <w:r w:rsidRPr="000A2294">
              <w:rPr>
                <w:sz w:val="20"/>
                <w:lang w:val="en-CA"/>
              </w:rPr>
              <w:t>November 12, 2021</w:t>
            </w:r>
          </w:p>
          <w:p w:rsidR="003A505B" w:rsidRPr="000A2294" w:rsidRDefault="003A505B" w:rsidP="003A505B">
            <w:pPr>
              <w:jc w:val="both"/>
              <w:rPr>
                <w:sz w:val="20"/>
                <w:lang w:val="en-CA"/>
              </w:rPr>
            </w:pPr>
            <w:r w:rsidRPr="000A2294">
              <w:rPr>
                <w:sz w:val="20"/>
                <w:lang w:val="en-CA"/>
              </w:rPr>
              <w:t>Court of Québec</w:t>
            </w:r>
          </w:p>
          <w:p w:rsidR="003A505B" w:rsidRPr="000A2294" w:rsidRDefault="003A505B" w:rsidP="003A505B">
            <w:pPr>
              <w:jc w:val="both"/>
              <w:rPr>
                <w:sz w:val="20"/>
                <w:lang w:val="en-CA"/>
              </w:rPr>
            </w:pPr>
            <w:r w:rsidRPr="000A2294">
              <w:rPr>
                <w:sz w:val="20"/>
                <w:lang w:val="en-CA"/>
              </w:rPr>
              <w:t>(Judge Mallette)</w:t>
            </w:r>
          </w:p>
          <w:p w:rsidR="003A505B" w:rsidRPr="000A2294" w:rsidRDefault="00F935FF" w:rsidP="003A505B">
            <w:pPr>
              <w:jc w:val="both"/>
              <w:rPr>
                <w:sz w:val="20"/>
                <w:lang w:val="en-CA"/>
              </w:rPr>
            </w:pPr>
            <w:hyperlink r:id="rId81" w:history="1">
              <w:r w:rsidR="003A505B" w:rsidRPr="000A2294">
                <w:rPr>
                  <w:rStyle w:val="Hyperlink"/>
                  <w:sz w:val="20"/>
                  <w:lang w:val="en-CA"/>
                </w:rPr>
                <w:t>2021 QCCQ 13038</w:t>
              </w:r>
            </w:hyperlink>
          </w:p>
          <w:p w:rsidR="003A505B" w:rsidRPr="000A2294" w:rsidRDefault="003A505B" w:rsidP="003A505B">
            <w:pPr>
              <w:jc w:val="both"/>
              <w:rPr>
                <w:sz w:val="20"/>
                <w:lang w:val="en-CA"/>
              </w:rPr>
            </w:pPr>
          </w:p>
        </w:tc>
        <w:tc>
          <w:tcPr>
            <w:tcW w:w="243" w:type="pct"/>
          </w:tcPr>
          <w:p w:rsidR="003A505B" w:rsidRPr="000A2294" w:rsidRDefault="003A505B" w:rsidP="003A505B">
            <w:pPr>
              <w:jc w:val="both"/>
              <w:rPr>
                <w:sz w:val="20"/>
                <w:lang w:val="en-CA"/>
              </w:rPr>
            </w:pPr>
          </w:p>
        </w:tc>
        <w:tc>
          <w:tcPr>
            <w:tcW w:w="2330" w:type="pct"/>
          </w:tcPr>
          <w:p w:rsidR="003A505B" w:rsidRPr="000A2294" w:rsidRDefault="003A505B" w:rsidP="003A505B">
            <w:pPr>
              <w:jc w:val="both"/>
              <w:rPr>
                <w:sz w:val="20"/>
                <w:lang w:val="en-CA"/>
              </w:rPr>
            </w:pPr>
            <w:r w:rsidRPr="000A2294">
              <w:rPr>
                <w:sz w:val="20"/>
                <w:lang w:val="en-CA"/>
              </w:rPr>
              <w:t xml:space="preserve">Applicant’s originating application dismissed </w:t>
            </w:r>
          </w:p>
        </w:tc>
      </w:tr>
      <w:tr w:rsidR="003A505B" w:rsidRPr="000A2294" w:rsidTr="00E95A6A">
        <w:tc>
          <w:tcPr>
            <w:tcW w:w="2427" w:type="pct"/>
            <w:gridSpan w:val="2"/>
          </w:tcPr>
          <w:p w:rsidR="003A505B" w:rsidRPr="000A2294" w:rsidRDefault="003A505B" w:rsidP="003A505B">
            <w:pPr>
              <w:jc w:val="both"/>
              <w:rPr>
                <w:sz w:val="20"/>
                <w:lang w:val="en-CA"/>
              </w:rPr>
            </w:pPr>
            <w:r w:rsidRPr="000A2294">
              <w:rPr>
                <w:sz w:val="20"/>
                <w:lang w:val="en-CA"/>
              </w:rPr>
              <w:t>January 6, 2022</w:t>
            </w:r>
          </w:p>
          <w:p w:rsidR="003A505B" w:rsidRPr="000A2294" w:rsidRDefault="003A505B" w:rsidP="003A505B">
            <w:pPr>
              <w:jc w:val="both"/>
              <w:rPr>
                <w:sz w:val="20"/>
                <w:lang w:val="en-CA"/>
              </w:rPr>
            </w:pPr>
            <w:r w:rsidRPr="000A2294">
              <w:rPr>
                <w:sz w:val="20"/>
                <w:lang w:val="en-CA"/>
              </w:rPr>
              <w:t>Quebec Court of Appeal (Montréal)</w:t>
            </w:r>
          </w:p>
          <w:p w:rsidR="003A505B" w:rsidRPr="000A2294" w:rsidRDefault="003A505B" w:rsidP="003A505B">
            <w:pPr>
              <w:jc w:val="both"/>
              <w:rPr>
                <w:sz w:val="20"/>
                <w:lang w:val="en-CA"/>
              </w:rPr>
            </w:pPr>
            <w:r w:rsidRPr="000A2294">
              <w:rPr>
                <w:sz w:val="20"/>
                <w:lang w:val="en-CA"/>
              </w:rPr>
              <w:t>(Bachand J.)</w:t>
            </w:r>
          </w:p>
          <w:p w:rsidR="003A505B" w:rsidRPr="000A2294" w:rsidRDefault="00F935FF" w:rsidP="003A505B">
            <w:pPr>
              <w:jc w:val="both"/>
              <w:rPr>
                <w:sz w:val="20"/>
                <w:lang w:val="en-CA"/>
              </w:rPr>
            </w:pPr>
            <w:hyperlink r:id="rId82" w:history="1">
              <w:r w:rsidR="003A505B" w:rsidRPr="000A2294">
                <w:rPr>
                  <w:rStyle w:val="Hyperlink"/>
                  <w:sz w:val="20"/>
                  <w:lang w:val="en-CA"/>
                </w:rPr>
                <w:t>2022 QCCA 6</w:t>
              </w:r>
            </w:hyperlink>
            <w:r w:rsidR="003A505B" w:rsidRPr="000A2294">
              <w:rPr>
                <w:sz w:val="20"/>
                <w:lang w:val="en-CA"/>
              </w:rPr>
              <w:t xml:space="preserve"> (No.: 500-09-029840-212)</w:t>
            </w:r>
          </w:p>
          <w:p w:rsidR="003A505B" w:rsidRPr="000A2294" w:rsidRDefault="003A505B" w:rsidP="003A505B">
            <w:pPr>
              <w:jc w:val="both"/>
              <w:rPr>
                <w:sz w:val="20"/>
                <w:lang w:val="en-CA"/>
              </w:rPr>
            </w:pPr>
          </w:p>
        </w:tc>
        <w:tc>
          <w:tcPr>
            <w:tcW w:w="243" w:type="pct"/>
          </w:tcPr>
          <w:p w:rsidR="003A505B" w:rsidRPr="000A2294" w:rsidRDefault="003A505B" w:rsidP="003A505B">
            <w:pPr>
              <w:jc w:val="both"/>
              <w:rPr>
                <w:sz w:val="20"/>
                <w:lang w:val="en-CA"/>
              </w:rPr>
            </w:pPr>
          </w:p>
        </w:tc>
        <w:tc>
          <w:tcPr>
            <w:tcW w:w="2330" w:type="pct"/>
          </w:tcPr>
          <w:p w:rsidR="003A505B" w:rsidRPr="000A2294" w:rsidRDefault="003A505B" w:rsidP="003A505B">
            <w:pPr>
              <w:jc w:val="both"/>
              <w:rPr>
                <w:sz w:val="20"/>
                <w:lang w:val="en-CA"/>
              </w:rPr>
            </w:pPr>
            <w:r w:rsidRPr="000A2294">
              <w:rPr>
                <w:sz w:val="20"/>
                <w:lang w:val="en-CA"/>
              </w:rPr>
              <w:t xml:space="preserve">Motion for leave to appeal dismissed </w:t>
            </w:r>
          </w:p>
        </w:tc>
      </w:tr>
      <w:tr w:rsidR="003A505B" w:rsidRPr="000A2294" w:rsidTr="00E95A6A">
        <w:tc>
          <w:tcPr>
            <w:tcW w:w="2427" w:type="pct"/>
            <w:gridSpan w:val="2"/>
          </w:tcPr>
          <w:p w:rsidR="003A505B" w:rsidRPr="000A2294" w:rsidRDefault="003A505B" w:rsidP="003A505B">
            <w:pPr>
              <w:jc w:val="both"/>
              <w:rPr>
                <w:sz w:val="20"/>
                <w:lang w:val="en-CA"/>
              </w:rPr>
            </w:pPr>
            <w:r w:rsidRPr="000A2294">
              <w:rPr>
                <w:sz w:val="20"/>
                <w:lang w:val="en-CA"/>
              </w:rPr>
              <w:t>May 3, 2022</w:t>
            </w:r>
          </w:p>
          <w:p w:rsidR="003A505B" w:rsidRPr="000A2294" w:rsidRDefault="003A505B" w:rsidP="003A505B">
            <w:pPr>
              <w:jc w:val="both"/>
              <w:rPr>
                <w:sz w:val="20"/>
                <w:lang w:val="en-CA"/>
              </w:rPr>
            </w:pPr>
            <w:r w:rsidRPr="000A2294">
              <w:rPr>
                <w:sz w:val="20"/>
                <w:lang w:val="en-CA"/>
              </w:rPr>
              <w:t>Supreme Court of Canada</w:t>
            </w:r>
          </w:p>
        </w:tc>
        <w:tc>
          <w:tcPr>
            <w:tcW w:w="243" w:type="pct"/>
          </w:tcPr>
          <w:p w:rsidR="003A505B" w:rsidRPr="000A2294" w:rsidRDefault="003A505B" w:rsidP="003A505B">
            <w:pPr>
              <w:jc w:val="both"/>
              <w:rPr>
                <w:sz w:val="20"/>
                <w:lang w:val="en-CA"/>
              </w:rPr>
            </w:pPr>
          </w:p>
        </w:tc>
        <w:tc>
          <w:tcPr>
            <w:tcW w:w="2330" w:type="pct"/>
          </w:tcPr>
          <w:p w:rsidR="003A505B" w:rsidRPr="000A2294" w:rsidRDefault="003A505B" w:rsidP="003A505B">
            <w:pPr>
              <w:jc w:val="both"/>
              <w:rPr>
                <w:sz w:val="20"/>
                <w:lang w:val="en-CA"/>
              </w:rPr>
            </w:pPr>
            <w:r w:rsidRPr="000A2294">
              <w:rPr>
                <w:sz w:val="20"/>
                <w:lang w:val="en-CA"/>
              </w:rPr>
              <w:t>Application for leave to appeal and motion to extend time to serve and file application filed</w:t>
            </w:r>
          </w:p>
        </w:tc>
      </w:tr>
    </w:tbl>
    <w:p w:rsidR="003A505B" w:rsidRPr="000A2294" w:rsidRDefault="003A505B" w:rsidP="003A505B">
      <w:pPr>
        <w:jc w:val="both"/>
        <w:rPr>
          <w:sz w:val="20"/>
          <w:lang w:val="en-CA"/>
        </w:rPr>
      </w:pPr>
    </w:p>
    <w:p w:rsidR="003A505B" w:rsidRPr="000A2294" w:rsidRDefault="00F935FF" w:rsidP="003A505B">
      <w:pPr>
        <w:jc w:val="both"/>
        <w:rPr>
          <w:sz w:val="20"/>
          <w:lang w:val="en-CA"/>
        </w:rPr>
      </w:pPr>
      <w:r>
        <w:rPr>
          <w:sz w:val="20"/>
        </w:rPr>
        <w:pict>
          <v:rect id="_x0000_i1047" style="width:2in;height:1pt" o:hrpct="0" o:hralign="center" o:hrstd="t" o:hrnoshade="t" o:hr="t" fillcolor="black [3213]" stroked="f"/>
        </w:pict>
      </w:r>
    </w:p>
    <w:p w:rsidR="003A505B" w:rsidRPr="000A2294" w:rsidRDefault="003A505B" w:rsidP="003A505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505B" w:rsidRPr="000A2294" w:rsidTr="00E95A6A">
        <w:tc>
          <w:tcPr>
            <w:tcW w:w="543" w:type="pct"/>
          </w:tcPr>
          <w:p w:rsidR="003A505B" w:rsidRPr="000A2294" w:rsidRDefault="003A505B" w:rsidP="003A505B">
            <w:pPr>
              <w:jc w:val="both"/>
              <w:rPr>
                <w:sz w:val="20"/>
              </w:rPr>
            </w:pPr>
            <w:r w:rsidRPr="000A2294">
              <w:rPr>
                <w:rStyle w:val="SCCFileNumberChar"/>
                <w:sz w:val="20"/>
                <w:szCs w:val="20"/>
              </w:rPr>
              <w:t>40244</w:t>
            </w:r>
          </w:p>
        </w:tc>
        <w:tc>
          <w:tcPr>
            <w:tcW w:w="4457" w:type="pct"/>
            <w:gridSpan w:val="3"/>
          </w:tcPr>
          <w:p w:rsidR="003A505B" w:rsidRPr="000A2294" w:rsidRDefault="003A505B" w:rsidP="003A505B">
            <w:pPr>
              <w:pStyle w:val="SCCLsocParty"/>
              <w:jc w:val="both"/>
              <w:rPr>
                <w:b/>
                <w:sz w:val="20"/>
                <w:szCs w:val="20"/>
              </w:rPr>
            </w:pPr>
            <w:r w:rsidRPr="000A2294">
              <w:rPr>
                <w:b/>
                <w:sz w:val="20"/>
                <w:szCs w:val="20"/>
              </w:rPr>
              <w:t>Richard Lamothe c. André Joncas, Services Financiers André Joncas inc., Société d’assurance Westport</w:t>
            </w:r>
          </w:p>
          <w:p w:rsidR="003A505B" w:rsidRPr="000A2294" w:rsidRDefault="003A505B" w:rsidP="003A505B">
            <w:pPr>
              <w:jc w:val="both"/>
              <w:rPr>
                <w:sz w:val="20"/>
              </w:rPr>
            </w:pPr>
            <w:r w:rsidRPr="000A2294">
              <w:rPr>
                <w:sz w:val="20"/>
              </w:rPr>
              <w:t>(Qc) (Civile) (Autorisation)</w:t>
            </w:r>
          </w:p>
        </w:tc>
      </w:tr>
      <w:tr w:rsidR="003A505B" w:rsidRPr="00F935FF" w:rsidTr="00E95A6A">
        <w:tc>
          <w:tcPr>
            <w:tcW w:w="5000" w:type="pct"/>
            <w:gridSpan w:val="4"/>
          </w:tcPr>
          <w:p w:rsidR="003A505B" w:rsidRPr="000A2294" w:rsidRDefault="003A505B" w:rsidP="003A505B">
            <w:pPr>
              <w:jc w:val="both"/>
              <w:rPr>
                <w:sz w:val="20"/>
                <w:lang w:val="fr-CA"/>
              </w:rPr>
            </w:pPr>
            <w:r w:rsidRPr="000A2294">
              <w:rPr>
                <w:iCs/>
                <w:color w:val="000000"/>
                <w:sz w:val="20"/>
                <w:lang w:val="fr-CA"/>
              </w:rPr>
              <w:t>Responsabilité civile — Faute — Négligence — Courtier d’assurance ne donnant pas suite à une demande d’un client d’augmenter une prestation d’invalidité et d’effectuer une révision de ses assurances — Client subissant une blessure environ deux ans par après — Cour du Québec rejetant demande en dommages-intérêts — Cour d’appel rejetant r</w:t>
            </w:r>
            <w:r w:rsidRPr="000A2294">
              <w:rPr>
                <w:sz w:val="20"/>
                <w:lang w:val="fr-CA"/>
              </w:rPr>
              <w:t>equête pour permission d’appeler</w:t>
            </w:r>
            <w:r w:rsidRPr="000A2294">
              <w:rPr>
                <w:iCs/>
                <w:color w:val="000000"/>
                <w:sz w:val="20"/>
                <w:lang w:val="fr-CA"/>
              </w:rPr>
              <w:t xml:space="preserve"> — </w:t>
            </w:r>
            <w:r w:rsidRPr="000A2294">
              <w:rPr>
                <w:sz w:val="20"/>
                <w:lang w:val="fr-CA"/>
              </w:rPr>
              <w:t>La demande d’autorisation soulève-t-elle des questions d’importance pour le public?</w:t>
            </w:r>
          </w:p>
          <w:p w:rsidR="003A505B" w:rsidRPr="000A2294" w:rsidRDefault="003A505B" w:rsidP="003A505B">
            <w:pPr>
              <w:jc w:val="both"/>
              <w:rPr>
                <w:sz w:val="20"/>
                <w:lang w:val="fr-CA"/>
              </w:rPr>
            </w:pPr>
          </w:p>
        </w:tc>
      </w:tr>
      <w:tr w:rsidR="003A505B" w:rsidRPr="00F935FF" w:rsidTr="00E95A6A">
        <w:tc>
          <w:tcPr>
            <w:tcW w:w="5000" w:type="pct"/>
            <w:gridSpan w:val="4"/>
          </w:tcPr>
          <w:p w:rsidR="003A505B" w:rsidRPr="000A2294" w:rsidRDefault="003A505B" w:rsidP="003A505B">
            <w:pPr>
              <w:jc w:val="both"/>
              <w:rPr>
                <w:sz w:val="20"/>
                <w:lang w:val="fr-CA"/>
              </w:rPr>
            </w:pPr>
            <w:r w:rsidRPr="000A2294">
              <w:rPr>
                <w:sz w:val="20"/>
                <w:lang w:val="fr-CA"/>
              </w:rPr>
              <w:t>Le demandeur, M. Lamothe, a intenté une action en dommages-intérêts contre les intimés, un courtier en assurances de personnes, son entreprise et son assureur en responsabilité professionnelle. Monsieur Lamothe prétend que le courtier en assurances a commis diverses fautes et fait preuve de négligence dans le cadre de son mandat. Le juge de la Cour du Québec conclut que M. Lamothe n’a pas démontré de façon prépondérante que le courtier d’assurance ne s’est pas comporté de façon prudente et diligente dans le cadre de son mandat. Il rejette le recours de M. Joncas. La Cour d’appel rejette la requête de M. Lamothe pour permission de porter en appel ce jugement, ayant conclu qu’aucun des moyens énoncés ne soulève une question de principe, une question nouvelle ou encore une question faisant l’objet d’une jurisprudence contradictoire.</w:t>
            </w:r>
          </w:p>
        </w:tc>
      </w:tr>
      <w:tr w:rsidR="003A505B" w:rsidRPr="00F935FF" w:rsidTr="00E95A6A">
        <w:tc>
          <w:tcPr>
            <w:tcW w:w="5000" w:type="pct"/>
            <w:gridSpan w:val="4"/>
          </w:tcPr>
          <w:p w:rsidR="003A505B" w:rsidRPr="000A2294" w:rsidRDefault="003A505B" w:rsidP="003A505B">
            <w:pPr>
              <w:jc w:val="both"/>
              <w:rPr>
                <w:sz w:val="20"/>
                <w:lang w:val="fr-CA"/>
              </w:rPr>
            </w:pPr>
          </w:p>
        </w:tc>
      </w:tr>
      <w:tr w:rsidR="003A505B" w:rsidRPr="00F935FF" w:rsidTr="00E95A6A">
        <w:tc>
          <w:tcPr>
            <w:tcW w:w="2427" w:type="pct"/>
            <w:gridSpan w:val="2"/>
          </w:tcPr>
          <w:p w:rsidR="003A505B" w:rsidRPr="000A2294" w:rsidRDefault="003A505B" w:rsidP="003A505B">
            <w:pPr>
              <w:jc w:val="both"/>
              <w:rPr>
                <w:sz w:val="20"/>
                <w:lang w:val="fr-CA"/>
              </w:rPr>
            </w:pPr>
            <w:r w:rsidRPr="000A2294">
              <w:rPr>
                <w:sz w:val="20"/>
                <w:lang w:val="fr-CA"/>
              </w:rPr>
              <w:t>Le 12 novembre 2021</w:t>
            </w:r>
          </w:p>
          <w:p w:rsidR="003A505B" w:rsidRPr="000A2294" w:rsidRDefault="003A505B" w:rsidP="003A505B">
            <w:pPr>
              <w:jc w:val="both"/>
              <w:rPr>
                <w:sz w:val="20"/>
                <w:lang w:val="fr-CA"/>
              </w:rPr>
            </w:pPr>
            <w:r w:rsidRPr="000A2294">
              <w:rPr>
                <w:sz w:val="20"/>
                <w:lang w:val="fr-CA"/>
              </w:rPr>
              <w:t>Cour du Québec</w:t>
            </w:r>
          </w:p>
          <w:p w:rsidR="003A505B" w:rsidRPr="000A2294" w:rsidRDefault="003A505B" w:rsidP="003A505B">
            <w:pPr>
              <w:jc w:val="both"/>
              <w:rPr>
                <w:sz w:val="20"/>
                <w:lang w:val="fr-CA"/>
              </w:rPr>
            </w:pPr>
            <w:r w:rsidRPr="000A2294">
              <w:rPr>
                <w:sz w:val="20"/>
                <w:lang w:val="fr-CA"/>
              </w:rPr>
              <w:t>(le juge Mallette)</w:t>
            </w:r>
          </w:p>
          <w:p w:rsidR="003A505B" w:rsidRPr="000A2294" w:rsidRDefault="00F935FF" w:rsidP="003A505B">
            <w:pPr>
              <w:jc w:val="both"/>
              <w:rPr>
                <w:sz w:val="20"/>
              </w:rPr>
            </w:pPr>
            <w:hyperlink r:id="rId83" w:history="1">
              <w:r w:rsidR="003A505B" w:rsidRPr="000A2294">
                <w:rPr>
                  <w:rStyle w:val="Hyperlink"/>
                  <w:sz w:val="20"/>
                </w:rPr>
                <w:t>2021 QCCQ 13038</w:t>
              </w:r>
            </w:hyperlink>
          </w:p>
          <w:p w:rsidR="003A505B" w:rsidRPr="000A2294" w:rsidRDefault="003A505B" w:rsidP="003A505B">
            <w:pPr>
              <w:jc w:val="both"/>
              <w:rPr>
                <w:sz w:val="20"/>
              </w:rPr>
            </w:pPr>
          </w:p>
        </w:tc>
        <w:tc>
          <w:tcPr>
            <w:tcW w:w="243" w:type="pct"/>
          </w:tcPr>
          <w:p w:rsidR="003A505B" w:rsidRPr="000A2294" w:rsidRDefault="003A505B" w:rsidP="003A505B">
            <w:pPr>
              <w:jc w:val="both"/>
              <w:rPr>
                <w:sz w:val="20"/>
              </w:rPr>
            </w:pPr>
          </w:p>
        </w:tc>
        <w:tc>
          <w:tcPr>
            <w:tcW w:w="2330" w:type="pct"/>
          </w:tcPr>
          <w:p w:rsidR="003A505B" w:rsidRPr="000A2294" w:rsidRDefault="003A505B" w:rsidP="003A505B">
            <w:pPr>
              <w:jc w:val="both"/>
              <w:rPr>
                <w:sz w:val="20"/>
                <w:lang w:val="fr-CA"/>
              </w:rPr>
            </w:pPr>
            <w:r w:rsidRPr="000A2294">
              <w:rPr>
                <w:sz w:val="20"/>
                <w:lang w:val="fr-CA"/>
              </w:rPr>
              <w:t xml:space="preserve">Demande introductive d’instance du demandeur rejetée </w:t>
            </w:r>
          </w:p>
        </w:tc>
      </w:tr>
      <w:tr w:rsidR="003A505B" w:rsidRPr="00F935FF" w:rsidTr="00E95A6A">
        <w:tc>
          <w:tcPr>
            <w:tcW w:w="2427" w:type="pct"/>
            <w:gridSpan w:val="2"/>
          </w:tcPr>
          <w:p w:rsidR="003A505B" w:rsidRPr="000A2294" w:rsidRDefault="003A505B" w:rsidP="003A505B">
            <w:pPr>
              <w:jc w:val="both"/>
              <w:rPr>
                <w:sz w:val="20"/>
                <w:lang w:val="fr-CA"/>
              </w:rPr>
            </w:pPr>
            <w:r w:rsidRPr="000A2294">
              <w:rPr>
                <w:sz w:val="20"/>
                <w:lang w:val="fr-CA"/>
              </w:rPr>
              <w:t>Le 6 janvier 2022</w:t>
            </w:r>
          </w:p>
          <w:p w:rsidR="003A505B" w:rsidRPr="000A2294" w:rsidRDefault="003A505B" w:rsidP="003A505B">
            <w:pPr>
              <w:jc w:val="both"/>
              <w:rPr>
                <w:sz w:val="20"/>
                <w:lang w:val="fr-CA"/>
              </w:rPr>
            </w:pPr>
            <w:r w:rsidRPr="000A2294">
              <w:rPr>
                <w:sz w:val="20"/>
                <w:lang w:val="fr-CA"/>
              </w:rPr>
              <w:t>Cour d’appel du Québec (Montréal)</w:t>
            </w:r>
          </w:p>
          <w:p w:rsidR="003A505B" w:rsidRPr="000A2294" w:rsidRDefault="003A505B" w:rsidP="003A505B">
            <w:pPr>
              <w:jc w:val="both"/>
              <w:rPr>
                <w:sz w:val="20"/>
              </w:rPr>
            </w:pPr>
            <w:r w:rsidRPr="000A2294">
              <w:rPr>
                <w:sz w:val="20"/>
              </w:rPr>
              <w:t>(le juge Bachand)</w:t>
            </w:r>
          </w:p>
          <w:p w:rsidR="003A505B" w:rsidRPr="000A2294" w:rsidRDefault="00F935FF" w:rsidP="003A505B">
            <w:pPr>
              <w:jc w:val="both"/>
              <w:rPr>
                <w:sz w:val="20"/>
              </w:rPr>
            </w:pPr>
            <w:hyperlink r:id="rId84" w:history="1">
              <w:r w:rsidR="003A505B" w:rsidRPr="000A2294">
                <w:rPr>
                  <w:rStyle w:val="Hyperlink"/>
                  <w:sz w:val="20"/>
                </w:rPr>
                <w:t>2022 QCCA 6</w:t>
              </w:r>
            </w:hyperlink>
            <w:r w:rsidR="003A505B" w:rsidRPr="000A2294">
              <w:rPr>
                <w:sz w:val="20"/>
              </w:rPr>
              <w:t xml:space="preserve"> (No : 500-09-029840-212)</w:t>
            </w:r>
          </w:p>
          <w:p w:rsidR="003A505B" w:rsidRPr="000A2294" w:rsidRDefault="003A505B" w:rsidP="003A505B">
            <w:pPr>
              <w:jc w:val="both"/>
              <w:rPr>
                <w:sz w:val="20"/>
              </w:rPr>
            </w:pPr>
          </w:p>
        </w:tc>
        <w:tc>
          <w:tcPr>
            <w:tcW w:w="243" w:type="pct"/>
          </w:tcPr>
          <w:p w:rsidR="003A505B" w:rsidRPr="000A2294" w:rsidRDefault="003A505B" w:rsidP="003A505B">
            <w:pPr>
              <w:jc w:val="both"/>
              <w:rPr>
                <w:sz w:val="20"/>
              </w:rPr>
            </w:pPr>
          </w:p>
        </w:tc>
        <w:tc>
          <w:tcPr>
            <w:tcW w:w="2330" w:type="pct"/>
          </w:tcPr>
          <w:p w:rsidR="003A505B" w:rsidRPr="000A2294" w:rsidRDefault="003A505B" w:rsidP="003A505B">
            <w:pPr>
              <w:jc w:val="both"/>
              <w:rPr>
                <w:sz w:val="20"/>
                <w:lang w:val="fr-CA"/>
              </w:rPr>
            </w:pPr>
            <w:r w:rsidRPr="000A2294">
              <w:rPr>
                <w:sz w:val="20"/>
                <w:lang w:val="fr-CA"/>
              </w:rPr>
              <w:t xml:space="preserve">Requête pour permission d’appeler rejetée </w:t>
            </w:r>
          </w:p>
        </w:tc>
      </w:tr>
      <w:tr w:rsidR="003A505B" w:rsidRPr="00F935FF" w:rsidTr="00E95A6A">
        <w:tc>
          <w:tcPr>
            <w:tcW w:w="2427" w:type="pct"/>
            <w:gridSpan w:val="2"/>
          </w:tcPr>
          <w:p w:rsidR="003A505B" w:rsidRPr="000A2294" w:rsidRDefault="003A505B" w:rsidP="003A505B">
            <w:pPr>
              <w:jc w:val="both"/>
              <w:rPr>
                <w:sz w:val="20"/>
                <w:lang w:val="fr-CA"/>
              </w:rPr>
            </w:pPr>
            <w:r w:rsidRPr="000A2294">
              <w:rPr>
                <w:sz w:val="20"/>
                <w:lang w:val="fr-CA"/>
              </w:rPr>
              <w:t>Le 3 mai 2022</w:t>
            </w:r>
          </w:p>
          <w:p w:rsidR="003A505B" w:rsidRPr="000A2294" w:rsidRDefault="003A505B" w:rsidP="003A505B">
            <w:pPr>
              <w:jc w:val="both"/>
              <w:rPr>
                <w:sz w:val="20"/>
                <w:lang w:val="fr-CA"/>
              </w:rPr>
            </w:pPr>
            <w:r w:rsidRPr="000A2294">
              <w:rPr>
                <w:sz w:val="20"/>
                <w:lang w:val="fr-CA"/>
              </w:rPr>
              <w:t>Cour suprême du Canada</w:t>
            </w:r>
          </w:p>
          <w:p w:rsidR="003A505B" w:rsidRPr="000A2294" w:rsidRDefault="003A505B" w:rsidP="003A505B">
            <w:pPr>
              <w:jc w:val="both"/>
              <w:rPr>
                <w:sz w:val="20"/>
                <w:lang w:val="fr-CA"/>
              </w:rPr>
            </w:pPr>
          </w:p>
        </w:tc>
        <w:tc>
          <w:tcPr>
            <w:tcW w:w="243" w:type="pct"/>
          </w:tcPr>
          <w:p w:rsidR="003A505B" w:rsidRPr="000A2294" w:rsidRDefault="003A505B" w:rsidP="003A505B">
            <w:pPr>
              <w:jc w:val="both"/>
              <w:rPr>
                <w:sz w:val="20"/>
                <w:lang w:val="fr-CA"/>
              </w:rPr>
            </w:pPr>
          </w:p>
        </w:tc>
        <w:tc>
          <w:tcPr>
            <w:tcW w:w="2330" w:type="pct"/>
          </w:tcPr>
          <w:p w:rsidR="003A505B" w:rsidRPr="000A2294" w:rsidRDefault="003A505B" w:rsidP="003A505B">
            <w:pPr>
              <w:jc w:val="both"/>
              <w:rPr>
                <w:sz w:val="20"/>
                <w:lang w:val="fr-CA"/>
              </w:rPr>
            </w:pPr>
            <w:r w:rsidRPr="000A2294">
              <w:rPr>
                <w:sz w:val="20"/>
                <w:lang w:val="fr-CA"/>
              </w:rPr>
              <w:t xml:space="preserve">Demande d’autorisation d’appel et requête en prorogation de délai pour signifier et déposer </w:t>
            </w:r>
            <w:proofErr w:type="gramStart"/>
            <w:r w:rsidRPr="000A2294">
              <w:rPr>
                <w:sz w:val="20"/>
                <w:lang w:val="fr-CA"/>
              </w:rPr>
              <w:t>la demande déposées</w:t>
            </w:r>
            <w:proofErr w:type="gramEnd"/>
          </w:p>
        </w:tc>
      </w:tr>
    </w:tbl>
    <w:p w:rsidR="003A505B" w:rsidRPr="000A2294" w:rsidRDefault="003A505B" w:rsidP="003A505B">
      <w:pPr>
        <w:jc w:val="both"/>
        <w:rPr>
          <w:sz w:val="20"/>
          <w:lang w:val="fr-CA"/>
        </w:rPr>
      </w:pPr>
    </w:p>
    <w:p w:rsidR="00E028BD" w:rsidRPr="000A2294" w:rsidRDefault="00F935FF" w:rsidP="00660A98">
      <w:pPr>
        <w:widowControl w:val="0"/>
        <w:jc w:val="both"/>
        <w:rPr>
          <w:sz w:val="20"/>
          <w:lang w:val="fr-CA"/>
        </w:rPr>
      </w:pPr>
      <w:r>
        <w:rPr>
          <w:sz w:val="20"/>
        </w:rPr>
        <w:pict>
          <v:rect id="_x0000_i1048" style="width:2in;height:1pt" o:hrpct="0" o:hralign="center" o:hrstd="t" o:hrnoshade="t" o:hr="t" fillcolor="black [3213]" stroked="f"/>
        </w:pict>
      </w:r>
    </w:p>
    <w:p w:rsidR="00E028BD" w:rsidRPr="000A2294" w:rsidRDefault="00E028BD" w:rsidP="00660A9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60A98" w:rsidRPr="000A2294" w:rsidTr="00E95A6A">
        <w:tc>
          <w:tcPr>
            <w:tcW w:w="543" w:type="pct"/>
          </w:tcPr>
          <w:p w:rsidR="00660A98" w:rsidRPr="000A2294" w:rsidRDefault="00660A98" w:rsidP="00660A98">
            <w:pPr>
              <w:jc w:val="both"/>
              <w:rPr>
                <w:sz w:val="20"/>
                <w:lang w:val="en-CA"/>
              </w:rPr>
            </w:pPr>
            <w:r w:rsidRPr="000A2294">
              <w:rPr>
                <w:rStyle w:val="SCCFileNumberChar"/>
                <w:sz w:val="20"/>
                <w:szCs w:val="20"/>
              </w:rPr>
              <w:t>40385</w:t>
            </w:r>
          </w:p>
        </w:tc>
        <w:tc>
          <w:tcPr>
            <w:tcW w:w="4457" w:type="pct"/>
            <w:gridSpan w:val="3"/>
          </w:tcPr>
          <w:p w:rsidR="00660A98" w:rsidRPr="000A2294" w:rsidRDefault="00660A98" w:rsidP="00660A98">
            <w:pPr>
              <w:pStyle w:val="SCCLsocParty"/>
              <w:jc w:val="both"/>
              <w:rPr>
                <w:b/>
                <w:sz w:val="20"/>
                <w:szCs w:val="20"/>
              </w:rPr>
            </w:pPr>
            <w:r w:rsidRPr="000A2294">
              <w:rPr>
                <w:b/>
                <w:sz w:val="20"/>
                <w:szCs w:val="20"/>
              </w:rPr>
              <w:t>N. Turenne Brique et Pierre inc., Tomassini et Frères Limitée, Construction Marc Carrier inc., Patrick Dorais, Maçonnerie Magloire Gosselin inc. v. FTQ-Construction</w:t>
            </w:r>
          </w:p>
          <w:p w:rsidR="00660A98" w:rsidRPr="000A2294" w:rsidRDefault="00660A98" w:rsidP="00660A98">
            <w:pPr>
              <w:jc w:val="both"/>
              <w:rPr>
                <w:sz w:val="20"/>
                <w:lang w:val="en-CA"/>
              </w:rPr>
            </w:pPr>
            <w:r w:rsidRPr="000A2294">
              <w:rPr>
                <w:sz w:val="20"/>
                <w:lang w:val="en-CA"/>
              </w:rPr>
              <w:t>(Que.) (Civil) (By Leave)</w:t>
            </w:r>
          </w:p>
        </w:tc>
      </w:tr>
      <w:tr w:rsidR="00660A98" w:rsidRPr="000A2294" w:rsidTr="00E95A6A">
        <w:tc>
          <w:tcPr>
            <w:tcW w:w="5000" w:type="pct"/>
            <w:gridSpan w:val="4"/>
          </w:tcPr>
          <w:p w:rsidR="00660A98" w:rsidRPr="000A2294" w:rsidRDefault="00660A98" w:rsidP="00660A98">
            <w:pPr>
              <w:jc w:val="both"/>
              <w:rPr>
                <w:sz w:val="20"/>
                <w:lang w:val="en-CA"/>
              </w:rPr>
            </w:pPr>
            <w:proofErr w:type="gramStart"/>
            <w:r w:rsidRPr="000A2294">
              <w:rPr>
                <w:sz w:val="20"/>
                <w:lang w:val="en-CA"/>
              </w:rPr>
              <w:t>Civil procedure — Class actions — Compensatory damages — Recovery method — Proposed changes to construction workers’ working conditions leading to disruption of work on construction sites — Workers and employers bringing class action for damage caused by work stoppage — Superior Court finding that strike was illegal and that union had committed fault of omission — Court of Appeal intervening to order individual recovery of damages rather than collective recovery — Whether application for leave to appeal raises question of public importance.</w:t>
            </w:r>
            <w:proofErr w:type="gramEnd"/>
          </w:p>
        </w:tc>
      </w:tr>
      <w:tr w:rsidR="00660A98" w:rsidRPr="000A2294" w:rsidTr="00E95A6A">
        <w:tc>
          <w:tcPr>
            <w:tcW w:w="5000" w:type="pct"/>
            <w:gridSpan w:val="4"/>
          </w:tcPr>
          <w:p w:rsidR="00660A98" w:rsidRPr="000A2294" w:rsidRDefault="00660A98" w:rsidP="00660A98">
            <w:pPr>
              <w:jc w:val="both"/>
              <w:rPr>
                <w:sz w:val="20"/>
                <w:lang w:val="en-CA"/>
              </w:rPr>
            </w:pPr>
          </w:p>
          <w:p w:rsidR="00660A98" w:rsidRPr="000A2294" w:rsidRDefault="00660A98" w:rsidP="00660A98">
            <w:pPr>
              <w:jc w:val="both"/>
              <w:rPr>
                <w:sz w:val="20"/>
                <w:lang w:val="en-CA"/>
              </w:rPr>
            </w:pPr>
            <w:r w:rsidRPr="000A2294">
              <w:rPr>
                <w:sz w:val="20"/>
                <w:lang w:val="en-CA"/>
              </w:rPr>
              <w:t xml:space="preserve">A class action was brought against the respondent, FTQ-Construction (“FTQ”), the largest Quebec union federation of workers in the construction industry, to determine whether it was liable for damage caused to a series of workers and employers (“applicants”) </w:t>
            </w:r>
            <w:proofErr w:type="gramStart"/>
            <w:r w:rsidRPr="000A2294">
              <w:rPr>
                <w:sz w:val="20"/>
                <w:lang w:val="en-CA"/>
              </w:rPr>
              <w:t>as a result</w:t>
            </w:r>
            <w:proofErr w:type="gramEnd"/>
            <w:r w:rsidRPr="000A2294">
              <w:rPr>
                <w:sz w:val="20"/>
                <w:lang w:val="en-CA"/>
              </w:rPr>
              <w:t xml:space="preserve"> of the disruption and closure of construction sites in October 2011. The disruption followed the introduction of a provincial bill whose purpose was to change the working conditions of construction workers. The FTQ launched a campaign to oppose the bill after it </w:t>
            </w:r>
            <w:proofErr w:type="gramStart"/>
            <w:r w:rsidRPr="000A2294">
              <w:rPr>
                <w:sz w:val="20"/>
                <w:lang w:val="en-CA"/>
              </w:rPr>
              <w:t>was introduced</w:t>
            </w:r>
            <w:proofErr w:type="gramEnd"/>
            <w:r w:rsidRPr="000A2294">
              <w:rPr>
                <w:sz w:val="20"/>
                <w:lang w:val="en-CA"/>
              </w:rPr>
              <w:t xml:space="preserve">. The trial judge found that the strike by the </w:t>
            </w:r>
            <w:proofErr w:type="gramStart"/>
            <w:r w:rsidRPr="000A2294">
              <w:rPr>
                <w:sz w:val="20"/>
                <w:lang w:val="en-CA"/>
              </w:rPr>
              <w:t>workers</w:t>
            </w:r>
            <w:proofErr w:type="gramEnd"/>
            <w:r w:rsidRPr="000A2294">
              <w:rPr>
                <w:sz w:val="20"/>
                <w:lang w:val="en-CA"/>
              </w:rPr>
              <w:t xml:space="preserve"> who had left the construction sites, thereby causing their closure, was illegal. He also found that the FTQ was at fault for failing to take the necessary steps to end the illegal strike as quickly as possible. The Court of Appeal upheld those findings, but it struck out the amount awarded and ordered the individual recovery of compensatory damages by the workers. In its view, the expert evidence did not allow a sufficiently precise determination of the total claim amount. </w:t>
            </w:r>
          </w:p>
        </w:tc>
      </w:tr>
      <w:tr w:rsidR="00660A98" w:rsidRPr="000A2294" w:rsidTr="00E95A6A">
        <w:tc>
          <w:tcPr>
            <w:tcW w:w="5000" w:type="pct"/>
            <w:gridSpan w:val="4"/>
          </w:tcPr>
          <w:p w:rsidR="00660A98" w:rsidRPr="000A2294" w:rsidRDefault="00660A98" w:rsidP="00660A98">
            <w:pPr>
              <w:jc w:val="both"/>
              <w:rPr>
                <w:sz w:val="20"/>
                <w:lang w:val="en-CA"/>
              </w:rPr>
            </w:pPr>
          </w:p>
        </w:tc>
      </w:tr>
      <w:tr w:rsidR="00660A98" w:rsidRPr="000A2294" w:rsidTr="00E95A6A">
        <w:tc>
          <w:tcPr>
            <w:tcW w:w="2427" w:type="pct"/>
            <w:gridSpan w:val="2"/>
          </w:tcPr>
          <w:p w:rsidR="00660A98" w:rsidRPr="000A2294" w:rsidRDefault="00660A98" w:rsidP="00660A98">
            <w:pPr>
              <w:jc w:val="both"/>
              <w:rPr>
                <w:sz w:val="20"/>
                <w:lang w:val="en-CA"/>
              </w:rPr>
            </w:pPr>
            <w:r w:rsidRPr="000A2294">
              <w:rPr>
                <w:sz w:val="20"/>
                <w:lang w:val="en-CA"/>
              </w:rPr>
              <w:t>June 11, 2020</w:t>
            </w:r>
          </w:p>
          <w:p w:rsidR="00660A98" w:rsidRPr="000A2294" w:rsidRDefault="00660A98" w:rsidP="00660A98">
            <w:pPr>
              <w:jc w:val="both"/>
              <w:rPr>
                <w:sz w:val="20"/>
                <w:lang w:val="en-CA"/>
              </w:rPr>
            </w:pPr>
            <w:r w:rsidRPr="000A2294">
              <w:rPr>
                <w:sz w:val="20"/>
                <w:lang w:val="en-CA"/>
              </w:rPr>
              <w:t>Quebec Superior Court</w:t>
            </w:r>
          </w:p>
          <w:p w:rsidR="00660A98" w:rsidRPr="000A2294" w:rsidRDefault="00660A98" w:rsidP="00660A98">
            <w:pPr>
              <w:jc w:val="both"/>
              <w:rPr>
                <w:sz w:val="20"/>
                <w:lang w:val="en-CA"/>
              </w:rPr>
            </w:pPr>
            <w:r w:rsidRPr="000A2294">
              <w:rPr>
                <w:sz w:val="20"/>
                <w:lang w:val="en-CA"/>
              </w:rPr>
              <w:t>(Granosik J.)</w:t>
            </w:r>
          </w:p>
          <w:p w:rsidR="00660A98" w:rsidRPr="000A2294" w:rsidRDefault="00F935FF" w:rsidP="00660A98">
            <w:pPr>
              <w:jc w:val="both"/>
              <w:rPr>
                <w:sz w:val="20"/>
                <w:lang w:val="en-CA"/>
              </w:rPr>
            </w:pPr>
            <w:hyperlink r:id="rId85" w:history="1">
              <w:r w:rsidR="00660A98" w:rsidRPr="000A2294">
                <w:rPr>
                  <w:rStyle w:val="Hyperlink"/>
                  <w:sz w:val="20"/>
                  <w:lang w:val="en-CA"/>
                </w:rPr>
                <w:t>2020 QCCS 1794</w:t>
              </w:r>
            </w:hyperlink>
          </w:p>
          <w:p w:rsidR="00660A98" w:rsidRPr="000A2294" w:rsidRDefault="00660A98" w:rsidP="00660A98">
            <w:pPr>
              <w:jc w:val="both"/>
              <w:rPr>
                <w:sz w:val="20"/>
                <w:lang w:val="en-CA"/>
              </w:rPr>
            </w:pPr>
          </w:p>
        </w:tc>
        <w:tc>
          <w:tcPr>
            <w:tcW w:w="243" w:type="pct"/>
          </w:tcPr>
          <w:p w:rsidR="00660A98" w:rsidRPr="000A2294" w:rsidRDefault="00660A98" w:rsidP="00660A98">
            <w:pPr>
              <w:jc w:val="both"/>
              <w:rPr>
                <w:sz w:val="20"/>
                <w:lang w:val="en-CA"/>
              </w:rPr>
            </w:pPr>
          </w:p>
        </w:tc>
        <w:tc>
          <w:tcPr>
            <w:tcW w:w="2330" w:type="pct"/>
          </w:tcPr>
          <w:p w:rsidR="00660A98" w:rsidRPr="000A2294" w:rsidRDefault="00660A98" w:rsidP="00660A98">
            <w:pPr>
              <w:jc w:val="both"/>
              <w:rPr>
                <w:sz w:val="20"/>
                <w:lang w:val="en-CA"/>
              </w:rPr>
            </w:pPr>
            <w:r w:rsidRPr="000A2294">
              <w:rPr>
                <w:sz w:val="20"/>
                <w:lang w:val="en-CA"/>
              </w:rPr>
              <w:t xml:space="preserve">Class action allowed </w:t>
            </w:r>
          </w:p>
        </w:tc>
      </w:tr>
      <w:tr w:rsidR="00660A98" w:rsidRPr="000A2294" w:rsidTr="00E95A6A">
        <w:tc>
          <w:tcPr>
            <w:tcW w:w="2427" w:type="pct"/>
            <w:gridSpan w:val="2"/>
          </w:tcPr>
          <w:p w:rsidR="00660A98" w:rsidRPr="000A2294" w:rsidRDefault="00660A98" w:rsidP="00660A98">
            <w:pPr>
              <w:jc w:val="both"/>
              <w:rPr>
                <w:sz w:val="20"/>
                <w:lang w:val="en-CA"/>
              </w:rPr>
            </w:pPr>
            <w:r w:rsidRPr="000A2294">
              <w:rPr>
                <w:sz w:val="20"/>
                <w:lang w:val="en-CA"/>
              </w:rPr>
              <w:t>July 13, 2022</w:t>
            </w:r>
          </w:p>
          <w:p w:rsidR="00660A98" w:rsidRPr="000A2294" w:rsidRDefault="00660A98" w:rsidP="00660A98">
            <w:pPr>
              <w:jc w:val="both"/>
              <w:rPr>
                <w:sz w:val="20"/>
                <w:lang w:val="en-CA"/>
              </w:rPr>
            </w:pPr>
            <w:r w:rsidRPr="000A2294">
              <w:rPr>
                <w:sz w:val="20"/>
                <w:lang w:val="en-CA"/>
              </w:rPr>
              <w:t>Quebec Court of Appeal (Montréal)</w:t>
            </w:r>
          </w:p>
          <w:p w:rsidR="00660A98" w:rsidRPr="000A2294" w:rsidRDefault="00660A98" w:rsidP="00660A98">
            <w:pPr>
              <w:jc w:val="both"/>
              <w:rPr>
                <w:sz w:val="20"/>
                <w:lang w:val="en-CA"/>
              </w:rPr>
            </w:pPr>
            <w:r w:rsidRPr="000A2294">
              <w:rPr>
                <w:sz w:val="20"/>
                <w:lang w:val="en-CA"/>
              </w:rPr>
              <w:t>(Thibault, Sansfaçon and Baudouin JJ.A.)</w:t>
            </w:r>
          </w:p>
          <w:p w:rsidR="00660A98" w:rsidRPr="000A2294" w:rsidRDefault="00660A98" w:rsidP="00660A98">
            <w:pPr>
              <w:jc w:val="both"/>
              <w:rPr>
                <w:sz w:val="20"/>
                <w:lang w:val="en-CA"/>
              </w:rPr>
            </w:pPr>
            <w:r w:rsidRPr="000A2294">
              <w:rPr>
                <w:sz w:val="20"/>
                <w:lang w:val="en-CA"/>
              </w:rPr>
              <w:t>No. 500-09-029148-202</w:t>
            </w:r>
          </w:p>
          <w:p w:rsidR="00660A98" w:rsidRPr="000A2294" w:rsidRDefault="00F935FF" w:rsidP="00660A98">
            <w:pPr>
              <w:jc w:val="both"/>
              <w:rPr>
                <w:sz w:val="20"/>
                <w:lang w:val="en-CA"/>
              </w:rPr>
            </w:pPr>
            <w:hyperlink r:id="rId86" w:anchor="_ftn1" w:history="1">
              <w:r w:rsidR="00660A98" w:rsidRPr="000A2294">
                <w:rPr>
                  <w:rStyle w:val="Hyperlink"/>
                  <w:sz w:val="20"/>
                  <w:lang w:val="en-CA"/>
                </w:rPr>
                <w:t>2022 QCCA 1014</w:t>
              </w:r>
            </w:hyperlink>
          </w:p>
          <w:p w:rsidR="00660A98" w:rsidRPr="000A2294" w:rsidRDefault="00660A98" w:rsidP="00660A98">
            <w:pPr>
              <w:jc w:val="both"/>
              <w:rPr>
                <w:sz w:val="20"/>
                <w:lang w:val="en-CA"/>
              </w:rPr>
            </w:pPr>
          </w:p>
        </w:tc>
        <w:tc>
          <w:tcPr>
            <w:tcW w:w="243" w:type="pct"/>
          </w:tcPr>
          <w:p w:rsidR="00660A98" w:rsidRPr="000A2294" w:rsidRDefault="00660A98" w:rsidP="00660A98">
            <w:pPr>
              <w:jc w:val="both"/>
              <w:rPr>
                <w:sz w:val="20"/>
                <w:lang w:val="en-CA"/>
              </w:rPr>
            </w:pPr>
          </w:p>
        </w:tc>
        <w:tc>
          <w:tcPr>
            <w:tcW w:w="2330" w:type="pct"/>
          </w:tcPr>
          <w:p w:rsidR="00660A98" w:rsidRPr="000A2294" w:rsidRDefault="00660A98" w:rsidP="00660A98">
            <w:pPr>
              <w:jc w:val="both"/>
              <w:rPr>
                <w:sz w:val="20"/>
                <w:lang w:val="en-CA"/>
              </w:rPr>
            </w:pPr>
            <w:r w:rsidRPr="000A2294">
              <w:rPr>
                <w:sz w:val="20"/>
                <w:lang w:val="en-CA"/>
              </w:rPr>
              <w:t>Principal appeal allowed in part</w:t>
            </w:r>
          </w:p>
          <w:p w:rsidR="00660A98" w:rsidRPr="000A2294" w:rsidRDefault="00660A98" w:rsidP="00660A98">
            <w:pPr>
              <w:jc w:val="both"/>
              <w:rPr>
                <w:sz w:val="20"/>
                <w:lang w:val="en-CA"/>
              </w:rPr>
            </w:pPr>
          </w:p>
        </w:tc>
      </w:tr>
      <w:tr w:rsidR="00660A98" w:rsidRPr="000A2294" w:rsidTr="00E95A6A">
        <w:tc>
          <w:tcPr>
            <w:tcW w:w="2427" w:type="pct"/>
            <w:gridSpan w:val="2"/>
          </w:tcPr>
          <w:p w:rsidR="00660A98" w:rsidRPr="000A2294" w:rsidRDefault="00660A98" w:rsidP="00660A98">
            <w:pPr>
              <w:jc w:val="both"/>
              <w:rPr>
                <w:sz w:val="20"/>
                <w:lang w:val="en-CA"/>
              </w:rPr>
            </w:pPr>
            <w:r w:rsidRPr="000A2294">
              <w:rPr>
                <w:sz w:val="20"/>
                <w:lang w:val="en-CA"/>
              </w:rPr>
              <w:t>September 29, 2022</w:t>
            </w:r>
          </w:p>
          <w:p w:rsidR="00660A98" w:rsidRPr="000A2294" w:rsidRDefault="00660A98" w:rsidP="00660A98">
            <w:pPr>
              <w:jc w:val="both"/>
              <w:rPr>
                <w:sz w:val="20"/>
                <w:lang w:val="en-CA"/>
              </w:rPr>
            </w:pPr>
            <w:r w:rsidRPr="000A2294">
              <w:rPr>
                <w:sz w:val="20"/>
                <w:lang w:val="en-CA"/>
              </w:rPr>
              <w:t>Supreme Court of Canada</w:t>
            </w:r>
          </w:p>
        </w:tc>
        <w:tc>
          <w:tcPr>
            <w:tcW w:w="243" w:type="pct"/>
          </w:tcPr>
          <w:p w:rsidR="00660A98" w:rsidRPr="000A2294" w:rsidRDefault="00660A98" w:rsidP="00660A98">
            <w:pPr>
              <w:jc w:val="both"/>
              <w:rPr>
                <w:sz w:val="20"/>
                <w:lang w:val="en-CA"/>
              </w:rPr>
            </w:pPr>
          </w:p>
        </w:tc>
        <w:tc>
          <w:tcPr>
            <w:tcW w:w="2330" w:type="pct"/>
          </w:tcPr>
          <w:p w:rsidR="00660A98" w:rsidRPr="000A2294" w:rsidRDefault="00660A98" w:rsidP="00660A98">
            <w:pPr>
              <w:jc w:val="both"/>
              <w:rPr>
                <w:sz w:val="20"/>
                <w:lang w:val="en-CA"/>
              </w:rPr>
            </w:pPr>
            <w:r w:rsidRPr="000A2294">
              <w:rPr>
                <w:sz w:val="20"/>
                <w:lang w:val="en-CA"/>
              </w:rPr>
              <w:t>Application for leave to appeal filed</w:t>
            </w:r>
          </w:p>
          <w:p w:rsidR="00660A98" w:rsidRPr="000A2294" w:rsidRDefault="00660A98" w:rsidP="00660A98">
            <w:pPr>
              <w:jc w:val="both"/>
              <w:rPr>
                <w:sz w:val="20"/>
                <w:lang w:val="en-CA"/>
              </w:rPr>
            </w:pPr>
          </w:p>
        </w:tc>
      </w:tr>
    </w:tbl>
    <w:p w:rsidR="00660A98" w:rsidRPr="000A2294" w:rsidRDefault="00660A98" w:rsidP="00660A98">
      <w:pPr>
        <w:jc w:val="both"/>
        <w:rPr>
          <w:sz w:val="20"/>
          <w:lang w:val="en-CA"/>
        </w:rPr>
      </w:pPr>
    </w:p>
    <w:p w:rsidR="00660A98" w:rsidRPr="000A2294" w:rsidRDefault="00F935FF" w:rsidP="00660A98">
      <w:pPr>
        <w:jc w:val="both"/>
        <w:rPr>
          <w:sz w:val="20"/>
          <w:lang w:val="en-CA"/>
        </w:rPr>
      </w:pPr>
      <w:r>
        <w:rPr>
          <w:sz w:val="20"/>
        </w:rPr>
        <w:pict>
          <v:rect id="_x0000_i1049" style="width:2in;height:1pt" o:hrpct="0" o:hralign="center" o:hrstd="t" o:hrnoshade="t" o:hr="t" fillcolor="black [3213]" stroked="f"/>
        </w:pict>
      </w:r>
    </w:p>
    <w:p w:rsidR="00660A98" w:rsidRPr="000A2294" w:rsidRDefault="00660A98" w:rsidP="00660A9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60A98" w:rsidRPr="000A2294" w:rsidTr="00E95A6A">
        <w:tc>
          <w:tcPr>
            <w:tcW w:w="543" w:type="pct"/>
          </w:tcPr>
          <w:p w:rsidR="00660A98" w:rsidRPr="000A2294" w:rsidRDefault="00660A98" w:rsidP="00660A98">
            <w:pPr>
              <w:jc w:val="both"/>
              <w:rPr>
                <w:sz w:val="20"/>
              </w:rPr>
            </w:pPr>
            <w:r w:rsidRPr="000A2294">
              <w:rPr>
                <w:rStyle w:val="SCCFileNumberChar"/>
                <w:sz w:val="20"/>
                <w:szCs w:val="20"/>
              </w:rPr>
              <w:t>40385</w:t>
            </w:r>
          </w:p>
        </w:tc>
        <w:tc>
          <w:tcPr>
            <w:tcW w:w="4457" w:type="pct"/>
            <w:gridSpan w:val="3"/>
          </w:tcPr>
          <w:p w:rsidR="00660A98" w:rsidRPr="000A2294" w:rsidRDefault="00660A98" w:rsidP="00660A98">
            <w:pPr>
              <w:pStyle w:val="SCCLsocParty"/>
              <w:jc w:val="both"/>
              <w:rPr>
                <w:b/>
                <w:sz w:val="20"/>
                <w:szCs w:val="20"/>
              </w:rPr>
            </w:pPr>
            <w:r w:rsidRPr="000A2294">
              <w:rPr>
                <w:b/>
                <w:sz w:val="20"/>
                <w:szCs w:val="20"/>
              </w:rPr>
              <w:t>N. Turenne Brique et Pierre inc., Tomassini et Frères Limitée, Construction Marc Carrier inc., Patrick Dorais, Maçonnerie Magloire Gosselin inc. c. FTQ-Construction</w:t>
            </w:r>
          </w:p>
          <w:p w:rsidR="00660A98" w:rsidRPr="000A2294" w:rsidRDefault="00660A98" w:rsidP="00660A98">
            <w:pPr>
              <w:jc w:val="both"/>
              <w:rPr>
                <w:sz w:val="20"/>
              </w:rPr>
            </w:pPr>
            <w:r w:rsidRPr="000A2294">
              <w:rPr>
                <w:sz w:val="20"/>
              </w:rPr>
              <w:t>(Qc) (Civile) (Autorisation)</w:t>
            </w:r>
          </w:p>
        </w:tc>
      </w:tr>
      <w:tr w:rsidR="00660A98" w:rsidRPr="00F935FF" w:rsidTr="00E95A6A">
        <w:tc>
          <w:tcPr>
            <w:tcW w:w="5000" w:type="pct"/>
            <w:gridSpan w:val="4"/>
          </w:tcPr>
          <w:p w:rsidR="00660A98" w:rsidRPr="000A2294" w:rsidRDefault="00660A98" w:rsidP="00660A98">
            <w:pPr>
              <w:jc w:val="both"/>
              <w:rPr>
                <w:sz w:val="20"/>
                <w:lang w:val="fr-CA"/>
              </w:rPr>
            </w:pPr>
            <w:r w:rsidRPr="000A2294">
              <w:rPr>
                <w:sz w:val="20"/>
                <w:lang w:val="fr-CA"/>
              </w:rPr>
              <w:t>Procédure civile — Recours collectifs — Dommages compensatoires — Méthode de recouvrement — Projet de changements aux conditions de travail des travailleurs de la construction menant à perturbations de travail sur chantiers de construction — Travailleurs et employeurs intentant recours collectif pour dommages causés par cessation de travail — Cour supérieure concluant à grève illégale et faute d’omission de la part du syndicat — Cour d’appel intervenant pour ordonner le recouvrement individuel des dommages par opposition à recouvrement collectif — La demande d’autorisation d’appel soulève-t-elle une question d’importance pour le public?</w:t>
            </w:r>
          </w:p>
        </w:tc>
      </w:tr>
      <w:tr w:rsidR="00660A98" w:rsidRPr="00F935FF" w:rsidTr="00E95A6A">
        <w:tc>
          <w:tcPr>
            <w:tcW w:w="5000" w:type="pct"/>
            <w:gridSpan w:val="4"/>
          </w:tcPr>
          <w:p w:rsidR="00660A98" w:rsidRPr="000A2294" w:rsidRDefault="00660A98" w:rsidP="00660A98">
            <w:pPr>
              <w:jc w:val="both"/>
              <w:rPr>
                <w:sz w:val="20"/>
                <w:lang w:val="fr-CA"/>
              </w:rPr>
            </w:pPr>
          </w:p>
          <w:p w:rsidR="00660A98" w:rsidRPr="000A2294" w:rsidRDefault="00660A98" w:rsidP="00660A98">
            <w:pPr>
              <w:jc w:val="both"/>
              <w:rPr>
                <w:sz w:val="20"/>
                <w:lang w:val="fr-CA"/>
              </w:rPr>
            </w:pPr>
            <w:r w:rsidRPr="000A2294">
              <w:rPr>
                <w:sz w:val="20"/>
                <w:lang w:val="fr-CA"/>
              </w:rPr>
              <w:t xml:space="preserve">Une action collective a été intentée contre l’intimée, FTQ-Construction (« FTQ »), le plus important regroupement syndical québécois de travailleurs de l’industrie de la construction, pour déterminer si elle était responsable des dommages causés à une série de travailleurs et d’employeurs (les « demandeurs ») à la suite des perturbations et des fermetures de chantiers de construction survenues en octobre 2011. Ces perturbations faisaient suite au dépôt d’un projet de loi provincial ayant pour objet de modifier les conditions de travail des travailleurs de la construction. Une campagne d’opposition au projet de loi a été lancée par FTQ suivant le dépôt du projet de loi. Le juge de première instance a conclu à la grève illégale des travailleurs qui ont quitté les chantiers de construction, provoquant ainsi leur fermeture. Il a aussi conclu à la faute de FTQ en raison de son omission de prendre des mesures nécessaires pour faire cesser cette grève illégale le plus rapidement possible. La Cour d’appel a maintenu ces conclusions, mais a biffé le montant condamné et a ordonné le recouvrement individuel des dommages compensatoires des travailleurs. Selon la cour, la preuve d’expert ne permettait pas d’établir de façon suffisamment précise le montant total des réclamations. </w:t>
            </w:r>
          </w:p>
        </w:tc>
      </w:tr>
      <w:tr w:rsidR="00660A98" w:rsidRPr="00F935FF" w:rsidTr="00E95A6A">
        <w:tc>
          <w:tcPr>
            <w:tcW w:w="5000" w:type="pct"/>
            <w:gridSpan w:val="4"/>
          </w:tcPr>
          <w:p w:rsidR="00660A98" w:rsidRPr="000A2294" w:rsidRDefault="00660A98" w:rsidP="00660A98">
            <w:pPr>
              <w:jc w:val="both"/>
              <w:rPr>
                <w:sz w:val="20"/>
                <w:lang w:val="fr-CA"/>
              </w:rPr>
            </w:pPr>
          </w:p>
        </w:tc>
      </w:tr>
      <w:tr w:rsidR="00660A98" w:rsidRPr="000A2294" w:rsidTr="00E95A6A">
        <w:tc>
          <w:tcPr>
            <w:tcW w:w="2427" w:type="pct"/>
            <w:gridSpan w:val="2"/>
          </w:tcPr>
          <w:p w:rsidR="00660A98" w:rsidRPr="000A2294" w:rsidRDefault="00660A98" w:rsidP="00660A98">
            <w:pPr>
              <w:jc w:val="both"/>
              <w:rPr>
                <w:sz w:val="20"/>
                <w:lang w:val="fr-CA"/>
              </w:rPr>
            </w:pPr>
            <w:r w:rsidRPr="000A2294">
              <w:rPr>
                <w:sz w:val="20"/>
                <w:lang w:val="fr-CA"/>
              </w:rPr>
              <w:t>Le 11 juin 2020</w:t>
            </w:r>
          </w:p>
          <w:p w:rsidR="00660A98" w:rsidRPr="000A2294" w:rsidRDefault="00660A98" w:rsidP="00660A98">
            <w:pPr>
              <w:jc w:val="both"/>
              <w:rPr>
                <w:sz w:val="20"/>
                <w:lang w:val="fr-CA"/>
              </w:rPr>
            </w:pPr>
            <w:r w:rsidRPr="000A2294">
              <w:rPr>
                <w:sz w:val="20"/>
                <w:lang w:val="fr-CA"/>
              </w:rPr>
              <w:t>Cour supérieure du Québec</w:t>
            </w:r>
          </w:p>
          <w:p w:rsidR="00660A98" w:rsidRPr="000A2294" w:rsidRDefault="00660A98" w:rsidP="00660A98">
            <w:pPr>
              <w:jc w:val="both"/>
              <w:rPr>
                <w:sz w:val="20"/>
              </w:rPr>
            </w:pPr>
            <w:r w:rsidRPr="000A2294">
              <w:rPr>
                <w:sz w:val="20"/>
              </w:rPr>
              <w:t>(le juge Granosik)</w:t>
            </w:r>
          </w:p>
          <w:p w:rsidR="00660A98" w:rsidRPr="000A2294" w:rsidRDefault="00F935FF" w:rsidP="00660A98">
            <w:pPr>
              <w:jc w:val="both"/>
              <w:rPr>
                <w:sz w:val="20"/>
              </w:rPr>
            </w:pPr>
            <w:hyperlink r:id="rId87" w:history="1">
              <w:r w:rsidR="00660A98" w:rsidRPr="000A2294">
                <w:rPr>
                  <w:rStyle w:val="Hyperlink"/>
                  <w:sz w:val="20"/>
                </w:rPr>
                <w:t>2020 QCCS 1794</w:t>
              </w:r>
            </w:hyperlink>
          </w:p>
          <w:p w:rsidR="00660A98" w:rsidRPr="000A2294" w:rsidRDefault="00660A98" w:rsidP="00660A98">
            <w:pPr>
              <w:jc w:val="both"/>
              <w:rPr>
                <w:sz w:val="20"/>
              </w:rPr>
            </w:pPr>
          </w:p>
        </w:tc>
        <w:tc>
          <w:tcPr>
            <w:tcW w:w="243" w:type="pct"/>
          </w:tcPr>
          <w:p w:rsidR="00660A98" w:rsidRPr="000A2294" w:rsidRDefault="00660A98" w:rsidP="00660A98">
            <w:pPr>
              <w:jc w:val="both"/>
              <w:rPr>
                <w:sz w:val="20"/>
              </w:rPr>
            </w:pPr>
          </w:p>
        </w:tc>
        <w:tc>
          <w:tcPr>
            <w:tcW w:w="2330" w:type="pct"/>
          </w:tcPr>
          <w:p w:rsidR="00660A98" w:rsidRPr="000A2294" w:rsidRDefault="00660A98" w:rsidP="00660A98">
            <w:pPr>
              <w:jc w:val="both"/>
              <w:rPr>
                <w:sz w:val="20"/>
              </w:rPr>
            </w:pPr>
            <w:r w:rsidRPr="000A2294">
              <w:rPr>
                <w:sz w:val="20"/>
              </w:rPr>
              <w:t xml:space="preserve">Action collective accueillie </w:t>
            </w:r>
          </w:p>
        </w:tc>
      </w:tr>
      <w:tr w:rsidR="00660A98" w:rsidRPr="000A2294" w:rsidTr="00E95A6A">
        <w:tc>
          <w:tcPr>
            <w:tcW w:w="2427" w:type="pct"/>
            <w:gridSpan w:val="2"/>
          </w:tcPr>
          <w:p w:rsidR="00660A98" w:rsidRPr="000A2294" w:rsidRDefault="00660A98" w:rsidP="00660A98">
            <w:pPr>
              <w:jc w:val="both"/>
              <w:rPr>
                <w:sz w:val="20"/>
                <w:lang w:val="fr-CA"/>
              </w:rPr>
            </w:pPr>
            <w:r w:rsidRPr="000A2294">
              <w:rPr>
                <w:sz w:val="20"/>
                <w:lang w:val="fr-CA"/>
              </w:rPr>
              <w:t>Le 13 juillet 2022</w:t>
            </w:r>
          </w:p>
          <w:p w:rsidR="00660A98" w:rsidRPr="000A2294" w:rsidRDefault="00660A98" w:rsidP="00660A98">
            <w:pPr>
              <w:jc w:val="both"/>
              <w:rPr>
                <w:sz w:val="20"/>
                <w:lang w:val="fr-CA"/>
              </w:rPr>
            </w:pPr>
            <w:r w:rsidRPr="000A2294">
              <w:rPr>
                <w:sz w:val="20"/>
                <w:lang w:val="fr-CA"/>
              </w:rPr>
              <w:t>Cour d’appel du Québec (Montréal)</w:t>
            </w:r>
          </w:p>
          <w:p w:rsidR="00660A98" w:rsidRPr="000A2294" w:rsidRDefault="00660A98" w:rsidP="00660A98">
            <w:pPr>
              <w:jc w:val="both"/>
              <w:rPr>
                <w:sz w:val="20"/>
                <w:lang w:val="fr-CA"/>
              </w:rPr>
            </w:pPr>
            <w:r w:rsidRPr="000A2294">
              <w:rPr>
                <w:sz w:val="20"/>
                <w:lang w:val="fr-CA"/>
              </w:rPr>
              <w:t>(les juges Thibault, Sansfaçon et Baudouin)</w:t>
            </w:r>
          </w:p>
          <w:p w:rsidR="00660A98" w:rsidRPr="000A2294" w:rsidRDefault="00660A98" w:rsidP="00660A98">
            <w:pPr>
              <w:jc w:val="both"/>
              <w:rPr>
                <w:sz w:val="20"/>
              </w:rPr>
            </w:pPr>
            <w:r w:rsidRPr="000A2294">
              <w:rPr>
                <w:sz w:val="20"/>
              </w:rPr>
              <w:t>No. 500-09-029148-202</w:t>
            </w:r>
          </w:p>
          <w:p w:rsidR="00660A98" w:rsidRPr="000A2294" w:rsidRDefault="00F935FF" w:rsidP="00660A98">
            <w:pPr>
              <w:jc w:val="both"/>
              <w:rPr>
                <w:sz w:val="20"/>
              </w:rPr>
            </w:pPr>
            <w:hyperlink r:id="rId88" w:anchor="_ftn1" w:history="1">
              <w:r w:rsidR="00660A98" w:rsidRPr="000A2294">
                <w:rPr>
                  <w:rStyle w:val="Hyperlink"/>
                  <w:sz w:val="20"/>
                </w:rPr>
                <w:t>2022 QCCA 1014</w:t>
              </w:r>
            </w:hyperlink>
          </w:p>
          <w:p w:rsidR="00660A98" w:rsidRPr="000A2294" w:rsidRDefault="00660A98" w:rsidP="00660A98">
            <w:pPr>
              <w:jc w:val="both"/>
              <w:rPr>
                <w:sz w:val="20"/>
              </w:rPr>
            </w:pPr>
          </w:p>
        </w:tc>
        <w:tc>
          <w:tcPr>
            <w:tcW w:w="243" w:type="pct"/>
          </w:tcPr>
          <w:p w:rsidR="00660A98" w:rsidRPr="000A2294" w:rsidRDefault="00660A98" w:rsidP="00660A98">
            <w:pPr>
              <w:jc w:val="both"/>
              <w:rPr>
                <w:sz w:val="20"/>
              </w:rPr>
            </w:pPr>
          </w:p>
        </w:tc>
        <w:tc>
          <w:tcPr>
            <w:tcW w:w="2330" w:type="pct"/>
          </w:tcPr>
          <w:p w:rsidR="00660A98" w:rsidRPr="000A2294" w:rsidRDefault="00660A98" w:rsidP="00660A98">
            <w:pPr>
              <w:jc w:val="both"/>
              <w:rPr>
                <w:sz w:val="20"/>
              </w:rPr>
            </w:pPr>
            <w:r w:rsidRPr="000A2294">
              <w:rPr>
                <w:sz w:val="20"/>
              </w:rPr>
              <w:t>Appel principal accueilli en partie</w:t>
            </w:r>
          </w:p>
          <w:p w:rsidR="00660A98" w:rsidRPr="000A2294" w:rsidRDefault="00660A98" w:rsidP="00660A98">
            <w:pPr>
              <w:jc w:val="both"/>
              <w:rPr>
                <w:sz w:val="20"/>
              </w:rPr>
            </w:pPr>
          </w:p>
        </w:tc>
      </w:tr>
      <w:tr w:rsidR="00660A98" w:rsidRPr="000A2294" w:rsidTr="00E95A6A">
        <w:tc>
          <w:tcPr>
            <w:tcW w:w="2427" w:type="pct"/>
            <w:gridSpan w:val="2"/>
          </w:tcPr>
          <w:p w:rsidR="00660A98" w:rsidRPr="000A2294" w:rsidRDefault="00660A98" w:rsidP="00660A98">
            <w:pPr>
              <w:jc w:val="both"/>
              <w:rPr>
                <w:sz w:val="20"/>
                <w:lang w:val="fr-CA"/>
              </w:rPr>
            </w:pPr>
            <w:r w:rsidRPr="000A2294">
              <w:rPr>
                <w:sz w:val="20"/>
                <w:lang w:val="fr-CA"/>
              </w:rPr>
              <w:t>Le 29 septembre 2022</w:t>
            </w:r>
          </w:p>
          <w:p w:rsidR="00660A98" w:rsidRPr="000A2294" w:rsidRDefault="00660A98" w:rsidP="00660A98">
            <w:pPr>
              <w:jc w:val="both"/>
              <w:rPr>
                <w:sz w:val="20"/>
                <w:lang w:val="fr-CA"/>
              </w:rPr>
            </w:pPr>
            <w:r w:rsidRPr="000A2294">
              <w:rPr>
                <w:sz w:val="20"/>
                <w:lang w:val="fr-CA"/>
              </w:rPr>
              <w:t>Cour suprême du Canada</w:t>
            </w:r>
          </w:p>
        </w:tc>
        <w:tc>
          <w:tcPr>
            <w:tcW w:w="243" w:type="pct"/>
          </w:tcPr>
          <w:p w:rsidR="00660A98" w:rsidRPr="000A2294" w:rsidRDefault="00660A98" w:rsidP="00660A98">
            <w:pPr>
              <w:jc w:val="both"/>
              <w:rPr>
                <w:sz w:val="20"/>
                <w:lang w:val="fr-CA"/>
              </w:rPr>
            </w:pPr>
          </w:p>
        </w:tc>
        <w:tc>
          <w:tcPr>
            <w:tcW w:w="2330" w:type="pct"/>
          </w:tcPr>
          <w:p w:rsidR="00660A98" w:rsidRPr="000A2294" w:rsidRDefault="00660A98" w:rsidP="00660A98">
            <w:pPr>
              <w:jc w:val="both"/>
              <w:rPr>
                <w:sz w:val="20"/>
              </w:rPr>
            </w:pPr>
            <w:r w:rsidRPr="000A2294">
              <w:rPr>
                <w:sz w:val="20"/>
              </w:rPr>
              <w:t>Demande d’autorisation d’appel déposée</w:t>
            </w:r>
          </w:p>
          <w:p w:rsidR="00660A98" w:rsidRPr="000A2294" w:rsidRDefault="00660A98" w:rsidP="00660A98">
            <w:pPr>
              <w:jc w:val="both"/>
              <w:rPr>
                <w:sz w:val="20"/>
              </w:rPr>
            </w:pPr>
          </w:p>
        </w:tc>
      </w:tr>
    </w:tbl>
    <w:p w:rsidR="00660A98" w:rsidRPr="000A2294" w:rsidRDefault="00660A98" w:rsidP="00565595">
      <w:pPr>
        <w:jc w:val="both"/>
        <w:rPr>
          <w:sz w:val="20"/>
        </w:rPr>
      </w:pPr>
    </w:p>
    <w:p w:rsidR="00E028BD" w:rsidRPr="000A2294" w:rsidRDefault="00F935FF" w:rsidP="00565595">
      <w:pPr>
        <w:widowControl w:val="0"/>
        <w:jc w:val="both"/>
        <w:rPr>
          <w:sz w:val="20"/>
          <w:lang w:val="fr-CA"/>
        </w:rPr>
      </w:pPr>
      <w:r>
        <w:rPr>
          <w:sz w:val="20"/>
        </w:rPr>
        <w:pict>
          <v:rect id="_x0000_i1050" style="width:2in;height:1pt" o:hrpct="0" o:hralign="center" o:hrstd="t" o:hrnoshade="t" o:hr="t" fillcolor="black [3213]" stroked="f"/>
        </w:pict>
      </w:r>
    </w:p>
    <w:p w:rsidR="00E028BD" w:rsidRPr="000A2294" w:rsidRDefault="00E028BD" w:rsidP="005655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5595" w:rsidRPr="000A2294" w:rsidTr="00E95A6A">
        <w:tc>
          <w:tcPr>
            <w:tcW w:w="543" w:type="pct"/>
          </w:tcPr>
          <w:p w:rsidR="00565595" w:rsidRPr="000A2294" w:rsidRDefault="00565595" w:rsidP="00565595">
            <w:pPr>
              <w:jc w:val="both"/>
              <w:rPr>
                <w:sz w:val="20"/>
                <w:lang w:val="en-CA"/>
              </w:rPr>
            </w:pPr>
            <w:r w:rsidRPr="000A2294">
              <w:rPr>
                <w:rStyle w:val="SCCFileNumberChar"/>
                <w:sz w:val="20"/>
                <w:szCs w:val="20"/>
              </w:rPr>
              <w:t>40504</w:t>
            </w:r>
          </w:p>
        </w:tc>
        <w:tc>
          <w:tcPr>
            <w:tcW w:w="4457" w:type="pct"/>
            <w:gridSpan w:val="3"/>
          </w:tcPr>
          <w:p w:rsidR="00565595" w:rsidRPr="000A2294" w:rsidRDefault="00565595" w:rsidP="00565595">
            <w:pPr>
              <w:pStyle w:val="SCCLsocParty"/>
              <w:jc w:val="both"/>
              <w:rPr>
                <w:b/>
                <w:sz w:val="20"/>
                <w:szCs w:val="20"/>
                <w:lang w:val="en-CA"/>
              </w:rPr>
            </w:pPr>
            <w:r w:rsidRPr="000A2294">
              <w:rPr>
                <w:b/>
                <w:sz w:val="20"/>
                <w:szCs w:val="20"/>
                <w:lang w:val="en-CA"/>
              </w:rPr>
              <w:t>CAE Inc. v. His Majesty the King</w:t>
            </w:r>
          </w:p>
          <w:p w:rsidR="00565595" w:rsidRPr="000A2294" w:rsidRDefault="00565595" w:rsidP="00565595">
            <w:pPr>
              <w:jc w:val="both"/>
              <w:rPr>
                <w:sz w:val="20"/>
                <w:lang w:val="en-CA"/>
              </w:rPr>
            </w:pPr>
            <w:r w:rsidRPr="000A2294">
              <w:rPr>
                <w:sz w:val="20"/>
                <w:lang w:val="en-CA"/>
              </w:rPr>
              <w:t>(F.C.) (Civil) (By Leave)</w:t>
            </w:r>
          </w:p>
        </w:tc>
      </w:tr>
      <w:tr w:rsidR="00565595" w:rsidRPr="000A2294" w:rsidTr="00E95A6A">
        <w:tc>
          <w:tcPr>
            <w:tcW w:w="5000" w:type="pct"/>
            <w:gridSpan w:val="4"/>
          </w:tcPr>
          <w:p w:rsidR="00565595" w:rsidRPr="000A2294" w:rsidRDefault="00565595" w:rsidP="00565595">
            <w:pPr>
              <w:jc w:val="both"/>
              <w:rPr>
                <w:sz w:val="20"/>
                <w:lang w:val="en-CA"/>
              </w:rPr>
            </w:pPr>
            <w:proofErr w:type="gramStart"/>
            <w:r w:rsidRPr="000A2294">
              <w:rPr>
                <w:sz w:val="20"/>
                <w:lang w:val="en-CA"/>
              </w:rPr>
              <w:t xml:space="preserve">Taxation — Income tax — Assessment — Characterization of government financial contributions in form of non-forgivable loan — Government assistance — Whether Federal Court of Appeal and Tax Court of Canada were correct in finding that principal of loan that was fully repayable and not forgivable could constitute “government assistance” for purposes of </w:t>
            </w:r>
            <w:r w:rsidRPr="000A2294">
              <w:rPr>
                <w:i/>
                <w:sz w:val="20"/>
                <w:lang w:val="en-CA"/>
              </w:rPr>
              <w:t>Income Tax Act</w:t>
            </w:r>
            <w:r w:rsidRPr="000A2294">
              <w:rPr>
                <w:sz w:val="20"/>
                <w:lang w:val="en-CA"/>
              </w:rPr>
              <w:t xml:space="preserve"> — </w:t>
            </w:r>
            <w:r w:rsidRPr="000A2294">
              <w:rPr>
                <w:i/>
                <w:sz w:val="20"/>
                <w:lang w:val="en-CA"/>
              </w:rPr>
              <w:t>Income Tax Act</w:t>
            </w:r>
            <w:r w:rsidRPr="000A2294">
              <w:rPr>
                <w:sz w:val="20"/>
                <w:lang w:val="en-CA"/>
              </w:rPr>
              <w:t>, R.S.C. 1985, c. 1 (5th Supp.), s. 127(9).</w:t>
            </w:r>
            <w:proofErr w:type="gramEnd"/>
          </w:p>
        </w:tc>
      </w:tr>
      <w:tr w:rsidR="00565595" w:rsidRPr="000A2294" w:rsidTr="00E95A6A">
        <w:tc>
          <w:tcPr>
            <w:tcW w:w="5000" w:type="pct"/>
            <w:gridSpan w:val="4"/>
          </w:tcPr>
          <w:p w:rsidR="00565595" w:rsidRPr="000A2294" w:rsidRDefault="00565595" w:rsidP="00565595">
            <w:pPr>
              <w:jc w:val="both"/>
              <w:rPr>
                <w:sz w:val="20"/>
                <w:lang w:val="en-CA"/>
              </w:rPr>
            </w:pPr>
          </w:p>
          <w:p w:rsidR="00565595" w:rsidRPr="000A2294" w:rsidRDefault="00565595" w:rsidP="00565595">
            <w:pPr>
              <w:jc w:val="both"/>
              <w:rPr>
                <w:sz w:val="20"/>
                <w:lang w:val="en-CA"/>
              </w:rPr>
            </w:pPr>
            <w:r w:rsidRPr="000A2294">
              <w:rPr>
                <w:sz w:val="20"/>
                <w:lang w:val="en-CA"/>
              </w:rPr>
              <w:t xml:space="preserve">The Department of Industry Canada made financial contributions to the applicant under an agreement concerning a scientific research and experimental development (“SR&amp;ED”) project undertaken by the applicant. The agreement provided, among other things, for the full and unconditional repayment of all contributions received by the applicant. The Minister of National Revenue made two assessments in which it was determined that the sums the applicant had received or was entitled to receive under the agreement constituted “government assistance” within the meaning of s. 127(9) of the </w:t>
            </w:r>
            <w:r w:rsidRPr="000A2294">
              <w:rPr>
                <w:i/>
                <w:sz w:val="20"/>
                <w:lang w:val="en-CA"/>
              </w:rPr>
              <w:t>Income Tax Act</w:t>
            </w:r>
            <w:r w:rsidRPr="000A2294">
              <w:rPr>
                <w:sz w:val="20"/>
                <w:lang w:val="en-CA"/>
              </w:rPr>
              <w:t>, R.S.C. 1985, c. 1 (5th Supp.)</w:t>
            </w:r>
            <w:r w:rsidRPr="000A2294">
              <w:rPr>
                <w:i/>
                <w:sz w:val="20"/>
                <w:lang w:val="en-CA"/>
              </w:rPr>
              <w:t xml:space="preserve"> </w:t>
            </w:r>
            <w:r w:rsidRPr="000A2294">
              <w:rPr>
                <w:sz w:val="20"/>
                <w:lang w:val="en-CA"/>
              </w:rPr>
              <w:t>(“</w:t>
            </w:r>
            <w:r w:rsidRPr="000A2294">
              <w:rPr>
                <w:i/>
                <w:sz w:val="20"/>
                <w:lang w:val="en-CA"/>
              </w:rPr>
              <w:t>I.T.A.</w:t>
            </w:r>
            <w:r w:rsidRPr="000A2294">
              <w:rPr>
                <w:sz w:val="20"/>
                <w:lang w:val="en-CA"/>
              </w:rPr>
              <w:t xml:space="preserve">”). As a result, the portion of those sums used for SR&amp;ED purposes </w:t>
            </w:r>
            <w:proofErr w:type="gramStart"/>
            <w:r w:rsidRPr="000A2294">
              <w:rPr>
                <w:sz w:val="20"/>
                <w:lang w:val="en-CA"/>
              </w:rPr>
              <w:t>was subtracted</w:t>
            </w:r>
            <w:proofErr w:type="gramEnd"/>
            <w:r w:rsidRPr="000A2294">
              <w:rPr>
                <w:sz w:val="20"/>
                <w:lang w:val="en-CA"/>
              </w:rPr>
              <w:t xml:space="preserve"> from the amount of deductible SR&amp;ED expenditures, and the total of those sums was subtracted from the amount of qualified SR&amp;ED expenditures for the purposes of the investment tax credit claimed by the applicant. The difference between the amount received by the applicant and the amount of its SR&amp;ED expenditures was also included in the computation of its income. The Tax Court of Canada dismissed the appeal from the assessments on the ground that the sums received by the applicant </w:t>
            </w:r>
            <w:proofErr w:type="gramStart"/>
            <w:r w:rsidRPr="000A2294">
              <w:rPr>
                <w:sz w:val="20"/>
                <w:lang w:val="en-CA"/>
              </w:rPr>
              <w:t>had not been paid</w:t>
            </w:r>
            <w:proofErr w:type="gramEnd"/>
            <w:r w:rsidRPr="000A2294">
              <w:rPr>
                <w:sz w:val="20"/>
                <w:lang w:val="en-CA"/>
              </w:rPr>
              <w:t xml:space="preserve"> under an ordinary business contract and therefore constituted government assistance within the meaning of s. 127(9) of the </w:t>
            </w:r>
            <w:r w:rsidRPr="000A2294">
              <w:rPr>
                <w:i/>
                <w:sz w:val="20"/>
                <w:lang w:val="en-CA"/>
              </w:rPr>
              <w:t>I.T.A.</w:t>
            </w:r>
            <w:r w:rsidRPr="000A2294">
              <w:rPr>
                <w:sz w:val="20"/>
                <w:lang w:val="en-CA"/>
              </w:rPr>
              <w:t xml:space="preserve"> The Federal Court of Appeal dismissed the appeal from that decision.</w:t>
            </w:r>
          </w:p>
        </w:tc>
      </w:tr>
      <w:tr w:rsidR="00565595" w:rsidRPr="000A2294" w:rsidTr="00E95A6A">
        <w:tc>
          <w:tcPr>
            <w:tcW w:w="5000" w:type="pct"/>
            <w:gridSpan w:val="4"/>
          </w:tcPr>
          <w:p w:rsidR="00565595" w:rsidRPr="000A2294" w:rsidRDefault="00565595" w:rsidP="00565595">
            <w:pPr>
              <w:jc w:val="both"/>
              <w:rPr>
                <w:sz w:val="20"/>
                <w:lang w:val="en-CA"/>
              </w:rPr>
            </w:pPr>
          </w:p>
        </w:tc>
      </w:tr>
      <w:tr w:rsidR="00565595" w:rsidRPr="000A2294" w:rsidTr="00E95A6A">
        <w:tc>
          <w:tcPr>
            <w:tcW w:w="2427" w:type="pct"/>
            <w:gridSpan w:val="2"/>
          </w:tcPr>
          <w:p w:rsidR="00565595" w:rsidRPr="000A2294" w:rsidRDefault="00565595" w:rsidP="00565595">
            <w:pPr>
              <w:jc w:val="both"/>
              <w:rPr>
                <w:sz w:val="20"/>
                <w:lang w:val="en-CA"/>
              </w:rPr>
            </w:pPr>
            <w:r w:rsidRPr="000A2294">
              <w:rPr>
                <w:sz w:val="20"/>
                <w:lang w:val="en-CA"/>
              </w:rPr>
              <w:t>September 14, 2021</w:t>
            </w:r>
          </w:p>
          <w:p w:rsidR="00565595" w:rsidRPr="000A2294" w:rsidRDefault="00565595" w:rsidP="00565595">
            <w:pPr>
              <w:jc w:val="both"/>
              <w:rPr>
                <w:sz w:val="20"/>
                <w:lang w:val="en-CA"/>
              </w:rPr>
            </w:pPr>
            <w:r w:rsidRPr="000A2294">
              <w:rPr>
                <w:sz w:val="20"/>
                <w:lang w:val="en-CA"/>
              </w:rPr>
              <w:t>Tax Court of Canada</w:t>
            </w:r>
          </w:p>
          <w:p w:rsidR="00565595" w:rsidRPr="000A2294" w:rsidRDefault="00565595" w:rsidP="00565595">
            <w:pPr>
              <w:jc w:val="both"/>
              <w:rPr>
                <w:sz w:val="20"/>
                <w:lang w:val="en-CA"/>
              </w:rPr>
            </w:pPr>
            <w:r w:rsidRPr="000A2294">
              <w:rPr>
                <w:sz w:val="20"/>
                <w:lang w:val="en-CA"/>
              </w:rPr>
              <w:t>(Ouimet J.)</w:t>
            </w:r>
          </w:p>
          <w:p w:rsidR="00565595" w:rsidRPr="000A2294" w:rsidRDefault="00F935FF" w:rsidP="00565595">
            <w:pPr>
              <w:jc w:val="both"/>
              <w:rPr>
                <w:sz w:val="20"/>
                <w:lang w:val="en-CA"/>
              </w:rPr>
            </w:pPr>
            <w:hyperlink r:id="rId89" w:history="1">
              <w:r w:rsidR="00565595" w:rsidRPr="000A2294">
                <w:rPr>
                  <w:rStyle w:val="Hyperlink"/>
                  <w:sz w:val="20"/>
                  <w:lang w:val="en-CA"/>
                </w:rPr>
                <w:t>2021 CCI 57</w:t>
              </w:r>
            </w:hyperlink>
          </w:p>
          <w:p w:rsidR="00565595" w:rsidRPr="000A2294" w:rsidRDefault="00565595" w:rsidP="00565595">
            <w:pPr>
              <w:jc w:val="both"/>
              <w:rPr>
                <w:sz w:val="20"/>
                <w:lang w:val="en-CA"/>
              </w:rPr>
            </w:pPr>
          </w:p>
        </w:tc>
        <w:tc>
          <w:tcPr>
            <w:tcW w:w="243" w:type="pct"/>
          </w:tcPr>
          <w:p w:rsidR="00565595" w:rsidRPr="000A2294" w:rsidRDefault="00565595" w:rsidP="00565595">
            <w:pPr>
              <w:jc w:val="both"/>
              <w:rPr>
                <w:sz w:val="20"/>
                <w:lang w:val="en-CA"/>
              </w:rPr>
            </w:pPr>
          </w:p>
        </w:tc>
        <w:tc>
          <w:tcPr>
            <w:tcW w:w="2330" w:type="pct"/>
          </w:tcPr>
          <w:p w:rsidR="00565595" w:rsidRPr="000A2294" w:rsidRDefault="00565595" w:rsidP="00565595">
            <w:pPr>
              <w:jc w:val="both"/>
              <w:rPr>
                <w:sz w:val="20"/>
                <w:lang w:val="en-CA"/>
              </w:rPr>
            </w:pPr>
            <w:r w:rsidRPr="000A2294">
              <w:rPr>
                <w:sz w:val="20"/>
                <w:lang w:val="en-CA"/>
              </w:rPr>
              <w:t>Appeal from two assessments made by Minister of National Revenue dismissed</w:t>
            </w:r>
          </w:p>
          <w:p w:rsidR="00565595" w:rsidRPr="000A2294" w:rsidRDefault="00565595" w:rsidP="00565595">
            <w:pPr>
              <w:jc w:val="both"/>
              <w:rPr>
                <w:sz w:val="20"/>
                <w:lang w:val="en-CA"/>
              </w:rPr>
            </w:pPr>
          </w:p>
        </w:tc>
      </w:tr>
      <w:tr w:rsidR="00565595" w:rsidRPr="000A2294" w:rsidTr="00E95A6A">
        <w:tc>
          <w:tcPr>
            <w:tcW w:w="2427" w:type="pct"/>
            <w:gridSpan w:val="2"/>
          </w:tcPr>
          <w:p w:rsidR="00565595" w:rsidRPr="000A2294" w:rsidRDefault="00565595" w:rsidP="00565595">
            <w:pPr>
              <w:jc w:val="both"/>
              <w:rPr>
                <w:sz w:val="20"/>
                <w:lang w:val="en-CA"/>
              </w:rPr>
            </w:pPr>
            <w:r w:rsidRPr="000A2294">
              <w:rPr>
                <w:sz w:val="20"/>
                <w:lang w:val="en-CA"/>
              </w:rPr>
              <w:t>October 19, 2022</w:t>
            </w:r>
          </w:p>
          <w:p w:rsidR="00565595" w:rsidRPr="000A2294" w:rsidRDefault="00565595" w:rsidP="00565595">
            <w:pPr>
              <w:jc w:val="both"/>
              <w:rPr>
                <w:sz w:val="20"/>
                <w:lang w:val="en-CA"/>
              </w:rPr>
            </w:pPr>
            <w:r w:rsidRPr="000A2294">
              <w:rPr>
                <w:sz w:val="20"/>
                <w:lang w:val="en-CA"/>
              </w:rPr>
              <w:t>Federal Court of Appeal</w:t>
            </w:r>
          </w:p>
          <w:p w:rsidR="00565595" w:rsidRPr="000A2294" w:rsidRDefault="00565595" w:rsidP="00565595">
            <w:pPr>
              <w:jc w:val="both"/>
              <w:rPr>
                <w:sz w:val="20"/>
                <w:lang w:val="en-CA"/>
              </w:rPr>
            </w:pPr>
            <w:r w:rsidRPr="000A2294">
              <w:rPr>
                <w:sz w:val="20"/>
                <w:lang w:val="en-CA"/>
              </w:rPr>
              <w:t>(Boivin, Locke and de Montigny JJ.A.)</w:t>
            </w:r>
          </w:p>
          <w:p w:rsidR="00565595" w:rsidRPr="000A2294" w:rsidRDefault="00F935FF" w:rsidP="00565595">
            <w:pPr>
              <w:jc w:val="both"/>
              <w:rPr>
                <w:sz w:val="20"/>
                <w:lang w:val="en-CA" w:eastAsia="en-CA"/>
              </w:rPr>
            </w:pPr>
            <w:hyperlink r:id="rId90" w:history="1">
              <w:r w:rsidR="00565595" w:rsidRPr="000A2294">
                <w:rPr>
                  <w:color w:val="0000FF" w:themeColor="hyperlink"/>
                  <w:sz w:val="20"/>
                  <w:u w:val="single"/>
                  <w:lang w:val="en-CA" w:eastAsia="en-CA"/>
                </w:rPr>
                <w:t>2022 CAF 178</w:t>
              </w:r>
            </w:hyperlink>
          </w:p>
          <w:p w:rsidR="00565595" w:rsidRPr="000A2294" w:rsidRDefault="00565595" w:rsidP="00565595">
            <w:pPr>
              <w:jc w:val="both"/>
              <w:rPr>
                <w:sz w:val="20"/>
                <w:lang w:val="en-CA"/>
              </w:rPr>
            </w:pPr>
          </w:p>
        </w:tc>
        <w:tc>
          <w:tcPr>
            <w:tcW w:w="243" w:type="pct"/>
          </w:tcPr>
          <w:p w:rsidR="00565595" w:rsidRPr="000A2294" w:rsidRDefault="00565595" w:rsidP="00565595">
            <w:pPr>
              <w:jc w:val="both"/>
              <w:rPr>
                <w:sz w:val="20"/>
                <w:lang w:val="en-CA"/>
              </w:rPr>
            </w:pPr>
          </w:p>
        </w:tc>
        <w:tc>
          <w:tcPr>
            <w:tcW w:w="2330" w:type="pct"/>
          </w:tcPr>
          <w:p w:rsidR="00565595" w:rsidRPr="000A2294" w:rsidRDefault="00565595" w:rsidP="00565595">
            <w:pPr>
              <w:jc w:val="both"/>
              <w:rPr>
                <w:sz w:val="20"/>
                <w:lang w:val="en-CA"/>
              </w:rPr>
            </w:pPr>
            <w:r w:rsidRPr="000A2294">
              <w:rPr>
                <w:sz w:val="20"/>
                <w:lang w:val="en-CA"/>
              </w:rPr>
              <w:t>Appeal dismissed</w:t>
            </w:r>
          </w:p>
          <w:p w:rsidR="00565595" w:rsidRPr="000A2294" w:rsidRDefault="00565595" w:rsidP="00565595">
            <w:pPr>
              <w:jc w:val="both"/>
              <w:rPr>
                <w:sz w:val="20"/>
                <w:lang w:val="en-CA"/>
              </w:rPr>
            </w:pPr>
          </w:p>
        </w:tc>
      </w:tr>
      <w:tr w:rsidR="00565595" w:rsidRPr="000A2294" w:rsidTr="00E95A6A">
        <w:tc>
          <w:tcPr>
            <w:tcW w:w="2427" w:type="pct"/>
            <w:gridSpan w:val="2"/>
          </w:tcPr>
          <w:p w:rsidR="00565595" w:rsidRPr="000A2294" w:rsidRDefault="00565595" w:rsidP="00565595">
            <w:pPr>
              <w:jc w:val="both"/>
              <w:rPr>
                <w:sz w:val="20"/>
                <w:lang w:val="en-CA"/>
              </w:rPr>
            </w:pPr>
            <w:r w:rsidRPr="000A2294">
              <w:rPr>
                <w:sz w:val="20"/>
                <w:lang w:val="en-CA"/>
              </w:rPr>
              <w:t>December 19, 2022</w:t>
            </w:r>
          </w:p>
          <w:p w:rsidR="00565595" w:rsidRPr="000A2294" w:rsidRDefault="00565595" w:rsidP="00565595">
            <w:pPr>
              <w:jc w:val="both"/>
              <w:rPr>
                <w:sz w:val="20"/>
                <w:lang w:val="en-CA"/>
              </w:rPr>
            </w:pPr>
            <w:r w:rsidRPr="000A2294">
              <w:rPr>
                <w:sz w:val="20"/>
                <w:lang w:val="en-CA"/>
              </w:rPr>
              <w:t>Supreme Court of Canada</w:t>
            </w:r>
          </w:p>
        </w:tc>
        <w:tc>
          <w:tcPr>
            <w:tcW w:w="243" w:type="pct"/>
          </w:tcPr>
          <w:p w:rsidR="00565595" w:rsidRPr="000A2294" w:rsidRDefault="00565595" w:rsidP="00565595">
            <w:pPr>
              <w:jc w:val="both"/>
              <w:rPr>
                <w:sz w:val="20"/>
                <w:lang w:val="en-CA"/>
              </w:rPr>
            </w:pPr>
          </w:p>
        </w:tc>
        <w:tc>
          <w:tcPr>
            <w:tcW w:w="2330" w:type="pct"/>
          </w:tcPr>
          <w:p w:rsidR="00565595" w:rsidRPr="000A2294" w:rsidRDefault="00565595" w:rsidP="00565595">
            <w:pPr>
              <w:jc w:val="both"/>
              <w:rPr>
                <w:sz w:val="20"/>
                <w:lang w:val="en-CA"/>
              </w:rPr>
            </w:pPr>
            <w:r w:rsidRPr="000A2294">
              <w:rPr>
                <w:sz w:val="20"/>
                <w:lang w:val="en-CA"/>
              </w:rPr>
              <w:t>Application for leave to appeal filed</w:t>
            </w:r>
          </w:p>
          <w:p w:rsidR="00565595" w:rsidRPr="000A2294" w:rsidRDefault="00565595" w:rsidP="00565595">
            <w:pPr>
              <w:jc w:val="both"/>
              <w:rPr>
                <w:sz w:val="20"/>
                <w:lang w:val="en-CA"/>
              </w:rPr>
            </w:pPr>
          </w:p>
        </w:tc>
      </w:tr>
    </w:tbl>
    <w:p w:rsidR="00565595" w:rsidRPr="000A2294" w:rsidRDefault="00565595" w:rsidP="00565595">
      <w:pPr>
        <w:jc w:val="both"/>
        <w:rPr>
          <w:sz w:val="20"/>
          <w:lang w:val="en-CA"/>
        </w:rPr>
      </w:pPr>
    </w:p>
    <w:p w:rsidR="00565595" w:rsidRPr="000A2294" w:rsidRDefault="00F935FF" w:rsidP="00565595">
      <w:pPr>
        <w:jc w:val="both"/>
        <w:rPr>
          <w:sz w:val="20"/>
          <w:lang w:val="en-CA"/>
        </w:rPr>
      </w:pPr>
      <w:r>
        <w:rPr>
          <w:sz w:val="20"/>
        </w:rPr>
        <w:pict>
          <v:rect id="_x0000_i1051" style="width:2in;height:1pt" o:hrpct="0" o:hralign="center" o:hrstd="t" o:hrnoshade="t" o:hr="t" fillcolor="black [3213]" stroked="f"/>
        </w:pict>
      </w:r>
    </w:p>
    <w:p w:rsidR="00565595" w:rsidRPr="000A2294" w:rsidRDefault="00565595" w:rsidP="0056559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5595" w:rsidRPr="000A2294" w:rsidTr="00E95A6A">
        <w:tc>
          <w:tcPr>
            <w:tcW w:w="543" w:type="pct"/>
          </w:tcPr>
          <w:p w:rsidR="00565595" w:rsidRPr="000A2294" w:rsidRDefault="00565595" w:rsidP="00565595">
            <w:pPr>
              <w:jc w:val="both"/>
              <w:rPr>
                <w:sz w:val="20"/>
              </w:rPr>
            </w:pPr>
            <w:r w:rsidRPr="000A2294">
              <w:rPr>
                <w:rStyle w:val="SCCFileNumberChar"/>
                <w:sz w:val="20"/>
                <w:szCs w:val="20"/>
              </w:rPr>
              <w:t>40504</w:t>
            </w:r>
          </w:p>
        </w:tc>
        <w:tc>
          <w:tcPr>
            <w:tcW w:w="4457" w:type="pct"/>
            <w:gridSpan w:val="3"/>
          </w:tcPr>
          <w:p w:rsidR="00565595" w:rsidRPr="000A2294" w:rsidRDefault="00565595" w:rsidP="00565595">
            <w:pPr>
              <w:pStyle w:val="SCCLsocParty"/>
              <w:jc w:val="both"/>
              <w:rPr>
                <w:b/>
                <w:sz w:val="20"/>
                <w:szCs w:val="20"/>
              </w:rPr>
            </w:pPr>
            <w:r w:rsidRPr="000A2294">
              <w:rPr>
                <w:b/>
                <w:sz w:val="20"/>
                <w:szCs w:val="20"/>
              </w:rPr>
              <w:t>CAE Inc. c. Sa Majesté le Roi</w:t>
            </w:r>
          </w:p>
          <w:p w:rsidR="00565595" w:rsidRPr="000A2294" w:rsidRDefault="00565595" w:rsidP="00565595">
            <w:pPr>
              <w:jc w:val="both"/>
              <w:rPr>
                <w:sz w:val="20"/>
              </w:rPr>
            </w:pPr>
            <w:r w:rsidRPr="000A2294">
              <w:rPr>
                <w:sz w:val="20"/>
              </w:rPr>
              <w:t>(C.F.) (Civile) (Autorisation)</w:t>
            </w:r>
          </w:p>
        </w:tc>
      </w:tr>
      <w:tr w:rsidR="00565595" w:rsidRPr="00F935FF" w:rsidTr="00E95A6A">
        <w:tc>
          <w:tcPr>
            <w:tcW w:w="5000" w:type="pct"/>
            <w:gridSpan w:val="4"/>
          </w:tcPr>
          <w:p w:rsidR="00565595" w:rsidRPr="000A2294" w:rsidRDefault="00565595" w:rsidP="00565595">
            <w:pPr>
              <w:jc w:val="both"/>
              <w:rPr>
                <w:sz w:val="20"/>
                <w:lang w:val="fr-CA"/>
              </w:rPr>
            </w:pPr>
            <w:r w:rsidRPr="000A2294">
              <w:rPr>
                <w:sz w:val="20"/>
                <w:lang w:val="fr-CA"/>
              </w:rPr>
              <w:t xml:space="preserve">Droit fiscal — Impôt sur le revenu — Cotisation — Qualification de contributions financières gouvernementales sous forme de prêt à remboursement inconditionnel — Aide gouvernementale — La Cour d’appel fédérale et la Cour canadienne de l’impôt ont-elles eu raison de conclure que le capital d’un prêt qui était remboursable entièrement et inconditionnellement pouvait constituer de l’« aide gouvernementale » aux fins de la </w:t>
            </w:r>
            <w:r w:rsidRPr="000A2294">
              <w:rPr>
                <w:i/>
                <w:sz w:val="20"/>
                <w:lang w:val="fr-CA"/>
              </w:rPr>
              <w:t>Loi de l’impôt sur le revenu</w:t>
            </w:r>
            <w:r w:rsidRPr="000A2294">
              <w:rPr>
                <w:sz w:val="20"/>
                <w:lang w:val="fr-CA"/>
              </w:rPr>
              <w:t xml:space="preserve">? — </w:t>
            </w:r>
            <w:r w:rsidRPr="000A2294">
              <w:rPr>
                <w:i/>
                <w:sz w:val="20"/>
                <w:lang w:val="fr-CA"/>
              </w:rPr>
              <w:t>Loi de l’impôt sur le revenu</w:t>
            </w:r>
            <w:r w:rsidRPr="000A2294">
              <w:rPr>
                <w:sz w:val="20"/>
                <w:lang w:val="fr-CA"/>
              </w:rPr>
              <w:t>, L.R.C. 1985, c. 1 (5</w:t>
            </w:r>
            <w:r w:rsidRPr="000A2294">
              <w:rPr>
                <w:sz w:val="20"/>
                <w:vertAlign w:val="superscript"/>
                <w:lang w:val="fr-CA"/>
              </w:rPr>
              <w:t>e</w:t>
            </w:r>
            <w:r w:rsidRPr="000A2294">
              <w:rPr>
                <w:sz w:val="20"/>
                <w:lang w:val="fr-CA"/>
              </w:rPr>
              <w:t xml:space="preserve"> suppl), par. 127(9)</w:t>
            </w:r>
          </w:p>
        </w:tc>
      </w:tr>
      <w:tr w:rsidR="00565595" w:rsidRPr="00F935FF" w:rsidTr="00E95A6A">
        <w:tc>
          <w:tcPr>
            <w:tcW w:w="5000" w:type="pct"/>
            <w:gridSpan w:val="4"/>
          </w:tcPr>
          <w:p w:rsidR="00565595" w:rsidRPr="000A2294" w:rsidRDefault="00565595" w:rsidP="00565595">
            <w:pPr>
              <w:jc w:val="both"/>
              <w:rPr>
                <w:sz w:val="20"/>
                <w:lang w:val="fr-CA"/>
              </w:rPr>
            </w:pPr>
          </w:p>
          <w:p w:rsidR="00565595" w:rsidRPr="000A2294" w:rsidRDefault="00565595" w:rsidP="00565595">
            <w:pPr>
              <w:jc w:val="both"/>
              <w:rPr>
                <w:sz w:val="20"/>
                <w:lang w:val="fr-CA"/>
              </w:rPr>
            </w:pPr>
            <w:r w:rsidRPr="000A2294">
              <w:rPr>
                <w:sz w:val="20"/>
                <w:lang w:val="fr-FR"/>
              </w:rPr>
              <w:t xml:space="preserve">Le ministère de l’Industrie du Canada verse des contributions financières à la demanderesse en vertu d’une entente visant un projet de recherche scientifique et de développement expérimental (« RS&amp;DE ») de cette dernière. L’entente prévoit notamment le remboursement inconditionnel complet de toutes les contributions reçues par la demanderesse. Le Ministre du Revenu national établit deux cotisations statuant que les sommes que la demanderesse a reçues ou était en droit de recevoir en vertu de cette entente constituent une « aide gouvernementale » au sens du par. 127(9) de la </w:t>
            </w:r>
            <w:r w:rsidRPr="000A2294">
              <w:rPr>
                <w:i/>
                <w:sz w:val="20"/>
                <w:lang w:val="fr-FR"/>
              </w:rPr>
              <w:t>Loi de l’impôt sur le Revenu</w:t>
            </w:r>
            <w:r w:rsidRPr="000A2294">
              <w:rPr>
                <w:sz w:val="20"/>
                <w:lang w:val="fr-FR"/>
              </w:rPr>
              <w:t>,</w:t>
            </w:r>
            <w:r w:rsidRPr="000A2294">
              <w:rPr>
                <w:sz w:val="20"/>
                <w:lang w:val="fr-CA"/>
              </w:rPr>
              <w:t xml:space="preserve"> L.R.C. 1985, c. 1 (5</w:t>
            </w:r>
            <w:r w:rsidRPr="000A2294">
              <w:rPr>
                <w:sz w:val="20"/>
                <w:vertAlign w:val="superscript"/>
                <w:lang w:val="fr-CA"/>
              </w:rPr>
              <w:t>e</w:t>
            </w:r>
            <w:r w:rsidRPr="000A2294">
              <w:rPr>
                <w:sz w:val="20"/>
                <w:lang w:val="fr-CA"/>
              </w:rPr>
              <w:t xml:space="preserve"> suppl)</w:t>
            </w:r>
            <w:r w:rsidRPr="000A2294">
              <w:rPr>
                <w:i/>
                <w:sz w:val="20"/>
                <w:lang w:val="fr-FR"/>
              </w:rPr>
              <w:t xml:space="preserve"> </w:t>
            </w:r>
            <w:r w:rsidRPr="000A2294">
              <w:rPr>
                <w:sz w:val="20"/>
                <w:lang w:val="fr-FR"/>
              </w:rPr>
              <w:t>(« </w:t>
            </w:r>
            <w:r w:rsidRPr="000A2294">
              <w:rPr>
                <w:i/>
                <w:sz w:val="20"/>
                <w:lang w:val="fr-FR"/>
              </w:rPr>
              <w:t>L.I.R.</w:t>
            </w:r>
            <w:r w:rsidRPr="000A2294">
              <w:rPr>
                <w:sz w:val="20"/>
                <w:lang w:val="fr-FR"/>
              </w:rPr>
              <w:t xml:space="preserve"> »). Conséquemment, la partie de ces sommes utilisée à des fins de RS&amp;DE est soustraite du montant des dépenses déductibles de RS&amp;DE, et la totalité de ces sommes est soustraite du montant des dépenses de RS&amp;DE admissibles aux fins du crédit d’impôt à l’investissement de la demanderesse. La différence entre la somme reçue par la demanderesse et la somme de ses dépenses de RS&amp;DE est également incluse dans le calcul de son revenu. </w:t>
            </w:r>
            <w:r w:rsidRPr="000A2294">
              <w:rPr>
                <w:sz w:val="20"/>
                <w:lang w:val="fr-CA"/>
              </w:rPr>
              <w:t xml:space="preserve">La Cour canadienne de l’impôt rejette l’appel de ces cotisations au motif que les sommes reçues par la demanderesse n’ont pas été versées au terme d’une entente commerciale ordinaire et constituent donc de l’aide gouvernementale au sens du par. 127(9) de la </w:t>
            </w:r>
            <w:r w:rsidRPr="000A2294">
              <w:rPr>
                <w:i/>
                <w:sz w:val="20"/>
                <w:lang w:val="fr-CA"/>
              </w:rPr>
              <w:t>L.I.R</w:t>
            </w:r>
            <w:r w:rsidRPr="000A2294">
              <w:rPr>
                <w:sz w:val="20"/>
                <w:lang w:val="fr-CA"/>
              </w:rPr>
              <w:t>. La Cour d’appel fédérale rejette l’appel de cette décision.</w:t>
            </w:r>
          </w:p>
        </w:tc>
      </w:tr>
      <w:tr w:rsidR="00565595" w:rsidRPr="00F935FF" w:rsidTr="00E95A6A">
        <w:tc>
          <w:tcPr>
            <w:tcW w:w="5000" w:type="pct"/>
            <w:gridSpan w:val="4"/>
          </w:tcPr>
          <w:p w:rsidR="00565595" w:rsidRPr="000A2294" w:rsidRDefault="00565595" w:rsidP="00565595">
            <w:pPr>
              <w:jc w:val="both"/>
              <w:rPr>
                <w:sz w:val="20"/>
                <w:lang w:val="fr-CA"/>
              </w:rPr>
            </w:pPr>
          </w:p>
        </w:tc>
      </w:tr>
      <w:tr w:rsidR="00565595" w:rsidRPr="00F935FF" w:rsidTr="00E95A6A">
        <w:tc>
          <w:tcPr>
            <w:tcW w:w="2427" w:type="pct"/>
            <w:gridSpan w:val="2"/>
          </w:tcPr>
          <w:p w:rsidR="00565595" w:rsidRPr="000A2294" w:rsidRDefault="00565595" w:rsidP="00565595">
            <w:pPr>
              <w:jc w:val="both"/>
              <w:rPr>
                <w:sz w:val="20"/>
                <w:lang w:val="fr-CA"/>
              </w:rPr>
            </w:pPr>
            <w:r w:rsidRPr="000A2294">
              <w:rPr>
                <w:sz w:val="20"/>
                <w:lang w:val="fr-CA"/>
              </w:rPr>
              <w:t>Le 14 septembre 2021</w:t>
            </w:r>
          </w:p>
          <w:p w:rsidR="00565595" w:rsidRPr="000A2294" w:rsidRDefault="00565595" w:rsidP="00565595">
            <w:pPr>
              <w:jc w:val="both"/>
              <w:rPr>
                <w:sz w:val="20"/>
                <w:lang w:val="fr-CA"/>
              </w:rPr>
            </w:pPr>
            <w:r w:rsidRPr="000A2294">
              <w:rPr>
                <w:sz w:val="20"/>
                <w:lang w:val="fr-CA"/>
              </w:rPr>
              <w:t>Cour canadienne de l’impôt</w:t>
            </w:r>
          </w:p>
          <w:p w:rsidR="00565595" w:rsidRPr="000A2294" w:rsidRDefault="00565595" w:rsidP="00565595">
            <w:pPr>
              <w:jc w:val="both"/>
              <w:rPr>
                <w:sz w:val="20"/>
              </w:rPr>
            </w:pPr>
            <w:r w:rsidRPr="000A2294">
              <w:rPr>
                <w:sz w:val="20"/>
              </w:rPr>
              <w:t>(le juge Ouimet)</w:t>
            </w:r>
          </w:p>
          <w:p w:rsidR="00565595" w:rsidRPr="000A2294" w:rsidRDefault="00F935FF" w:rsidP="00565595">
            <w:pPr>
              <w:jc w:val="both"/>
              <w:rPr>
                <w:sz w:val="20"/>
              </w:rPr>
            </w:pPr>
            <w:hyperlink r:id="rId91" w:history="1">
              <w:r w:rsidR="00565595" w:rsidRPr="000A2294">
                <w:rPr>
                  <w:rStyle w:val="Hyperlink"/>
                  <w:sz w:val="20"/>
                </w:rPr>
                <w:t>2021 CCI 57</w:t>
              </w:r>
            </w:hyperlink>
          </w:p>
          <w:p w:rsidR="00565595" w:rsidRPr="000A2294" w:rsidRDefault="00565595" w:rsidP="00565595">
            <w:pPr>
              <w:jc w:val="both"/>
              <w:rPr>
                <w:sz w:val="20"/>
              </w:rPr>
            </w:pPr>
          </w:p>
        </w:tc>
        <w:tc>
          <w:tcPr>
            <w:tcW w:w="243" w:type="pct"/>
          </w:tcPr>
          <w:p w:rsidR="00565595" w:rsidRPr="000A2294" w:rsidRDefault="00565595" w:rsidP="00565595">
            <w:pPr>
              <w:jc w:val="both"/>
              <w:rPr>
                <w:sz w:val="20"/>
              </w:rPr>
            </w:pPr>
          </w:p>
        </w:tc>
        <w:tc>
          <w:tcPr>
            <w:tcW w:w="2330" w:type="pct"/>
          </w:tcPr>
          <w:p w:rsidR="00565595" w:rsidRPr="000A2294" w:rsidRDefault="00565595" w:rsidP="00565595">
            <w:pPr>
              <w:jc w:val="both"/>
              <w:rPr>
                <w:sz w:val="20"/>
                <w:lang w:val="fr-CA"/>
              </w:rPr>
            </w:pPr>
            <w:r w:rsidRPr="000A2294">
              <w:rPr>
                <w:sz w:val="20"/>
                <w:lang w:val="fr-CA"/>
              </w:rPr>
              <w:t>Appel de deux cotisations établies par le Ministre du Revenu national rejeté</w:t>
            </w:r>
          </w:p>
          <w:p w:rsidR="00565595" w:rsidRPr="000A2294" w:rsidRDefault="00565595" w:rsidP="00565595">
            <w:pPr>
              <w:jc w:val="both"/>
              <w:rPr>
                <w:sz w:val="20"/>
                <w:lang w:val="fr-CA"/>
              </w:rPr>
            </w:pPr>
          </w:p>
        </w:tc>
      </w:tr>
      <w:tr w:rsidR="00565595" w:rsidRPr="000A2294" w:rsidTr="00E95A6A">
        <w:tc>
          <w:tcPr>
            <w:tcW w:w="2427" w:type="pct"/>
            <w:gridSpan w:val="2"/>
          </w:tcPr>
          <w:p w:rsidR="00565595" w:rsidRPr="000A2294" w:rsidRDefault="00565595" w:rsidP="00565595">
            <w:pPr>
              <w:jc w:val="both"/>
              <w:rPr>
                <w:sz w:val="20"/>
                <w:lang w:val="fr-CA"/>
              </w:rPr>
            </w:pPr>
            <w:r w:rsidRPr="000A2294">
              <w:rPr>
                <w:sz w:val="20"/>
                <w:lang w:val="fr-CA"/>
              </w:rPr>
              <w:t>Le 19 octobre 2022</w:t>
            </w:r>
          </w:p>
          <w:p w:rsidR="00565595" w:rsidRPr="000A2294" w:rsidRDefault="00565595" w:rsidP="00565595">
            <w:pPr>
              <w:jc w:val="both"/>
              <w:rPr>
                <w:sz w:val="20"/>
                <w:lang w:val="fr-CA"/>
              </w:rPr>
            </w:pPr>
            <w:r w:rsidRPr="000A2294">
              <w:rPr>
                <w:sz w:val="20"/>
                <w:lang w:val="fr-CA"/>
              </w:rPr>
              <w:t>Cour d’appel fédérale</w:t>
            </w:r>
          </w:p>
          <w:p w:rsidR="00565595" w:rsidRPr="000A2294" w:rsidRDefault="00565595" w:rsidP="00565595">
            <w:pPr>
              <w:jc w:val="both"/>
              <w:rPr>
                <w:sz w:val="20"/>
                <w:lang w:val="fr-CA"/>
              </w:rPr>
            </w:pPr>
            <w:r w:rsidRPr="000A2294">
              <w:rPr>
                <w:sz w:val="20"/>
                <w:lang w:val="fr-CA"/>
              </w:rPr>
              <w:t>(les juges Boivin, Locke et De Montigny)</w:t>
            </w:r>
          </w:p>
          <w:p w:rsidR="00565595" w:rsidRPr="000A2294" w:rsidRDefault="00F935FF" w:rsidP="00565595">
            <w:pPr>
              <w:jc w:val="both"/>
              <w:rPr>
                <w:sz w:val="20"/>
                <w:lang w:eastAsia="en-CA"/>
              </w:rPr>
            </w:pPr>
            <w:hyperlink r:id="rId92" w:history="1">
              <w:r w:rsidR="00565595" w:rsidRPr="000A2294">
                <w:rPr>
                  <w:color w:val="0000FF" w:themeColor="hyperlink"/>
                  <w:sz w:val="20"/>
                  <w:u w:val="single"/>
                  <w:lang w:eastAsia="en-CA"/>
                </w:rPr>
                <w:t>2022 CAF 178</w:t>
              </w:r>
            </w:hyperlink>
          </w:p>
          <w:p w:rsidR="00565595" w:rsidRPr="000A2294" w:rsidRDefault="00565595" w:rsidP="00565595">
            <w:pPr>
              <w:jc w:val="both"/>
              <w:rPr>
                <w:sz w:val="20"/>
              </w:rPr>
            </w:pPr>
          </w:p>
        </w:tc>
        <w:tc>
          <w:tcPr>
            <w:tcW w:w="243" w:type="pct"/>
          </w:tcPr>
          <w:p w:rsidR="00565595" w:rsidRPr="000A2294" w:rsidRDefault="00565595" w:rsidP="00565595">
            <w:pPr>
              <w:jc w:val="both"/>
              <w:rPr>
                <w:sz w:val="20"/>
              </w:rPr>
            </w:pPr>
          </w:p>
        </w:tc>
        <w:tc>
          <w:tcPr>
            <w:tcW w:w="2330" w:type="pct"/>
          </w:tcPr>
          <w:p w:rsidR="00565595" w:rsidRPr="000A2294" w:rsidRDefault="00565595" w:rsidP="00565595">
            <w:pPr>
              <w:jc w:val="both"/>
              <w:rPr>
                <w:sz w:val="20"/>
              </w:rPr>
            </w:pPr>
            <w:r w:rsidRPr="000A2294">
              <w:rPr>
                <w:sz w:val="20"/>
              </w:rPr>
              <w:t>Appel rejeté</w:t>
            </w:r>
          </w:p>
          <w:p w:rsidR="00565595" w:rsidRPr="000A2294" w:rsidRDefault="00565595" w:rsidP="00565595">
            <w:pPr>
              <w:jc w:val="both"/>
              <w:rPr>
                <w:sz w:val="20"/>
              </w:rPr>
            </w:pPr>
          </w:p>
        </w:tc>
      </w:tr>
      <w:tr w:rsidR="00565595" w:rsidRPr="000A2294" w:rsidTr="00E95A6A">
        <w:tc>
          <w:tcPr>
            <w:tcW w:w="2427" w:type="pct"/>
            <w:gridSpan w:val="2"/>
          </w:tcPr>
          <w:p w:rsidR="00565595" w:rsidRPr="000A2294" w:rsidRDefault="00565595" w:rsidP="00565595">
            <w:pPr>
              <w:jc w:val="both"/>
              <w:rPr>
                <w:sz w:val="20"/>
                <w:lang w:val="fr-CA"/>
              </w:rPr>
            </w:pPr>
            <w:r w:rsidRPr="000A2294">
              <w:rPr>
                <w:sz w:val="20"/>
                <w:lang w:val="fr-CA"/>
              </w:rPr>
              <w:t>Le 19 décembre 2022</w:t>
            </w:r>
          </w:p>
          <w:p w:rsidR="00565595" w:rsidRPr="000A2294" w:rsidRDefault="00565595" w:rsidP="00565595">
            <w:pPr>
              <w:jc w:val="both"/>
              <w:rPr>
                <w:sz w:val="20"/>
                <w:lang w:val="fr-CA"/>
              </w:rPr>
            </w:pPr>
            <w:r w:rsidRPr="000A2294">
              <w:rPr>
                <w:sz w:val="20"/>
                <w:lang w:val="fr-CA"/>
              </w:rPr>
              <w:t>Cour suprême du Canada</w:t>
            </w:r>
          </w:p>
        </w:tc>
        <w:tc>
          <w:tcPr>
            <w:tcW w:w="243" w:type="pct"/>
          </w:tcPr>
          <w:p w:rsidR="00565595" w:rsidRPr="000A2294" w:rsidRDefault="00565595" w:rsidP="00565595">
            <w:pPr>
              <w:jc w:val="both"/>
              <w:rPr>
                <w:sz w:val="20"/>
                <w:lang w:val="fr-CA"/>
              </w:rPr>
            </w:pPr>
          </w:p>
        </w:tc>
        <w:tc>
          <w:tcPr>
            <w:tcW w:w="2330" w:type="pct"/>
          </w:tcPr>
          <w:p w:rsidR="00565595" w:rsidRPr="000A2294" w:rsidRDefault="00565595" w:rsidP="00565595">
            <w:pPr>
              <w:jc w:val="both"/>
              <w:rPr>
                <w:sz w:val="20"/>
              </w:rPr>
            </w:pPr>
            <w:r w:rsidRPr="000A2294">
              <w:rPr>
                <w:sz w:val="20"/>
              </w:rPr>
              <w:t>Demande d’autorisation d’appel déposée</w:t>
            </w:r>
          </w:p>
          <w:p w:rsidR="00565595" w:rsidRPr="000A2294" w:rsidRDefault="00565595" w:rsidP="00565595">
            <w:pPr>
              <w:jc w:val="both"/>
              <w:rPr>
                <w:sz w:val="20"/>
              </w:rPr>
            </w:pPr>
          </w:p>
        </w:tc>
      </w:tr>
    </w:tbl>
    <w:p w:rsidR="00565595" w:rsidRPr="000A2294" w:rsidRDefault="00565595" w:rsidP="00565595">
      <w:pPr>
        <w:jc w:val="both"/>
        <w:rPr>
          <w:sz w:val="20"/>
        </w:rPr>
      </w:pPr>
    </w:p>
    <w:p w:rsidR="00E028BD" w:rsidRPr="000A2294" w:rsidRDefault="00F935FF" w:rsidP="00210D39">
      <w:pPr>
        <w:widowControl w:val="0"/>
        <w:jc w:val="both"/>
        <w:rPr>
          <w:sz w:val="20"/>
          <w:lang w:val="fr-CA"/>
        </w:rPr>
      </w:pPr>
      <w:r>
        <w:rPr>
          <w:sz w:val="20"/>
        </w:rPr>
        <w:pict>
          <v:rect id="_x0000_i1052" style="width:2in;height:1pt" o:hrpct="0" o:hralign="center" o:hrstd="t" o:hrnoshade="t" o:hr="t" fillcolor="black [3213]" stroked="f"/>
        </w:pict>
      </w:r>
    </w:p>
    <w:p w:rsidR="00E028BD" w:rsidRPr="000A2294" w:rsidRDefault="00E028BD" w:rsidP="00210D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D39" w:rsidRPr="000A2294" w:rsidTr="00E95A6A">
        <w:tc>
          <w:tcPr>
            <w:tcW w:w="543" w:type="pct"/>
          </w:tcPr>
          <w:p w:rsidR="00210D39" w:rsidRPr="000A2294" w:rsidRDefault="00210D39" w:rsidP="00210D39">
            <w:pPr>
              <w:jc w:val="both"/>
              <w:rPr>
                <w:sz w:val="20"/>
              </w:rPr>
            </w:pPr>
            <w:r w:rsidRPr="000A2294">
              <w:rPr>
                <w:rStyle w:val="SCCFileNumberChar"/>
                <w:sz w:val="20"/>
                <w:szCs w:val="20"/>
              </w:rPr>
              <w:t>40556</w:t>
            </w:r>
          </w:p>
        </w:tc>
        <w:tc>
          <w:tcPr>
            <w:tcW w:w="4457" w:type="pct"/>
            <w:gridSpan w:val="3"/>
          </w:tcPr>
          <w:p w:rsidR="00210D39" w:rsidRPr="000A2294" w:rsidRDefault="00210D39" w:rsidP="00210D39">
            <w:pPr>
              <w:pStyle w:val="SCCLsocParty"/>
              <w:jc w:val="both"/>
              <w:rPr>
                <w:b/>
                <w:sz w:val="20"/>
                <w:szCs w:val="20"/>
                <w:lang w:val="en-US"/>
              </w:rPr>
            </w:pPr>
            <w:r w:rsidRPr="000A2294">
              <w:rPr>
                <w:b/>
                <w:sz w:val="20"/>
                <w:szCs w:val="20"/>
                <w:lang w:val="en-US"/>
              </w:rPr>
              <w:t>His Majesty the King in Right of the Province of British Columbia v. Apotex Inc., Bristol-Myers Squibb Canada, Bristol-Myers Squibb Company, Mylan Pharmaceutical ULC, Janssen Inc., Sandoz Canada Inc., Teva Canada Limited, Teva Canada Innovation G.P. – S.E.N.C., Actavis Pharma Company, Ranbaxy Pharmaceuticals Canada Inc., Pharmascience Inc., Imperial Distributors Canada Inc., LPG Inventory Solutions, McKesson Canada Corporation, Noramco Inc., Sanis Health Inc., Shoppers Drug Mart Inc., Valeant Canada LP / Valeant Canada S.E.C., Bausch Health Companies Inc., Paladin Labs, Endo Pharmaceuticals Inc., Endo International PLC and Endo Ventures Ltd. – and – Apotex Pharmaceutical Holdings, Inc., Johnson &amp; Johnson, Ethypharm Inc., Joddes Limited, Pro Doc Limitée, The Jean Coutu Group (PJC) Inc., Purdue Frederick Inc., Purdue Pharma Inc., Purdue Pharma L.P., The Purdue Frederick Company Inc., Sun Pharmaceutical Industries Ltd., Hikma Pharmaceuticals PLC, Hikma Labs Inc., West-Ward Columbus Inc., Roxane Laboratories Inc., Boehringer Ingelheim (Canada) Ltd. / Boehringer Ingelheim (Canada) Ltée., Teva Pharmaceuticals USA, Inc., Teva Pharmaceutical Industries Ltd., Amerisourcebergen Canada Corporation, Kohl &amp; Frisch Distribution Inc., Kohl &amp; Frisch Limited, Procurity Inc., Procurity Pharmacy Services Inc., Unipharm Wholesale Drugs Ltd., McKesson Corporation and Nu-Quest Distribution Inc.</w:t>
            </w:r>
          </w:p>
          <w:p w:rsidR="00210D39" w:rsidRPr="000A2294" w:rsidRDefault="00210D39" w:rsidP="00210D39">
            <w:pPr>
              <w:jc w:val="both"/>
              <w:rPr>
                <w:sz w:val="20"/>
              </w:rPr>
            </w:pPr>
            <w:r w:rsidRPr="000A2294">
              <w:rPr>
                <w:sz w:val="20"/>
              </w:rPr>
              <w:t>(B.C.) (Civil) (By Leave)</w:t>
            </w:r>
          </w:p>
        </w:tc>
      </w:tr>
      <w:tr w:rsidR="00210D39" w:rsidRPr="000A2294" w:rsidTr="00E95A6A">
        <w:tc>
          <w:tcPr>
            <w:tcW w:w="5000" w:type="pct"/>
            <w:gridSpan w:val="4"/>
          </w:tcPr>
          <w:p w:rsidR="00210D39" w:rsidRPr="000A2294" w:rsidRDefault="00210D39" w:rsidP="00210D39">
            <w:pPr>
              <w:jc w:val="both"/>
              <w:rPr>
                <w:sz w:val="20"/>
              </w:rPr>
            </w:pPr>
            <w:r w:rsidRPr="000A2294">
              <w:rPr>
                <w:sz w:val="20"/>
              </w:rPr>
              <w:t xml:space="preserve">Civil procedure — Class actions — Pleadings — Applicant seeking to further amend pleadings to add, </w:t>
            </w:r>
            <w:r w:rsidRPr="000A2294">
              <w:rPr>
                <w:i/>
                <w:sz w:val="20"/>
              </w:rPr>
              <w:t>inter alia</w:t>
            </w:r>
            <w:r w:rsidRPr="000A2294">
              <w:rPr>
                <w:sz w:val="20"/>
              </w:rPr>
              <w:t>, the cause of action of public nuisance, clarify its other causes of action, and leave to add certain other proposed defendants — Numerous defendants applying to strike aspects of the applicant’s notice of civil claim – What is the legal test for the tort of public nuisance? — Is public nuisance limited to circumstances where a plaintiff alleges interference with public rights of way or tangible public resources, or can it apply more broadly to circumstances where a defendant interfered with the public’s interest in health, safety, morality, comfort or convenience? — Is the public nuisance doctrine categorically unavailable in circumstances involving the marketing, production or distribution of harmful products?</w:t>
            </w:r>
          </w:p>
          <w:p w:rsidR="00210D39" w:rsidRPr="000A2294" w:rsidRDefault="00210D39" w:rsidP="00210D39">
            <w:pPr>
              <w:jc w:val="both"/>
              <w:rPr>
                <w:sz w:val="20"/>
              </w:rPr>
            </w:pPr>
          </w:p>
        </w:tc>
      </w:tr>
      <w:tr w:rsidR="00210D39" w:rsidRPr="000A2294" w:rsidTr="00E95A6A">
        <w:tc>
          <w:tcPr>
            <w:tcW w:w="5000" w:type="pct"/>
            <w:gridSpan w:val="4"/>
          </w:tcPr>
          <w:p w:rsidR="00210D39" w:rsidRPr="000A2294" w:rsidRDefault="00210D39" w:rsidP="00210D39">
            <w:pPr>
              <w:jc w:val="both"/>
              <w:rPr>
                <w:sz w:val="20"/>
              </w:rPr>
            </w:pPr>
            <w:r w:rsidRPr="000A2294">
              <w:rPr>
                <w:sz w:val="20"/>
              </w:rPr>
              <w:t xml:space="preserve">This is a putative class action in which the proposed class is all federal, provincial and territorial governments that seek to recover damages and healthcare costs arising from the so-called opioid epidemic.  The action was commenced in 2018 by the Province of British Columbia (the “Province”) alleging that the defendants in the pharmaceutical industry had breached duties to consumers in the manufacture and distribution of opioid drugs causing an “epidemic” of addiction and imposing substantial health care and other costs on governments. The Province’s claims were brought, in part, under special legislation, the </w:t>
            </w:r>
            <w:r w:rsidRPr="000A2294">
              <w:rPr>
                <w:i/>
                <w:sz w:val="20"/>
              </w:rPr>
              <w:t>Opioid Damages and Health Care Costs Recovery Act</w:t>
            </w:r>
            <w:r w:rsidRPr="000A2294">
              <w:rPr>
                <w:sz w:val="20"/>
              </w:rPr>
              <w:t>, S.B.C. 2018, c. 35 (“</w:t>
            </w:r>
            <w:r w:rsidRPr="000A2294">
              <w:rPr>
                <w:i/>
                <w:sz w:val="20"/>
              </w:rPr>
              <w:t>ORA</w:t>
            </w:r>
            <w:r w:rsidRPr="000A2294">
              <w:rPr>
                <w:sz w:val="20"/>
              </w:rPr>
              <w:t>”). The class has not yet been certified. The Province brought an application to amend their pleadings for a third time, in response to ongoing developments in the case and in order to add defendants to the claim. The respondents sought to strike portions of the pleadings.</w:t>
            </w:r>
          </w:p>
        </w:tc>
      </w:tr>
      <w:tr w:rsidR="00210D39" w:rsidRPr="000A2294" w:rsidTr="00E95A6A">
        <w:tc>
          <w:tcPr>
            <w:tcW w:w="5000" w:type="pct"/>
            <w:gridSpan w:val="4"/>
          </w:tcPr>
          <w:p w:rsidR="00210D39" w:rsidRPr="000A2294" w:rsidRDefault="00210D39" w:rsidP="00210D39">
            <w:pPr>
              <w:jc w:val="both"/>
              <w:rPr>
                <w:sz w:val="20"/>
              </w:rPr>
            </w:pPr>
          </w:p>
        </w:tc>
      </w:tr>
      <w:tr w:rsidR="00210D39" w:rsidRPr="000A2294" w:rsidTr="00E95A6A">
        <w:tc>
          <w:tcPr>
            <w:tcW w:w="2427" w:type="pct"/>
            <w:gridSpan w:val="2"/>
          </w:tcPr>
          <w:p w:rsidR="00210D39" w:rsidRPr="000A2294" w:rsidRDefault="00210D39" w:rsidP="00210D39">
            <w:pPr>
              <w:jc w:val="both"/>
              <w:rPr>
                <w:sz w:val="20"/>
              </w:rPr>
            </w:pPr>
            <w:r w:rsidRPr="000A2294">
              <w:rPr>
                <w:sz w:val="20"/>
              </w:rPr>
              <w:t>January 4, 2022</w:t>
            </w:r>
          </w:p>
          <w:p w:rsidR="00210D39" w:rsidRPr="000A2294" w:rsidRDefault="00210D39" w:rsidP="00210D39">
            <w:pPr>
              <w:jc w:val="both"/>
              <w:rPr>
                <w:sz w:val="20"/>
              </w:rPr>
            </w:pPr>
            <w:r w:rsidRPr="000A2294">
              <w:rPr>
                <w:sz w:val="20"/>
              </w:rPr>
              <w:t>Supreme Court of British Columbia</w:t>
            </w:r>
          </w:p>
          <w:p w:rsidR="00210D39" w:rsidRPr="000A2294" w:rsidRDefault="00210D39" w:rsidP="00210D39">
            <w:pPr>
              <w:jc w:val="both"/>
              <w:rPr>
                <w:sz w:val="20"/>
              </w:rPr>
            </w:pPr>
            <w:r w:rsidRPr="000A2294">
              <w:rPr>
                <w:sz w:val="20"/>
              </w:rPr>
              <w:t>(Brundrett J.)</w:t>
            </w:r>
          </w:p>
          <w:p w:rsidR="00210D39" w:rsidRPr="000A2294" w:rsidRDefault="00F935FF" w:rsidP="00210D39">
            <w:pPr>
              <w:jc w:val="both"/>
              <w:rPr>
                <w:sz w:val="20"/>
              </w:rPr>
            </w:pPr>
            <w:hyperlink r:id="rId93" w:history="1">
              <w:r w:rsidR="00210D39" w:rsidRPr="000A2294">
                <w:rPr>
                  <w:rStyle w:val="Hyperlink"/>
                  <w:sz w:val="20"/>
                </w:rPr>
                <w:t>2022 BCSC 1</w:t>
              </w:r>
            </w:hyperlink>
            <w:r w:rsidR="00210D39" w:rsidRPr="000A2294">
              <w:rPr>
                <w:sz w:val="20"/>
              </w:rPr>
              <w:t xml:space="preserve"> </w:t>
            </w:r>
          </w:p>
          <w:p w:rsidR="00210D39" w:rsidRPr="000A2294" w:rsidRDefault="00210D39" w:rsidP="00210D39">
            <w:pPr>
              <w:jc w:val="both"/>
              <w:rPr>
                <w:sz w:val="20"/>
              </w:rPr>
            </w:pPr>
          </w:p>
        </w:tc>
        <w:tc>
          <w:tcPr>
            <w:tcW w:w="243" w:type="pct"/>
          </w:tcPr>
          <w:p w:rsidR="00210D39" w:rsidRPr="000A2294" w:rsidRDefault="00210D39" w:rsidP="00210D39">
            <w:pPr>
              <w:jc w:val="both"/>
              <w:rPr>
                <w:sz w:val="20"/>
              </w:rPr>
            </w:pPr>
          </w:p>
        </w:tc>
        <w:tc>
          <w:tcPr>
            <w:tcW w:w="2330" w:type="pct"/>
          </w:tcPr>
          <w:p w:rsidR="00210D39" w:rsidRPr="000A2294" w:rsidRDefault="00210D39" w:rsidP="00210D39">
            <w:pPr>
              <w:jc w:val="both"/>
              <w:rPr>
                <w:sz w:val="20"/>
              </w:rPr>
            </w:pPr>
            <w:r w:rsidRPr="000A2294">
              <w:rPr>
                <w:sz w:val="20"/>
              </w:rPr>
              <w:t>Applicant’s application for leave to further amend its notice of civil claim granted. Respondents’ motions to strike various claims and reference to common design dismissed. Applicant’s application to add Noramco as a defendant granted.</w:t>
            </w:r>
          </w:p>
          <w:p w:rsidR="00210D39" w:rsidRPr="000A2294" w:rsidRDefault="00210D39" w:rsidP="00210D39">
            <w:pPr>
              <w:jc w:val="both"/>
              <w:rPr>
                <w:sz w:val="20"/>
              </w:rPr>
            </w:pPr>
          </w:p>
        </w:tc>
      </w:tr>
      <w:tr w:rsidR="00210D39" w:rsidRPr="000A2294" w:rsidTr="00E95A6A">
        <w:tc>
          <w:tcPr>
            <w:tcW w:w="2427" w:type="pct"/>
            <w:gridSpan w:val="2"/>
          </w:tcPr>
          <w:p w:rsidR="00210D39" w:rsidRPr="000A2294" w:rsidRDefault="00210D39" w:rsidP="00210D39">
            <w:pPr>
              <w:jc w:val="both"/>
              <w:rPr>
                <w:sz w:val="20"/>
              </w:rPr>
            </w:pPr>
            <w:r w:rsidRPr="000A2294">
              <w:rPr>
                <w:sz w:val="20"/>
              </w:rPr>
              <w:t>November 2, 2022</w:t>
            </w:r>
          </w:p>
          <w:p w:rsidR="00210D39" w:rsidRPr="000A2294" w:rsidRDefault="00210D39" w:rsidP="00210D39">
            <w:pPr>
              <w:jc w:val="both"/>
              <w:rPr>
                <w:sz w:val="20"/>
              </w:rPr>
            </w:pPr>
            <w:r w:rsidRPr="000A2294">
              <w:rPr>
                <w:sz w:val="20"/>
              </w:rPr>
              <w:t>Court of Appeal for British Columbia</w:t>
            </w:r>
          </w:p>
          <w:p w:rsidR="00210D39" w:rsidRPr="000A2294" w:rsidRDefault="00210D39" w:rsidP="00210D39">
            <w:pPr>
              <w:jc w:val="both"/>
              <w:rPr>
                <w:sz w:val="20"/>
              </w:rPr>
            </w:pPr>
            <w:r w:rsidRPr="000A2294">
              <w:rPr>
                <w:sz w:val="20"/>
              </w:rPr>
              <w:t>(Vancouver)</w:t>
            </w:r>
          </w:p>
          <w:p w:rsidR="00210D39" w:rsidRPr="000A2294" w:rsidRDefault="00210D39" w:rsidP="00210D39">
            <w:pPr>
              <w:jc w:val="both"/>
              <w:rPr>
                <w:sz w:val="20"/>
              </w:rPr>
            </w:pPr>
            <w:r w:rsidRPr="000A2294">
              <w:rPr>
                <w:sz w:val="20"/>
              </w:rPr>
              <w:t>(Bauman, Newbury and Harris JJ.A.)</w:t>
            </w:r>
          </w:p>
          <w:p w:rsidR="00210D39" w:rsidRPr="000A2294" w:rsidRDefault="00F935FF" w:rsidP="00210D39">
            <w:pPr>
              <w:jc w:val="both"/>
              <w:rPr>
                <w:sz w:val="20"/>
              </w:rPr>
            </w:pPr>
            <w:hyperlink r:id="rId94" w:history="1">
              <w:r w:rsidR="00210D39" w:rsidRPr="000A2294">
                <w:rPr>
                  <w:rStyle w:val="Hyperlink"/>
                  <w:sz w:val="20"/>
                </w:rPr>
                <w:t>2022 BCCA 366</w:t>
              </w:r>
            </w:hyperlink>
          </w:p>
        </w:tc>
        <w:tc>
          <w:tcPr>
            <w:tcW w:w="243" w:type="pct"/>
          </w:tcPr>
          <w:p w:rsidR="00210D39" w:rsidRPr="000A2294" w:rsidRDefault="00210D39" w:rsidP="00210D39">
            <w:pPr>
              <w:jc w:val="both"/>
              <w:rPr>
                <w:sz w:val="20"/>
              </w:rPr>
            </w:pPr>
          </w:p>
        </w:tc>
        <w:tc>
          <w:tcPr>
            <w:tcW w:w="2330" w:type="pct"/>
          </w:tcPr>
          <w:p w:rsidR="00210D39" w:rsidRPr="000A2294" w:rsidRDefault="00210D39" w:rsidP="00210D39">
            <w:pPr>
              <w:jc w:val="both"/>
              <w:rPr>
                <w:sz w:val="20"/>
              </w:rPr>
            </w:pPr>
            <w:r w:rsidRPr="000A2294">
              <w:rPr>
                <w:sz w:val="20"/>
              </w:rPr>
              <w:t>Respondents’ appeal dismissed except with respect to cause of action in public nuisance.  Applicant’s public nuisance claim struck.</w:t>
            </w:r>
          </w:p>
          <w:p w:rsidR="00210D39" w:rsidRPr="000A2294" w:rsidRDefault="00210D39" w:rsidP="00210D39">
            <w:pPr>
              <w:jc w:val="both"/>
              <w:rPr>
                <w:sz w:val="20"/>
              </w:rPr>
            </w:pPr>
          </w:p>
        </w:tc>
      </w:tr>
      <w:tr w:rsidR="00210D39" w:rsidRPr="000A2294" w:rsidTr="00E95A6A">
        <w:tc>
          <w:tcPr>
            <w:tcW w:w="2427" w:type="pct"/>
            <w:gridSpan w:val="2"/>
          </w:tcPr>
          <w:p w:rsidR="00210D39" w:rsidRPr="000A2294" w:rsidRDefault="00210D39" w:rsidP="00210D39">
            <w:pPr>
              <w:jc w:val="both"/>
              <w:rPr>
                <w:sz w:val="20"/>
              </w:rPr>
            </w:pPr>
          </w:p>
          <w:p w:rsidR="00210D39" w:rsidRPr="000A2294" w:rsidRDefault="00210D39" w:rsidP="00210D39">
            <w:pPr>
              <w:jc w:val="both"/>
              <w:rPr>
                <w:sz w:val="20"/>
              </w:rPr>
            </w:pPr>
            <w:r w:rsidRPr="000A2294">
              <w:rPr>
                <w:sz w:val="20"/>
              </w:rPr>
              <w:t>January 3, 2023</w:t>
            </w:r>
          </w:p>
          <w:p w:rsidR="00210D39" w:rsidRPr="000A2294" w:rsidRDefault="00210D39" w:rsidP="00210D39">
            <w:pPr>
              <w:jc w:val="both"/>
              <w:rPr>
                <w:sz w:val="20"/>
              </w:rPr>
            </w:pPr>
            <w:r w:rsidRPr="000A2294">
              <w:rPr>
                <w:sz w:val="20"/>
              </w:rPr>
              <w:t>Supreme Court of Canada</w:t>
            </w:r>
          </w:p>
        </w:tc>
        <w:tc>
          <w:tcPr>
            <w:tcW w:w="243" w:type="pct"/>
          </w:tcPr>
          <w:p w:rsidR="00210D39" w:rsidRPr="000A2294" w:rsidRDefault="00210D39" w:rsidP="00210D39">
            <w:pPr>
              <w:jc w:val="both"/>
              <w:rPr>
                <w:sz w:val="20"/>
              </w:rPr>
            </w:pPr>
          </w:p>
        </w:tc>
        <w:tc>
          <w:tcPr>
            <w:tcW w:w="2330" w:type="pct"/>
          </w:tcPr>
          <w:p w:rsidR="00210D39" w:rsidRPr="000A2294" w:rsidRDefault="00210D39" w:rsidP="00210D39">
            <w:pPr>
              <w:jc w:val="both"/>
              <w:rPr>
                <w:sz w:val="20"/>
              </w:rPr>
            </w:pPr>
          </w:p>
          <w:p w:rsidR="00210D39" w:rsidRPr="000A2294" w:rsidRDefault="00210D39" w:rsidP="00210D39">
            <w:pPr>
              <w:jc w:val="both"/>
              <w:rPr>
                <w:sz w:val="20"/>
              </w:rPr>
            </w:pPr>
            <w:r w:rsidRPr="000A2294">
              <w:rPr>
                <w:sz w:val="20"/>
              </w:rPr>
              <w:t>Application for leave to appeal filed</w:t>
            </w:r>
          </w:p>
          <w:p w:rsidR="00210D39" w:rsidRPr="000A2294" w:rsidRDefault="00210D39" w:rsidP="00210D39">
            <w:pPr>
              <w:jc w:val="both"/>
              <w:rPr>
                <w:sz w:val="20"/>
              </w:rPr>
            </w:pPr>
          </w:p>
        </w:tc>
      </w:tr>
    </w:tbl>
    <w:p w:rsidR="00210D39" w:rsidRPr="000A2294" w:rsidRDefault="00210D39" w:rsidP="00210D39">
      <w:pPr>
        <w:jc w:val="both"/>
        <w:rPr>
          <w:sz w:val="20"/>
        </w:rPr>
      </w:pPr>
    </w:p>
    <w:p w:rsidR="00210D39" w:rsidRPr="000A2294" w:rsidRDefault="00F935FF" w:rsidP="00210D39">
      <w:pPr>
        <w:jc w:val="both"/>
        <w:rPr>
          <w:sz w:val="20"/>
        </w:rPr>
      </w:pPr>
      <w:r>
        <w:rPr>
          <w:sz w:val="20"/>
        </w:rPr>
        <w:pict>
          <v:rect id="_x0000_i1053" style="width:2in;height:1pt" o:hrpct="0" o:hralign="center" o:hrstd="t" o:hrnoshade="t" o:hr="t" fillcolor="black [3213]" stroked="f"/>
        </w:pict>
      </w:r>
    </w:p>
    <w:p w:rsidR="00210D39" w:rsidRPr="000A2294" w:rsidRDefault="00210D39" w:rsidP="00210D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D39" w:rsidRPr="000A2294" w:rsidTr="00AA1FD4">
        <w:tc>
          <w:tcPr>
            <w:tcW w:w="543" w:type="pct"/>
          </w:tcPr>
          <w:p w:rsidR="00210D39" w:rsidRPr="000A2294" w:rsidRDefault="00210D39" w:rsidP="00210D39">
            <w:pPr>
              <w:jc w:val="both"/>
              <w:rPr>
                <w:sz w:val="20"/>
                <w:lang w:val="fr-CA"/>
              </w:rPr>
            </w:pPr>
            <w:r w:rsidRPr="000A2294">
              <w:rPr>
                <w:rStyle w:val="SCCFileNumberChar"/>
                <w:sz w:val="20"/>
                <w:szCs w:val="20"/>
                <w:lang w:val="fr-CA"/>
              </w:rPr>
              <w:t>40556</w:t>
            </w:r>
          </w:p>
        </w:tc>
        <w:tc>
          <w:tcPr>
            <w:tcW w:w="4457" w:type="pct"/>
            <w:gridSpan w:val="3"/>
          </w:tcPr>
          <w:p w:rsidR="00210D39" w:rsidRPr="000A2294" w:rsidRDefault="00210D39" w:rsidP="00210D39">
            <w:pPr>
              <w:pStyle w:val="SCCLsocParty"/>
              <w:jc w:val="both"/>
              <w:rPr>
                <w:b/>
                <w:sz w:val="20"/>
                <w:szCs w:val="20"/>
              </w:rPr>
            </w:pPr>
            <w:r w:rsidRPr="000A2294">
              <w:rPr>
                <w:b/>
                <w:sz w:val="20"/>
                <w:szCs w:val="20"/>
              </w:rPr>
              <w:t>Sa Majesté le Roi du chef de la province de la Colombie-Britannique c. Apotex Inc., La Société Bristol-Myers Squibb Canada, Bristol-Myers Squibb Company, Mylan Pharmaceutical ULC, Janssen Inc., Sandoz Canada Inc., Teva Canada Limitée, Teva Canada Innovation G.P. – S.E.N.C., Actavis Pharma Company, Ranbaxy Pharmaceuticals Canada Inc., Pharmascience Inc., Imperial Distributors Canada Inc., LPG Inventory Solutions, La Corporation McKesson Canada, Noramco Inc., Sanis Health Inc., Shoppers Drug Mart Inc., Valeant Canada LP / Valeant Canada S.E.C., Bausch Health Companies Inc., Paladin Labs, Endo Pharmaceuticals Inc., Endo International PLC et Endo Ventures Ltd. - et - Apotex Pharmaceutical Holdings, Inc., Johnson &amp; Johnson, Ethypharm Inc., Joddes Limited, Pro Doc Limitée, The Jean Coutu Group (PJC) Inc., Purdue Frederick Inc., Purdue Pharma Inc., Purdue Pharma L.P., The Purdue Frederick Company Inc., Sun Pharmaceutical Industries Ltd., Hikma Pharmaceuticals PLC, Hikma Labs Inc., West-Ward Columbus Inc., Roxane Laboratories Inc., Boehringer Ingelheim (Canada) Ltd. / Boehringer Ingelheim (Canada) Ltée., Teva Pharmaceuticals USA, Inc., Teva Pharmaceutical Industries Ltd., Amerisourcebergen Canada Corporation, Kohl &amp; Frisch Distribution Inc., Kohl &amp; Frisch Limited, Procurity Inc., Procurity Pharmacy Services Inc., Unipharm Wholesale Drugs Ltd., McKesson Corporation et Nu-Quest Distribution Inc.</w:t>
            </w:r>
          </w:p>
          <w:p w:rsidR="00210D39" w:rsidRPr="000A2294" w:rsidRDefault="00210D39" w:rsidP="00210D39">
            <w:pPr>
              <w:jc w:val="both"/>
              <w:rPr>
                <w:sz w:val="20"/>
                <w:lang w:val="fr-CA"/>
              </w:rPr>
            </w:pPr>
            <w:r w:rsidRPr="000A2294">
              <w:rPr>
                <w:sz w:val="20"/>
                <w:lang w:val="fr-CA"/>
              </w:rPr>
              <w:t>(C.-B.) (Civile) (Autorisation)</w:t>
            </w:r>
          </w:p>
        </w:tc>
      </w:tr>
      <w:tr w:rsidR="00210D39" w:rsidRPr="00F935FF" w:rsidTr="00AA1FD4">
        <w:tc>
          <w:tcPr>
            <w:tcW w:w="5000" w:type="pct"/>
            <w:gridSpan w:val="4"/>
          </w:tcPr>
          <w:p w:rsidR="00210D39" w:rsidRPr="000A2294" w:rsidRDefault="00210D39" w:rsidP="00210D39">
            <w:pPr>
              <w:jc w:val="both"/>
              <w:rPr>
                <w:sz w:val="20"/>
                <w:lang w:val="fr-CA"/>
              </w:rPr>
            </w:pPr>
            <w:r w:rsidRPr="000A2294">
              <w:rPr>
                <w:sz w:val="20"/>
                <w:lang w:val="fr-CA"/>
              </w:rPr>
              <w:t xml:space="preserve">Procédure civile — Recours collectifs — Actes de procédure — Demandeur sollicitant une autre modification des actes de procédure afin d’ajouter, </w:t>
            </w:r>
            <w:r w:rsidRPr="000A2294">
              <w:rPr>
                <w:i/>
                <w:sz w:val="20"/>
                <w:lang w:val="fr-CA"/>
              </w:rPr>
              <w:t>inter alia</w:t>
            </w:r>
            <w:r w:rsidRPr="000A2294">
              <w:rPr>
                <w:sz w:val="20"/>
                <w:lang w:val="fr-CA"/>
              </w:rPr>
              <w:t xml:space="preserve">, la cause d’action de nuisance publique, des précisions quant à ses autres causes d’action, et l’autorisation d’ajouter certains autres défendeurs proposés — De nombreux défendeurs demandent la radiation des aspects de l’avis de poursuite civile du demandeur — Quel est le critère juridique pour le délit de nuisance publique? — La nuisance publique est-elle limitée aux circonstances où le demandeur avance une allégation d’interférence avec les droits de passage du public ou avec des ressources publiques concrètes ou peut-elle s’appliquer de façon plus vaste aux circonstances où un défendeur porte atteinte à l’intérêt du public relativement à des questions de santé, sécurité, moralité, confort ou commodité? — La théorie de la nuisance publique est-elle catégoriquement exclue dans les circonstances relatives à la commercialisation, la production ou la distribution de produits nocifs? </w:t>
            </w:r>
          </w:p>
          <w:p w:rsidR="00210D39" w:rsidRPr="000A2294" w:rsidRDefault="00210D39" w:rsidP="00210D39">
            <w:pPr>
              <w:jc w:val="both"/>
              <w:rPr>
                <w:sz w:val="20"/>
                <w:lang w:val="fr-CA"/>
              </w:rPr>
            </w:pPr>
          </w:p>
        </w:tc>
      </w:tr>
      <w:tr w:rsidR="00210D39" w:rsidRPr="00F935FF" w:rsidTr="00AA1FD4">
        <w:tc>
          <w:tcPr>
            <w:tcW w:w="5000" w:type="pct"/>
            <w:gridSpan w:val="4"/>
          </w:tcPr>
          <w:p w:rsidR="00210D39" w:rsidRPr="000A2294" w:rsidRDefault="00210D39" w:rsidP="00210D39">
            <w:pPr>
              <w:jc w:val="both"/>
              <w:rPr>
                <w:sz w:val="20"/>
                <w:lang w:val="fr-CA"/>
              </w:rPr>
            </w:pPr>
            <w:r w:rsidRPr="000A2294">
              <w:rPr>
                <w:sz w:val="20"/>
                <w:lang w:val="fr-CA"/>
              </w:rPr>
              <w:t xml:space="preserve">Il s’agit d’un projet de recours collectif dans lequel le groupe proposé est entièrement composé des gouvernements fédéral, provincial et territorial qui sollicitent des dommages-intérêts et le remboursement des coûts de soins de santé découlant de la soi-disant épidémie d’opioïdes. L’action a été intentée en 2018 par la province de la Colombie-Britannique (la « province ») qui soutenait que les défendeurs de l’industrie pharmaceutique avaient manqué à leurs obligations à l’égard des consommateurs dans la fabrication et la distribution des opioïdes, causant une « épidémie » de dépendance, et entraînant d’importants coûts en matière de soins de santé et d’autres coûts pour les gouvernements. Les allégations de la province ont été présentées en partie, en application d’une loi spéciale, </w:t>
            </w:r>
            <w:proofErr w:type="gramStart"/>
            <w:r w:rsidRPr="000A2294">
              <w:rPr>
                <w:sz w:val="20"/>
                <w:lang w:val="fr-CA"/>
              </w:rPr>
              <w:t xml:space="preserve">la </w:t>
            </w:r>
            <w:r w:rsidRPr="000A2294">
              <w:rPr>
                <w:i/>
                <w:sz w:val="20"/>
                <w:lang w:val="fr-CA"/>
              </w:rPr>
              <w:t>Opioid</w:t>
            </w:r>
            <w:proofErr w:type="gramEnd"/>
            <w:r w:rsidRPr="000A2294">
              <w:rPr>
                <w:i/>
                <w:sz w:val="20"/>
                <w:lang w:val="fr-CA"/>
              </w:rPr>
              <w:t xml:space="preserve"> Damages and Health Care Costs Recovery Act</w:t>
            </w:r>
            <w:r w:rsidRPr="000A2294">
              <w:rPr>
                <w:sz w:val="20"/>
                <w:lang w:val="fr-CA"/>
              </w:rPr>
              <w:t>, S.B.C. 2018, c. 35 (« ORA »). Le recours collectif n’a pas encore été certifié. La province a présenté une demande afin de modifier ses actes de procédure, une troisième fois, en réponse aux évolutions en cours dans l’affaire, et afin d’ajouter des défendeurs à la déclaration. Les défendeurs ont demandé la radiation des portions des actes de procédure.</w:t>
            </w:r>
          </w:p>
        </w:tc>
      </w:tr>
      <w:tr w:rsidR="00210D39" w:rsidRPr="00F935FF" w:rsidTr="00AA1FD4">
        <w:tc>
          <w:tcPr>
            <w:tcW w:w="5000" w:type="pct"/>
            <w:gridSpan w:val="4"/>
          </w:tcPr>
          <w:p w:rsidR="00210D39" w:rsidRPr="000A2294" w:rsidRDefault="00210D39" w:rsidP="00210D39">
            <w:pPr>
              <w:jc w:val="both"/>
              <w:rPr>
                <w:sz w:val="20"/>
                <w:lang w:val="fr-CA"/>
              </w:rPr>
            </w:pPr>
          </w:p>
        </w:tc>
      </w:tr>
      <w:tr w:rsidR="00210D39" w:rsidRPr="00F935FF" w:rsidTr="00AA1FD4">
        <w:tc>
          <w:tcPr>
            <w:tcW w:w="2427" w:type="pct"/>
            <w:gridSpan w:val="2"/>
          </w:tcPr>
          <w:p w:rsidR="00210D39" w:rsidRPr="000A2294" w:rsidRDefault="00210D39" w:rsidP="00210D39">
            <w:pPr>
              <w:jc w:val="both"/>
              <w:rPr>
                <w:sz w:val="20"/>
                <w:lang w:val="fr-CA"/>
              </w:rPr>
            </w:pPr>
            <w:r w:rsidRPr="000A2294">
              <w:rPr>
                <w:sz w:val="20"/>
                <w:lang w:val="fr-CA"/>
              </w:rPr>
              <w:t>4 janvier 2022</w:t>
            </w:r>
          </w:p>
          <w:p w:rsidR="00210D39" w:rsidRPr="000A2294" w:rsidRDefault="00210D39" w:rsidP="00210D39">
            <w:pPr>
              <w:jc w:val="both"/>
              <w:rPr>
                <w:sz w:val="20"/>
                <w:lang w:val="fr-CA"/>
              </w:rPr>
            </w:pPr>
            <w:r w:rsidRPr="000A2294">
              <w:rPr>
                <w:sz w:val="20"/>
                <w:lang w:val="fr-CA"/>
              </w:rPr>
              <w:t xml:space="preserve">Cour suprême de la Colombie-Britannique </w:t>
            </w:r>
          </w:p>
          <w:p w:rsidR="00210D39" w:rsidRPr="000A2294" w:rsidRDefault="00210D39" w:rsidP="00210D39">
            <w:pPr>
              <w:jc w:val="both"/>
              <w:rPr>
                <w:sz w:val="20"/>
                <w:lang w:val="fr-CA"/>
              </w:rPr>
            </w:pPr>
            <w:r w:rsidRPr="000A2294">
              <w:rPr>
                <w:sz w:val="20"/>
                <w:lang w:val="fr-CA"/>
              </w:rPr>
              <w:t>(juge Brundrett)</w:t>
            </w:r>
          </w:p>
          <w:p w:rsidR="00210D39" w:rsidRPr="000A2294" w:rsidRDefault="00F935FF" w:rsidP="00210D39">
            <w:pPr>
              <w:jc w:val="both"/>
              <w:rPr>
                <w:sz w:val="20"/>
                <w:lang w:val="fr-CA"/>
              </w:rPr>
            </w:pPr>
            <w:hyperlink r:id="rId95" w:history="1">
              <w:r w:rsidR="00210D39" w:rsidRPr="000A2294">
                <w:rPr>
                  <w:rStyle w:val="Hyperlink"/>
                  <w:sz w:val="20"/>
                  <w:lang w:val="fr-CA"/>
                </w:rPr>
                <w:t>2022 BCSC 1</w:t>
              </w:r>
            </w:hyperlink>
            <w:r w:rsidR="00210D39" w:rsidRPr="000A2294">
              <w:rPr>
                <w:sz w:val="20"/>
                <w:lang w:val="fr-CA"/>
              </w:rPr>
              <w:t xml:space="preserve"> </w:t>
            </w:r>
          </w:p>
          <w:p w:rsidR="00210D39" w:rsidRPr="000A2294" w:rsidRDefault="00210D39" w:rsidP="00210D39">
            <w:pPr>
              <w:jc w:val="both"/>
              <w:rPr>
                <w:sz w:val="20"/>
                <w:lang w:val="fr-CA"/>
              </w:rPr>
            </w:pPr>
          </w:p>
        </w:tc>
        <w:tc>
          <w:tcPr>
            <w:tcW w:w="243" w:type="pct"/>
          </w:tcPr>
          <w:p w:rsidR="00210D39" w:rsidRPr="000A2294" w:rsidRDefault="00210D39" w:rsidP="00210D39">
            <w:pPr>
              <w:jc w:val="both"/>
              <w:rPr>
                <w:sz w:val="20"/>
                <w:lang w:val="fr-CA"/>
              </w:rPr>
            </w:pPr>
          </w:p>
        </w:tc>
        <w:tc>
          <w:tcPr>
            <w:tcW w:w="2330" w:type="pct"/>
          </w:tcPr>
          <w:p w:rsidR="00210D39" w:rsidRPr="000A2294" w:rsidRDefault="00210D39" w:rsidP="00210D39">
            <w:pPr>
              <w:jc w:val="both"/>
              <w:rPr>
                <w:sz w:val="20"/>
                <w:lang w:val="fr-CA"/>
              </w:rPr>
            </w:pPr>
            <w:r w:rsidRPr="000A2294">
              <w:rPr>
                <w:sz w:val="20"/>
                <w:lang w:val="fr-CA"/>
              </w:rPr>
              <w:t>Demande présentée par le demandeur en vue de modifier davantage son avis de déclaration civile, accueillie. Rejet de la requête en radiation des défendeurs visant différentes demandes et références au dessein commun. Demande présentée par le demandeur afin d’ajouter Noramco en guise défendeur, accueillie.</w:t>
            </w:r>
          </w:p>
          <w:p w:rsidR="00210D39" w:rsidRPr="000A2294" w:rsidRDefault="00210D39" w:rsidP="00210D39">
            <w:pPr>
              <w:jc w:val="both"/>
              <w:rPr>
                <w:sz w:val="20"/>
                <w:lang w:val="fr-CA"/>
              </w:rPr>
            </w:pPr>
          </w:p>
        </w:tc>
      </w:tr>
      <w:tr w:rsidR="00210D39" w:rsidRPr="000A2294" w:rsidTr="00AA1FD4">
        <w:tc>
          <w:tcPr>
            <w:tcW w:w="2427" w:type="pct"/>
            <w:gridSpan w:val="2"/>
          </w:tcPr>
          <w:p w:rsidR="00210D39" w:rsidRPr="000A2294" w:rsidRDefault="00210D39" w:rsidP="00210D39">
            <w:pPr>
              <w:jc w:val="both"/>
              <w:rPr>
                <w:sz w:val="20"/>
                <w:lang w:val="fr-CA"/>
              </w:rPr>
            </w:pPr>
            <w:r w:rsidRPr="000A2294">
              <w:rPr>
                <w:sz w:val="20"/>
                <w:lang w:val="fr-CA"/>
              </w:rPr>
              <w:t>2 novembre 2022</w:t>
            </w:r>
          </w:p>
          <w:p w:rsidR="00210D39" w:rsidRPr="000A2294" w:rsidRDefault="00210D39" w:rsidP="00210D39">
            <w:pPr>
              <w:jc w:val="both"/>
              <w:rPr>
                <w:sz w:val="20"/>
                <w:lang w:val="fr-CA"/>
              </w:rPr>
            </w:pPr>
            <w:r w:rsidRPr="000A2294">
              <w:rPr>
                <w:sz w:val="20"/>
                <w:lang w:val="fr-CA"/>
              </w:rPr>
              <w:t xml:space="preserve">Cour d’appel de la Colombie-Britannique </w:t>
            </w:r>
          </w:p>
          <w:p w:rsidR="00210D39" w:rsidRPr="000A2294" w:rsidRDefault="00210D39" w:rsidP="00210D39">
            <w:pPr>
              <w:jc w:val="both"/>
              <w:rPr>
                <w:sz w:val="20"/>
                <w:lang w:val="fr-CA"/>
              </w:rPr>
            </w:pPr>
            <w:r w:rsidRPr="000A2294">
              <w:rPr>
                <w:sz w:val="20"/>
                <w:lang w:val="fr-CA"/>
              </w:rPr>
              <w:t>(Vancouver)</w:t>
            </w:r>
          </w:p>
          <w:p w:rsidR="00210D39" w:rsidRPr="000A2294" w:rsidRDefault="00210D39" w:rsidP="00210D39">
            <w:pPr>
              <w:jc w:val="both"/>
              <w:rPr>
                <w:sz w:val="20"/>
                <w:lang w:val="fr-CA"/>
              </w:rPr>
            </w:pPr>
            <w:r w:rsidRPr="000A2294">
              <w:rPr>
                <w:sz w:val="20"/>
                <w:lang w:val="fr-CA"/>
              </w:rPr>
              <w:t>(juges Bauman, Newbury et Harris)</w:t>
            </w:r>
          </w:p>
          <w:p w:rsidR="00210D39" w:rsidRPr="000A2294" w:rsidRDefault="00F935FF" w:rsidP="00210D39">
            <w:pPr>
              <w:jc w:val="both"/>
              <w:rPr>
                <w:rStyle w:val="Hyperlink"/>
                <w:sz w:val="20"/>
                <w:lang w:val="fr-CA"/>
              </w:rPr>
            </w:pPr>
            <w:hyperlink r:id="rId96" w:history="1">
              <w:r w:rsidR="00210D39" w:rsidRPr="000A2294">
                <w:rPr>
                  <w:rStyle w:val="Hyperlink"/>
                  <w:sz w:val="20"/>
                  <w:lang w:val="fr-CA"/>
                </w:rPr>
                <w:t>2022 BCCA 366</w:t>
              </w:r>
            </w:hyperlink>
          </w:p>
          <w:p w:rsidR="00210D39" w:rsidRPr="000A2294" w:rsidRDefault="00210D39" w:rsidP="00210D39">
            <w:pPr>
              <w:jc w:val="both"/>
              <w:rPr>
                <w:sz w:val="20"/>
                <w:lang w:val="fr-CA"/>
              </w:rPr>
            </w:pPr>
          </w:p>
        </w:tc>
        <w:tc>
          <w:tcPr>
            <w:tcW w:w="243" w:type="pct"/>
          </w:tcPr>
          <w:p w:rsidR="00210D39" w:rsidRPr="000A2294" w:rsidRDefault="00210D39" w:rsidP="00210D39">
            <w:pPr>
              <w:jc w:val="both"/>
              <w:rPr>
                <w:sz w:val="20"/>
                <w:lang w:val="fr-CA"/>
              </w:rPr>
            </w:pPr>
          </w:p>
        </w:tc>
        <w:tc>
          <w:tcPr>
            <w:tcW w:w="2330" w:type="pct"/>
          </w:tcPr>
          <w:p w:rsidR="00210D39" w:rsidRPr="000A2294" w:rsidRDefault="00210D39" w:rsidP="00210D39">
            <w:pPr>
              <w:jc w:val="both"/>
              <w:rPr>
                <w:sz w:val="20"/>
                <w:lang w:val="fr-CA"/>
              </w:rPr>
            </w:pPr>
            <w:r w:rsidRPr="000A2294">
              <w:rPr>
                <w:sz w:val="20"/>
                <w:lang w:val="fr-CA"/>
              </w:rPr>
              <w:t>Rejet de l’appel des défendeurs excepté en ce qui concerne la cause d’action de nuisance publique. Radiation de l’action en nuisance publique du demandeur.</w:t>
            </w:r>
          </w:p>
          <w:p w:rsidR="00210D39" w:rsidRPr="000A2294" w:rsidRDefault="00210D39" w:rsidP="00210D39">
            <w:pPr>
              <w:jc w:val="both"/>
              <w:rPr>
                <w:sz w:val="20"/>
                <w:lang w:val="fr-CA"/>
              </w:rPr>
            </w:pPr>
          </w:p>
        </w:tc>
      </w:tr>
      <w:tr w:rsidR="00210D39" w:rsidRPr="000A2294" w:rsidTr="00AA1FD4">
        <w:tc>
          <w:tcPr>
            <w:tcW w:w="2427" w:type="pct"/>
            <w:gridSpan w:val="2"/>
          </w:tcPr>
          <w:p w:rsidR="00210D39" w:rsidRPr="000A2294" w:rsidRDefault="00210D39" w:rsidP="00210D39">
            <w:pPr>
              <w:jc w:val="both"/>
              <w:rPr>
                <w:sz w:val="20"/>
                <w:lang w:val="fr-CA"/>
              </w:rPr>
            </w:pPr>
            <w:r w:rsidRPr="000A2294">
              <w:rPr>
                <w:sz w:val="20"/>
                <w:lang w:val="fr-CA"/>
              </w:rPr>
              <w:t>3 janvier 2023</w:t>
            </w:r>
          </w:p>
          <w:p w:rsidR="00210D39" w:rsidRPr="000A2294" w:rsidRDefault="00210D39" w:rsidP="00210D39">
            <w:pPr>
              <w:jc w:val="both"/>
              <w:rPr>
                <w:sz w:val="20"/>
                <w:lang w:val="fr-CA"/>
              </w:rPr>
            </w:pPr>
            <w:r w:rsidRPr="000A2294">
              <w:rPr>
                <w:sz w:val="20"/>
                <w:lang w:val="fr-CA"/>
              </w:rPr>
              <w:t>Cour suprême du Canada</w:t>
            </w:r>
          </w:p>
        </w:tc>
        <w:tc>
          <w:tcPr>
            <w:tcW w:w="243" w:type="pct"/>
          </w:tcPr>
          <w:p w:rsidR="00210D39" w:rsidRPr="000A2294" w:rsidRDefault="00210D39" w:rsidP="00210D39">
            <w:pPr>
              <w:jc w:val="both"/>
              <w:rPr>
                <w:sz w:val="20"/>
                <w:lang w:val="fr-CA"/>
              </w:rPr>
            </w:pPr>
          </w:p>
        </w:tc>
        <w:tc>
          <w:tcPr>
            <w:tcW w:w="2330" w:type="pct"/>
          </w:tcPr>
          <w:p w:rsidR="00210D39" w:rsidRPr="000A2294" w:rsidRDefault="00210D39" w:rsidP="00210D39">
            <w:pPr>
              <w:jc w:val="both"/>
              <w:rPr>
                <w:sz w:val="20"/>
                <w:lang w:val="fr-CA"/>
              </w:rPr>
            </w:pPr>
            <w:r w:rsidRPr="000A2294">
              <w:rPr>
                <w:sz w:val="20"/>
                <w:lang w:val="fr-CA"/>
              </w:rPr>
              <w:t>Demande d’autorisation d’appel déposée</w:t>
            </w:r>
          </w:p>
          <w:p w:rsidR="00210D39" w:rsidRPr="000A2294" w:rsidRDefault="00210D39" w:rsidP="00210D39">
            <w:pPr>
              <w:jc w:val="both"/>
              <w:rPr>
                <w:sz w:val="20"/>
                <w:lang w:val="fr-CA"/>
              </w:rPr>
            </w:pPr>
          </w:p>
        </w:tc>
      </w:tr>
    </w:tbl>
    <w:p w:rsidR="00210D39" w:rsidRPr="000A2294" w:rsidRDefault="00210D39" w:rsidP="00210D39">
      <w:pPr>
        <w:jc w:val="both"/>
        <w:rPr>
          <w:sz w:val="20"/>
          <w:lang w:val="fr-CA"/>
        </w:rPr>
      </w:pPr>
    </w:p>
    <w:p w:rsidR="00E028BD" w:rsidRPr="000A2294" w:rsidRDefault="00F935FF" w:rsidP="00210D39">
      <w:pPr>
        <w:widowControl w:val="0"/>
        <w:jc w:val="both"/>
        <w:rPr>
          <w:sz w:val="20"/>
          <w:lang w:val="fr-CA"/>
        </w:rPr>
      </w:pPr>
      <w:r>
        <w:rPr>
          <w:sz w:val="20"/>
        </w:rPr>
        <w:pict>
          <v:rect id="_x0000_i1054" style="width:2in;height:1pt" o:hrpct="0" o:hralign="center" o:hrstd="t" o:hrnoshade="t" o:hr="t" fillcolor="black [3213]" stroked="f"/>
        </w:pict>
      </w:r>
    </w:p>
    <w:p w:rsidR="00E028BD" w:rsidRPr="000A2294" w:rsidRDefault="00E028BD" w:rsidP="00C11B6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1B6F" w:rsidRPr="000A2294" w:rsidTr="00E95A6A">
        <w:tc>
          <w:tcPr>
            <w:tcW w:w="543" w:type="pct"/>
          </w:tcPr>
          <w:p w:rsidR="00C11B6F" w:rsidRPr="000A2294" w:rsidRDefault="00C11B6F" w:rsidP="00C11B6F">
            <w:pPr>
              <w:jc w:val="both"/>
              <w:rPr>
                <w:sz w:val="20"/>
              </w:rPr>
            </w:pPr>
            <w:r w:rsidRPr="000A2294">
              <w:rPr>
                <w:rStyle w:val="SCCFileNumberChar"/>
                <w:sz w:val="20"/>
                <w:szCs w:val="20"/>
              </w:rPr>
              <w:t>40610</w:t>
            </w:r>
          </w:p>
        </w:tc>
        <w:tc>
          <w:tcPr>
            <w:tcW w:w="4457" w:type="pct"/>
            <w:gridSpan w:val="3"/>
          </w:tcPr>
          <w:p w:rsidR="00C11B6F" w:rsidRPr="000A2294" w:rsidRDefault="00C11B6F" w:rsidP="00C11B6F">
            <w:pPr>
              <w:pStyle w:val="SCCLsocParty"/>
              <w:jc w:val="both"/>
              <w:rPr>
                <w:b/>
                <w:sz w:val="20"/>
                <w:szCs w:val="20"/>
                <w:lang w:val="en-US"/>
              </w:rPr>
            </w:pPr>
            <w:r w:rsidRPr="000A2294">
              <w:rPr>
                <w:b/>
                <w:sz w:val="20"/>
                <w:szCs w:val="20"/>
                <w:lang w:val="en-US"/>
              </w:rPr>
              <w:t>Robyn Cove v. His Majesty the King</w:t>
            </w:r>
          </w:p>
          <w:p w:rsidR="00C11B6F" w:rsidRPr="000A2294" w:rsidRDefault="00C11B6F" w:rsidP="00C11B6F">
            <w:pPr>
              <w:jc w:val="both"/>
              <w:rPr>
                <w:sz w:val="20"/>
              </w:rPr>
            </w:pPr>
            <w:r w:rsidRPr="000A2294">
              <w:rPr>
                <w:sz w:val="20"/>
              </w:rPr>
              <w:t>(Ont.) (Criminal) (By Leave)</w:t>
            </w:r>
          </w:p>
        </w:tc>
      </w:tr>
      <w:tr w:rsidR="00C11B6F" w:rsidRPr="000A2294" w:rsidTr="00E95A6A">
        <w:tc>
          <w:tcPr>
            <w:tcW w:w="5000" w:type="pct"/>
            <w:gridSpan w:val="4"/>
          </w:tcPr>
          <w:p w:rsidR="00C11B6F" w:rsidRPr="000A2294" w:rsidRDefault="00C11B6F" w:rsidP="00C11B6F">
            <w:pPr>
              <w:pStyle w:val="SCCBanSummary"/>
              <w:rPr>
                <w:sz w:val="20"/>
                <w:szCs w:val="20"/>
              </w:rPr>
            </w:pPr>
            <w:r w:rsidRPr="000A2294">
              <w:rPr>
                <w:sz w:val="20"/>
                <w:szCs w:val="20"/>
              </w:rPr>
              <w:t>(Publication ban in case)</w:t>
            </w:r>
          </w:p>
          <w:p w:rsidR="00C11B6F" w:rsidRPr="000A2294" w:rsidRDefault="00C11B6F" w:rsidP="00C11B6F">
            <w:pPr>
              <w:jc w:val="both"/>
              <w:rPr>
                <w:sz w:val="20"/>
              </w:rPr>
            </w:pPr>
          </w:p>
          <w:p w:rsidR="00C11B6F" w:rsidRPr="000A2294" w:rsidRDefault="00C11B6F" w:rsidP="00C11B6F">
            <w:pPr>
              <w:jc w:val="both"/>
              <w:rPr>
                <w:sz w:val="20"/>
              </w:rPr>
            </w:pPr>
            <w:r w:rsidRPr="000A2294">
              <w:rPr>
                <w:sz w:val="20"/>
              </w:rPr>
              <w:t>Criminal law — Trial — Judicial interim release — Evidence at bail hearing — What role does admissibility of evidence at trial play in assessment of strength of prosecution’s case when assessing grounds for judicial interim release — Are bail judges restricted to examining whether evidence is credible or trustworthy when determining strength of Crown’s case or should admissibility issues affecting the viability of prosecution be considered — Can evidence that is categorically inadmissible against accused at trial bolster strength of Crown’s case at a bail hearing?</w:t>
            </w:r>
          </w:p>
        </w:tc>
      </w:tr>
      <w:tr w:rsidR="00C11B6F" w:rsidRPr="000A2294" w:rsidTr="00E95A6A">
        <w:tc>
          <w:tcPr>
            <w:tcW w:w="5000" w:type="pct"/>
            <w:gridSpan w:val="4"/>
          </w:tcPr>
          <w:p w:rsidR="00C11B6F" w:rsidRPr="000A2294" w:rsidRDefault="00C11B6F" w:rsidP="00C11B6F">
            <w:pPr>
              <w:jc w:val="both"/>
              <w:rPr>
                <w:sz w:val="20"/>
              </w:rPr>
            </w:pPr>
          </w:p>
          <w:p w:rsidR="00C11B6F" w:rsidRPr="000A2294" w:rsidRDefault="00C11B6F" w:rsidP="00C11B6F">
            <w:pPr>
              <w:widowControl w:val="0"/>
              <w:tabs>
                <w:tab w:val="left" w:pos="2016"/>
              </w:tabs>
              <w:kinsoku w:val="0"/>
              <w:overflowPunct w:val="0"/>
              <w:jc w:val="both"/>
              <w:textAlignment w:val="baseline"/>
              <w:rPr>
                <w:sz w:val="20"/>
              </w:rPr>
            </w:pPr>
            <w:r w:rsidRPr="000A2294">
              <w:rPr>
                <w:sz w:val="20"/>
              </w:rPr>
              <w:t>Mr. Cove is charged with first degree murder and is being held in custody pending trial. He applied for judicial interim release. Goodman J. denied bail and ordered that Mr. Cove should continue to be detained pending trial. Doherty J.A. dismissed an application to review the detention order.</w:t>
            </w:r>
          </w:p>
        </w:tc>
      </w:tr>
      <w:tr w:rsidR="00C11B6F" w:rsidRPr="000A2294" w:rsidTr="00E95A6A">
        <w:tc>
          <w:tcPr>
            <w:tcW w:w="5000" w:type="pct"/>
            <w:gridSpan w:val="4"/>
          </w:tcPr>
          <w:p w:rsidR="00C11B6F" w:rsidRPr="000A2294" w:rsidRDefault="00C11B6F" w:rsidP="00C11B6F">
            <w:pPr>
              <w:jc w:val="both"/>
              <w:rPr>
                <w:sz w:val="20"/>
              </w:rPr>
            </w:pPr>
          </w:p>
        </w:tc>
      </w:tr>
      <w:tr w:rsidR="00C11B6F" w:rsidRPr="000A2294" w:rsidTr="00E95A6A">
        <w:tc>
          <w:tcPr>
            <w:tcW w:w="2427" w:type="pct"/>
            <w:gridSpan w:val="2"/>
          </w:tcPr>
          <w:p w:rsidR="00C11B6F" w:rsidRPr="000A2294" w:rsidRDefault="00C11B6F" w:rsidP="00C11B6F">
            <w:pPr>
              <w:jc w:val="both"/>
              <w:rPr>
                <w:sz w:val="20"/>
              </w:rPr>
            </w:pPr>
            <w:r w:rsidRPr="000A2294">
              <w:rPr>
                <w:sz w:val="20"/>
              </w:rPr>
              <w:t>October 3, 2022</w:t>
            </w:r>
          </w:p>
          <w:p w:rsidR="00C11B6F" w:rsidRPr="000A2294" w:rsidRDefault="00C11B6F" w:rsidP="00C11B6F">
            <w:pPr>
              <w:jc w:val="both"/>
              <w:rPr>
                <w:sz w:val="20"/>
              </w:rPr>
            </w:pPr>
            <w:r w:rsidRPr="000A2294">
              <w:rPr>
                <w:sz w:val="20"/>
              </w:rPr>
              <w:t>Ontario Superior Court of Justice</w:t>
            </w:r>
          </w:p>
          <w:p w:rsidR="00C11B6F" w:rsidRPr="000A2294" w:rsidRDefault="00C11B6F" w:rsidP="00C11B6F">
            <w:pPr>
              <w:jc w:val="both"/>
              <w:rPr>
                <w:sz w:val="20"/>
              </w:rPr>
            </w:pPr>
            <w:r w:rsidRPr="000A2294">
              <w:rPr>
                <w:sz w:val="20"/>
              </w:rPr>
              <w:t>(Goodman J.)</w:t>
            </w:r>
          </w:p>
          <w:p w:rsidR="00C11B6F" w:rsidRPr="000A2294" w:rsidRDefault="00C11B6F" w:rsidP="00C11B6F">
            <w:pPr>
              <w:jc w:val="both"/>
              <w:rPr>
                <w:sz w:val="20"/>
              </w:rPr>
            </w:pPr>
            <w:r w:rsidRPr="000A2294">
              <w:rPr>
                <w:sz w:val="20"/>
              </w:rPr>
              <w:t>2022 ONSC 5545 (Unreported)</w:t>
            </w:r>
          </w:p>
          <w:p w:rsidR="00C11B6F" w:rsidRPr="000A2294" w:rsidRDefault="00C11B6F" w:rsidP="00C11B6F">
            <w:pPr>
              <w:jc w:val="both"/>
              <w:rPr>
                <w:sz w:val="20"/>
              </w:rPr>
            </w:pPr>
          </w:p>
        </w:tc>
        <w:tc>
          <w:tcPr>
            <w:tcW w:w="243" w:type="pct"/>
          </w:tcPr>
          <w:p w:rsidR="00C11B6F" w:rsidRPr="000A2294" w:rsidRDefault="00C11B6F" w:rsidP="00C11B6F">
            <w:pPr>
              <w:jc w:val="both"/>
              <w:rPr>
                <w:sz w:val="20"/>
              </w:rPr>
            </w:pPr>
          </w:p>
        </w:tc>
        <w:tc>
          <w:tcPr>
            <w:tcW w:w="2330" w:type="pct"/>
          </w:tcPr>
          <w:p w:rsidR="00C11B6F" w:rsidRPr="000A2294" w:rsidRDefault="00C11B6F" w:rsidP="00C11B6F">
            <w:pPr>
              <w:jc w:val="both"/>
              <w:rPr>
                <w:sz w:val="20"/>
              </w:rPr>
            </w:pPr>
            <w:r w:rsidRPr="000A2294">
              <w:rPr>
                <w:sz w:val="20"/>
              </w:rPr>
              <w:t>Judicial interim release pending trial for first degree murder denied</w:t>
            </w:r>
          </w:p>
        </w:tc>
      </w:tr>
      <w:tr w:rsidR="00C11B6F" w:rsidRPr="000A2294" w:rsidTr="00E95A6A">
        <w:tc>
          <w:tcPr>
            <w:tcW w:w="2427" w:type="pct"/>
            <w:gridSpan w:val="2"/>
          </w:tcPr>
          <w:p w:rsidR="00C11B6F" w:rsidRPr="000A2294" w:rsidRDefault="00C11B6F" w:rsidP="00C11B6F">
            <w:pPr>
              <w:jc w:val="both"/>
              <w:rPr>
                <w:sz w:val="20"/>
              </w:rPr>
            </w:pPr>
            <w:r w:rsidRPr="000A2294">
              <w:rPr>
                <w:sz w:val="20"/>
              </w:rPr>
              <w:t>December 14, 2022</w:t>
            </w:r>
          </w:p>
          <w:p w:rsidR="00C11B6F" w:rsidRPr="000A2294" w:rsidRDefault="00C11B6F" w:rsidP="00C11B6F">
            <w:pPr>
              <w:jc w:val="both"/>
              <w:rPr>
                <w:sz w:val="20"/>
              </w:rPr>
            </w:pPr>
            <w:r w:rsidRPr="000A2294">
              <w:rPr>
                <w:sz w:val="20"/>
              </w:rPr>
              <w:t>Court of Appeal for Ontario</w:t>
            </w:r>
          </w:p>
          <w:p w:rsidR="00C11B6F" w:rsidRPr="000A2294" w:rsidRDefault="00C11B6F" w:rsidP="00C11B6F">
            <w:pPr>
              <w:jc w:val="both"/>
              <w:rPr>
                <w:sz w:val="20"/>
              </w:rPr>
            </w:pPr>
            <w:r w:rsidRPr="000A2294">
              <w:rPr>
                <w:sz w:val="20"/>
              </w:rPr>
              <w:t>(Doherty J.A.)</w:t>
            </w:r>
          </w:p>
          <w:p w:rsidR="00C11B6F" w:rsidRPr="000A2294" w:rsidRDefault="00F935FF" w:rsidP="00C11B6F">
            <w:pPr>
              <w:jc w:val="both"/>
              <w:rPr>
                <w:sz w:val="20"/>
              </w:rPr>
            </w:pPr>
            <w:hyperlink r:id="rId97" w:history="1">
              <w:r w:rsidR="00C11B6F" w:rsidRPr="000A2294">
                <w:rPr>
                  <w:rStyle w:val="Hyperlink"/>
                  <w:sz w:val="20"/>
                </w:rPr>
                <w:t>2022 ONCA 877</w:t>
              </w:r>
            </w:hyperlink>
            <w:r w:rsidR="00C11B6F" w:rsidRPr="000A2294">
              <w:rPr>
                <w:sz w:val="20"/>
              </w:rPr>
              <w:t>; COA-22-OM-0053</w:t>
            </w:r>
          </w:p>
          <w:p w:rsidR="00C11B6F" w:rsidRPr="000A2294" w:rsidRDefault="00C11B6F" w:rsidP="00C11B6F">
            <w:pPr>
              <w:jc w:val="both"/>
              <w:rPr>
                <w:sz w:val="20"/>
              </w:rPr>
            </w:pPr>
          </w:p>
        </w:tc>
        <w:tc>
          <w:tcPr>
            <w:tcW w:w="243" w:type="pct"/>
          </w:tcPr>
          <w:p w:rsidR="00C11B6F" w:rsidRPr="000A2294" w:rsidRDefault="00C11B6F" w:rsidP="00C11B6F">
            <w:pPr>
              <w:jc w:val="both"/>
              <w:rPr>
                <w:sz w:val="20"/>
              </w:rPr>
            </w:pPr>
          </w:p>
        </w:tc>
        <w:tc>
          <w:tcPr>
            <w:tcW w:w="2330" w:type="pct"/>
          </w:tcPr>
          <w:p w:rsidR="00C11B6F" w:rsidRPr="000A2294" w:rsidRDefault="00C11B6F" w:rsidP="00C11B6F">
            <w:pPr>
              <w:jc w:val="both"/>
              <w:rPr>
                <w:sz w:val="20"/>
              </w:rPr>
            </w:pPr>
            <w:r w:rsidRPr="000A2294">
              <w:rPr>
                <w:sz w:val="20"/>
              </w:rPr>
              <w:t>Application for review dismissed</w:t>
            </w:r>
          </w:p>
        </w:tc>
      </w:tr>
      <w:tr w:rsidR="00C11B6F" w:rsidRPr="000A2294" w:rsidTr="00E95A6A">
        <w:tc>
          <w:tcPr>
            <w:tcW w:w="2427" w:type="pct"/>
            <w:gridSpan w:val="2"/>
          </w:tcPr>
          <w:p w:rsidR="00C11B6F" w:rsidRPr="000A2294" w:rsidRDefault="00C11B6F" w:rsidP="00C11B6F">
            <w:pPr>
              <w:jc w:val="both"/>
              <w:rPr>
                <w:sz w:val="20"/>
              </w:rPr>
            </w:pPr>
            <w:r w:rsidRPr="000A2294">
              <w:rPr>
                <w:sz w:val="20"/>
              </w:rPr>
              <w:t>February 10, 2023</w:t>
            </w:r>
          </w:p>
          <w:p w:rsidR="00C11B6F" w:rsidRPr="000A2294" w:rsidRDefault="00C11B6F" w:rsidP="00C11B6F">
            <w:pPr>
              <w:jc w:val="both"/>
              <w:rPr>
                <w:sz w:val="20"/>
              </w:rPr>
            </w:pPr>
            <w:r w:rsidRPr="000A2294">
              <w:rPr>
                <w:sz w:val="20"/>
              </w:rPr>
              <w:t>Supreme Court of Canada</w:t>
            </w:r>
          </w:p>
        </w:tc>
        <w:tc>
          <w:tcPr>
            <w:tcW w:w="243" w:type="pct"/>
          </w:tcPr>
          <w:p w:rsidR="00C11B6F" w:rsidRPr="000A2294" w:rsidRDefault="00C11B6F" w:rsidP="00C11B6F">
            <w:pPr>
              <w:jc w:val="both"/>
              <w:rPr>
                <w:sz w:val="20"/>
              </w:rPr>
            </w:pPr>
          </w:p>
        </w:tc>
        <w:tc>
          <w:tcPr>
            <w:tcW w:w="2330" w:type="pct"/>
          </w:tcPr>
          <w:p w:rsidR="00C11B6F" w:rsidRPr="000A2294" w:rsidRDefault="00C11B6F" w:rsidP="00C11B6F">
            <w:pPr>
              <w:jc w:val="both"/>
              <w:rPr>
                <w:sz w:val="20"/>
              </w:rPr>
            </w:pPr>
            <w:r w:rsidRPr="000A2294">
              <w:rPr>
                <w:sz w:val="20"/>
              </w:rPr>
              <w:t>Application for leave to appeal filed</w:t>
            </w:r>
          </w:p>
          <w:p w:rsidR="00C11B6F" w:rsidRPr="000A2294" w:rsidRDefault="00C11B6F" w:rsidP="00C11B6F">
            <w:pPr>
              <w:jc w:val="both"/>
              <w:rPr>
                <w:sz w:val="20"/>
              </w:rPr>
            </w:pPr>
          </w:p>
        </w:tc>
      </w:tr>
    </w:tbl>
    <w:p w:rsidR="00C11B6F" w:rsidRPr="000A2294" w:rsidRDefault="00C11B6F" w:rsidP="00C11B6F">
      <w:pPr>
        <w:jc w:val="both"/>
        <w:rPr>
          <w:sz w:val="20"/>
        </w:rPr>
      </w:pPr>
    </w:p>
    <w:p w:rsidR="00C11B6F" w:rsidRPr="000A2294" w:rsidRDefault="00F935FF" w:rsidP="00C11B6F">
      <w:pPr>
        <w:jc w:val="both"/>
        <w:rPr>
          <w:sz w:val="20"/>
        </w:rPr>
      </w:pPr>
      <w:r>
        <w:rPr>
          <w:sz w:val="20"/>
        </w:rPr>
        <w:pict>
          <v:rect id="_x0000_i1055" style="width:2in;height:1pt" o:hrpct="0" o:hralign="center" o:hrstd="t" o:hrnoshade="t" o:hr="t" fillcolor="black [3213]" stroked="f"/>
        </w:pict>
      </w:r>
    </w:p>
    <w:p w:rsidR="00C11B6F" w:rsidRPr="000A2294" w:rsidRDefault="00C11B6F" w:rsidP="00C11B6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1B6F" w:rsidRPr="000A2294" w:rsidTr="00E95A6A">
        <w:tc>
          <w:tcPr>
            <w:tcW w:w="543" w:type="pct"/>
          </w:tcPr>
          <w:p w:rsidR="00C11B6F" w:rsidRPr="000A2294" w:rsidRDefault="00C11B6F" w:rsidP="00C11B6F">
            <w:pPr>
              <w:jc w:val="both"/>
              <w:rPr>
                <w:sz w:val="20"/>
                <w:lang w:val="fr-CA"/>
              </w:rPr>
            </w:pPr>
            <w:r w:rsidRPr="000A2294">
              <w:rPr>
                <w:rStyle w:val="SCCFileNumberChar"/>
                <w:sz w:val="20"/>
                <w:szCs w:val="20"/>
                <w:lang w:val="fr-CA"/>
              </w:rPr>
              <w:t>40610</w:t>
            </w:r>
          </w:p>
        </w:tc>
        <w:tc>
          <w:tcPr>
            <w:tcW w:w="4457" w:type="pct"/>
            <w:gridSpan w:val="3"/>
          </w:tcPr>
          <w:p w:rsidR="00C11B6F" w:rsidRPr="000A2294" w:rsidRDefault="00C11B6F" w:rsidP="00C11B6F">
            <w:pPr>
              <w:pStyle w:val="SCCLsocParty"/>
              <w:jc w:val="both"/>
              <w:rPr>
                <w:b/>
                <w:sz w:val="20"/>
                <w:szCs w:val="20"/>
              </w:rPr>
            </w:pPr>
            <w:r w:rsidRPr="000A2294">
              <w:rPr>
                <w:b/>
                <w:sz w:val="20"/>
                <w:szCs w:val="20"/>
              </w:rPr>
              <w:t>Robyn Cove c. Sa Majesté le Roi</w:t>
            </w:r>
          </w:p>
          <w:p w:rsidR="00C11B6F" w:rsidRPr="000A2294" w:rsidRDefault="00C11B6F" w:rsidP="00C11B6F">
            <w:pPr>
              <w:jc w:val="both"/>
              <w:rPr>
                <w:sz w:val="20"/>
                <w:lang w:val="fr-CA"/>
              </w:rPr>
            </w:pPr>
            <w:r w:rsidRPr="000A2294">
              <w:rPr>
                <w:sz w:val="20"/>
                <w:lang w:val="fr-CA"/>
              </w:rPr>
              <w:t>(Ont.) (Criminelle) (Sur autorisation)</w:t>
            </w:r>
          </w:p>
        </w:tc>
      </w:tr>
      <w:tr w:rsidR="00C11B6F" w:rsidRPr="00F935FF" w:rsidTr="00E95A6A">
        <w:tc>
          <w:tcPr>
            <w:tcW w:w="5000" w:type="pct"/>
            <w:gridSpan w:val="4"/>
          </w:tcPr>
          <w:p w:rsidR="00C11B6F" w:rsidRPr="000A2294" w:rsidRDefault="00C11B6F" w:rsidP="00C11B6F">
            <w:pPr>
              <w:pStyle w:val="SCCBanSummary"/>
              <w:rPr>
                <w:sz w:val="20"/>
                <w:szCs w:val="20"/>
                <w:lang w:val="fr-CA"/>
              </w:rPr>
            </w:pPr>
            <w:r w:rsidRPr="000A2294">
              <w:rPr>
                <w:sz w:val="20"/>
                <w:szCs w:val="20"/>
                <w:lang w:val="fr-CA"/>
              </w:rPr>
              <w:t>(Ordonnance de non-publication au dossier)</w:t>
            </w:r>
          </w:p>
          <w:p w:rsidR="00C11B6F" w:rsidRPr="000A2294" w:rsidRDefault="00C11B6F" w:rsidP="00C11B6F">
            <w:pPr>
              <w:jc w:val="both"/>
              <w:rPr>
                <w:sz w:val="20"/>
                <w:lang w:val="fr-CA"/>
              </w:rPr>
            </w:pPr>
          </w:p>
          <w:p w:rsidR="00C11B6F" w:rsidRPr="000A2294" w:rsidRDefault="00C11B6F" w:rsidP="00C11B6F">
            <w:pPr>
              <w:jc w:val="both"/>
              <w:rPr>
                <w:sz w:val="20"/>
                <w:lang w:val="fr-CA"/>
              </w:rPr>
            </w:pPr>
            <w:r w:rsidRPr="000A2294">
              <w:rPr>
                <w:sz w:val="20"/>
                <w:lang w:val="fr-CA"/>
              </w:rPr>
              <w:t>Droit criminel — Procès — Mise en liberté provisoire par voie judiciaire — Preuve présentée à l’audience de mise en liberté sous caution — Quel rôle joue l’admissibilité de la preuve au procès dans l’appréciation de la solidité du dossier du poursuivant lors de l’évaluation des motifs à l’appui de la mise en liberté provisoire par voie judiciaire ? — Le juge appelé à se prononcer sur une demande de mise en liberté sous caution est-il tenu de se limiter à l’examen de la crédibilité ou de la fiabilité de la preuve lorsqu’il évalue la solidité du dossier de la Couronne ou devrait-il aussi tenir compte des questions d’admissibilité ayant une incidence sur la viabilité de la poursuite ? — Un élément de preuve contre un accusé qui est catégoriquement inadmissible au procès, peut-il renforcer la solidité du dossier de la Couronne lors de l’audience de mise en liberté sous caution ?</w:t>
            </w:r>
          </w:p>
        </w:tc>
      </w:tr>
      <w:tr w:rsidR="00C11B6F" w:rsidRPr="00F935FF" w:rsidTr="00E95A6A">
        <w:tc>
          <w:tcPr>
            <w:tcW w:w="5000" w:type="pct"/>
            <w:gridSpan w:val="4"/>
          </w:tcPr>
          <w:p w:rsidR="00C11B6F" w:rsidRPr="000A2294" w:rsidRDefault="00C11B6F" w:rsidP="00C11B6F">
            <w:pPr>
              <w:jc w:val="both"/>
              <w:rPr>
                <w:sz w:val="20"/>
                <w:lang w:val="fr-CA"/>
              </w:rPr>
            </w:pPr>
          </w:p>
          <w:p w:rsidR="00C11B6F" w:rsidRPr="000A2294" w:rsidRDefault="00C11B6F" w:rsidP="00C11B6F">
            <w:pPr>
              <w:widowControl w:val="0"/>
              <w:tabs>
                <w:tab w:val="left" w:pos="2016"/>
              </w:tabs>
              <w:kinsoku w:val="0"/>
              <w:overflowPunct w:val="0"/>
              <w:jc w:val="both"/>
              <w:textAlignment w:val="baseline"/>
              <w:rPr>
                <w:sz w:val="20"/>
                <w:lang w:val="fr-CA"/>
              </w:rPr>
            </w:pPr>
            <w:r w:rsidRPr="000A2294">
              <w:rPr>
                <w:sz w:val="20"/>
                <w:lang w:val="fr-CA"/>
              </w:rPr>
              <w:t>Monsieur Cove a été accusé de meurtre au premier degré et il est détenu sous garde en attendant son procès. Ce dernier a présenté une demande de mise en liberté provisoire par voie judiciaire. Le juge Goodman a refusé de lui accorder une mise en liberté sous caution, et a ordonné que sa détention se poursuive jusqu’à son procès. Le juge Doherty, siégeant à la Cour d’appel, a rejeté la demande de révision de l’ordonnance de détention.</w:t>
            </w:r>
          </w:p>
        </w:tc>
      </w:tr>
      <w:tr w:rsidR="00C11B6F" w:rsidRPr="00F935FF" w:rsidTr="00E95A6A">
        <w:tc>
          <w:tcPr>
            <w:tcW w:w="5000" w:type="pct"/>
            <w:gridSpan w:val="4"/>
          </w:tcPr>
          <w:p w:rsidR="00C11B6F" w:rsidRPr="000A2294" w:rsidRDefault="00C11B6F" w:rsidP="00C11B6F">
            <w:pPr>
              <w:jc w:val="both"/>
              <w:rPr>
                <w:sz w:val="20"/>
                <w:lang w:val="fr-CA"/>
              </w:rPr>
            </w:pPr>
          </w:p>
        </w:tc>
      </w:tr>
      <w:tr w:rsidR="00C11B6F" w:rsidRPr="00F935FF" w:rsidTr="00E95A6A">
        <w:tc>
          <w:tcPr>
            <w:tcW w:w="2427" w:type="pct"/>
            <w:gridSpan w:val="2"/>
          </w:tcPr>
          <w:p w:rsidR="00C11B6F" w:rsidRPr="000A2294" w:rsidRDefault="00C11B6F" w:rsidP="00C11B6F">
            <w:pPr>
              <w:jc w:val="both"/>
              <w:rPr>
                <w:sz w:val="20"/>
                <w:lang w:val="fr-CA"/>
              </w:rPr>
            </w:pPr>
            <w:r w:rsidRPr="000A2294">
              <w:rPr>
                <w:sz w:val="20"/>
                <w:lang w:val="fr-CA"/>
              </w:rPr>
              <w:t>3 octobre 2022</w:t>
            </w:r>
          </w:p>
          <w:p w:rsidR="00C11B6F" w:rsidRPr="000A2294" w:rsidRDefault="00C11B6F" w:rsidP="00C11B6F">
            <w:pPr>
              <w:jc w:val="both"/>
              <w:rPr>
                <w:sz w:val="20"/>
                <w:lang w:val="fr-CA"/>
              </w:rPr>
            </w:pPr>
            <w:r w:rsidRPr="000A2294">
              <w:rPr>
                <w:sz w:val="20"/>
                <w:lang w:val="fr-CA"/>
              </w:rPr>
              <w:t xml:space="preserve">Cour supérieure de justice de l’Ontario </w:t>
            </w:r>
          </w:p>
          <w:p w:rsidR="00C11B6F" w:rsidRPr="000A2294" w:rsidRDefault="00C11B6F" w:rsidP="00C11B6F">
            <w:pPr>
              <w:jc w:val="both"/>
              <w:rPr>
                <w:sz w:val="20"/>
                <w:lang w:val="fr-CA"/>
              </w:rPr>
            </w:pPr>
            <w:r w:rsidRPr="000A2294">
              <w:rPr>
                <w:sz w:val="20"/>
                <w:lang w:val="fr-CA"/>
              </w:rPr>
              <w:t>(juge Goodman)</w:t>
            </w:r>
          </w:p>
          <w:p w:rsidR="00C11B6F" w:rsidRPr="000A2294" w:rsidRDefault="00C11B6F" w:rsidP="00C11B6F">
            <w:pPr>
              <w:jc w:val="both"/>
              <w:rPr>
                <w:sz w:val="20"/>
                <w:lang w:val="fr-CA"/>
              </w:rPr>
            </w:pPr>
            <w:r w:rsidRPr="000A2294">
              <w:rPr>
                <w:sz w:val="20"/>
                <w:lang w:val="fr-CA"/>
              </w:rPr>
              <w:t>2022 ONSC 5545 (non publié)</w:t>
            </w:r>
          </w:p>
          <w:p w:rsidR="00C11B6F" w:rsidRPr="000A2294" w:rsidRDefault="00C11B6F" w:rsidP="00C11B6F">
            <w:pPr>
              <w:jc w:val="both"/>
              <w:rPr>
                <w:sz w:val="20"/>
                <w:lang w:val="fr-CA"/>
              </w:rPr>
            </w:pPr>
          </w:p>
        </w:tc>
        <w:tc>
          <w:tcPr>
            <w:tcW w:w="243" w:type="pct"/>
          </w:tcPr>
          <w:p w:rsidR="00C11B6F" w:rsidRPr="000A2294" w:rsidRDefault="00C11B6F" w:rsidP="00C11B6F">
            <w:pPr>
              <w:jc w:val="both"/>
              <w:rPr>
                <w:sz w:val="20"/>
                <w:lang w:val="fr-CA"/>
              </w:rPr>
            </w:pPr>
          </w:p>
        </w:tc>
        <w:tc>
          <w:tcPr>
            <w:tcW w:w="2330" w:type="pct"/>
          </w:tcPr>
          <w:p w:rsidR="00C11B6F" w:rsidRPr="000A2294" w:rsidRDefault="00C11B6F" w:rsidP="00C11B6F">
            <w:pPr>
              <w:jc w:val="both"/>
              <w:rPr>
                <w:sz w:val="20"/>
                <w:lang w:val="fr-CA"/>
              </w:rPr>
            </w:pPr>
            <w:r w:rsidRPr="000A2294">
              <w:rPr>
                <w:sz w:val="20"/>
                <w:lang w:val="fr-CA"/>
              </w:rPr>
              <w:t xml:space="preserve">La demande de mise en liberté provisoire par voie judiciaire en attendant le procès pour meurtre au premier degré est </w:t>
            </w:r>
            <w:proofErr w:type="gramStart"/>
            <w:r w:rsidRPr="000A2294">
              <w:rPr>
                <w:sz w:val="20"/>
                <w:lang w:val="fr-CA"/>
              </w:rPr>
              <w:t>rejetée</w:t>
            </w:r>
            <w:proofErr w:type="gramEnd"/>
            <w:r w:rsidRPr="000A2294">
              <w:rPr>
                <w:sz w:val="20"/>
                <w:lang w:val="fr-CA"/>
              </w:rPr>
              <w:t>.</w:t>
            </w:r>
          </w:p>
        </w:tc>
      </w:tr>
      <w:tr w:rsidR="00C11B6F" w:rsidRPr="00F935FF" w:rsidTr="00E95A6A">
        <w:tc>
          <w:tcPr>
            <w:tcW w:w="2427" w:type="pct"/>
            <w:gridSpan w:val="2"/>
          </w:tcPr>
          <w:p w:rsidR="00C11B6F" w:rsidRPr="000A2294" w:rsidRDefault="00C11B6F" w:rsidP="00C11B6F">
            <w:pPr>
              <w:jc w:val="both"/>
              <w:rPr>
                <w:sz w:val="20"/>
                <w:lang w:val="fr-CA"/>
              </w:rPr>
            </w:pPr>
            <w:r w:rsidRPr="000A2294">
              <w:rPr>
                <w:sz w:val="20"/>
                <w:lang w:val="fr-CA"/>
              </w:rPr>
              <w:t>14 décembre 2022</w:t>
            </w:r>
          </w:p>
          <w:p w:rsidR="00C11B6F" w:rsidRPr="000A2294" w:rsidRDefault="00C11B6F" w:rsidP="00C11B6F">
            <w:pPr>
              <w:jc w:val="both"/>
              <w:rPr>
                <w:sz w:val="20"/>
                <w:lang w:val="fr-CA"/>
              </w:rPr>
            </w:pPr>
            <w:r w:rsidRPr="000A2294">
              <w:rPr>
                <w:sz w:val="20"/>
                <w:lang w:val="fr-CA"/>
              </w:rPr>
              <w:t>Cour d’appel de l’Ontario</w:t>
            </w:r>
          </w:p>
          <w:p w:rsidR="00C11B6F" w:rsidRPr="000A2294" w:rsidRDefault="00C11B6F" w:rsidP="00C11B6F">
            <w:pPr>
              <w:jc w:val="both"/>
              <w:rPr>
                <w:sz w:val="20"/>
                <w:lang w:val="fr-CA"/>
              </w:rPr>
            </w:pPr>
            <w:r w:rsidRPr="000A2294">
              <w:rPr>
                <w:sz w:val="20"/>
                <w:lang w:val="fr-CA"/>
              </w:rPr>
              <w:t>(juge Doherty)</w:t>
            </w:r>
          </w:p>
          <w:p w:rsidR="00C11B6F" w:rsidRPr="000A2294" w:rsidRDefault="00F935FF" w:rsidP="00C11B6F">
            <w:pPr>
              <w:jc w:val="both"/>
              <w:rPr>
                <w:sz w:val="20"/>
                <w:lang w:val="fr-CA"/>
              </w:rPr>
            </w:pPr>
            <w:hyperlink r:id="rId98" w:history="1">
              <w:r w:rsidR="00C11B6F" w:rsidRPr="000A2294">
                <w:rPr>
                  <w:rStyle w:val="Hyperlink"/>
                  <w:sz w:val="20"/>
                  <w:lang w:val="fr-CA"/>
                </w:rPr>
                <w:t>2022 ONCA 877</w:t>
              </w:r>
            </w:hyperlink>
            <w:r w:rsidR="00C11B6F" w:rsidRPr="000A2294">
              <w:rPr>
                <w:sz w:val="20"/>
                <w:lang w:val="fr-CA"/>
              </w:rPr>
              <w:t>; COA-22-OM-0053</w:t>
            </w:r>
          </w:p>
          <w:p w:rsidR="00C11B6F" w:rsidRPr="000A2294" w:rsidRDefault="00C11B6F" w:rsidP="00C11B6F">
            <w:pPr>
              <w:jc w:val="both"/>
              <w:rPr>
                <w:sz w:val="20"/>
                <w:lang w:val="fr-CA"/>
              </w:rPr>
            </w:pPr>
          </w:p>
        </w:tc>
        <w:tc>
          <w:tcPr>
            <w:tcW w:w="243" w:type="pct"/>
          </w:tcPr>
          <w:p w:rsidR="00C11B6F" w:rsidRPr="000A2294" w:rsidRDefault="00C11B6F" w:rsidP="00C11B6F">
            <w:pPr>
              <w:jc w:val="both"/>
              <w:rPr>
                <w:sz w:val="20"/>
                <w:lang w:val="fr-CA"/>
              </w:rPr>
            </w:pPr>
          </w:p>
        </w:tc>
        <w:tc>
          <w:tcPr>
            <w:tcW w:w="2330" w:type="pct"/>
          </w:tcPr>
          <w:p w:rsidR="00C11B6F" w:rsidRPr="000A2294" w:rsidRDefault="00C11B6F" w:rsidP="00C11B6F">
            <w:pPr>
              <w:jc w:val="both"/>
              <w:rPr>
                <w:sz w:val="20"/>
                <w:lang w:val="fr-CA"/>
              </w:rPr>
            </w:pPr>
            <w:r w:rsidRPr="000A2294">
              <w:rPr>
                <w:sz w:val="20"/>
                <w:lang w:val="fr-CA"/>
              </w:rPr>
              <w:t>La demande de révision est rejetée.</w:t>
            </w:r>
          </w:p>
        </w:tc>
      </w:tr>
      <w:tr w:rsidR="00C11B6F" w:rsidRPr="00F935FF" w:rsidTr="00E95A6A">
        <w:tc>
          <w:tcPr>
            <w:tcW w:w="2427" w:type="pct"/>
            <w:gridSpan w:val="2"/>
          </w:tcPr>
          <w:p w:rsidR="00C11B6F" w:rsidRPr="000A2294" w:rsidRDefault="00C11B6F" w:rsidP="00C11B6F">
            <w:pPr>
              <w:jc w:val="both"/>
              <w:rPr>
                <w:sz w:val="20"/>
                <w:lang w:val="fr-CA"/>
              </w:rPr>
            </w:pPr>
            <w:r w:rsidRPr="000A2294">
              <w:rPr>
                <w:sz w:val="20"/>
                <w:lang w:val="fr-CA"/>
              </w:rPr>
              <w:t>10 février 2023</w:t>
            </w:r>
          </w:p>
          <w:p w:rsidR="00C11B6F" w:rsidRPr="000A2294" w:rsidRDefault="00C11B6F" w:rsidP="00C11B6F">
            <w:pPr>
              <w:jc w:val="both"/>
              <w:rPr>
                <w:sz w:val="20"/>
                <w:lang w:val="fr-CA"/>
              </w:rPr>
            </w:pPr>
            <w:r w:rsidRPr="000A2294">
              <w:rPr>
                <w:sz w:val="20"/>
                <w:lang w:val="fr-CA"/>
              </w:rPr>
              <w:t>Cour suprême du Canada</w:t>
            </w:r>
          </w:p>
        </w:tc>
        <w:tc>
          <w:tcPr>
            <w:tcW w:w="243" w:type="pct"/>
          </w:tcPr>
          <w:p w:rsidR="00C11B6F" w:rsidRPr="000A2294" w:rsidRDefault="00C11B6F" w:rsidP="00C11B6F">
            <w:pPr>
              <w:jc w:val="both"/>
              <w:rPr>
                <w:sz w:val="20"/>
                <w:lang w:val="fr-CA"/>
              </w:rPr>
            </w:pPr>
          </w:p>
        </w:tc>
        <w:tc>
          <w:tcPr>
            <w:tcW w:w="2330" w:type="pct"/>
          </w:tcPr>
          <w:p w:rsidR="00C11B6F" w:rsidRPr="000A2294" w:rsidRDefault="00C11B6F" w:rsidP="00C11B6F">
            <w:pPr>
              <w:jc w:val="both"/>
              <w:rPr>
                <w:sz w:val="20"/>
                <w:lang w:val="fr-CA"/>
              </w:rPr>
            </w:pPr>
            <w:r w:rsidRPr="000A2294">
              <w:rPr>
                <w:sz w:val="20"/>
                <w:lang w:val="fr-CA"/>
              </w:rPr>
              <w:t>La demande d’autorisation d’appel est présentée.</w:t>
            </w:r>
          </w:p>
          <w:p w:rsidR="00C11B6F" w:rsidRPr="000A2294" w:rsidRDefault="00C11B6F" w:rsidP="00C11B6F">
            <w:pPr>
              <w:jc w:val="both"/>
              <w:rPr>
                <w:sz w:val="20"/>
                <w:lang w:val="fr-CA"/>
              </w:rPr>
            </w:pPr>
          </w:p>
        </w:tc>
      </w:tr>
    </w:tbl>
    <w:p w:rsidR="00C11B6F" w:rsidRPr="000A2294" w:rsidRDefault="00C11B6F" w:rsidP="00C11B6F">
      <w:pPr>
        <w:jc w:val="both"/>
        <w:rPr>
          <w:sz w:val="20"/>
          <w:lang w:val="fr-CA"/>
        </w:rPr>
      </w:pPr>
    </w:p>
    <w:p w:rsidR="00880679" w:rsidRPr="000A2294" w:rsidRDefault="00F935FF" w:rsidP="00C11B6F">
      <w:pPr>
        <w:widowControl w:val="0"/>
        <w:jc w:val="both"/>
        <w:rPr>
          <w:sz w:val="20"/>
          <w:lang w:val="fr-CA"/>
        </w:rPr>
      </w:pPr>
      <w:r>
        <w:rPr>
          <w:sz w:val="20"/>
        </w:rPr>
        <w:pict>
          <v:rect id="_x0000_i1056" style="width:2in;height:1pt" o:hrpct="0" o:hralign="center" o:hrstd="t" o:hrnoshade="t" o:hr="t" fillcolor="black [3213]" stroked="f"/>
        </w:pict>
      </w:r>
    </w:p>
    <w:p w:rsidR="00880679" w:rsidRPr="000A2294" w:rsidRDefault="00880679" w:rsidP="000A229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2294" w:rsidRPr="000A2294" w:rsidTr="006F4B54">
        <w:tc>
          <w:tcPr>
            <w:tcW w:w="543" w:type="pct"/>
          </w:tcPr>
          <w:p w:rsidR="000A2294" w:rsidRPr="000A2294" w:rsidRDefault="000A2294" w:rsidP="000A2294">
            <w:pPr>
              <w:jc w:val="both"/>
              <w:rPr>
                <w:sz w:val="20"/>
                <w:lang w:val="en-CA"/>
              </w:rPr>
            </w:pPr>
            <w:r w:rsidRPr="000A2294">
              <w:rPr>
                <w:rStyle w:val="SCCFileNumberChar"/>
                <w:sz w:val="20"/>
                <w:szCs w:val="20"/>
              </w:rPr>
              <w:t>40446</w:t>
            </w:r>
          </w:p>
        </w:tc>
        <w:tc>
          <w:tcPr>
            <w:tcW w:w="4457" w:type="pct"/>
            <w:gridSpan w:val="3"/>
          </w:tcPr>
          <w:p w:rsidR="000A2294" w:rsidRPr="000A2294" w:rsidRDefault="000A2294" w:rsidP="000A2294">
            <w:pPr>
              <w:pStyle w:val="SCCLsocParty"/>
              <w:jc w:val="both"/>
              <w:rPr>
                <w:b/>
                <w:sz w:val="20"/>
                <w:szCs w:val="20"/>
              </w:rPr>
            </w:pPr>
            <w:r w:rsidRPr="000A2294">
              <w:rPr>
                <w:b/>
                <w:sz w:val="20"/>
                <w:szCs w:val="20"/>
              </w:rPr>
              <w:t>A.B., Fondation A.B. v. Jean-François Robillard, Dis son nom, Delphine Bergeron and A.A.</w:t>
            </w:r>
          </w:p>
          <w:p w:rsidR="000A2294" w:rsidRPr="000A2294" w:rsidRDefault="000A2294" w:rsidP="000A2294">
            <w:pPr>
              <w:pStyle w:val="SCCLsocOtherPartySeparator"/>
              <w:rPr>
                <w:sz w:val="20"/>
                <w:szCs w:val="20"/>
                <w:lang w:val="en-CA"/>
              </w:rPr>
            </w:pPr>
            <w:r w:rsidRPr="000A2294">
              <w:rPr>
                <w:sz w:val="20"/>
                <w:szCs w:val="20"/>
                <w:lang w:val="en-CA"/>
              </w:rPr>
              <w:t>- and -</w:t>
            </w:r>
          </w:p>
          <w:p w:rsidR="000A2294" w:rsidRPr="000A2294" w:rsidRDefault="000A2294" w:rsidP="000A2294">
            <w:pPr>
              <w:pStyle w:val="SCCLsocParty"/>
              <w:jc w:val="both"/>
              <w:rPr>
                <w:b/>
                <w:sz w:val="20"/>
                <w:szCs w:val="20"/>
                <w:lang w:val="en-CA"/>
              </w:rPr>
            </w:pPr>
            <w:r w:rsidRPr="000A2294">
              <w:rPr>
                <w:b/>
                <w:sz w:val="20"/>
                <w:szCs w:val="20"/>
                <w:lang w:val="en-CA"/>
              </w:rPr>
              <w:t>Canadian Broadcasting Corporation and Le Devoir</w:t>
            </w:r>
          </w:p>
          <w:p w:rsidR="000A2294" w:rsidRPr="000A2294" w:rsidRDefault="000A2294" w:rsidP="000A2294">
            <w:pPr>
              <w:jc w:val="both"/>
              <w:rPr>
                <w:sz w:val="20"/>
                <w:lang w:val="en-CA"/>
              </w:rPr>
            </w:pPr>
            <w:r w:rsidRPr="000A2294">
              <w:rPr>
                <w:sz w:val="20"/>
                <w:lang w:val="en-CA"/>
              </w:rPr>
              <w:t>(Que.) (Civil) (By Leave)</w:t>
            </w:r>
          </w:p>
        </w:tc>
      </w:tr>
      <w:tr w:rsidR="000A2294" w:rsidRPr="000A2294" w:rsidTr="006F4B54">
        <w:tc>
          <w:tcPr>
            <w:tcW w:w="5000" w:type="pct"/>
            <w:gridSpan w:val="4"/>
          </w:tcPr>
          <w:p w:rsidR="000A2294" w:rsidRPr="000A2294" w:rsidRDefault="000A2294" w:rsidP="000A2294">
            <w:pPr>
              <w:pStyle w:val="SCCBanSummary"/>
              <w:rPr>
                <w:sz w:val="20"/>
                <w:szCs w:val="20"/>
              </w:rPr>
            </w:pPr>
            <w:r w:rsidRPr="000A2294">
              <w:rPr>
                <w:sz w:val="20"/>
                <w:szCs w:val="20"/>
              </w:rPr>
              <w:t>(Publication ban in case)</w:t>
            </w:r>
          </w:p>
          <w:p w:rsidR="000A2294" w:rsidRPr="000A2294" w:rsidRDefault="000A2294" w:rsidP="000A2294">
            <w:pPr>
              <w:jc w:val="both"/>
              <w:rPr>
                <w:sz w:val="20"/>
                <w:lang w:val="en-CA"/>
              </w:rPr>
            </w:pPr>
          </w:p>
          <w:p w:rsidR="000A2294" w:rsidRPr="000A2294" w:rsidRDefault="000A2294" w:rsidP="000A2294">
            <w:pPr>
              <w:jc w:val="both"/>
              <w:rPr>
                <w:sz w:val="20"/>
                <w:lang w:val="en-CA"/>
              </w:rPr>
            </w:pPr>
            <w:r w:rsidRPr="000A2294">
              <w:rPr>
                <w:iCs/>
                <w:color w:val="000000"/>
                <w:sz w:val="20"/>
                <w:lang w:val="en-CA"/>
              </w:rPr>
              <w:t xml:space="preserve">Courts </w:t>
            </w:r>
            <w:r w:rsidRPr="000A2294">
              <w:rPr>
                <w:iCs/>
                <w:color w:val="000000"/>
                <w:sz w:val="20"/>
                <w:shd w:val="clear" w:color="auto" w:fill="FFFFFF"/>
                <w:lang w:val="en-CA"/>
              </w:rPr>
              <w:t xml:space="preserve">— Open court principle — </w:t>
            </w:r>
            <w:r w:rsidRPr="000A2294">
              <w:rPr>
                <w:i/>
                <w:iCs/>
                <w:color w:val="000000"/>
                <w:sz w:val="20"/>
                <w:shd w:val="clear" w:color="auto" w:fill="FFFFFF"/>
                <w:lang w:val="en-CA"/>
              </w:rPr>
              <w:t>Dagenais/Mentuck/Sherman</w:t>
            </w:r>
            <w:r w:rsidRPr="000A2294">
              <w:rPr>
                <w:iCs/>
                <w:color w:val="000000"/>
                <w:sz w:val="20"/>
                <w:shd w:val="clear" w:color="auto" w:fill="FFFFFF"/>
                <w:lang w:val="en-CA"/>
              </w:rPr>
              <w:t xml:space="preserve"> analytical framework — Action in defamation — Orders requested to preserve anonymity of applicant alleged to be guilty of sexual misconduct</w:t>
            </w:r>
            <w:r w:rsidRPr="000A2294">
              <w:rPr>
                <w:sz w:val="20"/>
                <w:lang w:val="en-CA"/>
              </w:rPr>
              <w:t xml:space="preserve"> </w:t>
            </w:r>
            <w:r w:rsidRPr="000A2294">
              <w:rPr>
                <w:iCs/>
                <w:color w:val="000000"/>
                <w:sz w:val="20"/>
                <w:shd w:val="clear" w:color="auto" w:fill="FFFFFF"/>
                <w:lang w:val="en-CA"/>
              </w:rPr>
              <w:t>— Whether person who alleges that they were falsely accused of sexual assault on social media and who wishes to go to court to stop such defamation can obtain orders limiting openness of proceedings.</w:t>
            </w:r>
          </w:p>
          <w:p w:rsidR="000A2294" w:rsidRPr="000A2294" w:rsidRDefault="000A2294" w:rsidP="000A2294">
            <w:pPr>
              <w:jc w:val="both"/>
              <w:rPr>
                <w:sz w:val="20"/>
                <w:lang w:val="en-CA"/>
              </w:rPr>
            </w:pPr>
          </w:p>
        </w:tc>
      </w:tr>
      <w:tr w:rsidR="000A2294" w:rsidRPr="000A2294" w:rsidTr="006F4B54">
        <w:tc>
          <w:tcPr>
            <w:tcW w:w="5000" w:type="pct"/>
            <w:gridSpan w:val="4"/>
          </w:tcPr>
          <w:p w:rsidR="000A2294" w:rsidRPr="000A2294" w:rsidRDefault="000A2294" w:rsidP="000A2294">
            <w:pPr>
              <w:jc w:val="both"/>
              <w:rPr>
                <w:sz w:val="20"/>
                <w:lang w:val="en-CA"/>
              </w:rPr>
            </w:pPr>
            <w:r w:rsidRPr="000A2294">
              <w:rPr>
                <w:sz w:val="20"/>
                <w:lang w:val="en-CA"/>
              </w:rPr>
              <w:t xml:space="preserve">The applicant A.B., a well-known figure on the Quebec cultural scene and the president and director of the applicant Fondation A.B., learned in the summer of 2020 that his name was on a list of alleged attackers available on the Facebook page of the respondent Dis son nom. After a first demand letter </w:t>
            </w:r>
            <w:proofErr w:type="gramStart"/>
            <w:r w:rsidRPr="000A2294">
              <w:rPr>
                <w:sz w:val="20"/>
                <w:lang w:val="en-CA"/>
              </w:rPr>
              <w:t>was sent</w:t>
            </w:r>
            <w:proofErr w:type="gramEnd"/>
            <w:r w:rsidRPr="000A2294">
              <w:rPr>
                <w:sz w:val="20"/>
                <w:lang w:val="en-CA"/>
              </w:rPr>
              <w:t xml:space="preserve">, the respondent Dis son nom removed A.B.’s name from its list. In May 2021, the respondent Jean-François Robillard denounced the legal proceedings initiated by A.B. on his personal Facebook page and alleged that their purpose was to intimidate and silence him. He added that, through his defamation suit, A.B. was going to expose what he had hoped to hide by sending the demand letter, because the case would then become public. The same month, A.B.’s name reappeared on the list put together by Dis son nom. On May 28, 2021, A.B. again sent demand letters to the respondents. On June 2 and 3, 2021, A.B. and his foundation filed an originating application in the Superior Court alleging defamation. To preserve their anonymity, the applicants also sought permission to bring an action anonymously against the respondents for an interlocutory and a permanent injunction and for damages, permission to elect domicile at their lawyers’ office, and an order prohibiting the publication or broadcasting of the proceedings, the exhibits and the testimony to </w:t>
            </w:r>
            <w:proofErr w:type="gramStart"/>
            <w:r w:rsidRPr="000A2294">
              <w:rPr>
                <w:sz w:val="20"/>
                <w:lang w:val="en-CA"/>
              </w:rPr>
              <w:t>be given</w:t>
            </w:r>
            <w:proofErr w:type="gramEnd"/>
            <w:r w:rsidRPr="000A2294">
              <w:rPr>
                <w:sz w:val="20"/>
                <w:lang w:val="en-CA"/>
              </w:rPr>
              <w:t xml:space="preserve"> in the case. The Superior Court dismissed the applications relating to the preservation of the applicants’ anonymity, except the application for permission to elect domicile at their lawyers’ office. The Court of Appeal dismissed the appeal. </w:t>
            </w:r>
          </w:p>
        </w:tc>
      </w:tr>
      <w:tr w:rsidR="000A2294" w:rsidRPr="000A2294" w:rsidTr="006F4B54">
        <w:tc>
          <w:tcPr>
            <w:tcW w:w="5000" w:type="pct"/>
            <w:gridSpan w:val="4"/>
          </w:tcPr>
          <w:p w:rsidR="000A2294" w:rsidRPr="000A2294" w:rsidRDefault="000A2294" w:rsidP="000A2294">
            <w:pPr>
              <w:jc w:val="both"/>
              <w:rPr>
                <w:sz w:val="20"/>
                <w:lang w:val="en-CA"/>
              </w:rPr>
            </w:pPr>
          </w:p>
        </w:tc>
      </w:tr>
      <w:tr w:rsidR="000A2294" w:rsidRPr="000A2294" w:rsidTr="006F4B54">
        <w:tc>
          <w:tcPr>
            <w:tcW w:w="2427" w:type="pct"/>
            <w:gridSpan w:val="2"/>
          </w:tcPr>
          <w:p w:rsidR="000A2294" w:rsidRPr="000A2294" w:rsidRDefault="000A2294" w:rsidP="000A2294">
            <w:pPr>
              <w:jc w:val="both"/>
              <w:rPr>
                <w:sz w:val="20"/>
                <w:lang w:val="en-CA"/>
              </w:rPr>
            </w:pPr>
            <w:r w:rsidRPr="000A2294">
              <w:rPr>
                <w:sz w:val="20"/>
                <w:lang w:val="en-CA"/>
              </w:rPr>
              <w:t>June 16, 2021</w:t>
            </w:r>
          </w:p>
          <w:p w:rsidR="000A2294" w:rsidRPr="000A2294" w:rsidRDefault="000A2294" w:rsidP="000A2294">
            <w:pPr>
              <w:jc w:val="both"/>
              <w:rPr>
                <w:sz w:val="20"/>
                <w:lang w:val="en-CA"/>
              </w:rPr>
            </w:pPr>
            <w:r w:rsidRPr="000A2294">
              <w:rPr>
                <w:sz w:val="20"/>
                <w:lang w:val="en-CA"/>
              </w:rPr>
              <w:t>Quebec Superior Court</w:t>
            </w:r>
          </w:p>
          <w:p w:rsidR="000A2294" w:rsidRPr="000A2294" w:rsidRDefault="000A2294" w:rsidP="000A2294">
            <w:pPr>
              <w:jc w:val="both"/>
              <w:rPr>
                <w:sz w:val="20"/>
                <w:lang w:val="en-CA"/>
              </w:rPr>
            </w:pPr>
            <w:r w:rsidRPr="000A2294">
              <w:rPr>
                <w:sz w:val="20"/>
                <w:lang w:val="en-CA"/>
              </w:rPr>
              <w:t>(Lussier J.)</w:t>
            </w:r>
          </w:p>
          <w:p w:rsidR="000A2294" w:rsidRPr="000A2294" w:rsidRDefault="00F935FF" w:rsidP="000A2294">
            <w:pPr>
              <w:jc w:val="both"/>
              <w:rPr>
                <w:sz w:val="20"/>
                <w:lang w:val="en-CA"/>
              </w:rPr>
            </w:pPr>
            <w:hyperlink r:id="rId99" w:history="1">
              <w:r w:rsidR="000A2294" w:rsidRPr="000A2294">
                <w:rPr>
                  <w:rStyle w:val="Hyperlink"/>
                  <w:sz w:val="20"/>
                  <w:lang w:val="en-CA"/>
                </w:rPr>
                <w:t>2021 QCCS 2550</w:t>
              </w:r>
            </w:hyperlink>
            <w:r w:rsidR="000A2294" w:rsidRPr="000A2294">
              <w:rPr>
                <w:sz w:val="20"/>
                <w:lang w:val="en-CA"/>
              </w:rPr>
              <w:t xml:space="preserve"> </w:t>
            </w:r>
          </w:p>
          <w:p w:rsidR="000A2294" w:rsidRPr="000A2294" w:rsidRDefault="000A2294" w:rsidP="000A2294">
            <w:pPr>
              <w:jc w:val="both"/>
              <w:rPr>
                <w:sz w:val="20"/>
                <w:lang w:val="en-CA"/>
              </w:rPr>
            </w:pPr>
          </w:p>
        </w:tc>
        <w:tc>
          <w:tcPr>
            <w:tcW w:w="243" w:type="pct"/>
          </w:tcPr>
          <w:p w:rsidR="000A2294" w:rsidRPr="000A2294" w:rsidRDefault="000A2294" w:rsidP="000A2294">
            <w:pPr>
              <w:jc w:val="both"/>
              <w:rPr>
                <w:sz w:val="20"/>
                <w:lang w:val="en-CA"/>
              </w:rPr>
            </w:pPr>
          </w:p>
        </w:tc>
        <w:tc>
          <w:tcPr>
            <w:tcW w:w="2330" w:type="pct"/>
          </w:tcPr>
          <w:p w:rsidR="000A2294" w:rsidRPr="000A2294" w:rsidRDefault="000A2294" w:rsidP="000A2294">
            <w:pPr>
              <w:jc w:val="both"/>
              <w:rPr>
                <w:sz w:val="20"/>
                <w:lang w:val="en-CA"/>
              </w:rPr>
            </w:pPr>
            <w:r w:rsidRPr="000A2294">
              <w:rPr>
                <w:sz w:val="20"/>
                <w:lang w:val="en-CA"/>
              </w:rPr>
              <w:t>Application to bring action anonymously for interlocutory and permanent injunction and for damages dismissed</w:t>
            </w:r>
          </w:p>
          <w:p w:rsidR="000A2294" w:rsidRPr="000A2294" w:rsidRDefault="000A2294" w:rsidP="000A2294">
            <w:pPr>
              <w:jc w:val="both"/>
              <w:rPr>
                <w:sz w:val="20"/>
                <w:lang w:val="en-CA"/>
              </w:rPr>
            </w:pPr>
            <w:r w:rsidRPr="000A2294">
              <w:rPr>
                <w:sz w:val="20"/>
                <w:lang w:val="en-CA"/>
              </w:rPr>
              <w:t>Application to elect domicile at lawyers’ office allowed</w:t>
            </w:r>
          </w:p>
          <w:p w:rsidR="000A2294" w:rsidRPr="000A2294" w:rsidRDefault="000A2294" w:rsidP="000A2294">
            <w:pPr>
              <w:jc w:val="both"/>
              <w:rPr>
                <w:sz w:val="20"/>
                <w:lang w:val="en-CA"/>
              </w:rPr>
            </w:pPr>
            <w:r w:rsidRPr="000A2294">
              <w:rPr>
                <w:sz w:val="20"/>
                <w:lang w:val="en-CA"/>
              </w:rPr>
              <w:t>Application for order prohibiting publication or broadcasting of proceedings, exhibits and testimony to be given in case dismissed</w:t>
            </w:r>
          </w:p>
          <w:p w:rsidR="000A2294" w:rsidRPr="000A2294" w:rsidRDefault="000A2294" w:rsidP="000A2294">
            <w:pPr>
              <w:jc w:val="both"/>
              <w:rPr>
                <w:sz w:val="20"/>
                <w:lang w:val="en-CA"/>
              </w:rPr>
            </w:pPr>
            <w:r w:rsidRPr="000A2294">
              <w:rPr>
                <w:sz w:val="20"/>
                <w:lang w:val="en-CA"/>
              </w:rPr>
              <w:t>Order made at hearing prohibiting publication or broadcasting continued until expiry of time to appeal or filing of application for leave to appeal and, in such case, until disposed of by judge of Court of Appeal</w:t>
            </w:r>
          </w:p>
          <w:p w:rsidR="000A2294" w:rsidRPr="000A2294" w:rsidRDefault="000A2294" w:rsidP="000A2294">
            <w:pPr>
              <w:jc w:val="both"/>
              <w:rPr>
                <w:sz w:val="20"/>
                <w:lang w:val="en-CA"/>
              </w:rPr>
            </w:pPr>
          </w:p>
        </w:tc>
      </w:tr>
      <w:tr w:rsidR="000A2294" w:rsidRPr="000A2294" w:rsidTr="006F4B54">
        <w:tc>
          <w:tcPr>
            <w:tcW w:w="2427" w:type="pct"/>
            <w:gridSpan w:val="2"/>
          </w:tcPr>
          <w:p w:rsidR="000A2294" w:rsidRPr="000A2294" w:rsidRDefault="000A2294" w:rsidP="000A2294">
            <w:pPr>
              <w:jc w:val="both"/>
              <w:rPr>
                <w:sz w:val="20"/>
                <w:lang w:val="en-CA"/>
              </w:rPr>
            </w:pPr>
            <w:r w:rsidRPr="000A2294">
              <w:rPr>
                <w:sz w:val="20"/>
                <w:lang w:val="en-CA"/>
              </w:rPr>
              <w:t xml:space="preserve">August 31, 2022 [corrected on September 1, 2022, through publication of corrigendum] </w:t>
            </w:r>
          </w:p>
          <w:p w:rsidR="000A2294" w:rsidRPr="000A2294" w:rsidRDefault="000A2294" w:rsidP="000A2294">
            <w:pPr>
              <w:jc w:val="both"/>
              <w:rPr>
                <w:sz w:val="20"/>
                <w:lang w:val="en-CA"/>
              </w:rPr>
            </w:pPr>
            <w:r w:rsidRPr="000A2294">
              <w:rPr>
                <w:sz w:val="20"/>
                <w:lang w:val="en-CA"/>
              </w:rPr>
              <w:t>Quebec Court of Appeal (Montréal)</w:t>
            </w:r>
          </w:p>
          <w:p w:rsidR="000A2294" w:rsidRPr="000A2294" w:rsidRDefault="000A2294" w:rsidP="000A2294">
            <w:pPr>
              <w:jc w:val="both"/>
              <w:rPr>
                <w:sz w:val="20"/>
                <w:lang w:val="fr-CA"/>
              </w:rPr>
            </w:pPr>
            <w:r w:rsidRPr="000A2294">
              <w:rPr>
                <w:sz w:val="20"/>
                <w:lang w:val="fr-CA"/>
              </w:rPr>
              <w:t>(Pelletier, Vauclair and Lavallée JJ.A.)</w:t>
            </w:r>
          </w:p>
          <w:p w:rsidR="000A2294" w:rsidRPr="000A2294" w:rsidRDefault="00F935FF" w:rsidP="000A2294">
            <w:pPr>
              <w:jc w:val="both"/>
              <w:rPr>
                <w:sz w:val="20"/>
                <w:lang w:val="en-CA"/>
              </w:rPr>
            </w:pPr>
            <w:hyperlink r:id="rId100" w:history="1">
              <w:r w:rsidR="000A2294" w:rsidRPr="000A2294">
                <w:rPr>
                  <w:rStyle w:val="Hyperlink"/>
                  <w:sz w:val="20"/>
                  <w:lang w:val="en-CA"/>
                </w:rPr>
                <w:t>2022 QCCA 959</w:t>
              </w:r>
            </w:hyperlink>
          </w:p>
          <w:p w:rsidR="000A2294" w:rsidRPr="000A2294" w:rsidRDefault="000A2294" w:rsidP="000A2294">
            <w:pPr>
              <w:jc w:val="both"/>
              <w:rPr>
                <w:sz w:val="20"/>
                <w:lang w:val="en-CA"/>
              </w:rPr>
            </w:pPr>
          </w:p>
        </w:tc>
        <w:tc>
          <w:tcPr>
            <w:tcW w:w="243" w:type="pct"/>
          </w:tcPr>
          <w:p w:rsidR="000A2294" w:rsidRPr="000A2294" w:rsidRDefault="000A2294" w:rsidP="000A2294">
            <w:pPr>
              <w:jc w:val="both"/>
              <w:rPr>
                <w:sz w:val="20"/>
                <w:lang w:val="en-CA"/>
              </w:rPr>
            </w:pPr>
          </w:p>
        </w:tc>
        <w:tc>
          <w:tcPr>
            <w:tcW w:w="2330" w:type="pct"/>
          </w:tcPr>
          <w:p w:rsidR="000A2294" w:rsidRPr="000A2294" w:rsidRDefault="000A2294" w:rsidP="000A2294">
            <w:pPr>
              <w:jc w:val="both"/>
              <w:rPr>
                <w:sz w:val="20"/>
                <w:lang w:val="en-CA"/>
              </w:rPr>
            </w:pPr>
            <w:r w:rsidRPr="000A2294">
              <w:rPr>
                <w:sz w:val="20"/>
                <w:lang w:val="en-CA"/>
              </w:rPr>
              <w:t>Appeal dismissed</w:t>
            </w:r>
          </w:p>
          <w:p w:rsidR="000A2294" w:rsidRPr="000A2294" w:rsidRDefault="000A2294" w:rsidP="000A2294">
            <w:pPr>
              <w:jc w:val="both"/>
              <w:rPr>
                <w:sz w:val="20"/>
                <w:lang w:val="en-CA"/>
              </w:rPr>
            </w:pPr>
          </w:p>
        </w:tc>
      </w:tr>
      <w:tr w:rsidR="000A2294" w:rsidRPr="000A2294" w:rsidTr="006F4B54">
        <w:tc>
          <w:tcPr>
            <w:tcW w:w="2427" w:type="pct"/>
            <w:gridSpan w:val="2"/>
          </w:tcPr>
          <w:p w:rsidR="000A2294" w:rsidRPr="000A2294" w:rsidRDefault="000A2294" w:rsidP="000A2294">
            <w:pPr>
              <w:jc w:val="both"/>
              <w:rPr>
                <w:sz w:val="20"/>
                <w:lang w:val="en-CA"/>
              </w:rPr>
            </w:pPr>
            <w:r w:rsidRPr="000A2294">
              <w:rPr>
                <w:sz w:val="20"/>
                <w:lang w:val="en-CA"/>
              </w:rPr>
              <w:t>November 7, 2022</w:t>
            </w:r>
          </w:p>
          <w:p w:rsidR="000A2294" w:rsidRPr="000A2294" w:rsidRDefault="000A2294" w:rsidP="000A2294">
            <w:pPr>
              <w:jc w:val="both"/>
              <w:rPr>
                <w:sz w:val="20"/>
                <w:lang w:val="en-CA"/>
              </w:rPr>
            </w:pPr>
            <w:r w:rsidRPr="000A2294">
              <w:rPr>
                <w:sz w:val="20"/>
                <w:lang w:val="en-CA"/>
              </w:rPr>
              <w:t>Supreme Court of Canada</w:t>
            </w:r>
          </w:p>
        </w:tc>
        <w:tc>
          <w:tcPr>
            <w:tcW w:w="243" w:type="pct"/>
          </w:tcPr>
          <w:p w:rsidR="000A2294" w:rsidRPr="000A2294" w:rsidRDefault="000A2294" w:rsidP="000A2294">
            <w:pPr>
              <w:jc w:val="both"/>
              <w:rPr>
                <w:sz w:val="20"/>
                <w:lang w:val="en-CA"/>
              </w:rPr>
            </w:pPr>
          </w:p>
        </w:tc>
        <w:tc>
          <w:tcPr>
            <w:tcW w:w="2330" w:type="pct"/>
          </w:tcPr>
          <w:p w:rsidR="000A2294" w:rsidRPr="000A2294" w:rsidRDefault="000A2294" w:rsidP="000A2294">
            <w:pPr>
              <w:jc w:val="both"/>
              <w:rPr>
                <w:sz w:val="20"/>
                <w:lang w:val="en-CA"/>
              </w:rPr>
            </w:pPr>
            <w:r w:rsidRPr="000A2294">
              <w:rPr>
                <w:sz w:val="20"/>
                <w:lang w:val="en-CA"/>
              </w:rPr>
              <w:t>Application for leave to appeal filed</w:t>
            </w:r>
          </w:p>
          <w:p w:rsidR="000A2294" w:rsidRPr="000A2294" w:rsidRDefault="000A2294" w:rsidP="000A2294">
            <w:pPr>
              <w:jc w:val="both"/>
              <w:rPr>
                <w:sz w:val="20"/>
                <w:lang w:val="en-CA"/>
              </w:rPr>
            </w:pPr>
          </w:p>
        </w:tc>
      </w:tr>
    </w:tbl>
    <w:p w:rsidR="000A2294" w:rsidRPr="000A2294" w:rsidRDefault="000A2294" w:rsidP="000A2294">
      <w:pPr>
        <w:jc w:val="both"/>
        <w:rPr>
          <w:sz w:val="20"/>
          <w:lang w:val="en-CA"/>
        </w:rPr>
      </w:pPr>
    </w:p>
    <w:p w:rsidR="000A2294" w:rsidRPr="000A2294" w:rsidRDefault="00F935FF" w:rsidP="000A2294">
      <w:pPr>
        <w:jc w:val="both"/>
        <w:rPr>
          <w:sz w:val="20"/>
          <w:lang w:val="en-CA"/>
        </w:rPr>
      </w:pPr>
      <w:r>
        <w:rPr>
          <w:sz w:val="20"/>
        </w:rPr>
        <w:pict>
          <v:rect id="_x0000_i1057" style="width:2in;height:1pt" o:hrpct="0" o:hralign="center" o:hrstd="t" o:hrnoshade="t" o:hr="t" fillcolor="black [3213]" stroked="f"/>
        </w:pict>
      </w:r>
    </w:p>
    <w:p w:rsidR="000A2294" w:rsidRPr="000A2294" w:rsidRDefault="000A2294" w:rsidP="000A229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2294" w:rsidRPr="000A2294" w:rsidTr="006F4B54">
        <w:tc>
          <w:tcPr>
            <w:tcW w:w="543" w:type="pct"/>
          </w:tcPr>
          <w:p w:rsidR="000A2294" w:rsidRPr="000A2294" w:rsidRDefault="000A2294" w:rsidP="000A2294">
            <w:pPr>
              <w:jc w:val="both"/>
              <w:rPr>
                <w:sz w:val="20"/>
              </w:rPr>
            </w:pPr>
            <w:r w:rsidRPr="000A2294">
              <w:rPr>
                <w:rStyle w:val="SCCFileNumberChar"/>
                <w:sz w:val="20"/>
                <w:szCs w:val="20"/>
              </w:rPr>
              <w:t>40446</w:t>
            </w:r>
          </w:p>
        </w:tc>
        <w:tc>
          <w:tcPr>
            <w:tcW w:w="4457" w:type="pct"/>
            <w:gridSpan w:val="3"/>
          </w:tcPr>
          <w:p w:rsidR="000A2294" w:rsidRPr="000A2294" w:rsidRDefault="000A2294" w:rsidP="000A2294">
            <w:pPr>
              <w:pStyle w:val="SCCLsocParty"/>
              <w:jc w:val="both"/>
              <w:rPr>
                <w:b/>
                <w:sz w:val="20"/>
                <w:szCs w:val="20"/>
              </w:rPr>
            </w:pPr>
            <w:r w:rsidRPr="000A2294">
              <w:rPr>
                <w:b/>
                <w:sz w:val="20"/>
                <w:szCs w:val="20"/>
              </w:rPr>
              <w:t>A.B., Fondation A.B. c. Jean-François Robillard, Dis Son Nom, Delphine Bergeron et A.A.</w:t>
            </w:r>
          </w:p>
          <w:p w:rsidR="000A2294" w:rsidRPr="000A2294" w:rsidRDefault="000A2294" w:rsidP="000A2294">
            <w:pPr>
              <w:pStyle w:val="SCCLsocOtherPartySeparator"/>
              <w:rPr>
                <w:sz w:val="20"/>
                <w:szCs w:val="20"/>
              </w:rPr>
            </w:pPr>
            <w:r w:rsidRPr="000A2294">
              <w:rPr>
                <w:sz w:val="20"/>
                <w:szCs w:val="20"/>
              </w:rPr>
              <w:t>- et -</w:t>
            </w:r>
          </w:p>
          <w:p w:rsidR="000A2294" w:rsidRPr="000A2294" w:rsidRDefault="000A2294" w:rsidP="000A2294">
            <w:pPr>
              <w:pStyle w:val="SCCLsocParty"/>
              <w:jc w:val="both"/>
              <w:rPr>
                <w:b/>
                <w:sz w:val="20"/>
                <w:szCs w:val="20"/>
              </w:rPr>
            </w:pPr>
            <w:r w:rsidRPr="000A2294">
              <w:rPr>
                <w:b/>
                <w:sz w:val="20"/>
                <w:szCs w:val="20"/>
              </w:rPr>
              <w:t>Société Radio-Canada et Le Devoir</w:t>
            </w:r>
          </w:p>
          <w:p w:rsidR="000A2294" w:rsidRPr="000A2294" w:rsidRDefault="000A2294" w:rsidP="000A2294">
            <w:pPr>
              <w:jc w:val="both"/>
              <w:rPr>
                <w:sz w:val="20"/>
              </w:rPr>
            </w:pPr>
            <w:r w:rsidRPr="000A2294">
              <w:rPr>
                <w:sz w:val="20"/>
              </w:rPr>
              <w:t>(Qc) (Civile) (Autorisation)</w:t>
            </w:r>
          </w:p>
        </w:tc>
      </w:tr>
      <w:tr w:rsidR="000A2294" w:rsidRPr="00F935FF" w:rsidTr="006F4B54">
        <w:tc>
          <w:tcPr>
            <w:tcW w:w="5000" w:type="pct"/>
            <w:gridSpan w:val="4"/>
          </w:tcPr>
          <w:p w:rsidR="000A2294" w:rsidRPr="000A2294" w:rsidRDefault="000A2294" w:rsidP="000A2294">
            <w:pPr>
              <w:pStyle w:val="SCCBanSummary"/>
              <w:rPr>
                <w:sz w:val="20"/>
                <w:szCs w:val="20"/>
                <w:lang w:val="fr-CA"/>
              </w:rPr>
            </w:pPr>
            <w:r w:rsidRPr="000A2294">
              <w:rPr>
                <w:sz w:val="20"/>
                <w:szCs w:val="20"/>
                <w:lang w:val="fr-CA"/>
              </w:rPr>
              <w:t>(Ordonnance de non-publication dans le dossier)</w:t>
            </w:r>
          </w:p>
          <w:p w:rsidR="000A2294" w:rsidRPr="000A2294" w:rsidRDefault="000A2294" w:rsidP="000A2294">
            <w:pPr>
              <w:jc w:val="both"/>
              <w:rPr>
                <w:sz w:val="20"/>
                <w:lang w:val="fr-CA"/>
              </w:rPr>
            </w:pPr>
          </w:p>
          <w:p w:rsidR="000A2294" w:rsidRPr="000A2294" w:rsidRDefault="000A2294" w:rsidP="000A2294">
            <w:pPr>
              <w:jc w:val="both"/>
              <w:rPr>
                <w:sz w:val="20"/>
                <w:lang w:val="fr-CA"/>
              </w:rPr>
            </w:pPr>
            <w:r w:rsidRPr="000A2294">
              <w:rPr>
                <w:iCs/>
                <w:color w:val="000000"/>
                <w:sz w:val="20"/>
                <w:lang w:val="fr-CA"/>
              </w:rPr>
              <w:t xml:space="preserve">Tribunaux </w:t>
            </w:r>
            <w:r w:rsidRPr="000A2294">
              <w:rPr>
                <w:iCs/>
                <w:color w:val="000000"/>
                <w:sz w:val="20"/>
                <w:shd w:val="clear" w:color="auto" w:fill="FFFFFF"/>
                <w:lang w:val="fr-CA"/>
              </w:rPr>
              <w:t xml:space="preserve">— Principe de la publicité des débats judiciaires — Cadre d’analyse </w:t>
            </w:r>
            <w:r w:rsidRPr="000A2294">
              <w:rPr>
                <w:i/>
                <w:iCs/>
                <w:color w:val="000000"/>
                <w:sz w:val="20"/>
                <w:shd w:val="clear" w:color="auto" w:fill="FFFFFF"/>
                <w:lang w:val="fr-CA"/>
              </w:rPr>
              <w:t>Dagenais/Mentuck/Sherman</w:t>
            </w:r>
            <w:r w:rsidRPr="000A2294">
              <w:rPr>
                <w:iCs/>
                <w:color w:val="000000"/>
                <w:sz w:val="20"/>
                <w:shd w:val="clear" w:color="auto" w:fill="FFFFFF"/>
                <w:lang w:val="fr-CA"/>
              </w:rPr>
              <w:t xml:space="preserve"> — Action en diffamation — Ordonnances requises visant à préserver l’anonymat de la partie demanderesse visée par des </w:t>
            </w:r>
            <w:r w:rsidRPr="000A2294">
              <w:rPr>
                <w:sz w:val="20"/>
                <w:lang w:val="fr-CA"/>
              </w:rPr>
              <w:t xml:space="preserve">allégations d’inconduite sexuelle </w:t>
            </w:r>
            <w:r w:rsidRPr="000A2294">
              <w:rPr>
                <w:iCs/>
                <w:color w:val="000000"/>
                <w:sz w:val="20"/>
                <w:shd w:val="clear" w:color="auto" w:fill="FFFFFF"/>
                <w:lang w:val="fr-CA"/>
              </w:rPr>
              <w:t xml:space="preserve">— </w:t>
            </w:r>
            <w:r w:rsidRPr="000A2294">
              <w:rPr>
                <w:sz w:val="20"/>
                <w:lang w:val="fr-CA"/>
              </w:rPr>
              <w:t>Une personne qui allègue être victime de fausses accusations d’agression sexuelle sur les réseaux sociaux et qui souhaite faire appel aux tribunaux pour faire cesser pareille diffamation peut-elle obtenir des ordonnances limitant la publicité des débats?</w:t>
            </w:r>
          </w:p>
          <w:p w:rsidR="000A2294" w:rsidRPr="000A2294" w:rsidRDefault="000A2294" w:rsidP="000A2294">
            <w:pPr>
              <w:jc w:val="both"/>
              <w:rPr>
                <w:sz w:val="20"/>
                <w:lang w:val="fr-CA"/>
              </w:rPr>
            </w:pPr>
          </w:p>
        </w:tc>
      </w:tr>
      <w:tr w:rsidR="000A2294" w:rsidRPr="00F935FF" w:rsidTr="006F4B54">
        <w:tc>
          <w:tcPr>
            <w:tcW w:w="5000" w:type="pct"/>
            <w:gridSpan w:val="4"/>
          </w:tcPr>
          <w:p w:rsidR="000A2294" w:rsidRPr="000A2294" w:rsidRDefault="000A2294" w:rsidP="000A2294">
            <w:pPr>
              <w:jc w:val="both"/>
              <w:rPr>
                <w:sz w:val="20"/>
                <w:lang w:val="fr-CA"/>
              </w:rPr>
            </w:pPr>
            <w:r w:rsidRPr="000A2294">
              <w:rPr>
                <w:sz w:val="20"/>
                <w:lang w:val="fr-CA"/>
              </w:rPr>
              <w:t xml:space="preserve">Le demandeur A.B., personnalité connue du milieu culturel québécois, et président et administrateur de la demanderesse la Fondation A.B., a appris en été 2020 que son nom figurerait sur la liste d’agresseurs allégués disponible sur la page Facebook de l’intimé « Dis son nom ». Comme suite à l’envoi d’une première mise en demeure, l’intimé « Dis son nom » a retiré le nom d’A.B. de sa liste. En mai 2021, l’intimé Jean-François Robillard publie sur sa page personnelle Facebook une dénonciation à l’endroit des procédures judiciaires entreprises par A.B. et allègue que ces procédures visent à l’intimider et le faire taire. De plus, il ajoute que par sa poursuite en diffamation, A.B. allait exposer ce qu’il souhaitait cacher par l’envoi de la mise en demeure puisque la cause devient alors publique. Le même mois, le nom d’A.B réapparait sur la liste de « Dis son nom ». Le 28 mai 2021, A.B. fait de nouveau parvenir des mises en demeure aux intimés. Les 2 et 3 juin 2021, A.B., ainsi que sa fondation, déposent une demande introductive d’instance en diffamation en Cour supérieure. Les demandeurs requièrent également, afin de préserver leur anonymat, la permission d’intenter de façon anonyme une action en injonction interlocutoire et permanente et en dommages-intérêts contre les intimés, d’être autorisés élire domicile au bureau de leurs avocats ainsi que l’émission d’une ordonnance de non-publication et de non-diffusion des procédures, des pièces et des témoignages à être rendus dans le dossier. La Cour supérieure a rejeté les demandes relatives à la préservation de l’anonymat des demandeurs à l’exception de la demande pour permission d’élire domicile chez leurs avocats et la Cour d’appel a rejeté l’appel. </w:t>
            </w:r>
          </w:p>
        </w:tc>
      </w:tr>
      <w:tr w:rsidR="000A2294" w:rsidRPr="00F935FF" w:rsidTr="006F4B54">
        <w:tc>
          <w:tcPr>
            <w:tcW w:w="5000" w:type="pct"/>
            <w:gridSpan w:val="4"/>
          </w:tcPr>
          <w:p w:rsidR="000A2294" w:rsidRPr="000A2294" w:rsidRDefault="000A2294" w:rsidP="000A2294">
            <w:pPr>
              <w:jc w:val="both"/>
              <w:rPr>
                <w:sz w:val="20"/>
                <w:lang w:val="fr-CA"/>
              </w:rPr>
            </w:pPr>
          </w:p>
        </w:tc>
      </w:tr>
      <w:tr w:rsidR="000A2294" w:rsidRPr="00F935FF" w:rsidTr="006F4B54">
        <w:tc>
          <w:tcPr>
            <w:tcW w:w="2427" w:type="pct"/>
            <w:gridSpan w:val="2"/>
          </w:tcPr>
          <w:p w:rsidR="000A2294" w:rsidRPr="000A2294" w:rsidRDefault="000A2294" w:rsidP="000A2294">
            <w:pPr>
              <w:jc w:val="both"/>
              <w:rPr>
                <w:sz w:val="20"/>
                <w:lang w:val="fr-CA"/>
              </w:rPr>
            </w:pPr>
            <w:r w:rsidRPr="000A2294">
              <w:rPr>
                <w:sz w:val="20"/>
                <w:lang w:val="fr-CA"/>
              </w:rPr>
              <w:t>Le 16 juin 2021</w:t>
            </w:r>
          </w:p>
          <w:p w:rsidR="000A2294" w:rsidRPr="000A2294" w:rsidRDefault="000A2294" w:rsidP="000A2294">
            <w:pPr>
              <w:jc w:val="both"/>
              <w:rPr>
                <w:sz w:val="20"/>
                <w:lang w:val="fr-CA"/>
              </w:rPr>
            </w:pPr>
            <w:r w:rsidRPr="000A2294">
              <w:rPr>
                <w:sz w:val="20"/>
                <w:lang w:val="fr-CA"/>
              </w:rPr>
              <w:t>Cour supérieure du Québec</w:t>
            </w:r>
          </w:p>
          <w:p w:rsidR="000A2294" w:rsidRPr="000A2294" w:rsidRDefault="000A2294" w:rsidP="000A2294">
            <w:pPr>
              <w:jc w:val="both"/>
              <w:rPr>
                <w:sz w:val="20"/>
              </w:rPr>
            </w:pPr>
            <w:r w:rsidRPr="000A2294">
              <w:rPr>
                <w:sz w:val="20"/>
              </w:rPr>
              <w:t>(Le juge Lussier)</w:t>
            </w:r>
          </w:p>
          <w:p w:rsidR="000A2294" w:rsidRPr="000A2294" w:rsidRDefault="00F935FF" w:rsidP="000A2294">
            <w:pPr>
              <w:jc w:val="both"/>
              <w:rPr>
                <w:sz w:val="20"/>
              </w:rPr>
            </w:pPr>
            <w:hyperlink r:id="rId101" w:history="1">
              <w:r w:rsidR="000A2294" w:rsidRPr="000A2294">
                <w:rPr>
                  <w:rStyle w:val="Hyperlink"/>
                  <w:sz w:val="20"/>
                </w:rPr>
                <w:t>2021 QCCS 2550</w:t>
              </w:r>
            </w:hyperlink>
            <w:r w:rsidR="000A2294" w:rsidRPr="000A2294">
              <w:rPr>
                <w:sz w:val="20"/>
              </w:rPr>
              <w:t xml:space="preserve"> </w:t>
            </w:r>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lang w:val="fr-CA"/>
              </w:rPr>
            </w:pPr>
            <w:r w:rsidRPr="000A2294">
              <w:rPr>
                <w:sz w:val="20"/>
                <w:lang w:val="fr-CA"/>
              </w:rPr>
              <w:t>Demande d’intenter, de façon anonyme, une action en injonction interlocutoire et permanente et en dommages-intérêts refusée.</w:t>
            </w:r>
          </w:p>
          <w:p w:rsidR="000A2294" w:rsidRPr="000A2294" w:rsidRDefault="000A2294" w:rsidP="000A2294">
            <w:pPr>
              <w:jc w:val="both"/>
              <w:rPr>
                <w:sz w:val="20"/>
                <w:lang w:val="fr-CA"/>
              </w:rPr>
            </w:pPr>
            <w:r w:rsidRPr="000A2294">
              <w:rPr>
                <w:sz w:val="20"/>
                <w:lang w:val="fr-CA"/>
              </w:rPr>
              <w:t xml:space="preserve">Demande à élire domicile au bureau de </w:t>
            </w:r>
            <w:proofErr w:type="gramStart"/>
            <w:r w:rsidRPr="000A2294">
              <w:rPr>
                <w:sz w:val="20"/>
                <w:lang w:val="fr-CA"/>
              </w:rPr>
              <w:t>leurs avocats autorisée</w:t>
            </w:r>
            <w:proofErr w:type="gramEnd"/>
            <w:r w:rsidRPr="000A2294">
              <w:rPr>
                <w:sz w:val="20"/>
                <w:lang w:val="fr-CA"/>
              </w:rPr>
              <w:t>.</w:t>
            </w:r>
          </w:p>
          <w:p w:rsidR="000A2294" w:rsidRPr="000A2294" w:rsidRDefault="000A2294" w:rsidP="000A2294">
            <w:pPr>
              <w:jc w:val="both"/>
              <w:rPr>
                <w:sz w:val="20"/>
                <w:lang w:val="fr-CA"/>
              </w:rPr>
            </w:pPr>
            <w:r w:rsidRPr="000A2294">
              <w:rPr>
                <w:sz w:val="20"/>
                <w:lang w:val="fr-CA"/>
              </w:rPr>
              <w:t>Demande d’émission d’une ordonnance de non-publication et de non-diffusion des procédures, des pièces et des témoignages à être rendus dans le dossier rejetée.</w:t>
            </w:r>
          </w:p>
          <w:p w:rsidR="000A2294" w:rsidRPr="000A2294" w:rsidRDefault="000A2294" w:rsidP="000A2294">
            <w:pPr>
              <w:jc w:val="both"/>
              <w:rPr>
                <w:sz w:val="20"/>
                <w:lang w:val="fr-CA"/>
              </w:rPr>
            </w:pPr>
            <w:r w:rsidRPr="000A2294">
              <w:rPr>
                <w:sz w:val="20"/>
                <w:lang w:val="fr-CA"/>
              </w:rPr>
              <w:t xml:space="preserve">Ordonnance de non-publication et de non diffusion rendue à l’audience maintenue jusqu’à l’expiration des délais d’appel ou du dépôt d’une demande de permission d’en appel et le cas échéant, jusqu’à ce qu’un juge de la Cour d’appel en dispose. </w:t>
            </w:r>
          </w:p>
          <w:p w:rsidR="000A2294" w:rsidRPr="000A2294" w:rsidRDefault="000A2294" w:rsidP="000A2294">
            <w:pPr>
              <w:jc w:val="both"/>
              <w:rPr>
                <w:sz w:val="20"/>
                <w:lang w:val="fr-CA"/>
              </w:rPr>
            </w:pPr>
          </w:p>
        </w:tc>
      </w:tr>
      <w:tr w:rsidR="000A2294" w:rsidRPr="000A2294" w:rsidTr="006F4B54">
        <w:tc>
          <w:tcPr>
            <w:tcW w:w="2427" w:type="pct"/>
            <w:gridSpan w:val="2"/>
          </w:tcPr>
          <w:p w:rsidR="000A2294" w:rsidRPr="000A2294" w:rsidRDefault="000A2294" w:rsidP="000A2294">
            <w:pPr>
              <w:jc w:val="both"/>
              <w:rPr>
                <w:sz w:val="20"/>
                <w:lang w:val="fr-CA"/>
              </w:rPr>
            </w:pPr>
            <w:r w:rsidRPr="000A2294">
              <w:rPr>
                <w:sz w:val="20"/>
                <w:lang w:val="fr-CA"/>
              </w:rPr>
              <w:t xml:space="preserve">Le 31 août 2022 [rectifié le 1er septembre 2022 par la publication d’un arrêt rectificatif] </w:t>
            </w:r>
          </w:p>
          <w:p w:rsidR="000A2294" w:rsidRPr="000A2294" w:rsidRDefault="000A2294" w:rsidP="000A2294">
            <w:pPr>
              <w:jc w:val="both"/>
              <w:rPr>
                <w:sz w:val="20"/>
                <w:lang w:val="fr-CA"/>
              </w:rPr>
            </w:pPr>
            <w:r w:rsidRPr="000A2294">
              <w:rPr>
                <w:sz w:val="20"/>
                <w:lang w:val="fr-CA"/>
              </w:rPr>
              <w:t>Cour d’appel du Québec (Montréal)</w:t>
            </w:r>
          </w:p>
          <w:p w:rsidR="000A2294" w:rsidRPr="000A2294" w:rsidRDefault="000A2294" w:rsidP="000A2294">
            <w:pPr>
              <w:jc w:val="both"/>
              <w:rPr>
                <w:sz w:val="20"/>
                <w:lang w:val="fr-CA"/>
              </w:rPr>
            </w:pPr>
            <w:r w:rsidRPr="000A2294">
              <w:rPr>
                <w:sz w:val="20"/>
                <w:lang w:val="fr-CA"/>
              </w:rPr>
              <w:t>(Les juges Pelletier, Vauclair et Lavallée)</w:t>
            </w:r>
          </w:p>
          <w:p w:rsidR="000A2294" w:rsidRPr="000A2294" w:rsidRDefault="00F935FF" w:rsidP="000A2294">
            <w:pPr>
              <w:jc w:val="both"/>
              <w:rPr>
                <w:sz w:val="20"/>
              </w:rPr>
            </w:pPr>
            <w:hyperlink r:id="rId102" w:history="1">
              <w:r w:rsidR="000A2294" w:rsidRPr="000A2294">
                <w:rPr>
                  <w:rStyle w:val="Hyperlink"/>
                  <w:sz w:val="20"/>
                </w:rPr>
                <w:t>2022 QCCA 959</w:t>
              </w:r>
            </w:hyperlink>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 xml:space="preserve">Appel rejeté. </w:t>
            </w:r>
          </w:p>
          <w:p w:rsidR="000A2294" w:rsidRPr="000A2294" w:rsidRDefault="000A2294" w:rsidP="000A2294">
            <w:pPr>
              <w:jc w:val="both"/>
              <w:rPr>
                <w:sz w:val="20"/>
              </w:rPr>
            </w:pPr>
          </w:p>
        </w:tc>
      </w:tr>
      <w:tr w:rsidR="000A2294" w:rsidRPr="000A2294" w:rsidTr="006F4B54">
        <w:tc>
          <w:tcPr>
            <w:tcW w:w="2427" w:type="pct"/>
            <w:gridSpan w:val="2"/>
          </w:tcPr>
          <w:p w:rsidR="000A2294" w:rsidRPr="000A2294" w:rsidRDefault="000A2294" w:rsidP="000A2294">
            <w:pPr>
              <w:jc w:val="both"/>
              <w:rPr>
                <w:sz w:val="20"/>
                <w:lang w:val="fr-CA"/>
              </w:rPr>
            </w:pPr>
            <w:r w:rsidRPr="000A2294">
              <w:rPr>
                <w:sz w:val="20"/>
                <w:lang w:val="fr-CA"/>
              </w:rPr>
              <w:t>Le 7 novembre 2022</w:t>
            </w:r>
          </w:p>
          <w:p w:rsidR="000A2294" w:rsidRPr="000A2294" w:rsidRDefault="000A2294" w:rsidP="000A2294">
            <w:pPr>
              <w:jc w:val="both"/>
              <w:rPr>
                <w:sz w:val="20"/>
                <w:lang w:val="fr-CA"/>
              </w:rPr>
            </w:pPr>
            <w:r w:rsidRPr="000A2294">
              <w:rPr>
                <w:sz w:val="20"/>
                <w:lang w:val="fr-CA"/>
              </w:rPr>
              <w:t>Cour suprême du Canada</w:t>
            </w:r>
          </w:p>
        </w:tc>
        <w:tc>
          <w:tcPr>
            <w:tcW w:w="243" w:type="pct"/>
          </w:tcPr>
          <w:p w:rsidR="000A2294" w:rsidRPr="000A2294" w:rsidRDefault="000A2294" w:rsidP="000A2294">
            <w:pPr>
              <w:jc w:val="both"/>
              <w:rPr>
                <w:sz w:val="20"/>
                <w:lang w:val="fr-CA"/>
              </w:rPr>
            </w:pPr>
          </w:p>
        </w:tc>
        <w:tc>
          <w:tcPr>
            <w:tcW w:w="2330" w:type="pct"/>
          </w:tcPr>
          <w:p w:rsidR="000A2294" w:rsidRPr="000A2294" w:rsidRDefault="000A2294" w:rsidP="000A2294">
            <w:pPr>
              <w:jc w:val="both"/>
              <w:rPr>
                <w:sz w:val="20"/>
              </w:rPr>
            </w:pPr>
            <w:r w:rsidRPr="000A2294">
              <w:rPr>
                <w:sz w:val="20"/>
              </w:rPr>
              <w:t>Demande d'autorisation d'appel déposée</w:t>
            </w:r>
          </w:p>
          <w:p w:rsidR="000A2294" w:rsidRPr="000A2294" w:rsidRDefault="000A2294" w:rsidP="000A2294">
            <w:pPr>
              <w:jc w:val="both"/>
              <w:rPr>
                <w:sz w:val="20"/>
              </w:rPr>
            </w:pPr>
          </w:p>
        </w:tc>
      </w:tr>
    </w:tbl>
    <w:p w:rsidR="000A2294" w:rsidRPr="000A2294" w:rsidRDefault="000A2294" w:rsidP="000A2294">
      <w:pPr>
        <w:jc w:val="both"/>
        <w:rPr>
          <w:sz w:val="20"/>
        </w:rPr>
      </w:pPr>
    </w:p>
    <w:p w:rsidR="00E20752" w:rsidRPr="000A2294" w:rsidRDefault="00F935FF" w:rsidP="000A2294">
      <w:pPr>
        <w:widowControl w:val="0"/>
        <w:jc w:val="both"/>
        <w:rPr>
          <w:sz w:val="20"/>
          <w:lang w:val="fr-CA"/>
        </w:rPr>
      </w:pPr>
      <w:r>
        <w:rPr>
          <w:sz w:val="20"/>
        </w:rPr>
        <w:pict>
          <v:rect id="_x0000_i1058" style="width:2in;height:1pt" o:hrpct="0" o:hralign="center" o:hrstd="t" o:hrnoshade="t" o:hr="t" fillcolor="black [3213]" stroked="f"/>
        </w:pict>
      </w:r>
    </w:p>
    <w:p w:rsidR="00E20752" w:rsidRPr="000A2294" w:rsidRDefault="00E20752" w:rsidP="000A229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2294" w:rsidRPr="000A2294" w:rsidTr="00E95A6A">
        <w:tc>
          <w:tcPr>
            <w:tcW w:w="543" w:type="pct"/>
          </w:tcPr>
          <w:p w:rsidR="000A2294" w:rsidRPr="000A2294" w:rsidRDefault="000A2294" w:rsidP="000A2294">
            <w:pPr>
              <w:jc w:val="both"/>
              <w:rPr>
                <w:sz w:val="20"/>
              </w:rPr>
            </w:pPr>
            <w:r w:rsidRPr="000A2294">
              <w:rPr>
                <w:rStyle w:val="SCCFileNumberChar"/>
                <w:sz w:val="20"/>
                <w:szCs w:val="20"/>
              </w:rPr>
              <w:t>40528</w:t>
            </w:r>
          </w:p>
        </w:tc>
        <w:tc>
          <w:tcPr>
            <w:tcW w:w="4457" w:type="pct"/>
            <w:gridSpan w:val="3"/>
          </w:tcPr>
          <w:p w:rsidR="000A2294" w:rsidRPr="000A2294" w:rsidRDefault="000A2294" w:rsidP="000A2294">
            <w:pPr>
              <w:pStyle w:val="SCCLsocParty"/>
              <w:jc w:val="both"/>
              <w:rPr>
                <w:b/>
                <w:sz w:val="20"/>
                <w:szCs w:val="20"/>
              </w:rPr>
            </w:pPr>
            <w:r w:rsidRPr="000A2294">
              <w:rPr>
                <w:b/>
                <w:sz w:val="20"/>
                <w:szCs w:val="20"/>
              </w:rPr>
              <w:t>Louise-Anne Gélinas v. Diane Gareau, in her capacity as syndic of the Chambre des notaires du Québec</w:t>
            </w:r>
          </w:p>
          <w:p w:rsidR="000A2294" w:rsidRPr="000A2294" w:rsidRDefault="000A2294" w:rsidP="000A2294">
            <w:pPr>
              <w:jc w:val="both"/>
              <w:rPr>
                <w:sz w:val="20"/>
              </w:rPr>
            </w:pPr>
            <w:r w:rsidRPr="000A2294">
              <w:rPr>
                <w:sz w:val="20"/>
              </w:rPr>
              <w:t>(Que.) (Civil) (By Leave)</w:t>
            </w:r>
          </w:p>
        </w:tc>
      </w:tr>
      <w:tr w:rsidR="000A2294" w:rsidRPr="000A2294" w:rsidTr="00E95A6A">
        <w:tc>
          <w:tcPr>
            <w:tcW w:w="5000" w:type="pct"/>
            <w:gridSpan w:val="4"/>
          </w:tcPr>
          <w:p w:rsidR="000A2294" w:rsidRPr="000A2294" w:rsidRDefault="000A2294" w:rsidP="000A2294">
            <w:pPr>
              <w:jc w:val="both"/>
              <w:rPr>
                <w:sz w:val="20"/>
              </w:rPr>
            </w:pPr>
            <w:r w:rsidRPr="000A2294">
              <w:rPr>
                <w:sz w:val="20"/>
              </w:rPr>
              <w:t xml:space="preserve">Law of professions </w:t>
            </w:r>
            <w:r w:rsidRPr="000A2294">
              <w:rPr>
                <w:iCs/>
                <w:color w:val="000000"/>
                <w:sz w:val="20"/>
              </w:rPr>
              <w:t xml:space="preserve">— Notaries — Discipline — Administrative law — Procedural fairness </w:t>
            </w:r>
            <w:r w:rsidRPr="000A2294">
              <w:rPr>
                <w:i/>
                <w:iCs/>
                <w:color w:val="000000"/>
                <w:sz w:val="20"/>
              </w:rPr>
              <w:t>—</w:t>
            </w:r>
            <w:r w:rsidRPr="000A2294">
              <w:rPr>
                <w:iCs/>
                <w:color w:val="000000"/>
                <w:sz w:val="20"/>
              </w:rPr>
              <w:t xml:space="preserve"> New evidence </w:t>
            </w:r>
            <w:r w:rsidRPr="000A2294">
              <w:rPr>
                <w:i/>
                <w:iCs/>
                <w:color w:val="000000"/>
                <w:sz w:val="20"/>
              </w:rPr>
              <w:t>—</w:t>
            </w:r>
            <w:r w:rsidRPr="000A2294">
              <w:rPr>
                <w:iCs/>
                <w:color w:val="000000"/>
                <w:sz w:val="20"/>
              </w:rPr>
              <w:t xml:space="preserve"> Disciplinary council finding notary guilty of affixing co-liquidator’s signature to documents by editing and/or superimposition — Disciplinary council penalizing notary by striking her permanently off roll — Notary unsuccessfully seeking to introduce new evidence before appeal tribunal — Superior Court intervening on judicial review, but judgment reversed by Court of Appeal — Whether application for leave to appeal raises question of public importance.</w:t>
            </w:r>
          </w:p>
        </w:tc>
      </w:tr>
      <w:tr w:rsidR="000A2294" w:rsidRPr="000A2294" w:rsidTr="00E95A6A">
        <w:tc>
          <w:tcPr>
            <w:tcW w:w="5000" w:type="pct"/>
            <w:gridSpan w:val="4"/>
          </w:tcPr>
          <w:p w:rsidR="000A2294" w:rsidRPr="000A2294" w:rsidRDefault="000A2294" w:rsidP="000A2294">
            <w:pPr>
              <w:jc w:val="both"/>
              <w:rPr>
                <w:sz w:val="20"/>
              </w:rPr>
            </w:pPr>
          </w:p>
          <w:p w:rsidR="000A2294" w:rsidRPr="000A2294" w:rsidRDefault="000A2294" w:rsidP="000A2294">
            <w:pPr>
              <w:jc w:val="both"/>
              <w:rPr>
                <w:sz w:val="20"/>
              </w:rPr>
            </w:pPr>
            <w:r w:rsidRPr="000A2294">
              <w:rPr>
                <w:sz w:val="20"/>
              </w:rPr>
              <w:t>In 2017, the disciplinary council of the Chambre des notaires du Québec found the applicant, Ms. Gélinas, guilty of forgery, of telling the police that documents had been signed by a third party when she knew that they were forgeries and of obstructing the syndic’s investigation. For certain counts, it was ordered that the applicant be permanently struck off the roll. For others, it was ordered that her permit to practice be revoked. The council’s decisions were, for the most part, upheld by the Professions Tribunal. The Superior Court allowed the application for judicial review brought by Ms. Gélinas because the judge was of the view that her right to procedural fairness had been breached and that the penalties imposed by the council were inappropriate. The Quebec Court of Appeal allowed the respondent’s appeal and set aside the Superior Court’s judgment, since the panel was of the view that the judge should not have intervened to substitute his opinion for those of the Tribunal and the council. While the judge had properly identified the applicable standard of review, namely reasonableness, he had in fact applied the standard of correctness.</w:t>
            </w:r>
          </w:p>
        </w:tc>
      </w:tr>
      <w:tr w:rsidR="000A2294" w:rsidRPr="000A2294" w:rsidTr="00E95A6A">
        <w:tc>
          <w:tcPr>
            <w:tcW w:w="5000" w:type="pct"/>
            <w:gridSpan w:val="4"/>
          </w:tcPr>
          <w:p w:rsidR="000A2294" w:rsidRPr="000A2294" w:rsidRDefault="000A2294" w:rsidP="000A2294">
            <w:pPr>
              <w:jc w:val="both"/>
              <w:rPr>
                <w:sz w:val="20"/>
              </w:rPr>
            </w:pPr>
          </w:p>
        </w:tc>
      </w:tr>
      <w:tr w:rsidR="000A2294" w:rsidRPr="000A2294" w:rsidTr="00E95A6A">
        <w:tc>
          <w:tcPr>
            <w:tcW w:w="2427" w:type="pct"/>
            <w:gridSpan w:val="2"/>
          </w:tcPr>
          <w:p w:rsidR="000A2294" w:rsidRPr="000A2294" w:rsidRDefault="000A2294" w:rsidP="000A2294">
            <w:pPr>
              <w:jc w:val="both"/>
              <w:rPr>
                <w:sz w:val="20"/>
              </w:rPr>
            </w:pPr>
            <w:r w:rsidRPr="000A2294">
              <w:rPr>
                <w:sz w:val="20"/>
              </w:rPr>
              <w:t>July 15, 2020</w:t>
            </w:r>
          </w:p>
          <w:p w:rsidR="000A2294" w:rsidRPr="000A2294" w:rsidRDefault="000A2294" w:rsidP="000A2294">
            <w:pPr>
              <w:jc w:val="both"/>
              <w:rPr>
                <w:sz w:val="20"/>
              </w:rPr>
            </w:pPr>
            <w:r w:rsidRPr="000A2294">
              <w:rPr>
                <w:sz w:val="20"/>
              </w:rPr>
              <w:t>Professions Tribunal</w:t>
            </w:r>
          </w:p>
          <w:p w:rsidR="000A2294" w:rsidRPr="000A2294" w:rsidRDefault="000A2294" w:rsidP="000A2294">
            <w:pPr>
              <w:jc w:val="both"/>
              <w:rPr>
                <w:sz w:val="20"/>
              </w:rPr>
            </w:pPr>
            <w:r w:rsidRPr="000A2294">
              <w:rPr>
                <w:sz w:val="20"/>
              </w:rPr>
              <w:t>(Judges Marchi, Vanchestein and Hudon)</w:t>
            </w:r>
          </w:p>
          <w:p w:rsidR="000A2294" w:rsidRPr="000A2294" w:rsidRDefault="00F935FF" w:rsidP="000A2294">
            <w:pPr>
              <w:jc w:val="both"/>
              <w:rPr>
                <w:sz w:val="20"/>
              </w:rPr>
            </w:pPr>
            <w:hyperlink r:id="rId103" w:history="1">
              <w:r w:rsidR="000A2294" w:rsidRPr="000A2294">
                <w:rPr>
                  <w:rStyle w:val="Hyperlink"/>
                  <w:sz w:val="20"/>
                </w:rPr>
                <w:t>2020 QCTP 37</w:t>
              </w:r>
            </w:hyperlink>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Appeal on guilt allowed in part; appeal on penalty dismissed</w:t>
            </w:r>
          </w:p>
        </w:tc>
      </w:tr>
      <w:tr w:rsidR="000A2294" w:rsidRPr="000A2294" w:rsidTr="00E95A6A">
        <w:tc>
          <w:tcPr>
            <w:tcW w:w="2427" w:type="pct"/>
            <w:gridSpan w:val="2"/>
          </w:tcPr>
          <w:p w:rsidR="000A2294" w:rsidRPr="000A2294" w:rsidRDefault="000A2294" w:rsidP="000A2294">
            <w:pPr>
              <w:jc w:val="both"/>
              <w:rPr>
                <w:sz w:val="20"/>
              </w:rPr>
            </w:pPr>
            <w:r w:rsidRPr="000A2294">
              <w:rPr>
                <w:sz w:val="20"/>
              </w:rPr>
              <w:t>May 4, 2021</w:t>
            </w:r>
          </w:p>
          <w:p w:rsidR="000A2294" w:rsidRPr="000A2294" w:rsidRDefault="000A2294" w:rsidP="000A2294">
            <w:pPr>
              <w:jc w:val="both"/>
              <w:rPr>
                <w:sz w:val="20"/>
              </w:rPr>
            </w:pPr>
            <w:r w:rsidRPr="000A2294">
              <w:rPr>
                <w:sz w:val="20"/>
              </w:rPr>
              <w:t>Quebec Superior Court</w:t>
            </w:r>
          </w:p>
          <w:p w:rsidR="000A2294" w:rsidRPr="000A2294" w:rsidRDefault="000A2294" w:rsidP="000A2294">
            <w:pPr>
              <w:jc w:val="both"/>
              <w:rPr>
                <w:sz w:val="20"/>
              </w:rPr>
            </w:pPr>
            <w:r w:rsidRPr="000A2294">
              <w:rPr>
                <w:sz w:val="20"/>
              </w:rPr>
              <w:t>(Geoffroy J.)</w:t>
            </w:r>
          </w:p>
          <w:p w:rsidR="000A2294" w:rsidRPr="000A2294" w:rsidRDefault="00F935FF" w:rsidP="000A2294">
            <w:pPr>
              <w:jc w:val="both"/>
              <w:rPr>
                <w:sz w:val="20"/>
              </w:rPr>
            </w:pPr>
            <w:hyperlink r:id="rId104" w:history="1">
              <w:r w:rsidR="000A2294" w:rsidRPr="000A2294">
                <w:rPr>
                  <w:rStyle w:val="Hyperlink"/>
                  <w:sz w:val="20"/>
                </w:rPr>
                <w:t>2021 QCCS 1872</w:t>
              </w:r>
            </w:hyperlink>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Application for judicial review allowed; final stay of disciplinary proceedings against applicant Ms. Gélinas ordered</w:t>
            </w:r>
          </w:p>
        </w:tc>
      </w:tr>
      <w:tr w:rsidR="000A2294" w:rsidRPr="000A2294" w:rsidTr="00E95A6A">
        <w:tc>
          <w:tcPr>
            <w:tcW w:w="2427" w:type="pct"/>
            <w:gridSpan w:val="2"/>
          </w:tcPr>
          <w:p w:rsidR="000A2294" w:rsidRPr="000A2294" w:rsidRDefault="000A2294" w:rsidP="000A2294">
            <w:pPr>
              <w:jc w:val="both"/>
              <w:rPr>
                <w:sz w:val="20"/>
              </w:rPr>
            </w:pPr>
            <w:r w:rsidRPr="000A2294">
              <w:rPr>
                <w:sz w:val="20"/>
              </w:rPr>
              <w:t>May 19, 2022</w:t>
            </w:r>
          </w:p>
          <w:p w:rsidR="000A2294" w:rsidRPr="000A2294" w:rsidRDefault="000A2294" w:rsidP="000A2294">
            <w:pPr>
              <w:jc w:val="both"/>
              <w:rPr>
                <w:sz w:val="20"/>
              </w:rPr>
            </w:pPr>
            <w:r w:rsidRPr="000A2294">
              <w:rPr>
                <w:sz w:val="20"/>
              </w:rPr>
              <w:t>Quebec Court of Appeal (Québec)</w:t>
            </w:r>
          </w:p>
          <w:p w:rsidR="000A2294" w:rsidRPr="000A2294" w:rsidRDefault="000A2294" w:rsidP="000A2294">
            <w:pPr>
              <w:jc w:val="both"/>
              <w:rPr>
                <w:sz w:val="20"/>
              </w:rPr>
            </w:pPr>
            <w:r w:rsidRPr="000A2294">
              <w:rPr>
                <w:sz w:val="20"/>
              </w:rPr>
              <w:t>(Bich, Bélanger and Lavallée JJ.A.)</w:t>
            </w:r>
          </w:p>
          <w:p w:rsidR="000A2294" w:rsidRPr="000A2294" w:rsidRDefault="000A2294" w:rsidP="000A2294">
            <w:pPr>
              <w:jc w:val="both"/>
              <w:rPr>
                <w:sz w:val="20"/>
              </w:rPr>
            </w:pPr>
            <w:r w:rsidRPr="000A2294">
              <w:rPr>
                <w:sz w:val="20"/>
              </w:rPr>
              <w:t>No. 200-09-010363-213</w:t>
            </w:r>
          </w:p>
          <w:p w:rsidR="000A2294" w:rsidRPr="000A2294" w:rsidRDefault="00F935FF" w:rsidP="000A2294">
            <w:pPr>
              <w:jc w:val="both"/>
              <w:rPr>
                <w:sz w:val="20"/>
              </w:rPr>
            </w:pPr>
            <w:hyperlink r:id="rId105" w:history="1">
              <w:r w:rsidR="000A2294" w:rsidRPr="000A2294">
                <w:rPr>
                  <w:rStyle w:val="Hyperlink"/>
                  <w:sz w:val="20"/>
                </w:rPr>
                <w:t>2022 QCCA 736</w:t>
              </w:r>
            </w:hyperlink>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Appeal allowed</w:t>
            </w:r>
          </w:p>
          <w:p w:rsidR="000A2294" w:rsidRPr="000A2294" w:rsidRDefault="000A2294" w:rsidP="000A2294">
            <w:pPr>
              <w:jc w:val="both"/>
              <w:rPr>
                <w:sz w:val="20"/>
              </w:rPr>
            </w:pPr>
          </w:p>
        </w:tc>
      </w:tr>
      <w:tr w:rsidR="000A2294" w:rsidRPr="000A2294" w:rsidTr="00E95A6A">
        <w:tc>
          <w:tcPr>
            <w:tcW w:w="2427" w:type="pct"/>
            <w:gridSpan w:val="2"/>
          </w:tcPr>
          <w:p w:rsidR="000A2294" w:rsidRPr="000A2294" w:rsidRDefault="000A2294" w:rsidP="000A2294">
            <w:pPr>
              <w:jc w:val="both"/>
              <w:rPr>
                <w:sz w:val="20"/>
              </w:rPr>
            </w:pPr>
            <w:r w:rsidRPr="000A2294">
              <w:rPr>
                <w:sz w:val="20"/>
              </w:rPr>
              <w:t>June 13, 2022</w:t>
            </w:r>
          </w:p>
          <w:p w:rsidR="000A2294" w:rsidRPr="000A2294" w:rsidRDefault="000A2294" w:rsidP="000A2294">
            <w:pPr>
              <w:jc w:val="both"/>
              <w:rPr>
                <w:sz w:val="20"/>
              </w:rPr>
            </w:pPr>
            <w:r w:rsidRPr="000A2294">
              <w:rPr>
                <w:sz w:val="20"/>
              </w:rPr>
              <w:t>Supreme Court of Canada</w:t>
            </w: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Application for leave to appeal filed</w:t>
            </w:r>
          </w:p>
          <w:p w:rsidR="000A2294" w:rsidRPr="000A2294" w:rsidRDefault="000A2294" w:rsidP="000A2294">
            <w:pPr>
              <w:jc w:val="both"/>
              <w:rPr>
                <w:sz w:val="20"/>
              </w:rPr>
            </w:pPr>
          </w:p>
        </w:tc>
      </w:tr>
    </w:tbl>
    <w:p w:rsidR="000A2294" w:rsidRPr="000A2294" w:rsidRDefault="000A2294" w:rsidP="000A2294">
      <w:pPr>
        <w:jc w:val="both"/>
        <w:rPr>
          <w:sz w:val="20"/>
        </w:rPr>
      </w:pPr>
    </w:p>
    <w:p w:rsidR="000A2294" w:rsidRPr="000A2294" w:rsidRDefault="00F935FF" w:rsidP="000A2294">
      <w:pPr>
        <w:jc w:val="both"/>
        <w:rPr>
          <w:sz w:val="20"/>
        </w:rPr>
      </w:pPr>
      <w:r>
        <w:rPr>
          <w:sz w:val="20"/>
        </w:rPr>
        <w:pict>
          <v:rect id="_x0000_i1059" style="width:2in;height:1pt" o:hrpct="0" o:hralign="center" o:hrstd="t" o:hrnoshade="t" o:hr="t" fillcolor="black [3213]" stroked="f"/>
        </w:pict>
      </w:r>
    </w:p>
    <w:p w:rsidR="000A2294" w:rsidRPr="000A2294" w:rsidRDefault="000A2294" w:rsidP="000A229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2294" w:rsidRPr="000A2294" w:rsidTr="00E95A6A">
        <w:tc>
          <w:tcPr>
            <w:tcW w:w="543" w:type="pct"/>
          </w:tcPr>
          <w:p w:rsidR="000A2294" w:rsidRPr="000A2294" w:rsidRDefault="000A2294" w:rsidP="000A2294">
            <w:pPr>
              <w:jc w:val="both"/>
              <w:rPr>
                <w:sz w:val="20"/>
              </w:rPr>
            </w:pPr>
            <w:r w:rsidRPr="000A2294">
              <w:rPr>
                <w:rStyle w:val="SCCFileNumberChar"/>
                <w:sz w:val="20"/>
                <w:szCs w:val="20"/>
              </w:rPr>
              <w:t>40528</w:t>
            </w:r>
          </w:p>
        </w:tc>
        <w:tc>
          <w:tcPr>
            <w:tcW w:w="4457" w:type="pct"/>
            <w:gridSpan w:val="3"/>
          </w:tcPr>
          <w:p w:rsidR="000A2294" w:rsidRPr="000A2294" w:rsidRDefault="000A2294" w:rsidP="000A2294">
            <w:pPr>
              <w:pStyle w:val="SCCLsocParty"/>
              <w:jc w:val="both"/>
              <w:rPr>
                <w:b/>
                <w:sz w:val="20"/>
                <w:szCs w:val="20"/>
              </w:rPr>
            </w:pPr>
            <w:r w:rsidRPr="000A2294">
              <w:rPr>
                <w:b/>
                <w:sz w:val="20"/>
                <w:szCs w:val="20"/>
              </w:rPr>
              <w:t>Louise-Anne Gélinas c. Diane Gareau, en sa qualité de syndique de la Chambre des notaires du Québec</w:t>
            </w:r>
          </w:p>
          <w:p w:rsidR="000A2294" w:rsidRPr="000A2294" w:rsidRDefault="000A2294" w:rsidP="000A2294">
            <w:pPr>
              <w:jc w:val="both"/>
              <w:rPr>
                <w:sz w:val="20"/>
              </w:rPr>
            </w:pPr>
            <w:r w:rsidRPr="000A2294">
              <w:rPr>
                <w:sz w:val="20"/>
              </w:rPr>
              <w:t>(Qc) (Civile) (Autorisation)</w:t>
            </w:r>
          </w:p>
        </w:tc>
      </w:tr>
      <w:tr w:rsidR="000A2294" w:rsidRPr="00F935FF" w:rsidTr="00E95A6A">
        <w:tc>
          <w:tcPr>
            <w:tcW w:w="5000" w:type="pct"/>
            <w:gridSpan w:val="4"/>
          </w:tcPr>
          <w:p w:rsidR="000A2294" w:rsidRPr="000A2294" w:rsidRDefault="000A2294" w:rsidP="000A2294">
            <w:pPr>
              <w:jc w:val="both"/>
              <w:rPr>
                <w:sz w:val="20"/>
                <w:lang w:val="fr-CA"/>
              </w:rPr>
            </w:pPr>
            <w:r w:rsidRPr="000A2294">
              <w:rPr>
                <w:sz w:val="20"/>
                <w:lang w:val="fr-CA"/>
              </w:rPr>
              <w:t xml:space="preserve">Droit des professions </w:t>
            </w:r>
            <w:r w:rsidRPr="000A2294">
              <w:rPr>
                <w:iCs/>
                <w:color w:val="000000"/>
                <w:sz w:val="20"/>
                <w:lang w:val="fr-CA"/>
              </w:rPr>
              <w:t xml:space="preserve">— Notariat — Discipline — Droit administratif — Équité procédurale </w:t>
            </w:r>
            <w:r w:rsidRPr="000A2294">
              <w:rPr>
                <w:i/>
                <w:iCs/>
                <w:color w:val="000000"/>
                <w:sz w:val="20"/>
                <w:lang w:val="fr-CA"/>
              </w:rPr>
              <w:t>—</w:t>
            </w:r>
            <w:r w:rsidRPr="000A2294">
              <w:rPr>
                <w:iCs/>
                <w:color w:val="000000"/>
                <w:sz w:val="20"/>
                <w:lang w:val="fr-CA"/>
              </w:rPr>
              <w:t xml:space="preserve"> Nouvelle preuve </w:t>
            </w:r>
            <w:r w:rsidRPr="000A2294">
              <w:rPr>
                <w:i/>
                <w:iCs/>
                <w:color w:val="000000"/>
                <w:sz w:val="20"/>
                <w:lang w:val="fr-CA"/>
              </w:rPr>
              <w:t xml:space="preserve">— </w:t>
            </w:r>
            <w:r w:rsidRPr="000A2294">
              <w:rPr>
                <w:iCs/>
                <w:color w:val="000000"/>
                <w:sz w:val="20"/>
                <w:lang w:val="fr-CA"/>
              </w:rPr>
              <w:t>Notaire déclarée coupable par le Conseil de discipline d’avoir apposé par montage et/ou superposition la signature de la co-liquidatrice sur des documents — Notaire recevant une sanction de radiation permanente par le Conseil de discipline — Notaire voulant faire admettre des éléments de preuve nouveaux devant le tribunal d’appel, sans succès — Cour supérieure intervenant en contrôle judiciaire, mais le jugement est renversé en Cour d’appel — La demande d’autorisation d’appel soulève-t-elle une question d’importance pour le public?</w:t>
            </w:r>
          </w:p>
        </w:tc>
      </w:tr>
      <w:tr w:rsidR="000A2294" w:rsidRPr="00F935FF" w:rsidTr="00E95A6A">
        <w:tc>
          <w:tcPr>
            <w:tcW w:w="5000" w:type="pct"/>
            <w:gridSpan w:val="4"/>
          </w:tcPr>
          <w:p w:rsidR="000A2294" w:rsidRPr="000A2294" w:rsidRDefault="000A2294" w:rsidP="000A2294">
            <w:pPr>
              <w:jc w:val="both"/>
              <w:rPr>
                <w:sz w:val="20"/>
                <w:lang w:val="fr-CA"/>
              </w:rPr>
            </w:pPr>
          </w:p>
          <w:p w:rsidR="000A2294" w:rsidRPr="000A2294" w:rsidRDefault="000A2294" w:rsidP="000A2294">
            <w:pPr>
              <w:jc w:val="both"/>
              <w:rPr>
                <w:sz w:val="20"/>
                <w:lang w:val="fr-CA"/>
              </w:rPr>
            </w:pPr>
            <w:r w:rsidRPr="000A2294">
              <w:rPr>
                <w:sz w:val="20"/>
                <w:lang w:val="fr-CA"/>
              </w:rPr>
              <w:t>En 2017, le Conseil de discipline de la Chambre des notaires du Québec a déclaré la demanderesse, Mme Gélinas, coupable d’avoir fabriqué un faux, d’avoir informé les policiers que les documents portaient la signature d’un tiers alors qu’elle savait que les documents étaient des faux et d’avoir entravé l’enquête de la syndique. Une radiation permanente a été ordonnée pour certains chefs d’infraction et la révocation de son permis d’exercice a été ordonnée pour d’autres. Le Tribunal des professions a maintenu pour l’essentiel les décisions du Conseil. Pour sa part, la Cour supérieure a accueilli le pourvoi en contrôle judiciaire de Mme Gélinas, le juge étant d’avis que son droit à l’équité procédurale avait été violé et que les sanctions imposées par le Conseil étaient non indiquées. La Cour d’appel du Québec a accueilli l’appel de l’intimée et infirmé le jugement de la Cour supérieure, la formation étant d’avis que le juge n’aurait pas dû intervenir pour substituer son opinion à celles du Tribunal et du Conseil. Si le juge a bien identifié la norme de contrôle applicable, soit celle de la décision raisonnable, il a dans les faits appliqué la norme de la décision correcte.</w:t>
            </w:r>
          </w:p>
        </w:tc>
      </w:tr>
      <w:tr w:rsidR="000A2294" w:rsidRPr="00F935FF" w:rsidTr="00E95A6A">
        <w:tc>
          <w:tcPr>
            <w:tcW w:w="5000" w:type="pct"/>
            <w:gridSpan w:val="4"/>
          </w:tcPr>
          <w:p w:rsidR="000A2294" w:rsidRPr="000A2294" w:rsidRDefault="000A2294" w:rsidP="000A2294">
            <w:pPr>
              <w:jc w:val="both"/>
              <w:rPr>
                <w:sz w:val="20"/>
                <w:lang w:val="fr-CA"/>
              </w:rPr>
            </w:pPr>
          </w:p>
        </w:tc>
      </w:tr>
      <w:tr w:rsidR="000A2294" w:rsidRPr="00F935FF" w:rsidTr="00E95A6A">
        <w:tc>
          <w:tcPr>
            <w:tcW w:w="2427" w:type="pct"/>
            <w:gridSpan w:val="2"/>
          </w:tcPr>
          <w:p w:rsidR="000A2294" w:rsidRPr="000A2294" w:rsidRDefault="000A2294" w:rsidP="000A2294">
            <w:pPr>
              <w:jc w:val="both"/>
              <w:rPr>
                <w:sz w:val="20"/>
                <w:lang w:val="fr-CA"/>
              </w:rPr>
            </w:pPr>
            <w:r w:rsidRPr="000A2294">
              <w:rPr>
                <w:sz w:val="20"/>
                <w:lang w:val="fr-CA"/>
              </w:rPr>
              <w:t>Le 15 juillet 2020</w:t>
            </w:r>
          </w:p>
          <w:p w:rsidR="000A2294" w:rsidRPr="000A2294" w:rsidRDefault="000A2294" w:rsidP="000A2294">
            <w:pPr>
              <w:jc w:val="both"/>
              <w:rPr>
                <w:sz w:val="20"/>
                <w:lang w:val="fr-CA"/>
              </w:rPr>
            </w:pPr>
            <w:r w:rsidRPr="000A2294">
              <w:rPr>
                <w:sz w:val="20"/>
                <w:lang w:val="fr-CA"/>
              </w:rPr>
              <w:t>Tribunal des professions</w:t>
            </w:r>
          </w:p>
          <w:p w:rsidR="000A2294" w:rsidRPr="000A2294" w:rsidRDefault="000A2294" w:rsidP="000A2294">
            <w:pPr>
              <w:jc w:val="both"/>
              <w:rPr>
                <w:sz w:val="20"/>
                <w:lang w:val="fr-CA"/>
              </w:rPr>
            </w:pPr>
            <w:r w:rsidRPr="000A2294">
              <w:rPr>
                <w:sz w:val="20"/>
                <w:lang w:val="fr-CA"/>
              </w:rPr>
              <w:t>(Juges Marchi, Vanchestein et Hudon)</w:t>
            </w:r>
          </w:p>
          <w:p w:rsidR="000A2294" w:rsidRPr="000A2294" w:rsidRDefault="00F935FF" w:rsidP="000A2294">
            <w:pPr>
              <w:jc w:val="both"/>
              <w:rPr>
                <w:sz w:val="20"/>
              </w:rPr>
            </w:pPr>
            <w:hyperlink r:id="rId106" w:history="1">
              <w:r w:rsidR="000A2294" w:rsidRPr="000A2294">
                <w:rPr>
                  <w:rStyle w:val="Hyperlink"/>
                  <w:sz w:val="20"/>
                </w:rPr>
                <w:t>2020 QCTP 37</w:t>
              </w:r>
            </w:hyperlink>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lang w:val="fr-CA"/>
              </w:rPr>
            </w:pPr>
            <w:r w:rsidRPr="000A2294">
              <w:rPr>
                <w:sz w:val="20"/>
                <w:lang w:val="fr-CA"/>
              </w:rPr>
              <w:t>Appel sur culpabilité accueilli en partie; appel sur sanction rejeté</w:t>
            </w:r>
          </w:p>
        </w:tc>
      </w:tr>
      <w:tr w:rsidR="000A2294" w:rsidRPr="00F935FF" w:rsidTr="00E95A6A">
        <w:tc>
          <w:tcPr>
            <w:tcW w:w="2427" w:type="pct"/>
            <w:gridSpan w:val="2"/>
          </w:tcPr>
          <w:p w:rsidR="000A2294" w:rsidRPr="000A2294" w:rsidRDefault="000A2294" w:rsidP="000A2294">
            <w:pPr>
              <w:jc w:val="both"/>
              <w:rPr>
                <w:sz w:val="20"/>
                <w:lang w:val="fr-CA"/>
              </w:rPr>
            </w:pPr>
            <w:r w:rsidRPr="000A2294">
              <w:rPr>
                <w:sz w:val="20"/>
                <w:lang w:val="fr-CA"/>
              </w:rPr>
              <w:t>Le 4 mai 2021</w:t>
            </w:r>
          </w:p>
          <w:p w:rsidR="000A2294" w:rsidRPr="000A2294" w:rsidRDefault="000A2294" w:rsidP="000A2294">
            <w:pPr>
              <w:jc w:val="both"/>
              <w:rPr>
                <w:sz w:val="20"/>
                <w:lang w:val="fr-CA"/>
              </w:rPr>
            </w:pPr>
            <w:r w:rsidRPr="000A2294">
              <w:rPr>
                <w:sz w:val="20"/>
                <w:lang w:val="fr-CA"/>
              </w:rPr>
              <w:t>Cour supérieure du Québec</w:t>
            </w:r>
          </w:p>
          <w:p w:rsidR="000A2294" w:rsidRPr="000A2294" w:rsidRDefault="000A2294" w:rsidP="000A2294">
            <w:pPr>
              <w:jc w:val="both"/>
              <w:rPr>
                <w:sz w:val="20"/>
              </w:rPr>
            </w:pPr>
            <w:r w:rsidRPr="000A2294">
              <w:rPr>
                <w:sz w:val="20"/>
              </w:rPr>
              <w:t>(Juge Geoffroy)</w:t>
            </w:r>
          </w:p>
          <w:p w:rsidR="000A2294" w:rsidRPr="000A2294" w:rsidRDefault="00F935FF" w:rsidP="000A2294">
            <w:pPr>
              <w:jc w:val="both"/>
              <w:rPr>
                <w:sz w:val="20"/>
              </w:rPr>
            </w:pPr>
            <w:hyperlink r:id="rId107" w:history="1">
              <w:r w:rsidR="000A2294" w:rsidRPr="000A2294">
                <w:rPr>
                  <w:rStyle w:val="Hyperlink"/>
                  <w:sz w:val="20"/>
                </w:rPr>
                <w:t>2021 QCCS 1872</w:t>
              </w:r>
            </w:hyperlink>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lang w:val="fr-CA"/>
              </w:rPr>
            </w:pPr>
            <w:r w:rsidRPr="000A2294">
              <w:rPr>
                <w:sz w:val="20"/>
                <w:lang w:val="fr-CA"/>
              </w:rPr>
              <w:t>Pourvoi en contrôle judiciaire accueilli; arrêt définitif des procédures disciplinaires intentées contre la demanderesse Mme Gélinas ordonné</w:t>
            </w:r>
          </w:p>
        </w:tc>
      </w:tr>
      <w:tr w:rsidR="000A2294" w:rsidRPr="000A2294" w:rsidTr="00E95A6A">
        <w:tc>
          <w:tcPr>
            <w:tcW w:w="2427" w:type="pct"/>
            <w:gridSpan w:val="2"/>
          </w:tcPr>
          <w:p w:rsidR="000A2294" w:rsidRPr="000A2294" w:rsidRDefault="000A2294" w:rsidP="000A2294">
            <w:pPr>
              <w:jc w:val="both"/>
              <w:rPr>
                <w:sz w:val="20"/>
                <w:lang w:val="fr-CA"/>
              </w:rPr>
            </w:pPr>
            <w:r w:rsidRPr="000A2294">
              <w:rPr>
                <w:sz w:val="20"/>
                <w:lang w:val="fr-CA"/>
              </w:rPr>
              <w:t>Le 19 mai 2022</w:t>
            </w:r>
          </w:p>
          <w:p w:rsidR="000A2294" w:rsidRPr="000A2294" w:rsidRDefault="000A2294" w:rsidP="000A2294">
            <w:pPr>
              <w:jc w:val="both"/>
              <w:rPr>
                <w:sz w:val="20"/>
                <w:lang w:val="fr-CA"/>
              </w:rPr>
            </w:pPr>
            <w:r w:rsidRPr="000A2294">
              <w:rPr>
                <w:sz w:val="20"/>
                <w:lang w:val="fr-CA"/>
              </w:rPr>
              <w:t>Cour d’appel du Québec (Québec)</w:t>
            </w:r>
          </w:p>
          <w:p w:rsidR="000A2294" w:rsidRPr="000A2294" w:rsidRDefault="000A2294" w:rsidP="000A2294">
            <w:pPr>
              <w:jc w:val="both"/>
              <w:rPr>
                <w:sz w:val="20"/>
                <w:lang w:val="fr-CA"/>
              </w:rPr>
            </w:pPr>
            <w:r w:rsidRPr="000A2294">
              <w:rPr>
                <w:sz w:val="20"/>
                <w:lang w:val="fr-CA"/>
              </w:rPr>
              <w:t>(Juges Bich, Bélanger et Lavallée)</w:t>
            </w:r>
          </w:p>
          <w:p w:rsidR="000A2294" w:rsidRPr="000A2294" w:rsidRDefault="000A2294" w:rsidP="000A2294">
            <w:pPr>
              <w:jc w:val="both"/>
              <w:rPr>
                <w:sz w:val="20"/>
              </w:rPr>
            </w:pPr>
            <w:r w:rsidRPr="000A2294">
              <w:rPr>
                <w:sz w:val="20"/>
              </w:rPr>
              <w:t>No. 200-09-010363-213</w:t>
            </w:r>
          </w:p>
          <w:p w:rsidR="000A2294" w:rsidRPr="000A2294" w:rsidRDefault="00F935FF" w:rsidP="000A2294">
            <w:pPr>
              <w:jc w:val="both"/>
              <w:rPr>
                <w:sz w:val="20"/>
              </w:rPr>
            </w:pPr>
            <w:hyperlink r:id="rId108" w:history="1">
              <w:r w:rsidR="000A2294" w:rsidRPr="000A2294">
                <w:rPr>
                  <w:rStyle w:val="Hyperlink"/>
                  <w:sz w:val="20"/>
                </w:rPr>
                <w:t>2022 QCCA 736</w:t>
              </w:r>
            </w:hyperlink>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Appel accueilli</w:t>
            </w:r>
          </w:p>
          <w:p w:rsidR="000A2294" w:rsidRPr="000A2294" w:rsidRDefault="000A2294" w:rsidP="000A2294">
            <w:pPr>
              <w:jc w:val="both"/>
              <w:rPr>
                <w:sz w:val="20"/>
              </w:rPr>
            </w:pPr>
          </w:p>
        </w:tc>
      </w:tr>
      <w:tr w:rsidR="000A2294" w:rsidRPr="000A2294" w:rsidTr="00E95A6A">
        <w:tc>
          <w:tcPr>
            <w:tcW w:w="2427" w:type="pct"/>
            <w:gridSpan w:val="2"/>
          </w:tcPr>
          <w:p w:rsidR="000A2294" w:rsidRPr="000A2294" w:rsidRDefault="000A2294" w:rsidP="000A2294">
            <w:pPr>
              <w:jc w:val="both"/>
              <w:rPr>
                <w:sz w:val="20"/>
                <w:lang w:val="fr-CA"/>
              </w:rPr>
            </w:pPr>
            <w:r w:rsidRPr="000A2294">
              <w:rPr>
                <w:sz w:val="20"/>
                <w:lang w:val="fr-CA"/>
              </w:rPr>
              <w:t>Le 13 juin 2022</w:t>
            </w:r>
          </w:p>
          <w:p w:rsidR="000A2294" w:rsidRPr="000A2294" w:rsidRDefault="000A2294" w:rsidP="000A2294">
            <w:pPr>
              <w:jc w:val="both"/>
              <w:rPr>
                <w:sz w:val="20"/>
                <w:lang w:val="fr-CA"/>
              </w:rPr>
            </w:pPr>
            <w:r w:rsidRPr="000A2294">
              <w:rPr>
                <w:sz w:val="20"/>
                <w:lang w:val="fr-CA"/>
              </w:rPr>
              <w:t>Cour suprême du Canada</w:t>
            </w:r>
          </w:p>
        </w:tc>
        <w:tc>
          <w:tcPr>
            <w:tcW w:w="243" w:type="pct"/>
          </w:tcPr>
          <w:p w:rsidR="000A2294" w:rsidRPr="000A2294" w:rsidRDefault="000A2294" w:rsidP="000A2294">
            <w:pPr>
              <w:jc w:val="both"/>
              <w:rPr>
                <w:sz w:val="20"/>
                <w:lang w:val="fr-CA"/>
              </w:rPr>
            </w:pPr>
          </w:p>
        </w:tc>
        <w:tc>
          <w:tcPr>
            <w:tcW w:w="2330" w:type="pct"/>
          </w:tcPr>
          <w:p w:rsidR="000A2294" w:rsidRPr="000A2294" w:rsidRDefault="000A2294" w:rsidP="000A2294">
            <w:pPr>
              <w:jc w:val="both"/>
              <w:rPr>
                <w:sz w:val="20"/>
              </w:rPr>
            </w:pPr>
            <w:r w:rsidRPr="000A2294">
              <w:rPr>
                <w:sz w:val="20"/>
              </w:rPr>
              <w:t>Demande d’autorisation d’appel déposée</w:t>
            </w:r>
          </w:p>
          <w:p w:rsidR="000A2294" w:rsidRPr="000A2294" w:rsidRDefault="000A2294" w:rsidP="000A2294">
            <w:pPr>
              <w:jc w:val="both"/>
              <w:rPr>
                <w:sz w:val="20"/>
              </w:rPr>
            </w:pPr>
          </w:p>
        </w:tc>
      </w:tr>
    </w:tbl>
    <w:p w:rsidR="000A2294" w:rsidRPr="000A2294" w:rsidRDefault="000A2294" w:rsidP="000A2294">
      <w:pPr>
        <w:jc w:val="both"/>
        <w:rPr>
          <w:sz w:val="20"/>
        </w:rPr>
      </w:pPr>
    </w:p>
    <w:p w:rsidR="00E20752" w:rsidRPr="000A2294" w:rsidRDefault="00F935FF" w:rsidP="000A2294">
      <w:pPr>
        <w:widowControl w:val="0"/>
        <w:jc w:val="both"/>
        <w:rPr>
          <w:sz w:val="20"/>
          <w:lang w:val="fr-CA"/>
        </w:rPr>
      </w:pPr>
      <w:r>
        <w:rPr>
          <w:sz w:val="20"/>
        </w:rPr>
        <w:pict>
          <v:rect id="_x0000_i1060" style="width:2in;height:1pt" o:hrpct="0" o:hralign="center" o:hrstd="t" o:hrnoshade="t" o:hr="t" fillcolor="black [3213]" stroked="f"/>
        </w:pict>
      </w:r>
    </w:p>
    <w:p w:rsidR="00E20752" w:rsidRPr="000A2294" w:rsidRDefault="00E20752" w:rsidP="000A229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2294" w:rsidRPr="000A2294" w:rsidTr="00E95A6A">
        <w:tc>
          <w:tcPr>
            <w:tcW w:w="543" w:type="pct"/>
          </w:tcPr>
          <w:p w:rsidR="000A2294" w:rsidRPr="000A2294" w:rsidRDefault="000A2294" w:rsidP="000A2294">
            <w:pPr>
              <w:jc w:val="both"/>
              <w:rPr>
                <w:sz w:val="20"/>
              </w:rPr>
            </w:pPr>
            <w:r w:rsidRPr="000A2294">
              <w:rPr>
                <w:rStyle w:val="SCCFileNumberChar"/>
                <w:sz w:val="20"/>
                <w:szCs w:val="20"/>
              </w:rPr>
              <w:t>40591</w:t>
            </w:r>
          </w:p>
        </w:tc>
        <w:tc>
          <w:tcPr>
            <w:tcW w:w="4457" w:type="pct"/>
            <w:gridSpan w:val="3"/>
          </w:tcPr>
          <w:p w:rsidR="000A2294" w:rsidRPr="000A2294" w:rsidRDefault="000A2294" w:rsidP="000A2294">
            <w:pPr>
              <w:pStyle w:val="SCCLsocParty"/>
              <w:jc w:val="both"/>
              <w:rPr>
                <w:b/>
                <w:sz w:val="20"/>
                <w:szCs w:val="20"/>
                <w:lang w:val="en-US"/>
              </w:rPr>
            </w:pPr>
            <w:r w:rsidRPr="000A2294">
              <w:rPr>
                <w:b/>
                <w:sz w:val="20"/>
                <w:szCs w:val="20"/>
                <w:lang w:val="en-US"/>
              </w:rPr>
              <w:t>Kevin Drizen v. MBM Intellectual Property Law LLP</w:t>
            </w:r>
          </w:p>
          <w:p w:rsidR="000A2294" w:rsidRPr="000A2294" w:rsidRDefault="000A2294" w:rsidP="000A2294">
            <w:pPr>
              <w:jc w:val="both"/>
              <w:rPr>
                <w:sz w:val="20"/>
              </w:rPr>
            </w:pPr>
            <w:r w:rsidRPr="000A2294">
              <w:rPr>
                <w:sz w:val="20"/>
              </w:rPr>
              <w:t>(Ont.) (Civil) (By Leave)</w:t>
            </w:r>
          </w:p>
        </w:tc>
      </w:tr>
      <w:tr w:rsidR="000A2294" w:rsidRPr="000A2294" w:rsidTr="00E95A6A">
        <w:tc>
          <w:tcPr>
            <w:tcW w:w="5000" w:type="pct"/>
            <w:gridSpan w:val="4"/>
          </w:tcPr>
          <w:p w:rsidR="000A2294" w:rsidRPr="000A2294" w:rsidRDefault="000A2294" w:rsidP="000A2294">
            <w:pPr>
              <w:jc w:val="both"/>
              <w:rPr>
                <w:sz w:val="20"/>
              </w:rPr>
            </w:pPr>
            <w:r w:rsidRPr="000A2294">
              <w:rPr>
                <w:sz w:val="20"/>
              </w:rPr>
              <w:t>Contract — Formation — Parties — Interpretation of contract to determine who is party to agreement and responsible for paying outstanding legal fees — Whether lower courts erred in their reasoning and decisions — Whether application for leave to appeal raises issues of national or public importance.</w:t>
            </w:r>
          </w:p>
          <w:p w:rsidR="000A2294" w:rsidRPr="000A2294" w:rsidRDefault="000A2294" w:rsidP="000A2294">
            <w:pPr>
              <w:jc w:val="both"/>
              <w:rPr>
                <w:sz w:val="20"/>
              </w:rPr>
            </w:pPr>
          </w:p>
        </w:tc>
      </w:tr>
      <w:tr w:rsidR="000A2294" w:rsidRPr="000A2294" w:rsidTr="00E95A6A">
        <w:tc>
          <w:tcPr>
            <w:tcW w:w="5000" w:type="pct"/>
            <w:gridSpan w:val="4"/>
          </w:tcPr>
          <w:p w:rsidR="000A2294" w:rsidRPr="000A2294" w:rsidRDefault="000A2294" w:rsidP="000A2294">
            <w:pPr>
              <w:jc w:val="both"/>
              <w:rPr>
                <w:sz w:val="20"/>
              </w:rPr>
            </w:pPr>
            <w:r w:rsidRPr="000A2294">
              <w:rPr>
                <w:sz w:val="20"/>
              </w:rPr>
              <w:t>The applicant, Kevin Drizen, signed an engagement agreement with the respondent, MBM Intellectual Property Law LLP (“MBM”). Following the termination of the retainer, MBM sought payment of approximately $50,000 in outstanding legal fees. At an assessment of MBM’s accounts, Mr. Drizen claimed that he was not a party to the agreement and that, instead, his company, GlycoBiosciences Inc. (“Glyco”) was the party to the agreement and therefore responsible for paying any outstanding fees.</w:t>
            </w:r>
          </w:p>
          <w:p w:rsidR="000A2294" w:rsidRPr="000A2294" w:rsidRDefault="000A2294" w:rsidP="000A2294">
            <w:pPr>
              <w:jc w:val="both"/>
              <w:rPr>
                <w:sz w:val="20"/>
              </w:rPr>
            </w:pPr>
          </w:p>
          <w:p w:rsidR="000A2294" w:rsidRPr="000A2294" w:rsidRDefault="000A2294" w:rsidP="000A2294">
            <w:pPr>
              <w:jc w:val="both"/>
              <w:rPr>
                <w:sz w:val="20"/>
              </w:rPr>
            </w:pPr>
            <w:r w:rsidRPr="000A2294">
              <w:rPr>
                <w:sz w:val="20"/>
              </w:rPr>
              <w:t>Given that the assessment officer did not have jurisdiction to decide the issue of whether Mr. Drizen or Glyco was a party to the agreement, she referred the issue to the Superior Court for determination. The application judge concluded that Mr. Drizen was a party to the agreement. The Court of Appeal dismissed the appeal.</w:t>
            </w:r>
          </w:p>
        </w:tc>
      </w:tr>
      <w:tr w:rsidR="000A2294" w:rsidRPr="000A2294" w:rsidTr="00E95A6A">
        <w:tc>
          <w:tcPr>
            <w:tcW w:w="5000" w:type="pct"/>
            <w:gridSpan w:val="4"/>
          </w:tcPr>
          <w:p w:rsidR="000A2294" w:rsidRPr="000A2294" w:rsidRDefault="000A2294" w:rsidP="000A2294">
            <w:pPr>
              <w:jc w:val="both"/>
              <w:rPr>
                <w:sz w:val="20"/>
              </w:rPr>
            </w:pPr>
          </w:p>
        </w:tc>
      </w:tr>
      <w:tr w:rsidR="000A2294" w:rsidRPr="000A2294" w:rsidTr="00E95A6A">
        <w:tc>
          <w:tcPr>
            <w:tcW w:w="2427" w:type="pct"/>
            <w:gridSpan w:val="2"/>
          </w:tcPr>
          <w:p w:rsidR="000A2294" w:rsidRPr="000A2294" w:rsidRDefault="000A2294" w:rsidP="000A2294">
            <w:pPr>
              <w:jc w:val="both"/>
              <w:rPr>
                <w:sz w:val="20"/>
              </w:rPr>
            </w:pPr>
            <w:r w:rsidRPr="000A2294">
              <w:rPr>
                <w:sz w:val="20"/>
              </w:rPr>
              <w:t>December 15, 2021</w:t>
            </w:r>
          </w:p>
          <w:p w:rsidR="000A2294" w:rsidRPr="000A2294" w:rsidRDefault="000A2294" w:rsidP="000A2294">
            <w:pPr>
              <w:jc w:val="both"/>
              <w:rPr>
                <w:sz w:val="20"/>
              </w:rPr>
            </w:pPr>
            <w:r w:rsidRPr="000A2294">
              <w:rPr>
                <w:sz w:val="20"/>
              </w:rPr>
              <w:t>Superior Court of Justice</w:t>
            </w:r>
          </w:p>
          <w:p w:rsidR="000A2294" w:rsidRPr="000A2294" w:rsidRDefault="000A2294" w:rsidP="000A2294">
            <w:pPr>
              <w:jc w:val="both"/>
              <w:rPr>
                <w:sz w:val="20"/>
              </w:rPr>
            </w:pPr>
            <w:r w:rsidRPr="000A2294">
              <w:rPr>
                <w:sz w:val="20"/>
              </w:rPr>
              <w:t>(Doyle J.)</w:t>
            </w:r>
          </w:p>
          <w:p w:rsidR="000A2294" w:rsidRPr="000A2294" w:rsidRDefault="000A2294" w:rsidP="000A2294">
            <w:pPr>
              <w:jc w:val="both"/>
              <w:rPr>
                <w:sz w:val="20"/>
              </w:rPr>
            </w:pPr>
            <w:r w:rsidRPr="000A2294">
              <w:rPr>
                <w:sz w:val="20"/>
              </w:rPr>
              <w:t>2021 ONSC 7937</w:t>
            </w:r>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The parties to the agreement are MBM Intellectual Property Law and Mr. Drizen and the matter was referred back to the assessment officer.</w:t>
            </w:r>
          </w:p>
        </w:tc>
      </w:tr>
      <w:tr w:rsidR="000A2294" w:rsidRPr="000A2294" w:rsidTr="00E95A6A">
        <w:tc>
          <w:tcPr>
            <w:tcW w:w="2427" w:type="pct"/>
            <w:gridSpan w:val="2"/>
          </w:tcPr>
          <w:p w:rsidR="000A2294" w:rsidRPr="000A2294" w:rsidRDefault="000A2294" w:rsidP="000A2294">
            <w:pPr>
              <w:jc w:val="both"/>
              <w:rPr>
                <w:sz w:val="20"/>
              </w:rPr>
            </w:pPr>
            <w:r w:rsidRPr="000A2294">
              <w:rPr>
                <w:sz w:val="20"/>
              </w:rPr>
              <w:t>November 10, 2022</w:t>
            </w:r>
          </w:p>
          <w:p w:rsidR="000A2294" w:rsidRPr="000A2294" w:rsidRDefault="000A2294" w:rsidP="000A2294">
            <w:pPr>
              <w:jc w:val="both"/>
              <w:rPr>
                <w:sz w:val="20"/>
              </w:rPr>
            </w:pPr>
            <w:r w:rsidRPr="000A2294">
              <w:rPr>
                <w:sz w:val="20"/>
              </w:rPr>
              <w:t>Court of Appeal for Ontario</w:t>
            </w:r>
          </w:p>
          <w:p w:rsidR="000A2294" w:rsidRPr="000A2294" w:rsidRDefault="000A2294" w:rsidP="000A2294">
            <w:pPr>
              <w:jc w:val="both"/>
              <w:rPr>
                <w:sz w:val="20"/>
              </w:rPr>
            </w:pPr>
            <w:r w:rsidRPr="000A2294">
              <w:rPr>
                <w:sz w:val="20"/>
              </w:rPr>
              <w:t>(Simmons, van Rensburg and Favreau JJ.A.)</w:t>
            </w:r>
          </w:p>
          <w:p w:rsidR="000A2294" w:rsidRPr="000A2294" w:rsidRDefault="00F935FF" w:rsidP="000A2294">
            <w:pPr>
              <w:jc w:val="both"/>
              <w:rPr>
                <w:sz w:val="20"/>
              </w:rPr>
            </w:pPr>
            <w:hyperlink r:id="rId109" w:history="1">
              <w:r w:rsidR="000A2294" w:rsidRPr="000A2294">
                <w:rPr>
                  <w:rStyle w:val="Hyperlink"/>
                  <w:sz w:val="20"/>
                </w:rPr>
                <w:t>2022 ONCA 766</w:t>
              </w:r>
            </w:hyperlink>
          </w:p>
          <w:p w:rsidR="000A2294" w:rsidRPr="000A2294" w:rsidRDefault="000A2294" w:rsidP="000A2294">
            <w:pPr>
              <w:jc w:val="both"/>
              <w:rPr>
                <w:sz w:val="20"/>
              </w:rPr>
            </w:pPr>
            <w:r w:rsidRPr="000A2294">
              <w:rPr>
                <w:sz w:val="20"/>
              </w:rPr>
              <w:t>C70126</w:t>
            </w:r>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Appeal dismissed.</w:t>
            </w:r>
          </w:p>
        </w:tc>
      </w:tr>
      <w:tr w:rsidR="000A2294" w:rsidRPr="000A2294" w:rsidTr="00E95A6A">
        <w:tc>
          <w:tcPr>
            <w:tcW w:w="2427" w:type="pct"/>
            <w:gridSpan w:val="2"/>
          </w:tcPr>
          <w:p w:rsidR="000A2294" w:rsidRPr="000A2294" w:rsidRDefault="000A2294" w:rsidP="000A2294">
            <w:pPr>
              <w:jc w:val="both"/>
              <w:rPr>
                <w:sz w:val="20"/>
              </w:rPr>
            </w:pPr>
            <w:r w:rsidRPr="000A2294">
              <w:rPr>
                <w:sz w:val="20"/>
              </w:rPr>
              <w:t>December 9, 2022</w:t>
            </w:r>
          </w:p>
          <w:p w:rsidR="000A2294" w:rsidRPr="000A2294" w:rsidRDefault="000A2294" w:rsidP="000A2294">
            <w:pPr>
              <w:jc w:val="both"/>
              <w:rPr>
                <w:sz w:val="20"/>
              </w:rPr>
            </w:pPr>
            <w:r w:rsidRPr="000A2294">
              <w:rPr>
                <w:sz w:val="20"/>
              </w:rPr>
              <w:t>Court of Appeal for Ontario</w:t>
            </w:r>
          </w:p>
          <w:p w:rsidR="000A2294" w:rsidRPr="000A2294" w:rsidRDefault="000A2294" w:rsidP="000A2294">
            <w:pPr>
              <w:jc w:val="both"/>
              <w:rPr>
                <w:sz w:val="20"/>
              </w:rPr>
            </w:pPr>
            <w:r w:rsidRPr="000A2294">
              <w:rPr>
                <w:sz w:val="20"/>
              </w:rPr>
              <w:t>(Simmons, van Rensburg and Favreau JJ.A.)</w:t>
            </w:r>
          </w:p>
          <w:p w:rsidR="000A2294" w:rsidRPr="000A2294" w:rsidRDefault="00F935FF" w:rsidP="000A2294">
            <w:pPr>
              <w:jc w:val="both"/>
              <w:rPr>
                <w:sz w:val="20"/>
              </w:rPr>
            </w:pPr>
            <w:hyperlink r:id="rId110" w:history="1">
              <w:r w:rsidR="000A2294" w:rsidRPr="000A2294">
                <w:rPr>
                  <w:rStyle w:val="Hyperlink"/>
                  <w:sz w:val="20"/>
                </w:rPr>
                <w:t>2022 ONCA 847</w:t>
              </w:r>
            </w:hyperlink>
          </w:p>
          <w:p w:rsidR="000A2294" w:rsidRPr="000A2294" w:rsidRDefault="000A2294" w:rsidP="000A2294">
            <w:pPr>
              <w:jc w:val="both"/>
              <w:rPr>
                <w:sz w:val="20"/>
              </w:rPr>
            </w:pPr>
            <w:r w:rsidRPr="000A2294">
              <w:rPr>
                <w:sz w:val="20"/>
              </w:rPr>
              <w:t>File No.: C70126</w:t>
            </w:r>
          </w:p>
          <w:p w:rsidR="000A2294" w:rsidRPr="000A2294" w:rsidRDefault="000A2294" w:rsidP="000A2294">
            <w:pPr>
              <w:jc w:val="both"/>
              <w:rPr>
                <w:sz w:val="20"/>
              </w:rPr>
            </w:pP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Cost award of $7, 500 payable by Mr. Drizen to MBM.</w:t>
            </w:r>
          </w:p>
        </w:tc>
      </w:tr>
      <w:tr w:rsidR="000A2294" w:rsidRPr="000A2294" w:rsidTr="00E95A6A">
        <w:tc>
          <w:tcPr>
            <w:tcW w:w="2427" w:type="pct"/>
            <w:gridSpan w:val="2"/>
          </w:tcPr>
          <w:p w:rsidR="000A2294" w:rsidRPr="000A2294" w:rsidRDefault="000A2294" w:rsidP="000A2294">
            <w:pPr>
              <w:jc w:val="both"/>
              <w:rPr>
                <w:sz w:val="20"/>
              </w:rPr>
            </w:pPr>
            <w:r w:rsidRPr="000A2294">
              <w:rPr>
                <w:sz w:val="20"/>
              </w:rPr>
              <w:t>January 3, 2023</w:t>
            </w:r>
          </w:p>
          <w:p w:rsidR="000A2294" w:rsidRPr="000A2294" w:rsidRDefault="000A2294" w:rsidP="000A2294">
            <w:pPr>
              <w:jc w:val="both"/>
              <w:rPr>
                <w:sz w:val="20"/>
              </w:rPr>
            </w:pPr>
            <w:r w:rsidRPr="000A2294">
              <w:rPr>
                <w:sz w:val="20"/>
              </w:rPr>
              <w:t>Supreme Court of Canada</w:t>
            </w:r>
          </w:p>
        </w:tc>
        <w:tc>
          <w:tcPr>
            <w:tcW w:w="243" w:type="pct"/>
          </w:tcPr>
          <w:p w:rsidR="000A2294" w:rsidRPr="000A2294" w:rsidRDefault="000A2294" w:rsidP="000A2294">
            <w:pPr>
              <w:jc w:val="both"/>
              <w:rPr>
                <w:sz w:val="20"/>
              </w:rPr>
            </w:pPr>
          </w:p>
        </w:tc>
        <w:tc>
          <w:tcPr>
            <w:tcW w:w="2330" w:type="pct"/>
          </w:tcPr>
          <w:p w:rsidR="000A2294" w:rsidRPr="000A2294" w:rsidRDefault="000A2294" w:rsidP="000A2294">
            <w:pPr>
              <w:jc w:val="both"/>
              <w:rPr>
                <w:sz w:val="20"/>
              </w:rPr>
            </w:pPr>
            <w:r w:rsidRPr="000A2294">
              <w:rPr>
                <w:sz w:val="20"/>
              </w:rPr>
              <w:t>Application for leave to appeal filed.</w:t>
            </w:r>
          </w:p>
          <w:p w:rsidR="000A2294" w:rsidRPr="000A2294" w:rsidRDefault="000A2294" w:rsidP="000A2294">
            <w:pPr>
              <w:jc w:val="both"/>
              <w:rPr>
                <w:sz w:val="20"/>
              </w:rPr>
            </w:pPr>
          </w:p>
        </w:tc>
      </w:tr>
    </w:tbl>
    <w:p w:rsidR="000A2294" w:rsidRPr="000A2294" w:rsidRDefault="000A2294" w:rsidP="000A2294">
      <w:pPr>
        <w:jc w:val="both"/>
        <w:rPr>
          <w:sz w:val="20"/>
        </w:rPr>
      </w:pPr>
    </w:p>
    <w:p w:rsidR="000A2294" w:rsidRPr="000A2294" w:rsidRDefault="00F935FF" w:rsidP="000A2294">
      <w:pPr>
        <w:jc w:val="both"/>
        <w:rPr>
          <w:sz w:val="20"/>
        </w:rPr>
      </w:pPr>
      <w:r>
        <w:rPr>
          <w:sz w:val="20"/>
        </w:rPr>
        <w:pict>
          <v:rect id="_x0000_i1061" style="width:2in;height:1pt" o:hrpct="0" o:hralign="center" o:hrstd="t" o:hrnoshade="t" o:hr="t" fillcolor="black [3213]" stroked="f"/>
        </w:pict>
      </w:r>
    </w:p>
    <w:p w:rsidR="000A2294" w:rsidRPr="000A2294" w:rsidRDefault="000A2294" w:rsidP="000A229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2294" w:rsidRPr="000A2294" w:rsidTr="00E95A6A">
        <w:tc>
          <w:tcPr>
            <w:tcW w:w="543" w:type="pct"/>
          </w:tcPr>
          <w:p w:rsidR="000A2294" w:rsidRPr="000A2294" w:rsidRDefault="000A2294" w:rsidP="000A2294">
            <w:pPr>
              <w:jc w:val="both"/>
              <w:rPr>
                <w:sz w:val="20"/>
                <w:lang w:val="fr-CA"/>
              </w:rPr>
            </w:pPr>
            <w:r w:rsidRPr="000A2294">
              <w:rPr>
                <w:rStyle w:val="SCCFileNumberChar"/>
                <w:sz w:val="20"/>
                <w:szCs w:val="20"/>
                <w:lang w:val="fr-CA"/>
              </w:rPr>
              <w:t>40591</w:t>
            </w:r>
          </w:p>
        </w:tc>
        <w:tc>
          <w:tcPr>
            <w:tcW w:w="4457" w:type="pct"/>
            <w:gridSpan w:val="3"/>
          </w:tcPr>
          <w:p w:rsidR="000A2294" w:rsidRPr="000A2294" w:rsidRDefault="000A2294" w:rsidP="000A2294">
            <w:pPr>
              <w:pStyle w:val="SCCLsocParty"/>
              <w:jc w:val="both"/>
              <w:rPr>
                <w:b/>
                <w:sz w:val="20"/>
                <w:szCs w:val="20"/>
                <w:lang w:val="en-US"/>
              </w:rPr>
            </w:pPr>
            <w:r w:rsidRPr="000A2294">
              <w:rPr>
                <w:b/>
                <w:sz w:val="20"/>
                <w:szCs w:val="20"/>
                <w:lang w:val="en-US"/>
              </w:rPr>
              <w:t>Kevin Drizen c. MBM Intellectual Property Law LLP</w:t>
            </w:r>
          </w:p>
          <w:p w:rsidR="000A2294" w:rsidRPr="000A2294" w:rsidRDefault="000A2294" w:rsidP="000A2294">
            <w:pPr>
              <w:jc w:val="both"/>
              <w:rPr>
                <w:sz w:val="20"/>
                <w:lang w:val="fr-CA"/>
              </w:rPr>
            </w:pPr>
            <w:r w:rsidRPr="000A2294">
              <w:rPr>
                <w:sz w:val="20"/>
                <w:lang w:val="fr-CA"/>
              </w:rPr>
              <w:t>(Ont.) (Civile) (Sur autorisation)</w:t>
            </w:r>
          </w:p>
        </w:tc>
      </w:tr>
      <w:tr w:rsidR="000A2294" w:rsidRPr="00F935FF" w:rsidTr="00E95A6A">
        <w:tc>
          <w:tcPr>
            <w:tcW w:w="5000" w:type="pct"/>
            <w:gridSpan w:val="4"/>
          </w:tcPr>
          <w:p w:rsidR="000A2294" w:rsidRPr="000A2294" w:rsidRDefault="000A2294" w:rsidP="000A2294">
            <w:pPr>
              <w:jc w:val="both"/>
              <w:rPr>
                <w:sz w:val="20"/>
                <w:lang w:val="fr-CA"/>
              </w:rPr>
            </w:pPr>
            <w:r w:rsidRPr="000A2294">
              <w:rPr>
                <w:sz w:val="20"/>
                <w:lang w:val="fr-CA"/>
              </w:rPr>
              <w:t>Contrat — Formation — Parties — Interprétation du contrat afin de déterminer qui est partie à l’entente et responsable de verser les honoraires impayés — Les juridictions inférieures ont-elles commis des erreurs dans leur raisonnement et dans leurs décisions ? — La demande d’autorisation d’appel soulève-t-elle des questions d’intérêt national ou des questions importantes pour le public ?</w:t>
            </w:r>
          </w:p>
          <w:p w:rsidR="000A2294" w:rsidRPr="000A2294" w:rsidRDefault="000A2294" w:rsidP="000A2294">
            <w:pPr>
              <w:jc w:val="both"/>
              <w:rPr>
                <w:sz w:val="20"/>
                <w:lang w:val="fr-CA"/>
              </w:rPr>
            </w:pPr>
          </w:p>
        </w:tc>
      </w:tr>
      <w:tr w:rsidR="000A2294" w:rsidRPr="000A2294" w:rsidTr="00E95A6A">
        <w:tc>
          <w:tcPr>
            <w:tcW w:w="5000" w:type="pct"/>
            <w:gridSpan w:val="4"/>
          </w:tcPr>
          <w:p w:rsidR="000A2294" w:rsidRPr="000A2294" w:rsidRDefault="000A2294" w:rsidP="000A2294">
            <w:pPr>
              <w:jc w:val="both"/>
              <w:rPr>
                <w:sz w:val="20"/>
                <w:lang w:val="fr-CA"/>
              </w:rPr>
            </w:pPr>
            <w:r w:rsidRPr="000A2294">
              <w:rPr>
                <w:sz w:val="20"/>
                <w:lang w:val="fr-CA"/>
              </w:rPr>
              <w:t>Le demandeur, Kevin Drizen, a signé une entente d’engagement avec la société intimée, MBM Intellectual Property Law LLP (« MBM »). Après que le mandat a pris fin, MBM a exigé le paiement d’environ 50 000 $ en fait d’honoraires impayés. Lors de la liquidation des comptes de MBM, M. Drizen a allégué que ce n’était pas lui, mais plutôt son entreprise, GlycoBiosciences Inc. (« Glyco »), qui était partie à l’entente et qui était donc responsable de verser les honoraires impayés.</w:t>
            </w:r>
          </w:p>
          <w:p w:rsidR="000A2294" w:rsidRPr="000A2294" w:rsidRDefault="000A2294" w:rsidP="000A2294">
            <w:pPr>
              <w:jc w:val="both"/>
              <w:rPr>
                <w:sz w:val="20"/>
                <w:lang w:val="fr-CA"/>
              </w:rPr>
            </w:pPr>
          </w:p>
          <w:p w:rsidR="000A2294" w:rsidRPr="000A2294" w:rsidRDefault="000A2294" w:rsidP="000A2294">
            <w:pPr>
              <w:jc w:val="both"/>
              <w:rPr>
                <w:sz w:val="20"/>
                <w:lang w:val="fr-CA"/>
              </w:rPr>
            </w:pPr>
            <w:r w:rsidRPr="000A2294">
              <w:rPr>
                <w:sz w:val="20"/>
                <w:lang w:val="fr-CA"/>
              </w:rPr>
              <w:t>Puisque la liquidatrice n’avait pas compétence pour trancher la question de savoir si M. Drizen ou Glyco était partie à l’entente, elle a renvoyé la question à la Cour supérieure pour que cette dernière rende une décision à cet égard. La juge saisie de la demande a conclu que M. Drizen était en fait une partie à l’entente. La Cour d’appel a rejeté l’appel.</w:t>
            </w:r>
          </w:p>
        </w:tc>
      </w:tr>
      <w:tr w:rsidR="000A2294" w:rsidRPr="000A2294" w:rsidTr="00E95A6A">
        <w:tc>
          <w:tcPr>
            <w:tcW w:w="5000" w:type="pct"/>
            <w:gridSpan w:val="4"/>
          </w:tcPr>
          <w:p w:rsidR="000A2294" w:rsidRPr="000A2294" w:rsidRDefault="000A2294" w:rsidP="000A2294">
            <w:pPr>
              <w:jc w:val="both"/>
              <w:rPr>
                <w:sz w:val="20"/>
                <w:lang w:val="fr-CA"/>
              </w:rPr>
            </w:pPr>
          </w:p>
        </w:tc>
      </w:tr>
      <w:tr w:rsidR="000A2294" w:rsidRPr="00F935FF" w:rsidTr="00E95A6A">
        <w:tc>
          <w:tcPr>
            <w:tcW w:w="2427" w:type="pct"/>
            <w:gridSpan w:val="2"/>
          </w:tcPr>
          <w:p w:rsidR="000A2294" w:rsidRPr="000A2294" w:rsidRDefault="000A2294" w:rsidP="000A2294">
            <w:pPr>
              <w:jc w:val="both"/>
              <w:rPr>
                <w:sz w:val="20"/>
                <w:lang w:val="fr-CA"/>
              </w:rPr>
            </w:pPr>
            <w:r w:rsidRPr="000A2294">
              <w:rPr>
                <w:sz w:val="20"/>
                <w:lang w:val="fr-CA"/>
              </w:rPr>
              <w:t>15 décembre 2021</w:t>
            </w:r>
          </w:p>
          <w:p w:rsidR="000A2294" w:rsidRPr="000A2294" w:rsidRDefault="000A2294" w:rsidP="000A2294">
            <w:pPr>
              <w:jc w:val="both"/>
              <w:rPr>
                <w:sz w:val="20"/>
                <w:lang w:val="fr-CA"/>
              </w:rPr>
            </w:pPr>
            <w:r w:rsidRPr="000A2294">
              <w:rPr>
                <w:sz w:val="20"/>
                <w:lang w:val="fr-CA"/>
              </w:rPr>
              <w:t>Cour supérieure de justice</w:t>
            </w:r>
          </w:p>
          <w:p w:rsidR="000A2294" w:rsidRPr="000A2294" w:rsidRDefault="000A2294" w:rsidP="000A2294">
            <w:pPr>
              <w:jc w:val="both"/>
              <w:rPr>
                <w:sz w:val="20"/>
                <w:lang w:val="fr-CA"/>
              </w:rPr>
            </w:pPr>
            <w:r w:rsidRPr="000A2294">
              <w:rPr>
                <w:sz w:val="20"/>
                <w:lang w:val="fr-CA"/>
              </w:rPr>
              <w:t>(juge Doyle)</w:t>
            </w:r>
          </w:p>
          <w:p w:rsidR="000A2294" w:rsidRPr="000A2294" w:rsidRDefault="000A2294" w:rsidP="000A2294">
            <w:pPr>
              <w:jc w:val="both"/>
              <w:rPr>
                <w:sz w:val="20"/>
                <w:lang w:val="fr-CA"/>
              </w:rPr>
            </w:pPr>
            <w:r w:rsidRPr="000A2294">
              <w:rPr>
                <w:sz w:val="20"/>
                <w:lang w:val="fr-CA"/>
              </w:rPr>
              <w:t>2021 ONSC 7937</w:t>
            </w:r>
          </w:p>
          <w:p w:rsidR="000A2294" w:rsidRPr="000A2294" w:rsidRDefault="000A2294" w:rsidP="000A2294">
            <w:pPr>
              <w:jc w:val="both"/>
              <w:rPr>
                <w:sz w:val="20"/>
                <w:lang w:val="fr-CA"/>
              </w:rPr>
            </w:pPr>
          </w:p>
        </w:tc>
        <w:tc>
          <w:tcPr>
            <w:tcW w:w="243" w:type="pct"/>
          </w:tcPr>
          <w:p w:rsidR="000A2294" w:rsidRPr="000A2294" w:rsidRDefault="000A2294" w:rsidP="000A2294">
            <w:pPr>
              <w:jc w:val="both"/>
              <w:rPr>
                <w:sz w:val="20"/>
                <w:lang w:val="fr-CA"/>
              </w:rPr>
            </w:pPr>
          </w:p>
        </w:tc>
        <w:tc>
          <w:tcPr>
            <w:tcW w:w="2330" w:type="pct"/>
          </w:tcPr>
          <w:p w:rsidR="000A2294" w:rsidRPr="000A2294" w:rsidRDefault="000A2294" w:rsidP="000A2294">
            <w:pPr>
              <w:jc w:val="both"/>
              <w:rPr>
                <w:sz w:val="20"/>
                <w:lang w:val="fr-CA"/>
              </w:rPr>
            </w:pPr>
            <w:r w:rsidRPr="000A2294">
              <w:rPr>
                <w:sz w:val="20"/>
                <w:lang w:val="fr-CA"/>
              </w:rPr>
              <w:t>La juge conclut que les parties à l’entente sont MBM Intellectual Property Law et M. Drizen, et l’affaire est renvoyée à la liquidatrice.</w:t>
            </w:r>
          </w:p>
        </w:tc>
      </w:tr>
      <w:tr w:rsidR="000A2294" w:rsidRPr="000A2294" w:rsidTr="00E95A6A">
        <w:tc>
          <w:tcPr>
            <w:tcW w:w="2427" w:type="pct"/>
            <w:gridSpan w:val="2"/>
          </w:tcPr>
          <w:p w:rsidR="000A2294" w:rsidRPr="000A2294" w:rsidRDefault="000A2294" w:rsidP="000A2294">
            <w:pPr>
              <w:jc w:val="both"/>
              <w:rPr>
                <w:sz w:val="20"/>
                <w:lang w:val="fr-CA"/>
              </w:rPr>
            </w:pPr>
            <w:r w:rsidRPr="000A2294">
              <w:rPr>
                <w:sz w:val="20"/>
                <w:lang w:val="fr-CA"/>
              </w:rPr>
              <w:t>10 novembre 2022</w:t>
            </w:r>
          </w:p>
          <w:p w:rsidR="000A2294" w:rsidRPr="000A2294" w:rsidRDefault="000A2294" w:rsidP="000A2294">
            <w:pPr>
              <w:jc w:val="both"/>
              <w:rPr>
                <w:sz w:val="20"/>
                <w:lang w:val="fr-CA"/>
              </w:rPr>
            </w:pPr>
            <w:r w:rsidRPr="000A2294">
              <w:rPr>
                <w:sz w:val="20"/>
                <w:lang w:val="fr-CA"/>
              </w:rPr>
              <w:t>Cour d’appel de l’Ontario</w:t>
            </w:r>
          </w:p>
          <w:p w:rsidR="000A2294" w:rsidRPr="000A2294" w:rsidRDefault="000A2294" w:rsidP="000A2294">
            <w:pPr>
              <w:jc w:val="both"/>
              <w:rPr>
                <w:sz w:val="20"/>
                <w:lang w:val="fr-CA"/>
              </w:rPr>
            </w:pPr>
            <w:r w:rsidRPr="000A2294">
              <w:rPr>
                <w:sz w:val="20"/>
                <w:lang w:val="fr-CA"/>
              </w:rPr>
              <w:t>(juges Simmons, van Rensburg et Favreau)</w:t>
            </w:r>
          </w:p>
          <w:p w:rsidR="000A2294" w:rsidRPr="000A2294" w:rsidRDefault="00F935FF" w:rsidP="000A2294">
            <w:pPr>
              <w:jc w:val="both"/>
              <w:rPr>
                <w:sz w:val="20"/>
                <w:lang w:val="fr-CA"/>
              </w:rPr>
            </w:pPr>
            <w:hyperlink r:id="rId111" w:history="1">
              <w:r w:rsidR="000A2294" w:rsidRPr="000A2294">
                <w:rPr>
                  <w:rStyle w:val="Hyperlink"/>
                  <w:sz w:val="20"/>
                  <w:lang w:val="fr-CA"/>
                </w:rPr>
                <w:t>2022 ONCA 766</w:t>
              </w:r>
            </w:hyperlink>
          </w:p>
          <w:p w:rsidR="000A2294" w:rsidRPr="000A2294" w:rsidRDefault="000A2294" w:rsidP="000A2294">
            <w:pPr>
              <w:jc w:val="both"/>
              <w:rPr>
                <w:sz w:val="20"/>
                <w:lang w:val="fr-CA"/>
              </w:rPr>
            </w:pPr>
            <w:r w:rsidRPr="000A2294">
              <w:rPr>
                <w:sz w:val="20"/>
                <w:lang w:val="fr-CA"/>
              </w:rPr>
              <w:t>C70126</w:t>
            </w:r>
          </w:p>
          <w:p w:rsidR="000A2294" w:rsidRPr="000A2294" w:rsidRDefault="000A2294" w:rsidP="000A2294">
            <w:pPr>
              <w:jc w:val="both"/>
              <w:rPr>
                <w:sz w:val="20"/>
                <w:lang w:val="fr-CA"/>
              </w:rPr>
            </w:pPr>
          </w:p>
        </w:tc>
        <w:tc>
          <w:tcPr>
            <w:tcW w:w="243" w:type="pct"/>
          </w:tcPr>
          <w:p w:rsidR="000A2294" w:rsidRPr="000A2294" w:rsidRDefault="000A2294" w:rsidP="000A2294">
            <w:pPr>
              <w:jc w:val="both"/>
              <w:rPr>
                <w:sz w:val="20"/>
                <w:lang w:val="fr-CA"/>
              </w:rPr>
            </w:pPr>
          </w:p>
        </w:tc>
        <w:tc>
          <w:tcPr>
            <w:tcW w:w="2330" w:type="pct"/>
          </w:tcPr>
          <w:p w:rsidR="000A2294" w:rsidRPr="000A2294" w:rsidRDefault="000A2294" w:rsidP="000A2294">
            <w:pPr>
              <w:jc w:val="both"/>
              <w:rPr>
                <w:sz w:val="20"/>
                <w:lang w:val="fr-CA"/>
              </w:rPr>
            </w:pPr>
            <w:r w:rsidRPr="000A2294">
              <w:rPr>
                <w:sz w:val="20"/>
                <w:lang w:val="fr-CA"/>
              </w:rPr>
              <w:t>L’appel est rejeté.</w:t>
            </w:r>
          </w:p>
        </w:tc>
      </w:tr>
      <w:tr w:rsidR="000A2294" w:rsidRPr="00F935FF" w:rsidTr="00E95A6A">
        <w:tc>
          <w:tcPr>
            <w:tcW w:w="2427" w:type="pct"/>
            <w:gridSpan w:val="2"/>
          </w:tcPr>
          <w:p w:rsidR="000A2294" w:rsidRPr="000A2294" w:rsidRDefault="000A2294" w:rsidP="000A2294">
            <w:pPr>
              <w:jc w:val="both"/>
              <w:rPr>
                <w:sz w:val="20"/>
                <w:lang w:val="fr-CA"/>
              </w:rPr>
            </w:pPr>
            <w:r w:rsidRPr="000A2294">
              <w:rPr>
                <w:sz w:val="20"/>
                <w:lang w:val="fr-CA"/>
              </w:rPr>
              <w:t>9 décembre 2022</w:t>
            </w:r>
          </w:p>
          <w:p w:rsidR="000A2294" w:rsidRPr="000A2294" w:rsidRDefault="000A2294" w:rsidP="000A2294">
            <w:pPr>
              <w:jc w:val="both"/>
              <w:rPr>
                <w:sz w:val="20"/>
                <w:lang w:val="fr-CA"/>
              </w:rPr>
            </w:pPr>
            <w:r w:rsidRPr="000A2294">
              <w:rPr>
                <w:sz w:val="20"/>
                <w:lang w:val="fr-CA"/>
              </w:rPr>
              <w:t>Cour d’appel de l’Ontario</w:t>
            </w:r>
          </w:p>
          <w:p w:rsidR="000A2294" w:rsidRPr="000A2294" w:rsidRDefault="000A2294" w:rsidP="000A2294">
            <w:pPr>
              <w:jc w:val="both"/>
              <w:rPr>
                <w:sz w:val="20"/>
                <w:lang w:val="fr-CA"/>
              </w:rPr>
            </w:pPr>
            <w:r w:rsidRPr="000A2294">
              <w:rPr>
                <w:sz w:val="20"/>
                <w:lang w:val="fr-CA"/>
              </w:rPr>
              <w:t>(juges Simmons, van Rensburg et Favreau)</w:t>
            </w:r>
          </w:p>
          <w:p w:rsidR="000A2294" w:rsidRPr="000A2294" w:rsidRDefault="00F935FF" w:rsidP="000A2294">
            <w:pPr>
              <w:jc w:val="both"/>
              <w:rPr>
                <w:sz w:val="20"/>
                <w:lang w:val="fr-CA"/>
              </w:rPr>
            </w:pPr>
            <w:hyperlink r:id="rId112" w:history="1">
              <w:r w:rsidR="000A2294" w:rsidRPr="000A2294">
                <w:rPr>
                  <w:rStyle w:val="Hyperlink"/>
                  <w:sz w:val="20"/>
                  <w:lang w:val="fr-CA"/>
                </w:rPr>
                <w:t>2022 ONCA 847</w:t>
              </w:r>
            </w:hyperlink>
          </w:p>
          <w:p w:rsidR="000A2294" w:rsidRPr="000A2294" w:rsidRDefault="000A2294" w:rsidP="000A2294">
            <w:pPr>
              <w:jc w:val="both"/>
              <w:rPr>
                <w:sz w:val="20"/>
                <w:lang w:val="fr-CA"/>
              </w:rPr>
            </w:pPr>
            <w:r w:rsidRPr="000A2294">
              <w:rPr>
                <w:sz w:val="20"/>
                <w:lang w:val="fr-CA"/>
              </w:rPr>
              <w:t>N</w:t>
            </w:r>
            <w:r w:rsidRPr="000A2294">
              <w:rPr>
                <w:sz w:val="20"/>
                <w:vertAlign w:val="superscript"/>
                <w:lang w:val="fr-CA"/>
              </w:rPr>
              <w:t>o</w:t>
            </w:r>
            <w:r w:rsidRPr="000A2294">
              <w:rPr>
                <w:sz w:val="20"/>
                <w:lang w:val="fr-CA"/>
              </w:rPr>
              <w:t xml:space="preserve"> de dossier : C70126</w:t>
            </w:r>
          </w:p>
          <w:p w:rsidR="000A2294" w:rsidRPr="000A2294" w:rsidRDefault="000A2294" w:rsidP="000A2294">
            <w:pPr>
              <w:jc w:val="both"/>
              <w:rPr>
                <w:sz w:val="20"/>
                <w:lang w:val="fr-CA"/>
              </w:rPr>
            </w:pPr>
          </w:p>
        </w:tc>
        <w:tc>
          <w:tcPr>
            <w:tcW w:w="243" w:type="pct"/>
          </w:tcPr>
          <w:p w:rsidR="000A2294" w:rsidRPr="000A2294" w:rsidRDefault="000A2294" w:rsidP="000A2294">
            <w:pPr>
              <w:jc w:val="both"/>
              <w:rPr>
                <w:sz w:val="20"/>
                <w:lang w:val="fr-CA"/>
              </w:rPr>
            </w:pPr>
          </w:p>
        </w:tc>
        <w:tc>
          <w:tcPr>
            <w:tcW w:w="2330" w:type="pct"/>
          </w:tcPr>
          <w:p w:rsidR="000A2294" w:rsidRPr="000A2294" w:rsidRDefault="000A2294" w:rsidP="000A2294">
            <w:pPr>
              <w:jc w:val="both"/>
              <w:rPr>
                <w:sz w:val="20"/>
                <w:lang w:val="fr-CA"/>
              </w:rPr>
            </w:pPr>
            <w:r w:rsidRPr="000A2294">
              <w:rPr>
                <w:sz w:val="20"/>
                <w:lang w:val="fr-CA"/>
              </w:rPr>
              <w:t>Des dépens de 7 500 $ payables par M. Drizen à MBM sont adjugés.</w:t>
            </w:r>
          </w:p>
        </w:tc>
      </w:tr>
      <w:tr w:rsidR="000A2294" w:rsidRPr="00F935FF" w:rsidTr="00E95A6A">
        <w:tc>
          <w:tcPr>
            <w:tcW w:w="2427" w:type="pct"/>
            <w:gridSpan w:val="2"/>
          </w:tcPr>
          <w:p w:rsidR="000A2294" w:rsidRPr="000A2294" w:rsidRDefault="000A2294" w:rsidP="000A2294">
            <w:pPr>
              <w:jc w:val="both"/>
              <w:rPr>
                <w:sz w:val="20"/>
                <w:lang w:val="fr-CA"/>
              </w:rPr>
            </w:pPr>
            <w:r w:rsidRPr="000A2294">
              <w:rPr>
                <w:sz w:val="20"/>
                <w:lang w:val="fr-CA"/>
              </w:rPr>
              <w:t>3 janvier 2023</w:t>
            </w:r>
          </w:p>
          <w:p w:rsidR="000A2294" w:rsidRPr="000A2294" w:rsidRDefault="000A2294" w:rsidP="000A2294">
            <w:pPr>
              <w:jc w:val="both"/>
              <w:rPr>
                <w:sz w:val="20"/>
                <w:lang w:val="fr-CA"/>
              </w:rPr>
            </w:pPr>
            <w:r w:rsidRPr="000A2294">
              <w:rPr>
                <w:sz w:val="20"/>
                <w:lang w:val="fr-CA"/>
              </w:rPr>
              <w:t>Cour suprême du Canada</w:t>
            </w:r>
          </w:p>
        </w:tc>
        <w:tc>
          <w:tcPr>
            <w:tcW w:w="243" w:type="pct"/>
          </w:tcPr>
          <w:p w:rsidR="000A2294" w:rsidRPr="000A2294" w:rsidRDefault="000A2294" w:rsidP="000A2294">
            <w:pPr>
              <w:jc w:val="both"/>
              <w:rPr>
                <w:sz w:val="20"/>
                <w:lang w:val="fr-CA"/>
              </w:rPr>
            </w:pPr>
          </w:p>
        </w:tc>
        <w:tc>
          <w:tcPr>
            <w:tcW w:w="2330" w:type="pct"/>
          </w:tcPr>
          <w:p w:rsidR="000A2294" w:rsidRPr="000A2294" w:rsidRDefault="000A2294" w:rsidP="000A2294">
            <w:pPr>
              <w:jc w:val="both"/>
              <w:rPr>
                <w:sz w:val="20"/>
                <w:lang w:val="fr-CA"/>
              </w:rPr>
            </w:pPr>
            <w:r w:rsidRPr="000A2294">
              <w:rPr>
                <w:sz w:val="20"/>
                <w:lang w:val="fr-CA"/>
              </w:rPr>
              <w:t>La demande d’autorisation d’appel est présentée.</w:t>
            </w:r>
          </w:p>
          <w:p w:rsidR="000A2294" w:rsidRPr="000A2294" w:rsidRDefault="000A2294" w:rsidP="000A2294">
            <w:pPr>
              <w:jc w:val="both"/>
              <w:rPr>
                <w:sz w:val="20"/>
                <w:lang w:val="fr-CA"/>
              </w:rPr>
            </w:pPr>
          </w:p>
        </w:tc>
      </w:tr>
    </w:tbl>
    <w:p w:rsidR="000A2294" w:rsidRPr="000A2294" w:rsidRDefault="000A2294" w:rsidP="000A2294">
      <w:pPr>
        <w:jc w:val="both"/>
        <w:rPr>
          <w:sz w:val="20"/>
          <w:lang w:val="fr-CA"/>
        </w:rPr>
      </w:pPr>
    </w:p>
    <w:p w:rsidR="00E20752" w:rsidRPr="000A2294" w:rsidRDefault="00F935FF" w:rsidP="000A2294">
      <w:pPr>
        <w:widowControl w:val="0"/>
        <w:jc w:val="both"/>
        <w:rPr>
          <w:sz w:val="20"/>
          <w:lang w:val="fr-CA"/>
        </w:rPr>
      </w:pPr>
      <w:r>
        <w:rPr>
          <w:sz w:val="20"/>
        </w:rPr>
        <w:pict>
          <v:rect id="_x0000_i1062" style="width:2in;height:1pt" o:hrpct="0" o:hralign="center" o:hrstd="t" o:hrnoshade="t" o:hr="t" fillcolor="black [3213]" stroked="f"/>
        </w:pict>
      </w:r>
    </w:p>
    <w:p w:rsidR="00E20752" w:rsidRPr="000A2294" w:rsidRDefault="00E20752" w:rsidP="0088067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0A2294" w:rsidTr="00701BD4">
        <w:tc>
          <w:tcPr>
            <w:tcW w:w="543" w:type="pct"/>
          </w:tcPr>
          <w:p w:rsidR="00880679" w:rsidRPr="000A2294" w:rsidRDefault="00880679" w:rsidP="00880679">
            <w:pPr>
              <w:jc w:val="both"/>
              <w:rPr>
                <w:sz w:val="20"/>
              </w:rPr>
            </w:pPr>
            <w:r w:rsidRPr="000A2294">
              <w:rPr>
                <w:rStyle w:val="SCCFileNumberChar"/>
                <w:sz w:val="20"/>
                <w:szCs w:val="20"/>
              </w:rPr>
              <w:t>40453</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Kootenay Zinc Corp., Anthony Jackson, Robert Tindall v. Michael Tietz, Duane Loewen, Robin Lee, Cryptobloc Techologies Corp., Bam Bam Resources Corp., Affinor Growers Inc., Green 2 Blue Energy Corp., Slawomir Smulewicz, Citation Growth Corp., Blok Technologies Inc., Von Rowell Torres, Preveceutical Medical Inc., Stephen Van Deventer, Shabira Rajan, Neil William Stevenson-Moore, Bryn Gardener-Evans, Kenneth Phillipe, Nicholas Brusatore, Brian Biles, Sam Chaudhry, Michael Young, Glenn Little, David Alexander, Linda Sampson, Yari Alexander Nieken, Robert Dawson, James Hyland</w:t>
            </w:r>
          </w:p>
          <w:p w:rsidR="00880679" w:rsidRPr="000A2294" w:rsidRDefault="00880679" w:rsidP="00880679">
            <w:pPr>
              <w:jc w:val="both"/>
              <w:rPr>
                <w:sz w:val="20"/>
              </w:rPr>
            </w:pPr>
            <w:r w:rsidRPr="000A2294">
              <w:rPr>
                <w:sz w:val="20"/>
              </w:rPr>
              <w:t>(B.C.) (Civil) (By Leave)</w:t>
            </w:r>
          </w:p>
        </w:tc>
      </w:tr>
      <w:tr w:rsidR="00880679" w:rsidRPr="000A2294" w:rsidTr="00701BD4">
        <w:tc>
          <w:tcPr>
            <w:tcW w:w="5000" w:type="pct"/>
            <w:gridSpan w:val="4"/>
          </w:tcPr>
          <w:p w:rsidR="00880679" w:rsidRPr="000A2294" w:rsidRDefault="00880679" w:rsidP="00880679">
            <w:pPr>
              <w:jc w:val="both"/>
              <w:rPr>
                <w:sz w:val="20"/>
              </w:rPr>
            </w:pPr>
            <w:r w:rsidRPr="000A2294">
              <w:rPr>
                <w:sz w:val="20"/>
              </w:rPr>
              <w:t xml:space="preserve">Evidence — Hearsay — Case splitting — Securities — Whether courts should engage in a meaningful contextual materiality analysis from </w:t>
            </w:r>
            <w:r w:rsidRPr="000A2294">
              <w:rPr>
                <w:i/>
                <w:color w:val="000000"/>
                <w:sz w:val="20"/>
              </w:rPr>
              <w:t xml:space="preserve">Sharbern Holding Inc. </w:t>
            </w:r>
            <w:r w:rsidRPr="000A2294">
              <w:rPr>
                <w:i/>
                <w:iCs/>
                <w:color w:val="000000"/>
                <w:sz w:val="20"/>
              </w:rPr>
              <w:t>v</w:t>
            </w:r>
            <w:r w:rsidRPr="000A2294">
              <w:rPr>
                <w:i/>
                <w:color w:val="000000"/>
                <w:sz w:val="20"/>
              </w:rPr>
              <w:t>. Vancouver Airport Centre Ltd</w:t>
            </w:r>
            <w:r w:rsidRPr="000A2294">
              <w:rPr>
                <w:color w:val="000000"/>
                <w:sz w:val="20"/>
              </w:rPr>
              <w:t xml:space="preserve">., </w:t>
            </w:r>
            <w:r w:rsidRPr="000A2294">
              <w:rPr>
                <w:rStyle w:val="sccrespondentforrunningheadchar"/>
                <w:smallCaps/>
                <w:color w:val="000000"/>
                <w:sz w:val="20"/>
              </w:rPr>
              <w:t>2011 SCC 23, [2011] 2 S.C.R. 175,</w:t>
            </w:r>
            <w:r w:rsidRPr="000A2294">
              <w:rPr>
                <w:sz w:val="20"/>
              </w:rPr>
              <w:t xml:space="preserve"> when assessing whether a plaintiff should be granted leave to commence a secondary market misrepresentation case — Whether the Court should develop more nuanced guidelines for the reasonable possibility of success leave test to address the ambiguity that has developed and also takes into account that the statutory provisions at issue embed the various claims and defences with different evidentiary requirements — </w:t>
            </w:r>
            <w:r w:rsidRPr="000A2294">
              <w:rPr>
                <w:i/>
                <w:iCs/>
                <w:sz w:val="20"/>
              </w:rPr>
              <w:t>Securities Act</w:t>
            </w:r>
            <w:r w:rsidRPr="000A2294">
              <w:rPr>
                <w:sz w:val="20"/>
              </w:rPr>
              <w:t>, R.S.B.C. 1996, c. 418, ss. 140.3 and 140.8.</w:t>
            </w:r>
          </w:p>
          <w:p w:rsidR="00880679" w:rsidRPr="000A2294" w:rsidRDefault="00880679" w:rsidP="00880679">
            <w:pPr>
              <w:jc w:val="both"/>
              <w:rPr>
                <w:sz w:val="20"/>
              </w:rPr>
            </w:pPr>
          </w:p>
        </w:tc>
      </w:tr>
      <w:tr w:rsidR="00880679" w:rsidRPr="000A2294" w:rsidTr="00701BD4">
        <w:tc>
          <w:tcPr>
            <w:tcW w:w="5000" w:type="pct"/>
            <w:gridSpan w:val="4"/>
          </w:tcPr>
          <w:p w:rsidR="00880679" w:rsidRPr="000A2294" w:rsidRDefault="00880679" w:rsidP="00880679">
            <w:pPr>
              <w:jc w:val="both"/>
              <w:rPr>
                <w:sz w:val="20"/>
              </w:rPr>
            </w:pPr>
            <w:r w:rsidRPr="000A2294">
              <w:rPr>
                <w:color w:val="000000"/>
                <w:sz w:val="20"/>
              </w:rPr>
              <w:t>As part of a proposed class action, the respondent/plaintiff Mr. Lee</w:t>
            </w:r>
            <w:r w:rsidRPr="000A2294">
              <w:rPr>
                <w:sz w:val="20"/>
              </w:rPr>
              <w:t xml:space="preserve"> brought a petition under s. 140.8 of the </w:t>
            </w:r>
            <w:r w:rsidRPr="000A2294">
              <w:rPr>
                <w:i/>
                <w:iCs/>
                <w:sz w:val="20"/>
              </w:rPr>
              <w:t>Securities Act</w:t>
            </w:r>
            <w:r w:rsidRPr="000A2294">
              <w:rPr>
                <w:sz w:val="20"/>
              </w:rPr>
              <w:t>, R.S.B.C. 1996, c. 418 (the “</w:t>
            </w:r>
            <w:r w:rsidRPr="000A2294">
              <w:rPr>
                <w:i/>
                <w:sz w:val="20"/>
              </w:rPr>
              <w:t>Act</w:t>
            </w:r>
            <w:r w:rsidRPr="000A2294">
              <w:rPr>
                <w:sz w:val="20"/>
              </w:rPr>
              <w:t xml:space="preserve">”), for leave to commence a secondary market claim against the applicants under s. 140.3 of the </w:t>
            </w:r>
            <w:r w:rsidRPr="000A2294">
              <w:rPr>
                <w:i/>
                <w:sz w:val="20"/>
              </w:rPr>
              <w:t>Act</w:t>
            </w:r>
            <w:r w:rsidRPr="000A2294">
              <w:rPr>
                <w:sz w:val="20"/>
              </w:rPr>
              <w:t xml:space="preserve">. </w:t>
            </w:r>
            <w:r w:rsidRPr="000A2294">
              <w:rPr>
                <w:color w:val="000000"/>
                <w:sz w:val="20"/>
              </w:rPr>
              <w:t xml:space="preserve">The plaintiffs in the action allege a scheme whereby certain consultants bought shares issued by private placement at a publicly disclosed share price on the undisclosed condition that the applicants would pay them consulting fees for services that were never rendered. The plaintiffs allege that the total amounts paid to the consultants constituted a significant portion of the proceeds of the private placements and, as a result, the applicants had misrepresented both the price at which the shares were acquired and the proceeds available to the issuers as working capital. The plaintiffs allege they suffered losses by purchasing shares at a price higher than they would have paid but for the scheme, which later eroded in value after the scheme was disclosed. The plaintiffs sought damages or disgorgement of proceeds on the basis of claims of unlawful conspiracy, statutory damages and fraudulent or negligent misrepresentation. The </w:t>
            </w:r>
            <w:r w:rsidRPr="000A2294">
              <w:rPr>
                <w:sz w:val="20"/>
              </w:rPr>
              <w:t xml:space="preserve">Supreme Court of British Columbia granted leave to bring the statutory claim on the basis that </w:t>
            </w:r>
            <w:r w:rsidRPr="000A2294">
              <w:rPr>
                <w:color w:val="000000"/>
                <w:sz w:val="20"/>
              </w:rPr>
              <w:t xml:space="preserve">action was being brought in good faith and that there is a reasonable possibility that the action will be resolved in the plaintiffs’ favour. The </w:t>
            </w:r>
            <w:r w:rsidRPr="000A2294">
              <w:rPr>
                <w:sz w:val="20"/>
              </w:rPr>
              <w:t>Court of Appeal for British Columbia dismissed the applicants’ appeal.</w:t>
            </w:r>
          </w:p>
        </w:tc>
      </w:tr>
      <w:tr w:rsidR="00880679" w:rsidRPr="000A2294" w:rsidTr="00701BD4">
        <w:tc>
          <w:tcPr>
            <w:tcW w:w="5000" w:type="pct"/>
            <w:gridSpan w:val="4"/>
          </w:tcPr>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November 22, 2021</w:t>
            </w:r>
          </w:p>
          <w:p w:rsidR="00880679" w:rsidRPr="000A2294" w:rsidRDefault="00880679" w:rsidP="00880679">
            <w:pPr>
              <w:jc w:val="both"/>
              <w:rPr>
                <w:sz w:val="20"/>
              </w:rPr>
            </w:pPr>
            <w:r w:rsidRPr="000A2294">
              <w:rPr>
                <w:sz w:val="20"/>
              </w:rPr>
              <w:t>Supreme Court of British Columbia</w:t>
            </w:r>
          </w:p>
          <w:p w:rsidR="00880679" w:rsidRPr="000A2294" w:rsidRDefault="00880679" w:rsidP="00880679">
            <w:pPr>
              <w:jc w:val="both"/>
              <w:rPr>
                <w:sz w:val="20"/>
              </w:rPr>
            </w:pPr>
            <w:r w:rsidRPr="000A2294">
              <w:rPr>
                <w:sz w:val="20"/>
              </w:rPr>
              <w:t>(Wilkinson J.)</w:t>
            </w:r>
          </w:p>
          <w:p w:rsidR="00880679" w:rsidRPr="000A2294" w:rsidRDefault="00F935FF" w:rsidP="00880679">
            <w:pPr>
              <w:jc w:val="both"/>
              <w:rPr>
                <w:rStyle w:val="Hyperlink"/>
                <w:color w:val="4F81BD" w:themeColor="accent1"/>
                <w:sz w:val="20"/>
              </w:rPr>
            </w:pPr>
            <w:hyperlink r:id="rId113" w:history="1">
              <w:r w:rsidR="00880679" w:rsidRPr="000A2294">
                <w:rPr>
                  <w:rStyle w:val="Hyperlink"/>
                  <w:color w:val="4F81BD" w:themeColor="accent1"/>
                  <w:sz w:val="20"/>
                </w:rPr>
                <w:t>2021 BCSC 2275</w:t>
              </w:r>
            </w:hyperlink>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Leave to bring secondary market claims against the Kootenay applicants and others, granted.</w:t>
            </w:r>
          </w:p>
        </w:tc>
      </w:tr>
      <w:tr w:rsidR="00880679" w:rsidRPr="000A2294" w:rsidTr="00701BD4">
        <w:tc>
          <w:tcPr>
            <w:tcW w:w="2427" w:type="pct"/>
            <w:gridSpan w:val="2"/>
          </w:tcPr>
          <w:p w:rsidR="00880679" w:rsidRPr="000A2294" w:rsidRDefault="00880679" w:rsidP="00880679">
            <w:pPr>
              <w:jc w:val="both"/>
              <w:rPr>
                <w:sz w:val="20"/>
              </w:rPr>
            </w:pPr>
            <w:r w:rsidRPr="000A2294">
              <w:rPr>
                <w:sz w:val="20"/>
              </w:rPr>
              <w:t>September 13, 2022</w:t>
            </w:r>
          </w:p>
          <w:p w:rsidR="00880679" w:rsidRPr="000A2294" w:rsidRDefault="00880679" w:rsidP="00880679">
            <w:pPr>
              <w:jc w:val="both"/>
              <w:rPr>
                <w:sz w:val="20"/>
              </w:rPr>
            </w:pPr>
            <w:r w:rsidRPr="000A2294">
              <w:rPr>
                <w:sz w:val="20"/>
              </w:rPr>
              <w:t xml:space="preserve">Court of Appeal for British Columbia </w:t>
            </w:r>
          </w:p>
          <w:p w:rsidR="00880679" w:rsidRPr="000A2294" w:rsidRDefault="00880679" w:rsidP="00880679">
            <w:pPr>
              <w:jc w:val="both"/>
              <w:rPr>
                <w:sz w:val="20"/>
              </w:rPr>
            </w:pPr>
            <w:r w:rsidRPr="000A2294">
              <w:rPr>
                <w:sz w:val="20"/>
              </w:rPr>
              <w:t>(Vancouver)</w:t>
            </w:r>
          </w:p>
          <w:p w:rsidR="00880679" w:rsidRPr="000A2294" w:rsidRDefault="00880679" w:rsidP="00880679">
            <w:pPr>
              <w:jc w:val="both"/>
              <w:rPr>
                <w:sz w:val="20"/>
              </w:rPr>
            </w:pPr>
            <w:r w:rsidRPr="000A2294">
              <w:rPr>
                <w:sz w:val="20"/>
              </w:rPr>
              <w:t>(Willcock, Abrioux and Marchand JJ.A.)</w:t>
            </w:r>
          </w:p>
          <w:p w:rsidR="00880679" w:rsidRPr="000A2294" w:rsidRDefault="00F935FF" w:rsidP="00880679">
            <w:pPr>
              <w:jc w:val="both"/>
              <w:rPr>
                <w:rStyle w:val="Hyperlink"/>
                <w:color w:val="4F81BD" w:themeColor="accent1"/>
                <w:sz w:val="20"/>
              </w:rPr>
            </w:pPr>
            <w:hyperlink r:id="rId114" w:history="1">
              <w:r w:rsidR="00880679" w:rsidRPr="000A2294">
                <w:rPr>
                  <w:rStyle w:val="Hyperlink"/>
                  <w:color w:val="4F81BD" w:themeColor="accent1"/>
                  <w:sz w:val="20"/>
                </w:rPr>
                <w:t>2022 BCCA 307</w:t>
              </w:r>
            </w:hyperlink>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Appeal by the Kootenay applicants dismissed.</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November 14, 2022</w:t>
            </w:r>
          </w:p>
          <w:p w:rsidR="00880679" w:rsidRPr="000A2294" w:rsidRDefault="00880679" w:rsidP="00880679">
            <w:pPr>
              <w:jc w:val="both"/>
              <w:rPr>
                <w:sz w:val="20"/>
              </w:rPr>
            </w:pPr>
            <w:r w:rsidRPr="000A2294">
              <w:rPr>
                <w:sz w:val="20"/>
              </w:rPr>
              <w:t>Supreme Court of Canada</w:t>
            </w:r>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Application for leave to appeal filed.</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January 23, 2023</w:t>
            </w:r>
          </w:p>
          <w:p w:rsidR="00880679" w:rsidRPr="000A2294" w:rsidRDefault="00880679" w:rsidP="00880679">
            <w:pPr>
              <w:jc w:val="both"/>
              <w:rPr>
                <w:sz w:val="20"/>
              </w:rPr>
            </w:pPr>
            <w:r w:rsidRPr="000A2294">
              <w:rPr>
                <w:sz w:val="20"/>
              </w:rPr>
              <w:t xml:space="preserve">Court of Appeal for British Columbia </w:t>
            </w:r>
          </w:p>
          <w:p w:rsidR="00880679" w:rsidRPr="000A2294" w:rsidRDefault="00880679" w:rsidP="00880679">
            <w:pPr>
              <w:jc w:val="both"/>
              <w:rPr>
                <w:sz w:val="20"/>
              </w:rPr>
            </w:pPr>
            <w:r w:rsidRPr="000A2294">
              <w:rPr>
                <w:sz w:val="20"/>
              </w:rPr>
              <w:t>(Vancouver)</w:t>
            </w:r>
          </w:p>
          <w:p w:rsidR="00880679" w:rsidRPr="000A2294" w:rsidRDefault="00880679" w:rsidP="00880679">
            <w:pPr>
              <w:jc w:val="both"/>
              <w:rPr>
                <w:sz w:val="20"/>
              </w:rPr>
            </w:pPr>
            <w:r w:rsidRPr="000A2294">
              <w:rPr>
                <w:sz w:val="20"/>
              </w:rPr>
              <w:t>(Willcock, Abrioux and Marchand JJ.A)</w:t>
            </w:r>
          </w:p>
          <w:p w:rsidR="00880679" w:rsidRPr="000A2294" w:rsidRDefault="00F935FF" w:rsidP="00880679">
            <w:pPr>
              <w:jc w:val="both"/>
              <w:rPr>
                <w:b/>
                <w:bCs/>
                <w:sz w:val="20"/>
              </w:rPr>
            </w:pPr>
            <w:hyperlink r:id="rId115" w:history="1">
              <w:r w:rsidR="00880679" w:rsidRPr="000A2294">
                <w:rPr>
                  <w:rStyle w:val="Hyperlink"/>
                  <w:rFonts w:eastAsiaTheme="majorEastAsia"/>
                  <w:color w:val="4F81BD" w:themeColor="accent1"/>
                  <w:sz w:val="20"/>
                </w:rPr>
                <w:t>2023 BCCA 32</w:t>
              </w:r>
            </w:hyperlink>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 xml:space="preserve">Supplemental reasons released confirming aspects of the Sept. 13 judgment including decisions with respect to </w:t>
            </w:r>
            <w:r w:rsidRPr="000A2294">
              <w:rPr>
                <w:color w:val="000000"/>
                <w:sz w:val="20"/>
              </w:rPr>
              <w:t>certain affidavits</w:t>
            </w:r>
            <w:r w:rsidRPr="000A2294">
              <w:rPr>
                <w:sz w:val="20"/>
              </w:rPr>
              <w:t>.</w:t>
            </w:r>
          </w:p>
        </w:tc>
      </w:tr>
    </w:tbl>
    <w:p w:rsidR="00880679" w:rsidRPr="000A2294" w:rsidRDefault="00880679" w:rsidP="00880679">
      <w:pPr>
        <w:jc w:val="both"/>
        <w:rPr>
          <w:sz w:val="20"/>
        </w:rPr>
      </w:pPr>
    </w:p>
    <w:p w:rsidR="00880679" w:rsidRPr="000A2294" w:rsidRDefault="00F935FF" w:rsidP="00880679">
      <w:pPr>
        <w:jc w:val="both"/>
        <w:rPr>
          <w:sz w:val="20"/>
        </w:rPr>
      </w:pPr>
      <w:r>
        <w:rPr>
          <w:sz w:val="20"/>
        </w:rPr>
        <w:pict>
          <v:rect id="_x0000_i1063" style="width:2in;height:1pt" o:hrpct="0" o:hralign="center" o:hrstd="t" o:hrnoshade="t" o:hr="t" fillcolor="black [3213]" stroked="f"/>
        </w:pict>
      </w:r>
    </w:p>
    <w:p w:rsidR="00880679" w:rsidRPr="000A2294" w:rsidRDefault="00880679" w:rsidP="008806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F935FF" w:rsidTr="00701BD4">
        <w:tc>
          <w:tcPr>
            <w:tcW w:w="543" w:type="pct"/>
          </w:tcPr>
          <w:p w:rsidR="00880679" w:rsidRPr="000A2294" w:rsidRDefault="00880679" w:rsidP="00880679">
            <w:pPr>
              <w:jc w:val="both"/>
              <w:rPr>
                <w:sz w:val="20"/>
                <w:lang w:val="fr-CA"/>
              </w:rPr>
            </w:pPr>
            <w:r w:rsidRPr="000A2294">
              <w:rPr>
                <w:rStyle w:val="SCCFileNumberChar"/>
                <w:sz w:val="20"/>
                <w:szCs w:val="20"/>
                <w:lang w:val="fr-CA"/>
              </w:rPr>
              <w:t>40453</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Kootenay Zinc Corp., Anthony Jackson, Robert Tindall c. Michael Tietz, Duane Loewen, Robin Lee, Cryptobloc Technologies Corp., Bam Bam Resources Corp., Affinor Growers Inc., Green 2 Blue Energy Corp., Slawomir Smulewicz, Citation Growth Corp., Blok Technologies Inc., Von Rowell Torres, Preveceutical Medical Inc., Stephen Van Deventer, Shabira Rajan, Neil William Stevenson-Moore, Bryn Gardener-Evans, Kenneth Phillipe, Nicholas Brusatore, Brian Biles, Sam Chaudhry, Michael Young, Glenn Little, David Alexander, Linda Sampson, Yari Alexander Nieken, Robert Dawson, James Hyland</w:t>
            </w:r>
          </w:p>
          <w:p w:rsidR="00880679" w:rsidRPr="000A2294" w:rsidRDefault="00880679" w:rsidP="00880679">
            <w:pPr>
              <w:jc w:val="both"/>
              <w:rPr>
                <w:sz w:val="20"/>
                <w:lang w:val="fr-CA"/>
              </w:rPr>
            </w:pPr>
            <w:r w:rsidRPr="000A2294">
              <w:rPr>
                <w:sz w:val="20"/>
                <w:lang w:val="fr-CA"/>
              </w:rPr>
              <w:t>(C.-B.) (Civile) (Sur autorisation)</w:t>
            </w:r>
          </w:p>
        </w:tc>
      </w:tr>
      <w:tr w:rsidR="00880679" w:rsidRPr="00F935FF" w:rsidTr="00701BD4">
        <w:tc>
          <w:tcPr>
            <w:tcW w:w="5000" w:type="pct"/>
            <w:gridSpan w:val="4"/>
          </w:tcPr>
          <w:p w:rsidR="00880679" w:rsidRPr="000A2294" w:rsidRDefault="00880679" w:rsidP="00880679">
            <w:pPr>
              <w:jc w:val="both"/>
              <w:rPr>
                <w:sz w:val="20"/>
                <w:lang w:val="fr-CA"/>
              </w:rPr>
            </w:pPr>
            <w:r w:rsidRPr="000A2294">
              <w:rPr>
                <w:sz w:val="20"/>
                <w:lang w:val="fr-CA"/>
              </w:rPr>
              <w:t xml:space="preserve">Preuve — Ouï-dire — Scission de la preuve — Valeurs mobilières — Lorsqu’ils sont appelés à décider s’il convient d’accorder à un requérant l’autorisation d’intenter une action pour présentation inexacte des faits sur le marché secondaire, les tribunaux devraient-ils entreprendre une analyse contextuelle approfondie de l’importance conformément à l’arrêt </w:t>
            </w:r>
            <w:r w:rsidRPr="000A2294">
              <w:rPr>
                <w:i/>
                <w:color w:val="000000"/>
                <w:sz w:val="20"/>
                <w:lang w:val="fr-CA"/>
              </w:rPr>
              <w:t xml:space="preserve">Sharbern Holding Inc. </w:t>
            </w:r>
            <w:r w:rsidRPr="000A2294">
              <w:rPr>
                <w:i/>
                <w:iCs/>
                <w:color w:val="000000"/>
                <w:sz w:val="20"/>
                <w:lang w:val="fr-CA"/>
              </w:rPr>
              <w:t>c</w:t>
            </w:r>
            <w:r w:rsidRPr="000A2294">
              <w:rPr>
                <w:i/>
                <w:color w:val="000000"/>
                <w:sz w:val="20"/>
                <w:lang w:val="fr-CA"/>
              </w:rPr>
              <w:t>. Vancouver Airport Centre Ltd</w:t>
            </w:r>
            <w:r w:rsidRPr="000A2294">
              <w:rPr>
                <w:color w:val="000000"/>
                <w:sz w:val="20"/>
                <w:lang w:val="fr-CA"/>
              </w:rPr>
              <w:t xml:space="preserve">., </w:t>
            </w:r>
            <w:r w:rsidRPr="000A2294">
              <w:rPr>
                <w:rStyle w:val="sccrespondentforrunningheadchar"/>
                <w:smallCaps/>
                <w:color w:val="000000"/>
                <w:sz w:val="20"/>
                <w:lang w:val="fr-CA"/>
              </w:rPr>
              <w:t>2011 CSC 23, [2011] 2 R.C.S. 175?</w:t>
            </w:r>
            <w:r w:rsidRPr="000A2294">
              <w:rPr>
                <w:sz w:val="20"/>
                <w:lang w:val="fr-CA"/>
              </w:rPr>
              <w:t xml:space="preserve"> — La Cour devrait-elle établir des lignes directrices plus nuancées concernant le critère servant à apprécier, aux fins d’autorisation, la possibilité raisonnable qu’un requérant ait gain de cause, de manière à lever l’ambiguïté qui est apparue à cet égard et aussi pour tenir compte du fait que les dispositions législatives en cause associent aux diverses demandes et défenses des exigences différentes en matière de preuve? — </w:t>
            </w:r>
            <w:r w:rsidRPr="000A2294">
              <w:rPr>
                <w:i/>
                <w:iCs/>
                <w:sz w:val="20"/>
                <w:lang w:val="fr-CA"/>
              </w:rPr>
              <w:t>Securities Act</w:t>
            </w:r>
            <w:r w:rsidRPr="000A2294">
              <w:rPr>
                <w:sz w:val="20"/>
                <w:lang w:val="fr-CA"/>
              </w:rPr>
              <w:t>, R.S.B.C. 1996, c. 418, art. 140.3 et 140.8.</w:t>
            </w:r>
          </w:p>
          <w:p w:rsidR="00880679" w:rsidRPr="000A2294" w:rsidRDefault="00880679" w:rsidP="00880679">
            <w:pPr>
              <w:jc w:val="both"/>
              <w:rPr>
                <w:sz w:val="20"/>
                <w:lang w:val="fr-CA"/>
              </w:rPr>
            </w:pPr>
          </w:p>
        </w:tc>
      </w:tr>
      <w:tr w:rsidR="00880679" w:rsidRPr="00F935FF" w:rsidTr="00701BD4">
        <w:tc>
          <w:tcPr>
            <w:tcW w:w="5000" w:type="pct"/>
            <w:gridSpan w:val="4"/>
          </w:tcPr>
          <w:p w:rsidR="00880679" w:rsidRPr="000A2294" w:rsidRDefault="00880679" w:rsidP="00880679">
            <w:pPr>
              <w:jc w:val="both"/>
              <w:rPr>
                <w:sz w:val="20"/>
                <w:lang w:val="fr-CA"/>
              </w:rPr>
            </w:pPr>
            <w:r w:rsidRPr="000A2294">
              <w:rPr>
                <w:color w:val="000000"/>
                <w:sz w:val="20"/>
                <w:lang w:val="fr-CA"/>
              </w:rPr>
              <w:t xml:space="preserve">Dans le cadre d’un recours collectif projeté, M. Lee (intimé/requérant) a présenté une requête au titre de l’art. 140.8 de la </w:t>
            </w:r>
            <w:r w:rsidRPr="000A2294">
              <w:rPr>
                <w:i/>
                <w:iCs/>
                <w:sz w:val="20"/>
                <w:lang w:val="fr-CA"/>
              </w:rPr>
              <w:t>Securities Act</w:t>
            </w:r>
            <w:r w:rsidRPr="000A2294">
              <w:rPr>
                <w:sz w:val="20"/>
                <w:lang w:val="fr-CA"/>
              </w:rPr>
              <w:t xml:space="preserve">, R.S.B.C. 1996, c. 418 (« Loi »), dans le but d’obtenir l’autorisation d’intenter une action liée au marché secondaire contre les demandeurs en vertu de l’art. 140.3 de la Loi. Les requérants dans l’action allèguent l’existence d’un stratagème par lequel certains consultants ont acheté des actions émises par voie de placements privés à un prix d’achat ayant été communiqué publiquement, mais à la condition non divulguée que les demandeurs leur paient des frais de consultation pour des services n’ayant jamais été fournis. Ils font valoir que les sommes totales ayant été versées aux consultants constituaient une part importante du produit de ces placements privés et que, par conséquent, les demandeurs ont présenté de façon inexacte à la fois le cours auquel les actions avaient été acquises et le produit dont disposaient les émetteurs comme fonds de roulement. </w:t>
            </w:r>
            <w:r w:rsidRPr="000A2294">
              <w:rPr>
                <w:color w:val="000000"/>
                <w:sz w:val="20"/>
                <w:lang w:val="fr-CA"/>
              </w:rPr>
              <w:t>Ils</w:t>
            </w:r>
            <w:r w:rsidRPr="000A2294">
              <w:rPr>
                <w:sz w:val="20"/>
                <w:lang w:val="fr-CA"/>
              </w:rPr>
              <w:t xml:space="preserve"> </w:t>
            </w:r>
            <w:r w:rsidRPr="000A2294">
              <w:rPr>
                <w:color w:val="000000"/>
                <w:sz w:val="20"/>
                <w:lang w:val="fr-CA"/>
              </w:rPr>
              <w:t xml:space="preserve">prétendent avoir subi des pertes en achetant des actions à un prix plus élevé que celui qu’ils auraient payé en l’absence d’un tel stratagème, lequel a par ailleurs entraîné un effritement du cours après avoir été divulgué. Ils ont réclamé des dommages-intérêts ou la restitution du produit au moyen de demandes faisant état de complot illégal, de dommages-intérêts prévus par la loi et de déclaration inexacte à caractère frauduleux ou négligent. La Cour suprême de la Colombie-Britannique a accordé l’autorisation d’introduire l’action prévue par la Loi au motif qu’elle était intentée de bonne foi et qu’il existait une possibilité raisonnable que les </w:t>
            </w:r>
            <w:r w:rsidRPr="000A2294">
              <w:rPr>
                <w:sz w:val="20"/>
                <w:lang w:val="fr-CA"/>
              </w:rPr>
              <w:t xml:space="preserve">requérants </w:t>
            </w:r>
            <w:r w:rsidRPr="000A2294">
              <w:rPr>
                <w:color w:val="000000"/>
                <w:sz w:val="20"/>
                <w:lang w:val="fr-CA"/>
              </w:rPr>
              <w:t xml:space="preserve">aient gain de cause. La Cour d’appel de la Colombie-Britannique a rejeté l’appel des demandeurs. </w:t>
            </w:r>
          </w:p>
        </w:tc>
      </w:tr>
      <w:tr w:rsidR="00880679" w:rsidRPr="00F935FF" w:rsidTr="00701BD4">
        <w:tc>
          <w:tcPr>
            <w:tcW w:w="5000" w:type="pct"/>
            <w:gridSpan w:val="4"/>
          </w:tcPr>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22 novembre 2021</w:t>
            </w:r>
          </w:p>
          <w:p w:rsidR="00880679" w:rsidRPr="000A2294" w:rsidRDefault="00880679" w:rsidP="00880679">
            <w:pPr>
              <w:jc w:val="both"/>
              <w:rPr>
                <w:sz w:val="20"/>
                <w:lang w:val="fr-CA"/>
              </w:rPr>
            </w:pPr>
            <w:r w:rsidRPr="000A2294">
              <w:rPr>
                <w:sz w:val="20"/>
                <w:lang w:val="fr-CA"/>
              </w:rPr>
              <w:t>Cour suprême de la Colombie-Britannique</w:t>
            </w:r>
          </w:p>
          <w:p w:rsidR="00880679" w:rsidRPr="000A2294" w:rsidRDefault="00880679" w:rsidP="00880679">
            <w:pPr>
              <w:jc w:val="both"/>
              <w:rPr>
                <w:sz w:val="20"/>
                <w:lang w:val="fr-CA"/>
              </w:rPr>
            </w:pPr>
            <w:r w:rsidRPr="000A2294">
              <w:rPr>
                <w:sz w:val="20"/>
                <w:lang w:val="fr-CA"/>
              </w:rPr>
              <w:t>(Juge Wilkinson)</w:t>
            </w:r>
          </w:p>
          <w:p w:rsidR="00880679" w:rsidRPr="000A2294" w:rsidRDefault="00F935FF" w:rsidP="00880679">
            <w:pPr>
              <w:jc w:val="both"/>
              <w:rPr>
                <w:rStyle w:val="Hyperlink"/>
                <w:color w:val="4F81BD" w:themeColor="accent1"/>
                <w:sz w:val="20"/>
                <w:lang w:val="fr-CA"/>
              </w:rPr>
            </w:pPr>
            <w:hyperlink r:id="rId116" w:history="1">
              <w:r w:rsidR="00880679" w:rsidRPr="000A2294">
                <w:rPr>
                  <w:rStyle w:val="Hyperlink"/>
                  <w:color w:val="4F81BD" w:themeColor="accent1"/>
                  <w:sz w:val="20"/>
                  <w:lang w:val="fr-CA"/>
                </w:rPr>
                <w:t>2021 BCSC 2275</w:t>
              </w:r>
            </w:hyperlink>
          </w:p>
          <w:p w:rsidR="00880679" w:rsidRPr="000A2294" w:rsidRDefault="00880679" w:rsidP="00880679">
            <w:pPr>
              <w:jc w:val="both"/>
              <w:rPr>
                <w:sz w:val="20"/>
                <w:lang w:val="fr-CA"/>
              </w:rPr>
            </w:pP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La requête en autorisation pour intenter des actions liées au marché secondaire contre les demandeurs de Kootenay et d’autres parties est accueillie.</w:t>
            </w: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13 septembre 2022</w:t>
            </w:r>
          </w:p>
          <w:p w:rsidR="00880679" w:rsidRPr="000A2294" w:rsidRDefault="00880679" w:rsidP="00880679">
            <w:pPr>
              <w:jc w:val="both"/>
              <w:rPr>
                <w:sz w:val="20"/>
                <w:lang w:val="fr-CA"/>
              </w:rPr>
            </w:pPr>
            <w:r w:rsidRPr="000A2294">
              <w:rPr>
                <w:sz w:val="20"/>
                <w:lang w:val="fr-CA"/>
              </w:rPr>
              <w:t>Cour d’appel de la Colombie-Britannique</w:t>
            </w:r>
          </w:p>
          <w:p w:rsidR="00880679" w:rsidRPr="000A2294" w:rsidRDefault="00880679" w:rsidP="00880679">
            <w:pPr>
              <w:jc w:val="both"/>
              <w:rPr>
                <w:sz w:val="20"/>
                <w:lang w:val="fr-CA"/>
              </w:rPr>
            </w:pPr>
            <w:r w:rsidRPr="000A2294">
              <w:rPr>
                <w:sz w:val="20"/>
                <w:lang w:val="fr-CA"/>
              </w:rPr>
              <w:t>(Vancouver)</w:t>
            </w:r>
          </w:p>
          <w:p w:rsidR="00880679" w:rsidRPr="000A2294" w:rsidRDefault="00880679" w:rsidP="00880679">
            <w:pPr>
              <w:jc w:val="both"/>
              <w:rPr>
                <w:sz w:val="20"/>
                <w:lang w:val="fr-CA"/>
              </w:rPr>
            </w:pPr>
            <w:r w:rsidRPr="000A2294">
              <w:rPr>
                <w:sz w:val="20"/>
                <w:lang w:val="fr-CA"/>
              </w:rPr>
              <w:t>(Juges Willcock, Abrioux et Marchand)</w:t>
            </w:r>
          </w:p>
          <w:p w:rsidR="00880679" w:rsidRPr="000A2294" w:rsidRDefault="00F935FF" w:rsidP="00880679">
            <w:pPr>
              <w:jc w:val="both"/>
              <w:rPr>
                <w:rStyle w:val="Hyperlink"/>
                <w:color w:val="4F81BD" w:themeColor="accent1"/>
                <w:sz w:val="20"/>
                <w:lang w:val="fr-CA"/>
              </w:rPr>
            </w:pPr>
            <w:hyperlink r:id="rId117" w:history="1">
              <w:r w:rsidR="00880679" w:rsidRPr="000A2294">
                <w:rPr>
                  <w:rStyle w:val="Hyperlink"/>
                  <w:color w:val="4F81BD" w:themeColor="accent1"/>
                  <w:sz w:val="20"/>
                  <w:lang w:val="fr-CA"/>
                </w:rPr>
                <w:t>2022 BCCA 307</w:t>
              </w:r>
            </w:hyperlink>
          </w:p>
          <w:p w:rsidR="00880679" w:rsidRPr="000A2294" w:rsidRDefault="00880679" w:rsidP="00880679">
            <w:pPr>
              <w:jc w:val="both"/>
              <w:rPr>
                <w:sz w:val="20"/>
                <w:lang w:val="fr-CA"/>
              </w:rPr>
            </w:pP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Appel des demandeurs de Kootenay rejeté.</w:t>
            </w:r>
          </w:p>
          <w:p w:rsidR="00880679" w:rsidRPr="000A2294" w:rsidRDefault="00880679" w:rsidP="00880679">
            <w:pPr>
              <w:jc w:val="both"/>
              <w:rPr>
                <w:sz w:val="20"/>
                <w:lang w:val="fr-CA"/>
              </w:rPr>
            </w:pPr>
          </w:p>
        </w:tc>
      </w:tr>
      <w:tr w:rsidR="00880679" w:rsidRPr="000A2294" w:rsidTr="00701BD4">
        <w:tc>
          <w:tcPr>
            <w:tcW w:w="2427" w:type="pct"/>
            <w:gridSpan w:val="2"/>
          </w:tcPr>
          <w:p w:rsidR="00880679" w:rsidRPr="000A2294" w:rsidRDefault="00880679" w:rsidP="00880679">
            <w:pPr>
              <w:keepNext/>
              <w:keepLines/>
              <w:jc w:val="both"/>
              <w:rPr>
                <w:sz w:val="20"/>
                <w:lang w:val="fr-CA"/>
              </w:rPr>
            </w:pPr>
            <w:r w:rsidRPr="000A2294">
              <w:rPr>
                <w:sz w:val="20"/>
                <w:lang w:val="fr-CA"/>
              </w:rPr>
              <w:t>14 novembre 2022</w:t>
            </w:r>
          </w:p>
          <w:p w:rsidR="00880679" w:rsidRPr="000A2294" w:rsidRDefault="00880679" w:rsidP="00880679">
            <w:pPr>
              <w:jc w:val="both"/>
              <w:rPr>
                <w:sz w:val="20"/>
                <w:lang w:val="fr-CA"/>
              </w:rPr>
            </w:pPr>
            <w:r w:rsidRPr="000A2294">
              <w:rPr>
                <w:sz w:val="20"/>
                <w:lang w:val="fr-CA"/>
              </w:rPr>
              <w:t>Cour suprême du Canada</w:t>
            </w:r>
          </w:p>
          <w:p w:rsidR="00880679" w:rsidRPr="000A2294" w:rsidRDefault="00880679" w:rsidP="00880679">
            <w:pPr>
              <w:jc w:val="both"/>
              <w:rPr>
                <w:sz w:val="20"/>
                <w:lang w:val="fr-CA"/>
              </w:rPr>
            </w:pP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Demande d’autorisation d’appel déposée.</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23 janvier 2023</w:t>
            </w:r>
          </w:p>
          <w:p w:rsidR="00880679" w:rsidRPr="000A2294" w:rsidRDefault="00880679" w:rsidP="00880679">
            <w:pPr>
              <w:jc w:val="both"/>
              <w:rPr>
                <w:sz w:val="20"/>
                <w:lang w:val="fr-CA"/>
              </w:rPr>
            </w:pPr>
            <w:r w:rsidRPr="000A2294">
              <w:rPr>
                <w:sz w:val="20"/>
                <w:lang w:val="fr-CA"/>
              </w:rPr>
              <w:t>Cour d’appel de la Colombie-Britannique</w:t>
            </w:r>
          </w:p>
          <w:p w:rsidR="00880679" w:rsidRPr="000A2294" w:rsidRDefault="00880679" w:rsidP="00880679">
            <w:pPr>
              <w:jc w:val="both"/>
              <w:rPr>
                <w:sz w:val="20"/>
                <w:lang w:val="fr-CA"/>
              </w:rPr>
            </w:pPr>
            <w:r w:rsidRPr="000A2294">
              <w:rPr>
                <w:sz w:val="20"/>
                <w:lang w:val="fr-CA"/>
              </w:rPr>
              <w:t>(Vancouver)</w:t>
            </w:r>
          </w:p>
          <w:p w:rsidR="00880679" w:rsidRPr="000A2294" w:rsidRDefault="00880679" w:rsidP="00880679">
            <w:pPr>
              <w:jc w:val="both"/>
              <w:rPr>
                <w:sz w:val="20"/>
                <w:lang w:val="fr-CA"/>
              </w:rPr>
            </w:pPr>
            <w:r w:rsidRPr="000A2294">
              <w:rPr>
                <w:sz w:val="20"/>
                <w:lang w:val="fr-CA"/>
              </w:rPr>
              <w:t>(Juges Willcock, Abrioux et Marchand)</w:t>
            </w:r>
          </w:p>
          <w:p w:rsidR="00880679" w:rsidRPr="000A2294" w:rsidRDefault="00F935FF" w:rsidP="00880679">
            <w:pPr>
              <w:jc w:val="both"/>
              <w:rPr>
                <w:b/>
                <w:bCs/>
                <w:sz w:val="20"/>
                <w:lang w:val="fr-CA"/>
              </w:rPr>
            </w:pPr>
            <w:hyperlink r:id="rId118" w:history="1">
              <w:r w:rsidR="00880679" w:rsidRPr="000A2294">
                <w:rPr>
                  <w:rStyle w:val="Hyperlink"/>
                  <w:rFonts w:eastAsiaTheme="majorEastAsia"/>
                  <w:color w:val="4F81BD" w:themeColor="accent1"/>
                  <w:sz w:val="20"/>
                  <w:lang w:val="fr-CA"/>
                </w:rPr>
                <w:t>2023 BCCA 32</w:t>
              </w:r>
            </w:hyperlink>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Dépôt de motifs supplémentaires pour confirmer certains points dans l’arrêt du 13 septembre, notamment à l’égard de décisions concernant des affidavits.</w:t>
            </w:r>
          </w:p>
        </w:tc>
      </w:tr>
    </w:tbl>
    <w:p w:rsidR="00880679" w:rsidRPr="000A2294" w:rsidRDefault="00880679" w:rsidP="00880679">
      <w:pPr>
        <w:jc w:val="both"/>
        <w:rPr>
          <w:sz w:val="20"/>
          <w:lang w:val="fr-CA"/>
        </w:rPr>
      </w:pPr>
    </w:p>
    <w:p w:rsidR="00E20752" w:rsidRPr="000A2294" w:rsidRDefault="00F935FF" w:rsidP="00880679">
      <w:pPr>
        <w:widowControl w:val="0"/>
        <w:jc w:val="both"/>
        <w:rPr>
          <w:sz w:val="20"/>
          <w:lang w:val="fr-CA"/>
        </w:rPr>
      </w:pPr>
      <w:r>
        <w:rPr>
          <w:sz w:val="20"/>
        </w:rPr>
        <w:pict>
          <v:rect id="_x0000_i1064" style="width:2in;height:1pt" o:hrpct="0" o:hralign="center" o:hrstd="t" o:hrnoshade="t" o:hr="t" fillcolor="black [3213]" stroked="f"/>
        </w:pict>
      </w:r>
    </w:p>
    <w:p w:rsidR="00880679" w:rsidRPr="000A2294" w:rsidRDefault="00880679" w:rsidP="0088067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0A2294" w:rsidTr="00701BD4">
        <w:tc>
          <w:tcPr>
            <w:tcW w:w="543" w:type="pct"/>
          </w:tcPr>
          <w:p w:rsidR="00880679" w:rsidRPr="000A2294" w:rsidRDefault="00880679" w:rsidP="00880679">
            <w:pPr>
              <w:jc w:val="both"/>
              <w:rPr>
                <w:sz w:val="20"/>
              </w:rPr>
            </w:pPr>
            <w:r w:rsidRPr="000A2294">
              <w:rPr>
                <w:rStyle w:val="SCCFileNumberChar"/>
                <w:sz w:val="20"/>
                <w:szCs w:val="20"/>
              </w:rPr>
              <w:t>40458</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Affinor Growers Inc. v. Michael Tietz, Duane Loewen, Mike Dotto, Robin Lee</w:t>
            </w:r>
          </w:p>
          <w:p w:rsidR="00880679" w:rsidRPr="000A2294" w:rsidRDefault="00880679" w:rsidP="00880679">
            <w:pPr>
              <w:jc w:val="both"/>
              <w:rPr>
                <w:sz w:val="20"/>
              </w:rPr>
            </w:pPr>
            <w:r w:rsidRPr="000A2294">
              <w:rPr>
                <w:sz w:val="20"/>
              </w:rPr>
              <w:t>(B.C.) (Civil) (By Leave)</w:t>
            </w:r>
          </w:p>
        </w:tc>
      </w:tr>
      <w:tr w:rsidR="00880679" w:rsidRPr="000A2294" w:rsidTr="00701BD4">
        <w:tc>
          <w:tcPr>
            <w:tcW w:w="5000" w:type="pct"/>
            <w:gridSpan w:val="4"/>
          </w:tcPr>
          <w:p w:rsidR="00880679" w:rsidRPr="000A2294" w:rsidRDefault="00880679" w:rsidP="00880679">
            <w:pPr>
              <w:jc w:val="both"/>
              <w:rPr>
                <w:sz w:val="20"/>
              </w:rPr>
            </w:pPr>
            <w:r w:rsidRPr="000A2294">
              <w:rPr>
                <w:sz w:val="20"/>
              </w:rPr>
              <w:t xml:space="preserve">Evidence — Hearsay — Case splitting — Securities — Does this Court’s standard of credible evidence in support of the reasonable possibility of success test require admission of hearsay or speculative evidence in a petition for leave to bring a statutory secondary market liability claim — Does the balancing related to granting leave to bring a statutory secondary market misrepresentation claim require a potential plaintiff to put its best foot forward — </w:t>
            </w:r>
            <w:r w:rsidRPr="000A2294">
              <w:rPr>
                <w:i/>
                <w:iCs/>
                <w:sz w:val="20"/>
              </w:rPr>
              <w:t>Securities Act</w:t>
            </w:r>
            <w:r w:rsidRPr="000A2294">
              <w:rPr>
                <w:sz w:val="20"/>
              </w:rPr>
              <w:t>, R.S.B.C. 1996, c. 418, ss. 140.3 and 140.8.</w:t>
            </w:r>
          </w:p>
          <w:p w:rsidR="00880679" w:rsidRPr="000A2294" w:rsidRDefault="00880679" w:rsidP="00880679">
            <w:pPr>
              <w:jc w:val="both"/>
              <w:rPr>
                <w:sz w:val="20"/>
              </w:rPr>
            </w:pPr>
          </w:p>
        </w:tc>
      </w:tr>
      <w:tr w:rsidR="00880679" w:rsidRPr="000A2294" w:rsidTr="00701BD4">
        <w:tc>
          <w:tcPr>
            <w:tcW w:w="5000" w:type="pct"/>
            <w:gridSpan w:val="4"/>
          </w:tcPr>
          <w:p w:rsidR="00880679" w:rsidRPr="000A2294" w:rsidRDefault="00880679" w:rsidP="00880679">
            <w:pPr>
              <w:jc w:val="both"/>
              <w:rPr>
                <w:sz w:val="20"/>
              </w:rPr>
            </w:pPr>
            <w:r w:rsidRPr="000A2294">
              <w:rPr>
                <w:color w:val="000000"/>
                <w:sz w:val="20"/>
              </w:rPr>
              <w:t>As part of a proposed class action, the respondents/plaintiffs</w:t>
            </w:r>
            <w:r w:rsidRPr="000A2294">
              <w:rPr>
                <w:sz w:val="20"/>
              </w:rPr>
              <w:t xml:space="preserve"> brought a petition under s. 140.8 of the</w:t>
            </w:r>
            <w:r w:rsidRPr="000A2294">
              <w:rPr>
                <w:i/>
                <w:iCs/>
                <w:sz w:val="20"/>
              </w:rPr>
              <w:t xml:space="preserve"> Securities Act</w:t>
            </w:r>
            <w:r w:rsidRPr="000A2294">
              <w:rPr>
                <w:sz w:val="20"/>
              </w:rPr>
              <w:t>, R.S.B.C. 1996, c. 418 (the “</w:t>
            </w:r>
            <w:r w:rsidRPr="000A2294">
              <w:rPr>
                <w:i/>
                <w:sz w:val="20"/>
              </w:rPr>
              <w:t>Act</w:t>
            </w:r>
            <w:r w:rsidRPr="000A2294">
              <w:rPr>
                <w:sz w:val="20"/>
              </w:rPr>
              <w:t xml:space="preserve">”) for leave to commence a secondary market claim against the applicant under s. 140.3 of the </w:t>
            </w:r>
            <w:r w:rsidRPr="000A2294">
              <w:rPr>
                <w:i/>
                <w:sz w:val="20"/>
              </w:rPr>
              <w:t>Act</w:t>
            </w:r>
            <w:r w:rsidRPr="000A2294">
              <w:rPr>
                <w:sz w:val="20"/>
              </w:rPr>
              <w:t xml:space="preserve">. </w:t>
            </w:r>
            <w:r w:rsidRPr="000A2294">
              <w:rPr>
                <w:color w:val="000000"/>
                <w:sz w:val="20"/>
              </w:rPr>
              <w:t xml:space="preserve">The plaintiffs alleged a scheme whereby certain consultants bought shares issued by private placement at a publicly disclosed share price on the undisclosed condition that the applicant would pay them consulting fees for services that were never rendered. The plaintiffs alleged that the total amounts paid to the consultants constituted a significant portion of the proceeds of the private placements and, as a result, the applicant had misrepresented both the price at which the shares were acquired and the proceeds available to the issuer as working capital. The plaintiffs alleged they suffered losses by purchasing shares at a price higher than they would have paid but for the scheme, which later eroded in value after it was disclosed. The plaintiffs sought damages or disgorgement of proceeds on the basis of claims of unlawful conspiracy, statutory damages and fraudulent or negligent misrepresentation. The </w:t>
            </w:r>
            <w:r w:rsidRPr="000A2294">
              <w:rPr>
                <w:sz w:val="20"/>
              </w:rPr>
              <w:t xml:space="preserve">Supreme Court of British Columbia dismissed leave on the basis that, while the </w:t>
            </w:r>
            <w:r w:rsidRPr="000A2294">
              <w:rPr>
                <w:color w:val="000000"/>
                <w:sz w:val="20"/>
              </w:rPr>
              <w:t xml:space="preserve">action was being brought in good faith, given the exclusion of certain evidence, the evidence supporting the claims was thin and there was not a reasonable possibility that the action will be resolved in the plaintiffs’ favour. The </w:t>
            </w:r>
            <w:r w:rsidRPr="000A2294">
              <w:rPr>
                <w:sz w:val="20"/>
              </w:rPr>
              <w:t xml:space="preserve">Court of Appeal for British Columbia allowed the appeal in part, reversing previous orders to now admit some affidavit evidence and to grant leave to commence a </w:t>
            </w:r>
            <w:r w:rsidRPr="000A2294">
              <w:rPr>
                <w:color w:val="000000"/>
                <w:sz w:val="20"/>
              </w:rPr>
              <w:t xml:space="preserve">statutory claim for secondary market misrepresentation </w:t>
            </w:r>
            <w:r w:rsidRPr="000A2294">
              <w:rPr>
                <w:sz w:val="20"/>
              </w:rPr>
              <w:t>against the applicant.</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November 22, 2021</w:t>
            </w:r>
          </w:p>
          <w:p w:rsidR="00880679" w:rsidRPr="000A2294" w:rsidRDefault="00880679" w:rsidP="00880679">
            <w:pPr>
              <w:jc w:val="both"/>
              <w:rPr>
                <w:sz w:val="20"/>
              </w:rPr>
            </w:pPr>
            <w:r w:rsidRPr="000A2294">
              <w:rPr>
                <w:sz w:val="20"/>
              </w:rPr>
              <w:t>Supreme Court of British Columbia</w:t>
            </w:r>
          </w:p>
          <w:p w:rsidR="00880679" w:rsidRPr="000A2294" w:rsidRDefault="00880679" w:rsidP="00880679">
            <w:pPr>
              <w:jc w:val="both"/>
              <w:rPr>
                <w:sz w:val="20"/>
              </w:rPr>
            </w:pPr>
            <w:r w:rsidRPr="000A2294">
              <w:rPr>
                <w:sz w:val="20"/>
              </w:rPr>
              <w:t>(Wilkinson J.)</w:t>
            </w:r>
          </w:p>
          <w:p w:rsidR="00880679" w:rsidRPr="000A2294" w:rsidRDefault="00F935FF" w:rsidP="00880679">
            <w:pPr>
              <w:jc w:val="both"/>
              <w:rPr>
                <w:rStyle w:val="Hyperlink"/>
                <w:color w:val="000000"/>
                <w:sz w:val="20"/>
              </w:rPr>
            </w:pPr>
            <w:hyperlink r:id="rId119" w:history="1">
              <w:r w:rsidR="00880679" w:rsidRPr="000A2294">
                <w:rPr>
                  <w:rStyle w:val="Hyperlink"/>
                  <w:color w:val="4F81BD" w:themeColor="accent1"/>
                  <w:sz w:val="20"/>
                </w:rPr>
                <w:t>2021 BCSC 2275</w:t>
              </w:r>
            </w:hyperlink>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Leave to bring secondary market claims against the applicant dismissed.</w:t>
            </w:r>
          </w:p>
        </w:tc>
      </w:tr>
      <w:tr w:rsidR="00880679" w:rsidRPr="000A2294" w:rsidTr="00701BD4">
        <w:tc>
          <w:tcPr>
            <w:tcW w:w="2427" w:type="pct"/>
            <w:gridSpan w:val="2"/>
          </w:tcPr>
          <w:p w:rsidR="00880679" w:rsidRPr="000A2294" w:rsidRDefault="00880679" w:rsidP="00880679">
            <w:pPr>
              <w:jc w:val="both"/>
              <w:rPr>
                <w:sz w:val="20"/>
              </w:rPr>
            </w:pPr>
            <w:r w:rsidRPr="000A2294">
              <w:rPr>
                <w:sz w:val="20"/>
              </w:rPr>
              <w:t>September 13, 2022</w:t>
            </w:r>
          </w:p>
          <w:p w:rsidR="00880679" w:rsidRPr="000A2294" w:rsidRDefault="00880679" w:rsidP="00880679">
            <w:pPr>
              <w:jc w:val="both"/>
              <w:rPr>
                <w:sz w:val="20"/>
              </w:rPr>
            </w:pPr>
            <w:r w:rsidRPr="000A2294">
              <w:rPr>
                <w:sz w:val="20"/>
              </w:rPr>
              <w:t xml:space="preserve">Court of Appeal for British Columbia </w:t>
            </w:r>
          </w:p>
          <w:p w:rsidR="00880679" w:rsidRPr="000A2294" w:rsidRDefault="00880679" w:rsidP="00880679">
            <w:pPr>
              <w:jc w:val="both"/>
              <w:rPr>
                <w:sz w:val="20"/>
              </w:rPr>
            </w:pPr>
            <w:r w:rsidRPr="000A2294">
              <w:rPr>
                <w:sz w:val="20"/>
              </w:rPr>
              <w:t>(Vancouver)</w:t>
            </w:r>
          </w:p>
          <w:p w:rsidR="00880679" w:rsidRPr="000A2294" w:rsidRDefault="00880679" w:rsidP="00880679">
            <w:pPr>
              <w:jc w:val="both"/>
              <w:rPr>
                <w:sz w:val="20"/>
              </w:rPr>
            </w:pPr>
            <w:r w:rsidRPr="000A2294">
              <w:rPr>
                <w:sz w:val="20"/>
              </w:rPr>
              <w:t>(Willcock, Abrioux and Marchand JJ.A.)</w:t>
            </w:r>
          </w:p>
          <w:p w:rsidR="00880679" w:rsidRPr="000A2294" w:rsidRDefault="00F935FF" w:rsidP="00880679">
            <w:pPr>
              <w:jc w:val="both"/>
              <w:rPr>
                <w:sz w:val="20"/>
              </w:rPr>
            </w:pPr>
            <w:hyperlink r:id="rId120" w:history="1">
              <w:r w:rsidR="00880679" w:rsidRPr="000A2294">
                <w:rPr>
                  <w:rStyle w:val="Hyperlink"/>
                  <w:color w:val="4F81BD" w:themeColor="accent1"/>
                  <w:sz w:val="20"/>
                </w:rPr>
                <w:t>2022 BCCA 307</w:t>
              </w:r>
            </w:hyperlink>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color w:val="000000"/>
                <w:sz w:val="20"/>
              </w:rPr>
            </w:pPr>
            <w:r w:rsidRPr="000A2294">
              <w:rPr>
                <w:sz w:val="20"/>
              </w:rPr>
              <w:t xml:space="preserve">Appeals by the plaintiffs/respondents allowed in part: previous evidentiary orders reversed to allow certain affidavits to be </w:t>
            </w:r>
            <w:r w:rsidRPr="000A2294">
              <w:rPr>
                <w:color w:val="000000"/>
                <w:sz w:val="20"/>
              </w:rPr>
              <w:t>admitted into evidence and leave granted to advance the statutory claim for secondary market misrepresentation against the Affinor applicants.</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November 14, 2022</w:t>
            </w:r>
          </w:p>
          <w:p w:rsidR="00880679" w:rsidRPr="000A2294" w:rsidRDefault="00880679" w:rsidP="00880679">
            <w:pPr>
              <w:jc w:val="both"/>
              <w:rPr>
                <w:sz w:val="20"/>
              </w:rPr>
            </w:pPr>
            <w:r w:rsidRPr="000A2294">
              <w:rPr>
                <w:sz w:val="20"/>
              </w:rPr>
              <w:t>Supreme Court of Canada</w:t>
            </w:r>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Application for leave to appeal filed.</w:t>
            </w:r>
          </w:p>
        </w:tc>
      </w:tr>
      <w:tr w:rsidR="00880679" w:rsidRPr="000A2294" w:rsidTr="00701BD4">
        <w:tc>
          <w:tcPr>
            <w:tcW w:w="2427" w:type="pct"/>
            <w:gridSpan w:val="2"/>
          </w:tcPr>
          <w:p w:rsidR="00880679" w:rsidRPr="000A2294" w:rsidRDefault="00880679" w:rsidP="00880679">
            <w:pPr>
              <w:jc w:val="both"/>
              <w:rPr>
                <w:sz w:val="20"/>
              </w:rPr>
            </w:pPr>
            <w:r w:rsidRPr="000A2294">
              <w:rPr>
                <w:sz w:val="20"/>
              </w:rPr>
              <w:t>January 23, 2023</w:t>
            </w:r>
          </w:p>
          <w:p w:rsidR="00880679" w:rsidRPr="000A2294" w:rsidRDefault="00880679" w:rsidP="00880679">
            <w:pPr>
              <w:jc w:val="both"/>
              <w:rPr>
                <w:sz w:val="20"/>
              </w:rPr>
            </w:pPr>
            <w:r w:rsidRPr="000A2294">
              <w:rPr>
                <w:sz w:val="20"/>
              </w:rPr>
              <w:t xml:space="preserve">Court of Appeal for British Columbia </w:t>
            </w:r>
          </w:p>
          <w:p w:rsidR="00880679" w:rsidRPr="000A2294" w:rsidRDefault="00880679" w:rsidP="00880679">
            <w:pPr>
              <w:jc w:val="both"/>
              <w:rPr>
                <w:sz w:val="20"/>
              </w:rPr>
            </w:pPr>
            <w:r w:rsidRPr="000A2294">
              <w:rPr>
                <w:sz w:val="20"/>
              </w:rPr>
              <w:t>(Vancouver)</w:t>
            </w:r>
          </w:p>
          <w:p w:rsidR="00880679" w:rsidRPr="000A2294" w:rsidRDefault="00880679" w:rsidP="00880679">
            <w:pPr>
              <w:jc w:val="both"/>
              <w:rPr>
                <w:sz w:val="20"/>
              </w:rPr>
            </w:pPr>
            <w:r w:rsidRPr="000A2294">
              <w:rPr>
                <w:sz w:val="20"/>
              </w:rPr>
              <w:t>(Willcock, Abrioux and Marchand JJ.A)</w:t>
            </w:r>
          </w:p>
          <w:p w:rsidR="00880679" w:rsidRPr="000A2294" w:rsidRDefault="00F935FF" w:rsidP="00880679">
            <w:pPr>
              <w:jc w:val="both"/>
              <w:rPr>
                <w:sz w:val="20"/>
              </w:rPr>
            </w:pPr>
            <w:hyperlink r:id="rId121" w:history="1">
              <w:r w:rsidR="00880679" w:rsidRPr="000A2294">
                <w:rPr>
                  <w:rStyle w:val="Hyperlink"/>
                  <w:color w:val="4F81BD" w:themeColor="accent1"/>
                  <w:sz w:val="20"/>
                </w:rPr>
                <w:t>2023 BCCA 32</w:t>
              </w:r>
            </w:hyperlink>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 xml:space="preserve">Supplemental reasons released confirming </w:t>
            </w:r>
            <w:r w:rsidRPr="000A2294">
              <w:rPr>
                <w:color w:val="000000"/>
                <w:sz w:val="20"/>
              </w:rPr>
              <w:t>aspects of the Sept. 13 judgment, including</w:t>
            </w:r>
            <w:r w:rsidRPr="000A2294">
              <w:rPr>
                <w:sz w:val="20"/>
              </w:rPr>
              <w:t xml:space="preserve"> that lower court orders were set aside </w:t>
            </w:r>
            <w:r w:rsidRPr="000A2294">
              <w:rPr>
                <w:color w:val="000000"/>
                <w:sz w:val="20"/>
              </w:rPr>
              <w:t>in order to admit into evidence certain affidavits.</w:t>
            </w:r>
          </w:p>
        </w:tc>
      </w:tr>
    </w:tbl>
    <w:p w:rsidR="00880679" w:rsidRPr="000A2294" w:rsidRDefault="00880679" w:rsidP="00880679">
      <w:pPr>
        <w:jc w:val="both"/>
        <w:rPr>
          <w:sz w:val="20"/>
        </w:rPr>
      </w:pPr>
    </w:p>
    <w:p w:rsidR="00880679" w:rsidRPr="000A2294" w:rsidRDefault="00F935FF" w:rsidP="00880679">
      <w:pPr>
        <w:jc w:val="both"/>
        <w:rPr>
          <w:sz w:val="20"/>
        </w:rPr>
      </w:pPr>
      <w:r>
        <w:rPr>
          <w:sz w:val="20"/>
        </w:rPr>
        <w:pict>
          <v:rect id="_x0000_i1065" style="width:2in;height:1pt" o:hrpct="0" o:hralign="center" o:hrstd="t" o:hrnoshade="t" o:hr="t" fillcolor="black [3213]" stroked="f"/>
        </w:pict>
      </w:r>
    </w:p>
    <w:p w:rsidR="00880679" w:rsidRPr="000A2294" w:rsidRDefault="00880679" w:rsidP="008806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F935FF" w:rsidTr="00701BD4">
        <w:tc>
          <w:tcPr>
            <w:tcW w:w="543" w:type="pct"/>
          </w:tcPr>
          <w:p w:rsidR="00880679" w:rsidRPr="000A2294" w:rsidRDefault="00880679" w:rsidP="00880679">
            <w:pPr>
              <w:jc w:val="both"/>
              <w:rPr>
                <w:sz w:val="20"/>
                <w:lang w:val="fr-CA"/>
              </w:rPr>
            </w:pPr>
            <w:r w:rsidRPr="000A2294">
              <w:rPr>
                <w:rStyle w:val="SCCFileNumberChar"/>
                <w:sz w:val="20"/>
                <w:szCs w:val="20"/>
                <w:lang w:val="fr-CA"/>
              </w:rPr>
              <w:t>40458</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Affinor Growers Inc. c. Michael Tietz, Duane Loewen, Mike Dotto, Robin Lee</w:t>
            </w:r>
          </w:p>
          <w:p w:rsidR="00880679" w:rsidRPr="000A2294" w:rsidRDefault="00880679" w:rsidP="00880679">
            <w:pPr>
              <w:jc w:val="both"/>
              <w:rPr>
                <w:sz w:val="20"/>
                <w:lang w:val="fr-CA"/>
              </w:rPr>
            </w:pPr>
            <w:r w:rsidRPr="000A2294">
              <w:rPr>
                <w:sz w:val="20"/>
                <w:lang w:val="fr-CA"/>
              </w:rPr>
              <w:t>(C.-B.) (Civile) (Sur autorisation)</w:t>
            </w:r>
          </w:p>
        </w:tc>
      </w:tr>
      <w:tr w:rsidR="00880679" w:rsidRPr="00F935FF" w:rsidTr="00701BD4">
        <w:tc>
          <w:tcPr>
            <w:tcW w:w="5000" w:type="pct"/>
            <w:gridSpan w:val="4"/>
          </w:tcPr>
          <w:p w:rsidR="00880679" w:rsidRPr="000A2294" w:rsidRDefault="00880679" w:rsidP="00880679">
            <w:pPr>
              <w:jc w:val="both"/>
              <w:rPr>
                <w:sz w:val="20"/>
                <w:lang w:val="fr-CA"/>
              </w:rPr>
            </w:pPr>
            <w:r w:rsidRPr="000A2294">
              <w:rPr>
                <w:sz w:val="20"/>
                <w:lang w:val="fr-CA"/>
              </w:rPr>
              <w:t xml:space="preserve">Preuve — Ouï-dire — Scission de la preuve — Valeurs mobilières — En ce qui a trait à la présentation d’éléments de preuve crédibles pour satisfaire au critère de la possibilité raisonnable d’avoir gain de cause, la norme établie par la Cour requiert-elle l’admission de ouï-dire ou d’éléments de preuve conjecturaux dans le cas d’une requête en autorisation pour intenter une action en responsabilité prévue par la loi à l’égard du marché secondaire? — La mise en balance permettant de décider s’il y a lieu d’accorder l’autorisation d’intenter une action prévue par la loi pour présentation inexacte des faits sur le marché secondaire exige-t-elle que le requérant expose ses meilleurs arguments? — </w:t>
            </w:r>
            <w:r w:rsidRPr="000A2294">
              <w:rPr>
                <w:i/>
                <w:iCs/>
                <w:sz w:val="20"/>
                <w:lang w:val="fr-CA"/>
              </w:rPr>
              <w:t>Securities Act</w:t>
            </w:r>
            <w:r w:rsidRPr="000A2294">
              <w:rPr>
                <w:sz w:val="20"/>
                <w:lang w:val="fr-CA"/>
              </w:rPr>
              <w:t>, R.S.B.C. 1996, c. 418, art. 140.3 et 140.8.</w:t>
            </w:r>
          </w:p>
          <w:p w:rsidR="00880679" w:rsidRPr="000A2294" w:rsidRDefault="00880679" w:rsidP="00880679">
            <w:pPr>
              <w:jc w:val="both"/>
              <w:rPr>
                <w:sz w:val="20"/>
                <w:lang w:val="fr-CA"/>
              </w:rPr>
            </w:pPr>
          </w:p>
        </w:tc>
      </w:tr>
      <w:tr w:rsidR="00880679" w:rsidRPr="00F935FF" w:rsidTr="00701BD4">
        <w:tc>
          <w:tcPr>
            <w:tcW w:w="5000" w:type="pct"/>
            <w:gridSpan w:val="4"/>
          </w:tcPr>
          <w:p w:rsidR="00880679" w:rsidRPr="000A2294" w:rsidRDefault="00880679" w:rsidP="00880679">
            <w:pPr>
              <w:jc w:val="both"/>
              <w:rPr>
                <w:sz w:val="20"/>
                <w:lang w:val="fr-CA"/>
              </w:rPr>
            </w:pPr>
            <w:r w:rsidRPr="000A2294">
              <w:rPr>
                <w:color w:val="000000"/>
                <w:sz w:val="20"/>
                <w:lang w:val="fr-CA"/>
              </w:rPr>
              <w:t xml:space="preserve">Dans le cadre d’un recours collectif projeté, les intimés/requérants ont présenté une requête au titre de l’art. 140.8 de la </w:t>
            </w:r>
            <w:r w:rsidRPr="000A2294">
              <w:rPr>
                <w:i/>
                <w:iCs/>
                <w:color w:val="000000"/>
                <w:sz w:val="20"/>
                <w:lang w:val="fr-CA"/>
              </w:rPr>
              <w:t>Securities Act</w:t>
            </w:r>
            <w:r w:rsidRPr="000A2294">
              <w:rPr>
                <w:color w:val="000000"/>
                <w:sz w:val="20"/>
                <w:lang w:val="fr-CA"/>
              </w:rPr>
              <w:t>, R.S.B.C. 1996, c. 418 (« Loi »), dans le but d’obtenir l’autorisation d’intenter une action liée au marché secondaire contre la demanderesse en vertu de l’art. 140.3 de la Loi.</w:t>
            </w:r>
            <w:r w:rsidRPr="000A2294">
              <w:rPr>
                <w:sz w:val="20"/>
                <w:lang w:val="fr-CA"/>
              </w:rPr>
              <w:t xml:space="preserve"> </w:t>
            </w:r>
            <w:r w:rsidRPr="000A2294">
              <w:rPr>
                <w:color w:val="000000"/>
                <w:sz w:val="20"/>
                <w:lang w:val="fr-CA"/>
              </w:rPr>
              <w:t xml:space="preserve">Les requérants ont allégué l’existence d’un stratagème par lequel certains consultants avaient acheté des actions émises par voie de placements privés à un prix d’achat ayant été communiqué publiquement, mais à la condition non divulguée que la demanderesse leur paie des frais de consultation pour des services n’ayant jamais été fournis. Ils ont fait valoir que les sommes totales versées aux consultants constituaient une part importante du produit de ces placements privés et que, par conséquent, la demanderesse avait présenté de façon inexacte à la fois le cours auquel les actions avaient été acquises et le produit dont disposait l’émetteur comme fonds de roulement. Ils ont prétendu avoir subi des pertes en achetant des actions à un prix plus élevé que celui qu’ils auraient payé en l’absence d’un tel stratagème, lequel a par ailleurs entraîné un effritement du cours après avoir été divulgué. Ils ont réclamé des dommages-intérêts ou la restitution du produit au moyen de demandes faisant état de complot illégal, de dommages-intérêts prévus par la loi et de déclaration inexacte à caractère frauduleux ou négligent. La Cour suprême de la Colombie-Britannique a refusé d’accorder l’autorisation, car selon elle, même s’il s’agissait d’une action intentée de bonne foi, la preuve à l’appui des demandes était faible en raison de l’exclusion de certains éléments et il n’existait aucune possibilité raisonnable que les requérants aient gain de cause. La Cour d’appel de la Colombie-Britannique a accueilli l’appel en partie : elle a infirmé certaines ordonnances antérieures pour permettre l’admission d’éléments de preuve par affidavit et accorder l’autorisation d’intenter une action en vertu de la Loi contre la demanderesse pour présentation inexacte des faits sur le marché secondaire. </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22 novembre 2021</w:t>
            </w:r>
          </w:p>
          <w:p w:rsidR="00880679" w:rsidRPr="000A2294" w:rsidRDefault="00880679" w:rsidP="00880679">
            <w:pPr>
              <w:jc w:val="both"/>
              <w:rPr>
                <w:sz w:val="20"/>
                <w:lang w:val="fr-CA"/>
              </w:rPr>
            </w:pPr>
            <w:r w:rsidRPr="000A2294">
              <w:rPr>
                <w:sz w:val="20"/>
                <w:lang w:val="fr-CA"/>
              </w:rPr>
              <w:t>Cour suprême de la Colombie-Britannique</w:t>
            </w:r>
          </w:p>
          <w:p w:rsidR="00880679" w:rsidRPr="000A2294" w:rsidRDefault="00880679" w:rsidP="00880679">
            <w:pPr>
              <w:jc w:val="both"/>
              <w:rPr>
                <w:sz w:val="20"/>
                <w:lang w:val="fr-CA"/>
              </w:rPr>
            </w:pPr>
            <w:r w:rsidRPr="000A2294">
              <w:rPr>
                <w:sz w:val="20"/>
                <w:lang w:val="fr-CA"/>
              </w:rPr>
              <w:t>(Juge Wilkinson)</w:t>
            </w:r>
          </w:p>
          <w:p w:rsidR="00880679" w:rsidRPr="000A2294" w:rsidRDefault="00F935FF" w:rsidP="00880679">
            <w:pPr>
              <w:jc w:val="both"/>
              <w:rPr>
                <w:rStyle w:val="Hyperlink"/>
                <w:color w:val="000000"/>
                <w:sz w:val="20"/>
                <w:lang w:val="fr-CA"/>
              </w:rPr>
            </w:pPr>
            <w:hyperlink r:id="rId122" w:history="1">
              <w:r w:rsidR="00880679" w:rsidRPr="000A2294">
                <w:rPr>
                  <w:rStyle w:val="Hyperlink"/>
                  <w:color w:val="4F81BD" w:themeColor="accent1"/>
                  <w:sz w:val="20"/>
                  <w:lang w:val="fr-CA"/>
                </w:rPr>
                <w:t>2021 BCSC 2275</w:t>
              </w:r>
            </w:hyperlink>
          </w:p>
          <w:p w:rsidR="00880679" w:rsidRPr="000A2294" w:rsidRDefault="00880679" w:rsidP="00880679">
            <w:pPr>
              <w:jc w:val="both"/>
              <w:rPr>
                <w:sz w:val="20"/>
                <w:lang w:val="fr-CA"/>
              </w:rPr>
            </w:pP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 xml:space="preserve">Rejet de la requête en autorisation pour intenter des actions liées au marché secondaire contre la demanderesse. </w:t>
            </w: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13 septembre 2022</w:t>
            </w:r>
          </w:p>
          <w:p w:rsidR="00880679" w:rsidRPr="000A2294" w:rsidRDefault="00880679" w:rsidP="00880679">
            <w:pPr>
              <w:jc w:val="both"/>
              <w:rPr>
                <w:sz w:val="20"/>
                <w:lang w:val="fr-CA"/>
              </w:rPr>
            </w:pPr>
            <w:r w:rsidRPr="000A2294">
              <w:rPr>
                <w:sz w:val="20"/>
                <w:lang w:val="fr-CA"/>
              </w:rPr>
              <w:t>Cour d’appel de la Colombie-Britannique</w:t>
            </w:r>
          </w:p>
          <w:p w:rsidR="00880679" w:rsidRPr="000A2294" w:rsidRDefault="00880679" w:rsidP="00880679">
            <w:pPr>
              <w:jc w:val="both"/>
              <w:rPr>
                <w:sz w:val="20"/>
                <w:lang w:val="fr-CA"/>
              </w:rPr>
            </w:pPr>
            <w:r w:rsidRPr="000A2294">
              <w:rPr>
                <w:sz w:val="20"/>
                <w:lang w:val="fr-CA"/>
              </w:rPr>
              <w:t>(Vancouver)</w:t>
            </w:r>
          </w:p>
          <w:p w:rsidR="00880679" w:rsidRPr="000A2294" w:rsidRDefault="00880679" w:rsidP="00880679">
            <w:pPr>
              <w:jc w:val="both"/>
              <w:rPr>
                <w:sz w:val="20"/>
                <w:lang w:val="fr-CA"/>
              </w:rPr>
            </w:pPr>
            <w:r w:rsidRPr="000A2294">
              <w:rPr>
                <w:sz w:val="20"/>
                <w:lang w:val="fr-CA"/>
              </w:rPr>
              <w:t>(Juges Willcock, Abrioux et Marchand)</w:t>
            </w:r>
          </w:p>
          <w:p w:rsidR="00880679" w:rsidRPr="000A2294" w:rsidRDefault="00F935FF" w:rsidP="00880679">
            <w:pPr>
              <w:jc w:val="both"/>
              <w:rPr>
                <w:sz w:val="20"/>
                <w:lang w:val="fr-CA"/>
              </w:rPr>
            </w:pPr>
            <w:hyperlink r:id="rId123" w:history="1">
              <w:r w:rsidR="00880679" w:rsidRPr="000A2294">
                <w:rPr>
                  <w:rStyle w:val="Hyperlink"/>
                  <w:color w:val="4F81BD" w:themeColor="accent1"/>
                  <w:sz w:val="20"/>
                  <w:lang w:val="fr-CA"/>
                </w:rPr>
                <w:t>2022 BCCA 307</w:t>
              </w:r>
            </w:hyperlink>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color w:val="000000"/>
                <w:sz w:val="20"/>
                <w:lang w:val="fr-CA"/>
              </w:rPr>
            </w:pPr>
            <w:r w:rsidRPr="000A2294">
              <w:rPr>
                <w:sz w:val="20"/>
                <w:lang w:val="fr-CA"/>
              </w:rPr>
              <w:t>Appels des requérants/intimés accueillis en partie : la cour infirme des ordonnances antérieures relatives à la preuve pour permettre l’admission de certains affidavits et elle accorde l’autorisation d’intenter l’action prévue par la Loi contre les demandeurs d’Affinor pour présentation inexacte des faits sur le marché secondaire.</w:t>
            </w:r>
          </w:p>
          <w:p w:rsidR="00880679" w:rsidRPr="000A2294" w:rsidRDefault="00880679" w:rsidP="00880679">
            <w:pPr>
              <w:jc w:val="both"/>
              <w:rPr>
                <w:sz w:val="20"/>
                <w:lang w:val="fr-CA"/>
              </w:rPr>
            </w:pPr>
          </w:p>
        </w:tc>
      </w:tr>
      <w:tr w:rsidR="00880679" w:rsidRPr="000A2294" w:rsidTr="00701BD4">
        <w:tc>
          <w:tcPr>
            <w:tcW w:w="2427" w:type="pct"/>
            <w:gridSpan w:val="2"/>
          </w:tcPr>
          <w:p w:rsidR="00880679" w:rsidRPr="000A2294" w:rsidRDefault="00880679" w:rsidP="00880679">
            <w:pPr>
              <w:jc w:val="both"/>
              <w:rPr>
                <w:sz w:val="20"/>
                <w:lang w:val="fr-CA"/>
              </w:rPr>
            </w:pPr>
            <w:r w:rsidRPr="000A2294">
              <w:rPr>
                <w:sz w:val="20"/>
                <w:lang w:val="fr-CA"/>
              </w:rPr>
              <w:t>14 novembre 2022</w:t>
            </w:r>
          </w:p>
          <w:p w:rsidR="00880679" w:rsidRPr="000A2294" w:rsidRDefault="00880679" w:rsidP="00880679">
            <w:pPr>
              <w:jc w:val="both"/>
              <w:rPr>
                <w:sz w:val="20"/>
                <w:lang w:val="fr-CA"/>
              </w:rPr>
            </w:pPr>
            <w:r w:rsidRPr="000A2294">
              <w:rPr>
                <w:sz w:val="20"/>
                <w:lang w:val="fr-CA"/>
              </w:rPr>
              <w:t>Cour suprême du Canada</w:t>
            </w:r>
          </w:p>
          <w:p w:rsidR="00880679" w:rsidRPr="000A2294" w:rsidRDefault="00880679" w:rsidP="00880679">
            <w:pPr>
              <w:jc w:val="both"/>
              <w:rPr>
                <w:sz w:val="20"/>
                <w:lang w:val="fr-CA"/>
              </w:rPr>
            </w:pP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Demande d’autorisation d’appel déposée.</w:t>
            </w:r>
          </w:p>
        </w:tc>
      </w:tr>
      <w:tr w:rsidR="00880679" w:rsidRPr="00F935FF" w:rsidTr="00701BD4">
        <w:tc>
          <w:tcPr>
            <w:tcW w:w="2427" w:type="pct"/>
            <w:gridSpan w:val="2"/>
          </w:tcPr>
          <w:p w:rsidR="00880679" w:rsidRPr="000A2294" w:rsidRDefault="00880679" w:rsidP="00880679">
            <w:pPr>
              <w:keepNext/>
              <w:keepLines/>
              <w:jc w:val="both"/>
              <w:rPr>
                <w:sz w:val="20"/>
                <w:lang w:val="fr-CA"/>
              </w:rPr>
            </w:pPr>
            <w:r w:rsidRPr="000A2294">
              <w:rPr>
                <w:sz w:val="20"/>
                <w:lang w:val="fr-CA"/>
              </w:rPr>
              <w:t>23 janvier 2023</w:t>
            </w:r>
          </w:p>
          <w:p w:rsidR="00880679" w:rsidRPr="000A2294" w:rsidRDefault="00880679" w:rsidP="00880679">
            <w:pPr>
              <w:keepNext/>
              <w:keepLines/>
              <w:jc w:val="both"/>
              <w:rPr>
                <w:sz w:val="20"/>
                <w:lang w:val="fr-CA"/>
              </w:rPr>
            </w:pPr>
            <w:r w:rsidRPr="000A2294">
              <w:rPr>
                <w:sz w:val="20"/>
                <w:lang w:val="fr-CA"/>
              </w:rPr>
              <w:t>Cour d’appel de la Colombie-Britannique</w:t>
            </w:r>
          </w:p>
          <w:p w:rsidR="00880679" w:rsidRPr="000A2294" w:rsidRDefault="00880679" w:rsidP="00880679">
            <w:pPr>
              <w:jc w:val="both"/>
              <w:rPr>
                <w:sz w:val="20"/>
                <w:lang w:val="fr-CA"/>
              </w:rPr>
            </w:pPr>
            <w:r w:rsidRPr="000A2294">
              <w:rPr>
                <w:sz w:val="20"/>
                <w:lang w:val="fr-CA"/>
              </w:rPr>
              <w:t>(Vancouver)</w:t>
            </w:r>
          </w:p>
          <w:p w:rsidR="00880679" w:rsidRPr="000A2294" w:rsidRDefault="00880679" w:rsidP="00880679">
            <w:pPr>
              <w:jc w:val="both"/>
              <w:rPr>
                <w:sz w:val="20"/>
                <w:lang w:val="fr-CA"/>
              </w:rPr>
            </w:pPr>
            <w:r w:rsidRPr="000A2294">
              <w:rPr>
                <w:sz w:val="20"/>
                <w:lang w:val="fr-CA"/>
              </w:rPr>
              <w:t>(Juges Willcock, Abrioux et Marchand)</w:t>
            </w:r>
          </w:p>
          <w:p w:rsidR="00880679" w:rsidRPr="000A2294" w:rsidRDefault="00F935FF" w:rsidP="00880679">
            <w:pPr>
              <w:jc w:val="both"/>
              <w:rPr>
                <w:sz w:val="20"/>
                <w:lang w:val="fr-CA"/>
              </w:rPr>
            </w:pPr>
            <w:hyperlink r:id="rId124" w:history="1">
              <w:r w:rsidR="00880679" w:rsidRPr="000A2294">
                <w:rPr>
                  <w:rStyle w:val="Hyperlink"/>
                  <w:color w:val="4F81BD" w:themeColor="accent1"/>
                  <w:sz w:val="20"/>
                  <w:lang w:val="fr-CA"/>
                </w:rPr>
                <w:t>2023 BCCA 32</w:t>
              </w:r>
            </w:hyperlink>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Dépôt de motifs supplémentaires pour confirmer certains points dans l’arrêt du 13 septembre, notamment que l’annulation des ordonnances antérieures visait à permettre l’admission en preuve de certains affidavits</w:t>
            </w:r>
            <w:r w:rsidRPr="000A2294">
              <w:rPr>
                <w:color w:val="000000"/>
                <w:sz w:val="20"/>
                <w:lang w:val="fr-CA"/>
              </w:rPr>
              <w:t>.</w:t>
            </w:r>
          </w:p>
        </w:tc>
      </w:tr>
    </w:tbl>
    <w:p w:rsidR="00880679" w:rsidRPr="000A2294" w:rsidRDefault="00880679" w:rsidP="00880679">
      <w:pPr>
        <w:jc w:val="both"/>
        <w:rPr>
          <w:sz w:val="20"/>
          <w:lang w:val="fr-CA"/>
        </w:rPr>
      </w:pPr>
    </w:p>
    <w:p w:rsidR="00880679" w:rsidRPr="000A2294" w:rsidRDefault="00F935FF" w:rsidP="00880679">
      <w:pPr>
        <w:jc w:val="both"/>
        <w:rPr>
          <w:sz w:val="20"/>
          <w:lang w:val="fr-CA"/>
        </w:rPr>
      </w:pPr>
      <w:r>
        <w:rPr>
          <w:sz w:val="20"/>
        </w:rPr>
        <w:pict>
          <v:rect id="_x0000_i1066" style="width:2in;height:1pt" o:hrpct="0" o:hralign="center" o:hrstd="t" o:hrnoshade="t" o:hr="t" fillcolor="black [3213]" stroked="f"/>
        </w:pict>
      </w:r>
    </w:p>
    <w:p w:rsidR="00880679" w:rsidRPr="000A2294" w:rsidRDefault="00880679" w:rsidP="0088067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0A2294" w:rsidTr="00701BD4">
        <w:tc>
          <w:tcPr>
            <w:tcW w:w="543" w:type="pct"/>
          </w:tcPr>
          <w:p w:rsidR="00880679" w:rsidRPr="000A2294" w:rsidRDefault="00880679" w:rsidP="00880679">
            <w:pPr>
              <w:jc w:val="both"/>
              <w:rPr>
                <w:sz w:val="20"/>
              </w:rPr>
            </w:pPr>
            <w:r w:rsidRPr="000A2294">
              <w:rPr>
                <w:rStyle w:val="SCCFileNumberChar"/>
                <w:sz w:val="20"/>
                <w:szCs w:val="20"/>
              </w:rPr>
              <w:t>40459</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Sam Chaudhry v. Michael Tietz, Duane Loewen, Mike Dotto, Robin Lee</w:t>
            </w:r>
          </w:p>
          <w:p w:rsidR="00880679" w:rsidRPr="000A2294" w:rsidRDefault="00880679" w:rsidP="00880679">
            <w:pPr>
              <w:jc w:val="both"/>
              <w:rPr>
                <w:sz w:val="20"/>
              </w:rPr>
            </w:pPr>
            <w:r w:rsidRPr="000A2294">
              <w:rPr>
                <w:sz w:val="20"/>
              </w:rPr>
              <w:t>(B.C.) (Civil) (By Leave)</w:t>
            </w:r>
          </w:p>
        </w:tc>
      </w:tr>
      <w:tr w:rsidR="00880679" w:rsidRPr="000A2294" w:rsidTr="00701BD4">
        <w:tc>
          <w:tcPr>
            <w:tcW w:w="5000" w:type="pct"/>
            <w:gridSpan w:val="4"/>
          </w:tcPr>
          <w:p w:rsidR="00880679" w:rsidRPr="000A2294" w:rsidRDefault="00880679" w:rsidP="00880679">
            <w:pPr>
              <w:jc w:val="both"/>
              <w:rPr>
                <w:sz w:val="20"/>
              </w:rPr>
            </w:pPr>
            <w:r w:rsidRPr="000A2294">
              <w:rPr>
                <w:sz w:val="20"/>
              </w:rPr>
              <w:t xml:space="preserve">Evidence — Hearsay — Case splitting — Securities — Does the Court’s standard of credible evidence in support of the reasonable possibility of success test require admission of hearsay or speculative evidence in a petition for leave to bring a statutory secondary market liability claim — Does the balancing related to granting leave to bring a statutory secondary market misrepresentation claim require a potential plaintiff to put its best foot forward – </w:t>
            </w:r>
            <w:hyperlink r:id="rId125" w:history="1">
              <w:r w:rsidRPr="000A2294">
                <w:rPr>
                  <w:i/>
                  <w:iCs/>
                  <w:sz w:val="20"/>
                </w:rPr>
                <w:t>Securities Act</w:t>
              </w:r>
            </w:hyperlink>
            <w:r w:rsidRPr="000A2294">
              <w:rPr>
                <w:sz w:val="20"/>
              </w:rPr>
              <w:t>, R.S.B.C. 1996, c. 418, ss. 140.3 and 140.8.</w:t>
            </w:r>
          </w:p>
        </w:tc>
      </w:tr>
      <w:tr w:rsidR="00880679" w:rsidRPr="000A2294" w:rsidTr="00701BD4">
        <w:tc>
          <w:tcPr>
            <w:tcW w:w="5000" w:type="pct"/>
            <w:gridSpan w:val="4"/>
          </w:tcPr>
          <w:p w:rsidR="00880679" w:rsidRPr="000A2294" w:rsidRDefault="00880679" w:rsidP="00880679">
            <w:pPr>
              <w:pStyle w:val="SCCBanSummary"/>
              <w:rPr>
                <w:sz w:val="20"/>
                <w:szCs w:val="20"/>
              </w:rPr>
            </w:pPr>
          </w:p>
          <w:p w:rsidR="00880679" w:rsidRPr="000A2294" w:rsidRDefault="00880679" w:rsidP="00880679">
            <w:pPr>
              <w:jc w:val="both"/>
              <w:rPr>
                <w:sz w:val="20"/>
              </w:rPr>
            </w:pPr>
            <w:r w:rsidRPr="000A2294">
              <w:rPr>
                <w:color w:val="000000"/>
                <w:sz w:val="20"/>
              </w:rPr>
              <w:t>As part of a proposed class action, the respondents/plaintiffs</w:t>
            </w:r>
            <w:r w:rsidRPr="000A2294">
              <w:rPr>
                <w:sz w:val="20"/>
              </w:rPr>
              <w:t xml:space="preserve"> brought a petition under s. 140.8 of the</w:t>
            </w:r>
            <w:hyperlink r:id="rId126" w:history="1">
              <w:r w:rsidRPr="000A2294">
                <w:rPr>
                  <w:i/>
                  <w:iCs/>
                  <w:sz w:val="20"/>
                </w:rPr>
                <w:t xml:space="preserve"> </w:t>
              </w:r>
              <w:hyperlink r:id="rId127" w:history="1">
                <w:r w:rsidRPr="000A2294">
                  <w:rPr>
                    <w:i/>
                    <w:iCs/>
                    <w:sz w:val="20"/>
                  </w:rPr>
                  <w:t>Securities Act</w:t>
                </w:r>
              </w:hyperlink>
              <w:r w:rsidRPr="000A2294">
                <w:rPr>
                  <w:sz w:val="20"/>
                </w:rPr>
                <w:t>, R.S.B.C. 1996, c. 418 (the “</w:t>
              </w:r>
              <w:r w:rsidRPr="000A2294">
                <w:rPr>
                  <w:i/>
                  <w:sz w:val="20"/>
                </w:rPr>
                <w:t>Act</w:t>
              </w:r>
              <w:r w:rsidRPr="000A2294">
                <w:rPr>
                  <w:sz w:val="20"/>
                </w:rPr>
                <w:t>”)</w:t>
              </w:r>
            </w:hyperlink>
            <w:r w:rsidRPr="000A2294">
              <w:rPr>
                <w:color w:val="027ABB"/>
                <w:sz w:val="20"/>
              </w:rPr>
              <w:t xml:space="preserve"> </w:t>
            </w:r>
            <w:r w:rsidRPr="000A2294">
              <w:rPr>
                <w:sz w:val="20"/>
              </w:rPr>
              <w:t xml:space="preserve">for leave to commence a secondary market claim against the applicant under s. 140.3 of the </w:t>
            </w:r>
            <w:r w:rsidRPr="000A2294">
              <w:rPr>
                <w:i/>
                <w:sz w:val="20"/>
              </w:rPr>
              <w:t>Act</w:t>
            </w:r>
            <w:r w:rsidRPr="000A2294">
              <w:rPr>
                <w:sz w:val="20"/>
              </w:rPr>
              <w:t xml:space="preserve">. </w:t>
            </w:r>
            <w:r w:rsidRPr="000A2294">
              <w:rPr>
                <w:color w:val="000000"/>
                <w:sz w:val="20"/>
              </w:rPr>
              <w:t xml:space="preserve">The plaintiffs alleged a scheme whereby certain consultants bought shares issued by private placement at a publicly disclosed share price on the undisclosed condition that the issuer would pay them consulting fees for services that were never rendered. The plaintiffs alleged that the total amounts paid to the consultants constituted a significant portion of the proceeds of the private placements and, as a result, the applicant had misrepresented both the price at which the shares were acquired and the proceeds available to the issuer as working capital. The plaintiffs alleged they suffered losses by purchasing shares at a price higher than they would have paid but for the scheme, which later eroded in value after it was disclosed. The plaintiffs sought damages or disgorgement of proceeds on the basis of claims of unlawful conspiracy, statutory damages and fraudulent or negligent misrepresentation. The </w:t>
            </w:r>
            <w:r w:rsidRPr="000A2294">
              <w:rPr>
                <w:sz w:val="20"/>
              </w:rPr>
              <w:t xml:space="preserve">Supreme Court of British Columbia dismissed leave on the basis that, while the </w:t>
            </w:r>
            <w:r w:rsidRPr="000A2294">
              <w:rPr>
                <w:color w:val="000000"/>
                <w:sz w:val="20"/>
              </w:rPr>
              <w:t xml:space="preserve">action was being brought in good faith, given the exclusion of certain evidence pursuant to previous court decisions, the evidence supporting the claims was thin and there was not a reasonable possibility that the action will be resolved in the plaintiffs’ favour. The </w:t>
            </w:r>
            <w:r w:rsidRPr="000A2294">
              <w:rPr>
                <w:sz w:val="20"/>
              </w:rPr>
              <w:t xml:space="preserve">Court of Appeal for British Columbia allowed the appeal in part, reversing previous orders to now admit some affidavit evidence and to grant leave to commence a </w:t>
            </w:r>
            <w:r w:rsidRPr="000A2294">
              <w:rPr>
                <w:color w:val="000000"/>
                <w:sz w:val="20"/>
              </w:rPr>
              <w:t xml:space="preserve">statutory claim for secondary market misrepresentation </w:t>
            </w:r>
            <w:r w:rsidRPr="000A2294">
              <w:rPr>
                <w:sz w:val="20"/>
              </w:rPr>
              <w:t>against the applicant.</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November 22, 2021</w:t>
            </w:r>
          </w:p>
          <w:p w:rsidR="00880679" w:rsidRPr="000A2294" w:rsidRDefault="00880679" w:rsidP="00880679">
            <w:pPr>
              <w:jc w:val="both"/>
              <w:rPr>
                <w:sz w:val="20"/>
              </w:rPr>
            </w:pPr>
            <w:r w:rsidRPr="000A2294">
              <w:rPr>
                <w:sz w:val="20"/>
              </w:rPr>
              <w:t>Supreme Court of British Columbia</w:t>
            </w:r>
          </w:p>
          <w:p w:rsidR="00880679" w:rsidRPr="000A2294" w:rsidRDefault="00880679" w:rsidP="00880679">
            <w:pPr>
              <w:jc w:val="both"/>
              <w:rPr>
                <w:sz w:val="20"/>
              </w:rPr>
            </w:pPr>
            <w:r w:rsidRPr="000A2294">
              <w:rPr>
                <w:sz w:val="20"/>
              </w:rPr>
              <w:t>(Wilkinson J.)</w:t>
            </w:r>
          </w:p>
          <w:p w:rsidR="00880679" w:rsidRPr="000A2294" w:rsidRDefault="00F935FF" w:rsidP="00880679">
            <w:pPr>
              <w:jc w:val="both"/>
              <w:rPr>
                <w:rStyle w:val="Hyperlink"/>
                <w:sz w:val="20"/>
              </w:rPr>
            </w:pPr>
            <w:hyperlink r:id="rId128" w:history="1">
              <w:r w:rsidR="00880679" w:rsidRPr="000A2294">
                <w:rPr>
                  <w:rStyle w:val="Hyperlink"/>
                  <w:sz w:val="20"/>
                </w:rPr>
                <w:t>2021 BCSC 2275</w:t>
              </w:r>
            </w:hyperlink>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Leave to bring secondary market claims against the Affinor applicants dismissed.</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September 13, 2022</w:t>
            </w:r>
          </w:p>
          <w:p w:rsidR="00880679" w:rsidRPr="000A2294" w:rsidRDefault="00880679" w:rsidP="00880679">
            <w:pPr>
              <w:jc w:val="both"/>
              <w:rPr>
                <w:sz w:val="20"/>
              </w:rPr>
            </w:pPr>
            <w:r w:rsidRPr="000A2294">
              <w:rPr>
                <w:sz w:val="20"/>
              </w:rPr>
              <w:t xml:space="preserve">Court of Appeal for British Columbia </w:t>
            </w:r>
          </w:p>
          <w:p w:rsidR="00880679" w:rsidRPr="000A2294" w:rsidRDefault="00880679" w:rsidP="00880679">
            <w:pPr>
              <w:jc w:val="both"/>
              <w:rPr>
                <w:sz w:val="20"/>
              </w:rPr>
            </w:pPr>
            <w:r w:rsidRPr="000A2294">
              <w:rPr>
                <w:sz w:val="20"/>
              </w:rPr>
              <w:t>(Vancouver)</w:t>
            </w:r>
          </w:p>
          <w:p w:rsidR="00880679" w:rsidRPr="000A2294" w:rsidRDefault="00880679" w:rsidP="00880679">
            <w:pPr>
              <w:jc w:val="both"/>
              <w:rPr>
                <w:sz w:val="20"/>
              </w:rPr>
            </w:pPr>
            <w:r w:rsidRPr="000A2294">
              <w:rPr>
                <w:sz w:val="20"/>
              </w:rPr>
              <w:t>(Willcock, Abrioux and Marchand JJ.A)</w:t>
            </w:r>
          </w:p>
          <w:p w:rsidR="00880679" w:rsidRPr="000A2294" w:rsidRDefault="00F935FF" w:rsidP="00880679">
            <w:pPr>
              <w:jc w:val="both"/>
              <w:rPr>
                <w:sz w:val="20"/>
                <w:u w:val="single"/>
              </w:rPr>
            </w:pPr>
            <w:hyperlink r:id="rId129" w:history="1">
              <w:r w:rsidR="00880679" w:rsidRPr="000A2294">
                <w:rPr>
                  <w:rStyle w:val="Hyperlink"/>
                  <w:color w:val="4F81BD" w:themeColor="accent1"/>
                  <w:sz w:val="20"/>
                </w:rPr>
                <w:t>2022 BCCA 307</w:t>
              </w:r>
            </w:hyperlink>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color w:val="000000"/>
                <w:sz w:val="20"/>
              </w:rPr>
            </w:pPr>
            <w:r w:rsidRPr="000A2294">
              <w:rPr>
                <w:sz w:val="20"/>
              </w:rPr>
              <w:t xml:space="preserve">Appeals by plaintiffs/respondents allowed in part: previous evidentiary orders reversed to allow certain affidavits to be </w:t>
            </w:r>
            <w:r w:rsidRPr="000A2294">
              <w:rPr>
                <w:color w:val="000000"/>
                <w:sz w:val="20"/>
              </w:rPr>
              <w:t>admitted into evidence and leave granted to advance the statutory claim for secondary market misrepresentation against Affinor applicants.</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November 14, 2022</w:t>
            </w:r>
          </w:p>
          <w:p w:rsidR="00880679" w:rsidRPr="000A2294" w:rsidRDefault="00880679" w:rsidP="00880679">
            <w:pPr>
              <w:jc w:val="both"/>
              <w:rPr>
                <w:sz w:val="20"/>
              </w:rPr>
            </w:pPr>
            <w:r w:rsidRPr="000A2294">
              <w:rPr>
                <w:sz w:val="20"/>
              </w:rPr>
              <w:t>Supreme Court of Canada</w:t>
            </w:r>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Application for leave to appeal filed.</w:t>
            </w:r>
          </w:p>
        </w:tc>
      </w:tr>
      <w:tr w:rsidR="00880679" w:rsidRPr="000A2294" w:rsidTr="00701BD4">
        <w:tc>
          <w:tcPr>
            <w:tcW w:w="2427" w:type="pct"/>
            <w:gridSpan w:val="2"/>
          </w:tcPr>
          <w:p w:rsidR="00880679" w:rsidRPr="000A2294" w:rsidRDefault="00880679" w:rsidP="00880679">
            <w:pPr>
              <w:jc w:val="both"/>
              <w:rPr>
                <w:sz w:val="20"/>
              </w:rPr>
            </w:pPr>
            <w:r w:rsidRPr="000A2294">
              <w:rPr>
                <w:sz w:val="20"/>
              </w:rPr>
              <w:t>January 23, 2023</w:t>
            </w:r>
          </w:p>
          <w:p w:rsidR="00880679" w:rsidRPr="000A2294" w:rsidRDefault="00880679" w:rsidP="00880679">
            <w:pPr>
              <w:jc w:val="both"/>
              <w:rPr>
                <w:sz w:val="20"/>
              </w:rPr>
            </w:pPr>
            <w:r w:rsidRPr="000A2294">
              <w:rPr>
                <w:sz w:val="20"/>
              </w:rPr>
              <w:t xml:space="preserve">Court of Appeal for British Columbia </w:t>
            </w:r>
          </w:p>
          <w:p w:rsidR="00880679" w:rsidRPr="000A2294" w:rsidRDefault="00880679" w:rsidP="00880679">
            <w:pPr>
              <w:jc w:val="both"/>
              <w:rPr>
                <w:sz w:val="20"/>
              </w:rPr>
            </w:pPr>
            <w:r w:rsidRPr="000A2294">
              <w:rPr>
                <w:sz w:val="20"/>
              </w:rPr>
              <w:t>(Vancouver)</w:t>
            </w:r>
          </w:p>
          <w:p w:rsidR="00880679" w:rsidRPr="000A2294" w:rsidRDefault="00880679" w:rsidP="00880679">
            <w:pPr>
              <w:jc w:val="both"/>
              <w:rPr>
                <w:sz w:val="20"/>
              </w:rPr>
            </w:pPr>
            <w:r w:rsidRPr="000A2294">
              <w:rPr>
                <w:sz w:val="20"/>
              </w:rPr>
              <w:t>(Willcock, Abrioux and Marchand JJ.A)</w:t>
            </w:r>
          </w:p>
          <w:p w:rsidR="00880679" w:rsidRPr="000A2294" w:rsidRDefault="00F935FF" w:rsidP="00880679">
            <w:pPr>
              <w:jc w:val="both"/>
              <w:rPr>
                <w:color w:val="4F81BD" w:themeColor="accent1"/>
                <w:sz w:val="20"/>
                <w:u w:val="single"/>
              </w:rPr>
            </w:pPr>
            <w:hyperlink r:id="rId130" w:history="1">
              <w:r w:rsidR="00880679" w:rsidRPr="000A2294">
                <w:rPr>
                  <w:rStyle w:val="Hyperlink"/>
                  <w:color w:val="4F81BD" w:themeColor="accent1"/>
                  <w:sz w:val="20"/>
                </w:rPr>
                <w:t>2023 BCCA 32</w:t>
              </w:r>
            </w:hyperlink>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 xml:space="preserve">Supplemental reasons released confirming that lower court orders were set aside </w:t>
            </w:r>
            <w:r w:rsidRPr="000A2294">
              <w:rPr>
                <w:color w:val="000000"/>
                <w:sz w:val="20"/>
              </w:rPr>
              <w:t>in order to admit into evidence certain affidavits and that leave was granted to advance the claim for secondary market misrepresentation against Mr. Chaudhry except relating to the March 5, 2018 news release.</w:t>
            </w:r>
          </w:p>
        </w:tc>
      </w:tr>
    </w:tbl>
    <w:p w:rsidR="00880679" w:rsidRPr="000A2294" w:rsidRDefault="00880679" w:rsidP="00880679">
      <w:pPr>
        <w:jc w:val="both"/>
        <w:rPr>
          <w:sz w:val="20"/>
        </w:rPr>
      </w:pPr>
    </w:p>
    <w:p w:rsidR="00880679" w:rsidRPr="000A2294" w:rsidRDefault="00F935FF" w:rsidP="00880679">
      <w:pPr>
        <w:jc w:val="both"/>
        <w:rPr>
          <w:sz w:val="20"/>
        </w:rPr>
      </w:pPr>
      <w:r>
        <w:rPr>
          <w:sz w:val="20"/>
        </w:rPr>
        <w:pict>
          <v:rect id="_x0000_i1067" style="width:2in;height:1pt" o:hrpct="0" o:hralign="center" o:hrstd="t" o:hrnoshade="t" o:hr="t" fillcolor="black [3213]" stroked="f"/>
        </w:pict>
      </w:r>
    </w:p>
    <w:p w:rsidR="00880679" w:rsidRPr="000A2294" w:rsidRDefault="00880679" w:rsidP="008806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F935FF" w:rsidTr="00701BD4">
        <w:tc>
          <w:tcPr>
            <w:tcW w:w="543" w:type="pct"/>
          </w:tcPr>
          <w:p w:rsidR="00880679" w:rsidRPr="000A2294" w:rsidRDefault="00880679" w:rsidP="00880679">
            <w:pPr>
              <w:jc w:val="both"/>
              <w:rPr>
                <w:sz w:val="20"/>
                <w:lang w:val="fr-CA"/>
              </w:rPr>
            </w:pPr>
            <w:r w:rsidRPr="000A2294">
              <w:rPr>
                <w:rStyle w:val="SCCFileNumberChar"/>
                <w:sz w:val="20"/>
                <w:szCs w:val="20"/>
                <w:lang w:val="fr-CA"/>
              </w:rPr>
              <w:t>40459</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Sam Chaudhry c. Michael Tietz, Duane Loewen, Mike Dotto, Robin Lee</w:t>
            </w:r>
          </w:p>
          <w:p w:rsidR="00880679" w:rsidRPr="000A2294" w:rsidRDefault="00880679" w:rsidP="00880679">
            <w:pPr>
              <w:jc w:val="both"/>
              <w:rPr>
                <w:sz w:val="20"/>
                <w:lang w:val="fr-CA"/>
              </w:rPr>
            </w:pPr>
            <w:r w:rsidRPr="000A2294">
              <w:rPr>
                <w:sz w:val="20"/>
                <w:lang w:val="fr-CA"/>
              </w:rPr>
              <w:t>(C.-B.) (Civile) (Sur autorisation)</w:t>
            </w:r>
          </w:p>
        </w:tc>
      </w:tr>
      <w:tr w:rsidR="00880679" w:rsidRPr="00F935FF" w:rsidTr="00701BD4">
        <w:tc>
          <w:tcPr>
            <w:tcW w:w="5000" w:type="pct"/>
            <w:gridSpan w:val="4"/>
          </w:tcPr>
          <w:p w:rsidR="00880679" w:rsidRPr="000A2294" w:rsidRDefault="00880679" w:rsidP="00880679">
            <w:pPr>
              <w:jc w:val="both"/>
              <w:rPr>
                <w:sz w:val="20"/>
                <w:lang w:val="fr-CA"/>
              </w:rPr>
            </w:pPr>
            <w:r w:rsidRPr="000A2294">
              <w:rPr>
                <w:sz w:val="20"/>
                <w:lang w:val="fr-CA"/>
              </w:rPr>
              <w:t xml:space="preserve">Preuve — Ouï-dire — Scission de la preuve — Valeurs mobilières — En ce qui a trait à la présentation d’éléments de preuve crédibles pour satisfaire au critère de la possibilité raisonnable d’avoir gain de cause, la norme établie par la Cour requiert-elle l’admission de ouï-dire ou d’éléments de preuve conjecturaux dans le cas d’une requête en autorisation pour intenter une action en responsabilité prévue par la loi à l’égard du marché secondaire? — La mise en balance permettant de décider s’il y a lieu d’accorder l’autorisation d’intenter une action prévue par la loi pour présentation inexacte des faits sur le marché secondaire exige-t-elle que le requérant expose ses meilleurs arguments? — </w:t>
            </w:r>
            <w:hyperlink r:id="rId131" w:history="1">
              <w:r w:rsidRPr="000A2294">
                <w:rPr>
                  <w:i/>
                  <w:iCs/>
                  <w:sz w:val="20"/>
                  <w:lang w:val="fr-CA"/>
                </w:rPr>
                <w:t>Securities Act</w:t>
              </w:r>
            </w:hyperlink>
            <w:r w:rsidRPr="000A2294">
              <w:rPr>
                <w:sz w:val="20"/>
                <w:lang w:val="fr-CA"/>
              </w:rPr>
              <w:t>, R.S.B.C. 1996, c. 418, art. 140.3 et 140.8.</w:t>
            </w:r>
          </w:p>
        </w:tc>
      </w:tr>
      <w:tr w:rsidR="00880679" w:rsidRPr="00F935FF" w:rsidTr="00701BD4">
        <w:tc>
          <w:tcPr>
            <w:tcW w:w="5000" w:type="pct"/>
            <w:gridSpan w:val="4"/>
          </w:tcPr>
          <w:p w:rsidR="00880679" w:rsidRPr="000A2294" w:rsidRDefault="00880679" w:rsidP="00880679">
            <w:pPr>
              <w:pStyle w:val="SCCBanSummary"/>
              <w:rPr>
                <w:sz w:val="20"/>
                <w:szCs w:val="20"/>
                <w:lang w:val="fr-CA"/>
              </w:rPr>
            </w:pPr>
          </w:p>
          <w:p w:rsidR="00880679" w:rsidRPr="000A2294" w:rsidRDefault="00880679" w:rsidP="00880679">
            <w:pPr>
              <w:jc w:val="both"/>
              <w:rPr>
                <w:sz w:val="20"/>
                <w:lang w:val="fr-CA"/>
              </w:rPr>
            </w:pPr>
            <w:r w:rsidRPr="000A2294">
              <w:rPr>
                <w:color w:val="000000"/>
                <w:sz w:val="20"/>
                <w:lang w:val="fr-CA"/>
              </w:rPr>
              <w:t xml:space="preserve">Dans le cadre d’un recours collectif projeté, les intimés/requérants ont présenté une requête au titre de l’art. 140.8 de la </w:t>
            </w:r>
            <w:r w:rsidRPr="000A2294">
              <w:rPr>
                <w:i/>
                <w:iCs/>
                <w:color w:val="000000"/>
                <w:sz w:val="20"/>
                <w:lang w:val="fr-CA"/>
              </w:rPr>
              <w:t>Securities Act</w:t>
            </w:r>
            <w:r w:rsidRPr="000A2294">
              <w:rPr>
                <w:color w:val="000000"/>
                <w:sz w:val="20"/>
                <w:lang w:val="fr-CA"/>
              </w:rPr>
              <w:t>, R.S.B.C. 1996, c. 418 (« Loi »), dans le but d’obtenir l’autorisation d’intenter une action liée au marché secondaire contre le demandeur en vertu de l’art. 140.3 de la Loi. Les requérants ont allégué l’existence d’un stratagème par lequel certains consultants avaient acheté des actions émises par voie de placements privés à un prix d’achat ayant été communiqué au public, mais à la condition non divulguée que l’émetteur leur paie des frais de consultation pour des services n’ayant jamais été fournis. Ils ont fait valoir que les sommes totales versées aux consultants constituaient une part importante du produit de ces placements privés et que, par conséquent, le demandeur avait présenté de façon inexacte à la fois le cours auquel les actions avaient été acquises et le produit dont disposait l’émetteur comme fonds de roulement. Ils ont prétendu avoir subi des pertes en achetant des actions à un prix plus élevé que celui qu’ils auraient payé en l’absence d’un tel stratagème, lequel a par ailleurs entraîné un effritement du cours après avoir été divulgué. Ils ont réclamé des dommages-intérêts ou la restitution du produit au moyen de demandes faisant état de complot illégal, de dommages-intérêts prévus par la loi et de déclaration inexacte à caractère frauduleux ou négligent. La Cour suprême de la Colombie-Britannique a refusé d’accorder l’autorisation, car selon elle, même s’il s’agissait d’une action intentée de bonne foi, la preuve à l’appui des demandes était faible en raison de l’exclusion de certains éléments dans les décisions antérieures et il n’existait aucune possibilité raisonnable que les requérants aient gain de cause. La Cour d’appel de la Colombie-Britannique a accueilli l’appel en partie : elle a infirmé certaines ordonnances antérieures pour permettre l’admission d’éléments de preuve par affidavit et accorder l’autorisation d’intenter une action en vertu de la Loi contre le demandeur pour présentation inexacte des faits sur le marché secondaire</w:t>
            </w:r>
            <w:r w:rsidRPr="000A2294">
              <w:rPr>
                <w:sz w:val="20"/>
                <w:lang w:val="fr-CA"/>
              </w:rPr>
              <w:t>.</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22 novembre 2021</w:t>
            </w:r>
          </w:p>
          <w:p w:rsidR="00880679" w:rsidRPr="000A2294" w:rsidRDefault="00880679" w:rsidP="00880679">
            <w:pPr>
              <w:jc w:val="both"/>
              <w:rPr>
                <w:sz w:val="20"/>
                <w:lang w:val="fr-CA"/>
              </w:rPr>
            </w:pPr>
            <w:r w:rsidRPr="000A2294">
              <w:rPr>
                <w:sz w:val="20"/>
                <w:lang w:val="fr-CA"/>
              </w:rPr>
              <w:t>Cour suprême de la Colombie-Britannique</w:t>
            </w:r>
          </w:p>
          <w:p w:rsidR="00880679" w:rsidRPr="000A2294" w:rsidRDefault="00880679" w:rsidP="00880679">
            <w:pPr>
              <w:jc w:val="both"/>
              <w:rPr>
                <w:sz w:val="20"/>
                <w:lang w:val="fr-CA"/>
              </w:rPr>
            </w:pPr>
            <w:r w:rsidRPr="000A2294">
              <w:rPr>
                <w:sz w:val="20"/>
                <w:lang w:val="fr-CA"/>
              </w:rPr>
              <w:t>(Juge Wilkinson)</w:t>
            </w:r>
          </w:p>
          <w:p w:rsidR="00880679" w:rsidRPr="000A2294" w:rsidRDefault="00F935FF" w:rsidP="00880679">
            <w:pPr>
              <w:jc w:val="both"/>
              <w:rPr>
                <w:rStyle w:val="Hyperlink"/>
                <w:color w:val="000000"/>
                <w:sz w:val="20"/>
                <w:lang w:val="fr-CA"/>
              </w:rPr>
            </w:pPr>
            <w:hyperlink r:id="rId132" w:history="1">
              <w:r w:rsidR="00880679" w:rsidRPr="000A2294">
                <w:rPr>
                  <w:rStyle w:val="Hyperlink"/>
                  <w:color w:val="4F81BD" w:themeColor="accent1"/>
                  <w:sz w:val="20"/>
                  <w:lang w:val="fr-CA"/>
                </w:rPr>
                <w:t>2021 BCSC 2275</w:t>
              </w:r>
            </w:hyperlink>
          </w:p>
          <w:p w:rsidR="00880679" w:rsidRPr="000A2294" w:rsidRDefault="00880679" w:rsidP="00880679">
            <w:pPr>
              <w:jc w:val="both"/>
              <w:rPr>
                <w:sz w:val="20"/>
                <w:lang w:val="fr-CA"/>
              </w:rPr>
            </w:pP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Rejet de la requête en autorisation pour intenter des actions liées au marché secondaire contre les demandeurs d’Affinor.</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13 septembre 2022</w:t>
            </w:r>
          </w:p>
          <w:p w:rsidR="00880679" w:rsidRPr="000A2294" w:rsidRDefault="00880679" w:rsidP="00880679">
            <w:pPr>
              <w:jc w:val="both"/>
              <w:rPr>
                <w:sz w:val="20"/>
                <w:lang w:val="fr-CA"/>
              </w:rPr>
            </w:pPr>
            <w:r w:rsidRPr="000A2294">
              <w:rPr>
                <w:sz w:val="20"/>
                <w:lang w:val="fr-CA"/>
              </w:rPr>
              <w:t>Cour d’appel de la Colombie-Britannique</w:t>
            </w:r>
          </w:p>
          <w:p w:rsidR="00880679" w:rsidRPr="000A2294" w:rsidRDefault="00880679" w:rsidP="00880679">
            <w:pPr>
              <w:jc w:val="both"/>
              <w:rPr>
                <w:sz w:val="20"/>
                <w:lang w:val="fr-CA"/>
              </w:rPr>
            </w:pPr>
            <w:r w:rsidRPr="000A2294">
              <w:rPr>
                <w:sz w:val="20"/>
                <w:lang w:val="fr-CA"/>
              </w:rPr>
              <w:t>(Vancouver)</w:t>
            </w:r>
          </w:p>
          <w:p w:rsidR="00880679" w:rsidRPr="000A2294" w:rsidRDefault="00880679" w:rsidP="00880679">
            <w:pPr>
              <w:jc w:val="both"/>
              <w:rPr>
                <w:sz w:val="20"/>
                <w:lang w:val="fr-CA"/>
              </w:rPr>
            </w:pPr>
            <w:r w:rsidRPr="000A2294">
              <w:rPr>
                <w:sz w:val="20"/>
                <w:lang w:val="fr-CA"/>
              </w:rPr>
              <w:t>(Juges Willcock, Abrioux et Marchand)</w:t>
            </w:r>
          </w:p>
          <w:p w:rsidR="00880679" w:rsidRPr="000A2294" w:rsidRDefault="00F935FF" w:rsidP="00880679">
            <w:pPr>
              <w:jc w:val="both"/>
              <w:rPr>
                <w:sz w:val="20"/>
                <w:u w:val="single"/>
                <w:lang w:val="fr-CA"/>
              </w:rPr>
            </w:pPr>
            <w:hyperlink r:id="rId133" w:history="1">
              <w:r w:rsidR="00880679" w:rsidRPr="000A2294">
                <w:rPr>
                  <w:rStyle w:val="Hyperlink"/>
                  <w:color w:val="4F81BD" w:themeColor="accent1"/>
                  <w:sz w:val="20"/>
                  <w:lang w:val="fr-CA"/>
                </w:rPr>
                <w:t>2022 BCCA 307</w:t>
              </w:r>
            </w:hyperlink>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color w:val="000000"/>
                <w:sz w:val="20"/>
                <w:lang w:val="fr-CA"/>
              </w:rPr>
            </w:pPr>
            <w:r w:rsidRPr="000A2294">
              <w:rPr>
                <w:sz w:val="20"/>
                <w:lang w:val="fr-CA"/>
              </w:rPr>
              <w:t>Appels des requérants/intimés accueillis en partie : la cour infirme des ordonnances antérieures relatives à la preuve pour permettre l’admission de certains affidavits et elle accorde l’autorisation d’intenter l’action prévue par la Loi contre les demandeurs d’Affinor pour présentation inexacte des faits sur le marché secondaire</w:t>
            </w:r>
            <w:r w:rsidRPr="000A2294">
              <w:rPr>
                <w:color w:val="000000"/>
                <w:sz w:val="20"/>
                <w:lang w:val="fr-CA"/>
              </w:rPr>
              <w:t>.</w:t>
            </w:r>
          </w:p>
          <w:p w:rsidR="00880679" w:rsidRPr="000A2294" w:rsidRDefault="00880679" w:rsidP="00880679">
            <w:pPr>
              <w:jc w:val="both"/>
              <w:rPr>
                <w:sz w:val="20"/>
                <w:lang w:val="fr-CA"/>
              </w:rPr>
            </w:pPr>
          </w:p>
        </w:tc>
      </w:tr>
      <w:tr w:rsidR="00880679" w:rsidRPr="000A2294" w:rsidTr="00701BD4">
        <w:tc>
          <w:tcPr>
            <w:tcW w:w="2427" w:type="pct"/>
            <w:gridSpan w:val="2"/>
          </w:tcPr>
          <w:p w:rsidR="00880679" w:rsidRPr="000A2294" w:rsidRDefault="00880679" w:rsidP="00880679">
            <w:pPr>
              <w:jc w:val="both"/>
              <w:rPr>
                <w:sz w:val="20"/>
                <w:lang w:val="fr-CA"/>
              </w:rPr>
            </w:pPr>
            <w:r w:rsidRPr="000A2294">
              <w:rPr>
                <w:sz w:val="20"/>
                <w:lang w:val="fr-CA"/>
              </w:rPr>
              <w:t>14 novembre 2022</w:t>
            </w:r>
          </w:p>
          <w:p w:rsidR="00880679" w:rsidRPr="000A2294" w:rsidRDefault="00880679" w:rsidP="00880679">
            <w:pPr>
              <w:jc w:val="both"/>
              <w:rPr>
                <w:sz w:val="20"/>
                <w:lang w:val="fr-CA"/>
              </w:rPr>
            </w:pPr>
            <w:r w:rsidRPr="000A2294">
              <w:rPr>
                <w:sz w:val="20"/>
                <w:lang w:val="fr-CA"/>
              </w:rPr>
              <w:t>Cour suprême du Canada</w:t>
            </w:r>
          </w:p>
          <w:p w:rsidR="00880679" w:rsidRPr="000A2294" w:rsidRDefault="00880679" w:rsidP="00880679">
            <w:pPr>
              <w:jc w:val="both"/>
              <w:rPr>
                <w:sz w:val="20"/>
                <w:lang w:val="fr-CA"/>
              </w:rPr>
            </w:pP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Demande d’autorisation d’appel déposée.</w:t>
            </w: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23 janvier 2023</w:t>
            </w:r>
          </w:p>
          <w:p w:rsidR="00880679" w:rsidRPr="000A2294" w:rsidRDefault="00880679" w:rsidP="00880679">
            <w:pPr>
              <w:jc w:val="both"/>
              <w:rPr>
                <w:sz w:val="20"/>
                <w:lang w:val="fr-CA"/>
              </w:rPr>
            </w:pPr>
            <w:r w:rsidRPr="000A2294">
              <w:rPr>
                <w:sz w:val="20"/>
                <w:lang w:val="fr-CA"/>
              </w:rPr>
              <w:t>Cour d’appel de la Colombie-Britannique</w:t>
            </w:r>
          </w:p>
          <w:p w:rsidR="00880679" w:rsidRPr="000A2294" w:rsidRDefault="00880679" w:rsidP="00880679">
            <w:pPr>
              <w:jc w:val="both"/>
              <w:rPr>
                <w:sz w:val="20"/>
                <w:lang w:val="fr-CA"/>
              </w:rPr>
            </w:pPr>
            <w:r w:rsidRPr="000A2294">
              <w:rPr>
                <w:sz w:val="20"/>
                <w:lang w:val="fr-CA"/>
              </w:rPr>
              <w:t>(Vancouver)</w:t>
            </w:r>
          </w:p>
          <w:p w:rsidR="00880679" w:rsidRPr="000A2294" w:rsidRDefault="00880679" w:rsidP="00880679">
            <w:pPr>
              <w:jc w:val="both"/>
              <w:rPr>
                <w:sz w:val="20"/>
                <w:lang w:val="fr-CA"/>
              </w:rPr>
            </w:pPr>
            <w:r w:rsidRPr="000A2294">
              <w:rPr>
                <w:sz w:val="20"/>
                <w:lang w:val="fr-CA"/>
              </w:rPr>
              <w:t>(Juges Willcock, Abrioux et Marchand)</w:t>
            </w:r>
          </w:p>
          <w:p w:rsidR="00880679" w:rsidRPr="000A2294" w:rsidRDefault="00F935FF" w:rsidP="00880679">
            <w:pPr>
              <w:jc w:val="both"/>
              <w:rPr>
                <w:color w:val="4F81BD" w:themeColor="accent1"/>
                <w:sz w:val="20"/>
                <w:u w:val="single"/>
                <w:lang w:val="fr-CA"/>
              </w:rPr>
            </w:pPr>
            <w:hyperlink r:id="rId134" w:history="1">
              <w:r w:rsidR="00880679" w:rsidRPr="000A2294">
                <w:rPr>
                  <w:color w:val="4F81BD" w:themeColor="accent1"/>
                  <w:sz w:val="20"/>
                  <w:u w:val="single"/>
                  <w:lang w:val="fr-CA"/>
                </w:rPr>
                <w:t>2023 BCCA 32</w:t>
              </w:r>
            </w:hyperlink>
          </w:p>
          <w:p w:rsidR="00880679" w:rsidRPr="000A2294" w:rsidRDefault="00880679" w:rsidP="00880679">
            <w:pPr>
              <w:jc w:val="both"/>
              <w:rPr>
                <w:sz w:val="20"/>
                <w:lang w:val="fr-CA"/>
              </w:rPr>
            </w:pP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Dépôt de motifs supplémentaires pour confirmer que l’annulation des ordonnances de la juridiction inférieure visait à permettre l’admission en preuve de certains affidavits et que l’autorisation d’intenter l’action pour présentation inexacte des faits sur le marché secondaire contre M. Chaudhry excluait le communiqué du 5 mars 2018</w:t>
            </w:r>
            <w:r w:rsidRPr="000A2294">
              <w:rPr>
                <w:color w:val="000000"/>
                <w:sz w:val="20"/>
                <w:lang w:val="fr-CA"/>
              </w:rPr>
              <w:t>.</w:t>
            </w:r>
          </w:p>
        </w:tc>
      </w:tr>
    </w:tbl>
    <w:p w:rsidR="00880679" w:rsidRPr="000A2294" w:rsidRDefault="00880679" w:rsidP="00880679">
      <w:pPr>
        <w:jc w:val="both"/>
        <w:rPr>
          <w:sz w:val="20"/>
          <w:lang w:val="fr-CA"/>
        </w:rPr>
      </w:pPr>
    </w:p>
    <w:p w:rsidR="00880679" w:rsidRPr="000A2294" w:rsidRDefault="00F935FF" w:rsidP="00880679">
      <w:pPr>
        <w:jc w:val="both"/>
        <w:rPr>
          <w:sz w:val="20"/>
          <w:lang w:val="fr-CA"/>
        </w:rPr>
      </w:pPr>
      <w:r>
        <w:rPr>
          <w:sz w:val="20"/>
        </w:rPr>
        <w:pict>
          <v:rect id="_x0000_i1068" style="width:2in;height:1pt" o:hrpct="0" o:hralign="center" o:hrstd="t" o:hrnoshade="t" o:hr="t" fillcolor="black [3213]" stroked="f"/>
        </w:pict>
      </w:r>
    </w:p>
    <w:p w:rsidR="00880679" w:rsidRPr="000A2294" w:rsidRDefault="00880679" w:rsidP="0088067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0A2294" w:rsidTr="00701BD4">
        <w:tc>
          <w:tcPr>
            <w:tcW w:w="543" w:type="pct"/>
          </w:tcPr>
          <w:p w:rsidR="00880679" w:rsidRPr="000A2294" w:rsidRDefault="00880679" w:rsidP="00880679">
            <w:pPr>
              <w:jc w:val="both"/>
              <w:rPr>
                <w:sz w:val="20"/>
              </w:rPr>
            </w:pPr>
            <w:r w:rsidRPr="000A2294">
              <w:rPr>
                <w:rStyle w:val="SCCFileNumberChar"/>
                <w:sz w:val="20"/>
                <w:szCs w:val="20"/>
              </w:rPr>
              <w:t>40632</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Nicholas Brusatore v. Michael Tietz, Duane Loewen, Mike Dotto, Robin Lee</w:t>
            </w:r>
          </w:p>
          <w:p w:rsidR="00880679" w:rsidRPr="000A2294" w:rsidRDefault="00880679" w:rsidP="00880679">
            <w:pPr>
              <w:jc w:val="both"/>
              <w:rPr>
                <w:sz w:val="20"/>
              </w:rPr>
            </w:pPr>
            <w:r w:rsidRPr="000A2294">
              <w:rPr>
                <w:sz w:val="20"/>
              </w:rPr>
              <w:t>(B.C.) (Civil) (By Leave)</w:t>
            </w:r>
          </w:p>
        </w:tc>
      </w:tr>
      <w:tr w:rsidR="00880679" w:rsidRPr="000A2294" w:rsidTr="00701BD4">
        <w:tc>
          <w:tcPr>
            <w:tcW w:w="5000" w:type="pct"/>
            <w:gridSpan w:val="4"/>
          </w:tcPr>
          <w:p w:rsidR="00880679" w:rsidRPr="000A2294" w:rsidRDefault="00880679" w:rsidP="00880679">
            <w:pPr>
              <w:jc w:val="both"/>
              <w:rPr>
                <w:sz w:val="20"/>
              </w:rPr>
            </w:pPr>
            <w:r w:rsidRPr="000A2294">
              <w:rPr>
                <w:sz w:val="20"/>
              </w:rPr>
              <w:t xml:space="preserve">Evidence — Hearsay — Case splitting — Securities — Does the Court’s standard of credible evidence in support of the reasonable possibility of success test require admission of hearsay or speculative evidence in a petition for leave to bring a statutory secondary market liability claim — Does the balancing related to granting leave to bring a statutory secondary market misrepresentation claim require a potential plaintiff to put its best foot forward — </w:t>
            </w:r>
            <w:hyperlink r:id="rId135" w:history="1">
              <w:r w:rsidRPr="000A2294">
                <w:rPr>
                  <w:i/>
                  <w:iCs/>
                  <w:sz w:val="20"/>
                </w:rPr>
                <w:t>Securities Act</w:t>
              </w:r>
            </w:hyperlink>
            <w:r w:rsidRPr="000A2294">
              <w:rPr>
                <w:sz w:val="20"/>
              </w:rPr>
              <w:t>, R.S.B.C. 1996, c. 418, ss. 140.3 and 140.8.</w:t>
            </w:r>
          </w:p>
          <w:p w:rsidR="00880679" w:rsidRPr="000A2294" w:rsidRDefault="00880679" w:rsidP="00880679">
            <w:pPr>
              <w:jc w:val="both"/>
              <w:rPr>
                <w:sz w:val="20"/>
              </w:rPr>
            </w:pPr>
          </w:p>
        </w:tc>
      </w:tr>
      <w:tr w:rsidR="00880679" w:rsidRPr="000A2294" w:rsidTr="00701BD4">
        <w:tc>
          <w:tcPr>
            <w:tcW w:w="5000" w:type="pct"/>
            <w:gridSpan w:val="4"/>
          </w:tcPr>
          <w:p w:rsidR="00880679" w:rsidRPr="000A2294" w:rsidRDefault="00880679" w:rsidP="00880679">
            <w:pPr>
              <w:jc w:val="both"/>
              <w:rPr>
                <w:sz w:val="20"/>
              </w:rPr>
            </w:pPr>
            <w:r w:rsidRPr="000A2294">
              <w:rPr>
                <w:color w:val="000000"/>
                <w:sz w:val="20"/>
              </w:rPr>
              <w:t>As part of a proposed class action, the respondent/plaintiffs</w:t>
            </w:r>
            <w:r w:rsidRPr="000A2294">
              <w:rPr>
                <w:sz w:val="20"/>
              </w:rPr>
              <w:t xml:space="preserve"> brought a petition under s. 140.8 of the</w:t>
            </w:r>
            <w:hyperlink r:id="rId136" w:history="1">
              <w:r w:rsidRPr="000A2294">
                <w:rPr>
                  <w:i/>
                  <w:iCs/>
                  <w:sz w:val="20"/>
                </w:rPr>
                <w:t xml:space="preserve"> </w:t>
              </w:r>
              <w:hyperlink r:id="rId137" w:history="1">
                <w:r w:rsidRPr="000A2294">
                  <w:rPr>
                    <w:i/>
                    <w:iCs/>
                    <w:sz w:val="20"/>
                  </w:rPr>
                  <w:t>Securities Act</w:t>
                </w:r>
              </w:hyperlink>
              <w:r w:rsidRPr="000A2294">
                <w:rPr>
                  <w:sz w:val="20"/>
                </w:rPr>
                <w:t>, R.S.B.C. 1996, c. 418 (the “</w:t>
              </w:r>
              <w:r w:rsidRPr="000A2294">
                <w:rPr>
                  <w:i/>
                  <w:sz w:val="20"/>
                </w:rPr>
                <w:t>Act</w:t>
              </w:r>
              <w:r w:rsidRPr="000A2294">
                <w:rPr>
                  <w:sz w:val="20"/>
                </w:rPr>
                <w:t>”)</w:t>
              </w:r>
            </w:hyperlink>
            <w:r w:rsidRPr="000A2294">
              <w:rPr>
                <w:i/>
                <w:iCs/>
                <w:sz w:val="20"/>
              </w:rPr>
              <w:t xml:space="preserve"> </w:t>
            </w:r>
            <w:r w:rsidRPr="000A2294">
              <w:rPr>
                <w:sz w:val="20"/>
              </w:rPr>
              <w:t xml:space="preserve">for leave to commence a secondary market claim against the applicant under s. 140.3 of the </w:t>
            </w:r>
            <w:r w:rsidRPr="000A2294">
              <w:rPr>
                <w:i/>
                <w:sz w:val="20"/>
              </w:rPr>
              <w:t>Act</w:t>
            </w:r>
            <w:r w:rsidRPr="000A2294">
              <w:rPr>
                <w:sz w:val="20"/>
              </w:rPr>
              <w:t xml:space="preserve">. </w:t>
            </w:r>
            <w:r w:rsidRPr="000A2294">
              <w:rPr>
                <w:color w:val="000000"/>
                <w:sz w:val="20"/>
              </w:rPr>
              <w:t xml:space="preserve">The plaintiffs alleged a scheme whereby certain consultants bought shares issued by private placement at a publicly disclosed share price on the undisclosed condition that the issuer would pay them consulting fees for services that were never rendered. The plaintiffs alleged that the total amounts paid to the consultants constituted a significant portion of the proceeds of the private placements and, as a result, the applicant had misrepresented both the price at which the shares were acquired and the proceeds available to the issuer as working capital. The plaintiffs alleged they suffered losses by purchasing shares at a price higher than they would have paid but for the scheme, which later eroded in value after it was disclosed. The plaintiffs sought damages or disgorgement of proceeds on the basis of claims of unlawful conspiracy, statutory damages and fraudulent or negligent misrepresentation. The </w:t>
            </w:r>
            <w:r w:rsidRPr="000A2294">
              <w:rPr>
                <w:sz w:val="20"/>
              </w:rPr>
              <w:t xml:space="preserve">Supreme Court of British Columbia dismissed leave on the basis that, while the </w:t>
            </w:r>
            <w:r w:rsidRPr="000A2294">
              <w:rPr>
                <w:color w:val="000000"/>
                <w:sz w:val="20"/>
              </w:rPr>
              <w:t xml:space="preserve">action was being brought in good faith, given the exclusion of certain evidence pursuant to previous court decisions, the evidence supporting the claims was thin and there was not a reasonable possibility that the action will be resolved in the plaintiffs’ favour. The </w:t>
            </w:r>
            <w:r w:rsidRPr="000A2294">
              <w:rPr>
                <w:sz w:val="20"/>
              </w:rPr>
              <w:t xml:space="preserve">Court of Appeal for British Columbia allowed the appeal in part, reversing previous orders to now admit some affidavit evidence and to grant leave to commence a </w:t>
            </w:r>
            <w:r w:rsidRPr="000A2294">
              <w:rPr>
                <w:color w:val="000000"/>
                <w:sz w:val="20"/>
              </w:rPr>
              <w:t xml:space="preserve">statutory claim for secondary market misrepresentation </w:t>
            </w:r>
            <w:r w:rsidRPr="000A2294">
              <w:rPr>
                <w:sz w:val="20"/>
              </w:rPr>
              <w:t>against the applicant.</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November 22, 2021</w:t>
            </w:r>
          </w:p>
          <w:p w:rsidR="00880679" w:rsidRPr="000A2294" w:rsidRDefault="00880679" w:rsidP="00880679">
            <w:pPr>
              <w:jc w:val="both"/>
              <w:rPr>
                <w:sz w:val="20"/>
              </w:rPr>
            </w:pPr>
            <w:r w:rsidRPr="000A2294">
              <w:rPr>
                <w:sz w:val="20"/>
              </w:rPr>
              <w:t>Supreme Court of British Columbia</w:t>
            </w:r>
          </w:p>
          <w:p w:rsidR="00880679" w:rsidRPr="000A2294" w:rsidRDefault="00880679" w:rsidP="00880679">
            <w:pPr>
              <w:jc w:val="both"/>
              <w:rPr>
                <w:sz w:val="20"/>
              </w:rPr>
            </w:pPr>
            <w:r w:rsidRPr="000A2294">
              <w:rPr>
                <w:sz w:val="20"/>
              </w:rPr>
              <w:t>(Wilkinson J.)</w:t>
            </w:r>
          </w:p>
          <w:p w:rsidR="00880679" w:rsidRPr="000A2294" w:rsidRDefault="00F935FF" w:rsidP="00880679">
            <w:pPr>
              <w:jc w:val="both"/>
              <w:rPr>
                <w:rStyle w:val="Hyperlink"/>
                <w:color w:val="4F81BD" w:themeColor="accent1"/>
                <w:sz w:val="20"/>
              </w:rPr>
            </w:pPr>
            <w:hyperlink r:id="rId138" w:history="1">
              <w:r w:rsidR="00880679" w:rsidRPr="000A2294">
                <w:rPr>
                  <w:rStyle w:val="Hyperlink"/>
                  <w:color w:val="4F81BD" w:themeColor="accent1"/>
                  <w:sz w:val="20"/>
                </w:rPr>
                <w:t>2021 BCSC 2275</w:t>
              </w:r>
            </w:hyperlink>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Leave to bring secondary market claims against the Affinor applicants dismissed.</w:t>
            </w:r>
          </w:p>
        </w:tc>
      </w:tr>
      <w:tr w:rsidR="00880679" w:rsidRPr="000A2294" w:rsidTr="00701BD4">
        <w:tc>
          <w:tcPr>
            <w:tcW w:w="2427" w:type="pct"/>
            <w:gridSpan w:val="2"/>
          </w:tcPr>
          <w:p w:rsidR="00880679" w:rsidRPr="000A2294" w:rsidRDefault="00880679" w:rsidP="00880679">
            <w:pPr>
              <w:jc w:val="both"/>
              <w:rPr>
                <w:sz w:val="20"/>
              </w:rPr>
            </w:pPr>
            <w:r w:rsidRPr="000A2294">
              <w:rPr>
                <w:sz w:val="20"/>
              </w:rPr>
              <w:t>September 13, 2022</w:t>
            </w:r>
          </w:p>
          <w:p w:rsidR="00880679" w:rsidRPr="000A2294" w:rsidRDefault="00880679" w:rsidP="00880679">
            <w:pPr>
              <w:jc w:val="both"/>
              <w:rPr>
                <w:sz w:val="20"/>
              </w:rPr>
            </w:pPr>
            <w:r w:rsidRPr="000A2294">
              <w:rPr>
                <w:sz w:val="20"/>
              </w:rPr>
              <w:t xml:space="preserve">Court of Appeal for British Columbia </w:t>
            </w:r>
          </w:p>
          <w:p w:rsidR="00880679" w:rsidRPr="000A2294" w:rsidRDefault="00880679" w:rsidP="00880679">
            <w:pPr>
              <w:jc w:val="both"/>
              <w:rPr>
                <w:sz w:val="20"/>
              </w:rPr>
            </w:pPr>
            <w:r w:rsidRPr="000A2294">
              <w:rPr>
                <w:sz w:val="20"/>
              </w:rPr>
              <w:t>(Vancouver)</w:t>
            </w:r>
          </w:p>
          <w:p w:rsidR="00880679" w:rsidRPr="000A2294" w:rsidRDefault="00880679" w:rsidP="00880679">
            <w:pPr>
              <w:jc w:val="both"/>
              <w:rPr>
                <w:sz w:val="20"/>
              </w:rPr>
            </w:pPr>
            <w:r w:rsidRPr="000A2294">
              <w:rPr>
                <w:sz w:val="20"/>
              </w:rPr>
              <w:t>(Willcock, Abrioux and Marchand JJ.A)</w:t>
            </w:r>
          </w:p>
          <w:p w:rsidR="00880679" w:rsidRPr="000A2294" w:rsidRDefault="00F935FF" w:rsidP="00880679">
            <w:pPr>
              <w:jc w:val="both"/>
              <w:rPr>
                <w:sz w:val="20"/>
                <w:u w:val="single"/>
              </w:rPr>
            </w:pPr>
            <w:hyperlink r:id="rId139" w:history="1">
              <w:r w:rsidR="00880679" w:rsidRPr="000A2294">
                <w:rPr>
                  <w:rStyle w:val="Hyperlink"/>
                  <w:color w:val="4F81BD" w:themeColor="accent1"/>
                  <w:sz w:val="20"/>
                </w:rPr>
                <w:t>2022 BCCA 307</w:t>
              </w:r>
            </w:hyperlink>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color w:val="000000"/>
                <w:sz w:val="20"/>
              </w:rPr>
            </w:pPr>
            <w:r w:rsidRPr="000A2294">
              <w:rPr>
                <w:sz w:val="20"/>
              </w:rPr>
              <w:t xml:space="preserve">Appeals by the plaintiffs/respondents allowed in part: previous evidentiary orders reversed to allow certain affidavits to be </w:t>
            </w:r>
            <w:r w:rsidRPr="000A2294">
              <w:rPr>
                <w:color w:val="000000"/>
                <w:sz w:val="20"/>
              </w:rPr>
              <w:t>admitted into evidence and leave granted to advance the statutory claim for secondary market misrepresentation against the Affinor applicants.</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January 23, 2023</w:t>
            </w:r>
          </w:p>
          <w:p w:rsidR="00880679" w:rsidRPr="000A2294" w:rsidRDefault="00880679" w:rsidP="00880679">
            <w:pPr>
              <w:jc w:val="both"/>
              <w:rPr>
                <w:sz w:val="20"/>
              </w:rPr>
            </w:pPr>
            <w:r w:rsidRPr="000A2294">
              <w:rPr>
                <w:sz w:val="20"/>
              </w:rPr>
              <w:t xml:space="preserve">Court of Appeal for British Columbia </w:t>
            </w:r>
          </w:p>
          <w:p w:rsidR="00880679" w:rsidRPr="000A2294" w:rsidRDefault="00880679" w:rsidP="00880679">
            <w:pPr>
              <w:jc w:val="both"/>
              <w:rPr>
                <w:sz w:val="20"/>
              </w:rPr>
            </w:pPr>
            <w:r w:rsidRPr="000A2294">
              <w:rPr>
                <w:sz w:val="20"/>
              </w:rPr>
              <w:t>(Vancouver)</w:t>
            </w:r>
          </w:p>
          <w:p w:rsidR="00880679" w:rsidRPr="000A2294" w:rsidRDefault="00880679" w:rsidP="00880679">
            <w:pPr>
              <w:jc w:val="both"/>
              <w:rPr>
                <w:sz w:val="20"/>
              </w:rPr>
            </w:pPr>
            <w:r w:rsidRPr="000A2294">
              <w:rPr>
                <w:sz w:val="20"/>
              </w:rPr>
              <w:t>(Willcock, Abrioux and Marchand JJ.A.)</w:t>
            </w:r>
          </w:p>
          <w:p w:rsidR="00880679" w:rsidRPr="000A2294" w:rsidRDefault="00F935FF" w:rsidP="00880679">
            <w:pPr>
              <w:jc w:val="both"/>
              <w:rPr>
                <w:rStyle w:val="Hyperlink"/>
                <w:color w:val="4F81BD" w:themeColor="accent1"/>
                <w:sz w:val="20"/>
              </w:rPr>
            </w:pPr>
            <w:hyperlink r:id="rId140" w:history="1">
              <w:r w:rsidR="00880679" w:rsidRPr="000A2294">
                <w:rPr>
                  <w:rStyle w:val="Hyperlink"/>
                  <w:color w:val="4F81BD" w:themeColor="accent1"/>
                  <w:sz w:val="20"/>
                </w:rPr>
                <w:t>2023 BCCA 32</w:t>
              </w:r>
            </w:hyperlink>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 xml:space="preserve">Supplemental reasons released confirming </w:t>
            </w:r>
            <w:r w:rsidRPr="000A2294">
              <w:rPr>
                <w:color w:val="000000"/>
                <w:sz w:val="20"/>
              </w:rPr>
              <w:t>aspects of the Sept. 13 judgment, including</w:t>
            </w:r>
            <w:r w:rsidRPr="000A2294">
              <w:rPr>
                <w:sz w:val="20"/>
              </w:rPr>
              <w:t xml:space="preserve"> that the admissibility Mr. Brusatore’s affidavit was confirmed in the Affinor petition but undecided in outstanding petitions.</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February 22, 2023</w:t>
            </w:r>
          </w:p>
          <w:p w:rsidR="00880679" w:rsidRPr="000A2294" w:rsidRDefault="00880679" w:rsidP="00880679">
            <w:pPr>
              <w:jc w:val="both"/>
              <w:rPr>
                <w:sz w:val="20"/>
              </w:rPr>
            </w:pPr>
            <w:r w:rsidRPr="000A2294">
              <w:rPr>
                <w:sz w:val="20"/>
              </w:rPr>
              <w:t>Supreme Court of Canada</w:t>
            </w: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Motion for an extension of time and application for leave to appeal filed.</w:t>
            </w:r>
          </w:p>
        </w:tc>
      </w:tr>
    </w:tbl>
    <w:p w:rsidR="00880679" w:rsidRPr="000A2294" w:rsidRDefault="00880679" w:rsidP="00880679">
      <w:pPr>
        <w:jc w:val="both"/>
        <w:rPr>
          <w:sz w:val="20"/>
        </w:rPr>
      </w:pPr>
    </w:p>
    <w:p w:rsidR="00880679" w:rsidRPr="000A2294" w:rsidRDefault="00F935FF" w:rsidP="00880679">
      <w:pPr>
        <w:jc w:val="both"/>
        <w:rPr>
          <w:sz w:val="20"/>
        </w:rPr>
      </w:pPr>
      <w:r>
        <w:rPr>
          <w:sz w:val="20"/>
        </w:rPr>
        <w:pict>
          <v:rect id="_x0000_i1069" style="width:2in;height:1pt" o:hrpct="0" o:hralign="center" o:hrstd="t" o:hrnoshade="t" o:hr="t" fillcolor="black [3213]" stroked="f"/>
        </w:pict>
      </w:r>
    </w:p>
    <w:p w:rsidR="00880679" w:rsidRPr="000A2294" w:rsidRDefault="00880679" w:rsidP="008806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F935FF" w:rsidTr="00701BD4">
        <w:tc>
          <w:tcPr>
            <w:tcW w:w="543" w:type="pct"/>
          </w:tcPr>
          <w:p w:rsidR="00880679" w:rsidRPr="000A2294" w:rsidRDefault="00880679" w:rsidP="00880679">
            <w:pPr>
              <w:jc w:val="both"/>
              <w:rPr>
                <w:sz w:val="20"/>
                <w:lang w:val="fr-CA"/>
              </w:rPr>
            </w:pPr>
            <w:r w:rsidRPr="000A2294">
              <w:rPr>
                <w:rStyle w:val="SCCFileNumberChar"/>
                <w:sz w:val="20"/>
                <w:szCs w:val="20"/>
                <w:lang w:val="fr-CA"/>
              </w:rPr>
              <w:t>40632</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Nicholas Brusatore c. Michael Tietz, Duane Loewen, Mike Dotto, Robin Lee</w:t>
            </w:r>
          </w:p>
          <w:p w:rsidR="00880679" w:rsidRPr="000A2294" w:rsidRDefault="00880679" w:rsidP="00880679">
            <w:pPr>
              <w:jc w:val="both"/>
              <w:rPr>
                <w:sz w:val="20"/>
                <w:lang w:val="fr-CA"/>
              </w:rPr>
            </w:pPr>
            <w:r w:rsidRPr="000A2294">
              <w:rPr>
                <w:sz w:val="20"/>
                <w:lang w:val="fr-CA"/>
              </w:rPr>
              <w:t>(C.-B.) (Civile) (Sur autorisation)</w:t>
            </w:r>
          </w:p>
        </w:tc>
      </w:tr>
      <w:tr w:rsidR="00880679" w:rsidRPr="00F935FF" w:rsidTr="00701BD4">
        <w:tc>
          <w:tcPr>
            <w:tcW w:w="5000" w:type="pct"/>
            <w:gridSpan w:val="4"/>
          </w:tcPr>
          <w:p w:rsidR="00880679" w:rsidRPr="000A2294" w:rsidRDefault="00880679" w:rsidP="00880679">
            <w:pPr>
              <w:jc w:val="both"/>
              <w:rPr>
                <w:sz w:val="20"/>
                <w:lang w:val="fr-CA"/>
              </w:rPr>
            </w:pPr>
            <w:r w:rsidRPr="000A2294">
              <w:rPr>
                <w:sz w:val="20"/>
                <w:lang w:val="fr-CA"/>
              </w:rPr>
              <w:t xml:space="preserve">Preuve — Ouï-dire — Scission de la preuve — Valeurs mobilières — En ce qui a trait à la présentation d’éléments de preuve crédibles pour satisfaire au critère de la possibilité raisonnable d’avoir gain de cause, la norme établie par la Cour requiert-elle l’admission de ouï-dire ou d’éléments de preuve conjecturaux dans le cas d’une requête en autorisation pour intenter une action en responsabilité prévue par la loi à l’égard du marché secondaire? — La mise en balance permettant de décider s’il y a lieu d’accorder l’autorisation d’intenter une action prévue par la loi pour présentation inexacte des faits sur le marché secondaire exige-t-elle que le requérant expose ses meilleurs arguments? — </w:t>
            </w:r>
            <w:hyperlink r:id="rId141" w:history="1">
              <w:r w:rsidRPr="000A2294">
                <w:rPr>
                  <w:i/>
                  <w:iCs/>
                  <w:sz w:val="20"/>
                  <w:lang w:val="fr-CA"/>
                </w:rPr>
                <w:t>Securities Act</w:t>
              </w:r>
            </w:hyperlink>
            <w:r w:rsidRPr="000A2294">
              <w:rPr>
                <w:sz w:val="20"/>
                <w:lang w:val="fr-CA"/>
              </w:rPr>
              <w:t>, R.S.B.C. 1996, c. 418, art. 140.3 et 140.8.</w:t>
            </w:r>
          </w:p>
          <w:p w:rsidR="00880679" w:rsidRPr="000A2294" w:rsidRDefault="00880679" w:rsidP="00880679">
            <w:pPr>
              <w:jc w:val="both"/>
              <w:rPr>
                <w:sz w:val="20"/>
                <w:lang w:val="fr-CA"/>
              </w:rPr>
            </w:pPr>
          </w:p>
        </w:tc>
      </w:tr>
      <w:tr w:rsidR="00880679" w:rsidRPr="00F935FF" w:rsidTr="00701BD4">
        <w:tc>
          <w:tcPr>
            <w:tcW w:w="5000" w:type="pct"/>
            <w:gridSpan w:val="4"/>
          </w:tcPr>
          <w:p w:rsidR="00880679" w:rsidRPr="000A2294" w:rsidRDefault="00880679" w:rsidP="00880679">
            <w:pPr>
              <w:jc w:val="both"/>
              <w:rPr>
                <w:sz w:val="20"/>
                <w:lang w:val="fr-CA"/>
              </w:rPr>
            </w:pPr>
            <w:r w:rsidRPr="000A2294">
              <w:rPr>
                <w:color w:val="000000"/>
                <w:sz w:val="20"/>
                <w:lang w:val="fr-CA"/>
              </w:rPr>
              <w:t xml:space="preserve">Dans le cadre d’un recours collectif projeté, les intimés/requérants ont présenté une requête au titre de l’art. 140.8 de la </w:t>
            </w:r>
            <w:r w:rsidRPr="000A2294">
              <w:rPr>
                <w:i/>
                <w:iCs/>
                <w:color w:val="000000"/>
                <w:sz w:val="20"/>
                <w:lang w:val="fr-CA"/>
              </w:rPr>
              <w:t>Securities Act</w:t>
            </w:r>
            <w:r w:rsidRPr="000A2294">
              <w:rPr>
                <w:color w:val="000000"/>
                <w:sz w:val="20"/>
                <w:lang w:val="fr-CA"/>
              </w:rPr>
              <w:t>, R.S.B.C. 1996, c. 418 (« Loi »), dans le but d’obtenir l’autorisation d’intenter une action liée au marché secondaire contre le demandeur en vertu de l’art. 140.3 de la Loi</w:t>
            </w:r>
            <w:r w:rsidRPr="000A2294">
              <w:rPr>
                <w:sz w:val="20"/>
                <w:lang w:val="fr-CA"/>
              </w:rPr>
              <w:t xml:space="preserve">. </w:t>
            </w:r>
            <w:r w:rsidRPr="000A2294">
              <w:rPr>
                <w:color w:val="000000"/>
                <w:sz w:val="20"/>
                <w:lang w:val="fr-CA"/>
              </w:rPr>
              <w:t>Les requérants ont allégué l’existence d’un stratagème par lequel certains consultants avaient acheté des actions émises par voie de placements privés à un prix d’achat ayant été communiqué publiquement, mais à la condition non divulguée que les demandeurs leur paient des frais de consultation pour des services n’ayant jamais été fournis. Ils ont fait valoir que les sommes totales versées aux consultants constituaient une part importante du produit de ces placements privés et que, par conséquent, le demandeur avait présenté de façon inexacte à la fois le cours auquel les actions avaient été acquises et le produit dont disposait l’émetteur comme fonds de roulement. Ils ont prétendu avoir subi des pertes en achetant des actions à un prix plus élevé que celui qu’ils auraient payé en l’absence d’un tel stratagème, lequel a par ailleurs entraîné un effritement du cours après avoir été divulgué. Ils ont réclamé des dommages-intérêts ou la restitution du produit au moyen de demandes faisant état de complot illégal, de dommages-intérêts prévus par la loi et de déclaration inexacte à caractère frauduleux ou négligent. La Cour suprême de la Colombie-Britannique a refusé d’accorder l’autorisation, car selon elle, même s’il s’agissait d’une action intentée de bonne foi, la preuve à l’appui des demandes était faible en raison de l’exclusion de certains éléments dans les décisions antérieures et il n’existait aucune possibilité raisonnable que les requérants aient gain de cause. La Cour d’appel de la Colombie-Britannique a accueilli l’appel en partie : elle a infirmé certaines ordonnances antérieures pour permettre l’admission d’éléments de preuve par affidavit et accorder l’autorisation d’intenter une action en vertu de la Loi contre le demandeur pour présentation inexacte des faits sur le marché secondaire</w:t>
            </w:r>
            <w:r w:rsidRPr="000A2294">
              <w:rPr>
                <w:sz w:val="20"/>
                <w:lang w:val="fr-CA"/>
              </w:rPr>
              <w:t>.</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22 novembre 2021</w:t>
            </w:r>
          </w:p>
          <w:p w:rsidR="00880679" w:rsidRPr="000A2294" w:rsidRDefault="00880679" w:rsidP="00880679">
            <w:pPr>
              <w:jc w:val="both"/>
              <w:rPr>
                <w:sz w:val="20"/>
                <w:lang w:val="fr-CA"/>
              </w:rPr>
            </w:pPr>
            <w:r w:rsidRPr="000A2294">
              <w:rPr>
                <w:sz w:val="20"/>
                <w:lang w:val="fr-CA"/>
              </w:rPr>
              <w:t>Cour suprême de la Colombie-Britannique</w:t>
            </w:r>
          </w:p>
          <w:p w:rsidR="00880679" w:rsidRPr="000A2294" w:rsidRDefault="00880679" w:rsidP="00880679">
            <w:pPr>
              <w:jc w:val="both"/>
              <w:rPr>
                <w:sz w:val="20"/>
                <w:lang w:val="fr-CA"/>
              </w:rPr>
            </w:pPr>
            <w:r w:rsidRPr="000A2294">
              <w:rPr>
                <w:sz w:val="20"/>
                <w:lang w:val="fr-CA"/>
              </w:rPr>
              <w:t>(Juge Wilkinson)</w:t>
            </w:r>
          </w:p>
          <w:p w:rsidR="00880679" w:rsidRPr="000A2294" w:rsidRDefault="00F935FF" w:rsidP="00880679">
            <w:pPr>
              <w:jc w:val="both"/>
              <w:rPr>
                <w:rStyle w:val="Hyperlink"/>
                <w:color w:val="4F81BD" w:themeColor="accent1"/>
                <w:sz w:val="20"/>
                <w:lang w:val="fr-CA"/>
              </w:rPr>
            </w:pPr>
            <w:hyperlink r:id="rId142" w:history="1">
              <w:r w:rsidR="00880679" w:rsidRPr="000A2294">
                <w:rPr>
                  <w:rStyle w:val="Hyperlink"/>
                  <w:color w:val="4F81BD" w:themeColor="accent1"/>
                  <w:sz w:val="20"/>
                  <w:lang w:val="fr-CA"/>
                </w:rPr>
                <w:t>2021 BCSC 2275</w:t>
              </w:r>
            </w:hyperlink>
          </w:p>
          <w:p w:rsidR="00880679" w:rsidRPr="000A2294" w:rsidRDefault="00880679" w:rsidP="00880679">
            <w:pPr>
              <w:jc w:val="both"/>
              <w:rPr>
                <w:sz w:val="20"/>
                <w:lang w:val="fr-CA"/>
              </w:rPr>
            </w:pP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Rejet de la requête en autorisation pour intenter des actions liées au marché secondaire contre les demandeurs d’Affinor.</w:t>
            </w: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13 septembre 2022</w:t>
            </w:r>
          </w:p>
          <w:p w:rsidR="00880679" w:rsidRPr="000A2294" w:rsidRDefault="00880679" w:rsidP="00880679">
            <w:pPr>
              <w:jc w:val="both"/>
              <w:rPr>
                <w:sz w:val="20"/>
                <w:lang w:val="fr-CA"/>
              </w:rPr>
            </w:pPr>
            <w:r w:rsidRPr="000A2294">
              <w:rPr>
                <w:sz w:val="20"/>
                <w:lang w:val="fr-CA"/>
              </w:rPr>
              <w:t>Cour d’appel de la Colombie-Britannique</w:t>
            </w:r>
          </w:p>
          <w:p w:rsidR="00880679" w:rsidRPr="000A2294" w:rsidRDefault="00880679" w:rsidP="00880679">
            <w:pPr>
              <w:jc w:val="both"/>
              <w:rPr>
                <w:sz w:val="20"/>
                <w:lang w:val="fr-CA"/>
              </w:rPr>
            </w:pPr>
            <w:r w:rsidRPr="000A2294">
              <w:rPr>
                <w:sz w:val="20"/>
                <w:lang w:val="fr-CA"/>
              </w:rPr>
              <w:t>(Vancouver)</w:t>
            </w:r>
          </w:p>
          <w:p w:rsidR="00880679" w:rsidRPr="000A2294" w:rsidRDefault="00880679" w:rsidP="00880679">
            <w:pPr>
              <w:jc w:val="both"/>
              <w:rPr>
                <w:sz w:val="20"/>
                <w:lang w:val="fr-CA"/>
              </w:rPr>
            </w:pPr>
            <w:r w:rsidRPr="000A2294">
              <w:rPr>
                <w:sz w:val="20"/>
                <w:lang w:val="fr-CA"/>
              </w:rPr>
              <w:t>(Juges Willcock, Abrioux et Marchand)</w:t>
            </w:r>
          </w:p>
          <w:p w:rsidR="00880679" w:rsidRPr="000A2294" w:rsidRDefault="00F935FF" w:rsidP="00880679">
            <w:pPr>
              <w:jc w:val="both"/>
              <w:rPr>
                <w:sz w:val="20"/>
                <w:u w:val="single"/>
                <w:lang w:val="fr-CA"/>
              </w:rPr>
            </w:pPr>
            <w:hyperlink r:id="rId143" w:history="1">
              <w:r w:rsidR="00880679" w:rsidRPr="000A2294">
                <w:rPr>
                  <w:rStyle w:val="Hyperlink"/>
                  <w:color w:val="4F81BD" w:themeColor="accent1"/>
                  <w:sz w:val="20"/>
                  <w:lang w:val="fr-CA"/>
                </w:rPr>
                <w:t>2022 BCCA 307</w:t>
              </w:r>
            </w:hyperlink>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color w:val="000000"/>
                <w:sz w:val="20"/>
                <w:lang w:val="fr-CA"/>
              </w:rPr>
            </w:pPr>
            <w:r w:rsidRPr="000A2294">
              <w:rPr>
                <w:sz w:val="20"/>
                <w:lang w:val="fr-CA"/>
              </w:rPr>
              <w:t>Appels des requérants/intimés accueillis en partie : la cour infirme des ordonnances antérieures relatives à la preuve pour permettre l’admission de certains affidavits et elle accorde l’autorisation d’intenter l’action prévue par la Loi contre les demandeurs d’Affinor pour présentation inexacte des faits sur le marché secondaire</w:t>
            </w:r>
            <w:r w:rsidRPr="000A2294">
              <w:rPr>
                <w:color w:val="000000"/>
                <w:sz w:val="20"/>
                <w:lang w:val="fr-CA"/>
              </w:rPr>
              <w:t>.</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keepNext/>
              <w:keepLines/>
              <w:jc w:val="both"/>
              <w:rPr>
                <w:sz w:val="20"/>
                <w:lang w:val="fr-CA"/>
              </w:rPr>
            </w:pPr>
            <w:r w:rsidRPr="000A2294">
              <w:rPr>
                <w:sz w:val="20"/>
                <w:lang w:val="fr-CA"/>
              </w:rPr>
              <w:t>23 janvier 2023</w:t>
            </w:r>
          </w:p>
          <w:p w:rsidR="00880679" w:rsidRPr="000A2294" w:rsidRDefault="00880679" w:rsidP="00880679">
            <w:pPr>
              <w:keepNext/>
              <w:keepLines/>
              <w:jc w:val="both"/>
              <w:rPr>
                <w:sz w:val="20"/>
                <w:lang w:val="fr-CA"/>
              </w:rPr>
            </w:pPr>
            <w:r w:rsidRPr="000A2294">
              <w:rPr>
                <w:sz w:val="20"/>
                <w:lang w:val="fr-CA"/>
              </w:rPr>
              <w:t>Cour d’appel de la Colombie-Britannique</w:t>
            </w:r>
          </w:p>
          <w:p w:rsidR="00880679" w:rsidRPr="000A2294" w:rsidRDefault="00880679" w:rsidP="00880679">
            <w:pPr>
              <w:keepNext/>
              <w:keepLines/>
              <w:jc w:val="both"/>
              <w:rPr>
                <w:sz w:val="20"/>
                <w:lang w:val="fr-CA"/>
              </w:rPr>
            </w:pPr>
            <w:r w:rsidRPr="000A2294">
              <w:rPr>
                <w:sz w:val="20"/>
                <w:lang w:val="fr-CA"/>
              </w:rPr>
              <w:t>(Vancouver)</w:t>
            </w:r>
          </w:p>
          <w:p w:rsidR="00880679" w:rsidRPr="000A2294" w:rsidRDefault="00880679" w:rsidP="00880679">
            <w:pPr>
              <w:keepNext/>
              <w:keepLines/>
              <w:jc w:val="both"/>
              <w:rPr>
                <w:sz w:val="20"/>
                <w:lang w:val="fr-CA"/>
              </w:rPr>
            </w:pPr>
            <w:r w:rsidRPr="000A2294">
              <w:rPr>
                <w:sz w:val="20"/>
                <w:lang w:val="fr-CA"/>
              </w:rPr>
              <w:t>(Juges Willcock, Abrioux et Marchand)</w:t>
            </w:r>
          </w:p>
          <w:p w:rsidR="00880679" w:rsidRPr="000A2294" w:rsidRDefault="00F935FF" w:rsidP="00880679">
            <w:pPr>
              <w:jc w:val="both"/>
              <w:rPr>
                <w:sz w:val="20"/>
                <w:u w:val="single"/>
                <w:lang w:val="fr-CA"/>
              </w:rPr>
            </w:pPr>
            <w:hyperlink r:id="rId144" w:history="1">
              <w:r w:rsidR="00880679" w:rsidRPr="000A2294">
                <w:rPr>
                  <w:color w:val="4F81BD" w:themeColor="accent1"/>
                  <w:sz w:val="20"/>
                  <w:u w:val="single"/>
                  <w:lang w:val="fr-CA"/>
                </w:rPr>
                <w:t>2023 BCCA 32</w:t>
              </w:r>
            </w:hyperlink>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Dépôt de motifs supplémentaires pour confirmer certains points dans l’arrêt du 13 septembre, notamment que l’admissibilité de l’affidavit de M. Brusatore avait été confirmée à l’égard de la requête d’Affinor, mais demeurait non tranchée à l’égard des autres requêtes.</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22 février 2023</w:t>
            </w:r>
          </w:p>
          <w:p w:rsidR="00880679" w:rsidRPr="000A2294" w:rsidRDefault="00880679" w:rsidP="00880679">
            <w:pPr>
              <w:jc w:val="both"/>
              <w:rPr>
                <w:sz w:val="20"/>
                <w:lang w:val="fr-CA"/>
              </w:rPr>
            </w:pPr>
            <w:r w:rsidRPr="000A2294">
              <w:rPr>
                <w:sz w:val="20"/>
                <w:lang w:val="fr-CA"/>
              </w:rPr>
              <w:t>Cour suprême du Canada</w:t>
            </w: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 xml:space="preserve">Dépôt de la requête en prorogation de délai et de la demande d’autorisation d’appel. </w:t>
            </w:r>
          </w:p>
        </w:tc>
      </w:tr>
    </w:tbl>
    <w:p w:rsidR="00880679" w:rsidRPr="000A2294" w:rsidRDefault="00880679" w:rsidP="00880679">
      <w:pPr>
        <w:jc w:val="both"/>
        <w:rPr>
          <w:sz w:val="20"/>
          <w:lang w:val="fr-CA"/>
        </w:rPr>
      </w:pPr>
    </w:p>
    <w:p w:rsidR="00880679" w:rsidRPr="000A2294" w:rsidRDefault="00F935FF" w:rsidP="00880679">
      <w:pPr>
        <w:jc w:val="both"/>
        <w:rPr>
          <w:sz w:val="20"/>
          <w:lang w:val="fr-CA"/>
        </w:rPr>
      </w:pPr>
      <w:r>
        <w:rPr>
          <w:sz w:val="20"/>
        </w:rPr>
        <w:pict>
          <v:rect id="_x0000_i1070" style="width:2in;height:1pt" o:hrpct="0" o:hralign="center" o:hrstd="t" o:hrnoshade="t" o:hr="t" fillcolor="black [3213]" stroked="f"/>
        </w:pict>
      </w:r>
    </w:p>
    <w:p w:rsidR="00880679" w:rsidRPr="000A2294" w:rsidRDefault="00880679" w:rsidP="0088067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0A2294" w:rsidTr="00701BD4">
        <w:tc>
          <w:tcPr>
            <w:tcW w:w="543" w:type="pct"/>
          </w:tcPr>
          <w:p w:rsidR="00880679" w:rsidRPr="000A2294" w:rsidRDefault="00880679" w:rsidP="00880679">
            <w:pPr>
              <w:jc w:val="both"/>
              <w:rPr>
                <w:sz w:val="20"/>
                <w:lang w:val="en-CA"/>
              </w:rPr>
            </w:pPr>
            <w:r w:rsidRPr="000A2294">
              <w:rPr>
                <w:rStyle w:val="SCCFileNumberChar"/>
                <w:sz w:val="20"/>
                <w:szCs w:val="20"/>
              </w:rPr>
              <w:t>40380</w:t>
            </w:r>
          </w:p>
        </w:tc>
        <w:tc>
          <w:tcPr>
            <w:tcW w:w="4457" w:type="pct"/>
            <w:gridSpan w:val="3"/>
          </w:tcPr>
          <w:p w:rsidR="00880679" w:rsidRPr="000A2294" w:rsidRDefault="00880679" w:rsidP="00880679">
            <w:pPr>
              <w:pStyle w:val="SCCLsocParty"/>
              <w:jc w:val="both"/>
              <w:rPr>
                <w:b/>
                <w:sz w:val="20"/>
                <w:szCs w:val="20"/>
                <w:lang w:val="en-CA"/>
              </w:rPr>
            </w:pPr>
            <w:r w:rsidRPr="000A2294">
              <w:rPr>
                <w:b/>
                <w:sz w:val="20"/>
                <w:szCs w:val="20"/>
                <w:lang w:val="en-CA"/>
              </w:rPr>
              <w:t>Jonathan Lafrenière-Milot v. His Majesty the King</w:t>
            </w:r>
          </w:p>
          <w:p w:rsidR="00880679" w:rsidRPr="000A2294" w:rsidRDefault="00880679" w:rsidP="00880679">
            <w:pPr>
              <w:jc w:val="both"/>
              <w:rPr>
                <w:sz w:val="20"/>
                <w:lang w:val="en-CA"/>
              </w:rPr>
            </w:pPr>
            <w:r w:rsidRPr="000A2294">
              <w:rPr>
                <w:sz w:val="20"/>
                <w:lang w:val="en-CA"/>
              </w:rPr>
              <w:t>(Que.) (Criminal) (By Leave)</w:t>
            </w:r>
          </w:p>
        </w:tc>
      </w:tr>
      <w:tr w:rsidR="00880679" w:rsidRPr="000A2294" w:rsidTr="00701BD4">
        <w:tc>
          <w:tcPr>
            <w:tcW w:w="5000" w:type="pct"/>
            <w:gridSpan w:val="4"/>
          </w:tcPr>
          <w:p w:rsidR="00880679" w:rsidRPr="000A2294" w:rsidRDefault="00880679" w:rsidP="00880679">
            <w:pPr>
              <w:jc w:val="both"/>
              <w:rPr>
                <w:sz w:val="20"/>
                <w:lang w:val="en-CA"/>
              </w:rPr>
            </w:pPr>
            <w:proofErr w:type="gramStart"/>
            <w:r w:rsidRPr="000A2294">
              <w:rPr>
                <w:sz w:val="20"/>
                <w:lang w:val="en-CA"/>
              </w:rPr>
              <w:t>Criminal law — Self-defence — Homicide committed in course of drug transaction — Defence of self</w:t>
            </w:r>
            <w:r w:rsidRPr="000A2294">
              <w:rPr>
                <w:sz w:val="20"/>
                <w:lang w:val="en-CA"/>
              </w:rPr>
              <w:noBreakHyphen/>
              <w:t xml:space="preserve">defence raised — Whether second condition for defence set out in s. 34(b) of </w:t>
            </w:r>
            <w:r w:rsidRPr="000A2294">
              <w:rPr>
                <w:i/>
                <w:sz w:val="20"/>
                <w:lang w:val="en-CA"/>
              </w:rPr>
              <w:t>Criminal Code</w:t>
            </w:r>
            <w:r w:rsidRPr="000A2294">
              <w:rPr>
                <w:sz w:val="20"/>
                <w:lang w:val="en-CA"/>
              </w:rPr>
              <w:t xml:space="preserve"> is met where accused’s acts were solely defensive, or whether it is sufficient for there to be reasonable doubt that accused’s acts were partly defensive — In analysis of third condition for defence set out in s. 34(c) of </w:t>
            </w:r>
            <w:r w:rsidRPr="000A2294">
              <w:rPr>
                <w:i/>
                <w:sz w:val="20"/>
                <w:lang w:val="en-CA"/>
              </w:rPr>
              <w:t>Criminal Code</w:t>
            </w:r>
            <w:r w:rsidRPr="000A2294">
              <w:rPr>
                <w:sz w:val="20"/>
                <w:lang w:val="en-CA"/>
              </w:rPr>
              <w:t xml:space="preserve">, whether proportionality criterion in s. 34(2)(g) of </w:t>
            </w:r>
            <w:r w:rsidRPr="000A2294">
              <w:rPr>
                <w:i/>
                <w:sz w:val="20"/>
                <w:lang w:val="en-CA"/>
              </w:rPr>
              <w:t>Criminal Code</w:t>
            </w:r>
            <w:r w:rsidRPr="000A2294">
              <w:rPr>
                <w:sz w:val="20"/>
                <w:lang w:val="en-CA"/>
              </w:rPr>
              <w:t xml:space="preserve"> can be assessed in light of facts unknown to accused at time of events — In analysis of proportionality criterion in s. 34(2)(g) of </w:t>
            </w:r>
            <w:r w:rsidRPr="000A2294">
              <w:rPr>
                <w:i/>
                <w:sz w:val="20"/>
                <w:lang w:val="en-CA"/>
              </w:rPr>
              <w:t>Criminal Code</w:t>
            </w:r>
            <w:r w:rsidRPr="000A2294">
              <w:rPr>
                <w:sz w:val="20"/>
                <w:lang w:val="en-CA"/>
              </w:rPr>
              <w:t xml:space="preserve">, whether only force used against accused must be taken into account or whether force reasonably apprehended by accused must be taken into account — </w:t>
            </w:r>
            <w:r w:rsidRPr="000A2294">
              <w:rPr>
                <w:i/>
                <w:sz w:val="20"/>
                <w:lang w:val="en-CA"/>
              </w:rPr>
              <w:t>Criminal Code</w:t>
            </w:r>
            <w:r w:rsidRPr="000A2294">
              <w:rPr>
                <w:sz w:val="20"/>
                <w:lang w:val="en-CA"/>
              </w:rPr>
              <w:t>, R.S.C. 1985, c. C-46, s. 34(1) and (2).</w:t>
            </w:r>
            <w:proofErr w:type="gramEnd"/>
          </w:p>
        </w:tc>
      </w:tr>
      <w:tr w:rsidR="00880679" w:rsidRPr="000A2294" w:rsidTr="00701BD4">
        <w:tc>
          <w:tcPr>
            <w:tcW w:w="5000" w:type="pct"/>
            <w:gridSpan w:val="4"/>
          </w:tcPr>
          <w:p w:rsidR="00880679" w:rsidRPr="000A2294" w:rsidRDefault="00880679" w:rsidP="00880679">
            <w:pPr>
              <w:jc w:val="both"/>
              <w:rPr>
                <w:sz w:val="20"/>
                <w:lang w:val="en-CA"/>
              </w:rPr>
            </w:pPr>
          </w:p>
          <w:p w:rsidR="00880679" w:rsidRPr="000A2294" w:rsidRDefault="00880679" w:rsidP="00880679">
            <w:pPr>
              <w:jc w:val="both"/>
              <w:rPr>
                <w:sz w:val="20"/>
                <w:lang w:val="en-CA"/>
              </w:rPr>
            </w:pPr>
            <w:r w:rsidRPr="000A2294">
              <w:rPr>
                <w:sz w:val="20"/>
                <w:lang w:val="en-CA"/>
              </w:rPr>
              <w:t xml:space="preserve">The accused, Jonathan Lafrenière-Milot, was involved in a drug transaction and showed up armed with a knife. During the transaction, the victim tried to steal the drugs from Mr. Lafrenière-Milot, who told the victim that he would use his knife if he </w:t>
            </w:r>
            <w:proofErr w:type="gramStart"/>
            <w:r w:rsidRPr="000A2294">
              <w:rPr>
                <w:sz w:val="20"/>
                <w:lang w:val="en-CA"/>
              </w:rPr>
              <w:t>was</w:t>
            </w:r>
            <w:proofErr w:type="gramEnd"/>
            <w:r w:rsidRPr="000A2294">
              <w:rPr>
                <w:sz w:val="20"/>
                <w:lang w:val="en-CA"/>
              </w:rPr>
              <w:t xml:space="preserve"> not paid. The victim then tried to punch Mr. Lafrenière-Milot, who reacted by avoiding the blow and stabbing the victim with the knife, causing a fatal injury. </w:t>
            </w:r>
          </w:p>
          <w:p w:rsidR="00880679" w:rsidRPr="000A2294" w:rsidRDefault="00880679" w:rsidP="00880679">
            <w:pPr>
              <w:jc w:val="both"/>
              <w:rPr>
                <w:sz w:val="20"/>
                <w:lang w:val="en-CA"/>
              </w:rPr>
            </w:pPr>
          </w:p>
          <w:p w:rsidR="00880679" w:rsidRPr="000A2294" w:rsidRDefault="00880679" w:rsidP="00880679">
            <w:pPr>
              <w:jc w:val="both"/>
              <w:rPr>
                <w:sz w:val="20"/>
                <w:lang w:val="en-CA"/>
              </w:rPr>
            </w:pPr>
            <w:r w:rsidRPr="000A2294">
              <w:rPr>
                <w:sz w:val="20"/>
                <w:lang w:val="en-CA"/>
              </w:rPr>
              <w:t>The trial judge rejected the accused’s defence of self-defence and convicted him of cocaine trafficking and manslaughter. The Court of Appeal unanimously upheld the trial judge’s decision and dismissed Mr. Lafrenière-Milot’s appeal.</w:t>
            </w:r>
          </w:p>
        </w:tc>
      </w:tr>
      <w:tr w:rsidR="00880679" w:rsidRPr="000A2294" w:rsidTr="00701BD4">
        <w:tc>
          <w:tcPr>
            <w:tcW w:w="5000" w:type="pct"/>
            <w:gridSpan w:val="4"/>
          </w:tcPr>
          <w:p w:rsidR="00880679" w:rsidRPr="000A2294" w:rsidRDefault="00880679" w:rsidP="00880679">
            <w:pPr>
              <w:jc w:val="both"/>
              <w:rPr>
                <w:sz w:val="20"/>
                <w:lang w:val="en-CA"/>
              </w:rPr>
            </w:pPr>
          </w:p>
        </w:tc>
      </w:tr>
      <w:tr w:rsidR="00880679" w:rsidRPr="000A2294" w:rsidTr="00701BD4">
        <w:tc>
          <w:tcPr>
            <w:tcW w:w="2427" w:type="pct"/>
            <w:gridSpan w:val="2"/>
          </w:tcPr>
          <w:p w:rsidR="00880679" w:rsidRPr="000A2294" w:rsidRDefault="00880679" w:rsidP="00880679">
            <w:pPr>
              <w:jc w:val="both"/>
              <w:rPr>
                <w:sz w:val="20"/>
                <w:lang w:val="en-CA"/>
              </w:rPr>
            </w:pPr>
            <w:r w:rsidRPr="000A2294">
              <w:rPr>
                <w:sz w:val="20"/>
                <w:lang w:val="en-CA"/>
              </w:rPr>
              <w:t>January 24, 2020</w:t>
            </w:r>
          </w:p>
          <w:p w:rsidR="00880679" w:rsidRPr="000A2294" w:rsidRDefault="00880679" w:rsidP="00880679">
            <w:pPr>
              <w:jc w:val="both"/>
              <w:rPr>
                <w:sz w:val="20"/>
                <w:lang w:val="en-CA"/>
              </w:rPr>
            </w:pPr>
            <w:r w:rsidRPr="000A2294">
              <w:rPr>
                <w:sz w:val="20"/>
                <w:lang w:val="en-CA"/>
              </w:rPr>
              <w:t>Court of Québec</w:t>
            </w:r>
          </w:p>
          <w:p w:rsidR="00880679" w:rsidRPr="000A2294" w:rsidRDefault="00880679" w:rsidP="00880679">
            <w:pPr>
              <w:jc w:val="both"/>
              <w:rPr>
                <w:sz w:val="20"/>
                <w:lang w:val="en-CA"/>
              </w:rPr>
            </w:pPr>
            <w:r w:rsidRPr="000A2294">
              <w:rPr>
                <w:sz w:val="20"/>
                <w:lang w:val="en-CA"/>
              </w:rPr>
              <w:t>(Judge Vanchestein)</w:t>
            </w:r>
          </w:p>
          <w:p w:rsidR="00880679" w:rsidRPr="000A2294" w:rsidRDefault="00F935FF" w:rsidP="00880679">
            <w:pPr>
              <w:jc w:val="both"/>
              <w:rPr>
                <w:sz w:val="20"/>
                <w:lang w:val="en-CA"/>
              </w:rPr>
            </w:pPr>
            <w:hyperlink r:id="rId145" w:history="1">
              <w:r w:rsidR="00880679" w:rsidRPr="000A2294">
                <w:rPr>
                  <w:rStyle w:val="Hyperlink"/>
                  <w:sz w:val="20"/>
                  <w:lang w:val="en-CA"/>
                </w:rPr>
                <w:t>2020 QCCQ 181</w:t>
              </w:r>
            </w:hyperlink>
          </w:p>
          <w:p w:rsidR="00880679" w:rsidRPr="000A2294" w:rsidRDefault="00880679" w:rsidP="00880679">
            <w:pPr>
              <w:jc w:val="both"/>
              <w:rPr>
                <w:sz w:val="20"/>
                <w:lang w:val="en-CA"/>
              </w:rPr>
            </w:pPr>
          </w:p>
        </w:tc>
        <w:tc>
          <w:tcPr>
            <w:tcW w:w="243" w:type="pct"/>
          </w:tcPr>
          <w:p w:rsidR="00880679" w:rsidRPr="000A2294" w:rsidRDefault="00880679" w:rsidP="00880679">
            <w:pPr>
              <w:jc w:val="both"/>
              <w:rPr>
                <w:sz w:val="20"/>
                <w:lang w:val="en-CA"/>
              </w:rPr>
            </w:pPr>
          </w:p>
        </w:tc>
        <w:tc>
          <w:tcPr>
            <w:tcW w:w="2330" w:type="pct"/>
          </w:tcPr>
          <w:p w:rsidR="00880679" w:rsidRPr="000A2294" w:rsidRDefault="00880679" w:rsidP="00880679">
            <w:pPr>
              <w:jc w:val="both"/>
              <w:rPr>
                <w:sz w:val="20"/>
                <w:lang w:val="en-CA"/>
              </w:rPr>
            </w:pPr>
            <w:r w:rsidRPr="000A2294">
              <w:rPr>
                <w:sz w:val="20"/>
                <w:lang w:val="en-CA"/>
              </w:rPr>
              <w:t xml:space="preserve">Mr. Lafrenière-Milot convicted of cocaine trafficking and manslaughter </w:t>
            </w:r>
          </w:p>
          <w:p w:rsidR="00880679" w:rsidRPr="000A2294" w:rsidRDefault="00880679" w:rsidP="00880679">
            <w:pPr>
              <w:jc w:val="both"/>
              <w:rPr>
                <w:sz w:val="20"/>
                <w:lang w:val="en-CA"/>
              </w:rPr>
            </w:pPr>
          </w:p>
        </w:tc>
      </w:tr>
      <w:tr w:rsidR="00880679" w:rsidRPr="000A2294" w:rsidTr="00701BD4">
        <w:tc>
          <w:tcPr>
            <w:tcW w:w="2427" w:type="pct"/>
            <w:gridSpan w:val="2"/>
          </w:tcPr>
          <w:p w:rsidR="00880679" w:rsidRPr="000A2294" w:rsidRDefault="00880679" w:rsidP="00880679">
            <w:pPr>
              <w:jc w:val="both"/>
              <w:rPr>
                <w:sz w:val="20"/>
                <w:lang w:val="en-CA"/>
              </w:rPr>
            </w:pPr>
            <w:r w:rsidRPr="000A2294">
              <w:rPr>
                <w:sz w:val="20"/>
                <w:lang w:val="en-CA"/>
              </w:rPr>
              <w:t>July 25, 2022</w:t>
            </w:r>
          </w:p>
          <w:p w:rsidR="00880679" w:rsidRPr="000A2294" w:rsidRDefault="00880679" w:rsidP="00880679">
            <w:pPr>
              <w:jc w:val="both"/>
              <w:rPr>
                <w:sz w:val="20"/>
                <w:lang w:val="en-CA"/>
              </w:rPr>
            </w:pPr>
            <w:r w:rsidRPr="000A2294">
              <w:rPr>
                <w:sz w:val="20"/>
                <w:lang w:val="en-CA"/>
              </w:rPr>
              <w:t>Quebec Court of Appeal (Montréal)</w:t>
            </w:r>
          </w:p>
          <w:p w:rsidR="00880679" w:rsidRPr="000A2294" w:rsidRDefault="00880679" w:rsidP="00880679">
            <w:pPr>
              <w:jc w:val="both"/>
              <w:rPr>
                <w:sz w:val="20"/>
                <w:lang w:val="en-CA"/>
              </w:rPr>
            </w:pPr>
            <w:r w:rsidRPr="000A2294">
              <w:rPr>
                <w:sz w:val="20"/>
                <w:lang w:val="en-CA"/>
              </w:rPr>
              <w:t>(Vauclair, Sansfaçon and Bachand JJ.A.)</w:t>
            </w:r>
          </w:p>
          <w:p w:rsidR="00880679" w:rsidRPr="000A2294" w:rsidRDefault="00F935FF" w:rsidP="00880679">
            <w:pPr>
              <w:jc w:val="both"/>
              <w:rPr>
                <w:sz w:val="20"/>
                <w:lang w:val="en-CA"/>
              </w:rPr>
            </w:pPr>
            <w:hyperlink r:id="rId146" w:history="1">
              <w:r w:rsidR="00880679" w:rsidRPr="000A2294">
                <w:rPr>
                  <w:rStyle w:val="Hyperlink"/>
                  <w:sz w:val="20"/>
                  <w:lang w:val="en-CA"/>
                </w:rPr>
                <w:t>2022 QCCA 1015</w:t>
              </w:r>
            </w:hyperlink>
            <w:r w:rsidR="00880679" w:rsidRPr="000A2294">
              <w:rPr>
                <w:sz w:val="20"/>
                <w:lang w:val="en-CA"/>
              </w:rPr>
              <w:t xml:space="preserve"> </w:t>
            </w:r>
          </w:p>
          <w:p w:rsidR="00880679" w:rsidRPr="000A2294" w:rsidRDefault="00880679" w:rsidP="00880679">
            <w:pPr>
              <w:jc w:val="both"/>
              <w:rPr>
                <w:sz w:val="20"/>
                <w:lang w:val="en-CA"/>
              </w:rPr>
            </w:pPr>
          </w:p>
        </w:tc>
        <w:tc>
          <w:tcPr>
            <w:tcW w:w="243" w:type="pct"/>
          </w:tcPr>
          <w:p w:rsidR="00880679" w:rsidRPr="000A2294" w:rsidRDefault="00880679" w:rsidP="00880679">
            <w:pPr>
              <w:jc w:val="both"/>
              <w:rPr>
                <w:sz w:val="20"/>
                <w:lang w:val="en-CA"/>
              </w:rPr>
            </w:pPr>
          </w:p>
        </w:tc>
        <w:tc>
          <w:tcPr>
            <w:tcW w:w="2330" w:type="pct"/>
          </w:tcPr>
          <w:p w:rsidR="00880679" w:rsidRPr="000A2294" w:rsidRDefault="00880679" w:rsidP="00880679">
            <w:pPr>
              <w:jc w:val="both"/>
              <w:rPr>
                <w:sz w:val="20"/>
                <w:lang w:val="en-CA"/>
              </w:rPr>
            </w:pPr>
            <w:r w:rsidRPr="000A2294">
              <w:rPr>
                <w:sz w:val="20"/>
                <w:lang w:val="en-CA"/>
              </w:rPr>
              <w:t>Mr. Lafrenière-Milot’s appeal dismissed</w:t>
            </w:r>
          </w:p>
          <w:p w:rsidR="00880679" w:rsidRPr="000A2294" w:rsidRDefault="00880679" w:rsidP="00880679">
            <w:pPr>
              <w:jc w:val="both"/>
              <w:rPr>
                <w:sz w:val="20"/>
                <w:lang w:val="en-CA"/>
              </w:rPr>
            </w:pPr>
          </w:p>
        </w:tc>
      </w:tr>
      <w:tr w:rsidR="00880679" w:rsidRPr="000A2294" w:rsidTr="00701BD4">
        <w:tc>
          <w:tcPr>
            <w:tcW w:w="2427" w:type="pct"/>
            <w:gridSpan w:val="2"/>
          </w:tcPr>
          <w:p w:rsidR="00880679" w:rsidRPr="000A2294" w:rsidRDefault="00880679" w:rsidP="00880679">
            <w:pPr>
              <w:jc w:val="both"/>
              <w:rPr>
                <w:sz w:val="20"/>
                <w:lang w:val="en-CA"/>
              </w:rPr>
            </w:pPr>
            <w:r w:rsidRPr="000A2294">
              <w:rPr>
                <w:sz w:val="20"/>
                <w:lang w:val="en-CA"/>
              </w:rPr>
              <w:t>September 29, 2022</w:t>
            </w:r>
          </w:p>
          <w:p w:rsidR="00880679" w:rsidRPr="000A2294" w:rsidRDefault="00880679" w:rsidP="00880679">
            <w:pPr>
              <w:jc w:val="both"/>
              <w:rPr>
                <w:sz w:val="20"/>
                <w:lang w:val="en-CA"/>
              </w:rPr>
            </w:pPr>
            <w:r w:rsidRPr="000A2294">
              <w:rPr>
                <w:sz w:val="20"/>
                <w:lang w:val="en-CA"/>
              </w:rPr>
              <w:t>Supreme Court of Canada</w:t>
            </w:r>
          </w:p>
        </w:tc>
        <w:tc>
          <w:tcPr>
            <w:tcW w:w="243" w:type="pct"/>
          </w:tcPr>
          <w:p w:rsidR="00880679" w:rsidRPr="000A2294" w:rsidRDefault="00880679" w:rsidP="00880679">
            <w:pPr>
              <w:jc w:val="both"/>
              <w:rPr>
                <w:sz w:val="20"/>
                <w:lang w:val="en-CA"/>
              </w:rPr>
            </w:pPr>
          </w:p>
        </w:tc>
        <w:tc>
          <w:tcPr>
            <w:tcW w:w="2330" w:type="pct"/>
          </w:tcPr>
          <w:p w:rsidR="00880679" w:rsidRPr="000A2294" w:rsidRDefault="00880679" w:rsidP="00880679">
            <w:pPr>
              <w:jc w:val="both"/>
              <w:rPr>
                <w:sz w:val="20"/>
                <w:lang w:val="en-CA"/>
              </w:rPr>
            </w:pPr>
            <w:r w:rsidRPr="000A2294">
              <w:rPr>
                <w:sz w:val="20"/>
                <w:lang w:val="en-CA"/>
              </w:rPr>
              <w:t>Application for leave to appeal filed by Mr. Lafrenière-Milot</w:t>
            </w:r>
          </w:p>
        </w:tc>
      </w:tr>
    </w:tbl>
    <w:p w:rsidR="00880679" w:rsidRPr="000A2294" w:rsidRDefault="00880679" w:rsidP="00880679">
      <w:pPr>
        <w:jc w:val="both"/>
        <w:rPr>
          <w:sz w:val="20"/>
          <w:lang w:val="en-CA"/>
        </w:rPr>
      </w:pPr>
    </w:p>
    <w:p w:rsidR="00880679" w:rsidRPr="000A2294" w:rsidRDefault="00F935FF" w:rsidP="00880679">
      <w:pPr>
        <w:jc w:val="both"/>
        <w:rPr>
          <w:sz w:val="20"/>
          <w:lang w:val="en-CA"/>
        </w:rPr>
      </w:pPr>
      <w:r>
        <w:rPr>
          <w:sz w:val="20"/>
        </w:rPr>
        <w:pict>
          <v:rect id="_x0000_i1071" style="width:2in;height:1pt" o:hrpct="0" o:hralign="center" o:hrstd="t" o:hrnoshade="t" o:hr="t" fillcolor="black [3213]" stroked="f"/>
        </w:pict>
      </w:r>
    </w:p>
    <w:p w:rsidR="00880679" w:rsidRPr="000A2294" w:rsidRDefault="00880679" w:rsidP="0088067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0A2294" w:rsidTr="00701BD4">
        <w:tc>
          <w:tcPr>
            <w:tcW w:w="543" w:type="pct"/>
          </w:tcPr>
          <w:p w:rsidR="00880679" w:rsidRPr="000A2294" w:rsidRDefault="00880679" w:rsidP="00880679">
            <w:pPr>
              <w:jc w:val="both"/>
              <w:rPr>
                <w:sz w:val="20"/>
              </w:rPr>
            </w:pPr>
            <w:r w:rsidRPr="000A2294">
              <w:rPr>
                <w:rStyle w:val="SCCFileNumberChar"/>
                <w:sz w:val="20"/>
                <w:szCs w:val="20"/>
              </w:rPr>
              <w:t>40380</w:t>
            </w:r>
          </w:p>
        </w:tc>
        <w:tc>
          <w:tcPr>
            <w:tcW w:w="4457" w:type="pct"/>
            <w:gridSpan w:val="3"/>
          </w:tcPr>
          <w:p w:rsidR="00880679" w:rsidRPr="000A2294" w:rsidRDefault="00880679" w:rsidP="00880679">
            <w:pPr>
              <w:pStyle w:val="SCCLsocParty"/>
              <w:jc w:val="both"/>
              <w:rPr>
                <w:b/>
                <w:sz w:val="20"/>
                <w:szCs w:val="20"/>
              </w:rPr>
            </w:pPr>
            <w:r w:rsidRPr="000A2294">
              <w:rPr>
                <w:b/>
                <w:sz w:val="20"/>
                <w:szCs w:val="20"/>
              </w:rPr>
              <w:t>Jonathan Lafrenière-Milot c. Sa Majesté le Roi</w:t>
            </w:r>
          </w:p>
          <w:p w:rsidR="00880679" w:rsidRPr="000A2294" w:rsidRDefault="00880679" w:rsidP="00880679">
            <w:pPr>
              <w:jc w:val="both"/>
              <w:rPr>
                <w:sz w:val="20"/>
              </w:rPr>
            </w:pPr>
            <w:r w:rsidRPr="000A2294">
              <w:rPr>
                <w:sz w:val="20"/>
              </w:rPr>
              <w:t>(Qc) (Criminelle) (Autorisation)</w:t>
            </w:r>
          </w:p>
        </w:tc>
      </w:tr>
      <w:tr w:rsidR="00880679" w:rsidRPr="00F935FF" w:rsidTr="00701BD4">
        <w:tc>
          <w:tcPr>
            <w:tcW w:w="5000" w:type="pct"/>
            <w:gridSpan w:val="4"/>
          </w:tcPr>
          <w:p w:rsidR="00880679" w:rsidRPr="000A2294" w:rsidRDefault="00880679" w:rsidP="00880679">
            <w:pPr>
              <w:jc w:val="both"/>
              <w:rPr>
                <w:sz w:val="20"/>
                <w:lang w:val="fr-CA"/>
              </w:rPr>
            </w:pPr>
            <w:r w:rsidRPr="000A2294">
              <w:rPr>
                <w:sz w:val="20"/>
                <w:lang w:val="fr-CA"/>
              </w:rPr>
              <w:t xml:space="preserve">Droit criminel — Légitime défense — Homicide commis dans le cadre d’une transaction de drogues — Moyen de défense invoqué de légitime défense — La deuxième condition de la défense prévue au </w:t>
            </w:r>
            <w:proofErr w:type="spellStart"/>
            <w:r w:rsidRPr="000A2294">
              <w:rPr>
                <w:sz w:val="20"/>
                <w:lang w:val="fr-CA"/>
              </w:rPr>
              <w:t>par</w:t>
            </w:r>
            <w:proofErr w:type="spellEnd"/>
            <w:r w:rsidRPr="000A2294">
              <w:rPr>
                <w:sz w:val="20"/>
                <w:lang w:val="fr-CA"/>
              </w:rPr>
              <w:t xml:space="preserve">. 34(b) du </w:t>
            </w:r>
            <w:r w:rsidRPr="000A2294">
              <w:rPr>
                <w:i/>
                <w:sz w:val="20"/>
                <w:lang w:val="fr-CA"/>
              </w:rPr>
              <w:t>Code criminel</w:t>
            </w:r>
            <w:r w:rsidRPr="000A2294">
              <w:rPr>
                <w:sz w:val="20"/>
                <w:lang w:val="fr-CA"/>
              </w:rPr>
              <w:t xml:space="preserve"> est-elle remplie si les actes de l’accusé étaient uniquement défensifs, ou est-il suffisant qu’il subsiste un doute raisonnable à l’effet qu’il était en partie défensif? — Lors de l’analyse de la troisième condition de la défense prévue au </w:t>
            </w:r>
            <w:proofErr w:type="spellStart"/>
            <w:r w:rsidRPr="000A2294">
              <w:rPr>
                <w:sz w:val="20"/>
                <w:lang w:val="fr-CA"/>
              </w:rPr>
              <w:t>par</w:t>
            </w:r>
            <w:proofErr w:type="spellEnd"/>
            <w:r w:rsidRPr="000A2294">
              <w:rPr>
                <w:sz w:val="20"/>
                <w:lang w:val="fr-CA"/>
              </w:rPr>
              <w:t xml:space="preserve">. 34(c) du </w:t>
            </w:r>
            <w:r w:rsidRPr="000A2294">
              <w:rPr>
                <w:i/>
                <w:sz w:val="20"/>
                <w:lang w:val="fr-CA"/>
              </w:rPr>
              <w:t>Code criminel</w:t>
            </w:r>
            <w:r w:rsidRPr="000A2294">
              <w:rPr>
                <w:sz w:val="20"/>
                <w:lang w:val="fr-CA"/>
              </w:rPr>
              <w:t xml:space="preserve">, le critère de proportionnalité prévu à l’al. 34(2)g) du </w:t>
            </w:r>
            <w:r w:rsidRPr="000A2294">
              <w:rPr>
                <w:i/>
                <w:sz w:val="20"/>
                <w:lang w:val="fr-CA"/>
              </w:rPr>
              <w:t>Code criminel</w:t>
            </w:r>
            <w:r w:rsidRPr="000A2294">
              <w:rPr>
                <w:sz w:val="20"/>
                <w:lang w:val="fr-CA"/>
              </w:rPr>
              <w:t xml:space="preserve"> peut-il être analysé à la lumière d’éléments qui n’étaient pas à la connaissance de l’accusé lors des évènements? — Lors de l’analyse du critère de proportionnalité prévu à l’al. 34(2)g) du </w:t>
            </w:r>
            <w:r w:rsidRPr="000A2294">
              <w:rPr>
                <w:i/>
                <w:sz w:val="20"/>
                <w:lang w:val="fr-CA"/>
              </w:rPr>
              <w:t>Code criminel</w:t>
            </w:r>
            <w:r w:rsidRPr="000A2294">
              <w:rPr>
                <w:sz w:val="20"/>
                <w:lang w:val="fr-CA"/>
              </w:rPr>
              <w:t xml:space="preserve">, doit-on tenir compte uniquement de la force utilisée contre l’accusé, ou doit-on tenir compte de la force raisonnablement appréhendée par l’accusé? — </w:t>
            </w:r>
            <w:r w:rsidRPr="000A2294">
              <w:rPr>
                <w:i/>
                <w:sz w:val="20"/>
                <w:lang w:val="fr-CA"/>
              </w:rPr>
              <w:t>Code criminel</w:t>
            </w:r>
            <w:r w:rsidRPr="000A2294">
              <w:rPr>
                <w:sz w:val="20"/>
                <w:lang w:val="fr-CA"/>
              </w:rPr>
              <w:t>, L.R.C. 1985, c. C-46, art. 34(1), art. 34(2).</w:t>
            </w:r>
          </w:p>
        </w:tc>
      </w:tr>
      <w:tr w:rsidR="00880679" w:rsidRPr="00F935FF" w:rsidTr="00701BD4">
        <w:tc>
          <w:tcPr>
            <w:tcW w:w="5000" w:type="pct"/>
            <w:gridSpan w:val="4"/>
          </w:tcPr>
          <w:p w:rsidR="00880679" w:rsidRPr="000A2294" w:rsidRDefault="00880679" w:rsidP="00880679">
            <w:pPr>
              <w:jc w:val="both"/>
              <w:rPr>
                <w:sz w:val="20"/>
                <w:lang w:val="fr-CA"/>
              </w:rPr>
            </w:pPr>
          </w:p>
          <w:p w:rsidR="00880679" w:rsidRPr="000A2294" w:rsidRDefault="00880679" w:rsidP="00880679">
            <w:pPr>
              <w:jc w:val="both"/>
              <w:rPr>
                <w:sz w:val="20"/>
                <w:lang w:val="fr-CA"/>
              </w:rPr>
            </w:pPr>
            <w:r w:rsidRPr="000A2294">
              <w:rPr>
                <w:sz w:val="20"/>
                <w:lang w:val="fr-CA"/>
              </w:rPr>
              <w:t xml:space="preserve">L’accusé, Jonathan Lafrenière-Milot est impliqué dans une transaction de drogue au cours de laquelle il s’est présenté armé d’un couteau. Au cours de la transaction, la victime tente de lui voler la drogue, et M. Lafrenière-Milot lui dit qu’il utilisera son couteau s’il n’est pas payé. La victime tente alors de lui donner un coup de poing et M. Lafrenière-Milot réagit en évitant le coup de poing et en poignardant la victime avec le couteau, lui causant une blessure fatale. </w:t>
            </w:r>
          </w:p>
          <w:p w:rsidR="00880679" w:rsidRPr="000A2294" w:rsidRDefault="00880679" w:rsidP="00880679">
            <w:pPr>
              <w:jc w:val="both"/>
              <w:rPr>
                <w:sz w:val="20"/>
                <w:lang w:val="fr-CA"/>
              </w:rPr>
            </w:pPr>
          </w:p>
          <w:p w:rsidR="00880679" w:rsidRPr="000A2294" w:rsidRDefault="00880679" w:rsidP="00880679">
            <w:pPr>
              <w:jc w:val="both"/>
              <w:rPr>
                <w:sz w:val="20"/>
                <w:lang w:val="fr-CA"/>
              </w:rPr>
            </w:pPr>
            <w:r w:rsidRPr="000A2294">
              <w:rPr>
                <w:sz w:val="20"/>
                <w:lang w:val="fr-CA"/>
              </w:rPr>
              <w:t>En rejetant le moyen de défense de légitime défense soulevé par l’accusé, le juge de première instance déclare M. Lafrenière-Milot coupable de trafic de cocaïne, et d’homicide involontaire coupable. La Cour d’appel confirme à l’unanimité la décision du juge de première instance et rejette l’appel de M. Lafrenière-Milot.</w:t>
            </w:r>
          </w:p>
        </w:tc>
      </w:tr>
      <w:tr w:rsidR="00880679" w:rsidRPr="00F935FF" w:rsidTr="00701BD4">
        <w:tc>
          <w:tcPr>
            <w:tcW w:w="5000" w:type="pct"/>
            <w:gridSpan w:val="4"/>
          </w:tcPr>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Le 24 janvier 2020</w:t>
            </w:r>
          </w:p>
          <w:p w:rsidR="00880679" w:rsidRPr="000A2294" w:rsidRDefault="00880679" w:rsidP="00880679">
            <w:pPr>
              <w:jc w:val="both"/>
              <w:rPr>
                <w:sz w:val="20"/>
                <w:lang w:val="fr-CA"/>
              </w:rPr>
            </w:pPr>
            <w:r w:rsidRPr="000A2294">
              <w:rPr>
                <w:sz w:val="20"/>
                <w:lang w:val="fr-CA"/>
              </w:rPr>
              <w:t>Cour du Québec</w:t>
            </w:r>
          </w:p>
          <w:p w:rsidR="00880679" w:rsidRPr="000A2294" w:rsidRDefault="00880679" w:rsidP="00880679">
            <w:pPr>
              <w:jc w:val="both"/>
              <w:rPr>
                <w:sz w:val="20"/>
                <w:lang w:val="fr-CA"/>
              </w:rPr>
            </w:pPr>
            <w:r w:rsidRPr="000A2294">
              <w:rPr>
                <w:sz w:val="20"/>
                <w:lang w:val="fr-CA"/>
              </w:rPr>
              <w:t>(le juge Vanchestein)</w:t>
            </w:r>
          </w:p>
          <w:p w:rsidR="00880679" w:rsidRPr="000A2294" w:rsidRDefault="00F935FF" w:rsidP="00880679">
            <w:pPr>
              <w:jc w:val="both"/>
              <w:rPr>
                <w:sz w:val="20"/>
              </w:rPr>
            </w:pPr>
            <w:hyperlink r:id="rId147" w:history="1">
              <w:r w:rsidR="00880679" w:rsidRPr="000A2294">
                <w:rPr>
                  <w:rStyle w:val="Hyperlink"/>
                  <w:sz w:val="20"/>
                </w:rPr>
                <w:t>2020 QCCQ 181</w:t>
              </w:r>
            </w:hyperlink>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lang w:val="fr-CA"/>
              </w:rPr>
            </w:pPr>
            <w:r w:rsidRPr="000A2294">
              <w:rPr>
                <w:sz w:val="20"/>
                <w:lang w:val="fr-CA"/>
              </w:rPr>
              <w:t xml:space="preserve">Déclaration de culpabilité : M. Lafrenière-Milot est reconnu coupable de trafic de cocaïne et d’homicide involontaire </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Le 25 juillet 2022</w:t>
            </w:r>
          </w:p>
          <w:p w:rsidR="00880679" w:rsidRPr="000A2294" w:rsidRDefault="00880679" w:rsidP="00880679">
            <w:pPr>
              <w:jc w:val="both"/>
              <w:rPr>
                <w:sz w:val="20"/>
                <w:lang w:val="fr-CA"/>
              </w:rPr>
            </w:pPr>
            <w:r w:rsidRPr="000A2294">
              <w:rPr>
                <w:sz w:val="20"/>
                <w:lang w:val="fr-CA"/>
              </w:rPr>
              <w:t>Cour d’appel du Québec (Montréal)</w:t>
            </w:r>
          </w:p>
          <w:p w:rsidR="00880679" w:rsidRPr="000A2294" w:rsidRDefault="00880679" w:rsidP="00880679">
            <w:pPr>
              <w:jc w:val="both"/>
              <w:rPr>
                <w:sz w:val="20"/>
                <w:lang w:val="fr-CA"/>
              </w:rPr>
            </w:pPr>
            <w:r w:rsidRPr="000A2294">
              <w:rPr>
                <w:sz w:val="20"/>
                <w:lang w:val="fr-CA"/>
              </w:rPr>
              <w:t>(les juges Vauclair, Sansfaçon et Bachand)</w:t>
            </w:r>
          </w:p>
          <w:p w:rsidR="00880679" w:rsidRPr="000A2294" w:rsidRDefault="00F935FF" w:rsidP="00880679">
            <w:pPr>
              <w:jc w:val="both"/>
              <w:rPr>
                <w:sz w:val="20"/>
              </w:rPr>
            </w:pPr>
            <w:hyperlink r:id="rId148" w:history="1">
              <w:r w:rsidR="00880679" w:rsidRPr="000A2294">
                <w:rPr>
                  <w:rStyle w:val="Hyperlink"/>
                  <w:sz w:val="20"/>
                </w:rPr>
                <w:t>2022 QCCA 1015</w:t>
              </w:r>
            </w:hyperlink>
            <w:r w:rsidR="00880679" w:rsidRPr="000A2294">
              <w:rPr>
                <w:sz w:val="20"/>
              </w:rPr>
              <w:t xml:space="preserve"> </w:t>
            </w:r>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lang w:val="fr-CA"/>
              </w:rPr>
            </w:pPr>
            <w:r w:rsidRPr="000A2294">
              <w:rPr>
                <w:sz w:val="20"/>
                <w:lang w:val="fr-CA"/>
              </w:rPr>
              <w:t>Appel de M. Lafrenière-Milot — rejeté</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jc w:val="both"/>
              <w:rPr>
                <w:sz w:val="20"/>
                <w:lang w:val="fr-CA"/>
              </w:rPr>
            </w:pPr>
            <w:r w:rsidRPr="000A2294">
              <w:rPr>
                <w:sz w:val="20"/>
                <w:lang w:val="fr-CA"/>
              </w:rPr>
              <w:t>Le 29 septembre 2022</w:t>
            </w:r>
          </w:p>
          <w:p w:rsidR="00880679" w:rsidRPr="000A2294" w:rsidRDefault="00880679" w:rsidP="00880679">
            <w:pPr>
              <w:jc w:val="both"/>
              <w:rPr>
                <w:sz w:val="20"/>
                <w:lang w:val="fr-CA"/>
              </w:rPr>
            </w:pPr>
            <w:r w:rsidRPr="000A2294">
              <w:rPr>
                <w:sz w:val="20"/>
                <w:lang w:val="fr-CA"/>
              </w:rPr>
              <w:t>Cour suprême du Canada</w:t>
            </w: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Demande d’autorisation d’appel déposée par M. Lafrenière-Milot</w:t>
            </w:r>
          </w:p>
        </w:tc>
      </w:tr>
    </w:tbl>
    <w:p w:rsidR="00880679" w:rsidRPr="000A2294" w:rsidRDefault="00880679" w:rsidP="00880679">
      <w:pPr>
        <w:jc w:val="both"/>
        <w:rPr>
          <w:sz w:val="20"/>
          <w:lang w:val="fr-CA"/>
        </w:rPr>
      </w:pPr>
    </w:p>
    <w:p w:rsidR="00880679" w:rsidRPr="000A2294" w:rsidRDefault="00F935FF" w:rsidP="00880679">
      <w:pPr>
        <w:jc w:val="both"/>
        <w:rPr>
          <w:sz w:val="20"/>
          <w:lang w:val="fr-CA"/>
        </w:rPr>
      </w:pPr>
      <w:r>
        <w:rPr>
          <w:sz w:val="20"/>
        </w:rPr>
        <w:pict>
          <v:rect id="_x0000_i1072" style="width:2in;height:1pt" o:hrpct="0" o:hralign="center" o:hrstd="t" o:hrnoshade="t" o:hr="t" fillcolor="black [3213]" stroked="f"/>
        </w:pict>
      </w:r>
    </w:p>
    <w:p w:rsidR="00880679" w:rsidRPr="000A2294" w:rsidRDefault="00880679" w:rsidP="0088067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0A2294" w:rsidTr="00701BD4">
        <w:tc>
          <w:tcPr>
            <w:tcW w:w="543" w:type="pct"/>
          </w:tcPr>
          <w:p w:rsidR="00880679" w:rsidRPr="000A2294" w:rsidRDefault="00880679" w:rsidP="00880679">
            <w:pPr>
              <w:jc w:val="both"/>
              <w:rPr>
                <w:sz w:val="20"/>
              </w:rPr>
            </w:pPr>
            <w:r w:rsidRPr="000A2294">
              <w:rPr>
                <w:rStyle w:val="SCCFileNumberChar"/>
                <w:sz w:val="20"/>
                <w:szCs w:val="20"/>
              </w:rPr>
              <w:t>40537</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Mitchell Lui v. His Majesty the King</w:t>
            </w:r>
          </w:p>
          <w:p w:rsidR="00880679" w:rsidRPr="000A2294" w:rsidRDefault="00880679" w:rsidP="00880679">
            <w:pPr>
              <w:jc w:val="both"/>
              <w:rPr>
                <w:sz w:val="20"/>
              </w:rPr>
            </w:pPr>
            <w:r w:rsidRPr="000A2294">
              <w:rPr>
                <w:sz w:val="20"/>
              </w:rPr>
              <w:t>(N.B.) (Criminal) (By Leave)</w:t>
            </w:r>
          </w:p>
        </w:tc>
      </w:tr>
      <w:tr w:rsidR="00880679" w:rsidRPr="000A2294" w:rsidTr="00701BD4">
        <w:tc>
          <w:tcPr>
            <w:tcW w:w="5000" w:type="pct"/>
            <w:gridSpan w:val="4"/>
          </w:tcPr>
          <w:p w:rsidR="00880679" w:rsidRPr="000A2294" w:rsidRDefault="00880679" w:rsidP="00880679">
            <w:pPr>
              <w:pStyle w:val="SCCBanSummary"/>
              <w:rPr>
                <w:sz w:val="20"/>
                <w:szCs w:val="20"/>
              </w:rPr>
            </w:pPr>
            <w:r w:rsidRPr="000A2294">
              <w:rPr>
                <w:sz w:val="20"/>
                <w:szCs w:val="20"/>
              </w:rPr>
              <w:t>(Publication ban in case)</w:t>
            </w:r>
          </w:p>
          <w:p w:rsidR="00880679" w:rsidRPr="000A2294" w:rsidRDefault="00880679" w:rsidP="00880679">
            <w:pPr>
              <w:jc w:val="both"/>
              <w:rPr>
                <w:sz w:val="20"/>
              </w:rPr>
            </w:pPr>
          </w:p>
        </w:tc>
      </w:tr>
      <w:tr w:rsidR="00880679" w:rsidRPr="000A2294" w:rsidTr="00701BD4">
        <w:tc>
          <w:tcPr>
            <w:tcW w:w="5000" w:type="pct"/>
            <w:gridSpan w:val="4"/>
          </w:tcPr>
          <w:p w:rsidR="00880679" w:rsidRPr="000A2294" w:rsidRDefault="00880679" w:rsidP="00880679">
            <w:pPr>
              <w:jc w:val="both"/>
              <w:rPr>
                <w:sz w:val="20"/>
              </w:rPr>
            </w:pPr>
            <w:r w:rsidRPr="000A2294">
              <w:rPr>
                <w:sz w:val="20"/>
              </w:rPr>
              <w:t>Criminal law — Evidence — Disclosure — Whether Crown in possession or control of certain evidence that is not in the physical possession of the police — Abuse of process — When Crown may invite a stay of proceedings and appeal following adverse interlocutory ruling.</w:t>
            </w:r>
          </w:p>
        </w:tc>
      </w:tr>
      <w:tr w:rsidR="00880679" w:rsidRPr="000A2294" w:rsidTr="00701BD4">
        <w:tc>
          <w:tcPr>
            <w:tcW w:w="5000" w:type="pct"/>
            <w:gridSpan w:val="4"/>
          </w:tcPr>
          <w:p w:rsidR="00880679" w:rsidRPr="000A2294" w:rsidRDefault="00880679" w:rsidP="00880679">
            <w:pPr>
              <w:jc w:val="both"/>
              <w:rPr>
                <w:sz w:val="20"/>
              </w:rPr>
            </w:pPr>
          </w:p>
          <w:p w:rsidR="00880679" w:rsidRPr="000A2294" w:rsidRDefault="00880679" w:rsidP="00880679">
            <w:pPr>
              <w:jc w:val="both"/>
              <w:rPr>
                <w:sz w:val="20"/>
              </w:rPr>
            </w:pPr>
            <w:r w:rsidRPr="000A2294">
              <w:rPr>
                <w:sz w:val="20"/>
              </w:rPr>
              <w:t>At various times during multiple criminal investigations, police obtained text messages, screenshots, and recordings from the cell phones of six witnesses (the “Phones”). This evidence tended to incriminate the applicant. Some of the witnesses voluntarily turned their phones over to police for extraction, others voluntarily extracted data from their phones on their own and provided that data to police. At the time of trial, police did not have physical possession of any of the Phones, and at least one of the Phones had been replaced by its owner. The applicant applied to have the Phones turned over to him as first-party disclosure.</w:t>
            </w:r>
          </w:p>
          <w:p w:rsidR="00880679" w:rsidRPr="000A2294" w:rsidRDefault="00880679" w:rsidP="00880679">
            <w:pPr>
              <w:jc w:val="both"/>
              <w:rPr>
                <w:sz w:val="20"/>
              </w:rPr>
            </w:pPr>
          </w:p>
          <w:p w:rsidR="00880679" w:rsidRPr="000A2294" w:rsidRDefault="00880679" w:rsidP="00880679">
            <w:pPr>
              <w:jc w:val="both"/>
              <w:rPr>
                <w:sz w:val="20"/>
              </w:rPr>
            </w:pPr>
            <w:r w:rsidRPr="000A2294">
              <w:rPr>
                <w:sz w:val="20"/>
              </w:rPr>
              <w:t>The application judge held that the witnesses’ voluntary participation in the investigation meant that the Crown retained possession and control of the Phones, and therefore ordered the Crown to turn them over to the applicant as first-party disclosure. The Crown informed the application judge that it could not comply with the order and invited a stay of proceedings.</w:t>
            </w:r>
          </w:p>
          <w:p w:rsidR="00880679" w:rsidRPr="000A2294" w:rsidRDefault="00880679" w:rsidP="00880679">
            <w:pPr>
              <w:jc w:val="both"/>
              <w:rPr>
                <w:sz w:val="20"/>
              </w:rPr>
            </w:pPr>
          </w:p>
          <w:p w:rsidR="00880679" w:rsidRPr="000A2294" w:rsidRDefault="00880679" w:rsidP="00880679">
            <w:pPr>
              <w:jc w:val="both"/>
              <w:rPr>
                <w:sz w:val="20"/>
              </w:rPr>
            </w:pPr>
            <w:r w:rsidRPr="000A2294">
              <w:rPr>
                <w:sz w:val="20"/>
              </w:rPr>
              <w:t>The Court of Appeal reversed the application judge’s finding that the Crown was in possession and control of the Phones. There was therefore no lawful way for the Crown to comply with the application judge’s order and it had no reasonable alternative but to invite a stay of proceedings and appeal.</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July 29, 2021</w:t>
            </w:r>
          </w:p>
          <w:p w:rsidR="00880679" w:rsidRPr="000A2294" w:rsidRDefault="00880679" w:rsidP="00880679">
            <w:pPr>
              <w:jc w:val="both"/>
              <w:rPr>
                <w:sz w:val="20"/>
              </w:rPr>
            </w:pPr>
            <w:r w:rsidRPr="000A2294">
              <w:rPr>
                <w:sz w:val="20"/>
              </w:rPr>
              <w:t>Court of Queen’s Bench of New Brunswick</w:t>
            </w:r>
          </w:p>
          <w:p w:rsidR="00880679" w:rsidRPr="000A2294" w:rsidRDefault="00880679" w:rsidP="00880679">
            <w:pPr>
              <w:jc w:val="both"/>
              <w:rPr>
                <w:sz w:val="20"/>
              </w:rPr>
            </w:pPr>
            <w:r w:rsidRPr="000A2294">
              <w:rPr>
                <w:sz w:val="20"/>
              </w:rPr>
              <w:t>(Doyle J.)</w:t>
            </w:r>
          </w:p>
          <w:p w:rsidR="00880679" w:rsidRPr="000A2294" w:rsidRDefault="00880679" w:rsidP="00880679">
            <w:pPr>
              <w:jc w:val="both"/>
              <w:rPr>
                <w:sz w:val="20"/>
              </w:rPr>
            </w:pPr>
            <w:r w:rsidRPr="000A2294">
              <w:rPr>
                <w:sz w:val="20"/>
              </w:rPr>
              <w:t>Unreported</w:t>
            </w:r>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Judicial stay of proceedings entered at Crown invitation after Crown unable to comply with order for first-party disclosure.</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May 19, 2022</w:t>
            </w:r>
          </w:p>
          <w:p w:rsidR="00880679" w:rsidRPr="000A2294" w:rsidRDefault="00880679" w:rsidP="00880679">
            <w:pPr>
              <w:jc w:val="both"/>
              <w:rPr>
                <w:sz w:val="20"/>
              </w:rPr>
            </w:pPr>
            <w:r w:rsidRPr="000A2294">
              <w:rPr>
                <w:sz w:val="20"/>
              </w:rPr>
              <w:t>Court of Appeal of New Brunswick</w:t>
            </w:r>
          </w:p>
          <w:p w:rsidR="00880679" w:rsidRPr="000A2294" w:rsidRDefault="00880679" w:rsidP="00880679">
            <w:pPr>
              <w:jc w:val="both"/>
              <w:rPr>
                <w:sz w:val="20"/>
              </w:rPr>
            </w:pPr>
            <w:r w:rsidRPr="000A2294">
              <w:rPr>
                <w:sz w:val="20"/>
              </w:rPr>
              <w:t>(Richard C.J.N.B., Quigg and Green JJ.A.)</w:t>
            </w:r>
          </w:p>
          <w:p w:rsidR="00880679" w:rsidRPr="000A2294" w:rsidRDefault="00F935FF" w:rsidP="00880679">
            <w:pPr>
              <w:jc w:val="both"/>
              <w:rPr>
                <w:sz w:val="20"/>
              </w:rPr>
            </w:pPr>
            <w:hyperlink r:id="rId149" w:history="1">
              <w:r w:rsidR="00880679" w:rsidRPr="000A2294">
                <w:rPr>
                  <w:rStyle w:val="Hyperlink"/>
                  <w:sz w:val="20"/>
                </w:rPr>
                <w:t>2022 NBCA 28</w:t>
              </w:r>
            </w:hyperlink>
          </w:p>
          <w:p w:rsidR="00880679" w:rsidRPr="000A2294" w:rsidRDefault="00880679" w:rsidP="00880679">
            <w:pPr>
              <w:jc w:val="both"/>
              <w:rPr>
                <w:sz w:val="20"/>
              </w:rPr>
            </w:pP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Appeal allowed and matter remitted for trial.</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December 16, 2022</w:t>
            </w:r>
          </w:p>
          <w:p w:rsidR="00880679" w:rsidRPr="000A2294" w:rsidRDefault="00880679" w:rsidP="00880679">
            <w:pPr>
              <w:jc w:val="both"/>
              <w:rPr>
                <w:sz w:val="20"/>
              </w:rPr>
            </w:pPr>
            <w:r w:rsidRPr="000A2294">
              <w:rPr>
                <w:sz w:val="20"/>
              </w:rPr>
              <w:t>Supreme Court of Canada</w:t>
            </w: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Motion for an extension of time to serve and file application for leave to appeal and application for leave to appeal filed.</w:t>
            </w:r>
          </w:p>
        </w:tc>
      </w:tr>
    </w:tbl>
    <w:p w:rsidR="00880679" w:rsidRPr="000A2294" w:rsidRDefault="00880679" w:rsidP="00880679">
      <w:pPr>
        <w:jc w:val="both"/>
        <w:rPr>
          <w:sz w:val="20"/>
        </w:rPr>
      </w:pPr>
    </w:p>
    <w:p w:rsidR="00880679" w:rsidRPr="000A2294" w:rsidRDefault="00F935FF" w:rsidP="00880679">
      <w:pPr>
        <w:jc w:val="both"/>
        <w:rPr>
          <w:sz w:val="20"/>
        </w:rPr>
      </w:pPr>
      <w:r>
        <w:rPr>
          <w:sz w:val="20"/>
        </w:rPr>
        <w:pict>
          <v:rect id="_x0000_i1073" style="width:2in;height:1pt" o:hrpct="0" o:hralign="center" o:hrstd="t" o:hrnoshade="t" o:hr="t" fillcolor="black [3213]" stroked="f"/>
        </w:pict>
      </w:r>
    </w:p>
    <w:p w:rsidR="00880679" w:rsidRPr="000A2294" w:rsidRDefault="00880679" w:rsidP="008806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2395"/>
        <w:gridCol w:w="1418"/>
        <w:gridCol w:w="4450"/>
      </w:tblGrid>
      <w:tr w:rsidR="00880679" w:rsidRPr="00F935FF" w:rsidTr="00701BD4">
        <w:tc>
          <w:tcPr>
            <w:tcW w:w="543" w:type="pct"/>
          </w:tcPr>
          <w:p w:rsidR="00880679" w:rsidRPr="000A2294" w:rsidRDefault="00880679" w:rsidP="00880679">
            <w:pPr>
              <w:jc w:val="both"/>
              <w:rPr>
                <w:sz w:val="20"/>
                <w:lang w:val="fr-CA"/>
              </w:rPr>
            </w:pPr>
            <w:r w:rsidRPr="000A2294">
              <w:rPr>
                <w:rStyle w:val="SCCFileNumberChar"/>
                <w:sz w:val="20"/>
                <w:szCs w:val="20"/>
                <w:lang w:val="fr-CA"/>
              </w:rPr>
              <w:t>40537</w:t>
            </w:r>
          </w:p>
        </w:tc>
        <w:tc>
          <w:tcPr>
            <w:tcW w:w="4457" w:type="pct"/>
            <w:gridSpan w:val="3"/>
          </w:tcPr>
          <w:p w:rsidR="00880679" w:rsidRPr="000A2294" w:rsidRDefault="00880679" w:rsidP="00880679">
            <w:pPr>
              <w:pStyle w:val="SCCLsocParty"/>
              <w:jc w:val="both"/>
              <w:rPr>
                <w:b/>
                <w:sz w:val="20"/>
                <w:szCs w:val="20"/>
              </w:rPr>
            </w:pPr>
            <w:r w:rsidRPr="000A2294">
              <w:rPr>
                <w:b/>
                <w:sz w:val="20"/>
                <w:szCs w:val="20"/>
              </w:rPr>
              <w:t>Mitchell Lui c. Sa Majesté le Roi</w:t>
            </w:r>
          </w:p>
          <w:p w:rsidR="00880679" w:rsidRPr="000A2294" w:rsidRDefault="00880679" w:rsidP="00880679">
            <w:pPr>
              <w:jc w:val="both"/>
              <w:rPr>
                <w:sz w:val="20"/>
                <w:lang w:val="fr-CA"/>
              </w:rPr>
            </w:pPr>
            <w:r w:rsidRPr="000A2294">
              <w:rPr>
                <w:sz w:val="20"/>
                <w:lang w:val="fr-CA"/>
              </w:rPr>
              <w:t>(N.-B.) (Criminelle) (Sur autorisation)</w:t>
            </w:r>
          </w:p>
        </w:tc>
      </w:tr>
      <w:tr w:rsidR="00880679" w:rsidRPr="00F935FF" w:rsidTr="00701BD4">
        <w:tc>
          <w:tcPr>
            <w:tcW w:w="5000" w:type="pct"/>
            <w:gridSpan w:val="4"/>
          </w:tcPr>
          <w:p w:rsidR="00880679" w:rsidRPr="000A2294" w:rsidRDefault="00880679" w:rsidP="00880679">
            <w:pPr>
              <w:pStyle w:val="SCCBanSummary"/>
              <w:rPr>
                <w:sz w:val="20"/>
                <w:szCs w:val="20"/>
                <w:lang w:val="fr-CA"/>
              </w:rPr>
            </w:pPr>
            <w:r w:rsidRPr="000A2294">
              <w:rPr>
                <w:sz w:val="20"/>
                <w:szCs w:val="20"/>
                <w:lang w:val="fr-CA"/>
              </w:rPr>
              <w:t>(Ordonnance de non-publication dans le dossier)</w:t>
            </w:r>
          </w:p>
          <w:p w:rsidR="00880679" w:rsidRPr="000A2294" w:rsidRDefault="00880679" w:rsidP="00880679">
            <w:pPr>
              <w:jc w:val="both"/>
              <w:rPr>
                <w:sz w:val="20"/>
                <w:lang w:val="fr-CA"/>
              </w:rPr>
            </w:pPr>
          </w:p>
        </w:tc>
      </w:tr>
      <w:tr w:rsidR="00880679" w:rsidRPr="00F935FF" w:rsidTr="00701BD4">
        <w:tc>
          <w:tcPr>
            <w:tcW w:w="5000" w:type="pct"/>
            <w:gridSpan w:val="4"/>
          </w:tcPr>
          <w:p w:rsidR="00880679" w:rsidRPr="000A2294" w:rsidRDefault="00880679" w:rsidP="00880679">
            <w:pPr>
              <w:jc w:val="both"/>
              <w:rPr>
                <w:sz w:val="20"/>
                <w:lang w:val="fr-CA"/>
              </w:rPr>
            </w:pPr>
            <w:r w:rsidRPr="000A2294">
              <w:rPr>
                <w:sz w:val="20"/>
                <w:lang w:val="fr-CA"/>
              </w:rPr>
              <w:t xml:space="preserve">Droit criminel — Preuve — Communication de la preuve — Le ministère public avait-il en sa possession, ou sous son contrôle, des éléments de preuve que la police ne détenait pas matériellement? — Abus de procédure — Dans quelles circonstances le ministère public peut-il, à la suite d’une décision interlocutoire défavorable, demander un arrêt des procédures et ensuite interjeter appel? </w:t>
            </w:r>
          </w:p>
        </w:tc>
      </w:tr>
      <w:tr w:rsidR="00880679" w:rsidRPr="00F935FF" w:rsidTr="00701BD4">
        <w:tc>
          <w:tcPr>
            <w:tcW w:w="5000" w:type="pct"/>
            <w:gridSpan w:val="4"/>
          </w:tcPr>
          <w:p w:rsidR="00880679" w:rsidRPr="000A2294" w:rsidRDefault="00880679" w:rsidP="00880679">
            <w:pPr>
              <w:jc w:val="both"/>
              <w:rPr>
                <w:sz w:val="20"/>
                <w:lang w:val="fr-CA"/>
              </w:rPr>
            </w:pPr>
          </w:p>
          <w:p w:rsidR="00880679" w:rsidRPr="000A2294" w:rsidRDefault="00880679" w:rsidP="00880679">
            <w:pPr>
              <w:jc w:val="both"/>
              <w:rPr>
                <w:sz w:val="20"/>
                <w:lang w:val="fr-CA"/>
              </w:rPr>
            </w:pPr>
            <w:r w:rsidRPr="000A2294">
              <w:rPr>
                <w:sz w:val="20"/>
                <w:lang w:val="fr-CA"/>
              </w:rPr>
              <w:t xml:space="preserve">À divers moments au cours des investigations d’une enquête criminelle, la police a obtenu des textos, des saisies d’écran et des enregistrements provenant des téléphones cellulaires de six témoins. Ces éléments tendaient à incriminer le demandeur. Certains des témoins avaient volontairement remis leur téléphone à la police pour qu’elle procède à l’extraction des données incriminantes, tandis que d’autres avaient eux-mêmes extrait celles-ci de leur téléphone pour ensuite les fournir à la police. Au moment du procès, aucun des téléphones n’était matériellement en la possession de la police, et au moins un d’entre eux avait été remplacé par son propriétaire. Le demandeur a présenté une requête afin que les six téléphones lui soient remis à titre d’éléments de preuve devant être communiqués par la partie principale. </w:t>
            </w:r>
          </w:p>
          <w:p w:rsidR="00880679" w:rsidRPr="000A2294" w:rsidRDefault="00880679" w:rsidP="00880679">
            <w:pPr>
              <w:jc w:val="both"/>
              <w:rPr>
                <w:sz w:val="20"/>
                <w:lang w:val="fr-CA"/>
              </w:rPr>
            </w:pPr>
          </w:p>
          <w:p w:rsidR="00880679" w:rsidRPr="000A2294" w:rsidRDefault="00880679" w:rsidP="00880679">
            <w:pPr>
              <w:jc w:val="both"/>
              <w:rPr>
                <w:sz w:val="20"/>
                <w:lang w:val="fr-CA"/>
              </w:rPr>
            </w:pPr>
            <w:r w:rsidRPr="000A2294">
              <w:rPr>
                <w:sz w:val="20"/>
                <w:lang w:val="fr-CA"/>
              </w:rPr>
              <w:t xml:space="preserve">En première instance, le juge saisi de la requête a conclu que, puisque les témoins avaient participé volontairement à l’enquête, leurs téléphones étaient nécessairement en la possession et sous le contrôle du ministère public, et il a donc ordonné que celui-ci les remette au demandeur à titre d’éléments de preuve devant être communiqués par la partie principale. Le ministère public a informé le juge qu’il n’était pas en mesure de se conformer à l’ordonnance et il a ensuite demandé l’arrêt des procédures. </w:t>
            </w:r>
          </w:p>
          <w:p w:rsidR="00880679" w:rsidRPr="000A2294" w:rsidRDefault="00880679" w:rsidP="00880679">
            <w:pPr>
              <w:jc w:val="both"/>
              <w:rPr>
                <w:sz w:val="20"/>
                <w:lang w:val="fr-CA"/>
              </w:rPr>
            </w:pPr>
          </w:p>
          <w:p w:rsidR="00880679" w:rsidRPr="000A2294" w:rsidRDefault="00880679" w:rsidP="00880679">
            <w:pPr>
              <w:jc w:val="both"/>
              <w:rPr>
                <w:sz w:val="20"/>
                <w:lang w:val="fr-CA"/>
              </w:rPr>
            </w:pPr>
            <w:r w:rsidRPr="000A2294">
              <w:rPr>
                <w:sz w:val="20"/>
                <w:lang w:val="fr-CA"/>
              </w:rPr>
              <w:t xml:space="preserve">La Cour d’appel a infirmé la conclusion du premier juge selon laquelle les téléphones étaient en la possession et sous le contrôle du ministère public. Selon la cour, étant donné qu’il n’existait aucun moyen légitime permettant au ministère public de se conformer à l’ordonnance de première instance, ce dernier n’avait d’autre choix que de demander l’arrêt des procédures pour ensuite interjeter appel. </w:t>
            </w:r>
          </w:p>
          <w:p w:rsidR="00880679" w:rsidRPr="000A2294" w:rsidRDefault="00880679" w:rsidP="00880679">
            <w:pPr>
              <w:jc w:val="both"/>
              <w:rPr>
                <w:sz w:val="20"/>
                <w:lang w:val="fr-CA"/>
              </w:rPr>
            </w:pPr>
          </w:p>
        </w:tc>
      </w:tr>
      <w:tr w:rsidR="00880679" w:rsidRPr="00F935FF" w:rsidTr="00701BD4">
        <w:tc>
          <w:tcPr>
            <w:tcW w:w="1835" w:type="pct"/>
            <w:gridSpan w:val="2"/>
          </w:tcPr>
          <w:p w:rsidR="00880679" w:rsidRPr="000A2294" w:rsidRDefault="00880679" w:rsidP="00880679">
            <w:pPr>
              <w:jc w:val="both"/>
              <w:rPr>
                <w:sz w:val="20"/>
                <w:lang w:val="fr-CA"/>
              </w:rPr>
            </w:pPr>
            <w:r w:rsidRPr="000A2294">
              <w:rPr>
                <w:sz w:val="20"/>
                <w:lang w:val="fr-CA"/>
              </w:rPr>
              <w:t>29 juillet 2021</w:t>
            </w:r>
          </w:p>
          <w:p w:rsidR="00880679" w:rsidRPr="000A2294" w:rsidRDefault="00880679" w:rsidP="00880679">
            <w:pPr>
              <w:jc w:val="both"/>
              <w:rPr>
                <w:sz w:val="20"/>
                <w:lang w:val="fr-CA"/>
              </w:rPr>
            </w:pPr>
            <w:r w:rsidRPr="000A2294">
              <w:rPr>
                <w:sz w:val="20"/>
                <w:lang w:val="fr-CA"/>
              </w:rPr>
              <w:t>Cour du Banc de la Reine du Nouveau</w:t>
            </w:r>
            <w:r w:rsidRPr="000A2294">
              <w:rPr>
                <w:sz w:val="20"/>
                <w:lang w:val="fr-CA"/>
              </w:rPr>
              <w:noBreakHyphen/>
              <w:t>Brunswick</w:t>
            </w:r>
          </w:p>
          <w:p w:rsidR="00880679" w:rsidRPr="000A2294" w:rsidRDefault="00880679" w:rsidP="00880679">
            <w:pPr>
              <w:jc w:val="both"/>
              <w:rPr>
                <w:sz w:val="20"/>
                <w:lang w:val="fr-CA"/>
              </w:rPr>
            </w:pPr>
            <w:r w:rsidRPr="000A2294">
              <w:rPr>
                <w:sz w:val="20"/>
                <w:lang w:val="fr-CA"/>
              </w:rPr>
              <w:t>(Juge Doyle)</w:t>
            </w:r>
          </w:p>
          <w:p w:rsidR="00880679" w:rsidRPr="000A2294" w:rsidRDefault="00880679" w:rsidP="00880679">
            <w:pPr>
              <w:jc w:val="both"/>
              <w:rPr>
                <w:sz w:val="20"/>
                <w:lang w:val="fr-CA"/>
              </w:rPr>
            </w:pPr>
            <w:r w:rsidRPr="000A2294">
              <w:rPr>
                <w:sz w:val="20"/>
                <w:lang w:val="fr-CA"/>
              </w:rPr>
              <w:t>Non publié</w:t>
            </w:r>
          </w:p>
          <w:p w:rsidR="00880679" w:rsidRPr="000A2294" w:rsidRDefault="00880679" w:rsidP="00880679">
            <w:pPr>
              <w:jc w:val="both"/>
              <w:rPr>
                <w:sz w:val="20"/>
                <w:lang w:val="fr-CA"/>
              </w:rPr>
            </w:pPr>
          </w:p>
        </w:tc>
        <w:tc>
          <w:tcPr>
            <w:tcW w:w="765" w:type="pct"/>
          </w:tcPr>
          <w:p w:rsidR="00880679" w:rsidRPr="000A2294" w:rsidRDefault="00880679" w:rsidP="00880679">
            <w:pPr>
              <w:jc w:val="both"/>
              <w:rPr>
                <w:sz w:val="20"/>
                <w:lang w:val="fr-CA"/>
              </w:rPr>
            </w:pPr>
          </w:p>
        </w:tc>
        <w:tc>
          <w:tcPr>
            <w:tcW w:w="2400" w:type="pct"/>
          </w:tcPr>
          <w:p w:rsidR="00880679" w:rsidRPr="000A2294" w:rsidRDefault="00880679" w:rsidP="00880679">
            <w:pPr>
              <w:jc w:val="both"/>
              <w:rPr>
                <w:sz w:val="20"/>
                <w:lang w:val="fr-CA"/>
              </w:rPr>
            </w:pPr>
            <w:r w:rsidRPr="000A2294">
              <w:rPr>
                <w:sz w:val="20"/>
                <w:lang w:val="fr-CA"/>
              </w:rPr>
              <w:t xml:space="preserve">Arrêt des procédures prononcé par le juge à la demande du ministère public pour impossibilité de se conformer à l’ordonnance de communication de la preuve par la partie principale. </w:t>
            </w:r>
          </w:p>
          <w:p w:rsidR="00880679" w:rsidRPr="000A2294" w:rsidRDefault="00880679" w:rsidP="00880679">
            <w:pPr>
              <w:jc w:val="both"/>
              <w:rPr>
                <w:sz w:val="20"/>
                <w:lang w:val="fr-CA"/>
              </w:rPr>
            </w:pPr>
          </w:p>
        </w:tc>
      </w:tr>
      <w:tr w:rsidR="00880679" w:rsidRPr="00F935FF" w:rsidTr="00701BD4">
        <w:tc>
          <w:tcPr>
            <w:tcW w:w="1835" w:type="pct"/>
            <w:gridSpan w:val="2"/>
          </w:tcPr>
          <w:p w:rsidR="00880679" w:rsidRPr="000A2294" w:rsidRDefault="00880679" w:rsidP="00880679">
            <w:pPr>
              <w:jc w:val="both"/>
              <w:rPr>
                <w:sz w:val="20"/>
                <w:lang w:val="fr-CA"/>
              </w:rPr>
            </w:pPr>
            <w:r w:rsidRPr="000A2294">
              <w:rPr>
                <w:sz w:val="20"/>
                <w:lang w:val="fr-CA"/>
              </w:rPr>
              <w:t>19 mai 2022</w:t>
            </w:r>
          </w:p>
          <w:p w:rsidR="00880679" w:rsidRPr="000A2294" w:rsidRDefault="00880679" w:rsidP="00880679">
            <w:pPr>
              <w:jc w:val="both"/>
              <w:rPr>
                <w:sz w:val="20"/>
                <w:lang w:val="fr-CA"/>
              </w:rPr>
            </w:pPr>
            <w:r w:rsidRPr="000A2294">
              <w:rPr>
                <w:sz w:val="20"/>
                <w:lang w:val="fr-CA"/>
              </w:rPr>
              <w:t>Cour d’appel du Nouveau</w:t>
            </w:r>
            <w:r w:rsidRPr="000A2294">
              <w:rPr>
                <w:sz w:val="20"/>
                <w:lang w:val="fr-CA"/>
              </w:rPr>
              <w:noBreakHyphen/>
              <w:t>Brunswick</w:t>
            </w:r>
          </w:p>
          <w:p w:rsidR="00880679" w:rsidRPr="000A2294" w:rsidRDefault="00880679" w:rsidP="00880679">
            <w:pPr>
              <w:jc w:val="both"/>
              <w:rPr>
                <w:sz w:val="20"/>
                <w:lang w:val="fr-CA"/>
              </w:rPr>
            </w:pPr>
            <w:r w:rsidRPr="000A2294">
              <w:rPr>
                <w:sz w:val="20"/>
                <w:lang w:val="fr-CA"/>
              </w:rPr>
              <w:t>(Juge en chef Richard, et juges Quigg et Green)</w:t>
            </w:r>
          </w:p>
          <w:p w:rsidR="00880679" w:rsidRPr="000A2294" w:rsidRDefault="00F935FF" w:rsidP="00880679">
            <w:pPr>
              <w:jc w:val="both"/>
              <w:rPr>
                <w:sz w:val="20"/>
                <w:lang w:val="fr-CA"/>
              </w:rPr>
            </w:pPr>
            <w:hyperlink r:id="rId150" w:history="1">
              <w:r w:rsidR="00880679" w:rsidRPr="000A2294">
                <w:rPr>
                  <w:rStyle w:val="Hyperlink"/>
                  <w:sz w:val="20"/>
                  <w:lang w:val="fr-CA"/>
                </w:rPr>
                <w:t>2022 NBCA 28</w:t>
              </w:r>
            </w:hyperlink>
          </w:p>
          <w:p w:rsidR="00880679" w:rsidRPr="000A2294" w:rsidRDefault="00880679" w:rsidP="00880679">
            <w:pPr>
              <w:jc w:val="both"/>
              <w:rPr>
                <w:sz w:val="20"/>
                <w:lang w:val="fr-CA"/>
              </w:rPr>
            </w:pPr>
          </w:p>
        </w:tc>
        <w:tc>
          <w:tcPr>
            <w:tcW w:w="765" w:type="pct"/>
          </w:tcPr>
          <w:p w:rsidR="00880679" w:rsidRPr="000A2294" w:rsidRDefault="00880679" w:rsidP="00880679">
            <w:pPr>
              <w:jc w:val="both"/>
              <w:rPr>
                <w:sz w:val="20"/>
                <w:lang w:val="fr-CA"/>
              </w:rPr>
            </w:pPr>
          </w:p>
        </w:tc>
        <w:tc>
          <w:tcPr>
            <w:tcW w:w="2400" w:type="pct"/>
          </w:tcPr>
          <w:p w:rsidR="00880679" w:rsidRPr="000A2294" w:rsidRDefault="00880679" w:rsidP="00880679">
            <w:pPr>
              <w:jc w:val="both"/>
              <w:rPr>
                <w:sz w:val="20"/>
                <w:lang w:val="fr-CA"/>
              </w:rPr>
            </w:pPr>
            <w:r w:rsidRPr="000A2294">
              <w:rPr>
                <w:sz w:val="20"/>
                <w:lang w:val="fr-CA"/>
              </w:rPr>
              <w:t>Appel accueilli et affaire renvoyée en première instance pour la tenue d’un procès.</w:t>
            </w:r>
          </w:p>
          <w:p w:rsidR="00880679" w:rsidRPr="000A2294" w:rsidRDefault="00880679" w:rsidP="00880679">
            <w:pPr>
              <w:jc w:val="both"/>
              <w:rPr>
                <w:sz w:val="20"/>
                <w:lang w:val="fr-CA"/>
              </w:rPr>
            </w:pPr>
          </w:p>
        </w:tc>
      </w:tr>
      <w:tr w:rsidR="00880679" w:rsidRPr="000A2294" w:rsidTr="00701BD4">
        <w:tc>
          <w:tcPr>
            <w:tcW w:w="1835" w:type="pct"/>
            <w:gridSpan w:val="2"/>
          </w:tcPr>
          <w:p w:rsidR="00880679" w:rsidRPr="000A2294" w:rsidRDefault="00880679" w:rsidP="00880679">
            <w:pPr>
              <w:jc w:val="both"/>
              <w:rPr>
                <w:sz w:val="20"/>
                <w:lang w:val="fr-CA"/>
              </w:rPr>
            </w:pPr>
            <w:r w:rsidRPr="000A2294">
              <w:rPr>
                <w:sz w:val="20"/>
                <w:lang w:val="fr-CA"/>
              </w:rPr>
              <w:t>16 décembre 2022</w:t>
            </w:r>
          </w:p>
          <w:p w:rsidR="00880679" w:rsidRPr="000A2294" w:rsidRDefault="00880679" w:rsidP="00880679">
            <w:pPr>
              <w:jc w:val="both"/>
              <w:rPr>
                <w:sz w:val="20"/>
                <w:lang w:val="fr-CA"/>
              </w:rPr>
            </w:pPr>
            <w:r w:rsidRPr="000A2294">
              <w:rPr>
                <w:sz w:val="20"/>
                <w:lang w:val="fr-CA"/>
              </w:rPr>
              <w:t>Cour suprême du Canada</w:t>
            </w:r>
          </w:p>
        </w:tc>
        <w:tc>
          <w:tcPr>
            <w:tcW w:w="765" w:type="pct"/>
          </w:tcPr>
          <w:p w:rsidR="00880679" w:rsidRPr="000A2294" w:rsidRDefault="00880679" w:rsidP="00880679">
            <w:pPr>
              <w:jc w:val="both"/>
              <w:rPr>
                <w:sz w:val="20"/>
                <w:lang w:val="fr-CA"/>
              </w:rPr>
            </w:pPr>
          </w:p>
        </w:tc>
        <w:tc>
          <w:tcPr>
            <w:tcW w:w="2400" w:type="pct"/>
          </w:tcPr>
          <w:p w:rsidR="00880679" w:rsidRPr="000A2294" w:rsidRDefault="00880679" w:rsidP="00880679">
            <w:pPr>
              <w:jc w:val="both"/>
              <w:rPr>
                <w:sz w:val="20"/>
                <w:lang w:val="fr-CA"/>
              </w:rPr>
            </w:pPr>
            <w:r w:rsidRPr="000A2294">
              <w:rPr>
                <w:sz w:val="20"/>
                <w:lang w:val="fr-CA"/>
              </w:rPr>
              <w:t>Dépôt de la requête en prorogation du délai pour signifier et déposer la demande d’autorisation d’appel. Demande d’autorisation d’appel déposée.</w:t>
            </w:r>
          </w:p>
        </w:tc>
      </w:tr>
    </w:tbl>
    <w:p w:rsidR="00880679" w:rsidRPr="000A2294" w:rsidRDefault="00880679" w:rsidP="00880679">
      <w:pPr>
        <w:jc w:val="both"/>
        <w:rPr>
          <w:sz w:val="20"/>
          <w:lang w:val="fr-CA"/>
        </w:rPr>
      </w:pPr>
    </w:p>
    <w:p w:rsidR="00880679" w:rsidRPr="000A2294" w:rsidRDefault="00F935FF" w:rsidP="00880679">
      <w:pPr>
        <w:jc w:val="both"/>
        <w:rPr>
          <w:sz w:val="20"/>
          <w:lang w:val="fr-CA"/>
        </w:rPr>
      </w:pPr>
      <w:r>
        <w:rPr>
          <w:sz w:val="20"/>
        </w:rPr>
        <w:pict>
          <v:rect id="_x0000_i1074" style="width:2in;height:1pt" o:hrpct="0" o:hralign="center" o:hrstd="t" o:hrnoshade="t" o:hr="t" fillcolor="black [3213]" stroked="f"/>
        </w:pict>
      </w:r>
    </w:p>
    <w:p w:rsidR="00880679" w:rsidRPr="000A2294" w:rsidRDefault="00880679" w:rsidP="0088067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0A2294" w:rsidTr="00701BD4">
        <w:tc>
          <w:tcPr>
            <w:tcW w:w="543" w:type="pct"/>
          </w:tcPr>
          <w:p w:rsidR="00880679" w:rsidRPr="000A2294" w:rsidRDefault="00880679" w:rsidP="00880679">
            <w:pPr>
              <w:jc w:val="both"/>
              <w:rPr>
                <w:sz w:val="20"/>
              </w:rPr>
            </w:pPr>
            <w:r w:rsidRPr="000A2294">
              <w:rPr>
                <w:rStyle w:val="SCCFileNumberChar"/>
                <w:sz w:val="20"/>
                <w:szCs w:val="20"/>
              </w:rPr>
              <w:t>40452</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Michael Pohoresky, Harold Pohoresky v. Otsuka Pharmaceutical Company Limited, Otsuka Pharmaceutical Development &amp; Commercialization Inc., Otsuka Canada Pharmaceutical Inc., H. Lundbeck A/S, Lundbeck Research USA Inc., Lundbeck Canada Inc.</w:t>
            </w:r>
          </w:p>
          <w:p w:rsidR="00880679" w:rsidRPr="000A2294" w:rsidRDefault="00880679" w:rsidP="00880679">
            <w:pPr>
              <w:jc w:val="both"/>
              <w:rPr>
                <w:sz w:val="20"/>
              </w:rPr>
            </w:pPr>
            <w:r w:rsidRPr="000A2294">
              <w:rPr>
                <w:sz w:val="20"/>
              </w:rPr>
              <w:t>(Que.) (Civil) (By Leave)</w:t>
            </w:r>
          </w:p>
        </w:tc>
      </w:tr>
      <w:tr w:rsidR="00880679" w:rsidRPr="000A2294" w:rsidTr="00701BD4">
        <w:tc>
          <w:tcPr>
            <w:tcW w:w="5000" w:type="pct"/>
            <w:gridSpan w:val="4"/>
          </w:tcPr>
          <w:p w:rsidR="00880679" w:rsidRPr="000A2294" w:rsidRDefault="00880679" w:rsidP="00880679">
            <w:pPr>
              <w:jc w:val="both"/>
              <w:rPr>
                <w:rStyle w:val="Hyperlink"/>
                <w:color w:val="auto"/>
                <w:sz w:val="20"/>
                <w:u w:val="none"/>
              </w:rPr>
            </w:pPr>
            <w:r w:rsidRPr="000A2294">
              <w:rPr>
                <w:sz w:val="20"/>
              </w:rPr>
              <w:t xml:space="preserve">Private international law — Jurisdiction of Quebec Court — Civil procedure — Class actions — What is the proper interpretation of the forum of necessity doctrine under art. 3136 </w:t>
            </w:r>
            <w:r w:rsidRPr="000A2294">
              <w:rPr>
                <w:i/>
                <w:sz w:val="20"/>
              </w:rPr>
              <w:t>C.C.Q</w:t>
            </w:r>
            <w:r w:rsidRPr="000A2294">
              <w:rPr>
                <w:sz w:val="20"/>
              </w:rPr>
              <w:t xml:space="preserve"> in the context of a national class action — What is the relationship between </w:t>
            </w:r>
            <w:proofErr w:type="gramStart"/>
            <w:r w:rsidRPr="000A2294">
              <w:rPr>
                <w:sz w:val="20"/>
              </w:rPr>
              <w:t>art</w:t>
            </w:r>
            <w:proofErr w:type="gramEnd"/>
            <w:r w:rsidRPr="000A2294">
              <w:rPr>
                <w:sz w:val="20"/>
              </w:rPr>
              <w:t xml:space="preserve">. 3136 </w:t>
            </w:r>
            <w:r w:rsidRPr="000A2294">
              <w:rPr>
                <w:i/>
                <w:sz w:val="20"/>
              </w:rPr>
              <w:t>C.C.Q</w:t>
            </w:r>
            <w:r w:rsidRPr="000A2294">
              <w:rPr>
                <w:sz w:val="20"/>
              </w:rPr>
              <w:t xml:space="preserve">., the principle of proportionality under art. 491 </w:t>
            </w:r>
            <w:r w:rsidRPr="000A2294">
              <w:rPr>
                <w:i/>
                <w:sz w:val="20"/>
              </w:rPr>
              <w:t>C.C.P</w:t>
            </w:r>
            <w:r w:rsidRPr="000A2294">
              <w:rPr>
                <w:sz w:val="20"/>
              </w:rPr>
              <w:t xml:space="preserve">., and access to justice in the context of national class actions —To what degree should the interpretation of art. 3136 </w:t>
            </w:r>
            <w:r w:rsidRPr="000A2294">
              <w:rPr>
                <w:i/>
                <w:sz w:val="20"/>
              </w:rPr>
              <w:t>C.C.Q</w:t>
            </w:r>
            <w:r w:rsidRPr="000A2294">
              <w:rPr>
                <w:sz w:val="20"/>
              </w:rPr>
              <w:t xml:space="preserve">. and art. 491 </w:t>
            </w:r>
            <w:r w:rsidRPr="000A2294">
              <w:rPr>
                <w:i/>
                <w:sz w:val="20"/>
              </w:rPr>
              <w:t>C.C.P</w:t>
            </w:r>
            <w:r w:rsidRPr="000A2294">
              <w:rPr>
                <w:sz w:val="20"/>
              </w:rPr>
              <w:t xml:space="preserve">. consider the importance of avoiding overlapping multi-jurisdictional class actions — </w:t>
            </w:r>
            <w:r w:rsidRPr="000A2294">
              <w:rPr>
                <w:i/>
                <w:color w:val="212529"/>
                <w:sz w:val="20"/>
              </w:rPr>
              <w:t xml:space="preserve">Civil Code of </w:t>
            </w:r>
            <w:r w:rsidRPr="000A2294">
              <w:rPr>
                <w:i/>
                <w:sz w:val="20"/>
              </w:rPr>
              <w:t>Québec</w:t>
            </w:r>
            <w:r w:rsidRPr="000A2294">
              <w:rPr>
                <w:sz w:val="20"/>
              </w:rPr>
              <w:t xml:space="preserve">, </w:t>
            </w:r>
            <w:r w:rsidRPr="000A2294">
              <w:rPr>
                <w:rStyle w:val="Hyperlink"/>
                <w:color w:val="auto"/>
                <w:sz w:val="20"/>
                <w:u w:val="none"/>
              </w:rPr>
              <w:t xml:space="preserve">arts. 3136, 3148 </w:t>
            </w:r>
            <w:r w:rsidRPr="000A2294">
              <w:rPr>
                <w:sz w:val="20"/>
              </w:rPr>
              <w:t xml:space="preserve">— </w:t>
            </w:r>
            <w:r w:rsidRPr="000A2294">
              <w:rPr>
                <w:i/>
                <w:sz w:val="20"/>
              </w:rPr>
              <w:t>Code of Civil Procedure</w:t>
            </w:r>
            <w:r w:rsidRPr="000A2294">
              <w:rPr>
                <w:b/>
                <w:sz w:val="20"/>
              </w:rPr>
              <w:t xml:space="preserve">, </w:t>
            </w:r>
            <w:r w:rsidRPr="000A2294">
              <w:rPr>
                <w:rStyle w:val="Hyperlink"/>
                <w:color w:val="auto"/>
                <w:sz w:val="20"/>
                <w:u w:val="none"/>
              </w:rPr>
              <w:t>CQLR c. C-25.01, arts. 18, 491, 575.</w:t>
            </w:r>
          </w:p>
          <w:p w:rsidR="00880679" w:rsidRPr="000A2294" w:rsidRDefault="00880679" w:rsidP="00880679">
            <w:pPr>
              <w:jc w:val="both"/>
              <w:rPr>
                <w:sz w:val="20"/>
              </w:rPr>
            </w:pPr>
          </w:p>
        </w:tc>
      </w:tr>
      <w:tr w:rsidR="00880679" w:rsidRPr="000A2294" w:rsidTr="00701BD4">
        <w:tc>
          <w:tcPr>
            <w:tcW w:w="5000" w:type="pct"/>
            <w:gridSpan w:val="4"/>
          </w:tcPr>
          <w:p w:rsidR="00880679" w:rsidRPr="000A2294" w:rsidRDefault="00880679" w:rsidP="00880679">
            <w:pPr>
              <w:jc w:val="both"/>
              <w:rPr>
                <w:sz w:val="20"/>
              </w:rPr>
            </w:pPr>
            <w:r w:rsidRPr="000A2294">
              <w:rPr>
                <w:color w:val="000000"/>
                <w:sz w:val="20"/>
              </w:rPr>
              <w:t xml:space="preserve">The applicant M. Pohoresky was prescribed the drug Rexulti and claims to have experienced harmful, undisclosed side-effects, including compulsive gambling carried on in Ontario and Quebec. As his father, H. Pohoresky claims to have suffered due to his son’s gambling compulsion. Although the applicants live in Ontario, they were substituted for another potential representative plaintiff from Quebec who had to withdraw for health reasons. Together the applicants sought authorization in Quebec to commence a national class action against the respondents for their alleged failure to disclose the risk of the harmful side effects from Rexulti and to conduct adequate research and testing.  While some of the respondents are Canadian subsidiaries located in Quebec, others are foreign defendants. When the applicants applied to certify their class action, the foreign defendants brought an application for declinatory exception, arguing that </w:t>
            </w:r>
            <w:r w:rsidRPr="000A2294">
              <w:rPr>
                <w:sz w:val="20"/>
              </w:rPr>
              <w:t>the Quebec courts were not the appropriate forum to adjudicate claims by non-residents of Quebec against non-resident defendants for events occurring outside the province. The Superior Court of Quebec accepted jurisdiction, granted in part the a</w:t>
            </w:r>
            <w:r w:rsidRPr="000A2294">
              <w:rPr>
                <w:color w:val="000000"/>
                <w:sz w:val="20"/>
              </w:rPr>
              <w:t xml:space="preserve">pplicants’ motion for authorization to institute a class action and dismissed the respondents’ application for declinatory exception. The </w:t>
            </w:r>
            <w:r w:rsidRPr="000A2294">
              <w:rPr>
                <w:sz w:val="20"/>
              </w:rPr>
              <w:t>Court of Appeal of Quebec allowed the respondents’ appeal.</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December 3, 2021</w:t>
            </w:r>
          </w:p>
          <w:p w:rsidR="00880679" w:rsidRPr="000A2294" w:rsidRDefault="00880679" w:rsidP="00880679">
            <w:pPr>
              <w:jc w:val="both"/>
              <w:rPr>
                <w:sz w:val="20"/>
              </w:rPr>
            </w:pPr>
            <w:r w:rsidRPr="000A2294">
              <w:rPr>
                <w:sz w:val="20"/>
              </w:rPr>
              <w:t>Superior Court of Quebec</w:t>
            </w:r>
          </w:p>
          <w:p w:rsidR="00880679" w:rsidRPr="000A2294" w:rsidRDefault="00880679" w:rsidP="00880679">
            <w:pPr>
              <w:jc w:val="both"/>
              <w:rPr>
                <w:sz w:val="20"/>
              </w:rPr>
            </w:pPr>
            <w:r w:rsidRPr="000A2294">
              <w:rPr>
                <w:sz w:val="20"/>
              </w:rPr>
              <w:t>(Courchesne J.S.C.)</w:t>
            </w:r>
          </w:p>
          <w:p w:rsidR="00880679" w:rsidRPr="000A2294" w:rsidRDefault="00F935FF" w:rsidP="00880679">
            <w:pPr>
              <w:jc w:val="both"/>
              <w:rPr>
                <w:sz w:val="20"/>
              </w:rPr>
            </w:pPr>
            <w:hyperlink r:id="rId151" w:history="1">
              <w:r w:rsidR="00880679" w:rsidRPr="000A2294">
                <w:rPr>
                  <w:rStyle w:val="Hyperlink"/>
                  <w:sz w:val="20"/>
                </w:rPr>
                <w:t>2021 QCCS 5064</w:t>
              </w:r>
            </w:hyperlink>
            <w:r w:rsidR="00880679" w:rsidRPr="000A2294">
              <w:rPr>
                <w:sz w:val="20"/>
              </w:rPr>
              <w:t xml:space="preserve"> </w:t>
            </w: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color w:val="000000"/>
                <w:sz w:val="20"/>
              </w:rPr>
              <w:t>Motion for authorization to institute a class action granted in part; respondents’ application for declinatory exception dismissed; institution of class action against the respondents authorized; status of representative plaintiffs granted to applicants; order on common questions to be determined.</w:t>
            </w:r>
            <w:r w:rsidRPr="000A2294">
              <w:rPr>
                <w:sz w:val="20"/>
              </w:rPr>
              <w:t xml:space="preserve"> </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September 12, 2022</w:t>
            </w:r>
          </w:p>
          <w:p w:rsidR="00880679" w:rsidRPr="000A2294" w:rsidRDefault="00880679" w:rsidP="00880679">
            <w:pPr>
              <w:jc w:val="both"/>
              <w:rPr>
                <w:sz w:val="20"/>
              </w:rPr>
            </w:pPr>
            <w:r w:rsidRPr="000A2294">
              <w:rPr>
                <w:sz w:val="20"/>
              </w:rPr>
              <w:t>Court of Appeal of Quebec (Montréal)</w:t>
            </w:r>
          </w:p>
          <w:p w:rsidR="00880679" w:rsidRPr="000A2294" w:rsidRDefault="00880679" w:rsidP="00880679">
            <w:pPr>
              <w:jc w:val="both"/>
              <w:rPr>
                <w:sz w:val="20"/>
              </w:rPr>
            </w:pPr>
            <w:r w:rsidRPr="000A2294">
              <w:rPr>
                <w:sz w:val="20"/>
              </w:rPr>
              <w:t>(Ruel, Moore and Bachand JJ.A.)</w:t>
            </w:r>
          </w:p>
          <w:p w:rsidR="00880679" w:rsidRPr="000A2294" w:rsidRDefault="00F935FF" w:rsidP="00880679">
            <w:pPr>
              <w:jc w:val="both"/>
              <w:rPr>
                <w:sz w:val="20"/>
              </w:rPr>
            </w:pPr>
            <w:hyperlink r:id="rId152" w:history="1">
              <w:r w:rsidR="00880679" w:rsidRPr="000A2294">
                <w:rPr>
                  <w:rStyle w:val="Hyperlink"/>
                  <w:sz w:val="20"/>
                </w:rPr>
                <w:t>2022 QCCA 1230</w:t>
              </w:r>
            </w:hyperlink>
            <w:r w:rsidR="00880679" w:rsidRPr="000A2294">
              <w:rPr>
                <w:sz w:val="20"/>
              </w:rPr>
              <w:t xml:space="preserve"> </w:t>
            </w: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 xml:space="preserve">Appeal allowed; lower court judgment set aside in part; respondents’ application for declinatory exception allowed, application for certification as a class action dismissed. </w:t>
            </w:r>
          </w:p>
          <w:p w:rsidR="00880679" w:rsidRPr="000A2294" w:rsidRDefault="00880679" w:rsidP="00880679">
            <w:pPr>
              <w:jc w:val="both"/>
              <w:rPr>
                <w:sz w:val="20"/>
              </w:rPr>
            </w:pPr>
          </w:p>
        </w:tc>
      </w:tr>
      <w:tr w:rsidR="00880679" w:rsidRPr="000A2294" w:rsidTr="00701BD4">
        <w:tc>
          <w:tcPr>
            <w:tcW w:w="2427" w:type="pct"/>
            <w:gridSpan w:val="2"/>
          </w:tcPr>
          <w:p w:rsidR="00880679" w:rsidRPr="000A2294" w:rsidRDefault="00880679" w:rsidP="00880679">
            <w:pPr>
              <w:jc w:val="both"/>
              <w:rPr>
                <w:sz w:val="20"/>
              </w:rPr>
            </w:pPr>
            <w:r w:rsidRPr="000A2294">
              <w:rPr>
                <w:sz w:val="20"/>
              </w:rPr>
              <w:t>November 14, 2022</w:t>
            </w:r>
          </w:p>
          <w:p w:rsidR="00880679" w:rsidRPr="000A2294" w:rsidRDefault="00880679" w:rsidP="00880679">
            <w:pPr>
              <w:jc w:val="both"/>
              <w:rPr>
                <w:sz w:val="20"/>
              </w:rPr>
            </w:pPr>
            <w:r w:rsidRPr="000A2294">
              <w:rPr>
                <w:sz w:val="20"/>
              </w:rPr>
              <w:t>Supreme Court of Canada</w:t>
            </w:r>
          </w:p>
        </w:tc>
        <w:tc>
          <w:tcPr>
            <w:tcW w:w="243" w:type="pct"/>
          </w:tcPr>
          <w:p w:rsidR="00880679" w:rsidRPr="000A2294" w:rsidRDefault="00880679" w:rsidP="00880679">
            <w:pPr>
              <w:jc w:val="both"/>
              <w:rPr>
                <w:sz w:val="20"/>
              </w:rPr>
            </w:pPr>
          </w:p>
        </w:tc>
        <w:tc>
          <w:tcPr>
            <w:tcW w:w="2330" w:type="pct"/>
          </w:tcPr>
          <w:p w:rsidR="00880679" w:rsidRPr="000A2294" w:rsidRDefault="00880679" w:rsidP="00880679">
            <w:pPr>
              <w:jc w:val="both"/>
              <w:rPr>
                <w:sz w:val="20"/>
              </w:rPr>
            </w:pPr>
            <w:r w:rsidRPr="000A2294">
              <w:rPr>
                <w:sz w:val="20"/>
              </w:rPr>
              <w:t>Application for leave to appeal filed.</w:t>
            </w:r>
          </w:p>
          <w:p w:rsidR="00880679" w:rsidRPr="000A2294" w:rsidRDefault="00880679" w:rsidP="00880679">
            <w:pPr>
              <w:jc w:val="both"/>
              <w:rPr>
                <w:sz w:val="20"/>
              </w:rPr>
            </w:pPr>
          </w:p>
        </w:tc>
      </w:tr>
    </w:tbl>
    <w:p w:rsidR="00880679" w:rsidRPr="000A2294" w:rsidRDefault="00880679" w:rsidP="00880679">
      <w:pPr>
        <w:jc w:val="both"/>
        <w:rPr>
          <w:sz w:val="20"/>
        </w:rPr>
      </w:pPr>
    </w:p>
    <w:p w:rsidR="00880679" w:rsidRPr="000A2294" w:rsidRDefault="00F935FF" w:rsidP="00880679">
      <w:pPr>
        <w:jc w:val="both"/>
        <w:rPr>
          <w:sz w:val="20"/>
        </w:rPr>
      </w:pPr>
      <w:r>
        <w:rPr>
          <w:sz w:val="20"/>
        </w:rPr>
        <w:pict>
          <v:rect id="_x0000_i1075" style="width:2in;height:1pt" o:hrpct="0" o:hralign="center" o:hrstd="t" o:hrnoshade="t" o:hr="t" fillcolor="black [3213]" stroked="f"/>
        </w:pict>
      </w:r>
    </w:p>
    <w:p w:rsidR="00880679" w:rsidRPr="000A2294" w:rsidRDefault="00880679" w:rsidP="008806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0679" w:rsidRPr="000A2294" w:rsidTr="00701BD4">
        <w:tc>
          <w:tcPr>
            <w:tcW w:w="543" w:type="pct"/>
          </w:tcPr>
          <w:p w:rsidR="00880679" w:rsidRPr="000A2294" w:rsidRDefault="00880679" w:rsidP="00880679">
            <w:pPr>
              <w:jc w:val="both"/>
              <w:rPr>
                <w:sz w:val="20"/>
                <w:lang w:val="fr-CA"/>
              </w:rPr>
            </w:pPr>
            <w:r w:rsidRPr="000A2294">
              <w:rPr>
                <w:rStyle w:val="SCCFileNumberChar"/>
                <w:sz w:val="20"/>
                <w:szCs w:val="20"/>
                <w:lang w:val="fr-CA"/>
              </w:rPr>
              <w:t>40452</w:t>
            </w:r>
          </w:p>
        </w:tc>
        <w:tc>
          <w:tcPr>
            <w:tcW w:w="4457" w:type="pct"/>
            <w:gridSpan w:val="3"/>
          </w:tcPr>
          <w:p w:rsidR="00880679" w:rsidRPr="000A2294" w:rsidRDefault="00880679" w:rsidP="00880679">
            <w:pPr>
              <w:pStyle w:val="SCCLsocParty"/>
              <w:jc w:val="both"/>
              <w:rPr>
                <w:b/>
                <w:sz w:val="20"/>
                <w:szCs w:val="20"/>
                <w:lang w:val="en-US"/>
              </w:rPr>
            </w:pPr>
            <w:r w:rsidRPr="000A2294">
              <w:rPr>
                <w:b/>
                <w:sz w:val="20"/>
                <w:szCs w:val="20"/>
                <w:lang w:val="en-US"/>
              </w:rPr>
              <w:t>Michael Pohoresky, Harold Pohoresky c. Otsuka Pharmaceutical Company Limited, Otsuka Pharmaceutical Development &amp; Commercialization Inc., Otsuka Canada Pharmaceutical Inc., H. Lundbeck A/S, Lundbeck Research USA Inc., Lundbeck Canada Inc.</w:t>
            </w:r>
          </w:p>
          <w:p w:rsidR="00880679" w:rsidRPr="000A2294" w:rsidRDefault="00880679" w:rsidP="00880679">
            <w:pPr>
              <w:jc w:val="both"/>
              <w:rPr>
                <w:sz w:val="20"/>
                <w:lang w:val="fr-CA"/>
              </w:rPr>
            </w:pPr>
            <w:r w:rsidRPr="000A2294">
              <w:rPr>
                <w:sz w:val="20"/>
                <w:lang w:val="fr-CA"/>
              </w:rPr>
              <w:t>(Qc) (Civile) (Sur autorisation)</w:t>
            </w:r>
          </w:p>
        </w:tc>
      </w:tr>
      <w:tr w:rsidR="00880679" w:rsidRPr="00F935FF" w:rsidTr="00701BD4">
        <w:tc>
          <w:tcPr>
            <w:tcW w:w="5000" w:type="pct"/>
            <w:gridSpan w:val="4"/>
          </w:tcPr>
          <w:p w:rsidR="00880679" w:rsidRPr="000A2294" w:rsidRDefault="00880679" w:rsidP="00880679">
            <w:pPr>
              <w:jc w:val="both"/>
              <w:rPr>
                <w:rStyle w:val="Hyperlink"/>
                <w:color w:val="auto"/>
                <w:sz w:val="20"/>
                <w:u w:val="none"/>
                <w:lang w:val="fr-CA"/>
              </w:rPr>
            </w:pPr>
            <w:r w:rsidRPr="000A2294">
              <w:rPr>
                <w:sz w:val="20"/>
                <w:lang w:val="fr-CA"/>
              </w:rPr>
              <w:t xml:space="preserve">Droit international privé — Compétence du tribunal québécois — Procédure civile — Recours collectifs — Quelle est l’interprétation appropriée de la doctrine du for de nécessité au regard de l’art. 3136 </w:t>
            </w:r>
            <w:r w:rsidRPr="000A2294">
              <w:rPr>
                <w:i/>
                <w:sz w:val="20"/>
                <w:lang w:val="fr-CA"/>
              </w:rPr>
              <w:t>C.c.Q.</w:t>
            </w:r>
            <w:r w:rsidRPr="000A2294">
              <w:rPr>
                <w:sz w:val="20"/>
                <w:lang w:val="fr-CA"/>
              </w:rPr>
              <w:t xml:space="preserve"> dans le contexte d’un recours collectif pancanadien? — Quelle relation existe-t-il entre l’art. 3136 </w:t>
            </w:r>
            <w:r w:rsidRPr="000A2294">
              <w:rPr>
                <w:i/>
                <w:sz w:val="20"/>
                <w:lang w:val="fr-CA"/>
              </w:rPr>
              <w:t>C.c.Q</w:t>
            </w:r>
            <w:r w:rsidRPr="000A2294">
              <w:rPr>
                <w:sz w:val="20"/>
                <w:lang w:val="fr-CA"/>
              </w:rPr>
              <w:t xml:space="preserve">., le principe de proportionnalité visé à l’art. 491 </w:t>
            </w:r>
            <w:r w:rsidRPr="000A2294">
              <w:rPr>
                <w:i/>
                <w:sz w:val="20"/>
                <w:lang w:val="fr-CA"/>
              </w:rPr>
              <w:t>C.p.c</w:t>
            </w:r>
            <w:r w:rsidRPr="000A2294">
              <w:rPr>
                <w:sz w:val="20"/>
                <w:lang w:val="fr-CA"/>
              </w:rPr>
              <w:t xml:space="preserve">. et l’accès à la justice dans le contexte des recours collectifs pancanadiens? — Dans quelle mesure l’interprétation de l’art. 3136 </w:t>
            </w:r>
            <w:r w:rsidRPr="000A2294">
              <w:rPr>
                <w:i/>
                <w:sz w:val="20"/>
                <w:lang w:val="fr-CA"/>
              </w:rPr>
              <w:t>C.c.Q</w:t>
            </w:r>
            <w:r w:rsidRPr="000A2294">
              <w:rPr>
                <w:sz w:val="20"/>
                <w:lang w:val="fr-CA"/>
              </w:rPr>
              <w:t xml:space="preserve">. et de l’art. 491 </w:t>
            </w:r>
            <w:r w:rsidRPr="000A2294">
              <w:rPr>
                <w:i/>
                <w:sz w:val="20"/>
                <w:lang w:val="fr-CA"/>
              </w:rPr>
              <w:t>C.p.c</w:t>
            </w:r>
            <w:r w:rsidRPr="000A2294">
              <w:rPr>
                <w:sz w:val="20"/>
                <w:lang w:val="fr-CA"/>
              </w:rPr>
              <w:t xml:space="preserve">. devrait-elle tenir compte de l’importance d’éviter que des recours collectifs qui se chevauchent soient introduits dans plusieurs ressorts? — </w:t>
            </w:r>
            <w:r w:rsidRPr="000A2294">
              <w:rPr>
                <w:i/>
                <w:sz w:val="20"/>
                <w:lang w:val="fr-CA"/>
              </w:rPr>
              <w:t>Code civil du Québec</w:t>
            </w:r>
            <w:r w:rsidRPr="000A2294">
              <w:rPr>
                <w:rStyle w:val="Hyperlink"/>
                <w:color w:val="auto"/>
                <w:sz w:val="20"/>
                <w:u w:val="none"/>
                <w:lang w:val="fr-CA"/>
              </w:rPr>
              <w:t xml:space="preserve">, art. 3136, 3148 </w:t>
            </w:r>
            <w:r w:rsidRPr="000A2294">
              <w:rPr>
                <w:sz w:val="20"/>
                <w:lang w:val="fr-CA"/>
              </w:rPr>
              <w:t xml:space="preserve">— </w:t>
            </w:r>
            <w:r w:rsidRPr="000A2294">
              <w:rPr>
                <w:i/>
                <w:sz w:val="20"/>
                <w:lang w:val="fr-CA"/>
              </w:rPr>
              <w:t>Code de procédure civile</w:t>
            </w:r>
            <w:r w:rsidRPr="000A2294">
              <w:rPr>
                <w:sz w:val="20"/>
                <w:lang w:val="fr-CA"/>
              </w:rPr>
              <w:t xml:space="preserve">, RLRQ, </w:t>
            </w:r>
            <w:r w:rsidRPr="000A2294">
              <w:rPr>
                <w:rStyle w:val="Hyperlink"/>
                <w:color w:val="auto"/>
                <w:sz w:val="20"/>
                <w:u w:val="none"/>
                <w:lang w:val="fr-CA"/>
              </w:rPr>
              <w:t>c. C-25.01, art. 18, 491, 575.</w:t>
            </w:r>
          </w:p>
          <w:p w:rsidR="00880679" w:rsidRPr="000A2294" w:rsidRDefault="00880679" w:rsidP="00880679">
            <w:pPr>
              <w:jc w:val="both"/>
              <w:rPr>
                <w:sz w:val="20"/>
                <w:lang w:val="fr-CA"/>
              </w:rPr>
            </w:pPr>
          </w:p>
        </w:tc>
      </w:tr>
      <w:tr w:rsidR="00880679" w:rsidRPr="00F935FF" w:rsidTr="00701BD4">
        <w:tc>
          <w:tcPr>
            <w:tcW w:w="5000" w:type="pct"/>
            <w:gridSpan w:val="4"/>
          </w:tcPr>
          <w:p w:rsidR="00880679" w:rsidRPr="000A2294" w:rsidRDefault="00880679" w:rsidP="00880679">
            <w:pPr>
              <w:jc w:val="both"/>
              <w:rPr>
                <w:color w:val="000000"/>
                <w:sz w:val="20"/>
                <w:lang w:val="fr-CA"/>
              </w:rPr>
            </w:pPr>
            <w:r w:rsidRPr="000A2294">
              <w:rPr>
                <w:color w:val="000000"/>
                <w:sz w:val="20"/>
                <w:lang w:val="fr-CA"/>
              </w:rPr>
              <w:t xml:space="preserve">Le demandeur M. Pohoresky s’est fait prescrire le médicament Rexulti et prétend avoir subi des effets secondaires importants n’ayant pas fait l’objet d’une divulgation, notamment le fait de s’adonner compulsivement à des jeux de hasard, en Ontario et au Québec. Son père, H. Pohoresky, prétend avoir subi un préjudice en raison du jeu compulsif de son fils. Bien que les demandeurs résident en Ontario, ils se sont substitués à un demandeur initial représentant le Québec qui a dû se retirer du dossier pour des raisons de santé. Ensemble, les demandeurs ont fait appel aux tribunaux québécois pour obtenir l’autorisation d’intenter un recours collectif pancanadien contre les intimées, faisant valoir que celles-ci avaient omis, d’une part, de divulguer le risque d’effets secondaires importants associé au Rexulti et, d’autre part, de mener leurs recherches et essais de façon appropriée. Certaines des intimées défenderesses en l’espèce sont des filiales canadiennes situées au Québec, tandis que d’autres sont des sociétés situées à l’extérieur de la province. À l’étape de la certification du recours collectif, les sociétés défenderesses hors Québec ont sollicité une exception déclinatoire au motif que le Québec n’était pas le ressort approprié pour trancher des demandes faites par des non-résidents à l’égard de non-résidents, et ce, relativement à des faits ayant eu lieu à l’extérieur de la province. La Cour supérieure du Québec s’est déclarée compétente à l’égard de l’affaire, elle a accueilli en partie la demande d’autorisation visant le recours collectif et elle a rejeté la demande d’exception déclinatoire. La Cour d’appel du Québec a accueilli l’appel des intimées. </w:t>
            </w:r>
          </w:p>
          <w:p w:rsidR="00880679" w:rsidRPr="000A2294" w:rsidRDefault="00880679" w:rsidP="00880679">
            <w:pPr>
              <w:jc w:val="both"/>
              <w:rPr>
                <w:sz w:val="20"/>
                <w:lang w:val="fr-CA"/>
              </w:rPr>
            </w:pPr>
          </w:p>
        </w:tc>
      </w:tr>
      <w:tr w:rsidR="00880679" w:rsidRPr="000A2294" w:rsidTr="00701BD4">
        <w:tc>
          <w:tcPr>
            <w:tcW w:w="2427" w:type="pct"/>
            <w:gridSpan w:val="2"/>
          </w:tcPr>
          <w:p w:rsidR="00880679" w:rsidRPr="000A2294" w:rsidRDefault="00880679" w:rsidP="00880679">
            <w:pPr>
              <w:jc w:val="both"/>
              <w:rPr>
                <w:sz w:val="20"/>
                <w:lang w:val="fr-CA"/>
              </w:rPr>
            </w:pPr>
            <w:r w:rsidRPr="000A2294">
              <w:rPr>
                <w:sz w:val="20"/>
                <w:lang w:val="fr-CA"/>
              </w:rPr>
              <w:t>3 décembre 2021</w:t>
            </w:r>
          </w:p>
          <w:p w:rsidR="00880679" w:rsidRPr="000A2294" w:rsidRDefault="00880679" w:rsidP="00880679">
            <w:pPr>
              <w:jc w:val="both"/>
              <w:rPr>
                <w:sz w:val="20"/>
                <w:lang w:val="fr-CA"/>
              </w:rPr>
            </w:pPr>
            <w:r w:rsidRPr="000A2294">
              <w:rPr>
                <w:sz w:val="20"/>
                <w:lang w:val="fr-CA"/>
              </w:rPr>
              <w:t>Cour supérieure du Québec</w:t>
            </w:r>
          </w:p>
          <w:p w:rsidR="00880679" w:rsidRPr="000A2294" w:rsidRDefault="00880679" w:rsidP="00880679">
            <w:pPr>
              <w:jc w:val="both"/>
              <w:rPr>
                <w:sz w:val="20"/>
                <w:lang w:val="fr-CA"/>
              </w:rPr>
            </w:pPr>
            <w:r w:rsidRPr="000A2294">
              <w:rPr>
                <w:sz w:val="20"/>
                <w:lang w:val="fr-CA"/>
              </w:rPr>
              <w:t>(Juge Courchesne)</w:t>
            </w:r>
          </w:p>
          <w:p w:rsidR="00880679" w:rsidRPr="000A2294" w:rsidRDefault="00F935FF" w:rsidP="00880679">
            <w:pPr>
              <w:jc w:val="both"/>
              <w:rPr>
                <w:sz w:val="20"/>
                <w:lang w:val="fr-CA"/>
              </w:rPr>
            </w:pPr>
            <w:hyperlink r:id="rId153" w:history="1">
              <w:r w:rsidR="00880679" w:rsidRPr="000A2294">
                <w:rPr>
                  <w:rStyle w:val="Hyperlink"/>
                  <w:sz w:val="20"/>
                  <w:lang w:val="fr-CA"/>
                </w:rPr>
                <w:t>2021 QCCS 5064</w:t>
              </w:r>
            </w:hyperlink>
            <w:r w:rsidR="00880679" w:rsidRPr="000A2294">
              <w:rPr>
                <w:sz w:val="20"/>
                <w:lang w:val="fr-CA"/>
              </w:rPr>
              <w:t xml:space="preserve"> </w:t>
            </w: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color w:val="000000"/>
                <w:sz w:val="20"/>
                <w:lang w:val="fr-CA"/>
              </w:rPr>
              <w:t xml:space="preserve">La demande d’autorisation pour intenter un recours collectif est accueillie en partie. La demande d’exception déclinatoire présentée par les intimées est rejetée. Autorisation accordée pour intenter un recours collectif contre les intimées. Le statut de représentants de groupe est accordé aux demandeurs. Ordonnance précisant les principales questions à trancher. </w:t>
            </w:r>
          </w:p>
          <w:p w:rsidR="00880679" w:rsidRPr="000A2294" w:rsidRDefault="00880679" w:rsidP="00880679">
            <w:pPr>
              <w:jc w:val="both"/>
              <w:rPr>
                <w:sz w:val="20"/>
                <w:lang w:val="fr-CA"/>
              </w:rPr>
            </w:pPr>
          </w:p>
        </w:tc>
      </w:tr>
      <w:tr w:rsidR="00880679" w:rsidRPr="00F935FF" w:rsidTr="00701BD4">
        <w:tc>
          <w:tcPr>
            <w:tcW w:w="2427" w:type="pct"/>
            <w:gridSpan w:val="2"/>
          </w:tcPr>
          <w:p w:rsidR="00880679" w:rsidRPr="000A2294" w:rsidRDefault="00880679" w:rsidP="00880679">
            <w:pPr>
              <w:keepNext/>
              <w:keepLines/>
              <w:jc w:val="both"/>
              <w:rPr>
                <w:sz w:val="20"/>
                <w:lang w:val="fr-CA"/>
              </w:rPr>
            </w:pPr>
            <w:r w:rsidRPr="000A2294">
              <w:rPr>
                <w:sz w:val="20"/>
                <w:lang w:val="fr-CA"/>
              </w:rPr>
              <w:t>12 septembre 2022</w:t>
            </w:r>
          </w:p>
          <w:p w:rsidR="00880679" w:rsidRPr="000A2294" w:rsidRDefault="00880679" w:rsidP="00880679">
            <w:pPr>
              <w:keepNext/>
              <w:keepLines/>
              <w:jc w:val="both"/>
              <w:rPr>
                <w:sz w:val="20"/>
                <w:lang w:val="fr-CA"/>
              </w:rPr>
            </w:pPr>
            <w:r w:rsidRPr="000A2294">
              <w:rPr>
                <w:sz w:val="20"/>
                <w:lang w:val="fr-CA"/>
              </w:rPr>
              <w:t>Cour d’appel du Québec (Montréal)</w:t>
            </w:r>
          </w:p>
          <w:p w:rsidR="00880679" w:rsidRPr="000A2294" w:rsidRDefault="00880679" w:rsidP="00880679">
            <w:pPr>
              <w:jc w:val="both"/>
              <w:rPr>
                <w:sz w:val="20"/>
                <w:lang w:val="fr-CA"/>
              </w:rPr>
            </w:pPr>
            <w:r w:rsidRPr="000A2294">
              <w:rPr>
                <w:sz w:val="20"/>
                <w:lang w:val="fr-CA"/>
              </w:rPr>
              <w:t>(Juges Ruel, Moore et Bachand)</w:t>
            </w:r>
          </w:p>
          <w:p w:rsidR="00880679" w:rsidRPr="000A2294" w:rsidRDefault="00F935FF" w:rsidP="00880679">
            <w:pPr>
              <w:jc w:val="both"/>
              <w:rPr>
                <w:sz w:val="20"/>
                <w:lang w:val="fr-CA"/>
              </w:rPr>
            </w:pPr>
            <w:hyperlink r:id="rId154" w:history="1">
              <w:r w:rsidR="00880679" w:rsidRPr="000A2294">
                <w:rPr>
                  <w:rStyle w:val="Hyperlink"/>
                  <w:sz w:val="20"/>
                  <w:lang w:val="fr-CA"/>
                </w:rPr>
                <w:t>2022 QCCA 1230</w:t>
              </w:r>
            </w:hyperlink>
            <w:r w:rsidR="00880679" w:rsidRPr="000A2294">
              <w:rPr>
                <w:sz w:val="20"/>
                <w:lang w:val="fr-CA"/>
              </w:rPr>
              <w:t xml:space="preserve"> </w:t>
            </w: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 xml:space="preserve">Appel accueilli : le jugement de la juridiction inférieure est annulé en partie, la demande d’exception déclinatoire des intimées est accueillie et la demande de certification en tant que recours collectif est rejetée. </w:t>
            </w:r>
          </w:p>
          <w:p w:rsidR="00880679" w:rsidRPr="000A2294" w:rsidRDefault="00880679" w:rsidP="00880679">
            <w:pPr>
              <w:jc w:val="both"/>
              <w:rPr>
                <w:sz w:val="20"/>
                <w:lang w:val="fr-CA"/>
              </w:rPr>
            </w:pPr>
          </w:p>
        </w:tc>
      </w:tr>
      <w:tr w:rsidR="00880679" w:rsidRPr="000A2294" w:rsidTr="00701BD4">
        <w:tc>
          <w:tcPr>
            <w:tcW w:w="2427" w:type="pct"/>
            <w:gridSpan w:val="2"/>
          </w:tcPr>
          <w:p w:rsidR="00880679" w:rsidRPr="000A2294" w:rsidRDefault="00880679" w:rsidP="00880679">
            <w:pPr>
              <w:jc w:val="both"/>
              <w:rPr>
                <w:sz w:val="20"/>
                <w:lang w:val="fr-CA"/>
              </w:rPr>
            </w:pPr>
            <w:r w:rsidRPr="000A2294">
              <w:rPr>
                <w:sz w:val="20"/>
                <w:lang w:val="fr-CA"/>
              </w:rPr>
              <w:t>14 novembre 2022</w:t>
            </w:r>
          </w:p>
          <w:p w:rsidR="00880679" w:rsidRPr="000A2294" w:rsidRDefault="00880679" w:rsidP="00880679">
            <w:pPr>
              <w:jc w:val="both"/>
              <w:rPr>
                <w:sz w:val="20"/>
                <w:lang w:val="fr-CA"/>
              </w:rPr>
            </w:pPr>
            <w:r w:rsidRPr="000A2294">
              <w:rPr>
                <w:sz w:val="20"/>
                <w:lang w:val="fr-CA"/>
              </w:rPr>
              <w:t>Cour suprême du Canada</w:t>
            </w:r>
          </w:p>
        </w:tc>
        <w:tc>
          <w:tcPr>
            <w:tcW w:w="243" w:type="pct"/>
          </w:tcPr>
          <w:p w:rsidR="00880679" w:rsidRPr="000A2294" w:rsidRDefault="00880679" w:rsidP="00880679">
            <w:pPr>
              <w:jc w:val="both"/>
              <w:rPr>
                <w:sz w:val="20"/>
                <w:lang w:val="fr-CA"/>
              </w:rPr>
            </w:pPr>
          </w:p>
        </w:tc>
        <w:tc>
          <w:tcPr>
            <w:tcW w:w="2330" w:type="pct"/>
          </w:tcPr>
          <w:p w:rsidR="00880679" w:rsidRPr="000A2294" w:rsidRDefault="00880679" w:rsidP="00880679">
            <w:pPr>
              <w:jc w:val="both"/>
              <w:rPr>
                <w:sz w:val="20"/>
                <w:lang w:val="fr-CA"/>
              </w:rPr>
            </w:pPr>
            <w:r w:rsidRPr="000A2294">
              <w:rPr>
                <w:sz w:val="20"/>
                <w:lang w:val="fr-CA"/>
              </w:rPr>
              <w:t>Demande d’autorisation d’appel déposée.</w:t>
            </w:r>
          </w:p>
          <w:p w:rsidR="00880679" w:rsidRPr="000A2294" w:rsidRDefault="00880679" w:rsidP="00880679">
            <w:pPr>
              <w:jc w:val="both"/>
              <w:rPr>
                <w:sz w:val="20"/>
                <w:lang w:val="fr-CA"/>
              </w:rPr>
            </w:pPr>
          </w:p>
        </w:tc>
      </w:tr>
    </w:tbl>
    <w:p w:rsidR="00880679" w:rsidRPr="000A2294" w:rsidRDefault="00880679" w:rsidP="00880679">
      <w:pPr>
        <w:jc w:val="both"/>
        <w:rPr>
          <w:sz w:val="20"/>
          <w:lang w:val="fr-CA"/>
        </w:rPr>
      </w:pPr>
    </w:p>
    <w:p w:rsidR="00880679" w:rsidRPr="000A2294" w:rsidRDefault="00F935FF" w:rsidP="00880679">
      <w:pPr>
        <w:jc w:val="both"/>
        <w:rPr>
          <w:sz w:val="20"/>
          <w:lang w:val="fr-CA"/>
        </w:rPr>
      </w:pPr>
      <w:r>
        <w:rPr>
          <w:sz w:val="20"/>
        </w:rPr>
        <w:pict>
          <v:rect id="_x0000_i1076" style="width:2in;height:1pt" o:hrpct="0" o:hralign="center" o:hrstd="t" o:hrnoshade="t" o:hr="t" fillcolor="black [3213]" stroked="f"/>
        </w:pict>
      </w:r>
    </w:p>
    <w:p w:rsidR="00880679" w:rsidRPr="000A2294" w:rsidRDefault="00880679" w:rsidP="00880679">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585"/>
        <w:gridCol w:w="341"/>
        <w:gridCol w:w="4339"/>
        <w:gridCol w:w="90"/>
      </w:tblGrid>
      <w:tr w:rsidR="00880679" w:rsidRPr="000A2294" w:rsidTr="00701BD4">
        <w:trPr>
          <w:gridAfter w:val="1"/>
          <w:wAfter w:w="48" w:type="pct"/>
        </w:trPr>
        <w:tc>
          <w:tcPr>
            <w:tcW w:w="537" w:type="pct"/>
          </w:tcPr>
          <w:p w:rsidR="00880679" w:rsidRPr="000A2294" w:rsidRDefault="00880679" w:rsidP="00880679">
            <w:pPr>
              <w:jc w:val="both"/>
              <w:rPr>
                <w:sz w:val="20"/>
                <w:lang w:val="en-CA"/>
              </w:rPr>
            </w:pPr>
            <w:r w:rsidRPr="000A2294">
              <w:rPr>
                <w:rStyle w:val="SCCFileNumberChar"/>
                <w:sz w:val="20"/>
                <w:szCs w:val="20"/>
              </w:rPr>
              <w:t>40534</w:t>
            </w:r>
          </w:p>
        </w:tc>
        <w:tc>
          <w:tcPr>
            <w:tcW w:w="4415" w:type="pct"/>
            <w:gridSpan w:val="3"/>
          </w:tcPr>
          <w:p w:rsidR="00880679" w:rsidRPr="000A2294" w:rsidRDefault="00880679" w:rsidP="00880679">
            <w:pPr>
              <w:pStyle w:val="SCCLsocParty"/>
              <w:jc w:val="both"/>
              <w:rPr>
                <w:b/>
                <w:sz w:val="20"/>
                <w:szCs w:val="20"/>
                <w:lang w:val="en-CA"/>
              </w:rPr>
            </w:pPr>
            <w:r w:rsidRPr="000A2294">
              <w:rPr>
                <w:b/>
                <w:sz w:val="20"/>
                <w:szCs w:val="20"/>
                <w:lang w:val="en-CA"/>
              </w:rPr>
              <w:t>Éric Yvan Lemay v. McGill University Health Centre</w:t>
            </w:r>
          </w:p>
          <w:p w:rsidR="00880679" w:rsidRPr="000A2294" w:rsidRDefault="00880679" w:rsidP="00880679">
            <w:pPr>
              <w:jc w:val="both"/>
              <w:rPr>
                <w:sz w:val="20"/>
                <w:lang w:val="en-CA"/>
              </w:rPr>
            </w:pPr>
            <w:r w:rsidRPr="000A2294">
              <w:rPr>
                <w:sz w:val="20"/>
                <w:lang w:val="en-CA"/>
              </w:rPr>
              <w:t>(Que.) (Civil) (By Leave)</w:t>
            </w:r>
          </w:p>
        </w:tc>
      </w:tr>
      <w:tr w:rsidR="00880679" w:rsidRPr="000A2294" w:rsidTr="00701BD4">
        <w:trPr>
          <w:gridAfter w:val="1"/>
          <w:wAfter w:w="48" w:type="pct"/>
        </w:trPr>
        <w:tc>
          <w:tcPr>
            <w:tcW w:w="4952" w:type="pct"/>
            <w:gridSpan w:val="4"/>
          </w:tcPr>
          <w:p w:rsidR="00880679" w:rsidRPr="000A2294" w:rsidRDefault="00880679" w:rsidP="00880679">
            <w:pPr>
              <w:jc w:val="both"/>
              <w:rPr>
                <w:sz w:val="20"/>
                <w:lang w:val="en-CA"/>
              </w:rPr>
            </w:pPr>
            <w:proofErr w:type="gramStart"/>
            <w:r w:rsidRPr="000A2294">
              <w:rPr>
                <w:sz w:val="20"/>
                <w:lang w:val="en-CA"/>
              </w:rPr>
              <w:t>Access to information —</w:t>
            </w:r>
            <w:r w:rsidRPr="000A2294">
              <w:rPr>
                <w:iCs/>
                <w:sz w:val="20"/>
                <w:lang w:val="en-CA"/>
              </w:rPr>
              <w:t xml:space="preserve"> Professional secrecy of lawyers </w:t>
            </w:r>
            <w:r w:rsidRPr="000A2294">
              <w:rPr>
                <w:sz w:val="20"/>
                <w:lang w:val="en-CA"/>
              </w:rPr>
              <w:t>— Waiver of professional secrecy of lawyers</w:t>
            </w:r>
            <w:r w:rsidRPr="000A2294">
              <w:rPr>
                <w:iCs/>
                <w:sz w:val="20"/>
                <w:lang w:val="en-CA"/>
              </w:rPr>
              <w:t xml:space="preserve"> </w:t>
            </w:r>
            <w:r w:rsidRPr="000A2294">
              <w:rPr>
                <w:sz w:val="20"/>
                <w:lang w:val="en-CA"/>
              </w:rPr>
              <w:t>— Document covered by professional secrecy of lawyers sent to third party in context of criminal investigation — Whether moral obligation to cooperate with police and duty of police to respect confidentiality are determinative factors in assessing whether professional secrecy of lawyers is waived when beneficiary of privilege gives privileged document to police voluntarily and with no restrictions.</w:t>
            </w:r>
            <w:proofErr w:type="gramEnd"/>
          </w:p>
        </w:tc>
      </w:tr>
      <w:tr w:rsidR="00880679" w:rsidRPr="000A2294" w:rsidTr="00701BD4">
        <w:trPr>
          <w:gridAfter w:val="1"/>
          <w:wAfter w:w="48" w:type="pct"/>
        </w:trPr>
        <w:tc>
          <w:tcPr>
            <w:tcW w:w="4952" w:type="pct"/>
            <w:gridSpan w:val="4"/>
          </w:tcPr>
          <w:p w:rsidR="00880679" w:rsidRPr="000A2294" w:rsidRDefault="00880679" w:rsidP="00880679">
            <w:pPr>
              <w:jc w:val="both"/>
              <w:rPr>
                <w:sz w:val="20"/>
                <w:lang w:val="en-CA"/>
              </w:rPr>
            </w:pPr>
          </w:p>
          <w:p w:rsidR="00880679" w:rsidRPr="000A2294" w:rsidRDefault="00880679" w:rsidP="00880679">
            <w:pPr>
              <w:jc w:val="both"/>
              <w:rPr>
                <w:sz w:val="20"/>
                <w:lang w:val="en-CA"/>
              </w:rPr>
            </w:pPr>
            <w:r w:rsidRPr="000A2294">
              <w:rPr>
                <w:sz w:val="20"/>
                <w:lang w:val="en-CA"/>
              </w:rPr>
              <w:t xml:space="preserve">Several articles </w:t>
            </w:r>
            <w:proofErr w:type="gramStart"/>
            <w:r w:rsidRPr="000A2294">
              <w:rPr>
                <w:sz w:val="20"/>
                <w:lang w:val="en-CA"/>
              </w:rPr>
              <w:t>were published</w:t>
            </w:r>
            <w:proofErr w:type="gramEnd"/>
            <w:r w:rsidRPr="000A2294">
              <w:rPr>
                <w:sz w:val="20"/>
                <w:lang w:val="en-CA"/>
              </w:rPr>
              <w:t xml:space="preserve"> in newspapers concerning allegations of collusion and corruption in awarding contracts for the project to build the new McGill University Health Centre (“MUHC”). Following the publication of those articles, the MUHC retained a lawyer, who hired PricewaterhouseCoopers (“PwC”) to</w:t>
            </w:r>
            <w:r w:rsidRPr="000A2294">
              <w:rPr>
                <w:sz w:val="20"/>
              </w:rPr>
              <w:t xml:space="preserve"> provide </w:t>
            </w:r>
            <w:r w:rsidRPr="000A2294">
              <w:rPr>
                <w:sz w:val="20"/>
                <w:lang w:val="en-CA"/>
              </w:rPr>
              <w:t xml:space="preserve">forensic accounting assistance. The work to </w:t>
            </w:r>
            <w:proofErr w:type="gramStart"/>
            <w:r w:rsidRPr="000A2294">
              <w:rPr>
                <w:sz w:val="20"/>
                <w:lang w:val="en-CA"/>
              </w:rPr>
              <w:t>be done</w:t>
            </w:r>
            <w:proofErr w:type="gramEnd"/>
            <w:r w:rsidRPr="000A2294">
              <w:rPr>
                <w:sz w:val="20"/>
                <w:lang w:val="en-CA"/>
              </w:rPr>
              <w:t xml:space="preserve"> by PwC involved conducting an investigation and producing a preliminary report. The MUHC eventually sent the report to the permanent anti-corruption unit. In May 2014, Caroline Pailliez filed an access to information request with the MUHC in order to obtain a copy of the report, but the request </w:t>
            </w:r>
            <w:proofErr w:type="gramStart"/>
            <w:r w:rsidRPr="000A2294">
              <w:rPr>
                <w:sz w:val="20"/>
                <w:lang w:val="en-CA"/>
              </w:rPr>
              <w:t>was denied</w:t>
            </w:r>
            <w:proofErr w:type="gramEnd"/>
            <w:r w:rsidRPr="000A2294">
              <w:rPr>
                <w:sz w:val="20"/>
                <w:lang w:val="en-CA"/>
              </w:rPr>
              <w:t xml:space="preserve">. She then applied to Quebec’s Commission d’accès à l’information for a review of the MUHC’s decision. The Commission found that the preliminary report </w:t>
            </w:r>
            <w:proofErr w:type="gramStart"/>
            <w:r w:rsidRPr="000A2294">
              <w:rPr>
                <w:sz w:val="20"/>
                <w:lang w:val="en-CA"/>
              </w:rPr>
              <w:t>was protected</w:t>
            </w:r>
            <w:proofErr w:type="gramEnd"/>
            <w:r w:rsidRPr="000A2294">
              <w:rPr>
                <w:sz w:val="20"/>
                <w:lang w:val="en-CA"/>
              </w:rPr>
              <w:t xml:space="preserve"> by the professional secrecy of lawyers and that sending the report to the permanent anti-corruption unit did not necessarily amount to a waiver of such secrecy. It therefore dismissed the application for review. Ms. Pailliez appealed the Commission’s decision, but the Court of Québec dismissed the appeal. Acting in continuance of the proceeding for Ms. Pailliez, Éric Yvan Lemay applied for judicial review of the Court of Québec’s judgment. The Quebec Superior Court, ruling only on the issue of waiver of the professional secrecy of lawyers, held that the MUHC had waived such secrecy by sending the report to the permanent anti-corruption unit. It therefore allowed the application for judicial review and remitted the case to the Commission for a decision on the other grounds relied on by the MUHC for denying access to the report. The MUHC appealed the Superior Court’s judgment. Finding that the MUHC had not waived the professional secrecy of lawyers by sending the report to the permanent anti-corruption unit, the Quebec Court of Appeal allowed the appeal, set aside the Superior Court’s judgment and restored the Court of Québec’s judgment upholding the Commission’s decision.</w:t>
            </w:r>
          </w:p>
          <w:p w:rsidR="00880679" w:rsidRPr="000A2294" w:rsidRDefault="00880679" w:rsidP="00880679">
            <w:pPr>
              <w:jc w:val="both"/>
              <w:rPr>
                <w:sz w:val="20"/>
                <w:lang w:val="en-CA"/>
              </w:rPr>
            </w:pPr>
          </w:p>
        </w:tc>
      </w:tr>
      <w:tr w:rsidR="00880679" w:rsidRPr="000A2294" w:rsidTr="00701BD4">
        <w:tblPrEx>
          <w:tblCellMar>
            <w:bottom w:w="0" w:type="dxa"/>
          </w:tblCellMar>
        </w:tblPrEx>
        <w:tc>
          <w:tcPr>
            <w:tcW w:w="2452" w:type="pct"/>
            <w:gridSpan w:val="2"/>
          </w:tcPr>
          <w:p w:rsidR="00880679" w:rsidRPr="000A2294" w:rsidRDefault="00880679" w:rsidP="00880679">
            <w:pPr>
              <w:jc w:val="both"/>
              <w:rPr>
                <w:sz w:val="20"/>
                <w:lang w:val="fr-CA"/>
              </w:rPr>
            </w:pPr>
            <w:r w:rsidRPr="000A2294">
              <w:rPr>
                <w:sz w:val="20"/>
                <w:lang w:val="fr-CA"/>
              </w:rPr>
              <w:t>March 1, 2018</w:t>
            </w:r>
          </w:p>
          <w:p w:rsidR="00880679" w:rsidRPr="000A2294" w:rsidRDefault="00880679" w:rsidP="00880679">
            <w:pPr>
              <w:jc w:val="both"/>
              <w:rPr>
                <w:sz w:val="20"/>
                <w:lang w:val="fr-CA"/>
              </w:rPr>
            </w:pPr>
            <w:r w:rsidRPr="000A2294">
              <w:rPr>
                <w:sz w:val="20"/>
                <w:lang w:val="fr-CA"/>
              </w:rPr>
              <w:t>Quebec Commission d’accès à l’information</w:t>
            </w:r>
          </w:p>
          <w:p w:rsidR="00880679" w:rsidRPr="000A2294" w:rsidRDefault="00880679" w:rsidP="00880679">
            <w:pPr>
              <w:jc w:val="both"/>
              <w:rPr>
                <w:sz w:val="20"/>
                <w:lang w:val="fr-CA"/>
              </w:rPr>
            </w:pPr>
            <w:r w:rsidRPr="000A2294">
              <w:rPr>
                <w:sz w:val="20"/>
                <w:lang w:val="fr-CA"/>
              </w:rPr>
              <w:t>(Lina Desbiens)</w:t>
            </w:r>
          </w:p>
          <w:p w:rsidR="00880679" w:rsidRPr="000A2294" w:rsidRDefault="00880679" w:rsidP="00880679">
            <w:pPr>
              <w:jc w:val="both"/>
              <w:rPr>
                <w:sz w:val="20"/>
                <w:lang w:val="fr-CA"/>
              </w:rPr>
            </w:pPr>
            <w:r w:rsidRPr="000A2294">
              <w:rPr>
                <w:sz w:val="20"/>
                <w:lang w:val="fr-CA"/>
              </w:rPr>
              <w:t>File:</w:t>
            </w:r>
            <w:r w:rsidRPr="000A2294">
              <w:rPr>
                <w:color w:val="000000"/>
                <w:sz w:val="20"/>
                <w:lang w:val="fr-CA"/>
              </w:rPr>
              <w:t xml:space="preserve"> </w:t>
            </w:r>
            <w:r w:rsidRPr="000A2294">
              <w:rPr>
                <w:sz w:val="20"/>
                <w:lang w:val="fr-CA"/>
              </w:rPr>
              <w:t>1009450-J</w:t>
            </w:r>
          </w:p>
          <w:p w:rsidR="00880679" w:rsidRPr="000A2294" w:rsidRDefault="00F935FF" w:rsidP="00880679">
            <w:pPr>
              <w:jc w:val="both"/>
              <w:rPr>
                <w:sz w:val="20"/>
                <w:lang w:val="fr-CA"/>
              </w:rPr>
            </w:pPr>
            <w:hyperlink r:id="rId155" w:history="1">
              <w:r w:rsidR="00880679" w:rsidRPr="000A2294">
                <w:rPr>
                  <w:rStyle w:val="Hyperlink"/>
                  <w:sz w:val="20"/>
                  <w:lang w:val="fr-CA"/>
                </w:rPr>
                <w:t>2018 QCCAI 40</w:t>
              </w:r>
            </w:hyperlink>
          </w:p>
          <w:p w:rsidR="00880679" w:rsidRPr="000A2294" w:rsidRDefault="00880679" w:rsidP="00880679">
            <w:pPr>
              <w:jc w:val="both"/>
              <w:rPr>
                <w:sz w:val="20"/>
                <w:lang w:val="fr-CA"/>
              </w:rPr>
            </w:pPr>
          </w:p>
        </w:tc>
        <w:tc>
          <w:tcPr>
            <w:tcW w:w="182" w:type="pct"/>
          </w:tcPr>
          <w:p w:rsidR="00880679" w:rsidRPr="000A2294" w:rsidRDefault="00880679" w:rsidP="00880679">
            <w:pPr>
              <w:jc w:val="both"/>
              <w:rPr>
                <w:sz w:val="20"/>
                <w:lang w:val="fr-CA"/>
              </w:rPr>
            </w:pPr>
          </w:p>
        </w:tc>
        <w:tc>
          <w:tcPr>
            <w:tcW w:w="2366" w:type="pct"/>
            <w:gridSpan w:val="2"/>
          </w:tcPr>
          <w:p w:rsidR="00880679" w:rsidRPr="000A2294" w:rsidRDefault="00880679" w:rsidP="00880679">
            <w:pPr>
              <w:jc w:val="both"/>
              <w:rPr>
                <w:sz w:val="20"/>
                <w:lang w:val="en-CA"/>
              </w:rPr>
            </w:pPr>
            <w:r w:rsidRPr="000A2294">
              <w:rPr>
                <w:sz w:val="20"/>
                <w:lang w:val="en-CA"/>
              </w:rPr>
              <w:t>Application for review dismissed</w:t>
            </w:r>
          </w:p>
          <w:p w:rsidR="00880679" w:rsidRPr="000A2294" w:rsidRDefault="00880679" w:rsidP="00880679">
            <w:pPr>
              <w:jc w:val="both"/>
              <w:rPr>
                <w:sz w:val="20"/>
                <w:lang w:val="en-CA"/>
              </w:rPr>
            </w:pPr>
          </w:p>
        </w:tc>
      </w:tr>
      <w:tr w:rsidR="00880679" w:rsidRPr="000A2294" w:rsidTr="00701BD4">
        <w:tblPrEx>
          <w:tblCellMar>
            <w:bottom w:w="0" w:type="dxa"/>
          </w:tblCellMar>
        </w:tblPrEx>
        <w:tc>
          <w:tcPr>
            <w:tcW w:w="2452" w:type="pct"/>
            <w:gridSpan w:val="2"/>
          </w:tcPr>
          <w:p w:rsidR="00880679" w:rsidRPr="000A2294" w:rsidRDefault="00880679" w:rsidP="00880679">
            <w:pPr>
              <w:jc w:val="both"/>
              <w:rPr>
                <w:sz w:val="20"/>
                <w:lang w:val="en-CA"/>
              </w:rPr>
            </w:pPr>
            <w:r w:rsidRPr="000A2294">
              <w:rPr>
                <w:sz w:val="20"/>
                <w:lang w:val="en-CA"/>
              </w:rPr>
              <w:t>August 29, 2019</w:t>
            </w:r>
          </w:p>
          <w:p w:rsidR="00880679" w:rsidRPr="000A2294" w:rsidRDefault="00880679" w:rsidP="00880679">
            <w:pPr>
              <w:jc w:val="both"/>
              <w:rPr>
                <w:sz w:val="20"/>
                <w:lang w:val="en-CA"/>
              </w:rPr>
            </w:pPr>
            <w:r w:rsidRPr="000A2294">
              <w:rPr>
                <w:sz w:val="20"/>
                <w:lang w:val="en-CA"/>
              </w:rPr>
              <w:t>Court of Québec</w:t>
            </w:r>
          </w:p>
          <w:p w:rsidR="00880679" w:rsidRPr="000A2294" w:rsidRDefault="00880679" w:rsidP="00880679">
            <w:pPr>
              <w:jc w:val="both"/>
              <w:rPr>
                <w:sz w:val="20"/>
                <w:lang w:val="en-CA"/>
              </w:rPr>
            </w:pPr>
            <w:r w:rsidRPr="000A2294">
              <w:rPr>
                <w:sz w:val="20"/>
                <w:lang w:val="en-CA"/>
              </w:rPr>
              <w:t>(Judge Aubé)</w:t>
            </w:r>
          </w:p>
          <w:p w:rsidR="00880679" w:rsidRPr="000A2294" w:rsidRDefault="00880679" w:rsidP="00880679">
            <w:pPr>
              <w:jc w:val="both"/>
              <w:rPr>
                <w:sz w:val="20"/>
                <w:lang w:val="en-CA"/>
              </w:rPr>
            </w:pPr>
            <w:r w:rsidRPr="000A2294">
              <w:rPr>
                <w:sz w:val="20"/>
                <w:lang w:val="en-CA"/>
              </w:rPr>
              <w:t>File: 500-80-036969-187</w:t>
            </w:r>
          </w:p>
          <w:p w:rsidR="00880679" w:rsidRPr="000A2294" w:rsidRDefault="00F935FF" w:rsidP="00880679">
            <w:pPr>
              <w:jc w:val="both"/>
              <w:rPr>
                <w:sz w:val="20"/>
                <w:lang w:val="en-CA"/>
              </w:rPr>
            </w:pPr>
            <w:hyperlink r:id="rId156" w:history="1">
              <w:r w:rsidR="00880679" w:rsidRPr="000A2294">
                <w:rPr>
                  <w:rStyle w:val="Hyperlink"/>
                  <w:sz w:val="20"/>
                  <w:lang w:val="en-CA"/>
                </w:rPr>
                <w:t>2019 QCCQ 5554</w:t>
              </w:r>
            </w:hyperlink>
          </w:p>
          <w:p w:rsidR="00880679" w:rsidRPr="000A2294" w:rsidRDefault="00880679" w:rsidP="00880679">
            <w:pPr>
              <w:jc w:val="both"/>
              <w:rPr>
                <w:sz w:val="20"/>
                <w:lang w:val="en-CA"/>
              </w:rPr>
            </w:pPr>
          </w:p>
        </w:tc>
        <w:tc>
          <w:tcPr>
            <w:tcW w:w="182" w:type="pct"/>
          </w:tcPr>
          <w:p w:rsidR="00880679" w:rsidRPr="000A2294" w:rsidRDefault="00880679" w:rsidP="00880679">
            <w:pPr>
              <w:jc w:val="both"/>
              <w:rPr>
                <w:sz w:val="20"/>
                <w:lang w:val="en-CA"/>
              </w:rPr>
            </w:pPr>
          </w:p>
        </w:tc>
        <w:tc>
          <w:tcPr>
            <w:tcW w:w="2366" w:type="pct"/>
            <w:gridSpan w:val="2"/>
          </w:tcPr>
          <w:p w:rsidR="00880679" w:rsidRPr="000A2294" w:rsidRDefault="00880679" w:rsidP="00880679">
            <w:pPr>
              <w:jc w:val="both"/>
              <w:rPr>
                <w:sz w:val="20"/>
                <w:lang w:val="en-CA"/>
              </w:rPr>
            </w:pPr>
            <w:r w:rsidRPr="000A2294">
              <w:rPr>
                <w:sz w:val="20"/>
                <w:lang w:val="en-CA"/>
              </w:rPr>
              <w:t>Appeal dismissed</w:t>
            </w:r>
          </w:p>
          <w:p w:rsidR="00880679" w:rsidRPr="000A2294" w:rsidRDefault="00880679" w:rsidP="00880679">
            <w:pPr>
              <w:jc w:val="both"/>
              <w:rPr>
                <w:sz w:val="20"/>
                <w:lang w:val="en-CA"/>
              </w:rPr>
            </w:pPr>
          </w:p>
        </w:tc>
      </w:tr>
      <w:tr w:rsidR="00880679" w:rsidRPr="000A2294" w:rsidTr="00701BD4">
        <w:tblPrEx>
          <w:tblCellMar>
            <w:bottom w:w="0" w:type="dxa"/>
          </w:tblCellMar>
        </w:tblPrEx>
        <w:tc>
          <w:tcPr>
            <w:tcW w:w="2452" w:type="pct"/>
            <w:gridSpan w:val="2"/>
          </w:tcPr>
          <w:p w:rsidR="00880679" w:rsidRPr="000A2294" w:rsidRDefault="00880679" w:rsidP="00880679">
            <w:pPr>
              <w:jc w:val="both"/>
              <w:rPr>
                <w:sz w:val="20"/>
                <w:lang w:val="en-CA"/>
              </w:rPr>
            </w:pPr>
            <w:r w:rsidRPr="000A2294">
              <w:rPr>
                <w:sz w:val="20"/>
                <w:lang w:val="en-CA"/>
              </w:rPr>
              <w:t>February 2, 2021</w:t>
            </w:r>
          </w:p>
          <w:p w:rsidR="00880679" w:rsidRPr="000A2294" w:rsidRDefault="00880679" w:rsidP="00880679">
            <w:pPr>
              <w:jc w:val="both"/>
              <w:rPr>
                <w:sz w:val="20"/>
                <w:lang w:val="en-CA"/>
              </w:rPr>
            </w:pPr>
            <w:r w:rsidRPr="000A2294">
              <w:rPr>
                <w:sz w:val="20"/>
                <w:lang w:val="en-CA"/>
              </w:rPr>
              <w:t>Quebec Superior Court</w:t>
            </w:r>
          </w:p>
          <w:p w:rsidR="00880679" w:rsidRPr="000A2294" w:rsidRDefault="00880679" w:rsidP="00880679">
            <w:pPr>
              <w:jc w:val="both"/>
              <w:rPr>
                <w:sz w:val="20"/>
                <w:lang w:val="en-CA"/>
              </w:rPr>
            </w:pPr>
            <w:r w:rsidRPr="000A2294">
              <w:rPr>
                <w:sz w:val="20"/>
                <w:lang w:val="en-CA"/>
              </w:rPr>
              <w:t>(St-Pierre J.)</w:t>
            </w:r>
          </w:p>
          <w:p w:rsidR="00880679" w:rsidRPr="000A2294" w:rsidRDefault="00880679" w:rsidP="00880679">
            <w:pPr>
              <w:jc w:val="both"/>
              <w:rPr>
                <w:sz w:val="20"/>
                <w:lang w:val="en-CA"/>
              </w:rPr>
            </w:pPr>
            <w:r w:rsidRPr="000A2294">
              <w:rPr>
                <w:sz w:val="20"/>
                <w:lang w:val="en-CA"/>
              </w:rPr>
              <w:t>File: 500-17-109890-197</w:t>
            </w:r>
          </w:p>
          <w:p w:rsidR="00880679" w:rsidRPr="000A2294" w:rsidRDefault="00F935FF" w:rsidP="00880679">
            <w:pPr>
              <w:jc w:val="both"/>
              <w:rPr>
                <w:rStyle w:val="Hyperlink"/>
                <w:sz w:val="20"/>
                <w:lang w:val="en-CA"/>
              </w:rPr>
            </w:pPr>
            <w:hyperlink r:id="rId157" w:history="1">
              <w:r w:rsidR="00880679" w:rsidRPr="000A2294">
                <w:rPr>
                  <w:rStyle w:val="Hyperlink"/>
                  <w:sz w:val="20"/>
                  <w:lang w:val="en-CA"/>
                </w:rPr>
                <w:t>2021 QCCS 1963</w:t>
              </w:r>
            </w:hyperlink>
          </w:p>
          <w:p w:rsidR="00880679" w:rsidRPr="000A2294" w:rsidRDefault="00880679" w:rsidP="00880679">
            <w:pPr>
              <w:jc w:val="both"/>
              <w:rPr>
                <w:sz w:val="20"/>
                <w:lang w:val="en-CA"/>
              </w:rPr>
            </w:pPr>
          </w:p>
        </w:tc>
        <w:tc>
          <w:tcPr>
            <w:tcW w:w="182" w:type="pct"/>
          </w:tcPr>
          <w:p w:rsidR="00880679" w:rsidRPr="000A2294" w:rsidRDefault="00880679" w:rsidP="00880679">
            <w:pPr>
              <w:jc w:val="both"/>
              <w:rPr>
                <w:sz w:val="20"/>
                <w:lang w:val="en-CA"/>
              </w:rPr>
            </w:pPr>
          </w:p>
        </w:tc>
        <w:tc>
          <w:tcPr>
            <w:tcW w:w="2366" w:type="pct"/>
            <w:gridSpan w:val="2"/>
          </w:tcPr>
          <w:p w:rsidR="00880679" w:rsidRPr="000A2294" w:rsidRDefault="00880679" w:rsidP="00880679">
            <w:pPr>
              <w:jc w:val="both"/>
              <w:rPr>
                <w:sz w:val="20"/>
                <w:lang w:val="en-CA"/>
              </w:rPr>
            </w:pPr>
            <w:r w:rsidRPr="000A2294">
              <w:rPr>
                <w:sz w:val="20"/>
                <w:lang w:val="en-CA"/>
              </w:rPr>
              <w:t>Application for judicial review allowed and case remitted to Quebec’s Commission d’accès à l’information for decision on other grounds relied on by respondent for denying access to preliminary report</w:t>
            </w:r>
          </w:p>
          <w:p w:rsidR="00880679" w:rsidRPr="000A2294" w:rsidRDefault="00880679" w:rsidP="00880679">
            <w:pPr>
              <w:jc w:val="both"/>
              <w:rPr>
                <w:sz w:val="20"/>
                <w:lang w:val="en-CA"/>
              </w:rPr>
            </w:pPr>
          </w:p>
        </w:tc>
      </w:tr>
      <w:tr w:rsidR="00880679" w:rsidRPr="000A2294" w:rsidTr="00701BD4">
        <w:tblPrEx>
          <w:tblCellMar>
            <w:bottom w:w="0" w:type="dxa"/>
          </w:tblCellMar>
        </w:tblPrEx>
        <w:tc>
          <w:tcPr>
            <w:tcW w:w="2452" w:type="pct"/>
            <w:gridSpan w:val="2"/>
          </w:tcPr>
          <w:p w:rsidR="00880679" w:rsidRPr="000A2294" w:rsidRDefault="00880679" w:rsidP="00880679">
            <w:pPr>
              <w:jc w:val="both"/>
              <w:rPr>
                <w:sz w:val="20"/>
                <w:lang w:val="en-CA"/>
              </w:rPr>
            </w:pPr>
            <w:r w:rsidRPr="000A2294">
              <w:rPr>
                <w:sz w:val="20"/>
                <w:lang w:val="en-CA"/>
              </w:rPr>
              <w:t>October 17, 2022</w:t>
            </w:r>
          </w:p>
          <w:p w:rsidR="00880679" w:rsidRPr="000A2294" w:rsidRDefault="00880679" w:rsidP="00880679">
            <w:pPr>
              <w:jc w:val="both"/>
              <w:rPr>
                <w:sz w:val="20"/>
                <w:lang w:val="en-CA"/>
              </w:rPr>
            </w:pPr>
            <w:r w:rsidRPr="000A2294">
              <w:rPr>
                <w:sz w:val="20"/>
                <w:lang w:val="en-CA"/>
              </w:rPr>
              <w:t>Quebec Court of Appeal (Montréal)</w:t>
            </w:r>
          </w:p>
          <w:p w:rsidR="00880679" w:rsidRPr="000A2294" w:rsidRDefault="00880679" w:rsidP="00880679">
            <w:pPr>
              <w:jc w:val="both"/>
              <w:rPr>
                <w:sz w:val="20"/>
                <w:lang w:val="fr-CA"/>
              </w:rPr>
            </w:pPr>
            <w:r w:rsidRPr="000A2294">
              <w:rPr>
                <w:sz w:val="20"/>
                <w:lang w:val="fr-CA"/>
              </w:rPr>
              <w:t>(Mainville, Lavallée and Kalichman JJ.A.)</w:t>
            </w:r>
          </w:p>
          <w:p w:rsidR="00880679" w:rsidRPr="000A2294" w:rsidRDefault="00880679" w:rsidP="00880679">
            <w:pPr>
              <w:jc w:val="both"/>
              <w:rPr>
                <w:sz w:val="20"/>
                <w:lang w:val="en-CA"/>
              </w:rPr>
            </w:pPr>
            <w:r w:rsidRPr="000A2294">
              <w:rPr>
                <w:sz w:val="20"/>
                <w:lang w:val="en-CA"/>
              </w:rPr>
              <w:t>File: 500-09-029564-218</w:t>
            </w:r>
          </w:p>
          <w:p w:rsidR="00880679" w:rsidRPr="000A2294" w:rsidRDefault="00F935FF" w:rsidP="00880679">
            <w:pPr>
              <w:jc w:val="both"/>
              <w:rPr>
                <w:sz w:val="20"/>
                <w:lang w:val="en-CA"/>
              </w:rPr>
            </w:pPr>
            <w:hyperlink r:id="rId158" w:history="1">
              <w:r w:rsidR="00880679" w:rsidRPr="000A2294">
                <w:rPr>
                  <w:rStyle w:val="Hyperlink"/>
                  <w:sz w:val="20"/>
                  <w:lang w:val="en-CA"/>
                </w:rPr>
                <w:t>2022 QCCA 1394</w:t>
              </w:r>
            </w:hyperlink>
          </w:p>
          <w:p w:rsidR="00880679" w:rsidRPr="000A2294" w:rsidRDefault="00880679" w:rsidP="00880679">
            <w:pPr>
              <w:jc w:val="both"/>
              <w:rPr>
                <w:sz w:val="20"/>
                <w:lang w:val="en-CA"/>
              </w:rPr>
            </w:pPr>
          </w:p>
        </w:tc>
        <w:tc>
          <w:tcPr>
            <w:tcW w:w="182" w:type="pct"/>
          </w:tcPr>
          <w:p w:rsidR="00880679" w:rsidRPr="000A2294" w:rsidRDefault="00880679" w:rsidP="00880679">
            <w:pPr>
              <w:jc w:val="both"/>
              <w:rPr>
                <w:sz w:val="20"/>
                <w:lang w:val="en-CA"/>
              </w:rPr>
            </w:pPr>
          </w:p>
        </w:tc>
        <w:tc>
          <w:tcPr>
            <w:tcW w:w="2366" w:type="pct"/>
            <w:gridSpan w:val="2"/>
          </w:tcPr>
          <w:p w:rsidR="00880679" w:rsidRPr="000A2294" w:rsidRDefault="00880679" w:rsidP="00880679">
            <w:pPr>
              <w:jc w:val="both"/>
              <w:rPr>
                <w:sz w:val="20"/>
                <w:lang w:val="en-CA"/>
              </w:rPr>
            </w:pPr>
            <w:r w:rsidRPr="000A2294">
              <w:rPr>
                <w:sz w:val="20"/>
                <w:lang w:val="en-CA"/>
              </w:rPr>
              <w:t>Appeal allowed, judgment of Quebec Superior Court set aside and judgment of Court of Québec restored</w:t>
            </w:r>
          </w:p>
          <w:p w:rsidR="00880679" w:rsidRPr="000A2294" w:rsidRDefault="00880679" w:rsidP="00880679">
            <w:pPr>
              <w:jc w:val="both"/>
              <w:rPr>
                <w:sz w:val="20"/>
                <w:lang w:val="en-CA"/>
              </w:rPr>
            </w:pPr>
          </w:p>
        </w:tc>
      </w:tr>
      <w:tr w:rsidR="00880679" w:rsidRPr="000A2294" w:rsidTr="00701BD4">
        <w:tblPrEx>
          <w:tblCellMar>
            <w:bottom w:w="0" w:type="dxa"/>
          </w:tblCellMar>
        </w:tblPrEx>
        <w:tc>
          <w:tcPr>
            <w:tcW w:w="2452" w:type="pct"/>
            <w:gridSpan w:val="2"/>
          </w:tcPr>
          <w:p w:rsidR="00880679" w:rsidRPr="000A2294" w:rsidRDefault="00880679" w:rsidP="00880679">
            <w:pPr>
              <w:jc w:val="both"/>
              <w:rPr>
                <w:sz w:val="20"/>
                <w:lang w:val="en-CA"/>
              </w:rPr>
            </w:pPr>
            <w:r w:rsidRPr="000A2294">
              <w:rPr>
                <w:sz w:val="20"/>
                <w:lang w:val="en-CA"/>
              </w:rPr>
              <w:t>December 16, 2022</w:t>
            </w:r>
          </w:p>
          <w:p w:rsidR="00880679" w:rsidRPr="000A2294" w:rsidRDefault="00880679" w:rsidP="00880679">
            <w:pPr>
              <w:jc w:val="both"/>
              <w:rPr>
                <w:sz w:val="20"/>
                <w:lang w:val="en-CA"/>
              </w:rPr>
            </w:pPr>
            <w:r w:rsidRPr="000A2294">
              <w:rPr>
                <w:sz w:val="20"/>
                <w:lang w:val="en-CA"/>
              </w:rPr>
              <w:t>Supreme Court of Canada</w:t>
            </w:r>
          </w:p>
        </w:tc>
        <w:tc>
          <w:tcPr>
            <w:tcW w:w="182" w:type="pct"/>
          </w:tcPr>
          <w:p w:rsidR="00880679" w:rsidRPr="000A2294" w:rsidRDefault="00880679" w:rsidP="00880679">
            <w:pPr>
              <w:jc w:val="both"/>
              <w:rPr>
                <w:sz w:val="20"/>
                <w:lang w:val="en-CA"/>
              </w:rPr>
            </w:pPr>
          </w:p>
        </w:tc>
        <w:tc>
          <w:tcPr>
            <w:tcW w:w="2366" w:type="pct"/>
            <w:gridSpan w:val="2"/>
          </w:tcPr>
          <w:p w:rsidR="00880679" w:rsidRPr="000A2294" w:rsidRDefault="00880679" w:rsidP="00880679">
            <w:pPr>
              <w:jc w:val="both"/>
              <w:rPr>
                <w:sz w:val="20"/>
                <w:lang w:val="en-CA"/>
              </w:rPr>
            </w:pPr>
            <w:r w:rsidRPr="000A2294">
              <w:rPr>
                <w:sz w:val="20"/>
                <w:lang w:val="en-CA"/>
              </w:rPr>
              <w:t>Application for leave to appeal filed</w:t>
            </w:r>
          </w:p>
        </w:tc>
      </w:tr>
    </w:tbl>
    <w:p w:rsidR="00880679" w:rsidRPr="000A2294" w:rsidRDefault="00880679" w:rsidP="00880679">
      <w:pPr>
        <w:jc w:val="both"/>
        <w:rPr>
          <w:sz w:val="20"/>
          <w:lang w:val="en-CA"/>
        </w:rPr>
      </w:pPr>
    </w:p>
    <w:p w:rsidR="00880679" w:rsidRPr="000A2294" w:rsidRDefault="00F935FF" w:rsidP="00880679">
      <w:pPr>
        <w:jc w:val="both"/>
        <w:rPr>
          <w:sz w:val="20"/>
          <w:lang w:val="en-CA"/>
        </w:rPr>
      </w:pPr>
      <w:r>
        <w:rPr>
          <w:sz w:val="20"/>
        </w:rPr>
        <w:pict>
          <v:rect id="_x0000_i1077" style="width:2in;height:1pt" o:hrpct="0" o:hralign="center" o:hrstd="t" o:hrnoshade="t" o:hr="t" fillcolor="black [3213]" stroked="f"/>
        </w:pict>
      </w:r>
    </w:p>
    <w:p w:rsidR="00880679" w:rsidRPr="000A2294" w:rsidRDefault="00880679" w:rsidP="00880679">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585"/>
        <w:gridCol w:w="341"/>
        <w:gridCol w:w="4339"/>
        <w:gridCol w:w="90"/>
      </w:tblGrid>
      <w:tr w:rsidR="00880679" w:rsidRPr="000A2294" w:rsidTr="00701BD4">
        <w:trPr>
          <w:gridAfter w:val="1"/>
          <w:wAfter w:w="48" w:type="pct"/>
        </w:trPr>
        <w:tc>
          <w:tcPr>
            <w:tcW w:w="537" w:type="pct"/>
          </w:tcPr>
          <w:p w:rsidR="00880679" w:rsidRPr="000A2294" w:rsidRDefault="00880679" w:rsidP="00880679">
            <w:pPr>
              <w:jc w:val="both"/>
              <w:rPr>
                <w:sz w:val="20"/>
              </w:rPr>
            </w:pPr>
            <w:r w:rsidRPr="000A2294">
              <w:rPr>
                <w:rStyle w:val="SCCFileNumberChar"/>
                <w:sz w:val="20"/>
                <w:szCs w:val="20"/>
              </w:rPr>
              <w:t>40534</w:t>
            </w:r>
          </w:p>
        </w:tc>
        <w:tc>
          <w:tcPr>
            <w:tcW w:w="4415" w:type="pct"/>
            <w:gridSpan w:val="3"/>
          </w:tcPr>
          <w:p w:rsidR="00880679" w:rsidRPr="000A2294" w:rsidRDefault="00880679" w:rsidP="00880679">
            <w:pPr>
              <w:pStyle w:val="SCCLsocParty"/>
              <w:jc w:val="both"/>
              <w:rPr>
                <w:b/>
                <w:sz w:val="20"/>
                <w:szCs w:val="20"/>
              </w:rPr>
            </w:pPr>
            <w:r w:rsidRPr="000A2294">
              <w:rPr>
                <w:b/>
                <w:sz w:val="20"/>
                <w:szCs w:val="20"/>
              </w:rPr>
              <w:t>Éric Yvan Lemay c. Centre universitaire de santé McGill</w:t>
            </w:r>
          </w:p>
          <w:p w:rsidR="00880679" w:rsidRPr="000A2294" w:rsidRDefault="00880679" w:rsidP="00880679">
            <w:pPr>
              <w:jc w:val="both"/>
              <w:rPr>
                <w:sz w:val="20"/>
              </w:rPr>
            </w:pPr>
            <w:r w:rsidRPr="000A2294">
              <w:rPr>
                <w:sz w:val="20"/>
              </w:rPr>
              <w:t>(Qc) (Civile) (Autorisation)</w:t>
            </w:r>
          </w:p>
        </w:tc>
      </w:tr>
      <w:tr w:rsidR="00880679" w:rsidRPr="00F935FF" w:rsidTr="00701BD4">
        <w:trPr>
          <w:gridAfter w:val="1"/>
          <w:wAfter w:w="48" w:type="pct"/>
        </w:trPr>
        <w:tc>
          <w:tcPr>
            <w:tcW w:w="4952" w:type="pct"/>
            <w:gridSpan w:val="4"/>
          </w:tcPr>
          <w:p w:rsidR="00880679" w:rsidRPr="000A2294" w:rsidRDefault="00880679" w:rsidP="00880679">
            <w:pPr>
              <w:jc w:val="both"/>
              <w:rPr>
                <w:sz w:val="20"/>
                <w:lang w:val="fr-CA"/>
              </w:rPr>
            </w:pPr>
            <w:r w:rsidRPr="000A2294">
              <w:rPr>
                <w:sz w:val="20"/>
                <w:lang w:val="fr-CA"/>
              </w:rPr>
              <w:t>Accès à l’information —</w:t>
            </w:r>
            <w:r w:rsidRPr="000A2294">
              <w:rPr>
                <w:iCs/>
                <w:sz w:val="20"/>
                <w:lang w:val="fr-FR"/>
              </w:rPr>
              <w:t xml:space="preserve"> Secret professionnel de l’avocat </w:t>
            </w:r>
            <w:r w:rsidRPr="000A2294">
              <w:rPr>
                <w:sz w:val="20"/>
                <w:lang w:val="fr-CA"/>
              </w:rPr>
              <w:t xml:space="preserve">— Renonciation au secret </w:t>
            </w:r>
            <w:r w:rsidRPr="000A2294">
              <w:rPr>
                <w:iCs/>
                <w:sz w:val="20"/>
                <w:lang w:val="fr-FR"/>
              </w:rPr>
              <w:t xml:space="preserve">professionnel de l’avocat </w:t>
            </w:r>
            <w:r w:rsidRPr="000A2294">
              <w:rPr>
                <w:sz w:val="20"/>
                <w:lang w:val="fr-CA"/>
              </w:rPr>
              <w:t>— Transmission d’un document faisant l’objet du secret professionnel de l’avocat à un tiers dans le contexte d’une enquête de nature criminelle — Est-ce que l’obligation morale de collaborer avec les forces policières et le devoir de confidentialité des forces policières sont des éléments déterminants lorsqu’il est question d’évaluer s’il y a eu renonciation au secret professionnel de l’avocat lorsque le bénéficiaire du privilège remet volontairement et sans restriction un document privilégié aux forces policières?</w:t>
            </w:r>
          </w:p>
        </w:tc>
      </w:tr>
      <w:tr w:rsidR="00880679" w:rsidRPr="00F935FF" w:rsidTr="00701BD4">
        <w:trPr>
          <w:gridAfter w:val="1"/>
          <w:wAfter w:w="48" w:type="pct"/>
        </w:trPr>
        <w:tc>
          <w:tcPr>
            <w:tcW w:w="4952" w:type="pct"/>
            <w:gridSpan w:val="4"/>
          </w:tcPr>
          <w:p w:rsidR="00880679" w:rsidRPr="000A2294" w:rsidRDefault="00880679" w:rsidP="00880679">
            <w:pPr>
              <w:jc w:val="both"/>
              <w:rPr>
                <w:sz w:val="20"/>
                <w:lang w:val="fr-CA"/>
              </w:rPr>
            </w:pPr>
          </w:p>
          <w:p w:rsidR="00880679" w:rsidRPr="000A2294" w:rsidRDefault="00880679" w:rsidP="00880679">
            <w:pPr>
              <w:jc w:val="both"/>
              <w:rPr>
                <w:sz w:val="20"/>
                <w:lang w:val="fr-CA"/>
              </w:rPr>
            </w:pPr>
            <w:r w:rsidRPr="000A2294">
              <w:rPr>
                <w:sz w:val="20"/>
                <w:lang w:val="fr-CA"/>
              </w:rPr>
              <w:t>Plusieurs articles sont publiés dans les journaux concernant des allégations de collusion et de corruption dans l’octroi de contrats en lien avec le projet de construction du nouveau Centre universitaire de santé McGill (« CUSM »). Suivant la publication de ces articles, le CUSM retient les services d’un avocat. L’avocat confie à la firme PricewaterhouseCoopers (« PwC ») un mandat d’assistance juricomptable. Les travaux à effectuer par PwC consistent à mener une enquête et produire un rapport préliminaire. Ce rapport est éventuellement transmis par le CUSM à l’Unité permanente anticorruption (« UPAC »). En mai 2014, Caroline Pailliez dépose une demande d’accès à l’information auprès du CUSM afin d’obtenir une copie du rapport, mais la demande est refusée. Elle dépose ensuite une demande de révision de la décision du CUSM à la Commission d’accès à l’information du Québec. La Commission conclut que le rapport préliminaire est protégé par le secret professionnel de l’avocat et que la transmission du rapport à l’UPAC n’équivaut pas nécessairement à une renonciation au secret professionnel de l’avocat. Elle rejette donc la demande de révision. Madame Pailliez porte la décision de la Commission en appel, mais la Cour du Québec rejette l’appel. Agissant en reprise d’instance pour Mme Pailliez, Éric Yvan Lemay demande le contrôle judiciaire du jugement de la Cour du Québec. Statuant uniquement sur la question de la renonciation au secret professionnel de l’avocat, la Cour supérieure du Québec conclut que le CUSM a renoncé à celui</w:t>
            </w:r>
            <w:r w:rsidRPr="000A2294">
              <w:rPr>
                <w:sz w:val="20"/>
                <w:lang w:val="fr-CA"/>
              </w:rPr>
              <w:noBreakHyphen/>
              <w:t>ci en transmettant le rapport à l’UPAC. Elle accueille donc le pourvoi en contrôle judiciaire et retourne le dossier à la Commission afin qu’elle statue sur les autres motifs invoqués par le CUSM pour refuser l’accès au rapport. Le CUSM porte en appel le jugement de la Cour supérieure. Concluant que le CUSM n’a pas renoncé au secret professionnel de l’avocat en transmettant le rapport à l’UPAC, la Cour d’appel du Québec accueille l’appel, annule le jugement de la Cour supérieure et rétablit le jugement de la Cour du Québec confirmant la décision de la Commission.</w:t>
            </w:r>
          </w:p>
          <w:p w:rsidR="00880679" w:rsidRPr="000A2294" w:rsidRDefault="00880679" w:rsidP="00880679">
            <w:pPr>
              <w:jc w:val="both"/>
              <w:rPr>
                <w:sz w:val="20"/>
                <w:lang w:val="fr-CA"/>
              </w:rPr>
            </w:pPr>
          </w:p>
        </w:tc>
      </w:tr>
      <w:tr w:rsidR="00880679" w:rsidRPr="000A2294" w:rsidTr="00701BD4">
        <w:tblPrEx>
          <w:tblCellMar>
            <w:bottom w:w="0" w:type="dxa"/>
          </w:tblCellMar>
        </w:tblPrEx>
        <w:tc>
          <w:tcPr>
            <w:tcW w:w="2452" w:type="pct"/>
            <w:gridSpan w:val="2"/>
          </w:tcPr>
          <w:p w:rsidR="00880679" w:rsidRPr="000A2294" w:rsidRDefault="00880679" w:rsidP="00880679">
            <w:pPr>
              <w:jc w:val="both"/>
              <w:rPr>
                <w:sz w:val="20"/>
                <w:lang w:val="fr-CA"/>
              </w:rPr>
            </w:pPr>
            <w:r w:rsidRPr="000A2294">
              <w:rPr>
                <w:sz w:val="20"/>
                <w:lang w:val="fr-CA"/>
              </w:rPr>
              <w:t>Le 1</w:t>
            </w:r>
            <w:r w:rsidRPr="000A2294">
              <w:rPr>
                <w:sz w:val="20"/>
                <w:vertAlign w:val="superscript"/>
                <w:lang w:val="fr-CA"/>
              </w:rPr>
              <w:t xml:space="preserve">er </w:t>
            </w:r>
            <w:r w:rsidRPr="000A2294">
              <w:rPr>
                <w:sz w:val="20"/>
                <w:lang w:val="fr-CA"/>
              </w:rPr>
              <w:t>mars 2018</w:t>
            </w:r>
          </w:p>
          <w:p w:rsidR="00880679" w:rsidRPr="000A2294" w:rsidRDefault="00880679" w:rsidP="00880679">
            <w:pPr>
              <w:jc w:val="both"/>
              <w:rPr>
                <w:sz w:val="20"/>
                <w:lang w:val="fr-CA"/>
              </w:rPr>
            </w:pPr>
            <w:r w:rsidRPr="000A2294">
              <w:rPr>
                <w:sz w:val="20"/>
                <w:lang w:val="fr-CA"/>
              </w:rPr>
              <w:t>Commission d’accès à l’information du Québec</w:t>
            </w:r>
          </w:p>
          <w:p w:rsidR="00880679" w:rsidRPr="000A2294" w:rsidRDefault="00880679" w:rsidP="00880679">
            <w:pPr>
              <w:jc w:val="both"/>
              <w:rPr>
                <w:sz w:val="20"/>
                <w:lang w:val="fr-CA"/>
              </w:rPr>
            </w:pPr>
            <w:r w:rsidRPr="000A2294">
              <w:rPr>
                <w:sz w:val="20"/>
                <w:lang w:val="fr-CA"/>
              </w:rPr>
              <w:t>(M</w:t>
            </w:r>
            <w:r w:rsidRPr="000A2294">
              <w:rPr>
                <w:sz w:val="20"/>
                <w:vertAlign w:val="superscript"/>
                <w:lang w:val="fr-CA"/>
              </w:rPr>
              <w:t>e</w:t>
            </w:r>
            <w:r w:rsidRPr="000A2294">
              <w:rPr>
                <w:sz w:val="20"/>
                <w:lang w:val="fr-CA"/>
              </w:rPr>
              <w:t xml:space="preserve"> Lina Desbiens)</w:t>
            </w:r>
          </w:p>
          <w:p w:rsidR="00880679" w:rsidRPr="000A2294" w:rsidRDefault="00880679" w:rsidP="00880679">
            <w:pPr>
              <w:jc w:val="both"/>
              <w:rPr>
                <w:sz w:val="20"/>
                <w:lang w:val="fr-CA"/>
              </w:rPr>
            </w:pPr>
            <w:r w:rsidRPr="000A2294">
              <w:rPr>
                <w:sz w:val="20"/>
                <w:lang w:val="fr-CA"/>
              </w:rPr>
              <w:t>Dossier :</w:t>
            </w:r>
            <w:r w:rsidRPr="000A2294">
              <w:rPr>
                <w:color w:val="000000"/>
                <w:sz w:val="20"/>
                <w:lang w:val="fr-CA"/>
              </w:rPr>
              <w:t xml:space="preserve"> </w:t>
            </w:r>
            <w:r w:rsidRPr="000A2294">
              <w:rPr>
                <w:sz w:val="20"/>
                <w:lang w:val="fr-CA"/>
              </w:rPr>
              <w:t>1009450-J</w:t>
            </w:r>
          </w:p>
          <w:p w:rsidR="00880679" w:rsidRPr="000A2294" w:rsidRDefault="00F935FF" w:rsidP="00880679">
            <w:pPr>
              <w:jc w:val="both"/>
              <w:rPr>
                <w:sz w:val="20"/>
                <w:lang w:val="fr-CA"/>
              </w:rPr>
            </w:pPr>
            <w:hyperlink r:id="rId159" w:history="1">
              <w:r w:rsidR="00880679" w:rsidRPr="000A2294">
                <w:rPr>
                  <w:rStyle w:val="Hyperlink"/>
                  <w:sz w:val="20"/>
                  <w:lang w:val="fr-CA"/>
                </w:rPr>
                <w:t>2018 QCCAI 40</w:t>
              </w:r>
            </w:hyperlink>
          </w:p>
          <w:p w:rsidR="00880679" w:rsidRPr="000A2294" w:rsidRDefault="00880679" w:rsidP="00880679">
            <w:pPr>
              <w:jc w:val="both"/>
              <w:rPr>
                <w:sz w:val="20"/>
                <w:lang w:val="fr-CA"/>
              </w:rPr>
            </w:pPr>
          </w:p>
        </w:tc>
        <w:tc>
          <w:tcPr>
            <w:tcW w:w="182" w:type="pct"/>
          </w:tcPr>
          <w:p w:rsidR="00880679" w:rsidRPr="000A2294" w:rsidRDefault="00880679" w:rsidP="00880679">
            <w:pPr>
              <w:jc w:val="both"/>
              <w:rPr>
                <w:sz w:val="20"/>
                <w:lang w:val="fr-CA"/>
              </w:rPr>
            </w:pPr>
          </w:p>
        </w:tc>
        <w:tc>
          <w:tcPr>
            <w:tcW w:w="2366" w:type="pct"/>
            <w:gridSpan w:val="2"/>
          </w:tcPr>
          <w:p w:rsidR="00880679" w:rsidRPr="000A2294" w:rsidRDefault="00880679" w:rsidP="00880679">
            <w:pPr>
              <w:jc w:val="both"/>
              <w:rPr>
                <w:sz w:val="20"/>
              </w:rPr>
            </w:pPr>
            <w:r w:rsidRPr="000A2294">
              <w:rPr>
                <w:sz w:val="20"/>
              </w:rPr>
              <w:t>Demande de révision rejetée.</w:t>
            </w:r>
          </w:p>
          <w:p w:rsidR="00880679" w:rsidRPr="000A2294" w:rsidRDefault="00880679" w:rsidP="00880679">
            <w:pPr>
              <w:jc w:val="both"/>
              <w:rPr>
                <w:sz w:val="20"/>
              </w:rPr>
            </w:pPr>
          </w:p>
        </w:tc>
      </w:tr>
      <w:tr w:rsidR="00880679" w:rsidRPr="000A2294" w:rsidTr="00701BD4">
        <w:tblPrEx>
          <w:tblCellMar>
            <w:bottom w:w="0" w:type="dxa"/>
          </w:tblCellMar>
        </w:tblPrEx>
        <w:tc>
          <w:tcPr>
            <w:tcW w:w="2452" w:type="pct"/>
            <w:gridSpan w:val="2"/>
          </w:tcPr>
          <w:p w:rsidR="00880679" w:rsidRPr="000A2294" w:rsidRDefault="00880679" w:rsidP="00880679">
            <w:pPr>
              <w:jc w:val="both"/>
              <w:rPr>
                <w:sz w:val="20"/>
                <w:lang w:val="fr-CA"/>
              </w:rPr>
            </w:pPr>
            <w:r w:rsidRPr="000A2294">
              <w:rPr>
                <w:sz w:val="20"/>
                <w:lang w:val="fr-CA"/>
              </w:rPr>
              <w:t>Le 29 août 2019</w:t>
            </w:r>
          </w:p>
          <w:p w:rsidR="00880679" w:rsidRPr="000A2294" w:rsidRDefault="00880679" w:rsidP="00880679">
            <w:pPr>
              <w:jc w:val="both"/>
              <w:rPr>
                <w:sz w:val="20"/>
                <w:lang w:val="fr-CA"/>
              </w:rPr>
            </w:pPr>
            <w:r w:rsidRPr="000A2294">
              <w:rPr>
                <w:sz w:val="20"/>
                <w:lang w:val="fr-CA"/>
              </w:rPr>
              <w:t>Cour du Québec</w:t>
            </w:r>
          </w:p>
          <w:p w:rsidR="00880679" w:rsidRPr="000A2294" w:rsidRDefault="00880679" w:rsidP="00880679">
            <w:pPr>
              <w:jc w:val="both"/>
              <w:rPr>
                <w:sz w:val="20"/>
                <w:lang w:val="fr-CA"/>
              </w:rPr>
            </w:pPr>
            <w:r w:rsidRPr="000A2294">
              <w:rPr>
                <w:sz w:val="20"/>
                <w:lang w:val="fr-CA"/>
              </w:rPr>
              <w:t>(La juge Aubé)</w:t>
            </w:r>
          </w:p>
          <w:p w:rsidR="00880679" w:rsidRPr="000A2294" w:rsidRDefault="00880679" w:rsidP="00880679">
            <w:pPr>
              <w:jc w:val="both"/>
              <w:rPr>
                <w:sz w:val="20"/>
              </w:rPr>
            </w:pPr>
            <w:r w:rsidRPr="000A2294">
              <w:rPr>
                <w:sz w:val="20"/>
              </w:rPr>
              <w:t>Dossier : 500-80-036969-187</w:t>
            </w:r>
          </w:p>
          <w:p w:rsidR="00880679" w:rsidRPr="000A2294" w:rsidRDefault="00F935FF" w:rsidP="00880679">
            <w:pPr>
              <w:jc w:val="both"/>
              <w:rPr>
                <w:sz w:val="20"/>
              </w:rPr>
            </w:pPr>
            <w:hyperlink r:id="rId160" w:history="1">
              <w:r w:rsidR="00880679" w:rsidRPr="000A2294">
                <w:rPr>
                  <w:rStyle w:val="Hyperlink"/>
                  <w:sz w:val="20"/>
                </w:rPr>
                <w:t>2019 QCCQ 5554</w:t>
              </w:r>
            </w:hyperlink>
          </w:p>
          <w:p w:rsidR="00880679" w:rsidRPr="000A2294" w:rsidRDefault="00880679" w:rsidP="00880679">
            <w:pPr>
              <w:jc w:val="both"/>
              <w:rPr>
                <w:sz w:val="20"/>
              </w:rPr>
            </w:pPr>
          </w:p>
        </w:tc>
        <w:tc>
          <w:tcPr>
            <w:tcW w:w="182" w:type="pct"/>
          </w:tcPr>
          <w:p w:rsidR="00880679" w:rsidRPr="000A2294" w:rsidRDefault="00880679" w:rsidP="00880679">
            <w:pPr>
              <w:jc w:val="both"/>
              <w:rPr>
                <w:sz w:val="20"/>
              </w:rPr>
            </w:pPr>
          </w:p>
        </w:tc>
        <w:tc>
          <w:tcPr>
            <w:tcW w:w="2366" w:type="pct"/>
            <w:gridSpan w:val="2"/>
          </w:tcPr>
          <w:p w:rsidR="00880679" w:rsidRPr="000A2294" w:rsidRDefault="00880679" w:rsidP="00880679">
            <w:pPr>
              <w:jc w:val="both"/>
              <w:rPr>
                <w:sz w:val="20"/>
              </w:rPr>
            </w:pPr>
            <w:r w:rsidRPr="000A2294">
              <w:rPr>
                <w:sz w:val="20"/>
              </w:rPr>
              <w:t>Appel rejeté.</w:t>
            </w:r>
          </w:p>
          <w:p w:rsidR="00880679" w:rsidRPr="000A2294" w:rsidRDefault="00880679" w:rsidP="00880679">
            <w:pPr>
              <w:jc w:val="both"/>
              <w:rPr>
                <w:sz w:val="20"/>
              </w:rPr>
            </w:pPr>
          </w:p>
        </w:tc>
      </w:tr>
      <w:tr w:rsidR="00880679" w:rsidRPr="00F935FF" w:rsidTr="00701BD4">
        <w:tblPrEx>
          <w:tblCellMar>
            <w:bottom w:w="0" w:type="dxa"/>
          </w:tblCellMar>
        </w:tblPrEx>
        <w:tc>
          <w:tcPr>
            <w:tcW w:w="2452" w:type="pct"/>
            <w:gridSpan w:val="2"/>
          </w:tcPr>
          <w:p w:rsidR="00880679" w:rsidRPr="000A2294" w:rsidRDefault="00880679" w:rsidP="00880679">
            <w:pPr>
              <w:jc w:val="both"/>
              <w:rPr>
                <w:sz w:val="20"/>
                <w:lang w:val="fr-CA"/>
              </w:rPr>
            </w:pPr>
            <w:r w:rsidRPr="000A2294">
              <w:rPr>
                <w:sz w:val="20"/>
                <w:lang w:val="fr-CA"/>
              </w:rPr>
              <w:t>Le 2 février 2021</w:t>
            </w:r>
          </w:p>
          <w:p w:rsidR="00880679" w:rsidRPr="000A2294" w:rsidRDefault="00880679" w:rsidP="00880679">
            <w:pPr>
              <w:jc w:val="both"/>
              <w:rPr>
                <w:sz w:val="20"/>
                <w:lang w:val="fr-CA"/>
              </w:rPr>
            </w:pPr>
            <w:r w:rsidRPr="000A2294">
              <w:rPr>
                <w:sz w:val="20"/>
                <w:lang w:val="fr-CA"/>
              </w:rPr>
              <w:t>Cour supérieure du Québec</w:t>
            </w:r>
          </w:p>
          <w:p w:rsidR="00880679" w:rsidRPr="000A2294" w:rsidRDefault="00880679" w:rsidP="00880679">
            <w:pPr>
              <w:jc w:val="both"/>
              <w:rPr>
                <w:sz w:val="20"/>
                <w:lang w:val="fr-CA"/>
              </w:rPr>
            </w:pPr>
            <w:r w:rsidRPr="000A2294">
              <w:rPr>
                <w:sz w:val="20"/>
                <w:lang w:val="fr-CA"/>
              </w:rPr>
              <w:t>(Le juge St-Pierre)</w:t>
            </w:r>
          </w:p>
          <w:p w:rsidR="00880679" w:rsidRPr="000A2294" w:rsidRDefault="00880679" w:rsidP="00880679">
            <w:pPr>
              <w:jc w:val="both"/>
              <w:rPr>
                <w:sz w:val="20"/>
                <w:lang w:val="fr-CA"/>
              </w:rPr>
            </w:pPr>
            <w:r w:rsidRPr="000A2294">
              <w:rPr>
                <w:sz w:val="20"/>
                <w:lang w:val="fr-CA"/>
              </w:rPr>
              <w:t>Dossier : 500-17-109890-197</w:t>
            </w:r>
          </w:p>
          <w:p w:rsidR="00880679" w:rsidRPr="000A2294" w:rsidRDefault="00F935FF" w:rsidP="00880679">
            <w:pPr>
              <w:jc w:val="both"/>
              <w:rPr>
                <w:rStyle w:val="Hyperlink"/>
                <w:sz w:val="20"/>
              </w:rPr>
            </w:pPr>
            <w:hyperlink r:id="rId161" w:history="1">
              <w:r w:rsidR="00880679" w:rsidRPr="000A2294">
                <w:rPr>
                  <w:rStyle w:val="Hyperlink"/>
                  <w:sz w:val="20"/>
                </w:rPr>
                <w:t>2021 QCCS 1963</w:t>
              </w:r>
            </w:hyperlink>
          </w:p>
          <w:p w:rsidR="00880679" w:rsidRPr="000A2294" w:rsidRDefault="00880679" w:rsidP="00880679">
            <w:pPr>
              <w:jc w:val="both"/>
              <w:rPr>
                <w:sz w:val="20"/>
              </w:rPr>
            </w:pPr>
          </w:p>
        </w:tc>
        <w:tc>
          <w:tcPr>
            <w:tcW w:w="182" w:type="pct"/>
          </w:tcPr>
          <w:p w:rsidR="00880679" w:rsidRPr="000A2294" w:rsidRDefault="00880679" w:rsidP="00880679">
            <w:pPr>
              <w:jc w:val="both"/>
              <w:rPr>
                <w:sz w:val="20"/>
              </w:rPr>
            </w:pPr>
          </w:p>
        </w:tc>
        <w:tc>
          <w:tcPr>
            <w:tcW w:w="2366" w:type="pct"/>
            <w:gridSpan w:val="2"/>
          </w:tcPr>
          <w:p w:rsidR="00880679" w:rsidRPr="000A2294" w:rsidRDefault="00880679" w:rsidP="00880679">
            <w:pPr>
              <w:jc w:val="both"/>
              <w:rPr>
                <w:sz w:val="20"/>
                <w:lang w:val="fr-CA"/>
              </w:rPr>
            </w:pPr>
            <w:r w:rsidRPr="000A2294">
              <w:rPr>
                <w:sz w:val="20"/>
                <w:lang w:val="fr-CA"/>
              </w:rPr>
              <w:t>Pourvoi en contrôle judiciaire accueilli. Dossier retourné à la Commission d’accès à l’information du Québec pour qu’elle statue sur les autres motifs invoqués par l’intimé pour refuser l’accès au rapport préliminaire.</w:t>
            </w:r>
          </w:p>
        </w:tc>
      </w:tr>
      <w:tr w:rsidR="00880679" w:rsidRPr="000A2294" w:rsidTr="00701BD4">
        <w:tblPrEx>
          <w:tblCellMar>
            <w:bottom w:w="0" w:type="dxa"/>
          </w:tblCellMar>
        </w:tblPrEx>
        <w:tc>
          <w:tcPr>
            <w:tcW w:w="2452" w:type="pct"/>
            <w:gridSpan w:val="2"/>
          </w:tcPr>
          <w:p w:rsidR="00880679" w:rsidRPr="000A2294" w:rsidRDefault="00880679" w:rsidP="00880679">
            <w:pPr>
              <w:jc w:val="both"/>
              <w:rPr>
                <w:sz w:val="20"/>
                <w:lang w:val="fr-CA"/>
              </w:rPr>
            </w:pPr>
            <w:r w:rsidRPr="000A2294">
              <w:rPr>
                <w:sz w:val="20"/>
                <w:lang w:val="fr-CA"/>
              </w:rPr>
              <w:t>Le 17 octobre 2022</w:t>
            </w:r>
          </w:p>
          <w:p w:rsidR="00880679" w:rsidRPr="000A2294" w:rsidRDefault="00880679" w:rsidP="00880679">
            <w:pPr>
              <w:jc w:val="both"/>
              <w:rPr>
                <w:sz w:val="20"/>
                <w:lang w:val="fr-CA"/>
              </w:rPr>
            </w:pPr>
            <w:r w:rsidRPr="000A2294">
              <w:rPr>
                <w:sz w:val="20"/>
                <w:lang w:val="fr-CA"/>
              </w:rPr>
              <w:t>Cour d’appel du Québec (Montréal)</w:t>
            </w:r>
          </w:p>
          <w:p w:rsidR="00880679" w:rsidRPr="000A2294" w:rsidRDefault="00880679" w:rsidP="00880679">
            <w:pPr>
              <w:jc w:val="both"/>
              <w:rPr>
                <w:sz w:val="20"/>
                <w:lang w:val="fr-CA"/>
              </w:rPr>
            </w:pPr>
            <w:r w:rsidRPr="000A2294">
              <w:rPr>
                <w:sz w:val="20"/>
                <w:lang w:val="fr-CA"/>
              </w:rPr>
              <w:t>(Les juges Mainville, Lavallée et Kalichman)</w:t>
            </w:r>
          </w:p>
          <w:p w:rsidR="00880679" w:rsidRPr="000A2294" w:rsidRDefault="00880679" w:rsidP="00880679">
            <w:pPr>
              <w:jc w:val="both"/>
              <w:rPr>
                <w:sz w:val="20"/>
              </w:rPr>
            </w:pPr>
            <w:r w:rsidRPr="000A2294">
              <w:rPr>
                <w:sz w:val="20"/>
              </w:rPr>
              <w:t>Dossier : 500-09-029564-218</w:t>
            </w:r>
          </w:p>
          <w:p w:rsidR="00880679" w:rsidRPr="000A2294" w:rsidRDefault="00F935FF" w:rsidP="00880679">
            <w:pPr>
              <w:jc w:val="both"/>
              <w:rPr>
                <w:sz w:val="20"/>
              </w:rPr>
            </w:pPr>
            <w:hyperlink r:id="rId162" w:history="1">
              <w:r w:rsidR="00880679" w:rsidRPr="000A2294">
                <w:rPr>
                  <w:rStyle w:val="Hyperlink"/>
                  <w:sz w:val="20"/>
                </w:rPr>
                <w:t>2022 QCCA 1394</w:t>
              </w:r>
            </w:hyperlink>
          </w:p>
          <w:p w:rsidR="00880679" w:rsidRPr="000A2294" w:rsidRDefault="00880679" w:rsidP="00880679">
            <w:pPr>
              <w:jc w:val="both"/>
              <w:rPr>
                <w:sz w:val="20"/>
              </w:rPr>
            </w:pPr>
          </w:p>
        </w:tc>
        <w:tc>
          <w:tcPr>
            <w:tcW w:w="182" w:type="pct"/>
          </w:tcPr>
          <w:p w:rsidR="00880679" w:rsidRPr="000A2294" w:rsidRDefault="00880679" w:rsidP="00880679">
            <w:pPr>
              <w:jc w:val="both"/>
              <w:rPr>
                <w:sz w:val="20"/>
              </w:rPr>
            </w:pPr>
          </w:p>
        </w:tc>
        <w:tc>
          <w:tcPr>
            <w:tcW w:w="2366" w:type="pct"/>
            <w:gridSpan w:val="2"/>
          </w:tcPr>
          <w:p w:rsidR="00880679" w:rsidRPr="000A2294" w:rsidRDefault="00880679" w:rsidP="00880679">
            <w:pPr>
              <w:jc w:val="both"/>
              <w:rPr>
                <w:sz w:val="20"/>
              </w:rPr>
            </w:pPr>
            <w:r w:rsidRPr="000A2294">
              <w:rPr>
                <w:sz w:val="20"/>
                <w:lang w:val="fr-CA"/>
              </w:rPr>
              <w:t xml:space="preserve">Appel accueilli. Jugement de la Cour supérieure du Québec annulé. </w:t>
            </w:r>
            <w:r w:rsidRPr="000A2294">
              <w:rPr>
                <w:sz w:val="20"/>
              </w:rPr>
              <w:t>Jugement de la Cour du Québec rétabli.</w:t>
            </w:r>
          </w:p>
          <w:p w:rsidR="00880679" w:rsidRPr="000A2294" w:rsidRDefault="00880679" w:rsidP="00880679">
            <w:pPr>
              <w:jc w:val="both"/>
              <w:rPr>
                <w:sz w:val="20"/>
              </w:rPr>
            </w:pPr>
          </w:p>
        </w:tc>
      </w:tr>
      <w:tr w:rsidR="00880679" w:rsidRPr="000A2294" w:rsidTr="00701BD4">
        <w:tblPrEx>
          <w:tblCellMar>
            <w:bottom w:w="0" w:type="dxa"/>
          </w:tblCellMar>
        </w:tblPrEx>
        <w:tc>
          <w:tcPr>
            <w:tcW w:w="2452" w:type="pct"/>
            <w:gridSpan w:val="2"/>
          </w:tcPr>
          <w:p w:rsidR="00880679" w:rsidRPr="000A2294" w:rsidRDefault="00880679" w:rsidP="00880679">
            <w:pPr>
              <w:jc w:val="both"/>
              <w:rPr>
                <w:sz w:val="20"/>
                <w:lang w:val="fr-CA"/>
              </w:rPr>
            </w:pPr>
            <w:r w:rsidRPr="000A2294">
              <w:rPr>
                <w:sz w:val="20"/>
                <w:lang w:val="fr-CA"/>
              </w:rPr>
              <w:t>Le 16 décembre 2022</w:t>
            </w:r>
          </w:p>
          <w:p w:rsidR="00880679" w:rsidRPr="000A2294" w:rsidRDefault="00880679" w:rsidP="00880679">
            <w:pPr>
              <w:jc w:val="both"/>
              <w:rPr>
                <w:sz w:val="20"/>
                <w:lang w:val="fr-CA"/>
              </w:rPr>
            </w:pPr>
            <w:r w:rsidRPr="000A2294">
              <w:rPr>
                <w:sz w:val="20"/>
                <w:lang w:val="fr-CA"/>
              </w:rPr>
              <w:t>Cour suprême du Canada</w:t>
            </w:r>
          </w:p>
        </w:tc>
        <w:tc>
          <w:tcPr>
            <w:tcW w:w="182" w:type="pct"/>
          </w:tcPr>
          <w:p w:rsidR="00880679" w:rsidRPr="000A2294" w:rsidRDefault="00880679" w:rsidP="00880679">
            <w:pPr>
              <w:jc w:val="both"/>
              <w:rPr>
                <w:sz w:val="20"/>
                <w:lang w:val="fr-CA"/>
              </w:rPr>
            </w:pPr>
          </w:p>
        </w:tc>
        <w:tc>
          <w:tcPr>
            <w:tcW w:w="2366" w:type="pct"/>
            <w:gridSpan w:val="2"/>
          </w:tcPr>
          <w:p w:rsidR="00880679" w:rsidRPr="000A2294" w:rsidRDefault="00880679" w:rsidP="00880679">
            <w:pPr>
              <w:jc w:val="both"/>
              <w:rPr>
                <w:sz w:val="20"/>
              </w:rPr>
            </w:pPr>
            <w:r w:rsidRPr="000A2294">
              <w:rPr>
                <w:sz w:val="20"/>
              </w:rPr>
              <w:t>Demande d’autorisation d’appel déposée.</w:t>
            </w:r>
          </w:p>
        </w:tc>
      </w:tr>
    </w:tbl>
    <w:p w:rsidR="00FC0780" w:rsidRPr="000A2294" w:rsidRDefault="00FC0780" w:rsidP="00FC0780">
      <w:pPr>
        <w:jc w:val="both"/>
        <w:rPr>
          <w:sz w:val="20"/>
          <w:lang w:val="fr-CA"/>
        </w:rPr>
      </w:pPr>
    </w:p>
    <w:p w:rsidR="002D3AC0" w:rsidRPr="000A2294" w:rsidRDefault="00F935FF" w:rsidP="00142166">
      <w:pPr>
        <w:widowControl w:val="0"/>
        <w:jc w:val="both"/>
        <w:rPr>
          <w:sz w:val="20"/>
        </w:rPr>
      </w:pPr>
      <w:r>
        <w:rPr>
          <w:sz w:val="20"/>
        </w:rPr>
        <w:pict>
          <v:rect id="_x0000_i1078" style="width:2in;height:1pt" o:hrpct="0" o:hralign="center" o:hrstd="t" o:hrnoshade="t" o:hr="t" fillcolor="black [3213]" stroked="f"/>
        </w:pict>
      </w:r>
    </w:p>
    <w:p w:rsidR="00311655" w:rsidRPr="000A2294" w:rsidRDefault="00311655" w:rsidP="00350651">
      <w:pPr>
        <w:ind w:left="142" w:hanging="142"/>
        <w:jc w:val="both"/>
        <w:rPr>
          <w:sz w:val="20"/>
        </w:rPr>
      </w:pPr>
    </w:p>
    <w:p w:rsidR="008F2F11" w:rsidRPr="000A2294" w:rsidRDefault="008F2F11" w:rsidP="00350651">
      <w:pPr>
        <w:ind w:left="142" w:hanging="142"/>
        <w:jc w:val="both"/>
        <w:rPr>
          <w:sz w:val="20"/>
        </w:rPr>
      </w:pPr>
    </w:p>
    <w:p w:rsidR="008F2F11" w:rsidRPr="000A2294" w:rsidRDefault="008F2F11" w:rsidP="00350651">
      <w:pPr>
        <w:ind w:left="142" w:hanging="142"/>
        <w:jc w:val="both"/>
        <w:rPr>
          <w:sz w:val="20"/>
        </w:rPr>
      </w:pPr>
    </w:p>
    <w:p w:rsidR="00D3344A" w:rsidRPr="000A2294" w:rsidRDefault="00D3344A" w:rsidP="00D3344A">
      <w:pPr>
        <w:widowControl w:val="0"/>
        <w:outlineLvl w:val="0"/>
        <w:rPr>
          <w:sz w:val="20"/>
        </w:rPr>
      </w:pPr>
      <w:r w:rsidRPr="000A2294">
        <w:rPr>
          <w:sz w:val="20"/>
        </w:rPr>
        <w:t>Supreme Court of Canada / Cour suprême du Canad</w:t>
      </w:r>
      <w:r w:rsidR="00EE289F" w:rsidRPr="000A2294">
        <w:rPr>
          <w:sz w:val="20"/>
        </w:rPr>
        <w:t>a</w:t>
      </w:r>
      <w:r w:rsidRPr="000A2294">
        <w:rPr>
          <w:sz w:val="20"/>
        </w:rPr>
        <w:t xml:space="preserve"> :</w:t>
      </w:r>
    </w:p>
    <w:p w:rsidR="00D3344A" w:rsidRPr="000A2294" w:rsidRDefault="00F935FF" w:rsidP="00D3344A">
      <w:pPr>
        <w:widowControl w:val="0"/>
        <w:outlineLvl w:val="0"/>
        <w:rPr>
          <w:sz w:val="20"/>
          <w:u w:val="single"/>
        </w:rPr>
      </w:pPr>
      <w:hyperlink r:id="rId163" w:history="1">
        <w:r w:rsidR="009B7391" w:rsidRPr="000A2294">
          <w:rPr>
            <w:rStyle w:val="Hyperlink"/>
            <w:sz w:val="20"/>
          </w:rPr>
          <w:t>comments-commentaires@scc-csc.ca</w:t>
        </w:r>
      </w:hyperlink>
    </w:p>
    <w:p w:rsidR="00D3344A" w:rsidRPr="000A2294" w:rsidRDefault="0065588C" w:rsidP="00D3344A">
      <w:pPr>
        <w:widowControl w:val="0"/>
        <w:outlineLvl w:val="0"/>
        <w:rPr>
          <w:sz w:val="20"/>
        </w:rPr>
      </w:pPr>
      <w:r w:rsidRPr="000A2294">
        <w:rPr>
          <w:sz w:val="20"/>
        </w:rPr>
        <w:t>613-</w:t>
      </w:r>
      <w:r w:rsidR="00D3344A" w:rsidRPr="000A2294">
        <w:rPr>
          <w:sz w:val="20"/>
        </w:rPr>
        <w:t>995-4330</w:t>
      </w:r>
    </w:p>
    <w:p w:rsidR="00497B5E" w:rsidRPr="000A2294" w:rsidRDefault="00497B5E" w:rsidP="00497B5E">
      <w:pPr>
        <w:widowControl w:val="0"/>
        <w:rPr>
          <w:sz w:val="20"/>
        </w:rPr>
      </w:pPr>
    </w:p>
    <w:p w:rsidR="00F6251B" w:rsidRPr="007607A2" w:rsidRDefault="003F43E6" w:rsidP="00F6251B">
      <w:pPr>
        <w:pStyle w:val="Footer"/>
        <w:jc w:val="center"/>
        <w:rPr>
          <w:sz w:val="20"/>
        </w:rPr>
      </w:pPr>
      <w:r w:rsidRPr="000A2294">
        <w:rPr>
          <w:sz w:val="20"/>
        </w:rPr>
        <w:t>- 30 -</w:t>
      </w:r>
    </w:p>
    <w:sectPr w:rsidR="00F6251B" w:rsidRPr="007607A2" w:rsidSect="00E62F93">
      <w:headerReference w:type="even" r:id="rId164"/>
      <w:headerReference w:type="default" r:id="rId165"/>
      <w:footerReference w:type="even" r:id="rId166"/>
      <w:footerReference w:type="default" r:id="rId167"/>
      <w:headerReference w:type="first" r:id="rId168"/>
      <w:footerReference w:type="first" r:id="rId16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D4" w:rsidRDefault="00701BD4" w:rsidP="0034178A">
      <w:r>
        <w:separator/>
      </w:r>
    </w:p>
  </w:endnote>
  <w:endnote w:type="continuationSeparator" w:id="0">
    <w:p w:rsidR="00701BD4" w:rsidRDefault="00701BD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4" w:rsidRDefault="00701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4" w:rsidRPr="009F77F0" w:rsidRDefault="00701BD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4" w:rsidRDefault="00701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D4" w:rsidRDefault="00701BD4" w:rsidP="0034178A">
      <w:r>
        <w:separator/>
      </w:r>
    </w:p>
  </w:footnote>
  <w:footnote w:type="continuationSeparator" w:id="0">
    <w:p w:rsidR="00701BD4" w:rsidRDefault="00701BD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4" w:rsidRDefault="00701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4" w:rsidRDefault="00701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4" w:rsidRDefault="00701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5B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A6CFD"/>
    <w:multiLevelType w:val="hybridMultilevel"/>
    <w:tmpl w:val="26C6D602"/>
    <w:lvl w:ilvl="0" w:tplc="AD1217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FB1024"/>
    <w:multiLevelType w:val="hybridMultilevel"/>
    <w:tmpl w:val="4A2CF0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0724C"/>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7"/>
  </w:num>
  <w:num w:numId="3">
    <w:abstractNumId w:val="42"/>
  </w:num>
  <w:num w:numId="4">
    <w:abstractNumId w:val="18"/>
  </w:num>
  <w:num w:numId="5">
    <w:abstractNumId w:val="14"/>
  </w:num>
  <w:num w:numId="6">
    <w:abstractNumId w:val="37"/>
  </w:num>
  <w:num w:numId="7">
    <w:abstractNumId w:val="34"/>
  </w:num>
  <w:num w:numId="8">
    <w:abstractNumId w:val="39"/>
  </w:num>
  <w:num w:numId="9">
    <w:abstractNumId w:val="5"/>
  </w:num>
  <w:num w:numId="10">
    <w:abstractNumId w:val="10"/>
  </w:num>
  <w:num w:numId="11">
    <w:abstractNumId w:val="2"/>
  </w:num>
  <w:num w:numId="12">
    <w:abstractNumId w:val="36"/>
  </w:num>
  <w:num w:numId="13">
    <w:abstractNumId w:val="3"/>
  </w:num>
  <w:num w:numId="14">
    <w:abstractNumId w:val="17"/>
  </w:num>
  <w:num w:numId="15">
    <w:abstractNumId w:val="7"/>
  </w:num>
  <w:num w:numId="16">
    <w:abstractNumId w:val="11"/>
  </w:num>
  <w:num w:numId="17">
    <w:abstractNumId w:val="40"/>
  </w:num>
  <w:num w:numId="18">
    <w:abstractNumId w:val="23"/>
  </w:num>
  <w:num w:numId="19">
    <w:abstractNumId w:val="15"/>
  </w:num>
  <w:num w:numId="20">
    <w:abstractNumId w:val="31"/>
  </w:num>
  <w:num w:numId="21">
    <w:abstractNumId w:val="9"/>
  </w:num>
  <w:num w:numId="22">
    <w:abstractNumId w:val="38"/>
  </w:num>
  <w:num w:numId="23">
    <w:abstractNumId w:val="30"/>
  </w:num>
  <w:num w:numId="24">
    <w:abstractNumId w:val="21"/>
  </w:num>
  <w:num w:numId="25">
    <w:abstractNumId w:val="26"/>
  </w:num>
  <w:num w:numId="26">
    <w:abstractNumId w:val="35"/>
  </w:num>
  <w:num w:numId="27">
    <w:abstractNumId w:val="20"/>
  </w:num>
  <w:num w:numId="28">
    <w:abstractNumId w:val="6"/>
  </w:num>
  <w:num w:numId="29">
    <w:abstractNumId w:val="29"/>
  </w:num>
  <w:num w:numId="30">
    <w:abstractNumId w:val="19"/>
  </w:num>
  <w:num w:numId="31">
    <w:abstractNumId w:val="8"/>
  </w:num>
  <w:num w:numId="32">
    <w:abstractNumId w:val="24"/>
  </w:num>
  <w:num w:numId="33">
    <w:abstractNumId w:val="4"/>
  </w:num>
  <w:num w:numId="34">
    <w:abstractNumId w:val="1"/>
  </w:num>
  <w:num w:numId="35">
    <w:abstractNumId w:val="16"/>
  </w:num>
  <w:num w:numId="36">
    <w:abstractNumId w:val="41"/>
  </w:num>
  <w:num w:numId="37">
    <w:abstractNumId w:val="22"/>
  </w:num>
  <w:num w:numId="38">
    <w:abstractNumId w:val="25"/>
  </w:num>
  <w:num w:numId="39">
    <w:abstractNumId w:val="32"/>
  </w:num>
  <w:num w:numId="40">
    <w:abstractNumId w:val="28"/>
  </w:num>
  <w:num w:numId="41">
    <w:abstractNumId w:val="0"/>
  </w:num>
  <w:num w:numId="42">
    <w:abstractNumId w:val="33"/>
  </w:num>
  <w:num w:numId="4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96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21B"/>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294"/>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0F714A"/>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0D39"/>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2D81"/>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1CC"/>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5B"/>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67A"/>
    <w:rsid w:val="00490DDC"/>
    <w:rsid w:val="00490E33"/>
    <w:rsid w:val="00491D56"/>
    <w:rsid w:val="00491D60"/>
    <w:rsid w:val="00491E7D"/>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595"/>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1B9"/>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A98"/>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47C"/>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4B54"/>
    <w:rsid w:val="006F5439"/>
    <w:rsid w:val="006F5EA6"/>
    <w:rsid w:val="006F6761"/>
    <w:rsid w:val="006F69AA"/>
    <w:rsid w:val="006F713E"/>
    <w:rsid w:val="006F7400"/>
    <w:rsid w:val="006F750C"/>
    <w:rsid w:val="006F7BB3"/>
    <w:rsid w:val="006F7EB1"/>
    <w:rsid w:val="00700A36"/>
    <w:rsid w:val="00700AD5"/>
    <w:rsid w:val="0070160A"/>
    <w:rsid w:val="00701834"/>
    <w:rsid w:val="0070199E"/>
    <w:rsid w:val="007019C6"/>
    <w:rsid w:val="00701B71"/>
    <w:rsid w:val="00701BD4"/>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6DB0"/>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1825"/>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9"/>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DE8"/>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6DE0"/>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761"/>
    <w:rsid w:val="00927F6D"/>
    <w:rsid w:val="00930252"/>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4E31"/>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217"/>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411"/>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5EAE"/>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4B67"/>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1B6F"/>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AA8"/>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0D8"/>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BD"/>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752"/>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2861"/>
    <w:rsid w:val="00EA3314"/>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986"/>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35F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6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 w:type="character" w:customStyle="1" w:styleId="sccrespondentforrunningheadchar">
    <w:name w:val="sccrespondentforrunningheadchar"/>
    <w:basedOn w:val="DefaultParagraphFont"/>
    <w:rsid w:val="0088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0458" TargetMode="External"/><Relationship Id="rId117" Type="http://schemas.openxmlformats.org/officeDocument/2006/relationships/hyperlink" Target="https://www.canlii.org/en/bc/bcca/doc/2022/2022bcca307/2022bcca307.html?autocompleteStr=2022%20bcca%20307&amp;autocompletePos=1" TargetMode="External"/><Relationship Id="rId21" Type="http://schemas.openxmlformats.org/officeDocument/2006/relationships/hyperlink" Target="https://www.scc-csc.ca/case-dossier/info/sum-som-eng.aspx?cas=40610" TargetMode="External"/><Relationship Id="rId42" Type="http://schemas.openxmlformats.org/officeDocument/2006/relationships/hyperlink" Target="https://canlii.ca/t/jrlfq" TargetMode="External"/><Relationship Id="rId47" Type="http://schemas.openxmlformats.org/officeDocument/2006/relationships/hyperlink" Target="https://www.canlii.org/en/ab/abqb/doc/2018/2018abqb657/2018abqb657.html?resultIndex=1" TargetMode="External"/><Relationship Id="rId63" Type="http://schemas.openxmlformats.org/officeDocument/2006/relationships/hyperlink" Target="https://www.canlii.org/fr/qc/qccs/doc/2021/2021qccs322/2021qccs322.html?autocompleteStr=2021%20QCCS%20322&amp;autocompletePos=1" TargetMode="External"/><Relationship Id="rId68" Type="http://schemas.openxmlformats.org/officeDocument/2006/relationships/hyperlink" Target="https://canlii.ca/t/jt3wp" TargetMode="External"/><Relationship Id="rId84" Type="http://schemas.openxmlformats.org/officeDocument/2006/relationships/hyperlink" Target="https://www.canlii.org/fr/qc/qcca/doc/2022/2022qcca6/2022qcca6.html" TargetMode="External"/><Relationship Id="rId89" Type="http://schemas.openxmlformats.org/officeDocument/2006/relationships/hyperlink" Target="https://www.canlii.org/fr/ca/cci/doc/2021/2021cci57/2021cci57.html" TargetMode="External"/><Relationship Id="rId112" Type="http://schemas.openxmlformats.org/officeDocument/2006/relationships/hyperlink" Target="https://www.canlii.org/en/on/onca/doc/2022/2022onca847/2022onca847.html?autocompleteStr=2022%20ONCA%20847&amp;autocompletePos=1" TargetMode="External"/><Relationship Id="rId133" Type="http://schemas.openxmlformats.org/officeDocument/2006/relationships/hyperlink" Target="https://www.canlii.org/en/bc/bcca/doc/2022/2022bcca307/2022bcca307.html?autocompleteStr=2022%20bcca%20307&amp;autocompletePos=1" TargetMode="External"/><Relationship Id="rId138" Type="http://schemas.openxmlformats.org/officeDocument/2006/relationships/hyperlink" Target="https://www.canlii.org/en/bc/bcsc/doc/2021/2021bcsc2275/2021bcsc2275.html" TargetMode="External"/><Relationship Id="rId154" Type="http://schemas.openxmlformats.org/officeDocument/2006/relationships/hyperlink" Target="https://www.canlii.org/fr/qc/qcca/doc/2022/2022qcca1230/2022qcca1230.html?autocompleteStr=500-09--029853&amp;autocompletePos=1" TargetMode="External"/><Relationship Id="rId159" Type="http://schemas.openxmlformats.org/officeDocument/2006/relationships/hyperlink" Target="https://www.canlii.org/fr/qc/qccai/doc/2018/2018qccai40/2018qccai40.html?autocompleteStr=2018%20QCCAI%2040&amp;autocompletePos=1" TargetMode="External"/><Relationship Id="rId170" Type="http://schemas.openxmlformats.org/officeDocument/2006/relationships/fontTable" Target="fontTable.xml"/><Relationship Id="rId16" Type="http://schemas.openxmlformats.org/officeDocument/2006/relationships/hyperlink" Target="https://www.scc-csc.ca/case-dossier/info/sum-som-eng.aspx?cas=40558" TargetMode="External"/><Relationship Id="rId107" Type="http://schemas.openxmlformats.org/officeDocument/2006/relationships/hyperlink" Target="https://www.canlii.org/fr/qc/qccs/doc/2021/2021qccs1872/2021qccs1872.html" TargetMode="External"/><Relationship Id="rId11" Type="http://schemas.openxmlformats.org/officeDocument/2006/relationships/hyperlink" Target="https://www.scc-csc.ca/case-dossier/info/sum-som-eng.aspx?cas=40554" TargetMode="External"/><Relationship Id="rId32" Type="http://schemas.openxmlformats.org/officeDocument/2006/relationships/hyperlink" Target="https://www.scc-csc.ca/case-dossier/info/sum-som-fra.aspx?cas=40534" TargetMode="External"/><Relationship Id="rId37" Type="http://schemas.openxmlformats.org/officeDocument/2006/relationships/hyperlink" Target="https://www.canlii.org/fr/qc/qccs/doc/2020/2020qccs2143/2020qccs2143.pdf" TargetMode="External"/><Relationship Id="rId53" Type="http://schemas.openxmlformats.org/officeDocument/2006/relationships/hyperlink" Target="https://www.canlii.org/en/on/laws/stat/so-2002-c-24-sch-b/latest/so-2002-c-24-sch-b.html" TargetMode="External"/><Relationship Id="rId58" Type="http://schemas.openxmlformats.org/officeDocument/2006/relationships/hyperlink" Target="https://www.canlii.org/en/on/onca/doc/2022/2022onca841/2022onca841.html?resultIndex=1" TargetMode="External"/><Relationship Id="rId74" Type="http://schemas.openxmlformats.org/officeDocument/2006/relationships/hyperlink" Target="https://www.canlii.org/en/on/onca/doc/2022/2022onca672/2022onca672.html" TargetMode="External"/><Relationship Id="rId79" Type="http://schemas.openxmlformats.org/officeDocument/2006/relationships/hyperlink" Target="https://www.canlii.org/en/sk/skqb/doc/2021/2021skqb141/2021skqb141.html?resultIndex=1" TargetMode="External"/><Relationship Id="rId102" Type="http://schemas.openxmlformats.org/officeDocument/2006/relationships/hyperlink" Target="https://www.canlii.org/fr/qc/qcca/doc/2022/2022qcca959/2022qcca959.pdf" TargetMode="External"/><Relationship Id="rId123" Type="http://schemas.openxmlformats.org/officeDocument/2006/relationships/hyperlink" Target="https://www.canlii.org/en/bc/bcca/doc/2022/2022bcca307/2022bcca307.html?autocompleteStr=2022%20bcca%20307&amp;autocompletePos=1" TargetMode="External"/><Relationship Id="rId128" Type="http://schemas.openxmlformats.org/officeDocument/2006/relationships/hyperlink" Target="https://www.canlii.org/en/bc/bcsc/doc/2021/2021bcsc2275/2021bcsc2275.html" TargetMode="External"/><Relationship Id="rId144" Type="http://schemas.openxmlformats.org/officeDocument/2006/relationships/hyperlink" Target="https://www.canlii.org/en/bc/bcca/doc/2023/2023bcca32/2023bcca32.html?autocompleteStr=2023%20BCCA%2032&amp;autocompletePos=1" TargetMode="External"/><Relationship Id="rId149" Type="http://schemas.openxmlformats.org/officeDocument/2006/relationships/hyperlink" Target="https://www.canlii.org/en/nb/nbca/doc/2022/2022nbca28/2022nbca28.html" TargetMode="External"/><Relationship Id="rId5" Type="http://schemas.openxmlformats.org/officeDocument/2006/relationships/webSettings" Target="webSettings.xml"/><Relationship Id="rId90" Type="http://schemas.openxmlformats.org/officeDocument/2006/relationships/hyperlink" Target="https://www.canlii.org/fr/ca/caf/doc/2022/2022caf178/2022caf178.html" TargetMode="External"/><Relationship Id="rId95" Type="http://schemas.openxmlformats.org/officeDocument/2006/relationships/hyperlink" Target="https://canlii.ca/t/jlk99" TargetMode="External"/><Relationship Id="rId160" Type="http://schemas.openxmlformats.org/officeDocument/2006/relationships/hyperlink" Target="https://www.canlii.org/fr/qc/qccq/doc/2019/2019qccq5554/2019qccq5554.html?autocompleteStr=2019%20qccq%205554&amp;autocompletePos=1" TargetMode="External"/><Relationship Id="rId165" Type="http://schemas.openxmlformats.org/officeDocument/2006/relationships/header" Target="header2.xml"/><Relationship Id="rId22" Type="http://schemas.openxmlformats.org/officeDocument/2006/relationships/hyperlink" Target="https://www.scc-csc.ca/case-dossier/info/sum-som-fra.aspx?cas=40446" TargetMode="External"/><Relationship Id="rId27" Type="http://schemas.openxmlformats.org/officeDocument/2006/relationships/hyperlink" Target="https://www.scc-csc.ca/case-dossier/info/sum-som-eng.aspx?cas=40459" TargetMode="External"/><Relationship Id="rId43" Type="http://schemas.openxmlformats.org/officeDocument/2006/relationships/hyperlink" Target="https://www.canlii.org/en/sk/skca/doc/2022/2022skca124/2022skca124.html?resultIndex=1" TargetMode="External"/><Relationship Id="rId48" Type="http://schemas.openxmlformats.org/officeDocument/2006/relationships/hyperlink" Target="https://www.canlii.org/en/ab/abca/doc/2022/2022abca276/2022abca276.html?resultIndex=1" TargetMode="External"/><Relationship Id="rId64" Type="http://schemas.openxmlformats.org/officeDocument/2006/relationships/hyperlink" Target="https://canlii.ca/t/jt3wn" TargetMode="External"/><Relationship Id="rId69" Type="http://schemas.openxmlformats.org/officeDocument/2006/relationships/hyperlink" Target="https://www.canlii.org/fr/qc/qccs/doc/2020/2020qccs4800/2020qccs4800.html?autocompleteStr=2020%20QCCS%204800&amp;autocompletePos=1" TargetMode="External"/><Relationship Id="rId113" Type="http://schemas.openxmlformats.org/officeDocument/2006/relationships/hyperlink" Target="https://www.canlii.org/en/bc/bcsc/doc/2021/2021bcsc2275/2021bcsc2275.html" TargetMode="External"/><Relationship Id="rId118" Type="http://schemas.openxmlformats.org/officeDocument/2006/relationships/hyperlink" Target="https://www.canlii.org/en/bc/bcca/doc/2023/2023bcca32/2023bcca32.html?autocompleteStr=2023%20BCCA%2032&amp;autocompletePos=1" TargetMode="External"/><Relationship Id="rId134" Type="http://schemas.openxmlformats.org/officeDocument/2006/relationships/hyperlink" Target="https://www.canlii.org/en/bc/bcca/doc/2023/2023bcca32/2023bcca32.html?autocompleteStr=2023%20BCCA%2032&amp;autocompletePos=1" TargetMode="External"/><Relationship Id="rId139" Type="http://schemas.openxmlformats.org/officeDocument/2006/relationships/hyperlink" Target="https://www.canlii.org/en/bc/bcca/doc/2022/2022bcca307/2022bcca307.html?autocompleteStr=2022%20bcca%20307&amp;autocompletePos=1" TargetMode="External"/><Relationship Id="rId80" Type="http://schemas.openxmlformats.org/officeDocument/2006/relationships/hyperlink" Target="https://www.canlii.org/en/sk/skca/doc/2022/2022skca132/2022skca132.html?resultIndex=1" TargetMode="External"/><Relationship Id="rId85" Type="http://schemas.openxmlformats.org/officeDocument/2006/relationships/hyperlink" Target="https://www.canlii.org/fr/qc/qccs/doc/2020/2020qccs1794/2020qccs1794.html" TargetMode="External"/><Relationship Id="rId150" Type="http://schemas.openxmlformats.org/officeDocument/2006/relationships/hyperlink" Target="https://www.canlii.org/en/nb/nbca/doc/2022/2022nbca28/2022nbca28.html" TargetMode="External"/><Relationship Id="rId155" Type="http://schemas.openxmlformats.org/officeDocument/2006/relationships/hyperlink" Target="https://www.canlii.org/fr/qc/qccai/doc/2018/2018qccai40/2018qccai40.html?autocompleteStr=2018%20QCCAI%2040&amp;autocompletePos=1" TargetMode="External"/><Relationship Id="rId171" Type="http://schemas.openxmlformats.org/officeDocument/2006/relationships/theme" Target="theme/theme1.xml"/><Relationship Id="rId12" Type="http://schemas.openxmlformats.org/officeDocument/2006/relationships/hyperlink" Target="https://www.scc-csc.ca/case-dossier/info/sum-som-fra.aspx?cas=40393" TargetMode="External"/><Relationship Id="rId17" Type="http://schemas.openxmlformats.org/officeDocument/2006/relationships/hyperlink" Target="https://www.scc-csc.ca/case-dossier/info/sum-som-fra.aspx?cas=40244" TargetMode="External"/><Relationship Id="rId33" Type="http://schemas.openxmlformats.org/officeDocument/2006/relationships/hyperlink" Target="https://www.canlii.org/fr/qc/qctat/doc/2019/2019qctat3701/2019qctat3701.pdf" TargetMode="External"/><Relationship Id="rId38" Type="http://schemas.openxmlformats.org/officeDocument/2006/relationships/hyperlink" Target="https://www.canlii.org/fr/qc/qcca/doc/2022/2022qcca530/2022qcca530.pdf" TargetMode="External"/><Relationship Id="rId59" Type="http://schemas.openxmlformats.org/officeDocument/2006/relationships/hyperlink" Target="https://www.canlii.org/en/on/laws/stat/so-2002-c-24-sch-b/latest/so-2002-c-24-sch-b.html" TargetMode="External"/><Relationship Id="rId103" Type="http://schemas.openxmlformats.org/officeDocument/2006/relationships/hyperlink" Target="https://www.canlii.org/fr/qc/qctp/doc/2020/2020qctp37/2020qctp37.html?searchUrlHash=AAAAAQAPR8OpbGluYXMgc3luZGkhAAAAAAE&amp;resultIndex=5" TargetMode="External"/><Relationship Id="rId108" Type="http://schemas.openxmlformats.org/officeDocument/2006/relationships/hyperlink" Target="https://www.canlii.org/fr/qc/qcca/doc/2022/2022qcca736/2022qcca736.html?autocompleteStr=2022%20QCCA%20736&amp;autocompletePos=1" TargetMode="External"/><Relationship Id="rId124" Type="http://schemas.openxmlformats.org/officeDocument/2006/relationships/hyperlink" Target="https://www.canlii.org/en/bc/bcca/doc/2023/2023bcca32/2023bcca32.html?autocompleteStr=2023%20BCCA%2032&amp;autocompletePos=1" TargetMode="External"/><Relationship Id="rId129" Type="http://schemas.openxmlformats.org/officeDocument/2006/relationships/hyperlink" Target="https://www.canlii.org/en/bc/bcca/doc/2022/2022bcca307/2022bcca307.html?autocompleteStr=2022%20bcca%20307&amp;autocompletePos=1" TargetMode="External"/><Relationship Id="rId54" Type="http://schemas.openxmlformats.org/officeDocument/2006/relationships/hyperlink" Target="https://www.canlii.org/en/on/laws/stat/so-2002-c-24-sch-b/latest/so-2002-c-24-sch-b.html" TargetMode="External"/><Relationship Id="rId70" Type="http://schemas.openxmlformats.org/officeDocument/2006/relationships/hyperlink" Target="https://www.canlii.org/fr/qc/qcca/doc/2022/2022qcca1142/2022qcca1142.html" TargetMode="External"/><Relationship Id="rId75" Type="http://schemas.openxmlformats.org/officeDocument/2006/relationships/hyperlink" Target="https://www.canlii.org/en/sk/skqb/doc/2020/2020skqb324/2020skqb324.html?resultIndex=1" TargetMode="External"/><Relationship Id="rId91" Type="http://schemas.openxmlformats.org/officeDocument/2006/relationships/hyperlink" Target="https://www.canlii.org/fr/ca/cci/doc/2021/2021cci57/2021cci57.html" TargetMode="External"/><Relationship Id="rId96" Type="http://schemas.openxmlformats.org/officeDocument/2006/relationships/hyperlink" Target="https://canlii.ca/t/jsr4p" TargetMode="External"/><Relationship Id="rId140" Type="http://schemas.openxmlformats.org/officeDocument/2006/relationships/hyperlink" Target="https://www.canlii.org/en/bc/bcca/doc/2023/2023bcca32/2023bcca32.html?autocompleteStr=2023%20BCCA%2032&amp;autocompletePos=1" TargetMode="External"/><Relationship Id="rId145" Type="http://schemas.openxmlformats.org/officeDocument/2006/relationships/hyperlink" Target="https://canlii.ca/t/j4x06" TargetMode="External"/><Relationship Id="rId161" Type="http://schemas.openxmlformats.org/officeDocument/2006/relationships/hyperlink" Target="https://www.canlii.org/fr/qc/qccs/doc/2021/2021qccs1963/2021qccs1963.html?autocompleteStr=2021%20qccs%201963&amp;autocompletePos=1"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471" TargetMode="External"/><Relationship Id="rId23" Type="http://schemas.openxmlformats.org/officeDocument/2006/relationships/hyperlink" Target="https://www.scc-csc.ca/case-dossier/info/sum-som-fra.aspx?cas=40528" TargetMode="External"/><Relationship Id="rId28" Type="http://schemas.openxmlformats.org/officeDocument/2006/relationships/hyperlink" Target="https://www.scc-csc.ca/case-dossier/info/sum-som-eng.aspx?cas=40632" TargetMode="External"/><Relationship Id="rId36" Type="http://schemas.openxmlformats.org/officeDocument/2006/relationships/hyperlink" Target="https://www.canlii.org/fr/qc/qctat/doc/2019/2019qctat3701/2019qctat3701.pdf" TargetMode="External"/><Relationship Id="rId49" Type="http://schemas.openxmlformats.org/officeDocument/2006/relationships/hyperlink" Target="https://www.canlii.org/fr/qc/qccs/doc/2022/2022qccs1671/2022qccs1671.html" TargetMode="External"/><Relationship Id="rId57" Type="http://schemas.openxmlformats.org/officeDocument/2006/relationships/hyperlink" Target="https://www.canlii.org/en/on/onsc/doc/2022/2022onsc3030/2022onsc3030.html?resultIndex=1" TargetMode="External"/><Relationship Id="rId106" Type="http://schemas.openxmlformats.org/officeDocument/2006/relationships/hyperlink" Target="https://www.canlii.org/fr/qc/qctp/doc/2020/2020qctp37/2020qctp37.html?searchUrlHash=AAAAAQAPR8OpbGluYXMgc3luZGkhAAAAAAE&amp;resultIndex=5" TargetMode="External"/><Relationship Id="rId114" Type="http://schemas.openxmlformats.org/officeDocument/2006/relationships/hyperlink" Target="https://www.canlii.org/en/bc/bcca/doc/2022/2022bcca307/2022bcca307.html?autocompleteStr=2022%20bcca%20307&amp;autocompletePos=1" TargetMode="External"/><Relationship Id="rId119" Type="http://schemas.openxmlformats.org/officeDocument/2006/relationships/hyperlink" Target="https://www.canlii.org/en/bc/bcsc/doc/2021/2021bcsc2275/2021bcsc2275.html" TargetMode="External"/><Relationship Id="rId127" Type="http://schemas.openxmlformats.org/officeDocument/2006/relationships/hyperlink" Target="https://www.canlii.org/en/bc/laws/stat/rsbc-1996-c-418/latest/rsbc-1996-c-418.html" TargetMode="External"/><Relationship Id="rId10" Type="http://schemas.openxmlformats.org/officeDocument/2006/relationships/hyperlink" Target="https://www.scc-csc.ca/case-dossier/info/sum-som-eng.aspx?cas=40544" TargetMode="External"/><Relationship Id="rId31" Type="http://schemas.openxmlformats.org/officeDocument/2006/relationships/hyperlink" Target="https://www.scc-csc.ca/case-dossier/info/sum-som-eng.aspx?cas=40452" TargetMode="External"/><Relationship Id="rId44" Type="http://schemas.openxmlformats.org/officeDocument/2006/relationships/hyperlink" Target="https://www.canlii.org/en/sk/skca/doc/2022/2022skca124/2022skca124.html?resultIndex=1" TargetMode="External"/><Relationship Id="rId52" Type="http://schemas.openxmlformats.org/officeDocument/2006/relationships/hyperlink" Target="https://www.canlii.org/fr/qc/qcca/doc/2022/2022qcca953/2022qcca953.html?resultIndex=1" TargetMode="External"/><Relationship Id="rId60" Type="http://schemas.openxmlformats.org/officeDocument/2006/relationships/hyperlink" Target="https://www.canlii.org/en/on/laws/stat/so-2002-c-24-sch-b/latest/so-2002-c-24-sch-b.html" TargetMode="External"/><Relationship Id="rId65" Type="http://schemas.openxmlformats.org/officeDocument/2006/relationships/hyperlink" Target="https://www.canlii.org/fr/qc/qccs/doc/2021/2021qccs322/2021qccs322.html?autocompleteStr=2021%20QCCS%20322&amp;autocompletePos=1" TargetMode="External"/><Relationship Id="rId73" Type="http://schemas.openxmlformats.org/officeDocument/2006/relationships/hyperlink" Target="https://www.canlii.org/en/on/onca/doc/2021/2021onca278/2021onca278.html?autocompleteStr=bogue&amp;autocompletePos=17" TargetMode="External"/><Relationship Id="rId78" Type="http://schemas.openxmlformats.org/officeDocument/2006/relationships/hyperlink" Target="https://www.canlii.org/en/sk/skqb/doc/2020/2020skqb324/2020skqb324.html?resultIndex=1" TargetMode="External"/><Relationship Id="rId81" Type="http://schemas.openxmlformats.org/officeDocument/2006/relationships/hyperlink" Target="https://www.canlii.org/fr/qc/qccq/doc/2021/2021qccq13038/2021qccq13038.html" TargetMode="External"/><Relationship Id="rId86" Type="http://schemas.openxmlformats.org/officeDocument/2006/relationships/hyperlink" Target="https://www.canlii.org/fr/qc/qcca/doc/2022/2022qcca1014/2022qcca1014.html?autocompleteStr=2022%20QCCA%201014&amp;autocompletePos=1" TargetMode="External"/><Relationship Id="rId94" Type="http://schemas.openxmlformats.org/officeDocument/2006/relationships/hyperlink" Target="https://canlii.ca/t/jsr4p" TargetMode="External"/><Relationship Id="rId99" Type="http://schemas.openxmlformats.org/officeDocument/2006/relationships/hyperlink" Target="https://www.canlii.org/fr/qc/qccs/doc/2021/2021qccs2550/2021qccs2550.pdf" TargetMode="External"/><Relationship Id="rId101" Type="http://schemas.openxmlformats.org/officeDocument/2006/relationships/hyperlink" Target="https://www.canlii.org/fr/qc/qccs/doc/2021/2021qccs2550/2021qccs2550.pdf" TargetMode="External"/><Relationship Id="rId122" Type="http://schemas.openxmlformats.org/officeDocument/2006/relationships/hyperlink" Target="https://www.canlii.org/en/bc/bcsc/doc/2021/2021bcsc2275/2021bcsc2275.html" TargetMode="External"/><Relationship Id="rId130" Type="http://schemas.openxmlformats.org/officeDocument/2006/relationships/hyperlink" Target="https://www.canlii.org/en/bc/bcca/doc/2023/2023bcca32/2023bcca32.html?autocompleteStr=2023%20BCCA%2032&amp;autocompletePos=1" TargetMode="External"/><Relationship Id="rId135" Type="http://schemas.openxmlformats.org/officeDocument/2006/relationships/hyperlink" Target="https://www.canlii.org/en/bc/laws/stat/rsbc-1996-c-418/latest/rsbc-1996-c-418.html" TargetMode="External"/><Relationship Id="rId143" Type="http://schemas.openxmlformats.org/officeDocument/2006/relationships/hyperlink" Target="https://www.canlii.org/en/bc/bcca/doc/2022/2022bcca307/2022bcca307.html?autocompleteStr=2022%20bcca%20307&amp;autocompletePos=1" TargetMode="External"/><Relationship Id="rId148" Type="http://schemas.openxmlformats.org/officeDocument/2006/relationships/hyperlink" Target="https://canlii.ca/t/jr3k7" TargetMode="External"/><Relationship Id="rId151" Type="http://schemas.openxmlformats.org/officeDocument/2006/relationships/hyperlink" Target="https://www.canlii.org/en/qc/qccs/doc/2021/2021qccs5064/2021qccs5064.html" TargetMode="External"/><Relationship Id="rId156" Type="http://schemas.openxmlformats.org/officeDocument/2006/relationships/hyperlink" Target="https://www.canlii.org/fr/qc/qccq/doc/2019/2019qccq5554/2019qccq5554.html?autocompleteStr=2019%20qccq%205554&amp;autocompletePos=1"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0480" TargetMode="External"/><Relationship Id="rId13" Type="http://schemas.openxmlformats.org/officeDocument/2006/relationships/hyperlink" Target="https://www.scc-csc.ca/case-dossier/info/sum-som-fra.aspx?cas=40431" TargetMode="External"/><Relationship Id="rId18" Type="http://schemas.openxmlformats.org/officeDocument/2006/relationships/hyperlink" Target="https://www.scc-csc.ca/case-dossier/info/sum-som-fra.aspx?cas=40385" TargetMode="External"/><Relationship Id="rId39" Type="http://schemas.openxmlformats.org/officeDocument/2006/relationships/hyperlink" Target="https://www.canlii.org/en/ab/abqb/doc/2018/2018abqb667/2018abqb667.html" TargetMode="External"/><Relationship Id="rId109" Type="http://schemas.openxmlformats.org/officeDocument/2006/relationships/hyperlink" Target="https://www.canlii.org/en/on/onca/doc/2022/2022onca766/2022onca766.html?autocompleteStr=2022%20ONCA%20766&amp;autocompletePos=1" TargetMode="External"/><Relationship Id="rId34" Type="http://schemas.openxmlformats.org/officeDocument/2006/relationships/hyperlink" Target="https://www.canlii.org/fr/qc/qccs/doc/2020/2020qccs2143/2020qccs2143.pdf" TargetMode="External"/><Relationship Id="rId50" Type="http://schemas.openxmlformats.org/officeDocument/2006/relationships/hyperlink" Target="https://www.canlii.org/fr/qc/qcca/doc/2022/2022qcca953/2022qcca953.html?resultIndex=1" TargetMode="External"/><Relationship Id="rId55" Type="http://schemas.openxmlformats.org/officeDocument/2006/relationships/hyperlink" Target="https://www.canlii.org/en/on/laws/stat/so-2002-c-24-sch-b/latest/so-2002-c-24-sch-b.html" TargetMode="External"/><Relationship Id="rId76" Type="http://schemas.openxmlformats.org/officeDocument/2006/relationships/hyperlink" Target="https://www.canlii.org/en/sk/skqb/doc/2021/2021skqb141/2021skqb141.html?resultIndex=1" TargetMode="External"/><Relationship Id="rId97" Type="http://schemas.openxmlformats.org/officeDocument/2006/relationships/hyperlink" Target="https://www.canlii.org/en/on/onca/doc/2022/2022onca877/2022onca877.html?resultIndex=1" TargetMode="External"/><Relationship Id="rId104" Type="http://schemas.openxmlformats.org/officeDocument/2006/relationships/hyperlink" Target="https://www.canlii.org/fr/qc/qccs/doc/2021/2021qccs1872/2021qccs1872.html" TargetMode="External"/><Relationship Id="rId120" Type="http://schemas.openxmlformats.org/officeDocument/2006/relationships/hyperlink" Target="https://www.canlii.org/en/bc/bcca/doc/2022/2022bcca307/2022bcca307.html?autocompleteStr=2022%20bcca%20307&amp;autocompletePos=1" TargetMode="External"/><Relationship Id="rId125" Type="http://schemas.openxmlformats.org/officeDocument/2006/relationships/hyperlink" Target="https://www.canlii.org/en/bc/laws/stat/rsbc-1996-c-418/latest/rsbc-1996-c-418.html" TargetMode="External"/><Relationship Id="rId141" Type="http://schemas.openxmlformats.org/officeDocument/2006/relationships/hyperlink" Target="https://www.canlii.org/en/bc/laws/stat/rsbc-1996-c-418/latest/rsbc-1996-c-418.html" TargetMode="External"/><Relationship Id="rId146" Type="http://schemas.openxmlformats.org/officeDocument/2006/relationships/hyperlink" Target="https://canlii.ca/t/jr3k7"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anlii.org/en/on/onca/doc/2021/2021onca278/2021onca278.html?autocompleteStr=bogue&amp;autocompletePos=17" TargetMode="External"/><Relationship Id="rId92" Type="http://schemas.openxmlformats.org/officeDocument/2006/relationships/hyperlink" Target="https://www.canlii.org/fr/ca/caf/doc/2022/2022caf178/2022caf178.html" TargetMode="External"/><Relationship Id="rId162" Type="http://schemas.openxmlformats.org/officeDocument/2006/relationships/hyperlink" Target="https://www.canlii.org/fr/qc/qcca/doc/2022/2022qcca1394/2022qcca1394.html?autocompleteStr=2022%20qcca%201394&amp;autocompletePos=1" TargetMode="External"/><Relationship Id="rId2" Type="http://schemas.openxmlformats.org/officeDocument/2006/relationships/numbering" Target="numbering.xml"/><Relationship Id="rId29" Type="http://schemas.openxmlformats.org/officeDocument/2006/relationships/hyperlink" Target="https://www.scc-csc.ca/case-dossier/info/sum-som-fra.aspx?cas=40380" TargetMode="External"/><Relationship Id="rId24" Type="http://schemas.openxmlformats.org/officeDocument/2006/relationships/hyperlink" Target="https://www.scc-csc.ca/case-dossier/info/sum-som-eng.aspx?cas=40591" TargetMode="External"/><Relationship Id="rId40" Type="http://schemas.openxmlformats.org/officeDocument/2006/relationships/hyperlink" Target="https://canlii.ca/t/jrlfq" TargetMode="External"/><Relationship Id="rId45" Type="http://schemas.openxmlformats.org/officeDocument/2006/relationships/hyperlink" Target="https://www.canlii.org/en/ab/abqb/doc/2018/2018abqb657/2018abqb657.html?resultIndex=1" TargetMode="External"/><Relationship Id="rId66" Type="http://schemas.openxmlformats.org/officeDocument/2006/relationships/hyperlink" Target="https://www.canlii.org/fr/qc/qcca/doc/2022/2022qcca1141/2022qcca1141.html" TargetMode="External"/><Relationship Id="rId87" Type="http://schemas.openxmlformats.org/officeDocument/2006/relationships/hyperlink" Target="https://www.canlii.org/fr/qc/qccs/doc/2020/2020qccs1794/2020qccs1794.html" TargetMode="External"/><Relationship Id="rId110" Type="http://schemas.openxmlformats.org/officeDocument/2006/relationships/hyperlink" Target="https://www.canlii.org/en/on/onca/doc/2022/2022onca847/2022onca847.html?autocompleteStr=2022%20ONCA%20847&amp;autocompletePos=1" TargetMode="External"/><Relationship Id="rId115" Type="http://schemas.openxmlformats.org/officeDocument/2006/relationships/hyperlink" Target="https://www.canlii.org/en/bc/bcca/doc/2023/2023bcca32/2023bcca32.html?autocompleteStr=2023%20BCCA%2032&amp;autocompletePos=1" TargetMode="External"/><Relationship Id="rId131" Type="http://schemas.openxmlformats.org/officeDocument/2006/relationships/hyperlink" Target="https://www.canlii.org/en/bc/laws/stat/rsbc-1996-c-418/latest/rsbc-1996-c-418.html" TargetMode="External"/><Relationship Id="rId136" Type="http://schemas.openxmlformats.org/officeDocument/2006/relationships/hyperlink" Target="https://www.canlii.org/en/bc/laws/stat/rsbc-1996-c-418/latest/rsbc-1996-c-418.html" TargetMode="External"/><Relationship Id="rId157" Type="http://schemas.openxmlformats.org/officeDocument/2006/relationships/hyperlink" Target="https://www.canlii.org/fr/qc/qccs/doc/2021/2021qccs1963/2021qccs1963.html?autocompleteStr=2021%20qccs%201963&amp;autocompletePos=1" TargetMode="External"/><Relationship Id="rId61" Type="http://schemas.openxmlformats.org/officeDocument/2006/relationships/hyperlink" Target="https://www.canlii.org/en/on/onsc/doc/2022/2022onsc3030/2022onsc3030.html?resultIndex=1" TargetMode="External"/><Relationship Id="rId82" Type="http://schemas.openxmlformats.org/officeDocument/2006/relationships/hyperlink" Target="https://www.canlii.org/fr/qc/qcca/doc/2022/2022qcca6/2022qcca6.html" TargetMode="External"/><Relationship Id="rId152" Type="http://schemas.openxmlformats.org/officeDocument/2006/relationships/hyperlink" Target="https://www.canlii.org/fr/qc/qcca/doc/2022/2022qcca1230/2022qcca1230.html?autocompleteStr=500-09--029853&amp;autocompletePos=1" TargetMode="External"/><Relationship Id="rId19" Type="http://schemas.openxmlformats.org/officeDocument/2006/relationships/hyperlink" Target="https://www.scc-csc.ca/case-dossier/info/sum-som-fra.aspx?cas=40504" TargetMode="External"/><Relationship Id="rId14" Type="http://schemas.openxmlformats.org/officeDocument/2006/relationships/hyperlink" Target="https://www.scc-csc.ca/case-dossier/info/sum-som-fra.aspx?cas=40434" TargetMode="External"/><Relationship Id="rId30" Type="http://schemas.openxmlformats.org/officeDocument/2006/relationships/hyperlink" Target="https://www.scc-csc.ca/case-dossier/info/sum-som-eng.aspx?cas=40537" TargetMode="External"/><Relationship Id="rId35" Type="http://schemas.openxmlformats.org/officeDocument/2006/relationships/hyperlink" Target="https://www.canlii.org/fr/qc/qcca/doc/2022/2022qcca530/2022qcca530.pdf" TargetMode="External"/><Relationship Id="rId56" Type="http://schemas.openxmlformats.org/officeDocument/2006/relationships/hyperlink" Target="https://www.canlii.org/en/on/laws/stat/so-2002-c-24-sch-b/latest/so-2002-c-24-sch-b.html" TargetMode="External"/><Relationship Id="rId77" Type="http://schemas.openxmlformats.org/officeDocument/2006/relationships/hyperlink" Target="https://www.canlii.org/en/sk/skca/doc/2022/2022skca132/2022skca132.html?resultIndex=1" TargetMode="External"/><Relationship Id="rId100" Type="http://schemas.openxmlformats.org/officeDocument/2006/relationships/hyperlink" Target="https://www.canlii.org/fr/qc/qcca/doc/2022/2022qcca959/2022qcca959.pdf" TargetMode="External"/><Relationship Id="rId105" Type="http://schemas.openxmlformats.org/officeDocument/2006/relationships/hyperlink" Target="https://www.canlii.org/fr/qc/qcca/doc/2022/2022qcca736/2022qcca736.html?autocompleteStr=2022%20QCCA%20736&amp;autocompletePos=1" TargetMode="External"/><Relationship Id="rId126" Type="http://schemas.openxmlformats.org/officeDocument/2006/relationships/hyperlink" Target="https://www.canlii.org/en/bc/laws/stat/rsbc-1996-c-418/latest/rsbc-1996-c-418.html" TargetMode="External"/><Relationship Id="rId147" Type="http://schemas.openxmlformats.org/officeDocument/2006/relationships/hyperlink" Target="https://canlii.ca/t/j4x06" TargetMode="External"/><Relationship Id="rId168" Type="http://schemas.openxmlformats.org/officeDocument/2006/relationships/header" Target="header3.xml"/><Relationship Id="rId8" Type="http://schemas.openxmlformats.org/officeDocument/2006/relationships/hyperlink" Target="https://www.scc-csc.ca/case-dossier/info/sum-som-fra.aspx?cas=40215" TargetMode="External"/><Relationship Id="rId51" Type="http://schemas.openxmlformats.org/officeDocument/2006/relationships/hyperlink" Target="https://www.canlii.org/fr/qc/qccs/doc/2022/2022qccs1671/2022qccs1671.html" TargetMode="External"/><Relationship Id="rId72" Type="http://schemas.openxmlformats.org/officeDocument/2006/relationships/hyperlink" Target="https://www.canlii.org/en/on/onca/doc/2022/2022onca672/2022onca672.html" TargetMode="External"/><Relationship Id="rId93" Type="http://schemas.openxmlformats.org/officeDocument/2006/relationships/hyperlink" Target="https://canlii.ca/t/jlk99" TargetMode="External"/><Relationship Id="rId98" Type="http://schemas.openxmlformats.org/officeDocument/2006/relationships/hyperlink" Target="https://www.canlii.org/en/on/onca/doc/2022/2022onca877/2022onca877.html?resultIndex=1" TargetMode="External"/><Relationship Id="rId121" Type="http://schemas.openxmlformats.org/officeDocument/2006/relationships/hyperlink" Target="https://www.canlii.org/en/bc/bcca/doc/2023/2023bcca32/2023bcca32.html?autocompleteStr=2023%20BCCA%2032&amp;autocompletePos=1" TargetMode="External"/><Relationship Id="rId142" Type="http://schemas.openxmlformats.org/officeDocument/2006/relationships/hyperlink" Target="https://www.canlii.org/en/bc/bcsc/doc/2021/2021bcsc2275/2021bcsc2275.html" TargetMode="External"/><Relationship Id="rId163" Type="http://schemas.openxmlformats.org/officeDocument/2006/relationships/hyperlink" Target="mailto:comments-commentaires@scc-csc.ca" TargetMode="External"/><Relationship Id="rId3" Type="http://schemas.openxmlformats.org/officeDocument/2006/relationships/styles" Target="styles.xml"/><Relationship Id="rId25" Type="http://schemas.openxmlformats.org/officeDocument/2006/relationships/hyperlink" Target="https://www.scc-csc.ca/case-dossier/info/sum-som-eng.aspx?cas=40453" TargetMode="External"/><Relationship Id="rId46" Type="http://schemas.openxmlformats.org/officeDocument/2006/relationships/hyperlink" Target="https://www.canlii.org/en/ab/abca/doc/2022/2022abca276/2022abca276.html?resultIndex=1" TargetMode="External"/><Relationship Id="rId67" Type="http://schemas.openxmlformats.org/officeDocument/2006/relationships/hyperlink" Target="https://www.canlii.org/fr/qc/qccs/doc/2020/2020qccs4800/2020qccs4800.html?autocompleteStr=2020%20QCCS%204800&amp;autocompletePos=1" TargetMode="External"/><Relationship Id="rId116" Type="http://schemas.openxmlformats.org/officeDocument/2006/relationships/hyperlink" Target="https://www.canlii.org/en/bc/bcsc/doc/2021/2021bcsc2275/2021bcsc2275.html" TargetMode="External"/><Relationship Id="rId137" Type="http://schemas.openxmlformats.org/officeDocument/2006/relationships/hyperlink" Target="https://www.canlii.org/en/bc/laws/stat/rsbc-1996-c-418/latest/rsbc-1996-c-418.html" TargetMode="External"/><Relationship Id="rId158" Type="http://schemas.openxmlformats.org/officeDocument/2006/relationships/hyperlink" Target="https://www.canlii.org/fr/qc/qcca/doc/2022/2022qcca1394/2022qcca1394.html?autocompleteStr=2022%20qcca%201394&amp;autocompletePos=1" TargetMode="External"/><Relationship Id="rId20" Type="http://schemas.openxmlformats.org/officeDocument/2006/relationships/hyperlink" Target="https://www.scc-csc.ca/case-dossier/info/sum-som-eng.aspx?cas=40556" TargetMode="External"/><Relationship Id="rId41" Type="http://schemas.openxmlformats.org/officeDocument/2006/relationships/hyperlink" Target="https://www.canlii.org/en/ab/abqb/doc/2018/2018abqb667/2018abqb667.html" TargetMode="External"/><Relationship Id="rId62" Type="http://schemas.openxmlformats.org/officeDocument/2006/relationships/hyperlink" Target="https://www.canlii.org/en/on/onca/doc/2022/2022onca841/2022onca841.html?resultIndex=1" TargetMode="External"/><Relationship Id="rId83" Type="http://schemas.openxmlformats.org/officeDocument/2006/relationships/hyperlink" Target="https://www.canlii.org/fr/qc/qccq/doc/2021/2021qccq13038/2021qccq13038.html" TargetMode="External"/><Relationship Id="rId88" Type="http://schemas.openxmlformats.org/officeDocument/2006/relationships/hyperlink" Target="https://www.canlii.org/fr/qc/qcca/doc/2022/2022qcca1014/2022qcca1014.html?autocompleteStr=2022%20QCCA%201014&amp;autocompletePos=1" TargetMode="External"/><Relationship Id="rId111" Type="http://schemas.openxmlformats.org/officeDocument/2006/relationships/hyperlink" Target="https://www.canlii.org/en/on/onca/doc/2022/2022onca766/2022onca766.html?autocompleteStr=2022%20ONCA%20766&amp;autocompletePos=1" TargetMode="External"/><Relationship Id="rId132" Type="http://schemas.openxmlformats.org/officeDocument/2006/relationships/hyperlink" Target="https://www.canlii.org/en/bc/bcsc/doc/2021/2021bcsc2275/2021bcsc2275.html" TargetMode="External"/><Relationship Id="rId153" Type="http://schemas.openxmlformats.org/officeDocument/2006/relationships/hyperlink" Target="https://www.canlii.org/en/qc/qccs/doc/2021/2021qccs5064/2021qccs50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C9A9-B197-4E32-A1E4-0F456953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23885</Words>
  <Characters>136147</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159713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2023-03-29T13:38:00Z</dcterms:created>
  <dcterms:modified xsi:type="dcterms:W3CDTF">2023-05-24T13:24:00Z</dcterms:modified>
</cp:coreProperties>
</file>