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455697" w:rsidRDefault="000E391F" w:rsidP="000E391F">
      <w:pPr>
        <w:pStyle w:val="Header"/>
        <w:jc w:val="center"/>
        <w:rPr>
          <w:b/>
          <w:sz w:val="32"/>
          <w:szCs w:val="32"/>
        </w:rPr>
      </w:pPr>
      <w:r w:rsidRPr="00455697">
        <w:rPr>
          <w:b/>
          <w:sz w:val="32"/>
          <w:szCs w:val="32"/>
        </w:rPr>
        <w:t>Supreme Court of Canada / Cour suprême du Canada</w:t>
      </w:r>
    </w:p>
    <w:p w:rsidR="000E391F" w:rsidRPr="00455697" w:rsidRDefault="000E391F" w:rsidP="000E391F">
      <w:pPr>
        <w:widowControl w:val="0"/>
        <w:rPr>
          <w:sz w:val="20"/>
        </w:rPr>
      </w:pPr>
    </w:p>
    <w:p w:rsidR="000E391F" w:rsidRPr="00455697" w:rsidRDefault="000E391F" w:rsidP="000E391F">
      <w:pPr>
        <w:widowControl w:val="0"/>
        <w:rPr>
          <w:i/>
          <w:sz w:val="20"/>
        </w:rPr>
      </w:pPr>
    </w:p>
    <w:p w:rsidR="006F2579" w:rsidRPr="00455697" w:rsidRDefault="006F2579" w:rsidP="006F2579">
      <w:pPr>
        <w:widowControl w:val="0"/>
        <w:rPr>
          <w:i/>
          <w:sz w:val="20"/>
        </w:rPr>
      </w:pPr>
      <w:r w:rsidRPr="00455697">
        <w:rPr>
          <w:i/>
          <w:sz w:val="20"/>
        </w:rPr>
        <w:t>(</w:t>
      </w:r>
      <w:r w:rsidR="003240B6" w:rsidRPr="00455697">
        <w:rPr>
          <w:i/>
          <w:sz w:val="20"/>
        </w:rPr>
        <w:t>L</w:t>
      </w:r>
      <w:r w:rsidRPr="00455697">
        <w:rPr>
          <w:i/>
          <w:sz w:val="20"/>
        </w:rPr>
        <w:t>e français suit)</w:t>
      </w:r>
    </w:p>
    <w:p w:rsidR="006F2579" w:rsidRPr="00455697" w:rsidRDefault="006F2579" w:rsidP="006F2579">
      <w:pPr>
        <w:widowControl w:val="0"/>
        <w:rPr>
          <w:sz w:val="20"/>
        </w:rPr>
      </w:pPr>
    </w:p>
    <w:p w:rsidR="006F2579" w:rsidRPr="00455697" w:rsidRDefault="00B07908" w:rsidP="006F2579">
      <w:pPr>
        <w:widowControl w:val="0"/>
        <w:jc w:val="center"/>
        <w:rPr>
          <w:b/>
          <w:szCs w:val="24"/>
        </w:rPr>
      </w:pPr>
      <w:r w:rsidRPr="00455697">
        <w:rPr>
          <w:szCs w:val="24"/>
        </w:rPr>
        <w:fldChar w:fldCharType="begin"/>
      </w:r>
      <w:r w:rsidR="006F2579" w:rsidRPr="00455697">
        <w:rPr>
          <w:szCs w:val="24"/>
        </w:rPr>
        <w:instrText xml:space="preserve"> SEQ CHAPTER \h \r 1</w:instrText>
      </w:r>
      <w:r w:rsidRPr="00455697">
        <w:rPr>
          <w:szCs w:val="24"/>
        </w:rPr>
        <w:fldChar w:fldCharType="end"/>
      </w:r>
      <w:r w:rsidR="006F2579" w:rsidRPr="00455697">
        <w:rPr>
          <w:b/>
          <w:szCs w:val="24"/>
        </w:rPr>
        <w:t>JUDGMENT</w:t>
      </w:r>
      <w:r w:rsidR="004F5491" w:rsidRPr="00455697">
        <w:rPr>
          <w:b/>
          <w:szCs w:val="24"/>
        </w:rPr>
        <w:t>S</w:t>
      </w:r>
      <w:r w:rsidR="006F2579" w:rsidRPr="00455697">
        <w:rPr>
          <w:b/>
          <w:szCs w:val="24"/>
        </w:rPr>
        <w:t xml:space="preserve"> TO B</w:t>
      </w:r>
      <w:r w:rsidR="00001846" w:rsidRPr="00455697">
        <w:rPr>
          <w:b/>
          <w:szCs w:val="24"/>
        </w:rPr>
        <w:t>E RENDERED IN LE</w:t>
      </w:r>
      <w:r w:rsidR="00A0288A" w:rsidRPr="00455697">
        <w:rPr>
          <w:b/>
          <w:szCs w:val="24"/>
        </w:rPr>
        <w:t>A</w:t>
      </w:r>
      <w:r w:rsidR="00001846" w:rsidRPr="00455697">
        <w:rPr>
          <w:b/>
          <w:szCs w:val="24"/>
        </w:rPr>
        <w:t>VE APPLICATION</w:t>
      </w:r>
      <w:r w:rsidR="004F5491" w:rsidRPr="00455697">
        <w:rPr>
          <w:b/>
          <w:szCs w:val="24"/>
        </w:rPr>
        <w:t>S</w:t>
      </w:r>
    </w:p>
    <w:p w:rsidR="006F2579" w:rsidRPr="00455697" w:rsidRDefault="006F2579" w:rsidP="006F2579">
      <w:pPr>
        <w:widowControl w:val="0"/>
        <w:rPr>
          <w:szCs w:val="24"/>
        </w:rPr>
      </w:pPr>
    </w:p>
    <w:p w:rsidR="006F2579" w:rsidRPr="00455697" w:rsidRDefault="005364A6" w:rsidP="006F2579">
      <w:pPr>
        <w:widowControl w:val="0"/>
        <w:rPr>
          <w:szCs w:val="24"/>
        </w:rPr>
      </w:pPr>
      <w:r w:rsidRPr="00455697">
        <w:rPr>
          <w:b/>
          <w:szCs w:val="24"/>
        </w:rPr>
        <w:t>June</w:t>
      </w:r>
      <w:r w:rsidR="00A15B66" w:rsidRPr="00455697">
        <w:rPr>
          <w:b/>
          <w:szCs w:val="24"/>
        </w:rPr>
        <w:t xml:space="preserve"> </w:t>
      </w:r>
      <w:r w:rsidRPr="00455697">
        <w:rPr>
          <w:b/>
          <w:szCs w:val="24"/>
        </w:rPr>
        <w:t>5</w:t>
      </w:r>
      <w:r w:rsidR="004441C7" w:rsidRPr="00455697">
        <w:rPr>
          <w:b/>
          <w:szCs w:val="24"/>
        </w:rPr>
        <w:t>,</w:t>
      </w:r>
      <w:r w:rsidR="006F2579" w:rsidRPr="00455697">
        <w:rPr>
          <w:b/>
          <w:szCs w:val="24"/>
        </w:rPr>
        <w:t xml:space="preserve"> </w:t>
      </w:r>
      <w:r w:rsidR="0054689F" w:rsidRPr="00455697">
        <w:rPr>
          <w:b/>
          <w:szCs w:val="24"/>
        </w:rPr>
        <w:t>20</w:t>
      </w:r>
      <w:r w:rsidR="00526754" w:rsidRPr="00455697">
        <w:rPr>
          <w:b/>
          <w:szCs w:val="24"/>
        </w:rPr>
        <w:t>2</w:t>
      </w:r>
      <w:r w:rsidR="00534CCB" w:rsidRPr="00455697">
        <w:rPr>
          <w:b/>
          <w:szCs w:val="24"/>
        </w:rPr>
        <w:t>3</w:t>
      </w:r>
    </w:p>
    <w:p w:rsidR="006F2579" w:rsidRPr="00455697" w:rsidRDefault="00674F39" w:rsidP="006F2579">
      <w:pPr>
        <w:widowControl w:val="0"/>
        <w:rPr>
          <w:b/>
          <w:szCs w:val="24"/>
        </w:rPr>
      </w:pPr>
      <w:r w:rsidRPr="00455697">
        <w:rPr>
          <w:b/>
          <w:szCs w:val="24"/>
        </w:rPr>
        <w:t>For immediate release</w:t>
      </w:r>
    </w:p>
    <w:p w:rsidR="006F2579" w:rsidRPr="00455697" w:rsidRDefault="006F2579" w:rsidP="006F2579">
      <w:pPr>
        <w:widowControl w:val="0"/>
        <w:rPr>
          <w:szCs w:val="24"/>
        </w:rPr>
      </w:pPr>
    </w:p>
    <w:p w:rsidR="006F2579" w:rsidRPr="00455697" w:rsidRDefault="006F2579" w:rsidP="006F2579">
      <w:pPr>
        <w:widowControl w:val="0"/>
        <w:rPr>
          <w:szCs w:val="24"/>
          <w:lang w:val="fr-CA"/>
        </w:rPr>
      </w:pPr>
      <w:r w:rsidRPr="00455697">
        <w:rPr>
          <w:b/>
          <w:szCs w:val="24"/>
        </w:rPr>
        <w:t>OTTAWA</w:t>
      </w:r>
      <w:r w:rsidRPr="00455697">
        <w:rPr>
          <w:szCs w:val="24"/>
        </w:rPr>
        <w:t xml:space="preserve"> – The Supreme Court of Canad</w:t>
      </w:r>
      <w:r w:rsidR="006246E4" w:rsidRPr="00455697">
        <w:rPr>
          <w:szCs w:val="24"/>
        </w:rPr>
        <w:t>a</w:t>
      </w:r>
      <w:r w:rsidRPr="00455697">
        <w:rPr>
          <w:szCs w:val="24"/>
        </w:rPr>
        <w:t xml:space="preserve"> announced today that judgment in the following </w:t>
      </w:r>
      <w:r w:rsidR="00DB6199" w:rsidRPr="00455697">
        <w:rPr>
          <w:szCs w:val="24"/>
        </w:rPr>
        <w:t>leave application</w:t>
      </w:r>
      <w:r w:rsidR="004F5491" w:rsidRPr="00455697">
        <w:rPr>
          <w:szCs w:val="24"/>
        </w:rPr>
        <w:t>s</w:t>
      </w:r>
      <w:r w:rsidR="00DB6199" w:rsidRPr="00455697">
        <w:rPr>
          <w:szCs w:val="24"/>
        </w:rPr>
        <w:t xml:space="preserve"> </w:t>
      </w:r>
      <w:r w:rsidRPr="00455697">
        <w:rPr>
          <w:szCs w:val="24"/>
        </w:rPr>
        <w:t>will be delivere</w:t>
      </w:r>
      <w:r w:rsidR="00CE2C5F" w:rsidRPr="00455697">
        <w:rPr>
          <w:szCs w:val="24"/>
        </w:rPr>
        <w:t>d</w:t>
      </w:r>
      <w:r w:rsidRPr="00455697">
        <w:rPr>
          <w:szCs w:val="24"/>
        </w:rPr>
        <w:t xml:space="preserve"> at 9:45 a.m. </w:t>
      </w:r>
      <w:r w:rsidR="00E05816" w:rsidRPr="00455697">
        <w:rPr>
          <w:szCs w:val="24"/>
        </w:rPr>
        <w:t>E</w:t>
      </w:r>
      <w:r w:rsidR="00A00FDF" w:rsidRPr="00455697">
        <w:rPr>
          <w:szCs w:val="24"/>
        </w:rPr>
        <w:t>D</w:t>
      </w:r>
      <w:r w:rsidR="00E05816" w:rsidRPr="00455697">
        <w:rPr>
          <w:szCs w:val="24"/>
        </w:rPr>
        <w:t>T</w:t>
      </w:r>
      <w:r w:rsidRPr="00455697">
        <w:rPr>
          <w:szCs w:val="24"/>
        </w:rPr>
        <w:t xml:space="preserve"> on </w:t>
      </w:r>
      <w:r w:rsidR="00322A9C" w:rsidRPr="00455697">
        <w:rPr>
          <w:szCs w:val="24"/>
        </w:rPr>
        <w:t>Thurs</w:t>
      </w:r>
      <w:r w:rsidR="00680A85" w:rsidRPr="00455697">
        <w:rPr>
          <w:szCs w:val="24"/>
        </w:rPr>
        <w:t>day</w:t>
      </w:r>
      <w:r w:rsidRPr="00455697">
        <w:rPr>
          <w:szCs w:val="24"/>
        </w:rPr>
        <w:t xml:space="preserve">, </w:t>
      </w:r>
      <w:r w:rsidR="00AD7A8F" w:rsidRPr="00455697">
        <w:rPr>
          <w:szCs w:val="24"/>
        </w:rPr>
        <w:t>June</w:t>
      </w:r>
      <w:r w:rsidR="00455912" w:rsidRPr="00455697">
        <w:rPr>
          <w:szCs w:val="24"/>
        </w:rPr>
        <w:t xml:space="preserve"> </w:t>
      </w:r>
      <w:r w:rsidR="005364A6" w:rsidRPr="00455697">
        <w:rPr>
          <w:szCs w:val="24"/>
        </w:rPr>
        <w:t>8</w:t>
      </w:r>
      <w:r w:rsidR="007E112F" w:rsidRPr="00455697">
        <w:rPr>
          <w:szCs w:val="24"/>
        </w:rPr>
        <w:t>,</w:t>
      </w:r>
      <w:r w:rsidR="002F38D7" w:rsidRPr="00455697">
        <w:rPr>
          <w:szCs w:val="24"/>
        </w:rPr>
        <w:t xml:space="preserve"> </w:t>
      </w:r>
      <w:r w:rsidR="006648D1" w:rsidRPr="00455697">
        <w:rPr>
          <w:szCs w:val="24"/>
        </w:rPr>
        <w:t>20</w:t>
      </w:r>
      <w:r w:rsidR="00526754" w:rsidRPr="00455697">
        <w:rPr>
          <w:szCs w:val="24"/>
        </w:rPr>
        <w:t>2</w:t>
      </w:r>
      <w:r w:rsidR="00534CCB" w:rsidRPr="00455697">
        <w:rPr>
          <w:szCs w:val="24"/>
        </w:rPr>
        <w:t>3</w:t>
      </w:r>
      <w:r w:rsidRPr="00455697">
        <w:rPr>
          <w:szCs w:val="24"/>
        </w:rPr>
        <w:t xml:space="preserve">. </w:t>
      </w:r>
      <w:r w:rsidRPr="00455697">
        <w:rPr>
          <w:szCs w:val="24"/>
          <w:lang w:val="fr-CA"/>
        </w:rPr>
        <w:t>This list is subject to chang</w:t>
      </w:r>
      <w:r w:rsidR="00192F7F" w:rsidRPr="00455697">
        <w:rPr>
          <w:szCs w:val="24"/>
          <w:lang w:val="fr-CA"/>
        </w:rPr>
        <w:t>e</w:t>
      </w:r>
      <w:r w:rsidRPr="00455697">
        <w:rPr>
          <w:szCs w:val="24"/>
          <w:lang w:val="fr-CA"/>
        </w:rPr>
        <w:t>.</w:t>
      </w:r>
    </w:p>
    <w:p w:rsidR="00FF5AA4" w:rsidRPr="00455697" w:rsidRDefault="00FF5AA4" w:rsidP="006F2579">
      <w:pPr>
        <w:widowControl w:val="0"/>
        <w:rPr>
          <w:szCs w:val="24"/>
          <w:lang w:val="fr-CA"/>
        </w:rPr>
      </w:pPr>
    </w:p>
    <w:p w:rsidR="00B43418" w:rsidRPr="00455697" w:rsidRDefault="00B43418" w:rsidP="006F2579">
      <w:pPr>
        <w:widowControl w:val="0"/>
        <w:rPr>
          <w:szCs w:val="24"/>
          <w:lang w:val="fr-CA"/>
        </w:rPr>
      </w:pPr>
    </w:p>
    <w:p w:rsidR="006F2579" w:rsidRPr="00455697" w:rsidRDefault="006F2579" w:rsidP="006F2579">
      <w:pPr>
        <w:widowControl w:val="0"/>
        <w:jc w:val="center"/>
        <w:rPr>
          <w:szCs w:val="24"/>
          <w:lang w:val="fr-CA"/>
        </w:rPr>
      </w:pPr>
      <w:r w:rsidRPr="00455697">
        <w:rPr>
          <w:b/>
          <w:szCs w:val="24"/>
          <w:lang w:val="fr-CA"/>
        </w:rPr>
        <w:t>PROCHAIN</w:t>
      </w:r>
      <w:r w:rsidR="004F5491" w:rsidRPr="00455697">
        <w:rPr>
          <w:b/>
          <w:szCs w:val="24"/>
          <w:lang w:val="fr-CA"/>
        </w:rPr>
        <w:t>S</w:t>
      </w:r>
      <w:r w:rsidRPr="00455697">
        <w:rPr>
          <w:b/>
          <w:szCs w:val="24"/>
          <w:lang w:val="fr-CA"/>
        </w:rPr>
        <w:t xml:space="preserve"> JUGEMENT</w:t>
      </w:r>
      <w:r w:rsidR="004F5491" w:rsidRPr="00455697">
        <w:rPr>
          <w:b/>
          <w:szCs w:val="24"/>
          <w:lang w:val="fr-CA"/>
        </w:rPr>
        <w:t>S</w:t>
      </w:r>
      <w:r w:rsidR="00001846" w:rsidRPr="00455697">
        <w:rPr>
          <w:b/>
          <w:szCs w:val="24"/>
          <w:lang w:val="fr-CA"/>
        </w:rPr>
        <w:t xml:space="preserve"> SUR DEMANDE</w:t>
      </w:r>
      <w:r w:rsidR="004F5491" w:rsidRPr="00455697">
        <w:rPr>
          <w:b/>
          <w:szCs w:val="24"/>
          <w:lang w:val="fr-CA"/>
        </w:rPr>
        <w:t>S</w:t>
      </w:r>
      <w:r w:rsidRPr="00455697">
        <w:rPr>
          <w:b/>
          <w:szCs w:val="24"/>
          <w:lang w:val="fr-CA"/>
        </w:rPr>
        <w:t xml:space="preserve"> D’AUTORISATION</w:t>
      </w:r>
    </w:p>
    <w:p w:rsidR="006F2579" w:rsidRPr="00455697" w:rsidRDefault="006F2579" w:rsidP="006F2579">
      <w:pPr>
        <w:widowControl w:val="0"/>
        <w:rPr>
          <w:szCs w:val="24"/>
          <w:lang w:val="fr-CA"/>
        </w:rPr>
      </w:pPr>
    </w:p>
    <w:p w:rsidR="006F2579" w:rsidRPr="00455697" w:rsidRDefault="006F2579" w:rsidP="006F2579">
      <w:pPr>
        <w:widowControl w:val="0"/>
        <w:rPr>
          <w:szCs w:val="24"/>
          <w:lang w:val="fr-CA"/>
        </w:rPr>
      </w:pPr>
      <w:r w:rsidRPr="00455697">
        <w:rPr>
          <w:b/>
          <w:szCs w:val="24"/>
          <w:lang w:val="fr-CA"/>
        </w:rPr>
        <w:t>Le</w:t>
      </w:r>
      <w:r w:rsidR="00957A76" w:rsidRPr="00455697">
        <w:rPr>
          <w:b/>
          <w:szCs w:val="24"/>
          <w:lang w:val="fr-CA"/>
        </w:rPr>
        <w:t xml:space="preserve"> </w:t>
      </w:r>
      <w:r w:rsidR="005364A6" w:rsidRPr="00455697">
        <w:rPr>
          <w:b/>
          <w:szCs w:val="24"/>
          <w:lang w:val="fr-CA"/>
        </w:rPr>
        <w:t>5</w:t>
      </w:r>
      <w:r w:rsidR="00FA6BAB" w:rsidRPr="00455697">
        <w:rPr>
          <w:b/>
          <w:szCs w:val="24"/>
          <w:lang w:val="fr-CA"/>
        </w:rPr>
        <w:t xml:space="preserve"> </w:t>
      </w:r>
      <w:r w:rsidR="005364A6" w:rsidRPr="00455697">
        <w:rPr>
          <w:b/>
          <w:szCs w:val="24"/>
          <w:lang w:val="fr-CA"/>
        </w:rPr>
        <w:t>juin</w:t>
      </w:r>
      <w:r w:rsidR="00A151D1" w:rsidRPr="00455697">
        <w:rPr>
          <w:b/>
          <w:szCs w:val="24"/>
          <w:lang w:val="fr-CA"/>
        </w:rPr>
        <w:t xml:space="preserve"> 20</w:t>
      </w:r>
      <w:r w:rsidR="00526754" w:rsidRPr="00455697">
        <w:rPr>
          <w:b/>
          <w:szCs w:val="24"/>
          <w:lang w:val="fr-CA"/>
        </w:rPr>
        <w:t>2</w:t>
      </w:r>
      <w:r w:rsidR="00534CCB" w:rsidRPr="00455697">
        <w:rPr>
          <w:b/>
          <w:szCs w:val="24"/>
          <w:lang w:val="fr-CA"/>
        </w:rPr>
        <w:t>3</w:t>
      </w:r>
    </w:p>
    <w:p w:rsidR="006F2579" w:rsidRPr="00455697" w:rsidRDefault="006F2579" w:rsidP="006F2579">
      <w:pPr>
        <w:widowControl w:val="0"/>
        <w:rPr>
          <w:b/>
          <w:szCs w:val="24"/>
          <w:lang w:val="fr-CA"/>
        </w:rPr>
      </w:pPr>
      <w:r w:rsidRPr="00455697">
        <w:rPr>
          <w:b/>
          <w:szCs w:val="24"/>
          <w:lang w:val="fr-CA"/>
        </w:rPr>
        <w:t>Pour diffusion immédiate</w:t>
      </w:r>
    </w:p>
    <w:p w:rsidR="006F2579" w:rsidRPr="00455697" w:rsidRDefault="006F2579" w:rsidP="006F2579">
      <w:pPr>
        <w:widowControl w:val="0"/>
        <w:rPr>
          <w:szCs w:val="24"/>
          <w:lang w:val="fr-CA"/>
        </w:rPr>
      </w:pPr>
    </w:p>
    <w:p w:rsidR="006F2579" w:rsidRPr="00455697" w:rsidRDefault="006F2579" w:rsidP="006F2579">
      <w:pPr>
        <w:widowControl w:val="0"/>
        <w:rPr>
          <w:szCs w:val="24"/>
          <w:lang w:val="fr-CA"/>
        </w:rPr>
      </w:pPr>
      <w:r w:rsidRPr="00455697">
        <w:rPr>
          <w:b/>
          <w:szCs w:val="24"/>
          <w:lang w:val="fr-CA"/>
        </w:rPr>
        <w:t>OTTAWA</w:t>
      </w:r>
      <w:r w:rsidRPr="00455697">
        <w:rPr>
          <w:szCs w:val="24"/>
          <w:lang w:val="fr-CA"/>
        </w:rPr>
        <w:t xml:space="preserve"> – La Cour suprême du Canada annonce que jugement ser</w:t>
      </w:r>
      <w:r w:rsidR="004259F9" w:rsidRPr="00455697">
        <w:rPr>
          <w:szCs w:val="24"/>
          <w:lang w:val="fr-CA"/>
        </w:rPr>
        <w:t>a</w:t>
      </w:r>
      <w:r w:rsidRPr="00455697">
        <w:rPr>
          <w:szCs w:val="24"/>
          <w:lang w:val="fr-CA"/>
        </w:rPr>
        <w:t xml:space="preserve"> rendu dans l</w:t>
      </w:r>
      <w:r w:rsidR="004F5491" w:rsidRPr="00455697">
        <w:rPr>
          <w:szCs w:val="24"/>
          <w:lang w:val="fr-CA"/>
        </w:rPr>
        <w:t>es</w:t>
      </w:r>
      <w:r w:rsidRPr="00455697">
        <w:rPr>
          <w:szCs w:val="24"/>
          <w:lang w:val="fr-CA"/>
        </w:rPr>
        <w:t xml:space="preserve"> demande</w:t>
      </w:r>
      <w:r w:rsidR="004F5491" w:rsidRPr="00455697">
        <w:rPr>
          <w:szCs w:val="24"/>
          <w:lang w:val="fr-CA"/>
        </w:rPr>
        <w:t>s</w:t>
      </w:r>
      <w:r w:rsidRPr="00455697">
        <w:rPr>
          <w:szCs w:val="24"/>
          <w:lang w:val="fr-CA"/>
        </w:rPr>
        <w:t xml:space="preserve"> d</w:t>
      </w:r>
      <w:r w:rsidR="00001846" w:rsidRPr="00455697">
        <w:rPr>
          <w:szCs w:val="24"/>
          <w:lang w:val="fr-CA"/>
        </w:rPr>
        <w:t>’autorisation suivante</w:t>
      </w:r>
      <w:r w:rsidR="004F5491" w:rsidRPr="00455697">
        <w:rPr>
          <w:szCs w:val="24"/>
          <w:lang w:val="fr-CA"/>
        </w:rPr>
        <w:t>s</w:t>
      </w:r>
      <w:r w:rsidRPr="00455697">
        <w:rPr>
          <w:szCs w:val="24"/>
          <w:lang w:val="fr-CA"/>
        </w:rPr>
        <w:t xml:space="preserve"> le </w:t>
      </w:r>
      <w:r w:rsidR="00322A9C" w:rsidRPr="00455697">
        <w:rPr>
          <w:szCs w:val="24"/>
          <w:lang w:val="fr-CA"/>
        </w:rPr>
        <w:t>jeu</w:t>
      </w:r>
      <w:r w:rsidR="00680A85" w:rsidRPr="00455697">
        <w:rPr>
          <w:szCs w:val="24"/>
          <w:lang w:val="fr-CA"/>
        </w:rPr>
        <w:t>di</w:t>
      </w:r>
      <w:r w:rsidRPr="00455697">
        <w:rPr>
          <w:szCs w:val="24"/>
          <w:lang w:val="fr-CA"/>
        </w:rPr>
        <w:t xml:space="preserve"> </w:t>
      </w:r>
      <w:r w:rsidR="005364A6" w:rsidRPr="00455697">
        <w:rPr>
          <w:szCs w:val="24"/>
          <w:lang w:val="fr-CA"/>
        </w:rPr>
        <w:t>8</w:t>
      </w:r>
      <w:r w:rsidR="00AD7A8F" w:rsidRPr="00455697">
        <w:rPr>
          <w:szCs w:val="24"/>
          <w:lang w:val="fr-CA"/>
        </w:rPr>
        <w:t xml:space="preserve"> juin</w:t>
      </w:r>
      <w:r w:rsidR="00694391" w:rsidRPr="00455697">
        <w:rPr>
          <w:szCs w:val="24"/>
          <w:lang w:val="fr-CA"/>
        </w:rPr>
        <w:t xml:space="preserve"> 2</w:t>
      </w:r>
      <w:r w:rsidR="006648D1" w:rsidRPr="00455697">
        <w:rPr>
          <w:szCs w:val="24"/>
          <w:lang w:val="fr-CA"/>
        </w:rPr>
        <w:t>0</w:t>
      </w:r>
      <w:r w:rsidR="00526754" w:rsidRPr="00455697">
        <w:rPr>
          <w:szCs w:val="24"/>
          <w:lang w:val="fr-CA"/>
        </w:rPr>
        <w:t>2</w:t>
      </w:r>
      <w:r w:rsidR="00534CCB" w:rsidRPr="00455697">
        <w:rPr>
          <w:szCs w:val="24"/>
          <w:lang w:val="fr-CA"/>
        </w:rPr>
        <w:t>3</w:t>
      </w:r>
      <w:r w:rsidRPr="00455697">
        <w:rPr>
          <w:szCs w:val="24"/>
          <w:lang w:val="fr-CA"/>
        </w:rPr>
        <w:t xml:space="preserve">, à 9 h 45 </w:t>
      </w:r>
      <w:r w:rsidR="000627A2" w:rsidRPr="00455697">
        <w:rPr>
          <w:szCs w:val="24"/>
          <w:lang w:val="fr-CA"/>
        </w:rPr>
        <w:t>H</w:t>
      </w:r>
      <w:r w:rsidR="00A00FDF" w:rsidRPr="00455697">
        <w:rPr>
          <w:szCs w:val="24"/>
          <w:lang w:val="fr-CA"/>
        </w:rPr>
        <w:t>A</w:t>
      </w:r>
      <w:r w:rsidRPr="00455697">
        <w:rPr>
          <w:szCs w:val="24"/>
          <w:lang w:val="fr-CA"/>
        </w:rPr>
        <w:t>E. Cette liste est sujette à modification</w:t>
      </w:r>
      <w:r w:rsidR="00130ADB" w:rsidRPr="00455697">
        <w:rPr>
          <w:szCs w:val="24"/>
          <w:lang w:val="fr-CA"/>
        </w:rPr>
        <w:t>s</w:t>
      </w:r>
      <w:r w:rsidRPr="00455697">
        <w:rPr>
          <w:szCs w:val="24"/>
          <w:lang w:val="fr-CA"/>
        </w:rPr>
        <w:t>.</w:t>
      </w:r>
    </w:p>
    <w:p w:rsidR="0080556B" w:rsidRPr="00455697" w:rsidRDefault="0080556B" w:rsidP="005F2A78">
      <w:pPr>
        <w:widowControl w:val="0"/>
        <w:tabs>
          <w:tab w:val="left" w:pos="3840"/>
        </w:tabs>
        <w:jc w:val="both"/>
        <w:rPr>
          <w:sz w:val="20"/>
          <w:lang w:val="fr-CA"/>
        </w:rPr>
      </w:pPr>
    </w:p>
    <w:p w:rsidR="00867C61" w:rsidRPr="00455697" w:rsidRDefault="00455697" w:rsidP="009B14F4">
      <w:pPr>
        <w:widowControl w:val="0"/>
        <w:jc w:val="both"/>
        <w:rPr>
          <w:sz w:val="20"/>
        </w:rPr>
      </w:pPr>
      <w:r w:rsidRPr="00455697">
        <w:rPr>
          <w:sz w:val="20"/>
        </w:rPr>
        <w:pict>
          <v:rect id="_x0000_i1025" style="width:2in;height:1pt" o:hrpct="0" o:hralign="center" o:hrstd="t" o:hrnoshade="t" o:hr="t" fillcolor="black [3213]" stroked="f"/>
        </w:pict>
      </w:r>
    </w:p>
    <w:p w:rsidR="004A6E51" w:rsidRPr="00455697" w:rsidRDefault="004A6E51" w:rsidP="009253F6">
      <w:pPr>
        <w:rPr>
          <w:sz w:val="20"/>
          <w:lang w:val="fr-CA"/>
        </w:rPr>
      </w:pPr>
    </w:p>
    <w:p w:rsidR="006A2516" w:rsidRPr="00455697" w:rsidRDefault="006A2516" w:rsidP="006A2516">
      <w:pPr>
        <w:pStyle w:val="ListParagraph"/>
        <w:numPr>
          <w:ilvl w:val="0"/>
          <w:numId w:val="42"/>
        </w:numPr>
        <w:tabs>
          <w:tab w:val="left" w:pos="360"/>
        </w:tabs>
        <w:ind w:left="357" w:hanging="357"/>
        <w:rPr>
          <w:i/>
          <w:sz w:val="20"/>
        </w:rPr>
      </w:pPr>
      <w:r w:rsidRPr="00455697">
        <w:rPr>
          <w:i/>
          <w:sz w:val="20"/>
          <w:lang w:val="fr-CA"/>
        </w:rPr>
        <w:t xml:space="preserve">Robert Maginnis, </w:t>
      </w:r>
      <w:r w:rsidR="00607B8C" w:rsidRPr="00455697">
        <w:rPr>
          <w:i/>
          <w:sz w:val="20"/>
          <w:lang w:val="fr-CA"/>
        </w:rPr>
        <w:t>et al.</w:t>
      </w:r>
      <w:r w:rsidRPr="00455697">
        <w:rPr>
          <w:i/>
          <w:sz w:val="20"/>
          <w:lang w:val="fr-CA"/>
        </w:rPr>
        <w:t xml:space="preserve"> v. FCA Canada Inc., </w:t>
      </w:r>
      <w:r w:rsidR="00607B8C" w:rsidRPr="00455697">
        <w:rPr>
          <w:i/>
          <w:sz w:val="20"/>
          <w:lang w:val="fr-CA"/>
        </w:rPr>
        <w:t>et al.</w:t>
      </w:r>
      <w:r w:rsidRPr="00455697">
        <w:rPr>
          <w:i/>
          <w:sz w:val="20"/>
          <w:lang w:val="fr-CA"/>
        </w:rPr>
        <w:t xml:space="preserve"> </w:t>
      </w:r>
      <w:r w:rsidRPr="00455697">
        <w:rPr>
          <w:sz w:val="20"/>
          <w:lang w:val="en-CA"/>
        </w:rPr>
        <w:t xml:space="preserve">(Ont.) (Civil) (By Leave) </w:t>
      </w:r>
      <w:r w:rsidRPr="00455697">
        <w:rPr>
          <w:sz w:val="20"/>
        </w:rPr>
        <w:t>(</w:t>
      </w:r>
      <w:hyperlink r:id="rId8" w:history="1">
        <w:r w:rsidRPr="00455697">
          <w:rPr>
            <w:rStyle w:val="Hyperlink"/>
            <w:sz w:val="20"/>
            <w:szCs w:val="20"/>
          </w:rPr>
          <w:t>40</w:t>
        </w:r>
        <w:r w:rsidR="00607B8C" w:rsidRPr="00455697">
          <w:rPr>
            <w:rStyle w:val="Hyperlink"/>
            <w:sz w:val="20"/>
            <w:szCs w:val="20"/>
          </w:rPr>
          <w:t>20</w:t>
        </w:r>
        <w:r w:rsidRPr="00455697">
          <w:rPr>
            <w:rStyle w:val="Hyperlink"/>
            <w:sz w:val="20"/>
            <w:szCs w:val="20"/>
          </w:rPr>
          <w:t>4</w:t>
        </w:r>
      </w:hyperlink>
      <w:r w:rsidRPr="00455697">
        <w:rPr>
          <w:sz w:val="20"/>
        </w:rPr>
        <w:t>)</w:t>
      </w:r>
    </w:p>
    <w:p w:rsidR="006A2516" w:rsidRPr="00455697" w:rsidRDefault="006A2516" w:rsidP="006A2516">
      <w:pPr>
        <w:tabs>
          <w:tab w:val="left" w:pos="360"/>
        </w:tabs>
        <w:ind w:left="357" w:hanging="357"/>
        <w:rPr>
          <w:sz w:val="20"/>
        </w:rPr>
      </w:pPr>
    </w:p>
    <w:p w:rsidR="006A2516" w:rsidRPr="00455697" w:rsidRDefault="006A2516" w:rsidP="006A2516">
      <w:pPr>
        <w:pStyle w:val="ListParagraph"/>
        <w:numPr>
          <w:ilvl w:val="0"/>
          <w:numId w:val="42"/>
        </w:numPr>
        <w:tabs>
          <w:tab w:val="left" w:pos="360"/>
        </w:tabs>
        <w:ind w:left="357" w:hanging="357"/>
        <w:rPr>
          <w:i/>
          <w:sz w:val="20"/>
        </w:rPr>
      </w:pPr>
      <w:r w:rsidRPr="00455697">
        <w:rPr>
          <w:i/>
          <w:sz w:val="20"/>
        </w:rPr>
        <w:t xml:space="preserve">Annette Lewis v. Alberta Health Services, </w:t>
      </w:r>
      <w:r w:rsidR="00607B8C" w:rsidRPr="00455697">
        <w:rPr>
          <w:i/>
          <w:sz w:val="20"/>
        </w:rPr>
        <w:t>et al.</w:t>
      </w:r>
      <w:r w:rsidRPr="00455697">
        <w:rPr>
          <w:sz w:val="20"/>
          <w:lang w:val="en-CA"/>
        </w:rPr>
        <w:t xml:space="preserve"> (Alta.) (Civil) (By Leave) </w:t>
      </w:r>
      <w:r w:rsidRPr="00455697">
        <w:rPr>
          <w:sz w:val="20"/>
        </w:rPr>
        <w:t>(</w:t>
      </w:r>
      <w:hyperlink r:id="rId9" w:history="1">
        <w:r w:rsidRPr="00455697">
          <w:rPr>
            <w:rStyle w:val="Hyperlink"/>
            <w:sz w:val="20"/>
            <w:szCs w:val="20"/>
          </w:rPr>
          <w:t>40</w:t>
        </w:r>
        <w:r w:rsidR="00607B8C" w:rsidRPr="00455697">
          <w:rPr>
            <w:rStyle w:val="Hyperlink"/>
            <w:sz w:val="20"/>
            <w:szCs w:val="20"/>
          </w:rPr>
          <w:t>5</w:t>
        </w:r>
        <w:r w:rsidRPr="00455697">
          <w:rPr>
            <w:rStyle w:val="Hyperlink"/>
            <w:sz w:val="20"/>
            <w:szCs w:val="20"/>
          </w:rPr>
          <w:t>4</w:t>
        </w:r>
        <w:r w:rsidR="00607B8C" w:rsidRPr="00455697">
          <w:rPr>
            <w:rStyle w:val="Hyperlink"/>
            <w:sz w:val="20"/>
            <w:szCs w:val="20"/>
          </w:rPr>
          <w:t>9</w:t>
        </w:r>
      </w:hyperlink>
      <w:r w:rsidRPr="00455697">
        <w:rPr>
          <w:sz w:val="20"/>
        </w:rPr>
        <w:t>)</w:t>
      </w:r>
    </w:p>
    <w:p w:rsidR="006A2516" w:rsidRPr="00455697" w:rsidRDefault="006A2516" w:rsidP="006A2516">
      <w:pPr>
        <w:ind w:left="357" w:hanging="357"/>
        <w:rPr>
          <w:sz w:val="20"/>
        </w:rPr>
      </w:pPr>
    </w:p>
    <w:p w:rsidR="006A2516" w:rsidRPr="00455697" w:rsidRDefault="006A2516" w:rsidP="006A2516">
      <w:pPr>
        <w:pStyle w:val="ListParagraph"/>
        <w:numPr>
          <w:ilvl w:val="0"/>
          <w:numId w:val="42"/>
        </w:numPr>
        <w:tabs>
          <w:tab w:val="left" w:pos="360"/>
        </w:tabs>
        <w:ind w:left="357" w:hanging="357"/>
        <w:rPr>
          <w:i/>
          <w:sz w:val="20"/>
          <w:lang w:val="en-CA"/>
        </w:rPr>
      </w:pPr>
      <w:r w:rsidRPr="00455697">
        <w:rPr>
          <w:i/>
          <w:sz w:val="20"/>
          <w:lang w:val="en-CA"/>
        </w:rPr>
        <w:t>Samson Aristor v. His Majesty the King</w:t>
      </w:r>
      <w:r w:rsidRPr="00455697">
        <w:rPr>
          <w:sz w:val="20"/>
          <w:lang w:val="en-CA"/>
        </w:rPr>
        <w:t xml:space="preserve"> (Ont.) (Criminal) (By Leave) </w:t>
      </w:r>
      <w:r w:rsidRPr="00455697">
        <w:rPr>
          <w:sz w:val="20"/>
        </w:rPr>
        <w:t>(</w:t>
      </w:r>
      <w:hyperlink r:id="rId10" w:history="1">
        <w:r w:rsidRPr="00455697">
          <w:rPr>
            <w:rStyle w:val="Hyperlink"/>
            <w:sz w:val="20"/>
            <w:szCs w:val="20"/>
          </w:rPr>
          <w:t>40</w:t>
        </w:r>
        <w:r w:rsidR="008A5742" w:rsidRPr="00455697">
          <w:rPr>
            <w:rStyle w:val="Hyperlink"/>
            <w:sz w:val="20"/>
            <w:szCs w:val="20"/>
          </w:rPr>
          <w:t>628</w:t>
        </w:r>
      </w:hyperlink>
      <w:r w:rsidRPr="00455697">
        <w:rPr>
          <w:sz w:val="20"/>
        </w:rPr>
        <w:t>)</w:t>
      </w:r>
    </w:p>
    <w:p w:rsidR="006A2516" w:rsidRPr="00455697" w:rsidRDefault="006A2516" w:rsidP="006A2516">
      <w:pPr>
        <w:tabs>
          <w:tab w:val="left" w:pos="360"/>
        </w:tabs>
        <w:ind w:left="357" w:hanging="357"/>
        <w:rPr>
          <w:sz w:val="20"/>
          <w:lang w:val="en-CA"/>
        </w:rPr>
      </w:pPr>
    </w:p>
    <w:p w:rsidR="006A2516" w:rsidRPr="00455697" w:rsidRDefault="006A2516" w:rsidP="006A2516">
      <w:pPr>
        <w:pStyle w:val="ListParagraph"/>
        <w:numPr>
          <w:ilvl w:val="0"/>
          <w:numId w:val="42"/>
        </w:numPr>
        <w:tabs>
          <w:tab w:val="left" w:pos="360"/>
        </w:tabs>
        <w:ind w:left="357" w:hanging="357"/>
        <w:rPr>
          <w:i/>
          <w:sz w:val="20"/>
        </w:rPr>
      </w:pPr>
      <w:r w:rsidRPr="00455697">
        <w:rPr>
          <w:i/>
          <w:sz w:val="20"/>
          <w:lang w:val="en-CA"/>
        </w:rPr>
        <w:t>His Majesty the King</w:t>
      </w:r>
      <w:r w:rsidR="008A5742" w:rsidRPr="00455697">
        <w:rPr>
          <w:i/>
          <w:sz w:val="20"/>
          <w:lang w:val="en-CA"/>
        </w:rPr>
        <w:t>, et al.</w:t>
      </w:r>
      <w:r w:rsidRPr="00455697">
        <w:rPr>
          <w:i/>
          <w:sz w:val="20"/>
          <w:lang w:val="en-CA"/>
        </w:rPr>
        <w:t xml:space="preserve"> v. Warren Boyer</w:t>
      </w:r>
      <w:r w:rsidR="008A5742" w:rsidRPr="00455697">
        <w:rPr>
          <w:i/>
          <w:sz w:val="20"/>
          <w:lang w:val="en-CA"/>
        </w:rPr>
        <w:t>, et al.</w:t>
      </w:r>
      <w:r w:rsidRPr="00455697">
        <w:rPr>
          <w:sz w:val="20"/>
        </w:rPr>
        <w:t xml:space="preserve"> (Sask.) (Civil) (By Leave) (</w:t>
      </w:r>
      <w:hyperlink r:id="rId11" w:history="1">
        <w:r w:rsidRPr="00455697">
          <w:rPr>
            <w:rStyle w:val="Hyperlink"/>
            <w:sz w:val="20"/>
            <w:szCs w:val="20"/>
          </w:rPr>
          <w:t>40</w:t>
        </w:r>
        <w:r w:rsidR="008A5742" w:rsidRPr="00455697">
          <w:rPr>
            <w:rStyle w:val="Hyperlink"/>
            <w:sz w:val="20"/>
            <w:szCs w:val="20"/>
          </w:rPr>
          <w:t>339</w:t>
        </w:r>
      </w:hyperlink>
      <w:r w:rsidRPr="00455697">
        <w:rPr>
          <w:sz w:val="20"/>
        </w:rPr>
        <w:t>)</w:t>
      </w:r>
    </w:p>
    <w:p w:rsidR="005364A6" w:rsidRPr="00455697" w:rsidRDefault="005364A6" w:rsidP="006A2516">
      <w:pPr>
        <w:ind w:left="357" w:hanging="357"/>
        <w:rPr>
          <w:sz w:val="20"/>
        </w:rPr>
      </w:pPr>
    </w:p>
    <w:p w:rsidR="006A2516" w:rsidRPr="00455697" w:rsidRDefault="006A2516" w:rsidP="006A2516">
      <w:pPr>
        <w:pStyle w:val="SCCLsocParty"/>
        <w:numPr>
          <w:ilvl w:val="0"/>
          <w:numId w:val="42"/>
        </w:numPr>
        <w:ind w:left="357" w:hanging="357"/>
        <w:jc w:val="left"/>
        <w:rPr>
          <w:i/>
          <w:sz w:val="20"/>
          <w:szCs w:val="20"/>
        </w:rPr>
      </w:pPr>
      <w:r w:rsidRPr="00455697">
        <w:rPr>
          <w:i/>
          <w:sz w:val="20"/>
          <w:szCs w:val="20"/>
        </w:rPr>
        <w:t>Organisation de la Jeunesse Chabad Loubavitch c. Ville de Mont-Tremblant</w:t>
      </w:r>
      <w:r w:rsidRPr="00455697">
        <w:rPr>
          <w:sz w:val="20"/>
          <w:szCs w:val="20"/>
        </w:rPr>
        <w:t xml:space="preserve"> (Qc) (Criminelle) (Autorisation) </w:t>
      </w:r>
      <w:r w:rsidRPr="00455697">
        <w:rPr>
          <w:sz w:val="20"/>
        </w:rPr>
        <w:t>(</w:t>
      </w:r>
      <w:hyperlink r:id="rId12" w:history="1">
        <w:r w:rsidRPr="00455697">
          <w:rPr>
            <w:rStyle w:val="Hyperlink"/>
            <w:sz w:val="20"/>
            <w:szCs w:val="20"/>
          </w:rPr>
          <w:t>404</w:t>
        </w:r>
        <w:r w:rsidR="00A61C92" w:rsidRPr="00455697">
          <w:rPr>
            <w:rStyle w:val="Hyperlink"/>
            <w:sz w:val="20"/>
            <w:szCs w:val="20"/>
          </w:rPr>
          <w:t>6</w:t>
        </w:r>
        <w:r w:rsidRPr="00455697">
          <w:rPr>
            <w:rStyle w:val="Hyperlink"/>
            <w:sz w:val="20"/>
            <w:szCs w:val="20"/>
          </w:rPr>
          <w:t>8</w:t>
        </w:r>
      </w:hyperlink>
      <w:r w:rsidRPr="00455697">
        <w:rPr>
          <w:sz w:val="20"/>
        </w:rPr>
        <w:t>)</w:t>
      </w:r>
    </w:p>
    <w:p w:rsidR="006A2516" w:rsidRPr="00455697" w:rsidRDefault="006A2516" w:rsidP="006A2516">
      <w:pPr>
        <w:ind w:left="357" w:hanging="357"/>
        <w:rPr>
          <w:sz w:val="20"/>
          <w:lang w:val="fr-CA"/>
        </w:rPr>
      </w:pPr>
    </w:p>
    <w:p w:rsidR="006A2516" w:rsidRPr="00455697" w:rsidRDefault="006A2516" w:rsidP="006A2516">
      <w:pPr>
        <w:pStyle w:val="SCCLsocParty"/>
        <w:numPr>
          <w:ilvl w:val="0"/>
          <w:numId w:val="42"/>
        </w:numPr>
        <w:ind w:left="357" w:hanging="357"/>
        <w:jc w:val="left"/>
        <w:rPr>
          <w:i/>
          <w:sz w:val="20"/>
          <w:szCs w:val="20"/>
        </w:rPr>
      </w:pPr>
      <w:r w:rsidRPr="00455697">
        <w:rPr>
          <w:i/>
          <w:sz w:val="20"/>
          <w:szCs w:val="20"/>
          <w:lang w:val="en-US"/>
        </w:rPr>
        <w:t>Christian Joffre Ouellette v. His Majesty the King</w:t>
      </w:r>
      <w:r w:rsidRPr="00455697">
        <w:rPr>
          <w:sz w:val="20"/>
          <w:szCs w:val="20"/>
          <w:lang w:val="en-US"/>
        </w:rPr>
        <w:t xml:space="preserve"> (Alta.) </w:t>
      </w:r>
      <w:r w:rsidRPr="00455697">
        <w:rPr>
          <w:sz w:val="20"/>
          <w:szCs w:val="20"/>
        </w:rPr>
        <w:t xml:space="preserve">(Criminal) (By Leave) </w:t>
      </w:r>
      <w:r w:rsidRPr="00455697">
        <w:rPr>
          <w:sz w:val="20"/>
        </w:rPr>
        <w:t>(</w:t>
      </w:r>
      <w:hyperlink r:id="rId13" w:history="1">
        <w:r w:rsidRPr="00455697">
          <w:rPr>
            <w:rStyle w:val="Hyperlink"/>
            <w:sz w:val="20"/>
            <w:szCs w:val="20"/>
          </w:rPr>
          <w:t>40</w:t>
        </w:r>
        <w:r w:rsidR="00A61C92" w:rsidRPr="00455697">
          <w:rPr>
            <w:rStyle w:val="Hyperlink"/>
            <w:sz w:val="20"/>
            <w:szCs w:val="20"/>
          </w:rPr>
          <w:t>595</w:t>
        </w:r>
      </w:hyperlink>
      <w:r w:rsidRPr="00455697">
        <w:rPr>
          <w:sz w:val="20"/>
        </w:rPr>
        <w:t>)</w:t>
      </w:r>
    </w:p>
    <w:p w:rsidR="006A2516" w:rsidRPr="00455697" w:rsidRDefault="006A2516" w:rsidP="006A2516">
      <w:pPr>
        <w:ind w:left="357" w:hanging="357"/>
        <w:rPr>
          <w:sz w:val="20"/>
          <w:lang w:val="fr-CA"/>
        </w:rPr>
      </w:pPr>
    </w:p>
    <w:p w:rsidR="006A2516" w:rsidRPr="00455697" w:rsidRDefault="006A2516" w:rsidP="006A2516">
      <w:pPr>
        <w:pStyle w:val="SCCLsocParty"/>
        <w:numPr>
          <w:ilvl w:val="0"/>
          <w:numId w:val="42"/>
        </w:numPr>
        <w:ind w:left="357" w:hanging="357"/>
        <w:jc w:val="left"/>
        <w:rPr>
          <w:i/>
          <w:sz w:val="20"/>
          <w:szCs w:val="20"/>
        </w:rPr>
      </w:pPr>
      <w:r w:rsidRPr="00455697">
        <w:rPr>
          <w:i/>
          <w:sz w:val="20"/>
          <w:szCs w:val="20"/>
        </w:rPr>
        <w:t>9255-2504 Québec inc., et al. c. Sa Majesté le Roi</w:t>
      </w:r>
      <w:r w:rsidRPr="00455697">
        <w:rPr>
          <w:sz w:val="20"/>
          <w:szCs w:val="20"/>
        </w:rPr>
        <w:t xml:space="preserve"> (C.F.) (Civile) (Autorisation) </w:t>
      </w:r>
      <w:r w:rsidRPr="00455697">
        <w:rPr>
          <w:sz w:val="20"/>
        </w:rPr>
        <w:t>(</w:t>
      </w:r>
      <w:hyperlink r:id="rId14" w:history="1">
        <w:r w:rsidRPr="00455697">
          <w:rPr>
            <w:rStyle w:val="Hyperlink"/>
            <w:sz w:val="20"/>
            <w:szCs w:val="20"/>
          </w:rPr>
          <w:t>40</w:t>
        </w:r>
        <w:r w:rsidR="00666A48" w:rsidRPr="00455697">
          <w:rPr>
            <w:rStyle w:val="Hyperlink"/>
            <w:sz w:val="20"/>
            <w:szCs w:val="20"/>
          </w:rPr>
          <w:t>1</w:t>
        </w:r>
        <w:r w:rsidRPr="00455697">
          <w:rPr>
            <w:rStyle w:val="Hyperlink"/>
            <w:sz w:val="20"/>
            <w:szCs w:val="20"/>
          </w:rPr>
          <w:t>8</w:t>
        </w:r>
        <w:r w:rsidR="00666A48" w:rsidRPr="00455697">
          <w:rPr>
            <w:rStyle w:val="Hyperlink"/>
            <w:sz w:val="20"/>
            <w:szCs w:val="20"/>
          </w:rPr>
          <w:t>7</w:t>
        </w:r>
      </w:hyperlink>
      <w:r w:rsidRPr="00455697">
        <w:rPr>
          <w:sz w:val="20"/>
        </w:rPr>
        <w:t>)</w:t>
      </w:r>
    </w:p>
    <w:p w:rsidR="006A2516" w:rsidRPr="00455697" w:rsidRDefault="006A2516" w:rsidP="006A2516">
      <w:pPr>
        <w:ind w:left="357" w:hanging="357"/>
        <w:rPr>
          <w:sz w:val="20"/>
          <w:lang w:val="fr-CA"/>
        </w:rPr>
      </w:pPr>
    </w:p>
    <w:p w:rsidR="006A2516" w:rsidRPr="00455697" w:rsidRDefault="006A2516" w:rsidP="006A2516">
      <w:pPr>
        <w:pStyle w:val="SCCLsocParty"/>
        <w:numPr>
          <w:ilvl w:val="0"/>
          <w:numId w:val="42"/>
        </w:numPr>
        <w:ind w:left="357" w:hanging="357"/>
        <w:jc w:val="left"/>
        <w:rPr>
          <w:i/>
          <w:sz w:val="20"/>
          <w:szCs w:val="20"/>
        </w:rPr>
      </w:pPr>
      <w:r w:rsidRPr="00455697">
        <w:rPr>
          <w:i/>
          <w:sz w:val="20"/>
          <w:szCs w:val="20"/>
        </w:rPr>
        <w:t xml:space="preserve">Albert Bellemare c. Barreau du Québec </w:t>
      </w:r>
      <w:r w:rsidRPr="00455697">
        <w:rPr>
          <w:sz w:val="20"/>
          <w:szCs w:val="20"/>
        </w:rPr>
        <w:t xml:space="preserve">(Qc) (Civile) (Autorisation) </w:t>
      </w:r>
      <w:r w:rsidRPr="00455697">
        <w:rPr>
          <w:sz w:val="20"/>
        </w:rPr>
        <w:t>(</w:t>
      </w:r>
      <w:hyperlink r:id="rId15" w:history="1">
        <w:r w:rsidRPr="00455697">
          <w:rPr>
            <w:rStyle w:val="Hyperlink"/>
            <w:sz w:val="20"/>
            <w:szCs w:val="20"/>
          </w:rPr>
          <w:t>404</w:t>
        </w:r>
        <w:r w:rsidR="00666A48" w:rsidRPr="00455697">
          <w:rPr>
            <w:rStyle w:val="Hyperlink"/>
            <w:sz w:val="20"/>
            <w:szCs w:val="20"/>
          </w:rPr>
          <w:t>61</w:t>
        </w:r>
      </w:hyperlink>
      <w:r w:rsidRPr="00455697">
        <w:rPr>
          <w:sz w:val="20"/>
        </w:rPr>
        <w:t>)</w:t>
      </w:r>
    </w:p>
    <w:p w:rsidR="0074008A" w:rsidRPr="00455697" w:rsidRDefault="0074008A" w:rsidP="00142166">
      <w:pPr>
        <w:jc w:val="both"/>
        <w:rPr>
          <w:sz w:val="20"/>
          <w:lang w:val="fr-CA"/>
        </w:rPr>
      </w:pPr>
    </w:p>
    <w:p w:rsidR="0057402C" w:rsidRPr="00455697" w:rsidRDefault="00455697" w:rsidP="00142166">
      <w:pPr>
        <w:widowControl w:val="0"/>
        <w:jc w:val="both"/>
        <w:rPr>
          <w:sz w:val="20"/>
        </w:rPr>
      </w:pPr>
      <w:r w:rsidRPr="00455697">
        <w:rPr>
          <w:sz w:val="20"/>
        </w:rPr>
        <w:pict>
          <v:rect id="_x0000_i1026" style="width:2in;height:1pt" o:hrpct="0" o:hralign="center" o:hrstd="t" o:hrnoshade="t" o:hr="t" fillcolor="black [3213]" stroked="f"/>
        </w:pict>
      </w:r>
    </w:p>
    <w:p w:rsidR="0014490F" w:rsidRPr="00455697" w:rsidRDefault="0014490F" w:rsidP="00A47D6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6D8A" w:rsidRPr="00455697" w:rsidTr="00E95A6A">
        <w:tc>
          <w:tcPr>
            <w:tcW w:w="543" w:type="pct"/>
          </w:tcPr>
          <w:p w:rsidR="00A96D8A" w:rsidRPr="00455697" w:rsidRDefault="00A96D8A" w:rsidP="00A96D8A">
            <w:pPr>
              <w:jc w:val="both"/>
              <w:rPr>
                <w:sz w:val="20"/>
              </w:rPr>
            </w:pPr>
            <w:r w:rsidRPr="00455697">
              <w:rPr>
                <w:rStyle w:val="SCCFileNumberChar"/>
                <w:sz w:val="20"/>
                <w:szCs w:val="20"/>
              </w:rPr>
              <w:t>40204</w:t>
            </w:r>
          </w:p>
        </w:tc>
        <w:tc>
          <w:tcPr>
            <w:tcW w:w="4457" w:type="pct"/>
            <w:gridSpan w:val="3"/>
          </w:tcPr>
          <w:p w:rsidR="00A96D8A" w:rsidRPr="00455697" w:rsidRDefault="00A96D8A" w:rsidP="00A96D8A">
            <w:pPr>
              <w:pStyle w:val="SCCLsocParty"/>
              <w:jc w:val="both"/>
              <w:rPr>
                <w:b/>
                <w:sz w:val="20"/>
                <w:szCs w:val="20"/>
                <w:lang w:val="en-US"/>
              </w:rPr>
            </w:pPr>
            <w:r w:rsidRPr="00455697">
              <w:rPr>
                <w:b/>
                <w:sz w:val="20"/>
                <w:szCs w:val="20"/>
                <w:lang w:val="en-US"/>
              </w:rPr>
              <w:t>Robert Maginnis, Michael Magnaye v. FCA Canada Inc., FCA US LLC, Scarsview Motors Ltd.</w:t>
            </w:r>
          </w:p>
          <w:p w:rsidR="00A96D8A" w:rsidRPr="00455697" w:rsidRDefault="00A96D8A" w:rsidP="00A96D8A">
            <w:pPr>
              <w:jc w:val="both"/>
              <w:rPr>
                <w:sz w:val="20"/>
              </w:rPr>
            </w:pPr>
            <w:r w:rsidRPr="00455697">
              <w:rPr>
                <w:sz w:val="20"/>
              </w:rPr>
              <w:t>(Ont.) (Civil) (By Leave)</w:t>
            </w:r>
          </w:p>
        </w:tc>
      </w:tr>
      <w:tr w:rsidR="00A96D8A" w:rsidRPr="00455697" w:rsidTr="00E95A6A">
        <w:tc>
          <w:tcPr>
            <w:tcW w:w="5000" w:type="pct"/>
            <w:gridSpan w:val="4"/>
          </w:tcPr>
          <w:p w:rsidR="00A96D8A" w:rsidRPr="00455697" w:rsidRDefault="00A96D8A" w:rsidP="00A96D8A">
            <w:pPr>
              <w:jc w:val="both"/>
              <w:rPr>
                <w:sz w:val="20"/>
              </w:rPr>
            </w:pPr>
            <w:r w:rsidRPr="00455697">
              <w:rPr>
                <w:sz w:val="20"/>
              </w:rPr>
              <w:t xml:space="preserve">Civil procedure — Class actions — Certification — Lower courts declining to order certification of class proceeding due to lack of evidence of compensable harm — Is a representative plaintiff required to provide proof of “compensable harm” or out-of-pocket losses to certify a claim as a class action, particularly in consumer actions? — Following </w:t>
            </w:r>
            <w:r w:rsidRPr="00455697">
              <w:rPr>
                <w:i/>
                <w:sz w:val="20"/>
              </w:rPr>
              <w:t>Atlantic Lottery Corp. Inc. v. Babstock</w:t>
            </w:r>
            <w:r w:rsidRPr="00455697">
              <w:rPr>
                <w:sz w:val="20"/>
              </w:rPr>
              <w:t xml:space="preserve">, 2020 SCC 19, is disgorgement of ill-gotten profits available as a remedy under the </w:t>
            </w:r>
            <w:r w:rsidRPr="00455697">
              <w:rPr>
                <w:i/>
                <w:sz w:val="20"/>
              </w:rPr>
              <w:t>Consumer Protection Act</w:t>
            </w:r>
            <w:r w:rsidRPr="00455697">
              <w:rPr>
                <w:sz w:val="20"/>
              </w:rPr>
              <w:t xml:space="preserve">, </w:t>
            </w:r>
            <w:r w:rsidRPr="00455697">
              <w:rPr>
                <w:i/>
                <w:sz w:val="20"/>
              </w:rPr>
              <w:t>2002</w:t>
            </w:r>
            <w:r w:rsidRPr="00455697">
              <w:rPr>
                <w:sz w:val="20"/>
              </w:rPr>
              <w:t>, S.O. 2002, c. 30?</w:t>
            </w:r>
          </w:p>
        </w:tc>
      </w:tr>
      <w:tr w:rsidR="00A96D8A" w:rsidRPr="00455697" w:rsidTr="00E95A6A">
        <w:tc>
          <w:tcPr>
            <w:tcW w:w="5000" w:type="pct"/>
            <w:gridSpan w:val="4"/>
          </w:tcPr>
          <w:p w:rsidR="00A96D8A" w:rsidRPr="00455697" w:rsidRDefault="00A96D8A" w:rsidP="00A96D8A">
            <w:pPr>
              <w:jc w:val="both"/>
              <w:rPr>
                <w:sz w:val="20"/>
              </w:rPr>
            </w:pPr>
          </w:p>
          <w:p w:rsidR="00A96D8A" w:rsidRPr="00455697" w:rsidRDefault="00A96D8A" w:rsidP="00A96D8A">
            <w:pPr>
              <w:jc w:val="both"/>
              <w:rPr>
                <w:sz w:val="20"/>
              </w:rPr>
            </w:pPr>
            <w:r w:rsidRPr="00455697">
              <w:rPr>
                <w:sz w:val="20"/>
              </w:rPr>
              <w:t xml:space="preserve">In 2014, Mr. Maginnis purchased a new Jeep Grand Cherokee with an “EcoDiesel” engine in London, Ontario. In 2015, Mr. Magnaye purchased a Jeep Grand Cherokee, also with an “EcoDiesel” engine from the respondent, Scarsview Motor Ltd., in Toronto. Both vehicles were built by Fiat Chrysler Automobile (“FCA”). These vehicles were alleged to have been equipped with emissions “defeat devices” by the FCA </w:t>
            </w:r>
            <w:proofErr w:type="gramStart"/>
            <w:r w:rsidRPr="00455697">
              <w:rPr>
                <w:sz w:val="20"/>
              </w:rPr>
              <w:t>respondents, that</w:t>
            </w:r>
            <w:proofErr w:type="gramEnd"/>
            <w:r w:rsidRPr="00455697">
              <w:rPr>
                <w:sz w:val="20"/>
              </w:rPr>
              <w:t xml:space="preserve"> permitted the engines to cheat government emissions tests. The devices enabled a vehicle to detect if it was undergoing an emissions test and to alter its performance so the engine did not emit excessive diesel pollutants during the test. Once the test was completed, the device deactivated the emission controls, resulting in significantly increased emissions during normal operating conditions. Following proceedings in the United States, FCA Canada implemented a recall and repair program in 2019 in Canada that eliminated the defeat device so that emissions controls were compliant with government regulations. In 2017, the applicants commenced their action against the respondents based on negligent misrepresentation, false and misleading representations contrary to the </w:t>
            </w:r>
            <w:r w:rsidRPr="00455697">
              <w:rPr>
                <w:i/>
                <w:sz w:val="20"/>
              </w:rPr>
              <w:t>Competition Act,</w:t>
            </w:r>
            <w:r w:rsidRPr="00455697">
              <w:rPr>
                <w:sz w:val="20"/>
              </w:rPr>
              <w:t xml:space="preserve"> R.S.C. 1985, c. C-34, unfair and unconscionable practices contrary to consumer protection legislation and civil conspiracy. The applicants brought a motion to have their action certified as a class proceeding.</w:t>
            </w:r>
          </w:p>
        </w:tc>
      </w:tr>
      <w:tr w:rsidR="00A96D8A" w:rsidRPr="00455697" w:rsidTr="00E95A6A">
        <w:tc>
          <w:tcPr>
            <w:tcW w:w="5000" w:type="pct"/>
            <w:gridSpan w:val="4"/>
          </w:tcPr>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September 18, 2020</w:t>
            </w:r>
          </w:p>
          <w:p w:rsidR="00A96D8A" w:rsidRPr="00455697" w:rsidRDefault="00A96D8A" w:rsidP="00A96D8A">
            <w:pPr>
              <w:jc w:val="both"/>
              <w:rPr>
                <w:sz w:val="20"/>
              </w:rPr>
            </w:pPr>
            <w:r w:rsidRPr="00455697">
              <w:rPr>
                <w:sz w:val="20"/>
              </w:rPr>
              <w:t>Ontario Superior Court of Justice</w:t>
            </w:r>
          </w:p>
          <w:p w:rsidR="00A96D8A" w:rsidRPr="00455697" w:rsidRDefault="00A96D8A" w:rsidP="00A96D8A">
            <w:pPr>
              <w:jc w:val="both"/>
              <w:rPr>
                <w:sz w:val="20"/>
              </w:rPr>
            </w:pPr>
            <w:r w:rsidRPr="00455697">
              <w:rPr>
                <w:sz w:val="20"/>
              </w:rPr>
              <w:t>(Belobaba J.)</w:t>
            </w:r>
          </w:p>
          <w:p w:rsidR="00A96D8A" w:rsidRPr="00455697" w:rsidRDefault="00455697" w:rsidP="00A96D8A">
            <w:pPr>
              <w:jc w:val="both"/>
              <w:rPr>
                <w:sz w:val="20"/>
              </w:rPr>
            </w:pPr>
            <w:hyperlink r:id="rId16" w:history="1">
              <w:r w:rsidR="00A96D8A" w:rsidRPr="00455697">
                <w:rPr>
                  <w:rStyle w:val="Hyperlink"/>
                  <w:sz w:val="20"/>
                </w:rPr>
                <w:t>2020 ONSC 5462</w:t>
              </w:r>
            </w:hyperlink>
            <w:r w:rsidR="00A96D8A" w:rsidRPr="00455697">
              <w:rPr>
                <w:sz w:val="20"/>
              </w:rPr>
              <w:t xml:space="preserve"> </w:t>
            </w:r>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Applicants’ motion for class proceeding certification dismissed</w:t>
            </w:r>
          </w:p>
          <w:p w:rsidR="00A96D8A" w:rsidRPr="00455697" w:rsidRDefault="00A96D8A" w:rsidP="00A96D8A">
            <w:pPr>
              <w:jc w:val="both"/>
              <w:rPr>
                <w:sz w:val="20"/>
              </w:rPr>
            </w:pP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May 31, 2021</w:t>
            </w:r>
          </w:p>
          <w:p w:rsidR="00A96D8A" w:rsidRPr="00455697" w:rsidRDefault="00A96D8A" w:rsidP="00A96D8A">
            <w:pPr>
              <w:jc w:val="both"/>
              <w:rPr>
                <w:sz w:val="20"/>
              </w:rPr>
            </w:pPr>
            <w:r w:rsidRPr="00455697">
              <w:rPr>
                <w:sz w:val="20"/>
              </w:rPr>
              <w:t>Divisional Court of Ontario</w:t>
            </w:r>
          </w:p>
          <w:p w:rsidR="00A96D8A" w:rsidRPr="00455697" w:rsidRDefault="00A96D8A" w:rsidP="00A96D8A">
            <w:pPr>
              <w:jc w:val="both"/>
              <w:rPr>
                <w:sz w:val="20"/>
              </w:rPr>
            </w:pPr>
            <w:r w:rsidRPr="00455697">
              <w:rPr>
                <w:sz w:val="20"/>
              </w:rPr>
              <w:t>(Swinton, Sachs and Lococo JJ.)</w:t>
            </w:r>
          </w:p>
          <w:p w:rsidR="00A96D8A" w:rsidRPr="00455697" w:rsidRDefault="00455697" w:rsidP="00A96D8A">
            <w:pPr>
              <w:jc w:val="both"/>
              <w:rPr>
                <w:sz w:val="20"/>
              </w:rPr>
            </w:pPr>
            <w:hyperlink r:id="rId17" w:history="1">
              <w:r w:rsidR="00A96D8A" w:rsidRPr="00455697">
                <w:rPr>
                  <w:rStyle w:val="Hyperlink"/>
                  <w:sz w:val="20"/>
                </w:rPr>
                <w:t>2021 ONSC 3897</w:t>
              </w:r>
            </w:hyperlink>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Applicants’ appeal dismissed</w:t>
            </w:r>
          </w:p>
          <w:p w:rsidR="00A96D8A" w:rsidRPr="00455697" w:rsidRDefault="00A96D8A" w:rsidP="00A96D8A">
            <w:pPr>
              <w:jc w:val="both"/>
              <w:rPr>
                <w:sz w:val="20"/>
              </w:rPr>
            </w:pP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April 8, 2022</w:t>
            </w:r>
          </w:p>
          <w:p w:rsidR="00A96D8A" w:rsidRPr="00455697" w:rsidRDefault="00A96D8A" w:rsidP="00A96D8A">
            <w:pPr>
              <w:jc w:val="both"/>
              <w:rPr>
                <w:sz w:val="20"/>
              </w:rPr>
            </w:pPr>
            <w:r w:rsidRPr="00455697">
              <w:rPr>
                <w:sz w:val="20"/>
              </w:rPr>
              <w:t>Court of Appeal for Ontario</w:t>
            </w:r>
          </w:p>
          <w:p w:rsidR="00A96D8A" w:rsidRPr="00455697" w:rsidRDefault="00A96D8A" w:rsidP="00A96D8A">
            <w:pPr>
              <w:jc w:val="both"/>
              <w:rPr>
                <w:sz w:val="20"/>
              </w:rPr>
            </w:pPr>
            <w:r w:rsidRPr="00455697">
              <w:rPr>
                <w:sz w:val="20"/>
              </w:rPr>
              <w:t>(Lauwers, Paciocco and Thorburn JJ.A.)</w:t>
            </w:r>
          </w:p>
          <w:p w:rsidR="00A96D8A" w:rsidRPr="00455697" w:rsidRDefault="00A96D8A" w:rsidP="00A96D8A">
            <w:pPr>
              <w:jc w:val="both"/>
              <w:rPr>
                <w:sz w:val="20"/>
              </w:rPr>
            </w:pPr>
            <w:r w:rsidRPr="00455697">
              <w:rPr>
                <w:sz w:val="20"/>
              </w:rPr>
              <w:t>Unreported</w:t>
            </w:r>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Applicants’ application for leave to appeal dismissed</w:t>
            </w:r>
          </w:p>
          <w:p w:rsidR="00A96D8A" w:rsidRPr="00455697" w:rsidRDefault="00A96D8A" w:rsidP="00A96D8A">
            <w:pPr>
              <w:jc w:val="both"/>
              <w:rPr>
                <w:sz w:val="20"/>
              </w:rPr>
            </w:pP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June 6, 2022</w:t>
            </w:r>
          </w:p>
          <w:p w:rsidR="00A96D8A" w:rsidRPr="00455697" w:rsidRDefault="00A96D8A" w:rsidP="00A96D8A">
            <w:pPr>
              <w:jc w:val="both"/>
              <w:rPr>
                <w:sz w:val="20"/>
              </w:rPr>
            </w:pPr>
            <w:r w:rsidRPr="00455697">
              <w:rPr>
                <w:sz w:val="20"/>
              </w:rPr>
              <w:t>Supreme Court of Canada</w:t>
            </w: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Application for leave to appeal filed</w:t>
            </w:r>
          </w:p>
          <w:p w:rsidR="00A96D8A" w:rsidRPr="00455697" w:rsidRDefault="00A96D8A" w:rsidP="00A96D8A">
            <w:pPr>
              <w:jc w:val="both"/>
              <w:rPr>
                <w:sz w:val="20"/>
              </w:rPr>
            </w:pPr>
          </w:p>
        </w:tc>
      </w:tr>
    </w:tbl>
    <w:p w:rsidR="00A96D8A" w:rsidRPr="00455697" w:rsidRDefault="00A96D8A" w:rsidP="00A96D8A">
      <w:pPr>
        <w:jc w:val="both"/>
        <w:rPr>
          <w:sz w:val="20"/>
        </w:rPr>
      </w:pPr>
    </w:p>
    <w:p w:rsidR="00A96D8A" w:rsidRPr="00455697" w:rsidRDefault="00455697" w:rsidP="00A96D8A">
      <w:pPr>
        <w:jc w:val="both"/>
        <w:rPr>
          <w:sz w:val="20"/>
        </w:rPr>
      </w:pPr>
      <w:r w:rsidRPr="00455697">
        <w:rPr>
          <w:sz w:val="20"/>
        </w:rPr>
        <w:pict>
          <v:rect id="_x0000_i1027" style="width:2in;height:1pt" o:hrpct="0" o:hralign="center" o:hrstd="t" o:hrnoshade="t" o:hr="t" fillcolor="black [3213]" stroked="f"/>
        </w:pict>
      </w:r>
    </w:p>
    <w:p w:rsidR="00A96D8A" w:rsidRPr="00455697" w:rsidRDefault="00A96D8A" w:rsidP="00A96D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6D8A" w:rsidRPr="00455697" w:rsidTr="00E95A6A">
        <w:tc>
          <w:tcPr>
            <w:tcW w:w="543" w:type="pct"/>
          </w:tcPr>
          <w:p w:rsidR="00A96D8A" w:rsidRPr="00455697" w:rsidRDefault="00A96D8A" w:rsidP="00A96D8A">
            <w:pPr>
              <w:jc w:val="both"/>
              <w:rPr>
                <w:sz w:val="20"/>
                <w:lang w:val="fr-CA"/>
              </w:rPr>
            </w:pPr>
            <w:r w:rsidRPr="00455697">
              <w:rPr>
                <w:rStyle w:val="SCCFileNumberChar"/>
                <w:sz w:val="20"/>
                <w:szCs w:val="20"/>
                <w:lang w:val="fr-CA"/>
              </w:rPr>
              <w:t>40204</w:t>
            </w:r>
          </w:p>
        </w:tc>
        <w:tc>
          <w:tcPr>
            <w:tcW w:w="4457" w:type="pct"/>
            <w:gridSpan w:val="3"/>
          </w:tcPr>
          <w:p w:rsidR="00A96D8A" w:rsidRPr="00455697" w:rsidRDefault="00A96D8A" w:rsidP="00A96D8A">
            <w:pPr>
              <w:pStyle w:val="SCCLsocParty"/>
              <w:jc w:val="both"/>
              <w:rPr>
                <w:b/>
                <w:sz w:val="20"/>
                <w:szCs w:val="20"/>
                <w:lang w:val="en-US"/>
              </w:rPr>
            </w:pPr>
            <w:r w:rsidRPr="00455697">
              <w:rPr>
                <w:b/>
                <w:sz w:val="20"/>
                <w:szCs w:val="20"/>
                <w:lang w:val="en-US"/>
              </w:rPr>
              <w:t>Robert Maginnis, Michael Magnaye c. FCA Canada Inc., FCA US LLC, Scarsview Motors Ltd.</w:t>
            </w:r>
          </w:p>
          <w:p w:rsidR="00A96D8A" w:rsidRPr="00455697" w:rsidRDefault="00A96D8A" w:rsidP="00A96D8A">
            <w:pPr>
              <w:jc w:val="both"/>
              <w:rPr>
                <w:sz w:val="20"/>
                <w:lang w:val="fr-CA"/>
              </w:rPr>
            </w:pPr>
            <w:r w:rsidRPr="00455697">
              <w:rPr>
                <w:sz w:val="20"/>
                <w:lang w:val="fr-CA"/>
              </w:rPr>
              <w:t>(Ont.) (Civile) (Sur autorisation)</w:t>
            </w:r>
          </w:p>
        </w:tc>
      </w:tr>
      <w:tr w:rsidR="00A96D8A" w:rsidRPr="00455697" w:rsidTr="00E95A6A">
        <w:tc>
          <w:tcPr>
            <w:tcW w:w="5000" w:type="pct"/>
            <w:gridSpan w:val="4"/>
          </w:tcPr>
          <w:p w:rsidR="00A96D8A" w:rsidRPr="00455697" w:rsidRDefault="00A96D8A" w:rsidP="00A96D8A">
            <w:pPr>
              <w:jc w:val="both"/>
              <w:rPr>
                <w:sz w:val="20"/>
                <w:lang w:val="fr-CA"/>
              </w:rPr>
            </w:pPr>
            <w:r w:rsidRPr="00455697">
              <w:rPr>
                <w:sz w:val="20"/>
                <w:lang w:val="fr-CA"/>
              </w:rPr>
              <w:t xml:space="preserve">Procédure civile — Recours collectifs — Autorisation — Les juridictions inférieures ont refusé de rendre une ordonnance autorisant un recours collectif en raison d’absence de preuve de préjudice indemnisable — Le représentant des demandeurs est-il tenu de fournir une preuve de « préjudice indemnisable » ou de pertes effectivement subies pour qu’une demande soit autorisée à titre de recours collectif, surtout s’il s’agit d’actions intentées par des consommateurs ? — Suivant l’arrêt </w:t>
            </w:r>
            <w:r w:rsidRPr="00455697">
              <w:rPr>
                <w:i/>
                <w:sz w:val="20"/>
                <w:lang w:val="fr-CA"/>
              </w:rPr>
              <w:t>Société des loteries de l’Atlantique c. Babstock</w:t>
            </w:r>
            <w:r w:rsidRPr="00455697">
              <w:rPr>
                <w:sz w:val="20"/>
                <w:lang w:val="fr-CA"/>
              </w:rPr>
              <w:t xml:space="preserve">, 2020 CSC 19, la restitution de gains illicites peut-elle être accordée à titre de réparation en vertu de la </w:t>
            </w:r>
            <w:r w:rsidRPr="00455697">
              <w:rPr>
                <w:i/>
                <w:sz w:val="20"/>
                <w:lang w:val="fr-CA"/>
              </w:rPr>
              <w:t>Loi de 2002 sur la protection du consommateur</w:t>
            </w:r>
            <w:r w:rsidRPr="00455697">
              <w:rPr>
                <w:sz w:val="20"/>
                <w:lang w:val="fr-CA"/>
              </w:rPr>
              <w:t>, L.O. 2002, c. 30 ?</w:t>
            </w:r>
          </w:p>
        </w:tc>
      </w:tr>
      <w:tr w:rsidR="00A96D8A" w:rsidRPr="00455697" w:rsidTr="00E95A6A">
        <w:tc>
          <w:tcPr>
            <w:tcW w:w="5000" w:type="pct"/>
            <w:gridSpan w:val="4"/>
          </w:tcPr>
          <w:p w:rsidR="00A96D8A" w:rsidRPr="00455697" w:rsidRDefault="00A96D8A" w:rsidP="00A96D8A">
            <w:pPr>
              <w:jc w:val="both"/>
              <w:rPr>
                <w:sz w:val="20"/>
                <w:lang w:val="fr-CA"/>
              </w:rPr>
            </w:pPr>
          </w:p>
          <w:p w:rsidR="00A96D8A" w:rsidRPr="00455697" w:rsidRDefault="00A96D8A" w:rsidP="00A96D8A">
            <w:pPr>
              <w:jc w:val="both"/>
              <w:rPr>
                <w:sz w:val="20"/>
                <w:lang w:val="fr-CA"/>
              </w:rPr>
            </w:pPr>
            <w:r w:rsidRPr="00455697">
              <w:rPr>
                <w:sz w:val="20"/>
                <w:lang w:val="fr-CA"/>
              </w:rPr>
              <w:t xml:space="preserve">En 2014, M. Maginnis a acheté un nouveau véhicule de marque Jeep Grand Cherokee à moteur « EcoDiesel » à London, en Ontario. En 2015, M. Magnaye a également acheté un Jeep Grand Cherokee à moteur « EcoDiesel » de l’intimée, Scarsview Motor Ltd., à Toronto. Les deux véhicules ont été fabriqués par Fiat Chrysler Automobile (« FCA »). Ces véhicules auraient été dotés de « dispositifs de trucage » par les intimées FCA, qui permettaient aux moteurs de tromper les essais de contrôle des émissions gouvernementaux. Grâce à ce dispositif, le véhicule était en mesure de détecter s’il était soumis à un tel essai et de modifier son rendement afin d’empêcher le moteur diesel d’émettre des quantités excessives de polluants pendant l’essai. Une fois l’essai terminé, le dispositif désactivait la fonction de contrôle des émissions, faisant en sorte d’augmenter de façon importante les émissions lors du fonctionnement normal du véhicule. À la suite d’instances engagées aux États-Unis, FCA Canada a mis en œuvre un programme de rappel et de réparation au Canada en 2019 afin de retirer le dispositif de trucage pour que le contrôle des émissions soit conforme aux règlements gouvernementaux. En 2017, les demandeurs ont intenté contre les </w:t>
            </w:r>
            <w:r w:rsidRPr="00455697">
              <w:rPr>
                <w:sz w:val="20"/>
                <w:lang w:val="fr-CA"/>
              </w:rPr>
              <w:lastRenderedPageBreak/>
              <w:t xml:space="preserve">sociétés intimées une action pour déclarations inexactes faites par négligence,  indications fausses ou trompeuses données en contravention de la </w:t>
            </w:r>
            <w:r w:rsidRPr="00455697">
              <w:rPr>
                <w:i/>
                <w:sz w:val="20"/>
                <w:lang w:val="fr-CA"/>
              </w:rPr>
              <w:t>Loi sur la concurrence,</w:t>
            </w:r>
            <w:r w:rsidRPr="00455697">
              <w:rPr>
                <w:sz w:val="20"/>
                <w:lang w:val="fr-CA"/>
              </w:rPr>
              <w:t xml:space="preserve"> L.R.C. 1985, ch. C-34, pratiques déloyales et abusives en contravention de la législation</w:t>
            </w:r>
            <w:r w:rsidRPr="00455697">
              <w:rPr>
                <w:i/>
                <w:sz w:val="20"/>
                <w:lang w:val="fr-CA"/>
              </w:rPr>
              <w:t xml:space="preserve"> </w:t>
            </w:r>
            <w:r w:rsidRPr="00455697">
              <w:rPr>
                <w:sz w:val="20"/>
                <w:lang w:val="fr-CA"/>
              </w:rPr>
              <w:t>sur la protection du consommateur, et complot civil. Les demandeurs ont présenté une motion en vue de faire autoriser leur action en tant que recours collectif.</w:t>
            </w:r>
          </w:p>
        </w:tc>
      </w:tr>
      <w:tr w:rsidR="00A96D8A" w:rsidRPr="00455697" w:rsidTr="00E95A6A">
        <w:tc>
          <w:tcPr>
            <w:tcW w:w="5000" w:type="pct"/>
            <w:gridSpan w:val="4"/>
          </w:tcPr>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18 septembre 2020</w:t>
            </w:r>
          </w:p>
          <w:p w:rsidR="00A96D8A" w:rsidRPr="00455697" w:rsidRDefault="00A96D8A" w:rsidP="00A96D8A">
            <w:pPr>
              <w:jc w:val="both"/>
              <w:rPr>
                <w:sz w:val="20"/>
                <w:lang w:val="fr-CA"/>
              </w:rPr>
            </w:pPr>
            <w:r w:rsidRPr="00455697">
              <w:rPr>
                <w:sz w:val="20"/>
                <w:lang w:val="fr-CA"/>
              </w:rPr>
              <w:t>Cour supérieure de justice de l’Ontario</w:t>
            </w:r>
          </w:p>
          <w:p w:rsidR="00A96D8A" w:rsidRPr="00455697" w:rsidRDefault="00A96D8A" w:rsidP="00A96D8A">
            <w:pPr>
              <w:jc w:val="both"/>
              <w:rPr>
                <w:sz w:val="20"/>
                <w:lang w:val="fr-CA"/>
              </w:rPr>
            </w:pPr>
            <w:r w:rsidRPr="00455697">
              <w:rPr>
                <w:sz w:val="20"/>
                <w:lang w:val="fr-CA"/>
              </w:rPr>
              <w:t>(juge Belobaba)</w:t>
            </w:r>
          </w:p>
          <w:p w:rsidR="00A96D8A" w:rsidRPr="00455697" w:rsidRDefault="00455697" w:rsidP="00A96D8A">
            <w:pPr>
              <w:jc w:val="both"/>
              <w:rPr>
                <w:sz w:val="20"/>
                <w:lang w:val="fr-CA"/>
              </w:rPr>
            </w:pPr>
            <w:hyperlink r:id="rId18" w:history="1">
              <w:r w:rsidR="00A96D8A" w:rsidRPr="00455697">
                <w:rPr>
                  <w:rStyle w:val="Hyperlink"/>
                  <w:sz w:val="20"/>
                  <w:lang w:val="fr-CA"/>
                </w:rPr>
                <w:t>2020 ONSC 5462</w:t>
              </w:r>
            </w:hyperlink>
            <w:r w:rsidR="00A96D8A" w:rsidRPr="00455697">
              <w:rPr>
                <w:sz w:val="20"/>
                <w:lang w:val="fr-CA"/>
              </w:rPr>
              <w:t xml:space="preserve"> </w:t>
            </w:r>
          </w:p>
          <w:p w:rsidR="00A96D8A" w:rsidRPr="00455697" w:rsidRDefault="00A96D8A" w:rsidP="00A96D8A">
            <w:pPr>
              <w:jc w:val="both"/>
              <w:rPr>
                <w:sz w:val="20"/>
                <w:lang w:val="fr-CA"/>
              </w:rPr>
            </w:pP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jc w:val="both"/>
              <w:rPr>
                <w:sz w:val="20"/>
                <w:lang w:val="fr-CA"/>
              </w:rPr>
            </w:pPr>
            <w:r w:rsidRPr="00455697">
              <w:rPr>
                <w:sz w:val="20"/>
                <w:lang w:val="fr-CA"/>
              </w:rPr>
              <w:t>La motion en autorisation du recours collectif présentée par les demandeurs est rejetée.</w:t>
            </w:r>
          </w:p>
          <w:p w:rsidR="00A96D8A" w:rsidRPr="00455697" w:rsidRDefault="00A96D8A" w:rsidP="00A96D8A">
            <w:pPr>
              <w:jc w:val="both"/>
              <w:rPr>
                <w:sz w:val="20"/>
                <w:lang w:val="fr-CA"/>
              </w:rPr>
            </w:pPr>
          </w:p>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31 mai 2021</w:t>
            </w:r>
          </w:p>
          <w:p w:rsidR="00A96D8A" w:rsidRPr="00455697" w:rsidRDefault="00A96D8A" w:rsidP="00A96D8A">
            <w:pPr>
              <w:jc w:val="both"/>
              <w:rPr>
                <w:sz w:val="20"/>
                <w:lang w:val="fr-CA"/>
              </w:rPr>
            </w:pPr>
            <w:r w:rsidRPr="00455697">
              <w:rPr>
                <w:sz w:val="20"/>
                <w:lang w:val="fr-CA"/>
              </w:rPr>
              <w:t>Cour divisionnaire de l’Ontario</w:t>
            </w:r>
          </w:p>
          <w:p w:rsidR="00A96D8A" w:rsidRPr="00455697" w:rsidRDefault="00A96D8A" w:rsidP="00A96D8A">
            <w:pPr>
              <w:jc w:val="both"/>
              <w:rPr>
                <w:sz w:val="20"/>
                <w:lang w:val="fr-CA"/>
              </w:rPr>
            </w:pPr>
            <w:r w:rsidRPr="00455697">
              <w:rPr>
                <w:sz w:val="20"/>
                <w:lang w:val="fr-CA"/>
              </w:rPr>
              <w:t>(juges Swinton, Sachs et Lococo)</w:t>
            </w:r>
          </w:p>
          <w:p w:rsidR="00A96D8A" w:rsidRPr="00455697" w:rsidRDefault="00455697" w:rsidP="00A96D8A">
            <w:pPr>
              <w:jc w:val="both"/>
              <w:rPr>
                <w:sz w:val="20"/>
                <w:lang w:val="fr-CA"/>
              </w:rPr>
            </w:pPr>
            <w:hyperlink r:id="rId19" w:history="1">
              <w:r w:rsidR="00A96D8A" w:rsidRPr="00455697">
                <w:rPr>
                  <w:rStyle w:val="Hyperlink"/>
                  <w:sz w:val="20"/>
                  <w:lang w:val="fr-CA"/>
                </w:rPr>
                <w:t>2021 ONSC 3897</w:t>
              </w:r>
            </w:hyperlink>
          </w:p>
          <w:p w:rsidR="00A96D8A" w:rsidRPr="00455697" w:rsidRDefault="00A96D8A" w:rsidP="00A96D8A">
            <w:pPr>
              <w:jc w:val="both"/>
              <w:rPr>
                <w:sz w:val="20"/>
                <w:lang w:val="fr-CA"/>
              </w:rPr>
            </w:pP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jc w:val="both"/>
              <w:rPr>
                <w:sz w:val="20"/>
                <w:lang w:val="fr-CA"/>
              </w:rPr>
            </w:pPr>
            <w:r w:rsidRPr="00455697">
              <w:rPr>
                <w:sz w:val="20"/>
                <w:lang w:val="fr-CA"/>
              </w:rPr>
              <w:t>L’appel des demandeurs est rejeté.</w:t>
            </w:r>
          </w:p>
          <w:p w:rsidR="00A96D8A" w:rsidRPr="00455697" w:rsidRDefault="00A96D8A" w:rsidP="00A96D8A">
            <w:pPr>
              <w:jc w:val="both"/>
              <w:rPr>
                <w:sz w:val="20"/>
                <w:lang w:val="fr-CA"/>
              </w:rPr>
            </w:pPr>
          </w:p>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8 avril 2022</w:t>
            </w:r>
          </w:p>
          <w:p w:rsidR="00A96D8A" w:rsidRPr="00455697" w:rsidRDefault="00A96D8A" w:rsidP="00A96D8A">
            <w:pPr>
              <w:jc w:val="both"/>
              <w:rPr>
                <w:sz w:val="20"/>
                <w:lang w:val="fr-CA"/>
              </w:rPr>
            </w:pPr>
            <w:r w:rsidRPr="00455697">
              <w:rPr>
                <w:sz w:val="20"/>
                <w:lang w:val="fr-CA"/>
              </w:rPr>
              <w:t>Cour d’appel de l’Ontario</w:t>
            </w:r>
          </w:p>
          <w:p w:rsidR="00A96D8A" w:rsidRPr="00455697" w:rsidRDefault="00A96D8A" w:rsidP="00A96D8A">
            <w:pPr>
              <w:jc w:val="both"/>
              <w:rPr>
                <w:sz w:val="20"/>
                <w:lang w:val="fr-CA"/>
              </w:rPr>
            </w:pPr>
            <w:r w:rsidRPr="00455697">
              <w:rPr>
                <w:sz w:val="20"/>
                <w:lang w:val="fr-CA"/>
              </w:rPr>
              <w:t>(juges Lauwers, Paciocco et Thorburn)</w:t>
            </w:r>
          </w:p>
          <w:p w:rsidR="00A96D8A" w:rsidRPr="00455697" w:rsidRDefault="00A96D8A" w:rsidP="00A96D8A">
            <w:pPr>
              <w:jc w:val="both"/>
              <w:rPr>
                <w:sz w:val="20"/>
                <w:lang w:val="fr-CA"/>
              </w:rPr>
            </w:pPr>
            <w:r w:rsidRPr="00455697">
              <w:rPr>
                <w:sz w:val="20"/>
                <w:lang w:val="fr-CA"/>
              </w:rPr>
              <w:t>Non publié</w:t>
            </w:r>
          </w:p>
          <w:p w:rsidR="00A96D8A" w:rsidRPr="00455697" w:rsidRDefault="00A96D8A" w:rsidP="00A96D8A">
            <w:pPr>
              <w:jc w:val="both"/>
              <w:rPr>
                <w:sz w:val="20"/>
                <w:lang w:val="fr-CA"/>
              </w:rPr>
            </w:pP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jc w:val="both"/>
              <w:rPr>
                <w:sz w:val="20"/>
                <w:lang w:val="fr-CA"/>
              </w:rPr>
            </w:pPr>
            <w:r w:rsidRPr="00455697">
              <w:rPr>
                <w:sz w:val="20"/>
                <w:lang w:val="fr-CA"/>
              </w:rPr>
              <w:t>La demande d’autorisation d’appel des demandeurs est rejetée.</w:t>
            </w: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6 juin 2022</w:t>
            </w:r>
          </w:p>
          <w:p w:rsidR="00A96D8A" w:rsidRPr="00455697" w:rsidRDefault="00A96D8A" w:rsidP="00A96D8A">
            <w:pPr>
              <w:jc w:val="both"/>
              <w:rPr>
                <w:sz w:val="20"/>
                <w:lang w:val="fr-CA"/>
              </w:rPr>
            </w:pPr>
            <w:r w:rsidRPr="00455697">
              <w:rPr>
                <w:sz w:val="20"/>
                <w:lang w:val="fr-CA"/>
              </w:rPr>
              <w:t>Cour suprême du Canada</w:t>
            </w: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jc w:val="both"/>
              <w:rPr>
                <w:sz w:val="20"/>
                <w:lang w:val="fr-CA"/>
              </w:rPr>
            </w:pPr>
            <w:r w:rsidRPr="00455697">
              <w:rPr>
                <w:sz w:val="20"/>
                <w:lang w:val="fr-CA"/>
              </w:rPr>
              <w:t>La demande d’autorisation d’appel est présentée.</w:t>
            </w:r>
          </w:p>
          <w:p w:rsidR="00A96D8A" w:rsidRPr="00455697" w:rsidRDefault="00A96D8A" w:rsidP="00A96D8A">
            <w:pPr>
              <w:jc w:val="both"/>
              <w:rPr>
                <w:sz w:val="20"/>
                <w:lang w:val="fr-CA"/>
              </w:rPr>
            </w:pPr>
          </w:p>
        </w:tc>
      </w:tr>
    </w:tbl>
    <w:p w:rsidR="00A96D8A" w:rsidRPr="00455697" w:rsidRDefault="00A96D8A" w:rsidP="00A96D8A">
      <w:pPr>
        <w:jc w:val="both"/>
        <w:rPr>
          <w:sz w:val="20"/>
          <w:lang w:val="fr-CA"/>
        </w:rPr>
      </w:pPr>
    </w:p>
    <w:p w:rsidR="00A96D8A" w:rsidRPr="00455697" w:rsidRDefault="00455697" w:rsidP="00A96D8A">
      <w:pPr>
        <w:jc w:val="both"/>
        <w:rPr>
          <w:sz w:val="20"/>
          <w:lang w:val="fr-CA"/>
        </w:rPr>
      </w:pPr>
      <w:r w:rsidRPr="00455697">
        <w:rPr>
          <w:sz w:val="20"/>
        </w:rPr>
        <w:pict>
          <v:rect id="_x0000_i1028" style="width:2in;height:1pt" o:hrpct="0" o:hralign="center" o:hrstd="t" o:hrnoshade="t" o:hr="t" fillcolor="black [3213]" stroked="f"/>
        </w:pict>
      </w:r>
    </w:p>
    <w:p w:rsidR="00A96D8A" w:rsidRPr="00455697" w:rsidRDefault="00A96D8A" w:rsidP="00A96D8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6D8A" w:rsidRPr="00455697" w:rsidTr="00E95A6A">
        <w:tc>
          <w:tcPr>
            <w:tcW w:w="543" w:type="pct"/>
          </w:tcPr>
          <w:p w:rsidR="00A96D8A" w:rsidRPr="00455697" w:rsidRDefault="00A96D8A" w:rsidP="00A96D8A">
            <w:pPr>
              <w:jc w:val="both"/>
              <w:rPr>
                <w:sz w:val="20"/>
              </w:rPr>
            </w:pPr>
            <w:r w:rsidRPr="00455697">
              <w:rPr>
                <w:rStyle w:val="SCCFileNumberChar"/>
                <w:sz w:val="20"/>
                <w:szCs w:val="20"/>
              </w:rPr>
              <w:t>40549</w:t>
            </w:r>
          </w:p>
        </w:tc>
        <w:tc>
          <w:tcPr>
            <w:tcW w:w="4457" w:type="pct"/>
            <w:gridSpan w:val="3"/>
          </w:tcPr>
          <w:p w:rsidR="00A96D8A" w:rsidRPr="00455697" w:rsidRDefault="00A96D8A" w:rsidP="00A96D8A">
            <w:pPr>
              <w:pStyle w:val="SCCLsocParty"/>
              <w:jc w:val="both"/>
              <w:rPr>
                <w:b/>
                <w:sz w:val="20"/>
                <w:szCs w:val="20"/>
                <w:lang w:val="en-US"/>
              </w:rPr>
            </w:pPr>
            <w:r w:rsidRPr="00455697">
              <w:rPr>
                <w:b/>
                <w:sz w:val="20"/>
                <w:szCs w:val="20"/>
                <w:lang w:val="en-US"/>
              </w:rPr>
              <w:t>Annette Lewis v. Alberta Health Services, ABC Hospital, Dr. A, Dr. B, Dr. C, Dr. D, Dr. E and Dr. F</w:t>
            </w:r>
          </w:p>
          <w:p w:rsidR="00A96D8A" w:rsidRPr="00455697" w:rsidRDefault="00A96D8A" w:rsidP="00A96D8A">
            <w:pPr>
              <w:jc w:val="both"/>
              <w:rPr>
                <w:sz w:val="20"/>
              </w:rPr>
            </w:pPr>
            <w:r w:rsidRPr="00455697">
              <w:rPr>
                <w:sz w:val="20"/>
              </w:rPr>
              <w:t>(Alta.) (Civil) (By Leave)</w:t>
            </w:r>
          </w:p>
        </w:tc>
      </w:tr>
      <w:tr w:rsidR="00A96D8A" w:rsidRPr="00455697" w:rsidTr="00E95A6A">
        <w:tc>
          <w:tcPr>
            <w:tcW w:w="5000" w:type="pct"/>
            <w:gridSpan w:val="4"/>
          </w:tcPr>
          <w:p w:rsidR="00A96D8A" w:rsidRPr="00455697" w:rsidRDefault="00A96D8A" w:rsidP="00A96D8A">
            <w:pPr>
              <w:pStyle w:val="SCCBanSummary"/>
              <w:rPr>
                <w:sz w:val="20"/>
                <w:szCs w:val="20"/>
              </w:rPr>
            </w:pPr>
            <w:r w:rsidRPr="00455697">
              <w:rPr>
                <w:sz w:val="20"/>
                <w:szCs w:val="20"/>
              </w:rPr>
              <w:t>(Publication ban in case)</w:t>
            </w:r>
          </w:p>
          <w:p w:rsidR="00A96D8A" w:rsidRPr="00455697" w:rsidRDefault="00A96D8A" w:rsidP="00A96D8A">
            <w:pPr>
              <w:jc w:val="both"/>
              <w:rPr>
                <w:sz w:val="20"/>
              </w:rPr>
            </w:pPr>
          </w:p>
          <w:p w:rsidR="00A96D8A" w:rsidRPr="00455697" w:rsidRDefault="00A96D8A" w:rsidP="00A96D8A">
            <w:pPr>
              <w:jc w:val="both"/>
              <w:rPr>
                <w:sz w:val="20"/>
              </w:rPr>
            </w:pPr>
            <w:r w:rsidRPr="00455697">
              <w:rPr>
                <w:i/>
                <w:sz w:val="20"/>
              </w:rPr>
              <w:t>Charter of Rights</w:t>
            </w:r>
            <w:r w:rsidRPr="00455697">
              <w:rPr>
                <w:sz w:val="20"/>
              </w:rPr>
              <w:t xml:space="preserve"> — Right to life, liberty and security of person — Right to equality — Freedom of conscience — Human rights — </w:t>
            </w:r>
            <w:r w:rsidRPr="00455697">
              <w:rPr>
                <w:i/>
                <w:sz w:val="20"/>
              </w:rPr>
              <w:t>Alberta Bill of Rights</w:t>
            </w:r>
            <w:r w:rsidRPr="00455697">
              <w:rPr>
                <w:sz w:val="20"/>
              </w:rPr>
              <w:t xml:space="preserve"> — Patient in organ transplant program unable to obtain transplant as a result of numerous factors, including refusal to be vaccinated against COVID-19 — Whether transplant physicians’ mandatory vaccine requirements, within provincial transplant programs, immune from scrutiny under </w:t>
            </w:r>
            <w:r w:rsidRPr="00455697">
              <w:rPr>
                <w:i/>
                <w:sz w:val="20"/>
              </w:rPr>
              <w:t>Charter</w:t>
            </w:r>
            <w:r w:rsidRPr="00455697">
              <w:rPr>
                <w:sz w:val="20"/>
              </w:rPr>
              <w:t xml:space="preserve"> and provincial bills of rights legislation — Whether provincial government mandatory vaccine requirements for transplant candidates, which mirror policies of physicians within a government transplant program, immune from scrutiny under </w:t>
            </w:r>
            <w:r w:rsidRPr="00455697">
              <w:rPr>
                <w:i/>
                <w:sz w:val="20"/>
              </w:rPr>
              <w:t>Charter</w:t>
            </w:r>
            <w:r w:rsidRPr="00455697">
              <w:rPr>
                <w:sz w:val="20"/>
              </w:rPr>
              <w:t xml:space="preserve"> and provincial bills of rights legislation — Whether forcing transplant candidate to take COVID-19 vaccine, as a precondition for life-saving transplant amounts to justifiable violation of </w:t>
            </w:r>
            <w:r w:rsidRPr="00455697">
              <w:rPr>
                <w:i/>
                <w:sz w:val="20"/>
              </w:rPr>
              <w:t>Charter</w:t>
            </w:r>
            <w:r w:rsidRPr="00455697">
              <w:rPr>
                <w:sz w:val="20"/>
              </w:rPr>
              <w:t xml:space="preserve">-protected freedom of conscience, rights to life, liberty and security of person, or rights to liberty and security under Alberta </w:t>
            </w:r>
            <w:r w:rsidRPr="00455697">
              <w:rPr>
                <w:i/>
                <w:sz w:val="20"/>
              </w:rPr>
              <w:t>Bill of Rights</w:t>
            </w:r>
          </w:p>
        </w:tc>
      </w:tr>
      <w:tr w:rsidR="00A96D8A" w:rsidRPr="00455697" w:rsidTr="00E95A6A">
        <w:tc>
          <w:tcPr>
            <w:tcW w:w="5000" w:type="pct"/>
            <w:gridSpan w:val="4"/>
          </w:tcPr>
          <w:p w:rsidR="00A96D8A" w:rsidRPr="00455697" w:rsidRDefault="00A96D8A" w:rsidP="00A96D8A">
            <w:pPr>
              <w:jc w:val="both"/>
              <w:rPr>
                <w:sz w:val="20"/>
              </w:rPr>
            </w:pPr>
          </w:p>
        </w:tc>
      </w:tr>
      <w:tr w:rsidR="00A96D8A" w:rsidRPr="00455697" w:rsidTr="00E95A6A">
        <w:tc>
          <w:tcPr>
            <w:tcW w:w="5000" w:type="pct"/>
            <w:gridSpan w:val="4"/>
          </w:tcPr>
          <w:p w:rsidR="00A96D8A" w:rsidRPr="00455697" w:rsidRDefault="00A96D8A" w:rsidP="00A96D8A">
            <w:pPr>
              <w:jc w:val="both"/>
              <w:rPr>
                <w:sz w:val="20"/>
              </w:rPr>
            </w:pPr>
            <w:r w:rsidRPr="00455697">
              <w:rPr>
                <w:sz w:val="20"/>
              </w:rPr>
              <w:t>The applicant suffers from an idiopathic condition which is progressive and debilitating and now requires an organ transplant. She is a patient in the organ transplant program, at the respondent ABC Hospital, but has been unable to obtain a transplant as a result of numerous factors, including that she refuses to be vaccinated against COVID-19. Subject to a demonstrated medical exemption, it is mandatory that patients receive the vaccine prior to transplantation, with the result that the applicant is currently inactive on the program waitlist.</w:t>
            </w:r>
          </w:p>
          <w:p w:rsidR="00A96D8A" w:rsidRPr="00455697" w:rsidRDefault="00A96D8A" w:rsidP="00A96D8A">
            <w:pPr>
              <w:jc w:val="both"/>
              <w:rPr>
                <w:sz w:val="20"/>
              </w:rPr>
            </w:pPr>
          </w:p>
          <w:p w:rsidR="00A96D8A" w:rsidRPr="00455697" w:rsidRDefault="00A96D8A" w:rsidP="00A96D8A">
            <w:pPr>
              <w:jc w:val="both"/>
              <w:rPr>
                <w:sz w:val="20"/>
              </w:rPr>
            </w:pPr>
            <w:r w:rsidRPr="00455697">
              <w:rPr>
                <w:sz w:val="20"/>
              </w:rPr>
              <w:t xml:space="preserve">In an effort to remain active on the transplant waitlist without having to be vaccinated against COVID-19, the applicant sought a declaration, among other things, that the COVID-19 vaccine requirement is of no force or effect because it violates her </w:t>
            </w:r>
            <w:r w:rsidRPr="00455697">
              <w:rPr>
                <w:i/>
                <w:sz w:val="20"/>
              </w:rPr>
              <w:t>Charter</w:t>
            </w:r>
            <w:r w:rsidRPr="00455697">
              <w:rPr>
                <w:sz w:val="20"/>
              </w:rPr>
              <w:t xml:space="preserve"> rights, specifically freedom of conscience under s. 2(a); the right to life, liberty and security of the person under s. 7; and the right to equality under s. 15. </w:t>
            </w:r>
          </w:p>
          <w:p w:rsidR="00A96D8A" w:rsidRPr="00455697" w:rsidRDefault="00A96D8A" w:rsidP="00A96D8A">
            <w:pPr>
              <w:jc w:val="both"/>
              <w:rPr>
                <w:sz w:val="20"/>
              </w:rPr>
            </w:pPr>
          </w:p>
          <w:p w:rsidR="00A96D8A" w:rsidRPr="00455697" w:rsidRDefault="00A96D8A" w:rsidP="00A96D8A">
            <w:pPr>
              <w:jc w:val="both"/>
              <w:rPr>
                <w:sz w:val="20"/>
              </w:rPr>
            </w:pPr>
            <w:r w:rsidRPr="00455697">
              <w:rPr>
                <w:sz w:val="20"/>
              </w:rPr>
              <w:t>The application was dismissed by the chambers judge. The subsequent appeal to the Court of Appeal was dismissed.</w:t>
            </w: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lastRenderedPageBreak/>
              <w:t>July 12, 2022</w:t>
            </w:r>
          </w:p>
          <w:p w:rsidR="00A96D8A" w:rsidRPr="00455697" w:rsidRDefault="00A96D8A" w:rsidP="00A96D8A">
            <w:pPr>
              <w:jc w:val="both"/>
              <w:rPr>
                <w:sz w:val="20"/>
              </w:rPr>
            </w:pPr>
            <w:r w:rsidRPr="00455697">
              <w:rPr>
                <w:sz w:val="20"/>
              </w:rPr>
              <w:t>Court of Queen’s Bench of Alberta</w:t>
            </w:r>
          </w:p>
          <w:p w:rsidR="00A96D8A" w:rsidRPr="00455697" w:rsidRDefault="00A96D8A" w:rsidP="00A96D8A">
            <w:pPr>
              <w:jc w:val="both"/>
              <w:rPr>
                <w:sz w:val="20"/>
              </w:rPr>
            </w:pPr>
            <w:r w:rsidRPr="00455697">
              <w:rPr>
                <w:sz w:val="20"/>
              </w:rPr>
              <w:t>(Belzil J.)</w:t>
            </w:r>
          </w:p>
          <w:p w:rsidR="00A96D8A" w:rsidRPr="00455697" w:rsidRDefault="00455697" w:rsidP="00A96D8A">
            <w:pPr>
              <w:jc w:val="both"/>
              <w:rPr>
                <w:sz w:val="20"/>
              </w:rPr>
            </w:pPr>
            <w:hyperlink r:id="rId20" w:history="1">
              <w:r w:rsidR="00A96D8A" w:rsidRPr="00455697">
                <w:rPr>
                  <w:rStyle w:val="Hyperlink"/>
                  <w:sz w:val="20"/>
                </w:rPr>
                <w:t>2022 ABQB 479</w:t>
              </w:r>
            </w:hyperlink>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Originating application against respondents dismissed.</w:t>
            </w: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November 8, 2022</w:t>
            </w:r>
          </w:p>
          <w:p w:rsidR="00A96D8A" w:rsidRPr="00455697" w:rsidRDefault="00A96D8A" w:rsidP="00A96D8A">
            <w:pPr>
              <w:jc w:val="both"/>
              <w:rPr>
                <w:sz w:val="20"/>
              </w:rPr>
            </w:pPr>
            <w:r w:rsidRPr="00455697">
              <w:rPr>
                <w:sz w:val="20"/>
              </w:rPr>
              <w:t>Court of Appeal of Alberta (Edmonton)</w:t>
            </w:r>
          </w:p>
          <w:p w:rsidR="00A96D8A" w:rsidRPr="00455697" w:rsidRDefault="00A96D8A" w:rsidP="00A96D8A">
            <w:pPr>
              <w:jc w:val="both"/>
              <w:rPr>
                <w:sz w:val="20"/>
              </w:rPr>
            </w:pPr>
            <w:r w:rsidRPr="00455697">
              <w:rPr>
                <w:sz w:val="20"/>
              </w:rPr>
              <w:t>(Schutz, Crighton and Pentelechuck JJ.A.)</w:t>
            </w:r>
          </w:p>
          <w:p w:rsidR="00A96D8A" w:rsidRPr="00455697" w:rsidRDefault="00455697" w:rsidP="00A96D8A">
            <w:pPr>
              <w:jc w:val="both"/>
              <w:rPr>
                <w:sz w:val="20"/>
              </w:rPr>
            </w:pPr>
            <w:hyperlink r:id="rId21" w:history="1">
              <w:r w:rsidR="00A96D8A" w:rsidRPr="00455697">
                <w:rPr>
                  <w:rStyle w:val="Hyperlink"/>
                  <w:sz w:val="20"/>
                </w:rPr>
                <w:t>2022 ABCA 359</w:t>
              </w:r>
            </w:hyperlink>
          </w:p>
          <w:p w:rsidR="00A96D8A" w:rsidRPr="00455697" w:rsidRDefault="00A96D8A" w:rsidP="00A96D8A">
            <w:pPr>
              <w:jc w:val="both"/>
              <w:rPr>
                <w:sz w:val="20"/>
              </w:rPr>
            </w:pPr>
            <w:r w:rsidRPr="00455697">
              <w:rPr>
                <w:sz w:val="20"/>
              </w:rPr>
              <w:t>File No.: 2203-0163AC</w:t>
            </w:r>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Appeal dismissed.</w:t>
            </w: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January 9, 2023</w:t>
            </w:r>
          </w:p>
          <w:p w:rsidR="00A96D8A" w:rsidRPr="00455697" w:rsidRDefault="00A96D8A" w:rsidP="00A96D8A">
            <w:pPr>
              <w:jc w:val="both"/>
              <w:rPr>
                <w:sz w:val="20"/>
              </w:rPr>
            </w:pPr>
            <w:r w:rsidRPr="00455697">
              <w:rPr>
                <w:sz w:val="20"/>
              </w:rPr>
              <w:t>Supreme Court of Canada</w:t>
            </w: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Application for leave to appeal filed.</w:t>
            </w:r>
          </w:p>
          <w:p w:rsidR="00A96D8A" w:rsidRPr="00455697" w:rsidRDefault="00A96D8A" w:rsidP="00A96D8A">
            <w:pPr>
              <w:jc w:val="both"/>
              <w:rPr>
                <w:sz w:val="20"/>
              </w:rPr>
            </w:pPr>
          </w:p>
        </w:tc>
      </w:tr>
    </w:tbl>
    <w:p w:rsidR="00A96D8A" w:rsidRPr="00455697" w:rsidRDefault="00A96D8A" w:rsidP="00A96D8A">
      <w:pPr>
        <w:jc w:val="both"/>
        <w:rPr>
          <w:sz w:val="20"/>
        </w:rPr>
      </w:pPr>
    </w:p>
    <w:p w:rsidR="00A96D8A" w:rsidRPr="00455697" w:rsidRDefault="00455697" w:rsidP="00A96D8A">
      <w:pPr>
        <w:jc w:val="both"/>
        <w:rPr>
          <w:sz w:val="20"/>
        </w:rPr>
      </w:pPr>
      <w:r w:rsidRPr="00455697">
        <w:rPr>
          <w:sz w:val="20"/>
        </w:rPr>
        <w:pict>
          <v:rect id="_x0000_i1029" style="width:2in;height:1pt" o:hrpct="0" o:hralign="center" o:hrstd="t" o:hrnoshade="t" o:hr="t" fillcolor="black [3213]" stroked="f"/>
        </w:pict>
      </w:r>
    </w:p>
    <w:p w:rsidR="00A96D8A" w:rsidRPr="00455697" w:rsidRDefault="00A96D8A" w:rsidP="00A96D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6D8A" w:rsidRPr="00455697" w:rsidTr="00E95A6A">
        <w:tc>
          <w:tcPr>
            <w:tcW w:w="543" w:type="pct"/>
          </w:tcPr>
          <w:p w:rsidR="00A96D8A" w:rsidRPr="00455697" w:rsidRDefault="00A96D8A" w:rsidP="00A96D8A">
            <w:pPr>
              <w:jc w:val="both"/>
              <w:rPr>
                <w:sz w:val="20"/>
                <w:lang w:val="fr-CA"/>
              </w:rPr>
            </w:pPr>
            <w:r w:rsidRPr="00455697">
              <w:rPr>
                <w:rStyle w:val="SCCFileNumberChar"/>
                <w:sz w:val="20"/>
                <w:szCs w:val="20"/>
                <w:lang w:val="fr-CA"/>
              </w:rPr>
              <w:t>40549</w:t>
            </w:r>
          </w:p>
        </w:tc>
        <w:tc>
          <w:tcPr>
            <w:tcW w:w="4457" w:type="pct"/>
            <w:gridSpan w:val="3"/>
          </w:tcPr>
          <w:p w:rsidR="00A96D8A" w:rsidRPr="00455697" w:rsidRDefault="00A96D8A" w:rsidP="00A96D8A">
            <w:pPr>
              <w:pStyle w:val="SCCLsocParty"/>
              <w:jc w:val="both"/>
              <w:rPr>
                <w:b/>
                <w:sz w:val="20"/>
                <w:szCs w:val="20"/>
              </w:rPr>
            </w:pPr>
            <w:r w:rsidRPr="00455697">
              <w:rPr>
                <w:b/>
                <w:sz w:val="20"/>
                <w:szCs w:val="20"/>
              </w:rPr>
              <w:t>Annette Lewis c. Alberta Health Services, Hôpital ABC, Docteur A, Docteur B, Docteur C, Docteur D, Docteur E et Docteur F</w:t>
            </w:r>
          </w:p>
          <w:p w:rsidR="00A96D8A" w:rsidRPr="00455697" w:rsidRDefault="00A96D8A" w:rsidP="00A96D8A">
            <w:pPr>
              <w:jc w:val="both"/>
              <w:rPr>
                <w:sz w:val="20"/>
                <w:lang w:val="fr-CA"/>
              </w:rPr>
            </w:pPr>
            <w:r w:rsidRPr="00455697">
              <w:rPr>
                <w:sz w:val="20"/>
                <w:lang w:val="fr-CA"/>
              </w:rPr>
              <w:t>(Alb.) (Civile) (Sur autorisation)</w:t>
            </w:r>
          </w:p>
        </w:tc>
      </w:tr>
      <w:tr w:rsidR="00A96D8A" w:rsidRPr="00455697" w:rsidTr="00E95A6A">
        <w:tc>
          <w:tcPr>
            <w:tcW w:w="5000" w:type="pct"/>
            <w:gridSpan w:val="4"/>
          </w:tcPr>
          <w:p w:rsidR="00A96D8A" w:rsidRPr="00455697" w:rsidRDefault="00A96D8A" w:rsidP="00A96D8A">
            <w:pPr>
              <w:pStyle w:val="SCCBanSummary"/>
              <w:rPr>
                <w:sz w:val="20"/>
                <w:szCs w:val="20"/>
                <w:lang w:val="fr-CA"/>
              </w:rPr>
            </w:pPr>
            <w:r w:rsidRPr="00455697">
              <w:rPr>
                <w:sz w:val="20"/>
                <w:szCs w:val="20"/>
                <w:lang w:val="fr-CA"/>
              </w:rPr>
              <w:t>(Ordonnance de non-publication au dossier)</w:t>
            </w:r>
          </w:p>
          <w:p w:rsidR="00A96D8A" w:rsidRPr="00455697" w:rsidRDefault="00A96D8A" w:rsidP="00A96D8A">
            <w:pPr>
              <w:jc w:val="both"/>
              <w:rPr>
                <w:sz w:val="20"/>
                <w:lang w:val="fr-CA"/>
              </w:rPr>
            </w:pPr>
          </w:p>
          <w:p w:rsidR="00A96D8A" w:rsidRPr="00455697" w:rsidRDefault="00A96D8A" w:rsidP="00A96D8A">
            <w:pPr>
              <w:jc w:val="both"/>
              <w:rPr>
                <w:sz w:val="20"/>
                <w:lang w:val="fr-CA"/>
              </w:rPr>
            </w:pPr>
            <w:r w:rsidRPr="00455697">
              <w:rPr>
                <w:i/>
                <w:sz w:val="20"/>
                <w:lang w:val="fr-CA"/>
              </w:rPr>
              <w:t>Charte des droits</w:t>
            </w:r>
            <w:r w:rsidRPr="00455697">
              <w:rPr>
                <w:sz w:val="20"/>
                <w:lang w:val="fr-CA"/>
              </w:rPr>
              <w:t xml:space="preserve"> — Droit à la vie, à la liberté et à la sécurité de la personne — Droit à l’égalité —  Liberté de conscience — Droits de la personne — </w:t>
            </w:r>
            <w:r w:rsidRPr="00455697">
              <w:rPr>
                <w:i/>
                <w:sz w:val="20"/>
                <w:lang w:val="fr-CA"/>
              </w:rPr>
              <w:t>Alberta Bill of Rights</w:t>
            </w:r>
            <w:r w:rsidRPr="00455697">
              <w:rPr>
                <w:sz w:val="20"/>
                <w:lang w:val="fr-CA"/>
              </w:rPr>
              <w:t xml:space="preserve"> — Une patiente qui participe à un programme de transplantation d’organes n’a pas pu recevoir une transplantation en raison de nombreux facteurs, dont le refus de se faire vacciner conte la COVID-19 — Les exigences impératives de vaccination imposées par les médecins qui effectuent des transplantations dans le cadre des programmes provinciaux de transplantation d’organes échappent-elles à tout examen fondé sur la </w:t>
            </w:r>
            <w:r w:rsidRPr="00455697">
              <w:rPr>
                <w:i/>
                <w:sz w:val="20"/>
                <w:lang w:val="fr-CA"/>
              </w:rPr>
              <w:t>Charte</w:t>
            </w:r>
            <w:r w:rsidRPr="00455697">
              <w:rPr>
                <w:sz w:val="20"/>
                <w:lang w:val="fr-CA"/>
              </w:rPr>
              <w:t xml:space="preserve"> et la législation provinciale en matière de déclaration des droits ? — Les exigences impératives de vaccination des candidats à la transplantation imposées par le gouvernement provincial, qui reflètent les politiques des médecins du programme gouvernemental de transplantation d’organes, échappent-elles à tout examen fondé sur la </w:t>
            </w:r>
            <w:r w:rsidRPr="00455697">
              <w:rPr>
                <w:i/>
                <w:sz w:val="20"/>
                <w:lang w:val="fr-CA"/>
              </w:rPr>
              <w:t>Charte</w:t>
            </w:r>
            <w:r w:rsidRPr="00455697">
              <w:rPr>
                <w:sz w:val="20"/>
                <w:lang w:val="fr-CA"/>
              </w:rPr>
              <w:t xml:space="preserve"> et la législation provinciale en matière de déclaration des droits ? — Le fait d’obliger les candidats à la transplantation de recevoir le vaccin contre la COVID-19, comme condition préalable à une transplantation d’organe qui pourrait sauver leurs vies, équivaut-il à une violation justifiable de la liberté de conscience et du droit à la vie, à la liberté et à la sécurité de la personne protégés par la </w:t>
            </w:r>
            <w:r w:rsidRPr="00455697">
              <w:rPr>
                <w:i/>
                <w:sz w:val="20"/>
                <w:lang w:val="fr-CA"/>
              </w:rPr>
              <w:t>Charte</w:t>
            </w:r>
            <w:r w:rsidRPr="00455697">
              <w:rPr>
                <w:sz w:val="20"/>
                <w:lang w:val="fr-CA"/>
              </w:rPr>
              <w:t xml:space="preserve"> ou des droits à la liberté et à la sécurité garantis par l’Alberta </w:t>
            </w:r>
            <w:r w:rsidRPr="00455697">
              <w:rPr>
                <w:i/>
                <w:sz w:val="20"/>
                <w:lang w:val="fr-CA"/>
              </w:rPr>
              <w:t>Bill of Rights </w:t>
            </w:r>
            <w:r w:rsidRPr="00455697">
              <w:rPr>
                <w:sz w:val="20"/>
                <w:lang w:val="fr-CA"/>
              </w:rPr>
              <w:t>?</w:t>
            </w:r>
          </w:p>
        </w:tc>
      </w:tr>
      <w:tr w:rsidR="00A96D8A" w:rsidRPr="00455697" w:rsidTr="00E95A6A">
        <w:tc>
          <w:tcPr>
            <w:tcW w:w="5000" w:type="pct"/>
            <w:gridSpan w:val="4"/>
          </w:tcPr>
          <w:p w:rsidR="00A96D8A" w:rsidRPr="00455697" w:rsidRDefault="00A96D8A" w:rsidP="00A96D8A">
            <w:pPr>
              <w:jc w:val="both"/>
              <w:rPr>
                <w:sz w:val="20"/>
                <w:lang w:val="fr-CA"/>
              </w:rPr>
            </w:pPr>
          </w:p>
        </w:tc>
      </w:tr>
      <w:tr w:rsidR="00A96D8A" w:rsidRPr="00455697" w:rsidTr="00E95A6A">
        <w:tc>
          <w:tcPr>
            <w:tcW w:w="5000" w:type="pct"/>
            <w:gridSpan w:val="4"/>
          </w:tcPr>
          <w:p w:rsidR="00A96D8A" w:rsidRPr="00455697" w:rsidRDefault="00A96D8A" w:rsidP="00A96D8A">
            <w:pPr>
              <w:jc w:val="both"/>
              <w:rPr>
                <w:sz w:val="20"/>
                <w:lang w:val="fr-CA"/>
              </w:rPr>
            </w:pPr>
            <w:r w:rsidRPr="00455697">
              <w:rPr>
                <w:sz w:val="20"/>
                <w:lang w:val="fr-CA"/>
              </w:rPr>
              <w:t>La demanderesse, qui souffre d’une maladie idiopathique dégénérative et débilitante, a désormais besoin d’une transplantation d’organe. Elle est une patiente du programme de transplantation d’organes, à l’hôpital ABC intimé; toutefois, elle n’a pas pu recevoir une transplantation en raison de nombreux facteurs, dont son refus de se faire vacciner conte la COVID-19. Sauf en cas d’exemption pour des raisons médicales avérées, il est obligatoire pour tous les patients de recevoir le vaccin avant une transplantation, de sorte que le statut de la demanderesse est maintenant « inactif » sur la liste d’attente du programme.</w:t>
            </w:r>
          </w:p>
          <w:p w:rsidR="00A96D8A" w:rsidRPr="00455697" w:rsidRDefault="00A96D8A" w:rsidP="00A96D8A">
            <w:pPr>
              <w:jc w:val="both"/>
              <w:rPr>
                <w:sz w:val="20"/>
                <w:lang w:val="fr-CA"/>
              </w:rPr>
            </w:pPr>
          </w:p>
          <w:p w:rsidR="00A96D8A" w:rsidRPr="00455697" w:rsidRDefault="00A96D8A" w:rsidP="00A96D8A">
            <w:pPr>
              <w:jc w:val="both"/>
              <w:rPr>
                <w:sz w:val="20"/>
                <w:lang w:val="fr-CA"/>
              </w:rPr>
            </w:pPr>
            <w:r w:rsidRPr="00455697">
              <w:rPr>
                <w:sz w:val="20"/>
                <w:lang w:val="fr-CA"/>
              </w:rPr>
              <w:t xml:space="preserve">Afin de rétablir son statut « actif » sur la liste d’attente pour une transplantation sans avoir à se faire vacciner contre la COVID-19, la demanderesse a notamment cherché à obtenir un jugement déclaratoire portant que l’exigence relative au vaccin contre la COVID-19 est inopérante parce qu’elle porte atteinte aux droits garantis par la </w:t>
            </w:r>
            <w:r w:rsidRPr="00455697">
              <w:rPr>
                <w:i/>
                <w:sz w:val="20"/>
                <w:lang w:val="fr-CA"/>
              </w:rPr>
              <w:t>Charte</w:t>
            </w:r>
            <w:r w:rsidRPr="00455697">
              <w:rPr>
                <w:sz w:val="20"/>
                <w:lang w:val="fr-CA"/>
              </w:rPr>
              <w:t xml:space="preserve">, à savoir le droit à la liberté de conscience prévu à l’al. 2(a); le droit à la vie, à la liberté et à la sécurité de la personne prévu à l’art. 7; et le droit à l’égalité prévu à l’art. 15. </w:t>
            </w:r>
          </w:p>
          <w:p w:rsidR="00A96D8A" w:rsidRPr="00455697" w:rsidRDefault="00A96D8A" w:rsidP="00A96D8A">
            <w:pPr>
              <w:jc w:val="both"/>
              <w:rPr>
                <w:sz w:val="20"/>
                <w:lang w:val="fr-CA"/>
              </w:rPr>
            </w:pPr>
          </w:p>
          <w:p w:rsidR="00A96D8A" w:rsidRPr="00455697" w:rsidRDefault="00A96D8A" w:rsidP="00A96D8A">
            <w:pPr>
              <w:jc w:val="both"/>
              <w:rPr>
                <w:sz w:val="20"/>
                <w:lang w:val="fr-CA"/>
              </w:rPr>
            </w:pPr>
            <w:r w:rsidRPr="00455697">
              <w:rPr>
                <w:sz w:val="20"/>
                <w:lang w:val="fr-CA"/>
              </w:rPr>
              <w:t>La demande a été rejetée par le juge siégeant en son cabinet. L’appel subséquemment interjeté à la Cour d’appel a été rejeté.</w:t>
            </w:r>
          </w:p>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12 juillet 2022</w:t>
            </w:r>
          </w:p>
          <w:p w:rsidR="00A96D8A" w:rsidRPr="00455697" w:rsidRDefault="00A96D8A" w:rsidP="00A96D8A">
            <w:pPr>
              <w:jc w:val="both"/>
              <w:rPr>
                <w:sz w:val="20"/>
                <w:lang w:val="fr-CA"/>
              </w:rPr>
            </w:pPr>
            <w:r w:rsidRPr="00455697">
              <w:rPr>
                <w:sz w:val="20"/>
                <w:lang w:val="fr-CA"/>
              </w:rPr>
              <w:t>Cour du Banc de la Reine de l’Alberta</w:t>
            </w:r>
          </w:p>
          <w:p w:rsidR="00A96D8A" w:rsidRPr="00455697" w:rsidRDefault="00A96D8A" w:rsidP="00A96D8A">
            <w:pPr>
              <w:jc w:val="both"/>
              <w:rPr>
                <w:sz w:val="20"/>
                <w:lang w:val="fr-CA"/>
              </w:rPr>
            </w:pPr>
            <w:r w:rsidRPr="00455697">
              <w:rPr>
                <w:sz w:val="20"/>
                <w:lang w:val="fr-CA"/>
              </w:rPr>
              <w:t>(juge Belzil)</w:t>
            </w:r>
          </w:p>
          <w:p w:rsidR="00A96D8A" w:rsidRPr="00455697" w:rsidRDefault="00455697" w:rsidP="00A96D8A">
            <w:pPr>
              <w:jc w:val="both"/>
              <w:rPr>
                <w:sz w:val="20"/>
                <w:lang w:val="fr-CA"/>
              </w:rPr>
            </w:pPr>
            <w:hyperlink r:id="rId22" w:history="1">
              <w:r w:rsidR="00A96D8A" w:rsidRPr="00455697">
                <w:rPr>
                  <w:rStyle w:val="Hyperlink"/>
                  <w:sz w:val="20"/>
                  <w:lang w:val="fr-CA"/>
                </w:rPr>
                <w:t>2022 ABQB 479</w:t>
              </w:r>
            </w:hyperlink>
          </w:p>
          <w:p w:rsidR="00A96D8A" w:rsidRPr="00455697" w:rsidRDefault="00A96D8A" w:rsidP="00A96D8A">
            <w:pPr>
              <w:jc w:val="both"/>
              <w:rPr>
                <w:sz w:val="20"/>
                <w:lang w:val="fr-CA"/>
              </w:rPr>
            </w:pP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jc w:val="both"/>
              <w:rPr>
                <w:sz w:val="20"/>
                <w:lang w:val="fr-CA"/>
              </w:rPr>
            </w:pPr>
            <w:r w:rsidRPr="00455697">
              <w:rPr>
                <w:sz w:val="20"/>
                <w:lang w:val="fr-CA"/>
              </w:rPr>
              <w:t>La demande introductive d’instance contre les intimés est rejetée.</w:t>
            </w:r>
          </w:p>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8 novembre 2022</w:t>
            </w:r>
          </w:p>
          <w:p w:rsidR="00A96D8A" w:rsidRPr="00455697" w:rsidRDefault="00A96D8A" w:rsidP="00A96D8A">
            <w:pPr>
              <w:jc w:val="both"/>
              <w:rPr>
                <w:sz w:val="20"/>
                <w:lang w:val="fr-CA"/>
              </w:rPr>
            </w:pPr>
            <w:r w:rsidRPr="00455697">
              <w:rPr>
                <w:sz w:val="20"/>
                <w:lang w:val="fr-CA"/>
              </w:rPr>
              <w:t>Cour d’appel de l’Alberta (Edmonton)</w:t>
            </w:r>
          </w:p>
          <w:p w:rsidR="00A96D8A" w:rsidRPr="00455697" w:rsidRDefault="00A96D8A" w:rsidP="00A96D8A">
            <w:pPr>
              <w:jc w:val="both"/>
              <w:rPr>
                <w:sz w:val="20"/>
                <w:lang w:val="fr-CA"/>
              </w:rPr>
            </w:pPr>
            <w:r w:rsidRPr="00455697">
              <w:rPr>
                <w:sz w:val="20"/>
                <w:lang w:val="fr-CA"/>
              </w:rPr>
              <w:t>(juges Schutz, Crighton et Pentelechuck)</w:t>
            </w:r>
          </w:p>
          <w:p w:rsidR="00A96D8A" w:rsidRPr="00455697" w:rsidRDefault="00455697" w:rsidP="00A96D8A">
            <w:pPr>
              <w:jc w:val="both"/>
              <w:rPr>
                <w:sz w:val="20"/>
                <w:lang w:val="fr-CA"/>
              </w:rPr>
            </w:pPr>
            <w:hyperlink r:id="rId23" w:history="1">
              <w:r w:rsidR="00A96D8A" w:rsidRPr="00455697">
                <w:rPr>
                  <w:rStyle w:val="Hyperlink"/>
                  <w:sz w:val="20"/>
                  <w:lang w:val="fr-CA"/>
                </w:rPr>
                <w:t>2022 ABCA 359</w:t>
              </w:r>
            </w:hyperlink>
          </w:p>
          <w:p w:rsidR="00A96D8A" w:rsidRPr="00455697" w:rsidRDefault="00A96D8A" w:rsidP="00A96D8A">
            <w:pPr>
              <w:jc w:val="both"/>
              <w:rPr>
                <w:sz w:val="20"/>
                <w:lang w:val="fr-CA"/>
              </w:rPr>
            </w:pPr>
            <w:r w:rsidRPr="00455697">
              <w:rPr>
                <w:sz w:val="20"/>
                <w:lang w:val="fr-CA"/>
              </w:rPr>
              <w:t>N</w:t>
            </w:r>
            <w:r w:rsidRPr="00455697">
              <w:rPr>
                <w:sz w:val="20"/>
                <w:vertAlign w:val="superscript"/>
                <w:lang w:val="fr-CA"/>
              </w:rPr>
              <w:t>o</w:t>
            </w:r>
            <w:r w:rsidRPr="00455697">
              <w:rPr>
                <w:sz w:val="20"/>
                <w:lang w:val="fr-CA"/>
              </w:rPr>
              <w:t xml:space="preserve"> de dossier : 2203-0163AC</w:t>
            </w:r>
          </w:p>
          <w:p w:rsidR="00A96D8A" w:rsidRPr="00455697" w:rsidRDefault="00A96D8A" w:rsidP="00A96D8A">
            <w:pPr>
              <w:jc w:val="both"/>
              <w:rPr>
                <w:sz w:val="20"/>
                <w:lang w:val="fr-CA"/>
              </w:rPr>
            </w:pP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jc w:val="both"/>
              <w:rPr>
                <w:sz w:val="20"/>
                <w:lang w:val="fr-CA"/>
              </w:rPr>
            </w:pPr>
            <w:r w:rsidRPr="00455697">
              <w:rPr>
                <w:sz w:val="20"/>
                <w:lang w:val="fr-CA"/>
              </w:rPr>
              <w:t>L’appel est rejeté.</w:t>
            </w:r>
          </w:p>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9 janvier 2023</w:t>
            </w:r>
          </w:p>
          <w:p w:rsidR="00A96D8A" w:rsidRPr="00455697" w:rsidRDefault="00A96D8A" w:rsidP="00A96D8A">
            <w:pPr>
              <w:jc w:val="both"/>
              <w:rPr>
                <w:sz w:val="20"/>
                <w:lang w:val="fr-CA"/>
              </w:rPr>
            </w:pPr>
            <w:r w:rsidRPr="00455697">
              <w:rPr>
                <w:sz w:val="20"/>
                <w:lang w:val="fr-CA"/>
              </w:rPr>
              <w:t>Cour suprême du Canada</w:t>
            </w: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jc w:val="both"/>
              <w:rPr>
                <w:sz w:val="20"/>
                <w:lang w:val="fr-CA"/>
              </w:rPr>
            </w:pPr>
            <w:r w:rsidRPr="00455697">
              <w:rPr>
                <w:sz w:val="20"/>
                <w:lang w:val="fr-CA"/>
              </w:rPr>
              <w:t>La demande d’autorisation d’appel est présentée.</w:t>
            </w:r>
          </w:p>
          <w:p w:rsidR="00A96D8A" w:rsidRPr="00455697" w:rsidRDefault="00A96D8A" w:rsidP="00A96D8A">
            <w:pPr>
              <w:jc w:val="both"/>
              <w:rPr>
                <w:sz w:val="20"/>
                <w:lang w:val="fr-CA"/>
              </w:rPr>
            </w:pPr>
          </w:p>
        </w:tc>
      </w:tr>
    </w:tbl>
    <w:p w:rsidR="00A96D8A" w:rsidRPr="00455697" w:rsidRDefault="00A96D8A" w:rsidP="00A96D8A">
      <w:pPr>
        <w:jc w:val="both"/>
        <w:rPr>
          <w:sz w:val="20"/>
          <w:lang w:val="fr-CA"/>
        </w:rPr>
      </w:pPr>
    </w:p>
    <w:p w:rsidR="00A96D8A" w:rsidRPr="00455697" w:rsidRDefault="00455697" w:rsidP="00A96D8A">
      <w:pPr>
        <w:jc w:val="both"/>
        <w:rPr>
          <w:sz w:val="20"/>
          <w:lang w:val="fr-CA"/>
        </w:rPr>
      </w:pPr>
      <w:r w:rsidRPr="00455697">
        <w:rPr>
          <w:sz w:val="20"/>
        </w:rPr>
        <w:pict>
          <v:rect id="_x0000_i1030" style="width:2in;height:1pt" o:hrpct="0" o:hralign="center" o:hrstd="t" o:hrnoshade="t" o:hr="t" fillcolor="black [3213]" stroked="f"/>
        </w:pict>
      </w:r>
    </w:p>
    <w:p w:rsidR="00A96D8A" w:rsidRPr="00455697" w:rsidRDefault="00A96D8A" w:rsidP="00A96D8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6D8A" w:rsidRPr="00455697" w:rsidTr="00E95A6A">
        <w:tc>
          <w:tcPr>
            <w:tcW w:w="543" w:type="pct"/>
          </w:tcPr>
          <w:p w:rsidR="00A96D8A" w:rsidRPr="00455697" w:rsidRDefault="00A96D8A" w:rsidP="00A96D8A">
            <w:pPr>
              <w:jc w:val="both"/>
              <w:rPr>
                <w:sz w:val="20"/>
              </w:rPr>
            </w:pPr>
            <w:r w:rsidRPr="00455697">
              <w:rPr>
                <w:rStyle w:val="SCCFileNumberChar"/>
                <w:sz w:val="20"/>
                <w:szCs w:val="20"/>
              </w:rPr>
              <w:t>40628</w:t>
            </w:r>
          </w:p>
        </w:tc>
        <w:tc>
          <w:tcPr>
            <w:tcW w:w="4457" w:type="pct"/>
            <w:gridSpan w:val="3"/>
          </w:tcPr>
          <w:p w:rsidR="00A96D8A" w:rsidRPr="00455697" w:rsidRDefault="00A96D8A" w:rsidP="00A96D8A">
            <w:pPr>
              <w:pStyle w:val="SCCLsocParty"/>
              <w:jc w:val="both"/>
              <w:rPr>
                <w:b/>
                <w:sz w:val="20"/>
                <w:szCs w:val="20"/>
                <w:lang w:val="en-US"/>
              </w:rPr>
            </w:pPr>
            <w:r w:rsidRPr="00455697">
              <w:rPr>
                <w:b/>
                <w:sz w:val="20"/>
                <w:szCs w:val="20"/>
                <w:lang w:val="en-US"/>
              </w:rPr>
              <w:t>Samson Aristor v. His Majesty the King</w:t>
            </w:r>
          </w:p>
          <w:p w:rsidR="00A96D8A" w:rsidRPr="00455697" w:rsidRDefault="00A96D8A" w:rsidP="00A96D8A">
            <w:pPr>
              <w:jc w:val="both"/>
              <w:rPr>
                <w:sz w:val="20"/>
              </w:rPr>
            </w:pPr>
            <w:r w:rsidRPr="00455697">
              <w:rPr>
                <w:sz w:val="20"/>
              </w:rPr>
              <w:t>(Ont.) (Criminal) (By Leave)</w:t>
            </w:r>
          </w:p>
        </w:tc>
      </w:tr>
      <w:tr w:rsidR="00A96D8A" w:rsidRPr="00455697" w:rsidTr="00E95A6A">
        <w:tc>
          <w:tcPr>
            <w:tcW w:w="5000" w:type="pct"/>
            <w:gridSpan w:val="4"/>
          </w:tcPr>
          <w:p w:rsidR="00A96D8A" w:rsidRPr="00455697" w:rsidRDefault="00A96D8A" w:rsidP="00A96D8A">
            <w:pPr>
              <w:jc w:val="both"/>
              <w:rPr>
                <w:sz w:val="20"/>
              </w:rPr>
            </w:pPr>
            <w:r w:rsidRPr="00455697">
              <w:rPr>
                <w:sz w:val="20"/>
              </w:rPr>
              <w:t>Criminal law — Defences —Accident — Charge to jury — Does the defence of accident (unintended act) require defendant’s conduct to be involuntary in order for the consequences of that conduct to be accidental — When weighing circumstantial evidence to determine whether there is an air of reality to a defence, can the subjective impression of a witness be used to contradict objective evidence that supports the defence?</w:t>
            </w:r>
          </w:p>
        </w:tc>
      </w:tr>
      <w:tr w:rsidR="00A96D8A" w:rsidRPr="00455697" w:rsidTr="00E95A6A">
        <w:tc>
          <w:tcPr>
            <w:tcW w:w="5000" w:type="pct"/>
            <w:gridSpan w:val="4"/>
          </w:tcPr>
          <w:p w:rsidR="00A96D8A" w:rsidRPr="00455697" w:rsidRDefault="00A96D8A" w:rsidP="00A96D8A">
            <w:pPr>
              <w:jc w:val="both"/>
              <w:rPr>
                <w:sz w:val="20"/>
              </w:rPr>
            </w:pPr>
          </w:p>
          <w:p w:rsidR="00A96D8A" w:rsidRPr="00455697" w:rsidRDefault="00A96D8A" w:rsidP="00A96D8A">
            <w:pPr>
              <w:jc w:val="both"/>
              <w:rPr>
                <w:sz w:val="20"/>
              </w:rPr>
            </w:pPr>
            <w:r w:rsidRPr="00455697">
              <w:rPr>
                <w:color w:val="000000"/>
                <w:sz w:val="20"/>
              </w:rPr>
              <w:t>Mr. Aristor and a friend were punched, kicked and knocked to the ground by a group of assailants outside a nightclub. Bystanders intervened and the assailants walked away. Mr. Aristor got up and ran towards the group of assailants holding a knife. One of the assailants received a fatal stab wound. Mr. Aristor changed direction and ran away. A jury convicted Mr. Aristor of second degree murder. The Court of Appeal dismissed an appeal.</w:t>
            </w:r>
          </w:p>
        </w:tc>
      </w:tr>
      <w:tr w:rsidR="00A96D8A" w:rsidRPr="00455697" w:rsidTr="00E95A6A">
        <w:tc>
          <w:tcPr>
            <w:tcW w:w="5000" w:type="pct"/>
            <w:gridSpan w:val="4"/>
          </w:tcPr>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October 16, 2018</w:t>
            </w:r>
          </w:p>
          <w:p w:rsidR="00A96D8A" w:rsidRPr="00455697" w:rsidRDefault="00A96D8A" w:rsidP="00A96D8A">
            <w:pPr>
              <w:jc w:val="both"/>
              <w:rPr>
                <w:sz w:val="20"/>
              </w:rPr>
            </w:pPr>
            <w:r w:rsidRPr="00455697">
              <w:rPr>
                <w:sz w:val="20"/>
              </w:rPr>
              <w:t>Ontario Superior Court of Justice</w:t>
            </w:r>
          </w:p>
          <w:p w:rsidR="00A96D8A" w:rsidRPr="00455697" w:rsidRDefault="00A96D8A" w:rsidP="00A96D8A">
            <w:pPr>
              <w:jc w:val="both"/>
              <w:rPr>
                <w:sz w:val="20"/>
              </w:rPr>
            </w:pPr>
            <w:r w:rsidRPr="00455697">
              <w:rPr>
                <w:sz w:val="20"/>
              </w:rPr>
              <w:t>(Arrell J.)(Unreported)</w:t>
            </w:r>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Conviction by jury for second degree murder</w:t>
            </w: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October 21, 2022</w:t>
            </w:r>
          </w:p>
          <w:p w:rsidR="00A96D8A" w:rsidRPr="00455697" w:rsidRDefault="00A96D8A" w:rsidP="00A96D8A">
            <w:pPr>
              <w:jc w:val="both"/>
              <w:rPr>
                <w:sz w:val="20"/>
              </w:rPr>
            </w:pPr>
            <w:r w:rsidRPr="00455697">
              <w:rPr>
                <w:sz w:val="20"/>
              </w:rPr>
              <w:t>Court of Appeal for Ontario</w:t>
            </w:r>
          </w:p>
          <w:p w:rsidR="00A96D8A" w:rsidRPr="00455697" w:rsidRDefault="00A96D8A" w:rsidP="00A96D8A">
            <w:pPr>
              <w:jc w:val="both"/>
              <w:rPr>
                <w:sz w:val="20"/>
              </w:rPr>
            </w:pPr>
            <w:r w:rsidRPr="00455697">
              <w:rPr>
                <w:sz w:val="20"/>
              </w:rPr>
              <w:t>(Benotto, Miller, Coroza JJ.A.)</w:t>
            </w:r>
          </w:p>
          <w:p w:rsidR="00A96D8A" w:rsidRPr="00455697" w:rsidRDefault="00455697" w:rsidP="00A96D8A">
            <w:pPr>
              <w:jc w:val="both"/>
              <w:rPr>
                <w:sz w:val="20"/>
              </w:rPr>
            </w:pPr>
            <w:hyperlink r:id="rId24" w:history="1">
              <w:r w:rsidR="00A96D8A" w:rsidRPr="00455697">
                <w:rPr>
                  <w:rStyle w:val="Hyperlink"/>
                  <w:sz w:val="20"/>
                </w:rPr>
                <w:t>2022 ONCA 719</w:t>
              </w:r>
            </w:hyperlink>
            <w:r w:rsidR="00A96D8A" w:rsidRPr="00455697">
              <w:rPr>
                <w:sz w:val="20"/>
              </w:rPr>
              <w:t xml:space="preserve">; C69615 </w:t>
            </w:r>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Appeal dismissed</w:t>
            </w: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February 22, 2023</w:t>
            </w:r>
          </w:p>
          <w:p w:rsidR="00A96D8A" w:rsidRPr="00455697" w:rsidRDefault="00A96D8A" w:rsidP="00A96D8A">
            <w:pPr>
              <w:jc w:val="both"/>
              <w:rPr>
                <w:sz w:val="20"/>
              </w:rPr>
            </w:pPr>
            <w:r w:rsidRPr="00455697">
              <w:rPr>
                <w:sz w:val="20"/>
              </w:rPr>
              <w:t>Supreme Court of Canada</w:t>
            </w:r>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Motion for extension of time to serve and file application for leave to appeal and application for leave to appeal filed</w:t>
            </w:r>
          </w:p>
        </w:tc>
      </w:tr>
    </w:tbl>
    <w:p w:rsidR="00A96D8A" w:rsidRPr="00455697" w:rsidRDefault="00A96D8A" w:rsidP="00A96D8A">
      <w:pPr>
        <w:jc w:val="both"/>
        <w:rPr>
          <w:sz w:val="20"/>
        </w:rPr>
      </w:pPr>
    </w:p>
    <w:p w:rsidR="00A96D8A" w:rsidRPr="00455697" w:rsidRDefault="00455697" w:rsidP="00A96D8A">
      <w:pPr>
        <w:jc w:val="both"/>
        <w:rPr>
          <w:sz w:val="20"/>
        </w:rPr>
      </w:pPr>
      <w:r w:rsidRPr="00455697">
        <w:rPr>
          <w:sz w:val="20"/>
        </w:rPr>
        <w:pict>
          <v:rect id="_x0000_i1031" style="width:2in;height:1pt" o:hrpct="0" o:hralign="center" o:hrstd="t" o:hrnoshade="t" o:hr="t" fillcolor="black [3213]" stroked="f"/>
        </w:pict>
      </w:r>
    </w:p>
    <w:p w:rsidR="00A96D8A" w:rsidRPr="00455697" w:rsidRDefault="00A96D8A" w:rsidP="00A96D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6D8A" w:rsidRPr="00455697" w:rsidTr="00E95A6A">
        <w:tc>
          <w:tcPr>
            <w:tcW w:w="543" w:type="pct"/>
          </w:tcPr>
          <w:p w:rsidR="00A96D8A" w:rsidRPr="00455697" w:rsidRDefault="00A96D8A" w:rsidP="00A96D8A">
            <w:pPr>
              <w:jc w:val="both"/>
              <w:rPr>
                <w:sz w:val="20"/>
                <w:lang w:val="fr-CA"/>
              </w:rPr>
            </w:pPr>
            <w:r w:rsidRPr="00455697">
              <w:rPr>
                <w:rStyle w:val="SCCFileNumberChar"/>
                <w:sz w:val="20"/>
                <w:szCs w:val="20"/>
                <w:lang w:val="fr-CA"/>
              </w:rPr>
              <w:t>40628</w:t>
            </w:r>
          </w:p>
        </w:tc>
        <w:tc>
          <w:tcPr>
            <w:tcW w:w="4457" w:type="pct"/>
            <w:gridSpan w:val="3"/>
          </w:tcPr>
          <w:p w:rsidR="00A96D8A" w:rsidRPr="00455697" w:rsidRDefault="00A96D8A" w:rsidP="00A96D8A">
            <w:pPr>
              <w:pStyle w:val="SCCLsocParty"/>
              <w:jc w:val="both"/>
              <w:rPr>
                <w:b/>
                <w:sz w:val="20"/>
                <w:szCs w:val="20"/>
              </w:rPr>
            </w:pPr>
            <w:r w:rsidRPr="00455697">
              <w:rPr>
                <w:b/>
                <w:sz w:val="20"/>
                <w:szCs w:val="20"/>
              </w:rPr>
              <w:t>Samson Aristor c. Sa Majesté le Roi</w:t>
            </w:r>
          </w:p>
          <w:p w:rsidR="00A96D8A" w:rsidRPr="00455697" w:rsidRDefault="00A96D8A" w:rsidP="00A96D8A">
            <w:pPr>
              <w:jc w:val="both"/>
              <w:rPr>
                <w:sz w:val="20"/>
                <w:lang w:val="fr-CA"/>
              </w:rPr>
            </w:pPr>
            <w:r w:rsidRPr="00455697">
              <w:rPr>
                <w:sz w:val="20"/>
                <w:lang w:val="fr-CA"/>
              </w:rPr>
              <w:t>(Ont.) (Criminelle) (Sur autorisation)</w:t>
            </w:r>
          </w:p>
        </w:tc>
      </w:tr>
      <w:tr w:rsidR="00A96D8A" w:rsidRPr="00455697" w:rsidTr="00E95A6A">
        <w:tc>
          <w:tcPr>
            <w:tcW w:w="5000" w:type="pct"/>
            <w:gridSpan w:val="4"/>
          </w:tcPr>
          <w:p w:rsidR="00A96D8A" w:rsidRPr="00455697" w:rsidRDefault="00A96D8A" w:rsidP="00A96D8A">
            <w:pPr>
              <w:jc w:val="both"/>
              <w:rPr>
                <w:sz w:val="20"/>
                <w:lang w:val="fr-CA"/>
              </w:rPr>
            </w:pPr>
            <w:r w:rsidRPr="00455697">
              <w:rPr>
                <w:sz w:val="20"/>
                <w:lang w:val="fr-CA"/>
              </w:rPr>
              <w:t>Droit criminel — Moyens de défense — Accident — Exposé au jury — Le moyen de défense d’accident (acte involontaire) exige-t-il que la conduite du défendeur soit involontaire pour que les conséquences de cette conduite soient accidentelles ? — Lors de l’appréciation de la preuve circonstancielle afin de déterminer si un moyen de défense a une certaine vraisemblance, l’interprétation subjective d’un témoin peut-elle être utilisée pour contredire de la preuve objective à l’appui du moyen de défense ?</w:t>
            </w:r>
          </w:p>
        </w:tc>
      </w:tr>
      <w:tr w:rsidR="00A96D8A" w:rsidRPr="00455697" w:rsidTr="00E95A6A">
        <w:tc>
          <w:tcPr>
            <w:tcW w:w="5000" w:type="pct"/>
            <w:gridSpan w:val="4"/>
          </w:tcPr>
          <w:p w:rsidR="00A96D8A" w:rsidRPr="00455697" w:rsidRDefault="00A96D8A" w:rsidP="00A96D8A">
            <w:pPr>
              <w:jc w:val="both"/>
              <w:rPr>
                <w:sz w:val="20"/>
                <w:lang w:val="fr-CA"/>
              </w:rPr>
            </w:pPr>
          </w:p>
          <w:p w:rsidR="00A96D8A" w:rsidRPr="00455697" w:rsidRDefault="00A96D8A" w:rsidP="00A96D8A">
            <w:pPr>
              <w:jc w:val="both"/>
              <w:rPr>
                <w:sz w:val="20"/>
                <w:lang w:val="fr-CA"/>
              </w:rPr>
            </w:pPr>
            <w:r w:rsidRPr="00455697">
              <w:rPr>
                <w:color w:val="000000"/>
                <w:sz w:val="20"/>
                <w:lang w:val="fr-CA"/>
              </w:rPr>
              <w:t>À l’extérieur d’une boîte de nuit, un groupe d’agresseurs ont donné des coups de poing et des coups de pied à M. Aristor et à son ami, qui ont été projetés au sol. Des témoins sont intervenus et les agresseurs se sont éloignés à pied. Monsieur Aristor s’est levé et s’est mis à courir vers le groupe d’agresseurs, un couteau à la main. Un des agresseurs est décédé après avoir reçu un coup de couteau. Monsieur Aristor a changé de direction et s’est enfui à la course. Un jury a déclaré M. Aristor coupable de meurtre au deuxième degré. La Cour d’appel a rejeté l’appel.</w:t>
            </w:r>
          </w:p>
        </w:tc>
      </w:tr>
      <w:tr w:rsidR="00A96D8A" w:rsidRPr="00455697" w:rsidTr="00E95A6A">
        <w:tc>
          <w:tcPr>
            <w:tcW w:w="5000" w:type="pct"/>
            <w:gridSpan w:val="4"/>
          </w:tcPr>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16 octobre 2018</w:t>
            </w:r>
          </w:p>
          <w:p w:rsidR="00A96D8A" w:rsidRPr="00455697" w:rsidRDefault="00A96D8A" w:rsidP="00A96D8A">
            <w:pPr>
              <w:jc w:val="both"/>
              <w:rPr>
                <w:sz w:val="20"/>
                <w:lang w:val="fr-CA"/>
              </w:rPr>
            </w:pPr>
            <w:r w:rsidRPr="00455697">
              <w:rPr>
                <w:sz w:val="20"/>
                <w:lang w:val="fr-CA"/>
              </w:rPr>
              <w:t>Cour supérieure de justice de l’Ontario</w:t>
            </w:r>
          </w:p>
          <w:p w:rsidR="00A96D8A" w:rsidRPr="00455697" w:rsidRDefault="00A96D8A" w:rsidP="00A96D8A">
            <w:pPr>
              <w:jc w:val="both"/>
              <w:rPr>
                <w:sz w:val="20"/>
                <w:lang w:val="fr-CA"/>
              </w:rPr>
            </w:pPr>
            <w:r w:rsidRPr="00455697">
              <w:rPr>
                <w:sz w:val="20"/>
                <w:lang w:val="fr-CA"/>
              </w:rPr>
              <w:t>(juge Arrell) (non publié)</w:t>
            </w:r>
          </w:p>
          <w:p w:rsidR="00A96D8A" w:rsidRPr="00455697" w:rsidRDefault="00A96D8A" w:rsidP="00A96D8A">
            <w:pPr>
              <w:jc w:val="both"/>
              <w:rPr>
                <w:sz w:val="20"/>
                <w:lang w:val="fr-CA"/>
              </w:rPr>
            </w:pP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jc w:val="both"/>
              <w:rPr>
                <w:sz w:val="20"/>
                <w:lang w:val="fr-CA"/>
              </w:rPr>
            </w:pPr>
            <w:r w:rsidRPr="00455697">
              <w:rPr>
                <w:sz w:val="20"/>
                <w:lang w:val="fr-CA"/>
              </w:rPr>
              <w:t>Le jury déclare l’accusé coupable de meurtre au deuxième degré.</w:t>
            </w:r>
          </w:p>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21 octobre 2022</w:t>
            </w:r>
          </w:p>
          <w:p w:rsidR="00A96D8A" w:rsidRPr="00455697" w:rsidRDefault="00A96D8A" w:rsidP="00A96D8A">
            <w:pPr>
              <w:jc w:val="both"/>
              <w:rPr>
                <w:sz w:val="20"/>
                <w:lang w:val="fr-CA"/>
              </w:rPr>
            </w:pPr>
            <w:r w:rsidRPr="00455697">
              <w:rPr>
                <w:sz w:val="20"/>
                <w:lang w:val="fr-CA"/>
              </w:rPr>
              <w:t>Cour d’appel de l’Ontario</w:t>
            </w:r>
          </w:p>
          <w:p w:rsidR="00A96D8A" w:rsidRPr="00455697" w:rsidRDefault="00A96D8A" w:rsidP="00A96D8A">
            <w:pPr>
              <w:jc w:val="both"/>
              <w:rPr>
                <w:sz w:val="20"/>
                <w:lang w:val="fr-CA"/>
              </w:rPr>
            </w:pPr>
            <w:r w:rsidRPr="00455697">
              <w:rPr>
                <w:sz w:val="20"/>
                <w:lang w:val="fr-CA"/>
              </w:rPr>
              <w:t>(juges Benotto, Miller, Coroza)</w:t>
            </w:r>
          </w:p>
          <w:p w:rsidR="00A96D8A" w:rsidRPr="00455697" w:rsidRDefault="00455697" w:rsidP="00A96D8A">
            <w:pPr>
              <w:jc w:val="both"/>
              <w:rPr>
                <w:sz w:val="20"/>
                <w:lang w:val="fr-CA"/>
              </w:rPr>
            </w:pPr>
            <w:hyperlink r:id="rId25" w:history="1">
              <w:r w:rsidR="00A96D8A" w:rsidRPr="00455697">
                <w:rPr>
                  <w:rStyle w:val="Hyperlink"/>
                  <w:sz w:val="20"/>
                  <w:lang w:val="fr-CA"/>
                </w:rPr>
                <w:t>2022 ONCA 719</w:t>
              </w:r>
            </w:hyperlink>
            <w:r w:rsidR="00A96D8A" w:rsidRPr="00455697">
              <w:rPr>
                <w:sz w:val="20"/>
                <w:lang w:val="fr-CA"/>
              </w:rPr>
              <w:t xml:space="preserve">; C69615 </w:t>
            </w:r>
          </w:p>
          <w:p w:rsidR="00A96D8A" w:rsidRPr="00455697" w:rsidRDefault="00A96D8A" w:rsidP="00A96D8A">
            <w:pPr>
              <w:jc w:val="both"/>
              <w:rPr>
                <w:sz w:val="20"/>
                <w:lang w:val="fr-CA"/>
              </w:rPr>
            </w:pP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jc w:val="both"/>
              <w:rPr>
                <w:sz w:val="20"/>
                <w:lang w:val="fr-CA"/>
              </w:rPr>
            </w:pPr>
            <w:r w:rsidRPr="00455697">
              <w:rPr>
                <w:sz w:val="20"/>
                <w:lang w:val="fr-CA"/>
              </w:rPr>
              <w:t>L’appel est rejeté.</w:t>
            </w:r>
          </w:p>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22 février 2023</w:t>
            </w:r>
          </w:p>
          <w:p w:rsidR="00A96D8A" w:rsidRPr="00455697" w:rsidRDefault="00A96D8A" w:rsidP="00A96D8A">
            <w:pPr>
              <w:jc w:val="both"/>
              <w:rPr>
                <w:sz w:val="20"/>
                <w:lang w:val="fr-CA"/>
              </w:rPr>
            </w:pPr>
            <w:r w:rsidRPr="00455697">
              <w:rPr>
                <w:sz w:val="20"/>
                <w:lang w:val="fr-CA"/>
              </w:rPr>
              <w:t>Cour suprême du Canada</w:t>
            </w:r>
          </w:p>
          <w:p w:rsidR="00A96D8A" w:rsidRPr="00455697" w:rsidRDefault="00A96D8A" w:rsidP="00A96D8A">
            <w:pPr>
              <w:jc w:val="both"/>
              <w:rPr>
                <w:sz w:val="20"/>
                <w:lang w:val="fr-CA"/>
              </w:rPr>
            </w:pP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jc w:val="both"/>
              <w:rPr>
                <w:sz w:val="20"/>
                <w:lang w:val="fr-CA"/>
              </w:rPr>
            </w:pPr>
            <w:r w:rsidRPr="00455697">
              <w:rPr>
                <w:sz w:val="20"/>
                <w:lang w:val="fr-CA"/>
              </w:rPr>
              <w:t>La requête en prorogation du délai pour signifier et déposer la demande d’autorisation d’appel et la demande d’autorisation d’appel sont présentées.</w:t>
            </w:r>
          </w:p>
        </w:tc>
      </w:tr>
    </w:tbl>
    <w:p w:rsidR="00A96D8A" w:rsidRPr="00455697" w:rsidRDefault="00A96D8A" w:rsidP="00A96D8A">
      <w:pPr>
        <w:jc w:val="both"/>
        <w:rPr>
          <w:sz w:val="20"/>
          <w:lang w:val="fr-CA"/>
        </w:rPr>
      </w:pPr>
    </w:p>
    <w:p w:rsidR="00A96D8A" w:rsidRPr="00455697" w:rsidRDefault="00455697" w:rsidP="00A96D8A">
      <w:pPr>
        <w:jc w:val="both"/>
        <w:rPr>
          <w:sz w:val="20"/>
          <w:lang w:val="fr-CA"/>
        </w:rPr>
      </w:pPr>
      <w:r w:rsidRPr="00455697">
        <w:rPr>
          <w:sz w:val="20"/>
        </w:rPr>
        <w:pict>
          <v:rect id="_x0000_i1032" style="width:2in;height:1pt" o:hrpct="0" o:hralign="center" o:hrstd="t" o:hrnoshade="t" o:hr="t" fillcolor="black [3213]" stroked="f"/>
        </w:pict>
      </w:r>
    </w:p>
    <w:p w:rsidR="00A96D8A" w:rsidRPr="00455697" w:rsidRDefault="00A96D8A" w:rsidP="00A96D8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6D8A" w:rsidRPr="00455697" w:rsidTr="00E95A6A">
        <w:tc>
          <w:tcPr>
            <w:tcW w:w="543" w:type="pct"/>
          </w:tcPr>
          <w:p w:rsidR="00A96D8A" w:rsidRPr="00455697" w:rsidRDefault="00A96D8A" w:rsidP="00A96D8A">
            <w:pPr>
              <w:jc w:val="both"/>
              <w:rPr>
                <w:sz w:val="20"/>
              </w:rPr>
            </w:pPr>
            <w:r w:rsidRPr="00455697">
              <w:rPr>
                <w:rStyle w:val="SCCFileNumberChar"/>
                <w:sz w:val="20"/>
                <w:szCs w:val="20"/>
              </w:rPr>
              <w:t>40339</w:t>
            </w:r>
          </w:p>
        </w:tc>
        <w:tc>
          <w:tcPr>
            <w:tcW w:w="4457" w:type="pct"/>
            <w:gridSpan w:val="3"/>
          </w:tcPr>
          <w:p w:rsidR="00A96D8A" w:rsidRPr="00455697" w:rsidRDefault="00A96D8A" w:rsidP="00A96D8A">
            <w:pPr>
              <w:pStyle w:val="SCCLsocParty"/>
              <w:jc w:val="both"/>
              <w:rPr>
                <w:b/>
                <w:sz w:val="20"/>
                <w:szCs w:val="20"/>
                <w:lang w:val="en-US"/>
              </w:rPr>
            </w:pPr>
            <w:r w:rsidRPr="00455697">
              <w:rPr>
                <w:b/>
                <w:sz w:val="20"/>
                <w:szCs w:val="20"/>
                <w:lang w:val="en-US"/>
              </w:rPr>
              <w:t>His Majesty the King v. Warren Boyer</w:t>
            </w:r>
          </w:p>
          <w:p w:rsidR="00A96D8A" w:rsidRPr="00455697" w:rsidRDefault="00A96D8A" w:rsidP="00A96D8A">
            <w:pPr>
              <w:pStyle w:val="SCCLsocSubfileSeparator"/>
              <w:rPr>
                <w:sz w:val="20"/>
                <w:szCs w:val="20"/>
              </w:rPr>
            </w:pPr>
            <w:r w:rsidRPr="00455697">
              <w:rPr>
                <w:sz w:val="20"/>
                <w:szCs w:val="20"/>
              </w:rPr>
              <w:t>- and between -</w:t>
            </w:r>
          </w:p>
          <w:p w:rsidR="00A96D8A" w:rsidRPr="00455697" w:rsidRDefault="00A96D8A" w:rsidP="00A96D8A">
            <w:pPr>
              <w:pStyle w:val="SCCLsocParty"/>
              <w:jc w:val="both"/>
              <w:rPr>
                <w:b/>
                <w:sz w:val="20"/>
                <w:szCs w:val="20"/>
                <w:lang w:val="en-US"/>
              </w:rPr>
            </w:pPr>
            <w:r w:rsidRPr="00455697">
              <w:rPr>
                <w:b/>
                <w:sz w:val="20"/>
                <w:szCs w:val="20"/>
                <w:lang w:val="en-US"/>
              </w:rPr>
              <w:t>His Majesty the King v. Oliver Poitras</w:t>
            </w:r>
          </w:p>
          <w:p w:rsidR="00A96D8A" w:rsidRPr="00455697" w:rsidRDefault="00A96D8A" w:rsidP="00A96D8A">
            <w:pPr>
              <w:jc w:val="both"/>
              <w:rPr>
                <w:sz w:val="20"/>
              </w:rPr>
            </w:pPr>
            <w:r w:rsidRPr="00455697">
              <w:rPr>
                <w:sz w:val="20"/>
              </w:rPr>
              <w:t>(Sask.) (Civil) (By Leave)</w:t>
            </w:r>
          </w:p>
        </w:tc>
      </w:tr>
      <w:tr w:rsidR="00A96D8A" w:rsidRPr="00455697" w:rsidTr="00A96D8A">
        <w:trPr>
          <w:trHeight w:val="1935"/>
        </w:trPr>
        <w:tc>
          <w:tcPr>
            <w:tcW w:w="5000" w:type="pct"/>
            <w:gridSpan w:val="4"/>
          </w:tcPr>
          <w:p w:rsidR="00A96D8A" w:rsidRPr="00455697" w:rsidRDefault="00A96D8A" w:rsidP="00A96D8A">
            <w:pPr>
              <w:jc w:val="both"/>
              <w:rPr>
                <w:sz w:val="20"/>
              </w:rPr>
            </w:pPr>
            <w:r w:rsidRPr="00455697">
              <w:rPr>
                <w:sz w:val="20"/>
              </w:rPr>
              <w:t xml:space="preserve">Aboriginal law — Aboriginal rights — Fishing — Hunting — Métis — Respondents found guilty of unlawfully fishing and hunting — Respondents raising Métis harvesting rights under s. 35(1) of </w:t>
            </w:r>
            <w:r w:rsidRPr="00455697">
              <w:rPr>
                <w:i/>
                <w:sz w:val="20"/>
              </w:rPr>
              <w:t>Constitution Act, 1982</w:t>
            </w:r>
            <w:r w:rsidRPr="00455697">
              <w:rPr>
                <w:sz w:val="20"/>
              </w:rPr>
              <w:t>,</w:t>
            </w:r>
            <w:r w:rsidRPr="00455697">
              <w:rPr>
                <w:i/>
                <w:sz w:val="20"/>
              </w:rPr>
              <w:t xml:space="preserve"> </w:t>
            </w:r>
            <w:r w:rsidRPr="00455697">
              <w:rPr>
                <w:sz w:val="20"/>
              </w:rPr>
              <w:t xml:space="preserve">as defence — Trial judge narrowing claim to specific geographic areas — Court of Appeal finding trial judge erred in interpreting </w:t>
            </w:r>
            <w:r w:rsidRPr="00455697">
              <w:rPr>
                <w:i/>
                <w:sz w:val="20"/>
              </w:rPr>
              <w:t>R. v. Powley</w:t>
            </w:r>
            <w:r w:rsidRPr="00455697">
              <w:rPr>
                <w:sz w:val="20"/>
              </w:rPr>
              <w:t xml:space="preserve">, 2003 SCC 43, [2003] 2 S.C.R. 207, and ordering new trial — Whether Court of Appeal made several errors in applying </w:t>
            </w:r>
            <w:r w:rsidRPr="00455697">
              <w:rPr>
                <w:i/>
                <w:sz w:val="20"/>
              </w:rPr>
              <w:t>Powley</w:t>
            </w:r>
            <w:r w:rsidRPr="00455697">
              <w:rPr>
                <w:sz w:val="20"/>
              </w:rPr>
              <w:t xml:space="preserve"> test in this case and contradicted approaches taken by courts in other jurisdictions to Métis rights claims — Whether Aboriginal rights claims can be brought in relation to vast geographical areas — Whether Aboriginal rights may be asserted on behalf of one Indigenous entity or Métis Nation, or whether such rights are specific to each community and are to be determined on a case-by-case basis — Whether broad Aboriginal rights claims should be allowed in regulatory prosecutions — </w:t>
            </w:r>
            <w:r w:rsidRPr="00455697">
              <w:rPr>
                <w:i/>
                <w:sz w:val="20"/>
              </w:rPr>
              <w:t>Constitution Act, 1982</w:t>
            </w:r>
            <w:r w:rsidRPr="00455697">
              <w:rPr>
                <w:sz w:val="20"/>
              </w:rPr>
              <w:t>, s. 35.</w:t>
            </w:r>
          </w:p>
        </w:tc>
      </w:tr>
      <w:tr w:rsidR="00A96D8A" w:rsidRPr="00455697" w:rsidTr="00E95A6A">
        <w:tc>
          <w:tcPr>
            <w:tcW w:w="5000" w:type="pct"/>
            <w:gridSpan w:val="4"/>
          </w:tcPr>
          <w:p w:rsidR="00A96D8A" w:rsidRPr="00455697" w:rsidRDefault="00A96D8A" w:rsidP="00A96D8A">
            <w:pPr>
              <w:jc w:val="both"/>
              <w:rPr>
                <w:sz w:val="20"/>
              </w:rPr>
            </w:pPr>
          </w:p>
          <w:p w:rsidR="00A96D8A" w:rsidRPr="00455697" w:rsidRDefault="00A96D8A" w:rsidP="00A96D8A">
            <w:pPr>
              <w:jc w:val="both"/>
              <w:rPr>
                <w:sz w:val="20"/>
              </w:rPr>
            </w:pPr>
            <w:r w:rsidRPr="00455697">
              <w:rPr>
                <w:sz w:val="20"/>
              </w:rPr>
              <w:t xml:space="preserve">The respondents, Warren Boyer and Oliver Poitras, were charged with unlawfully fishing and hunting after being found fishing and hunting for food, respectively, contrary to Saskatchewan fishing and hunting regulations. Both accused admitted the facts of the offences, but in defence they raised an Aboriginal right to fish/hunt for food which would be protected under s. 35(1) of the </w:t>
            </w:r>
            <w:r w:rsidRPr="00455697">
              <w:rPr>
                <w:i/>
                <w:sz w:val="20"/>
              </w:rPr>
              <w:t>Constitution Act, 1982</w:t>
            </w:r>
            <w:r w:rsidRPr="00455697">
              <w:rPr>
                <w:sz w:val="20"/>
              </w:rPr>
              <w:t xml:space="preserve">. Both accused claimed to have Métis harvesting rights in the geographic areas in which they were found fishing or hunting, and that such areas fall within the already-recognized regional historic rights-bearing Métis community of northwest Saskatchewan. </w:t>
            </w:r>
          </w:p>
          <w:p w:rsidR="00A96D8A" w:rsidRPr="00455697" w:rsidRDefault="00A96D8A" w:rsidP="00A96D8A">
            <w:pPr>
              <w:jc w:val="both"/>
              <w:rPr>
                <w:sz w:val="20"/>
              </w:rPr>
            </w:pPr>
          </w:p>
          <w:p w:rsidR="00A96D8A" w:rsidRPr="00455697" w:rsidRDefault="00A96D8A" w:rsidP="00A96D8A">
            <w:pPr>
              <w:jc w:val="both"/>
              <w:rPr>
                <w:sz w:val="20"/>
              </w:rPr>
            </w:pPr>
            <w:r w:rsidRPr="00455697">
              <w:rPr>
                <w:sz w:val="20"/>
              </w:rPr>
              <w:t xml:space="preserve">A Provincial Court judge issued a mid-trial ruling narrowing the scope of the claimed right to specific geographic areas only, and then convicted both accused, finding that they had not successfully demonstrated </w:t>
            </w:r>
            <w:proofErr w:type="gramStart"/>
            <w:r w:rsidRPr="00455697">
              <w:rPr>
                <w:sz w:val="20"/>
              </w:rPr>
              <w:t>a</w:t>
            </w:r>
            <w:proofErr w:type="gramEnd"/>
            <w:r w:rsidRPr="00455697">
              <w:rPr>
                <w:sz w:val="20"/>
              </w:rPr>
              <w:t xml:space="preserve"> s. 35 harvesting right in those areas. </w:t>
            </w:r>
          </w:p>
          <w:p w:rsidR="00A96D8A" w:rsidRPr="00455697" w:rsidRDefault="00A96D8A" w:rsidP="00A96D8A">
            <w:pPr>
              <w:jc w:val="both"/>
              <w:rPr>
                <w:sz w:val="20"/>
              </w:rPr>
            </w:pPr>
          </w:p>
          <w:p w:rsidR="00A96D8A" w:rsidRPr="00455697" w:rsidRDefault="00A96D8A" w:rsidP="00A96D8A">
            <w:pPr>
              <w:jc w:val="both"/>
              <w:rPr>
                <w:sz w:val="20"/>
              </w:rPr>
            </w:pPr>
            <w:r w:rsidRPr="00455697">
              <w:rPr>
                <w:sz w:val="20"/>
              </w:rPr>
              <w:t>The Court of Queen’s Bench dismissed summary conviction appeals filed by both accused, but the Court of Appeal unanimously allowed further appeals from both accused and ordered a new trial.</w:t>
            </w: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December 5, 2018</w:t>
            </w:r>
          </w:p>
          <w:p w:rsidR="00A96D8A" w:rsidRPr="00455697" w:rsidRDefault="00A96D8A" w:rsidP="00A96D8A">
            <w:pPr>
              <w:jc w:val="both"/>
              <w:rPr>
                <w:sz w:val="20"/>
              </w:rPr>
            </w:pPr>
            <w:r w:rsidRPr="00455697">
              <w:rPr>
                <w:sz w:val="20"/>
              </w:rPr>
              <w:t>Provincial Court of Saskatchewan</w:t>
            </w:r>
          </w:p>
          <w:p w:rsidR="00A96D8A" w:rsidRPr="00455697" w:rsidRDefault="00A96D8A" w:rsidP="00A96D8A">
            <w:pPr>
              <w:jc w:val="both"/>
              <w:rPr>
                <w:sz w:val="20"/>
              </w:rPr>
            </w:pPr>
            <w:r w:rsidRPr="00455697">
              <w:rPr>
                <w:sz w:val="20"/>
              </w:rPr>
              <w:t xml:space="preserve">(Kalenith J.) </w:t>
            </w:r>
          </w:p>
          <w:p w:rsidR="00A96D8A" w:rsidRPr="00455697" w:rsidRDefault="00A96D8A" w:rsidP="00A96D8A">
            <w:pPr>
              <w:jc w:val="both"/>
              <w:rPr>
                <w:sz w:val="20"/>
              </w:rPr>
            </w:pPr>
            <w:r w:rsidRPr="00455697">
              <w:rPr>
                <w:sz w:val="20"/>
              </w:rPr>
              <w:t xml:space="preserve">Neutral citation: </w:t>
            </w:r>
            <w:hyperlink r:id="rId26" w:history="1">
              <w:r w:rsidRPr="00455697">
                <w:rPr>
                  <w:rStyle w:val="Hyperlink"/>
                  <w:sz w:val="20"/>
                </w:rPr>
                <w:t>2018 SKPC 070</w:t>
              </w:r>
            </w:hyperlink>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Mr. Boyer found guilty of unlawfully fishing;</w:t>
            </w:r>
          </w:p>
          <w:p w:rsidR="00A96D8A" w:rsidRPr="00455697" w:rsidRDefault="00A96D8A" w:rsidP="00A96D8A">
            <w:pPr>
              <w:jc w:val="both"/>
              <w:rPr>
                <w:sz w:val="20"/>
              </w:rPr>
            </w:pPr>
            <w:r w:rsidRPr="00455697">
              <w:rPr>
                <w:sz w:val="20"/>
              </w:rPr>
              <w:t>Mr. Poitras found guilty of unlawfully hunting</w:t>
            </w: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February 10, 2020</w:t>
            </w:r>
          </w:p>
          <w:p w:rsidR="00A96D8A" w:rsidRPr="00455697" w:rsidRDefault="00A96D8A" w:rsidP="00A96D8A">
            <w:pPr>
              <w:jc w:val="both"/>
              <w:rPr>
                <w:sz w:val="20"/>
              </w:rPr>
            </w:pPr>
            <w:r w:rsidRPr="00455697">
              <w:rPr>
                <w:sz w:val="20"/>
              </w:rPr>
              <w:t>Court of Queen’s Bench of Saskatchewan</w:t>
            </w:r>
          </w:p>
          <w:p w:rsidR="00A96D8A" w:rsidRPr="00455697" w:rsidRDefault="00A96D8A" w:rsidP="00A96D8A">
            <w:pPr>
              <w:jc w:val="both"/>
              <w:rPr>
                <w:sz w:val="20"/>
              </w:rPr>
            </w:pPr>
            <w:r w:rsidRPr="00455697">
              <w:rPr>
                <w:sz w:val="20"/>
              </w:rPr>
              <w:t>(Battleford) (unreported decision)</w:t>
            </w:r>
          </w:p>
          <w:p w:rsidR="00A96D8A" w:rsidRPr="00455697" w:rsidRDefault="00A96D8A" w:rsidP="00A96D8A">
            <w:pPr>
              <w:jc w:val="both"/>
              <w:rPr>
                <w:sz w:val="20"/>
              </w:rPr>
            </w:pPr>
            <w:r w:rsidRPr="00455697">
              <w:rPr>
                <w:sz w:val="20"/>
              </w:rPr>
              <w:t>(Mills J.)</w:t>
            </w:r>
          </w:p>
          <w:p w:rsidR="00A96D8A" w:rsidRPr="00455697" w:rsidRDefault="00A96D8A" w:rsidP="00A96D8A">
            <w:pPr>
              <w:jc w:val="both"/>
              <w:rPr>
                <w:sz w:val="20"/>
              </w:rPr>
            </w:pPr>
            <w:r w:rsidRPr="00455697">
              <w:rPr>
                <w:sz w:val="20"/>
              </w:rPr>
              <w:t xml:space="preserve">File numbers: CRM 5/CRM 6 of 2019 </w:t>
            </w:r>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Appeals from convictions — dismissed</w:t>
            </w: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May 31, 2022</w:t>
            </w:r>
          </w:p>
          <w:p w:rsidR="00A96D8A" w:rsidRPr="00455697" w:rsidRDefault="00A96D8A" w:rsidP="00A96D8A">
            <w:pPr>
              <w:jc w:val="both"/>
              <w:rPr>
                <w:sz w:val="20"/>
              </w:rPr>
            </w:pPr>
            <w:r w:rsidRPr="00455697">
              <w:rPr>
                <w:sz w:val="20"/>
              </w:rPr>
              <w:t>Court of Appeal for Saskatchewan</w:t>
            </w:r>
          </w:p>
          <w:p w:rsidR="00A96D8A" w:rsidRPr="00455697" w:rsidRDefault="00A96D8A" w:rsidP="00A96D8A">
            <w:pPr>
              <w:jc w:val="both"/>
              <w:rPr>
                <w:sz w:val="20"/>
              </w:rPr>
            </w:pPr>
            <w:r w:rsidRPr="00455697">
              <w:rPr>
                <w:sz w:val="20"/>
              </w:rPr>
              <w:t>(Jackson, Whitmore and Kalmakoff JJ.A.)</w:t>
            </w:r>
          </w:p>
          <w:p w:rsidR="00A96D8A" w:rsidRPr="00455697" w:rsidRDefault="00A96D8A" w:rsidP="00A96D8A">
            <w:pPr>
              <w:jc w:val="both"/>
              <w:rPr>
                <w:sz w:val="20"/>
              </w:rPr>
            </w:pPr>
            <w:r w:rsidRPr="00455697">
              <w:rPr>
                <w:sz w:val="20"/>
              </w:rPr>
              <w:t xml:space="preserve">Neutral citation: </w:t>
            </w:r>
            <w:hyperlink r:id="rId27" w:history="1">
              <w:r w:rsidRPr="00455697">
                <w:rPr>
                  <w:rStyle w:val="Hyperlink"/>
                  <w:sz w:val="20"/>
                </w:rPr>
                <w:t>2022 SKCA 62</w:t>
              </w:r>
            </w:hyperlink>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Appeals allowed; new trial ordered</w:t>
            </w: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August 25, 2022</w:t>
            </w:r>
          </w:p>
          <w:p w:rsidR="00A96D8A" w:rsidRPr="00455697" w:rsidRDefault="00A96D8A" w:rsidP="00A96D8A">
            <w:pPr>
              <w:jc w:val="both"/>
              <w:rPr>
                <w:sz w:val="20"/>
              </w:rPr>
            </w:pPr>
            <w:r w:rsidRPr="00455697">
              <w:rPr>
                <w:sz w:val="20"/>
              </w:rPr>
              <w:t>Supreme Court of Canada</w:t>
            </w: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Crown’s application for leave to appeal filed</w:t>
            </w:r>
          </w:p>
          <w:p w:rsidR="00A96D8A" w:rsidRPr="00455697" w:rsidRDefault="00A96D8A" w:rsidP="00A96D8A">
            <w:pPr>
              <w:jc w:val="both"/>
              <w:rPr>
                <w:sz w:val="20"/>
              </w:rPr>
            </w:pPr>
          </w:p>
        </w:tc>
      </w:tr>
    </w:tbl>
    <w:p w:rsidR="00A96D8A" w:rsidRPr="00455697" w:rsidRDefault="00A96D8A" w:rsidP="00A96D8A">
      <w:pPr>
        <w:jc w:val="both"/>
        <w:rPr>
          <w:sz w:val="20"/>
        </w:rPr>
      </w:pPr>
    </w:p>
    <w:p w:rsidR="00A96D8A" w:rsidRPr="00455697" w:rsidRDefault="00455697" w:rsidP="00A96D8A">
      <w:pPr>
        <w:jc w:val="both"/>
        <w:rPr>
          <w:sz w:val="20"/>
        </w:rPr>
      </w:pPr>
      <w:r w:rsidRPr="00455697">
        <w:rPr>
          <w:sz w:val="20"/>
        </w:rPr>
        <w:pict>
          <v:rect id="_x0000_i1033" style="width:2in;height:1pt" o:hrpct="0" o:hralign="center" o:hrstd="t" o:hrnoshade="t" o:hr="t" fillcolor="black [3213]" stroked="f"/>
        </w:pict>
      </w:r>
    </w:p>
    <w:p w:rsidR="00A96D8A" w:rsidRPr="00455697" w:rsidRDefault="00A96D8A" w:rsidP="00A96D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6D8A" w:rsidRPr="00455697" w:rsidTr="00E95A6A">
        <w:tc>
          <w:tcPr>
            <w:tcW w:w="543" w:type="pct"/>
          </w:tcPr>
          <w:p w:rsidR="00A96D8A" w:rsidRPr="00455697" w:rsidRDefault="00A96D8A" w:rsidP="00A96D8A">
            <w:pPr>
              <w:jc w:val="both"/>
              <w:rPr>
                <w:sz w:val="20"/>
                <w:lang w:val="fr-CA"/>
              </w:rPr>
            </w:pPr>
            <w:r w:rsidRPr="00455697">
              <w:rPr>
                <w:rStyle w:val="SCCFileNumberChar"/>
                <w:sz w:val="20"/>
                <w:szCs w:val="20"/>
                <w:lang w:val="fr-CA"/>
              </w:rPr>
              <w:t>40339</w:t>
            </w:r>
          </w:p>
        </w:tc>
        <w:tc>
          <w:tcPr>
            <w:tcW w:w="4457" w:type="pct"/>
            <w:gridSpan w:val="3"/>
          </w:tcPr>
          <w:p w:rsidR="00A96D8A" w:rsidRPr="00455697" w:rsidRDefault="00A96D8A" w:rsidP="00A96D8A">
            <w:pPr>
              <w:pStyle w:val="SCCLsocParty"/>
              <w:jc w:val="both"/>
              <w:rPr>
                <w:b/>
                <w:sz w:val="20"/>
                <w:szCs w:val="20"/>
              </w:rPr>
            </w:pPr>
            <w:r w:rsidRPr="00455697">
              <w:rPr>
                <w:b/>
                <w:sz w:val="20"/>
                <w:szCs w:val="20"/>
              </w:rPr>
              <w:t>Sa Majesté le Roi c. Warren Boyer</w:t>
            </w:r>
          </w:p>
          <w:p w:rsidR="00A96D8A" w:rsidRPr="00455697" w:rsidRDefault="00A96D8A" w:rsidP="00A96D8A">
            <w:pPr>
              <w:pStyle w:val="SCCLsocSubfileSeparator"/>
              <w:rPr>
                <w:sz w:val="20"/>
                <w:szCs w:val="20"/>
                <w:lang w:val="fr-CA"/>
              </w:rPr>
            </w:pPr>
            <w:r w:rsidRPr="00455697">
              <w:rPr>
                <w:sz w:val="20"/>
                <w:szCs w:val="20"/>
                <w:lang w:val="fr-CA"/>
              </w:rPr>
              <w:t>- et entre -</w:t>
            </w:r>
          </w:p>
          <w:p w:rsidR="00A96D8A" w:rsidRPr="00455697" w:rsidRDefault="00A96D8A" w:rsidP="00A96D8A">
            <w:pPr>
              <w:pStyle w:val="SCCLsocParty"/>
              <w:jc w:val="both"/>
              <w:rPr>
                <w:b/>
                <w:sz w:val="20"/>
                <w:szCs w:val="20"/>
              </w:rPr>
            </w:pPr>
            <w:r w:rsidRPr="00455697">
              <w:rPr>
                <w:b/>
                <w:sz w:val="20"/>
                <w:szCs w:val="20"/>
              </w:rPr>
              <w:t>Sa Majesté le Roi c. Oliver Poitras</w:t>
            </w:r>
          </w:p>
          <w:p w:rsidR="00A96D8A" w:rsidRPr="00455697" w:rsidRDefault="00A96D8A" w:rsidP="00A96D8A">
            <w:pPr>
              <w:jc w:val="both"/>
              <w:rPr>
                <w:sz w:val="20"/>
                <w:lang w:val="fr-CA"/>
              </w:rPr>
            </w:pPr>
            <w:r w:rsidRPr="00455697">
              <w:rPr>
                <w:sz w:val="20"/>
                <w:lang w:val="fr-CA"/>
              </w:rPr>
              <w:t>(Sask.) (Civile) (Sur autorisation)</w:t>
            </w:r>
          </w:p>
        </w:tc>
      </w:tr>
      <w:tr w:rsidR="00A96D8A" w:rsidRPr="00455697" w:rsidTr="00DA23E3">
        <w:trPr>
          <w:trHeight w:val="2664"/>
        </w:trPr>
        <w:tc>
          <w:tcPr>
            <w:tcW w:w="5000" w:type="pct"/>
            <w:gridSpan w:val="4"/>
          </w:tcPr>
          <w:p w:rsidR="00A96D8A" w:rsidRPr="00455697" w:rsidRDefault="00A96D8A" w:rsidP="00A96D8A">
            <w:pPr>
              <w:jc w:val="both"/>
              <w:rPr>
                <w:sz w:val="20"/>
                <w:lang w:val="fr-CA"/>
              </w:rPr>
            </w:pPr>
            <w:r w:rsidRPr="00455697">
              <w:rPr>
                <w:sz w:val="20"/>
                <w:lang w:val="fr-CA"/>
              </w:rPr>
              <w:t xml:space="preserve">Droit des Autochtones — Droits ancestraux — Pêche — Chasse — Métis — Les intimés ont été déclarés coupables de pêche et de chasse illégales — Les intimés ont soulevé comme défense les droits de récolte garantis aux Métis en vertu du par. 35(1) de la </w:t>
            </w:r>
            <w:r w:rsidRPr="00455697">
              <w:rPr>
                <w:i/>
                <w:sz w:val="20"/>
                <w:lang w:val="fr-CA"/>
              </w:rPr>
              <w:t xml:space="preserve">Loi constitutionnelle de 1982 </w:t>
            </w:r>
            <w:r w:rsidRPr="00455697">
              <w:rPr>
                <w:sz w:val="20"/>
                <w:lang w:val="fr-CA"/>
              </w:rPr>
              <w:t xml:space="preserve">— Le juge du procès a restreint la portée de la revendication à des régions géographiques particulières — La Cour d’appel a conclu que le juge du procès a commis une erreur dans son interprétation de l’arrêt </w:t>
            </w:r>
            <w:r w:rsidRPr="00455697">
              <w:rPr>
                <w:i/>
                <w:sz w:val="20"/>
                <w:lang w:val="fr-CA"/>
              </w:rPr>
              <w:t>R. c. Powley</w:t>
            </w:r>
            <w:r w:rsidRPr="00455697">
              <w:rPr>
                <w:sz w:val="20"/>
                <w:lang w:val="fr-CA"/>
              </w:rPr>
              <w:t xml:space="preserve">, 2003 CSC 43, [2003] 2 R.C.S. 207, et a ordonné la tenue d’un nouveau procès — La Cour d’appel a-t-elle commis plusieurs erreurs en appliquant le critère établi dans l’arrêt </w:t>
            </w:r>
            <w:r w:rsidRPr="00455697">
              <w:rPr>
                <w:i/>
                <w:sz w:val="20"/>
                <w:lang w:val="fr-CA"/>
              </w:rPr>
              <w:t>Powley</w:t>
            </w:r>
            <w:r w:rsidRPr="00455697">
              <w:rPr>
                <w:sz w:val="20"/>
                <w:lang w:val="fr-CA"/>
              </w:rPr>
              <w:t xml:space="preserve"> aux faits de l’espèce et est-elle allée à l’encontre des approches adoptées par les tribunaux dans d’autres ressorts en ce qui a trait aux revendications des droits des Métis ? — Les revendications de droits ancestraux peuvent-elles être présentées par rapport à de vastes régions géographiques ? — Les droits ancestraux peuvent-ils être invoqués au nom d’une entité autochtone ou d’une nation métisse, ou sont-ils propres à chaque communauté, devant être déterminés au cas par cas ? — Les revendications générales de droits ancestraux devraient-elles être permises dans le cadre de poursuites pour des infractions règlementaires ? — </w:t>
            </w:r>
            <w:r w:rsidRPr="00455697">
              <w:rPr>
                <w:i/>
                <w:sz w:val="20"/>
                <w:lang w:val="fr-CA"/>
              </w:rPr>
              <w:t>Loi constitutionnelle de 1982</w:t>
            </w:r>
            <w:r w:rsidRPr="00455697">
              <w:rPr>
                <w:sz w:val="20"/>
                <w:lang w:val="fr-CA"/>
              </w:rPr>
              <w:t>, art. 35</w:t>
            </w:r>
          </w:p>
        </w:tc>
      </w:tr>
      <w:tr w:rsidR="00A96D8A" w:rsidRPr="00455697" w:rsidTr="00E95A6A">
        <w:tc>
          <w:tcPr>
            <w:tcW w:w="5000" w:type="pct"/>
            <w:gridSpan w:val="4"/>
          </w:tcPr>
          <w:p w:rsidR="00A96D8A" w:rsidRPr="00455697" w:rsidRDefault="00A96D8A" w:rsidP="00A96D8A">
            <w:pPr>
              <w:jc w:val="both"/>
              <w:rPr>
                <w:sz w:val="20"/>
                <w:lang w:val="fr-CA"/>
              </w:rPr>
            </w:pPr>
          </w:p>
          <w:p w:rsidR="00A96D8A" w:rsidRPr="00455697" w:rsidRDefault="00A96D8A" w:rsidP="00A96D8A">
            <w:pPr>
              <w:jc w:val="both"/>
              <w:rPr>
                <w:sz w:val="20"/>
                <w:lang w:val="fr-CA"/>
              </w:rPr>
            </w:pPr>
            <w:r w:rsidRPr="00455697">
              <w:rPr>
                <w:sz w:val="20"/>
                <w:lang w:val="fr-CA"/>
              </w:rPr>
              <w:t xml:space="preserve">Les intimés, Warren Boyer et Oliver Poitras, ont été accusés de pêche et de chasse illégales après avoir été trouvés, respectivement, en train de chasser et de pêcher pour se nourrir, en contravention des règlements de la Saskatchewan sur la pêche et la chasse. Les accusés ont tous les deux reconnu les faits des infractions reprochées, mais ont soulevé comme défense le droit ancestral de pêcher et de chasser pour se nourrir qui serait protégé en vertu du par. 35(1) de la </w:t>
            </w:r>
            <w:r w:rsidRPr="00455697">
              <w:rPr>
                <w:i/>
                <w:sz w:val="20"/>
                <w:lang w:val="fr-CA"/>
              </w:rPr>
              <w:t>Loi constitutionnelle de 1982</w:t>
            </w:r>
            <w:r w:rsidRPr="00455697">
              <w:rPr>
                <w:sz w:val="20"/>
                <w:lang w:val="fr-CA"/>
              </w:rPr>
              <w:t xml:space="preserve">. Les deux accusés ont réclamé le droit de récolte garanti aux Métis dans les régions géographiques où ils faisaient de la pêche et de la chasse, et ont allégué que ces régions relèvent de la communauté métisse historique régionale du nord-ouest de la Saskatchewan qui est titulaire de droits déjà reconnus. </w:t>
            </w:r>
          </w:p>
          <w:p w:rsidR="00A96D8A" w:rsidRPr="00455697" w:rsidRDefault="00A96D8A" w:rsidP="00A96D8A">
            <w:pPr>
              <w:jc w:val="both"/>
              <w:rPr>
                <w:sz w:val="20"/>
                <w:lang w:val="fr-CA"/>
              </w:rPr>
            </w:pPr>
          </w:p>
          <w:p w:rsidR="00A96D8A" w:rsidRPr="00455697" w:rsidRDefault="00A96D8A" w:rsidP="00A96D8A">
            <w:pPr>
              <w:jc w:val="both"/>
              <w:rPr>
                <w:sz w:val="20"/>
                <w:lang w:val="fr-CA"/>
              </w:rPr>
            </w:pPr>
            <w:r w:rsidRPr="00455697">
              <w:rPr>
                <w:sz w:val="20"/>
                <w:lang w:val="fr-CA"/>
              </w:rPr>
              <w:t xml:space="preserve">Un juge de la Cour provinciale a rendu une décision au cours du procès dans laquelle il a restreint la portée du droit revendiqué à des régions géographiques particulières seulement, et a par la suite déclaré les deux accusés coupables, après avoir conclu qu’ils n’avaient pas réussi à démontrer qu’ils possédaient un droit de récolte en vertu de l’art. 35 dans ces régions. </w:t>
            </w:r>
          </w:p>
          <w:p w:rsidR="00A96D8A" w:rsidRPr="00455697" w:rsidRDefault="00A96D8A" w:rsidP="00A96D8A">
            <w:pPr>
              <w:jc w:val="both"/>
              <w:rPr>
                <w:sz w:val="20"/>
                <w:lang w:val="fr-CA"/>
              </w:rPr>
            </w:pPr>
          </w:p>
          <w:p w:rsidR="00A96D8A" w:rsidRPr="00455697" w:rsidRDefault="00A96D8A" w:rsidP="00A96D8A">
            <w:pPr>
              <w:jc w:val="both"/>
              <w:rPr>
                <w:sz w:val="20"/>
                <w:lang w:val="fr-CA"/>
              </w:rPr>
            </w:pPr>
            <w:r w:rsidRPr="00455697">
              <w:rPr>
                <w:sz w:val="20"/>
                <w:lang w:val="fr-CA"/>
              </w:rPr>
              <w:t>La Cour du Banc de la Reine a rejeté les appels des déclarations de culpabilité par procédure sommaire qui ont été interjetés par les deux accusés, toutefois, la Cour d’appel a accueilli à l’unanimité les appels subséquemment formés par les deux accusés et a ordonné la tenue d’un nouveau procès.</w:t>
            </w:r>
          </w:p>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5 décembre 2018</w:t>
            </w:r>
          </w:p>
          <w:p w:rsidR="00A96D8A" w:rsidRPr="00455697" w:rsidRDefault="00A96D8A" w:rsidP="00A96D8A">
            <w:pPr>
              <w:jc w:val="both"/>
              <w:rPr>
                <w:sz w:val="20"/>
                <w:lang w:val="fr-CA"/>
              </w:rPr>
            </w:pPr>
            <w:r w:rsidRPr="00455697">
              <w:rPr>
                <w:sz w:val="20"/>
                <w:lang w:val="fr-CA"/>
              </w:rPr>
              <w:t>Cour provinciale de la Saskatchewan</w:t>
            </w:r>
          </w:p>
          <w:p w:rsidR="00A96D8A" w:rsidRPr="00455697" w:rsidRDefault="00A96D8A" w:rsidP="00A96D8A">
            <w:pPr>
              <w:jc w:val="both"/>
              <w:rPr>
                <w:sz w:val="20"/>
                <w:lang w:val="fr-CA"/>
              </w:rPr>
            </w:pPr>
            <w:r w:rsidRPr="00455697">
              <w:rPr>
                <w:sz w:val="20"/>
                <w:lang w:val="fr-CA"/>
              </w:rPr>
              <w:t xml:space="preserve">(juge Kalenith) </w:t>
            </w:r>
          </w:p>
          <w:p w:rsidR="00A96D8A" w:rsidRPr="00455697" w:rsidRDefault="00A96D8A" w:rsidP="00A96D8A">
            <w:pPr>
              <w:jc w:val="both"/>
              <w:rPr>
                <w:sz w:val="20"/>
                <w:lang w:val="fr-CA"/>
              </w:rPr>
            </w:pPr>
            <w:r w:rsidRPr="00455697">
              <w:rPr>
                <w:sz w:val="20"/>
                <w:lang w:val="fr-CA"/>
              </w:rPr>
              <w:t xml:space="preserve">Citation neutre : </w:t>
            </w:r>
            <w:hyperlink r:id="rId28" w:history="1">
              <w:r w:rsidRPr="00455697">
                <w:rPr>
                  <w:rStyle w:val="Hyperlink"/>
                  <w:sz w:val="20"/>
                  <w:lang w:val="fr-CA"/>
                </w:rPr>
                <w:t>2018 SKPC 070</w:t>
              </w:r>
            </w:hyperlink>
          </w:p>
          <w:p w:rsidR="00A96D8A" w:rsidRPr="00455697" w:rsidRDefault="00A96D8A" w:rsidP="00A96D8A">
            <w:pPr>
              <w:jc w:val="both"/>
              <w:rPr>
                <w:sz w:val="20"/>
                <w:lang w:val="fr-CA"/>
              </w:rPr>
            </w:pP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jc w:val="both"/>
              <w:rPr>
                <w:sz w:val="20"/>
                <w:lang w:val="fr-CA"/>
              </w:rPr>
            </w:pPr>
            <w:r w:rsidRPr="00455697">
              <w:rPr>
                <w:sz w:val="20"/>
                <w:lang w:val="fr-CA"/>
              </w:rPr>
              <w:t>Monsieur Boyer est déclaré coupable de pêche illégale;</w:t>
            </w:r>
          </w:p>
          <w:p w:rsidR="00A96D8A" w:rsidRPr="00455697" w:rsidRDefault="00A96D8A" w:rsidP="00A96D8A">
            <w:pPr>
              <w:jc w:val="both"/>
              <w:rPr>
                <w:sz w:val="20"/>
                <w:lang w:val="fr-CA"/>
              </w:rPr>
            </w:pPr>
            <w:r w:rsidRPr="00455697">
              <w:rPr>
                <w:sz w:val="20"/>
                <w:lang w:val="fr-CA"/>
              </w:rPr>
              <w:t>Monsieur Poitras est déclaré coupable de chasse illégale.</w:t>
            </w:r>
          </w:p>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10 février 2020</w:t>
            </w:r>
          </w:p>
          <w:p w:rsidR="00A96D8A" w:rsidRPr="00455697" w:rsidRDefault="00A96D8A" w:rsidP="00A96D8A">
            <w:pPr>
              <w:jc w:val="both"/>
              <w:rPr>
                <w:sz w:val="20"/>
                <w:lang w:val="fr-CA"/>
              </w:rPr>
            </w:pPr>
            <w:r w:rsidRPr="00455697">
              <w:rPr>
                <w:sz w:val="20"/>
                <w:lang w:val="fr-CA"/>
              </w:rPr>
              <w:t>Cour du Banc de la Reine de la Saskatchewan</w:t>
            </w:r>
          </w:p>
          <w:p w:rsidR="00A96D8A" w:rsidRPr="00455697" w:rsidRDefault="00A96D8A" w:rsidP="00A96D8A">
            <w:pPr>
              <w:jc w:val="both"/>
              <w:rPr>
                <w:sz w:val="20"/>
                <w:lang w:val="fr-CA"/>
              </w:rPr>
            </w:pPr>
            <w:r w:rsidRPr="00455697">
              <w:rPr>
                <w:sz w:val="20"/>
                <w:lang w:val="fr-CA"/>
              </w:rPr>
              <w:t>(Battleford) (décision non publiée)</w:t>
            </w:r>
          </w:p>
          <w:p w:rsidR="00A96D8A" w:rsidRPr="00455697" w:rsidRDefault="00A96D8A" w:rsidP="00A96D8A">
            <w:pPr>
              <w:jc w:val="both"/>
              <w:rPr>
                <w:sz w:val="20"/>
                <w:lang w:val="fr-CA"/>
              </w:rPr>
            </w:pPr>
            <w:r w:rsidRPr="00455697">
              <w:rPr>
                <w:sz w:val="20"/>
                <w:lang w:val="fr-CA"/>
              </w:rPr>
              <w:t>(juge Mills)</w:t>
            </w:r>
          </w:p>
          <w:p w:rsidR="00A96D8A" w:rsidRPr="00455697" w:rsidRDefault="00A96D8A" w:rsidP="00A96D8A">
            <w:pPr>
              <w:jc w:val="both"/>
              <w:rPr>
                <w:sz w:val="20"/>
                <w:lang w:val="fr-CA"/>
              </w:rPr>
            </w:pPr>
            <w:r w:rsidRPr="00455697">
              <w:rPr>
                <w:sz w:val="20"/>
                <w:lang w:val="fr-CA"/>
              </w:rPr>
              <w:t xml:space="preserve">Numéros de dossiers : CRM 5/CRM 6 of 2019 </w:t>
            </w:r>
          </w:p>
          <w:p w:rsidR="00A96D8A" w:rsidRPr="00455697" w:rsidRDefault="00A96D8A" w:rsidP="00A96D8A">
            <w:pPr>
              <w:jc w:val="both"/>
              <w:rPr>
                <w:sz w:val="20"/>
                <w:lang w:val="fr-CA"/>
              </w:rPr>
            </w:pP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jc w:val="both"/>
              <w:rPr>
                <w:sz w:val="20"/>
                <w:lang w:val="fr-CA"/>
              </w:rPr>
            </w:pPr>
            <w:r w:rsidRPr="00455697">
              <w:rPr>
                <w:sz w:val="20"/>
                <w:lang w:val="fr-CA"/>
              </w:rPr>
              <w:t>Les appels des déclarations de culpabilité sont rejetés.</w:t>
            </w:r>
          </w:p>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31 mai 2022</w:t>
            </w:r>
          </w:p>
          <w:p w:rsidR="00A96D8A" w:rsidRPr="00455697" w:rsidRDefault="00A96D8A" w:rsidP="00A96D8A">
            <w:pPr>
              <w:jc w:val="both"/>
              <w:rPr>
                <w:sz w:val="20"/>
                <w:lang w:val="fr-CA"/>
              </w:rPr>
            </w:pPr>
            <w:r w:rsidRPr="00455697">
              <w:rPr>
                <w:sz w:val="20"/>
                <w:lang w:val="fr-CA"/>
              </w:rPr>
              <w:t>Cour d’appel de la Saskatchewan</w:t>
            </w:r>
          </w:p>
          <w:p w:rsidR="00A96D8A" w:rsidRPr="00455697" w:rsidRDefault="00A96D8A" w:rsidP="00A96D8A">
            <w:pPr>
              <w:jc w:val="both"/>
              <w:rPr>
                <w:sz w:val="20"/>
              </w:rPr>
            </w:pPr>
            <w:r w:rsidRPr="00455697">
              <w:rPr>
                <w:sz w:val="20"/>
              </w:rPr>
              <w:t>(juges Jackson, Whitmore et Kalmakoff)</w:t>
            </w:r>
          </w:p>
          <w:p w:rsidR="00A96D8A" w:rsidRPr="00455697" w:rsidRDefault="00A96D8A" w:rsidP="00A96D8A">
            <w:pPr>
              <w:jc w:val="both"/>
              <w:rPr>
                <w:sz w:val="20"/>
                <w:lang w:val="fr-CA"/>
              </w:rPr>
            </w:pPr>
            <w:r w:rsidRPr="00455697">
              <w:rPr>
                <w:sz w:val="20"/>
                <w:lang w:val="fr-CA"/>
              </w:rPr>
              <w:t xml:space="preserve">Citation neutre : </w:t>
            </w:r>
            <w:hyperlink r:id="rId29" w:history="1">
              <w:r w:rsidRPr="00455697">
                <w:rPr>
                  <w:rStyle w:val="Hyperlink"/>
                  <w:sz w:val="20"/>
                  <w:lang w:val="fr-CA"/>
                </w:rPr>
                <w:t>2022 SKCA 62</w:t>
              </w:r>
            </w:hyperlink>
          </w:p>
          <w:p w:rsidR="00A96D8A" w:rsidRPr="00455697" w:rsidRDefault="00A96D8A" w:rsidP="00A96D8A">
            <w:pPr>
              <w:jc w:val="both"/>
              <w:rPr>
                <w:sz w:val="20"/>
                <w:lang w:val="fr-CA"/>
              </w:rPr>
            </w:pP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jc w:val="both"/>
              <w:rPr>
                <w:sz w:val="20"/>
                <w:lang w:val="fr-CA"/>
              </w:rPr>
            </w:pPr>
            <w:r w:rsidRPr="00455697">
              <w:rPr>
                <w:sz w:val="20"/>
                <w:lang w:val="fr-CA"/>
              </w:rPr>
              <w:t>Les appels sont accueillis; la tenue d’un nouveau procès est ordonnée.</w:t>
            </w:r>
          </w:p>
          <w:p w:rsidR="00A96D8A" w:rsidRPr="00455697" w:rsidRDefault="00A96D8A" w:rsidP="00A96D8A">
            <w:pPr>
              <w:jc w:val="both"/>
              <w:rPr>
                <w:sz w:val="20"/>
                <w:lang w:val="fr-CA"/>
              </w:rPr>
            </w:pPr>
          </w:p>
        </w:tc>
      </w:tr>
      <w:tr w:rsidR="00A96D8A" w:rsidRPr="00455697" w:rsidTr="00A96D8A">
        <w:trPr>
          <w:trHeight w:val="428"/>
        </w:trPr>
        <w:tc>
          <w:tcPr>
            <w:tcW w:w="2427" w:type="pct"/>
            <w:gridSpan w:val="2"/>
          </w:tcPr>
          <w:p w:rsidR="00A96D8A" w:rsidRPr="00455697" w:rsidRDefault="00A96D8A" w:rsidP="00A96D8A">
            <w:pPr>
              <w:jc w:val="both"/>
              <w:rPr>
                <w:sz w:val="20"/>
                <w:lang w:val="fr-CA"/>
              </w:rPr>
            </w:pPr>
            <w:r w:rsidRPr="00455697">
              <w:rPr>
                <w:sz w:val="20"/>
                <w:lang w:val="fr-CA"/>
              </w:rPr>
              <w:t>25 août 2022</w:t>
            </w:r>
          </w:p>
          <w:p w:rsidR="00A96D8A" w:rsidRPr="00455697" w:rsidRDefault="00A96D8A" w:rsidP="00A96D8A">
            <w:pPr>
              <w:jc w:val="both"/>
              <w:rPr>
                <w:sz w:val="20"/>
                <w:lang w:val="fr-CA"/>
              </w:rPr>
            </w:pPr>
            <w:r w:rsidRPr="00455697">
              <w:rPr>
                <w:sz w:val="20"/>
                <w:lang w:val="fr-CA"/>
              </w:rPr>
              <w:t>Cour suprême du Canada</w:t>
            </w: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jc w:val="both"/>
              <w:rPr>
                <w:sz w:val="20"/>
                <w:lang w:val="fr-CA"/>
              </w:rPr>
            </w:pPr>
            <w:r w:rsidRPr="00455697">
              <w:rPr>
                <w:sz w:val="20"/>
                <w:lang w:val="fr-CA"/>
              </w:rPr>
              <w:t>La demande d’autorisation d’appel est présentée par la Couronne.</w:t>
            </w:r>
          </w:p>
        </w:tc>
      </w:tr>
    </w:tbl>
    <w:p w:rsidR="00A96D8A" w:rsidRPr="00455697" w:rsidRDefault="00A96D8A" w:rsidP="00A96D8A">
      <w:pPr>
        <w:jc w:val="both"/>
        <w:rPr>
          <w:sz w:val="20"/>
          <w:lang w:val="fr-CA"/>
        </w:rPr>
      </w:pPr>
    </w:p>
    <w:p w:rsidR="00A96D8A" w:rsidRPr="00455697" w:rsidRDefault="00455697" w:rsidP="00A96D8A">
      <w:pPr>
        <w:jc w:val="both"/>
        <w:rPr>
          <w:sz w:val="20"/>
          <w:lang w:val="fr-CA"/>
        </w:rPr>
      </w:pPr>
      <w:r w:rsidRPr="00455697">
        <w:rPr>
          <w:sz w:val="20"/>
        </w:rPr>
        <w:pict>
          <v:rect id="_x0000_i1034" style="width:2in;height:1pt" o:hrpct="0" o:hralign="center" o:hrstd="t" o:hrnoshade="t" o:hr="t" fillcolor="black [3213]" stroked="f"/>
        </w:pict>
      </w:r>
    </w:p>
    <w:p w:rsidR="00A96D8A" w:rsidRPr="00455697" w:rsidRDefault="00A96D8A" w:rsidP="00A96D8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6D8A" w:rsidRPr="00455697" w:rsidTr="00E95A6A">
        <w:tc>
          <w:tcPr>
            <w:tcW w:w="543" w:type="pct"/>
          </w:tcPr>
          <w:p w:rsidR="00A96D8A" w:rsidRPr="00455697" w:rsidRDefault="00A96D8A" w:rsidP="00A96D8A">
            <w:pPr>
              <w:jc w:val="both"/>
              <w:rPr>
                <w:sz w:val="20"/>
                <w:lang w:val="en-CA"/>
              </w:rPr>
            </w:pPr>
            <w:r w:rsidRPr="00455697">
              <w:rPr>
                <w:rStyle w:val="SCCFileNumberChar"/>
                <w:sz w:val="20"/>
                <w:szCs w:val="20"/>
              </w:rPr>
              <w:t>40468</w:t>
            </w:r>
          </w:p>
        </w:tc>
        <w:tc>
          <w:tcPr>
            <w:tcW w:w="4457" w:type="pct"/>
            <w:gridSpan w:val="3"/>
          </w:tcPr>
          <w:p w:rsidR="00A96D8A" w:rsidRPr="00455697" w:rsidRDefault="00A96D8A" w:rsidP="00A96D8A">
            <w:pPr>
              <w:pStyle w:val="SCCLsocParty"/>
              <w:jc w:val="both"/>
              <w:rPr>
                <w:b/>
                <w:sz w:val="20"/>
                <w:szCs w:val="20"/>
                <w:lang w:val="en-CA"/>
              </w:rPr>
            </w:pPr>
            <w:r w:rsidRPr="00455697">
              <w:rPr>
                <w:b/>
                <w:sz w:val="20"/>
                <w:szCs w:val="20"/>
                <w:lang w:val="en-CA"/>
              </w:rPr>
              <w:t>Chabad Lubavitch Youth Organization v. Ville de Mont-Tremblant</w:t>
            </w:r>
          </w:p>
          <w:p w:rsidR="00A96D8A" w:rsidRPr="00455697" w:rsidRDefault="00A96D8A" w:rsidP="00A96D8A">
            <w:pPr>
              <w:jc w:val="both"/>
              <w:rPr>
                <w:sz w:val="20"/>
                <w:lang w:val="en-CA"/>
              </w:rPr>
            </w:pPr>
            <w:r w:rsidRPr="00455697">
              <w:rPr>
                <w:sz w:val="20"/>
                <w:lang w:val="en-CA"/>
              </w:rPr>
              <w:t>(Que.) (Criminal) (By Leave)</w:t>
            </w:r>
          </w:p>
        </w:tc>
      </w:tr>
      <w:tr w:rsidR="00A96D8A" w:rsidRPr="00455697" w:rsidTr="00E95A6A">
        <w:tc>
          <w:tcPr>
            <w:tcW w:w="5000" w:type="pct"/>
            <w:gridSpan w:val="4"/>
          </w:tcPr>
          <w:p w:rsidR="00A96D8A" w:rsidRPr="00455697" w:rsidRDefault="00A96D8A" w:rsidP="00A96D8A">
            <w:pPr>
              <w:jc w:val="both"/>
              <w:rPr>
                <w:sz w:val="20"/>
                <w:lang w:val="en-CA"/>
              </w:rPr>
            </w:pPr>
            <w:proofErr w:type="gramStart"/>
            <w:r w:rsidRPr="00455697">
              <w:rPr>
                <w:sz w:val="20"/>
                <w:lang w:val="en-CA"/>
              </w:rPr>
              <w:t xml:space="preserve">Constitutional law — Freedom of religion — Discrimination based on religion — Reasonable limits — Whether freedom of religion infringed by municipality’s refusal to amend its zoning bylaw to allow religious group to build its place of worship on land purchased by it — Whether authorizing Catholic church to continue holding religious ceremonies in spite of zoning constitutes discrimination based on religion — If any of rights under s. 2(a) or 15 of </w:t>
            </w:r>
            <w:r w:rsidRPr="00455697">
              <w:rPr>
                <w:i/>
                <w:sz w:val="20"/>
                <w:lang w:val="en-CA"/>
              </w:rPr>
              <w:t>Charter</w:t>
            </w:r>
            <w:r w:rsidRPr="00455697">
              <w:rPr>
                <w:sz w:val="20"/>
                <w:lang w:val="en-CA"/>
              </w:rPr>
              <w:t xml:space="preserve"> is infringed, whether infringement is justified under s. 1 of </w:t>
            </w:r>
            <w:r w:rsidRPr="00455697">
              <w:rPr>
                <w:i/>
                <w:sz w:val="20"/>
                <w:lang w:val="en-CA"/>
              </w:rPr>
              <w:t>Charter</w:t>
            </w:r>
            <w:r w:rsidRPr="00455697">
              <w:rPr>
                <w:sz w:val="20"/>
                <w:lang w:val="en-CA"/>
              </w:rPr>
              <w:t xml:space="preserve"> — </w:t>
            </w:r>
            <w:r w:rsidRPr="00455697">
              <w:rPr>
                <w:i/>
                <w:sz w:val="20"/>
                <w:lang w:val="en-CA"/>
              </w:rPr>
              <w:t>Canadian Charter of Rights and Freedoms</w:t>
            </w:r>
            <w:r w:rsidRPr="00455697">
              <w:rPr>
                <w:sz w:val="20"/>
                <w:lang w:val="en-CA"/>
              </w:rPr>
              <w:t>, ss. 1 and 2(a).</w:t>
            </w:r>
            <w:proofErr w:type="gramEnd"/>
          </w:p>
        </w:tc>
      </w:tr>
      <w:tr w:rsidR="00A96D8A" w:rsidRPr="00455697" w:rsidTr="00E95A6A">
        <w:tc>
          <w:tcPr>
            <w:tcW w:w="5000" w:type="pct"/>
            <w:gridSpan w:val="4"/>
          </w:tcPr>
          <w:p w:rsidR="00A96D8A" w:rsidRPr="00455697" w:rsidRDefault="00A96D8A" w:rsidP="00A96D8A">
            <w:pPr>
              <w:jc w:val="both"/>
              <w:rPr>
                <w:sz w:val="20"/>
                <w:lang w:val="en-CA"/>
              </w:rPr>
            </w:pPr>
          </w:p>
          <w:p w:rsidR="00A96D8A" w:rsidRPr="00455697" w:rsidRDefault="00A96D8A" w:rsidP="00A96D8A">
            <w:pPr>
              <w:jc w:val="both"/>
              <w:rPr>
                <w:sz w:val="20"/>
                <w:lang w:val="en-CA"/>
              </w:rPr>
            </w:pPr>
            <w:r w:rsidRPr="00455697">
              <w:rPr>
                <w:sz w:val="20"/>
                <w:lang w:val="en-CA"/>
              </w:rPr>
              <w:t>The applicant organization purchased a condominium unit in the respondent town. The condominium was in the TO 820 zone, in which the only permitted uses were [</w:t>
            </w:r>
            <w:r w:rsidRPr="00455697">
              <w:rPr>
                <w:smallCaps/>
                <w:sz w:val="20"/>
                <w:lang w:val="en-CA"/>
              </w:rPr>
              <w:t>translation</w:t>
            </w:r>
            <w:r w:rsidRPr="00455697">
              <w:rPr>
                <w:rFonts w:asciiTheme="minorBidi" w:hAnsiTheme="minorBidi"/>
                <w:sz w:val="20"/>
                <w:lang w:val="en-CA"/>
              </w:rPr>
              <w:t>] “</w:t>
            </w:r>
            <w:r w:rsidRPr="00455697">
              <w:rPr>
                <w:sz w:val="20"/>
                <w:lang w:val="en-CA"/>
              </w:rPr>
              <w:t xml:space="preserve">H-1 </w:t>
            </w:r>
            <w:r w:rsidRPr="00455697">
              <w:rPr>
                <w:rFonts w:asciiTheme="minorBidi" w:hAnsiTheme="minorBidi"/>
                <w:sz w:val="20"/>
                <w:lang w:val="en-CA"/>
              </w:rPr>
              <w:t>single-family dwelling</w:t>
            </w:r>
            <w:r w:rsidRPr="00455697">
              <w:rPr>
                <w:sz w:val="20"/>
                <w:lang w:val="en-CA"/>
              </w:rPr>
              <w:t>”, “H-2 two-family” and “C-8 accommodation businesses”, that is, tourist residences, bed and breakfasts or inns with a maximum of 12 rooms. The organization asked the town to amend the zoning to permit a place of worship. The municipal council refused to do so.</w:t>
            </w:r>
          </w:p>
          <w:p w:rsidR="00A96D8A" w:rsidRPr="00455697" w:rsidRDefault="00A96D8A" w:rsidP="00A96D8A">
            <w:pPr>
              <w:jc w:val="both"/>
              <w:rPr>
                <w:sz w:val="20"/>
                <w:lang w:val="en-CA"/>
              </w:rPr>
            </w:pPr>
          </w:p>
          <w:p w:rsidR="00A96D8A" w:rsidRPr="00455697" w:rsidRDefault="00A96D8A" w:rsidP="00A96D8A">
            <w:pPr>
              <w:jc w:val="both"/>
              <w:rPr>
                <w:sz w:val="20"/>
                <w:lang w:val="en-CA"/>
              </w:rPr>
            </w:pPr>
            <w:r w:rsidRPr="00455697">
              <w:rPr>
                <w:sz w:val="20"/>
                <w:lang w:val="en-CA"/>
              </w:rPr>
              <w:t>Despite the town’s refusal, the organization used the condominium as a place of worship. After the other residents complained, the town investigated the use of the condominium and found that the organization was using it as a place of worship, contrary to the zoning bylaw. It brought penal proceedings against the organization.</w:t>
            </w:r>
          </w:p>
          <w:p w:rsidR="00A96D8A" w:rsidRPr="00455697" w:rsidRDefault="00A96D8A" w:rsidP="00A96D8A">
            <w:pPr>
              <w:jc w:val="both"/>
              <w:rPr>
                <w:sz w:val="20"/>
                <w:lang w:val="en-CA"/>
              </w:rPr>
            </w:pPr>
          </w:p>
          <w:p w:rsidR="00A96D8A" w:rsidRPr="00455697" w:rsidRDefault="00A96D8A" w:rsidP="00A96D8A">
            <w:pPr>
              <w:jc w:val="both"/>
              <w:rPr>
                <w:sz w:val="20"/>
                <w:lang w:val="en-CA"/>
              </w:rPr>
            </w:pPr>
            <w:r w:rsidRPr="00455697">
              <w:rPr>
                <w:sz w:val="20"/>
                <w:lang w:val="en-CA"/>
              </w:rPr>
              <w:t xml:space="preserve">The organization admitted using the condominium as a place of worship but applied for a declaration that the zoning bylaw was inoperable because it infringed its right to freedom of religion. The </w:t>
            </w:r>
            <w:proofErr w:type="gramStart"/>
            <w:r w:rsidRPr="00455697">
              <w:rPr>
                <w:sz w:val="20"/>
                <w:lang w:val="en-CA"/>
              </w:rPr>
              <w:t>application was dismissed by the Municipal Court of Ville de Mont-Tremblant</w:t>
            </w:r>
            <w:proofErr w:type="gramEnd"/>
            <w:r w:rsidRPr="00455697">
              <w:rPr>
                <w:sz w:val="20"/>
                <w:lang w:val="en-CA"/>
              </w:rPr>
              <w:t>, and the organization was found guilty of the offence. The Superior Court and the Court of Appeal dismissed the organization’s appeals.</w:t>
            </w:r>
          </w:p>
        </w:tc>
      </w:tr>
      <w:tr w:rsidR="00A96D8A" w:rsidRPr="00455697" w:rsidTr="00E95A6A">
        <w:tc>
          <w:tcPr>
            <w:tcW w:w="5000" w:type="pct"/>
            <w:gridSpan w:val="4"/>
          </w:tcPr>
          <w:p w:rsidR="00A96D8A" w:rsidRPr="00455697" w:rsidRDefault="00A96D8A" w:rsidP="00A96D8A">
            <w:pPr>
              <w:jc w:val="both"/>
              <w:rPr>
                <w:sz w:val="20"/>
                <w:lang w:val="en-CA"/>
              </w:rPr>
            </w:pPr>
          </w:p>
        </w:tc>
      </w:tr>
      <w:tr w:rsidR="00A96D8A" w:rsidRPr="00455697" w:rsidTr="00E95A6A">
        <w:tc>
          <w:tcPr>
            <w:tcW w:w="2427" w:type="pct"/>
            <w:gridSpan w:val="2"/>
          </w:tcPr>
          <w:p w:rsidR="00A96D8A" w:rsidRPr="00455697" w:rsidRDefault="00A96D8A" w:rsidP="00A96D8A">
            <w:pPr>
              <w:jc w:val="both"/>
              <w:rPr>
                <w:sz w:val="20"/>
                <w:lang w:val="en-CA"/>
              </w:rPr>
            </w:pPr>
            <w:r w:rsidRPr="00455697">
              <w:rPr>
                <w:sz w:val="20"/>
                <w:lang w:val="en-CA"/>
              </w:rPr>
              <w:t>February 20, 2017</w:t>
            </w:r>
          </w:p>
          <w:p w:rsidR="00A96D8A" w:rsidRPr="00455697" w:rsidRDefault="00A96D8A" w:rsidP="00A96D8A">
            <w:pPr>
              <w:jc w:val="both"/>
              <w:rPr>
                <w:sz w:val="20"/>
                <w:lang w:val="en-CA"/>
              </w:rPr>
            </w:pPr>
            <w:r w:rsidRPr="00455697">
              <w:rPr>
                <w:sz w:val="20"/>
                <w:lang w:val="en-CA"/>
              </w:rPr>
              <w:t>Municipal Court of Ville de Mont-Tremblant</w:t>
            </w:r>
          </w:p>
          <w:p w:rsidR="00A96D8A" w:rsidRPr="00455697" w:rsidRDefault="00A96D8A" w:rsidP="00A96D8A">
            <w:pPr>
              <w:jc w:val="both"/>
              <w:rPr>
                <w:sz w:val="20"/>
                <w:lang w:val="en-CA"/>
              </w:rPr>
            </w:pPr>
            <w:r w:rsidRPr="00455697">
              <w:rPr>
                <w:sz w:val="20"/>
                <w:lang w:val="en-CA"/>
              </w:rPr>
              <w:t>(Judge Lalande)</w:t>
            </w:r>
          </w:p>
          <w:p w:rsidR="00A96D8A" w:rsidRPr="00455697" w:rsidRDefault="00455697" w:rsidP="00A96D8A">
            <w:pPr>
              <w:jc w:val="both"/>
              <w:rPr>
                <w:sz w:val="20"/>
                <w:lang w:val="en-CA"/>
              </w:rPr>
            </w:pPr>
            <w:hyperlink r:id="rId30" w:history="1">
              <w:r w:rsidR="00A96D8A" w:rsidRPr="00455697">
                <w:rPr>
                  <w:rStyle w:val="Hyperlink"/>
                  <w:sz w:val="20"/>
                  <w:lang w:val="en-CA"/>
                </w:rPr>
                <w:t>2017 QCCM 26</w:t>
              </w:r>
            </w:hyperlink>
          </w:p>
          <w:p w:rsidR="00A96D8A" w:rsidRPr="00455697" w:rsidRDefault="00A96D8A" w:rsidP="00A96D8A">
            <w:pPr>
              <w:jc w:val="both"/>
              <w:rPr>
                <w:sz w:val="20"/>
                <w:lang w:val="en-CA"/>
              </w:rPr>
            </w:pPr>
          </w:p>
        </w:tc>
        <w:tc>
          <w:tcPr>
            <w:tcW w:w="243" w:type="pct"/>
          </w:tcPr>
          <w:p w:rsidR="00A96D8A" w:rsidRPr="00455697" w:rsidRDefault="00A96D8A" w:rsidP="00A96D8A">
            <w:pPr>
              <w:jc w:val="both"/>
              <w:rPr>
                <w:sz w:val="20"/>
                <w:lang w:val="en-CA"/>
              </w:rPr>
            </w:pPr>
          </w:p>
        </w:tc>
        <w:tc>
          <w:tcPr>
            <w:tcW w:w="2330" w:type="pct"/>
          </w:tcPr>
          <w:p w:rsidR="00A96D8A" w:rsidRPr="00455697" w:rsidRDefault="00A96D8A" w:rsidP="00A96D8A">
            <w:pPr>
              <w:jc w:val="both"/>
              <w:rPr>
                <w:sz w:val="20"/>
                <w:lang w:val="en-CA"/>
              </w:rPr>
            </w:pPr>
            <w:r w:rsidRPr="00455697">
              <w:rPr>
                <w:sz w:val="20"/>
                <w:lang w:val="en-CA"/>
              </w:rPr>
              <w:t>Application for declaration of inoperability dismissed; applicant found guilty of offence and ordered to pay fine of $800.00</w:t>
            </w:r>
          </w:p>
        </w:tc>
      </w:tr>
      <w:tr w:rsidR="00A96D8A" w:rsidRPr="00455697" w:rsidTr="00E95A6A">
        <w:tc>
          <w:tcPr>
            <w:tcW w:w="2427" w:type="pct"/>
            <w:gridSpan w:val="2"/>
          </w:tcPr>
          <w:p w:rsidR="00A96D8A" w:rsidRPr="00455697" w:rsidRDefault="00A96D8A" w:rsidP="00A96D8A">
            <w:pPr>
              <w:jc w:val="both"/>
              <w:rPr>
                <w:sz w:val="20"/>
                <w:lang w:val="en-CA"/>
              </w:rPr>
            </w:pPr>
            <w:r w:rsidRPr="00455697">
              <w:rPr>
                <w:sz w:val="20"/>
                <w:lang w:val="en-CA"/>
              </w:rPr>
              <w:t>November 28, 2019</w:t>
            </w:r>
          </w:p>
          <w:p w:rsidR="00A96D8A" w:rsidRPr="00455697" w:rsidRDefault="00A96D8A" w:rsidP="00A96D8A">
            <w:pPr>
              <w:jc w:val="both"/>
              <w:rPr>
                <w:sz w:val="20"/>
                <w:lang w:val="en-CA"/>
              </w:rPr>
            </w:pPr>
            <w:r w:rsidRPr="00455697">
              <w:rPr>
                <w:sz w:val="20"/>
                <w:lang w:val="en-CA"/>
              </w:rPr>
              <w:t>Quebec Superior Court</w:t>
            </w:r>
          </w:p>
          <w:p w:rsidR="00A96D8A" w:rsidRPr="00455697" w:rsidRDefault="00A96D8A" w:rsidP="00A96D8A">
            <w:pPr>
              <w:jc w:val="both"/>
              <w:rPr>
                <w:sz w:val="20"/>
                <w:lang w:val="en-CA"/>
              </w:rPr>
            </w:pPr>
            <w:r w:rsidRPr="00455697">
              <w:rPr>
                <w:sz w:val="20"/>
                <w:lang w:val="en-CA"/>
              </w:rPr>
              <w:t>(Masse J.)</w:t>
            </w:r>
          </w:p>
          <w:p w:rsidR="00A96D8A" w:rsidRPr="00455697" w:rsidRDefault="00455697" w:rsidP="00A96D8A">
            <w:pPr>
              <w:jc w:val="both"/>
              <w:rPr>
                <w:sz w:val="20"/>
                <w:lang w:val="en-CA"/>
              </w:rPr>
            </w:pPr>
            <w:hyperlink r:id="rId31" w:history="1">
              <w:r w:rsidR="00A96D8A" w:rsidRPr="00455697">
                <w:rPr>
                  <w:rStyle w:val="Hyperlink"/>
                  <w:sz w:val="20"/>
                  <w:lang w:val="en-CA"/>
                </w:rPr>
                <w:t>2019 QCCS 5238</w:t>
              </w:r>
            </w:hyperlink>
          </w:p>
          <w:p w:rsidR="00A96D8A" w:rsidRPr="00455697" w:rsidRDefault="00A96D8A" w:rsidP="00A96D8A">
            <w:pPr>
              <w:jc w:val="both"/>
              <w:rPr>
                <w:sz w:val="20"/>
                <w:lang w:val="en-CA"/>
              </w:rPr>
            </w:pPr>
          </w:p>
        </w:tc>
        <w:tc>
          <w:tcPr>
            <w:tcW w:w="243" w:type="pct"/>
          </w:tcPr>
          <w:p w:rsidR="00A96D8A" w:rsidRPr="00455697" w:rsidRDefault="00A96D8A" w:rsidP="00A96D8A">
            <w:pPr>
              <w:jc w:val="both"/>
              <w:rPr>
                <w:sz w:val="20"/>
                <w:lang w:val="en-CA"/>
              </w:rPr>
            </w:pPr>
          </w:p>
        </w:tc>
        <w:tc>
          <w:tcPr>
            <w:tcW w:w="2330" w:type="pct"/>
          </w:tcPr>
          <w:p w:rsidR="00A96D8A" w:rsidRPr="00455697" w:rsidRDefault="00A96D8A" w:rsidP="00A96D8A">
            <w:pPr>
              <w:jc w:val="both"/>
              <w:rPr>
                <w:sz w:val="20"/>
                <w:lang w:val="en-CA"/>
              </w:rPr>
            </w:pPr>
            <w:r w:rsidRPr="00455697">
              <w:rPr>
                <w:sz w:val="20"/>
                <w:lang w:val="en-CA"/>
              </w:rPr>
              <w:t>Appeal dismissed</w:t>
            </w:r>
          </w:p>
          <w:p w:rsidR="00A96D8A" w:rsidRPr="00455697" w:rsidRDefault="00A96D8A" w:rsidP="00A96D8A">
            <w:pPr>
              <w:jc w:val="both"/>
              <w:rPr>
                <w:sz w:val="20"/>
                <w:lang w:val="en-CA"/>
              </w:rPr>
            </w:pPr>
          </w:p>
        </w:tc>
      </w:tr>
      <w:tr w:rsidR="00A96D8A" w:rsidRPr="00455697" w:rsidTr="00E95A6A">
        <w:tc>
          <w:tcPr>
            <w:tcW w:w="2427" w:type="pct"/>
            <w:gridSpan w:val="2"/>
          </w:tcPr>
          <w:p w:rsidR="00A96D8A" w:rsidRPr="00455697" w:rsidRDefault="00A96D8A" w:rsidP="00A96D8A">
            <w:pPr>
              <w:jc w:val="both"/>
              <w:rPr>
                <w:sz w:val="20"/>
                <w:lang w:val="en-CA"/>
              </w:rPr>
            </w:pPr>
            <w:r w:rsidRPr="00455697">
              <w:rPr>
                <w:sz w:val="20"/>
                <w:lang w:val="en-CA"/>
              </w:rPr>
              <w:t>September 29, 2022</w:t>
            </w:r>
          </w:p>
          <w:p w:rsidR="00A96D8A" w:rsidRPr="00455697" w:rsidRDefault="00A96D8A" w:rsidP="00A96D8A">
            <w:pPr>
              <w:jc w:val="both"/>
              <w:rPr>
                <w:sz w:val="20"/>
                <w:lang w:val="en-CA"/>
              </w:rPr>
            </w:pPr>
            <w:r w:rsidRPr="00455697">
              <w:rPr>
                <w:sz w:val="20"/>
                <w:lang w:val="en-CA"/>
              </w:rPr>
              <w:t>Quebec Court of Appeal (Montréal)</w:t>
            </w:r>
          </w:p>
          <w:p w:rsidR="00A96D8A" w:rsidRPr="00455697" w:rsidRDefault="00A96D8A" w:rsidP="00A96D8A">
            <w:pPr>
              <w:jc w:val="both"/>
              <w:rPr>
                <w:sz w:val="20"/>
                <w:lang w:val="en-CA"/>
              </w:rPr>
            </w:pPr>
            <w:r w:rsidRPr="00455697">
              <w:rPr>
                <w:sz w:val="20"/>
                <w:lang w:val="en-CA"/>
              </w:rPr>
              <w:t>(Doyon, Cotnam and Sansfaçon JJ.A.)</w:t>
            </w:r>
          </w:p>
          <w:p w:rsidR="00A96D8A" w:rsidRPr="00455697" w:rsidRDefault="00455697" w:rsidP="00A96D8A">
            <w:pPr>
              <w:jc w:val="both"/>
              <w:rPr>
                <w:rStyle w:val="Hyperlink"/>
                <w:sz w:val="20"/>
                <w:u w:val="none"/>
                <w:lang w:val="en-CA"/>
              </w:rPr>
            </w:pPr>
            <w:hyperlink r:id="rId32" w:history="1">
              <w:r w:rsidR="00A96D8A" w:rsidRPr="00455697">
                <w:rPr>
                  <w:rStyle w:val="Hyperlink"/>
                  <w:sz w:val="20"/>
                  <w:lang w:val="en-CA"/>
                </w:rPr>
                <w:t>2022 QCCA 1331</w:t>
              </w:r>
            </w:hyperlink>
          </w:p>
          <w:p w:rsidR="00A96D8A" w:rsidRPr="00455697" w:rsidRDefault="00A96D8A" w:rsidP="00A96D8A">
            <w:pPr>
              <w:jc w:val="both"/>
              <w:rPr>
                <w:sz w:val="20"/>
                <w:lang w:val="en-CA"/>
              </w:rPr>
            </w:pPr>
          </w:p>
        </w:tc>
        <w:tc>
          <w:tcPr>
            <w:tcW w:w="243" w:type="pct"/>
          </w:tcPr>
          <w:p w:rsidR="00A96D8A" w:rsidRPr="00455697" w:rsidRDefault="00A96D8A" w:rsidP="00A96D8A">
            <w:pPr>
              <w:jc w:val="both"/>
              <w:rPr>
                <w:sz w:val="20"/>
                <w:lang w:val="en-CA"/>
              </w:rPr>
            </w:pPr>
          </w:p>
        </w:tc>
        <w:tc>
          <w:tcPr>
            <w:tcW w:w="2330" w:type="pct"/>
          </w:tcPr>
          <w:p w:rsidR="00A96D8A" w:rsidRPr="00455697" w:rsidRDefault="00A96D8A" w:rsidP="00A96D8A">
            <w:pPr>
              <w:jc w:val="both"/>
              <w:rPr>
                <w:sz w:val="20"/>
                <w:lang w:val="en-CA"/>
              </w:rPr>
            </w:pPr>
            <w:r w:rsidRPr="00455697">
              <w:rPr>
                <w:sz w:val="20"/>
                <w:lang w:val="en-CA"/>
              </w:rPr>
              <w:t>Appeal dismissed</w:t>
            </w:r>
          </w:p>
          <w:p w:rsidR="00A96D8A" w:rsidRPr="00455697" w:rsidRDefault="00A96D8A" w:rsidP="00A96D8A">
            <w:pPr>
              <w:jc w:val="both"/>
              <w:rPr>
                <w:sz w:val="20"/>
                <w:lang w:val="en-CA"/>
              </w:rPr>
            </w:pPr>
          </w:p>
        </w:tc>
      </w:tr>
      <w:tr w:rsidR="00A96D8A" w:rsidRPr="00455697" w:rsidTr="00E95A6A">
        <w:tc>
          <w:tcPr>
            <w:tcW w:w="2427" w:type="pct"/>
            <w:gridSpan w:val="2"/>
          </w:tcPr>
          <w:p w:rsidR="00A96D8A" w:rsidRPr="00455697" w:rsidRDefault="00A96D8A" w:rsidP="00A96D8A">
            <w:pPr>
              <w:jc w:val="both"/>
              <w:rPr>
                <w:sz w:val="20"/>
                <w:lang w:val="en-CA"/>
              </w:rPr>
            </w:pPr>
            <w:r w:rsidRPr="00455697">
              <w:rPr>
                <w:sz w:val="20"/>
                <w:lang w:val="en-CA"/>
              </w:rPr>
              <w:t>November 25, 2022</w:t>
            </w:r>
          </w:p>
          <w:p w:rsidR="00A96D8A" w:rsidRPr="00455697" w:rsidRDefault="00A96D8A" w:rsidP="00A96D8A">
            <w:pPr>
              <w:jc w:val="both"/>
              <w:rPr>
                <w:sz w:val="20"/>
                <w:lang w:val="en-CA"/>
              </w:rPr>
            </w:pPr>
            <w:r w:rsidRPr="00455697">
              <w:rPr>
                <w:sz w:val="20"/>
                <w:lang w:val="en-CA"/>
              </w:rPr>
              <w:t>Supreme Court of Canada</w:t>
            </w:r>
          </w:p>
        </w:tc>
        <w:tc>
          <w:tcPr>
            <w:tcW w:w="243" w:type="pct"/>
          </w:tcPr>
          <w:p w:rsidR="00A96D8A" w:rsidRPr="00455697" w:rsidRDefault="00A96D8A" w:rsidP="00A96D8A">
            <w:pPr>
              <w:jc w:val="both"/>
              <w:rPr>
                <w:sz w:val="20"/>
                <w:lang w:val="en-CA"/>
              </w:rPr>
            </w:pPr>
          </w:p>
        </w:tc>
        <w:tc>
          <w:tcPr>
            <w:tcW w:w="2330" w:type="pct"/>
          </w:tcPr>
          <w:p w:rsidR="00A96D8A" w:rsidRPr="00455697" w:rsidRDefault="00A96D8A" w:rsidP="00A96D8A">
            <w:pPr>
              <w:jc w:val="both"/>
              <w:rPr>
                <w:sz w:val="20"/>
                <w:lang w:val="en-CA"/>
              </w:rPr>
            </w:pPr>
            <w:r w:rsidRPr="00455697">
              <w:rPr>
                <w:sz w:val="20"/>
                <w:lang w:val="en-CA"/>
              </w:rPr>
              <w:t>Application for leave to appeal filed</w:t>
            </w:r>
          </w:p>
          <w:p w:rsidR="00A96D8A" w:rsidRPr="00455697" w:rsidRDefault="00A96D8A" w:rsidP="00A96D8A">
            <w:pPr>
              <w:jc w:val="both"/>
              <w:rPr>
                <w:sz w:val="20"/>
                <w:lang w:val="en-CA"/>
              </w:rPr>
            </w:pPr>
          </w:p>
        </w:tc>
      </w:tr>
    </w:tbl>
    <w:p w:rsidR="00A96D8A" w:rsidRPr="00455697" w:rsidRDefault="00A96D8A" w:rsidP="00A96D8A">
      <w:pPr>
        <w:jc w:val="both"/>
        <w:rPr>
          <w:sz w:val="20"/>
          <w:lang w:val="en-CA"/>
        </w:rPr>
      </w:pPr>
    </w:p>
    <w:p w:rsidR="00A96D8A" w:rsidRPr="00455697" w:rsidRDefault="00455697" w:rsidP="00A96D8A">
      <w:pPr>
        <w:jc w:val="both"/>
        <w:rPr>
          <w:sz w:val="20"/>
          <w:lang w:val="en-CA"/>
        </w:rPr>
      </w:pPr>
      <w:r w:rsidRPr="00455697">
        <w:rPr>
          <w:sz w:val="20"/>
        </w:rPr>
        <w:pict>
          <v:rect id="_x0000_i1035" style="width:2in;height:1pt" o:hrpct="0" o:hralign="center" o:hrstd="t" o:hrnoshade="t" o:hr="t" fillcolor="black [3213]" stroked="f"/>
        </w:pict>
      </w:r>
    </w:p>
    <w:p w:rsidR="00A96D8A" w:rsidRPr="00455697" w:rsidRDefault="00A96D8A" w:rsidP="00A96D8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6D8A" w:rsidRPr="00455697" w:rsidTr="00E95A6A">
        <w:tc>
          <w:tcPr>
            <w:tcW w:w="543" w:type="pct"/>
          </w:tcPr>
          <w:p w:rsidR="00A96D8A" w:rsidRPr="00455697" w:rsidRDefault="00A96D8A" w:rsidP="00A96D8A">
            <w:pPr>
              <w:jc w:val="both"/>
              <w:rPr>
                <w:sz w:val="20"/>
              </w:rPr>
            </w:pPr>
            <w:r w:rsidRPr="00455697">
              <w:rPr>
                <w:rStyle w:val="SCCFileNumberChar"/>
                <w:sz w:val="20"/>
                <w:szCs w:val="20"/>
              </w:rPr>
              <w:t>40468</w:t>
            </w:r>
          </w:p>
        </w:tc>
        <w:tc>
          <w:tcPr>
            <w:tcW w:w="4457" w:type="pct"/>
            <w:gridSpan w:val="3"/>
          </w:tcPr>
          <w:p w:rsidR="00A96D8A" w:rsidRPr="00455697" w:rsidRDefault="00A96D8A" w:rsidP="00A96D8A">
            <w:pPr>
              <w:pStyle w:val="SCCLsocParty"/>
              <w:jc w:val="both"/>
              <w:rPr>
                <w:b/>
                <w:sz w:val="20"/>
                <w:szCs w:val="20"/>
              </w:rPr>
            </w:pPr>
            <w:r w:rsidRPr="00455697">
              <w:rPr>
                <w:b/>
                <w:sz w:val="20"/>
                <w:szCs w:val="20"/>
              </w:rPr>
              <w:t>Organisation de la Jeunesse Chabad Loubavitch c. Ville de Mont-Tremblant</w:t>
            </w:r>
          </w:p>
          <w:p w:rsidR="00A96D8A" w:rsidRPr="00455697" w:rsidRDefault="00A96D8A" w:rsidP="00A96D8A">
            <w:pPr>
              <w:jc w:val="both"/>
              <w:rPr>
                <w:sz w:val="20"/>
              </w:rPr>
            </w:pPr>
            <w:r w:rsidRPr="00455697">
              <w:rPr>
                <w:sz w:val="20"/>
              </w:rPr>
              <w:t>(Qc) (Criminelle) (Autorisation)</w:t>
            </w:r>
          </w:p>
        </w:tc>
      </w:tr>
      <w:tr w:rsidR="00A96D8A" w:rsidRPr="00455697" w:rsidTr="00E95A6A">
        <w:tc>
          <w:tcPr>
            <w:tcW w:w="5000" w:type="pct"/>
            <w:gridSpan w:val="4"/>
          </w:tcPr>
          <w:p w:rsidR="00A96D8A" w:rsidRPr="00455697" w:rsidRDefault="00A96D8A" w:rsidP="00A96D8A">
            <w:pPr>
              <w:jc w:val="both"/>
              <w:rPr>
                <w:sz w:val="20"/>
                <w:lang w:val="fr-CA"/>
              </w:rPr>
            </w:pPr>
            <w:r w:rsidRPr="00455697">
              <w:rPr>
                <w:sz w:val="20"/>
                <w:lang w:val="fr-CA"/>
              </w:rPr>
              <w:t xml:space="preserve">Droit constitutionnel — Liberté de religion — Discrimination fondée sur la religion — Limites raisonnables — Le refus de la municipalité de modifier son règlement de zonage afin de permettre à un groupe religieux de construire son lieu de culte sur le terrain qu’il a acheté viole‑t‑il la liberté de religion? — L’autorisation pour une église catholique de continuer à tenir des cérémonies religieuses malgré le zonage constitue-t-elle de la discrimination fondée sur la religion? — S’il y a une atteinte à l’un des droits prévus </w:t>
            </w:r>
            <w:proofErr w:type="gramStart"/>
            <w:r w:rsidRPr="00455697">
              <w:rPr>
                <w:sz w:val="20"/>
                <w:lang w:val="fr-CA"/>
              </w:rPr>
              <w:t>aux art</w:t>
            </w:r>
            <w:proofErr w:type="gramEnd"/>
            <w:r w:rsidRPr="00455697">
              <w:rPr>
                <w:sz w:val="20"/>
                <w:lang w:val="fr-CA"/>
              </w:rPr>
              <w:t xml:space="preserve">. 2a) ou 15 de la </w:t>
            </w:r>
            <w:r w:rsidRPr="00455697">
              <w:rPr>
                <w:i/>
                <w:sz w:val="20"/>
                <w:lang w:val="fr-CA"/>
              </w:rPr>
              <w:t>Charte</w:t>
            </w:r>
            <w:r w:rsidRPr="00455697">
              <w:rPr>
                <w:sz w:val="20"/>
                <w:lang w:val="fr-CA"/>
              </w:rPr>
              <w:t xml:space="preserve">, est-ce qu’elle se justifie sous l’article 1 de la </w:t>
            </w:r>
            <w:r w:rsidRPr="00455697">
              <w:rPr>
                <w:i/>
                <w:sz w:val="20"/>
                <w:lang w:val="fr-CA"/>
              </w:rPr>
              <w:t>Charte</w:t>
            </w:r>
            <w:r w:rsidRPr="00455697">
              <w:rPr>
                <w:sz w:val="20"/>
                <w:lang w:val="fr-CA"/>
              </w:rPr>
              <w:t xml:space="preserve">? — </w:t>
            </w:r>
            <w:r w:rsidRPr="00455697">
              <w:rPr>
                <w:i/>
                <w:sz w:val="20"/>
                <w:lang w:val="fr-CA"/>
              </w:rPr>
              <w:t>Charte canadienne des droits et libertés</w:t>
            </w:r>
            <w:r w:rsidRPr="00455697">
              <w:rPr>
                <w:sz w:val="20"/>
                <w:lang w:val="fr-CA"/>
              </w:rPr>
              <w:t>, art. 1 et 2a)</w:t>
            </w:r>
          </w:p>
        </w:tc>
      </w:tr>
      <w:tr w:rsidR="00A96D8A" w:rsidRPr="00455697" w:rsidTr="00E95A6A">
        <w:tc>
          <w:tcPr>
            <w:tcW w:w="5000" w:type="pct"/>
            <w:gridSpan w:val="4"/>
          </w:tcPr>
          <w:p w:rsidR="00A96D8A" w:rsidRPr="00455697" w:rsidRDefault="00A96D8A" w:rsidP="00A96D8A">
            <w:pPr>
              <w:jc w:val="both"/>
              <w:rPr>
                <w:sz w:val="20"/>
                <w:lang w:val="fr-CA"/>
              </w:rPr>
            </w:pPr>
          </w:p>
          <w:p w:rsidR="00A96D8A" w:rsidRPr="00455697" w:rsidRDefault="00A96D8A" w:rsidP="00A96D8A">
            <w:pPr>
              <w:jc w:val="both"/>
              <w:rPr>
                <w:sz w:val="20"/>
                <w:lang w:val="fr-CA"/>
              </w:rPr>
            </w:pPr>
            <w:r w:rsidRPr="00455697">
              <w:rPr>
                <w:sz w:val="20"/>
                <w:lang w:val="fr-CA"/>
              </w:rPr>
              <w:t>L’Organisation demanderesse a acheté une unité en copropriété sur le territoire de la Ville intimée. La copropriété se situe dans la zone TO 820 où ne sont permis que les usages « habitation unifamiliale H-1, » « bi-familiales H-2 », et de « commerces d’hébergements C-8, » soit les résidences touristiques, les gîtes du passant ou les auberges d’un maximum de 12 chambres. L’Organisation demande que la Ville fasse une modification du zonage pour y permettre un lieu de culte. Cette modification leur fut refusée par le conseil municipal.</w:t>
            </w:r>
          </w:p>
          <w:p w:rsidR="00A96D8A" w:rsidRPr="00455697" w:rsidRDefault="00A96D8A" w:rsidP="00A96D8A">
            <w:pPr>
              <w:jc w:val="both"/>
              <w:rPr>
                <w:sz w:val="20"/>
                <w:lang w:val="fr-CA"/>
              </w:rPr>
            </w:pPr>
          </w:p>
          <w:p w:rsidR="00A96D8A" w:rsidRPr="00455697" w:rsidRDefault="00A96D8A" w:rsidP="00A96D8A">
            <w:pPr>
              <w:jc w:val="both"/>
              <w:rPr>
                <w:sz w:val="20"/>
                <w:lang w:val="fr-CA"/>
              </w:rPr>
            </w:pPr>
            <w:r w:rsidRPr="00455697">
              <w:rPr>
                <w:sz w:val="20"/>
                <w:lang w:val="fr-CA"/>
              </w:rPr>
              <w:t>Malgré le refus de la Ville, l’Organisation utilise la copropriété en tant que lieu de culte. À la suite de plaintes des autres résidents, la Ville fait une enquête portant sur l’usage de la copropriété. La Ville constate que l’Organisation exploite la copropriété en tant que lieu de culte, contrairement au règlement de zonage. Elle intente une poursuite pénale contre l’Organisation.</w:t>
            </w:r>
          </w:p>
          <w:p w:rsidR="00A96D8A" w:rsidRPr="00455697" w:rsidRDefault="00A96D8A" w:rsidP="00A96D8A">
            <w:pPr>
              <w:jc w:val="both"/>
              <w:rPr>
                <w:sz w:val="20"/>
                <w:lang w:val="fr-CA"/>
              </w:rPr>
            </w:pPr>
          </w:p>
          <w:p w:rsidR="00A96D8A" w:rsidRPr="00455697" w:rsidRDefault="00A96D8A" w:rsidP="00A96D8A">
            <w:pPr>
              <w:jc w:val="both"/>
              <w:rPr>
                <w:sz w:val="20"/>
                <w:lang w:val="fr-CA"/>
              </w:rPr>
            </w:pPr>
            <w:r w:rsidRPr="00455697">
              <w:rPr>
                <w:sz w:val="20"/>
                <w:lang w:val="fr-CA"/>
              </w:rPr>
              <w:t>L’Organisation admet qu’elle utilise la copropriété en tant que lieu de culte, mais elle demande une déclaration d’inopposabilité du règlement de zonage, car cela porte atteinte à son droit de liberté de religion. La demande d’inopposabilité est rejetée par la cour municipale de la Ville de Mont-Tremblant et l’Organisation est reconnue coupable de l'infraction. La Cour supérieure et la Cour d’appel rejettent les appels de l’Organisation.</w:t>
            </w:r>
          </w:p>
        </w:tc>
      </w:tr>
      <w:tr w:rsidR="00A96D8A" w:rsidRPr="00455697" w:rsidTr="00E95A6A">
        <w:tc>
          <w:tcPr>
            <w:tcW w:w="5000" w:type="pct"/>
            <w:gridSpan w:val="4"/>
          </w:tcPr>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Le 20 février 2017</w:t>
            </w:r>
          </w:p>
          <w:p w:rsidR="00A96D8A" w:rsidRPr="00455697" w:rsidRDefault="00A96D8A" w:rsidP="00A96D8A">
            <w:pPr>
              <w:jc w:val="both"/>
              <w:rPr>
                <w:sz w:val="20"/>
                <w:lang w:val="fr-CA"/>
              </w:rPr>
            </w:pPr>
            <w:r w:rsidRPr="00455697">
              <w:rPr>
                <w:sz w:val="20"/>
                <w:lang w:val="fr-CA"/>
              </w:rPr>
              <w:t>Cour municipale de la ville de Mont-Tremblant</w:t>
            </w:r>
          </w:p>
          <w:p w:rsidR="00A96D8A" w:rsidRPr="00455697" w:rsidRDefault="00A96D8A" w:rsidP="00A96D8A">
            <w:pPr>
              <w:jc w:val="both"/>
              <w:rPr>
                <w:sz w:val="20"/>
              </w:rPr>
            </w:pPr>
            <w:r w:rsidRPr="00455697">
              <w:rPr>
                <w:sz w:val="20"/>
              </w:rPr>
              <w:t>(Juge Lalande)</w:t>
            </w:r>
          </w:p>
          <w:p w:rsidR="00A96D8A" w:rsidRPr="00455697" w:rsidRDefault="00455697" w:rsidP="00A96D8A">
            <w:pPr>
              <w:jc w:val="both"/>
              <w:rPr>
                <w:sz w:val="20"/>
              </w:rPr>
            </w:pPr>
            <w:hyperlink r:id="rId33" w:history="1">
              <w:r w:rsidR="00A96D8A" w:rsidRPr="00455697">
                <w:rPr>
                  <w:rStyle w:val="Hyperlink"/>
                  <w:sz w:val="20"/>
                </w:rPr>
                <w:t>2017 QCCM 26</w:t>
              </w:r>
            </w:hyperlink>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lang w:val="fr-CA"/>
              </w:rPr>
            </w:pPr>
            <w:r w:rsidRPr="00455697">
              <w:rPr>
                <w:sz w:val="20"/>
                <w:lang w:val="fr-CA"/>
              </w:rPr>
              <w:t>Demande de déclaration d’inopposabilité rejetée. Demanderesse reconnue coupable d’une infraction et condamnée à payer une amende de 800,00 $</w:t>
            </w: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Le 28 novembre 2019</w:t>
            </w:r>
          </w:p>
          <w:p w:rsidR="00A96D8A" w:rsidRPr="00455697" w:rsidRDefault="00A96D8A" w:rsidP="00A96D8A">
            <w:pPr>
              <w:jc w:val="both"/>
              <w:rPr>
                <w:sz w:val="20"/>
                <w:lang w:val="fr-CA"/>
              </w:rPr>
            </w:pPr>
            <w:r w:rsidRPr="00455697">
              <w:rPr>
                <w:sz w:val="20"/>
                <w:lang w:val="fr-CA"/>
              </w:rPr>
              <w:t>Cour supérieure du Québec</w:t>
            </w:r>
          </w:p>
          <w:p w:rsidR="00A96D8A" w:rsidRPr="00455697" w:rsidRDefault="00A96D8A" w:rsidP="00A96D8A">
            <w:pPr>
              <w:jc w:val="both"/>
              <w:rPr>
                <w:sz w:val="20"/>
              </w:rPr>
            </w:pPr>
            <w:r w:rsidRPr="00455697">
              <w:rPr>
                <w:sz w:val="20"/>
              </w:rPr>
              <w:t>(Juge Masse)</w:t>
            </w:r>
          </w:p>
          <w:p w:rsidR="00A96D8A" w:rsidRPr="00455697" w:rsidRDefault="00455697" w:rsidP="00A96D8A">
            <w:pPr>
              <w:jc w:val="both"/>
              <w:rPr>
                <w:sz w:val="20"/>
              </w:rPr>
            </w:pPr>
            <w:hyperlink r:id="rId34" w:history="1">
              <w:r w:rsidR="00A96D8A" w:rsidRPr="00455697">
                <w:rPr>
                  <w:rStyle w:val="Hyperlink"/>
                  <w:sz w:val="20"/>
                </w:rPr>
                <w:t>2019 QCCS 5238</w:t>
              </w:r>
            </w:hyperlink>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Appel rejeté</w:t>
            </w: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Le 29 septembre 2022</w:t>
            </w:r>
          </w:p>
          <w:p w:rsidR="00A96D8A" w:rsidRPr="00455697" w:rsidRDefault="00A96D8A" w:rsidP="00A96D8A">
            <w:pPr>
              <w:jc w:val="both"/>
              <w:rPr>
                <w:sz w:val="20"/>
                <w:lang w:val="fr-CA"/>
              </w:rPr>
            </w:pPr>
            <w:r w:rsidRPr="00455697">
              <w:rPr>
                <w:sz w:val="20"/>
                <w:lang w:val="fr-CA"/>
              </w:rPr>
              <w:t>Cour d’appel du Québec (Montréal)</w:t>
            </w:r>
          </w:p>
          <w:p w:rsidR="00A96D8A" w:rsidRPr="00455697" w:rsidRDefault="00A96D8A" w:rsidP="00A96D8A">
            <w:pPr>
              <w:jc w:val="both"/>
              <w:rPr>
                <w:sz w:val="20"/>
                <w:lang w:val="fr-CA"/>
              </w:rPr>
            </w:pPr>
            <w:r w:rsidRPr="00455697">
              <w:rPr>
                <w:sz w:val="20"/>
                <w:lang w:val="fr-CA"/>
              </w:rPr>
              <w:t>(Les juges Doyon, Cotnam, et Sansfaçon)</w:t>
            </w:r>
          </w:p>
          <w:p w:rsidR="00A96D8A" w:rsidRPr="00455697" w:rsidRDefault="00455697" w:rsidP="00A96D8A">
            <w:pPr>
              <w:jc w:val="both"/>
              <w:rPr>
                <w:rStyle w:val="Hyperlink"/>
                <w:sz w:val="20"/>
                <w:u w:val="none"/>
              </w:rPr>
            </w:pPr>
            <w:hyperlink r:id="rId35" w:history="1">
              <w:r w:rsidR="00A96D8A" w:rsidRPr="00455697">
                <w:rPr>
                  <w:rStyle w:val="Hyperlink"/>
                  <w:sz w:val="20"/>
                </w:rPr>
                <w:t>2022 QCCA 1331</w:t>
              </w:r>
            </w:hyperlink>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Appel rejeté</w:t>
            </w: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Le 25 novembre 2022</w:t>
            </w:r>
          </w:p>
          <w:p w:rsidR="00A96D8A" w:rsidRPr="00455697" w:rsidRDefault="00A96D8A" w:rsidP="00A96D8A">
            <w:pPr>
              <w:jc w:val="both"/>
              <w:rPr>
                <w:sz w:val="20"/>
                <w:lang w:val="fr-CA"/>
              </w:rPr>
            </w:pPr>
            <w:r w:rsidRPr="00455697">
              <w:rPr>
                <w:sz w:val="20"/>
                <w:lang w:val="fr-CA"/>
              </w:rPr>
              <w:t>Cour suprême du Canada</w:t>
            </w: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jc w:val="both"/>
              <w:rPr>
                <w:sz w:val="20"/>
              </w:rPr>
            </w:pPr>
            <w:r w:rsidRPr="00455697">
              <w:rPr>
                <w:sz w:val="20"/>
              </w:rPr>
              <w:t>Demande d'autorisation d'appel déposée</w:t>
            </w:r>
          </w:p>
          <w:p w:rsidR="00A96D8A" w:rsidRPr="00455697" w:rsidRDefault="00A96D8A" w:rsidP="00A96D8A">
            <w:pPr>
              <w:jc w:val="both"/>
              <w:rPr>
                <w:sz w:val="20"/>
              </w:rPr>
            </w:pPr>
          </w:p>
        </w:tc>
      </w:tr>
    </w:tbl>
    <w:p w:rsidR="00A96D8A" w:rsidRPr="00455697" w:rsidRDefault="00A96D8A" w:rsidP="00A96D8A">
      <w:pPr>
        <w:jc w:val="both"/>
        <w:rPr>
          <w:sz w:val="20"/>
        </w:rPr>
      </w:pPr>
    </w:p>
    <w:p w:rsidR="00A96D8A" w:rsidRPr="00455697" w:rsidRDefault="00455697" w:rsidP="00A96D8A">
      <w:pPr>
        <w:jc w:val="both"/>
        <w:rPr>
          <w:sz w:val="20"/>
        </w:rPr>
      </w:pPr>
      <w:r w:rsidRPr="00455697">
        <w:rPr>
          <w:sz w:val="20"/>
        </w:rPr>
        <w:pict>
          <v:rect id="_x0000_i1036" style="width:2in;height:1pt" o:hrpct="0" o:hralign="center" o:hrstd="t" o:hrnoshade="t" o:hr="t" fillcolor="black [3213]" stroked="f"/>
        </w:pict>
      </w:r>
    </w:p>
    <w:p w:rsidR="00A96D8A" w:rsidRPr="00455697" w:rsidRDefault="00A96D8A" w:rsidP="00A96D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6D8A" w:rsidRPr="00455697" w:rsidTr="00E95A6A">
        <w:tc>
          <w:tcPr>
            <w:tcW w:w="543" w:type="pct"/>
          </w:tcPr>
          <w:p w:rsidR="00A96D8A" w:rsidRPr="00455697" w:rsidRDefault="00A96D8A" w:rsidP="00A96D8A">
            <w:pPr>
              <w:jc w:val="both"/>
              <w:rPr>
                <w:sz w:val="20"/>
              </w:rPr>
            </w:pPr>
            <w:r w:rsidRPr="00455697">
              <w:rPr>
                <w:rStyle w:val="SCCFileNumberChar"/>
                <w:sz w:val="20"/>
                <w:szCs w:val="20"/>
              </w:rPr>
              <w:t>40595</w:t>
            </w:r>
          </w:p>
        </w:tc>
        <w:tc>
          <w:tcPr>
            <w:tcW w:w="4457" w:type="pct"/>
            <w:gridSpan w:val="3"/>
          </w:tcPr>
          <w:p w:rsidR="00A96D8A" w:rsidRPr="00455697" w:rsidRDefault="00A96D8A" w:rsidP="00A96D8A">
            <w:pPr>
              <w:pStyle w:val="SCCLsocParty"/>
              <w:jc w:val="both"/>
              <w:rPr>
                <w:b/>
                <w:sz w:val="20"/>
                <w:szCs w:val="20"/>
                <w:lang w:val="en-US"/>
              </w:rPr>
            </w:pPr>
            <w:r w:rsidRPr="00455697">
              <w:rPr>
                <w:b/>
                <w:sz w:val="20"/>
                <w:szCs w:val="20"/>
                <w:lang w:val="en-US"/>
              </w:rPr>
              <w:t>Christian Joffre Ouellette v. His Majesty the King</w:t>
            </w:r>
          </w:p>
          <w:p w:rsidR="00A96D8A" w:rsidRPr="00455697" w:rsidRDefault="00A96D8A" w:rsidP="00A96D8A">
            <w:pPr>
              <w:jc w:val="both"/>
              <w:rPr>
                <w:sz w:val="20"/>
              </w:rPr>
            </w:pPr>
            <w:r w:rsidRPr="00455697">
              <w:rPr>
                <w:sz w:val="20"/>
              </w:rPr>
              <w:t>(Alta.) (Criminal) (By Leave)</w:t>
            </w:r>
          </w:p>
        </w:tc>
      </w:tr>
      <w:tr w:rsidR="00A96D8A" w:rsidRPr="00455697" w:rsidTr="00E95A6A">
        <w:tc>
          <w:tcPr>
            <w:tcW w:w="5000" w:type="pct"/>
            <w:gridSpan w:val="4"/>
          </w:tcPr>
          <w:p w:rsidR="00A96D8A" w:rsidRPr="00455697" w:rsidRDefault="00A96D8A" w:rsidP="00A96D8A">
            <w:pPr>
              <w:jc w:val="both"/>
              <w:rPr>
                <w:sz w:val="20"/>
              </w:rPr>
            </w:pPr>
            <w:r w:rsidRPr="00455697">
              <w:rPr>
                <w:i/>
                <w:sz w:val="20"/>
              </w:rPr>
              <w:t>Charter of Rights</w:t>
            </w:r>
            <w:r w:rsidRPr="00455697">
              <w:rPr>
                <w:sz w:val="20"/>
              </w:rPr>
              <w:t xml:space="preserve"> — Right to be tried within reasonable time — Criminal law — Right of accused to be present — How the </w:t>
            </w:r>
            <w:r w:rsidRPr="00455697">
              <w:rPr>
                <w:i/>
                <w:sz w:val="20"/>
              </w:rPr>
              <w:t>Jordan</w:t>
            </w:r>
            <w:r w:rsidRPr="00455697">
              <w:rPr>
                <w:sz w:val="20"/>
              </w:rPr>
              <w:t xml:space="preserve"> framework should apply to delay emanating from a co-accused — In what circumstances can delay resulting from the actions or inactions of a co-accused be treated as an exceptional circumstance — Do the Crown and court have a duty to mitigate co-accused delay — Does an accused person have the right to be personally present during pre-trial conferences where the discussion engages their vital interests — Does a trial judge have an obligation to intervene where the right to be present is imperiled?</w:t>
            </w:r>
          </w:p>
        </w:tc>
      </w:tr>
      <w:tr w:rsidR="00A96D8A" w:rsidRPr="00455697" w:rsidTr="00E95A6A">
        <w:tc>
          <w:tcPr>
            <w:tcW w:w="5000" w:type="pct"/>
            <w:gridSpan w:val="4"/>
          </w:tcPr>
          <w:p w:rsidR="00A96D8A" w:rsidRPr="00455697" w:rsidRDefault="00A96D8A" w:rsidP="00A96D8A">
            <w:pPr>
              <w:jc w:val="both"/>
              <w:rPr>
                <w:sz w:val="20"/>
              </w:rPr>
            </w:pPr>
          </w:p>
          <w:p w:rsidR="00A96D8A" w:rsidRPr="00455697" w:rsidRDefault="00A96D8A" w:rsidP="00A96D8A">
            <w:pPr>
              <w:widowControl w:val="0"/>
              <w:jc w:val="both"/>
              <w:rPr>
                <w:sz w:val="20"/>
              </w:rPr>
            </w:pPr>
            <w:r w:rsidRPr="00455697">
              <w:rPr>
                <w:color w:val="000000"/>
                <w:sz w:val="20"/>
              </w:rPr>
              <w:t xml:space="preserve">Mr. Ouellette and a co-accused were charged with offences arising from the fatal shootings of two people in a parking lot. The trial judge dismissed a motion to stay proceedings for breach of the right </w:t>
            </w:r>
            <w:r w:rsidRPr="00455697">
              <w:rPr>
                <w:sz w:val="20"/>
              </w:rPr>
              <w:t xml:space="preserve">to be tried within a reasonable time </w:t>
            </w:r>
            <w:r w:rsidRPr="00455697">
              <w:rPr>
                <w:color w:val="000000"/>
                <w:sz w:val="20"/>
              </w:rPr>
              <w:t>guaranteed by s. 11</w:t>
            </w:r>
            <w:r w:rsidRPr="00455697">
              <w:rPr>
                <w:sz w:val="20"/>
              </w:rPr>
              <w:t xml:space="preserve">(b) of the </w:t>
            </w:r>
            <w:r w:rsidRPr="00455697">
              <w:rPr>
                <w:i/>
                <w:sz w:val="20"/>
              </w:rPr>
              <w:t>Canadian Charter of Rights and Freedoms</w:t>
            </w:r>
            <w:r w:rsidRPr="00455697">
              <w:rPr>
                <w:sz w:val="20"/>
              </w:rPr>
              <w:t xml:space="preserve">. </w:t>
            </w:r>
            <w:r w:rsidRPr="00455697">
              <w:rPr>
                <w:color w:val="000000"/>
                <w:sz w:val="20"/>
              </w:rPr>
              <w:t>Mr. Ouellette was convicted of first degree murder and second degree murder. The Court of Appeal dismissed an appeal from the convictions. The Court of Appeal dismissed an application to re-open the appeal</w:t>
            </w:r>
            <w:r w:rsidRPr="00455697">
              <w:rPr>
                <w:sz w:val="20"/>
              </w:rPr>
              <w:t>.</w:t>
            </w:r>
          </w:p>
        </w:tc>
      </w:tr>
      <w:tr w:rsidR="00A96D8A" w:rsidRPr="00455697" w:rsidTr="00E95A6A">
        <w:tc>
          <w:tcPr>
            <w:tcW w:w="5000" w:type="pct"/>
            <w:gridSpan w:val="4"/>
          </w:tcPr>
          <w:p w:rsidR="00A96D8A" w:rsidRPr="00455697" w:rsidRDefault="00A96D8A" w:rsidP="00A96D8A">
            <w:pPr>
              <w:widowControl w:val="0"/>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April 3, 2020</w:t>
            </w:r>
          </w:p>
          <w:p w:rsidR="00A96D8A" w:rsidRPr="00455697" w:rsidRDefault="00A96D8A" w:rsidP="00A96D8A">
            <w:pPr>
              <w:jc w:val="both"/>
              <w:rPr>
                <w:sz w:val="20"/>
              </w:rPr>
            </w:pPr>
            <w:r w:rsidRPr="00455697">
              <w:rPr>
                <w:sz w:val="20"/>
              </w:rPr>
              <w:t>Court of Queen’s Bench of Alberta</w:t>
            </w:r>
          </w:p>
          <w:p w:rsidR="00A96D8A" w:rsidRPr="00455697" w:rsidRDefault="00A96D8A" w:rsidP="00A96D8A">
            <w:pPr>
              <w:jc w:val="both"/>
              <w:rPr>
                <w:sz w:val="20"/>
              </w:rPr>
            </w:pPr>
            <w:r w:rsidRPr="00455697">
              <w:rPr>
                <w:sz w:val="20"/>
              </w:rPr>
              <w:t>(Wilson J.) (Unreported)</w:t>
            </w:r>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widowControl w:val="0"/>
              <w:tabs>
                <w:tab w:val="right" w:pos="288"/>
                <w:tab w:val="left" w:pos="576"/>
                <w:tab w:val="left" w:pos="4968"/>
              </w:tabs>
              <w:kinsoku w:val="0"/>
              <w:overflowPunct w:val="0"/>
              <w:spacing w:line="278" w:lineRule="exact"/>
              <w:jc w:val="both"/>
              <w:textAlignment w:val="baseline"/>
              <w:rPr>
                <w:sz w:val="20"/>
              </w:rPr>
            </w:pPr>
            <w:r w:rsidRPr="00455697">
              <w:rPr>
                <w:sz w:val="20"/>
              </w:rPr>
              <w:t xml:space="preserve">Motion to stay proceedings for delay in breach of s. 11(b) of </w:t>
            </w:r>
            <w:r w:rsidRPr="00455697">
              <w:rPr>
                <w:i/>
                <w:sz w:val="20"/>
              </w:rPr>
              <w:t xml:space="preserve">Charter </w:t>
            </w:r>
            <w:r w:rsidRPr="00455697">
              <w:rPr>
                <w:sz w:val="20"/>
              </w:rPr>
              <w:t>dismissed</w:t>
            </w: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April 3, 2020</w:t>
            </w:r>
          </w:p>
          <w:p w:rsidR="00A96D8A" w:rsidRPr="00455697" w:rsidRDefault="00A96D8A" w:rsidP="00A96D8A">
            <w:pPr>
              <w:jc w:val="both"/>
              <w:rPr>
                <w:sz w:val="20"/>
              </w:rPr>
            </w:pPr>
            <w:r w:rsidRPr="00455697">
              <w:rPr>
                <w:sz w:val="20"/>
              </w:rPr>
              <w:t>Court of Queen’s Bench of Alberta</w:t>
            </w:r>
          </w:p>
          <w:p w:rsidR="00A96D8A" w:rsidRPr="00455697" w:rsidRDefault="00A96D8A" w:rsidP="00A96D8A">
            <w:pPr>
              <w:jc w:val="both"/>
              <w:rPr>
                <w:sz w:val="20"/>
              </w:rPr>
            </w:pPr>
            <w:r w:rsidRPr="00455697">
              <w:rPr>
                <w:sz w:val="20"/>
              </w:rPr>
              <w:t>(Wilson J.) (Unreported)</w:t>
            </w:r>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widowControl w:val="0"/>
              <w:tabs>
                <w:tab w:val="right" w:pos="288"/>
                <w:tab w:val="left" w:pos="576"/>
                <w:tab w:val="left" w:pos="4968"/>
              </w:tabs>
              <w:kinsoku w:val="0"/>
              <w:overflowPunct w:val="0"/>
              <w:spacing w:line="278" w:lineRule="exact"/>
              <w:jc w:val="both"/>
              <w:textAlignment w:val="baseline"/>
              <w:rPr>
                <w:sz w:val="20"/>
              </w:rPr>
            </w:pPr>
            <w:r w:rsidRPr="00455697">
              <w:rPr>
                <w:sz w:val="20"/>
              </w:rPr>
              <w:t>Convictions for</w:t>
            </w:r>
            <w:r w:rsidRPr="00455697">
              <w:rPr>
                <w:color w:val="000000"/>
                <w:sz w:val="20"/>
              </w:rPr>
              <w:t xml:space="preserve"> first degree murder and second degree murder</w:t>
            </w: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February 3, 2022</w:t>
            </w:r>
          </w:p>
          <w:p w:rsidR="00A96D8A" w:rsidRPr="00455697" w:rsidRDefault="00A96D8A" w:rsidP="00A96D8A">
            <w:pPr>
              <w:jc w:val="both"/>
              <w:rPr>
                <w:sz w:val="20"/>
              </w:rPr>
            </w:pPr>
            <w:r w:rsidRPr="00455697">
              <w:rPr>
                <w:sz w:val="20"/>
              </w:rPr>
              <w:t>Court of Appeal of Alberta (Calgary)</w:t>
            </w:r>
          </w:p>
          <w:p w:rsidR="00A96D8A" w:rsidRPr="00455697" w:rsidRDefault="00A96D8A" w:rsidP="00A96D8A">
            <w:pPr>
              <w:jc w:val="both"/>
              <w:rPr>
                <w:sz w:val="20"/>
              </w:rPr>
            </w:pPr>
            <w:r w:rsidRPr="00455697">
              <w:rPr>
                <w:sz w:val="20"/>
              </w:rPr>
              <w:t>(Veldhuis, Strekaf, Kirker JJ.A.)</w:t>
            </w:r>
          </w:p>
          <w:p w:rsidR="00A96D8A" w:rsidRPr="00455697" w:rsidRDefault="00455697" w:rsidP="00A96D8A">
            <w:pPr>
              <w:jc w:val="both"/>
              <w:rPr>
                <w:color w:val="000000"/>
                <w:sz w:val="20"/>
              </w:rPr>
            </w:pPr>
            <w:hyperlink r:id="rId36" w:history="1">
              <w:r w:rsidR="00A96D8A" w:rsidRPr="00455697">
                <w:rPr>
                  <w:rStyle w:val="Hyperlink"/>
                  <w:sz w:val="20"/>
                </w:rPr>
                <w:t>2022 ABCA 40</w:t>
              </w:r>
            </w:hyperlink>
            <w:r w:rsidR="00A96D8A" w:rsidRPr="00455697">
              <w:rPr>
                <w:sz w:val="20"/>
              </w:rPr>
              <w:t xml:space="preserve">; </w:t>
            </w:r>
            <w:r w:rsidR="00A96D8A" w:rsidRPr="00455697">
              <w:rPr>
                <w:color w:val="000000"/>
                <w:sz w:val="20"/>
              </w:rPr>
              <w:t>2001-0111A</w:t>
            </w:r>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Appeal from convictions dismissed</w:t>
            </w: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September 22, 2022</w:t>
            </w:r>
          </w:p>
          <w:p w:rsidR="00A96D8A" w:rsidRPr="00455697" w:rsidRDefault="00A96D8A" w:rsidP="00A96D8A">
            <w:pPr>
              <w:jc w:val="both"/>
              <w:rPr>
                <w:sz w:val="20"/>
              </w:rPr>
            </w:pPr>
            <w:r w:rsidRPr="00455697">
              <w:rPr>
                <w:sz w:val="20"/>
              </w:rPr>
              <w:t>Court of Appeal of Alberta (Calgary)</w:t>
            </w:r>
          </w:p>
          <w:p w:rsidR="00A96D8A" w:rsidRPr="00455697" w:rsidRDefault="00A96D8A" w:rsidP="00A96D8A">
            <w:pPr>
              <w:jc w:val="both"/>
              <w:rPr>
                <w:sz w:val="20"/>
              </w:rPr>
            </w:pPr>
            <w:r w:rsidRPr="00455697">
              <w:rPr>
                <w:sz w:val="20"/>
              </w:rPr>
              <w:t>(Veldhuis, Strekaf, Kirker JJ.A.)</w:t>
            </w:r>
          </w:p>
          <w:p w:rsidR="00A96D8A" w:rsidRPr="00455697" w:rsidRDefault="00455697" w:rsidP="00A96D8A">
            <w:pPr>
              <w:jc w:val="both"/>
              <w:rPr>
                <w:color w:val="000000"/>
                <w:sz w:val="20"/>
              </w:rPr>
            </w:pPr>
            <w:hyperlink r:id="rId37" w:history="1">
              <w:r w:rsidR="00A96D8A" w:rsidRPr="00455697">
                <w:rPr>
                  <w:rStyle w:val="Hyperlink"/>
                  <w:sz w:val="20"/>
                </w:rPr>
                <w:t>2022 ABCA 301</w:t>
              </w:r>
            </w:hyperlink>
            <w:r w:rsidR="00A96D8A" w:rsidRPr="00455697">
              <w:rPr>
                <w:sz w:val="20"/>
              </w:rPr>
              <w:t xml:space="preserve">; </w:t>
            </w:r>
            <w:r w:rsidR="00A96D8A" w:rsidRPr="00455697">
              <w:rPr>
                <w:color w:val="000000"/>
                <w:sz w:val="20"/>
              </w:rPr>
              <w:t>2001-0111A</w:t>
            </w:r>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Application to re-open appeal dismissed</w:t>
            </w: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January 31, 2023</w:t>
            </w:r>
          </w:p>
          <w:p w:rsidR="00A96D8A" w:rsidRPr="00455697" w:rsidRDefault="00A96D8A" w:rsidP="00A96D8A">
            <w:pPr>
              <w:jc w:val="both"/>
              <w:rPr>
                <w:sz w:val="20"/>
              </w:rPr>
            </w:pPr>
            <w:r w:rsidRPr="00455697">
              <w:rPr>
                <w:sz w:val="20"/>
              </w:rPr>
              <w:t>Supreme Court of Canada</w:t>
            </w: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Motion for extension of time to serve and file application for leave to appeal and Application for leave to appeal filed</w:t>
            </w:r>
          </w:p>
        </w:tc>
      </w:tr>
    </w:tbl>
    <w:p w:rsidR="00A96D8A" w:rsidRPr="00455697" w:rsidRDefault="00A96D8A" w:rsidP="00A96D8A">
      <w:pPr>
        <w:jc w:val="both"/>
        <w:rPr>
          <w:sz w:val="20"/>
        </w:rPr>
      </w:pPr>
    </w:p>
    <w:p w:rsidR="00A96D8A" w:rsidRPr="00455697" w:rsidRDefault="00455697" w:rsidP="00A96D8A">
      <w:pPr>
        <w:jc w:val="both"/>
        <w:rPr>
          <w:sz w:val="20"/>
        </w:rPr>
      </w:pPr>
      <w:r w:rsidRPr="00455697">
        <w:rPr>
          <w:sz w:val="20"/>
        </w:rPr>
        <w:pict>
          <v:rect id="_x0000_i1037" style="width:2in;height:1pt" o:hrpct="0" o:hralign="center" o:hrstd="t" o:hrnoshade="t" o:hr="t" fillcolor="black [3213]" stroked="f"/>
        </w:pict>
      </w:r>
    </w:p>
    <w:p w:rsidR="00A96D8A" w:rsidRPr="00455697" w:rsidRDefault="00A96D8A" w:rsidP="00A96D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6D8A" w:rsidRPr="00455697" w:rsidTr="00E95A6A">
        <w:tc>
          <w:tcPr>
            <w:tcW w:w="543" w:type="pct"/>
          </w:tcPr>
          <w:p w:rsidR="00A96D8A" w:rsidRPr="00455697" w:rsidRDefault="00A96D8A" w:rsidP="00A96D8A">
            <w:pPr>
              <w:jc w:val="both"/>
              <w:rPr>
                <w:sz w:val="20"/>
                <w:lang w:val="fr-CA"/>
              </w:rPr>
            </w:pPr>
            <w:r w:rsidRPr="00455697">
              <w:rPr>
                <w:rStyle w:val="SCCFileNumberChar"/>
                <w:sz w:val="20"/>
                <w:szCs w:val="20"/>
                <w:lang w:val="fr-CA"/>
              </w:rPr>
              <w:t>40595</w:t>
            </w:r>
          </w:p>
        </w:tc>
        <w:tc>
          <w:tcPr>
            <w:tcW w:w="4457" w:type="pct"/>
            <w:gridSpan w:val="3"/>
          </w:tcPr>
          <w:p w:rsidR="00A96D8A" w:rsidRPr="00455697" w:rsidRDefault="00A96D8A" w:rsidP="00A96D8A">
            <w:pPr>
              <w:pStyle w:val="SCCLsocParty"/>
              <w:jc w:val="both"/>
              <w:rPr>
                <w:b/>
                <w:sz w:val="20"/>
                <w:szCs w:val="20"/>
              </w:rPr>
            </w:pPr>
            <w:r w:rsidRPr="00455697">
              <w:rPr>
                <w:b/>
                <w:sz w:val="20"/>
                <w:szCs w:val="20"/>
              </w:rPr>
              <w:t>Christian Joffre Ouellette c. Sa Majesté le Roi</w:t>
            </w:r>
          </w:p>
          <w:p w:rsidR="00A96D8A" w:rsidRPr="00455697" w:rsidRDefault="00A96D8A" w:rsidP="00A96D8A">
            <w:pPr>
              <w:jc w:val="both"/>
              <w:rPr>
                <w:sz w:val="20"/>
                <w:lang w:val="fr-CA"/>
              </w:rPr>
            </w:pPr>
            <w:r w:rsidRPr="00455697">
              <w:rPr>
                <w:sz w:val="20"/>
                <w:lang w:val="fr-CA"/>
              </w:rPr>
              <w:t>(Alb.) (Criminelle) (Sur autorisation)</w:t>
            </w:r>
          </w:p>
        </w:tc>
      </w:tr>
      <w:tr w:rsidR="00A96D8A" w:rsidRPr="00455697" w:rsidTr="00E95A6A">
        <w:tc>
          <w:tcPr>
            <w:tcW w:w="5000" w:type="pct"/>
            <w:gridSpan w:val="4"/>
          </w:tcPr>
          <w:p w:rsidR="00A96D8A" w:rsidRPr="00455697" w:rsidRDefault="00A96D8A" w:rsidP="00A96D8A">
            <w:pPr>
              <w:jc w:val="both"/>
              <w:rPr>
                <w:sz w:val="20"/>
                <w:lang w:val="fr-CA"/>
              </w:rPr>
            </w:pPr>
            <w:r w:rsidRPr="00455697">
              <w:rPr>
                <w:i/>
                <w:sz w:val="20"/>
                <w:lang w:val="fr-CA"/>
              </w:rPr>
              <w:t>Charte des droits</w:t>
            </w:r>
            <w:r w:rsidRPr="00455697">
              <w:rPr>
                <w:sz w:val="20"/>
                <w:lang w:val="fr-CA"/>
              </w:rPr>
              <w:t xml:space="preserve"> — Procès dans un délai raisonnable — Droit criminel — Droit de l’accusé d’être présent — La façon dont le cadre d’analyse établi dans l’arrêt Jordan devrait s’appliquer aux délais engendrés par un coaccusé — Dans quelles circonstances un délai découlant de l’action ou de l’inaction d’un coaccusé peut-il être qualifié de circonstance exceptionnelle ? — La Couronne et le tribunal ont-ils une obligation de réduire un délai causé par un coaccusé ? — Un accusé a-t-il le droit d’être présent en personne aux conférences préparatoires lors desquelles on discute des intérêts vitaux de ce dernier ? — Le juge du procès a-t-il l’obligation d’intervenir lorsque le droit d’être présent est menacé ?</w:t>
            </w:r>
          </w:p>
        </w:tc>
      </w:tr>
      <w:tr w:rsidR="00A96D8A" w:rsidRPr="00455697" w:rsidTr="00E95A6A">
        <w:tc>
          <w:tcPr>
            <w:tcW w:w="5000" w:type="pct"/>
            <w:gridSpan w:val="4"/>
          </w:tcPr>
          <w:p w:rsidR="00A96D8A" w:rsidRPr="00455697" w:rsidRDefault="00A96D8A" w:rsidP="00A96D8A">
            <w:pPr>
              <w:jc w:val="both"/>
              <w:rPr>
                <w:sz w:val="20"/>
                <w:lang w:val="fr-CA"/>
              </w:rPr>
            </w:pPr>
          </w:p>
          <w:p w:rsidR="00A96D8A" w:rsidRPr="00455697" w:rsidRDefault="00A96D8A" w:rsidP="00A96D8A">
            <w:pPr>
              <w:widowControl w:val="0"/>
              <w:jc w:val="both"/>
              <w:rPr>
                <w:sz w:val="20"/>
                <w:lang w:val="fr-CA"/>
              </w:rPr>
            </w:pPr>
            <w:r w:rsidRPr="00455697">
              <w:rPr>
                <w:color w:val="000000"/>
                <w:sz w:val="20"/>
                <w:lang w:val="fr-CA"/>
              </w:rPr>
              <w:t>Monsieur Ouellette et un coaccusé ont été inculpés d’infractions découlant de la mort de deux personnes qui ont été abattues dans un stationnement. Le juge du procès a rejeté la requête en arrêt des procédures fondée sur la violation du droit d’être jugé dans un délai raisonnable garanti à l’alinéa 11</w:t>
            </w:r>
            <w:r w:rsidRPr="00455697">
              <w:rPr>
                <w:sz w:val="20"/>
                <w:lang w:val="fr-CA"/>
              </w:rPr>
              <w:t xml:space="preserve">b) de la </w:t>
            </w:r>
            <w:r w:rsidRPr="00455697">
              <w:rPr>
                <w:i/>
                <w:sz w:val="20"/>
                <w:lang w:val="fr-CA"/>
              </w:rPr>
              <w:t>Charte canadienne des droits et libertés</w:t>
            </w:r>
            <w:r w:rsidRPr="00455697">
              <w:rPr>
                <w:sz w:val="20"/>
                <w:lang w:val="fr-CA"/>
              </w:rPr>
              <w:t xml:space="preserve">. </w:t>
            </w:r>
            <w:r w:rsidRPr="00455697">
              <w:rPr>
                <w:color w:val="000000"/>
                <w:sz w:val="20"/>
                <w:lang w:val="fr-CA"/>
              </w:rPr>
              <w:t>Monsieur Ouellette a été déclaré coupable de meurtre au premier degré et de meurtre au deuxième degré. La Cour d’appel a rejeté l’appel formé contre les déclarations de culpabilité. La Cour d’appel a rejeté la demande en réouverture de l’appel</w:t>
            </w:r>
            <w:r w:rsidRPr="00455697">
              <w:rPr>
                <w:sz w:val="20"/>
                <w:lang w:val="fr-CA"/>
              </w:rPr>
              <w:t>.</w:t>
            </w:r>
          </w:p>
        </w:tc>
      </w:tr>
      <w:tr w:rsidR="00A96D8A" w:rsidRPr="00455697" w:rsidTr="00E95A6A">
        <w:tc>
          <w:tcPr>
            <w:tcW w:w="5000" w:type="pct"/>
            <w:gridSpan w:val="4"/>
          </w:tcPr>
          <w:p w:rsidR="00A96D8A" w:rsidRPr="00455697" w:rsidRDefault="00A96D8A" w:rsidP="00A96D8A">
            <w:pPr>
              <w:widowControl w:val="0"/>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3 avril 2020</w:t>
            </w:r>
          </w:p>
          <w:p w:rsidR="00A96D8A" w:rsidRPr="00455697" w:rsidRDefault="00A96D8A" w:rsidP="00A96D8A">
            <w:pPr>
              <w:jc w:val="both"/>
              <w:rPr>
                <w:sz w:val="20"/>
                <w:lang w:val="fr-CA"/>
              </w:rPr>
            </w:pPr>
            <w:r w:rsidRPr="00455697">
              <w:rPr>
                <w:sz w:val="20"/>
                <w:lang w:val="fr-CA"/>
              </w:rPr>
              <w:t>Cour du Banc de la Reine de l’Alberta</w:t>
            </w:r>
          </w:p>
          <w:p w:rsidR="00A96D8A" w:rsidRPr="00455697" w:rsidRDefault="00A96D8A" w:rsidP="00A96D8A">
            <w:pPr>
              <w:jc w:val="both"/>
              <w:rPr>
                <w:sz w:val="20"/>
                <w:lang w:val="fr-CA"/>
              </w:rPr>
            </w:pPr>
            <w:r w:rsidRPr="00455697">
              <w:rPr>
                <w:sz w:val="20"/>
                <w:lang w:val="fr-CA"/>
              </w:rPr>
              <w:t>(juge Wilson) (non publié)</w:t>
            </w:r>
          </w:p>
          <w:p w:rsidR="00A96D8A" w:rsidRPr="00455697" w:rsidRDefault="00A96D8A" w:rsidP="00A96D8A">
            <w:pPr>
              <w:jc w:val="both"/>
              <w:rPr>
                <w:sz w:val="20"/>
                <w:lang w:val="fr-CA"/>
              </w:rPr>
            </w:pP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widowControl w:val="0"/>
              <w:tabs>
                <w:tab w:val="right" w:pos="288"/>
                <w:tab w:val="left" w:pos="576"/>
                <w:tab w:val="left" w:pos="4968"/>
              </w:tabs>
              <w:kinsoku w:val="0"/>
              <w:overflowPunct w:val="0"/>
              <w:spacing w:line="278" w:lineRule="exact"/>
              <w:jc w:val="both"/>
              <w:textAlignment w:val="baseline"/>
              <w:rPr>
                <w:sz w:val="20"/>
                <w:lang w:val="fr-CA"/>
              </w:rPr>
            </w:pPr>
            <w:r w:rsidRPr="00455697">
              <w:rPr>
                <w:sz w:val="20"/>
                <w:lang w:val="fr-CA"/>
              </w:rPr>
              <w:t xml:space="preserve">La requête en arrêt des procédures fondée sur un délai en violation de l’alinéa 11b) de la </w:t>
            </w:r>
            <w:r w:rsidRPr="00455697">
              <w:rPr>
                <w:i/>
                <w:sz w:val="20"/>
                <w:lang w:val="fr-CA"/>
              </w:rPr>
              <w:t>Charte</w:t>
            </w:r>
            <w:r w:rsidRPr="00455697">
              <w:rPr>
                <w:sz w:val="20"/>
                <w:lang w:val="fr-CA"/>
              </w:rPr>
              <w:t xml:space="preserve"> est rejetée.</w:t>
            </w:r>
          </w:p>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3 avril 2020</w:t>
            </w:r>
          </w:p>
          <w:p w:rsidR="00A96D8A" w:rsidRPr="00455697" w:rsidRDefault="00A96D8A" w:rsidP="00A96D8A">
            <w:pPr>
              <w:jc w:val="both"/>
              <w:rPr>
                <w:sz w:val="20"/>
                <w:lang w:val="fr-CA"/>
              </w:rPr>
            </w:pPr>
            <w:r w:rsidRPr="00455697">
              <w:rPr>
                <w:sz w:val="20"/>
                <w:lang w:val="fr-CA"/>
              </w:rPr>
              <w:t>Cour du Banc de la Reine de l’Alberta</w:t>
            </w:r>
          </w:p>
          <w:p w:rsidR="00A96D8A" w:rsidRPr="00455697" w:rsidRDefault="00A96D8A" w:rsidP="00A96D8A">
            <w:pPr>
              <w:jc w:val="both"/>
              <w:rPr>
                <w:sz w:val="20"/>
                <w:lang w:val="fr-CA"/>
              </w:rPr>
            </w:pPr>
            <w:r w:rsidRPr="00455697">
              <w:rPr>
                <w:sz w:val="20"/>
                <w:lang w:val="fr-CA"/>
              </w:rPr>
              <w:t>(juge Wilson) (non publié)</w:t>
            </w:r>
          </w:p>
          <w:p w:rsidR="00A96D8A" w:rsidRPr="00455697" w:rsidRDefault="00A96D8A" w:rsidP="00A96D8A">
            <w:pPr>
              <w:jc w:val="both"/>
              <w:rPr>
                <w:sz w:val="20"/>
                <w:lang w:val="fr-CA"/>
              </w:rPr>
            </w:pP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widowControl w:val="0"/>
              <w:tabs>
                <w:tab w:val="right" w:pos="288"/>
                <w:tab w:val="left" w:pos="576"/>
                <w:tab w:val="left" w:pos="4968"/>
              </w:tabs>
              <w:kinsoku w:val="0"/>
              <w:overflowPunct w:val="0"/>
              <w:spacing w:line="278" w:lineRule="exact"/>
              <w:jc w:val="both"/>
              <w:textAlignment w:val="baseline"/>
              <w:rPr>
                <w:sz w:val="20"/>
                <w:lang w:val="fr-CA"/>
              </w:rPr>
            </w:pPr>
            <w:r w:rsidRPr="00455697">
              <w:rPr>
                <w:sz w:val="20"/>
                <w:lang w:val="fr-CA"/>
              </w:rPr>
              <w:t>Les déclarations de culpabilité pour meurtre</w:t>
            </w:r>
            <w:r w:rsidRPr="00455697">
              <w:rPr>
                <w:color w:val="000000"/>
                <w:sz w:val="20"/>
                <w:lang w:val="fr-CA"/>
              </w:rPr>
              <w:t xml:space="preserve"> au premier degré et pour meurtre au deuxième degré sont prononcées.</w:t>
            </w:r>
          </w:p>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3 février 2022</w:t>
            </w:r>
          </w:p>
          <w:p w:rsidR="00A96D8A" w:rsidRPr="00455697" w:rsidRDefault="00A96D8A" w:rsidP="00A96D8A">
            <w:pPr>
              <w:jc w:val="both"/>
              <w:rPr>
                <w:sz w:val="20"/>
                <w:lang w:val="fr-CA"/>
              </w:rPr>
            </w:pPr>
            <w:r w:rsidRPr="00455697">
              <w:rPr>
                <w:sz w:val="20"/>
                <w:lang w:val="fr-CA"/>
              </w:rPr>
              <w:t>Cour d’appel de l’Alberta (Calgary)</w:t>
            </w:r>
          </w:p>
          <w:p w:rsidR="00A96D8A" w:rsidRPr="00455697" w:rsidRDefault="00A96D8A" w:rsidP="00A96D8A">
            <w:pPr>
              <w:jc w:val="both"/>
              <w:rPr>
                <w:sz w:val="20"/>
                <w:lang w:val="fr-CA"/>
              </w:rPr>
            </w:pPr>
            <w:r w:rsidRPr="00455697">
              <w:rPr>
                <w:sz w:val="20"/>
                <w:lang w:val="fr-CA"/>
              </w:rPr>
              <w:t>(juges Veldhuis, Strekaf, Kirker)</w:t>
            </w:r>
          </w:p>
          <w:p w:rsidR="00A96D8A" w:rsidRPr="00455697" w:rsidRDefault="00455697" w:rsidP="00A96D8A">
            <w:pPr>
              <w:jc w:val="both"/>
              <w:rPr>
                <w:color w:val="000000"/>
                <w:sz w:val="20"/>
                <w:lang w:val="fr-CA"/>
              </w:rPr>
            </w:pPr>
            <w:hyperlink r:id="rId38" w:history="1">
              <w:r w:rsidR="00A96D8A" w:rsidRPr="00455697">
                <w:rPr>
                  <w:rStyle w:val="Hyperlink"/>
                  <w:sz w:val="20"/>
                  <w:lang w:val="fr-CA"/>
                </w:rPr>
                <w:t>2022 ABCA 40</w:t>
              </w:r>
            </w:hyperlink>
            <w:r w:rsidR="00A96D8A" w:rsidRPr="00455697">
              <w:rPr>
                <w:sz w:val="20"/>
                <w:lang w:val="fr-CA"/>
              </w:rPr>
              <w:t xml:space="preserve">; </w:t>
            </w:r>
            <w:r w:rsidR="00A96D8A" w:rsidRPr="00455697">
              <w:rPr>
                <w:color w:val="000000"/>
                <w:sz w:val="20"/>
                <w:lang w:val="fr-CA"/>
              </w:rPr>
              <w:t>2001-0111A</w:t>
            </w:r>
          </w:p>
          <w:p w:rsidR="00A96D8A" w:rsidRPr="00455697" w:rsidRDefault="00A96D8A" w:rsidP="00A96D8A">
            <w:pPr>
              <w:jc w:val="both"/>
              <w:rPr>
                <w:sz w:val="20"/>
                <w:lang w:val="fr-CA"/>
              </w:rPr>
            </w:pP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jc w:val="both"/>
              <w:rPr>
                <w:sz w:val="20"/>
                <w:lang w:val="fr-CA"/>
              </w:rPr>
            </w:pPr>
            <w:r w:rsidRPr="00455697">
              <w:rPr>
                <w:sz w:val="20"/>
                <w:lang w:val="fr-CA"/>
              </w:rPr>
              <w:t>L’appel des déclarations de culpabilité est rejeté.</w:t>
            </w:r>
          </w:p>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22 septembre 2022</w:t>
            </w:r>
          </w:p>
          <w:p w:rsidR="00A96D8A" w:rsidRPr="00455697" w:rsidRDefault="00A96D8A" w:rsidP="00A96D8A">
            <w:pPr>
              <w:jc w:val="both"/>
              <w:rPr>
                <w:sz w:val="20"/>
                <w:lang w:val="fr-CA"/>
              </w:rPr>
            </w:pPr>
            <w:r w:rsidRPr="00455697">
              <w:rPr>
                <w:sz w:val="20"/>
                <w:lang w:val="fr-CA"/>
              </w:rPr>
              <w:t>Cour d’appel de l’Alberta (Calgary)</w:t>
            </w:r>
          </w:p>
          <w:p w:rsidR="00A96D8A" w:rsidRPr="00455697" w:rsidRDefault="00A96D8A" w:rsidP="00A96D8A">
            <w:pPr>
              <w:jc w:val="both"/>
              <w:rPr>
                <w:sz w:val="20"/>
                <w:lang w:val="fr-CA"/>
              </w:rPr>
            </w:pPr>
            <w:r w:rsidRPr="00455697">
              <w:rPr>
                <w:sz w:val="20"/>
                <w:lang w:val="fr-CA"/>
              </w:rPr>
              <w:t>(juges Veldhuis, Strekaf, Kirker)</w:t>
            </w:r>
          </w:p>
          <w:p w:rsidR="00A96D8A" w:rsidRPr="00455697" w:rsidRDefault="00455697" w:rsidP="00A96D8A">
            <w:pPr>
              <w:jc w:val="both"/>
              <w:rPr>
                <w:color w:val="000000"/>
                <w:sz w:val="20"/>
                <w:lang w:val="fr-CA"/>
              </w:rPr>
            </w:pPr>
            <w:hyperlink r:id="rId39" w:history="1">
              <w:r w:rsidR="00A96D8A" w:rsidRPr="00455697">
                <w:rPr>
                  <w:rStyle w:val="Hyperlink"/>
                  <w:sz w:val="20"/>
                  <w:lang w:val="fr-CA"/>
                </w:rPr>
                <w:t>2022 ABCA 301</w:t>
              </w:r>
            </w:hyperlink>
            <w:r w:rsidR="00A96D8A" w:rsidRPr="00455697">
              <w:rPr>
                <w:sz w:val="20"/>
                <w:lang w:val="fr-CA"/>
              </w:rPr>
              <w:t xml:space="preserve">; </w:t>
            </w:r>
            <w:r w:rsidR="00A96D8A" w:rsidRPr="00455697">
              <w:rPr>
                <w:color w:val="000000"/>
                <w:sz w:val="20"/>
                <w:lang w:val="fr-CA"/>
              </w:rPr>
              <w:t>2001-0111A</w:t>
            </w:r>
          </w:p>
          <w:p w:rsidR="00A96D8A" w:rsidRPr="00455697" w:rsidRDefault="00A96D8A" w:rsidP="00A96D8A">
            <w:pPr>
              <w:jc w:val="both"/>
              <w:rPr>
                <w:sz w:val="20"/>
                <w:lang w:val="fr-CA"/>
              </w:rPr>
            </w:pP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jc w:val="both"/>
              <w:rPr>
                <w:sz w:val="20"/>
                <w:lang w:val="fr-CA"/>
              </w:rPr>
            </w:pPr>
            <w:r w:rsidRPr="00455697">
              <w:rPr>
                <w:sz w:val="20"/>
                <w:lang w:val="fr-CA"/>
              </w:rPr>
              <w:t>La demande en réouverture de l’appel est rejetée.</w:t>
            </w:r>
          </w:p>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31 janvier 2023</w:t>
            </w:r>
          </w:p>
          <w:p w:rsidR="00A96D8A" w:rsidRPr="00455697" w:rsidRDefault="00A96D8A" w:rsidP="00A96D8A">
            <w:pPr>
              <w:jc w:val="both"/>
              <w:rPr>
                <w:sz w:val="20"/>
                <w:lang w:val="fr-CA"/>
              </w:rPr>
            </w:pPr>
            <w:r w:rsidRPr="00455697">
              <w:rPr>
                <w:sz w:val="20"/>
                <w:lang w:val="fr-CA"/>
              </w:rPr>
              <w:t>Cour suprême du Canada</w:t>
            </w: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jc w:val="both"/>
              <w:rPr>
                <w:sz w:val="20"/>
                <w:lang w:val="fr-CA"/>
              </w:rPr>
            </w:pPr>
            <w:r w:rsidRPr="00455697">
              <w:rPr>
                <w:sz w:val="20"/>
                <w:lang w:val="fr-CA"/>
              </w:rPr>
              <w:t>La requête en prorogation du délai pour signifier et déposer la demande d’autorisation d’appel et la demande d’autorisation d’appel sont présentées.</w:t>
            </w:r>
          </w:p>
        </w:tc>
      </w:tr>
    </w:tbl>
    <w:p w:rsidR="00A96D8A" w:rsidRPr="00455697" w:rsidRDefault="00A96D8A" w:rsidP="00A96D8A">
      <w:pPr>
        <w:jc w:val="both"/>
        <w:rPr>
          <w:sz w:val="20"/>
          <w:lang w:val="fr-CA"/>
        </w:rPr>
      </w:pPr>
    </w:p>
    <w:p w:rsidR="00A96D8A" w:rsidRPr="00455697" w:rsidRDefault="00455697" w:rsidP="00A96D8A">
      <w:pPr>
        <w:jc w:val="both"/>
        <w:rPr>
          <w:sz w:val="20"/>
          <w:lang w:val="fr-CA"/>
        </w:rPr>
      </w:pPr>
      <w:r w:rsidRPr="00455697">
        <w:rPr>
          <w:sz w:val="20"/>
        </w:rPr>
        <w:pict>
          <v:rect id="_x0000_i1038" style="width:2in;height:1pt" o:hrpct="0" o:hralign="center" o:hrstd="t" o:hrnoshade="t" o:hr="t" fillcolor="black [3213]" stroked="f"/>
        </w:pict>
      </w:r>
    </w:p>
    <w:p w:rsidR="00A96D8A" w:rsidRPr="00455697" w:rsidRDefault="00A96D8A" w:rsidP="00A96D8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6D8A" w:rsidRPr="00455697" w:rsidTr="008E78C8">
        <w:tc>
          <w:tcPr>
            <w:tcW w:w="543" w:type="pct"/>
          </w:tcPr>
          <w:p w:rsidR="00A96D8A" w:rsidRPr="00455697" w:rsidRDefault="00A96D8A" w:rsidP="00A96D8A">
            <w:pPr>
              <w:jc w:val="both"/>
              <w:rPr>
                <w:sz w:val="20"/>
                <w:lang w:val="en-CA"/>
              </w:rPr>
            </w:pPr>
            <w:r w:rsidRPr="00455697">
              <w:rPr>
                <w:rStyle w:val="SCCFileNumberChar"/>
                <w:sz w:val="20"/>
                <w:szCs w:val="20"/>
              </w:rPr>
              <w:t>40187</w:t>
            </w:r>
          </w:p>
        </w:tc>
        <w:tc>
          <w:tcPr>
            <w:tcW w:w="4457" w:type="pct"/>
            <w:gridSpan w:val="3"/>
          </w:tcPr>
          <w:p w:rsidR="00A96D8A" w:rsidRPr="00455697" w:rsidRDefault="00A96D8A" w:rsidP="00A96D8A">
            <w:pPr>
              <w:pStyle w:val="SCCLsocParty"/>
              <w:jc w:val="both"/>
              <w:rPr>
                <w:b/>
                <w:sz w:val="20"/>
                <w:szCs w:val="20"/>
                <w:lang w:val="en-CA"/>
              </w:rPr>
            </w:pPr>
            <w:r w:rsidRPr="00455697">
              <w:rPr>
                <w:b/>
                <w:sz w:val="20"/>
                <w:szCs w:val="20"/>
                <w:lang w:val="en-CA"/>
              </w:rPr>
              <w:t>9255-2504 Québec inc., 142550 Canada inc. and Grand Boisé de La Prairie inc. v. His Majesty the King</w:t>
            </w:r>
          </w:p>
          <w:p w:rsidR="00A96D8A" w:rsidRPr="00455697" w:rsidRDefault="00A96D8A" w:rsidP="00A96D8A">
            <w:pPr>
              <w:jc w:val="both"/>
              <w:rPr>
                <w:sz w:val="20"/>
                <w:lang w:val="en-CA"/>
              </w:rPr>
            </w:pPr>
            <w:r w:rsidRPr="00455697">
              <w:rPr>
                <w:sz w:val="20"/>
                <w:lang w:val="en-CA"/>
              </w:rPr>
              <w:t>(F.C.) (Civil) (By Leave)</w:t>
            </w:r>
          </w:p>
        </w:tc>
      </w:tr>
      <w:tr w:rsidR="00A96D8A" w:rsidRPr="00455697" w:rsidTr="008E78C8">
        <w:tc>
          <w:tcPr>
            <w:tcW w:w="5000" w:type="pct"/>
            <w:gridSpan w:val="4"/>
          </w:tcPr>
          <w:p w:rsidR="00A96D8A" w:rsidRPr="00455697" w:rsidRDefault="00A96D8A" w:rsidP="00A96D8A">
            <w:pPr>
              <w:jc w:val="both"/>
              <w:rPr>
                <w:sz w:val="20"/>
                <w:lang w:val="en-CA"/>
              </w:rPr>
            </w:pPr>
            <w:proofErr w:type="gramStart"/>
            <w:r w:rsidRPr="00455697">
              <w:rPr>
                <w:sz w:val="20"/>
                <w:lang w:val="en-CA"/>
              </w:rPr>
              <w:t xml:space="preserve">Crown law ― Crown liability ― Disguised expropriation ― If emergency order is made by Governor in Council at time when compensation process under s. 64 of </w:t>
            </w:r>
            <w:r w:rsidRPr="00455697">
              <w:rPr>
                <w:i/>
                <w:sz w:val="20"/>
                <w:lang w:val="en-CA"/>
              </w:rPr>
              <w:t>Species at Risk Act</w:t>
            </w:r>
            <w:r w:rsidRPr="00455697">
              <w:rPr>
                <w:color w:val="000000"/>
                <w:sz w:val="20"/>
                <w:lang w:val="en-CA"/>
              </w:rPr>
              <w:t xml:space="preserve">, S.C. 2002, c. 29, has not been put in place, whether it is possible for party to bring action in civil liability against Crown to obtain remedy for infringement of its right of ownership ― Whether concept of disguised expropriation in Quebec civil law requires that immovable have been appropriated by federal Crown ― Whether party must bring application for judicial review as precondition to action for compensation for disguised expropriation or action in civil liability under </w:t>
            </w:r>
            <w:r w:rsidRPr="00455697">
              <w:rPr>
                <w:i/>
                <w:color w:val="000000"/>
                <w:sz w:val="20"/>
                <w:lang w:val="en-CA"/>
              </w:rPr>
              <w:t>Crown Liability and Proceedings Act</w:t>
            </w:r>
            <w:r w:rsidRPr="00455697">
              <w:rPr>
                <w:color w:val="000000"/>
                <w:sz w:val="20"/>
                <w:lang w:val="en-CA"/>
              </w:rPr>
              <w:t xml:space="preserve">, R.S.C. 1985, c. C-50 ― </w:t>
            </w:r>
            <w:r w:rsidRPr="00455697">
              <w:rPr>
                <w:i/>
                <w:color w:val="000000"/>
                <w:sz w:val="20"/>
                <w:lang w:val="en-CA"/>
              </w:rPr>
              <w:t>Crown Liability and Proceedings Act</w:t>
            </w:r>
            <w:r w:rsidRPr="00455697">
              <w:rPr>
                <w:color w:val="000000"/>
                <w:sz w:val="20"/>
                <w:lang w:val="en-CA"/>
              </w:rPr>
              <w:t xml:space="preserve">, R.S.C. 1985, c. C-50, s. 3(a) ― </w:t>
            </w:r>
            <w:r w:rsidRPr="00455697">
              <w:rPr>
                <w:i/>
                <w:sz w:val="20"/>
                <w:lang w:val="en-CA"/>
              </w:rPr>
              <w:t>Species at Risk Act</w:t>
            </w:r>
            <w:r w:rsidRPr="00455697">
              <w:rPr>
                <w:color w:val="000000"/>
                <w:sz w:val="20"/>
                <w:lang w:val="en-CA"/>
              </w:rPr>
              <w:t xml:space="preserve">, S.C. 2002, c. 29, s. 64 ― </w:t>
            </w:r>
            <w:r w:rsidRPr="00455697">
              <w:rPr>
                <w:i/>
                <w:color w:val="000000"/>
                <w:sz w:val="20"/>
                <w:lang w:val="en-CA"/>
              </w:rPr>
              <w:t>Civil Code of Québec</w:t>
            </w:r>
            <w:r w:rsidRPr="00455697">
              <w:rPr>
                <w:color w:val="000000"/>
                <w:sz w:val="20"/>
                <w:lang w:val="en-CA"/>
              </w:rPr>
              <w:t>, arts. </w:t>
            </w:r>
            <w:proofErr w:type="gramEnd"/>
            <w:r w:rsidRPr="00455697">
              <w:rPr>
                <w:color w:val="000000"/>
                <w:sz w:val="20"/>
                <w:lang w:val="en-CA"/>
              </w:rPr>
              <w:t>952, 1376 and 1457.</w:t>
            </w:r>
          </w:p>
        </w:tc>
      </w:tr>
      <w:tr w:rsidR="00A96D8A" w:rsidRPr="00455697" w:rsidTr="008E78C8">
        <w:tc>
          <w:tcPr>
            <w:tcW w:w="5000" w:type="pct"/>
            <w:gridSpan w:val="4"/>
          </w:tcPr>
          <w:p w:rsidR="00A96D8A" w:rsidRPr="00455697" w:rsidRDefault="00A96D8A" w:rsidP="00A96D8A">
            <w:pPr>
              <w:jc w:val="both"/>
              <w:rPr>
                <w:sz w:val="20"/>
                <w:lang w:val="en-CA"/>
              </w:rPr>
            </w:pPr>
          </w:p>
          <w:p w:rsidR="00A96D8A" w:rsidRPr="00455697" w:rsidRDefault="00A96D8A" w:rsidP="00A96D8A">
            <w:pPr>
              <w:jc w:val="both"/>
              <w:rPr>
                <w:color w:val="000000"/>
                <w:sz w:val="20"/>
                <w:lang w:val="en-CA"/>
              </w:rPr>
            </w:pPr>
            <w:r w:rsidRPr="00455697">
              <w:rPr>
                <w:sz w:val="20"/>
                <w:lang w:val="en-CA"/>
              </w:rPr>
              <w:t>The applicants, 9255-2504 Québec inc., 142550 Canada inc. and Grand Boisé de La Prairie inc., purchased land in Ville de La Prairie on the south shore of Montréal to develop a six-phase residential project. The land in question proved to be the natural habitat of a population of</w:t>
            </w:r>
            <w:r w:rsidRPr="00455697">
              <w:rPr>
                <w:sz w:val="20"/>
              </w:rPr>
              <w:t xml:space="preserve"> the </w:t>
            </w:r>
            <w:r w:rsidRPr="00455697">
              <w:rPr>
                <w:sz w:val="20"/>
                <w:lang w:val="en-CA"/>
              </w:rPr>
              <w:t xml:space="preserve">Western chorus frog, which since 2001 had been designated a “vulnerable wildlife species” under the </w:t>
            </w:r>
            <w:r w:rsidRPr="00455697">
              <w:rPr>
                <w:i/>
                <w:sz w:val="20"/>
                <w:lang w:val="en-CA"/>
              </w:rPr>
              <w:t>Act respecting threatened or vulnerable species</w:t>
            </w:r>
            <w:r w:rsidRPr="00455697">
              <w:rPr>
                <w:sz w:val="20"/>
                <w:lang w:val="en-CA"/>
              </w:rPr>
              <w:t xml:space="preserve">, CQLR, c. E-12.01. In 2008, Ville de La Prairie obtained a certificate under s. 22 of the </w:t>
            </w:r>
            <w:r w:rsidRPr="00455697">
              <w:rPr>
                <w:i/>
                <w:sz w:val="20"/>
                <w:lang w:val="en-CA"/>
              </w:rPr>
              <w:t>Environment Quality Act</w:t>
            </w:r>
            <w:r w:rsidRPr="00455697">
              <w:rPr>
                <w:sz w:val="20"/>
                <w:lang w:val="en-CA"/>
              </w:rPr>
              <w:t>, CQLR,</w:t>
            </w:r>
            <w:r w:rsidRPr="00455697">
              <w:rPr>
                <w:rStyle w:val="fontstyle21"/>
                <w:sz w:val="20"/>
                <w:szCs w:val="20"/>
                <w:lang w:val="en-CA"/>
              </w:rPr>
              <w:t xml:space="preserve"> c. Q-2, authorizing the backfilling of wetlands at the place where the applicants’ project was to be developed. However, certain measures had to </w:t>
            </w:r>
            <w:proofErr w:type="gramStart"/>
            <w:r w:rsidRPr="00455697">
              <w:rPr>
                <w:rStyle w:val="fontstyle21"/>
                <w:sz w:val="20"/>
                <w:szCs w:val="20"/>
                <w:lang w:val="en-CA"/>
              </w:rPr>
              <w:t>be taken</w:t>
            </w:r>
            <w:proofErr w:type="gramEnd"/>
            <w:r w:rsidRPr="00455697">
              <w:rPr>
                <w:rStyle w:val="fontstyle21"/>
                <w:sz w:val="20"/>
                <w:szCs w:val="20"/>
                <w:lang w:val="en-CA"/>
              </w:rPr>
              <w:t xml:space="preserve"> to offset the environmental impact of the backfilling. In 2012, </w:t>
            </w:r>
            <w:proofErr w:type="gramStart"/>
            <w:r w:rsidRPr="00455697">
              <w:rPr>
                <w:rStyle w:val="fontstyle21"/>
                <w:sz w:val="20"/>
                <w:szCs w:val="20"/>
                <w:lang w:val="en-CA"/>
              </w:rPr>
              <w:t>a memorandum of understanding was entered into by the applicants and Ville de La Prairie concerning the six phases of the project</w:t>
            </w:r>
            <w:proofErr w:type="gramEnd"/>
            <w:r w:rsidRPr="00455697">
              <w:rPr>
                <w:rStyle w:val="fontstyle21"/>
                <w:sz w:val="20"/>
                <w:szCs w:val="20"/>
                <w:lang w:val="en-CA"/>
              </w:rPr>
              <w:t xml:space="preserve">. In response to that memorandum, an environmental protection group initiated the process for obtaining an emergency order under the </w:t>
            </w:r>
            <w:r w:rsidRPr="00455697">
              <w:rPr>
                <w:i/>
                <w:sz w:val="20"/>
                <w:lang w:val="en-CA"/>
              </w:rPr>
              <w:t>Species at Risk Act</w:t>
            </w:r>
            <w:r w:rsidRPr="00455697">
              <w:rPr>
                <w:color w:val="000000"/>
                <w:sz w:val="20"/>
                <w:lang w:val="en-CA"/>
              </w:rPr>
              <w:t xml:space="preserve">, S.C. 2002, </w:t>
            </w:r>
            <w:proofErr w:type="gramStart"/>
            <w:r w:rsidRPr="00455697">
              <w:rPr>
                <w:color w:val="000000"/>
                <w:sz w:val="20"/>
                <w:lang w:val="en-CA"/>
              </w:rPr>
              <w:t>c</w:t>
            </w:r>
            <w:proofErr w:type="gramEnd"/>
            <w:r w:rsidRPr="00455697">
              <w:rPr>
                <w:color w:val="000000"/>
                <w:sz w:val="20"/>
                <w:lang w:val="en-CA"/>
              </w:rPr>
              <w:t>. 29 (“</w:t>
            </w:r>
            <w:r w:rsidRPr="00455697">
              <w:rPr>
                <w:i/>
                <w:color w:val="000000"/>
                <w:sz w:val="20"/>
                <w:lang w:val="en-CA"/>
              </w:rPr>
              <w:t>SRA</w:t>
            </w:r>
            <w:r w:rsidRPr="00455697">
              <w:rPr>
                <w:color w:val="000000"/>
                <w:sz w:val="20"/>
                <w:lang w:val="en-CA"/>
              </w:rPr>
              <w:t xml:space="preserve">”), in order to protect the habitat of the Western chorus frog. In early 2015, the then Minister of the Environment refused to recommend to the Governor in Council that an emergency order </w:t>
            </w:r>
            <w:proofErr w:type="gramStart"/>
            <w:r w:rsidRPr="00455697">
              <w:rPr>
                <w:color w:val="000000"/>
                <w:sz w:val="20"/>
                <w:lang w:val="en-CA"/>
              </w:rPr>
              <w:t>be made</w:t>
            </w:r>
            <w:proofErr w:type="gramEnd"/>
            <w:r w:rsidRPr="00455697">
              <w:rPr>
                <w:color w:val="000000"/>
                <w:sz w:val="20"/>
                <w:lang w:val="en-CA"/>
              </w:rPr>
              <w:t xml:space="preserve">. That decision </w:t>
            </w:r>
            <w:proofErr w:type="gramStart"/>
            <w:r w:rsidRPr="00455697">
              <w:rPr>
                <w:color w:val="000000"/>
                <w:sz w:val="20"/>
                <w:lang w:val="en-CA"/>
              </w:rPr>
              <w:t>was later set aside by the Federal Court and referred back to the Minister’s office for redetermination</w:t>
            </w:r>
            <w:proofErr w:type="gramEnd"/>
            <w:r w:rsidRPr="00455697">
              <w:rPr>
                <w:color w:val="000000"/>
                <w:sz w:val="20"/>
                <w:lang w:val="en-CA"/>
              </w:rPr>
              <w:t xml:space="preserve">. In December 2015, the new Minister decided to recommend to the Governor in Council that an emergency order </w:t>
            </w:r>
            <w:proofErr w:type="gramStart"/>
            <w:r w:rsidRPr="00455697">
              <w:rPr>
                <w:color w:val="000000"/>
                <w:sz w:val="20"/>
                <w:lang w:val="en-CA"/>
              </w:rPr>
              <w:t>be made</w:t>
            </w:r>
            <w:proofErr w:type="gramEnd"/>
            <w:r w:rsidRPr="00455697">
              <w:rPr>
                <w:color w:val="000000"/>
                <w:sz w:val="20"/>
                <w:lang w:val="en-CA"/>
              </w:rPr>
              <w:t xml:space="preserve">. That order </w:t>
            </w:r>
            <w:proofErr w:type="gramStart"/>
            <w:r w:rsidRPr="00455697">
              <w:rPr>
                <w:color w:val="000000"/>
                <w:sz w:val="20"/>
                <w:lang w:val="en-CA"/>
              </w:rPr>
              <w:t>was made</w:t>
            </w:r>
            <w:proofErr w:type="gramEnd"/>
            <w:r w:rsidRPr="00455697">
              <w:rPr>
                <w:color w:val="000000"/>
                <w:sz w:val="20"/>
                <w:lang w:val="en-CA"/>
              </w:rPr>
              <w:t xml:space="preserve"> in June 2016 and had the effect of ending the last two phases of the applicants’ project because of the conditions it established. The applicants then claimed compensation for losses resulting from their inability to complete the project. </w:t>
            </w:r>
            <w:proofErr w:type="gramStart"/>
            <w:r w:rsidRPr="00455697">
              <w:rPr>
                <w:color w:val="000000"/>
                <w:sz w:val="20"/>
                <w:lang w:val="en-CA"/>
              </w:rPr>
              <w:t xml:space="preserve">Until the release of </w:t>
            </w:r>
            <w:r w:rsidRPr="00455697">
              <w:rPr>
                <w:i/>
                <w:color w:val="000000"/>
                <w:sz w:val="20"/>
                <w:lang w:val="en-CA"/>
              </w:rPr>
              <w:t>Groupe Maison Candiac Inc. v. Canada (Attorney General)</w:t>
            </w:r>
            <w:r w:rsidRPr="00455697">
              <w:rPr>
                <w:color w:val="000000"/>
                <w:sz w:val="20"/>
                <w:lang w:val="en-CA"/>
              </w:rPr>
              <w:t xml:space="preserve">, 2018 FC 643, affirmed by the Federal Court of Appeal (2020 FCA 88; application for leave to appeal to the Supreme Court dismissed), the Minister said that she could not pay compensation unless regulations were made by the Governor in Council in accordance with s. 64 of the </w:t>
            </w:r>
            <w:r w:rsidRPr="00455697">
              <w:rPr>
                <w:i/>
                <w:color w:val="000000"/>
                <w:sz w:val="20"/>
                <w:lang w:val="en-CA"/>
              </w:rPr>
              <w:t>SRA</w:t>
            </w:r>
            <w:r w:rsidRPr="00455697">
              <w:rPr>
                <w:color w:val="000000"/>
                <w:sz w:val="20"/>
                <w:lang w:val="en-CA"/>
              </w:rPr>
              <w:t>. Following that decision, the Minister said that she now had the power to compensate the applicants if they filed a claim.</w:t>
            </w:r>
            <w:proofErr w:type="gramEnd"/>
            <w:r w:rsidRPr="00455697">
              <w:rPr>
                <w:color w:val="000000"/>
                <w:sz w:val="20"/>
                <w:lang w:val="en-CA"/>
              </w:rPr>
              <w:t xml:space="preserve"> The applicants, alleging that they had made many unsuccessful claims for compensation, brought an action in the Federal Court to seek compensation under the </w:t>
            </w:r>
            <w:r w:rsidRPr="00455697">
              <w:rPr>
                <w:i/>
                <w:color w:val="000000"/>
                <w:sz w:val="20"/>
                <w:lang w:val="en-CA"/>
              </w:rPr>
              <w:t>Crown Liability and Proceedings Act</w:t>
            </w:r>
            <w:r w:rsidRPr="00455697">
              <w:rPr>
                <w:color w:val="000000"/>
                <w:sz w:val="20"/>
                <w:lang w:val="en-CA"/>
              </w:rPr>
              <w:t xml:space="preserve">, R.S.C 1985, c. C-50, and, in the alternative, compensation for disguised expropriation under art. 952 of the </w:t>
            </w:r>
            <w:r w:rsidRPr="00455697">
              <w:rPr>
                <w:i/>
                <w:color w:val="000000"/>
                <w:sz w:val="20"/>
                <w:lang w:val="en-CA"/>
              </w:rPr>
              <w:t>Civil Code of Québec</w:t>
            </w:r>
            <w:r w:rsidRPr="00455697">
              <w:rPr>
                <w:color w:val="000000"/>
                <w:sz w:val="20"/>
                <w:lang w:val="en-CA"/>
              </w:rPr>
              <w:t>. The Federal Court dismissed the applicants’ action, and the Court of Appeal dismissed the appeal.</w:t>
            </w:r>
          </w:p>
        </w:tc>
      </w:tr>
      <w:tr w:rsidR="00A96D8A" w:rsidRPr="00455697" w:rsidTr="008E78C8">
        <w:tc>
          <w:tcPr>
            <w:tcW w:w="5000" w:type="pct"/>
            <w:gridSpan w:val="4"/>
          </w:tcPr>
          <w:p w:rsidR="00A96D8A" w:rsidRPr="00455697" w:rsidRDefault="00A96D8A" w:rsidP="00A96D8A">
            <w:pPr>
              <w:jc w:val="both"/>
              <w:rPr>
                <w:sz w:val="20"/>
                <w:lang w:val="en-CA"/>
              </w:rPr>
            </w:pPr>
          </w:p>
        </w:tc>
      </w:tr>
      <w:tr w:rsidR="00A96D8A" w:rsidRPr="00455697" w:rsidTr="008E78C8">
        <w:tc>
          <w:tcPr>
            <w:tcW w:w="2427" w:type="pct"/>
            <w:gridSpan w:val="2"/>
          </w:tcPr>
          <w:p w:rsidR="00A96D8A" w:rsidRPr="00455697" w:rsidRDefault="00A96D8A" w:rsidP="00A96D8A">
            <w:pPr>
              <w:jc w:val="both"/>
              <w:rPr>
                <w:sz w:val="20"/>
                <w:lang w:val="en-CA"/>
              </w:rPr>
            </w:pPr>
            <w:r w:rsidRPr="00455697">
              <w:rPr>
                <w:sz w:val="20"/>
                <w:lang w:val="en-CA"/>
              </w:rPr>
              <w:t>January 30, 2020</w:t>
            </w:r>
          </w:p>
          <w:p w:rsidR="00A96D8A" w:rsidRPr="00455697" w:rsidRDefault="00A96D8A" w:rsidP="00A96D8A">
            <w:pPr>
              <w:jc w:val="both"/>
              <w:rPr>
                <w:sz w:val="20"/>
                <w:lang w:val="en-CA"/>
              </w:rPr>
            </w:pPr>
            <w:r w:rsidRPr="00455697">
              <w:rPr>
                <w:sz w:val="20"/>
                <w:lang w:val="en-CA"/>
              </w:rPr>
              <w:t>Federal Court</w:t>
            </w:r>
          </w:p>
          <w:p w:rsidR="00A96D8A" w:rsidRPr="00455697" w:rsidRDefault="00A96D8A" w:rsidP="00A96D8A">
            <w:pPr>
              <w:jc w:val="both"/>
              <w:rPr>
                <w:sz w:val="20"/>
                <w:lang w:val="en-CA"/>
              </w:rPr>
            </w:pPr>
            <w:r w:rsidRPr="00455697">
              <w:rPr>
                <w:sz w:val="20"/>
                <w:lang w:val="en-CA"/>
              </w:rPr>
              <w:t>(LeBlanc J.)</w:t>
            </w:r>
          </w:p>
          <w:p w:rsidR="00A96D8A" w:rsidRPr="00455697" w:rsidRDefault="00455697" w:rsidP="00A96D8A">
            <w:pPr>
              <w:jc w:val="both"/>
              <w:rPr>
                <w:sz w:val="20"/>
                <w:lang w:val="en-CA"/>
              </w:rPr>
            </w:pPr>
            <w:hyperlink r:id="rId40" w:history="1">
              <w:r w:rsidR="00A96D8A" w:rsidRPr="00455697">
                <w:rPr>
                  <w:rStyle w:val="Hyperlink"/>
                  <w:sz w:val="20"/>
                  <w:lang w:val="en-CA"/>
                </w:rPr>
                <w:t>2020 FC 161</w:t>
              </w:r>
            </w:hyperlink>
          </w:p>
          <w:p w:rsidR="00A96D8A" w:rsidRPr="00455697" w:rsidRDefault="00A96D8A" w:rsidP="00A96D8A">
            <w:pPr>
              <w:jc w:val="both"/>
              <w:rPr>
                <w:sz w:val="20"/>
                <w:lang w:val="en-CA"/>
              </w:rPr>
            </w:pPr>
          </w:p>
        </w:tc>
        <w:tc>
          <w:tcPr>
            <w:tcW w:w="243" w:type="pct"/>
          </w:tcPr>
          <w:p w:rsidR="00A96D8A" w:rsidRPr="00455697" w:rsidRDefault="00A96D8A" w:rsidP="00A96D8A">
            <w:pPr>
              <w:jc w:val="both"/>
              <w:rPr>
                <w:sz w:val="20"/>
                <w:lang w:val="en-CA"/>
              </w:rPr>
            </w:pPr>
          </w:p>
        </w:tc>
        <w:tc>
          <w:tcPr>
            <w:tcW w:w="2330" w:type="pct"/>
          </w:tcPr>
          <w:p w:rsidR="00A96D8A" w:rsidRPr="00455697" w:rsidRDefault="00A96D8A" w:rsidP="00A96D8A">
            <w:pPr>
              <w:jc w:val="both"/>
              <w:rPr>
                <w:sz w:val="20"/>
                <w:lang w:val="en-CA"/>
              </w:rPr>
            </w:pPr>
            <w:r w:rsidRPr="00455697">
              <w:rPr>
                <w:sz w:val="20"/>
                <w:lang w:val="en-CA"/>
              </w:rPr>
              <w:t>Action dismissed</w:t>
            </w:r>
          </w:p>
          <w:p w:rsidR="00A96D8A" w:rsidRPr="00455697" w:rsidRDefault="00A96D8A" w:rsidP="00A96D8A">
            <w:pPr>
              <w:jc w:val="both"/>
              <w:rPr>
                <w:sz w:val="20"/>
                <w:lang w:val="en-CA"/>
              </w:rPr>
            </w:pPr>
          </w:p>
        </w:tc>
      </w:tr>
      <w:tr w:rsidR="00A96D8A" w:rsidRPr="00455697" w:rsidTr="008E78C8">
        <w:tc>
          <w:tcPr>
            <w:tcW w:w="2427" w:type="pct"/>
            <w:gridSpan w:val="2"/>
          </w:tcPr>
          <w:p w:rsidR="00A96D8A" w:rsidRPr="00455697" w:rsidRDefault="00A96D8A" w:rsidP="00A96D8A">
            <w:pPr>
              <w:jc w:val="both"/>
              <w:rPr>
                <w:sz w:val="20"/>
                <w:lang w:val="en-CA"/>
              </w:rPr>
            </w:pPr>
            <w:r w:rsidRPr="00455697">
              <w:rPr>
                <w:sz w:val="20"/>
                <w:lang w:val="en-CA"/>
              </w:rPr>
              <w:t>March 9, 2022</w:t>
            </w:r>
          </w:p>
          <w:p w:rsidR="00A96D8A" w:rsidRPr="00455697" w:rsidRDefault="00A96D8A" w:rsidP="00A96D8A">
            <w:pPr>
              <w:jc w:val="both"/>
              <w:rPr>
                <w:sz w:val="20"/>
                <w:lang w:val="en-CA"/>
              </w:rPr>
            </w:pPr>
            <w:r w:rsidRPr="00455697">
              <w:rPr>
                <w:sz w:val="20"/>
                <w:lang w:val="en-CA"/>
              </w:rPr>
              <w:t>Federal Court of Appeal</w:t>
            </w:r>
          </w:p>
          <w:p w:rsidR="00A96D8A" w:rsidRPr="00455697" w:rsidRDefault="00A96D8A" w:rsidP="00A96D8A">
            <w:pPr>
              <w:jc w:val="both"/>
              <w:rPr>
                <w:sz w:val="20"/>
                <w:lang w:val="en-CA"/>
              </w:rPr>
            </w:pPr>
            <w:r w:rsidRPr="00455697">
              <w:rPr>
                <w:sz w:val="20"/>
                <w:lang w:val="en-CA"/>
              </w:rPr>
              <w:t>(Pelletier, de Montigny and Locke JJ.A.)</w:t>
            </w:r>
          </w:p>
          <w:p w:rsidR="00A96D8A" w:rsidRPr="00455697" w:rsidRDefault="00455697" w:rsidP="00A96D8A">
            <w:pPr>
              <w:jc w:val="both"/>
              <w:rPr>
                <w:sz w:val="20"/>
                <w:lang w:val="en-CA"/>
              </w:rPr>
            </w:pPr>
            <w:hyperlink r:id="rId41" w:history="1">
              <w:r w:rsidR="00A96D8A" w:rsidRPr="00455697">
                <w:rPr>
                  <w:rStyle w:val="Hyperlink"/>
                  <w:sz w:val="20"/>
                  <w:lang w:val="en-CA"/>
                </w:rPr>
                <w:t>2022 CAF 43</w:t>
              </w:r>
            </w:hyperlink>
          </w:p>
          <w:p w:rsidR="00A96D8A" w:rsidRPr="00455697" w:rsidRDefault="00A96D8A" w:rsidP="00A96D8A">
            <w:pPr>
              <w:jc w:val="both"/>
              <w:rPr>
                <w:sz w:val="20"/>
                <w:lang w:val="en-CA"/>
              </w:rPr>
            </w:pPr>
          </w:p>
        </w:tc>
        <w:tc>
          <w:tcPr>
            <w:tcW w:w="243" w:type="pct"/>
          </w:tcPr>
          <w:p w:rsidR="00A96D8A" w:rsidRPr="00455697" w:rsidRDefault="00A96D8A" w:rsidP="00A96D8A">
            <w:pPr>
              <w:jc w:val="both"/>
              <w:rPr>
                <w:sz w:val="20"/>
                <w:lang w:val="en-CA"/>
              </w:rPr>
            </w:pPr>
          </w:p>
        </w:tc>
        <w:tc>
          <w:tcPr>
            <w:tcW w:w="2330" w:type="pct"/>
          </w:tcPr>
          <w:p w:rsidR="00A96D8A" w:rsidRPr="00455697" w:rsidRDefault="00A96D8A" w:rsidP="00A96D8A">
            <w:pPr>
              <w:jc w:val="both"/>
              <w:rPr>
                <w:sz w:val="20"/>
                <w:lang w:val="en-CA"/>
              </w:rPr>
            </w:pPr>
            <w:r w:rsidRPr="00455697">
              <w:rPr>
                <w:sz w:val="20"/>
                <w:lang w:val="en-CA"/>
              </w:rPr>
              <w:t>Appeal dismissed</w:t>
            </w:r>
          </w:p>
          <w:p w:rsidR="00A96D8A" w:rsidRPr="00455697" w:rsidRDefault="00A96D8A" w:rsidP="00A96D8A">
            <w:pPr>
              <w:jc w:val="both"/>
              <w:rPr>
                <w:sz w:val="20"/>
                <w:lang w:val="en-CA"/>
              </w:rPr>
            </w:pPr>
          </w:p>
        </w:tc>
      </w:tr>
      <w:tr w:rsidR="00A96D8A" w:rsidRPr="00455697" w:rsidTr="008E78C8">
        <w:tc>
          <w:tcPr>
            <w:tcW w:w="2427" w:type="pct"/>
            <w:gridSpan w:val="2"/>
          </w:tcPr>
          <w:p w:rsidR="00A96D8A" w:rsidRPr="00455697" w:rsidRDefault="00A96D8A" w:rsidP="00A96D8A">
            <w:pPr>
              <w:jc w:val="both"/>
              <w:rPr>
                <w:sz w:val="20"/>
                <w:lang w:val="en-CA"/>
              </w:rPr>
            </w:pPr>
            <w:r w:rsidRPr="00455697">
              <w:rPr>
                <w:sz w:val="20"/>
                <w:lang w:val="en-CA"/>
              </w:rPr>
              <w:t>May 6, 2022</w:t>
            </w:r>
          </w:p>
          <w:p w:rsidR="00A96D8A" w:rsidRPr="00455697" w:rsidRDefault="00A96D8A" w:rsidP="00A96D8A">
            <w:pPr>
              <w:jc w:val="both"/>
              <w:rPr>
                <w:sz w:val="20"/>
                <w:lang w:val="en-CA"/>
              </w:rPr>
            </w:pPr>
            <w:r w:rsidRPr="00455697">
              <w:rPr>
                <w:sz w:val="20"/>
                <w:lang w:val="en-CA"/>
              </w:rPr>
              <w:t>Supreme Court of Canada</w:t>
            </w:r>
          </w:p>
        </w:tc>
        <w:tc>
          <w:tcPr>
            <w:tcW w:w="243" w:type="pct"/>
          </w:tcPr>
          <w:p w:rsidR="00A96D8A" w:rsidRPr="00455697" w:rsidRDefault="00A96D8A" w:rsidP="00A96D8A">
            <w:pPr>
              <w:jc w:val="both"/>
              <w:rPr>
                <w:sz w:val="20"/>
                <w:lang w:val="en-CA"/>
              </w:rPr>
            </w:pPr>
          </w:p>
        </w:tc>
        <w:tc>
          <w:tcPr>
            <w:tcW w:w="2330" w:type="pct"/>
          </w:tcPr>
          <w:p w:rsidR="00A96D8A" w:rsidRPr="00455697" w:rsidRDefault="00A96D8A" w:rsidP="00A96D8A">
            <w:pPr>
              <w:jc w:val="both"/>
              <w:rPr>
                <w:sz w:val="20"/>
                <w:lang w:val="en-CA"/>
              </w:rPr>
            </w:pPr>
            <w:r w:rsidRPr="00455697">
              <w:rPr>
                <w:sz w:val="20"/>
                <w:lang w:val="en-CA"/>
              </w:rPr>
              <w:t>Application for leave to appeal filed</w:t>
            </w:r>
          </w:p>
          <w:p w:rsidR="00A96D8A" w:rsidRPr="00455697" w:rsidRDefault="00A96D8A" w:rsidP="00A96D8A">
            <w:pPr>
              <w:jc w:val="both"/>
              <w:rPr>
                <w:sz w:val="20"/>
                <w:lang w:val="en-CA"/>
              </w:rPr>
            </w:pPr>
          </w:p>
        </w:tc>
      </w:tr>
    </w:tbl>
    <w:p w:rsidR="00A96D8A" w:rsidRPr="00455697" w:rsidRDefault="00A96D8A" w:rsidP="00A96D8A">
      <w:pPr>
        <w:jc w:val="both"/>
        <w:rPr>
          <w:sz w:val="20"/>
          <w:lang w:val="en-CA"/>
        </w:rPr>
      </w:pPr>
    </w:p>
    <w:p w:rsidR="00A96D8A" w:rsidRPr="00455697" w:rsidRDefault="00455697" w:rsidP="00A96D8A">
      <w:pPr>
        <w:jc w:val="both"/>
        <w:rPr>
          <w:sz w:val="20"/>
          <w:lang w:val="en-CA"/>
        </w:rPr>
      </w:pPr>
      <w:r w:rsidRPr="00455697">
        <w:rPr>
          <w:sz w:val="20"/>
        </w:rPr>
        <w:pict>
          <v:rect id="_x0000_i1039" style="width:2in;height:1pt" o:hrpct="0" o:hralign="center" o:hrstd="t" o:hrnoshade="t" o:hr="t" fillcolor="black [3213]" stroked="f"/>
        </w:pict>
      </w:r>
    </w:p>
    <w:p w:rsidR="00A96D8A" w:rsidRPr="00455697" w:rsidRDefault="00A96D8A" w:rsidP="00A96D8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6D8A" w:rsidRPr="00455697" w:rsidTr="008E78C8">
        <w:tc>
          <w:tcPr>
            <w:tcW w:w="543" w:type="pct"/>
          </w:tcPr>
          <w:p w:rsidR="00A96D8A" w:rsidRPr="00455697" w:rsidRDefault="00A96D8A" w:rsidP="00A96D8A">
            <w:pPr>
              <w:jc w:val="both"/>
              <w:rPr>
                <w:sz w:val="20"/>
              </w:rPr>
            </w:pPr>
            <w:r w:rsidRPr="00455697">
              <w:rPr>
                <w:rStyle w:val="SCCFileNumberChar"/>
                <w:sz w:val="20"/>
                <w:szCs w:val="20"/>
              </w:rPr>
              <w:t>40187</w:t>
            </w:r>
          </w:p>
        </w:tc>
        <w:tc>
          <w:tcPr>
            <w:tcW w:w="4457" w:type="pct"/>
            <w:gridSpan w:val="3"/>
          </w:tcPr>
          <w:p w:rsidR="00A96D8A" w:rsidRPr="00455697" w:rsidRDefault="00A96D8A" w:rsidP="00A96D8A">
            <w:pPr>
              <w:pStyle w:val="SCCLsocParty"/>
              <w:jc w:val="both"/>
              <w:rPr>
                <w:b/>
                <w:sz w:val="20"/>
                <w:szCs w:val="20"/>
              </w:rPr>
            </w:pPr>
            <w:r w:rsidRPr="00455697">
              <w:rPr>
                <w:b/>
                <w:sz w:val="20"/>
                <w:szCs w:val="20"/>
              </w:rPr>
              <w:t>9255-2504 Québec inc., 142550 Canada inc. et Grand Boisé de La Prairie inc. c. Sa Majesté le Roi</w:t>
            </w:r>
          </w:p>
          <w:p w:rsidR="00A96D8A" w:rsidRPr="00455697" w:rsidRDefault="00A96D8A" w:rsidP="00A96D8A">
            <w:pPr>
              <w:jc w:val="both"/>
              <w:rPr>
                <w:sz w:val="20"/>
                <w:lang w:val="fr-CA"/>
              </w:rPr>
            </w:pPr>
            <w:r w:rsidRPr="00455697">
              <w:rPr>
                <w:sz w:val="20"/>
                <w:lang w:val="fr-CA"/>
              </w:rPr>
              <w:t>(C.F.) (Civile) (Autorisation)</w:t>
            </w:r>
          </w:p>
        </w:tc>
      </w:tr>
      <w:tr w:rsidR="00A96D8A" w:rsidRPr="00455697" w:rsidTr="008E78C8">
        <w:tc>
          <w:tcPr>
            <w:tcW w:w="5000" w:type="pct"/>
            <w:gridSpan w:val="4"/>
          </w:tcPr>
          <w:p w:rsidR="00A96D8A" w:rsidRPr="00455697" w:rsidRDefault="00A96D8A" w:rsidP="00A96D8A">
            <w:pPr>
              <w:jc w:val="both"/>
              <w:rPr>
                <w:sz w:val="20"/>
                <w:lang w:val="fr-CA"/>
              </w:rPr>
            </w:pPr>
            <w:r w:rsidRPr="00455697">
              <w:rPr>
                <w:sz w:val="20"/>
                <w:lang w:val="fr-CA"/>
              </w:rPr>
              <w:t xml:space="preserve">Droit de la Couronne ― Responsabilité de l’État ― Expropriation déguisée ― </w:t>
            </w:r>
            <w:r w:rsidRPr="00455697">
              <w:rPr>
                <w:color w:val="000000"/>
                <w:sz w:val="20"/>
                <w:lang w:val="fr-CA"/>
              </w:rPr>
              <w:t xml:space="preserve">Quand un décret d’urgence est émis par le gouverneur en conseil alors que le processus indemnitaire prévu à l’article 64 de la </w:t>
            </w:r>
            <w:r w:rsidRPr="00455697">
              <w:rPr>
                <w:i/>
                <w:iCs/>
                <w:color w:val="000000"/>
                <w:sz w:val="20"/>
                <w:lang w:val="fr-CA"/>
              </w:rPr>
              <w:t>Loi sur les espèces en péril</w:t>
            </w:r>
            <w:r w:rsidRPr="00455697">
              <w:rPr>
                <w:color w:val="000000"/>
                <w:sz w:val="20"/>
                <w:lang w:val="fr-CA"/>
              </w:rPr>
              <w:t xml:space="preserve">, L.C. 2002, c. 29 n’a pas été mis en place, est-il possible pour un justiciable, par la voie d’un recours en responsabilité civile intenté contre l’État, d’obtenir réparation pour la violation de son droit de propriété? ― La notion d’expropriation déguisée en droit civil québécois nécessite-t-elle qu’il y ait appropriation de l’immeuble par la Couronne fédérale? ― Est-il nécessaire qu’un justiciable intente une demande en contrôle judiciaire comme condition préalable à un recours en indemnisation pour expropriation déguisée ou à une action en responsabilité civile sous la </w:t>
            </w:r>
            <w:r w:rsidRPr="00455697">
              <w:rPr>
                <w:i/>
                <w:iCs/>
                <w:color w:val="000000"/>
                <w:sz w:val="20"/>
                <w:lang w:val="fr-CA"/>
              </w:rPr>
              <w:t>Loi sur la responsabilité civile de l’État et le contentieux administratif</w:t>
            </w:r>
            <w:r w:rsidRPr="00455697">
              <w:rPr>
                <w:color w:val="000000"/>
                <w:sz w:val="20"/>
                <w:lang w:val="fr-CA"/>
              </w:rPr>
              <w:t xml:space="preserve">, L.R.C. 1985, c. C-50? ― </w:t>
            </w:r>
            <w:r w:rsidRPr="00455697">
              <w:rPr>
                <w:i/>
                <w:iCs/>
                <w:color w:val="000000"/>
                <w:sz w:val="20"/>
                <w:lang w:val="fr-CA"/>
              </w:rPr>
              <w:t>Loi sur la responsabilité civile de l’État et le contentieux administratif</w:t>
            </w:r>
            <w:r w:rsidRPr="00455697">
              <w:rPr>
                <w:color w:val="000000"/>
                <w:sz w:val="20"/>
                <w:lang w:val="fr-CA"/>
              </w:rPr>
              <w:t xml:space="preserve">, L.R.C. 1985, c. C-50, art. 3(a) ― </w:t>
            </w:r>
            <w:r w:rsidRPr="00455697">
              <w:rPr>
                <w:i/>
                <w:iCs/>
                <w:color w:val="000000"/>
                <w:sz w:val="20"/>
                <w:lang w:val="fr-CA"/>
              </w:rPr>
              <w:t>Loi sur les espèces en péril</w:t>
            </w:r>
            <w:r w:rsidRPr="00455697">
              <w:rPr>
                <w:color w:val="000000"/>
                <w:sz w:val="20"/>
                <w:lang w:val="fr-CA"/>
              </w:rPr>
              <w:t xml:space="preserve">, L.C. 2002, c. 29, art. 64 ― </w:t>
            </w:r>
            <w:r w:rsidRPr="00455697">
              <w:rPr>
                <w:i/>
                <w:color w:val="000000"/>
                <w:sz w:val="20"/>
                <w:lang w:val="fr-CA"/>
              </w:rPr>
              <w:t>Code civil du Québec</w:t>
            </w:r>
            <w:r w:rsidRPr="00455697">
              <w:rPr>
                <w:color w:val="000000"/>
                <w:sz w:val="20"/>
                <w:lang w:val="fr-CA"/>
              </w:rPr>
              <w:t>, art. 952, 1376 et 1457.</w:t>
            </w:r>
          </w:p>
        </w:tc>
      </w:tr>
      <w:tr w:rsidR="00A96D8A" w:rsidRPr="00455697" w:rsidTr="008E78C8">
        <w:tc>
          <w:tcPr>
            <w:tcW w:w="5000" w:type="pct"/>
            <w:gridSpan w:val="4"/>
          </w:tcPr>
          <w:p w:rsidR="00A96D8A" w:rsidRPr="00455697" w:rsidRDefault="00A96D8A" w:rsidP="00A96D8A">
            <w:pPr>
              <w:jc w:val="both"/>
              <w:rPr>
                <w:sz w:val="20"/>
                <w:lang w:val="fr-CA"/>
              </w:rPr>
            </w:pPr>
          </w:p>
          <w:p w:rsidR="00A96D8A" w:rsidRPr="00455697" w:rsidRDefault="00A96D8A" w:rsidP="00A96D8A">
            <w:pPr>
              <w:jc w:val="both"/>
              <w:rPr>
                <w:color w:val="000000"/>
                <w:sz w:val="20"/>
                <w:lang w:val="fr-CA"/>
              </w:rPr>
            </w:pPr>
            <w:r w:rsidRPr="00455697">
              <w:rPr>
                <w:sz w:val="20"/>
                <w:lang w:val="fr-CA"/>
              </w:rPr>
              <w:t xml:space="preserve">Les demanderesses, 9255-2504 Québec inc., 142550 Canada inc. et Grand Boisé de La Prairie inc. ont acquis des terrains à la Ville de La Prairie, située sur la Rive-Sud de Montréal, afin de développer un projet résidentiel en six phases. Les terrains en cause se sont avérés être l’habitat naturel d’une population de rainette faux-grillon de l’Ouest, classée « espèce faunique vulnérable » depuis 2001 en vertu de la </w:t>
            </w:r>
            <w:r w:rsidRPr="00455697">
              <w:rPr>
                <w:i/>
                <w:sz w:val="20"/>
                <w:lang w:val="fr-CA"/>
              </w:rPr>
              <w:t>Loi sur les espèces menacées ou vulnérables,</w:t>
            </w:r>
            <w:r w:rsidRPr="00455697">
              <w:rPr>
                <w:sz w:val="20"/>
                <w:lang w:val="fr-CA"/>
              </w:rPr>
              <w:t xml:space="preserve"> RLRQ c. E-12.01. En 2008, la Ville de La Prairie a obtenu un certificat d’autorisation en vertu de l’article 22 de la </w:t>
            </w:r>
            <w:r w:rsidRPr="00455697">
              <w:rPr>
                <w:rStyle w:val="fontstyle01"/>
                <w:rFonts w:eastAsiaTheme="majorEastAsia"/>
                <w:sz w:val="20"/>
                <w:szCs w:val="20"/>
                <w:lang w:val="fr-CA"/>
              </w:rPr>
              <w:t>Loi sur la qualité de l’environnement</w:t>
            </w:r>
            <w:r w:rsidRPr="00455697">
              <w:rPr>
                <w:rStyle w:val="fontstyle21"/>
                <w:sz w:val="20"/>
                <w:szCs w:val="20"/>
                <w:lang w:val="fr-CA"/>
              </w:rPr>
              <w:t>,</w:t>
            </w:r>
            <w:r w:rsidRPr="00455697">
              <w:rPr>
                <w:color w:val="000000"/>
                <w:sz w:val="20"/>
                <w:lang w:val="fr-CA"/>
              </w:rPr>
              <w:t xml:space="preserve"> </w:t>
            </w:r>
            <w:r w:rsidRPr="00455697">
              <w:rPr>
                <w:rStyle w:val="fontstyle21"/>
                <w:sz w:val="20"/>
                <w:szCs w:val="20"/>
                <w:lang w:val="fr-CA"/>
              </w:rPr>
              <w:t xml:space="preserve">RLRQ c. Q-2 qui autorise le remblayage de zones humides à l’endroit où le projet des demanderesses devait être développé. En revanche, certaines mesures devaient être prises afin de pallier les impacts environnementaux engendrés par le remblayage. En 2012, un protocole d’entente est intervenu entre les demanderesses et la Ville de La Prairie relativement aux six phases du projet. Comme suite à ce protocole, un groupe de défense de l’environnement a enclenché le processus afin d’obtenir un décret d’urgence suivant la </w:t>
            </w:r>
            <w:r w:rsidRPr="00455697">
              <w:rPr>
                <w:i/>
                <w:iCs/>
                <w:color w:val="000000"/>
                <w:sz w:val="20"/>
                <w:lang w:val="fr-CA"/>
              </w:rPr>
              <w:t>Loi sur les espèces en péril</w:t>
            </w:r>
            <w:r w:rsidRPr="00455697">
              <w:rPr>
                <w:color w:val="000000"/>
                <w:sz w:val="20"/>
                <w:lang w:val="fr-CA"/>
              </w:rPr>
              <w:t>, LC 2002, c. 29 (« </w:t>
            </w:r>
            <w:r w:rsidRPr="00455697">
              <w:rPr>
                <w:i/>
                <w:color w:val="000000"/>
                <w:sz w:val="20"/>
                <w:lang w:val="fr-CA"/>
              </w:rPr>
              <w:t>LEP</w:t>
            </w:r>
            <w:r w:rsidRPr="00455697">
              <w:rPr>
                <w:color w:val="000000"/>
                <w:sz w:val="20"/>
                <w:lang w:val="fr-CA"/>
              </w:rPr>
              <w:t xml:space="preserve"> ») pour protéger l’habitat de la rainette faux-grillon de l’Ouest. En début 2015, la ministre de l’Environnement de l’époque a refusé de recommander la prise de décret d’urgence au gouverneur en conseil. Cette décision a par la suite été cassée par la Cour fédérale et renvoyée au bureau du ministre pour réexamen. En décembre 2015, la nouvelle ministre a décidé de recommander au gouverneur en conseil la prise de décret urgence. Ce décret d’urgence sera pris en juin 2016 et aura pour effet de mettre un terme aux deux dernières phases du projet des demanderesses en raison des conditions qu’il établit. Les demanderesses ont alors réclamé une indemnisation pour pertes résultant de l’incapacité de compléter le projet. Jusqu’à la sortie de </w:t>
            </w:r>
            <w:r w:rsidRPr="00455697">
              <w:rPr>
                <w:i/>
                <w:iCs/>
                <w:color w:val="000000"/>
                <w:sz w:val="20"/>
                <w:lang w:val="fr-CA"/>
              </w:rPr>
              <w:t>Groupe Maison Candiac Inc. c. Canada (Procureur général)</w:t>
            </w:r>
            <w:r w:rsidRPr="00455697">
              <w:rPr>
                <w:color w:val="000000"/>
                <w:sz w:val="20"/>
                <w:lang w:val="fr-CA"/>
              </w:rPr>
              <w:t xml:space="preserve">, 2018 CF 643, entérinée par la Cour d’appel fédérale (2020 CAF 88; demande d’autorisation d’appel à la Cour suprême refusée), la ministre se disait incapable de procéder au versement d’une compensation en l’absence d’un règlement adopté en conformité avec l’art. 64 de la </w:t>
            </w:r>
            <w:r w:rsidRPr="00455697">
              <w:rPr>
                <w:i/>
                <w:color w:val="000000"/>
                <w:sz w:val="20"/>
                <w:lang w:val="fr-CA"/>
              </w:rPr>
              <w:t>LEP</w:t>
            </w:r>
            <w:r w:rsidRPr="00455697">
              <w:rPr>
                <w:color w:val="000000"/>
                <w:sz w:val="20"/>
                <w:lang w:val="fr-CA"/>
              </w:rPr>
              <w:t xml:space="preserve"> par le gouverneur en conseil. Comme suite à cette décision, la ministre se dit désormais compétente pour procéder à l’indemnisation des demanderesses sous réserve du dépôt d’une demande. Les demanderesses, alléguant avoir fait de nombreuses demandes d’indemnisation sans succès, ont entrepris un recours devant la Cour fédérale en réclamation d’indemnisation fondée sur la </w:t>
            </w:r>
            <w:r w:rsidRPr="00455697">
              <w:rPr>
                <w:i/>
                <w:iCs/>
                <w:color w:val="000000"/>
                <w:sz w:val="20"/>
                <w:lang w:val="fr-CA"/>
              </w:rPr>
              <w:t>Loi sur la responsabilité civile de l’État et le contentieux administratif</w:t>
            </w:r>
            <w:r w:rsidRPr="00455697">
              <w:rPr>
                <w:color w:val="000000"/>
                <w:sz w:val="20"/>
                <w:lang w:val="fr-CA"/>
              </w:rPr>
              <w:t xml:space="preserve">, LR.C 1985, c. C-50 et, à titre subsidiaire, pour expropriation déguisée en vertu de l’art. 952 du </w:t>
            </w:r>
            <w:r w:rsidRPr="00455697">
              <w:rPr>
                <w:i/>
                <w:color w:val="000000"/>
                <w:sz w:val="20"/>
                <w:lang w:val="fr-CA"/>
              </w:rPr>
              <w:t>Code civil du Québec</w:t>
            </w:r>
            <w:r w:rsidRPr="00455697">
              <w:rPr>
                <w:color w:val="000000"/>
                <w:sz w:val="20"/>
                <w:lang w:val="fr-CA"/>
              </w:rPr>
              <w:t>. La Cour fédérale a rejeté l’action des demanderesses et la Cour d’appel a rejeté l’appel.</w:t>
            </w:r>
          </w:p>
        </w:tc>
      </w:tr>
      <w:tr w:rsidR="00A96D8A" w:rsidRPr="00455697" w:rsidTr="008E78C8">
        <w:tc>
          <w:tcPr>
            <w:tcW w:w="5000" w:type="pct"/>
            <w:gridSpan w:val="4"/>
          </w:tcPr>
          <w:p w:rsidR="00A96D8A" w:rsidRPr="00455697" w:rsidRDefault="00A96D8A" w:rsidP="00A96D8A">
            <w:pPr>
              <w:jc w:val="both"/>
              <w:rPr>
                <w:sz w:val="20"/>
                <w:lang w:val="fr-CA"/>
              </w:rPr>
            </w:pPr>
          </w:p>
        </w:tc>
      </w:tr>
      <w:tr w:rsidR="00A96D8A" w:rsidRPr="00455697" w:rsidTr="008E78C8">
        <w:tc>
          <w:tcPr>
            <w:tcW w:w="2427" w:type="pct"/>
            <w:gridSpan w:val="2"/>
          </w:tcPr>
          <w:p w:rsidR="00A96D8A" w:rsidRPr="00455697" w:rsidRDefault="00A96D8A" w:rsidP="00A96D8A">
            <w:pPr>
              <w:jc w:val="both"/>
              <w:rPr>
                <w:sz w:val="20"/>
                <w:lang w:val="fr-CA"/>
              </w:rPr>
            </w:pPr>
            <w:r w:rsidRPr="00455697">
              <w:rPr>
                <w:sz w:val="20"/>
                <w:lang w:val="fr-CA"/>
              </w:rPr>
              <w:t>Le 30 janvier 2020</w:t>
            </w:r>
          </w:p>
          <w:p w:rsidR="00A96D8A" w:rsidRPr="00455697" w:rsidRDefault="00A96D8A" w:rsidP="00A96D8A">
            <w:pPr>
              <w:jc w:val="both"/>
              <w:rPr>
                <w:sz w:val="20"/>
                <w:lang w:val="fr-CA"/>
              </w:rPr>
            </w:pPr>
            <w:r w:rsidRPr="00455697">
              <w:rPr>
                <w:sz w:val="20"/>
                <w:lang w:val="fr-CA"/>
              </w:rPr>
              <w:t>Cour fédérale</w:t>
            </w:r>
          </w:p>
          <w:p w:rsidR="00A96D8A" w:rsidRPr="00455697" w:rsidRDefault="00A96D8A" w:rsidP="00A96D8A">
            <w:pPr>
              <w:jc w:val="both"/>
              <w:rPr>
                <w:sz w:val="20"/>
                <w:lang w:val="fr-CA"/>
              </w:rPr>
            </w:pPr>
            <w:r w:rsidRPr="00455697">
              <w:rPr>
                <w:sz w:val="20"/>
                <w:lang w:val="fr-CA"/>
              </w:rPr>
              <w:t>(Le juge LeBlanc)</w:t>
            </w:r>
          </w:p>
          <w:p w:rsidR="00A96D8A" w:rsidRPr="00455697" w:rsidRDefault="00455697" w:rsidP="00A96D8A">
            <w:pPr>
              <w:jc w:val="both"/>
              <w:rPr>
                <w:sz w:val="20"/>
              </w:rPr>
            </w:pPr>
            <w:hyperlink r:id="rId42" w:history="1">
              <w:r w:rsidR="00A96D8A" w:rsidRPr="00455697">
                <w:rPr>
                  <w:rStyle w:val="Hyperlink"/>
                  <w:sz w:val="20"/>
                </w:rPr>
                <w:t>2020 CF 161</w:t>
              </w:r>
            </w:hyperlink>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Action rejetée</w:t>
            </w:r>
          </w:p>
          <w:p w:rsidR="00A96D8A" w:rsidRPr="00455697" w:rsidRDefault="00A96D8A" w:rsidP="00A96D8A">
            <w:pPr>
              <w:jc w:val="both"/>
              <w:rPr>
                <w:sz w:val="20"/>
              </w:rPr>
            </w:pPr>
          </w:p>
        </w:tc>
      </w:tr>
      <w:tr w:rsidR="00A96D8A" w:rsidRPr="00455697" w:rsidTr="008E78C8">
        <w:tc>
          <w:tcPr>
            <w:tcW w:w="2427" w:type="pct"/>
            <w:gridSpan w:val="2"/>
          </w:tcPr>
          <w:p w:rsidR="00A96D8A" w:rsidRPr="00455697" w:rsidRDefault="00A96D8A" w:rsidP="00A96D8A">
            <w:pPr>
              <w:jc w:val="both"/>
              <w:rPr>
                <w:sz w:val="20"/>
                <w:lang w:val="fr-CA"/>
              </w:rPr>
            </w:pPr>
            <w:r w:rsidRPr="00455697">
              <w:rPr>
                <w:sz w:val="20"/>
                <w:lang w:val="fr-CA"/>
              </w:rPr>
              <w:t>Le 9 mars 2022</w:t>
            </w:r>
          </w:p>
          <w:p w:rsidR="00A96D8A" w:rsidRPr="00455697" w:rsidRDefault="00A96D8A" w:rsidP="00A96D8A">
            <w:pPr>
              <w:jc w:val="both"/>
              <w:rPr>
                <w:sz w:val="20"/>
                <w:lang w:val="fr-CA"/>
              </w:rPr>
            </w:pPr>
            <w:r w:rsidRPr="00455697">
              <w:rPr>
                <w:sz w:val="20"/>
                <w:lang w:val="fr-CA"/>
              </w:rPr>
              <w:t>Cour d’appel fédérale</w:t>
            </w:r>
          </w:p>
          <w:p w:rsidR="00A96D8A" w:rsidRPr="00455697" w:rsidRDefault="00A96D8A" w:rsidP="00A96D8A">
            <w:pPr>
              <w:jc w:val="both"/>
              <w:rPr>
                <w:sz w:val="20"/>
                <w:lang w:val="fr-CA"/>
              </w:rPr>
            </w:pPr>
            <w:r w:rsidRPr="00455697">
              <w:rPr>
                <w:sz w:val="20"/>
                <w:lang w:val="fr-CA"/>
              </w:rPr>
              <w:t>(Les juges Pelletier, De Montigny et Locke)</w:t>
            </w:r>
          </w:p>
          <w:p w:rsidR="00A96D8A" w:rsidRPr="00455697" w:rsidRDefault="00455697" w:rsidP="00A96D8A">
            <w:pPr>
              <w:jc w:val="both"/>
              <w:rPr>
                <w:sz w:val="20"/>
              </w:rPr>
            </w:pPr>
            <w:hyperlink r:id="rId43" w:history="1">
              <w:r w:rsidR="00A96D8A" w:rsidRPr="00455697">
                <w:rPr>
                  <w:rStyle w:val="Hyperlink"/>
                  <w:sz w:val="20"/>
                </w:rPr>
                <w:t>2022 CAF 43</w:t>
              </w:r>
            </w:hyperlink>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Appel rejeté.</w:t>
            </w:r>
          </w:p>
          <w:p w:rsidR="00A96D8A" w:rsidRPr="00455697" w:rsidRDefault="00A96D8A" w:rsidP="00A96D8A">
            <w:pPr>
              <w:jc w:val="both"/>
              <w:rPr>
                <w:sz w:val="20"/>
              </w:rPr>
            </w:pPr>
          </w:p>
        </w:tc>
      </w:tr>
      <w:tr w:rsidR="00A96D8A" w:rsidRPr="00455697" w:rsidTr="008E78C8">
        <w:tc>
          <w:tcPr>
            <w:tcW w:w="2427" w:type="pct"/>
            <w:gridSpan w:val="2"/>
          </w:tcPr>
          <w:p w:rsidR="00A96D8A" w:rsidRPr="00455697" w:rsidRDefault="00A96D8A" w:rsidP="00A96D8A">
            <w:pPr>
              <w:jc w:val="both"/>
              <w:rPr>
                <w:sz w:val="20"/>
                <w:lang w:val="fr-CA"/>
              </w:rPr>
            </w:pPr>
            <w:r w:rsidRPr="00455697">
              <w:rPr>
                <w:sz w:val="20"/>
                <w:lang w:val="fr-CA"/>
              </w:rPr>
              <w:t>Le 6 mai 2022</w:t>
            </w:r>
          </w:p>
          <w:p w:rsidR="00A96D8A" w:rsidRPr="00455697" w:rsidRDefault="00A96D8A" w:rsidP="00A96D8A">
            <w:pPr>
              <w:jc w:val="both"/>
              <w:rPr>
                <w:sz w:val="20"/>
                <w:lang w:val="fr-CA"/>
              </w:rPr>
            </w:pPr>
            <w:r w:rsidRPr="00455697">
              <w:rPr>
                <w:sz w:val="20"/>
                <w:lang w:val="fr-CA"/>
              </w:rPr>
              <w:t>Cour suprême du Canada</w:t>
            </w: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jc w:val="both"/>
              <w:rPr>
                <w:sz w:val="20"/>
              </w:rPr>
            </w:pPr>
            <w:r w:rsidRPr="00455697">
              <w:rPr>
                <w:sz w:val="20"/>
              </w:rPr>
              <w:t>Demande d’autorisation d’appel déposée</w:t>
            </w:r>
          </w:p>
          <w:p w:rsidR="00A96D8A" w:rsidRPr="00455697" w:rsidRDefault="00A96D8A" w:rsidP="00A96D8A">
            <w:pPr>
              <w:jc w:val="both"/>
              <w:rPr>
                <w:sz w:val="20"/>
              </w:rPr>
            </w:pPr>
          </w:p>
        </w:tc>
      </w:tr>
    </w:tbl>
    <w:p w:rsidR="00A96D8A" w:rsidRPr="00455697" w:rsidRDefault="00A96D8A" w:rsidP="00A96D8A">
      <w:pPr>
        <w:jc w:val="both"/>
        <w:rPr>
          <w:sz w:val="20"/>
        </w:rPr>
      </w:pPr>
    </w:p>
    <w:p w:rsidR="00A96D8A" w:rsidRPr="00455697" w:rsidRDefault="00455697" w:rsidP="00A96D8A">
      <w:pPr>
        <w:jc w:val="both"/>
        <w:rPr>
          <w:sz w:val="20"/>
        </w:rPr>
      </w:pPr>
      <w:r w:rsidRPr="00455697">
        <w:rPr>
          <w:sz w:val="20"/>
        </w:rPr>
        <w:pict>
          <v:rect id="_x0000_i1040" style="width:2in;height:1pt" o:hrpct="0" o:hralign="center" o:hrstd="t" o:hrnoshade="t" o:hr="t" fillcolor="black [3213]" stroked="f"/>
        </w:pict>
      </w:r>
    </w:p>
    <w:p w:rsidR="00A96D8A" w:rsidRPr="00455697" w:rsidRDefault="00A96D8A" w:rsidP="00A96D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6D8A" w:rsidRPr="00455697" w:rsidTr="00E95A6A">
        <w:tc>
          <w:tcPr>
            <w:tcW w:w="543" w:type="pct"/>
          </w:tcPr>
          <w:p w:rsidR="00A96D8A" w:rsidRPr="00455697" w:rsidRDefault="00A96D8A" w:rsidP="00A96D8A">
            <w:pPr>
              <w:jc w:val="both"/>
              <w:rPr>
                <w:sz w:val="20"/>
              </w:rPr>
            </w:pPr>
            <w:r w:rsidRPr="00455697">
              <w:rPr>
                <w:rStyle w:val="SCCFileNumberChar"/>
                <w:sz w:val="20"/>
                <w:szCs w:val="20"/>
              </w:rPr>
              <w:t>40461</w:t>
            </w:r>
          </w:p>
        </w:tc>
        <w:tc>
          <w:tcPr>
            <w:tcW w:w="4457" w:type="pct"/>
            <w:gridSpan w:val="3"/>
          </w:tcPr>
          <w:p w:rsidR="00A96D8A" w:rsidRPr="00455697" w:rsidRDefault="00A96D8A" w:rsidP="00A96D8A">
            <w:pPr>
              <w:pStyle w:val="SCCLsocParty"/>
              <w:jc w:val="both"/>
              <w:rPr>
                <w:b/>
                <w:sz w:val="20"/>
                <w:szCs w:val="20"/>
              </w:rPr>
            </w:pPr>
            <w:r w:rsidRPr="00455697">
              <w:rPr>
                <w:b/>
                <w:sz w:val="20"/>
                <w:szCs w:val="20"/>
              </w:rPr>
              <w:t>Albert Bellemare v. Barreau du Québec</w:t>
            </w:r>
          </w:p>
          <w:p w:rsidR="00A96D8A" w:rsidRPr="00455697" w:rsidRDefault="00A96D8A" w:rsidP="00A96D8A">
            <w:pPr>
              <w:pStyle w:val="SCCLsocOtherPartySeparator"/>
              <w:rPr>
                <w:rFonts w:cs="Times New Roman"/>
                <w:sz w:val="20"/>
                <w:szCs w:val="20"/>
              </w:rPr>
            </w:pPr>
            <w:r w:rsidRPr="00455697">
              <w:rPr>
                <w:rFonts w:cs="Times New Roman"/>
                <w:sz w:val="20"/>
                <w:szCs w:val="20"/>
              </w:rPr>
              <w:t>- and -</w:t>
            </w:r>
          </w:p>
          <w:p w:rsidR="00A96D8A" w:rsidRPr="00455697" w:rsidRDefault="00A96D8A" w:rsidP="00A96D8A">
            <w:pPr>
              <w:pStyle w:val="SCCLsocParty"/>
              <w:jc w:val="both"/>
              <w:rPr>
                <w:b/>
                <w:sz w:val="20"/>
                <w:szCs w:val="20"/>
              </w:rPr>
            </w:pPr>
            <w:r w:rsidRPr="00455697">
              <w:rPr>
                <w:b/>
                <w:sz w:val="20"/>
                <w:szCs w:val="20"/>
              </w:rPr>
              <w:t>Commission d’accès à l’information du Québec</w:t>
            </w:r>
          </w:p>
          <w:p w:rsidR="00A96D8A" w:rsidRPr="00455697" w:rsidRDefault="00A96D8A" w:rsidP="00A96D8A">
            <w:pPr>
              <w:jc w:val="both"/>
              <w:rPr>
                <w:sz w:val="20"/>
              </w:rPr>
            </w:pPr>
            <w:r w:rsidRPr="00455697">
              <w:rPr>
                <w:sz w:val="20"/>
              </w:rPr>
              <w:t>(Que.) (Civil) (By Leave)</w:t>
            </w:r>
          </w:p>
        </w:tc>
      </w:tr>
      <w:tr w:rsidR="00A96D8A" w:rsidRPr="00455697" w:rsidTr="00E95A6A">
        <w:tc>
          <w:tcPr>
            <w:tcW w:w="5000" w:type="pct"/>
            <w:gridSpan w:val="4"/>
          </w:tcPr>
          <w:p w:rsidR="00A96D8A" w:rsidRPr="00455697" w:rsidRDefault="00A96D8A" w:rsidP="00A96D8A">
            <w:pPr>
              <w:jc w:val="both"/>
              <w:rPr>
                <w:sz w:val="20"/>
              </w:rPr>
            </w:pPr>
            <w:r w:rsidRPr="00455697">
              <w:rPr>
                <w:sz w:val="20"/>
              </w:rPr>
              <w:t xml:space="preserve">Administrative law — Access to information — Professional order — Applicant seeking access to contracts for services awarded by Barreau du Québec to public relations firms and detailed description of amounts spent by Barreau on those firms — Barreau denying request for access to certain documents because they were not held for purpose of supervising profession pursuant to s. 108.1 of </w:t>
            </w:r>
            <w:r w:rsidRPr="00455697">
              <w:rPr>
                <w:i/>
                <w:sz w:val="20"/>
              </w:rPr>
              <w:t xml:space="preserve">Professional Code </w:t>
            </w:r>
            <w:r w:rsidRPr="00455697">
              <w:rPr>
                <w:sz w:val="20"/>
              </w:rPr>
              <w:t xml:space="preserve">or because they did not exist </w:t>
            </w:r>
            <w:r w:rsidRPr="00455697">
              <w:rPr>
                <w:i/>
                <w:sz w:val="20"/>
              </w:rPr>
              <w:t>—</w:t>
            </w:r>
            <w:r w:rsidRPr="00455697">
              <w:rPr>
                <w:sz w:val="20"/>
              </w:rPr>
              <w:t xml:space="preserve"> Whether commission and courts below erred in interpreting s. 108.1 of </w:t>
            </w:r>
            <w:r w:rsidRPr="00455697">
              <w:rPr>
                <w:i/>
                <w:sz w:val="20"/>
              </w:rPr>
              <w:t>Professional Code</w:t>
            </w:r>
            <w:r w:rsidRPr="00455697">
              <w:rPr>
                <w:sz w:val="20"/>
              </w:rPr>
              <w:t xml:space="preserve"> — Whether commission and courts below erred in dismissing applicant’s applications or appeal — </w:t>
            </w:r>
            <w:r w:rsidRPr="00455697">
              <w:rPr>
                <w:i/>
                <w:sz w:val="20"/>
              </w:rPr>
              <w:t>Professional Code</w:t>
            </w:r>
            <w:r w:rsidRPr="00455697">
              <w:rPr>
                <w:sz w:val="20"/>
              </w:rPr>
              <w:t>, CQLR, c. C-26, s. 108.1.</w:t>
            </w:r>
          </w:p>
        </w:tc>
      </w:tr>
      <w:tr w:rsidR="00A96D8A" w:rsidRPr="00455697" w:rsidTr="00E95A6A">
        <w:tc>
          <w:tcPr>
            <w:tcW w:w="5000" w:type="pct"/>
            <w:gridSpan w:val="4"/>
          </w:tcPr>
          <w:p w:rsidR="00A96D8A" w:rsidRPr="00455697" w:rsidRDefault="00A96D8A" w:rsidP="00A96D8A">
            <w:pPr>
              <w:jc w:val="both"/>
              <w:rPr>
                <w:sz w:val="20"/>
              </w:rPr>
            </w:pPr>
          </w:p>
          <w:p w:rsidR="00A96D8A" w:rsidRPr="00455697" w:rsidRDefault="00A96D8A" w:rsidP="00A96D8A">
            <w:pPr>
              <w:jc w:val="both"/>
              <w:rPr>
                <w:sz w:val="20"/>
                <w:lang w:eastAsia="en-CA"/>
              </w:rPr>
            </w:pPr>
            <w:r w:rsidRPr="00455697">
              <w:rPr>
                <w:sz w:val="20"/>
                <w:lang w:eastAsia="en-CA"/>
              </w:rPr>
              <w:t>The applicant is a lawyer and a member of the respondent, Barreau du Québec (“Barreau”). He submitted an access to information request to the Barreau in order to obtain, among other things, all the contracts for services awarded by the Barreau to public relations firms in recent years as well as a detailed description of all amounts spent by the Barreau on public relations firms.</w:t>
            </w:r>
          </w:p>
          <w:p w:rsidR="00A96D8A" w:rsidRPr="00455697" w:rsidRDefault="00A96D8A" w:rsidP="00A96D8A">
            <w:pPr>
              <w:jc w:val="both"/>
              <w:rPr>
                <w:sz w:val="20"/>
                <w:lang w:eastAsia="en-CA"/>
              </w:rPr>
            </w:pPr>
          </w:p>
          <w:p w:rsidR="00A96D8A" w:rsidRPr="00455697" w:rsidRDefault="00A96D8A" w:rsidP="00A96D8A">
            <w:pPr>
              <w:jc w:val="both"/>
              <w:rPr>
                <w:sz w:val="20"/>
                <w:lang w:eastAsia="en-CA"/>
              </w:rPr>
            </w:pPr>
            <w:r w:rsidRPr="00455697">
              <w:rPr>
                <w:sz w:val="20"/>
                <w:lang w:eastAsia="en-CA"/>
              </w:rPr>
              <w:t>The Barreau refused to provide the applicant with certain documents, alleging that they were not</w:t>
            </w:r>
            <w:r w:rsidRPr="00455697">
              <w:rPr>
                <w:sz w:val="20"/>
              </w:rPr>
              <w:t xml:space="preserve"> held by the professional order for the purpose of supervising the profession</w:t>
            </w:r>
            <w:r w:rsidRPr="00455697">
              <w:rPr>
                <w:sz w:val="20"/>
                <w:lang w:eastAsia="en-CA"/>
              </w:rPr>
              <w:t xml:space="preserve"> pursuant to s. 108.1 of the </w:t>
            </w:r>
            <w:r w:rsidRPr="00455697">
              <w:rPr>
                <w:i/>
                <w:sz w:val="20"/>
                <w:lang w:eastAsia="en-CA"/>
              </w:rPr>
              <w:t>Professional Code</w:t>
            </w:r>
            <w:r w:rsidRPr="00455697">
              <w:rPr>
                <w:sz w:val="20"/>
                <w:lang w:eastAsia="en-CA"/>
              </w:rPr>
              <w:t xml:space="preserve"> and that, as a result, the </w:t>
            </w:r>
            <w:r w:rsidRPr="00455697">
              <w:rPr>
                <w:i/>
                <w:sz w:val="20"/>
                <w:lang w:eastAsia="en-CA"/>
              </w:rPr>
              <w:t>Act respecting access to documents held by public bodies and the protection of personal information</w:t>
            </w:r>
            <w:r w:rsidRPr="00455697">
              <w:rPr>
                <w:sz w:val="20"/>
                <w:lang w:eastAsia="en-CA"/>
              </w:rPr>
              <w:t>, CQLR, c. A-2.1, did not apply to them. The Barreau also alleged that there were no documents evidencing two contracts that had been awarded orally.</w:t>
            </w:r>
          </w:p>
          <w:p w:rsidR="00A96D8A" w:rsidRPr="00455697" w:rsidRDefault="00A96D8A" w:rsidP="00A96D8A">
            <w:pPr>
              <w:jc w:val="both"/>
              <w:rPr>
                <w:sz w:val="20"/>
              </w:rPr>
            </w:pPr>
          </w:p>
          <w:p w:rsidR="00A96D8A" w:rsidRPr="00455697" w:rsidRDefault="00A96D8A" w:rsidP="00A96D8A">
            <w:pPr>
              <w:jc w:val="both"/>
              <w:rPr>
                <w:sz w:val="20"/>
              </w:rPr>
            </w:pPr>
            <w:r w:rsidRPr="00455697">
              <w:rPr>
                <w:sz w:val="20"/>
              </w:rPr>
              <w:t>The Commission d’accès à l’information du Québec dismissed the application for review of the Barreau’s refusal to provide the documents to the applicant. The Court of Québec granted the Barreau’s motion to dismiss the applicant’s appeal and dismissed the appeal, and the Superior Court dismissed an application for judicial review of that decision. A judge of the Quebec Court of Appeal dismissed the applicant’s motion for leave to appeal.</w:t>
            </w:r>
          </w:p>
        </w:tc>
      </w:tr>
      <w:tr w:rsidR="00A96D8A" w:rsidRPr="00455697" w:rsidTr="00E95A6A">
        <w:tc>
          <w:tcPr>
            <w:tcW w:w="5000" w:type="pct"/>
            <w:gridSpan w:val="4"/>
          </w:tcPr>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December 20, 2018</w:t>
            </w:r>
          </w:p>
          <w:p w:rsidR="00A96D8A" w:rsidRPr="00455697" w:rsidRDefault="00A96D8A" w:rsidP="00A96D8A">
            <w:pPr>
              <w:jc w:val="both"/>
              <w:rPr>
                <w:sz w:val="20"/>
                <w:lang w:val="fr-CA"/>
              </w:rPr>
            </w:pPr>
            <w:r w:rsidRPr="00455697">
              <w:rPr>
                <w:sz w:val="20"/>
                <w:lang w:val="fr-CA"/>
              </w:rPr>
              <w:t xml:space="preserve">Commission d’accès à l’information du </w:t>
            </w:r>
          </w:p>
          <w:p w:rsidR="00A96D8A" w:rsidRPr="00455697" w:rsidRDefault="00A96D8A" w:rsidP="00A96D8A">
            <w:pPr>
              <w:jc w:val="both"/>
              <w:rPr>
                <w:sz w:val="20"/>
              </w:rPr>
            </w:pPr>
            <w:r w:rsidRPr="00455697">
              <w:rPr>
                <w:sz w:val="20"/>
              </w:rPr>
              <w:t>Québec</w:t>
            </w:r>
          </w:p>
          <w:p w:rsidR="00A96D8A" w:rsidRPr="00455697" w:rsidRDefault="00A96D8A" w:rsidP="00A96D8A">
            <w:pPr>
              <w:jc w:val="both"/>
              <w:rPr>
                <w:sz w:val="20"/>
              </w:rPr>
            </w:pPr>
            <w:r w:rsidRPr="00455697">
              <w:rPr>
                <w:sz w:val="20"/>
              </w:rPr>
              <w:t>(Ms. Desbiens)</w:t>
            </w:r>
          </w:p>
          <w:p w:rsidR="00A96D8A" w:rsidRPr="00455697" w:rsidRDefault="00455697" w:rsidP="00A96D8A">
            <w:pPr>
              <w:jc w:val="both"/>
              <w:rPr>
                <w:sz w:val="20"/>
              </w:rPr>
            </w:pPr>
            <w:hyperlink r:id="rId44" w:history="1">
              <w:r w:rsidR="00A96D8A" w:rsidRPr="00455697">
                <w:rPr>
                  <w:rStyle w:val="Hyperlink"/>
                  <w:sz w:val="20"/>
                </w:rPr>
                <w:t>2018 QCCAI 295</w:t>
              </w:r>
            </w:hyperlink>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Application for review of partial denial of applicant’s access to information request dismissed</w:t>
            </w:r>
          </w:p>
        </w:tc>
      </w:tr>
      <w:tr w:rsidR="00A96D8A" w:rsidRPr="00455697" w:rsidTr="00E95A6A">
        <w:tc>
          <w:tcPr>
            <w:tcW w:w="2427" w:type="pct"/>
            <w:gridSpan w:val="2"/>
          </w:tcPr>
          <w:p w:rsidR="00A96D8A" w:rsidRPr="00455697" w:rsidRDefault="00A96D8A" w:rsidP="00A96D8A">
            <w:pPr>
              <w:jc w:val="both"/>
              <w:rPr>
                <w:sz w:val="20"/>
              </w:rPr>
            </w:pPr>
            <w:r w:rsidRPr="00455697">
              <w:rPr>
                <w:sz w:val="20"/>
              </w:rPr>
              <w:t>October 10, 2019</w:t>
            </w:r>
          </w:p>
          <w:p w:rsidR="00A96D8A" w:rsidRPr="00455697" w:rsidRDefault="00A96D8A" w:rsidP="00A96D8A">
            <w:pPr>
              <w:jc w:val="both"/>
              <w:rPr>
                <w:sz w:val="20"/>
              </w:rPr>
            </w:pPr>
            <w:r w:rsidRPr="00455697">
              <w:rPr>
                <w:sz w:val="20"/>
              </w:rPr>
              <w:t>Court of Québec</w:t>
            </w:r>
          </w:p>
          <w:p w:rsidR="00A96D8A" w:rsidRPr="00455697" w:rsidRDefault="00A96D8A" w:rsidP="00A96D8A">
            <w:pPr>
              <w:jc w:val="both"/>
              <w:rPr>
                <w:sz w:val="20"/>
              </w:rPr>
            </w:pPr>
            <w:r w:rsidRPr="00455697">
              <w:rPr>
                <w:sz w:val="20"/>
              </w:rPr>
              <w:t>(Judge Piazza)</w:t>
            </w:r>
          </w:p>
          <w:p w:rsidR="00A96D8A" w:rsidRPr="00455697" w:rsidRDefault="00455697" w:rsidP="00A96D8A">
            <w:pPr>
              <w:jc w:val="both"/>
              <w:rPr>
                <w:sz w:val="20"/>
              </w:rPr>
            </w:pPr>
            <w:hyperlink r:id="rId45" w:history="1">
              <w:r w:rsidR="00A96D8A" w:rsidRPr="00455697">
                <w:rPr>
                  <w:rStyle w:val="Hyperlink"/>
                  <w:sz w:val="20"/>
                </w:rPr>
                <w:t>2019 QCCQ 6408</w:t>
              </w:r>
            </w:hyperlink>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Respondent’s motion to dismiss appeal allowed; appeal dismissed</w:t>
            </w: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January 24, 2022</w:t>
            </w:r>
          </w:p>
          <w:p w:rsidR="00A96D8A" w:rsidRPr="00455697" w:rsidRDefault="00A96D8A" w:rsidP="00A96D8A">
            <w:pPr>
              <w:jc w:val="both"/>
              <w:rPr>
                <w:sz w:val="20"/>
              </w:rPr>
            </w:pPr>
            <w:r w:rsidRPr="00455697">
              <w:rPr>
                <w:sz w:val="20"/>
              </w:rPr>
              <w:t>Quebec Superior Court</w:t>
            </w:r>
          </w:p>
          <w:p w:rsidR="00A96D8A" w:rsidRPr="00455697" w:rsidRDefault="00A96D8A" w:rsidP="00A96D8A">
            <w:pPr>
              <w:jc w:val="both"/>
              <w:rPr>
                <w:sz w:val="20"/>
              </w:rPr>
            </w:pPr>
            <w:r w:rsidRPr="00455697">
              <w:rPr>
                <w:sz w:val="20"/>
              </w:rPr>
              <w:t>(St-Pierre J.)</w:t>
            </w:r>
          </w:p>
          <w:p w:rsidR="00A96D8A" w:rsidRPr="00455697" w:rsidRDefault="00455697" w:rsidP="00A96D8A">
            <w:pPr>
              <w:jc w:val="both"/>
              <w:rPr>
                <w:rStyle w:val="Hyperlink"/>
                <w:color w:val="auto"/>
                <w:sz w:val="20"/>
              </w:rPr>
            </w:pPr>
            <w:hyperlink r:id="rId46" w:history="1">
              <w:r w:rsidR="00A96D8A" w:rsidRPr="00455697">
                <w:rPr>
                  <w:rStyle w:val="Hyperlink"/>
                  <w:sz w:val="20"/>
                </w:rPr>
                <w:t>2022 QCCS 149</w:t>
              </w:r>
            </w:hyperlink>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Application for judicial review dismissed</w:t>
            </w: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September 20, 2022</w:t>
            </w:r>
          </w:p>
          <w:p w:rsidR="00A96D8A" w:rsidRPr="00455697" w:rsidRDefault="00A96D8A" w:rsidP="00A96D8A">
            <w:pPr>
              <w:jc w:val="both"/>
              <w:rPr>
                <w:sz w:val="20"/>
              </w:rPr>
            </w:pPr>
            <w:r w:rsidRPr="00455697">
              <w:rPr>
                <w:sz w:val="20"/>
              </w:rPr>
              <w:t>Quebec Court of Appeal</w:t>
            </w:r>
          </w:p>
          <w:p w:rsidR="00A96D8A" w:rsidRPr="00455697" w:rsidRDefault="00A96D8A" w:rsidP="00A96D8A">
            <w:pPr>
              <w:jc w:val="both"/>
              <w:rPr>
                <w:sz w:val="20"/>
              </w:rPr>
            </w:pPr>
            <w:r w:rsidRPr="00455697">
              <w:rPr>
                <w:sz w:val="20"/>
              </w:rPr>
              <w:t>(Cournoyer J.A.)</w:t>
            </w:r>
          </w:p>
          <w:p w:rsidR="00A96D8A" w:rsidRPr="00455697" w:rsidRDefault="00455697" w:rsidP="00A96D8A">
            <w:pPr>
              <w:jc w:val="both"/>
              <w:rPr>
                <w:sz w:val="20"/>
              </w:rPr>
            </w:pPr>
            <w:hyperlink r:id="rId47" w:history="1">
              <w:r w:rsidR="00A96D8A" w:rsidRPr="00455697">
                <w:rPr>
                  <w:rStyle w:val="Hyperlink"/>
                  <w:sz w:val="20"/>
                </w:rPr>
                <w:t>2022 QCCA 1255</w:t>
              </w:r>
            </w:hyperlink>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Motion for leave to appeal dismissed</w:t>
            </w:r>
          </w:p>
          <w:p w:rsidR="00A96D8A" w:rsidRPr="00455697" w:rsidRDefault="00A96D8A" w:rsidP="00A96D8A">
            <w:pPr>
              <w:jc w:val="both"/>
              <w:rPr>
                <w:sz w:val="20"/>
              </w:rPr>
            </w:pPr>
          </w:p>
        </w:tc>
      </w:tr>
      <w:tr w:rsidR="00A96D8A" w:rsidRPr="00455697" w:rsidTr="00E95A6A">
        <w:tc>
          <w:tcPr>
            <w:tcW w:w="2427" w:type="pct"/>
            <w:gridSpan w:val="2"/>
          </w:tcPr>
          <w:p w:rsidR="00A96D8A" w:rsidRPr="00455697" w:rsidRDefault="00A96D8A" w:rsidP="00A96D8A">
            <w:pPr>
              <w:jc w:val="both"/>
              <w:rPr>
                <w:sz w:val="20"/>
              </w:rPr>
            </w:pPr>
            <w:r w:rsidRPr="00455697">
              <w:rPr>
                <w:sz w:val="20"/>
              </w:rPr>
              <w:t>November 21, 2022</w:t>
            </w:r>
          </w:p>
          <w:p w:rsidR="00A96D8A" w:rsidRPr="00455697" w:rsidRDefault="00A96D8A" w:rsidP="00A96D8A">
            <w:pPr>
              <w:jc w:val="both"/>
              <w:rPr>
                <w:sz w:val="20"/>
              </w:rPr>
            </w:pPr>
            <w:r w:rsidRPr="00455697">
              <w:rPr>
                <w:sz w:val="20"/>
              </w:rPr>
              <w:t>Supreme Court of Canada</w:t>
            </w: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rPr>
            </w:pPr>
            <w:r w:rsidRPr="00455697">
              <w:rPr>
                <w:sz w:val="20"/>
              </w:rPr>
              <w:t>Application for leave to appeal filed</w:t>
            </w:r>
          </w:p>
          <w:p w:rsidR="00A96D8A" w:rsidRPr="00455697" w:rsidRDefault="00A96D8A" w:rsidP="00A96D8A">
            <w:pPr>
              <w:jc w:val="both"/>
              <w:rPr>
                <w:sz w:val="20"/>
              </w:rPr>
            </w:pPr>
          </w:p>
        </w:tc>
      </w:tr>
    </w:tbl>
    <w:p w:rsidR="00A96D8A" w:rsidRPr="00455697" w:rsidRDefault="00A96D8A" w:rsidP="00A96D8A">
      <w:pPr>
        <w:jc w:val="both"/>
        <w:rPr>
          <w:sz w:val="20"/>
        </w:rPr>
      </w:pPr>
    </w:p>
    <w:p w:rsidR="00A96D8A" w:rsidRPr="00455697" w:rsidRDefault="00455697" w:rsidP="00A96D8A">
      <w:pPr>
        <w:jc w:val="both"/>
        <w:rPr>
          <w:sz w:val="20"/>
        </w:rPr>
      </w:pPr>
      <w:r w:rsidRPr="00455697">
        <w:rPr>
          <w:sz w:val="20"/>
        </w:rPr>
        <w:pict>
          <v:rect id="_x0000_i1041" style="width:2in;height:1pt" o:hrpct="0" o:hralign="center" o:hrstd="t" o:hrnoshade="t" o:hr="t" fillcolor="black [3213]" stroked="f"/>
        </w:pict>
      </w:r>
    </w:p>
    <w:p w:rsidR="00A96D8A" w:rsidRPr="00455697" w:rsidRDefault="00A96D8A" w:rsidP="00A96D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6D8A" w:rsidRPr="00455697" w:rsidTr="00E95A6A">
        <w:tc>
          <w:tcPr>
            <w:tcW w:w="543" w:type="pct"/>
          </w:tcPr>
          <w:p w:rsidR="00A96D8A" w:rsidRPr="00455697" w:rsidRDefault="00A96D8A" w:rsidP="00A96D8A">
            <w:pPr>
              <w:jc w:val="both"/>
              <w:rPr>
                <w:sz w:val="20"/>
              </w:rPr>
            </w:pPr>
            <w:r w:rsidRPr="00455697">
              <w:rPr>
                <w:rStyle w:val="SCCFileNumberChar"/>
                <w:sz w:val="20"/>
                <w:szCs w:val="20"/>
              </w:rPr>
              <w:t>40461</w:t>
            </w:r>
          </w:p>
        </w:tc>
        <w:tc>
          <w:tcPr>
            <w:tcW w:w="4457" w:type="pct"/>
            <w:gridSpan w:val="3"/>
          </w:tcPr>
          <w:p w:rsidR="00A96D8A" w:rsidRPr="00455697" w:rsidRDefault="00A96D8A" w:rsidP="00A96D8A">
            <w:pPr>
              <w:pStyle w:val="SCCLsocParty"/>
              <w:jc w:val="both"/>
              <w:rPr>
                <w:b/>
                <w:sz w:val="20"/>
                <w:szCs w:val="20"/>
              </w:rPr>
            </w:pPr>
            <w:r w:rsidRPr="00455697">
              <w:rPr>
                <w:b/>
                <w:sz w:val="20"/>
                <w:szCs w:val="20"/>
              </w:rPr>
              <w:t>Albert Bellemare c. Barreau du Québec</w:t>
            </w:r>
          </w:p>
          <w:p w:rsidR="00A96D8A" w:rsidRPr="00455697" w:rsidRDefault="00A96D8A" w:rsidP="00A96D8A">
            <w:pPr>
              <w:pStyle w:val="SCCLsocOtherPartySeparator"/>
              <w:rPr>
                <w:rFonts w:cs="Times New Roman"/>
                <w:sz w:val="20"/>
                <w:szCs w:val="20"/>
              </w:rPr>
            </w:pPr>
            <w:r w:rsidRPr="00455697">
              <w:rPr>
                <w:rFonts w:cs="Times New Roman"/>
                <w:sz w:val="20"/>
                <w:szCs w:val="20"/>
              </w:rPr>
              <w:t>- et -</w:t>
            </w:r>
          </w:p>
          <w:p w:rsidR="00A96D8A" w:rsidRPr="00455697" w:rsidRDefault="00A96D8A" w:rsidP="00A96D8A">
            <w:pPr>
              <w:pStyle w:val="SCCLsocParty"/>
              <w:jc w:val="both"/>
              <w:rPr>
                <w:b/>
                <w:sz w:val="20"/>
                <w:szCs w:val="20"/>
              </w:rPr>
            </w:pPr>
            <w:r w:rsidRPr="00455697">
              <w:rPr>
                <w:b/>
                <w:sz w:val="20"/>
                <w:szCs w:val="20"/>
              </w:rPr>
              <w:t>Commission d'Accès à l'Information du Québec</w:t>
            </w:r>
          </w:p>
          <w:p w:rsidR="00A96D8A" w:rsidRPr="00455697" w:rsidRDefault="00A96D8A" w:rsidP="00A96D8A">
            <w:pPr>
              <w:jc w:val="both"/>
              <w:rPr>
                <w:sz w:val="20"/>
              </w:rPr>
            </w:pPr>
            <w:r w:rsidRPr="00455697">
              <w:rPr>
                <w:sz w:val="20"/>
              </w:rPr>
              <w:t>(Qc) (Civile) (Autorisation)</w:t>
            </w:r>
          </w:p>
        </w:tc>
      </w:tr>
      <w:tr w:rsidR="00A96D8A" w:rsidRPr="00455697" w:rsidTr="00E95A6A">
        <w:tc>
          <w:tcPr>
            <w:tcW w:w="5000" w:type="pct"/>
            <w:gridSpan w:val="4"/>
          </w:tcPr>
          <w:p w:rsidR="00A96D8A" w:rsidRPr="00455697" w:rsidRDefault="00A96D8A" w:rsidP="00A96D8A">
            <w:pPr>
              <w:jc w:val="both"/>
              <w:rPr>
                <w:sz w:val="20"/>
                <w:lang w:val="fr-CA"/>
              </w:rPr>
            </w:pPr>
            <w:r w:rsidRPr="00455697">
              <w:rPr>
                <w:sz w:val="20"/>
                <w:lang w:val="fr-CA"/>
              </w:rPr>
              <w:t xml:space="preserve">Droit administratif — Accès à l’information — Ordre professionnel — Demandeur sollicitant l’accès aux contrats de service octroyés par le Barreau du Québec à des firmes de relations publiques et le détail des sommes engagées par le Barreau auprès de ces firmes — Barreau refusant la demande d’accès à certains documents parce qu’ils ne sont pas détenus dans le cadre du contrôle de la profession en vertu de l’art. 108.1 du </w:t>
            </w:r>
            <w:r w:rsidRPr="00455697">
              <w:rPr>
                <w:i/>
                <w:sz w:val="20"/>
                <w:lang w:val="fr-CA"/>
              </w:rPr>
              <w:t xml:space="preserve">Code des professions </w:t>
            </w:r>
            <w:r w:rsidRPr="00455697">
              <w:rPr>
                <w:sz w:val="20"/>
                <w:lang w:val="fr-CA"/>
              </w:rPr>
              <w:t xml:space="preserve">ou parce qu’ils n’existent pas </w:t>
            </w:r>
            <w:r w:rsidRPr="00455697">
              <w:rPr>
                <w:i/>
                <w:sz w:val="20"/>
                <w:lang w:val="fr-CA"/>
              </w:rPr>
              <w:t xml:space="preserve">— </w:t>
            </w:r>
            <w:r w:rsidRPr="00455697">
              <w:rPr>
                <w:sz w:val="20"/>
                <w:lang w:val="fr-CA"/>
              </w:rPr>
              <w:t>Les instances inférieures ont-elles erré dans leur interprétation de l’art. 108.1 du</w:t>
            </w:r>
            <w:r w:rsidRPr="00455697">
              <w:rPr>
                <w:i/>
                <w:sz w:val="20"/>
                <w:lang w:val="fr-CA"/>
              </w:rPr>
              <w:t xml:space="preserve"> Code des professions</w:t>
            </w:r>
            <w:r w:rsidRPr="00455697">
              <w:rPr>
                <w:sz w:val="20"/>
                <w:lang w:val="fr-CA"/>
              </w:rPr>
              <w:t xml:space="preserve">? — Les instances inférieures ont-elles erré en rejetant les pourvois du demandeur? — </w:t>
            </w:r>
            <w:r w:rsidRPr="00455697">
              <w:rPr>
                <w:i/>
                <w:sz w:val="20"/>
                <w:lang w:val="fr-CA"/>
              </w:rPr>
              <w:t>Code des professions</w:t>
            </w:r>
            <w:r w:rsidRPr="00455697">
              <w:rPr>
                <w:sz w:val="20"/>
                <w:lang w:val="fr-CA"/>
              </w:rPr>
              <w:t xml:space="preserve">, RLRQ, c. C-26, art. 108.1.  </w:t>
            </w:r>
          </w:p>
        </w:tc>
      </w:tr>
      <w:tr w:rsidR="00A96D8A" w:rsidRPr="00455697" w:rsidTr="00E95A6A">
        <w:tc>
          <w:tcPr>
            <w:tcW w:w="5000" w:type="pct"/>
            <w:gridSpan w:val="4"/>
          </w:tcPr>
          <w:p w:rsidR="00A96D8A" w:rsidRPr="00455697" w:rsidRDefault="00A96D8A" w:rsidP="00A96D8A">
            <w:pPr>
              <w:jc w:val="both"/>
              <w:rPr>
                <w:sz w:val="20"/>
                <w:lang w:val="fr-CA"/>
              </w:rPr>
            </w:pPr>
          </w:p>
          <w:p w:rsidR="00A96D8A" w:rsidRPr="00455697" w:rsidRDefault="00A96D8A" w:rsidP="00A96D8A">
            <w:pPr>
              <w:jc w:val="both"/>
              <w:rPr>
                <w:sz w:val="20"/>
                <w:lang w:val="fr-CA" w:eastAsia="en-CA"/>
              </w:rPr>
            </w:pPr>
            <w:r w:rsidRPr="00455697">
              <w:rPr>
                <w:sz w:val="20"/>
                <w:lang w:val="fr-CA" w:eastAsia="en-CA"/>
              </w:rPr>
              <w:t>Le demandeur est avocat et membre de l’intimé Barreau du Québec (« Barreau »). Il présente au Barreau une demande d’accès à l’information afin d’obtenir, entre autres, tous les contrats de service que le Barreau a octroyés au cours des dernières années à des firmes de relations publiques, ainsi que le descriptif détaillé de toutes les sommes engagées par le Barreau auprès de firmes de relations publiques.</w:t>
            </w:r>
          </w:p>
          <w:p w:rsidR="00A96D8A" w:rsidRPr="00455697" w:rsidRDefault="00A96D8A" w:rsidP="00A96D8A">
            <w:pPr>
              <w:jc w:val="both"/>
              <w:rPr>
                <w:sz w:val="20"/>
                <w:lang w:val="fr-CA" w:eastAsia="en-CA"/>
              </w:rPr>
            </w:pPr>
          </w:p>
          <w:p w:rsidR="00A96D8A" w:rsidRPr="00455697" w:rsidRDefault="00A96D8A" w:rsidP="00A96D8A">
            <w:pPr>
              <w:jc w:val="both"/>
              <w:rPr>
                <w:sz w:val="20"/>
                <w:lang w:val="fr-CA" w:eastAsia="en-CA"/>
              </w:rPr>
            </w:pPr>
            <w:r w:rsidRPr="00455697">
              <w:rPr>
                <w:sz w:val="20"/>
                <w:lang w:val="fr-CA" w:eastAsia="en-CA"/>
              </w:rPr>
              <w:t xml:space="preserve">Le Barreau refuse de transmettre certains documents au demandeur, alléguant qu’ils ne sont pas détenus par l’Ordre professionnel dans le cadre du contrôle de la profession en vertu de l’art. 108.1 du </w:t>
            </w:r>
            <w:r w:rsidRPr="00455697">
              <w:rPr>
                <w:i/>
                <w:sz w:val="20"/>
                <w:lang w:val="fr-CA" w:eastAsia="en-CA"/>
              </w:rPr>
              <w:t>Code des professions</w:t>
            </w:r>
            <w:r w:rsidRPr="00455697">
              <w:rPr>
                <w:sz w:val="20"/>
                <w:lang w:val="fr-CA" w:eastAsia="en-CA"/>
              </w:rPr>
              <w:t xml:space="preserve">, et donc que la </w:t>
            </w:r>
            <w:r w:rsidRPr="00455697">
              <w:rPr>
                <w:i/>
                <w:sz w:val="20"/>
                <w:lang w:val="fr-CA" w:eastAsia="en-CA"/>
              </w:rPr>
              <w:t>Loi sur l’accès aux documents des organismes publics et sur la protection des renseignements personnels</w:t>
            </w:r>
            <w:r w:rsidRPr="00455697">
              <w:rPr>
                <w:sz w:val="20"/>
                <w:lang w:val="fr-CA" w:eastAsia="en-CA"/>
              </w:rPr>
              <w:t>, RLRQ, c. A-2.1, ne s’applique pas à ces documents. D’autre part, le Barreau invoque l’inexistence de document faisant foi de deux contrats octroyés verbalement.</w:t>
            </w:r>
          </w:p>
          <w:p w:rsidR="00A96D8A" w:rsidRPr="00455697" w:rsidRDefault="00A96D8A" w:rsidP="00A96D8A">
            <w:pPr>
              <w:jc w:val="both"/>
              <w:rPr>
                <w:sz w:val="20"/>
                <w:lang w:val="fr-CA"/>
              </w:rPr>
            </w:pPr>
          </w:p>
          <w:p w:rsidR="00A96D8A" w:rsidRPr="00455697" w:rsidRDefault="00A96D8A" w:rsidP="00A96D8A">
            <w:pPr>
              <w:jc w:val="both"/>
              <w:rPr>
                <w:sz w:val="20"/>
                <w:lang w:val="fr-CA"/>
              </w:rPr>
            </w:pPr>
            <w:r w:rsidRPr="00455697">
              <w:rPr>
                <w:sz w:val="20"/>
                <w:lang w:val="fr-CA"/>
              </w:rPr>
              <w:t>La Commission d’accès à l’information du Québec rejette la demande de révision du refus du Barreau de communiquer les documents au demandeur. La Cour du Québec accueille la requête du Barreau en rejet d’appel et rejette l’appel du demandeur, et la Cour supérieure rejette un pourvoi en contrôle judiciaire de cette décision. Un juge de la Cour d’appel du Québec rejette la requête pour permission d’appeler du demandeur.</w:t>
            </w:r>
          </w:p>
        </w:tc>
      </w:tr>
      <w:tr w:rsidR="00A96D8A" w:rsidRPr="00455697" w:rsidTr="00E95A6A">
        <w:tc>
          <w:tcPr>
            <w:tcW w:w="5000" w:type="pct"/>
            <w:gridSpan w:val="4"/>
          </w:tcPr>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Le 20 décembre 2018</w:t>
            </w:r>
          </w:p>
          <w:p w:rsidR="00A96D8A" w:rsidRPr="00455697" w:rsidRDefault="00A96D8A" w:rsidP="00A96D8A">
            <w:pPr>
              <w:jc w:val="both"/>
              <w:rPr>
                <w:sz w:val="20"/>
                <w:lang w:val="fr-CA"/>
              </w:rPr>
            </w:pPr>
            <w:r w:rsidRPr="00455697">
              <w:rPr>
                <w:sz w:val="20"/>
                <w:lang w:val="fr-CA"/>
              </w:rPr>
              <w:t xml:space="preserve">Commission d’accès à l’information du </w:t>
            </w:r>
          </w:p>
          <w:p w:rsidR="00A96D8A" w:rsidRPr="00455697" w:rsidRDefault="00A96D8A" w:rsidP="00A96D8A">
            <w:pPr>
              <w:jc w:val="both"/>
              <w:rPr>
                <w:sz w:val="20"/>
              </w:rPr>
            </w:pPr>
            <w:r w:rsidRPr="00455697">
              <w:rPr>
                <w:sz w:val="20"/>
              </w:rPr>
              <w:t>Québec</w:t>
            </w:r>
          </w:p>
          <w:p w:rsidR="00A96D8A" w:rsidRPr="00455697" w:rsidRDefault="00A96D8A" w:rsidP="00A96D8A">
            <w:pPr>
              <w:jc w:val="both"/>
              <w:rPr>
                <w:sz w:val="20"/>
              </w:rPr>
            </w:pPr>
            <w:r w:rsidRPr="00455697">
              <w:rPr>
                <w:sz w:val="20"/>
              </w:rPr>
              <w:t>(M</w:t>
            </w:r>
            <w:r w:rsidRPr="00455697">
              <w:rPr>
                <w:sz w:val="20"/>
                <w:vertAlign w:val="superscript"/>
              </w:rPr>
              <w:t>e</w:t>
            </w:r>
            <w:r w:rsidRPr="00455697">
              <w:rPr>
                <w:sz w:val="20"/>
              </w:rPr>
              <w:t xml:space="preserve"> Desbiens)</w:t>
            </w:r>
          </w:p>
          <w:p w:rsidR="00A96D8A" w:rsidRPr="00455697" w:rsidRDefault="00455697" w:rsidP="00A96D8A">
            <w:pPr>
              <w:jc w:val="both"/>
              <w:rPr>
                <w:sz w:val="20"/>
              </w:rPr>
            </w:pPr>
            <w:hyperlink r:id="rId48" w:history="1">
              <w:r w:rsidR="00A96D8A" w:rsidRPr="00455697">
                <w:rPr>
                  <w:rStyle w:val="Hyperlink"/>
                  <w:sz w:val="20"/>
                </w:rPr>
                <w:t>2018 QCCAI 295</w:t>
              </w:r>
            </w:hyperlink>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lang w:val="fr-CA"/>
              </w:rPr>
            </w:pPr>
            <w:r w:rsidRPr="00455697">
              <w:rPr>
                <w:sz w:val="20"/>
                <w:lang w:val="fr-CA"/>
              </w:rPr>
              <w:t>Demande de révision du refus partiel de la demande d’accès à l’information du demandeur rejetée.</w:t>
            </w: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Le 10 octobre 2019</w:t>
            </w:r>
          </w:p>
          <w:p w:rsidR="00A96D8A" w:rsidRPr="00455697" w:rsidRDefault="00A96D8A" w:rsidP="00A96D8A">
            <w:pPr>
              <w:jc w:val="both"/>
              <w:rPr>
                <w:sz w:val="20"/>
                <w:lang w:val="fr-CA"/>
              </w:rPr>
            </w:pPr>
            <w:r w:rsidRPr="00455697">
              <w:rPr>
                <w:sz w:val="20"/>
                <w:lang w:val="fr-CA"/>
              </w:rPr>
              <w:t>Cour du Québec</w:t>
            </w:r>
          </w:p>
          <w:p w:rsidR="00A96D8A" w:rsidRPr="00455697" w:rsidRDefault="00A96D8A" w:rsidP="00A96D8A">
            <w:pPr>
              <w:jc w:val="both"/>
              <w:rPr>
                <w:sz w:val="20"/>
                <w:lang w:val="fr-CA"/>
              </w:rPr>
            </w:pPr>
            <w:r w:rsidRPr="00455697">
              <w:rPr>
                <w:sz w:val="20"/>
                <w:lang w:val="fr-CA"/>
              </w:rPr>
              <w:t>(Juge Piazza)</w:t>
            </w:r>
          </w:p>
          <w:p w:rsidR="00A96D8A" w:rsidRPr="00455697" w:rsidRDefault="00455697" w:rsidP="00A96D8A">
            <w:pPr>
              <w:jc w:val="both"/>
              <w:rPr>
                <w:sz w:val="20"/>
              </w:rPr>
            </w:pPr>
            <w:hyperlink r:id="rId49" w:history="1">
              <w:r w:rsidR="00A96D8A" w:rsidRPr="00455697">
                <w:rPr>
                  <w:rStyle w:val="Hyperlink"/>
                  <w:sz w:val="20"/>
                </w:rPr>
                <w:t>2019 QCCQ 6408</w:t>
              </w:r>
            </w:hyperlink>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lang w:val="fr-CA"/>
              </w:rPr>
            </w:pPr>
            <w:r w:rsidRPr="00455697">
              <w:rPr>
                <w:sz w:val="20"/>
                <w:lang w:val="fr-CA"/>
              </w:rPr>
              <w:t>Requête de l’intimé en rejet d’appel accueillie; appel rejeté.</w:t>
            </w:r>
          </w:p>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Le 24 janvier 2022</w:t>
            </w:r>
          </w:p>
          <w:p w:rsidR="00A96D8A" w:rsidRPr="00455697" w:rsidRDefault="00A96D8A" w:rsidP="00A96D8A">
            <w:pPr>
              <w:jc w:val="both"/>
              <w:rPr>
                <w:sz w:val="20"/>
                <w:lang w:val="fr-CA"/>
              </w:rPr>
            </w:pPr>
            <w:r w:rsidRPr="00455697">
              <w:rPr>
                <w:sz w:val="20"/>
                <w:lang w:val="fr-CA"/>
              </w:rPr>
              <w:t>Cour supérieure du Québec</w:t>
            </w:r>
          </w:p>
          <w:p w:rsidR="00A96D8A" w:rsidRPr="00455697" w:rsidRDefault="00A96D8A" w:rsidP="00A96D8A">
            <w:pPr>
              <w:jc w:val="both"/>
              <w:rPr>
                <w:sz w:val="20"/>
              </w:rPr>
            </w:pPr>
            <w:r w:rsidRPr="00455697">
              <w:rPr>
                <w:sz w:val="20"/>
              </w:rPr>
              <w:t>(Juge St-Pierre)</w:t>
            </w:r>
          </w:p>
          <w:p w:rsidR="00A96D8A" w:rsidRPr="00455697" w:rsidRDefault="00455697" w:rsidP="00A96D8A">
            <w:pPr>
              <w:jc w:val="both"/>
              <w:rPr>
                <w:rStyle w:val="Hyperlink"/>
                <w:color w:val="auto"/>
                <w:sz w:val="20"/>
              </w:rPr>
            </w:pPr>
            <w:hyperlink r:id="rId50" w:history="1">
              <w:r w:rsidR="00A96D8A" w:rsidRPr="00455697">
                <w:rPr>
                  <w:rStyle w:val="Hyperlink"/>
                  <w:sz w:val="20"/>
                </w:rPr>
                <w:t>2022 QCCS 149</w:t>
              </w:r>
            </w:hyperlink>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lang w:val="fr-CA"/>
              </w:rPr>
            </w:pPr>
            <w:r w:rsidRPr="00455697">
              <w:rPr>
                <w:sz w:val="20"/>
                <w:lang w:val="fr-CA"/>
              </w:rPr>
              <w:t>Pourvoi en contrôle judiciaire rejeté.</w:t>
            </w:r>
          </w:p>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Le 20 septembre 2022</w:t>
            </w:r>
          </w:p>
          <w:p w:rsidR="00A96D8A" w:rsidRPr="00455697" w:rsidRDefault="00A96D8A" w:rsidP="00A96D8A">
            <w:pPr>
              <w:jc w:val="both"/>
              <w:rPr>
                <w:sz w:val="20"/>
                <w:lang w:val="fr-CA"/>
              </w:rPr>
            </w:pPr>
            <w:r w:rsidRPr="00455697">
              <w:rPr>
                <w:sz w:val="20"/>
                <w:lang w:val="fr-CA"/>
              </w:rPr>
              <w:t>Cour d’appel du Québec</w:t>
            </w:r>
          </w:p>
          <w:p w:rsidR="00A96D8A" w:rsidRPr="00455697" w:rsidRDefault="00A96D8A" w:rsidP="00A96D8A">
            <w:pPr>
              <w:jc w:val="both"/>
              <w:rPr>
                <w:sz w:val="20"/>
              </w:rPr>
            </w:pPr>
            <w:r w:rsidRPr="00455697">
              <w:rPr>
                <w:sz w:val="20"/>
              </w:rPr>
              <w:t>(Juge Cournoyer)</w:t>
            </w:r>
          </w:p>
          <w:p w:rsidR="00A96D8A" w:rsidRPr="00455697" w:rsidRDefault="00455697" w:rsidP="00A96D8A">
            <w:pPr>
              <w:jc w:val="both"/>
              <w:rPr>
                <w:sz w:val="20"/>
              </w:rPr>
            </w:pPr>
            <w:hyperlink r:id="rId51" w:history="1">
              <w:r w:rsidR="00A96D8A" w:rsidRPr="00455697">
                <w:rPr>
                  <w:rStyle w:val="Hyperlink"/>
                  <w:sz w:val="20"/>
                </w:rPr>
                <w:t>2022 QCCA 1255</w:t>
              </w:r>
            </w:hyperlink>
          </w:p>
          <w:p w:rsidR="00A96D8A" w:rsidRPr="00455697" w:rsidRDefault="00A96D8A" w:rsidP="00A96D8A">
            <w:pPr>
              <w:jc w:val="both"/>
              <w:rPr>
                <w:sz w:val="20"/>
              </w:rPr>
            </w:pPr>
          </w:p>
        </w:tc>
        <w:tc>
          <w:tcPr>
            <w:tcW w:w="243" w:type="pct"/>
          </w:tcPr>
          <w:p w:rsidR="00A96D8A" w:rsidRPr="00455697" w:rsidRDefault="00A96D8A" w:rsidP="00A96D8A">
            <w:pPr>
              <w:jc w:val="both"/>
              <w:rPr>
                <w:sz w:val="20"/>
              </w:rPr>
            </w:pPr>
          </w:p>
        </w:tc>
        <w:tc>
          <w:tcPr>
            <w:tcW w:w="2330" w:type="pct"/>
          </w:tcPr>
          <w:p w:rsidR="00A96D8A" w:rsidRPr="00455697" w:rsidRDefault="00A96D8A" w:rsidP="00A96D8A">
            <w:pPr>
              <w:jc w:val="both"/>
              <w:rPr>
                <w:sz w:val="20"/>
                <w:lang w:val="fr-CA"/>
              </w:rPr>
            </w:pPr>
            <w:r w:rsidRPr="00455697">
              <w:rPr>
                <w:sz w:val="20"/>
                <w:lang w:val="fr-CA"/>
              </w:rPr>
              <w:t>Requête pour permission d’appeler rejetée.</w:t>
            </w:r>
          </w:p>
          <w:p w:rsidR="00A96D8A" w:rsidRPr="00455697" w:rsidRDefault="00A96D8A" w:rsidP="00A96D8A">
            <w:pPr>
              <w:jc w:val="both"/>
              <w:rPr>
                <w:sz w:val="20"/>
                <w:lang w:val="fr-CA"/>
              </w:rPr>
            </w:pPr>
          </w:p>
        </w:tc>
      </w:tr>
      <w:tr w:rsidR="00A96D8A" w:rsidRPr="00455697" w:rsidTr="00E95A6A">
        <w:tc>
          <w:tcPr>
            <w:tcW w:w="2427" w:type="pct"/>
            <w:gridSpan w:val="2"/>
          </w:tcPr>
          <w:p w:rsidR="00A96D8A" w:rsidRPr="00455697" w:rsidRDefault="00A96D8A" w:rsidP="00A96D8A">
            <w:pPr>
              <w:jc w:val="both"/>
              <w:rPr>
                <w:sz w:val="20"/>
                <w:lang w:val="fr-CA"/>
              </w:rPr>
            </w:pPr>
            <w:r w:rsidRPr="00455697">
              <w:rPr>
                <w:sz w:val="20"/>
                <w:lang w:val="fr-CA"/>
              </w:rPr>
              <w:t>Le 21 novembre 2022</w:t>
            </w:r>
          </w:p>
          <w:p w:rsidR="00A96D8A" w:rsidRPr="00455697" w:rsidRDefault="00A96D8A" w:rsidP="00A96D8A">
            <w:pPr>
              <w:jc w:val="both"/>
              <w:rPr>
                <w:sz w:val="20"/>
                <w:lang w:val="fr-CA"/>
              </w:rPr>
            </w:pPr>
            <w:r w:rsidRPr="00455697">
              <w:rPr>
                <w:sz w:val="20"/>
                <w:lang w:val="fr-CA"/>
              </w:rPr>
              <w:t>Cour suprême du Canada</w:t>
            </w:r>
          </w:p>
        </w:tc>
        <w:tc>
          <w:tcPr>
            <w:tcW w:w="243" w:type="pct"/>
          </w:tcPr>
          <w:p w:rsidR="00A96D8A" w:rsidRPr="00455697" w:rsidRDefault="00A96D8A" w:rsidP="00A96D8A">
            <w:pPr>
              <w:jc w:val="both"/>
              <w:rPr>
                <w:sz w:val="20"/>
                <w:lang w:val="fr-CA"/>
              </w:rPr>
            </w:pPr>
          </w:p>
        </w:tc>
        <w:tc>
          <w:tcPr>
            <w:tcW w:w="2330" w:type="pct"/>
          </w:tcPr>
          <w:p w:rsidR="00A96D8A" w:rsidRPr="00455697" w:rsidRDefault="00A96D8A" w:rsidP="00A96D8A">
            <w:pPr>
              <w:jc w:val="both"/>
              <w:rPr>
                <w:sz w:val="20"/>
              </w:rPr>
            </w:pPr>
            <w:r w:rsidRPr="00455697">
              <w:rPr>
                <w:sz w:val="20"/>
              </w:rPr>
              <w:t>Demande d'autorisation d'appel déposée</w:t>
            </w:r>
          </w:p>
          <w:p w:rsidR="00A96D8A" w:rsidRPr="00455697" w:rsidRDefault="00A96D8A" w:rsidP="00A96D8A">
            <w:pPr>
              <w:jc w:val="both"/>
              <w:rPr>
                <w:sz w:val="20"/>
              </w:rPr>
            </w:pPr>
          </w:p>
        </w:tc>
      </w:tr>
    </w:tbl>
    <w:p w:rsidR="00FC0780" w:rsidRPr="00455697" w:rsidRDefault="00FC0780" w:rsidP="00FC0780">
      <w:pPr>
        <w:jc w:val="both"/>
        <w:rPr>
          <w:sz w:val="20"/>
          <w:lang w:val="fr-CA"/>
        </w:rPr>
      </w:pPr>
    </w:p>
    <w:p w:rsidR="002D3AC0" w:rsidRPr="00455697" w:rsidRDefault="00455697" w:rsidP="00142166">
      <w:pPr>
        <w:widowControl w:val="0"/>
        <w:jc w:val="both"/>
        <w:rPr>
          <w:sz w:val="20"/>
        </w:rPr>
      </w:pPr>
      <w:r w:rsidRPr="00455697">
        <w:rPr>
          <w:sz w:val="20"/>
        </w:rPr>
        <w:pict>
          <v:rect id="_x0000_i1042" style="width:2in;height:1pt" o:hrpct="0" o:hralign="center" o:hrstd="t" o:hrnoshade="t" o:hr="t" fillcolor="black [3213]" stroked="f"/>
        </w:pict>
      </w:r>
    </w:p>
    <w:p w:rsidR="00311655" w:rsidRPr="00455697" w:rsidRDefault="00311655" w:rsidP="00350651">
      <w:pPr>
        <w:ind w:left="142" w:hanging="142"/>
        <w:jc w:val="both"/>
        <w:rPr>
          <w:sz w:val="20"/>
        </w:rPr>
      </w:pPr>
    </w:p>
    <w:p w:rsidR="008F2F11" w:rsidRPr="00455697" w:rsidRDefault="008F2F11" w:rsidP="00350651">
      <w:pPr>
        <w:ind w:left="142" w:hanging="142"/>
        <w:jc w:val="both"/>
        <w:rPr>
          <w:sz w:val="20"/>
        </w:rPr>
      </w:pPr>
    </w:p>
    <w:p w:rsidR="008F2F11" w:rsidRPr="00455697" w:rsidRDefault="008F2F11" w:rsidP="00350651">
      <w:pPr>
        <w:ind w:left="142" w:hanging="142"/>
        <w:jc w:val="both"/>
        <w:rPr>
          <w:sz w:val="20"/>
        </w:rPr>
      </w:pPr>
    </w:p>
    <w:p w:rsidR="00D3344A" w:rsidRPr="00455697" w:rsidRDefault="00D3344A" w:rsidP="00D3344A">
      <w:pPr>
        <w:widowControl w:val="0"/>
        <w:outlineLvl w:val="0"/>
        <w:rPr>
          <w:sz w:val="20"/>
        </w:rPr>
      </w:pPr>
      <w:r w:rsidRPr="00455697">
        <w:rPr>
          <w:sz w:val="20"/>
        </w:rPr>
        <w:t>Supreme Court of Canada / Cour suprême du Canad</w:t>
      </w:r>
      <w:r w:rsidR="00EE289F" w:rsidRPr="00455697">
        <w:rPr>
          <w:sz w:val="20"/>
        </w:rPr>
        <w:t>a</w:t>
      </w:r>
      <w:r w:rsidRPr="00455697">
        <w:rPr>
          <w:sz w:val="20"/>
        </w:rPr>
        <w:t xml:space="preserve"> :</w:t>
      </w:r>
    </w:p>
    <w:p w:rsidR="00D3344A" w:rsidRPr="00455697" w:rsidRDefault="00455697" w:rsidP="00D3344A">
      <w:pPr>
        <w:widowControl w:val="0"/>
        <w:outlineLvl w:val="0"/>
        <w:rPr>
          <w:sz w:val="20"/>
          <w:u w:val="single"/>
        </w:rPr>
      </w:pPr>
      <w:hyperlink r:id="rId52" w:history="1">
        <w:r w:rsidR="009B7391" w:rsidRPr="00455697">
          <w:rPr>
            <w:rStyle w:val="Hyperlink"/>
            <w:sz w:val="20"/>
          </w:rPr>
          <w:t>comments-commentaires@scc-csc.ca</w:t>
        </w:r>
      </w:hyperlink>
    </w:p>
    <w:p w:rsidR="00D3344A" w:rsidRPr="00455697" w:rsidRDefault="0065588C" w:rsidP="00D3344A">
      <w:pPr>
        <w:widowControl w:val="0"/>
        <w:outlineLvl w:val="0"/>
        <w:rPr>
          <w:sz w:val="20"/>
        </w:rPr>
      </w:pPr>
      <w:r w:rsidRPr="00455697">
        <w:rPr>
          <w:sz w:val="20"/>
        </w:rPr>
        <w:t>613-</w:t>
      </w:r>
      <w:r w:rsidR="00D3344A" w:rsidRPr="00455697">
        <w:rPr>
          <w:sz w:val="20"/>
        </w:rPr>
        <w:t>995-4330</w:t>
      </w:r>
    </w:p>
    <w:p w:rsidR="00497B5E" w:rsidRPr="00455697" w:rsidRDefault="00497B5E" w:rsidP="00497B5E">
      <w:pPr>
        <w:widowControl w:val="0"/>
        <w:rPr>
          <w:sz w:val="20"/>
        </w:rPr>
      </w:pPr>
    </w:p>
    <w:p w:rsidR="00F6251B" w:rsidRPr="007607A2" w:rsidRDefault="003F43E6" w:rsidP="00F6251B">
      <w:pPr>
        <w:pStyle w:val="Footer"/>
        <w:jc w:val="center"/>
        <w:rPr>
          <w:sz w:val="20"/>
        </w:rPr>
      </w:pPr>
      <w:r w:rsidRPr="00455697">
        <w:rPr>
          <w:sz w:val="20"/>
        </w:rPr>
        <w:t>- 30 -</w:t>
      </w:r>
      <w:bookmarkStart w:id="0" w:name="_GoBack"/>
      <w:bookmarkEnd w:id="0"/>
    </w:p>
    <w:sectPr w:rsidR="00F6251B" w:rsidRPr="007607A2" w:rsidSect="00E62F93">
      <w:headerReference w:type="even" r:id="rId53"/>
      <w:headerReference w:type="default" r:id="rId54"/>
      <w:footerReference w:type="even" r:id="rId55"/>
      <w:footerReference w:type="default" r:id="rId56"/>
      <w:headerReference w:type="first" r:id="rId57"/>
      <w:footerReference w:type="first" r:id="rId58"/>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7F" w:rsidRDefault="0072667F" w:rsidP="0034178A">
      <w:r>
        <w:separator/>
      </w:r>
    </w:p>
  </w:endnote>
  <w:endnote w:type="continuationSeparator" w:id="0">
    <w:p w:rsidR="0072667F" w:rsidRDefault="0072667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Pr="009F77F0" w:rsidRDefault="0072667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7F" w:rsidRDefault="0072667F" w:rsidP="0034178A">
      <w:r>
        <w:separator/>
      </w:r>
    </w:p>
  </w:footnote>
  <w:footnote w:type="continuationSeparator" w:id="0">
    <w:p w:rsidR="0072667F" w:rsidRDefault="0072667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4DD1"/>
    <w:multiLevelType w:val="hybridMultilevel"/>
    <w:tmpl w:val="F524E682"/>
    <w:lvl w:ilvl="0" w:tplc="9490FD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1D002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B1024"/>
    <w:multiLevelType w:val="hybridMultilevel"/>
    <w:tmpl w:val="4A2CF09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5701B"/>
    <w:multiLevelType w:val="hybridMultilevel"/>
    <w:tmpl w:val="2B0E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6"/>
  </w:num>
  <w:num w:numId="3">
    <w:abstractNumId w:val="41"/>
  </w:num>
  <w:num w:numId="4">
    <w:abstractNumId w:val="17"/>
  </w:num>
  <w:num w:numId="5">
    <w:abstractNumId w:val="13"/>
  </w:num>
  <w:num w:numId="6">
    <w:abstractNumId w:val="36"/>
  </w:num>
  <w:num w:numId="7">
    <w:abstractNumId w:val="33"/>
  </w:num>
  <w:num w:numId="8">
    <w:abstractNumId w:val="38"/>
  </w:num>
  <w:num w:numId="9">
    <w:abstractNumId w:val="5"/>
  </w:num>
  <w:num w:numId="10">
    <w:abstractNumId w:val="10"/>
  </w:num>
  <w:num w:numId="11">
    <w:abstractNumId w:val="2"/>
  </w:num>
  <w:num w:numId="12">
    <w:abstractNumId w:val="35"/>
  </w:num>
  <w:num w:numId="13">
    <w:abstractNumId w:val="3"/>
  </w:num>
  <w:num w:numId="14">
    <w:abstractNumId w:val="16"/>
  </w:num>
  <w:num w:numId="15">
    <w:abstractNumId w:val="7"/>
  </w:num>
  <w:num w:numId="16">
    <w:abstractNumId w:val="11"/>
  </w:num>
  <w:num w:numId="17">
    <w:abstractNumId w:val="39"/>
  </w:num>
  <w:num w:numId="18">
    <w:abstractNumId w:val="22"/>
  </w:num>
  <w:num w:numId="19">
    <w:abstractNumId w:val="14"/>
  </w:num>
  <w:num w:numId="20">
    <w:abstractNumId w:val="31"/>
  </w:num>
  <w:num w:numId="21">
    <w:abstractNumId w:val="9"/>
  </w:num>
  <w:num w:numId="22">
    <w:abstractNumId w:val="37"/>
  </w:num>
  <w:num w:numId="23">
    <w:abstractNumId w:val="30"/>
  </w:num>
  <w:num w:numId="24">
    <w:abstractNumId w:val="20"/>
  </w:num>
  <w:num w:numId="25">
    <w:abstractNumId w:val="25"/>
  </w:num>
  <w:num w:numId="26">
    <w:abstractNumId w:val="34"/>
  </w:num>
  <w:num w:numId="27">
    <w:abstractNumId w:val="19"/>
  </w:num>
  <w:num w:numId="28">
    <w:abstractNumId w:val="6"/>
  </w:num>
  <w:num w:numId="29">
    <w:abstractNumId w:val="29"/>
  </w:num>
  <w:num w:numId="30">
    <w:abstractNumId w:val="18"/>
  </w:num>
  <w:num w:numId="31">
    <w:abstractNumId w:val="8"/>
  </w:num>
  <w:num w:numId="32">
    <w:abstractNumId w:val="23"/>
  </w:num>
  <w:num w:numId="33">
    <w:abstractNumId w:val="4"/>
  </w:num>
  <w:num w:numId="34">
    <w:abstractNumId w:val="1"/>
  </w:num>
  <w:num w:numId="35">
    <w:abstractNumId w:val="15"/>
  </w:num>
  <w:num w:numId="36">
    <w:abstractNumId w:val="40"/>
  </w:num>
  <w:num w:numId="37">
    <w:abstractNumId w:val="21"/>
  </w:num>
  <w:num w:numId="38">
    <w:abstractNumId w:val="24"/>
  </w:num>
  <w:num w:numId="39">
    <w:abstractNumId w:val="32"/>
  </w:num>
  <w:num w:numId="40">
    <w:abstractNumId w:val="27"/>
  </w:num>
  <w:num w:numId="41">
    <w:abstractNumId w:val="28"/>
  </w:num>
  <w:num w:numId="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800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1795"/>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665F"/>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3DB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4E95"/>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A85"/>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166"/>
    <w:rsid w:val="001422C9"/>
    <w:rsid w:val="0014243F"/>
    <w:rsid w:val="0014294E"/>
    <w:rsid w:val="00142C72"/>
    <w:rsid w:val="001432CD"/>
    <w:rsid w:val="001432DF"/>
    <w:rsid w:val="00143447"/>
    <w:rsid w:val="00143519"/>
    <w:rsid w:val="00143522"/>
    <w:rsid w:val="001437C9"/>
    <w:rsid w:val="00143B74"/>
    <w:rsid w:val="00143E7A"/>
    <w:rsid w:val="00144111"/>
    <w:rsid w:val="0014490F"/>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0F0"/>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4D9F"/>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6B6"/>
    <w:rsid w:val="00252803"/>
    <w:rsid w:val="00252FDB"/>
    <w:rsid w:val="0025369C"/>
    <w:rsid w:val="00254AAA"/>
    <w:rsid w:val="0025559A"/>
    <w:rsid w:val="00255E07"/>
    <w:rsid w:val="002567CD"/>
    <w:rsid w:val="00257287"/>
    <w:rsid w:val="00257322"/>
    <w:rsid w:val="002574ED"/>
    <w:rsid w:val="002576AD"/>
    <w:rsid w:val="002576B5"/>
    <w:rsid w:val="0025785E"/>
    <w:rsid w:val="00257D1B"/>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1BE"/>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536"/>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3AC0"/>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5ED9"/>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6ED"/>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0DD6"/>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54CA"/>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697"/>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5A51"/>
    <w:rsid w:val="00486750"/>
    <w:rsid w:val="00487EBC"/>
    <w:rsid w:val="0049067A"/>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6EE8"/>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D7F43"/>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34A"/>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4A6"/>
    <w:rsid w:val="005368AB"/>
    <w:rsid w:val="005372AF"/>
    <w:rsid w:val="00537F74"/>
    <w:rsid w:val="00540D5C"/>
    <w:rsid w:val="00540EBB"/>
    <w:rsid w:val="005414C4"/>
    <w:rsid w:val="005417CB"/>
    <w:rsid w:val="00541971"/>
    <w:rsid w:val="00541FF9"/>
    <w:rsid w:val="005432F7"/>
    <w:rsid w:val="005442DE"/>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5FA3"/>
    <w:rsid w:val="005A64FE"/>
    <w:rsid w:val="005A6943"/>
    <w:rsid w:val="005A6C46"/>
    <w:rsid w:val="005A71E5"/>
    <w:rsid w:val="005A7B6B"/>
    <w:rsid w:val="005B0AAB"/>
    <w:rsid w:val="005B0EC1"/>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043"/>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B8C"/>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57926"/>
    <w:rsid w:val="00660969"/>
    <w:rsid w:val="00660B48"/>
    <w:rsid w:val="00662650"/>
    <w:rsid w:val="00662ADB"/>
    <w:rsid w:val="006634BC"/>
    <w:rsid w:val="0066366C"/>
    <w:rsid w:val="006648D1"/>
    <w:rsid w:val="00664D37"/>
    <w:rsid w:val="00664E1D"/>
    <w:rsid w:val="00666A48"/>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C2E"/>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516"/>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18B"/>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6FE9"/>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498"/>
    <w:rsid w:val="006D4512"/>
    <w:rsid w:val="006D4676"/>
    <w:rsid w:val="006D46C7"/>
    <w:rsid w:val="006D4C04"/>
    <w:rsid w:val="006D4E80"/>
    <w:rsid w:val="006D5A07"/>
    <w:rsid w:val="006D5DCC"/>
    <w:rsid w:val="006D5E38"/>
    <w:rsid w:val="006D614A"/>
    <w:rsid w:val="006D61AF"/>
    <w:rsid w:val="006D65EC"/>
    <w:rsid w:val="006D6B5E"/>
    <w:rsid w:val="006D6C4C"/>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4F94"/>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3CCB"/>
    <w:rsid w:val="006F4502"/>
    <w:rsid w:val="006F5439"/>
    <w:rsid w:val="006F5EA6"/>
    <w:rsid w:val="006F6761"/>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0C0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67F"/>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036"/>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11"/>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6E55"/>
    <w:rsid w:val="00777ECC"/>
    <w:rsid w:val="00780317"/>
    <w:rsid w:val="00780E1B"/>
    <w:rsid w:val="007810BC"/>
    <w:rsid w:val="007813B2"/>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0DE"/>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575"/>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00"/>
    <w:rsid w:val="00833393"/>
    <w:rsid w:val="0083380F"/>
    <w:rsid w:val="00833A60"/>
    <w:rsid w:val="00833C3B"/>
    <w:rsid w:val="00833D2C"/>
    <w:rsid w:val="00834398"/>
    <w:rsid w:val="00834B4D"/>
    <w:rsid w:val="00835CF4"/>
    <w:rsid w:val="00835FCE"/>
    <w:rsid w:val="008368DE"/>
    <w:rsid w:val="0083696A"/>
    <w:rsid w:val="00840BCC"/>
    <w:rsid w:val="00840E25"/>
    <w:rsid w:val="00840EBC"/>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742"/>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3F6"/>
    <w:rsid w:val="0092587F"/>
    <w:rsid w:val="00925AA4"/>
    <w:rsid w:val="00926BE1"/>
    <w:rsid w:val="0092714F"/>
    <w:rsid w:val="009272CD"/>
    <w:rsid w:val="00927761"/>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2D2C"/>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3B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5C3C"/>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0CD8"/>
    <w:rsid w:val="009B121B"/>
    <w:rsid w:val="009B144A"/>
    <w:rsid w:val="009B14F4"/>
    <w:rsid w:val="009B177F"/>
    <w:rsid w:val="009B17DB"/>
    <w:rsid w:val="009B26EE"/>
    <w:rsid w:val="009B3199"/>
    <w:rsid w:val="009B38BC"/>
    <w:rsid w:val="009B4EC5"/>
    <w:rsid w:val="009B50CC"/>
    <w:rsid w:val="009B51A4"/>
    <w:rsid w:val="009B520B"/>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0ABE"/>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56FF"/>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4228"/>
    <w:rsid w:val="00A44C41"/>
    <w:rsid w:val="00A44D2E"/>
    <w:rsid w:val="00A44E81"/>
    <w:rsid w:val="00A45529"/>
    <w:rsid w:val="00A461E4"/>
    <w:rsid w:val="00A466AC"/>
    <w:rsid w:val="00A47031"/>
    <w:rsid w:val="00A4765E"/>
    <w:rsid w:val="00A47D66"/>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C92"/>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025"/>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D8A"/>
    <w:rsid w:val="00A96F3E"/>
    <w:rsid w:val="00A97B41"/>
    <w:rsid w:val="00A97DC4"/>
    <w:rsid w:val="00A97F0C"/>
    <w:rsid w:val="00A97F93"/>
    <w:rsid w:val="00AA0147"/>
    <w:rsid w:val="00AA0E4D"/>
    <w:rsid w:val="00AA219A"/>
    <w:rsid w:val="00AA25C5"/>
    <w:rsid w:val="00AA2964"/>
    <w:rsid w:val="00AA2B8B"/>
    <w:rsid w:val="00AA2C6E"/>
    <w:rsid w:val="00AA2CAE"/>
    <w:rsid w:val="00AA3079"/>
    <w:rsid w:val="00AA3E2B"/>
    <w:rsid w:val="00AA3F84"/>
    <w:rsid w:val="00AA46DD"/>
    <w:rsid w:val="00AA4886"/>
    <w:rsid w:val="00AA509E"/>
    <w:rsid w:val="00AA53A0"/>
    <w:rsid w:val="00AA53AC"/>
    <w:rsid w:val="00AA5933"/>
    <w:rsid w:val="00AA5DEA"/>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27D7"/>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A8F"/>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544"/>
    <w:rsid w:val="00B01BCB"/>
    <w:rsid w:val="00B01DF0"/>
    <w:rsid w:val="00B026D2"/>
    <w:rsid w:val="00B02A31"/>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469"/>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3F77"/>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04C"/>
    <w:rsid w:val="00BF3924"/>
    <w:rsid w:val="00BF44FB"/>
    <w:rsid w:val="00BF48D2"/>
    <w:rsid w:val="00BF5160"/>
    <w:rsid w:val="00BF6E43"/>
    <w:rsid w:val="00BF72CB"/>
    <w:rsid w:val="00BF7494"/>
    <w:rsid w:val="00BF763F"/>
    <w:rsid w:val="00BF7FF6"/>
    <w:rsid w:val="00C00270"/>
    <w:rsid w:val="00C00650"/>
    <w:rsid w:val="00C00E23"/>
    <w:rsid w:val="00C012C4"/>
    <w:rsid w:val="00C014C3"/>
    <w:rsid w:val="00C01507"/>
    <w:rsid w:val="00C021BB"/>
    <w:rsid w:val="00C026F9"/>
    <w:rsid w:val="00C028E5"/>
    <w:rsid w:val="00C02BBE"/>
    <w:rsid w:val="00C02ED5"/>
    <w:rsid w:val="00C03148"/>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825"/>
    <w:rsid w:val="00C30F83"/>
    <w:rsid w:val="00C31069"/>
    <w:rsid w:val="00C3126C"/>
    <w:rsid w:val="00C312F5"/>
    <w:rsid w:val="00C31354"/>
    <w:rsid w:val="00C3135E"/>
    <w:rsid w:val="00C319FB"/>
    <w:rsid w:val="00C31C5A"/>
    <w:rsid w:val="00C31EAC"/>
    <w:rsid w:val="00C325F4"/>
    <w:rsid w:val="00C3269C"/>
    <w:rsid w:val="00C32836"/>
    <w:rsid w:val="00C335C6"/>
    <w:rsid w:val="00C342CA"/>
    <w:rsid w:val="00C34515"/>
    <w:rsid w:val="00C34A03"/>
    <w:rsid w:val="00C34D9A"/>
    <w:rsid w:val="00C34ECA"/>
    <w:rsid w:val="00C350DE"/>
    <w:rsid w:val="00C35396"/>
    <w:rsid w:val="00C3552E"/>
    <w:rsid w:val="00C35A85"/>
    <w:rsid w:val="00C35B4B"/>
    <w:rsid w:val="00C35C26"/>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564"/>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6F60"/>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CF7BD2"/>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38C0"/>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37FEC"/>
    <w:rsid w:val="00D4006F"/>
    <w:rsid w:val="00D404B4"/>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195C"/>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B37"/>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2FA2"/>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575"/>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03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945"/>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046"/>
    <w:rsid w:val="00E926FF"/>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A54"/>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196"/>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DCE"/>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152"/>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0E43"/>
    <w:rsid w:val="00F2115A"/>
    <w:rsid w:val="00F222E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3EF"/>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311"/>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780"/>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93A"/>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0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 w:type="paragraph" w:customStyle="1" w:styleId="citation">
    <w:name w:val="citation"/>
    <w:basedOn w:val="Normal"/>
    <w:rsid w:val="005442DE"/>
    <w:pPr>
      <w:spacing w:before="100" w:beforeAutospacing="1" w:after="100" w:afterAutospacing="1"/>
    </w:pPr>
    <w:rPr>
      <w:szCs w:val="24"/>
      <w:lang w:val="en-CA" w:eastAsia="en-CA"/>
    </w:rPr>
  </w:style>
  <w:style w:type="character" w:customStyle="1" w:styleId="ui-provider">
    <w:name w:val="ui-provider"/>
    <w:basedOn w:val="DefaultParagraphFont"/>
    <w:rsid w:val="006C6FE9"/>
  </w:style>
  <w:style w:type="paragraph" w:customStyle="1" w:styleId="felskynumbering12">
    <w:name w:val="felskynumbering12"/>
    <w:basedOn w:val="Normal"/>
    <w:rsid w:val="00FC0780"/>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595" TargetMode="External"/><Relationship Id="rId18" Type="http://schemas.openxmlformats.org/officeDocument/2006/relationships/hyperlink" Target="https://canlii.ca/t/j9pll" TargetMode="External"/><Relationship Id="rId26" Type="http://schemas.openxmlformats.org/officeDocument/2006/relationships/hyperlink" Target="https://www.canlii.org/en/sk/skpc/doc/2018/2018skpc70/2018skpc70.html?autocompleteStr=2018%20SKPC%2070&amp;autocompletePos=1" TargetMode="External"/><Relationship Id="rId39" Type="http://schemas.openxmlformats.org/officeDocument/2006/relationships/hyperlink" Target="https://www.canlii.org/en/ab/abca/doc/2022/2022abca301/2022abca301.html?resultIndex=1" TargetMode="External"/><Relationship Id="rId21" Type="http://schemas.openxmlformats.org/officeDocument/2006/relationships/hyperlink" Target="https://www.canlii.org/en/ab/abca/doc/2022/2022abca359/2022abca359.html?autocompleteStr=2022%20ABCA%20359&amp;autocompletePos=1" TargetMode="External"/><Relationship Id="rId34" Type="http://schemas.openxmlformats.org/officeDocument/2006/relationships/hyperlink" Target="https://canlii.ca/t/j3w74" TargetMode="External"/><Relationship Id="rId42" Type="http://schemas.openxmlformats.org/officeDocument/2006/relationships/hyperlink" Target="https://www.canlii.org/fr/ca/cfpi/doc/2020/2020cf161/2020cf161.pdf" TargetMode="External"/><Relationship Id="rId47" Type="http://schemas.openxmlformats.org/officeDocument/2006/relationships/hyperlink" Target="https://canlii.ca/t/js0sl" TargetMode="External"/><Relationship Id="rId50" Type="http://schemas.openxmlformats.org/officeDocument/2006/relationships/hyperlink" Target="https://canlii.ca/t/jlztt"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c-csc.ca/case-dossier/info/sum-som-fra.aspx?cas=40468" TargetMode="External"/><Relationship Id="rId17" Type="http://schemas.openxmlformats.org/officeDocument/2006/relationships/hyperlink" Target="https://canlii.ca/t/jg5m9" TargetMode="External"/><Relationship Id="rId25" Type="http://schemas.openxmlformats.org/officeDocument/2006/relationships/hyperlink" Target="https://www.canlii.org/en/on/onca/doc/2022/2022onca719/2022onca719.html?resultIndex=1" TargetMode="External"/><Relationship Id="rId33" Type="http://schemas.openxmlformats.org/officeDocument/2006/relationships/hyperlink" Target="https://canlii.ca/t/gxllw" TargetMode="External"/><Relationship Id="rId38" Type="http://schemas.openxmlformats.org/officeDocument/2006/relationships/hyperlink" Target="https://www.canlii.org/en/ab/abca/doc/2022/2022abca40/2022abca40.html?resultIndex=1" TargetMode="External"/><Relationship Id="rId46" Type="http://schemas.openxmlformats.org/officeDocument/2006/relationships/hyperlink" Target="https://canlii.ca/t/jlzt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nlii.ca/t/j9pll" TargetMode="External"/><Relationship Id="rId20" Type="http://schemas.openxmlformats.org/officeDocument/2006/relationships/hyperlink" Target="https://www.canlii.org/en/ab/abqb/doc/2022/2022abqb479/2022abqb479.html" TargetMode="External"/><Relationship Id="rId29" Type="http://schemas.openxmlformats.org/officeDocument/2006/relationships/hyperlink" Target="https://www.canlii.org/en/sk/skca/doc/2022/2022skca62/2022skca62.html?autocompleteStr=2022%20SKCA%2062&amp;autocompletePos=1" TargetMode="External"/><Relationship Id="rId41" Type="http://schemas.openxmlformats.org/officeDocument/2006/relationships/hyperlink" Target="https://www.canlii.org/fr/ca/caf/doc/2022/2022caf43/2022caf43.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339" TargetMode="External"/><Relationship Id="rId24" Type="http://schemas.openxmlformats.org/officeDocument/2006/relationships/hyperlink" Target="https://www.canlii.org/en/on/onca/doc/2022/2022onca719/2022onca719.html?resultIndex=1" TargetMode="External"/><Relationship Id="rId32" Type="http://schemas.openxmlformats.org/officeDocument/2006/relationships/hyperlink" Target="https://canlii.ca/t/js6q7" TargetMode="External"/><Relationship Id="rId37" Type="http://schemas.openxmlformats.org/officeDocument/2006/relationships/hyperlink" Target="https://www.canlii.org/en/ab/abca/doc/2022/2022abca301/2022abca301.html?resultIndex=1" TargetMode="External"/><Relationship Id="rId40" Type="http://schemas.openxmlformats.org/officeDocument/2006/relationships/hyperlink" Target="https://www.canlii.org/en/ca/fct/doc/2020/2020fc161/2020fc161.pdf" TargetMode="External"/><Relationship Id="rId45" Type="http://schemas.openxmlformats.org/officeDocument/2006/relationships/hyperlink" Target="https://canlii.ca/t/j345l"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fra.aspx?cas=40461" TargetMode="External"/><Relationship Id="rId23" Type="http://schemas.openxmlformats.org/officeDocument/2006/relationships/hyperlink" Target="https://www.canlii.org/en/ab/abca/doc/2022/2022abca359/2022abca359.html?autocompleteStr=2022%20ABCA%20359&amp;autocompletePos=1" TargetMode="External"/><Relationship Id="rId28" Type="http://schemas.openxmlformats.org/officeDocument/2006/relationships/hyperlink" Target="https://www.canlii.org/en/sk/skpc/doc/2018/2018skpc70/2018skpc70.html?autocompleteStr=2018%20SKPC%2070&amp;autocompletePos=1" TargetMode="External"/><Relationship Id="rId36" Type="http://schemas.openxmlformats.org/officeDocument/2006/relationships/hyperlink" Target="https://www.canlii.org/en/ab/abca/doc/2022/2022abca40/2022abca40.html?resultIndex=1" TargetMode="External"/><Relationship Id="rId49" Type="http://schemas.openxmlformats.org/officeDocument/2006/relationships/hyperlink" Target="https://canlii.ca/t/j345l" TargetMode="External"/><Relationship Id="rId57" Type="http://schemas.openxmlformats.org/officeDocument/2006/relationships/header" Target="header3.xml"/><Relationship Id="rId10" Type="http://schemas.openxmlformats.org/officeDocument/2006/relationships/hyperlink" Target="https://www.scc-csc.ca/case-dossier/info/sum-som-eng.aspx?cas=40628" TargetMode="External"/><Relationship Id="rId19" Type="http://schemas.openxmlformats.org/officeDocument/2006/relationships/hyperlink" Target="https://canlii.ca/t/jg5m9" TargetMode="External"/><Relationship Id="rId31" Type="http://schemas.openxmlformats.org/officeDocument/2006/relationships/hyperlink" Target="https://canlii.ca/t/j3w74" TargetMode="External"/><Relationship Id="rId44" Type="http://schemas.openxmlformats.org/officeDocument/2006/relationships/hyperlink" Target="https://canlii.ca/t/hx9nk" TargetMode="External"/><Relationship Id="rId52" Type="http://schemas.openxmlformats.org/officeDocument/2006/relationships/hyperlink" Target="mailto:comments-commentaires@scc-csc.ca"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40549" TargetMode="External"/><Relationship Id="rId14" Type="http://schemas.openxmlformats.org/officeDocument/2006/relationships/hyperlink" Target="https://www.scc-csc.ca/case-dossier/info/sum-som-fra.aspx?cas=40187" TargetMode="External"/><Relationship Id="rId22" Type="http://schemas.openxmlformats.org/officeDocument/2006/relationships/hyperlink" Target="https://www.canlii.org/en/ab/abqb/doc/2022/2022abqb479/2022abqb479.html" TargetMode="External"/><Relationship Id="rId27" Type="http://schemas.openxmlformats.org/officeDocument/2006/relationships/hyperlink" Target="https://www.canlii.org/en/sk/skca/doc/2022/2022skca62/2022skca62.html?autocompleteStr=2022%20SKCA%2062&amp;autocompletePos=1" TargetMode="External"/><Relationship Id="rId30" Type="http://schemas.openxmlformats.org/officeDocument/2006/relationships/hyperlink" Target="https://canlii.ca/t/gxllw" TargetMode="External"/><Relationship Id="rId35" Type="http://schemas.openxmlformats.org/officeDocument/2006/relationships/hyperlink" Target="https://canlii.ca/t/js6q7" TargetMode="External"/><Relationship Id="rId43" Type="http://schemas.openxmlformats.org/officeDocument/2006/relationships/hyperlink" Target="https://www.canlii.org/fr/ca/caf/doc/2022/2022caf43/2022caf43.pdf" TargetMode="External"/><Relationship Id="rId48" Type="http://schemas.openxmlformats.org/officeDocument/2006/relationships/hyperlink" Target="https://canlii.ca/t/hx9nk" TargetMode="External"/><Relationship Id="rId56" Type="http://schemas.openxmlformats.org/officeDocument/2006/relationships/footer" Target="footer2.xml"/><Relationship Id="rId8" Type="http://schemas.openxmlformats.org/officeDocument/2006/relationships/hyperlink" Target="https://www.scc-csc.ca/case-dossier/info/sum-som-eng.aspx?cas=40204" TargetMode="External"/><Relationship Id="rId51" Type="http://schemas.openxmlformats.org/officeDocument/2006/relationships/hyperlink" Target="https://canlii.ca/t/js0s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D235C-48C1-47D1-9C9E-AC799032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7395</Words>
  <Characters>42154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49451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2023-05-09T18:07:00Z</dcterms:created>
  <dcterms:modified xsi:type="dcterms:W3CDTF">2023-06-02T13:05:00Z</dcterms:modified>
</cp:coreProperties>
</file>