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CA7749" w:rsidRDefault="000E391F" w:rsidP="000E391F">
      <w:pPr>
        <w:pStyle w:val="Header"/>
        <w:jc w:val="center"/>
        <w:rPr>
          <w:b/>
          <w:sz w:val="32"/>
          <w:szCs w:val="32"/>
        </w:rPr>
      </w:pPr>
      <w:r w:rsidRPr="00CA7749">
        <w:rPr>
          <w:b/>
          <w:sz w:val="32"/>
          <w:szCs w:val="32"/>
        </w:rPr>
        <w:t>Supreme Court of Canada / Cour suprême du Canada</w:t>
      </w:r>
    </w:p>
    <w:p w:rsidR="000E391F" w:rsidRPr="00CA7749" w:rsidRDefault="000E391F" w:rsidP="000E391F">
      <w:pPr>
        <w:widowControl w:val="0"/>
        <w:rPr>
          <w:sz w:val="20"/>
        </w:rPr>
      </w:pPr>
    </w:p>
    <w:p w:rsidR="000E391F" w:rsidRPr="00CA7749" w:rsidRDefault="000E391F" w:rsidP="000E391F">
      <w:pPr>
        <w:widowControl w:val="0"/>
        <w:rPr>
          <w:i/>
          <w:sz w:val="20"/>
        </w:rPr>
      </w:pPr>
    </w:p>
    <w:p w:rsidR="006F2579" w:rsidRPr="00CA7749" w:rsidRDefault="006F2579" w:rsidP="006F2579">
      <w:pPr>
        <w:widowControl w:val="0"/>
        <w:rPr>
          <w:i/>
          <w:sz w:val="20"/>
        </w:rPr>
      </w:pPr>
      <w:r w:rsidRPr="00CA7749">
        <w:rPr>
          <w:i/>
          <w:sz w:val="20"/>
        </w:rPr>
        <w:t>(</w:t>
      </w:r>
      <w:r w:rsidR="003240B6" w:rsidRPr="00CA7749">
        <w:rPr>
          <w:i/>
          <w:sz w:val="20"/>
        </w:rPr>
        <w:t>L</w:t>
      </w:r>
      <w:r w:rsidRPr="00CA7749">
        <w:rPr>
          <w:i/>
          <w:sz w:val="20"/>
        </w:rPr>
        <w:t>e français suit)</w:t>
      </w:r>
    </w:p>
    <w:p w:rsidR="006F2579" w:rsidRPr="00CA7749" w:rsidRDefault="006F2579" w:rsidP="006F2579">
      <w:pPr>
        <w:widowControl w:val="0"/>
        <w:rPr>
          <w:sz w:val="20"/>
        </w:rPr>
      </w:pPr>
    </w:p>
    <w:p w:rsidR="006F2579" w:rsidRPr="00CA7749" w:rsidRDefault="00B07908" w:rsidP="006F2579">
      <w:pPr>
        <w:widowControl w:val="0"/>
        <w:jc w:val="center"/>
        <w:rPr>
          <w:b/>
          <w:szCs w:val="24"/>
        </w:rPr>
      </w:pPr>
      <w:r w:rsidRPr="00CA7749">
        <w:rPr>
          <w:szCs w:val="24"/>
        </w:rPr>
        <w:fldChar w:fldCharType="begin"/>
      </w:r>
      <w:r w:rsidR="006F2579" w:rsidRPr="00CA7749">
        <w:rPr>
          <w:szCs w:val="24"/>
        </w:rPr>
        <w:instrText xml:space="preserve"> SEQ CHAPTER \h \r 1</w:instrText>
      </w:r>
      <w:r w:rsidRPr="00CA7749">
        <w:rPr>
          <w:szCs w:val="24"/>
        </w:rPr>
        <w:fldChar w:fldCharType="end"/>
      </w:r>
      <w:r w:rsidR="006F2579" w:rsidRPr="00CA7749">
        <w:rPr>
          <w:b/>
          <w:szCs w:val="24"/>
        </w:rPr>
        <w:t>JUDGMENT</w:t>
      </w:r>
      <w:r w:rsidR="004F5491" w:rsidRPr="00CA7749">
        <w:rPr>
          <w:b/>
          <w:szCs w:val="24"/>
        </w:rPr>
        <w:t>S</w:t>
      </w:r>
      <w:r w:rsidR="006F2579" w:rsidRPr="00CA7749">
        <w:rPr>
          <w:b/>
          <w:szCs w:val="24"/>
        </w:rPr>
        <w:t xml:space="preserve"> TO B</w:t>
      </w:r>
      <w:r w:rsidR="00001846" w:rsidRPr="00CA7749">
        <w:rPr>
          <w:b/>
          <w:szCs w:val="24"/>
        </w:rPr>
        <w:t>E RENDERED IN LE</w:t>
      </w:r>
      <w:r w:rsidR="00A0288A" w:rsidRPr="00CA7749">
        <w:rPr>
          <w:b/>
          <w:szCs w:val="24"/>
        </w:rPr>
        <w:t>A</w:t>
      </w:r>
      <w:r w:rsidR="00001846" w:rsidRPr="00CA7749">
        <w:rPr>
          <w:b/>
          <w:szCs w:val="24"/>
        </w:rPr>
        <w:t>VE APPLICATION</w:t>
      </w:r>
      <w:r w:rsidR="004F5491" w:rsidRPr="00CA7749">
        <w:rPr>
          <w:b/>
          <w:szCs w:val="24"/>
        </w:rPr>
        <w:t>S</w:t>
      </w:r>
    </w:p>
    <w:p w:rsidR="006F2579" w:rsidRPr="00CA7749" w:rsidRDefault="006F2579" w:rsidP="006F2579">
      <w:pPr>
        <w:widowControl w:val="0"/>
        <w:rPr>
          <w:szCs w:val="24"/>
        </w:rPr>
      </w:pPr>
    </w:p>
    <w:p w:rsidR="006F2579" w:rsidRPr="00CA7749" w:rsidRDefault="005364A6" w:rsidP="006F2579">
      <w:pPr>
        <w:widowControl w:val="0"/>
        <w:rPr>
          <w:szCs w:val="24"/>
        </w:rPr>
      </w:pPr>
      <w:r w:rsidRPr="00CA7749">
        <w:rPr>
          <w:b/>
          <w:szCs w:val="24"/>
        </w:rPr>
        <w:t>Ju</w:t>
      </w:r>
      <w:r w:rsidR="008D5865" w:rsidRPr="00CA7749">
        <w:rPr>
          <w:b/>
          <w:szCs w:val="24"/>
        </w:rPr>
        <w:t>ly</w:t>
      </w:r>
      <w:r w:rsidR="00A15B66" w:rsidRPr="00CA7749">
        <w:rPr>
          <w:b/>
          <w:szCs w:val="24"/>
        </w:rPr>
        <w:t xml:space="preserve"> </w:t>
      </w:r>
      <w:r w:rsidR="00644072" w:rsidRPr="00CA7749">
        <w:rPr>
          <w:b/>
          <w:szCs w:val="24"/>
        </w:rPr>
        <w:t>1</w:t>
      </w:r>
      <w:r w:rsidR="00B06AF0" w:rsidRPr="00CA7749">
        <w:rPr>
          <w:b/>
          <w:szCs w:val="24"/>
        </w:rPr>
        <w:t>7</w:t>
      </w:r>
      <w:r w:rsidR="004441C7" w:rsidRPr="00CA7749">
        <w:rPr>
          <w:b/>
          <w:szCs w:val="24"/>
        </w:rPr>
        <w:t>,</w:t>
      </w:r>
      <w:r w:rsidR="006F2579" w:rsidRPr="00CA7749">
        <w:rPr>
          <w:b/>
          <w:szCs w:val="24"/>
        </w:rPr>
        <w:t xml:space="preserve"> </w:t>
      </w:r>
      <w:r w:rsidR="0054689F" w:rsidRPr="00CA7749">
        <w:rPr>
          <w:b/>
          <w:szCs w:val="24"/>
        </w:rPr>
        <w:t>20</w:t>
      </w:r>
      <w:r w:rsidR="00526754" w:rsidRPr="00CA7749">
        <w:rPr>
          <w:b/>
          <w:szCs w:val="24"/>
        </w:rPr>
        <w:t>2</w:t>
      </w:r>
      <w:r w:rsidR="00534CCB" w:rsidRPr="00CA7749">
        <w:rPr>
          <w:b/>
          <w:szCs w:val="24"/>
        </w:rPr>
        <w:t>3</w:t>
      </w:r>
    </w:p>
    <w:p w:rsidR="006F2579" w:rsidRPr="00CA7749" w:rsidRDefault="00674F39" w:rsidP="006F2579">
      <w:pPr>
        <w:widowControl w:val="0"/>
        <w:rPr>
          <w:b/>
          <w:szCs w:val="24"/>
        </w:rPr>
      </w:pPr>
      <w:r w:rsidRPr="00CA7749">
        <w:rPr>
          <w:b/>
          <w:szCs w:val="24"/>
        </w:rPr>
        <w:t>For immediate release</w:t>
      </w:r>
    </w:p>
    <w:p w:rsidR="006F2579" w:rsidRPr="00CA7749" w:rsidRDefault="006F2579" w:rsidP="006F2579">
      <w:pPr>
        <w:widowControl w:val="0"/>
        <w:rPr>
          <w:szCs w:val="24"/>
        </w:rPr>
      </w:pPr>
    </w:p>
    <w:p w:rsidR="006F2579" w:rsidRPr="00CA7749" w:rsidRDefault="006F2579" w:rsidP="006F2579">
      <w:pPr>
        <w:widowControl w:val="0"/>
        <w:rPr>
          <w:szCs w:val="24"/>
          <w:lang w:val="fr-CA"/>
        </w:rPr>
      </w:pPr>
      <w:r w:rsidRPr="00CA7749">
        <w:rPr>
          <w:b/>
          <w:szCs w:val="24"/>
        </w:rPr>
        <w:t>OTTAWA</w:t>
      </w:r>
      <w:r w:rsidRPr="00CA7749">
        <w:rPr>
          <w:szCs w:val="24"/>
        </w:rPr>
        <w:t xml:space="preserve"> – The Supreme Court of Canad</w:t>
      </w:r>
      <w:r w:rsidR="006246E4" w:rsidRPr="00CA7749">
        <w:rPr>
          <w:szCs w:val="24"/>
        </w:rPr>
        <w:t>a</w:t>
      </w:r>
      <w:r w:rsidRPr="00CA7749">
        <w:rPr>
          <w:szCs w:val="24"/>
        </w:rPr>
        <w:t xml:space="preserve"> announced today that judgment in the following </w:t>
      </w:r>
      <w:r w:rsidR="00DB6199" w:rsidRPr="00CA7749">
        <w:rPr>
          <w:szCs w:val="24"/>
        </w:rPr>
        <w:t>leave application</w:t>
      </w:r>
      <w:r w:rsidR="004F5491" w:rsidRPr="00CA7749">
        <w:rPr>
          <w:szCs w:val="24"/>
        </w:rPr>
        <w:t>s</w:t>
      </w:r>
      <w:r w:rsidR="00DB6199" w:rsidRPr="00CA7749">
        <w:rPr>
          <w:szCs w:val="24"/>
        </w:rPr>
        <w:t xml:space="preserve"> </w:t>
      </w:r>
      <w:r w:rsidRPr="00CA7749">
        <w:rPr>
          <w:szCs w:val="24"/>
        </w:rPr>
        <w:t>will be delivere</w:t>
      </w:r>
      <w:r w:rsidR="00CE2C5F" w:rsidRPr="00CA7749">
        <w:rPr>
          <w:szCs w:val="24"/>
        </w:rPr>
        <w:t>d</w:t>
      </w:r>
      <w:r w:rsidRPr="00CA7749">
        <w:rPr>
          <w:szCs w:val="24"/>
        </w:rPr>
        <w:t xml:space="preserve"> at 9:45 a.m. </w:t>
      </w:r>
      <w:r w:rsidR="00E05816" w:rsidRPr="00CA7749">
        <w:rPr>
          <w:szCs w:val="24"/>
        </w:rPr>
        <w:t>E</w:t>
      </w:r>
      <w:r w:rsidR="00A00FDF" w:rsidRPr="00CA7749">
        <w:rPr>
          <w:szCs w:val="24"/>
        </w:rPr>
        <w:t>D</w:t>
      </w:r>
      <w:r w:rsidR="00E05816" w:rsidRPr="00CA7749">
        <w:rPr>
          <w:szCs w:val="24"/>
        </w:rPr>
        <w:t>T</w:t>
      </w:r>
      <w:r w:rsidRPr="00CA7749">
        <w:rPr>
          <w:szCs w:val="24"/>
        </w:rPr>
        <w:t xml:space="preserve"> on </w:t>
      </w:r>
      <w:r w:rsidR="00322A9C" w:rsidRPr="00CA7749">
        <w:rPr>
          <w:szCs w:val="24"/>
        </w:rPr>
        <w:t>Thurs</w:t>
      </w:r>
      <w:r w:rsidR="00680A85" w:rsidRPr="00CA7749">
        <w:rPr>
          <w:szCs w:val="24"/>
        </w:rPr>
        <w:t>day</w:t>
      </w:r>
      <w:r w:rsidRPr="00CA7749">
        <w:rPr>
          <w:szCs w:val="24"/>
        </w:rPr>
        <w:t xml:space="preserve">, </w:t>
      </w:r>
      <w:r w:rsidR="00B06AF0" w:rsidRPr="00CA7749">
        <w:rPr>
          <w:szCs w:val="24"/>
        </w:rPr>
        <w:t>July</w:t>
      </w:r>
      <w:r w:rsidR="00455912" w:rsidRPr="00CA7749">
        <w:rPr>
          <w:szCs w:val="24"/>
        </w:rPr>
        <w:t xml:space="preserve"> </w:t>
      </w:r>
      <w:r w:rsidR="00B06AF0" w:rsidRPr="00CA7749">
        <w:rPr>
          <w:szCs w:val="24"/>
        </w:rPr>
        <w:t>20</w:t>
      </w:r>
      <w:r w:rsidR="007E112F" w:rsidRPr="00CA7749">
        <w:rPr>
          <w:szCs w:val="24"/>
        </w:rPr>
        <w:t>,</w:t>
      </w:r>
      <w:r w:rsidR="002F38D7" w:rsidRPr="00CA7749">
        <w:rPr>
          <w:szCs w:val="24"/>
        </w:rPr>
        <w:t xml:space="preserve"> </w:t>
      </w:r>
      <w:r w:rsidR="006648D1" w:rsidRPr="00CA7749">
        <w:rPr>
          <w:szCs w:val="24"/>
        </w:rPr>
        <w:t>20</w:t>
      </w:r>
      <w:r w:rsidR="00526754" w:rsidRPr="00CA7749">
        <w:rPr>
          <w:szCs w:val="24"/>
        </w:rPr>
        <w:t>2</w:t>
      </w:r>
      <w:r w:rsidR="00534CCB" w:rsidRPr="00CA7749">
        <w:rPr>
          <w:szCs w:val="24"/>
        </w:rPr>
        <w:t>3</w:t>
      </w:r>
      <w:r w:rsidRPr="00CA7749">
        <w:rPr>
          <w:szCs w:val="24"/>
        </w:rPr>
        <w:t xml:space="preserve">. </w:t>
      </w:r>
      <w:r w:rsidRPr="00CA7749">
        <w:rPr>
          <w:szCs w:val="24"/>
          <w:lang w:val="fr-CA"/>
        </w:rPr>
        <w:t>This list is subject to chang</w:t>
      </w:r>
      <w:r w:rsidR="00192F7F" w:rsidRPr="00CA7749">
        <w:rPr>
          <w:szCs w:val="24"/>
          <w:lang w:val="fr-CA"/>
        </w:rPr>
        <w:t>e</w:t>
      </w:r>
      <w:r w:rsidRPr="00CA7749">
        <w:rPr>
          <w:szCs w:val="24"/>
          <w:lang w:val="fr-CA"/>
        </w:rPr>
        <w:t>.</w:t>
      </w:r>
    </w:p>
    <w:p w:rsidR="00FF5AA4" w:rsidRPr="00CA7749" w:rsidRDefault="00FF5AA4" w:rsidP="006F2579">
      <w:pPr>
        <w:widowControl w:val="0"/>
        <w:rPr>
          <w:szCs w:val="24"/>
          <w:lang w:val="fr-CA"/>
        </w:rPr>
      </w:pPr>
    </w:p>
    <w:p w:rsidR="00B43418" w:rsidRPr="00CA7749" w:rsidRDefault="00B43418" w:rsidP="006F2579">
      <w:pPr>
        <w:widowControl w:val="0"/>
        <w:rPr>
          <w:szCs w:val="24"/>
          <w:lang w:val="fr-CA"/>
        </w:rPr>
      </w:pPr>
    </w:p>
    <w:p w:rsidR="006F2579" w:rsidRPr="00CA7749" w:rsidRDefault="006F2579" w:rsidP="006F2579">
      <w:pPr>
        <w:widowControl w:val="0"/>
        <w:jc w:val="center"/>
        <w:rPr>
          <w:szCs w:val="24"/>
          <w:lang w:val="fr-CA"/>
        </w:rPr>
      </w:pPr>
      <w:r w:rsidRPr="00CA7749">
        <w:rPr>
          <w:b/>
          <w:szCs w:val="24"/>
          <w:lang w:val="fr-CA"/>
        </w:rPr>
        <w:t>PROCHAIN</w:t>
      </w:r>
      <w:r w:rsidR="004F5491" w:rsidRPr="00CA7749">
        <w:rPr>
          <w:b/>
          <w:szCs w:val="24"/>
          <w:lang w:val="fr-CA"/>
        </w:rPr>
        <w:t>S</w:t>
      </w:r>
      <w:r w:rsidRPr="00CA7749">
        <w:rPr>
          <w:b/>
          <w:szCs w:val="24"/>
          <w:lang w:val="fr-CA"/>
        </w:rPr>
        <w:t xml:space="preserve"> JUGEMENT</w:t>
      </w:r>
      <w:r w:rsidR="004F5491" w:rsidRPr="00CA7749">
        <w:rPr>
          <w:b/>
          <w:szCs w:val="24"/>
          <w:lang w:val="fr-CA"/>
        </w:rPr>
        <w:t>S</w:t>
      </w:r>
      <w:r w:rsidR="00001846" w:rsidRPr="00CA7749">
        <w:rPr>
          <w:b/>
          <w:szCs w:val="24"/>
          <w:lang w:val="fr-CA"/>
        </w:rPr>
        <w:t xml:space="preserve"> SUR DEMANDE</w:t>
      </w:r>
      <w:r w:rsidR="004F5491" w:rsidRPr="00CA7749">
        <w:rPr>
          <w:b/>
          <w:szCs w:val="24"/>
          <w:lang w:val="fr-CA"/>
        </w:rPr>
        <w:t>S</w:t>
      </w:r>
      <w:r w:rsidRPr="00CA7749">
        <w:rPr>
          <w:b/>
          <w:szCs w:val="24"/>
          <w:lang w:val="fr-CA"/>
        </w:rPr>
        <w:t xml:space="preserve"> D’AUTORISATION</w:t>
      </w:r>
    </w:p>
    <w:p w:rsidR="006F2579" w:rsidRPr="00CA7749" w:rsidRDefault="006F2579" w:rsidP="006F2579">
      <w:pPr>
        <w:widowControl w:val="0"/>
        <w:rPr>
          <w:szCs w:val="24"/>
          <w:lang w:val="fr-CA"/>
        </w:rPr>
      </w:pPr>
    </w:p>
    <w:p w:rsidR="006F2579" w:rsidRPr="00CA7749" w:rsidRDefault="006F2579" w:rsidP="006F2579">
      <w:pPr>
        <w:widowControl w:val="0"/>
        <w:rPr>
          <w:szCs w:val="24"/>
          <w:lang w:val="fr-CA"/>
        </w:rPr>
      </w:pPr>
      <w:r w:rsidRPr="00CA7749">
        <w:rPr>
          <w:b/>
          <w:szCs w:val="24"/>
          <w:lang w:val="fr-CA"/>
        </w:rPr>
        <w:t>Le</w:t>
      </w:r>
      <w:r w:rsidR="00957A76" w:rsidRPr="00CA7749">
        <w:rPr>
          <w:b/>
          <w:szCs w:val="24"/>
          <w:lang w:val="fr-CA"/>
        </w:rPr>
        <w:t xml:space="preserve"> </w:t>
      </w:r>
      <w:r w:rsidR="00644072" w:rsidRPr="00CA7749">
        <w:rPr>
          <w:b/>
          <w:szCs w:val="24"/>
          <w:lang w:val="fr-CA"/>
        </w:rPr>
        <w:t>1</w:t>
      </w:r>
      <w:r w:rsidR="00B06AF0" w:rsidRPr="00CA7749">
        <w:rPr>
          <w:b/>
          <w:szCs w:val="24"/>
          <w:lang w:val="fr-CA"/>
        </w:rPr>
        <w:t>7</w:t>
      </w:r>
      <w:r w:rsidR="00FA6BAB" w:rsidRPr="00CA7749">
        <w:rPr>
          <w:b/>
          <w:szCs w:val="24"/>
          <w:lang w:val="fr-CA"/>
        </w:rPr>
        <w:t xml:space="preserve"> </w:t>
      </w:r>
      <w:r w:rsidR="005364A6" w:rsidRPr="00CA7749">
        <w:rPr>
          <w:b/>
          <w:szCs w:val="24"/>
          <w:lang w:val="fr-CA"/>
        </w:rPr>
        <w:t>jui</w:t>
      </w:r>
      <w:r w:rsidR="008D5865" w:rsidRPr="00CA7749">
        <w:rPr>
          <w:b/>
          <w:szCs w:val="24"/>
          <w:lang w:val="fr-CA"/>
        </w:rPr>
        <w:t>llet</w:t>
      </w:r>
      <w:r w:rsidR="00A151D1" w:rsidRPr="00CA7749">
        <w:rPr>
          <w:b/>
          <w:szCs w:val="24"/>
          <w:lang w:val="fr-CA"/>
        </w:rPr>
        <w:t xml:space="preserve"> 20</w:t>
      </w:r>
      <w:r w:rsidR="00526754" w:rsidRPr="00CA7749">
        <w:rPr>
          <w:b/>
          <w:szCs w:val="24"/>
          <w:lang w:val="fr-CA"/>
        </w:rPr>
        <w:t>2</w:t>
      </w:r>
      <w:r w:rsidR="00534CCB" w:rsidRPr="00CA7749">
        <w:rPr>
          <w:b/>
          <w:szCs w:val="24"/>
          <w:lang w:val="fr-CA"/>
        </w:rPr>
        <w:t>3</w:t>
      </w:r>
    </w:p>
    <w:p w:rsidR="006F2579" w:rsidRPr="00CA7749" w:rsidRDefault="006F2579" w:rsidP="006F2579">
      <w:pPr>
        <w:widowControl w:val="0"/>
        <w:rPr>
          <w:b/>
          <w:szCs w:val="24"/>
          <w:lang w:val="fr-CA"/>
        </w:rPr>
      </w:pPr>
      <w:r w:rsidRPr="00CA7749">
        <w:rPr>
          <w:b/>
          <w:szCs w:val="24"/>
          <w:lang w:val="fr-CA"/>
        </w:rPr>
        <w:t>Pour diffusion immédiate</w:t>
      </w:r>
    </w:p>
    <w:p w:rsidR="006F2579" w:rsidRPr="00CA7749" w:rsidRDefault="006F2579" w:rsidP="006F2579">
      <w:pPr>
        <w:widowControl w:val="0"/>
        <w:rPr>
          <w:szCs w:val="24"/>
          <w:lang w:val="fr-CA"/>
        </w:rPr>
      </w:pPr>
    </w:p>
    <w:p w:rsidR="006F2579" w:rsidRPr="00CA7749" w:rsidRDefault="006F2579" w:rsidP="006F2579">
      <w:pPr>
        <w:widowControl w:val="0"/>
        <w:rPr>
          <w:szCs w:val="24"/>
          <w:lang w:val="fr-CA"/>
        </w:rPr>
      </w:pPr>
      <w:r w:rsidRPr="00CA7749">
        <w:rPr>
          <w:b/>
          <w:szCs w:val="24"/>
          <w:lang w:val="fr-CA"/>
        </w:rPr>
        <w:t>OTTAWA</w:t>
      </w:r>
      <w:r w:rsidRPr="00CA7749">
        <w:rPr>
          <w:szCs w:val="24"/>
          <w:lang w:val="fr-CA"/>
        </w:rPr>
        <w:t xml:space="preserve"> – La Cour suprême du Canada annonce que jugement ser</w:t>
      </w:r>
      <w:r w:rsidR="004259F9" w:rsidRPr="00CA7749">
        <w:rPr>
          <w:szCs w:val="24"/>
          <w:lang w:val="fr-CA"/>
        </w:rPr>
        <w:t>a</w:t>
      </w:r>
      <w:r w:rsidRPr="00CA7749">
        <w:rPr>
          <w:szCs w:val="24"/>
          <w:lang w:val="fr-CA"/>
        </w:rPr>
        <w:t xml:space="preserve"> rendu dans l</w:t>
      </w:r>
      <w:r w:rsidR="004F5491" w:rsidRPr="00CA7749">
        <w:rPr>
          <w:szCs w:val="24"/>
          <w:lang w:val="fr-CA"/>
        </w:rPr>
        <w:t>es</w:t>
      </w:r>
      <w:r w:rsidRPr="00CA7749">
        <w:rPr>
          <w:szCs w:val="24"/>
          <w:lang w:val="fr-CA"/>
        </w:rPr>
        <w:t xml:space="preserve"> demande</w:t>
      </w:r>
      <w:r w:rsidR="004F5491" w:rsidRPr="00CA7749">
        <w:rPr>
          <w:szCs w:val="24"/>
          <w:lang w:val="fr-CA"/>
        </w:rPr>
        <w:t>s</w:t>
      </w:r>
      <w:r w:rsidRPr="00CA7749">
        <w:rPr>
          <w:szCs w:val="24"/>
          <w:lang w:val="fr-CA"/>
        </w:rPr>
        <w:t xml:space="preserve"> d</w:t>
      </w:r>
      <w:r w:rsidR="00001846" w:rsidRPr="00CA7749">
        <w:rPr>
          <w:szCs w:val="24"/>
          <w:lang w:val="fr-CA"/>
        </w:rPr>
        <w:t>’autorisation suivante</w:t>
      </w:r>
      <w:r w:rsidR="004F5491" w:rsidRPr="00CA7749">
        <w:rPr>
          <w:szCs w:val="24"/>
          <w:lang w:val="fr-CA"/>
        </w:rPr>
        <w:t>s</w:t>
      </w:r>
      <w:r w:rsidRPr="00CA7749">
        <w:rPr>
          <w:szCs w:val="24"/>
          <w:lang w:val="fr-CA"/>
        </w:rPr>
        <w:t xml:space="preserve"> le </w:t>
      </w:r>
      <w:r w:rsidR="00322A9C" w:rsidRPr="00CA7749">
        <w:rPr>
          <w:szCs w:val="24"/>
          <w:lang w:val="fr-CA"/>
        </w:rPr>
        <w:t>jeu</w:t>
      </w:r>
      <w:r w:rsidR="00680A85" w:rsidRPr="00CA7749">
        <w:rPr>
          <w:szCs w:val="24"/>
          <w:lang w:val="fr-CA"/>
        </w:rPr>
        <w:t>di</w:t>
      </w:r>
      <w:r w:rsidRPr="00CA7749">
        <w:rPr>
          <w:szCs w:val="24"/>
          <w:lang w:val="fr-CA"/>
        </w:rPr>
        <w:t xml:space="preserve"> </w:t>
      </w:r>
      <w:r w:rsidR="00B06AF0" w:rsidRPr="00CA7749">
        <w:rPr>
          <w:szCs w:val="24"/>
          <w:lang w:val="fr-CA"/>
        </w:rPr>
        <w:t>20</w:t>
      </w:r>
      <w:r w:rsidR="00AD7A8F" w:rsidRPr="00CA7749">
        <w:rPr>
          <w:szCs w:val="24"/>
          <w:lang w:val="fr-CA"/>
        </w:rPr>
        <w:t xml:space="preserve"> </w:t>
      </w:r>
      <w:r w:rsidR="00B06AF0" w:rsidRPr="00CA7749">
        <w:rPr>
          <w:szCs w:val="24"/>
          <w:lang w:val="fr-CA"/>
        </w:rPr>
        <w:t>juillet</w:t>
      </w:r>
      <w:r w:rsidR="00694391" w:rsidRPr="00CA7749">
        <w:rPr>
          <w:szCs w:val="24"/>
          <w:lang w:val="fr-CA"/>
        </w:rPr>
        <w:t xml:space="preserve"> 2</w:t>
      </w:r>
      <w:r w:rsidR="006648D1" w:rsidRPr="00CA7749">
        <w:rPr>
          <w:szCs w:val="24"/>
          <w:lang w:val="fr-CA"/>
        </w:rPr>
        <w:t>0</w:t>
      </w:r>
      <w:r w:rsidR="00526754" w:rsidRPr="00CA7749">
        <w:rPr>
          <w:szCs w:val="24"/>
          <w:lang w:val="fr-CA"/>
        </w:rPr>
        <w:t>2</w:t>
      </w:r>
      <w:r w:rsidR="00534CCB" w:rsidRPr="00CA7749">
        <w:rPr>
          <w:szCs w:val="24"/>
          <w:lang w:val="fr-CA"/>
        </w:rPr>
        <w:t>3</w:t>
      </w:r>
      <w:r w:rsidRPr="00CA7749">
        <w:rPr>
          <w:szCs w:val="24"/>
          <w:lang w:val="fr-CA"/>
        </w:rPr>
        <w:t xml:space="preserve">, à 9 h 45 </w:t>
      </w:r>
      <w:r w:rsidR="000627A2" w:rsidRPr="00CA7749">
        <w:rPr>
          <w:szCs w:val="24"/>
          <w:lang w:val="fr-CA"/>
        </w:rPr>
        <w:t>H</w:t>
      </w:r>
      <w:r w:rsidR="00A00FDF" w:rsidRPr="00CA7749">
        <w:rPr>
          <w:szCs w:val="24"/>
          <w:lang w:val="fr-CA"/>
        </w:rPr>
        <w:t>A</w:t>
      </w:r>
      <w:r w:rsidRPr="00CA7749">
        <w:rPr>
          <w:szCs w:val="24"/>
          <w:lang w:val="fr-CA"/>
        </w:rPr>
        <w:t>E. Cette liste est sujette à modification</w:t>
      </w:r>
      <w:r w:rsidR="00130ADB" w:rsidRPr="00CA7749">
        <w:rPr>
          <w:szCs w:val="24"/>
          <w:lang w:val="fr-CA"/>
        </w:rPr>
        <w:t>s</w:t>
      </w:r>
      <w:r w:rsidRPr="00CA7749">
        <w:rPr>
          <w:szCs w:val="24"/>
          <w:lang w:val="fr-CA"/>
        </w:rPr>
        <w:t>.</w:t>
      </w:r>
    </w:p>
    <w:p w:rsidR="0080556B" w:rsidRPr="00CA7749" w:rsidRDefault="0080556B" w:rsidP="005F2A78">
      <w:pPr>
        <w:widowControl w:val="0"/>
        <w:tabs>
          <w:tab w:val="left" w:pos="3840"/>
        </w:tabs>
        <w:jc w:val="both"/>
        <w:rPr>
          <w:sz w:val="20"/>
          <w:lang w:val="fr-CA"/>
        </w:rPr>
      </w:pPr>
    </w:p>
    <w:p w:rsidR="00867C61" w:rsidRPr="00CA7749" w:rsidRDefault="00CA7749" w:rsidP="009B14F4">
      <w:pPr>
        <w:widowControl w:val="0"/>
        <w:jc w:val="both"/>
        <w:rPr>
          <w:sz w:val="20"/>
        </w:rPr>
      </w:pPr>
      <w:r w:rsidRPr="00CA7749">
        <w:rPr>
          <w:sz w:val="20"/>
        </w:rPr>
        <w:pict>
          <v:rect id="_x0000_i1025" style="width:2in;height:1pt" o:hrpct="0" o:hralign="center" o:hrstd="t" o:hrnoshade="t" o:hr="t" fillcolor="black [3213]" stroked="f"/>
        </w:pict>
      </w:r>
    </w:p>
    <w:p w:rsidR="004A6E51" w:rsidRPr="00CA7749" w:rsidRDefault="004A6E51" w:rsidP="009253F6">
      <w:pPr>
        <w:rPr>
          <w:sz w:val="20"/>
          <w:lang w:val="fr-CA"/>
        </w:rPr>
      </w:pPr>
    </w:p>
    <w:p w:rsidR="00F90FB1" w:rsidRPr="00CA7749" w:rsidRDefault="00F90FB1" w:rsidP="00C329CA">
      <w:pPr>
        <w:pStyle w:val="ListParagraph"/>
        <w:numPr>
          <w:ilvl w:val="0"/>
          <w:numId w:val="46"/>
        </w:numPr>
        <w:ind w:left="357" w:hanging="357"/>
        <w:rPr>
          <w:i/>
          <w:sz w:val="20"/>
        </w:rPr>
      </w:pPr>
      <w:r w:rsidRPr="00CA7749">
        <w:rPr>
          <w:i/>
          <w:sz w:val="20"/>
        </w:rPr>
        <w:t>Andrew Robert Douglas Berry v. His Majesty the King</w:t>
      </w:r>
      <w:r w:rsidRPr="00CA7749">
        <w:rPr>
          <w:sz w:val="20"/>
        </w:rPr>
        <w:t xml:space="preserve"> (B.C.) (Criminal) (By Leave) (</w:t>
      </w:r>
      <w:hyperlink r:id="rId8" w:history="1">
        <w:r w:rsidRPr="00CA7749">
          <w:rPr>
            <w:rStyle w:val="Hyperlink"/>
            <w:sz w:val="20"/>
            <w:szCs w:val="20"/>
          </w:rPr>
          <w:t>405</w:t>
        </w:r>
        <w:r w:rsidR="00136DB9" w:rsidRPr="00CA7749">
          <w:rPr>
            <w:rStyle w:val="Hyperlink"/>
            <w:sz w:val="20"/>
            <w:szCs w:val="20"/>
          </w:rPr>
          <w:t>6</w:t>
        </w:r>
        <w:r w:rsidRPr="00CA7749">
          <w:rPr>
            <w:rStyle w:val="Hyperlink"/>
            <w:sz w:val="20"/>
            <w:szCs w:val="20"/>
          </w:rPr>
          <w:t>7</w:t>
        </w:r>
      </w:hyperlink>
      <w:r w:rsidRPr="00CA7749">
        <w:rPr>
          <w:sz w:val="20"/>
        </w:rPr>
        <w:t>)</w:t>
      </w:r>
    </w:p>
    <w:p w:rsidR="00F90FB1" w:rsidRPr="00CA7749" w:rsidRDefault="00F90FB1" w:rsidP="00C329CA">
      <w:pPr>
        <w:ind w:left="357" w:hanging="357"/>
        <w:rPr>
          <w:sz w:val="20"/>
        </w:rPr>
      </w:pPr>
    </w:p>
    <w:p w:rsidR="00F90FB1" w:rsidRPr="00CA7749" w:rsidRDefault="00F90FB1" w:rsidP="00C329CA">
      <w:pPr>
        <w:pStyle w:val="ListParagraph"/>
        <w:numPr>
          <w:ilvl w:val="0"/>
          <w:numId w:val="46"/>
        </w:numPr>
        <w:ind w:left="357" w:hanging="357"/>
        <w:rPr>
          <w:i/>
          <w:sz w:val="20"/>
        </w:rPr>
      </w:pPr>
      <w:r w:rsidRPr="00CA7749">
        <w:rPr>
          <w:i/>
          <w:sz w:val="20"/>
        </w:rPr>
        <w:t xml:space="preserve">Edward James Callahan v. Robert Callahan, </w:t>
      </w:r>
      <w:r w:rsidR="00E665FB" w:rsidRPr="00CA7749">
        <w:rPr>
          <w:i/>
          <w:sz w:val="20"/>
        </w:rPr>
        <w:t>et al.</w:t>
      </w:r>
      <w:r w:rsidRPr="00CA7749">
        <w:rPr>
          <w:i/>
          <w:sz w:val="20"/>
        </w:rPr>
        <w:t xml:space="preserve"> </w:t>
      </w:r>
      <w:r w:rsidRPr="00CA7749">
        <w:rPr>
          <w:sz w:val="20"/>
        </w:rPr>
        <w:t>(B.C.) (Civil) (By Leave) (</w:t>
      </w:r>
      <w:hyperlink r:id="rId9" w:history="1">
        <w:r w:rsidRPr="00CA7749">
          <w:rPr>
            <w:rStyle w:val="Hyperlink"/>
            <w:sz w:val="20"/>
            <w:szCs w:val="20"/>
          </w:rPr>
          <w:t>405</w:t>
        </w:r>
        <w:r w:rsidR="00E665FB" w:rsidRPr="00CA7749">
          <w:rPr>
            <w:rStyle w:val="Hyperlink"/>
            <w:sz w:val="20"/>
            <w:szCs w:val="20"/>
          </w:rPr>
          <w:t>5</w:t>
        </w:r>
        <w:r w:rsidRPr="00CA7749">
          <w:rPr>
            <w:rStyle w:val="Hyperlink"/>
            <w:sz w:val="20"/>
            <w:szCs w:val="20"/>
          </w:rPr>
          <w:t>7</w:t>
        </w:r>
      </w:hyperlink>
      <w:r w:rsidRPr="00CA7749">
        <w:rPr>
          <w:sz w:val="20"/>
        </w:rPr>
        <w:t>)</w:t>
      </w:r>
    </w:p>
    <w:p w:rsidR="00F90FB1" w:rsidRPr="00CA7749" w:rsidRDefault="00F90FB1" w:rsidP="00C329CA">
      <w:pPr>
        <w:ind w:left="357" w:hanging="357"/>
        <w:rPr>
          <w:sz w:val="20"/>
        </w:rPr>
      </w:pPr>
    </w:p>
    <w:p w:rsidR="00F90FB1" w:rsidRPr="00CA7749" w:rsidRDefault="00F90FB1" w:rsidP="00C329CA">
      <w:pPr>
        <w:pStyle w:val="ListParagraph"/>
        <w:numPr>
          <w:ilvl w:val="0"/>
          <w:numId w:val="46"/>
        </w:numPr>
        <w:ind w:left="357" w:hanging="357"/>
        <w:rPr>
          <w:i/>
          <w:sz w:val="20"/>
          <w:lang w:val="en-CA"/>
        </w:rPr>
      </w:pPr>
      <w:r w:rsidRPr="00CA7749">
        <w:rPr>
          <w:i/>
          <w:sz w:val="20"/>
          <w:lang w:val="en-CA"/>
        </w:rPr>
        <w:t>1115830 B.C. Ltd., 1104227 B.C. Ltd., Kang Yu Canning Zou also known as Kenny Zou and Harlow Holdings Ltd. v. Treasure Bay HK Limited</w:t>
      </w:r>
      <w:r w:rsidR="00E665FB" w:rsidRPr="00CA7749">
        <w:rPr>
          <w:i/>
          <w:sz w:val="20"/>
          <w:lang w:val="en-CA"/>
        </w:rPr>
        <w:t>, et al.</w:t>
      </w:r>
      <w:r w:rsidRPr="00CA7749">
        <w:rPr>
          <w:sz w:val="20"/>
          <w:lang w:val="en-CA"/>
        </w:rPr>
        <w:t xml:space="preserve"> (B.C.) (Civil) (By Leave) </w:t>
      </w:r>
      <w:r w:rsidRPr="00CA7749">
        <w:rPr>
          <w:sz w:val="20"/>
        </w:rPr>
        <w:t>(</w:t>
      </w:r>
      <w:hyperlink r:id="rId10" w:history="1">
        <w:r w:rsidRPr="00CA7749">
          <w:rPr>
            <w:rStyle w:val="Hyperlink"/>
            <w:sz w:val="20"/>
            <w:szCs w:val="20"/>
          </w:rPr>
          <w:t>405</w:t>
        </w:r>
        <w:r w:rsidR="00E665FB" w:rsidRPr="00CA7749">
          <w:rPr>
            <w:rStyle w:val="Hyperlink"/>
            <w:sz w:val="20"/>
            <w:szCs w:val="20"/>
          </w:rPr>
          <w:t>62</w:t>
        </w:r>
      </w:hyperlink>
      <w:r w:rsidRPr="00CA7749">
        <w:rPr>
          <w:sz w:val="20"/>
        </w:rPr>
        <w:t>)</w:t>
      </w:r>
    </w:p>
    <w:p w:rsidR="00F90FB1" w:rsidRPr="00CA7749" w:rsidRDefault="00F90FB1" w:rsidP="00C329CA">
      <w:pPr>
        <w:ind w:left="357" w:hanging="357"/>
        <w:rPr>
          <w:sz w:val="20"/>
          <w:lang w:val="en-CA"/>
        </w:rPr>
      </w:pPr>
    </w:p>
    <w:p w:rsidR="00F90FB1" w:rsidRPr="00CA7749" w:rsidRDefault="00F90FB1" w:rsidP="00C329CA">
      <w:pPr>
        <w:pStyle w:val="ListParagraph"/>
        <w:numPr>
          <w:ilvl w:val="0"/>
          <w:numId w:val="46"/>
        </w:numPr>
        <w:ind w:left="357" w:hanging="357"/>
        <w:rPr>
          <w:i/>
          <w:sz w:val="20"/>
        </w:rPr>
      </w:pPr>
      <w:r w:rsidRPr="00CA7749">
        <w:rPr>
          <w:i/>
          <w:sz w:val="20"/>
        </w:rPr>
        <w:t>Mark McDonald of Grant Thornton (British Virgin Islands) Limited and Hugh Dickson of Grant Thornton Specialist Services (Cayman) Ltd., acting together herein in their capacities as Joint Liquidators of Stanford International Bank Limited v. Toronto-Dominion Bank</w:t>
      </w:r>
      <w:r w:rsidRPr="00CA7749">
        <w:rPr>
          <w:sz w:val="20"/>
        </w:rPr>
        <w:t xml:space="preserve"> (Ont.) (Civil) (By Leave) (</w:t>
      </w:r>
      <w:hyperlink r:id="rId11" w:history="1">
        <w:r w:rsidRPr="00CA7749">
          <w:rPr>
            <w:rStyle w:val="Hyperlink"/>
            <w:sz w:val="20"/>
            <w:szCs w:val="20"/>
          </w:rPr>
          <w:t>405</w:t>
        </w:r>
        <w:r w:rsidR="0040528C" w:rsidRPr="00CA7749">
          <w:rPr>
            <w:rStyle w:val="Hyperlink"/>
            <w:sz w:val="20"/>
            <w:szCs w:val="20"/>
          </w:rPr>
          <w:t>63</w:t>
        </w:r>
      </w:hyperlink>
      <w:r w:rsidRPr="00CA7749">
        <w:rPr>
          <w:sz w:val="20"/>
        </w:rPr>
        <w:t>)</w:t>
      </w:r>
    </w:p>
    <w:p w:rsidR="00F90FB1" w:rsidRPr="00CA7749" w:rsidRDefault="00F90FB1" w:rsidP="00C329CA">
      <w:pPr>
        <w:ind w:left="357" w:hanging="357"/>
        <w:rPr>
          <w:sz w:val="20"/>
        </w:rPr>
      </w:pPr>
    </w:p>
    <w:p w:rsidR="00F90FB1" w:rsidRPr="00CA7749" w:rsidRDefault="00F90FB1" w:rsidP="00C329CA">
      <w:pPr>
        <w:pStyle w:val="ListParagraph"/>
        <w:numPr>
          <w:ilvl w:val="0"/>
          <w:numId w:val="46"/>
        </w:numPr>
        <w:ind w:left="357" w:hanging="357"/>
        <w:rPr>
          <w:i/>
          <w:sz w:val="20"/>
        </w:rPr>
      </w:pPr>
      <w:r w:rsidRPr="00CA7749">
        <w:rPr>
          <w:i/>
          <w:sz w:val="20"/>
        </w:rPr>
        <w:t xml:space="preserve">Rodney Byron </w:t>
      </w:r>
      <w:proofErr w:type="gramStart"/>
      <w:r w:rsidRPr="00CA7749">
        <w:rPr>
          <w:i/>
          <w:sz w:val="20"/>
        </w:rPr>
        <w:t>Williams</w:t>
      </w:r>
      <w:proofErr w:type="gramEnd"/>
      <w:r w:rsidRPr="00CA7749">
        <w:rPr>
          <w:i/>
          <w:sz w:val="20"/>
        </w:rPr>
        <w:t xml:space="preserve"> v. His Majesty the King</w:t>
      </w:r>
      <w:r w:rsidRPr="00CA7749">
        <w:rPr>
          <w:sz w:val="20"/>
        </w:rPr>
        <w:t xml:space="preserve"> (Man.) (Criminal) (By Leave) (</w:t>
      </w:r>
      <w:hyperlink r:id="rId12" w:history="1">
        <w:r w:rsidRPr="00CA7749">
          <w:rPr>
            <w:rStyle w:val="Hyperlink"/>
            <w:sz w:val="20"/>
            <w:szCs w:val="20"/>
          </w:rPr>
          <w:t>40</w:t>
        </w:r>
        <w:r w:rsidR="007D263E" w:rsidRPr="00CA7749">
          <w:rPr>
            <w:rStyle w:val="Hyperlink"/>
            <w:sz w:val="20"/>
            <w:szCs w:val="20"/>
          </w:rPr>
          <w:t>674</w:t>
        </w:r>
      </w:hyperlink>
      <w:r w:rsidRPr="00CA7749">
        <w:rPr>
          <w:sz w:val="20"/>
        </w:rPr>
        <w:t>)</w:t>
      </w:r>
    </w:p>
    <w:p w:rsidR="00F90FB1" w:rsidRPr="00CA7749" w:rsidRDefault="00F90FB1" w:rsidP="00C329CA">
      <w:pPr>
        <w:ind w:left="357" w:hanging="357"/>
        <w:rPr>
          <w:sz w:val="20"/>
        </w:rPr>
      </w:pPr>
    </w:p>
    <w:p w:rsidR="00F90FB1" w:rsidRPr="00CA7749" w:rsidRDefault="00F90FB1" w:rsidP="00C329CA">
      <w:pPr>
        <w:pStyle w:val="ListParagraph"/>
        <w:numPr>
          <w:ilvl w:val="0"/>
          <w:numId w:val="46"/>
        </w:numPr>
        <w:ind w:left="357" w:hanging="357"/>
        <w:rPr>
          <w:i/>
          <w:sz w:val="20"/>
        </w:rPr>
      </w:pPr>
      <w:r w:rsidRPr="00CA7749">
        <w:rPr>
          <w:i/>
          <w:sz w:val="20"/>
        </w:rPr>
        <w:t>John Eric Anins v. Victoria Jane Anins</w:t>
      </w:r>
      <w:r w:rsidRPr="00CA7749">
        <w:rPr>
          <w:sz w:val="20"/>
        </w:rPr>
        <w:t xml:space="preserve"> (B.C.) (Civil) (By Leave) (</w:t>
      </w:r>
      <w:hyperlink r:id="rId13" w:history="1">
        <w:r w:rsidRPr="00CA7749">
          <w:rPr>
            <w:rStyle w:val="Hyperlink"/>
            <w:sz w:val="20"/>
            <w:szCs w:val="20"/>
          </w:rPr>
          <w:t>40</w:t>
        </w:r>
        <w:r w:rsidR="00620FF6" w:rsidRPr="00CA7749">
          <w:rPr>
            <w:rStyle w:val="Hyperlink"/>
            <w:sz w:val="20"/>
            <w:szCs w:val="20"/>
          </w:rPr>
          <w:t>612</w:t>
        </w:r>
      </w:hyperlink>
      <w:r w:rsidRPr="00CA7749">
        <w:rPr>
          <w:sz w:val="20"/>
        </w:rPr>
        <w:t>)</w:t>
      </w:r>
    </w:p>
    <w:p w:rsidR="00F90FB1" w:rsidRPr="00CA7749" w:rsidRDefault="00F90FB1" w:rsidP="00C329CA">
      <w:pPr>
        <w:ind w:left="357" w:hanging="357"/>
        <w:rPr>
          <w:sz w:val="20"/>
        </w:rPr>
      </w:pPr>
    </w:p>
    <w:p w:rsidR="00F90FB1" w:rsidRPr="00CA7749" w:rsidRDefault="00F90FB1" w:rsidP="00C329CA">
      <w:pPr>
        <w:pStyle w:val="ListParagraph"/>
        <w:numPr>
          <w:ilvl w:val="0"/>
          <w:numId w:val="46"/>
        </w:numPr>
        <w:ind w:left="357" w:hanging="357"/>
        <w:rPr>
          <w:i/>
          <w:sz w:val="20"/>
        </w:rPr>
      </w:pPr>
      <w:r w:rsidRPr="00CA7749">
        <w:rPr>
          <w:i/>
          <w:sz w:val="20"/>
          <w:lang w:val="fr-CA"/>
        </w:rPr>
        <w:t xml:space="preserve">Gale Stanton v. Kaitlin (Stanton) Inglis, </w:t>
      </w:r>
      <w:r w:rsidR="00620FF6" w:rsidRPr="00CA7749">
        <w:rPr>
          <w:i/>
          <w:sz w:val="20"/>
          <w:lang w:val="fr-CA"/>
        </w:rPr>
        <w:t>et al.</w:t>
      </w:r>
      <w:r w:rsidRPr="00CA7749">
        <w:rPr>
          <w:sz w:val="20"/>
          <w:lang w:val="fr-CA"/>
        </w:rPr>
        <w:t xml:space="preserve"> </w:t>
      </w:r>
      <w:r w:rsidRPr="00CA7749">
        <w:rPr>
          <w:sz w:val="20"/>
        </w:rPr>
        <w:t>(N.S.) (Civil) (By Leave) (</w:t>
      </w:r>
      <w:hyperlink r:id="rId14" w:history="1">
        <w:r w:rsidRPr="00CA7749">
          <w:rPr>
            <w:rStyle w:val="Hyperlink"/>
            <w:sz w:val="20"/>
            <w:szCs w:val="20"/>
          </w:rPr>
          <w:t>40</w:t>
        </w:r>
        <w:r w:rsidR="00620FF6" w:rsidRPr="00CA7749">
          <w:rPr>
            <w:rStyle w:val="Hyperlink"/>
            <w:sz w:val="20"/>
            <w:szCs w:val="20"/>
          </w:rPr>
          <w:t>66</w:t>
        </w:r>
        <w:r w:rsidRPr="00CA7749">
          <w:rPr>
            <w:rStyle w:val="Hyperlink"/>
            <w:sz w:val="20"/>
            <w:szCs w:val="20"/>
          </w:rPr>
          <w:t>5</w:t>
        </w:r>
      </w:hyperlink>
      <w:r w:rsidRPr="00CA7749">
        <w:rPr>
          <w:sz w:val="20"/>
        </w:rPr>
        <w:t>)</w:t>
      </w:r>
    </w:p>
    <w:p w:rsidR="00C329CA" w:rsidRPr="00CA7749" w:rsidRDefault="00C329CA" w:rsidP="00C329CA">
      <w:pPr>
        <w:ind w:left="357" w:hanging="357"/>
        <w:rPr>
          <w:sz w:val="20"/>
        </w:rPr>
      </w:pPr>
    </w:p>
    <w:p w:rsidR="00C329CA" w:rsidRPr="00CA7749" w:rsidRDefault="00C329CA" w:rsidP="00C329CA">
      <w:pPr>
        <w:pStyle w:val="ListParagraph"/>
        <w:numPr>
          <w:ilvl w:val="0"/>
          <w:numId w:val="46"/>
        </w:numPr>
        <w:ind w:left="357" w:hanging="357"/>
        <w:rPr>
          <w:sz w:val="20"/>
          <w:szCs w:val="20"/>
          <w:lang w:val="en-GB"/>
        </w:rPr>
      </w:pPr>
      <w:r w:rsidRPr="00CA7749">
        <w:rPr>
          <w:i/>
          <w:sz w:val="20"/>
          <w:szCs w:val="20"/>
          <w:lang w:val="en-GB"/>
        </w:rPr>
        <w:t>Season Lavallee v. His Majesty the King</w:t>
      </w:r>
      <w:r w:rsidRPr="00CA7749">
        <w:rPr>
          <w:sz w:val="20"/>
          <w:szCs w:val="20"/>
          <w:lang w:val="en-GB"/>
        </w:rPr>
        <w:t xml:space="preserve"> (Man.) (Criminal) (By Leave)</w:t>
      </w:r>
      <w:r w:rsidRPr="00CA7749">
        <w:rPr>
          <w:sz w:val="20"/>
          <w:lang w:val="en-GB"/>
        </w:rPr>
        <w:t xml:space="preserve"> </w:t>
      </w:r>
      <w:r w:rsidRPr="00CA7749">
        <w:rPr>
          <w:sz w:val="20"/>
        </w:rPr>
        <w:t>(</w:t>
      </w:r>
      <w:hyperlink r:id="rId15" w:history="1">
        <w:r w:rsidRPr="00CA7749">
          <w:rPr>
            <w:rStyle w:val="Hyperlink"/>
            <w:sz w:val="20"/>
          </w:rPr>
          <w:t>40583</w:t>
        </w:r>
      </w:hyperlink>
      <w:r w:rsidRPr="00CA7749">
        <w:rPr>
          <w:sz w:val="20"/>
        </w:rPr>
        <w:t>)</w:t>
      </w:r>
    </w:p>
    <w:p w:rsidR="005D6A19" w:rsidRPr="00CA7749" w:rsidRDefault="005D6A19" w:rsidP="00C329CA">
      <w:pPr>
        <w:ind w:left="357" w:hanging="357"/>
        <w:rPr>
          <w:sz w:val="20"/>
        </w:rPr>
      </w:pPr>
    </w:p>
    <w:p w:rsidR="00F90FB1" w:rsidRPr="00CA7749" w:rsidRDefault="00F90FB1" w:rsidP="00C329CA">
      <w:pPr>
        <w:pStyle w:val="ListParagraph"/>
        <w:numPr>
          <w:ilvl w:val="0"/>
          <w:numId w:val="46"/>
        </w:numPr>
        <w:ind w:left="357" w:hanging="357"/>
        <w:rPr>
          <w:sz w:val="20"/>
        </w:rPr>
      </w:pPr>
      <w:r w:rsidRPr="00CA7749">
        <w:rPr>
          <w:i/>
          <w:sz w:val="20"/>
        </w:rPr>
        <w:t>Flow Capital Corp. v. Hybrid Financial Ltd.</w:t>
      </w:r>
      <w:r w:rsidRPr="00CA7749">
        <w:rPr>
          <w:sz w:val="20"/>
        </w:rPr>
        <w:t xml:space="preserve"> (Ont.) (Civil) (By Leave) (</w:t>
      </w:r>
      <w:hyperlink r:id="rId16" w:history="1">
        <w:r w:rsidRPr="00CA7749">
          <w:rPr>
            <w:rStyle w:val="Hyperlink"/>
            <w:sz w:val="20"/>
            <w:szCs w:val="20"/>
          </w:rPr>
          <w:t>405</w:t>
        </w:r>
        <w:r w:rsidR="001C7FCA" w:rsidRPr="00CA7749">
          <w:rPr>
            <w:rStyle w:val="Hyperlink"/>
            <w:sz w:val="20"/>
            <w:szCs w:val="20"/>
          </w:rPr>
          <w:t>8</w:t>
        </w:r>
        <w:r w:rsidRPr="00CA7749">
          <w:rPr>
            <w:rStyle w:val="Hyperlink"/>
            <w:sz w:val="20"/>
            <w:szCs w:val="20"/>
          </w:rPr>
          <w:t>5</w:t>
        </w:r>
      </w:hyperlink>
      <w:r w:rsidRPr="00CA7749">
        <w:rPr>
          <w:sz w:val="20"/>
        </w:rPr>
        <w:t>)</w:t>
      </w:r>
    </w:p>
    <w:p w:rsidR="005D6A19" w:rsidRPr="00CA7749" w:rsidRDefault="005D6A19" w:rsidP="00C329CA">
      <w:pPr>
        <w:ind w:left="357" w:hanging="357"/>
        <w:rPr>
          <w:sz w:val="20"/>
        </w:rPr>
      </w:pPr>
    </w:p>
    <w:p w:rsidR="00F90FB1" w:rsidRPr="00CA7749" w:rsidRDefault="00F90FB1" w:rsidP="00C329CA">
      <w:pPr>
        <w:pStyle w:val="SCCLsocParty"/>
        <w:numPr>
          <w:ilvl w:val="0"/>
          <w:numId w:val="46"/>
        </w:numPr>
        <w:ind w:left="357" w:hanging="357"/>
        <w:jc w:val="left"/>
        <w:rPr>
          <w:i/>
          <w:sz w:val="20"/>
          <w:szCs w:val="20"/>
        </w:rPr>
      </w:pPr>
      <w:r w:rsidRPr="00CA7749">
        <w:rPr>
          <w:i/>
          <w:sz w:val="20"/>
          <w:szCs w:val="20"/>
        </w:rPr>
        <w:t>A.J. c. Y.T.</w:t>
      </w:r>
      <w:r w:rsidRPr="00CA7749">
        <w:rPr>
          <w:sz w:val="20"/>
          <w:szCs w:val="20"/>
        </w:rPr>
        <w:t xml:space="preserve"> (Qc) (Civile) (Autorisation) </w:t>
      </w:r>
      <w:r w:rsidRPr="00CA7749">
        <w:rPr>
          <w:sz w:val="20"/>
        </w:rPr>
        <w:t>(</w:t>
      </w:r>
      <w:hyperlink r:id="rId17" w:history="1">
        <w:r w:rsidRPr="00CA7749">
          <w:rPr>
            <w:rStyle w:val="Hyperlink"/>
            <w:sz w:val="20"/>
            <w:szCs w:val="20"/>
          </w:rPr>
          <w:t>40</w:t>
        </w:r>
        <w:r w:rsidR="001C7FCA" w:rsidRPr="00CA7749">
          <w:rPr>
            <w:rStyle w:val="Hyperlink"/>
            <w:sz w:val="20"/>
            <w:szCs w:val="20"/>
          </w:rPr>
          <w:t>668</w:t>
        </w:r>
      </w:hyperlink>
      <w:r w:rsidRPr="00CA7749">
        <w:rPr>
          <w:sz w:val="20"/>
        </w:rPr>
        <w:t>)</w:t>
      </w:r>
    </w:p>
    <w:p w:rsidR="0074008A" w:rsidRPr="00CA7749" w:rsidRDefault="0074008A" w:rsidP="00142166">
      <w:pPr>
        <w:jc w:val="both"/>
        <w:rPr>
          <w:sz w:val="20"/>
          <w:lang w:val="fr-CA"/>
        </w:rPr>
      </w:pPr>
    </w:p>
    <w:p w:rsidR="0057402C" w:rsidRPr="00CA7749" w:rsidRDefault="00CA7749" w:rsidP="00142166">
      <w:pPr>
        <w:widowControl w:val="0"/>
        <w:jc w:val="both"/>
        <w:rPr>
          <w:sz w:val="20"/>
        </w:rPr>
      </w:pPr>
      <w:r w:rsidRPr="00CA7749">
        <w:rPr>
          <w:sz w:val="20"/>
        </w:rPr>
        <w:pict>
          <v:rect id="_x0000_i1026" style="width:2in;height:1pt" o:hrpct="0" o:hralign="center" o:hrstd="t" o:hrnoshade="t" o:hr="t" fillcolor="black [3213]" stroked="f"/>
        </w:pict>
      </w:r>
    </w:p>
    <w:p w:rsidR="005D6A19" w:rsidRPr="00CA7749" w:rsidRDefault="005D6A19" w:rsidP="00434D9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rPr>
            </w:pPr>
            <w:r w:rsidRPr="00CA7749">
              <w:rPr>
                <w:rStyle w:val="SCCFileNumberChar"/>
                <w:sz w:val="20"/>
                <w:szCs w:val="20"/>
              </w:rPr>
              <w:t>40567</w:t>
            </w:r>
          </w:p>
        </w:tc>
        <w:tc>
          <w:tcPr>
            <w:tcW w:w="4457" w:type="pct"/>
            <w:gridSpan w:val="3"/>
          </w:tcPr>
          <w:p w:rsidR="00434D9A" w:rsidRPr="00CA7749" w:rsidRDefault="00434D9A" w:rsidP="00434D9A">
            <w:pPr>
              <w:pStyle w:val="SCCLsocParty"/>
              <w:jc w:val="both"/>
              <w:rPr>
                <w:b/>
                <w:sz w:val="20"/>
                <w:szCs w:val="20"/>
                <w:lang w:val="en-US"/>
              </w:rPr>
            </w:pPr>
            <w:r w:rsidRPr="00CA7749">
              <w:rPr>
                <w:b/>
                <w:sz w:val="20"/>
                <w:szCs w:val="20"/>
                <w:lang w:val="en-US"/>
              </w:rPr>
              <w:t>Andrew Robert Douglas Berry v. His Majesty the King</w:t>
            </w:r>
          </w:p>
          <w:p w:rsidR="00434D9A" w:rsidRPr="00CA7749" w:rsidRDefault="00434D9A" w:rsidP="00434D9A">
            <w:pPr>
              <w:jc w:val="both"/>
              <w:rPr>
                <w:sz w:val="20"/>
              </w:rPr>
            </w:pPr>
            <w:r w:rsidRPr="00CA7749">
              <w:rPr>
                <w:sz w:val="20"/>
              </w:rPr>
              <w:t>(B.C.) (Criminal) (By Leave)</w:t>
            </w:r>
          </w:p>
        </w:tc>
      </w:tr>
      <w:tr w:rsidR="00434D9A" w:rsidRPr="00CA7749" w:rsidTr="004539FA">
        <w:tc>
          <w:tcPr>
            <w:tcW w:w="5000" w:type="pct"/>
            <w:gridSpan w:val="4"/>
          </w:tcPr>
          <w:p w:rsidR="00434D9A" w:rsidRPr="00CA7749" w:rsidRDefault="00434D9A" w:rsidP="00434D9A">
            <w:pPr>
              <w:pStyle w:val="SCCBanSummary"/>
              <w:rPr>
                <w:sz w:val="20"/>
                <w:szCs w:val="20"/>
              </w:rPr>
            </w:pPr>
            <w:r w:rsidRPr="00CA7749">
              <w:rPr>
                <w:sz w:val="20"/>
                <w:szCs w:val="20"/>
              </w:rPr>
              <w:t>(Publication ban in case)</w:t>
            </w:r>
          </w:p>
          <w:p w:rsidR="00434D9A" w:rsidRPr="00CA7749" w:rsidRDefault="00434D9A" w:rsidP="00434D9A">
            <w:pPr>
              <w:jc w:val="both"/>
              <w:rPr>
                <w:sz w:val="20"/>
              </w:rPr>
            </w:pPr>
          </w:p>
          <w:p w:rsidR="00434D9A" w:rsidRPr="00CA7749" w:rsidRDefault="00434D9A" w:rsidP="00434D9A">
            <w:pPr>
              <w:jc w:val="both"/>
              <w:rPr>
                <w:sz w:val="20"/>
              </w:rPr>
            </w:pPr>
            <w:r w:rsidRPr="00CA7749">
              <w:rPr>
                <w:i/>
                <w:sz w:val="20"/>
              </w:rPr>
              <w:t>Charter of Rights and Freedoms</w:t>
            </w:r>
            <w:r w:rsidRPr="00CA7749">
              <w:rPr>
                <w:sz w:val="20"/>
              </w:rPr>
              <w:t xml:space="preserve"> — Right to counsel — Right to silence — Criminal law — Evidence — Admissibility of utterances by accused — Whether Court of Appeal misapplied and incorrectly narrowed test for a </w:t>
            </w:r>
            <w:r w:rsidRPr="00CA7749">
              <w:rPr>
                <w:sz w:val="20"/>
              </w:rPr>
              <w:lastRenderedPageBreak/>
              <w:t>person in authority — Standard of review applicable to trial judge’s failure to adjudicate application to exclude statements for breach of right to counsel — Whether Court of Appeal mischaracterized failure to adjudicate application to exclude statements — Whether accused’s right to silence was engaged and violated — Whether utterances obtained in breach of s. 10(</w:t>
            </w:r>
            <w:r w:rsidRPr="00CA7749">
              <w:rPr>
                <w:i/>
                <w:sz w:val="20"/>
              </w:rPr>
              <w:t>b</w:t>
            </w:r>
            <w:r w:rsidRPr="00CA7749">
              <w:rPr>
                <w:sz w:val="20"/>
              </w:rPr>
              <w:t xml:space="preserve">) of the </w:t>
            </w:r>
            <w:r w:rsidRPr="00CA7749">
              <w:rPr>
                <w:i/>
                <w:sz w:val="20"/>
              </w:rPr>
              <w:t>Charter</w:t>
            </w:r>
            <w:r w:rsidRPr="00CA7749">
              <w:rPr>
                <w:sz w:val="20"/>
              </w:rPr>
              <w:t xml:space="preserve"> ought to have been excluded?</w:t>
            </w:r>
          </w:p>
        </w:tc>
      </w:tr>
      <w:tr w:rsidR="00434D9A" w:rsidRPr="00CA7749" w:rsidTr="004539FA">
        <w:tc>
          <w:tcPr>
            <w:tcW w:w="5000" w:type="pct"/>
            <w:gridSpan w:val="4"/>
          </w:tcPr>
          <w:p w:rsidR="00434D9A" w:rsidRPr="00CA7749" w:rsidRDefault="00434D9A" w:rsidP="00434D9A">
            <w:pPr>
              <w:jc w:val="both"/>
              <w:rPr>
                <w:sz w:val="20"/>
              </w:rPr>
            </w:pPr>
          </w:p>
          <w:p w:rsidR="00434D9A" w:rsidRPr="00CA7749" w:rsidRDefault="00434D9A" w:rsidP="00434D9A">
            <w:pPr>
              <w:widowControl w:val="0"/>
              <w:kinsoku w:val="0"/>
              <w:overflowPunct w:val="0"/>
              <w:jc w:val="both"/>
              <w:textAlignment w:val="baseline"/>
              <w:rPr>
                <w:sz w:val="20"/>
              </w:rPr>
            </w:pPr>
            <w:r w:rsidRPr="00CA7749">
              <w:rPr>
                <w:color w:val="000000"/>
                <w:sz w:val="20"/>
              </w:rPr>
              <w:t xml:space="preserve">A police officer entered Mr. Berry’s apartment to determine the safety of Mr. Berry’s children. The children had been stabbed to death. Mr. Berry was found in a bathtub, barely conscious and severely injured. When firefighters and paramedics extracted him from the bathtub, he repeatedly said “kill me” and “leave me alone”. In a hospital after surgery, he mouthed “kill me” to a nurse and his sister, who is an RCMP officer. Mr. Berry was detained in the hospital under the </w:t>
            </w:r>
            <w:r w:rsidRPr="00CA7749">
              <w:rPr>
                <w:i/>
                <w:iCs/>
                <w:color w:val="000000" w:themeColor="text1"/>
                <w:sz w:val="20"/>
              </w:rPr>
              <w:t>Mental Health Act</w:t>
            </w:r>
            <w:r w:rsidRPr="00CA7749">
              <w:rPr>
                <w:color w:val="000000" w:themeColor="text1"/>
                <w:sz w:val="20"/>
              </w:rPr>
              <w:t xml:space="preserve">, R.S.B.C. 1996, c. 288, and examined by a psychiatrist. While detained he wrote a note to his sister. The trial judge admitted Mr. Berry’s </w:t>
            </w:r>
            <w:r w:rsidRPr="00CA7749">
              <w:rPr>
                <w:iCs/>
                <w:color w:val="000000"/>
                <w:sz w:val="20"/>
              </w:rPr>
              <w:t xml:space="preserve">out-of-court statements to </w:t>
            </w:r>
            <w:r w:rsidRPr="00CA7749">
              <w:rPr>
                <w:sz w:val="20"/>
              </w:rPr>
              <w:t>the</w:t>
            </w:r>
            <w:r w:rsidRPr="00CA7749">
              <w:rPr>
                <w:spacing w:val="-1"/>
                <w:sz w:val="20"/>
              </w:rPr>
              <w:t xml:space="preserve"> firefighters, paramedics, </w:t>
            </w:r>
            <w:r w:rsidRPr="00CA7749">
              <w:rPr>
                <w:spacing w:val="1"/>
                <w:sz w:val="20"/>
              </w:rPr>
              <w:t>his sister, the nurse and the psychiatrist</w:t>
            </w:r>
            <w:r w:rsidRPr="00CA7749">
              <w:rPr>
                <w:sz w:val="20"/>
              </w:rPr>
              <w:t>. A jury convicted Mr. Berry on two counts of second degree murder. The Court of Appeal dismissed an appeal.</w:t>
            </w:r>
            <w:r w:rsidRPr="00CA7749">
              <w:rPr>
                <w:spacing w:val="-3"/>
                <w:sz w:val="20"/>
              </w:rPr>
              <w:t xml:space="preserve"> </w:t>
            </w:r>
          </w:p>
        </w:tc>
      </w:tr>
      <w:tr w:rsidR="00434D9A" w:rsidRPr="00CA7749" w:rsidTr="004539FA">
        <w:tc>
          <w:tcPr>
            <w:tcW w:w="5000" w:type="pct"/>
            <w:gridSpan w:val="4"/>
          </w:tcPr>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December 19, 2019</w:t>
            </w:r>
          </w:p>
          <w:p w:rsidR="00434D9A" w:rsidRPr="00CA7749" w:rsidRDefault="00434D9A" w:rsidP="00434D9A">
            <w:pPr>
              <w:jc w:val="both"/>
              <w:rPr>
                <w:sz w:val="20"/>
              </w:rPr>
            </w:pPr>
            <w:r w:rsidRPr="00CA7749">
              <w:rPr>
                <w:sz w:val="20"/>
              </w:rPr>
              <w:t>Supreme Court of British Columbia</w:t>
            </w:r>
          </w:p>
          <w:p w:rsidR="00434D9A" w:rsidRPr="00CA7749" w:rsidRDefault="00434D9A" w:rsidP="00434D9A">
            <w:pPr>
              <w:jc w:val="both"/>
              <w:rPr>
                <w:sz w:val="20"/>
              </w:rPr>
            </w:pPr>
            <w:r w:rsidRPr="00CA7749">
              <w:rPr>
                <w:sz w:val="20"/>
              </w:rPr>
              <w:t xml:space="preserve">(Gropper J.) </w:t>
            </w:r>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Convictions by jury on two counts of second degree murder</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November 29, 2022</w:t>
            </w:r>
          </w:p>
          <w:p w:rsidR="00434D9A" w:rsidRPr="00CA7749" w:rsidRDefault="00434D9A" w:rsidP="00434D9A">
            <w:pPr>
              <w:jc w:val="both"/>
              <w:rPr>
                <w:sz w:val="20"/>
              </w:rPr>
            </w:pPr>
            <w:r w:rsidRPr="00CA7749">
              <w:rPr>
                <w:sz w:val="20"/>
              </w:rPr>
              <w:t xml:space="preserve">Court of Appeal for British Columbia </w:t>
            </w:r>
          </w:p>
          <w:p w:rsidR="00434D9A" w:rsidRPr="00CA7749" w:rsidRDefault="00434D9A" w:rsidP="00434D9A">
            <w:pPr>
              <w:jc w:val="both"/>
              <w:rPr>
                <w:sz w:val="20"/>
              </w:rPr>
            </w:pPr>
            <w:r w:rsidRPr="00CA7749">
              <w:rPr>
                <w:sz w:val="20"/>
              </w:rPr>
              <w:t>(Vancouver)</w:t>
            </w:r>
          </w:p>
          <w:p w:rsidR="00434D9A" w:rsidRPr="00CA7749" w:rsidRDefault="00434D9A" w:rsidP="00434D9A">
            <w:pPr>
              <w:jc w:val="both"/>
              <w:rPr>
                <w:sz w:val="20"/>
              </w:rPr>
            </w:pPr>
            <w:r w:rsidRPr="00CA7749">
              <w:rPr>
                <w:sz w:val="20"/>
              </w:rPr>
              <w:t>(Hunter, Abrioux, DeWitt-Van Oosten JJ.A.)</w:t>
            </w:r>
          </w:p>
          <w:p w:rsidR="00434D9A" w:rsidRPr="00CA7749" w:rsidRDefault="00CA7749" w:rsidP="00434D9A">
            <w:pPr>
              <w:jc w:val="both"/>
              <w:rPr>
                <w:color w:val="000000" w:themeColor="text1"/>
                <w:sz w:val="20"/>
              </w:rPr>
            </w:pPr>
            <w:hyperlink r:id="rId18" w:history="1">
              <w:r w:rsidR="00434D9A" w:rsidRPr="00CA7749">
                <w:rPr>
                  <w:rStyle w:val="Hyperlink"/>
                  <w:sz w:val="20"/>
                </w:rPr>
                <w:t>2022 BCCA 389</w:t>
              </w:r>
            </w:hyperlink>
            <w:r w:rsidR="00434D9A" w:rsidRPr="00CA7749">
              <w:rPr>
                <w:color w:val="000000" w:themeColor="text1"/>
                <w:sz w:val="20"/>
              </w:rPr>
              <w:t xml:space="preserve">; 46589 </w:t>
            </w:r>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Appeal dismissed</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January 20, 2023</w:t>
            </w:r>
          </w:p>
          <w:p w:rsidR="00434D9A" w:rsidRPr="00CA7749" w:rsidRDefault="00434D9A" w:rsidP="00434D9A">
            <w:pPr>
              <w:jc w:val="both"/>
              <w:rPr>
                <w:sz w:val="20"/>
              </w:rPr>
            </w:pPr>
            <w:r w:rsidRPr="00CA7749">
              <w:rPr>
                <w:sz w:val="20"/>
              </w:rPr>
              <w:t xml:space="preserve">Supreme Court of Canada </w:t>
            </w:r>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Motion for extension of time to serve and file application for leave to appeal filed</w:t>
            </w:r>
          </w:p>
        </w:tc>
      </w:tr>
      <w:tr w:rsidR="00434D9A" w:rsidRPr="00CA7749" w:rsidTr="004539FA">
        <w:tc>
          <w:tcPr>
            <w:tcW w:w="2427" w:type="pct"/>
            <w:gridSpan w:val="2"/>
          </w:tcPr>
          <w:p w:rsidR="00434D9A" w:rsidRPr="00CA7749" w:rsidRDefault="00434D9A" w:rsidP="00434D9A">
            <w:pPr>
              <w:jc w:val="both"/>
              <w:rPr>
                <w:sz w:val="20"/>
              </w:rPr>
            </w:pPr>
            <w:r w:rsidRPr="00CA7749">
              <w:rPr>
                <w:sz w:val="20"/>
              </w:rPr>
              <w:t>March 6, 2023</w:t>
            </w:r>
          </w:p>
          <w:p w:rsidR="00434D9A" w:rsidRPr="00CA7749" w:rsidRDefault="00434D9A" w:rsidP="00434D9A">
            <w:pPr>
              <w:jc w:val="both"/>
              <w:rPr>
                <w:sz w:val="20"/>
              </w:rPr>
            </w:pPr>
            <w:r w:rsidRPr="00CA7749">
              <w:rPr>
                <w:sz w:val="20"/>
              </w:rPr>
              <w:t>Supreme Court of Canada</w:t>
            </w: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Application for leave to appeal filed</w:t>
            </w:r>
          </w:p>
          <w:p w:rsidR="00434D9A" w:rsidRPr="00CA7749" w:rsidRDefault="00434D9A" w:rsidP="00434D9A">
            <w:pPr>
              <w:jc w:val="both"/>
              <w:rPr>
                <w:sz w:val="20"/>
              </w:rPr>
            </w:pPr>
          </w:p>
        </w:tc>
      </w:tr>
    </w:tbl>
    <w:p w:rsidR="00434D9A" w:rsidRPr="00CA7749" w:rsidRDefault="00434D9A" w:rsidP="00434D9A">
      <w:pPr>
        <w:jc w:val="both"/>
        <w:rPr>
          <w:sz w:val="20"/>
        </w:rPr>
      </w:pPr>
    </w:p>
    <w:p w:rsidR="00434D9A" w:rsidRPr="00CA7749" w:rsidRDefault="00CA7749" w:rsidP="00434D9A">
      <w:pPr>
        <w:jc w:val="both"/>
        <w:rPr>
          <w:sz w:val="20"/>
        </w:rPr>
      </w:pPr>
      <w:r w:rsidRPr="00CA7749">
        <w:rPr>
          <w:sz w:val="20"/>
        </w:rPr>
        <w:pict>
          <v:rect id="_x0000_i1027" style="width:2in;height:1pt" o:hrpct="0" o:hralign="center" o:hrstd="t" o:hrnoshade="t" o:hr="t" fillcolor="black [3213]" stroked="f"/>
        </w:pict>
      </w:r>
    </w:p>
    <w:p w:rsidR="00434D9A" w:rsidRPr="00CA7749" w:rsidRDefault="00434D9A" w:rsidP="00434D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lang w:val="fr-CA"/>
              </w:rPr>
            </w:pPr>
            <w:r w:rsidRPr="00CA7749">
              <w:rPr>
                <w:rStyle w:val="SCCFileNumberChar"/>
                <w:sz w:val="20"/>
                <w:szCs w:val="20"/>
                <w:lang w:val="fr-CA"/>
              </w:rPr>
              <w:t>40567</w:t>
            </w:r>
          </w:p>
        </w:tc>
        <w:tc>
          <w:tcPr>
            <w:tcW w:w="4457" w:type="pct"/>
            <w:gridSpan w:val="3"/>
          </w:tcPr>
          <w:p w:rsidR="00434D9A" w:rsidRPr="00CA7749" w:rsidRDefault="00434D9A" w:rsidP="00434D9A">
            <w:pPr>
              <w:pStyle w:val="SCCLsocParty"/>
              <w:jc w:val="both"/>
              <w:rPr>
                <w:b/>
                <w:sz w:val="20"/>
                <w:szCs w:val="20"/>
              </w:rPr>
            </w:pPr>
            <w:r w:rsidRPr="00CA7749">
              <w:rPr>
                <w:b/>
                <w:sz w:val="20"/>
                <w:szCs w:val="20"/>
              </w:rPr>
              <w:t>Andrew Robert Douglas Berry c. Sa Majesté le Roi</w:t>
            </w:r>
          </w:p>
          <w:p w:rsidR="00434D9A" w:rsidRPr="00CA7749" w:rsidRDefault="00434D9A" w:rsidP="00434D9A">
            <w:pPr>
              <w:jc w:val="both"/>
              <w:rPr>
                <w:sz w:val="20"/>
                <w:lang w:val="fr-CA"/>
              </w:rPr>
            </w:pPr>
            <w:r w:rsidRPr="00CA7749">
              <w:rPr>
                <w:sz w:val="20"/>
                <w:lang w:val="fr-CA"/>
              </w:rPr>
              <w:t>(C.-B.) (Criminelle) (Sur autorisation)</w:t>
            </w:r>
          </w:p>
        </w:tc>
      </w:tr>
      <w:tr w:rsidR="00434D9A" w:rsidRPr="00CA7749" w:rsidTr="004539FA">
        <w:tc>
          <w:tcPr>
            <w:tcW w:w="5000" w:type="pct"/>
            <w:gridSpan w:val="4"/>
          </w:tcPr>
          <w:p w:rsidR="00434D9A" w:rsidRPr="00CA7749" w:rsidRDefault="00434D9A" w:rsidP="00434D9A">
            <w:pPr>
              <w:pStyle w:val="SCCBanSummary"/>
              <w:rPr>
                <w:sz w:val="20"/>
                <w:szCs w:val="20"/>
                <w:lang w:val="fr-CA"/>
              </w:rPr>
            </w:pPr>
            <w:r w:rsidRPr="00CA7749">
              <w:rPr>
                <w:sz w:val="20"/>
                <w:szCs w:val="20"/>
                <w:lang w:val="fr-CA"/>
              </w:rPr>
              <w:t>(Ordonnance de non-publication au dossier)</w:t>
            </w:r>
          </w:p>
          <w:p w:rsidR="00434D9A" w:rsidRPr="00CA7749" w:rsidRDefault="00434D9A" w:rsidP="00434D9A">
            <w:pPr>
              <w:jc w:val="both"/>
              <w:rPr>
                <w:sz w:val="20"/>
                <w:lang w:val="fr-CA"/>
              </w:rPr>
            </w:pPr>
          </w:p>
          <w:p w:rsidR="00434D9A" w:rsidRPr="00CA7749" w:rsidRDefault="00434D9A" w:rsidP="00434D9A">
            <w:pPr>
              <w:jc w:val="both"/>
              <w:rPr>
                <w:sz w:val="20"/>
                <w:lang w:val="fr-CA"/>
              </w:rPr>
            </w:pPr>
            <w:r w:rsidRPr="00CA7749">
              <w:rPr>
                <w:i/>
                <w:sz w:val="20"/>
                <w:lang w:val="fr-CA"/>
              </w:rPr>
              <w:t>Charte des droits et libertés</w:t>
            </w:r>
            <w:r w:rsidRPr="00CA7749">
              <w:rPr>
                <w:sz w:val="20"/>
                <w:lang w:val="fr-CA"/>
              </w:rPr>
              <w:t xml:space="preserve"> — Droit à l’assistance d’un avocat — Droit au silence — Droit criminel — Preuve — Admissibilité des déclarations faites par l’accusé — La Cour d’appel a-t-elle mal appliqué et restreint à tort le critère de la personne en situation d’autorité ? — Norme de contrôle applicable au défaut du juge du procès de statuer sur la demande d’exclusion des déclarations en raison d’atteinte au droit à l'assistance d'un avocat — La Cour d’appel s’est-elle méprise par rapport au défaut du juge de statuer sur la demande d’exclusion des déclarations ? — Le droit de l’accusé au silence était-il en jeu et a-t-il été violé ? — Les déclarations obtenues en violation de l’al. 10</w:t>
            </w:r>
            <w:r w:rsidRPr="00CA7749">
              <w:rPr>
                <w:i/>
                <w:sz w:val="20"/>
                <w:lang w:val="fr-CA"/>
              </w:rPr>
              <w:t>b</w:t>
            </w:r>
            <w:r w:rsidRPr="00CA7749">
              <w:rPr>
                <w:sz w:val="20"/>
                <w:lang w:val="fr-CA"/>
              </w:rPr>
              <w:t xml:space="preserve">) de la </w:t>
            </w:r>
            <w:r w:rsidRPr="00CA7749">
              <w:rPr>
                <w:i/>
                <w:sz w:val="20"/>
                <w:lang w:val="fr-CA"/>
              </w:rPr>
              <w:t>Charte</w:t>
            </w:r>
            <w:r w:rsidRPr="00CA7749">
              <w:rPr>
                <w:sz w:val="20"/>
                <w:lang w:val="fr-CA"/>
              </w:rPr>
              <w:t xml:space="preserve"> auraient-elles dû être exclues ?</w:t>
            </w:r>
          </w:p>
        </w:tc>
      </w:tr>
      <w:tr w:rsidR="00434D9A" w:rsidRPr="00CA7749" w:rsidTr="004539FA">
        <w:tc>
          <w:tcPr>
            <w:tcW w:w="5000" w:type="pct"/>
            <w:gridSpan w:val="4"/>
          </w:tcPr>
          <w:p w:rsidR="00434D9A" w:rsidRPr="00CA7749" w:rsidRDefault="00434D9A" w:rsidP="00434D9A">
            <w:pPr>
              <w:jc w:val="both"/>
              <w:rPr>
                <w:sz w:val="20"/>
                <w:lang w:val="fr-CA"/>
              </w:rPr>
            </w:pPr>
          </w:p>
          <w:p w:rsidR="00434D9A" w:rsidRPr="00CA7749" w:rsidRDefault="00434D9A" w:rsidP="00434D9A">
            <w:pPr>
              <w:widowControl w:val="0"/>
              <w:kinsoku w:val="0"/>
              <w:overflowPunct w:val="0"/>
              <w:jc w:val="both"/>
              <w:textAlignment w:val="baseline"/>
              <w:rPr>
                <w:sz w:val="20"/>
                <w:lang w:val="fr-CA"/>
              </w:rPr>
            </w:pPr>
            <w:r w:rsidRPr="00CA7749">
              <w:rPr>
                <w:color w:val="000000"/>
                <w:sz w:val="20"/>
                <w:lang w:val="fr-CA"/>
              </w:rPr>
              <w:t>Un policier est entré dans l’appartement de M. Berry afin de vérifier si les enfants de ce dernier étaient en sécurité. Les enfants avaient été poignardés à mort. On a retrouvé M. Berry dans une baignoire, à peine conscient et gravement blessé. Lorsque les pompiers et les</w:t>
            </w:r>
            <w:r w:rsidRPr="00CA7749">
              <w:rPr>
                <w:sz w:val="20"/>
                <w:lang w:val="fr-CA"/>
              </w:rPr>
              <w:t xml:space="preserve"> a</w:t>
            </w:r>
            <w:r w:rsidRPr="00CA7749">
              <w:rPr>
                <w:color w:val="000000"/>
                <w:sz w:val="20"/>
                <w:lang w:val="fr-CA"/>
              </w:rPr>
              <w:t xml:space="preserve">mbulanciers paramédicaux l’ont sorti de la baignoire, il a dit à plusieurs reprises « tuez-moi » et « laissez-moi tranquille ». À l’hôpital après une chirurgie, il a articulé en silence les mots « tuez-moi » à une infirmière et à sa sœur, qui est agente de la GRC. Monsieur Berry a été détenu à l’hôpital aux termes de la </w:t>
            </w:r>
            <w:r w:rsidRPr="00CA7749">
              <w:rPr>
                <w:i/>
                <w:iCs/>
                <w:color w:val="000000" w:themeColor="text1"/>
                <w:sz w:val="20"/>
                <w:lang w:val="fr-CA"/>
              </w:rPr>
              <w:t>Mental Health Act</w:t>
            </w:r>
            <w:r w:rsidRPr="00CA7749">
              <w:rPr>
                <w:color w:val="000000" w:themeColor="text1"/>
                <w:sz w:val="20"/>
                <w:lang w:val="fr-CA"/>
              </w:rPr>
              <w:t xml:space="preserve">, R.S.B.C. 1996, c. 288, et a été examiné par une psychiatre. Pendant sa détention, il a écrit une note à sa sœur. La juge du procès a admis en preuve les déclarations extrajudiciaires faites par M. Berry aux pompiers, </w:t>
            </w:r>
            <w:r w:rsidRPr="00CA7749">
              <w:rPr>
                <w:iCs/>
                <w:color w:val="000000"/>
                <w:sz w:val="20"/>
                <w:lang w:val="fr-CA"/>
              </w:rPr>
              <w:t xml:space="preserve">aux </w:t>
            </w:r>
            <w:r w:rsidRPr="00CA7749">
              <w:rPr>
                <w:sz w:val="20"/>
                <w:lang w:val="fr-CA"/>
              </w:rPr>
              <w:t>a</w:t>
            </w:r>
            <w:r w:rsidRPr="00CA7749">
              <w:rPr>
                <w:color w:val="000000"/>
                <w:sz w:val="20"/>
                <w:lang w:val="fr-CA"/>
              </w:rPr>
              <w:t>mbulanciers paramédicaux</w:t>
            </w:r>
            <w:r w:rsidRPr="00CA7749">
              <w:rPr>
                <w:spacing w:val="-1"/>
                <w:sz w:val="20"/>
                <w:lang w:val="fr-CA"/>
              </w:rPr>
              <w:t>, à sa sœur</w:t>
            </w:r>
            <w:r w:rsidRPr="00CA7749">
              <w:rPr>
                <w:spacing w:val="1"/>
                <w:sz w:val="20"/>
                <w:lang w:val="fr-CA"/>
              </w:rPr>
              <w:t>, à l’infirmière et à la psychiatre</w:t>
            </w:r>
            <w:r w:rsidRPr="00CA7749">
              <w:rPr>
                <w:sz w:val="20"/>
                <w:lang w:val="fr-CA"/>
              </w:rPr>
              <w:t>. Un jury a déclaré M. Berry coupable de deux chefs d’accusation de meurtre au deuxième degré. La Cour d’appel a rejeté l’appel.</w:t>
            </w:r>
            <w:r w:rsidRPr="00CA7749">
              <w:rPr>
                <w:spacing w:val="-3"/>
                <w:sz w:val="20"/>
                <w:lang w:val="fr-CA"/>
              </w:rPr>
              <w:t xml:space="preserve"> </w:t>
            </w:r>
          </w:p>
        </w:tc>
      </w:tr>
      <w:tr w:rsidR="00434D9A" w:rsidRPr="00CA7749" w:rsidTr="004539FA">
        <w:tc>
          <w:tcPr>
            <w:tcW w:w="5000" w:type="pct"/>
            <w:gridSpan w:val="4"/>
          </w:tcPr>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lastRenderedPageBreak/>
              <w:t>19 décembre 2019</w:t>
            </w:r>
          </w:p>
          <w:p w:rsidR="00434D9A" w:rsidRPr="00CA7749" w:rsidRDefault="00434D9A" w:rsidP="00434D9A">
            <w:pPr>
              <w:jc w:val="both"/>
              <w:rPr>
                <w:sz w:val="20"/>
                <w:lang w:val="fr-CA"/>
              </w:rPr>
            </w:pPr>
            <w:r w:rsidRPr="00CA7749">
              <w:rPr>
                <w:sz w:val="20"/>
                <w:lang w:val="fr-CA"/>
              </w:rPr>
              <w:t>Cour suprême de la Colombie-Britannique</w:t>
            </w:r>
          </w:p>
          <w:p w:rsidR="00434D9A" w:rsidRPr="00CA7749" w:rsidRDefault="00434D9A" w:rsidP="00434D9A">
            <w:pPr>
              <w:jc w:val="both"/>
              <w:rPr>
                <w:sz w:val="20"/>
                <w:lang w:val="fr-CA"/>
              </w:rPr>
            </w:pPr>
            <w:r w:rsidRPr="00CA7749">
              <w:rPr>
                <w:sz w:val="20"/>
                <w:lang w:val="fr-CA"/>
              </w:rPr>
              <w:t xml:space="preserve">(juge Gropper) </w:t>
            </w:r>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Des déclarations de culpabilité pour deux chefs d’accusation de meurtre au deuxième degré sont prononcées par le jury.</w:t>
            </w: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29 novembre 2022</w:t>
            </w:r>
          </w:p>
          <w:p w:rsidR="00434D9A" w:rsidRPr="00CA7749" w:rsidRDefault="00434D9A" w:rsidP="00434D9A">
            <w:pPr>
              <w:jc w:val="both"/>
              <w:rPr>
                <w:sz w:val="20"/>
                <w:lang w:val="fr-CA"/>
              </w:rPr>
            </w:pPr>
            <w:r w:rsidRPr="00CA7749">
              <w:rPr>
                <w:sz w:val="20"/>
                <w:lang w:val="fr-CA"/>
              </w:rPr>
              <w:t>Cour d’appel de la Colombie-Britannique</w:t>
            </w:r>
          </w:p>
          <w:p w:rsidR="00434D9A" w:rsidRPr="00CA7749" w:rsidRDefault="00434D9A" w:rsidP="00434D9A">
            <w:pPr>
              <w:jc w:val="both"/>
              <w:rPr>
                <w:sz w:val="20"/>
                <w:lang w:val="fr-CA"/>
              </w:rPr>
            </w:pPr>
            <w:r w:rsidRPr="00CA7749">
              <w:rPr>
                <w:sz w:val="20"/>
                <w:lang w:val="fr-CA"/>
              </w:rPr>
              <w:t>(Vancouver)</w:t>
            </w:r>
          </w:p>
          <w:p w:rsidR="00434D9A" w:rsidRPr="00CA7749" w:rsidRDefault="00434D9A" w:rsidP="00434D9A">
            <w:pPr>
              <w:jc w:val="both"/>
              <w:rPr>
                <w:sz w:val="20"/>
                <w:lang w:val="fr-CA"/>
              </w:rPr>
            </w:pPr>
            <w:r w:rsidRPr="00CA7749">
              <w:rPr>
                <w:sz w:val="20"/>
                <w:lang w:val="fr-CA"/>
              </w:rPr>
              <w:t>(juges Hunter, Abrioux, DeWitt-Van Oosten)</w:t>
            </w:r>
          </w:p>
          <w:p w:rsidR="00434D9A" w:rsidRPr="00CA7749" w:rsidRDefault="00CA7749" w:rsidP="00434D9A">
            <w:pPr>
              <w:jc w:val="both"/>
              <w:rPr>
                <w:color w:val="000000" w:themeColor="text1"/>
                <w:sz w:val="20"/>
                <w:lang w:val="fr-CA"/>
              </w:rPr>
            </w:pPr>
            <w:hyperlink r:id="rId19" w:history="1">
              <w:r w:rsidR="00434D9A" w:rsidRPr="00CA7749">
                <w:rPr>
                  <w:rStyle w:val="Hyperlink"/>
                  <w:sz w:val="20"/>
                  <w:lang w:val="fr-CA"/>
                </w:rPr>
                <w:t>2022 BCCA 389</w:t>
              </w:r>
            </w:hyperlink>
            <w:r w:rsidR="00434D9A" w:rsidRPr="00CA7749">
              <w:rPr>
                <w:color w:val="000000" w:themeColor="text1"/>
                <w:sz w:val="20"/>
                <w:lang w:val="fr-CA"/>
              </w:rPr>
              <w:t xml:space="preserve">; 46589 </w:t>
            </w:r>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L’appel est rejeté.</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20 janvier 2023</w:t>
            </w:r>
          </w:p>
          <w:p w:rsidR="00434D9A" w:rsidRPr="00CA7749" w:rsidRDefault="00434D9A" w:rsidP="00434D9A">
            <w:pPr>
              <w:jc w:val="both"/>
              <w:rPr>
                <w:sz w:val="20"/>
                <w:lang w:val="fr-CA"/>
              </w:rPr>
            </w:pPr>
            <w:r w:rsidRPr="00CA7749">
              <w:rPr>
                <w:sz w:val="20"/>
                <w:lang w:val="fr-CA"/>
              </w:rPr>
              <w:t xml:space="preserve">Cour suprême du Canada </w:t>
            </w:r>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color w:val="000000"/>
                <w:sz w:val="20"/>
                <w:lang w:val="fr-CA"/>
              </w:rPr>
            </w:pPr>
            <w:r w:rsidRPr="00CA7749">
              <w:rPr>
                <w:color w:val="000000"/>
                <w:sz w:val="20"/>
                <w:lang w:val="fr-CA"/>
              </w:rPr>
              <w:t>La requête en prorogation du délai de signification et de dépôt de la demande d’autorisation d’appel est présentée.</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6 mars 2023</w:t>
            </w:r>
          </w:p>
          <w:p w:rsidR="00434D9A" w:rsidRPr="00CA7749" w:rsidRDefault="00434D9A" w:rsidP="00434D9A">
            <w:pPr>
              <w:jc w:val="both"/>
              <w:rPr>
                <w:sz w:val="20"/>
                <w:lang w:val="fr-CA"/>
              </w:rPr>
            </w:pPr>
            <w:r w:rsidRPr="00CA7749">
              <w:rPr>
                <w:sz w:val="20"/>
                <w:lang w:val="fr-CA"/>
              </w:rPr>
              <w:t>Cour suprême du Canada</w:t>
            </w: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demande d’autorisation d’appel est présentée.</w:t>
            </w:r>
          </w:p>
          <w:p w:rsidR="00434D9A" w:rsidRPr="00CA7749" w:rsidRDefault="00434D9A" w:rsidP="00434D9A">
            <w:pPr>
              <w:jc w:val="both"/>
              <w:rPr>
                <w:sz w:val="20"/>
                <w:lang w:val="fr-CA"/>
              </w:rPr>
            </w:pPr>
          </w:p>
        </w:tc>
      </w:tr>
    </w:tbl>
    <w:p w:rsidR="00434D9A" w:rsidRPr="00CA7749" w:rsidRDefault="00434D9A" w:rsidP="00434D9A">
      <w:pPr>
        <w:jc w:val="both"/>
        <w:rPr>
          <w:sz w:val="20"/>
          <w:lang w:val="fr-CA"/>
        </w:rPr>
      </w:pPr>
    </w:p>
    <w:p w:rsidR="00434D9A" w:rsidRPr="00CA7749" w:rsidRDefault="00CA7749" w:rsidP="00434D9A">
      <w:pPr>
        <w:jc w:val="both"/>
        <w:rPr>
          <w:sz w:val="20"/>
          <w:lang w:val="fr-CA"/>
        </w:rPr>
      </w:pPr>
      <w:r w:rsidRPr="00CA7749">
        <w:rPr>
          <w:sz w:val="20"/>
        </w:rPr>
        <w:pict>
          <v:rect id="_x0000_i1028" style="width:2in;height:1pt" o:hrpct="0" o:hralign="center" o:hrstd="t" o:hrnoshade="t" o:hr="t" fillcolor="black [3213]" stroked="f"/>
        </w:pict>
      </w:r>
    </w:p>
    <w:p w:rsidR="00434D9A" w:rsidRPr="00CA7749" w:rsidRDefault="00434D9A" w:rsidP="00434D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rPr>
            </w:pPr>
            <w:r w:rsidRPr="00CA7749">
              <w:rPr>
                <w:rStyle w:val="SCCFileNumberChar"/>
                <w:sz w:val="20"/>
                <w:szCs w:val="20"/>
              </w:rPr>
              <w:t>40557</w:t>
            </w:r>
          </w:p>
        </w:tc>
        <w:tc>
          <w:tcPr>
            <w:tcW w:w="4457" w:type="pct"/>
            <w:gridSpan w:val="3"/>
          </w:tcPr>
          <w:p w:rsidR="00434D9A" w:rsidRPr="00CA7749" w:rsidRDefault="00434D9A" w:rsidP="00434D9A">
            <w:pPr>
              <w:pStyle w:val="SCCLsocParty"/>
              <w:jc w:val="both"/>
              <w:rPr>
                <w:b/>
                <w:sz w:val="20"/>
                <w:szCs w:val="20"/>
                <w:lang w:val="en-US"/>
              </w:rPr>
            </w:pPr>
            <w:r w:rsidRPr="00CA7749">
              <w:rPr>
                <w:b/>
                <w:sz w:val="20"/>
                <w:szCs w:val="20"/>
                <w:lang w:val="en-US"/>
              </w:rPr>
              <w:t>Edward James Callahan v. Robert Callahan, Bruce Callahan, Thomas Llyod Callahan as trustee for the TLC (AE) SH4 TRUST (now Bruce Callahan as trustee for the Callahan AE #3 Trust), Douglas Callahan, 0081092 B.C. LTD. (formerly known as Shasta Properties Ltd.), Ernst &amp; Young Inc. (as liquidator)</w:t>
            </w:r>
          </w:p>
          <w:p w:rsidR="00434D9A" w:rsidRPr="00CA7749" w:rsidRDefault="00434D9A" w:rsidP="00434D9A">
            <w:pPr>
              <w:jc w:val="both"/>
              <w:rPr>
                <w:sz w:val="20"/>
              </w:rPr>
            </w:pPr>
            <w:r w:rsidRPr="00CA7749">
              <w:rPr>
                <w:sz w:val="20"/>
              </w:rPr>
              <w:t>(B.C.) (Civil) (By Leave)</w:t>
            </w:r>
          </w:p>
        </w:tc>
      </w:tr>
      <w:tr w:rsidR="00434D9A" w:rsidRPr="00CA7749" w:rsidTr="004539FA">
        <w:tc>
          <w:tcPr>
            <w:tcW w:w="5000" w:type="pct"/>
            <w:gridSpan w:val="4"/>
          </w:tcPr>
          <w:p w:rsidR="00434D9A" w:rsidRPr="00CA7749" w:rsidRDefault="00434D9A" w:rsidP="00434D9A">
            <w:pPr>
              <w:jc w:val="both"/>
              <w:rPr>
                <w:sz w:val="20"/>
              </w:rPr>
            </w:pPr>
            <w:r w:rsidRPr="00CA7749">
              <w:rPr>
                <w:sz w:val="20"/>
              </w:rPr>
              <w:t xml:space="preserve">Commercial law — Corporations — Oppression remedy — What constitutes “unfair prejudice” — Whether minority shareholders’ access to relief under the oppression remedy is limited by their minority status — </w:t>
            </w:r>
            <w:r w:rsidRPr="00CA7749">
              <w:rPr>
                <w:i/>
                <w:sz w:val="20"/>
              </w:rPr>
              <w:t>Business Corporations Act</w:t>
            </w:r>
            <w:r w:rsidRPr="00CA7749">
              <w:rPr>
                <w:sz w:val="20"/>
              </w:rPr>
              <w:t>, S.B.C. 2002, c. 57, s. 227.</w:t>
            </w:r>
          </w:p>
          <w:p w:rsidR="00434D9A" w:rsidRPr="00CA7749" w:rsidRDefault="00434D9A" w:rsidP="00434D9A">
            <w:pPr>
              <w:jc w:val="both"/>
              <w:rPr>
                <w:sz w:val="20"/>
              </w:rPr>
            </w:pPr>
          </w:p>
        </w:tc>
      </w:tr>
      <w:tr w:rsidR="00434D9A" w:rsidRPr="00CA7749" w:rsidTr="004539FA">
        <w:tc>
          <w:tcPr>
            <w:tcW w:w="5000" w:type="pct"/>
            <w:gridSpan w:val="4"/>
          </w:tcPr>
          <w:p w:rsidR="00434D9A" w:rsidRPr="00CA7749" w:rsidRDefault="00434D9A" w:rsidP="00434D9A">
            <w:pPr>
              <w:jc w:val="both"/>
              <w:rPr>
                <w:sz w:val="20"/>
              </w:rPr>
            </w:pPr>
            <w:r w:rsidRPr="00CA7749">
              <w:rPr>
                <w:sz w:val="20"/>
              </w:rPr>
              <w:t xml:space="preserve">The applicant is a minority shareholder in a family corporation. The corporation holds a parcel of valuable real estate (the “Property”), and an income-generating business that operates on the land. The remaining shareholders are the applicant’s brothers. The parties initially hoped to develop the Property and share in the profits. However, after years of family conflict with the applicant on one side and his brothers, collectively, on the other, the brothers passed a series of special resolutions at the corporation’s 2020 shareholders’ meeting (the “AGM Resolutions”) to liquidate and wind up the corporation. The applicant, preferring the </w:t>
            </w:r>
            <w:r w:rsidRPr="00CA7749">
              <w:rPr>
                <w:i/>
                <w:sz w:val="20"/>
              </w:rPr>
              <w:t>status quo</w:t>
            </w:r>
            <w:r w:rsidRPr="00CA7749">
              <w:rPr>
                <w:sz w:val="20"/>
              </w:rPr>
              <w:t xml:space="preserve"> prior to the AGM Resolutions, applied for an oppression remedy.</w:t>
            </w:r>
          </w:p>
          <w:p w:rsidR="00434D9A" w:rsidRPr="00CA7749" w:rsidRDefault="00434D9A" w:rsidP="00434D9A">
            <w:pPr>
              <w:jc w:val="both"/>
              <w:rPr>
                <w:sz w:val="20"/>
              </w:rPr>
            </w:pPr>
          </w:p>
          <w:p w:rsidR="00434D9A" w:rsidRPr="00CA7749" w:rsidRDefault="00434D9A" w:rsidP="00434D9A">
            <w:pPr>
              <w:jc w:val="both"/>
              <w:rPr>
                <w:sz w:val="20"/>
              </w:rPr>
            </w:pPr>
            <w:r w:rsidRPr="00CA7749">
              <w:rPr>
                <w:sz w:val="20"/>
              </w:rPr>
              <w:t>The application judge held that the AGM Resolutions violated the applicant’s reasonable expectation that he would retain an interest in the Property through his shares in the corporation and share in the benefits of an eventual redevelopment. The application was allowed and the AGM Resolutions set aside.</w:t>
            </w:r>
          </w:p>
          <w:p w:rsidR="00434D9A" w:rsidRPr="00CA7749" w:rsidRDefault="00434D9A" w:rsidP="00434D9A">
            <w:pPr>
              <w:jc w:val="both"/>
              <w:rPr>
                <w:sz w:val="20"/>
              </w:rPr>
            </w:pPr>
          </w:p>
          <w:p w:rsidR="00434D9A" w:rsidRPr="00CA7749" w:rsidRDefault="00434D9A" w:rsidP="00434D9A">
            <w:pPr>
              <w:jc w:val="both"/>
              <w:rPr>
                <w:sz w:val="20"/>
              </w:rPr>
            </w:pPr>
            <w:r w:rsidRPr="00CA7749">
              <w:rPr>
                <w:sz w:val="20"/>
              </w:rPr>
              <w:t>The Court of Appeal allowed an appeal, holding that, while the applicant’s expectations may have been subjectively reasonable, it was not objectively reasonable for him to expect to defeat the will of a majority of shareholders where that would only lead to further conflict in the management of the corporation. It further noted that the liquidation process provides the applicant with an opportunity to acquire the Property for himself in any event.</w:t>
            </w:r>
          </w:p>
        </w:tc>
      </w:tr>
      <w:tr w:rsidR="00434D9A" w:rsidRPr="00CA7749" w:rsidTr="004539FA">
        <w:tc>
          <w:tcPr>
            <w:tcW w:w="5000" w:type="pct"/>
            <w:gridSpan w:val="4"/>
          </w:tcPr>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January 19, 2022</w:t>
            </w:r>
          </w:p>
          <w:p w:rsidR="00434D9A" w:rsidRPr="00CA7749" w:rsidRDefault="00434D9A" w:rsidP="00434D9A">
            <w:pPr>
              <w:jc w:val="both"/>
              <w:rPr>
                <w:sz w:val="20"/>
              </w:rPr>
            </w:pPr>
            <w:r w:rsidRPr="00CA7749">
              <w:rPr>
                <w:sz w:val="20"/>
              </w:rPr>
              <w:t>Supreme Court of British Columbia</w:t>
            </w:r>
          </w:p>
          <w:p w:rsidR="00434D9A" w:rsidRPr="00CA7749" w:rsidRDefault="00434D9A" w:rsidP="00434D9A">
            <w:pPr>
              <w:jc w:val="both"/>
              <w:rPr>
                <w:sz w:val="20"/>
              </w:rPr>
            </w:pPr>
            <w:r w:rsidRPr="00CA7749">
              <w:rPr>
                <w:sz w:val="20"/>
              </w:rPr>
              <w:t>(MacNaughton J.)</w:t>
            </w:r>
          </w:p>
          <w:p w:rsidR="00434D9A" w:rsidRPr="00CA7749" w:rsidRDefault="00CA7749" w:rsidP="00434D9A">
            <w:pPr>
              <w:jc w:val="both"/>
              <w:rPr>
                <w:sz w:val="20"/>
              </w:rPr>
            </w:pPr>
            <w:hyperlink r:id="rId20" w:history="1">
              <w:r w:rsidR="00434D9A" w:rsidRPr="00CA7749">
                <w:rPr>
                  <w:rStyle w:val="Hyperlink"/>
                  <w:sz w:val="20"/>
                </w:rPr>
                <w:t>2022 BCSC 87</w:t>
              </w:r>
            </w:hyperlink>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Oppression application granted; certain shareholders’ resolutions set aside.</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November 18, 2022</w:t>
            </w:r>
          </w:p>
          <w:p w:rsidR="00434D9A" w:rsidRPr="00CA7749" w:rsidRDefault="00434D9A" w:rsidP="00434D9A">
            <w:pPr>
              <w:jc w:val="both"/>
              <w:rPr>
                <w:sz w:val="20"/>
              </w:rPr>
            </w:pPr>
            <w:r w:rsidRPr="00CA7749">
              <w:rPr>
                <w:sz w:val="20"/>
              </w:rPr>
              <w:t xml:space="preserve">Court of Appeal for British Columbia </w:t>
            </w:r>
          </w:p>
          <w:p w:rsidR="00434D9A" w:rsidRPr="00CA7749" w:rsidRDefault="00434D9A" w:rsidP="00434D9A">
            <w:pPr>
              <w:jc w:val="both"/>
              <w:rPr>
                <w:sz w:val="20"/>
              </w:rPr>
            </w:pPr>
            <w:r w:rsidRPr="00CA7749">
              <w:rPr>
                <w:sz w:val="20"/>
              </w:rPr>
              <w:t>(Vancouver)</w:t>
            </w:r>
          </w:p>
          <w:p w:rsidR="00434D9A" w:rsidRPr="00CA7749" w:rsidRDefault="00434D9A" w:rsidP="00434D9A">
            <w:pPr>
              <w:jc w:val="both"/>
              <w:rPr>
                <w:sz w:val="20"/>
              </w:rPr>
            </w:pPr>
            <w:r w:rsidRPr="00CA7749">
              <w:rPr>
                <w:sz w:val="20"/>
              </w:rPr>
              <w:t xml:space="preserve">(Newbury, Willcock, and DeWitt-Van Oosten </w:t>
            </w:r>
          </w:p>
          <w:p w:rsidR="00434D9A" w:rsidRPr="00CA7749" w:rsidRDefault="00434D9A" w:rsidP="00434D9A">
            <w:pPr>
              <w:jc w:val="both"/>
              <w:rPr>
                <w:sz w:val="20"/>
              </w:rPr>
            </w:pPr>
            <w:r w:rsidRPr="00CA7749">
              <w:rPr>
                <w:sz w:val="20"/>
              </w:rPr>
              <w:t>JJ.A.)</w:t>
            </w:r>
          </w:p>
          <w:p w:rsidR="00434D9A" w:rsidRPr="00CA7749" w:rsidRDefault="00CA7749" w:rsidP="00434D9A">
            <w:pPr>
              <w:jc w:val="both"/>
              <w:rPr>
                <w:sz w:val="20"/>
              </w:rPr>
            </w:pPr>
            <w:hyperlink r:id="rId21" w:history="1">
              <w:r w:rsidR="00434D9A" w:rsidRPr="00CA7749">
                <w:rPr>
                  <w:rStyle w:val="Hyperlink"/>
                  <w:sz w:val="20"/>
                </w:rPr>
                <w:t>2022 BCCA 387</w:t>
              </w:r>
            </w:hyperlink>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Appeal allowed; resolutions reinstated.</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January 13, 2023</w:t>
            </w:r>
          </w:p>
          <w:p w:rsidR="00434D9A" w:rsidRPr="00CA7749" w:rsidRDefault="00434D9A" w:rsidP="00434D9A">
            <w:pPr>
              <w:jc w:val="both"/>
              <w:rPr>
                <w:sz w:val="20"/>
              </w:rPr>
            </w:pPr>
            <w:r w:rsidRPr="00CA7749">
              <w:rPr>
                <w:sz w:val="20"/>
              </w:rPr>
              <w:t>Supreme Court of Canada</w:t>
            </w: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Application for leave to appeal filed.</w:t>
            </w:r>
          </w:p>
          <w:p w:rsidR="00434D9A" w:rsidRPr="00CA7749" w:rsidRDefault="00434D9A" w:rsidP="00434D9A">
            <w:pPr>
              <w:jc w:val="both"/>
              <w:rPr>
                <w:sz w:val="20"/>
              </w:rPr>
            </w:pPr>
          </w:p>
        </w:tc>
      </w:tr>
    </w:tbl>
    <w:p w:rsidR="00434D9A" w:rsidRPr="00CA7749" w:rsidRDefault="00434D9A" w:rsidP="00434D9A">
      <w:pPr>
        <w:jc w:val="both"/>
        <w:rPr>
          <w:sz w:val="20"/>
        </w:rPr>
      </w:pPr>
    </w:p>
    <w:p w:rsidR="00434D9A" w:rsidRPr="00CA7749" w:rsidRDefault="00CA7749" w:rsidP="00434D9A">
      <w:pPr>
        <w:jc w:val="both"/>
        <w:rPr>
          <w:sz w:val="20"/>
        </w:rPr>
      </w:pPr>
      <w:r w:rsidRPr="00CA7749">
        <w:rPr>
          <w:sz w:val="20"/>
        </w:rPr>
        <w:pict>
          <v:rect id="_x0000_i1029" style="width:2in;height:1pt" o:hrpct="0" o:hralign="center" o:hrstd="t" o:hrnoshade="t" o:hr="t" fillcolor="black [3213]" stroked="f"/>
        </w:pict>
      </w:r>
    </w:p>
    <w:p w:rsidR="00434D9A" w:rsidRPr="00CA7749" w:rsidRDefault="00434D9A" w:rsidP="00434D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lang w:val="fr-CA"/>
              </w:rPr>
            </w:pPr>
            <w:r w:rsidRPr="00CA7749">
              <w:rPr>
                <w:rStyle w:val="SCCFileNumberChar"/>
                <w:sz w:val="20"/>
                <w:szCs w:val="20"/>
                <w:lang w:val="fr-CA"/>
              </w:rPr>
              <w:t>40557</w:t>
            </w:r>
          </w:p>
        </w:tc>
        <w:tc>
          <w:tcPr>
            <w:tcW w:w="4457" w:type="pct"/>
            <w:gridSpan w:val="3"/>
          </w:tcPr>
          <w:p w:rsidR="00434D9A" w:rsidRPr="00CA7749" w:rsidRDefault="00434D9A" w:rsidP="00434D9A">
            <w:pPr>
              <w:pStyle w:val="SCCLsocParty"/>
              <w:jc w:val="both"/>
              <w:rPr>
                <w:b/>
                <w:sz w:val="20"/>
                <w:szCs w:val="20"/>
              </w:rPr>
            </w:pPr>
            <w:r w:rsidRPr="00CA7749">
              <w:rPr>
                <w:b/>
                <w:sz w:val="20"/>
                <w:szCs w:val="20"/>
              </w:rPr>
              <w:t xml:space="preserve">Edward James Callahan c. Robert Callahan, Bruce Callahan, Thomas Llyod Callahan </w:t>
            </w:r>
            <w:r w:rsidRPr="00CA7749">
              <w:rPr>
                <w:b/>
                <w:color w:val="000000"/>
                <w:sz w:val="20"/>
                <w:szCs w:val="20"/>
              </w:rPr>
              <w:t>en sa qualité de fiduciaire </w:t>
            </w:r>
            <w:r w:rsidRPr="00CA7749">
              <w:rPr>
                <w:b/>
                <w:sz w:val="20"/>
                <w:szCs w:val="20"/>
              </w:rPr>
              <w:t>de TLC (AE) SH4 TRUST (maintenant Bruce Callahan en sa qualité de fiduciaire de la fiducie Callahan AE #3), Douglas Callahan, 0081092 B.C. LTD. (</w:t>
            </w:r>
            <w:r w:rsidRPr="00CA7749">
              <w:rPr>
                <w:b/>
                <w:color w:val="000000"/>
                <w:sz w:val="20"/>
                <w:szCs w:val="20"/>
              </w:rPr>
              <w:t>auparavant connue sous le nom de </w:t>
            </w:r>
            <w:r w:rsidRPr="00CA7749">
              <w:rPr>
                <w:b/>
                <w:sz w:val="20"/>
                <w:szCs w:val="20"/>
              </w:rPr>
              <w:t>Shasta Properties Ltd.), Ernst &amp; Young Inc. (en qualité de liquidatrice)</w:t>
            </w:r>
          </w:p>
          <w:p w:rsidR="00434D9A" w:rsidRPr="00CA7749" w:rsidRDefault="00434D9A" w:rsidP="00434D9A">
            <w:pPr>
              <w:jc w:val="both"/>
              <w:rPr>
                <w:sz w:val="20"/>
                <w:lang w:val="fr-CA"/>
              </w:rPr>
            </w:pPr>
            <w:r w:rsidRPr="00CA7749">
              <w:rPr>
                <w:sz w:val="20"/>
                <w:lang w:val="fr-CA"/>
              </w:rPr>
              <w:t>(C.-B.) (Civile) (Sur autorisation)</w:t>
            </w:r>
          </w:p>
        </w:tc>
      </w:tr>
      <w:tr w:rsidR="00434D9A" w:rsidRPr="00CA7749" w:rsidTr="004539FA">
        <w:tc>
          <w:tcPr>
            <w:tcW w:w="5000" w:type="pct"/>
            <w:gridSpan w:val="4"/>
          </w:tcPr>
          <w:p w:rsidR="00434D9A" w:rsidRPr="00CA7749" w:rsidRDefault="00434D9A" w:rsidP="00434D9A">
            <w:pPr>
              <w:jc w:val="both"/>
              <w:rPr>
                <w:sz w:val="20"/>
                <w:lang w:val="fr-CA"/>
              </w:rPr>
            </w:pPr>
            <w:r w:rsidRPr="00CA7749">
              <w:rPr>
                <w:sz w:val="20"/>
                <w:lang w:val="fr-CA"/>
              </w:rPr>
              <w:t xml:space="preserve">Droit commercial — Sociétés par actions — </w:t>
            </w:r>
            <w:proofErr w:type="gramStart"/>
            <w:r w:rsidRPr="00CA7749">
              <w:rPr>
                <w:sz w:val="20"/>
                <w:lang w:val="fr-CA"/>
              </w:rPr>
              <w:t>Recours</w:t>
            </w:r>
            <w:proofErr w:type="gramEnd"/>
            <w:r w:rsidRPr="00CA7749">
              <w:rPr>
                <w:sz w:val="20"/>
                <w:lang w:val="fr-CA"/>
              </w:rPr>
              <w:t xml:space="preserve"> en cas d’abus — En quoi consiste un « préjudice inéquitable » ? — L’accès des actionnaires minoritaires aux mesures de réparation prévues par le recours en cas d’abus est-il limité en raison de leur statut minoritaire ? — </w:t>
            </w:r>
            <w:r w:rsidRPr="00CA7749">
              <w:rPr>
                <w:i/>
                <w:sz w:val="20"/>
                <w:lang w:val="fr-CA"/>
              </w:rPr>
              <w:t>Business Corporations Act</w:t>
            </w:r>
            <w:r w:rsidRPr="00CA7749">
              <w:rPr>
                <w:sz w:val="20"/>
                <w:lang w:val="fr-CA"/>
              </w:rPr>
              <w:t>, S.B.C. 2002, c. 57, art. 227</w:t>
            </w:r>
          </w:p>
          <w:p w:rsidR="00434D9A" w:rsidRPr="00CA7749" w:rsidRDefault="00434D9A" w:rsidP="00434D9A">
            <w:pPr>
              <w:jc w:val="both"/>
              <w:rPr>
                <w:sz w:val="20"/>
                <w:lang w:val="fr-CA"/>
              </w:rPr>
            </w:pPr>
          </w:p>
        </w:tc>
      </w:tr>
      <w:tr w:rsidR="00434D9A" w:rsidRPr="00CA7749" w:rsidTr="004539FA">
        <w:tc>
          <w:tcPr>
            <w:tcW w:w="5000" w:type="pct"/>
            <w:gridSpan w:val="4"/>
          </w:tcPr>
          <w:p w:rsidR="00434D9A" w:rsidRPr="00CA7749" w:rsidRDefault="00434D9A" w:rsidP="00434D9A">
            <w:pPr>
              <w:jc w:val="both"/>
              <w:rPr>
                <w:sz w:val="20"/>
                <w:lang w:val="fr-CA"/>
              </w:rPr>
            </w:pPr>
            <w:r w:rsidRPr="00CA7749">
              <w:rPr>
                <w:sz w:val="20"/>
                <w:lang w:val="fr-CA"/>
              </w:rPr>
              <w:t xml:space="preserve">Le demandeur est un actionnaire minoritaire dans une société par actions familiale. Cette société détient une parcelle d’un bien immeuble de valeur (le « bien-fonds »), et une entreprise génératrice de revenus qui exerce des activités sur ce bien-fonds. Les autres actionnaires sont les frères du demandeur. Les parties espéraient initialement aménager le bien-fonds et se partager les profits. Toutefois, après des années de conflits familiaux opposant le demandeur et tous ses frères ensemble, ces derniers ont adopté une série de résolutions extraordinaires lors de la réunion des actionnaires de la société par actions de 2020 (les « résolutions AGA ») visant la liquidation de la société par actions. Le demandeur, préférant le </w:t>
            </w:r>
            <w:r w:rsidRPr="00CA7749">
              <w:rPr>
                <w:i/>
                <w:sz w:val="20"/>
                <w:lang w:val="fr-CA"/>
              </w:rPr>
              <w:t>statu quo</w:t>
            </w:r>
            <w:r w:rsidRPr="00CA7749">
              <w:rPr>
                <w:sz w:val="20"/>
                <w:lang w:val="fr-CA"/>
              </w:rPr>
              <w:t xml:space="preserve"> avant l’adoption des résolutions AGA, a sollicité un recours en cas d’abus.</w:t>
            </w:r>
          </w:p>
          <w:p w:rsidR="00434D9A" w:rsidRPr="00CA7749" w:rsidRDefault="00434D9A" w:rsidP="00434D9A">
            <w:pPr>
              <w:jc w:val="both"/>
              <w:rPr>
                <w:sz w:val="20"/>
                <w:lang w:val="fr-CA"/>
              </w:rPr>
            </w:pPr>
          </w:p>
          <w:p w:rsidR="00434D9A" w:rsidRPr="00CA7749" w:rsidRDefault="00434D9A" w:rsidP="00434D9A">
            <w:pPr>
              <w:jc w:val="both"/>
              <w:rPr>
                <w:sz w:val="20"/>
                <w:lang w:val="fr-CA"/>
              </w:rPr>
            </w:pPr>
            <w:r w:rsidRPr="00CA7749">
              <w:rPr>
                <w:sz w:val="20"/>
                <w:lang w:val="fr-CA"/>
              </w:rPr>
              <w:t>La juge saisie de la demande a conclu que les résolutions AGA portaient atteinte à l’attente raisonnable du demandeur qu’il retienne un droit dans le bien-fonds par l’entremise de ses actions dans la société et une portion des avantages découlant d’un réaménagement éventuel. La demande a été accueillie et les résolutions AGA ont été annulées.</w:t>
            </w:r>
          </w:p>
          <w:p w:rsidR="00434D9A" w:rsidRPr="00CA7749" w:rsidRDefault="00434D9A" w:rsidP="00434D9A">
            <w:pPr>
              <w:jc w:val="both"/>
              <w:rPr>
                <w:sz w:val="20"/>
                <w:lang w:val="fr-CA"/>
              </w:rPr>
            </w:pPr>
          </w:p>
          <w:p w:rsidR="00434D9A" w:rsidRPr="00CA7749" w:rsidRDefault="00434D9A" w:rsidP="00434D9A">
            <w:pPr>
              <w:jc w:val="both"/>
              <w:rPr>
                <w:sz w:val="20"/>
                <w:lang w:val="fr-CA"/>
              </w:rPr>
            </w:pPr>
            <w:r w:rsidRPr="00CA7749">
              <w:rPr>
                <w:sz w:val="20"/>
                <w:lang w:val="fr-CA"/>
              </w:rPr>
              <w:t>La Cour d’appel a accueilli l’appel, concluant que, même si les attentes du demandeur étaient peut-être raisonnables sur le plan subjectif, il n’était pas objectivement raisonnable pour lui de s’attendre à faire échec à la volonté des actionnaires majoritaires étant donné que cela ne ferait qu’entraîner d’autres conflits relativement à la gestion de la société par actions. La Cour d’appel a en outre noté que grâce à la liquidation, le demandeur avait la possibilité d’acquérir le bien-fonds pour lui-même, de toute façon.</w:t>
            </w:r>
          </w:p>
        </w:tc>
      </w:tr>
      <w:tr w:rsidR="00434D9A" w:rsidRPr="00CA7749" w:rsidTr="004539FA">
        <w:tc>
          <w:tcPr>
            <w:tcW w:w="5000" w:type="pct"/>
            <w:gridSpan w:val="4"/>
          </w:tcPr>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19 janvier 2022</w:t>
            </w:r>
          </w:p>
          <w:p w:rsidR="00434D9A" w:rsidRPr="00CA7749" w:rsidRDefault="00434D9A" w:rsidP="00434D9A">
            <w:pPr>
              <w:jc w:val="both"/>
              <w:rPr>
                <w:sz w:val="20"/>
                <w:lang w:val="fr-CA"/>
              </w:rPr>
            </w:pPr>
            <w:r w:rsidRPr="00CA7749">
              <w:rPr>
                <w:sz w:val="20"/>
                <w:lang w:val="fr-CA"/>
              </w:rPr>
              <w:t>Cour suprême de la Colombie-Britannique</w:t>
            </w:r>
          </w:p>
          <w:p w:rsidR="00434D9A" w:rsidRPr="00CA7749" w:rsidRDefault="00434D9A" w:rsidP="00434D9A">
            <w:pPr>
              <w:jc w:val="both"/>
              <w:rPr>
                <w:sz w:val="20"/>
                <w:lang w:val="fr-CA"/>
              </w:rPr>
            </w:pPr>
            <w:r w:rsidRPr="00CA7749">
              <w:rPr>
                <w:sz w:val="20"/>
                <w:lang w:val="fr-CA"/>
              </w:rPr>
              <w:t>(juge MacNaughton)</w:t>
            </w:r>
          </w:p>
          <w:p w:rsidR="00434D9A" w:rsidRPr="00CA7749" w:rsidRDefault="00CA7749" w:rsidP="00434D9A">
            <w:pPr>
              <w:jc w:val="both"/>
              <w:rPr>
                <w:sz w:val="20"/>
                <w:lang w:val="fr-CA"/>
              </w:rPr>
            </w:pPr>
            <w:hyperlink r:id="rId22" w:history="1">
              <w:r w:rsidR="00434D9A" w:rsidRPr="00CA7749">
                <w:rPr>
                  <w:rStyle w:val="Hyperlink"/>
                  <w:sz w:val="20"/>
                  <w:lang w:val="fr-CA"/>
                </w:rPr>
                <w:t>2022 BCSC 87</w:t>
              </w:r>
            </w:hyperlink>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demande de recours en cas d’abus est accueillie; certaines résolutions des actionnaires sont annulées.</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18 novembre 2022</w:t>
            </w:r>
          </w:p>
          <w:p w:rsidR="00434D9A" w:rsidRPr="00CA7749" w:rsidRDefault="00434D9A" w:rsidP="00434D9A">
            <w:pPr>
              <w:jc w:val="both"/>
              <w:rPr>
                <w:sz w:val="20"/>
                <w:lang w:val="fr-CA"/>
              </w:rPr>
            </w:pPr>
            <w:r w:rsidRPr="00CA7749">
              <w:rPr>
                <w:sz w:val="20"/>
                <w:lang w:val="fr-CA"/>
              </w:rPr>
              <w:t>Cour d’appel de la Colombie-Britannique</w:t>
            </w:r>
          </w:p>
          <w:p w:rsidR="00434D9A" w:rsidRPr="00CA7749" w:rsidRDefault="00434D9A" w:rsidP="00434D9A">
            <w:pPr>
              <w:jc w:val="both"/>
              <w:rPr>
                <w:sz w:val="20"/>
                <w:lang w:val="fr-CA"/>
              </w:rPr>
            </w:pPr>
            <w:r w:rsidRPr="00CA7749">
              <w:rPr>
                <w:sz w:val="20"/>
                <w:lang w:val="fr-CA"/>
              </w:rPr>
              <w:t>(Vancouver)</w:t>
            </w:r>
          </w:p>
          <w:p w:rsidR="00434D9A" w:rsidRPr="00CA7749" w:rsidRDefault="00434D9A" w:rsidP="00434D9A">
            <w:pPr>
              <w:jc w:val="both"/>
              <w:rPr>
                <w:sz w:val="20"/>
                <w:lang w:val="fr-CA"/>
              </w:rPr>
            </w:pPr>
            <w:r w:rsidRPr="00CA7749">
              <w:rPr>
                <w:sz w:val="20"/>
                <w:lang w:val="fr-CA"/>
              </w:rPr>
              <w:t>(juges Newbury, Willcock, et DeWitt-Van Oosten)</w:t>
            </w:r>
          </w:p>
          <w:p w:rsidR="00434D9A" w:rsidRPr="00CA7749" w:rsidRDefault="00CA7749" w:rsidP="00434D9A">
            <w:pPr>
              <w:jc w:val="both"/>
              <w:rPr>
                <w:sz w:val="20"/>
                <w:lang w:val="fr-CA"/>
              </w:rPr>
            </w:pPr>
            <w:hyperlink r:id="rId23" w:history="1">
              <w:r w:rsidR="00434D9A" w:rsidRPr="00CA7749">
                <w:rPr>
                  <w:rStyle w:val="Hyperlink"/>
                  <w:sz w:val="20"/>
                  <w:lang w:val="fr-CA"/>
                </w:rPr>
                <w:t>2022 BCCA 387</w:t>
              </w:r>
            </w:hyperlink>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L’appel est accueilli; les résolutions sont rétablies.</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13 janvier 2023</w:t>
            </w:r>
          </w:p>
          <w:p w:rsidR="00434D9A" w:rsidRPr="00CA7749" w:rsidRDefault="00434D9A" w:rsidP="00434D9A">
            <w:pPr>
              <w:jc w:val="both"/>
              <w:rPr>
                <w:sz w:val="20"/>
                <w:lang w:val="fr-CA"/>
              </w:rPr>
            </w:pPr>
            <w:r w:rsidRPr="00CA7749">
              <w:rPr>
                <w:sz w:val="20"/>
                <w:lang w:val="fr-CA"/>
              </w:rPr>
              <w:t>Cour suprême du Canada</w:t>
            </w: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demande d’autorisation d’appel est présentée.</w:t>
            </w:r>
          </w:p>
          <w:p w:rsidR="00434D9A" w:rsidRPr="00CA7749" w:rsidRDefault="00434D9A" w:rsidP="00434D9A">
            <w:pPr>
              <w:jc w:val="both"/>
              <w:rPr>
                <w:sz w:val="20"/>
                <w:lang w:val="fr-CA"/>
              </w:rPr>
            </w:pPr>
          </w:p>
        </w:tc>
      </w:tr>
    </w:tbl>
    <w:p w:rsidR="00434D9A" w:rsidRPr="00CA7749" w:rsidRDefault="00434D9A" w:rsidP="00434D9A">
      <w:pPr>
        <w:jc w:val="both"/>
        <w:rPr>
          <w:sz w:val="20"/>
          <w:lang w:val="fr-CA"/>
        </w:rPr>
      </w:pPr>
    </w:p>
    <w:p w:rsidR="00434D9A" w:rsidRPr="00CA7749" w:rsidRDefault="00CA7749" w:rsidP="00434D9A">
      <w:pPr>
        <w:jc w:val="both"/>
        <w:rPr>
          <w:sz w:val="20"/>
          <w:lang w:val="fr-CA"/>
        </w:rPr>
      </w:pPr>
      <w:r w:rsidRPr="00CA7749">
        <w:rPr>
          <w:sz w:val="20"/>
        </w:rPr>
        <w:pict>
          <v:rect id="_x0000_i1030" style="width:2in;height:1pt" o:hrpct="0" o:hralign="center" o:hrstd="t" o:hrnoshade="t" o:hr="t" fillcolor="black [3213]" stroked="f"/>
        </w:pict>
      </w:r>
    </w:p>
    <w:p w:rsidR="00434D9A" w:rsidRPr="00CA7749" w:rsidRDefault="00434D9A" w:rsidP="00434D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rPr>
            </w:pPr>
            <w:r w:rsidRPr="00CA7749">
              <w:rPr>
                <w:rStyle w:val="SCCFileNumberChar"/>
                <w:sz w:val="20"/>
                <w:szCs w:val="20"/>
              </w:rPr>
              <w:t>40562</w:t>
            </w:r>
          </w:p>
        </w:tc>
        <w:tc>
          <w:tcPr>
            <w:tcW w:w="4457" w:type="pct"/>
            <w:gridSpan w:val="3"/>
          </w:tcPr>
          <w:p w:rsidR="00434D9A" w:rsidRPr="00CA7749" w:rsidRDefault="00434D9A" w:rsidP="00434D9A">
            <w:pPr>
              <w:pStyle w:val="SCCLsocParty"/>
              <w:jc w:val="both"/>
              <w:rPr>
                <w:b/>
                <w:sz w:val="20"/>
                <w:szCs w:val="20"/>
                <w:lang w:val="en-US"/>
              </w:rPr>
            </w:pPr>
            <w:r w:rsidRPr="00CA7749">
              <w:rPr>
                <w:b/>
                <w:sz w:val="20"/>
                <w:szCs w:val="20"/>
                <w:lang w:val="en-US"/>
              </w:rPr>
              <w:t>1115830 B.C. Ltd., 1104227 B.C. Ltd., Kang Yu Canning Zou also known as Kenny Zou and Harlow Holdings Ltd. v. Treasure Bay HK Limited and GM International Holding Limited</w:t>
            </w:r>
          </w:p>
          <w:p w:rsidR="00434D9A" w:rsidRPr="00CA7749" w:rsidRDefault="00434D9A" w:rsidP="00434D9A">
            <w:pPr>
              <w:jc w:val="both"/>
              <w:rPr>
                <w:sz w:val="20"/>
              </w:rPr>
            </w:pPr>
            <w:r w:rsidRPr="00CA7749">
              <w:rPr>
                <w:sz w:val="20"/>
              </w:rPr>
              <w:t>(B.C.) (Civil) (By Leave)</w:t>
            </w:r>
          </w:p>
        </w:tc>
      </w:tr>
      <w:tr w:rsidR="00434D9A" w:rsidRPr="00CA7749" w:rsidTr="004539FA">
        <w:tc>
          <w:tcPr>
            <w:tcW w:w="5000" w:type="pct"/>
            <w:gridSpan w:val="4"/>
          </w:tcPr>
          <w:p w:rsidR="00434D9A" w:rsidRPr="00CA7749" w:rsidRDefault="00434D9A" w:rsidP="00434D9A">
            <w:pPr>
              <w:jc w:val="both"/>
              <w:rPr>
                <w:sz w:val="20"/>
              </w:rPr>
            </w:pPr>
            <w:r w:rsidRPr="00CA7749">
              <w:rPr>
                <w:sz w:val="20"/>
              </w:rPr>
              <w:t>Commercial law — Corporations — Derivative actions — Whether a person seeking to bring a common law derivative action in Canada requires leave — If so, whether they must seek leave from the place of the proposed action, or the place where the entity for whose benefit the action is purportedly brought is domiciled — What is the test for changing Canadian common law.</w:t>
            </w:r>
          </w:p>
        </w:tc>
      </w:tr>
      <w:tr w:rsidR="00434D9A" w:rsidRPr="00CA7749" w:rsidTr="004539FA">
        <w:tc>
          <w:tcPr>
            <w:tcW w:w="5000" w:type="pct"/>
            <w:gridSpan w:val="4"/>
          </w:tcPr>
          <w:p w:rsidR="00434D9A" w:rsidRPr="00CA7749" w:rsidRDefault="00434D9A" w:rsidP="00434D9A">
            <w:pPr>
              <w:jc w:val="both"/>
              <w:rPr>
                <w:sz w:val="20"/>
              </w:rPr>
            </w:pPr>
          </w:p>
          <w:p w:rsidR="00434D9A" w:rsidRPr="00CA7749" w:rsidRDefault="00434D9A" w:rsidP="00434D9A">
            <w:pPr>
              <w:jc w:val="both"/>
              <w:rPr>
                <w:sz w:val="20"/>
              </w:rPr>
            </w:pPr>
            <w:r w:rsidRPr="00CA7749">
              <w:rPr>
                <w:sz w:val="20"/>
              </w:rPr>
              <w:t xml:space="preserve">The respondent, Treasure Bay HK Limited, is the only minority shareholder of the respondent, GM International Holding Limited (“GMIH”). Both are Hong Kong companies. Treasure Bay sought to bring a common law derivative action against the applicants, 1115830 B.C. Ltd., 1104227 B.C. Ltd., Harlow Holdings and Kang Yu Canning Zou, also known as Kenny Zou (together the “BC Defendants”). Mr. Zou is a British Columbia resident who owns and controls the corporate applicants which are all British Columbia companies. Mr. Zou is alleged to beneficially own and control the majority shareholder of GMIH, and acts as the </w:t>
            </w:r>
            <w:r w:rsidRPr="00CA7749">
              <w:rPr>
                <w:i/>
                <w:sz w:val="20"/>
              </w:rPr>
              <w:t>de facto</w:t>
            </w:r>
            <w:r w:rsidRPr="00CA7749">
              <w:rPr>
                <w:sz w:val="20"/>
              </w:rPr>
              <w:t xml:space="preserve"> director of GMIH. Treasure Bay’s derivative action is based on allegations that Mr. Zou, in breach of his fiduciary duties to GMIH, advanced $30 million to his British Columbia companies without adequate security. The companies defaulted on the loans and despite an alleged request to do so, Mr. Zou prevented GMIH from acting to recover the indebtedness. The loans are governed by British Columbia law, and British Columbia is the non-exclusive forum for actions relating to them. In the derivative action, Treasure Bay seeks damages for the losses suffered by GMIH, as well as an equitable interest in property located in British Columbia and owned by the BC Defendants. </w:t>
            </w:r>
          </w:p>
          <w:p w:rsidR="00434D9A" w:rsidRPr="00CA7749" w:rsidRDefault="00434D9A" w:rsidP="00434D9A">
            <w:pPr>
              <w:jc w:val="both"/>
              <w:rPr>
                <w:sz w:val="20"/>
              </w:rPr>
            </w:pPr>
          </w:p>
          <w:p w:rsidR="00434D9A" w:rsidRPr="00CA7749" w:rsidRDefault="00434D9A" w:rsidP="00434D9A">
            <w:pPr>
              <w:jc w:val="both"/>
              <w:rPr>
                <w:sz w:val="20"/>
              </w:rPr>
            </w:pPr>
            <w:r w:rsidRPr="00CA7749">
              <w:rPr>
                <w:sz w:val="20"/>
              </w:rPr>
              <w:t>The BC Defendants applied to strike Treasure Bay’s derivative action for failure to disclose a cause of action on the basis that Treasure Bay did not, as was required, first seek leave of the court to initiate the action. The applications judge dismissed the BC Defendants’ application to strike and the Court of Appeal dismissed their subsequent appeal.</w:t>
            </w:r>
          </w:p>
        </w:tc>
      </w:tr>
      <w:tr w:rsidR="00434D9A" w:rsidRPr="00CA7749" w:rsidTr="004539FA">
        <w:tc>
          <w:tcPr>
            <w:tcW w:w="5000" w:type="pct"/>
            <w:gridSpan w:val="4"/>
          </w:tcPr>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March 21, 2022</w:t>
            </w:r>
          </w:p>
          <w:p w:rsidR="00434D9A" w:rsidRPr="00CA7749" w:rsidRDefault="00434D9A" w:rsidP="00434D9A">
            <w:pPr>
              <w:jc w:val="both"/>
              <w:rPr>
                <w:sz w:val="20"/>
              </w:rPr>
            </w:pPr>
            <w:r w:rsidRPr="00CA7749">
              <w:rPr>
                <w:sz w:val="20"/>
              </w:rPr>
              <w:t>Supreme Court of British Columbia</w:t>
            </w:r>
          </w:p>
          <w:p w:rsidR="00434D9A" w:rsidRPr="00CA7749" w:rsidRDefault="00434D9A" w:rsidP="00434D9A">
            <w:pPr>
              <w:jc w:val="both"/>
              <w:rPr>
                <w:sz w:val="20"/>
              </w:rPr>
            </w:pPr>
            <w:r w:rsidRPr="00CA7749">
              <w:rPr>
                <w:sz w:val="20"/>
              </w:rPr>
              <w:t>(Brongers J.)</w:t>
            </w:r>
          </w:p>
          <w:p w:rsidR="00434D9A" w:rsidRPr="00CA7749" w:rsidRDefault="00CA7749" w:rsidP="00434D9A">
            <w:pPr>
              <w:jc w:val="both"/>
              <w:rPr>
                <w:sz w:val="20"/>
              </w:rPr>
            </w:pPr>
            <w:hyperlink r:id="rId24" w:history="1">
              <w:r w:rsidR="00434D9A" w:rsidRPr="00CA7749">
                <w:rPr>
                  <w:rStyle w:val="Hyperlink"/>
                  <w:sz w:val="20"/>
                </w:rPr>
                <w:t>2022 BCSC 761</w:t>
              </w:r>
            </w:hyperlink>
            <w:r w:rsidR="00434D9A" w:rsidRPr="00CA7749">
              <w:rPr>
                <w:sz w:val="20"/>
              </w:rPr>
              <w:t>; S219889</w:t>
            </w:r>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Applicants’ application to strike derivative action dismissed</w:t>
            </w:r>
          </w:p>
          <w:p w:rsidR="00434D9A" w:rsidRPr="00CA7749" w:rsidRDefault="00434D9A" w:rsidP="00434D9A">
            <w:pPr>
              <w:jc w:val="both"/>
              <w:rPr>
                <w:sz w:val="20"/>
              </w:rPr>
            </w:pPr>
            <w:r w:rsidRPr="00CA7749">
              <w:rPr>
                <w:sz w:val="20"/>
              </w:rPr>
              <w:t xml:space="preserve"> </w:t>
            </w:r>
          </w:p>
        </w:tc>
      </w:tr>
      <w:tr w:rsidR="00434D9A" w:rsidRPr="00CA7749" w:rsidTr="004539FA">
        <w:tc>
          <w:tcPr>
            <w:tcW w:w="2427" w:type="pct"/>
            <w:gridSpan w:val="2"/>
          </w:tcPr>
          <w:p w:rsidR="00434D9A" w:rsidRPr="00CA7749" w:rsidRDefault="00434D9A" w:rsidP="00434D9A">
            <w:pPr>
              <w:jc w:val="both"/>
              <w:rPr>
                <w:sz w:val="20"/>
              </w:rPr>
            </w:pPr>
            <w:r w:rsidRPr="00CA7749">
              <w:rPr>
                <w:sz w:val="20"/>
              </w:rPr>
              <w:t>November 14, 2022</w:t>
            </w:r>
          </w:p>
          <w:p w:rsidR="00434D9A" w:rsidRPr="00CA7749" w:rsidRDefault="00434D9A" w:rsidP="00434D9A">
            <w:pPr>
              <w:jc w:val="both"/>
              <w:rPr>
                <w:sz w:val="20"/>
              </w:rPr>
            </w:pPr>
            <w:r w:rsidRPr="00CA7749">
              <w:rPr>
                <w:sz w:val="20"/>
              </w:rPr>
              <w:t xml:space="preserve">Court of Appeal for British Columbia </w:t>
            </w:r>
          </w:p>
          <w:p w:rsidR="00434D9A" w:rsidRPr="00CA7749" w:rsidRDefault="00434D9A" w:rsidP="00434D9A">
            <w:pPr>
              <w:jc w:val="both"/>
              <w:rPr>
                <w:sz w:val="20"/>
              </w:rPr>
            </w:pPr>
            <w:r w:rsidRPr="00CA7749">
              <w:rPr>
                <w:sz w:val="20"/>
              </w:rPr>
              <w:t>(Vancouver)</w:t>
            </w:r>
          </w:p>
          <w:p w:rsidR="00434D9A" w:rsidRPr="00CA7749" w:rsidRDefault="00434D9A" w:rsidP="00434D9A">
            <w:pPr>
              <w:jc w:val="both"/>
              <w:rPr>
                <w:sz w:val="20"/>
              </w:rPr>
            </w:pPr>
            <w:r w:rsidRPr="00CA7749">
              <w:rPr>
                <w:sz w:val="20"/>
              </w:rPr>
              <w:t>(Harris, Fenlon and Abrioux JJ.A.)</w:t>
            </w:r>
          </w:p>
          <w:p w:rsidR="00434D9A" w:rsidRPr="00CA7749" w:rsidRDefault="00CA7749" w:rsidP="00434D9A">
            <w:pPr>
              <w:jc w:val="both"/>
              <w:rPr>
                <w:sz w:val="20"/>
              </w:rPr>
            </w:pPr>
            <w:hyperlink r:id="rId25" w:history="1">
              <w:r w:rsidR="00434D9A" w:rsidRPr="00CA7749">
                <w:rPr>
                  <w:rStyle w:val="Hyperlink"/>
                  <w:sz w:val="20"/>
                </w:rPr>
                <w:t>2022 BCCA 380</w:t>
              </w:r>
            </w:hyperlink>
            <w:r w:rsidR="00434D9A" w:rsidRPr="00CA7749">
              <w:rPr>
                <w:sz w:val="20"/>
              </w:rPr>
              <w:t>; CA48198</w:t>
            </w:r>
          </w:p>
          <w:p w:rsidR="00434D9A" w:rsidRPr="00CA7749" w:rsidRDefault="00434D9A" w:rsidP="00434D9A">
            <w:pPr>
              <w:jc w:val="both"/>
              <w:rPr>
                <w:sz w:val="20"/>
              </w:rPr>
            </w:pPr>
            <w:r w:rsidRPr="00CA7749">
              <w:rPr>
                <w:sz w:val="20"/>
              </w:rPr>
              <w:t xml:space="preserve"> </w:t>
            </w: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 xml:space="preserve">Appeal dismissed </w:t>
            </w:r>
          </w:p>
        </w:tc>
      </w:tr>
      <w:tr w:rsidR="00434D9A" w:rsidRPr="00CA7749" w:rsidTr="004539FA">
        <w:tc>
          <w:tcPr>
            <w:tcW w:w="2427" w:type="pct"/>
            <w:gridSpan w:val="2"/>
          </w:tcPr>
          <w:p w:rsidR="00434D9A" w:rsidRPr="00CA7749" w:rsidRDefault="00434D9A" w:rsidP="00434D9A">
            <w:pPr>
              <w:jc w:val="both"/>
              <w:rPr>
                <w:sz w:val="20"/>
              </w:rPr>
            </w:pPr>
            <w:r w:rsidRPr="00CA7749">
              <w:rPr>
                <w:sz w:val="20"/>
              </w:rPr>
              <w:t>January 13, 2023</w:t>
            </w:r>
          </w:p>
          <w:p w:rsidR="00434D9A" w:rsidRPr="00CA7749" w:rsidRDefault="00434D9A" w:rsidP="00434D9A">
            <w:pPr>
              <w:jc w:val="both"/>
              <w:rPr>
                <w:sz w:val="20"/>
              </w:rPr>
            </w:pPr>
            <w:r w:rsidRPr="00CA7749">
              <w:rPr>
                <w:sz w:val="20"/>
              </w:rPr>
              <w:t>Supreme Court of Canada</w:t>
            </w: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Application for leave to appeal filed</w:t>
            </w:r>
          </w:p>
          <w:p w:rsidR="00434D9A" w:rsidRPr="00CA7749" w:rsidRDefault="00434D9A" w:rsidP="00434D9A">
            <w:pPr>
              <w:jc w:val="both"/>
              <w:rPr>
                <w:sz w:val="20"/>
              </w:rPr>
            </w:pPr>
          </w:p>
        </w:tc>
      </w:tr>
    </w:tbl>
    <w:p w:rsidR="00434D9A" w:rsidRPr="00CA7749" w:rsidRDefault="00434D9A" w:rsidP="00434D9A">
      <w:pPr>
        <w:jc w:val="both"/>
        <w:rPr>
          <w:sz w:val="20"/>
        </w:rPr>
      </w:pPr>
    </w:p>
    <w:p w:rsidR="00434D9A" w:rsidRPr="00CA7749" w:rsidRDefault="00CA7749" w:rsidP="00434D9A">
      <w:pPr>
        <w:jc w:val="both"/>
        <w:rPr>
          <w:sz w:val="20"/>
        </w:rPr>
      </w:pPr>
      <w:r w:rsidRPr="00CA7749">
        <w:rPr>
          <w:sz w:val="20"/>
        </w:rPr>
        <w:pict>
          <v:rect id="_x0000_i1031" style="width:2in;height:1pt" o:hrpct="0" o:hralign="center" o:hrstd="t" o:hrnoshade="t" o:hr="t" fillcolor="black [3213]" stroked="f"/>
        </w:pict>
      </w:r>
    </w:p>
    <w:p w:rsidR="00434D9A" w:rsidRPr="00CA7749" w:rsidRDefault="00434D9A" w:rsidP="00434D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lang w:val="fr-CA"/>
              </w:rPr>
            </w:pPr>
            <w:r w:rsidRPr="00CA7749">
              <w:rPr>
                <w:rStyle w:val="SCCFileNumberChar"/>
                <w:sz w:val="20"/>
                <w:szCs w:val="20"/>
                <w:lang w:val="fr-CA"/>
              </w:rPr>
              <w:t>40562</w:t>
            </w:r>
          </w:p>
        </w:tc>
        <w:tc>
          <w:tcPr>
            <w:tcW w:w="4457" w:type="pct"/>
            <w:gridSpan w:val="3"/>
          </w:tcPr>
          <w:p w:rsidR="00434D9A" w:rsidRPr="00CA7749" w:rsidRDefault="00434D9A" w:rsidP="00434D9A">
            <w:pPr>
              <w:pStyle w:val="SCCLsocParty"/>
              <w:jc w:val="both"/>
              <w:rPr>
                <w:b/>
                <w:sz w:val="20"/>
                <w:szCs w:val="20"/>
              </w:rPr>
            </w:pPr>
            <w:r w:rsidRPr="00CA7749">
              <w:rPr>
                <w:b/>
                <w:sz w:val="20"/>
                <w:szCs w:val="20"/>
              </w:rPr>
              <w:t>1115830 B.C. Ltd., 1104227 B.C. Ltd., Kang Yu Canning Zou, également connu sous le nom de Kenny Zou, et Harlow Holdings Ltd. c. Treasure Bay HK Limited et GM International Holding Limited</w:t>
            </w:r>
          </w:p>
          <w:p w:rsidR="00434D9A" w:rsidRPr="00CA7749" w:rsidRDefault="00434D9A" w:rsidP="00434D9A">
            <w:pPr>
              <w:jc w:val="both"/>
              <w:rPr>
                <w:sz w:val="20"/>
                <w:lang w:val="fr-CA"/>
              </w:rPr>
            </w:pPr>
            <w:r w:rsidRPr="00CA7749">
              <w:rPr>
                <w:sz w:val="20"/>
                <w:lang w:val="fr-CA"/>
              </w:rPr>
              <w:t>(C.-B.) (Civile) (Sur autorisation)</w:t>
            </w:r>
          </w:p>
        </w:tc>
      </w:tr>
      <w:tr w:rsidR="00434D9A" w:rsidRPr="00CA7749" w:rsidTr="004539FA">
        <w:tc>
          <w:tcPr>
            <w:tcW w:w="5000" w:type="pct"/>
            <w:gridSpan w:val="4"/>
          </w:tcPr>
          <w:p w:rsidR="00434D9A" w:rsidRPr="00CA7749" w:rsidRDefault="00434D9A" w:rsidP="00434D9A">
            <w:pPr>
              <w:jc w:val="both"/>
              <w:rPr>
                <w:sz w:val="20"/>
                <w:lang w:val="fr-CA"/>
              </w:rPr>
            </w:pPr>
            <w:r w:rsidRPr="00CA7749">
              <w:rPr>
                <w:sz w:val="20"/>
                <w:lang w:val="fr-CA"/>
              </w:rPr>
              <w:t>Droit commercial — Sociétés par actions — Actions dérivées — Une autorisation est-elle requise avant d’intenter une action dérivée en common law au Canada ? — Dans l’affirmative, la demande d’autorisation doit-elle être présentée à partir du lieu de l’action proposée ou du lieu où l’entité au profit de laquelle l’action serait intentée est domiciliée ? — Quel est le critère permettant de modifier la common law au Canada ?</w:t>
            </w:r>
          </w:p>
        </w:tc>
      </w:tr>
      <w:tr w:rsidR="00434D9A" w:rsidRPr="00CA7749" w:rsidTr="004539FA">
        <w:tc>
          <w:tcPr>
            <w:tcW w:w="5000" w:type="pct"/>
            <w:gridSpan w:val="4"/>
          </w:tcPr>
          <w:p w:rsidR="00434D9A" w:rsidRPr="00CA7749" w:rsidRDefault="00434D9A" w:rsidP="00434D9A">
            <w:pPr>
              <w:jc w:val="both"/>
              <w:rPr>
                <w:sz w:val="20"/>
                <w:lang w:val="fr-CA"/>
              </w:rPr>
            </w:pPr>
          </w:p>
          <w:p w:rsidR="00434D9A" w:rsidRPr="00CA7749" w:rsidRDefault="00434D9A" w:rsidP="00434D9A">
            <w:pPr>
              <w:jc w:val="both"/>
              <w:rPr>
                <w:sz w:val="20"/>
                <w:lang w:val="fr-CA"/>
              </w:rPr>
            </w:pPr>
            <w:r w:rsidRPr="00CA7749">
              <w:rPr>
                <w:sz w:val="20"/>
                <w:lang w:val="fr-CA"/>
              </w:rPr>
              <w:t>L’intimée, Treasure Bay HK Limited, est la seule actionnaire minoritaire de l’intimée, GM International Holding Limited (« GMIH »). Les deux entités sont des sociétés de Hong Kong. Treasure Bay a intenté une action dérivée en common law contre les demandeurs, 1115830 B.C. Ltd., 1104227 B.C. Ltd., Harlow Holdings et Kang Yu Canning Zou, également connu sous le nom de Kenny Zou (collectivement, les « défendeurs de la C.-B. »). Monsieur Zou est un résident de la Colombie-Britannique qui détient et contrôle les sociétés demanderesses qui sont toutes des sociétés de la Colombie-Britannique. Monsieur Zou serait le propriétaire bénéficiaire et contrôlerait les actionnaires majoritaires de GMIH, et il agit en qualité de dirigeant de fait de GMIH. L’action dérivée de Treasure Bay est fondée sur les allégations voulant que M. Zou ait avancé 30 millions de dollars à ses sociétés de la Colombie-Britannique sans garantie adéquate, en violation de ses obligations fiduciaires envers GMIH. Les sociétés ont manqué à leurs engagements aux termes des prêts et M. Zou aurait empêché GMIH d’agir afin de recouvrer les dettes, malgré le fait qu’on lui aurait demandé de le faire. Les prêts sont régis par les lois de la Colombie-Britannique, et cette province et le forum non exclusif pour intenter des actions s’y rapportant. Dans le cadre de l’action dérivée, Treasure Bay demande des dommages-intérêts pour les pertes subies par GMIH, ainsi qu’un intérêt en equity dans des biens-fonds situés en Colombie-Britannique, qui appartiennent aux défendeurs de la C.-B.</w:t>
            </w:r>
          </w:p>
          <w:p w:rsidR="00434D9A" w:rsidRPr="00CA7749" w:rsidRDefault="00434D9A" w:rsidP="00434D9A">
            <w:pPr>
              <w:jc w:val="both"/>
              <w:rPr>
                <w:sz w:val="20"/>
                <w:lang w:val="fr-CA"/>
              </w:rPr>
            </w:pPr>
          </w:p>
          <w:p w:rsidR="00434D9A" w:rsidRPr="00CA7749" w:rsidRDefault="00434D9A" w:rsidP="00434D9A">
            <w:pPr>
              <w:jc w:val="both"/>
              <w:rPr>
                <w:sz w:val="20"/>
                <w:lang w:val="fr-CA"/>
              </w:rPr>
            </w:pPr>
            <w:r w:rsidRPr="00CA7749">
              <w:rPr>
                <w:sz w:val="20"/>
                <w:lang w:val="fr-CA"/>
              </w:rPr>
              <w:t>Les défendeurs de la C.-B. ont demandé la radiation de l’action dérivée intentée par Treasure Bay parce qu’elle ne révèle aucune cause d’action, se fondant sur le fait que Treasure Bay n’a pas d’abord demandé l’autorisation du tribunal avant d’intenter l’action comme elle était exigée de le faire. Le juge saisi de la demande a rejeté la demande de radiation des défendeurs de la C.-B. et la Cour d’appel a rejeté l’appel subséquemment interjeté par ces derniers.</w:t>
            </w:r>
          </w:p>
        </w:tc>
      </w:tr>
      <w:tr w:rsidR="00434D9A" w:rsidRPr="00CA7749" w:rsidTr="004539FA">
        <w:tc>
          <w:tcPr>
            <w:tcW w:w="5000" w:type="pct"/>
            <w:gridSpan w:val="4"/>
          </w:tcPr>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21 mars 2022</w:t>
            </w:r>
          </w:p>
          <w:p w:rsidR="00434D9A" w:rsidRPr="00CA7749" w:rsidRDefault="00434D9A" w:rsidP="00434D9A">
            <w:pPr>
              <w:jc w:val="both"/>
              <w:rPr>
                <w:sz w:val="20"/>
                <w:lang w:val="fr-CA"/>
              </w:rPr>
            </w:pPr>
            <w:r w:rsidRPr="00CA7749">
              <w:rPr>
                <w:sz w:val="20"/>
                <w:lang w:val="fr-CA"/>
              </w:rPr>
              <w:t xml:space="preserve">Cour suprême de la Colombie-Britannique </w:t>
            </w:r>
          </w:p>
          <w:p w:rsidR="00434D9A" w:rsidRPr="00CA7749" w:rsidRDefault="00434D9A" w:rsidP="00434D9A">
            <w:pPr>
              <w:jc w:val="both"/>
              <w:rPr>
                <w:sz w:val="20"/>
                <w:lang w:val="fr-CA"/>
              </w:rPr>
            </w:pPr>
            <w:r w:rsidRPr="00CA7749">
              <w:rPr>
                <w:sz w:val="20"/>
                <w:lang w:val="fr-CA"/>
              </w:rPr>
              <w:t>(juges Brongers)</w:t>
            </w:r>
          </w:p>
          <w:p w:rsidR="00434D9A" w:rsidRPr="00CA7749" w:rsidRDefault="00CA7749" w:rsidP="00434D9A">
            <w:pPr>
              <w:jc w:val="both"/>
              <w:rPr>
                <w:sz w:val="20"/>
                <w:lang w:val="fr-CA"/>
              </w:rPr>
            </w:pPr>
            <w:hyperlink r:id="rId26" w:history="1">
              <w:r w:rsidR="00434D9A" w:rsidRPr="00CA7749">
                <w:rPr>
                  <w:rStyle w:val="Hyperlink"/>
                  <w:sz w:val="20"/>
                  <w:lang w:val="fr-CA"/>
                </w:rPr>
                <w:t>2022 BCSC 761</w:t>
              </w:r>
            </w:hyperlink>
            <w:r w:rsidR="00434D9A" w:rsidRPr="00CA7749">
              <w:rPr>
                <w:sz w:val="20"/>
                <w:lang w:val="fr-CA"/>
              </w:rPr>
              <w:t>; S219889</w:t>
            </w:r>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demande des demandeurs en radiation de l’action dérivée est rejetée.</w:t>
            </w:r>
          </w:p>
          <w:p w:rsidR="00434D9A" w:rsidRPr="00CA7749" w:rsidRDefault="00434D9A" w:rsidP="00434D9A">
            <w:pPr>
              <w:jc w:val="both"/>
              <w:rPr>
                <w:sz w:val="20"/>
                <w:lang w:val="fr-CA"/>
              </w:rPr>
            </w:pPr>
            <w:r w:rsidRPr="00CA7749">
              <w:rPr>
                <w:sz w:val="20"/>
                <w:lang w:val="fr-CA"/>
              </w:rPr>
              <w:t xml:space="preserve"> </w:t>
            </w: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14 novembre 2022</w:t>
            </w:r>
          </w:p>
          <w:p w:rsidR="00434D9A" w:rsidRPr="00CA7749" w:rsidRDefault="00434D9A" w:rsidP="00434D9A">
            <w:pPr>
              <w:jc w:val="both"/>
              <w:rPr>
                <w:sz w:val="20"/>
                <w:lang w:val="fr-CA"/>
              </w:rPr>
            </w:pPr>
            <w:r w:rsidRPr="00CA7749">
              <w:rPr>
                <w:sz w:val="20"/>
                <w:lang w:val="fr-CA"/>
              </w:rPr>
              <w:t>Cour d’appel de la Colombie-Britannique</w:t>
            </w:r>
          </w:p>
          <w:p w:rsidR="00434D9A" w:rsidRPr="00CA7749" w:rsidRDefault="00434D9A" w:rsidP="00434D9A">
            <w:pPr>
              <w:jc w:val="both"/>
              <w:rPr>
                <w:sz w:val="20"/>
                <w:lang w:val="fr-CA"/>
              </w:rPr>
            </w:pPr>
            <w:r w:rsidRPr="00CA7749">
              <w:rPr>
                <w:sz w:val="20"/>
                <w:lang w:val="fr-CA"/>
              </w:rPr>
              <w:t>(Vancouver)</w:t>
            </w:r>
          </w:p>
          <w:p w:rsidR="00434D9A" w:rsidRPr="00CA7749" w:rsidRDefault="00434D9A" w:rsidP="00434D9A">
            <w:pPr>
              <w:jc w:val="both"/>
              <w:rPr>
                <w:sz w:val="20"/>
                <w:lang w:val="fr-CA"/>
              </w:rPr>
            </w:pPr>
            <w:r w:rsidRPr="00CA7749">
              <w:rPr>
                <w:sz w:val="20"/>
                <w:lang w:val="fr-CA"/>
              </w:rPr>
              <w:t>(juges Harris, Fenlon et Abrioux)</w:t>
            </w:r>
          </w:p>
          <w:p w:rsidR="00434D9A" w:rsidRPr="00CA7749" w:rsidRDefault="00CA7749" w:rsidP="00434D9A">
            <w:pPr>
              <w:jc w:val="both"/>
              <w:rPr>
                <w:sz w:val="20"/>
                <w:lang w:val="fr-CA"/>
              </w:rPr>
            </w:pPr>
            <w:hyperlink r:id="rId27" w:history="1">
              <w:r w:rsidR="00434D9A" w:rsidRPr="00CA7749">
                <w:rPr>
                  <w:rStyle w:val="Hyperlink"/>
                  <w:sz w:val="20"/>
                  <w:lang w:val="fr-CA"/>
                </w:rPr>
                <w:t>2022 BCCA 380</w:t>
              </w:r>
            </w:hyperlink>
            <w:r w:rsidR="00434D9A" w:rsidRPr="00CA7749">
              <w:rPr>
                <w:sz w:val="20"/>
                <w:lang w:val="fr-CA"/>
              </w:rPr>
              <w:t>; CA48198</w:t>
            </w:r>
          </w:p>
          <w:p w:rsidR="00434D9A" w:rsidRPr="00CA7749" w:rsidRDefault="00434D9A" w:rsidP="00434D9A">
            <w:pPr>
              <w:jc w:val="both"/>
              <w:rPr>
                <w:sz w:val="20"/>
                <w:lang w:val="fr-CA"/>
              </w:rPr>
            </w:pPr>
            <w:r w:rsidRPr="00CA7749">
              <w:rPr>
                <w:sz w:val="20"/>
                <w:lang w:val="fr-CA"/>
              </w:rPr>
              <w:t xml:space="preserve"> </w:t>
            </w: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 xml:space="preserve">L’appel est rejeté. </w:t>
            </w: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13 janvier 2023</w:t>
            </w:r>
          </w:p>
          <w:p w:rsidR="00434D9A" w:rsidRPr="00CA7749" w:rsidRDefault="00434D9A" w:rsidP="00434D9A">
            <w:pPr>
              <w:jc w:val="both"/>
              <w:rPr>
                <w:sz w:val="20"/>
                <w:lang w:val="fr-CA"/>
              </w:rPr>
            </w:pPr>
            <w:r w:rsidRPr="00CA7749">
              <w:rPr>
                <w:sz w:val="20"/>
                <w:lang w:val="fr-CA"/>
              </w:rPr>
              <w:t>Cour suprême du Canada</w:t>
            </w: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demande d’autorisation d’appel est présentée.</w:t>
            </w:r>
          </w:p>
          <w:p w:rsidR="00434D9A" w:rsidRPr="00CA7749" w:rsidRDefault="00434D9A" w:rsidP="00434D9A">
            <w:pPr>
              <w:jc w:val="both"/>
              <w:rPr>
                <w:sz w:val="20"/>
                <w:lang w:val="fr-CA"/>
              </w:rPr>
            </w:pPr>
          </w:p>
        </w:tc>
      </w:tr>
    </w:tbl>
    <w:p w:rsidR="00434D9A" w:rsidRPr="00CA7749" w:rsidRDefault="00434D9A" w:rsidP="00434D9A">
      <w:pPr>
        <w:jc w:val="both"/>
        <w:rPr>
          <w:sz w:val="20"/>
          <w:lang w:val="fr-CA"/>
        </w:rPr>
      </w:pPr>
    </w:p>
    <w:p w:rsidR="00434D9A" w:rsidRPr="00CA7749" w:rsidRDefault="00CA7749" w:rsidP="00434D9A">
      <w:pPr>
        <w:jc w:val="both"/>
        <w:rPr>
          <w:sz w:val="20"/>
          <w:lang w:val="fr-CA"/>
        </w:rPr>
      </w:pPr>
      <w:r w:rsidRPr="00CA7749">
        <w:rPr>
          <w:sz w:val="20"/>
        </w:rPr>
        <w:pict>
          <v:rect id="_x0000_i1032" style="width:2in;height:1pt" o:hrpct="0" o:hralign="center" o:hrstd="t" o:hrnoshade="t" o:hr="t" fillcolor="black [3213]" stroked="f"/>
        </w:pict>
      </w:r>
    </w:p>
    <w:p w:rsidR="00434D9A" w:rsidRPr="00CA7749" w:rsidRDefault="00434D9A" w:rsidP="00434D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rPr>
            </w:pPr>
            <w:r w:rsidRPr="00CA7749">
              <w:rPr>
                <w:rStyle w:val="SCCFileNumberChar"/>
                <w:sz w:val="20"/>
                <w:szCs w:val="20"/>
              </w:rPr>
              <w:t>40563</w:t>
            </w:r>
          </w:p>
        </w:tc>
        <w:tc>
          <w:tcPr>
            <w:tcW w:w="4457" w:type="pct"/>
            <w:gridSpan w:val="3"/>
          </w:tcPr>
          <w:p w:rsidR="00434D9A" w:rsidRPr="00CA7749" w:rsidRDefault="00434D9A" w:rsidP="00434D9A">
            <w:pPr>
              <w:pStyle w:val="SCCLsocParty"/>
              <w:jc w:val="both"/>
              <w:rPr>
                <w:b/>
                <w:sz w:val="20"/>
                <w:szCs w:val="20"/>
                <w:lang w:val="en-US"/>
              </w:rPr>
            </w:pPr>
            <w:r w:rsidRPr="00CA7749">
              <w:rPr>
                <w:b/>
                <w:sz w:val="20"/>
                <w:szCs w:val="20"/>
                <w:lang w:val="en-US"/>
              </w:rPr>
              <w:t>Mark McDonald of Grant Thornton (British Virgin Islands) Limited and Hugh Dickson of Grant Thornton Specialist Services (Cayman) Ltd., acting together herein in their capacities as Joint Liquidators of Stanford International Bank Limited v. Toronto-Dominion Bank</w:t>
            </w:r>
          </w:p>
          <w:p w:rsidR="00434D9A" w:rsidRPr="00CA7749" w:rsidRDefault="00434D9A" w:rsidP="00434D9A">
            <w:pPr>
              <w:jc w:val="both"/>
              <w:rPr>
                <w:sz w:val="20"/>
              </w:rPr>
            </w:pPr>
            <w:r w:rsidRPr="00CA7749">
              <w:rPr>
                <w:sz w:val="20"/>
              </w:rPr>
              <w:t>(Ont.) (Civil) (By Leave)</w:t>
            </w:r>
          </w:p>
        </w:tc>
      </w:tr>
      <w:tr w:rsidR="00434D9A" w:rsidRPr="00CA7749" w:rsidTr="004539FA">
        <w:tc>
          <w:tcPr>
            <w:tcW w:w="5000" w:type="pct"/>
            <w:gridSpan w:val="4"/>
          </w:tcPr>
          <w:p w:rsidR="00434D9A" w:rsidRPr="00CA7749" w:rsidRDefault="00434D9A" w:rsidP="00434D9A">
            <w:pPr>
              <w:jc w:val="both"/>
              <w:rPr>
                <w:sz w:val="20"/>
              </w:rPr>
            </w:pPr>
            <w:r w:rsidRPr="00CA7749">
              <w:rPr>
                <w:sz w:val="20"/>
              </w:rPr>
              <w:t>Torts — Negligence — Banks — Ponzi scheme used as vehicle to defraud bank’s customers of over seven billion dollars — Upon liquidation, international bank commencing action against TD Bank, claiming it was negligent in provision of services — TD Bank found not liable for losses sustained as result of fraudulent scheme — When services of Canadian banks are used to perpetrate fraud, can a duty of care in negligence arise only if banks had actual, subjective knowledge of fraud.</w:t>
            </w:r>
          </w:p>
        </w:tc>
      </w:tr>
      <w:tr w:rsidR="00434D9A" w:rsidRPr="00CA7749" w:rsidTr="004539FA">
        <w:tc>
          <w:tcPr>
            <w:tcW w:w="5000" w:type="pct"/>
            <w:gridSpan w:val="4"/>
          </w:tcPr>
          <w:p w:rsidR="00434D9A" w:rsidRPr="00CA7749" w:rsidRDefault="00434D9A" w:rsidP="00434D9A">
            <w:pPr>
              <w:jc w:val="both"/>
              <w:rPr>
                <w:sz w:val="20"/>
              </w:rPr>
            </w:pPr>
          </w:p>
          <w:p w:rsidR="00434D9A" w:rsidRPr="00CA7749" w:rsidRDefault="00434D9A" w:rsidP="00434D9A">
            <w:pPr>
              <w:jc w:val="both"/>
              <w:rPr>
                <w:sz w:val="20"/>
              </w:rPr>
            </w:pPr>
            <w:r w:rsidRPr="00CA7749">
              <w:rPr>
                <w:sz w:val="20"/>
              </w:rPr>
              <w:t>Stanford International Bank Ltd. (“SIB”) was used as a vehicle to defraud the bank’s customers of over seven billion dollars. The respondent, Toronto Dominion Bank (“TD Bank”) acted as SIB’s primary U.S. dollar correspondent bank and was responsible for receiving funds from and disbursing funds to purchasers of SIB’s certificates of deposit.</w:t>
            </w:r>
          </w:p>
          <w:p w:rsidR="00434D9A" w:rsidRPr="00CA7749" w:rsidRDefault="00434D9A" w:rsidP="00434D9A">
            <w:pPr>
              <w:jc w:val="both"/>
              <w:rPr>
                <w:sz w:val="20"/>
              </w:rPr>
            </w:pPr>
          </w:p>
          <w:p w:rsidR="00434D9A" w:rsidRPr="00CA7749" w:rsidRDefault="00434D9A" w:rsidP="00434D9A">
            <w:pPr>
              <w:jc w:val="both"/>
              <w:rPr>
                <w:sz w:val="20"/>
              </w:rPr>
            </w:pPr>
            <w:r w:rsidRPr="00CA7749">
              <w:rPr>
                <w:sz w:val="20"/>
              </w:rPr>
              <w:t xml:space="preserve">Upon SIB’s collapse, it was placed into liquidation. The applicants, Mark McDonald of Grant Thornton (British Virgin Islands) Limited and Hugh Dickson of Grant Thornton Specialist Services (Cayman) Ltd., acting together herein in their capacities as Joint Liquidators of Stanford International Bank Limited (“Joint Liquidators”) commenced an action on behalf of SIB against TD Bank, claiming: (1) it was liable to SIB for knowing assistance in breach of fiduciary duty; and (2) it was negligent in the provision of services. </w:t>
            </w:r>
          </w:p>
          <w:p w:rsidR="00434D9A" w:rsidRPr="00CA7749" w:rsidRDefault="00434D9A" w:rsidP="00434D9A">
            <w:pPr>
              <w:jc w:val="both"/>
              <w:rPr>
                <w:sz w:val="20"/>
              </w:rPr>
            </w:pPr>
          </w:p>
          <w:p w:rsidR="00434D9A" w:rsidRPr="00CA7749" w:rsidRDefault="00434D9A" w:rsidP="00434D9A">
            <w:pPr>
              <w:jc w:val="both"/>
              <w:rPr>
                <w:sz w:val="20"/>
              </w:rPr>
            </w:pPr>
            <w:r w:rsidRPr="00CA7749">
              <w:rPr>
                <w:sz w:val="20"/>
              </w:rPr>
              <w:t>At trial, the Joint Liquidators’ action was dismissed. The Joint Liquidators appealed only from the dismissal of the negligence claim. The appeal was dismissed at the Court of Appeal.</w:t>
            </w:r>
          </w:p>
        </w:tc>
      </w:tr>
      <w:tr w:rsidR="00434D9A" w:rsidRPr="00CA7749" w:rsidTr="004539FA">
        <w:tc>
          <w:tcPr>
            <w:tcW w:w="5000" w:type="pct"/>
            <w:gridSpan w:val="4"/>
            <w:tcBorders>
              <w:top w:val="nil"/>
              <w:left w:val="nil"/>
              <w:bottom w:val="nil"/>
              <w:right w:val="nil"/>
            </w:tcBorders>
          </w:tcPr>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June 8, 2021</w:t>
            </w:r>
          </w:p>
          <w:p w:rsidR="00434D9A" w:rsidRPr="00CA7749" w:rsidRDefault="00434D9A" w:rsidP="00434D9A">
            <w:pPr>
              <w:jc w:val="both"/>
              <w:rPr>
                <w:sz w:val="20"/>
              </w:rPr>
            </w:pPr>
            <w:r w:rsidRPr="00CA7749">
              <w:rPr>
                <w:sz w:val="20"/>
              </w:rPr>
              <w:t>Ontario Superior Court of Justice</w:t>
            </w:r>
          </w:p>
          <w:p w:rsidR="00434D9A" w:rsidRPr="00CA7749" w:rsidRDefault="00434D9A" w:rsidP="00434D9A">
            <w:pPr>
              <w:jc w:val="both"/>
              <w:rPr>
                <w:sz w:val="20"/>
              </w:rPr>
            </w:pPr>
            <w:r w:rsidRPr="00CA7749">
              <w:rPr>
                <w:sz w:val="20"/>
              </w:rPr>
              <w:t>(Conway J.)</w:t>
            </w:r>
          </w:p>
          <w:p w:rsidR="00434D9A" w:rsidRPr="00CA7749" w:rsidRDefault="00CA7749" w:rsidP="00434D9A">
            <w:pPr>
              <w:jc w:val="both"/>
              <w:rPr>
                <w:sz w:val="20"/>
              </w:rPr>
            </w:pPr>
            <w:hyperlink r:id="rId28" w:history="1">
              <w:r w:rsidR="00434D9A" w:rsidRPr="00CA7749">
                <w:rPr>
                  <w:rStyle w:val="Hyperlink"/>
                  <w:sz w:val="20"/>
                </w:rPr>
                <w:t>2021 ONSC 3872</w:t>
              </w:r>
            </w:hyperlink>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TD Bank not liable for losses sustained as a result of fraudulent scheme. Actions dismissed.</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November 17, 2022</w:t>
            </w:r>
          </w:p>
          <w:p w:rsidR="00434D9A" w:rsidRPr="00CA7749" w:rsidRDefault="00434D9A" w:rsidP="00434D9A">
            <w:pPr>
              <w:jc w:val="both"/>
              <w:rPr>
                <w:sz w:val="20"/>
              </w:rPr>
            </w:pPr>
            <w:r w:rsidRPr="00CA7749">
              <w:rPr>
                <w:sz w:val="20"/>
              </w:rPr>
              <w:t>Court of Appeal for Ontario</w:t>
            </w:r>
          </w:p>
          <w:p w:rsidR="00434D9A" w:rsidRPr="00CA7749" w:rsidRDefault="00434D9A" w:rsidP="00434D9A">
            <w:pPr>
              <w:jc w:val="both"/>
              <w:rPr>
                <w:sz w:val="20"/>
              </w:rPr>
            </w:pPr>
            <w:r w:rsidRPr="00CA7749">
              <w:rPr>
                <w:sz w:val="20"/>
              </w:rPr>
              <w:t xml:space="preserve">(Fairburn A.C.J.O. and Sossin and Favreau </w:t>
            </w:r>
          </w:p>
          <w:p w:rsidR="00434D9A" w:rsidRPr="00CA7749" w:rsidRDefault="00434D9A" w:rsidP="00434D9A">
            <w:pPr>
              <w:jc w:val="both"/>
              <w:rPr>
                <w:sz w:val="20"/>
              </w:rPr>
            </w:pPr>
            <w:r w:rsidRPr="00CA7749">
              <w:rPr>
                <w:sz w:val="20"/>
              </w:rPr>
              <w:t>JJ.A.)</w:t>
            </w:r>
          </w:p>
          <w:p w:rsidR="00434D9A" w:rsidRPr="00CA7749" w:rsidRDefault="00CA7749" w:rsidP="00434D9A">
            <w:pPr>
              <w:tabs>
                <w:tab w:val="center" w:pos="2215"/>
              </w:tabs>
              <w:jc w:val="both"/>
              <w:rPr>
                <w:sz w:val="20"/>
              </w:rPr>
            </w:pPr>
            <w:hyperlink r:id="rId29" w:history="1">
              <w:r w:rsidR="00434D9A" w:rsidRPr="00CA7749">
                <w:rPr>
                  <w:rStyle w:val="Hyperlink"/>
                  <w:sz w:val="20"/>
                </w:rPr>
                <w:t>2022 ONCA 788</w:t>
              </w:r>
            </w:hyperlink>
          </w:p>
          <w:p w:rsidR="00434D9A" w:rsidRPr="00CA7749" w:rsidRDefault="00434D9A" w:rsidP="00434D9A">
            <w:pPr>
              <w:jc w:val="both"/>
              <w:rPr>
                <w:sz w:val="20"/>
              </w:rPr>
            </w:pPr>
            <w:r w:rsidRPr="00CA7749">
              <w:rPr>
                <w:sz w:val="20"/>
              </w:rPr>
              <w:t>C69642</w:t>
            </w:r>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Appeal dismissed.</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January 16, 2023</w:t>
            </w:r>
          </w:p>
          <w:p w:rsidR="00434D9A" w:rsidRPr="00CA7749" w:rsidRDefault="00434D9A" w:rsidP="00434D9A">
            <w:pPr>
              <w:jc w:val="both"/>
              <w:rPr>
                <w:sz w:val="20"/>
              </w:rPr>
            </w:pPr>
            <w:r w:rsidRPr="00CA7749">
              <w:rPr>
                <w:sz w:val="20"/>
              </w:rPr>
              <w:t>Supreme Court of Canada</w:t>
            </w: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Application for leave to appeal filed.</w:t>
            </w:r>
          </w:p>
          <w:p w:rsidR="00434D9A" w:rsidRPr="00CA7749" w:rsidRDefault="00434D9A" w:rsidP="00434D9A">
            <w:pPr>
              <w:jc w:val="both"/>
              <w:rPr>
                <w:sz w:val="20"/>
              </w:rPr>
            </w:pPr>
          </w:p>
        </w:tc>
      </w:tr>
    </w:tbl>
    <w:p w:rsidR="00434D9A" w:rsidRPr="00CA7749" w:rsidRDefault="00434D9A" w:rsidP="00434D9A">
      <w:pPr>
        <w:jc w:val="both"/>
        <w:rPr>
          <w:sz w:val="20"/>
        </w:rPr>
      </w:pPr>
    </w:p>
    <w:p w:rsidR="00434D9A" w:rsidRPr="00CA7749" w:rsidRDefault="00CA7749" w:rsidP="00434D9A">
      <w:pPr>
        <w:jc w:val="both"/>
        <w:rPr>
          <w:sz w:val="20"/>
        </w:rPr>
      </w:pPr>
      <w:r w:rsidRPr="00CA7749">
        <w:rPr>
          <w:sz w:val="20"/>
        </w:rPr>
        <w:pict>
          <v:rect id="_x0000_i1033" style="width:2in;height:1pt" o:hrpct="0" o:hralign="center" o:hrstd="t" o:hrnoshade="t" o:hr="t" fillcolor="black [3213]" stroked="f"/>
        </w:pict>
      </w:r>
    </w:p>
    <w:p w:rsidR="00434D9A" w:rsidRPr="00CA7749" w:rsidRDefault="00434D9A" w:rsidP="00434D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lang w:val="fr-CA"/>
              </w:rPr>
            </w:pPr>
            <w:r w:rsidRPr="00CA7749">
              <w:rPr>
                <w:rStyle w:val="SCCFileNumberChar"/>
                <w:sz w:val="20"/>
                <w:szCs w:val="20"/>
                <w:lang w:val="fr-CA"/>
              </w:rPr>
              <w:t>40563</w:t>
            </w:r>
          </w:p>
        </w:tc>
        <w:tc>
          <w:tcPr>
            <w:tcW w:w="4457" w:type="pct"/>
            <w:gridSpan w:val="3"/>
          </w:tcPr>
          <w:p w:rsidR="00434D9A" w:rsidRPr="00CA7749" w:rsidRDefault="00434D9A" w:rsidP="00434D9A">
            <w:pPr>
              <w:pStyle w:val="SCCLsocParty"/>
              <w:jc w:val="both"/>
              <w:rPr>
                <w:b/>
                <w:sz w:val="20"/>
                <w:szCs w:val="20"/>
              </w:rPr>
            </w:pPr>
            <w:r w:rsidRPr="00CA7749">
              <w:rPr>
                <w:b/>
                <w:sz w:val="20"/>
                <w:szCs w:val="20"/>
              </w:rPr>
              <w:t>Mark McDonald de Grant Thornton (British Virgin Islands) Limited et Hugh Dickson de Grant Thornton Specialist Services (Cayman) Ltd., agissant ensemble en leur qualité de liquidateurs conjoints de Stanford International Bank Limited c. Banque Toronto-Dominion</w:t>
            </w:r>
          </w:p>
          <w:p w:rsidR="00434D9A" w:rsidRPr="00CA7749" w:rsidRDefault="00434D9A" w:rsidP="00434D9A">
            <w:pPr>
              <w:jc w:val="both"/>
              <w:rPr>
                <w:sz w:val="20"/>
                <w:lang w:val="fr-CA"/>
              </w:rPr>
            </w:pPr>
            <w:r w:rsidRPr="00CA7749">
              <w:rPr>
                <w:sz w:val="20"/>
                <w:lang w:val="fr-CA"/>
              </w:rPr>
              <w:t>(Ont.) (Civile) (Sur autorisation)</w:t>
            </w:r>
          </w:p>
        </w:tc>
      </w:tr>
      <w:tr w:rsidR="00434D9A" w:rsidRPr="00CA7749" w:rsidTr="004539FA">
        <w:tc>
          <w:tcPr>
            <w:tcW w:w="5000" w:type="pct"/>
            <w:gridSpan w:val="4"/>
          </w:tcPr>
          <w:p w:rsidR="00434D9A" w:rsidRPr="00CA7749" w:rsidRDefault="00434D9A" w:rsidP="00434D9A">
            <w:pPr>
              <w:jc w:val="both"/>
              <w:rPr>
                <w:sz w:val="20"/>
                <w:lang w:val="fr-CA"/>
              </w:rPr>
            </w:pPr>
            <w:r w:rsidRPr="00CA7749">
              <w:rPr>
                <w:sz w:val="20"/>
                <w:lang w:val="fr-CA"/>
              </w:rPr>
              <w:t>Responsabilité délictuelle — Négligence — Banques — Un stratagème de type Ponzi a été utilisé comme organe afin de frauder des clients d’une banque pour plus de sept milliards de dollars — Au moment de la liquidation, la banque internationale a intenté une action contre la Banque TD, alléguant que cette dernière avait été négligence dans la prestation de ses services — La Banque TD a été déclarée non responsable des pertes subies en raison du stratagème frauduleux — Lorsque des services offerts par des banques canadiennes sont utilisés afin de commettre la fraude, une obligation de diligence en droit de la négligence prend-elle seulement naissance si les banques avaient une connaissance réelle et subjective de la fraude commise ?</w:t>
            </w:r>
          </w:p>
        </w:tc>
      </w:tr>
      <w:tr w:rsidR="00434D9A" w:rsidRPr="00CA7749" w:rsidTr="004539FA">
        <w:tc>
          <w:tcPr>
            <w:tcW w:w="5000" w:type="pct"/>
            <w:gridSpan w:val="4"/>
          </w:tcPr>
          <w:p w:rsidR="00434D9A" w:rsidRPr="00CA7749" w:rsidRDefault="00434D9A" w:rsidP="00434D9A">
            <w:pPr>
              <w:jc w:val="both"/>
              <w:rPr>
                <w:sz w:val="20"/>
                <w:lang w:val="fr-CA"/>
              </w:rPr>
            </w:pPr>
          </w:p>
          <w:p w:rsidR="00434D9A" w:rsidRPr="00CA7749" w:rsidRDefault="00434D9A" w:rsidP="00434D9A">
            <w:pPr>
              <w:jc w:val="both"/>
              <w:rPr>
                <w:sz w:val="20"/>
                <w:lang w:val="fr-CA"/>
              </w:rPr>
            </w:pPr>
            <w:r w:rsidRPr="00CA7749">
              <w:rPr>
                <w:sz w:val="20"/>
                <w:lang w:val="fr-CA"/>
              </w:rPr>
              <w:t>La banque Stanford International Bank Ltd. (« SIB ») a été utilisée comme organe afin de frauder les clients de cette banque pour plus de sept milliards de dollars. L’intimée, la Banque Toronto Dominion (« Banque TD »), agissait à titre de banque correspondante principale de SIB aux fins de devise américaine et était chargée de recevoir des fonds des acheteurs de certificats de dépôt de la SIB et de distribuer des fonds à ces derniers.</w:t>
            </w:r>
          </w:p>
          <w:p w:rsidR="00434D9A" w:rsidRPr="00CA7749" w:rsidRDefault="00434D9A" w:rsidP="00434D9A">
            <w:pPr>
              <w:jc w:val="both"/>
              <w:rPr>
                <w:sz w:val="20"/>
                <w:lang w:val="fr-CA"/>
              </w:rPr>
            </w:pPr>
          </w:p>
          <w:p w:rsidR="00434D9A" w:rsidRPr="00CA7749" w:rsidRDefault="00434D9A" w:rsidP="00434D9A">
            <w:pPr>
              <w:jc w:val="both"/>
              <w:rPr>
                <w:sz w:val="20"/>
                <w:lang w:val="fr-CA"/>
              </w:rPr>
            </w:pPr>
            <w:r w:rsidRPr="00CA7749">
              <w:rPr>
                <w:sz w:val="20"/>
                <w:lang w:val="fr-CA"/>
              </w:rPr>
              <w:t xml:space="preserve">Lorsque SIB s’est effondrée, elle a fait l’objet d’une liquidation. Les demandeurs, Mark McDonald de Grant Thornton (British Virgin Islands) Limited et Hugh Dickson de Grant Thornton Specialist Services (Cayman) Ltd., agissant ensemble, en l’espèce, en leur qualité de liquidateurs conjoints de Stanford International Bank Limited (« liquidateurs conjoints »), ont intenté une action au nom de SIB contre la Banque TD, alléguant : (1) que cette dernière était responsable envers SIB d'avoir apporté de l’aide en connaissance de cause en violation d’une obligation fiduciaire; et (2) qu’elle a été négligente dans la prestation de ses services. </w:t>
            </w:r>
          </w:p>
          <w:p w:rsidR="00434D9A" w:rsidRPr="00CA7749" w:rsidRDefault="00434D9A" w:rsidP="00434D9A">
            <w:pPr>
              <w:jc w:val="both"/>
              <w:rPr>
                <w:sz w:val="20"/>
                <w:lang w:val="fr-CA"/>
              </w:rPr>
            </w:pPr>
          </w:p>
          <w:p w:rsidR="00434D9A" w:rsidRPr="00CA7749" w:rsidRDefault="00434D9A" w:rsidP="00434D9A">
            <w:pPr>
              <w:jc w:val="both"/>
              <w:rPr>
                <w:sz w:val="20"/>
                <w:lang w:val="fr-CA"/>
              </w:rPr>
            </w:pPr>
            <w:r w:rsidRPr="00CA7749">
              <w:rPr>
                <w:sz w:val="20"/>
                <w:lang w:val="fr-CA"/>
              </w:rPr>
              <w:t>Au procès, l’action des liquidateurs conjoints a été rejetée. Les liquidateurs conjoints ont uniquement fait appel du rejet de la demande en négligence. L’appel a été rejeté devant la Cour d’appel.</w:t>
            </w:r>
          </w:p>
        </w:tc>
      </w:tr>
      <w:tr w:rsidR="00434D9A" w:rsidRPr="00CA7749" w:rsidTr="004539FA">
        <w:tc>
          <w:tcPr>
            <w:tcW w:w="5000" w:type="pct"/>
            <w:gridSpan w:val="4"/>
            <w:tcBorders>
              <w:top w:val="nil"/>
              <w:left w:val="nil"/>
              <w:bottom w:val="nil"/>
              <w:right w:val="nil"/>
            </w:tcBorders>
          </w:tcPr>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8 juin 2021</w:t>
            </w:r>
          </w:p>
          <w:p w:rsidR="00434D9A" w:rsidRPr="00CA7749" w:rsidRDefault="00434D9A" w:rsidP="00434D9A">
            <w:pPr>
              <w:jc w:val="both"/>
              <w:rPr>
                <w:sz w:val="20"/>
                <w:lang w:val="fr-CA"/>
              </w:rPr>
            </w:pPr>
            <w:r w:rsidRPr="00CA7749">
              <w:rPr>
                <w:sz w:val="20"/>
                <w:lang w:val="fr-CA"/>
              </w:rPr>
              <w:t xml:space="preserve">Cour supérieure de justice de l’Ontario </w:t>
            </w:r>
          </w:p>
          <w:p w:rsidR="00434D9A" w:rsidRPr="00CA7749" w:rsidRDefault="00434D9A" w:rsidP="00434D9A">
            <w:pPr>
              <w:jc w:val="both"/>
              <w:rPr>
                <w:sz w:val="20"/>
                <w:lang w:val="fr-CA"/>
              </w:rPr>
            </w:pPr>
            <w:r w:rsidRPr="00CA7749">
              <w:rPr>
                <w:sz w:val="20"/>
                <w:lang w:val="fr-CA"/>
              </w:rPr>
              <w:t>(juge Conway)</w:t>
            </w:r>
          </w:p>
          <w:p w:rsidR="00434D9A" w:rsidRPr="00CA7749" w:rsidRDefault="00CA7749" w:rsidP="00434D9A">
            <w:pPr>
              <w:jc w:val="both"/>
              <w:rPr>
                <w:sz w:val="20"/>
                <w:lang w:val="fr-CA"/>
              </w:rPr>
            </w:pPr>
            <w:hyperlink r:id="rId30" w:history="1">
              <w:r w:rsidR="00434D9A" w:rsidRPr="00CA7749">
                <w:rPr>
                  <w:rStyle w:val="Hyperlink"/>
                  <w:sz w:val="20"/>
                  <w:lang w:val="fr-CA"/>
                </w:rPr>
                <w:t>2021 ONSC 3872</w:t>
              </w:r>
            </w:hyperlink>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Banque TD n’est pas responsable des pertes subies en raison du stratagème frauduleux. Les actions sont rejetées.</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17 novembre 2022</w:t>
            </w:r>
          </w:p>
          <w:p w:rsidR="00434D9A" w:rsidRPr="00CA7749" w:rsidRDefault="00434D9A" w:rsidP="00434D9A">
            <w:pPr>
              <w:jc w:val="both"/>
              <w:rPr>
                <w:sz w:val="20"/>
                <w:lang w:val="fr-CA"/>
              </w:rPr>
            </w:pPr>
            <w:r w:rsidRPr="00CA7749">
              <w:rPr>
                <w:sz w:val="20"/>
                <w:lang w:val="fr-CA"/>
              </w:rPr>
              <w:t>Cour d’appel de l’Ontario</w:t>
            </w:r>
          </w:p>
          <w:p w:rsidR="00434D9A" w:rsidRPr="00CA7749" w:rsidRDefault="00434D9A" w:rsidP="00434D9A">
            <w:pPr>
              <w:jc w:val="both"/>
              <w:rPr>
                <w:sz w:val="20"/>
                <w:lang w:val="fr-CA"/>
              </w:rPr>
            </w:pPr>
            <w:r w:rsidRPr="00CA7749">
              <w:rPr>
                <w:sz w:val="20"/>
                <w:lang w:val="fr-CA"/>
              </w:rPr>
              <w:t>(juge en chef adjointe Fairburn et juges Sossin et Favreau)</w:t>
            </w:r>
          </w:p>
          <w:p w:rsidR="00434D9A" w:rsidRPr="00CA7749" w:rsidRDefault="00CA7749" w:rsidP="00434D9A">
            <w:pPr>
              <w:tabs>
                <w:tab w:val="center" w:pos="2215"/>
              </w:tabs>
              <w:jc w:val="both"/>
              <w:rPr>
                <w:sz w:val="20"/>
                <w:lang w:val="fr-CA"/>
              </w:rPr>
            </w:pPr>
            <w:hyperlink r:id="rId31" w:history="1">
              <w:r w:rsidR="00434D9A" w:rsidRPr="00CA7749">
                <w:rPr>
                  <w:rStyle w:val="Hyperlink"/>
                  <w:sz w:val="20"/>
                  <w:lang w:val="fr-CA"/>
                </w:rPr>
                <w:t>2022 ONCA 788</w:t>
              </w:r>
            </w:hyperlink>
          </w:p>
          <w:p w:rsidR="00434D9A" w:rsidRPr="00CA7749" w:rsidRDefault="00434D9A" w:rsidP="00434D9A">
            <w:pPr>
              <w:jc w:val="both"/>
              <w:rPr>
                <w:sz w:val="20"/>
                <w:lang w:val="fr-CA"/>
              </w:rPr>
            </w:pPr>
            <w:r w:rsidRPr="00CA7749">
              <w:rPr>
                <w:sz w:val="20"/>
                <w:lang w:val="fr-CA"/>
              </w:rPr>
              <w:t>C69642</w:t>
            </w:r>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L’appel est rejeté.</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16 janvier 2023</w:t>
            </w:r>
          </w:p>
          <w:p w:rsidR="00434D9A" w:rsidRPr="00CA7749" w:rsidRDefault="00434D9A" w:rsidP="00434D9A">
            <w:pPr>
              <w:jc w:val="both"/>
              <w:rPr>
                <w:sz w:val="20"/>
                <w:lang w:val="fr-CA"/>
              </w:rPr>
            </w:pPr>
            <w:r w:rsidRPr="00CA7749">
              <w:rPr>
                <w:sz w:val="20"/>
                <w:lang w:val="fr-CA"/>
              </w:rPr>
              <w:t>Cour suprême du Canada</w:t>
            </w: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demande d’autorisation d’appel est présentée.</w:t>
            </w:r>
          </w:p>
          <w:p w:rsidR="00434D9A" w:rsidRPr="00CA7749" w:rsidRDefault="00434D9A" w:rsidP="00434D9A">
            <w:pPr>
              <w:jc w:val="both"/>
              <w:rPr>
                <w:sz w:val="20"/>
                <w:lang w:val="fr-CA"/>
              </w:rPr>
            </w:pPr>
          </w:p>
        </w:tc>
      </w:tr>
    </w:tbl>
    <w:p w:rsidR="00434D9A" w:rsidRPr="00CA7749" w:rsidRDefault="00434D9A" w:rsidP="00434D9A">
      <w:pPr>
        <w:jc w:val="both"/>
        <w:rPr>
          <w:sz w:val="20"/>
          <w:lang w:val="fr-CA"/>
        </w:rPr>
      </w:pPr>
    </w:p>
    <w:p w:rsidR="00434D9A" w:rsidRPr="00CA7749" w:rsidRDefault="00CA7749" w:rsidP="00434D9A">
      <w:pPr>
        <w:jc w:val="both"/>
        <w:rPr>
          <w:sz w:val="20"/>
          <w:lang w:val="fr-CA"/>
        </w:rPr>
      </w:pPr>
      <w:r w:rsidRPr="00CA7749">
        <w:rPr>
          <w:sz w:val="20"/>
        </w:rPr>
        <w:pict>
          <v:rect id="_x0000_i1034" style="width:2in;height:1pt" o:hrpct="0" o:hralign="center" o:hrstd="t" o:hrnoshade="t" o:hr="t" fillcolor="black [3213]" stroked="f"/>
        </w:pict>
      </w:r>
    </w:p>
    <w:p w:rsidR="00434D9A" w:rsidRPr="00CA7749" w:rsidRDefault="00434D9A" w:rsidP="00434D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rPr>
            </w:pPr>
            <w:r w:rsidRPr="00CA7749">
              <w:rPr>
                <w:rStyle w:val="SCCFileNumberChar"/>
                <w:sz w:val="20"/>
                <w:szCs w:val="20"/>
              </w:rPr>
              <w:t>40674</w:t>
            </w:r>
          </w:p>
        </w:tc>
        <w:tc>
          <w:tcPr>
            <w:tcW w:w="4457" w:type="pct"/>
            <w:gridSpan w:val="3"/>
          </w:tcPr>
          <w:p w:rsidR="00434D9A" w:rsidRPr="00CA7749" w:rsidRDefault="00434D9A" w:rsidP="00434D9A">
            <w:pPr>
              <w:pStyle w:val="SCCLsocParty"/>
              <w:jc w:val="both"/>
              <w:rPr>
                <w:b/>
                <w:sz w:val="20"/>
                <w:szCs w:val="20"/>
                <w:lang w:val="en-US"/>
              </w:rPr>
            </w:pPr>
            <w:r w:rsidRPr="00CA7749">
              <w:rPr>
                <w:b/>
                <w:sz w:val="20"/>
                <w:szCs w:val="20"/>
                <w:lang w:val="en-US"/>
              </w:rPr>
              <w:t xml:space="preserve">Rodney Byron </w:t>
            </w:r>
            <w:proofErr w:type="gramStart"/>
            <w:r w:rsidRPr="00CA7749">
              <w:rPr>
                <w:b/>
                <w:sz w:val="20"/>
                <w:szCs w:val="20"/>
                <w:lang w:val="en-US"/>
              </w:rPr>
              <w:t>Williams</w:t>
            </w:r>
            <w:proofErr w:type="gramEnd"/>
            <w:r w:rsidRPr="00CA7749">
              <w:rPr>
                <w:b/>
                <w:sz w:val="20"/>
                <w:szCs w:val="20"/>
                <w:lang w:val="en-US"/>
              </w:rPr>
              <w:t xml:space="preserve"> v. His Majesty the King</w:t>
            </w:r>
          </w:p>
          <w:p w:rsidR="00434D9A" w:rsidRPr="00CA7749" w:rsidRDefault="00434D9A" w:rsidP="00434D9A">
            <w:pPr>
              <w:jc w:val="both"/>
              <w:rPr>
                <w:sz w:val="20"/>
              </w:rPr>
            </w:pPr>
            <w:r w:rsidRPr="00CA7749">
              <w:rPr>
                <w:sz w:val="20"/>
              </w:rPr>
              <w:t>(Man.) (Criminal) (By Leave)</w:t>
            </w:r>
          </w:p>
        </w:tc>
      </w:tr>
      <w:tr w:rsidR="00434D9A" w:rsidRPr="00CA7749" w:rsidTr="004539FA">
        <w:tc>
          <w:tcPr>
            <w:tcW w:w="5000" w:type="pct"/>
            <w:gridSpan w:val="4"/>
          </w:tcPr>
          <w:p w:rsidR="00434D9A" w:rsidRPr="00CA7749" w:rsidRDefault="00434D9A" w:rsidP="00434D9A">
            <w:pPr>
              <w:jc w:val="both"/>
              <w:rPr>
                <w:sz w:val="20"/>
              </w:rPr>
            </w:pPr>
            <w:r w:rsidRPr="00CA7749">
              <w:rPr>
                <w:sz w:val="20"/>
              </w:rPr>
              <w:t xml:space="preserve">Criminal law — Offences — Culpable homicide — Murder — Whether in an application of s. 229(a) of the </w:t>
            </w:r>
            <w:r w:rsidRPr="00CA7749">
              <w:rPr>
                <w:i/>
                <w:sz w:val="20"/>
              </w:rPr>
              <w:t>Criminal Code</w:t>
            </w:r>
            <w:r w:rsidRPr="00CA7749">
              <w:rPr>
                <w:sz w:val="20"/>
              </w:rPr>
              <w:t xml:space="preserve">, a trial judge is required to articulate two distinct and detailed analyses to demonstrate consideration of both subsections setting out when culpable homicide is a murder — </w:t>
            </w:r>
            <w:r w:rsidRPr="00CA7749">
              <w:rPr>
                <w:i/>
                <w:sz w:val="20"/>
              </w:rPr>
              <w:t>Criminal Code</w:t>
            </w:r>
            <w:r w:rsidRPr="00CA7749">
              <w:rPr>
                <w:sz w:val="20"/>
              </w:rPr>
              <w:t>, R.S.C. 1985, c. C-46.</w:t>
            </w:r>
          </w:p>
        </w:tc>
      </w:tr>
      <w:tr w:rsidR="00434D9A" w:rsidRPr="00CA7749" w:rsidTr="004539FA">
        <w:tc>
          <w:tcPr>
            <w:tcW w:w="5000" w:type="pct"/>
            <w:gridSpan w:val="4"/>
          </w:tcPr>
          <w:p w:rsidR="00434D9A" w:rsidRPr="00CA7749" w:rsidRDefault="00434D9A" w:rsidP="00434D9A">
            <w:pPr>
              <w:jc w:val="both"/>
              <w:rPr>
                <w:sz w:val="20"/>
              </w:rPr>
            </w:pPr>
          </w:p>
        </w:tc>
      </w:tr>
      <w:tr w:rsidR="00434D9A" w:rsidRPr="00CA7749" w:rsidTr="004539FA">
        <w:tc>
          <w:tcPr>
            <w:tcW w:w="5000" w:type="pct"/>
            <w:gridSpan w:val="4"/>
          </w:tcPr>
          <w:p w:rsidR="00434D9A" w:rsidRPr="00CA7749" w:rsidRDefault="00434D9A" w:rsidP="00434D9A">
            <w:pPr>
              <w:jc w:val="both"/>
              <w:rPr>
                <w:sz w:val="20"/>
              </w:rPr>
            </w:pPr>
            <w:r w:rsidRPr="00CA7749">
              <w:rPr>
                <w:sz w:val="20"/>
              </w:rPr>
              <w:t>After consuming vodka and methamphetamine, Mr. Williams was walking down a street when he encountered two strangers. He chased them brandishing a knife. He repeatedly stabbed one man. The attack was fatal. A psychiatrist opined that at the time of the offence, Mr. Williams was in a psychotic state. McCarthy J. relied on the psychiatrist’s evidence and held Mr. Williams did not have the capacity to form the intent required to classify the homicide as murder. Mr. Williams was convicted of manslaughter. The Court of Appeal allowed an appeal and ordered a new trial.</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September 30, 2021</w:t>
            </w:r>
          </w:p>
          <w:p w:rsidR="00434D9A" w:rsidRPr="00CA7749" w:rsidRDefault="00434D9A" w:rsidP="00434D9A">
            <w:pPr>
              <w:jc w:val="both"/>
              <w:rPr>
                <w:sz w:val="20"/>
              </w:rPr>
            </w:pPr>
            <w:r w:rsidRPr="00CA7749">
              <w:rPr>
                <w:sz w:val="20"/>
              </w:rPr>
              <w:t>Court of Queen’s Bench of Manitoba</w:t>
            </w:r>
          </w:p>
          <w:p w:rsidR="00434D9A" w:rsidRPr="00CA7749" w:rsidRDefault="00434D9A" w:rsidP="00434D9A">
            <w:pPr>
              <w:jc w:val="both"/>
              <w:rPr>
                <w:sz w:val="20"/>
              </w:rPr>
            </w:pPr>
            <w:r w:rsidRPr="00CA7749">
              <w:rPr>
                <w:sz w:val="20"/>
              </w:rPr>
              <w:t>(McCarthy J.)</w:t>
            </w:r>
          </w:p>
          <w:p w:rsidR="00434D9A" w:rsidRPr="00CA7749" w:rsidRDefault="00CA7749" w:rsidP="00434D9A">
            <w:pPr>
              <w:jc w:val="both"/>
              <w:rPr>
                <w:sz w:val="20"/>
              </w:rPr>
            </w:pPr>
            <w:hyperlink r:id="rId32" w:history="1">
              <w:r w:rsidR="00434D9A" w:rsidRPr="00CA7749">
                <w:rPr>
                  <w:rStyle w:val="Hyperlink"/>
                  <w:sz w:val="20"/>
                </w:rPr>
                <w:t>2021 MBQB 205</w:t>
              </w:r>
            </w:hyperlink>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Conviction for manslaughter</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February 3, 2023</w:t>
            </w:r>
          </w:p>
          <w:p w:rsidR="00434D9A" w:rsidRPr="00CA7749" w:rsidRDefault="00434D9A" w:rsidP="00434D9A">
            <w:pPr>
              <w:jc w:val="both"/>
              <w:rPr>
                <w:sz w:val="20"/>
              </w:rPr>
            </w:pPr>
            <w:r w:rsidRPr="00CA7749">
              <w:rPr>
                <w:sz w:val="20"/>
              </w:rPr>
              <w:t>Court of Appeal of Manitoba</w:t>
            </w:r>
          </w:p>
          <w:p w:rsidR="00434D9A" w:rsidRPr="00CA7749" w:rsidRDefault="00434D9A" w:rsidP="00434D9A">
            <w:pPr>
              <w:jc w:val="both"/>
              <w:rPr>
                <w:sz w:val="20"/>
              </w:rPr>
            </w:pPr>
            <w:r w:rsidRPr="00CA7749">
              <w:rPr>
                <w:sz w:val="20"/>
              </w:rPr>
              <w:t>(Cameron, Pfuetzner, Spivak JJ.A.)</w:t>
            </w:r>
          </w:p>
          <w:p w:rsidR="00434D9A" w:rsidRPr="00CA7749" w:rsidRDefault="00CA7749" w:rsidP="00434D9A">
            <w:pPr>
              <w:jc w:val="both"/>
              <w:rPr>
                <w:sz w:val="20"/>
              </w:rPr>
            </w:pPr>
            <w:hyperlink r:id="rId33" w:history="1">
              <w:r w:rsidR="00434D9A" w:rsidRPr="00CA7749">
                <w:rPr>
                  <w:rStyle w:val="Hyperlink"/>
                  <w:sz w:val="20"/>
                </w:rPr>
                <w:t>2023 MBCA 11</w:t>
              </w:r>
            </w:hyperlink>
            <w:r w:rsidR="00434D9A" w:rsidRPr="00CA7749">
              <w:rPr>
                <w:sz w:val="20"/>
              </w:rPr>
              <w:t xml:space="preserve">; </w:t>
            </w:r>
            <w:r w:rsidR="00434D9A" w:rsidRPr="00CA7749">
              <w:rPr>
                <w:spacing w:val="-9"/>
                <w:sz w:val="20"/>
              </w:rPr>
              <w:t>AR21-30-09687</w:t>
            </w:r>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Appeal allowed, new trial ordered</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April 4, 2023</w:t>
            </w:r>
          </w:p>
          <w:p w:rsidR="00434D9A" w:rsidRPr="00CA7749" w:rsidRDefault="00434D9A" w:rsidP="00434D9A">
            <w:pPr>
              <w:jc w:val="both"/>
              <w:rPr>
                <w:sz w:val="20"/>
              </w:rPr>
            </w:pPr>
            <w:r w:rsidRPr="00CA7749">
              <w:rPr>
                <w:sz w:val="20"/>
              </w:rPr>
              <w:t>Supreme Court of Canada</w:t>
            </w: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Application for leave to appeal filed</w:t>
            </w:r>
          </w:p>
          <w:p w:rsidR="00434D9A" w:rsidRPr="00CA7749" w:rsidRDefault="00434D9A" w:rsidP="00434D9A">
            <w:pPr>
              <w:jc w:val="both"/>
              <w:rPr>
                <w:sz w:val="20"/>
              </w:rPr>
            </w:pPr>
          </w:p>
        </w:tc>
      </w:tr>
    </w:tbl>
    <w:p w:rsidR="00434D9A" w:rsidRPr="00CA7749" w:rsidRDefault="00434D9A" w:rsidP="00434D9A">
      <w:pPr>
        <w:jc w:val="both"/>
        <w:rPr>
          <w:sz w:val="20"/>
        </w:rPr>
      </w:pPr>
    </w:p>
    <w:p w:rsidR="00434D9A" w:rsidRPr="00CA7749" w:rsidRDefault="00CA7749" w:rsidP="00434D9A">
      <w:pPr>
        <w:jc w:val="both"/>
        <w:rPr>
          <w:sz w:val="20"/>
        </w:rPr>
      </w:pPr>
      <w:r w:rsidRPr="00CA7749">
        <w:rPr>
          <w:sz w:val="20"/>
        </w:rPr>
        <w:pict>
          <v:rect id="_x0000_i1035" style="width:2in;height:1pt" o:hrpct="0" o:hralign="center" o:hrstd="t" o:hrnoshade="t" o:hr="t" fillcolor="black [3213]" stroked="f"/>
        </w:pict>
      </w:r>
    </w:p>
    <w:p w:rsidR="00434D9A" w:rsidRPr="00CA7749" w:rsidRDefault="00434D9A" w:rsidP="00434D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lang w:val="fr-CA"/>
              </w:rPr>
            </w:pPr>
            <w:r w:rsidRPr="00CA7749">
              <w:rPr>
                <w:rStyle w:val="SCCFileNumberChar"/>
                <w:sz w:val="20"/>
                <w:szCs w:val="20"/>
                <w:lang w:val="fr-CA"/>
              </w:rPr>
              <w:t>40674</w:t>
            </w:r>
          </w:p>
        </w:tc>
        <w:tc>
          <w:tcPr>
            <w:tcW w:w="4457" w:type="pct"/>
            <w:gridSpan w:val="3"/>
          </w:tcPr>
          <w:p w:rsidR="00434D9A" w:rsidRPr="00CA7749" w:rsidRDefault="00434D9A" w:rsidP="00434D9A">
            <w:pPr>
              <w:pStyle w:val="SCCLsocParty"/>
              <w:jc w:val="both"/>
              <w:rPr>
                <w:b/>
                <w:sz w:val="20"/>
                <w:szCs w:val="20"/>
              </w:rPr>
            </w:pPr>
            <w:r w:rsidRPr="00CA7749">
              <w:rPr>
                <w:b/>
                <w:sz w:val="20"/>
                <w:szCs w:val="20"/>
              </w:rPr>
              <w:t>Rodney Byron Williams c. Sa Majesté le Roi</w:t>
            </w:r>
          </w:p>
          <w:p w:rsidR="00434D9A" w:rsidRPr="00CA7749" w:rsidRDefault="00434D9A" w:rsidP="00434D9A">
            <w:pPr>
              <w:jc w:val="both"/>
              <w:rPr>
                <w:sz w:val="20"/>
                <w:lang w:val="fr-CA"/>
              </w:rPr>
            </w:pPr>
            <w:r w:rsidRPr="00CA7749">
              <w:rPr>
                <w:sz w:val="20"/>
                <w:lang w:val="fr-CA"/>
              </w:rPr>
              <w:t>(Man.) (Criminelle) (Sur autorisation)</w:t>
            </w:r>
          </w:p>
        </w:tc>
      </w:tr>
      <w:tr w:rsidR="00434D9A" w:rsidRPr="00CA7749" w:rsidTr="004539FA">
        <w:tc>
          <w:tcPr>
            <w:tcW w:w="5000" w:type="pct"/>
            <w:gridSpan w:val="4"/>
          </w:tcPr>
          <w:p w:rsidR="00434D9A" w:rsidRPr="00CA7749" w:rsidRDefault="00434D9A" w:rsidP="00434D9A">
            <w:pPr>
              <w:jc w:val="both"/>
              <w:rPr>
                <w:sz w:val="20"/>
                <w:lang w:val="fr-CA"/>
              </w:rPr>
            </w:pPr>
            <w:r w:rsidRPr="00CA7749">
              <w:rPr>
                <w:sz w:val="20"/>
                <w:lang w:val="fr-CA"/>
              </w:rPr>
              <w:t xml:space="preserve">Droit criminel — Infractions — Homicide coupable — Meurtre — Dans le cadre de l’application de l’al. 229a) du </w:t>
            </w:r>
            <w:r w:rsidRPr="00CA7749">
              <w:rPr>
                <w:i/>
                <w:sz w:val="20"/>
                <w:lang w:val="fr-CA"/>
              </w:rPr>
              <w:t>Code criminel</w:t>
            </w:r>
            <w:r w:rsidRPr="00CA7749">
              <w:rPr>
                <w:sz w:val="20"/>
                <w:lang w:val="fr-CA"/>
              </w:rPr>
              <w:t xml:space="preserve">, le juge du procès est-il obligé de formuler deux analyses détaillées distinctes afin de démontrer qu’il a été tenu compte des deux sous-alinéas établissant les cas dans lesquels l’homicide coupable est un meurtre ? — </w:t>
            </w:r>
            <w:r w:rsidRPr="00CA7749">
              <w:rPr>
                <w:i/>
                <w:sz w:val="20"/>
                <w:lang w:val="fr-CA"/>
              </w:rPr>
              <w:t>Code criminel</w:t>
            </w:r>
            <w:r w:rsidRPr="00CA7749">
              <w:rPr>
                <w:sz w:val="20"/>
                <w:lang w:val="fr-CA"/>
              </w:rPr>
              <w:t>, L.R.C. 1985, ch. C-46.</w:t>
            </w:r>
          </w:p>
        </w:tc>
      </w:tr>
      <w:tr w:rsidR="00434D9A" w:rsidRPr="00CA7749" w:rsidTr="004539FA">
        <w:tc>
          <w:tcPr>
            <w:tcW w:w="5000" w:type="pct"/>
            <w:gridSpan w:val="4"/>
          </w:tcPr>
          <w:p w:rsidR="00434D9A" w:rsidRPr="00CA7749" w:rsidRDefault="00434D9A" w:rsidP="00434D9A">
            <w:pPr>
              <w:jc w:val="both"/>
              <w:rPr>
                <w:sz w:val="20"/>
                <w:lang w:val="fr-CA"/>
              </w:rPr>
            </w:pPr>
          </w:p>
        </w:tc>
      </w:tr>
      <w:tr w:rsidR="00434D9A" w:rsidRPr="00CA7749" w:rsidTr="004539FA">
        <w:tc>
          <w:tcPr>
            <w:tcW w:w="5000" w:type="pct"/>
            <w:gridSpan w:val="4"/>
          </w:tcPr>
          <w:p w:rsidR="00434D9A" w:rsidRPr="00CA7749" w:rsidRDefault="00434D9A" w:rsidP="00434D9A">
            <w:pPr>
              <w:jc w:val="both"/>
              <w:rPr>
                <w:sz w:val="20"/>
                <w:lang w:val="fr-CA"/>
              </w:rPr>
            </w:pPr>
            <w:r w:rsidRPr="00CA7749">
              <w:rPr>
                <w:sz w:val="20"/>
                <w:lang w:val="fr-CA"/>
              </w:rPr>
              <w:t>Après avoir consommé de la vodka et de la méthamphétamine, M. Williams marchait dans la rue lorsqu’il a croisé deux étrangers. Il les a pourchassés en brandissant un couteau. Il a poignardé un des hommes à plusieurs reprises. Cette attaque a causé la mort de l’homme. Selon un psychiatre, M. Williams était dans un état psychotique au moment de l’infraction. La juge McCarthy s’est appuyée sur le témoignage du psychiatre et a conclu que M. Williams n’avait pas la capacité de former l’intention requise pour pouvoir qualifier l’homicide de meurtre. Monsieur Williams a été déclaré coupable d’homicide involontaire coupable. La Cour d’appel a accueilli l’appel et a ordonné la tenue d’un nouveau procès.</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30 septembre 2021</w:t>
            </w:r>
          </w:p>
          <w:p w:rsidR="00434D9A" w:rsidRPr="00CA7749" w:rsidRDefault="00434D9A" w:rsidP="00434D9A">
            <w:pPr>
              <w:jc w:val="both"/>
              <w:rPr>
                <w:sz w:val="20"/>
                <w:lang w:val="fr-CA"/>
              </w:rPr>
            </w:pPr>
            <w:r w:rsidRPr="00CA7749">
              <w:rPr>
                <w:sz w:val="20"/>
                <w:lang w:val="fr-CA"/>
              </w:rPr>
              <w:t>Cour du Banc de la Reine du Manitoba</w:t>
            </w:r>
          </w:p>
          <w:p w:rsidR="00434D9A" w:rsidRPr="00CA7749" w:rsidRDefault="00434D9A" w:rsidP="00434D9A">
            <w:pPr>
              <w:jc w:val="both"/>
              <w:rPr>
                <w:sz w:val="20"/>
                <w:lang w:val="fr-CA"/>
              </w:rPr>
            </w:pPr>
            <w:r w:rsidRPr="00CA7749">
              <w:rPr>
                <w:sz w:val="20"/>
                <w:lang w:val="fr-CA"/>
              </w:rPr>
              <w:t>(juge McCarthy)</w:t>
            </w:r>
          </w:p>
          <w:p w:rsidR="00434D9A" w:rsidRPr="00CA7749" w:rsidRDefault="00CA7749" w:rsidP="00434D9A">
            <w:pPr>
              <w:jc w:val="both"/>
              <w:rPr>
                <w:sz w:val="20"/>
                <w:lang w:val="fr-CA"/>
              </w:rPr>
            </w:pPr>
            <w:hyperlink r:id="rId34" w:history="1">
              <w:r w:rsidR="00434D9A" w:rsidRPr="00CA7749">
                <w:rPr>
                  <w:rStyle w:val="Hyperlink"/>
                  <w:sz w:val="20"/>
                  <w:lang w:val="fr-CA"/>
                </w:rPr>
                <w:t>2021 MBQB 205</w:t>
              </w:r>
            </w:hyperlink>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déclaration de culpabilité pour homicide involontaire coupable est prononcée.</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3 février 2023</w:t>
            </w:r>
          </w:p>
          <w:p w:rsidR="00434D9A" w:rsidRPr="00CA7749" w:rsidRDefault="00434D9A" w:rsidP="00434D9A">
            <w:pPr>
              <w:jc w:val="both"/>
              <w:rPr>
                <w:sz w:val="20"/>
                <w:lang w:val="fr-CA"/>
              </w:rPr>
            </w:pPr>
            <w:r w:rsidRPr="00CA7749">
              <w:rPr>
                <w:sz w:val="20"/>
                <w:lang w:val="fr-CA"/>
              </w:rPr>
              <w:t>Cour d’appel du Manitoba</w:t>
            </w:r>
          </w:p>
          <w:p w:rsidR="00434D9A" w:rsidRPr="00CA7749" w:rsidRDefault="00434D9A" w:rsidP="00434D9A">
            <w:pPr>
              <w:jc w:val="both"/>
              <w:rPr>
                <w:sz w:val="20"/>
                <w:lang w:val="fr-CA"/>
              </w:rPr>
            </w:pPr>
            <w:r w:rsidRPr="00CA7749">
              <w:rPr>
                <w:sz w:val="20"/>
                <w:lang w:val="fr-CA"/>
              </w:rPr>
              <w:t>(juges Cameron, Pfuetzner, Spivak)</w:t>
            </w:r>
          </w:p>
          <w:p w:rsidR="00434D9A" w:rsidRPr="00CA7749" w:rsidRDefault="00CA7749" w:rsidP="00434D9A">
            <w:pPr>
              <w:jc w:val="both"/>
              <w:rPr>
                <w:sz w:val="20"/>
                <w:lang w:val="fr-CA"/>
              </w:rPr>
            </w:pPr>
            <w:hyperlink r:id="rId35" w:history="1">
              <w:r w:rsidR="00434D9A" w:rsidRPr="00CA7749">
                <w:rPr>
                  <w:rStyle w:val="Hyperlink"/>
                  <w:sz w:val="20"/>
                  <w:lang w:val="fr-CA"/>
                </w:rPr>
                <w:t>2023 MBCA 11</w:t>
              </w:r>
            </w:hyperlink>
            <w:r w:rsidR="00434D9A" w:rsidRPr="00CA7749">
              <w:rPr>
                <w:sz w:val="20"/>
                <w:lang w:val="fr-CA"/>
              </w:rPr>
              <w:t xml:space="preserve">; </w:t>
            </w:r>
            <w:r w:rsidR="00434D9A" w:rsidRPr="00CA7749">
              <w:rPr>
                <w:spacing w:val="-9"/>
                <w:sz w:val="20"/>
                <w:lang w:val="fr-CA"/>
              </w:rPr>
              <w:t>AR21-30-09687</w:t>
            </w:r>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L’appel est accueilli, la tenue d’un nouveau procès est ordonnée.</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4 avril 2023</w:t>
            </w:r>
          </w:p>
          <w:p w:rsidR="00434D9A" w:rsidRPr="00CA7749" w:rsidRDefault="00434D9A" w:rsidP="00434D9A">
            <w:pPr>
              <w:jc w:val="both"/>
              <w:rPr>
                <w:sz w:val="20"/>
                <w:lang w:val="fr-CA"/>
              </w:rPr>
            </w:pPr>
            <w:r w:rsidRPr="00CA7749">
              <w:rPr>
                <w:sz w:val="20"/>
                <w:lang w:val="fr-CA"/>
              </w:rPr>
              <w:t>Cour suprême du Canada</w:t>
            </w: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demande d’autorisation d’appel est présentée.</w:t>
            </w:r>
          </w:p>
          <w:p w:rsidR="00434D9A" w:rsidRPr="00CA7749" w:rsidRDefault="00434D9A" w:rsidP="00434D9A">
            <w:pPr>
              <w:jc w:val="both"/>
              <w:rPr>
                <w:sz w:val="20"/>
                <w:lang w:val="fr-CA"/>
              </w:rPr>
            </w:pPr>
          </w:p>
        </w:tc>
      </w:tr>
    </w:tbl>
    <w:p w:rsidR="00434D9A" w:rsidRPr="00CA7749" w:rsidRDefault="00434D9A" w:rsidP="00434D9A">
      <w:pPr>
        <w:jc w:val="both"/>
        <w:rPr>
          <w:sz w:val="20"/>
          <w:lang w:val="fr-CA"/>
        </w:rPr>
      </w:pPr>
    </w:p>
    <w:p w:rsidR="00434D9A" w:rsidRPr="00CA7749" w:rsidRDefault="00CA7749" w:rsidP="00434D9A">
      <w:pPr>
        <w:jc w:val="both"/>
        <w:rPr>
          <w:sz w:val="20"/>
          <w:lang w:val="fr-CA"/>
        </w:rPr>
      </w:pPr>
      <w:r w:rsidRPr="00CA7749">
        <w:rPr>
          <w:sz w:val="20"/>
        </w:rPr>
        <w:pict>
          <v:rect id="_x0000_i1036" style="width:2in;height:1pt" o:hrpct="0" o:hralign="center" o:hrstd="t" o:hrnoshade="t" o:hr="t" fillcolor="black [3213]" stroked="f"/>
        </w:pict>
      </w:r>
    </w:p>
    <w:p w:rsidR="00434D9A" w:rsidRPr="00CA7749" w:rsidRDefault="00434D9A" w:rsidP="00434D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rPr>
            </w:pPr>
            <w:r w:rsidRPr="00CA7749">
              <w:rPr>
                <w:rStyle w:val="SCCFileNumberChar"/>
                <w:sz w:val="20"/>
                <w:szCs w:val="20"/>
              </w:rPr>
              <w:t>40612</w:t>
            </w:r>
          </w:p>
        </w:tc>
        <w:tc>
          <w:tcPr>
            <w:tcW w:w="4457" w:type="pct"/>
            <w:gridSpan w:val="3"/>
          </w:tcPr>
          <w:p w:rsidR="00434D9A" w:rsidRPr="00CA7749" w:rsidRDefault="00434D9A" w:rsidP="00434D9A">
            <w:pPr>
              <w:pStyle w:val="SCCLsocParty"/>
              <w:jc w:val="both"/>
              <w:rPr>
                <w:b/>
                <w:sz w:val="20"/>
                <w:szCs w:val="20"/>
                <w:lang w:val="en-US"/>
              </w:rPr>
            </w:pPr>
            <w:r w:rsidRPr="00CA7749">
              <w:rPr>
                <w:b/>
                <w:sz w:val="20"/>
                <w:szCs w:val="20"/>
                <w:lang w:val="en-US"/>
              </w:rPr>
              <w:t>John Eric Anins v. Victoria Jane Anins</w:t>
            </w:r>
          </w:p>
          <w:p w:rsidR="00434D9A" w:rsidRPr="00CA7749" w:rsidRDefault="00434D9A" w:rsidP="00434D9A">
            <w:pPr>
              <w:jc w:val="both"/>
              <w:rPr>
                <w:sz w:val="20"/>
              </w:rPr>
            </w:pPr>
            <w:r w:rsidRPr="00CA7749">
              <w:rPr>
                <w:sz w:val="20"/>
              </w:rPr>
              <w:t>(B.C.) (Civil) (By Leave)</w:t>
            </w:r>
          </w:p>
        </w:tc>
      </w:tr>
      <w:tr w:rsidR="00434D9A" w:rsidRPr="00CA7749" w:rsidTr="004539FA">
        <w:tc>
          <w:tcPr>
            <w:tcW w:w="5000" w:type="pct"/>
            <w:gridSpan w:val="4"/>
          </w:tcPr>
          <w:p w:rsidR="00434D9A" w:rsidRPr="00CA7749" w:rsidRDefault="00434D9A" w:rsidP="00434D9A">
            <w:pPr>
              <w:jc w:val="both"/>
              <w:rPr>
                <w:sz w:val="20"/>
              </w:rPr>
            </w:pPr>
            <w:r w:rsidRPr="00CA7749">
              <w:rPr>
                <w:sz w:val="20"/>
              </w:rPr>
              <w:t xml:space="preserve">Family law — Arbitration Award — Appeal of arbitration award — Standard of review —Whether the court erred in its application of procedural fairness as outlined in </w:t>
            </w:r>
            <w:r w:rsidRPr="00CA7749">
              <w:rPr>
                <w:i/>
                <w:sz w:val="20"/>
              </w:rPr>
              <w:t>Vavilov</w:t>
            </w:r>
            <w:r w:rsidRPr="00CA7749">
              <w:rPr>
                <w:sz w:val="20"/>
              </w:rPr>
              <w:t xml:space="preserve"> — Whether the court erred in its determination that the issues raised at arbitration were unreviewable questions of fact, contrary to the provisions of the </w:t>
            </w:r>
            <w:r w:rsidRPr="00CA7749">
              <w:rPr>
                <w:i/>
                <w:sz w:val="20"/>
              </w:rPr>
              <w:t>Arbitration Act</w:t>
            </w:r>
            <w:r w:rsidRPr="00CA7749">
              <w:rPr>
                <w:sz w:val="20"/>
              </w:rPr>
              <w:t xml:space="preserve"> and the </w:t>
            </w:r>
            <w:r w:rsidRPr="00CA7749">
              <w:rPr>
                <w:i/>
                <w:sz w:val="20"/>
              </w:rPr>
              <w:t>Family Law Act</w:t>
            </w:r>
            <w:r w:rsidRPr="00CA7749">
              <w:rPr>
                <w:sz w:val="20"/>
              </w:rPr>
              <w:t xml:space="preserve"> —Whether the court erred in its interpretation and application of the </w:t>
            </w:r>
            <w:r w:rsidRPr="00CA7749">
              <w:rPr>
                <w:i/>
                <w:sz w:val="20"/>
              </w:rPr>
              <w:t>Family Law Act</w:t>
            </w:r>
            <w:r w:rsidRPr="00CA7749">
              <w:rPr>
                <w:sz w:val="20"/>
              </w:rPr>
              <w:t xml:space="preserve"> — Applicant seeks clarification or direction regarding the application of </w:t>
            </w:r>
            <w:r w:rsidRPr="00CA7749">
              <w:rPr>
                <w:i/>
                <w:sz w:val="20"/>
              </w:rPr>
              <w:t>Vavilov</w:t>
            </w:r>
            <w:r w:rsidRPr="00CA7749">
              <w:rPr>
                <w:sz w:val="20"/>
              </w:rPr>
              <w:t xml:space="preserve"> principles to this case —</w:t>
            </w:r>
            <w:r w:rsidRPr="00CA7749">
              <w:rPr>
                <w:rStyle w:val="Hyperlink"/>
                <w:i/>
                <w:iCs/>
                <w:color w:val="auto"/>
                <w:sz w:val="20"/>
                <w:u w:val="none"/>
              </w:rPr>
              <w:t>Arbitration Act</w:t>
            </w:r>
            <w:hyperlink r:id="rId36" w:history="1">
              <w:r w:rsidRPr="00CA7749">
                <w:rPr>
                  <w:rStyle w:val="Hyperlink"/>
                  <w:color w:val="auto"/>
                  <w:sz w:val="20"/>
                  <w:u w:val="none"/>
                </w:rPr>
                <w:t>, R.S.B.C. 1996, c. 55</w:t>
              </w:r>
            </w:hyperlink>
            <w:r w:rsidRPr="00CA7749">
              <w:rPr>
                <w:rStyle w:val="Hyperlink"/>
                <w:color w:val="auto"/>
                <w:sz w:val="20"/>
                <w:u w:val="none"/>
              </w:rPr>
              <w:t xml:space="preserve"> — </w:t>
            </w:r>
            <w:r w:rsidRPr="00CA7749">
              <w:rPr>
                <w:rStyle w:val="Hyperlink"/>
                <w:i/>
                <w:iCs/>
                <w:color w:val="auto"/>
                <w:sz w:val="20"/>
                <w:u w:val="none"/>
              </w:rPr>
              <w:t>Family Law Act</w:t>
            </w:r>
            <w:hyperlink r:id="rId37" w:history="1">
              <w:r w:rsidRPr="00CA7749">
                <w:rPr>
                  <w:rStyle w:val="Hyperlink"/>
                  <w:color w:val="auto"/>
                  <w:sz w:val="20"/>
                  <w:u w:val="none"/>
                </w:rPr>
                <w:t>, S.B.C. 2011, c. 25</w:t>
              </w:r>
            </w:hyperlink>
            <w:r w:rsidRPr="00CA7749">
              <w:rPr>
                <w:rStyle w:val="Hyperlink"/>
                <w:color w:val="auto"/>
                <w:sz w:val="20"/>
                <w:u w:val="none"/>
              </w:rPr>
              <w:t>.</w:t>
            </w:r>
          </w:p>
        </w:tc>
      </w:tr>
      <w:tr w:rsidR="00434D9A" w:rsidRPr="00CA7749" w:rsidTr="004539FA">
        <w:tc>
          <w:tcPr>
            <w:tcW w:w="5000" w:type="pct"/>
            <w:gridSpan w:val="4"/>
          </w:tcPr>
          <w:p w:rsidR="00434D9A" w:rsidRPr="00CA7749" w:rsidRDefault="00434D9A" w:rsidP="00434D9A">
            <w:pPr>
              <w:jc w:val="both"/>
              <w:rPr>
                <w:color w:val="000000"/>
                <w:sz w:val="20"/>
              </w:rPr>
            </w:pPr>
          </w:p>
          <w:p w:rsidR="00434D9A" w:rsidRPr="00CA7749" w:rsidRDefault="00434D9A" w:rsidP="00434D9A">
            <w:pPr>
              <w:jc w:val="both"/>
              <w:rPr>
                <w:sz w:val="20"/>
              </w:rPr>
            </w:pPr>
            <w:r w:rsidRPr="00CA7749">
              <w:rPr>
                <w:color w:val="000000"/>
                <w:sz w:val="20"/>
              </w:rPr>
              <w:t xml:space="preserve">In this family matter, as part of settling litigation between the parties, they agreed on a mediation/arbitration process under </w:t>
            </w:r>
            <w:r w:rsidRPr="00CA7749">
              <w:rPr>
                <w:sz w:val="20"/>
              </w:rPr>
              <w:t xml:space="preserve">the </w:t>
            </w:r>
            <w:r w:rsidRPr="00CA7749">
              <w:rPr>
                <w:rStyle w:val="Hyperlink"/>
                <w:i/>
                <w:iCs/>
                <w:color w:val="auto"/>
                <w:sz w:val="20"/>
                <w:u w:val="none"/>
              </w:rPr>
              <w:t>Arbitration Act</w:t>
            </w:r>
            <w:hyperlink r:id="rId38" w:history="1">
              <w:r w:rsidRPr="00CA7749">
                <w:rPr>
                  <w:rStyle w:val="Hyperlink"/>
                  <w:color w:val="auto"/>
                  <w:sz w:val="20"/>
                  <w:u w:val="none"/>
                </w:rPr>
                <w:t xml:space="preserve">, R.S.B.C. 1996, </w:t>
              </w:r>
              <w:proofErr w:type="gramStart"/>
              <w:r w:rsidRPr="00CA7749">
                <w:rPr>
                  <w:rStyle w:val="Hyperlink"/>
                  <w:color w:val="auto"/>
                  <w:sz w:val="20"/>
                  <w:u w:val="none"/>
                </w:rPr>
                <w:t>c</w:t>
              </w:r>
              <w:proofErr w:type="gramEnd"/>
              <w:r w:rsidRPr="00CA7749">
                <w:rPr>
                  <w:rStyle w:val="Hyperlink"/>
                  <w:color w:val="auto"/>
                  <w:sz w:val="20"/>
                  <w:u w:val="none"/>
                </w:rPr>
                <w:t>. 55</w:t>
              </w:r>
            </w:hyperlink>
            <w:r w:rsidRPr="00CA7749">
              <w:rPr>
                <w:rStyle w:val="Hyperlink"/>
                <w:color w:val="auto"/>
                <w:sz w:val="20"/>
                <w:u w:val="none"/>
              </w:rPr>
              <w:t xml:space="preserve"> </w:t>
            </w:r>
            <w:r w:rsidRPr="00CA7749">
              <w:rPr>
                <w:sz w:val="20"/>
              </w:rPr>
              <w:t xml:space="preserve">and the </w:t>
            </w:r>
            <w:r w:rsidRPr="00CA7749">
              <w:rPr>
                <w:rStyle w:val="Hyperlink"/>
                <w:i/>
                <w:iCs/>
                <w:color w:val="auto"/>
                <w:sz w:val="20"/>
                <w:u w:val="none"/>
              </w:rPr>
              <w:t>Family Law Act</w:t>
            </w:r>
            <w:hyperlink r:id="rId39" w:history="1">
              <w:r w:rsidRPr="00CA7749">
                <w:rPr>
                  <w:rStyle w:val="Hyperlink"/>
                  <w:color w:val="auto"/>
                  <w:sz w:val="20"/>
                  <w:u w:val="none"/>
                </w:rPr>
                <w:t>, S.B.C. 2011, c. 25</w:t>
              </w:r>
            </w:hyperlink>
            <w:r w:rsidRPr="00CA7749">
              <w:rPr>
                <w:sz w:val="20"/>
              </w:rPr>
              <w:t xml:space="preserve">. </w:t>
            </w:r>
            <w:r w:rsidRPr="00CA7749">
              <w:rPr>
                <w:color w:val="000000"/>
                <w:sz w:val="20"/>
              </w:rPr>
              <w:t>The arbitration award is dated December 14, 2018 and the applicant/petitioner challenged the award. The judge dismissed the applicant’s petition, and upheld the arbitrator’s award. The Court of Appeal dismissed the appeal.</w:t>
            </w:r>
          </w:p>
        </w:tc>
      </w:tr>
      <w:tr w:rsidR="00434D9A" w:rsidRPr="00CA7749" w:rsidTr="004539FA">
        <w:tc>
          <w:tcPr>
            <w:tcW w:w="5000" w:type="pct"/>
            <w:gridSpan w:val="4"/>
          </w:tcPr>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February 3, 2022</w:t>
            </w:r>
          </w:p>
          <w:p w:rsidR="00434D9A" w:rsidRPr="00CA7749" w:rsidRDefault="00434D9A" w:rsidP="00434D9A">
            <w:pPr>
              <w:jc w:val="both"/>
              <w:rPr>
                <w:sz w:val="20"/>
              </w:rPr>
            </w:pPr>
            <w:r w:rsidRPr="00CA7749">
              <w:rPr>
                <w:sz w:val="20"/>
              </w:rPr>
              <w:t>Supreme Court of British Columbia</w:t>
            </w:r>
          </w:p>
          <w:p w:rsidR="00434D9A" w:rsidRPr="00CA7749" w:rsidRDefault="00434D9A" w:rsidP="00434D9A">
            <w:pPr>
              <w:jc w:val="both"/>
              <w:rPr>
                <w:sz w:val="20"/>
              </w:rPr>
            </w:pPr>
            <w:r w:rsidRPr="00CA7749">
              <w:rPr>
                <w:sz w:val="20"/>
              </w:rPr>
              <w:t>(Steeves J.)</w:t>
            </w:r>
          </w:p>
          <w:p w:rsidR="00434D9A" w:rsidRPr="00CA7749" w:rsidRDefault="00CA7749" w:rsidP="00434D9A">
            <w:pPr>
              <w:jc w:val="both"/>
              <w:rPr>
                <w:sz w:val="20"/>
              </w:rPr>
            </w:pPr>
            <w:hyperlink r:id="rId40" w:history="1">
              <w:r w:rsidR="00434D9A" w:rsidRPr="00CA7749">
                <w:rPr>
                  <w:rStyle w:val="Hyperlink"/>
                  <w:sz w:val="20"/>
                </w:rPr>
                <w:t>2022 BCSC 171</w:t>
              </w:r>
            </w:hyperlink>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iCs/>
                <w:color w:val="000000"/>
                <w:sz w:val="20"/>
              </w:rPr>
              <w:t>Applicant’s petition challenging a family law arbitration award dismissed</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December 2, 2022</w:t>
            </w:r>
          </w:p>
          <w:p w:rsidR="00434D9A" w:rsidRPr="00CA7749" w:rsidRDefault="00434D9A" w:rsidP="00434D9A">
            <w:pPr>
              <w:jc w:val="both"/>
              <w:rPr>
                <w:sz w:val="20"/>
              </w:rPr>
            </w:pPr>
            <w:r w:rsidRPr="00CA7749">
              <w:rPr>
                <w:sz w:val="20"/>
              </w:rPr>
              <w:t xml:space="preserve">Court of Appeal for British Columbia </w:t>
            </w:r>
          </w:p>
          <w:p w:rsidR="00434D9A" w:rsidRPr="00CA7749" w:rsidRDefault="00434D9A" w:rsidP="00434D9A">
            <w:pPr>
              <w:jc w:val="both"/>
              <w:rPr>
                <w:sz w:val="20"/>
              </w:rPr>
            </w:pPr>
            <w:r w:rsidRPr="00CA7749">
              <w:rPr>
                <w:sz w:val="20"/>
              </w:rPr>
              <w:t>(Victoria)</w:t>
            </w:r>
          </w:p>
          <w:p w:rsidR="00434D9A" w:rsidRPr="00CA7749" w:rsidRDefault="00434D9A" w:rsidP="00434D9A">
            <w:pPr>
              <w:jc w:val="both"/>
              <w:rPr>
                <w:sz w:val="20"/>
              </w:rPr>
            </w:pPr>
            <w:r w:rsidRPr="00CA7749">
              <w:rPr>
                <w:sz w:val="20"/>
              </w:rPr>
              <w:t>(Mackenzie, Fisher, Abrioux JJ.A.)</w:t>
            </w:r>
          </w:p>
          <w:p w:rsidR="00434D9A" w:rsidRPr="00CA7749" w:rsidRDefault="00434D9A" w:rsidP="00434D9A">
            <w:pPr>
              <w:jc w:val="both"/>
              <w:rPr>
                <w:sz w:val="20"/>
              </w:rPr>
            </w:pPr>
            <w:r w:rsidRPr="00CA7749">
              <w:rPr>
                <w:color w:val="000000"/>
                <w:sz w:val="20"/>
              </w:rPr>
              <w:t>CA48129;</w:t>
            </w:r>
            <w:r w:rsidRPr="00CA7749">
              <w:rPr>
                <w:sz w:val="20"/>
              </w:rPr>
              <w:t xml:space="preserve"> </w:t>
            </w:r>
            <w:hyperlink r:id="rId41" w:history="1">
              <w:r w:rsidRPr="00CA7749">
                <w:rPr>
                  <w:rStyle w:val="Hyperlink"/>
                  <w:sz w:val="20"/>
                </w:rPr>
                <w:t>2022 BCCA 441</w:t>
              </w:r>
            </w:hyperlink>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Appeal dismissed</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January 30, 2023</w:t>
            </w:r>
          </w:p>
          <w:p w:rsidR="00434D9A" w:rsidRPr="00CA7749" w:rsidRDefault="00434D9A" w:rsidP="00434D9A">
            <w:pPr>
              <w:jc w:val="both"/>
              <w:rPr>
                <w:sz w:val="20"/>
              </w:rPr>
            </w:pPr>
            <w:r w:rsidRPr="00CA7749">
              <w:rPr>
                <w:sz w:val="20"/>
              </w:rPr>
              <w:t>Supreme Court of Canada</w:t>
            </w: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Application for leave to appeal filed</w:t>
            </w:r>
          </w:p>
          <w:p w:rsidR="00434D9A" w:rsidRPr="00CA7749" w:rsidRDefault="00434D9A" w:rsidP="00434D9A">
            <w:pPr>
              <w:jc w:val="both"/>
              <w:rPr>
                <w:sz w:val="20"/>
              </w:rPr>
            </w:pPr>
          </w:p>
        </w:tc>
      </w:tr>
    </w:tbl>
    <w:p w:rsidR="00434D9A" w:rsidRPr="00CA7749" w:rsidRDefault="00434D9A" w:rsidP="00434D9A">
      <w:pPr>
        <w:jc w:val="both"/>
        <w:rPr>
          <w:sz w:val="20"/>
        </w:rPr>
      </w:pPr>
    </w:p>
    <w:p w:rsidR="00434D9A" w:rsidRPr="00CA7749" w:rsidRDefault="00CA7749" w:rsidP="00434D9A">
      <w:pPr>
        <w:jc w:val="both"/>
        <w:rPr>
          <w:sz w:val="20"/>
        </w:rPr>
      </w:pPr>
      <w:r w:rsidRPr="00CA7749">
        <w:rPr>
          <w:sz w:val="20"/>
        </w:rPr>
        <w:pict>
          <v:rect id="_x0000_i1037" style="width:2in;height:1pt" o:hrpct="0" o:hralign="center" o:hrstd="t" o:hrnoshade="t" o:hr="t" fillcolor="black [3213]" stroked="f"/>
        </w:pict>
      </w:r>
    </w:p>
    <w:p w:rsidR="00434D9A" w:rsidRPr="00CA7749" w:rsidRDefault="00434D9A" w:rsidP="00434D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lang w:val="fr-CA"/>
              </w:rPr>
            </w:pPr>
            <w:r w:rsidRPr="00CA7749">
              <w:rPr>
                <w:rStyle w:val="SCCFileNumberChar"/>
                <w:sz w:val="20"/>
                <w:szCs w:val="20"/>
                <w:lang w:val="fr-CA"/>
              </w:rPr>
              <w:t>40612</w:t>
            </w:r>
          </w:p>
        </w:tc>
        <w:tc>
          <w:tcPr>
            <w:tcW w:w="4457" w:type="pct"/>
            <w:gridSpan w:val="3"/>
          </w:tcPr>
          <w:p w:rsidR="00434D9A" w:rsidRPr="00CA7749" w:rsidRDefault="00434D9A" w:rsidP="00434D9A">
            <w:pPr>
              <w:pStyle w:val="SCCLsocParty"/>
              <w:jc w:val="both"/>
              <w:rPr>
                <w:b/>
                <w:sz w:val="20"/>
                <w:szCs w:val="20"/>
                <w:lang w:val="en-US"/>
              </w:rPr>
            </w:pPr>
            <w:r w:rsidRPr="00CA7749">
              <w:rPr>
                <w:b/>
                <w:sz w:val="20"/>
                <w:szCs w:val="20"/>
                <w:lang w:val="en-US"/>
              </w:rPr>
              <w:t>John Eric Anins c. Victoria Jane Anins</w:t>
            </w:r>
          </w:p>
          <w:p w:rsidR="00434D9A" w:rsidRPr="00CA7749" w:rsidRDefault="00434D9A" w:rsidP="00434D9A">
            <w:pPr>
              <w:jc w:val="both"/>
              <w:rPr>
                <w:sz w:val="20"/>
                <w:lang w:val="fr-CA"/>
              </w:rPr>
            </w:pPr>
            <w:r w:rsidRPr="00CA7749">
              <w:rPr>
                <w:sz w:val="20"/>
                <w:lang w:val="fr-CA"/>
              </w:rPr>
              <w:t>(C.-B.) (Civile) (Sur autorisation)</w:t>
            </w:r>
          </w:p>
        </w:tc>
      </w:tr>
      <w:tr w:rsidR="00434D9A" w:rsidRPr="00CA7749" w:rsidTr="004539FA">
        <w:tc>
          <w:tcPr>
            <w:tcW w:w="5000" w:type="pct"/>
            <w:gridSpan w:val="4"/>
          </w:tcPr>
          <w:p w:rsidR="00434D9A" w:rsidRPr="00CA7749" w:rsidRDefault="00434D9A" w:rsidP="00434D9A">
            <w:pPr>
              <w:jc w:val="both"/>
              <w:rPr>
                <w:sz w:val="20"/>
                <w:lang w:val="fr-CA"/>
              </w:rPr>
            </w:pPr>
            <w:r w:rsidRPr="00CA7749">
              <w:rPr>
                <w:sz w:val="20"/>
                <w:lang w:val="fr-CA"/>
              </w:rPr>
              <w:t xml:space="preserve">Droit de la famille — Sentence arbitrale — Appel de la sentence arbitrale — Norme de contrôle — Le tribunal a-t-il fait erreur dans son application du principe de l’équité procédurale tel qu’énoncé dans l’arrêt </w:t>
            </w:r>
            <w:r w:rsidRPr="00CA7749">
              <w:rPr>
                <w:i/>
                <w:sz w:val="20"/>
                <w:lang w:val="fr-CA"/>
              </w:rPr>
              <w:t>Vavilov </w:t>
            </w:r>
            <w:r w:rsidRPr="00CA7749">
              <w:rPr>
                <w:sz w:val="20"/>
                <w:lang w:val="fr-CA"/>
              </w:rPr>
              <w:t>? — Le tribunal a-t-il fait erreur lorsqu’il a conclu que les questions soulevées lors de l’arbitrage étaient des questions de fait non susceptible de contrôle, contrairement aux dispositions de l’</w:t>
            </w:r>
            <w:r w:rsidRPr="00CA7749">
              <w:rPr>
                <w:i/>
                <w:sz w:val="20"/>
                <w:lang w:val="fr-CA"/>
              </w:rPr>
              <w:t>Arbitration Act</w:t>
            </w:r>
            <w:r w:rsidRPr="00CA7749">
              <w:rPr>
                <w:sz w:val="20"/>
                <w:lang w:val="fr-CA"/>
              </w:rPr>
              <w:t xml:space="preserve"> et de la </w:t>
            </w:r>
            <w:r w:rsidRPr="00CA7749">
              <w:rPr>
                <w:i/>
                <w:sz w:val="20"/>
                <w:lang w:val="fr-CA"/>
              </w:rPr>
              <w:t>Family Law Act </w:t>
            </w:r>
            <w:r w:rsidRPr="00CA7749">
              <w:rPr>
                <w:sz w:val="20"/>
                <w:lang w:val="fr-CA"/>
              </w:rPr>
              <w:t xml:space="preserve">? — Le tribunal a-t-il fait erreur dans son interprétation et son application de la </w:t>
            </w:r>
            <w:r w:rsidRPr="00CA7749">
              <w:rPr>
                <w:i/>
                <w:sz w:val="20"/>
                <w:lang w:val="fr-CA"/>
              </w:rPr>
              <w:t>Family Law Act </w:t>
            </w:r>
            <w:r w:rsidRPr="00CA7749">
              <w:rPr>
                <w:sz w:val="20"/>
                <w:lang w:val="fr-CA"/>
              </w:rPr>
              <w:t xml:space="preserve">? — Le demandeur cherche des précisions ou des directives concernant l’application au cas en l'espèce des principes établis dans l’arrêt </w:t>
            </w:r>
            <w:r w:rsidRPr="00CA7749">
              <w:rPr>
                <w:i/>
                <w:sz w:val="20"/>
                <w:lang w:val="fr-CA"/>
              </w:rPr>
              <w:t>Vavilov</w:t>
            </w:r>
            <w:r w:rsidRPr="00CA7749">
              <w:rPr>
                <w:sz w:val="20"/>
                <w:lang w:val="fr-CA"/>
              </w:rPr>
              <w:t xml:space="preserve"> — </w:t>
            </w:r>
            <w:r w:rsidRPr="00CA7749">
              <w:rPr>
                <w:rStyle w:val="Hyperlink"/>
                <w:i/>
                <w:iCs/>
                <w:color w:val="auto"/>
                <w:sz w:val="20"/>
                <w:u w:val="none"/>
                <w:lang w:val="fr-CA"/>
              </w:rPr>
              <w:t>Arbitration Act</w:t>
            </w:r>
            <w:hyperlink r:id="rId42" w:history="1">
              <w:r w:rsidRPr="00CA7749">
                <w:rPr>
                  <w:rStyle w:val="Hyperlink"/>
                  <w:color w:val="auto"/>
                  <w:sz w:val="20"/>
                  <w:u w:val="none"/>
                  <w:lang w:val="fr-CA"/>
                </w:rPr>
                <w:t>, R.S.B.C. 1996, c. 55</w:t>
              </w:r>
            </w:hyperlink>
            <w:r w:rsidRPr="00CA7749">
              <w:rPr>
                <w:rStyle w:val="Hyperlink"/>
                <w:color w:val="auto"/>
                <w:sz w:val="20"/>
                <w:u w:val="none"/>
                <w:lang w:val="fr-CA"/>
              </w:rPr>
              <w:t xml:space="preserve"> — </w:t>
            </w:r>
            <w:r w:rsidRPr="00CA7749">
              <w:rPr>
                <w:rStyle w:val="Hyperlink"/>
                <w:i/>
                <w:iCs/>
                <w:color w:val="auto"/>
                <w:sz w:val="20"/>
                <w:u w:val="none"/>
                <w:lang w:val="fr-CA"/>
              </w:rPr>
              <w:t>Family Law Act</w:t>
            </w:r>
            <w:hyperlink r:id="rId43" w:history="1">
              <w:r w:rsidRPr="00CA7749">
                <w:rPr>
                  <w:rStyle w:val="Hyperlink"/>
                  <w:color w:val="auto"/>
                  <w:sz w:val="20"/>
                  <w:u w:val="none"/>
                  <w:lang w:val="fr-CA"/>
                </w:rPr>
                <w:t>, S.B.C. 2011, c. 25</w:t>
              </w:r>
            </w:hyperlink>
            <w:r w:rsidRPr="00CA7749">
              <w:rPr>
                <w:rStyle w:val="Hyperlink"/>
                <w:sz w:val="20"/>
                <w:lang w:val="fr-CA"/>
              </w:rPr>
              <w:t>.</w:t>
            </w:r>
          </w:p>
        </w:tc>
      </w:tr>
      <w:tr w:rsidR="00434D9A" w:rsidRPr="00CA7749" w:rsidTr="004539FA">
        <w:tc>
          <w:tcPr>
            <w:tcW w:w="5000" w:type="pct"/>
            <w:gridSpan w:val="4"/>
          </w:tcPr>
          <w:p w:rsidR="00434D9A" w:rsidRPr="00CA7749" w:rsidRDefault="00434D9A" w:rsidP="00434D9A">
            <w:pPr>
              <w:jc w:val="both"/>
              <w:rPr>
                <w:color w:val="000000"/>
                <w:sz w:val="20"/>
                <w:lang w:val="fr-CA"/>
              </w:rPr>
            </w:pPr>
          </w:p>
          <w:p w:rsidR="00434D9A" w:rsidRPr="00CA7749" w:rsidRDefault="00434D9A" w:rsidP="00434D9A">
            <w:pPr>
              <w:jc w:val="both"/>
              <w:rPr>
                <w:sz w:val="20"/>
                <w:lang w:val="fr-CA"/>
              </w:rPr>
            </w:pPr>
            <w:r w:rsidRPr="00CA7749">
              <w:rPr>
                <w:color w:val="000000"/>
                <w:sz w:val="20"/>
                <w:lang w:val="fr-CA"/>
              </w:rPr>
              <w:t xml:space="preserve">Dans cette affaire de droit de la famille, dans le cadre du </w:t>
            </w:r>
            <w:r w:rsidRPr="00CA7749">
              <w:rPr>
                <w:sz w:val="20"/>
                <w:lang w:val="fr-CA"/>
              </w:rPr>
              <w:t xml:space="preserve">règlement du litige les opposant, les parties ont convenu d’un processus de médiation/d’arbitrage en vertu des lois intitulées </w:t>
            </w:r>
            <w:r w:rsidRPr="00CA7749">
              <w:rPr>
                <w:rStyle w:val="Hyperlink"/>
                <w:i/>
                <w:iCs/>
                <w:color w:val="auto"/>
                <w:sz w:val="20"/>
                <w:u w:val="none"/>
                <w:lang w:val="fr-CA"/>
              </w:rPr>
              <w:t>Arbitration Act</w:t>
            </w:r>
            <w:hyperlink r:id="rId44" w:history="1">
              <w:r w:rsidRPr="00CA7749">
                <w:rPr>
                  <w:rStyle w:val="Hyperlink"/>
                  <w:color w:val="auto"/>
                  <w:sz w:val="20"/>
                  <w:u w:val="none"/>
                  <w:lang w:val="fr-CA"/>
                </w:rPr>
                <w:t>, R.S.B.C. 1996, c. 55</w:t>
              </w:r>
            </w:hyperlink>
            <w:r w:rsidRPr="00CA7749">
              <w:rPr>
                <w:rStyle w:val="Hyperlink"/>
                <w:color w:val="auto"/>
                <w:sz w:val="20"/>
                <w:u w:val="none"/>
                <w:lang w:val="fr-CA"/>
              </w:rPr>
              <w:t xml:space="preserve"> et</w:t>
            </w:r>
            <w:r w:rsidRPr="00CA7749">
              <w:rPr>
                <w:sz w:val="20"/>
                <w:lang w:val="fr-CA"/>
              </w:rPr>
              <w:t xml:space="preserve"> </w:t>
            </w:r>
            <w:r w:rsidRPr="00CA7749">
              <w:rPr>
                <w:rStyle w:val="Hyperlink"/>
                <w:i/>
                <w:iCs/>
                <w:color w:val="auto"/>
                <w:sz w:val="20"/>
                <w:u w:val="none"/>
                <w:lang w:val="fr-CA"/>
              </w:rPr>
              <w:t>Family Law Act</w:t>
            </w:r>
            <w:hyperlink r:id="rId45" w:history="1">
              <w:r w:rsidRPr="00CA7749">
                <w:rPr>
                  <w:rStyle w:val="Hyperlink"/>
                  <w:color w:val="auto"/>
                  <w:sz w:val="20"/>
                  <w:u w:val="none"/>
                  <w:lang w:val="fr-CA"/>
                </w:rPr>
                <w:t>, S.B.C. 2011, c. 25</w:t>
              </w:r>
            </w:hyperlink>
            <w:r w:rsidRPr="00CA7749">
              <w:rPr>
                <w:sz w:val="20"/>
                <w:lang w:val="fr-CA"/>
              </w:rPr>
              <w:t>. Le demandeur/requérant a contesté la sentence arbitrale datée du 14 décembre 2018. Le juge a rejeté la requête du demand</w:t>
            </w:r>
            <w:r w:rsidRPr="00CA7749">
              <w:rPr>
                <w:color w:val="000000"/>
                <w:sz w:val="20"/>
                <w:lang w:val="fr-CA"/>
              </w:rPr>
              <w:t>eur et a confirmé la sentence arbitrale. La Cour d’appel a rejeté l’appel.</w:t>
            </w:r>
          </w:p>
        </w:tc>
      </w:tr>
      <w:tr w:rsidR="00434D9A" w:rsidRPr="00CA7749" w:rsidTr="004539FA">
        <w:tc>
          <w:tcPr>
            <w:tcW w:w="5000" w:type="pct"/>
            <w:gridSpan w:val="4"/>
          </w:tcPr>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3 février 2022</w:t>
            </w:r>
          </w:p>
          <w:p w:rsidR="00434D9A" w:rsidRPr="00CA7749" w:rsidRDefault="00434D9A" w:rsidP="00434D9A">
            <w:pPr>
              <w:jc w:val="both"/>
              <w:rPr>
                <w:sz w:val="20"/>
                <w:lang w:val="fr-CA"/>
              </w:rPr>
            </w:pPr>
            <w:r w:rsidRPr="00CA7749">
              <w:rPr>
                <w:sz w:val="20"/>
                <w:lang w:val="fr-CA"/>
              </w:rPr>
              <w:t>Cour suprême de la Colombie-Britannique</w:t>
            </w:r>
          </w:p>
          <w:p w:rsidR="00434D9A" w:rsidRPr="00CA7749" w:rsidRDefault="00434D9A" w:rsidP="00434D9A">
            <w:pPr>
              <w:jc w:val="both"/>
              <w:rPr>
                <w:sz w:val="20"/>
                <w:lang w:val="fr-CA"/>
              </w:rPr>
            </w:pPr>
            <w:r w:rsidRPr="00CA7749">
              <w:rPr>
                <w:sz w:val="20"/>
                <w:lang w:val="fr-CA"/>
              </w:rPr>
              <w:t>(juge Steeves)</w:t>
            </w:r>
          </w:p>
          <w:p w:rsidR="00434D9A" w:rsidRPr="00CA7749" w:rsidRDefault="00CA7749" w:rsidP="00434D9A">
            <w:pPr>
              <w:jc w:val="both"/>
              <w:rPr>
                <w:sz w:val="20"/>
                <w:lang w:val="fr-CA"/>
              </w:rPr>
            </w:pPr>
            <w:hyperlink r:id="rId46" w:history="1">
              <w:r w:rsidR="00434D9A" w:rsidRPr="00CA7749">
                <w:rPr>
                  <w:rStyle w:val="Hyperlink"/>
                  <w:sz w:val="20"/>
                  <w:lang w:val="fr-CA"/>
                </w:rPr>
                <w:t>2022 BCSC 171</w:t>
              </w:r>
            </w:hyperlink>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iCs/>
                <w:color w:val="000000"/>
                <w:sz w:val="20"/>
                <w:lang w:val="fr-CA"/>
              </w:rPr>
              <w:t>La requête du demandeur contestant la sentence arbitrale en droit de la famille est rejetée.</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2 décembre 2022</w:t>
            </w:r>
          </w:p>
          <w:p w:rsidR="00434D9A" w:rsidRPr="00CA7749" w:rsidRDefault="00434D9A" w:rsidP="00434D9A">
            <w:pPr>
              <w:jc w:val="both"/>
              <w:rPr>
                <w:sz w:val="20"/>
                <w:lang w:val="fr-CA"/>
              </w:rPr>
            </w:pPr>
            <w:r w:rsidRPr="00CA7749">
              <w:rPr>
                <w:sz w:val="20"/>
                <w:lang w:val="fr-CA"/>
              </w:rPr>
              <w:t xml:space="preserve">Cour d’appel de la Colombie-Britannique </w:t>
            </w:r>
          </w:p>
          <w:p w:rsidR="00434D9A" w:rsidRPr="00CA7749" w:rsidRDefault="00434D9A" w:rsidP="00434D9A">
            <w:pPr>
              <w:jc w:val="both"/>
              <w:rPr>
                <w:sz w:val="20"/>
                <w:lang w:val="fr-CA"/>
              </w:rPr>
            </w:pPr>
            <w:r w:rsidRPr="00CA7749">
              <w:rPr>
                <w:sz w:val="20"/>
                <w:lang w:val="fr-CA"/>
              </w:rPr>
              <w:t>(Victoria)</w:t>
            </w:r>
          </w:p>
          <w:p w:rsidR="00434D9A" w:rsidRPr="00CA7749" w:rsidRDefault="00434D9A" w:rsidP="00434D9A">
            <w:pPr>
              <w:jc w:val="both"/>
              <w:rPr>
                <w:sz w:val="20"/>
                <w:lang w:val="fr-CA"/>
              </w:rPr>
            </w:pPr>
            <w:r w:rsidRPr="00CA7749">
              <w:rPr>
                <w:sz w:val="20"/>
                <w:lang w:val="fr-CA"/>
              </w:rPr>
              <w:t>(juges Mackenzie, Fisher, Abrioux)</w:t>
            </w:r>
          </w:p>
          <w:p w:rsidR="00434D9A" w:rsidRPr="00CA7749" w:rsidRDefault="00434D9A" w:rsidP="00434D9A">
            <w:pPr>
              <w:jc w:val="both"/>
              <w:rPr>
                <w:sz w:val="20"/>
                <w:lang w:val="fr-CA"/>
              </w:rPr>
            </w:pPr>
            <w:r w:rsidRPr="00CA7749">
              <w:rPr>
                <w:color w:val="000000"/>
                <w:sz w:val="20"/>
                <w:lang w:val="fr-CA"/>
              </w:rPr>
              <w:t>CA48129;</w:t>
            </w:r>
            <w:r w:rsidRPr="00CA7749">
              <w:rPr>
                <w:sz w:val="20"/>
                <w:lang w:val="fr-CA"/>
              </w:rPr>
              <w:t xml:space="preserve"> </w:t>
            </w:r>
            <w:hyperlink r:id="rId47" w:history="1">
              <w:r w:rsidRPr="00CA7749">
                <w:rPr>
                  <w:rStyle w:val="Hyperlink"/>
                  <w:sz w:val="20"/>
                  <w:lang w:val="fr-CA"/>
                </w:rPr>
                <w:t>2022 BCCA 441</w:t>
              </w:r>
            </w:hyperlink>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L’appel est rejeté.</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30 janvier 2023</w:t>
            </w:r>
          </w:p>
          <w:p w:rsidR="00434D9A" w:rsidRPr="00CA7749" w:rsidRDefault="00434D9A" w:rsidP="00434D9A">
            <w:pPr>
              <w:jc w:val="both"/>
              <w:rPr>
                <w:sz w:val="20"/>
                <w:lang w:val="fr-CA"/>
              </w:rPr>
            </w:pPr>
            <w:r w:rsidRPr="00CA7749">
              <w:rPr>
                <w:sz w:val="20"/>
                <w:lang w:val="fr-CA"/>
              </w:rPr>
              <w:t>Cour suprême du Canada</w:t>
            </w: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demande d’autorisation d’appel est présentée.</w:t>
            </w:r>
          </w:p>
          <w:p w:rsidR="00434D9A" w:rsidRPr="00CA7749" w:rsidRDefault="00434D9A" w:rsidP="00434D9A">
            <w:pPr>
              <w:jc w:val="both"/>
              <w:rPr>
                <w:sz w:val="20"/>
                <w:lang w:val="fr-CA"/>
              </w:rPr>
            </w:pPr>
          </w:p>
        </w:tc>
      </w:tr>
    </w:tbl>
    <w:p w:rsidR="00434D9A" w:rsidRPr="00CA7749" w:rsidRDefault="00434D9A" w:rsidP="00434D9A">
      <w:pPr>
        <w:jc w:val="both"/>
        <w:rPr>
          <w:sz w:val="20"/>
          <w:lang w:val="fr-CA"/>
        </w:rPr>
      </w:pPr>
    </w:p>
    <w:p w:rsidR="00434D9A" w:rsidRPr="00CA7749" w:rsidRDefault="00CA7749" w:rsidP="00434D9A">
      <w:pPr>
        <w:jc w:val="both"/>
        <w:rPr>
          <w:sz w:val="20"/>
          <w:lang w:val="fr-CA"/>
        </w:rPr>
      </w:pPr>
      <w:r w:rsidRPr="00CA7749">
        <w:rPr>
          <w:sz w:val="20"/>
        </w:rPr>
        <w:pict>
          <v:rect id="_x0000_i1038" style="width:2in;height:1pt" o:hrpct="0" o:hralign="center" o:hrstd="t" o:hrnoshade="t" o:hr="t" fillcolor="black [3213]" stroked="f"/>
        </w:pict>
      </w:r>
    </w:p>
    <w:p w:rsidR="00434D9A" w:rsidRPr="00CA7749" w:rsidRDefault="00434D9A" w:rsidP="00434D9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rPr>
            </w:pPr>
            <w:r w:rsidRPr="00CA7749">
              <w:rPr>
                <w:rStyle w:val="SCCFileNumberChar"/>
                <w:sz w:val="20"/>
                <w:szCs w:val="20"/>
              </w:rPr>
              <w:t>40665</w:t>
            </w:r>
          </w:p>
        </w:tc>
        <w:tc>
          <w:tcPr>
            <w:tcW w:w="4457" w:type="pct"/>
            <w:gridSpan w:val="3"/>
          </w:tcPr>
          <w:p w:rsidR="00434D9A" w:rsidRPr="00CA7749" w:rsidRDefault="00434D9A" w:rsidP="00434D9A">
            <w:pPr>
              <w:pStyle w:val="SCCLsocParty"/>
              <w:jc w:val="both"/>
              <w:rPr>
                <w:b/>
                <w:sz w:val="20"/>
                <w:szCs w:val="20"/>
                <w:lang w:val="en-US"/>
              </w:rPr>
            </w:pPr>
            <w:r w:rsidRPr="00CA7749">
              <w:rPr>
                <w:b/>
                <w:sz w:val="20"/>
                <w:szCs w:val="20"/>
                <w:lang w:val="en-US"/>
              </w:rPr>
              <w:t>Gale Stanton v. Kaitlin (Stanton) Inglis, Reginald Leavitt</w:t>
            </w:r>
          </w:p>
          <w:p w:rsidR="00434D9A" w:rsidRPr="00CA7749" w:rsidRDefault="00434D9A" w:rsidP="00434D9A">
            <w:pPr>
              <w:jc w:val="both"/>
              <w:rPr>
                <w:sz w:val="20"/>
              </w:rPr>
            </w:pPr>
            <w:r w:rsidRPr="00CA7749">
              <w:rPr>
                <w:sz w:val="20"/>
              </w:rPr>
              <w:t>(N.S.) (Civil) (By Leave)</w:t>
            </w:r>
          </w:p>
        </w:tc>
      </w:tr>
      <w:tr w:rsidR="00434D9A" w:rsidRPr="00CA7749" w:rsidTr="004539FA">
        <w:tc>
          <w:tcPr>
            <w:tcW w:w="5000" w:type="pct"/>
            <w:gridSpan w:val="4"/>
          </w:tcPr>
          <w:p w:rsidR="00434D9A" w:rsidRPr="00CA7749" w:rsidRDefault="00434D9A" w:rsidP="00434D9A">
            <w:pPr>
              <w:jc w:val="both"/>
              <w:rPr>
                <w:sz w:val="20"/>
              </w:rPr>
            </w:pPr>
            <w:r w:rsidRPr="00CA7749">
              <w:rPr>
                <w:sz w:val="20"/>
              </w:rPr>
              <w:t xml:space="preserve">Family law — Custody — Reasonable apprehension of bias — Applicant seeking custody of grandchildren — Application to seek leave to apply for primary parenting care dismissed, based on best interests of children — Court of Appeal dismissing applicant’s appeal — Whether application judge demonstrated reasonable apprehension of bias towards applicant, causing miscarriage of justice — Whether Court of Appeal failed to acknowledge application judge’s bias and failed to act accordingly — Whether Court of Appeal failed to acknowledge material evidence in the record — </w:t>
            </w:r>
            <w:r w:rsidRPr="00CA7749">
              <w:rPr>
                <w:i/>
                <w:sz w:val="20"/>
              </w:rPr>
              <w:t>Parenting and Support Act</w:t>
            </w:r>
            <w:r w:rsidRPr="00CA7749">
              <w:rPr>
                <w:sz w:val="20"/>
              </w:rPr>
              <w:t>, R.S.N.S. 1989, c. 160, s. 18(1).</w:t>
            </w:r>
          </w:p>
        </w:tc>
      </w:tr>
      <w:tr w:rsidR="00434D9A" w:rsidRPr="00CA7749" w:rsidTr="004539FA">
        <w:tc>
          <w:tcPr>
            <w:tcW w:w="5000" w:type="pct"/>
            <w:gridSpan w:val="4"/>
          </w:tcPr>
          <w:p w:rsidR="00434D9A" w:rsidRPr="00CA7749" w:rsidRDefault="00434D9A" w:rsidP="00434D9A">
            <w:pPr>
              <w:jc w:val="both"/>
              <w:rPr>
                <w:sz w:val="20"/>
              </w:rPr>
            </w:pPr>
          </w:p>
        </w:tc>
      </w:tr>
      <w:tr w:rsidR="00434D9A" w:rsidRPr="00CA7749" w:rsidTr="004539FA">
        <w:tc>
          <w:tcPr>
            <w:tcW w:w="5000" w:type="pct"/>
            <w:gridSpan w:val="4"/>
          </w:tcPr>
          <w:p w:rsidR="00434D9A" w:rsidRPr="00CA7749" w:rsidRDefault="00434D9A" w:rsidP="00434D9A">
            <w:pPr>
              <w:jc w:val="both"/>
              <w:rPr>
                <w:sz w:val="20"/>
              </w:rPr>
            </w:pPr>
            <w:r w:rsidRPr="00CA7749">
              <w:rPr>
                <w:sz w:val="20"/>
              </w:rPr>
              <w:t xml:space="preserve">The applicant, Gale Stanton, sought leave to apply for the primary care and parenting of her three grandchildren. Her application pursuant to s. 18(1) of the </w:t>
            </w:r>
            <w:r w:rsidRPr="00CA7749">
              <w:rPr>
                <w:i/>
                <w:sz w:val="20"/>
              </w:rPr>
              <w:t>Parenting and Support Act</w:t>
            </w:r>
            <w:r w:rsidRPr="00CA7749">
              <w:rPr>
                <w:sz w:val="20"/>
              </w:rPr>
              <w:t>, R.S.N.S. 1989, c. 160, was opposed by the children’s parents, the respondents — i.e., Ms. Stanton’s daughter Kaitlin (Stanton) Inglis, and Reginald Leavitt.</w:t>
            </w:r>
          </w:p>
          <w:p w:rsidR="00434D9A" w:rsidRPr="00CA7749" w:rsidRDefault="00434D9A" w:rsidP="00434D9A">
            <w:pPr>
              <w:jc w:val="both"/>
              <w:rPr>
                <w:sz w:val="20"/>
              </w:rPr>
            </w:pPr>
          </w:p>
          <w:p w:rsidR="00434D9A" w:rsidRPr="00CA7749" w:rsidRDefault="00434D9A" w:rsidP="00434D9A">
            <w:pPr>
              <w:jc w:val="both"/>
              <w:rPr>
                <w:sz w:val="20"/>
              </w:rPr>
            </w:pPr>
            <w:r w:rsidRPr="00CA7749">
              <w:rPr>
                <w:sz w:val="20"/>
              </w:rPr>
              <w:t>The application judge denied Ms. Stanton leave to apply for custody of the children, finding that such an arrangement would not be in their best interests. The Court of Appeal unanimously dismissed Ms. Stanton’s appeal from the application judge’s decision.</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October 27, 2021</w:t>
            </w:r>
          </w:p>
          <w:p w:rsidR="00434D9A" w:rsidRPr="00CA7749" w:rsidRDefault="00434D9A" w:rsidP="00434D9A">
            <w:pPr>
              <w:jc w:val="both"/>
              <w:rPr>
                <w:sz w:val="20"/>
              </w:rPr>
            </w:pPr>
            <w:r w:rsidRPr="00CA7749">
              <w:rPr>
                <w:sz w:val="20"/>
              </w:rPr>
              <w:t>Family Court of Nova Scotia</w:t>
            </w:r>
          </w:p>
          <w:p w:rsidR="00434D9A" w:rsidRPr="00CA7749" w:rsidRDefault="00434D9A" w:rsidP="00434D9A">
            <w:pPr>
              <w:jc w:val="both"/>
              <w:rPr>
                <w:sz w:val="20"/>
              </w:rPr>
            </w:pPr>
            <w:r w:rsidRPr="00CA7749">
              <w:rPr>
                <w:sz w:val="20"/>
              </w:rPr>
              <w:t xml:space="preserve">(Dewolfe J.) </w:t>
            </w:r>
          </w:p>
          <w:p w:rsidR="00434D9A" w:rsidRPr="00CA7749" w:rsidRDefault="00434D9A" w:rsidP="00434D9A">
            <w:pPr>
              <w:jc w:val="both"/>
              <w:rPr>
                <w:sz w:val="20"/>
              </w:rPr>
            </w:pPr>
            <w:r w:rsidRPr="00CA7749">
              <w:rPr>
                <w:sz w:val="20"/>
              </w:rPr>
              <w:t xml:space="preserve">SFARPSA-121688 </w:t>
            </w:r>
          </w:p>
          <w:p w:rsidR="00434D9A" w:rsidRPr="00CA7749" w:rsidRDefault="00434D9A" w:rsidP="00434D9A">
            <w:pPr>
              <w:jc w:val="both"/>
              <w:rPr>
                <w:sz w:val="20"/>
              </w:rPr>
            </w:pPr>
            <w:r w:rsidRPr="00CA7749">
              <w:rPr>
                <w:sz w:val="20"/>
              </w:rPr>
              <w:t>(unreported decision)</w:t>
            </w:r>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Applicant’s application for leave to apply for custody of her grandchildren — dismissed</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October 18, 2022</w:t>
            </w:r>
          </w:p>
          <w:p w:rsidR="00434D9A" w:rsidRPr="00CA7749" w:rsidRDefault="00434D9A" w:rsidP="00434D9A">
            <w:pPr>
              <w:jc w:val="both"/>
              <w:rPr>
                <w:sz w:val="20"/>
              </w:rPr>
            </w:pPr>
            <w:r w:rsidRPr="00CA7749">
              <w:rPr>
                <w:sz w:val="20"/>
              </w:rPr>
              <w:t>Nova Scotia Court of Appeal (Halifax)</w:t>
            </w:r>
          </w:p>
          <w:p w:rsidR="00434D9A" w:rsidRPr="00CA7749" w:rsidRDefault="00434D9A" w:rsidP="00434D9A">
            <w:pPr>
              <w:jc w:val="both"/>
              <w:rPr>
                <w:sz w:val="20"/>
              </w:rPr>
            </w:pPr>
            <w:r w:rsidRPr="00CA7749">
              <w:rPr>
                <w:sz w:val="20"/>
              </w:rPr>
              <w:t>(Beaton, Bryson and Fichaud JJ.A.)</w:t>
            </w:r>
          </w:p>
          <w:p w:rsidR="00434D9A" w:rsidRPr="00CA7749" w:rsidRDefault="00434D9A" w:rsidP="00434D9A">
            <w:pPr>
              <w:jc w:val="both"/>
              <w:rPr>
                <w:sz w:val="20"/>
              </w:rPr>
            </w:pPr>
            <w:r w:rsidRPr="00CA7749">
              <w:rPr>
                <w:sz w:val="20"/>
              </w:rPr>
              <w:t>CA 510624</w:t>
            </w:r>
          </w:p>
          <w:p w:rsidR="00434D9A" w:rsidRPr="00CA7749" w:rsidRDefault="00434D9A" w:rsidP="00434D9A">
            <w:pPr>
              <w:jc w:val="both"/>
              <w:rPr>
                <w:sz w:val="20"/>
              </w:rPr>
            </w:pPr>
            <w:r w:rsidRPr="00CA7749">
              <w:rPr>
                <w:sz w:val="20"/>
              </w:rPr>
              <w:t>(unreported decision)</w:t>
            </w:r>
          </w:p>
          <w:p w:rsidR="00434D9A" w:rsidRPr="00CA7749" w:rsidRDefault="00434D9A" w:rsidP="00434D9A">
            <w:pPr>
              <w:jc w:val="both"/>
              <w:rPr>
                <w:sz w:val="20"/>
              </w:rPr>
            </w:pP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Appeal — dismissed</w:t>
            </w:r>
          </w:p>
          <w:p w:rsidR="00434D9A" w:rsidRPr="00CA7749" w:rsidRDefault="00434D9A" w:rsidP="00434D9A">
            <w:pPr>
              <w:jc w:val="both"/>
              <w:rPr>
                <w:sz w:val="20"/>
              </w:rPr>
            </w:pPr>
          </w:p>
        </w:tc>
      </w:tr>
      <w:tr w:rsidR="00434D9A" w:rsidRPr="00CA7749" w:rsidTr="004539FA">
        <w:tc>
          <w:tcPr>
            <w:tcW w:w="2427" w:type="pct"/>
            <w:gridSpan w:val="2"/>
          </w:tcPr>
          <w:p w:rsidR="00434D9A" w:rsidRPr="00CA7749" w:rsidRDefault="00434D9A" w:rsidP="00434D9A">
            <w:pPr>
              <w:jc w:val="both"/>
              <w:rPr>
                <w:sz w:val="20"/>
              </w:rPr>
            </w:pPr>
            <w:r w:rsidRPr="00CA7749">
              <w:rPr>
                <w:sz w:val="20"/>
              </w:rPr>
              <w:t>March 13, 2023</w:t>
            </w:r>
          </w:p>
          <w:p w:rsidR="00434D9A" w:rsidRPr="00CA7749" w:rsidRDefault="00434D9A" w:rsidP="00434D9A">
            <w:pPr>
              <w:jc w:val="both"/>
              <w:rPr>
                <w:sz w:val="20"/>
              </w:rPr>
            </w:pPr>
            <w:r w:rsidRPr="00CA7749">
              <w:rPr>
                <w:sz w:val="20"/>
              </w:rPr>
              <w:t>Supreme Court of Canada</w:t>
            </w:r>
          </w:p>
        </w:tc>
        <w:tc>
          <w:tcPr>
            <w:tcW w:w="243" w:type="pct"/>
          </w:tcPr>
          <w:p w:rsidR="00434D9A" w:rsidRPr="00CA7749" w:rsidRDefault="00434D9A" w:rsidP="00434D9A">
            <w:pPr>
              <w:jc w:val="both"/>
              <w:rPr>
                <w:sz w:val="20"/>
              </w:rPr>
            </w:pPr>
          </w:p>
        </w:tc>
        <w:tc>
          <w:tcPr>
            <w:tcW w:w="2330" w:type="pct"/>
          </w:tcPr>
          <w:p w:rsidR="00434D9A" w:rsidRPr="00CA7749" w:rsidRDefault="00434D9A" w:rsidP="00434D9A">
            <w:pPr>
              <w:jc w:val="both"/>
              <w:rPr>
                <w:sz w:val="20"/>
              </w:rPr>
            </w:pPr>
            <w:r w:rsidRPr="00CA7749">
              <w:rPr>
                <w:sz w:val="20"/>
              </w:rPr>
              <w:t>Motion for extension of time in which to serve and file application for leave to appeal, and application for leave, filed.</w:t>
            </w:r>
          </w:p>
        </w:tc>
      </w:tr>
    </w:tbl>
    <w:p w:rsidR="00434D9A" w:rsidRPr="00CA7749" w:rsidRDefault="00434D9A" w:rsidP="00434D9A">
      <w:pPr>
        <w:jc w:val="both"/>
        <w:rPr>
          <w:sz w:val="20"/>
        </w:rPr>
      </w:pPr>
    </w:p>
    <w:p w:rsidR="00434D9A" w:rsidRPr="00CA7749" w:rsidRDefault="00CA7749" w:rsidP="00434D9A">
      <w:pPr>
        <w:jc w:val="both"/>
        <w:rPr>
          <w:sz w:val="20"/>
        </w:rPr>
      </w:pPr>
      <w:r w:rsidRPr="00CA7749">
        <w:rPr>
          <w:sz w:val="20"/>
        </w:rPr>
        <w:pict>
          <v:rect id="_x0000_i1039" style="width:2in;height:1pt" o:hrpct="0" o:hralign="center" o:hrstd="t" o:hrnoshade="t" o:hr="t" fillcolor="black [3213]" stroked="f"/>
        </w:pict>
      </w:r>
    </w:p>
    <w:p w:rsidR="00434D9A" w:rsidRPr="00CA7749" w:rsidRDefault="00434D9A" w:rsidP="00434D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34D9A" w:rsidRPr="00CA7749" w:rsidTr="004539FA">
        <w:tc>
          <w:tcPr>
            <w:tcW w:w="543" w:type="pct"/>
          </w:tcPr>
          <w:p w:rsidR="00434D9A" w:rsidRPr="00CA7749" w:rsidRDefault="00434D9A" w:rsidP="00434D9A">
            <w:pPr>
              <w:jc w:val="both"/>
              <w:rPr>
                <w:sz w:val="20"/>
                <w:lang w:val="fr-CA"/>
              </w:rPr>
            </w:pPr>
            <w:r w:rsidRPr="00CA7749">
              <w:rPr>
                <w:rStyle w:val="SCCFileNumberChar"/>
                <w:sz w:val="20"/>
                <w:szCs w:val="20"/>
                <w:lang w:val="fr-CA"/>
              </w:rPr>
              <w:t>40665</w:t>
            </w:r>
          </w:p>
        </w:tc>
        <w:tc>
          <w:tcPr>
            <w:tcW w:w="4457" w:type="pct"/>
            <w:gridSpan w:val="3"/>
          </w:tcPr>
          <w:p w:rsidR="00434D9A" w:rsidRPr="00CA7749" w:rsidRDefault="00434D9A" w:rsidP="00434D9A">
            <w:pPr>
              <w:pStyle w:val="SCCLsocParty"/>
              <w:jc w:val="both"/>
              <w:rPr>
                <w:b/>
                <w:sz w:val="20"/>
                <w:szCs w:val="20"/>
                <w:lang w:val="en-US"/>
              </w:rPr>
            </w:pPr>
            <w:r w:rsidRPr="00CA7749">
              <w:rPr>
                <w:b/>
                <w:sz w:val="20"/>
                <w:szCs w:val="20"/>
                <w:lang w:val="en-US"/>
              </w:rPr>
              <w:t>Gale Stanton c. Kaitlin (Stanton) Inglis, Reginald Leavitt</w:t>
            </w:r>
          </w:p>
          <w:p w:rsidR="00434D9A" w:rsidRPr="00CA7749" w:rsidRDefault="00434D9A" w:rsidP="00434D9A">
            <w:pPr>
              <w:jc w:val="both"/>
              <w:rPr>
                <w:sz w:val="20"/>
                <w:lang w:val="fr-CA"/>
              </w:rPr>
            </w:pPr>
            <w:r w:rsidRPr="00CA7749">
              <w:rPr>
                <w:sz w:val="20"/>
                <w:lang w:val="fr-CA"/>
              </w:rPr>
              <w:t>(N.-É.) (Civile) (Sur autorisation)</w:t>
            </w:r>
          </w:p>
        </w:tc>
      </w:tr>
      <w:tr w:rsidR="00434D9A" w:rsidRPr="00CA7749" w:rsidTr="004539FA">
        <w:tc>
          <w:tcPr>
            <w:tcW w:w="5000" w:type="pct"/>
            <w:gridSpan w:val="4"/>
          </w:tcPr>
          <w:p w:rsidR="00434D9A" w:rsidRPr="00CA7749" w:rsidRDefault="00434D9A" w:rsidP="00434D9A">
            <w:pPr>
              <w:jc w:val="both"/>
              <w:rPr>
                <w:sz w:val="20"/>
                <w:lang w:val="fr-CA"/>
              </w:rPr>
            </w:pPr>
            <w:r w:rsidRPr="00CA7749">
              <w:rPr>
                <w:sz w:val="20"/>
                <w:lang w:val="fr-CA"/>
              </w:rPr>
              <w:t xml:space="preserve">Droit de la famille — Garde — Crainte raisonnable de partialité — La demanderesse demande la garde de ses petits-enfants — La demande d’autorisation de présenter une demande pour obtenir la garde parentale principale a été rejetée, au motif de l’intérêt supérieur des enfants — La Cour d’appel a rejeté l’appel de la demanderesse — Existait-il une crainte raisonnable de partialité envers la demanderesse de la part de la juge saisie de la demande, entraînant ainsi une erreur judiciaire ? — La Cour d’appel a-t-elle refusé de reconnaître que la juge saisie de la demande a fait preuve de partialité, et a-t-elle refusé d’agir en conséquence ? — La Cour d’appel a-t-elle omis de tenir compte d’éléments de preuve importants au dossier ? — </w:t>
            </w:r>
            <w:r w:rsidRPr="00CA7749">
              <w:rPr>
                <w:i/>
                <w:sz w:val="20"/>
                <w:lang w:val="fr-CA"/>
              </w:rPr>
              <w:t>Parenting and Support Act</w:t>
            </w:r>
            <w:r w:rsidRPr="00CA7749">
              <w:rPr>
                <w:sz w:val="20"/>
                <w:lang w:val="fr-CA"/>
              </w:rPr>
              <w:t>, R.S.N.S. 1989, c. 160, par. 18(1).</w:t>
            </w:r>
          </w:p>
        </w:tc>
      </w:tr>
      <w:tr w:rsidR="00434D9A" w:rsidRPr="00CA7749" w:rsidTr="004539FA">
        <w:tc>
          <w:tcPr>
            <w:tcW w:w="5000" w:type="pct"/>
            <w:gridSpan w:val="4"/>
          </w:tcPr>
          <w:p w:rsidR="00434D9A" w:rsidRPr="00CA7749" w:rsidRDefault="00434D9A" w:rsidP="00434D9A">
            <w:pPr>
              <w:jc w:val="both"/>
              <w:rPr>
                <w:sz w:val="20"/>
                <w:lang w:val="fr-CA"/>
              </w:rPr>
            </w:pPr>
          </w:p>
        </w:tc>
      </w:tr>
      <w:tr w:rsidR="00434D9A" w:rsidRPr="00CA7749" w:rsidTr="004539FA">
        <w:tc>
          <w:tcPr>
            <w:tcW w:w="5000" w:type="pct"/>
            <w:gridSpan w:val="4"/>
          </w:tcPr>
          <w:p w:rsidR="00434D9A" w:rsidRPr="00CA7749" w:rsidRDefault="00434D9A" w:rsidP="00434D9A">
            <w:pPr>
              <w:jc w:val="both"/>
              <w:rPr>
                <w:sz w:val="20"/>
                <w:lang w:val="fr-CA"/>
              </w:rPr>
            </w:pPr>
            <w:r w:rsidRPr="00CA7749">
              <w:rPr>
                <w:sz w:val="20"/>
                <w:lang w:val="fr-CA"/>
              </w:rPr>
              <w:t xml:space="preserve">La demanderesse, Gale Stanton, a demandé l’autorisation de présenter une demande pour obtenir la garde parentale principale de ses trois petits-enfants. La demande qu’elle a présentée en vertu du par. 18(1) de la </w:t>
            </w:r>
            <w:r w:rsidRPr="00CA7749">
              <w:rPr>
                <w:i/>
                <w:sz w:val="20"/>
                <w:lang w:val="fr-CA"/>
              </w:rPr>
              <w:t>Parenting and Support Act</w:t>
            </w:r>
            <w:r w:rsidRPr="00CA7749">
              <w:rPr>
                <w:sz w:val="20"/>
                <w:lang w:val="fr-CA"/>
              </w:rPr>
              <w:t>, R.S.N.S. 1989, c. 160, a été contestée par les parents des enfants, soit les intimés Kaitlin (Stanton) Inglis, la fille de Mme Stanton, et Reginald Leavitt.</w:t>
            </w:r>
          </w:p>
          <w:p w:rsidR="00434D9A" w:rsidRPr="00CA7749" w:rsidRDefault="00434D9A" w:rsidP="00434D9A">
            <w:pPr>
              <w:jc w:val="both"/>
              <w:rPr>
                <w:sz w:val="20"/>
                <w:lang w:val="fr-CA"/>
              </w:rPr>
            </w:pPr>
          </w:p>
          <w:p w:rsidR="00434D9A" w:rsidRPr="00CA7749" w:rsidRDefault="00434D9A" w:rsidP="00434D9A">
            <w:pPr>
              <w:jc w:val="both"/>
              <w:rPr>
                <w:sz w:val="20"/>
                <w:lang w:val="fr-CA"/>
              </w:rPr>
            </w:pPr>
            <w:r w:rsidRPr="00CA7749">
              <w:rPr>
                <w:sz w:val="20"/>
                <w:lang w:val="fr-CA"/>
              </w:rPr>
              <w:t>La juge saisie de la demande a rejeté la demande de Mme Stanton sollicitant l’autorisation de présenter une demande pour obtenir la garde des enfants, ayant conclu qu’un tel arrangement ne serait pas dans l’intérêt supérieur de ces derniers. La Cour d’appel a rejeté à l’unanimité l’appel interjeté par Mme Stanton contre la décision de la juge saisie de la demande.</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27 octobre 2021</w:t>
            </w:r>
          </w:p>
          <w:p w:rsidR="00434D9A" w:rsidRPr="00CA7749" w:rsidRDefault="00434D9A" w:rsidP="00434D9A">
            <w:pPr>
              <w:jc w:val="both"/>
              <w:rPr>
                <w:sz w:val="20"/>
                <w:lang w:val="fr-CA"/>
              </w:rPr>
            </w:pPr>
            <w:r w:rsidRPr="00CA7749">
              <w:rPr>
                <w:sz w:val="20"/>
                <w:lang w:val="fr-CA"/>
              </w:rPr>
              <w:t>Tribunal de la famille de la Nouvelle-Écosse</w:t>
            </w:r>
          </w:p>
          <w:p w:rsidR="00434D9A" w:rsidRPr="00CA7749" w:rsidRDefault="00434D9A" w:rsidP="00434D9A">
            <w:pPr>
              <w:jc w:val="both"/>
              <w:rPr>
                <w:sz w:val="20"/>
                <w:lang w:val="fr-CA"/>
              </w:rPr>
            </w:pPr>
            <w:r w:rsidRPr="00CA7749">
              <w:rPr>
                <w:sz w:val="20"/>
                <w:lang w:val="fr-CA"/>
              </w:rPr>
              <w:t xml:space="preserve">(juge Dewolfe) </w:t>
            </w:r>
          </w:p>
          <w:p w:rsidR="00434D9A" w:rsidRPr="00CA7749" w:rsidRDefault="00434D9A" w:rsidP="00434D9A">
            <w:pPr>
              <w:jc w:val="both"/>
              <w:rPr>
                <w:sz w:val="20"/>
                <w:lang w:val="fr-CA"/>
              </w:rPr>
            </w:pPr>
            <w:r w:rsidRPr="00CA7749">
              <w:rPr>
                <w:sz w:val="20"/>
                <w:lang w:val="fr-CA"/>
              </w:rPr>
              <w:t xml:space="preserve">SFARPSA-121688 </w:t>
            </w:r>
          </w:p>
          <w:p w:rsidR="00434D9A" w:rsidRPr="00CA7749" w:rsidRDefault="00434D9A" w:rsidP="00434D9A">
            <w:pPr>
              <w:jc w:val="both"/>
              <w:rPr>
                <w:sz w:val="20"/>
                <w:lang w:val="fr-CA"/>
              </w:rPr>
            </w:pPr>
            <w:r w:rsidRPr="00CA7749">
              <w:rPr>
                <w:sz w:val="20"/>
                <w:lang w:val="fr-CA"/>
              </w:rPr>
              <w:t>(décision non publiée)</w:t>
            </w:r>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 demande présentée par la demanderesse visant l’autorisation de présenter une demande pour obtenir la garde de ses petits-enfants est rejetée.</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18 octobre 2022</w:t>
            </w:r>
          </w:p>
          <w:p w:rsidR="00434D9A" w:rsidRPr="00CA7749" w:rsidRDefault="00434D9A" w:rsidP="00434D9A">
            <w:pPr>
              <w:jc w:val="both"/>
              <w:rPr>
                <w:sz w:val="20"/>
                <w:lang w:val="fr-CA"/>
              </w:rPr>
            </w:pPr>
            <w:r w:rsidRPr="00CA7749">
              <w:rPr>
                <w:sz w:val="20"/>
                <w:lang w:val="fr-CA"/>
              </w:rPr>
              <w:t>Cour d’appel de la Nouvelle-Écosse (Halifax)</w:t>
            </w:r>
          </w:p>
          <w:p w:rsidR="00434D9A" w:rsidRPr="00CA7749" w:rsidRDefault="00434D9A" w:rsidP="00434D9A">
            <w:pPr>
              <w:jc w:val="both"/>
              <w:rPr>
                <w:sz w:val="20"/>
                <w:lang w:val="fr-CA"/>
              </w:rPr>
            </w:pPr>
            <w:r w:rsidRPr="00CA7749">
              <w:rPr>
                <w:sz w:val="20"/>
                <w:lang w:val="fr-CA"/>
              </w:rPr>
              <w:t>(juges Beaton, Bryson et Fichaud)</w:t>
            </w:r>
          </w:p>
          <w:p w:rsidR="00434D9A" w:rsidRPr="00CA7749" w:rsidRDefault="00434D9A" w:rsidP="00434D9A">
            <w:pPr>
              <w:jc w:val="both"/>
              <w:rPr>
                <w:sz w:val="20"/>
                <w:lang w:val="fr-CA"/>
              </w:rPr>
            </w:pPr>
            <w:r w:rsidRPr="00CA7749">
              <w:rPr>
                <w:sz w:val="20"/>
                <w:lang w:val="fr-CA"/>
              </w:rPr>
              <w:t>CA 510624</w:t>
            </w:r>
          </w:p>
          <w:p w:rsidR="00434D9A" w:rsidRPr="00CA7749" w:rsidRDefault="00434D9A" w:rsidP="00434D9A">
            <w:pPr>
              <w:jc w:val="both"/>
              <w:rPr>
                <w:sz w:val="20"/>
                <w:lang w:val="fr-CA"/>
              </w:rPr>
            </w:pPr>
            <w:r w:rsidRPr="00CA7749">
              <w:rPr>
                <w:sz w:val="20"/>
                <w:lang w:val="fr-CA"/>
              </w:rPr>
              <w:t>(décision non publiée)</w:t>
            </w:r>
          </w:p>
          <w:p w:rsidR="00434D9A" w:rsidRPr="00CA7749" w:rsidRDefault="00434D9A" w:rsidP="00434D9A">
            <w:pPr>
              <w:jc w:val="both"/>
              <w:rPr>
                <w:sz w:val="20"/>
                <w:lang w:val="fr-CA"/>
              </w:rPr>
            </w:pP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sz w:val="20"/>
                <w:lang w:val="fr-CA"/>
              </w:rPr>
              <w:t>L’appel est rejeté.</w:t>
            </w:r>
          </w:p>
          <w:p w:rsidR="00434D9A" w:rsidRPr="00CA7749" w:rsidRDefault="00434D9A" w:rsidP="00434D9A">
            <w:pPr>
              <w:jc w:val="both"/>
              <w:rPr>
                <w:sz w:val="20"/>
                <w:lang w:val="fr-CA"/>
              </w:rPr>
            </w:pPr>
          </w:p>
        </w:tc>
      </w:tr>
      <w:tr w:rsidR="00434D9A" w:rsidRPr="00CA7749" w:rsidTr="004539FA">
        <w:tc>
          <w:tcPr>
            <w:tcW w:w="2427" w:type="pct"/>
            <w:gridSpan w:val="2"/>
          </w:tcPr>
          <w:p w:rsidR="00434D9A" w:rsidRPr="00CA7749" w:rsidRDefault="00434D9A" w:rsidP="00434D9A">
            <w:pPr>
              <w:jc w:val="both"/>
              <w:rPr>
                <w:sz w:val="20"/>
                <w:lang w:val="fr-CA"/>
              </w:rPr>
            </w:pPr>
            <w:r w:rsidRPr="00CA7749">
              <w:rPr>
                <w:sz w:val="20"/>
                <w:lang w:val="fr-CA"/>
              </w:rPr>
              <w:t>13 mars 2023</w:t>
            </w:r>
          </w:p>
          <w:p w:rsidR="00434D9A" w:rsidRPr="00CA7749" w:rsidRDefault="00434D9A" w:rsidP="00434D9A">
            <w:pPr>
              <w:jc w:val="both"/>
              <w:rPr>
                <w:sz w:val="20"/>
                <w:lang w:val="fr-CA"/>
              </w:rPr>
            </w:pPr>
            <w:r w:rsidRPr="00CA7749">
              <w:rPr>
                <w:sz w:val="20"/>
                <w:lang w:val="fr-CA"/>
              </w:rPr>
              <w:t>Cour suprême du Canada</w:t>
            </w:r>
          </w:p>
        </w:tc>
        <w:tc>
          <w:tcPr>
            <w:tcW w:w="243" w:type="pct"/>
          </w:tcPr>
          <w:p w:rsidR="00434D9A" w:rsidRPr="00CA7749" w:rsidRDefault="00434D9A" w:rsidP="00434D9A">
            <w:pPr>
              <w:jc w:val="both"/>
              <w:rPr>
                <w:sz w:val="20"/>
                <w:lang w:val="fr-CA"/>
              </w:rPr>
            </w:pPr>
          </w:p>
        </w:tc>
        <w:tc>
          <w:tcPr>
            <w:tcW w:w="2330" w:type="pct"/>
          </w:tcPr>
          <w:p w:rsidR="00434D9A" w:rsidRPr="00CA7749" w:rsidRDefault="00434D9A" w:rsidP="00434D9A">
            <w:pPr>
              <w:jc w:val="both"/>
              <w:rPr>
                <w:sz w:val="20"/>
                <w:lang w:val="fr-CA"/>
              </w:rPr>
            </w:pPr>
            <w:r w:rsidRPr="00CA7749">
              <w:rPr>
                <w:color w:val="000000"/>
                <w:sz w:val="20"/>
                <w:lang w:val="fr-CA"/>
              </w:rPr>
              <w:t>La requête en prorogation du délai de signification et de dépôt de la demande d’autorisation d’appel et la demande d’autorisation d’appel sont présentées.</w:t>
            </w:r>
          </w:p>
        </w:tc>
      </w:tr>
    </w:tbl>
    <w:p w:rsidR="00434D9A" w:rsidRPr="00CA7749" w:rsidRDefault="00434D9A" w:rsidP="00CA7749">
      <w:pPr>
        <w:jc w:val="both"/>
        <w:rPr>
          <w:sz w:val="20"/>
          <w:lang w:val="fr-CA"/>
        </w:rPr>
      </w:pPr>
    </w:p>
    <w:p w:rsidR="005D6A19" w:rsidRPr="00CA7749" w:rsidRDefault="00CA7749" w:rsidP="00CA7749">
      <w:pPr>
        <w:widowControl w:val="0"/>
        <w:jc w:val="both"/>
        <w:rPr>
          <w:sz w:val="20"/>
          <w:lang w:val="fr-CA"/>
        </w:rPr>
      </w:pPr>
      <w:r w:rsidRPr="00CA7749">
        <w:rPr>
          <w:sz w:val="20"/>
        </w:rPr>
        <w:pict>
          <v:rect id="_x0000_i1040" style="width:2in;height:1pt" o:hrpct="0" o:hralign="center" o:hrstd="t" o:hrnoshade="t" o:hr="t" fillcolor="black [3213]" stroked="f"/>
        </w:pict>
      </w:r>
    </w:p>
    <w:p w:rsidR="004539FA" w:rsidRPr="00CA7749" w:rsidRDefault="004539FA" w:rsidP="00CA774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7749" w:rsidRPr="00CA7749" w:rsidTr="00E95A6A">
        <w:tc>
          <w:tcPr>
            <w:tcW w:w="543" w:type="pct"/>
          </w:tcPr>
          <w:p w:rsidR="00CA7749" w:rsidRPr="00CA7749" w:rsidRDefault="00CA7749" w:rsidP="00CA7749">
            <w:pPr>
              <w:jc w:val="both"/>
              <w:rPr>
                <w:sz w:val="20"/>
              </w:rPr>
            </w:pPr>
            <w:r w:rsidRPr="00CA7749">
              <w:rPr>
                <w:rStyle w:val="SCCFileNumberChar"/>
                <w:sz w:val="20"/>
                <w:szCs w:val="20"/>
              </w:rPr>
              <w:t>40583</w:t>
            </w:r>
          </w:p>
        </w:tc>
        <w:tc>
          <w:tcPr>
            <w:tcW w:w="4457" w:type="pct"/>
            <w:gridSpan w:val="3"/>
          </w:tcPr>
          <w:p w:rsidR="00CA7749" w:rsidRPr="00CA7749" w:rsidRDefault="00CA7749" w:rsidP="00CA7749">
            <w:pPr>
              <w:pStyle w:val="SCCLsocParty"/>
              <w:jc w:val="both"/>
              <w:rPr>
                <w:b/>
                <w:sz w:val="20"/>
                <w:szCs w:val="20"/>
                <w:lang w:val="en-US"/>
              </w:rPr>
            </w:pPr>
            <w:r w:rsidRPr="00CA7749">
              <w:rPr>
                <w:b/>
                <w:sz w:val="20"/>
                <w:szCs w:val="20"/>
                <w:lang w:val="en-US"/>
              </w:rPr>
              <w:t>Season Lavallee v. His Majesty the King</w:t>
            </w:r>
          </w:p>
          <w:p w:rsidR="00CA7749" w:rsidRPr="00CA7749" w:rsidRDefault="00CA7749" w:rsidP="00CA7749">
            <w:pPr>
              <w:jc w:val="both"/>
              <w:rPr>
                <w:sz w:val="20"/>
              </w:rPr>
            </w:pPr>
            <w:r w:rsidRPr="00CA7749">
              <w:rPr>
                <w:sz w:val="20"/>
              </w:rPr>
              <w:t>(Man.) (Criminal) (By Leave)</w:t>
            </w:r>
          </w:p>
        </w:tc>
      </w:tr>
      <w:tr w:rsidR="00CA7749" w:rsidRPr="00CA7749" w:rsidTr="00E95A6A">
        <w:tc>
          <w:tcPr>
            <w:tcW w:w="5000" w:type="pct"/>
            <w:gridSpan w:val="4"/>
          </w:tcPr>
          <w:p w:rsidR="00CA7749" w:rsidRPr="00CA7749" w:rsidRDefault="00CA7749" w:rsidP="00CA7749">
            <w:pPr>
              <w:jc w:val="both"/>
              <w:rPr>
                <w:sz w:val="20"/>
              </w:rPr>
            </w:pPr>
            <w:r w:rsidRPr="00CA7749">
              <w:rPr>
                <w:sz w:val="20"/>
              </w:rPr>
              <w:t>Criminal Law — Offences — Criminal contempt of court — Whether Criminal contempt of court can be “purged” — What is the procedure to follow to determine whether criminal contempt of court is “purged” — What is the effect of “purging” criminal contempt of court? — Was criminal contempt of court “purged” in this case?</w:t>
            </w:r>
          </w:p>
        </w:tc>
      </w:tr>
      <w:tr w:rsidR="00CA7749" w:rsidRPr="00CA7749" w:rsidTr="00E95A6A">
        <w:tc>
          <w:tcPr>
            <w:tcW w:w="5000" w:type="pct"/>
            <w:gridSpan w:val="4"/>
          </w:tcPr>
          <w:p w:rsidR="00CA7749" w:rsidRPr="00CA7749" w:rsidRDefault="00CA7749" w:rsidP="00CA7749">
            <w:pPr>
              <w:jc w:val="both"/>
              <w:rPr>
                <w:sz w:val="20"/>
              </w:rPr>
            </w:pPr>
          </w:p>
        </w:tc>
      </w:tr>
      <w:tr w:rsidR="00CA7749" w:rsidRPr="00CA7749" w:rsidTr="00E95A6A">
        <w:tc>
          <w:tcPr>
            <w:tcW w:w="5000" w:type="pct"/>
            <w:gridSpan w:val="4"/>
          </w:tcPr>
          <w:p w:rsidR="00CA7749" w:rsidRPr="00CA7749" w:rsidRDefault="00CA7749" w:rsidP="00CA7749">
            <w:pPr>
              <w:jc w:val="both"/>
              <w:rPr>
                <w:sz w:val="20"/>
              </w:rPr>
            </w:pPr>
            <w:r w:rsidRPr="00CA7749">
              <w:rPr>
                <w:sz w:val="20"/>
              </w:rPr>
              <w:t>Ms. Lavallee was served with a subpoena to give evidence at a trial, but she did not willingly attend. After she was arrested pursuant to a witness warrant, she testified at the trial. The trial judge cited her for criminal contempt of court and ordered her to appear at a show-cause hearing. Ms. Lavallee pleaded guilty to criminal contempt but argued that she had “purged” her contempt and that no punishment should be imposed. The trial judge sentenced her to 10 months in jail, less time served. The Court of Appeal dismissed an appeal from the conviction, but it allowed an appeal from the sentence and substituted a sentence of 5 months in jail.</w:t>
            </w:r>
          </w:p>
          <w:p w:rsidR="00CA7749" w:rsidRPr="00CA7749" w:rsidRDefault="00CA7749" w:rsidP="00CA7749">
            <w:pPr>
              <w:jc w:val="both"/>
              <w:rPr>
                <w:sz w:val="20"/>
              </w:rPr>
            </w:pPr>
          </w:p>
        </w:tc>
      </w:tr>
      <w:tr w:rsidR="00CA7749" w:rsidRPr="00CA7749" w:rsidTr="00E95A6A">
        <w:tc>
          <w:tcPr>
            <w:tcW w:w="2427" w:type="pct"/>
            <w:gridSpan w:val="2"/>
          </w:tcPr>
          <w:p w:rsidR="00CA7749" w:rsidRPr="00CA7749" w:rsidRDefault="00CA7749" w:rsidP="00CA7749">
            <w:pPr>
              <w:jc w:val="both"/>
              <w:rPr>
                <w:sz w:val="20"/>
              </w:rPr>
            </w:pPr>
            <w:r w:rsidRPr="00CA7749">
              <w:rPr>
                <w:sz w:val="20"/>
              </w:rPr>
              <w:t>October 21, 2021</w:t>
            </w:r>
          </w:p>
          <w:p w:rsidR="00CA7749" w:rsidRPr="00CA7749" w:rsidRDefault="00CA7749" w:rsidP="00CA7749">
            <w:pPr>
              <w:jc w:val="both"/>
              <w:rPr>
                <w:sz w:val="20"/>
              </w:rPr>
            </w:pPr>
            <w:r w:rsidRPr="00CA7749">
              <w:rPr>
                <w:sz w:val="20"/>
              </w:rPr>
              <w:t>Court of Queen’s Bench of Manitoba</w:t>
            </w:r>
          </w:p>
          <w:p w:rsidR="00CA7749" w:rsidRPr="00CA7749" w:rsidRDefault="00CA7749" w:rsidP="00CA7749">
            <w:pPr>
              <w:jc w:val="both"/>
              <w:rPr>
                <w:sz w:val="20"/>
              </w:rPr>
            </w:pPr>
            <w:r w:rsidRPr="00CA7749">
              <w:rPr>
                <w:sz w:val="20"/>
              </w:rPr>
              <w:t>(Saull J.)</w:t>
            </w:r>
          </w:p>
          <w:p w:rsidR="00CA7749" w:rsidRPr="00CA7749" w:rsidRDefault="00CA7749" w:rsidP="00CA7749">
            <w:pPr>
              <w:jc w:val="both"/>
              <w:rPr>
                <w:sz w:val="20"/>
              </w:rPr>
            </w:pPr>
            <w:r w:rsidRPr="00CA7749">
              <w:rPr>
                <w:sz w:val="20"/>
              </w:rPr>
              <w:t>File no. CR19-01-37559</w:t>
            </w:r>
          </w:p>
          <w:p w:rsidR="00CA7749" w:rsidRPr="00CA7749" w:rsidRDefault="00CA7749" w:rsidP="00CA7749">
            <w:pPr>
              <w:jc w:val="both"/>
              <w:rPr>
                <w:sz w:val="20"/>
              </w:rPr>
            </w:pPr>
            <w:r w:rsidRPr="00CA7749">
              <w:rPr>
                <w:sz w:val="20"/>
              </w:rPr>
              <w:t>(Unpublished)</w:t>
            </w:r>
          </w:p>
          <w:p w:rsidR="00CA7749" w:rsidRPr="00CA7749" w:rsidRDefault="00CA7749" w:rsidP="00CA7749">
            <w:pPr>
              <w:jc w:val="both"/>
              <w:rPr>
                <w:sz w:val="20"/>
              </w:rPr>
            </w:pPr>
          </w:p>
        </w:tc>
        <w:tc>
          <w:tcPr>
            <w:tcW w:w="243" w:type="pct"/>
          </w:tcPr>
          <w:p w:rsidR="00CA7749" w:rsidRPr="00CA7749" w:rsidRDefault="00CA7749" w:rsidP="00CA7749">
            <w:pPr>
              <w:jc w:val="both"/>
              <w:rPr>
                <w:sz w:val="20"/>
              </w:rPr>
            </w:pPr>
          </w:p>
        </w:tc>
        <w:tc>
          <w:tcPr>
            <w:tcW w:w="2330" w:type="pct"/>
          </w:tcPr>
          <w:p w:rsidR="00CA7749" w:rsidRPr="00CA7749" w:rsidRDefault="00CA7749" w:rsidP="00CA7749">
            <w:pPr>
              <w:jc w:val="both"/>
              <w:rPr>
                <w:sz w:val="20"/>
              </w:rPr>
            </w:pPr>
            <w:r w:rsidRPr="00CA7749">
              <w:rPr>
                <w:sz w:val="20"/>
              </w:rPr>
              <w:t>Applicant is sentenced to 10 months in jail (less time served) for common law criminal contempt.</w:t>
            </w:r>
          </w:p>
          <w:p w:rsidR="00CA7749" w:rsidRPr="00CA7749" w:rsidRDefault="00CA7749" w:rsidP="00CA7749">
            <w:pPr>
              <w:jc w:val="both"/>
              <w:rPr>
                <w:sz w:val="20"/>
              </w:rPr>
            </w:pPr>
          </w:p>
        </w:tc>
      </w:tr>
      <w:tr w:rsidR="00CA7749" w:rsidRPr="00CA7749" w:rsidTr="00E95A6A">
        <w:tc>
          <w:tcPr>
            <w:tcW w:w="2427" w:type="pct"/>
            <w:gridSpan w:val="2"/>
          </w:tcPr>
          <w:p w:rsidR="00CA7749" w:rsidRPr="00CA7749" w:rsidRDefault="00CA7749" w:rsidP="00CA7749">
            <w:pPr>
              <w:jc w:val="both"/>
              <w:rPr>
                <w:sz w:val="20"/>
              </w:rPr>
            </w:pPr>
            <w:r w:rsidRPr="00CA7749">
              <w:rPr>
                <w:sz w:val="20"/>
              </w:rPr>
              <w:t>September 21, 2022</w:t>
            </w:r>
          </w:p>
          <w:p w:rsidR="00CA7749" w:rsidRPr="00CA7749" w:rsidRDefault="00CA7749" w:rsidP="00CA7749">
            <w:pPr>
              <w:jc w:val="both"/>
              <w:rPr>
                <w:sz w:val="20"/>
              </w:rPr>
            </w:pPr>
            <w:r w:rsidRPr="00CA7749">
              <w:rPr>
                <w:sz w:val="20"/>
              </w:rPr>
              <w:t>Court of Appeal of Manitoba</w:t>
            </w:r>
          </w:p>
          <w:p w:rsidR="00CA7749" w:rsidRPr="00CA7749" w:rsidRDefault="00CA7749" w:rsidP="00CA7749">
            <w:pPr>
              <w:jc w:val="both"/>
              <w:rPr>
                <w:sz w:val="20"/>
              </w:rPr>
            </w:pPr>
            <w:r w:rsidRPr="00CA7749">
              <w:rPr>
                <w:sz w:val="20"/>
              </w:rPr>
              <w:t>(Mainella, Pfuetzner, and Spivak, JJ.A.)</w:t>
            </w:r>
          </w:p>
          <w:p w:rsidR="00CA7749" w:rsidRPr="00CA7749" w:rsidRDefault="00CA7749" w:rsidP="00CA7749">
            <w:pPr>
              <w:jc w:val="both"/>
              <w:rPr>
                <w:sz w:val="20"/>
              </w:rPr>
            </w:pPr>
            <w:hyperlink r:id="rId48" w:history="1">
              <w:r w:rsidRPr="00CA7749">
                <w:rPr>
                  <w:rStyle w:val="Hyperlink"/>
                  <w:sz w:val="20"/>
                </w:rPr>
                <w:t>2022 MBCA 79</w:t>
              </w:r>
            </w:hyperlink>
          </w:p>
          <w:p w:rsidR="00CA7749" w:rsidRPr="00CA7749" w:rsidRDefault="00CA7749" w:rsidP="00CA7749">
            <w:pPr>
              <w:jc w:val="both"/>
              <w:rPr>
                <w:sz w:val="20"/>
                <w:lang w:val="fr-CA"/>
              </w:rPr>
            </w:pPr>
          </w:p>
        </w:tc>
        <w:tc>
          <w:tcPr>
            <w:tcW w:w="243" w:type="pct"/>
          </w:tcPr>
          <w:p w:rsidR="00CA7749" w:rsidRPr="00CA7749" w:rsidRDefault="00CA7749" w:rsidP="00CA7749">
            <w:pPr>
              <w:jc w:val="both"/>
              <w:rPr>
                <w:sz w:val="20"/>
                <w:lang w:val="fr-CA"/>
              </w:rPr>
            </w:pPr>
          </w:p>
        </w:tc>
        <w:tc>
          <w:tcPr>
            <w:tcW w:w="2330" w:type="pct"/>
          </w:tcPr>
          <w:p w:rsidR="00CA7749" w:rsidRPr="00CA7749" w:rsidRDefault="00CA7749" w:rsidP="00CA7749">
            <w:pPr>
              <w:jc w:val="both"/>
              <w:rPr>
                <w:sz w:val="20"/>
              </w:rPr>
            </w:pPr>
            <w:r w:rsidRPr="00CA7749">
              <w:rPr>
                <w:sz w:val="20"/>
              </w:rPr>
              <w:t>Appeal from conviction dismissed.</w:t>
            </w:r>
          </w:p>
          <w:p w:rsidR="00CA7749" w:rsidRPr="00CA7749" w:rsidRDefault="00CA7749" w:rsidP="00CA7749">
            <w:pPr>
              <w:jc w:val="both"/>
              <w:rPr>
                <w:sz w:val="20"/>
              </w:rPr>
            </w:pPr>
          </w:p>
        </w:tc>
      </w:tr>
      <w:tr w:rsidR="00CA7749" w:rsidRPr="00CA7749" w:rsidTr="00E95A6A">
        <w:tc>
          <w:tcPr>
            <w:tcW w:w="2427" w:type="pct"/>
            <w:gridSpan w:val="2"/>
          </w:tcPr>
          <w:p w:rsidR="00CA7749" w:rsidRPr="00CA7749" w:rsidRDefault="00CA7749" w:rsidP="00CA7749">
            <w:pPr>
              <w:jc w:val="both"/>
              <w:rPr>
                <w:sz w:val="20"/>
              </w:rPr>
            </w:pPr>
            <w:r w:rsidRPr="00CA7749">
              <w:rPr>
                <w:sz w:val="20"/>
              </w:rPr>
              <w:t>December 14, 2022</w:t>
            </w:r>
          </w:p>
          <w:p w:rsidR="00CA7749" w:rsidRPr="00CA7749" w:rsidRDefault="00CA7749" w:rsidP="00CA7749">
            <w:pPr>
              <w:jc w:val="both"/>
              <w:rPr>
                <w:sz w:val="20"/>
              </w:rPr>
            </w:pPr>
            <w:r w:rsidRPr="00CA7749">
              <w:rPr>
                <w:sz w:val="20"/>
              </w:rPr>
              <w:t>Court of Appeal of Manitoba</w:t>
            </w:r>
          </w:p>
          <w:p w:rsidR="00CA7749" w:rsidRPr="00CA7749" w:rsidRDefault="00CA7749" w:rsidP="00CA7749">
            <w:pPr>
              <w:jc w:val="both"/>
              <w:rPr>
                <w:sz w:val="20"/>
              </w:rPr>
            </w:pPr>
            <w:r w:rsidRPr="00CA7749">
              <w:rPr>
                <w:sz w:val="20"/>
              </w:rPr>
              <w:t>(Mainella, Pfuetzner, and Spivak, JJ.A.)</w:t>
            </w:r>
          </w:p>
          <w:p w:rsidR="00CA7749" w:rsidRPr="00CA7749" w:rsidRDefault="00CA7749" w:rsidP="00CA7749">
            <w:pPr>
              <w:jc w:val="both"/>
              <w:rPr>
                <w:sz w:val="20"/>
              </w:rPr>
            </w:pPr>
            <w:hyperlink r:id="rId49" w:history="1">
              <w:r w:rsidRPr="00CA7749">
                <w:rPr>
                  <w:rStyle w:val="Hyperlink"/>
                  <w:sz w:val="20"/>
                </w:rPr>
                <w:t>2022 MBCA 100</w:t>
              </w:r>
            </w:hyperlink>
          </w:p>
          <w:p w:rsidR="00CA7749" w:rsidRPr="00CA7749" w:rsidRDefault="00CA7749" w:rsidP="00CA7749">
            <w:pPr>
              <w:jc w:val="both"/>
              <w:rPr>
                <w:sz w:val="20"/>
              </w:rPr>
            </w:pPr>
          </w:p>
        </w:tc>
        <w:tc>
          <w:tcPr>
            <w:tcW w:w="243" w:type="pct"/>
          </w:tcPr>
          <w:p w:rsidR="00CA7749" w:rsidRPr="00CA7749" w:rsidRDefault="00CA7749" w:rsidP="00CA7749">
            <w:pPr>
              <w:jc w:val="both"/>
              <w:rPr>
                <w:sz w:val="20"/>
              </w:rPr>
            </w:pPr>
          </w:p>
        </w:tc>
        <w:tc>
          <w:tcPr>
            <w:tcW w:w="2330" w:type="pct"/>
          </w:tcPr>
          <w:p w:rsidR="00CA7749" w:rsidRPr="00CA7749" w:rsidRDefault="00CA7749" w:rsidP="00CA7749">
            <w:pPr>
              <w:jc w:val="both"/>
              <w:rPr>
                <w:sz w:val="20"/>
              </w:rPr>
            </w:pPr>
            <w:r w:rsidRPr="00CA7749">
              <w:rPr>
                <w:sz w:val="20"/>
              </w:rPr>
              <w:t>Appeal from sentence allowed. Sentence varied to 5 months’ imprisonment.</w:t>
            </w:r>
          </w:p>
        </w:tc>
      </w:tr>
      <w:tr w:rsidR="00CA7749" w:rsidRPr="00CA7749" w:rsidTr="00E95A6A">
        <w:tc>
          <w:tcPr>
            <w:tcW w:w="2427" w:type="pct"/>
            <w:gridSpan w:val="2"/>
          </w:tcPr>
          <w:p w:rsidR="00CA7749" w:rsidRPr="00CA7749" w:rsidRDefault="00CA7749" w:rsidP="00CA7749">
            <w:pPr>
              <w:jc w:val="both"/>
              <w:rPr>
                <w:sz w:val="20"/>
              </w:rPr>
            </w:pPr>
            <w:r w:rsidRPr="00CA7749">
              <w:rPr>
                <w:sz w:val="20"/>
              </w:rPr>
              <w:t>January 20, 2023</w:t>
            </w:r>
          </w:p>
          <w:p w:rsidR="00CA7749" w:rsidRPr="00CA7749" w:rsidRDefault="00CA7749" w:rsidP="00CA7749">
            <w:pPr>
              <w:jc w:val="both"/>
              <w:rPr>
                <w:sz w:val="20"/>
              </w:rPr>
            </w:pPr>
            <w:r w:rsidRPr="00CA7749">
              <w:rPr>
                <w:sz w:val="20"/>
              </w:rPr>
              <w:t>Supreme Court of Canada</w:t>
            </w:r>
          </w:p>
        </w:tc>
        <w:tc>
          <w:tcPr>
            <w:tcW w:w="243" w:type="pct"/>
          </w:tcPr>
          <w:p w:rsidR="00CA7749" w:rsidRPr="00CA7749" w:rsidRDefault="00CA7749" w:rsidP="00CA7749">
            <w:pPr>
              <w:jc w:val="both"/>
              <w:rPr>
                <w:sz w:val="20"/>
              </w:rPr>
            </w:pPr>
          </w:p>
        </w:tc>
        <w:tc>
          <w:tcPr>
            <w:tcW w:w="2330" w:type="pct"/>
          </w:tcPr>
          <w:p w:rsidR="00CA7749" w:rsidRPr="00CA7749" w:rsidRDefault="00CA7749" w:rsidP="00CA7749">
            <w:pPr>
              <w:jc w:val="both"/>
              <w:rPr>
                <w:sz w:val="20"/>
              </w:rPr>
            </w:pPr>
            <w:r w:rsidRPr="00CA7749">
              <w:rPr>
                <w:sz w:val="20"/>
              </w:rPr>
              <w:t>Application for leave to appeal filed.</w:t>
            </w:r>
          </w:p>
          <w:p w:rsidR="00CA7749" w:rsidRPr="00CA7749" w:rsidRDefault="00CA7749" w:rsidP="00CA7749">
            <w:pPr>
              <w:jc w:val="both"/>
              <w:rPr>
                <w:sz w:val="20"/>
              </w:rPr>
            </w:pPr>
          </w:p>
        </w:tc>
      </w:tr>
    </w:tbl>
    <w:p w:rsidR="00CA7749" w:rsidRPr="00CA7749" w:rsidRDefault="00CA7749" w:rsidP="00CA7749">
      <w:pPr>
        <w:jc w:val="both"/>
        <w:rPr>
          <w:sz w:val="20"/>
        </w:rPr>
      </w:pPr>
    </w:p>
    <w:p w:rsidR="00CA7749" w:rsidRPr="00CA7749" w:rsidRDefault="00CA7749" w:rsidP="00CA7749">
      <w:pPr>
        <w:jc w:val="both"/>
        <w:rPr>
          <w:sz w:val="20"/>
        </w:rPr>
      </w:pPr>
      <w:r w:rsidRPr="00CA7749">
        <w:rPr>
          <w:sz w:val="20"/>
        </w:rPr>
        <w:pict>
          <v:rect id="_x0000_i1049" style="width:2in;height:1pt" o:hrpct="0" o:hralign="center" o:hrstd="t" o:hrnoshade="t" o:hr="t" fillcolor="black [3213]" stroked="f"/>
        </w:pict>
      </w:r>
    </w:p>
    <w:p w:rsidR="00CA7749" w:rsidRPr="00CA7749" w:rsidRDefault="00CA7749" w:rsidP="00CA77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7749" w:rsidRPr="00CA7749" w:rsidTr="00E95A6A">
        <w:tc>
          <w:tcPr>
            <w:tcW w:w="543" w:type="pct"/>
          </w:tcPr>
          <w:p w:rsidR="00CA7749" w:rsidRPr="00CA7749" w:rsidRDefault="00CA7749" w:rsidP="00CA7749">
            <w:pPr>
              <w:jc w:val="both"/>
              <w:rPr>
                <w:sz w:val="20"/>
                <w:lang w:val="fr-CA"/>
              </w:rPr>
            </w:pPr>
            <w:r w:rsidRPr="00CA7749">
              <w:rPr>
                <w:rStyle w:val="SCCFileNumberChar"/>
                <w:sz w:val="20"/>
                <w:szCs w:val="20"/>
                <w:lang w:val="fr-CA"/>
              </w:rPr>
              <w:t>40583</w:t>
            </w:r>
          </w:p>
        </w:tc>
        <w:tc>
          <w:tcPr>
            <w:tcW w:w="4457" w:type="pct"/>
            <w:gridSpan w:val="3"/>
          </w:tcPr>
          <w:p w:rsidR="00CA7749" w:rsidRPr="00CA7749" w:rsidRDefault="00CA7749" w:rsidP="00CA7749">
            <w:pPr>
              <w:pStyle w:val="SCCLsocParty"/>
              <w:jc w:val="both"/>
              <w:rPr>
                <w:b/>
                <w:sz w:val="20"/>
                <w:szCs w:val="20"/>
              </w:rPr>
            </w:pPr>
            <w:r w:rsidRPr="00CA7749">
              <w:rPr>
                <w:b/>
                <w:sz w:val="20"/>
                <w:szCs w:val="20"/>
              </w:rPr>
              <w:t>Season Lavallee c. Sa Majesté le Roi</w:t>
            </w:r>
          </w:p>
          <w:p w:rsidR="00CA7749" w:rsidRPr="00CA7749" w:rsidRDefault="00CA7749" w:rsidP="00CA7749">
            <w:pPr>
              <w:jc w:val="both"/>
              <w:rPr>
                <w:sz w:val="20"/>
                <w:lang w:val="fr-CA"/>
              </w:rPr>
            </w:pPr>
            <w:r w:rsidRPr="00CA7749">
              <w:rPr>
                <w:sz w:val="20"/>
                <w:lang w:val="fr-CA"/>
              </w:rPr>
              <w:t>(Man.) (Criminelle) (Sur autorisation)</w:t>
            </w:r>
          </w:p>
        </w:tc>
      </w:tr>
      <w:tr w:rsidR="00CA7749" w:rsidRPr="00CA7749" w:rsidTr="00E95A6A">
        <w:tc>
          <w:tcPr>
            <w:tcW w:w="5000" w:type="pct"/>
            <w:gridSpan w:val="4"/>
          </w:tcPr>
          <w:p w:rsidR="00CA7749" w:rsidRPr="00CA7749" w:rsidRDefault="00CA7749" w:rsidP="00CA7749">
            <w:pPr>
              <w:jc w:val="both"/>
              <w:rPr>
                <w:sz w:val="20"/>
                <w:lang w:val="fr-CA"/>
              </w:rPr>
            </w:pPr>
            <w:r w:rsidRPr="00CA7749">
              <w:rPr>
                <w:sz w:val="20"/>
                <w:lang w:val="fr-CA"/>
              </w:rPr>
              <w:t>Droit criminel — Infractions — Outrage criminel au tribunal — Est-il possible de « faire amende honorable » pour outrage criminel au tribunal ? — Quelle procédure faut-il suivre pour déterminer si l’auteur de l’outrage criminel au tribunal a « fait amende honorable » à cet égard ? — Quel est l’effet de « faire amende honorable » pour outrage criminel au tribunal ? — L’auteure de l’outrage criminel au tribunal a-t-elle « f</w:t>
            </w:r>
            <w:r w:rsidRPr="00CA7749">
              <w:rPr>
                <w:color w:val="000000"/>
                <w:sz w:val="20"/>
                <w:lang w:val="fr-CA"/>
              </w:rPr>
              <w:t>ait amende honorable » en l’espèce ?</w:t>
            </w:r>
          </w:p>
        </w:tc>
      </w:tr>
      <w:tr w:rsidR="00CA7749" w:rsidRPr="00CA7749" w:rsidTr="00E95A6A">
        <w:tc>
          <w:tcPr>
            <w:tcW w:w="5000" w:type="pct"/>
            <w:gridSpan w:val="4"/>
          </w:tcPr>
          <w:p w:rsidR="00CA7749" w:rsidRPr="00CA7749" w:rsidRDefault="00CA7749" w:rsidP="00CA7749">
            <w:pPr>
              <w:jc w:val="both"/>
              <w:rPr>
                <w:sz w:val="20"/>
                <w:lang w:val="fr-CA"/>
              </w:rPr>
            </w:pPr>
          </w:p>
        </w:tc>
      </w:tr>
      <w:tr w:rsidR="00CA7749" w:rsidRPr="00CA7749" w:rsidTr="00E95A6A">
        <w:tc>
          <w:tcPr>
            <w:tcW w:w="5000" w:type="pct"/>
            <w:gridSpan w:val="4"/>
          </w:tcPr>
          <w:p w:rsidR="00CA7749" w:rsidRPr="00CA7749" w:rsidRDefault="00CA7749" w:rsidP="00CA7749">
            <w:pPr>
              <w:jc w:val="both"/>
              <w:rPr>
                <w:sz w:val="20"/>
                <w:lang w:val="fr-CA"/>
              </w:rPr>
            </w:pPr>
            <w:r w:rsidRPr="00CA7749">
              <w:rPr>
                <w:sz w:val="20"/>
                <w:lang w:val="fr-CA"/>
              </w:rPr>
              <w:t>Une assignation à témoigner à un procès a été signifiée à Mme Lavallee, mais elle ne s’est pas présentée au procès de son propre gré. À la suite de son arrestation conformément à un mandat d’arrestation d’un témoin, elle a témoigné au procès. Le juge du procès l’a assigné pour outrage au tribunal et a ordonné qu’elle comparaisse à une audience de justification. Madame Lavallee a plaidé coupable à l’outrage criminel, mais a fait valoir qu’elle avait « f</w:t>
            </w:r>
            <w:r w:rsidRPr="00CA7749">
              <w:rPr>
                <w:color w:val="000000"/>
                <w:sz w:val="20"/>
                <w:lang w:val="fr-CA"/>
              </w:rPr>
              <w:t>ait amende honorable </w:t>
            </w:r>
            <w:r w:rsidRPr="00CA7749">
              <w:rPr>
                <w:sz w:val="20"/>
                <w:lang w:val="fr-CA"/>
              </w:rPr>
              <w:t>» pour l’outrage et qu’aucune peine ne devrait lui être imposée. Le juge du procès l’a condamné à 10 mois d’emprisonnement, moins la période de temps déjà purgée. La Cour d’appel a rejeté l’appel de la déclaration de culpabilité, mais a accueilli l’appel relatif à la peine et a remplacé celle-ci par une peine d’emprisonnement de 5 mois.</w:t>
            </w:r>
          </w:p>
          <w:p w:rsidR="00CA7749" w:rsidRPr="00CA7749" w:rsidRDefault="00CA7749" w:rsidP="00CA7749">
            <w:pPr>
              <w:jc w:val="both"/>
              <w:rPr>
                <w:sz w:val="20"/>
                <w:lang w:val="fr-CA"/>
              </w:rPr>
            </w:pPr>
          </w:p>
        </w:tc>
      </w:tr>
      <w:tr w:rsidR="00CA7749" w:rsidRPr="00CA7749" w:rsidTr="00E95A6A">
        <w:tc>
          <w:tcPr>
            <w:tcW w:w="2427" w:type="pct"/>
            <w:gridSpan w:val="2"/>
          </w:tcPr>
          <w:p w:rsidR="00CA7749" w:rsidRPr="00CA7749" w:rsidRDefault="00CA7749" w:rsidP="00CA7749">
            <w:pPr>
              <w:jc w:val="both"/>
              <w:rPr>
                <w:sz w:val="20"/>
                <w:lang w:val="fr-CA"/>
              </w:rPr>
            </w:pPr>
            <w:r w:rsidRPr="00CA7749">
              <w:rPr>
                <w:sz w:val="20"/>
                <w:lang w:val="fr-CA"/>
              </w:rPr>
              <w:t>21 octobre 2021</w:t>
            </w:r>
          </w:p>
          <w:p w:rsidR="00CA7749" w:rsidRPr="00CA7749" w:rsidRDefault="00CA7749" w:rsidP="00CA7749">
            <w:pPr>
              <w:jc w:val="both"/>
              <w:rPr>
                <w:sz w:val="20"/>
                <w:lang w:val="fr-CA"/>
              </w:rPr>
            </w:pPr>
            <w:r w:rsidRPr="00CA7749">
              <w:rPr>
                <w:sz w:val="20"/>
                <w:lang w:val="fr-CA"/>
              </w:rPr>
              <w:t>Cour du Banc de la Reine du Manitoba</w:t>
            </w:r>
          </w:p>
          <w:p w:rsidR="00CA7749" w:rsidRPr="00CA7749" w:rsidRDefault="00CA7749" w:rsidP="00CA7749">
            <w:pPr>
              <w:jc w:val="both"/>
              <w:rPr>
                <w:sz w:val="20"/>
                <w:lang w:val="fr-CA"/>
              </w:rPr>
            </w:pPr>
            <w:r w:rsidRPr="00CA7749">
              <w:rPr>
                <w:sz w:val="20"/>
                <w:lang w:val="fr-CA"/>
              </w:rPr>
              <w:t>(juge Saull)</w:t>
            </w:r>
          </w:p>
          <w:p w:rsidR="00CA7749" w:rsidRPr="00CA7749" w:rsidRDefault="00CA7749" w:rsidP="00CA7749">
            <w:pPr>
              <w:jc w:val="both"/>
              <w:rPr>
                <w:sz w:val="20"/>
                <w:lang w:val="fr-CA"/>
              </w:rPr>
            </w:pPr>
            <w:r w:rsidRPr="00CA7749">
              <w:rPr>
                <w:sz w:val="20"/>
                <w:lang w:val="fr-CA"/>
              </w:rPr>
              <w:t>N</w:t>
            </w:r>
            <w:r w:rsidRPr="00CA7749">
              <w:rPr>
                <w:sz w:val="20"/>
                <w:vertAlign w:val="superscript"/>
                <w:lang w:val="fr-CA"/>
              </w:rPr>
              <w:t>o</w:t>
            </w:r>
            <w:r w:rsidRPr="00CA7749">
              <w:rPr>
                <w:sz w:val="20"/>
                <w:lang w:val="fr-CA"/>
              </w:rPr>
              <w:t xml:space="preserve"> de dossier CR19-01-37559</w:t>
            </w:r>
          </w:p>
          <w:p w:rsidR="00CA7749" w:rsidRPr="00CA7749" w:rsidRDefault="00CA7749" w:rsidP="00CA7749">
            <w:pPr>
              <w:jc w:val="both"/>
              <w:rPr>
                <w:sz w:val="20"/>
                <w:lang w:val="fr-CA"/>
              </w:rPr>
            </w:pPr>
            <w:r w:rsidRPr="00CA7749">
              <w:rPr>
                <w:sz w:val="20"/>
                <w:lang w:val="fr-CA"/>
              </w:rPr>
              <w:t>(non publié)</w:t>
            </w:r>
          </w:p>
          <w:p w:rsidR="00CA7749" w:rsidRPr="00CA7749" w:rsidRDefault="00CA7749" w:rsidP="00CA7749">
            <w:pPr>
              <w:jc w:val="both"/>
              <w:rPr>
                <w:sz w:val="20"/>
                <w:lang w:val="fr-CA"/>
              </w:rPr>
            </w:pPr>
          </w:p>
        </w:tc>
        <w:tc>
          <w:tcPr>
            <w:tcW w:w="243" w:type="pct"/>
          </w:tcPr>
          <w:p w:rsidR="00CA7749" w:rsidRPr="00CA7749" w:rsidRDefault="00CA7749" w:rsidP="00CA7749">
            <w:pPr>
              <w:jc w:val="both"/>
              <w:rPr>
                <w:sz w:val="20"/>
                <w:lang w:val="fr-CA"/>
              </w:rPr>
            </w:pPr>
          </w:p>
        </w:tc>
        <w:tc>
          <w:tcPr>
            <w:tcW w:w="2330" w:type="pct"/>
          </w:tcPr>
          <w:p w:rsidR="00CA7749" w:rsidRPr="00CA7749" w:rsidRDefault="00CA7749" w:rsidP="00CA7749">
            <w:pPr>
              <w:jc w:val="both"/>
              <w:rPr>
                <w:sz w:val="20"/>
                <w:lang w:val="fr-CA"/>
              </w:rPr>
            </w:pPr>
            <w:r w:rsidRPr="00CA7749">
              <w:rPr>
                <w:sz w:val="20"/>
                <w:lang w:val="fr-CA"/>
              </w:rPr>
              <w:t>La demanderesse est condamnée à une peine d’emprisonnement de 10 moins (moins la période de temps déjà purgée) pour outrage criminel en common law.</w:t>
            </w:r>
          </w:p>
          <w:p w:rsidR="00CA7749" w:rsidRPr="00CA7749" w:rsidRDefault="00CA7749" w:rsidP="00CA7749">
            <w:pPr>
              <w:jc w:val="both"/>
              <w:rPr>
                <w:sz w:val="20"/>
                <w:lang w:val="fr-CA"/>
              </w:rPr>
            </w:pPr>
          </w:p>
        </w:tc>
      </w:tr>
      <w:tr w:rsidR="00CA7749" w:rsidRPr="00CA7749" w:rsidTr="00E95A6A">
        <w:tc>
          <w:tcPr>
            <w:tcW w:w="2427" w:type="pct"/>
            <w:gridSpan w:val="2"/>
          </w:tcPr>
          <w:p w:rsidR="00CA7749" w:rsidRPr="00CA7749" w:rsidRDefault="00CA7749" w:rsidP="00CA7749">
            <w:pPr>
              <w:jc w:val="both"/>
              <w:rPr>
                <w:sz w:val="20"/>
                <w:lang w:val="fr-CA"/>
              </w:rPr>
            </w:pPr>
            <w:r w:rsidRPr="00CA7749">
              <w:rPr>
                <w:sz w:val="20"/>
                <w:lang w:val="fr-CA"/>
              </w:rPr>
              <w:t>21 septembre 2022</w:t>
            </w:r>
          </w:p>
          <w:p w:rsidR="00CA7749" w:rsidRPr="00CA7749" w:rsidRDefault="00CA7749" w:rsidP="00CA7749">
            <w:pPr>
              <w:jc w:val="both"/>
              <w:rPr>
                <w:sz w:val="20"/>
                <w:lang w:val="fr-CA"/>
              </w:rPr>
            </w:pPr>
            <w:r w:rsidRPr="00CA7749">
              <w:rPr>
                <w:sz w:val="20"/>
                <w:lang w:val="fr-CA"/>
              </w:rPr>
              <w:t>Cour d’appel du Manitoba</w:t>
            </w:r>
          </w:p>
          <w:p w:rsidR="00CA7749" w:rsidRPr="00CA7749" w:rsidRDefault="00CA7749" w:rsidP="00CA7749">
            <w:pPr>
              <w:jc w:val="both"/>
              <w:rPr>
                <w:sz w:val="20"/>
                <w:lang w:val="fr-CA"/>
              </w:rPr>
            </w:pPr>
            <w:r w:rsidRPr="00CA7749">
              <w:rPr>
                <w:sz w:val="20"/>
                <w:lang w:val="fr-CA"/>
              </w:rPr>
              <w:t>(juges Mainella, Pfuetzner et Spivak)</w:t>
            </w:r>
          </w:p>
          <w:p w:rsidR="00CA7749" w:rsidRPr="00CA7749" w:rsidRDefault="00CA7749" w:rsidP="00CA7749">
            <w:pPr>
              <w:jc w:val="both"/>
              <w:rPr>
                <w:sz w:val="20"/>
                <w:lang w:val="fr-CA"/>
              </w:rPr>
            </w:pPr>
            <w:hyperlink r:id="rId50" w:history="1">
              <w:r w:rsidRPr="00CA7749">
                <w:rPr>
                  <w:rStyle w:val="Hyperlink"/>
                  <w:sz w:val="20"/>
                  <w:lang w:val="fr-CA"/>
                </w:rPr>
                <w:t>2022 MBCA 79</w:t>
              </w:r>
            </w:hyperlink>
          </w:p>
          <w:p w:rsidR="00CA7749" w:rsidRPr="00CA7749" w:rsidRDefault="00CA7749" w:rsidP="00CA7749">
            <w:pPr>
              <w:jc w:val="both"/>
              <w:rPr>
                <w:sz w:val="20"/>
                <w:lang w:val="fr-CA"/>
              </w:rPr>
            </w:pPr>
          </w:p>
        </w:tc>
        <w:tc>
          <w:tcPr>
            <w:tcW w:w="243" w:type="pct"/>
          </w:tcPr>
          <w:p w:rsidR="00CA7749" w:rsidRPr="00CA7749" w:rsidRDefault="00CA7749" w:rsidP="00CA7749">
            <w:pPr>
              <w:jc w:val="both"/>
              <w:rPr>
                <w:sz w:val="20"/>
                <w:lang w:val="fr-CA"/>
              </w:rPr>
            </w:pPr>
          </w:p>
        </w:tc>
        <w:tc>
          <w:tcPr>
            <w:tcW w:w="2330" w:type="pct"/>
          </w:tcPr>
          <w:p w:rsidR="00CA7749" w:rsidRPr="00CA7749" w:rsidRDefault="00CA7749" w:rsidP="00CA7749">
            <w:pPr>
              <w:jc w:val="both"/>
              <w:rPr>
                <w:sz w:val="20"/>
                <w:lang w:val="fr-CA"/>
              </w:rPr>
            </w:pPr>
            <w:r w:rsidRPr="00CA7749">
              <w:rPr>
                <w:sz w:val="20"/>
                <w:lang w:val="fr-CA"/>
              </w:rPr>
              <w:t>L’appel de la déclaration de culpabilité est rejeté.</w:t>
            </w:r>
          </w:p>
          <w:p w:rsidR="00CA7749" w:rsidRPr="00CA7749" w:rsidRDefault="00CA7749" w:rsidP="00CA7749">
            <w:pPr>
              <w:jc w:val="both"/>
              <w:rPr>
                <w:sz w:val="20"/>
                <w:lang w:val="fr-CA"/>
              </w:rPr>
            </w:pPr>
          </w:p>
        </w:tc>
      </w:tr>
      <w:tr w:rsidR="00CA7749" w:rsidRPr="00CA7749" w:rsidTr="00E95A6A">
        <w:tc>
          <w:tcPr>
            <w:tcW w:w="2427" w:type="pct"/>
            <w:gridSpan w:val="2"/>
          </w:tcPr>
          <w:p w:rsidR="00CA7749" w:rsidRPr="00CA7749" w:rsidRDefault="00CA7749" w:rsidP="00CA7749">
            <w:pPr>
              <w:jc w:val="both"/>
              <w:rPr>
                <w:sz w:val="20"/>
                <w:lang w:val="fr-CA"/>
              </w:rPr>
            </w:pPr>
            <w:r w:rsidRPr="00CA7749">
              <w:rPr>
                <w:sz w:val="20"/>
                <w:lang w:val="fr-CA"/>
              </w:rPr>
              <w:t>14 décembre 2022</w:t>
            </w:r>
          </w:p>
          <w:p w:rsidR="00CA7749" w:rsidRPr="00CA7749" w:rsidRDefault="00CA7749" w:rsidP="00CA7749">
            <w:pPr>
              <w:jc w:val="both"/>
              <w:rPr>
                <w:sz w:val="20"/>
                <w:lang w:val="fr-CA"/>
              </w:rPr>
            </w:pPr>
            <w:r w:rsidRPr="00CA7749">
              <w:rPr>
                <w:sz w:val="20"/>
                <w:lang w:val="fr-CA"/>
              </w:rPr>
              <w:t>Cour d’appel du Manitoba</w:t>
            </w:r>
          </w:p>
          <w:p w:rsidR="00CA7749" w:rsidRPr="00CA7749" w:rsidRDefault="00CA7749" w:rsidP="00CA7749">
            <w:pPr>
              <w:jc w:val="both"/>
              <w:rPr>
                <w:sz w:val="20"/>
                <w:lang w:val="fr-CA"/>
              </w:rPr>
            </w:pPr>
            <w:r w:rsidRPr="00CA7749">
              <w:rPr>
                <w:sz w:val="20"/>
                <w:lang w:val="fr-CA"/>
              </w:rPr>
              <w:t>(juges Mainella, Pfuetzner et Spivak)</w:t>
            </w:r>
          </w:p>
          <w:p w:rsidR="00CA7749" w:rsidRPr="00CA7749" w:rsidRDefault="00CA7749" w:rsidP="00CA7749">
            <w:pPr>
              <w:jc w:val="both"/>
              <w:rPr>
                <w:sz w:val="20"/>
                <w:lang w:val="fr-CA"/>
              </w:rPr>
            </w:pPr>
            <w:hyperlink r:id="rId51" w:history="1">
              <w:r w:rsidRPr="00CA7749">
                <w:rPr>
                  <w:rStyle w:val="Hyperlink"/>
                  <w:sz w:val="20"/>
                  <w:lang w:val="fr-CA"/>
                </w:rPr>
                <w:t>2022 MBCA 100</w:t>
              </w:r>
            </w:hyperlink>
          </w:p>
          <w:p w:rsidR="00CA7749" w:rsidRPr="00CA7749" w:rsidRDefault="00CA7749" w:rsidP="00CA7749">
            <w:pPr>
              <w:jc w:val="both"/>
              <w:rPr>
                <w:sz w:val="20"/>
                <w:lang w:val="fr-CA"/>
              </w:rPr>
            </w:pPr>
          </w:p>
        </w:tc>
        <w:tc>
          <w:tcPr>
            <w:tcW w:w="243" w:type="pct"/>
          </w:tcPr>
          <w:p w:rsidR="00CA7749" w:rsidRPr="00CA7749" w:rsidRDefault="00CA7749" w:rsidP="00CA7749">
            <w:pPr>
              <w:jc w:val="both"/>
              <w:rPr>
                <w:sz w:val="20"/>
                <w:lang w:val="fr-CA"/>
              </w:rPr>
            </w:pPr>
          </w:p>
        </w:tc>
        <w:tc>
          <w:tcPr>
            <w:tcW w:w="2330" w:type="pct"/>
          </w:tcPr>
          <w:p w:rsidR="00CA7749" w:rsidRPr="00CA7749" w:rsidRDefault="00CA7749" w:rsidP="00CA7749">
            <w:pPr>
              <w:jc w:val="both"/>
              <w:rPr>
                <w:sz w:val="20"/>
                <w:lang w:val="fr-CA"/>
              </w:rPr>
            </w:pPr>
            <w:r w:rsidRPr="00CA7749">
              <w:rPr>
                <w:sz w:val="20"/>
                <w:lang w:val="fr-CA"/>
              </w:rPr>
              <w:t>L’appel relatif à la peine est accueilli. La peine est modifiée à cinq mois d’emprisonnement.</w:t>
            </w:r>
          </w:p>
        </w:tc>
      </w:tr>
      <w:tr w:rsidR="00CA7749" w:rsidRPr="00CA7749" w:rsidTr="00E95A6A">
        <w:tc>
          <w:tcPr>
            <w:tcW w:w="2427" w:type="pct"/>
            <w:gridSpan w:val="2"/>
          </w:tcPr>
          <w:p w:rsidR="00CA7749" w:rsidRPr="00CA7749" w:rsidRDefault="00CA7749" w:rsidP="00CA7749">
            <w:pPr>
              <w:jc w:val="both"/>
              <w:rPr>
                <w:sz w:val="20"/>
                <w:lang w:val="fr-CA"/>
              </w:rPr>
            </w:pPr>
            <w:r w:rsidRPr="00CA7749">
              <w:rPr>
                <w:sz w:val="20"/>
                <w:lang w:val="fr-CA"/>
              </w:rPr>
              <w:t>20 janvier 2023</w:t>
            </w:r>
          </w:p>
          <w:p w:rsidR="00CA7749" w:rsidRPr="00CA7749" w:rsidRDefault="00CA7749" w:rsidP="00CA7749">
            <w:pPr>
              <w:jc w:val="both"/>
              <w:rPr>
                <w:sz w:val="20"/>
                <w:lang w:val="fr-CA"/>
              </w:rPr>
            </w:pPr>
            <w:r w:rsidRPr="00CA7749">
              <w:rPr>
                <w:sz w:val="20"/>
                <w:lang w:val="fr-CA"/>
              </w:rPr>
              <w:t>Cour suprême du Canada</w:t>
            </w:r>
          </w:p>
        </w:tc>
        <w:tc>
          <w:tcPr>
            <w:tcW w:w="243" w:type="pct"/>
          </w:tcPr>
          <w:p w:rsidR="00CA7749" w:rsidRPr="00CA7749" w:rsidRDefault="00CA7749" w:rsidP="00CA7749">
            <w:pPr>
              <w:jc w:val="both"/>
              <w:rPr>
                <w:sz w:val="20"/>
                <w:lang w:val="fr-CA"/>
              </w:rPr>
            </w:pPr>
          </w:p>
        </w:tc>
        <w:tc>
          <w:tcPr>
            <w:tcW w:w="2330" w:type="pct"/>
          </w:tcPr>
          <w:p w:rsidR="00CA7749" w:rsidRPr="00CA7749" w:rsidRDefault="00CA7749" w:rsidP="00CA7749">
            <w:pPr>
              <w:jc w:val="both"/>
              <w:rPr>
                <w:sz w:val="20"/>
                <w:lang w:val="fr-CA"/>
              </w:rPr>
            </w:pPr>
            <w:r w:rsidRPr="00CA7749">
              <w:rPr>
                <w:sz w:val="20"/>
                <w:lang w:val="fr-CA"/>
              </w:rPr>
              <w:t>La demande d’autorisation d’appel est présentée.</w:t>
            </w:r>
          </w:p>
          <w:p w:rsidR="00CA7749" w:rsidRPr="00CA7749" w:rsidRDefault="00CA7749" w:rsidP="00CA7749">
            <w:pPr>
              <w:jc w:val="both"/>
              <w:rPr>
                <w:sz w:val="20"/>
                <w:lang w:val="fr-CA"/>
              </w:rPr>
            </w:pPr>
          </w:p>
        </w:tc>
      </w:tr>
    </w:tbl>
    <w:p w:rsidR="00CA7749" w:rsidRPr="00CA7749" w:rsidRDefault="00CA7749" w:rsidP="00CA7749">
      <w:pPr>
        <w:jc w:val="both"/>
        <w:rPr>
          <w:sz w:val="20"/>
          <w:lang w:val="fr-CA"/>
        </w:rPr>
      </w:pPr>
    </w:p>
    <w:p w:rsidR="00CA7749" w:rsidRPr="00CA7749" w:rsidRDefault="00CA7749" w:rsidP="004539FA">
      <w:pPr>
        <w:jc w:val="both"/>
        <w:rPr>
          <w:sz w:val="20"/>
          <w:lang w:val="fr-CA"/>
        </w:rPr>
      </w:pPr>
      <w:r w:rsidRPr="00CA7749">
        <w:rPr>
          <w:sz w:val="20"/>
        </w:rPr>
        <w:pict>
          <v:rect id="_x0000_i1048" style="width:2in;height:1pt" o:hrpct="0" o:hralign="center" o:hrstd="t" o:hrnoshade="t" o:hr="t" fillcolor="black [3213]" stroked="f"/>
        </w:pict>
      </w:r>
    </w:p>
    <w:p w:rsidR="00CA7749" w:rsidRPr="00CA7749" w:rsidRDefault="00CA7749" w:rsidP="004539F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39FA" w:rsidRPr="00CA7749" w:rsidTr="004539FA">
        <w:tc>
          <w:tcPr>
            <w:tcW w:w="543" w:type="pct"/>
          </w:tcPr>
          <w:p w:rsidR="004539FA" w:rsidRPr="00CA7749" w:rsidRDefault="004539FA" w:rsidP="004539FA">
            <w:pPr>
              <w:jc w:val="both"/>
              <w:rPr>
                <w:sz w:val="20"/>
              </w:rPr>
            </w:pPr>
            <w:r w:rsidRPr="00CA7749">
              <w:rPr>
                <w:rStyle w:val="SCCFileNumberChar"/>
                <w:sz w:val="20"/>
                <w:szCs w:val="20"/>
              </w:rPr>
              <w:t>40585</w:t>
            </w:r>
          </w:p>
        </w:tc>
        <w:tc>
          <w:tcPr>
            <w:tcW w:w="4457" w:type="pct"/>
            <w:gridSpan w:val="3"/>
          </w:tcPr>
          <w:p w:rsidR="004539FA" w:rsidRPr="00CA7749" w:rsidRDefault="004539FA" w:rsidP="004539FA">
            <w:pPr>
              <w:pStyle w:val="SCCLsocParty"/>
              <w:jc w:val="both"/>
              <w:rPr>
                <w:b/>
                <w:sz w:val="20"/>
                <w:szCs w:val="20"/>
                <w:lang w:val="en-US"/>
              </w:rPr>
            </w:pPr>
            <w:r w:rsidRPr="00CA7749">
              <w:rPr>
                <w:b/>
                <w:sz w:val="20"/>
                <w:szCs w:val="20"/>
                <w:lang w:val="en-US"/>
              </w:rPr>
              <w:t>Flow Capital Corp. v. Hybrid Financial Ltd.</w:t>
            </w:r>
          </w:p>
          <w:p w:rsidR="004539FA" w:rsidRPr="00CA7749" w:rsidRDefault="004539FA" w:rsidP="004539FA">
            <w:pPr>
              <w:jc w:val="both"/>
              <w:rPr>
                <w:sz w:val="20"/>
              </w:rPr>
            </w:pPr>
            <w:r w:rsidRPr="00CA7749">
              <w:rPr>
                <w:sz w:val="20"/>
              </w:rPr>
              <w:t>(Ont.) (Civil) (By Leave)</w:t>
            </w:r>
          </w:p>
        </w:tc>
      </w:tr>
      <w:tr w:rsidR="004539FA" w:rsidRPr="00CA7749" w:rsidTr="004539FA">
        <w:tc>
          <w:tcPr>
            <w:tcW w:w="5000" w:type="pct"/>
            <w:gridSpan w:val="4"/>
          </w:tcPr>
          <w:p w:rsidR="004539FA" w:rsidRPr="00CA7749" w:rsidRDefault="004539FA" w:rsidP="004539FA">
            <w:pPr>
              <w:jc w:val="both"/>
              <w:rPr>
                <w:sz w:val="20"/>
              </w:rPr>
            </w:pPr>
            <w:r w:rsidRPr="00CA7749">
              <w:rPr>
                <w:sz w:val="20"/>
              </w:rPr>
              <w:t xml:space="preserve">Commercial law — Royalty purchase agreement — Buyout — Criminal rate of interest — Whether the definition of interest in s. 347 of the </w:t>
            </w:r>
            <w:r w:rsidRPr="00CA7749">
              <w:rPr>
                <w:i/>
                <w:sz w:val="20"/>
              </w:rPr>
              <w:t>Criminal Code</w:t>
            </w:r>
            <w:r w:rsidRPr="00CA7749">
              <w:rPr>
                <w:sz w:val="20"/>
              </w:rPr>
              <w:t xml:space="preserve"> captures contractual payment terms agreed by commercial parties that do not provide for a fixed amount, but instead requires a valuation or appraisal — Whether a contractual provision limiting a payment to the maximum allowed by law displaces the common law rule that s. 347 does not apply to voluntary payment — Whether a contract for royalty payments with a repurchase right determined by the future net equity value of a business is a debt transaction subject to s. 347 of the </w:t>
            </w:r>
            <w:r w:rsidRPr="00CA7749">
              <w:rPr>
                <w:i/>
                <w:sz w:val="20"/>
              </w:rPr>
              <w:t>Criminal Code</w:t>
            </w:r>
            <w:r w:rsidRPr="00CA7749">
              <w:rPr>
                <w:sz w:val="20"/>
              </w:rPr>
              <w:t xml:space="preserve"> — </w:t>
            </w:r>
            <w:r w:rsidRPr="00CA7749">
              <w:rPr>
                <w:i/>
                <w:sz w:val="20"/>
              </w:rPr>
              <w:t>Criminal Code</w:t>
            </w:r>
            <w:r w:rsidRPr="00CA7749">
              <w:rPr>
                <w:sz w:val="20"/>
              </w:rPr>
              <w:t>, R.S.C. 1985, c. C-46, s. 347.</w:t>
            </w:r>
          </w:p>
        </w:tc>
      </w:tr>
      <w:tr w:rsidR="004539FA" w:rsidRPr="00CA7749" w:rsidTr="004539FA">
        <w:tc>
          <w:tcPr>
            <w:tcW w:w="5000" w:type="pct"/>
            <w:gridSpan w:val="4"/>
          </w:tcPr>
          <w:p w:rsidR="004539FA" w:rsidRPr="00CA7749" w:rsidRDefault="004539FA" w:rsidP="004539FA">
            <w:pPr>
              <w:jc w:val="both"/>
              <w:rPr>
                <w:sz w:val="20"/>
              </w:rPr>
            </w:pPr>
          </w:p>
          <w:p w:rsidR="004539FA" w:rsidRPr="00CA7749" w:rsidRDefault="004539FA" w:rsidP="004539FA">
            <w:pPr>
              <w:jc w:val="both"/>
              <w:rPr>
                <w:sz w:val="20"/>
              </w:rPr>
            </w:pPr>
            <w:r w:rsidRPr="00CA7749">
              <w:rPr>
                <w:sz w:val="20"/>
              </w:rPr>
              <w:t>The respondent Hybrid Financial Ltd. carries on business as a sales and distribution company involved in the provision of capital market services, investor relations, asset management and shareholder services. The applicant Flow Capital Corp. provides growth capital for companies in North America and the United Kingdom. In 2017, Hybrid was indebted to a bank and the debt was secured by the personal guarantee of Hybrid’s CEO. In search for alternative financing to pay off the bank loan and not require a personal guarantee, Hybrid’s CEO approached Flow. Flow agreed to provide $750,000 to Hybrid and in exchange, Flow acquired rights to receive payments in return, subject to a buyout option exercisable by Hybrid. Hybrid was obliged to make a minimum monthly payment described as a royalty. Flow did not acquire any shares in Hybrid, nor did it receive a right to play a role in the governance of Hybrid. The buyout option gave Hybrid the right to end the obligation to make monthly payments once Hybrid had made payments totalling at least $750,000. The option required Hybrid to pay the greater of $1,500,000 or 5 per cent of Hybrid’s net equity value. Unless it exercised the buyout option, Hybrid was required to make the stipulated monthly payments in perpetuity. The agreement included a maximum permitted rate clause stipulating that Flow could not receive a payment at a rate prohibited by law.</w:t>
            </w:r>
          </w:p>
          <w:p w:rsidR="004539FA" w:rsidRPr="00CA7749" w:rsidRDefault="004539FA" w:rsidP="004539FA">
            <w:pPr>
              <w:jc w:val="both"/>
              <w:rPr>
                <w:sz w:val="20"/>
              </w:rPr>
            </w:pPr>
          </w:p>
          <w:p w:rsidR="004539FA" w:rsidRPr="00CA7749" w:rsidRDefault="004539FA" w:rsidP="004539FA">
            <w:pPr>
              <w:jc w:val="both"/>
              <w:rPr>
                <w:sz w:val="20"/>
              </w:rPr>
            </w:pPr>
            <w:r w:rsidRPr="00CA7749">
              <w:rPr>
                <w:sz w:val="20"/>
              </w:rPr>
              <w:t xml:space="preserve">In June 2020, Hybrid gave notice of its intention to exercise the buyout option. At the time, Hybrid had paid $828,205.34 in monthly payments, thus satisfying the condition precedent of the option. The parties jointly retained an independent evaluator to conduct a valuation of Hybrid’s net equity. The evaluator estimated Hybrid’s net equity value to be approximately $75,500,000. Using the 5 per cent net equity valuation stipulated in the agreement, the cost of exercising the option to terminate the monthly payments would be $3,775,000. Hybrid disputed this valuation and claimed the net value of the company was under $30,000,000. In November 2020, for the first time, Hybrid asserted its claim that the agreement resulted in a criminal rate of interest and was in violation of s. 347 of the </w:t>
            </w:r>
            <w:r w:rsidRPr="00CA7749">
              <w:rPr>
                <w:i/>
                <w:sz w:val="20"/>
              </w:rPr>
              <w:t>Criminal Code</w:t>
            </w:r>
            <w:r w:rsidRPr="00CA7749">
              <w:rPr>
                <w:sz w:val="20"/>
              </w:rPr>
              <w:t xml:space="preserve">, R.S.C. 1985, </w:t>
            </w:r>
            <w:proofErr w:type="gramStart"/>
            <w:r w:rsidRPr="00CA7749">
              <w:rPr>
                <w:sz w:val="20"/>
              </w:rPr>
              <w:t>c</w:t>
            </w:r>
            <w:proofErr w:type="gramEnd"/>
            <w:r w:rsidRPr="00CA7749">
              <w:rPr>
                <w:sz w:val="20"/>
              </w:rPr>
              <w:t>. C-46. Flow brought its own application for an order declaring Hybrid in default under the agreement and requiring Hybrid to pay the buyout amount.</w:t>
            </w:r>
          </w:p>
          <w:p w:rsidR="004539FA" w:rsidRPr="00CA7749" w:rsidRDefault="004539FA" w:rsidP="004539FA">
            <w:pPr>
              <w:jc w:val="both"/>
              <w:rPr>
                <w:sz w:val="20"/>
              </w:rPr>
            </w:pPr>
          </w:p>
          <w:p w:rsidR="004539FA" w:rsidRPr="00CA7749" w:rsidRDefault="004539FA" w:rsidP="004539FA">
            <w:pPr>
              <w:jc w:val="both"/>
              <w:rPr>
                <w:sz w:val="20"/>
              </w:rPr>
            </w:pPr>
            <w:r w:rsidRPr="00CA7749">
              <w:rPr>
                <w:sz w:val="20"/>
              </w:rPr>
              <w:t>The application judge dismissed Hybrid’s application and granted the relief sought by Flow. The Court of Appeal set aside the application judge’s dismissal of Hybrid’s application and remitted the matter to the Superior Court to determine the buyout amount which was to be determined by application of the maximum rate clause in the agreement.</w:t>
            </w:r>
          </w:p>
        </w:tc>
      </w:tr>
      <w:tr w:rsidR="004539FA" w:rsidRPr="00CA7749" w:rsidTr="004539FA">
        <w:tc>
          <w:tcPr>
            <w:tcW w:w="5000" w:type="pct"/>
            <w:gridSpan w:val="4"/>
          </w:tcPr>
          <w:p w:rsidR="004539FA" w:rsidRPr="00CA7749" w:rsidRDefault="004539FA" w:rsidP="004539FA">
            <w:pPr>
              <w:jc w:val="both"/>
              <w:rPr>
                <w:sz w:val="20"/>
              </w:rPr>
            </w:pPr>
          </w:p>
        </w:tc>
      </w:tr>
      <w:tr w:rsidR="004539FA" w:rsidRPr="00CA7749" w:rsidTr="004539FA">
        <w:tc>
          <w:tcPr>
            <w:tcW w:w="2427" w:type="pct"/>
            <w:gridSpan w:val="2"/>
          </w:tcPr>
          <w:p w:rsidR="004539FA" w:rsidRPr="00CA7749" w:rsidRDefault="004539FA" w:rsidP="004539FA">
            <w:pPr>
              <w:jc w:val="both"/>
              <w:rPr>
                <w:sz w:val="20"/>
              </w:rPr>
            </w:pPr>
            <w:r w:rsidRPr="00CA7749">
              <w:rPr>
                <w:sz w:val="20"/>
              </w:rPr>
              <w:t>February 7, 2022</w:t>
            </w:r>
          </w:p>
          <w:p w:rsidR="004539FA" w:rsidRPr="00CA7749" w:rsidRDefault="004539FA" w:rsidP="004539FA">
            <w:pPr>
              <w:jc w:val="both"/>
              <w:rPr>
                <w:sz w:val="20"/>
              </w:rPr>
            </w:pPr>
            <w:r w:rsidRPr="00CA7749">
              <w:rPr>
                <w:sz w:val="20"/>
              </w:rPr>
              <w:t>Ontario Superior Court of Justice</w:t>
            </w:r>
          </w:p>
          <w:p w:rsidR="004539FA" w:rsidRPr="00CA7749" w:rsidRDefault="004539FA" w:rsidP="004539FA">
            <w:pPr>
              <w:jc w:val="both"/>
              <w:rPr>
                <w:sz w:val="20"/>
              </w:rPr>
            </w:pPr>
            <w:r w:rsidRPr="00CA7749">
              <w:rPr>
                <w:sz w:val="20"/>
              </w:rPr>
              <w:t>(Vella J.)</w:t>
            </w:r>
          </w:p>
          <w:p w:rsidR="004539FA" w:rsidRPr="00CA7749" w:rsidRDefault="00CA7749" w:rsidP="004539FA">
            <w:pPr>
              <w:jc w:val="both"/>
              <w:rPr>
                <w:sz w:val="20"/>
              </w:rPr>
            </w:pPr>
            <w:hyperlink r:id="rId52" w:history="1">
              <w:r w:rsidR="004539FA" w:rsidRPr="00CA7749">
                <w:rPr>
                  <w:rStyle w:val="Hyperlink"/>
                  <w:sz w:val="20"/>
                </w:rPr>
                <w:t>2022 ONSC 892</w:t>
              </w:r>
            </w:hyperlink>
            <w:r w:rsidR="004539FA" w:rsidRPr="00CA7749">
              <w:rPr>
                <w:sz w:val="20"/>
              </w:rPr>
              <w:t>; CV-21-00655791-0000</w:t>
            </w:r>
          </w:p>
          <w:p w:rsidR="004539FA" w:rsidRPr="00CA7749" w:rsidRDefault="004539FA" w:rsidP="004539FA">
            <w:pPr>
              <w:jc w:val="both"/>
              <w:rPr>
                <w:sz w:val="20"/>
              </w:rPr>
            </w:pPr>
          </w:p>
        </w:tc>
        <w:tc>
          <w:tcPr>
            <w:tcW w:w="243" w:type="pct"/>
          </w:tcPr>
          <w:p w:rsidR="004539FA" w:rsidRPr="00CA7749" w:rsidRDefault="004539FA" w:rsidP="004539FA">
            <w:pPr>
              <w:jc w:val="both"/>
              <w:rPr>
                <w:sz w:val="20"/>
              </w:rPr>
            </w:pPr>
          </w:p>
        </w:tc>
        <w:tc>
          <w:tcPr>
            <w:tcW w:w="2330" w:type="pct"/>
          </w:tcPr>
          <w:p w:rsidR="004539FA" w:rsidRPr="00CA7749" w:rsidRDefault="004539FA" w:rsidP="004539FA">
            <w:pPr>
              <w:jc w:val="both"/>
              <w:rPr>
                <w:sz w:val="20"/>
              </w:rPr>
            </w:pPr>
            <w:r w:rsidRPr="00CA7749">
              <w:rPr>
                <w:sz w:val="20"/>
              </w:rPr>
              <w:t xml:space="preserve">Respondent’s application for declaration that agreement offends s. 347 of the </w:t>
            </w:r>
            <w:r w:rsidRPr="00CA7749">
              <w:rPr>
                <w:i/>
                <w:sz w:val="20"/>
              </w:rPr>
              <w:t>Criminal Code</w:t>
            </w:r>
            <w:r w:rsidRPr="00CA7749">
              <w:rPr>
                <w:sz w:val="20"/>
              </w:rPr>
              <w:t xml:space="preserve"> dismissed; respondent ordered to pay buyout amount as per agreement</w:t>
            </w:r>
          </w:p>
        </w:tc>
      </w:tr>
      <w:tr w:rsidR="004539FA" w:rsidRPr="00CA7749" w:rsidTr="004539FA">
        <w:tc>
          <w:tcPr>
            <w:tcW w:w="2427" w:type="pct"/>
            <w:gridSpan w:val="2"/>
          </w:tcPr>
          <w:p w:rsidR="004539FA" w:rsidRPr="00CA7749" w:rsidRDefault="004539FA" w:rsidP="004539FA">
            <w:pPr>
              <w:jc w:val="both"/>
              <w:rPr>
                <w:sz w:val="20"/>
              </w:rPr>
            </w:pPr>
            <w:r w:rsidRPr="00CA7749">
              <w:rPr>
                <w:sz w:val="20"/>
              </w:rPr>
              <w:t>November 25, 2022</w:t>
            </w:r>
          </w:p>
          <w:p w:rsidR="004539FA" w:rsidRPr="00CA7749" w:rsidRDefault="004539FA" w:rsidP="004539FA">
            <w:pPr>
              <w:jc w:val="both"/>
              <w:rPr>
                <w:sz w:val="20"/>
              </w:rPr>
            </w:pPr>
            <w:r w:rsidRPr="00CA7749">
              <w:rPr>
                <w:sz w:val="20"/>
              </w:rPr>
              <w:t>Court of Appeal for Ontario</w:t>
            </w:r>
          </w:p>
          <w:p w:rsidR="004539FA" w:rsidRPr="00CA7749" w:rsidRDefault="004539FA" w:rsidP="004539FA">
            <w:pPr>
              <w:jc w:val="both"/>
              <w:rPr>
                <w:sz w:val="20"/>
              </w:rPr>
            </w:pPr>
            <w:r w:rsidRPr="00CA7749">
              <w:rPr>
                <w:sz w:val="20"/>
              </w:rPr>
              <w:t>(</w:t>
            </w:r>
            <w:proofErr w:type="gramStart"/>
            <w:r w:rsidRPr="00CA7749">
              <w:rPr>
                <w:sz w:val="20"/>
              </w:rPr>
              <w:t>van</w:t>
            </w:r>
            <w:proofErr w:type="gramEnd"/>
            <w:r w:rsidRPr="00CA7749">
              <w:rPr>
                <w:sz w:val="20"/>
              </w:rPr>
              <w:t xml:space="preserve"> Rensburg, Pardu and Copeland JJ.A.)</w:t>
            </w:r>
          </w:p>
          <w:p w:rsidR="004539FA" w:rsidRPr="00CA7749" w:rsidRDefault="00CA7749" w:rsidP="004539FA">
            <w:pPr>
              <w:jc w:val="both"/>
              <w:rPr>
                <w:sz w:val="20"/>
              </w:rPr>
            </w:pPr>
            <w:hyperlink r:id="rId53" w:history="1">
              <w:r w:rsidR="004539FA" w:rsidRPr="00CA7749">
                <w:rPr>
                  <w:rStyle w:val="Hyperlink"/>
                  <w:sz w:val="20"/>
                </w:rPr>
                <w:t>2022 ONCA 820</w:t>
              </w:r>
            </w:hyperlink>
            <w:r w:rsidR="004539FA" w:rsidRPr="00CA7749">
              <w:rPr>
                <w:sz w:val="20"/>
              </w:rPr>
              <w:t>; C70359</w:t>
            </w:r>
          </w:p>
        </w:tc>
        <w:tc>
          <w:tcPr>
            <w:tcW w:w="243" w:type="pct"/>
          </w:tcPr>
          <w:p w:rsidR="004539FA" w:rsidRPr="00CA7749" w:rsidRDefault="004539FA" w:rsidP="004539FA">
            <w:pPr>
              <w:jc w:val="both"/>
              <w:rPr>
                <w:sz w:val="20"/>
              </w:rPr>
            </w:pPr>
          </w:p>
        </w:tc>
        <w:tc>
          <w:tcPr>
            <w:tcW w:w="2330" w:type="pct"/>
          </w:tcPr>
          <w:p w:rsidR="004539FA" w:rsidRPr="00CA7749" w:rsidRDefault="004539FA" w:rsidP="004539FA">
            <w:pPr>
              <w:jc w:val="both"/>
              <w:rPr>
                <w:sz w:val="20"/>
              </w:rPr>
            </w:pPr>
            <w:r w:rsidRPr="00CA7749">
              <w:rPr>
                <w:sz w:val="20"/>
              </w:rPr>
              <w:t>Order dismissing respondent’s application set aside; buyout amount to be determined by application of the maximum rate clause in the  agreement; matter returned to Superior Court for determination of the buyout amount</w:t>
            </w:r>
          </w:p>
          <w:p w:rsidR="004539FA" w:rsidRPr="00CA7749" w:rsidRDefault="004539FA" w:rsidP="004539FA">
            <w:pPr>
              <w:jc w:val="both"/>
              <w:rPr>
                <w:sz w:val="20"/>
              </w:rPr>
            </w:pPr>
          </w:p>
        </w:tc>
      </w:tr>
      <w:tr w:rsidR="004539FA" w:rsidRPr="00CA7749" w:rsidTr="004539FA">
        <w:tc>
          <w:tcPr>
            <w:tcW w:w="2427" w:type="pct"/>
            <w:gridSpan w:val="2"/>
          </w:tcPr>
          <w:p w:rsidR="004539FA" w:rsidRPr="00CA7749" w:rsidRDefault="004539FA" w:rsidP="004539FA">
            <w:pPr>
              <w:jc w:val="both"/>
              <w:rPr>
                <w:sz w:val="20"/>
              </w:rPr>
            </w:pPr>
            <w:r w:rsidRPr="00CA7749">
              <w:rPr>
                <w:sz w:val="20"/>
              </w:rPr>
              <w:t>January 24, 2023</w:t>
            </w:r>
          </w:p>
          <w:p w:rsidR="004539FA" w:rsidRPr="00CA7749" w:rsidRDefault="004539FA" w:rsidP="004539FA">
            <w:pPr>
              <w:jc w:val="both"/>
              <w:rPr>
                <w:sz w:val="20"/>
              </w:rPr>
            </w:pPr>
            <w:r w:rsidRPr="00CA7749">
              <w:rPr>
                <w:sz w:val="20"/>
              </w:rPr>
              <w:t>Supreme Court of Canada</w:t>
            </w:r>
          </w:p>
        </w:tc>
        <w:tc>
          <w:tcPr>
            <w:tcW w:w="243" w:type="pct"/>
          </w:tcPr>
          <w:p w:rsidR="004539FA" w:rsidRPr="00CA7749" w:rsidRDefault="004539FA" w:rsidP="004539FA">
            <w:pPr>
              <w:jc w:val="both"/>
              <w:rPr>
                <w:sz w:val="20"/>
              </w:rPr>
            </w:pPr>
          </w:p>
        </w:tc>
        <w:tc>
          <w:tcPr>
            <w:tcW w:w="2330" w:type="pct"/>
          </w:tcPr>
          <w:p w:rsidR="004539FA" w:rsidRPr="00CA7749" w:rsidRDefault="004539FA" w:rsidP="004539FA">
            <w:pPr>
              <w:jc w:val="both"/>
              <w:rPr>
                <w:sz w:val="20"/>
              </w:rPr>
            </w:pPr>
            <w:r w:rsidRPr="00CA7749">
              <w:rPr>
                <w:sz w:val="20"/>
              </w:rPr>
              <w:t>Application for leave to appeal filed</w:t>
            </w:r>
          </w:p>
          <w:p w:rsidR="004539FA" w:rsidRPr="00CA7749" w:rsidRDefault="004539FA" w:rsidP="004539FA">
            <w:pPr>
              <w:jc w:val="both"/>
              <w:rPr>
                <w:sz w:val="20"/>
              </w:rPr>
            </w:pPr>
          </w:p>
        </w:tc>
      </w:tr>
    </w:tbl>
    <w:p w:rsidR="004539FA" w:rsidRPr="00CA7749" w:rsidRDefault="004539FA" w:rsidP="004539FA">
      <w:pPr>
        <w:jc w:val="both"/>
        <w:rPr>
          <w:sz w:val="20"/>
        </w:rPr>
      </w:pPr>
    </w:p>
    <w:p w:rsidR="004539FA" w:rsidRPr="00CA7749" w:rsidRDefault="00CA7749" w:rsidP="004539FA">
      <w:pPr>
        <w:jc w:val="both"/>
        <w:rPr>
          <w:sz w:val="20"/>
        </w:rPr>
      </w:pPr>
      <w:r w:rsidRPr="00CA7749">
        <w:rPr>
          <w:sz w:val="20"/>
        </w:rPr>
        <w:pict>
          <v:rect id="_x0000_i1041" style="width:2in;height:1pt" o:hrpct="0" o:hralign="center" o:hrstd="t" o:hrnoshade="t" o:hr="t" fillcolor="black [3213]" stroked="f"/>
        </w:pict>
      </w:r>
    </w:p>
    <w:p w:rsidR="004539FA" w:rsidRPr="00CA7749" w:rsidRDefault="004539FA" w:rsidP="004539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39FA" w:rsidRPr="00CA7749" w:rsidTr="004539FA">
        <w:tc>
          <w:tcPr>
            <w:tcW w:w="543" w:type="pct"/>
          </w:tcPr>
          <w:p w:rsidR="004539FA" w:rsidRPr="00CA7749" w:rsidRDefault="004539FA" w:rsidP="004539FA">
            <w:pPr>
              <w:jc w:val="both"/>
              <w:rPr>
                <w:sz w:val="20"/>
                <w:lang w:val="fr-CA"/>
              </w:rPr>
            </w:pPr>
            <w:r w:rsidRPr="00CA7749">
              <w:rPr>
                <w:rStyle w:val="SCCFileNumberChar"/>
                <w:sz w:val="20"/>
                <w:szCs w:val="20"/>
                <w:lang w:val="fr-CA"/>
              </w:rPr>
              <w:t>40585</w:t>
            </w:r>
          </w:p>
        </w:tc>
        <w:tc>
          <w:tcPr>
            <w:tcW w:w="4457" w:type="pct"/>
            <w:gridSpan w:val="3"/>
          </w:tcPr>
          <w:p w:rsidR="004539FA" w:rsidRPr="00CA7749" w:rsidRDefault="004539FA" w:rsidP="004539FA">
            <w:pPr>
              <w:pStyle w:val="SCCLsocParty"/>
              <w:jc w:val="both"/>
              <w:rPr>
                <w:b/>
                <w:sz w:val="20"/>
                <w:szCs w:val="20"/>
                <w:lang w:val="en-US"/>
              </w:rPr>
            </w:pPr>
            <w:r w:rsidRPr="00CA7749">
              <w:rPr>
                <w:b/>
                <w:sz w:val="20"/>
                <w:szCs w:val="20"/>
                <w:lang w:val="en-US"/>
              </w:rPr>
              <w:t>Flow Capital Corp. c. Hybrid Financial Ltd.</w:t>
            </w:r>
          </w:p>
          <w:p w:rsidR="004539FA" w:rsidRPr="00CA7749" w:rsidRDefault="004539FA" w:rsidP="004539FA">
            <w:pPr>
              <w:jc w:val="both"/>
              <w:rPr>
                <w:sz w:val="20"/>
                <w:lang w:val="fr-CA"/>
              </w:rPr>
            </w:pPr>
            <w:r w:rsidRPr="00CA7749">
              <w:rPr>
                <w:sz w:val="20"/>
                <w:lang w:val="fr-CA"/>
              </w:rPr>
              <w:t>(Ont.) (Civile) (Sur autorisation)</w:t>
            </w:r>
          </w:p>
        </w:tc>
      </w:tr>
      <w:tr w:rsidR="004539FA" w:rsidRPr="00CA7749" w:rsidTr="004539FA">
        <w:tc>
          <w:tcPr>
            <w:tcW w:w="5000" w:type="pct"/>
            <w:gridSpan w:val="4"/>
          </w:tcPr>
          <w:p w:rsidR="004539FA" w:rsidRPr="00CA7749" w:rsidRDefault="004539FA" w:rsidP="004539FA">
            <w:pPr>
              <w:jc w:val="both"/>
              <w:rPr>
                <w:sz w:val="20"/>
                <w:lang w:val="fr-CA"/>
              </w:rPr>
            </w:pPr>
            <w:r w:rsidRPr="00CA7749">
              <w:rPr>
                <w:sz w:val="20"/>
                <w:lang w:val="fr-CA"/>
              </w:rPr>
              <w:t xml:space="preserve">Droit commercial — Convention de redevances et de rachat — Rachat — Taux d’intérêt criminel — La définition d’« intérêt » à l’art. 347 du </w:t>
            </w:r>
            <w:r w:rsidRPr="00CA7749">
              <w:rPr>
                <w:i/>
                <w:sz w:val="20"/>
                <w:lang w:val="fr-CA"/>
              </w:rPr>
              <w:t xml:space="preserve">Code criminel </w:t>
            </w:r>
            <w:r w:rsidRPr="00CA7749">
              <w:rPr>
                <w:sz w:val="20"/>
                <w:lang w:val="fr-CA"/>
              </w:rPr>
              <w:t xml:space="preserve">vise-t-elle les modalités de paiement qui, dans une convention entre parties commerciales, ne prévoient pas une somme fixe, mais requièrent plutôt une évaluation ou une appréciation? — La disposition contractuelle qui limite un paiement au montant maximum permis par la loi écarte-t-elle la règle de common law selon laquelle l’art. 347 ne s’applique pas au paiement volontaire? — La convention qui prévoit le paiement de redevances ainsi qu’un droit de rachat déterminé en fonction de la valeur future de l’actif net d’une entreprise constitue-t-elle une transaction de créance assujettie à l’art. 347 du </w:t>
            </w:r>
            <w:r w:rsidRPr="00CA7749">
              <w:rPr>
                <w:i/>
                <w:sz w:val="20"/>
                <w:lang w:val="fr-CA"/>
              </w:rPr>
              <w:t>Code criminel</w:t>
            </w:r>
            <w:r w:rsidRPr="00CA7749">
              <w:rPr>
                <w:sz w:val="20"/>
                <w:lang w:val="fr-CA"/>
              </w:rPr>
              <w:t xml:space="preserve">? — </w:t>
            </w:r>
            <w:r w:rsidRPr="00CA7749">
              <w:rPr>
                <w:i/>
                <w:sz w:val="20"/>
                <w:lang w:val="fr-CA"/>
              </w:rPr>
              <w:t>Code criminel</w:t>
            </w:r>
            <w:r w:rsidRPr="00CA7749">
              <w:rPr>
                <w:sz w:val="20"/>
                <w:lang w:val="fr-CA"/>
              </w:rPr>
              <w:t>, L.R.C. 1985, c. C</w:t>
            </w:r>
            <w:r w:rsidRPr="00CA7749">
              <w:rPr>
                <w:sz w:val="20"/>
                <w:lang w:val="fr-CA"/>
              </w:rPr>
              <w:noBreakHyphen/>
              <w:t xml:space="preserve">46, art. 347. </w:t>
            </w:r>
          </w:p>
        </w:tc>
      </w:tr>
      <w:tr w:rsidR="004539FA" w:rsidRPr="00CA7749" w:rsidTr="004539FA">
        <w:tc>
          <w:tcPr>
            <w:tcW w:w="5000" w:type="pct"/>
            <w:gridSpan w:val="4"/>
          </w:tcPr>
          <w:p w:rsidR="004539FA" w:rsidRPr="00CA7749" w:rsidRDefault="004539FA" w:rsidP="004539FA">
            <w:pPr>
              <w:jc w:val="both"/>
              <w:rPr>
                <w:sz w:val="20"/>
                <w:lang w:val="fr-CA"/>
              </w:rPr>
            </w:pPr>
          </w:p>
          <w:p w:rsidR="004539FA" w:rsidRPr="00CA7749" w:rsidRDefault="004539FA" w:rsidP="004539FA">
            <w:pPr>
              <w:jc w:val="both"/>
              <w:rPr>
                <w:sz w:val="20"/>
                <w:lang w:val="fr-CA"/>
              </w:rPr>
            </w:pPr>
            <w:r w:rsidRPr="00CA7749">
              <w:rPr>
                <w:sz w:val="20"/>
                <w:lang w:val="fr-CA"/>
              </w:rPr>
              <w:t>L’intimée, Hybrid Financial Ltd., est une société exerçant ses activités à titre d’entreprise de vente et de distribution en matière de services liés aux marchés de capitaux, de relations entre investisseurs, de gestion d’actifs et de services aux actionnaires. La demanderesse, la société Flow Capital Corp., fournit des capitaux de développement à des entreprises en Amérique du Nord et au Royaume-Uni. En 2017, Hybrid avait une dette bancaire et celle-ci était garantie au moyen d’une sûreté personnelle consentie par le PDG de Hybrid. En cherchant des sources de financement afin de rembourser l’emprunt bancaire et ne pas devoir exécuter sa sûreté personnelle, ce dernier a fait appel à Flow. Celle-ci a accepté de fournir 750 000 $ à Hybrid et, en échange, elle acquérait le droit de recevoir des paiements, sous réserve d’une option de rachat dont pourrait se prévaloir Hybrid. Pour sa part, Hybrid avait l’obligation de faire des paiements mensuels minimums à titre de redevances. Flow n’a acquis aucune action de Hybrid et n’a obtenu aucun droit de participation à la gouverne de l’entreprise. L’option de rachat accordait à Hybrid le droit de mettre fin à l’obligation de paiement mensuel une fois qu’elle aurait versé des paiements totalisant un minimum de 750 000 $. Elle exigeait aussi le paiement du montant le plus élevé de 1 500 000 $ ou de 5 p. 100 de la valeur de l’actif net de Hybrid. Dans l’éventualité où elle n’exerçait pas son droit de rachat, Hybrid était tenue de poursuivre les paiements mensuels stipulés à perpétuité. La convention comportait une clause relative au taux maximal permis, laquelle stipulait que Flow ne pouvait recevoir aucun paiement à un taux prohibé par la loi.</w:t>
            </w:r>
          </w:p>
          <w:p w:rsidR="004539FA" w:rsidRPr="00CA7749" w:rsidRDefault="004539FA" w:rsidP="004539FA">
            <w:pPr>
              <w:jc w:val="both"/>
              <w:rPr>
                <w:sz w:val="20"/>
                <w:lang w:val="fr-CA"/>
              </w:rPr>
            </w:pPr>
          </w:p>
          <w:p w:rsidR="004539FA" w:rsidRPr="00CA7749" w:rsidRDefault="004539FA" w:rsidP="004539FA">
            <w:pPr>
              <w:jc w:val="both"/>
              <w:rPr>
                <w:sz w:val="20"/>
                <w:lang w:val="fr-CA"/>
              </w:rPr>
            </w:pPr>
            <w:r w:rsidRPr="00CA7749">
              <w:rPr>
                <w:sz w:val="20"/>
                <w:lang w:val="fr-CA"/>
              </w:rPr>
              <w:t xml:space="preserve">En juin 2020, Hybrid a donné avis de son intention d’exercer l’option de rachat. À ce moment-là, ayant versé 828 205,34 $ en paiements mensuels, Hybrid avait respecté la condition préalable à l’option de rachat. Les parties ont retenu conjointement les services d’un évaluateur pour qu’il évalue l’actif net de Hybrid. L’évaluateur a estimé la valeur de l’actif net de Hybrid à environ 75 500 000 $. En appliquant le taux de 5 p. 100 de la valeur de l’actif net stipulé dans la convention, le montant à payer pour exercer l’option de rachat mettant fin aux paiements mensuels s’élevait à 3 775 000 $. Hybrid a contesté l’évaluation et prétendu que la valeur nette de l’entreprise était inférieure à 30 000 000 $. En novembre 2020, Hybrid a présenté une requête introductive d’instance dans laquelle elle faisait valoir, pour la première fois, que la convention donnait lieu à un taux d’intérêt criminel allant à l’encontre de l’art. 347 du </w:t>
            </w:r>
            <w:r w:rsidRPr="00CA7749">
              <w:rPr>
                <w:i/>
                <w:sz w:val="20"/>
                <w:lang w:val="fr-CA"/>
              </w:rPr>
              <w:t>Code criminel</w:t>
            </w:r>
            <w:r w:rsidRPr="00CA7749">
              <w:rPr>
                <w:sz w:val="20"/>
                <w:lang w:val="fr-CA"/>
              </w:rPr>
              <w:t>, L.R.C. 1985, c. C</w:t>
            </w:r>
            <w:r w:rsidRPr="00CA7749">
              <w:rPr>
                <w:sz w:val="20"/>
                <w:lang w:val="fr-CA"/>
              </w:rPr>
              <w:noBreakHyphen/>
              <w:t>46.</w:t>
            </w:r>
            <w:r w:rsidRPr="00CA7749">
              <w:rPr>
                <w:i/>
                <w:sz w:val="20"/>
                <w:lang w:val="fr-CA"/>
              </w:rPr>
              <w:t xml:space="preserve"> </w:t>
            </w:r>
            <w:r w:rsidRPr="00CA7749">
              <w:rPr>
                <w:sz w:val="20"/>
                <w:lang w:val="fr-CA"/>
              </w:rPr>
              <w:t xml:space="preserve">Flow a quant à elle présenté une requête en vue d’obtenir une ordonnance déclarant que Hybrid se trouvait en défaut aux termes de la convention et qu’elle devait payer le montant de rachat. </w:t>
            </w:r>
          </w:p>
          <w:p w:rsidR="004539FA" w:rsidRPr="00CA7749" w:rsidRDefault="004539FA" w:rsidP="004539FA">
            <w:pPr>
              <w:jc w:val="both"/>
              <w:rPr>
                <w:sz w:val="20"/>
                <w:lang w:val="fr-CA"/>
              </w:rPr>
            </w:pPr>
          </w:p>
          <w:p w:rsidR="004539FA" w:rsidRPr="00CA7749" w:rsidRDefault="004539FA" w:rsidP="004539FA">
            <w:pPr>
              <w:jc w:val="both"/>
              <w:rPr>
                <w:sz w:val="20"/>
                <w:lang w:val="fr-CA"/>
              </w:rPr>
            </w:pPr>
            <w:r w:rsidRPr="00CA7749">
              <w:rPr>
                <w:sz w:val="20"/>
                <w:lang w:val="fr-CA"/>
              </w:rPr>
              <w:t xml:space="preserve">La juge de première instance a rejeté la demande de Hybrid et accordé à Flow la réparation demandée. La Cour d’appel a annulé la décision de rejeter la demande de Hybrid en première instance et elle a renvoyé l’affaire à la Cour supérieure pour qu’elle détermine le montant de rachat applicable, lequel devait être établi conformément à la clause relative au taux maximal dans la convention. </w:t>
            </w:r>
          </w:p>
        </w:tc>
      </w:tr>
      <w:tr w:rsidR="004539FA" w:rsidRPr="00CA7749" w:rsidTr="004539FA">
        <w:tc>
          <w:tcPr>
            <w:tcW w:w="5000" w:type="pct"/>
            <w:gridSpan w:val="4"/>
          </w:tcPr>
          <w:p w:rsidR="004539FA" w:rsidRPr="00CA7749" w:rsidRDefault="004539FA" w:rsidP="004539FA">
            <w:pPr>
              <w:jc w:val="both"/>
              <w:rPr>
                <w:sz w:val="20"/>
                <w:lang w:val="fr-CA"/>
              </w:rPr>
            </w:pPr>
          </w:p>
        </w:tc>
      </w:tr>
      <w:tr w:rsidR="004539FA" w:rsidRPr="00CA7749" w:rsidTr="004539FA">
        <w:tc>
          <w:tcPr>
            <w:tcW w:w="2427" w:type="pct"/>
            <w:gridSpan w:val="2"/>
          </w:tcPr>
          <w:p w:rsidR="004539FA" w:rsidRPr="00CA7749" w:rsidRDefault="004539FA" w:rsidP="004539FA">
            <w:pPr>
              <w:jc w:val="both"/>
              <w:rPr>
                <w:sz w:val="20"/>
                <w:lang w:val="fr-CA"/>
              </w:rPr>
            </w:pPr>
            <w:r w:rsidRPr="00CA7749">
              <w:rPr>
                <w:sz w:val="20"/>
                <w:lang w:val="fr-CA"/>
              </w:rPr>
              <w:t>7 février 2022</w:t>
            </w:r>
          </w:p>
          <w:p w:rsidR="004539FA" w:rsidRPr="00CA7749" w:rsidRDefault="004539FA" w:rsidP="004539FA">
            <w:pPr>
              <w:jc w:val="both"/>
              <w:rPr>
                <w:sz w:val="20"/>
                <w:lang w:val="fr-CA"/>
              </w:rPr>
            </w:pPr>
            <w:r w:rsidRPr="00CA7749">
              <w:rPr>
                <w:sz w:val="20"/>
                <w:lang w:val="fr-CA"/>
              </w:rPr>
              <w:t>Cour supérieure de justice de l’Ontario</w:t>
            </w:r>
          </w:p>
          <w:p w:rsidR="004539FA" w:rsidRPr="00CA7749" w:rsidRDefault="004539FA" w:rsidP="004539FA">
            <w:pPr>
              <w:jc w:val="both"/>
              <w:rPr>
                <w:sz w:val="20"/>
                <w:lang w:val="fr-CA"/>
              </w:rPr>
            </w:pPr>
            <w:r w:rsidRPr="00CA7749">
              <w:rPr>
                <w:sz w:val="20"/>
                <w:lang w:val="fr-CA"/>
              </w:rPr>
              <w:t>(Juge Vella)</w:t>
            </w:r>
          </w:p>
          <w:p w:rsidR="004539FA" w:rsidRPr="00CA7749" w:rsidRDefault="00CA7749" w:rsidP="004539FA">
            <w:pPr>
              <w:jc w:val="both"/>
              <w:rPr>
                <w:sz w:val="20"/>
                <w:lang w:val="fr-CA"/>
              </w:rPr>
            </w:pPr>
            <w:hyperlink r:id="rId54" w:history="1">
              <w:r w:rsidR="004539FA" w:rsidRPr="00CA7749">
                <w:rPr>
                  <w:rStyle w:val="Hyperlink"/>
                  <w:sz w:val="20"/>
                  <w:lang w:val="fr-CA"/>
                </w:rPr>
                <w:t>2022 ONSC 892</w:t>
              </w:r>
            </w:hyperlink>
            <w:r w:rsidR="000A655D" w:rsidRPr="00CA7749">
              <w:rPr>
                <w:sz w:val="20"/>
                <w:lang w:val="fr-CA"/>
              </w:rPr>
              <w:t>; CV-21-00655791-0000</w:t>
            </w:r>
          </w:p>
          <w:p w:rsidR="000A655D" w:rsidRPr="00CA7749" w:rsidRDefault="000A655D" w:rsidP="004539FA">
            <w:pPr>
              <w:jc w:val="both"/>
              <w:rPr>
                <w:sz w:val="20"/>
                <w:lang w:val="fr-CA"/>
              </w:rPr>
            </w:pPr>
          </w:p>
        </w:tc>
        <w:tc>
          <w:tcPr>
            <w:tcW w:w="243" w:type="pct"/>
          </w:tcPr>
          <w:p w:rsidR="004539FA" w:rsidRPr="00CA7749" w:rsidRDefault="004539FA" w:rsidP="004539FA">
            <w:pPr>
              <w:jc w:val="both"/>
              <w:rPr>
                <w:sz w:val="20"/>
                <w:lang w:val="fr-CA"/>
              </w:rPr>
            </w:pPr>
          </w:p>
        </w:tc>
        <w:tc>
          <w:tcPr>
            <w:tcW w:w="2330" w:type="pct"/>
          </w:tcPr>
          <w:p w:rsidR="004539FA" w:rsidRPr="00CA7749" w:rsidRDefault="004539FA" w:rsidP="004539FA">
            <w:pPr>
              <w:jc w:val="both"/>
              <w:rPr>
                <w:sz w:val="20"/>
                <w:lang w:val="fr-CA"/>
              </w:rPr>
            </w:pPr>
            <w:r w:rsidRPr="00CA7749">
              <w:rPr>
                <w:sz w:val="20"/>
                <w:lang w:val="fr-CA"/>
              </w:rPr>
              <w:t xml:space="preserve">La demande de l’intimée sollicitant une déclaration selon laquelle la convention enfreint l’art. 347 du </w:t>
            </w:r>
            <w:r w:rsidRPr="00CA7749">
              <w:rPr>
                <w:i/>
                <w:sz w:val="20"/>
                <w:lang w:val="fr-CA"/>
              </w:rPr>
              <w:t xml:space="preserve">Code criminel </w:t>
            </w:r>
            <w:r w:rsidRPr="00CA7749">
              <w:rPr>
                <w:sz w:val="20"/>
                <w:lang w:val="fr-CA"/>
              </w:rPr>
              <w:t xml:space="preserve">est rejetée; l’intimée est tenue de payer le montant de rachat conformément à la convention. </w:t>
            </w:r>
          </w:p>
        </w:tc>
      </w:tr>
      <w:tr w:rsidR="004539FA" w:rsidRPr="00CA7749" w:rsidTr="004539FA">
        <w:tc>
          <w:tcPr>
            <w:tcW w:w="2427" w:type="pct"/>
            <w:gridSpan w:val="2"/>
          </w:tcPr>
          <w:p w:rsidR="004539FA" w:rsidRPr="00CA7749" w:rsidRDefault="004539FA" w:rsidP="004539FA">
            <w:pPr>
              <w:jc w:val="both"/>
              <w:rPr>
                <w:sz w:val="20"/>
                <w:lang w:val="fr-CA"/>
              </w:rPr>
            </w:pPr>
            <w:r w:rsidRPr="00CA7749">
              <w:rPr>
                <w:sz w:val="20"/>
                <w:lang w:val="fr-CA"/>
              </w:rPr>
              <w:t>25 novembre 2022</w:t>
            </w:r>
          </w:p>
          <w:p w:rsidR="004539FA" w:rsidRPr="00CA7749" w:rsidRDefault="004539FA" w:rsidP="004539FA">
            <w:pPr>
              <w:jc w:val="both"/>
              <w:rPr>
                <w:sz w:val="20"/>
                <w:lang w:val="fr-CA"/>
              </w:rPr>
            </w:pPr>
            <w:r w:rsidRPr="00CA7749">
              <w:rPr>
                <w:sz w:val="20"/>
                <w:lang w:val="fr-CA"/>
              </w:rPr>
              <w:t>Cour d’appel de l’Ontario</w:t>
            </w:r>
          </w:p>
          <w:p w:rsidR="004539FA" w:rsidRPr="00CA7749" w:rsidRDefault="004539FA" w:rsidP="004539FA">
            <w:pPr>
              <w:jc w:val="both"/>
              <w:rPr>
                <w:sz w:val="20"/>
                <w:lang w:val="fr-CA"/>
              </w:rPr>
            </w:pPr>
            <w:r w:rsidRPr="00CA7749">
              <w:rPr>
                <w:sz w:val="20"/>
                <w:lang w:val="fr-CA"/>
              </w:rPr>
              <w:t>(Juges van Rensburg, Pardu et Copeland)</w:t>
            </w:r>
          </w:p>
          <w:p w:rsidR="004539FA" w:rsidRPr="00CA7749" w:rsidRDefault="00CA7749" w:rsidP="004539FA">
            <w:pPr>
              <w:jc w:val="both"/>
              <w:rPr>
                <w:sz w:val="20"/>
                <w:lang w:val="fr-CA"/>
              </w:rPr>
            </w:pPr>
            <w:hyperlink r:id="rId55" w:history="1">
              <w:r w:rsidR="004539FA" w:rsidRPr="00CA7749">
                <w:rPr>
                  <w:rStyle w:val="Hyperlink"/>
                  <w:sz w:val="20"/>
                  <w:lang w:val="fr-CA"/>
                </w:rPr>
                <w:t>2022 ONCA 820</w:t>
              </w:r>
            </w:hyperlink>
            <w:r w:rsidR="004539FA" w:rsidRPr="00CA7749">
              <w:rPr>
                <w:sz w:val="20"/>
                <w:lang w:val="fr-CA"/>
              </w:rPr>
              <w:t>; C70359</w:t>
            </w:r>
          </w:p>
        </w:tc>
        <w:tc>
          <w:tcPr>
            <w:tcW w:w="243" w:type="pct"/>
          </w:tcPr>
          <w:p w:rsidR="004539FA" w:rsidRPr="00CA7749" w:rsidRDefault="004539FA" w:rsidP="004539FA">
            <w:pPr>
              <w:jc w:val="both"/>
              <w:rPr>
                <w:sz w:val="20"/>
                <w:lang w:val="fr-CA"/>
              </w:rPr>
            </w:pPr>
          </w:p>
        </w:tc>
        <w:tc>
          <w:tcPr>
            <w:tcW w:w="2330" w:type="pct"/>
          </w:tcPr>
          <w:p w:rsidR="004539FA" w:rsidRPr="00CA7749" w:rsidRDefault="004539FA" w:rsidP="004539FA">
            <w:pPr>
              <w:jc w:val="both"/>
              <w:rPr>
                <w:sz w:val="20"/>
                <w:lang w:val="fr-CA"/>
              </w:rPr>
            </w:pPr>
            <w:r w:rsidRPr="00CA7749">
              <w:rPr>
                <w:sz w:val="20"/>
                <w:lang w:val="fr-CA"/>
              </w:rPr>
              <w:t xml:space="preserve">La décision ayant rejeté la demande de l’intimée est annulée; le montant de rachat doit être établi conformément à la clause relative au taux maximal dans la convention; l’affaire est renvoyée à la Cour supérieure pour qu’elle détermine le montant de rachat. </w:t>
            </w:r>
          </w:p>
          <w:p w:rsidR="004539FA" w:rsidRPr="00CA7749" w:rsidRDefault="004539FA" w:rsidP="004539FA">
            <w:pPr>
              <w:jc w:val="both"/>
              <w:rPr>
                <w:sz w:val="20"/>
                <w:lang w:val="fr-CA"/>
              </w:rPr>
            </w:pPr>
          </w:p>
        </w:tc>
      </w:tr>
      <w:tr w:rsidR="004539FA" w:rsidRPr="00CA7749" w:rsidTr="004539FA">
        <w:tc>
          <w:tcPr>
            <w:tcW w:w="2427" w:type="pct"/>
            <w:gridSpan w:val="2"/>
          </w:tcPr>
          <w:p w:rsidR="004539FA" w:rsidRPr="00CA7749" w:rsidRDefault="004539FA" w:rsidP="004539FA">
            <w:pPr>
              <w:jc w:val="both"/>
              <w:rPr>
                <w:sz w:val="20"/>
                <w:lang w:val="fr-CA"/>
              </w:rPr>
            </w:pPr>
            <w:r w:rsidRPr="00CA7749">
              <w:rPr>
                <w:sz w:val="20"/>
                <w:lang w:val="fr-CA"/>
              </w:rPr>
              <w:t>24 janvier 2023</w:t>
            </w:r>
          </w:p>
          <w:p w:rsidR="004539FA" w:rsidRPr="00CA7749" w:rsidRDefault="004539FA" w:rsidP="004539FA">
            <w:pPr>
              <w:jc w:val="both"/>
              <w:rPr>
                <w:sz w:val="20"/>
                <w:lang w:val="fr-CA"/>
              </w:rPr>
            </w:pPr>
            <w:r w:rsidRPr="00CA7749">
              <w:rPr>
                <w:sz w:val="20"/>
                <w:lang w:val="fr-CA"/>
              </w:rPr>
              <w:t>Cour suprême du Canada</w:t>
            </w:r>
          </w:p>
        </w:tc>
        <w:tc>
          <w:tcPr>
            <w:tcW w:w="243" w:type="pct"/>
          </w:tcPr>
          <w:p w:rsidR="004539FA" w:rsidRPr="00CA7749" w:rsidRDefault="004539FA" w:rsidP="004539FA">
            <w:pPr>
              <w:jc w:val="both"/>
              <w:rPr>
                <w:sz w:val="20"/>
                <w:lang w:val="fr-CA"/>
              </w:rPr>
            </w:pPr>
          </w:p>
        </w:tc>
        <w:tc>
          <w:tcPr>
            <w:tcW w:w="2330" w:type="pct"/>
          </w:tcPr>
          <w:p w:rsidR="004539FA" w:rsidRPr="00CA7749" w:rsidRDefault="004539FA" w:rsidP="004539FA">
            <w:pPr>
              <w:jc w:val="both"/>
              <w:rPr>
                <w:sz w:val="20"/>
                <w:lang w:val="fr-CA"/>
              </w:rPr>
            </w:pPr>
            <w:r w:rsidRPr="00CA7749">
              <w:rPr>
                <w:sz w:val="20"/>
                <w:lang w:val="fr-CA"/>
              </w:rPr>
              <w:t xml:space="preserve">Demande d’autorisation d’appel déposée. </w:t>
            </w:r>
          </w:p>
          <w:p w:rsidR="004539FA" w:rsidRPr="00CA7749" w:rsidRDefault="004539FA" w:rsidP="004539FA">
            <w:pPr>
              <w:jc w:val="both"/>
              <w:rPr>
                <w:sz w:val="20"/>
                <w:lang w:val="fr-CA"/>
              </w:rPr>
            </w:pPr>
          </w:p>
        </w:tc>
      </w:tr>
    </w:tbl>
    <w:p w:rsidR="004539FA" w:rsidRPr="00CA7749" w:rsidRDefault="004539FA" w:rsidP="004539FA">
      <w:pPr>
        <w:jc w:val="both"/>
        <w:rPr>
          <w:sz w:val="20"/>
          <w:lang w:val="fr-CA"/>
        </w:rPr>
      </w:pPr>
    </w:p>
    <w:p w:rsidR="00434D9A" w:rsidRPr="00CA7749" w:rsidRDefault="00CA7749" w:rsidP="007044D2">
      <w:pPr>
        <w:widowControl w:val="0"/>
        <w:jc w:val="both"/>
        <w:rPr>
          <w:sz w:val="20"/>
          <w:lang w:val="fr-CA"/>
        </w:rPr>
      </w:pPr>
      <w:r w:rsidRPr="00CA7749">
        <w:rPr>
          <w:sz w:val="20"/>
        </w:rPr>
        <w:pict>
          <v:rect id="_x0000_i1042" style="width:2in;height:1pt" o:hrpct="0" o:hralign="center" o:hrstd="t" o:hrnoshade="t" o:hr="t" fillcolor="black [3213]" stroked="f"/>
        </w:pict>
      </w:r>
    </w:p>
    <w:p w:rsidR="00434D9A" w:rsidRPr="00CA7749" w:rsidRDefault="00434D9A" w:rsidP="007044D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44D2" w:rsidRPr="00CA7749" w:rsidTr="00E95A6A">
        <w:tc>
          <w:tcPr>
            <w:tcW w:w="543" w:type="pct"/>
          </w:tcPr>
          <w:p w:rsidR="007044D2" w:rsidRPr="00CA7749" w:rsidRDefault="007044D2" w:rsidP="007044D2">
            <w:pPr>
              <w:jc w:val="both"/>
              <w:rPr>
                <w:sz w:val="20"/>
                <w:lang w:val="en-CA"/>
              </w:rPr>
            </w:pPr>
            <w:r w:rsidRPr="00CA7749">
              <w:rPr>
                <w:rStyle w:val="SCCFileNumberChar"/>
                <w:sz w:val="20"/>
                <w:szCs w:val="20"/>
              </w:rPr>
              <w:t>40668</w:t>
            </w:r>
          </w:p>
        </w:tc>
        <w:tc>
          <w:tcPr>
            <w:tcW w:w="4457" w:type="pct"/>
            <w:gridSpan w:val="3"/>
          </w:tcPr>
          <w:p w:rsidR="007044D2" w:rsidRPr="00CA7749" w:rsidRDefault="007044D2" w:rsidP="007044D2">
            <w:pPr>
              <w:pStyle w:val="SCCLsocParty"/>
              <w:jc w:val="both"/>
              <w:rPr>
                <w:b/>
                <w:sz w:val="20"/>
                <w:szCs w:val="20"/>
                <w:lang w:val="en-CA"/>
              </w:rPr>
            </w:pPr>
            <w:r w:rsidRPr="00CA7749">
              <w:rPr>
                <w:b/>
                <w:sz w:val="20"/>
                <w:szCs w:val="20"/>
                <w:lang w:val="en-CA"/>
              </w:rPr>
              <w:t>A.J. v. Y.T.</w:t>
            </w:r>
          </w:p>
          <w:p w:rsidR="007044D2" w:rsidRPr="00CA7749" w:rsidRDefault="007044D2" w:rsidP="007044D2">
            <w:pPr>
              <w:jc w:val="both"/>
              <w:rPr>
                <w:sz w:val="20"/>
                <w:lang w:val="en-CA"/>
              </w:rPr>
            </w:pPr>
            <w:r w:rsidRPr="00CA7749">
              <w:rPr>
                <w:sz w:val="20"/>
                <w:lang w:val="en-CA"/>
              </w:rPr>
              <w:t>(Que.) (Civil) (By Leave)</w:t>
            </w:r>
          </w:p>
        </w:tc>
      </w:tr>
      <w:tr w:rsidR="007044D2" w:rsidRPr="00CA7749" w:rsidTr="00E95A6A">
        <w:tc>
          <w:tcPr>
            <w:tcW w:w="5000" w:type="pct"/>
            <w:gridSpan w:val="4"/>
          </w:tcPr>
          <w:p w:rsidR="007044D2" w:rsidRPr="00CA7749" w:rsidRDefault="007044D2" w:rsidP="007044D2">
            <w:pPr>
              <w:pStyle w:val="SCCBanSummary"/>
              <w:rPr>
                <w:sz w:val="20"/>
                <w:szCs w:val="20"/>
              </w:rPr>
            </w:pPr>
            <w:r w:rsidRPr="00CA7749">
              <w:rPr>
                <w:sz w:val="20"/>
                <w:szCs w:val="20"/>
              </w:rPr>
              <w:t>(Publication ban in case) (Publication ban on party) (Certain information not available to the public)</w:t>
            </w:r>
          </w:p>
          <w:p w:rsidR="007044D2" w:rsidRPr="00CA7749" w:rsidRDefault="007044D2" w:rsidP="007044D2">
            <w:pPr>
              <w:jc w:val="both"/>
              <w:rPr>
                <w:sz w:val="20"/>
                <w:lang w:val="en-CA"/>
              </w:rPr>
            </w:pPr>
          </w:p>
        </w:tc>
      </w:tr>
      <w:tr w:rsidR="007044D2" w:rsidRPr="00CA7749" w:rsidTr="00E95A6A">
        <w:tc>
          <w:tcPr>
            <w:tcW w:w="5000" w:type="pct"/>
            <w:gridSpan w:val="4"/>
          </w:tcPr>
          <w:p w:rsidR="007044D2" w:rsidRPr="00CA7749" w:rsidRDefault="007044D2" w:rsidP="007044D2">
            <w:pPr>
              <w:jc w:val="both"/>
              <w:rPr>
                <w:sz w:val="20"/>
                <w:lang w:val="en-CA"/>
              </w:rPr>
            </w:pPr>
            <w:r w:rsidRPr="00CA7749">
              <w:rPr>
                <w:sz w:val="20"/>
                <w:lang w:val="en-CA"/>
              </w:rPr>
              <w:t>Family law — Divorce — Evidence — Domestic violence — Admissibility of criminal court’s judgment in civil court — Weight to be given to reasons for judgment of criminal court — Whether reasons for judgment in criminal case create presumption that acquitted party is innocent.</w:t>
            </w:r>
          </w:p>
        </w:tc>
      </w:tr>
      <w:tr w:rsidR="007044D2" w:rsidRPr="00CA7749" w:rsidTr="00E95A6A">
        <w:tc>
          <w:tcPr>
            <w:tcW w:w="5000" w:type="pct"/>
            <w:gridSpan w:val="4"/>
          </w:tcPr>
          <w:p w:rsidR="007044D2" w:rsidRPr="00CA7749" w:rsidRDefault="007044D2" w:rsidP="007044D2">
            <w:pPr>
              <w:jc w:val="both"/>
              <w:rPr>
                <w:sz w:val="20"/>
                <w:lang w:val="en-CA"/>
              </w:rPr>
            </w:pPr>
          </w:p>
          <w:p w:rsidR="007044D2" w:rsidRPr="00CA7749" w:rsidRDefault="007044D2" w:rsidP="007044D2">
            <w:pPr>
              <w:jc w:val="both"/>
              <w:rPr>
                <w:sz w:val="20"/>
                <w:lang w:val="en-CA"/>
              </w:rPr>
            </w:pPr>
            <w:r w:rsidRPr="00CA7749">
              <w:rPr>
                <w:sz w:val="20"/>
                <w:lang w:val="en-CA"/>
              </w:rPr>
              <w:t xml:space="preserve">A.J. and Y.T. were spouses and were married. A.J. </w:t>
            </w:r>
            <w:proofErr w:type="gramStart"/>
            <w:r w:rsidRPr="00CA7749">
              <w:rPr>
                <w:sz w:val="20"/>
                <w:lang w:val="en-CA"/>
              </w:rPr>
              <w:t>was charged</w:t>
            </w:r>
            <w:proofErr w:type="gramEnd"/>
            <w:r w:rsidRPr="00CA7749">
              <w:rPr>
                <w:sz w:val="20"/>
                <w:lang w:val="en-CA"/>
              </w:rPr>
              <w:t xml:space="preserve"> with harassing, sexually assaulting with a weapon and forcibly confining Y.T. The </w:t>
            </w:r>
            <w:proofErr w:type="gramStart"/>
            <w:r w:rsidRPr="00CA7749">
              <w:rPr>
                <w:sz w:val="20"/>
                <w:lang w:val="en-CA"/>
              </w:rPr>
              <w:t>harassment charge was withdrawn by the Crown</w:t>
            </w:r>
            <w:proofErr w:type="gramEnd"/>
            <w:r w:rsidRPr="00CA7749">
              <w:rPr>
                <w:sz w:val="20"/>
                <w:lang w:val="en-CA"/>
              </w:rPr>
              <w:t>. At trial in the Court of Québec (Criminal and Penal Division), A.J. was found not guilty of the remaining two charges.</w:t>
            </w:r>
          </w:p>
          <w:p w:rsidR="007044D2" w:rsidRPr="00CA7749" w:rsidRDefault="007044D2" w:rsidP="007044D2">
            <w:pPr>
              <w:jc w:val="both"/>
              <w:rPr>
                <w:sz w:val="20"/>
                <w:lang w:val="en-CA"/>
              </w:rPr>
            </w:pPr>
          </w:p>
          <w:p w:rsidR="007044D2" w:rsidRPr="00CA7749" w:rsidRDefault="007044D2" w:rsidP="007044D2">
            <w:pPr>
              <w:jc w:val="both"/>
              <w:rPr>
                <w:sz w:val="20"/>
                <w:lang w:val="en-CA"/>
              </w:rPr>
            </w:pPr>
            <w:r w:rsidRPr="00CA7749">
              <w:rPr>
                <w:sz w:val="20"/>
                <w:lang w:val="en-CA"/>
              </w:rPr>
              <w:t xml:space="preserve">Y.T. brought proceedings for a divorce. During the trial, the parties testified about the events surrounding the criminal charges of which A.J. </w:t>
            </w:r>
            <w:proofErr w:type="gramStart"/>
            <w:r w:rsidRPr="00CA7749">
              <w:rPr>
                <w:sz w:val="20"/>
                <w:lang w:val="en-CA"/>
              </w:rPr>
              <w:t>had been acquitted</w:t>
            </w:r>
            <w:proofErr w:type="gramEnd"/>
            <w:r w:rsidRPr="00CA7749">
              <w:rPr>
                <w:sz w:val="20"/>
                <w:lang w:val="en-CA"/>
              </w:rPr>
              <w:t xml:space="preserve">. A.J. filed the reasons for judgment of the judge who had acquitted her. However, the trial judge found that A.J. had assaulted Y.T. He granted the majority of parenting time to Y.T. and a minority of time to A.J. The Quebec Court of Appeal dismissed A.J.’s appeal under art. 365 of the </w:t>
            </w:r>
            <w:r w:rsidRPr="00CA7749">
              <w:rPr>
                <w:i/>
                <w:sz w:val="20"/>
                <w:lang w:val="en-CA"/>
              </w:rPr>
              <w:t>Code of Civil Procedure</w:t>
            </w:r>
            <w:r w:rsidRPr="00CA7749">
              <w:rPr>
                <w:sz w:val="20"/>
                <w:lang w:val="en-CA"/>
              </w:rPr>
              <w:t xml:space="preserve"> pursuant to a motion to that effect filed by Y.T.</w:t>
            </w:r>
          </w:p>
          <w:p w:rsidR="007044D2" w:rsidRPr="00CA7749" w:rsidRDefault="007044D2" w:rsidP="007044D2">
            <w:pPr>
              <w:jc w:val="both"/>
              <w:rPr>
                <w:sz w:val="20"/>
                <w:lang w:val="en-CA"/>
              </w:rPr>
            </w:pPr>
          </w:p>
        </w:tc>
      </w:tr>
      <w:tr w:rsidR="007044D2" w:rsidRPr="00CA7749" w:rsidTr="00E95A6A">
        <w:tc>
          <w:tcPr>
            <w:tcW w:w="2427" w:type="pct"/>
            <w:gridSpan w:val="2"/>
          </w:tcPr>
          <w:p w:rsidR="007044D2" w:rsidRPr="00CA7749" w:rsidRDefault="007044D2" w:rsidP="007044D2">
            <w:pPr>
              <w:jc w:val="both"/>
              <w:rPr>
                <w:sz w:val="20"/>
                <w:lang w:val="en-CA"/>
              </w:rPr>
            </w:pPr>
            <w:r w:rsidRPr="00CA7749">
              <w:rPr>
                <w:sz w:val="20"/>
                <w:lang w:val="en-CA"/>
              </w:rPr>
              <w:t>July 8, 2022</w:t>
            </w:r>
          </w:p>
          <w:p w:rsidR="007044D2" w:rsidRPr="00CA7749" w:rsidRDefault="007044D2" w:rsidP="007044D2">
            <w:pPr>
              <w:jc w:val="both"/>
              <w:rPr>
                <w:sz w:val="20"/>
                <w:lang w:val="en-CA"/>
              </w:rPr>
            </w:pPr>
            <w:r w:rsidRPr="00CA7749">
              <w:rPr>
                <w:sz w:val="20"/>
                <w:lang w:val="en-CA"/>
              </w:rPr>
              <w:t>Quebec Superior Court</w:t>
            </w:r>
          </w:p>
          <w:p w:rsidR="007044D2" w:rsidRPr="00CA7749" w:rsidRDefault="007044D2" w:rsidP="007044D2">
            <w:pPr>
              <w:jc w:val="both"/>
              <w:rPr>
                <w:sz w:val="20"/>
                <w:lang w:val="en-CA"/>
              </w:rPr>
            </w:pPr>
            <w:r w:rsidRPr="00CA7749">
              <w:rPr>
                <w:sz w:val="20"/>
                <w:lang w:val="en-CA"/>
              </w:rPr>
              <w:t>(Vaillancourt J.)</w:t>
            </w:r>
          </w:p>
          <w:p w:rsidR="007044D2" w:rsidRPr="00CA7749" w:rsidRDefault="00CA7749" w:rsidP="007044D2">
            <w:pPr>
              <w:jc w:val="both"/>
              <w:rPr>
                <w:sz w:val="20"/>
                <w:lang w:val="en-CA"/>
              </w:rPr>
            </w:pPr>
            <w:hyperlink r:id="rId56" w:history="1">
              <w:r w:rsidR="007044D2" w:rsidRPr="00CA7749">
                <w:rPr>
                  <w:rStyle w:val="Hyperlink"/>
                  <w:sz w:val="20"/>
                  <w:lang w:val="en-CA"/>
                </w:rPr>
                <w:t>2022 QCCS 2554</w:t>
              </w:r>
            </w:hyperlink>
          </w:p>
          <w:p w:rsidR="007044D2" w:rsidRPr="00CA7749" w:rsidRDefault="007044D2" w:rsidP="007044D2">
            <w:pPr>
              <w:jc w:val="both"/>
              <w:rPr>
                <w:sz w:val="20"/>
                <w:lang w:val="en-CA"/>
              </w:rPr>
            </w:pPr>
          </w:p>
        </w:tc>
        <w:tc>
          <w:tcPr>
            <w:tcW w:w="243" w:type="pct"/>
          </w:tcPr>
          <w:p w:rsidR="007044D2" w:rsidRPr="00CA7749" w:rsidRDefault="007044D2" w:rsidP="007044D2">
            <w:pPr>
              <w:jc w:val="both"/>
              <w:rPr>
                <w:sz w:val="20"/>
                <w:lang w:val="en-CA"/>
              </w:rPr>
            </w:pPr>
          </w:p>
        </w:tc>
        <w:tc>
          <w:tcPr>
            <w:tcW w:w="2330" w:type="pct"/>
          </w:tcPr>
          <w:p w:rsidR="007044D2" w:rsidRPr="00CA7749" w:rsidRDefault="007044D2" w:rsidP="007044D2">
            <w:pPr>
              <w:jc w:val="both"/>
              <w:rPr>
                <w:sz w:val="20"/>
                <w:lang w:val="en-CA"/>
              </w:rPr>
            </w:pPr>
            <w:r w:rsidRPr="00CA7749">
              <w:rPr>
                <w:sz w:val="20"/>
                <w:lang w:val="en-CA"/>
              </w:rPr>
              <w:t>Majority of parenting time granted to Y.T. and minority of time to A.J.</w:t>
            </w:r>
          </w:p>
        </w:tc>
      </w:tr>
      <w:tr w:rsidR="007044D2" w:rsidRPr="00CA7749" w:rsidTr="00E95A6A">
        <w:tc>
          <w:tcPr>
            <w:tcW w:w="2427" w:type="pct"/>
            <w:gridSpan w:val="2"/>
          </w:tcPr>
          <w:p w:rsidR="007044D2" w:rsidRPr="00CA7749" w:rsidRDefault="007044D2" w:rsidP="007044D2">
            <w:pPr>
              <w:jc w:val="both"/>
              <w:rPr>
                <w:sz w:val="20"/>
                <w:lang w:val="en-CA"/>
              </w:rPr>
            </w:pPr>
            <w:r w:rsidRPr="00CA7749">
              <w:rPr>
                <w:sz w:val="20"/>
                <w:lang w:val="en-CA"/>
              </w:rPr>
              <w:t>November 9, 2022</w:t>
            </w:r>
          </w:p>
          <w:p w:rsidR="007044D2" w:rsidRPr="00CA7749" w:rsidRDefault="007044D2" w:rsidP="007044D2">
            <w:pPr>
              <w:jc w:val="both"/>
              <w:rPr>
                <w:sz w:val="20"/>
                <w:lang w:val="en-CA"/>
              </w:rPr>
            </w:pPr>
            <w:r w:rsidRPr="00CA7749">
              <w:rPr>
                <w:sz w:val="20"/>
                <w:lang w:val="en-CA"/>
              </w:rPr>
              <w:t>Quebec Court of Appeal (Montréal)</w:t>
            </w:r>
          </w:p>
          <w:p w:rsidR="007044D2" w:rsidRPr="00CA7749" w:rsidRDefault="007044D2" w:rsidP="007044D2">
            <w:pPr>
              <w:jc w:val="both"/>
              <w:rPr>
                <w:sz w:val="20"/>
                <w:lang w:val="en-CA"/>
              </w:rPr>
            </w:pPr>
            <w:r w:rsidRPr="00CA7749">
              <w:rPr>
                <w:sz w:val="20"/>
                <w:lang w:val="en-CA"/>
              </w:rPr>
              <w:t>(Marcotte, Sansfaçon and Kalichman JJ.A.)</w:t>
            </w:r>
          </w:p>
          <w:p w:rsidR="007044D2" w:rsidRPr="00CA7749" w:rsidRDefault="007044D2" w:rsidP="007044D2">
            <w:pPr>
              <w:jc w:val="both"/>
              <w:rPr>
                <w:sz w:val="20"/>
                <w:lang w:val="en-CA"/>
              </w:rPr>
            </w:pPr>
            <w:r w:rsidRPr="00CA7749">
              <w:rPr>
                <w:sz w:val="20"/>
                <w:lang w:val="en-CA"/>
              </w:rPr>
              <w:t>500-09-030163-224 (unreported)</w:t>
            </w:r>
          </w:p>
          <w:p w:rsidR="007044D2" w:rsidRPr="00CA7749" w:rsidRDefault="007044D2" w:rsidP="007044D2">
            <w:pPr>
              <w:jc w:val="both"/>
              <w:rPr>
                <w:sz w:val="20"/>
                <w:lang w:val="en-CA"/>
              </w:rPr>
            </w:pPr>
          </w:p>
        </w:tc>
        <w:tc>
          <w:tcPr>
            <w:tcW w:w="243" w:type="pct"/>
          </w:tcPr>
          <w:p w:rsidR="007044D2" w:rsidRPr="00CA7749" w:rsidRDefault="007044D2" w:rsidP="007044D2">
            <w:pPr>
              <w:jc w:val="both"/>
              <w:rPr>
                <w:sz w:val="20"/>
                <w:lang w:val="en-CA"/>
              </w:rPr>
            </w:pPr>
          </w:p>
        </w:tc>
        <w:tc>
          <w:tcPr>
            <w:tcW w:w="2330" w:type="pct"/>
          </w:tcPr>
          <w:p w:rsidR="007044D2" w:rsidRPr="00CA7749" w:rsidRDefault="007044D2" w:rsidP="007044D2">
            <w:pPr>
              <w:jc w:val="both"/>
              <w:rPr>
                <w:sz w:val="20"/>
                <w:lang w:val="en-CA"/>
              </w:rPr>
            </w:pPr>
            <w:r w:rsidRPr="00CA7749">
              <w:rPr>
                <w:sz w:val="20"/>
                <w:lang w:val="en-CA"/>
              </w:rPr>
              <w:t xml:space="preserve">A.J.’s appeal dismissed under art. 365 of </w:t>
            </w:r>
            <w:r w:rsidRPr="00CA7749">
              <w:rPr>
                <w:i/>
                <w:sz w:val="20"/>
                <w:lang w:val="en-CA"/>
              </w:rPr>
              <w:t>Code of Civil Procedure</w:t>
            </w:r>
            <w:r w:rsidRPr="00CA7749">
              <w:rPr>
                <w:sz w:val="20"/>
                <w:lang w:val="en-CA"/>
              </w:rPr>
              <w:t xml:space="preserve"> </w:t>
            </w:r>
          </w:p>
          <w:p w:rsidR="007044D2" w:rsidRPr="00CA7749" w:rsidRDefault="007044D2" w:rsidP="007044D2">
            <w:pPr>
              <w:jc w:val="both"/>
              <w:rPr>
                <w:sz w:val="20"/>
                <w:lang w:val="en-CA"/>
              </w:rPr>
            </w:pPr>
          </w:p>
        </w:tc>
      </w:tr>
      <w:tr w:rsidR="007044D2" w:rsidRPr="00CA7749" w:rsidTr="00E95A6A">
        <w:tc>
          <w:tcPr>
            <w:tcW w:w="2427" w:type="pct"/>
            <w:gridSpan w:val="2"/>
          </w:tcPr>
          <w:p w:rsidR="007044D2" w:rsidRPr="00CA7749" w:rsidRDefault="007044D2" w:rsidP="007044D2">
            <w:pPr>
              <w:jc w:val="both"/>
              <w:rPr>
                <w:sz w:val="20"/>
                <w:lang w:val="en-CA"/>
              </w:rPr>
            </w:pPr>
            <w:r w:rsidRPr="00CA7749">
              <w:rPr>
                <w:sz w:val="20"/>
                <w:lang w:val="en-CA"/>
              </w:rPr>
              <w:t>March 30, 2023</w:t>
            </w:r>
          </w:p>
          <w:p w:rsidR="007044D2" w:rsidRPr="00CA7749" w:rsidRDefault="007044D2" w:rsidP="007044D2">
            <w:pPr>
              <w:jc w:val="both"/>
              <w:rPr>
                <w:sz w:val="20"/>
                <w:lang w:val="en-CA"/>
              </w:rPr>
            </w:pPr>
            <w:r w:rsidRPr="00CA7749">
              <w:rPr>
                <w:sz w:val="20"/>
                <w:lang w:val="en-CA"/>
              </w:rPr>
              <w:t>Supreme Court of Canada</w:t>
            </w:r>
          </w:p>
        </w:tc>
        <w:tc>
          <w:tcPr>
            <w:tcW w:w="243" w:type="pct"/>
          </w:tcPr>
          <w:p w:rsidR="007044D2" w:rsidRPr="00CA7749" w:rsidRDefault="007044D2" w:rsidP="007044D2">
            <w:pPr>
              <w:jc w:val="both"/>
              <w:rPr>
                <w:sz w:val="20"/>
                <w:lang w:val="en-CA"/>
              </w:rPr>
            </w:pPr>
          </w:p>
        </w:tc>
        <w:tc>
          <w:tcPr>
            <w:tcW w:w="2330" w:type="pct"/>
          </w:tcPr>
          <w:p w:rsidR="007044D2" w:rsidRPr="00CA7749" w:rsidRDefault="007044D2" w:rsidP="007044D2">
            <w:pPr>
              <w:jc w:val="both"/>
              <w:rPr>
                <w:sz w:val="20"/>
                <w:lang w:val="en-CA"/>
              </w:rPr>
            </w:pPr>
            <w:r w:rsidRPr="00CA7749">
              <w:rPr>
                <w:sz w:val="20"/>
                <w:lang w:val="en-CA"/>
              </w:rPr>
              <w:t>Application for leave to appeal and motion to extend time filed</w:t>
            </w:r>
          </w:p>
        </w:tc>
      </w:tr>
    </w:tbl>
    <w:p w:rsidR="007044D2" w:rsidRPr="00CA7749" w:rsidRDefault="007044D2" w:rsidP="007044D2">
      <w:pPr>
        <w:jc w:val="both"/>
        <w:rPr>
          <w:sz w:val="20"/>
          <w:lang w:val="en-CA"/>
        </w:rPr>
      </w:pPr>
    </w:p>
    <w:p w:rsidR="007044D2" w:rsidRPr="00CA7749" w:rsidRDefault="00CA7749" w:rsidP="007044D2">
      <w:pPr>
        <w:jc w:val="both"/>
        <w:rPr>
          <w:sz w:val="20"/>
          <w:lang w:val="en-CA"/>
        </w:rPr>
      </w:pPr>
      <w:r w:rsidRPr="00CA7749">
        <w:rPr>
          <w:sz w:val="20"/>
        </w:rPr>
        <w:pict>
          <v:rect id="_x0000_i1043" style="width:2in;height:1pt" o:hrpct="0" o:hralign="center" o:hrstd="t" o:hrnoshade="t" o:hr="t" fillcolor="black [3213]" stroked="f"/>
        </w:pict>
      </w:r>
    </w:p>
    <w:p w:rsidR="007044D2" w:rsidRPr="00CA7749" w:rsidRDefault="007044D2" w:rsidP="007044D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44D2" w:rsidRPr="00CA7749" w:rsidTr="00E95A6A">
        <w:tc>
          <w:tcPr>
            <w:tcW w:w="543" w:type="pct"/>
          </w:tcPr>
          <w:p w:rsidR="007044D2" w:rsidRPr="00CA7749" w:rsidRDefault="007044D2" w:rsidP="007044D2">
            <w:pPr>
              <w:jc w:val="both"/>
              <w:rPr>
                <w:sz w:val="20"/>
              </w:rPr>
            </w:pPr>
            <w:r w:rsidRPr="00CA7749">
              <w:rPr>
                <w:rStyle w:val="SCCFileNumberChar"/>
                <w:sz w:val="20"/>
                <w:szCs w:val="20"/>
              </w:rPr>
              <w:t>40668</w:t>
            </w:r>
          </w:p>
        </w:tc>
        <w:tc>
          <w:tcPr>
            <w:tcW w:w="4457" w:type="pct"/>
            <w:gridSpan w:val="3"/>
          </w:tcPr>
          <w:p w:rsidR="007044D2" w:rsidRPr="00CA7749" w:rsidRDefault="007044D2" w:rsidP="007044D2">
            <w:pPr>
              <w:pStyle w:val="SCCLsocParty"/>
              <w:jc w:val="both"/>
              <w:rPr>
                <w:b/>
                <w:sz w:val="20"/>
                <w:szCs w:val="20"/>
              </w:rPr>
            </w:pPr>
            <w:r w:rsidRPr="00CA7749">
              <w:rPr>
                <w:b/>
                <w:sz w:val="20"/>
                <w:szCs w:val="20"/>
              </w:rPr>
              <w:t>A.J. c. Y. T.</w:t>
            </w:r>
          </w:p>
          <w:p w:rsidR="007044D2" w:rsidRPr="00CA7749" w:rsidRDefault="007044D2" w:rsidP="007044D2">
            <w:pPr>
              <w:jc w:val="both"/>
              <w:rPr>
                <w:sz w:val="20"/>
                <w:lang w:val="fr-CA"/>
              </w:rPr>
            </w:pPr>
            <w:r w:rsidRPr="00CA7749">
              <w:rPr>
                <w:sz w:val="20"/>
                <w:lang w:val="fr-CA"/>
              </w:rPr>
              <w:t>(Qc) (Civile) (Autorisation)</w:t>
            </w:r>
          </w:p>
        </w:tc>
      </w:tr>
      <w:tr w:rsidR="007044D2" w:rsidRPr="00CA7749" w:rsidTr="00E95A6A">
        <w:tc>
          <w:tcPr>
            <w:tcW w:w="5000" w:type="pct"/>
            <w:gridSpan w:val="4"/>
          </w:tcPr>
          <w:p w:rsidR="007044D2" w:rsidRPr="00CA7749" w:rsidRDefault="007044D2" w:rsidP="007044D2">
            <w:pPr>
              <w:pStyle w:val="SCCBanSummary"/>
              <w:rPr>
                <w:sz w:val="20"/>
                <w:szCs w:val="20"/>
                <w:lang w:val="fr-CA"/>
              </w:rPr>
            </w:pPr>
            <w:r w:rsidRPr="00CA7749">
              <w:rPr>
                <w:sz w:val="20"/>
                <w:szCs w:val="20"/>
                <w:lang w:val="fr-CA"/>
              </w:rPr>
              <w:t>(Ordonnance de non-publication dans le dossier) (Ordonnance de non-publication visant une partie) (Certaines informations non disponibles pour le public)</w:t>
            </w:r>
          </w:p>
          <w:p w:rsidR="007044D2" w:rsidRPr="00CA7749" w:rsidRDefault="007044D2" w:rsidP="007044D2">
            <w:pPr>
              <w:jc w:val="both"/>
              <w:rPr>
                <w:sz w:val="20"/>
                <w:lang w:val="fr-CA"/>
              </w:rPr>
            </w:pPr>
          </w:p>
        </w:tc>
      </w:tr>
      <w:tr w:rsidR="007044D2" w:rsidRPr="00CA7749" w:rsidTr="00E95A6A">
        <w:tc>
          <w:tcPr>
            <w:tcW w:w="5000" w:type="pct"/>
            <w:gridSpan w:val="4"/>
          </w:tcPr>
          <w:p w:rsidR="007044D2" w:rsidRPr="00CA7749" w:rsidRDefault="007044D2" w:rsidP="007044D2">
            <w:pPr>
              <w:jc w:val="both"/>
              <w:rPr>
                <w:sz w:val="20"/>
                <w:lang w:val="fr-CA"/>
              </w:rPr>
            </w:pPr>
            <w:r w:rsidRPr="00CA7749">
              <w:rPr>
                <w:sz w:val="20"/>
                <w:lang w:val="fr-CA"/>
              </w:rPr>
              <w:t>Droit de la famille — Divorce — Preuve — Violence familiale — Quelle est l’admissibilité d’un jugement de l’instance criminelle devant l’instance civile? — Quel est le poids à accorder aux motifs d’un jugement de l’instance criminelle? — Les motifs du jugement en matière criminelle établissent-ils une présomption d’innocence de la partie acquittée ?</w:t>
            </w:r>
          </w:p>
        </w:tc>
      </w:tr>
      <w:tr w:rsidR="007044D2" w:rsidRPr="00CA7749" w:rsidTr="00E95A6A">
        <w:tc>
          <w:tcPr>
            <w:tcW w:w="5000" w:type="pct"/>
            <w:gridSpan w:val="4"/>
          </w:tcPr>
          <w:p w:rsidR="007044D2" w:rsidRPr="00CA7749" w:rsidRDefault="007044D2" w:rsidP="007044D2">
            <w:pPr>
              <w:jc w:val="both"/>
              <w:rPr>
                <w:sz w:val="20"/>
                <w:lang w:val="fr-CA"/>
              </w:rPr>
            </w:pPr>
          </w:p>
          <w:p w:rsidR="007044D2" w:rsidRPr="00CA7749" w:rsidRDefault="007044D2" w:rsidP="007044D2">
            <w:pPr>
              <w:jc w:val="both"/>
              <w:rPr>
                <w:sz w:val="20"/>
                <w:lang w:val="fr-CA"/>
              </w:rPr>
            </w:pPr>
            <w:r w:rsidRPr="00CA7749">
              <w:rPr>
                <w:sz w:val="20"/>
                <w:lang w:val="fr-CA"/>
              </w:rPr>
              <w:t>A.J. et Y.T. sont conjointes et se sont mariées. A.J. est accusée d’avoir harcelé, agressé sexuellement avec une arme, et séquestré Y.T. Le chef d’accusation de harcèlement est retiré par le ministère public. Lors de son procès à la Cour du Québec (chambre criminelle et pénale), A.J. est déclarée non coupable des deux chefs d’accusation restants.</w:t>
            </w:r>
          </w:p>
          <w:p w:rsidR="007044D2" w:rsidRPr="00CA7749" w:rsidRDefault="007044D2" w:rsidP="007044D2">
            <w:pPr>
              <w:jc w:val="both"/>
              <w:rPr>
                <w:sz w:val="20"/>
                <w:lang w:val="fr-CA"/>
              </w:rPr>
            </w:pPr>
          </w:p>
          <w:p w:rsidR="007044D2" w:rsidRPr="00CA7749" w:rsidRDefault="007044D2" w:rsidP="007044D2">
            <w:pPr>
              <w:jc w:val="both"/>
              <w:rPr>
                <w:sz w:val="20"/>
                <w:lang w:val="fr-CA"/>
              </w:rPr>
            </w:pPr>
            <w:r w:rsidRPr="00CA7749">
              <w:rPr>
                <w:sz w:val="20"/>
                <w:lang w:val="fr-CA"/>
              </w:rPr>
              <w:t xml:space="preserve">Y.T. intente des procédures de divorce. Lors du procès, les parties témoignent des évènements liés aux accusations criminelles contre A.J. dont elle était acquittée. A.J. dépose les motifs de jugement de la juge qui l’a déclarée non coupable. Toutefois, le juge du procès trouve que A.J. a agressé Y.T. Il attribue le temps parental majoritairement à Y.T. et minoritairement à A.J. La Cour d’appel du Québec rejette l’appel </w:t>
            </w:r>
            <w:proofErr w:type="gramStart"/>
            <w:r w:rsidRPr="00CA7749">
              <w:rPr>
                <w:sz w:val="20"/>
                <w:lang w:val="fr-CA"/>
              </w:rPr>
              <w:t>de A.J</w:t>
            </w:r>
            <w:proofErr w:type="gramEnd"/>
            <w:r w:rsidRPr="00CA7749">
              <w:rPr>
                <w:sz w:val="20"/>
                <w:lang w:val="fr-CA"/>
              </w:rPr>
              <w:t xml:space="preserve">. sous l’art. 365 du </w:t>
            </w:r>
            <w:r w:rsidRPr="00CA7749">
              <w:rPr>
                <w:i/>
                <w:sz w:val="20"/>
                <w:lang w:val="fr-CA"/>
              </w:rPr>
              <w:t>Code de procédure civile</w:t>
            </w:r>
            <w:r w:rsidRPr="00CA7749">
              <w:rPr>
                <w:sz w:val="20"/>
                <w:lang w:val="fr-CA"/>
              </w:rPr>
              <w:t>, à la suite d’une requête à cet effet par Y.T.</w:t>
            </w:r>
          </w:p>
          <w:p w:rsidR="007044D2" w:rsidRPr="00CA7749" w:rsidRDefault="007044D2" w:rsidP="007044D2">
            <w:pPr>
              <w:jc w:val="both"/>
              <w:rPr>
                <w:sz w:val="20"/>
                <w:lang w:val="fr-CA"/>
              </w:rPr>
            </w:pPr>
          </w:p>
        </w:tc>
      </w:tr>
      <w:tr w:rsidR="007044D2" w:rsidRPr="00CA7749" w:rsidTr="00E95A6A">
        <w:tc>
          <w:tcPr>
            <w:tcW w:w="2427" w:type="pct"/>
            <w:gridSpan w:val="2"/>
          </w:tcPr>
          <w:p w:rsidR="007044D2" w:rsidRPr="00CA7749" w:rsidRDefault="007044D2" w:rsidP="007044D2">
            <w:pPr>
              <w:jc w:val="both"/>
              <w:rPr>
                <w:sz w:val="20"/>
                <w:lang w:val="fr-CA"/>
              </w:rPr>
            </w:pPr>
            <w:r w:rsidRPr="00CA7749">
              <w:rPr>
                <w:sz w:val="20"/>
                <w:lang w:val="fr-CA"/>
              </w:rPr>
              <w:t>Le 8 juillet 2022</w:t>
            </w:r>
          </w:p>
          <w:p w:rsidR="007044D2" w:rsidRPr="00CA7749" w:rsidRDefault="007044D2" w:rsidP="007044D2">
            <w:pPr>
              <w:jc w:val="both"/>
              <w:rPr>
                <w:sz w:val="20"/>
                <w:lang w:val="fr-CA"/>
              </w:rPr>
            </w:pPr>
            <w:r w:rsidRPr="00CA7749">
              <w:rPr>
                <w:sz w:val="20"/>
                <w:lang w:val="fr-CA"/>
              </w:rPr>
              <w:t>Cour supérieure du Québec</w:t>
            </w:r>
          </w:p>
          <w:p w:rsidR="007044D2" w:rsidRPr="00CA7749" w:rsidRDefault="007044D2" w:rsidP="007044D2">
            <w:pPr>
              <w:jc w:val="both"/>
              <w:rPr>
                <w:sz w:val="20"/>
              </w:rPr>
            </w:pPr>
            <w:r w:rsidRPr="00CA7749">
              <w:rPr>
                <w:sz w:val="20"/>
              </w:rPr>
              <w:t>(juge Vaillancourt)</w:t>
            </w:r>
          </w:p>
          <w:p w:rsidR="007044D2" w:rsidRPr="00CA7749" w:rsidRDefault="00CA7749" w:rsidP="007044D2">
            <w:pPr>
              <w:jc w:val="both"/>
              <w:rPr>
                <w:sz w:val="20"/>
              </w:rPr>
            </w:pPr>
            <w:hyperlink r:id="rId57" w:history="1">
              <w:r w:rsidR="007044D2" w:rsidRPr="00CA7749">
                <w:rPr>
                  <w:rStyle w:val="Hyperlink"/>
                  <w:sz w:val="20"/>
                </w:rPr>
                <w:t>2022 QCCS 2554</w:t>
              </w:r>
            </w:hyperlink>
          </w:p>
          <w:p w:rsidR="007044D2" w:rsidRPr="00CA7749" w:rsidRDefault="007044D2" w:rsidP="007044D2">
            <w:pPr>
              <w:jc w:val="both"/>
              <w:rPr>
                <w:sz w:val="20"/>
              </w:rPr>
            </w:pPr>
          </w:p>
        </w:tc>
        <w:tc>
          <w:tcPr>
            <w:tcW w:w="243" w:type="pct"/>
          </w:tcPr>
          <w:p w:rsidR="007044D2" w:rsidRPr="00CA7749" w:rsidRDefault="007044D2" w:rsidP="007044D2">
            <w:pPr>
              <w:jc w:val="both"/>
              <w:rPr>
                <w:sz w:val="20"/>
              </w:rPr>
            </w:pPr>
          </w:p>
        </w:tc>
        <w:tc>
          <w:tcPr>
            <w:tcW w:w="2330" w:type="pct"/>
          </w:tcPr>
          <w:p w:rsidR="007044D2" w:rsidRPr="00CA7749" w:rsidRDefault="007044D2" w:rsidP="007044D2">
            <w:pPr>
              <w:jc w:val="both"/>
              <w:rPr>
                <w:sz w:val="20"/>
                <w:lang w:val="fr-CA"/>
              </w:rPr>
            </w:pPr>
            <w:r w:rsidRPr="00CA7749">
              <w:rPr>
                <w:sz w:val="20"/>
                <w:lang w:val="fr-CA"/>
              </w:rPr>
              <w:t>Le temps parental est attribué majoritairement à Y.T. et minoritairement à A.J.</w:t>
            </w:r>
          </w:p>
        </w:tc>
      </w:tr>
      <w:tr w:rsidR="007044D2" w:rsidRPr="00CA7749" w:rsidTr="00E95A6A">
        <w:tc>
          <w:tcPr>
            <w:tcW w:w="2427" w:type="pct"/>
            <w:gridSpan w:val="2"/>
          </w:tcPr>
          <w:p w:rsidR="007044D2" w:rsidRPr="00CA7749" w:rsidRDefault="007044D2" w:rsidP="007044D2">
            <w:pPr>
              <w:jc w:val="both"/>
              <w:rPr>
                <w:sz w:val="20"/>
                <w:lang w:val="fr-CA"/>
              </w:rPr>
            </w:pPr>
            <w:r w:rsidRPr="00CA7749">
              <w:rPr>
                <w:sz w:val="20"/>
                <w:lang w:val="fr-CA"/>
              </w:rPr>
              <w:t>Le 9 novembre 2022</w:t>
            </w:r>
          </w:p>
          <w:p w:rsidR="007044D2" w:rsidRPr="00CA7749" w:rsidRDefault="007044D2" w:rsidP="007044D2">
            <w:pPr>
              <w:jc w:val="both"/>
              <w:rPr>
                <w:sz w:val="20"/>
                <w:lang w:val="fr-CA"/>
              </w:rPr>
            </w:pPr>
            <w:r w:rsidRPr="00CA7749">
              <w:rPr>
                <w:sz w:val="20"/>
                <w:lang w:val="fr-CA"/>
              </w:rPr>
              <w:t>Cour d’appel du Québec (Montréal)</w:t>
            </w:r>
          </w:p>
          <w:p w:rsidR="007044D2" w:rsidRPr="00CA7749" w:rsidRDefault="007044D2" w:rsidP="007044D2">
            <w:pPr>
              <w:jc w:val="both"/>
              <w:rPr>
                <w:sz w:val="20"/>
                <w:lang w:val="fr-CA"/>
              </w:rPr>
            </w:pPr>
            <w:r w:rsidRPr="00CA7749">
              <w:rPr>
                <w:sz w:val="20"/>
                <w:lang w:val="fr-CA"/>
              </w:rPr>
              <w:t>(juges Marcotte, Sansfaçon, Kalichman)</w:t>
            </w:r>
          </w:p>
          <w:p w:rsidR="007044D2" w:rsidRPr="00CA7749" w:rsidRDefault="007044D2" w:rsidP="007044D2">
            <w:pPr>
              <w:jc w:val="both"/>
              <w:rPr>
                <w:sz w:val="20"/>
                <w:lang w:val="fr-CA"/>
              </w:rPr>
            </w:pPr>
            <w:r w:rsidRPr="00CA7749">
              <w:rPr>
                <w:sz w:val="20"/>
                <w:lang w:val="fr-CA"/>
              </w:rPr>
              <w:t>500-09-030163-224 (non publié)</w:t>
            </w:r>
          </w:p>
          <w:p w:rsidR="007044D2" w:rsidRPr="00CA7749" w:rsidRDefault="007044D2" w:rsidP="007044D2">
            <w:pPr>
              <w:jc w:val="both"/>
              <w:rPr>
                <w:sz w:val="20"/>
                <w:lang w:val="fr-CA"/>
              </w:rPr>
            </w:pPr>
          </w:p>
        </w:tc>
        <w:tc>
          <w:tcPr>
            <w:tcW w:w="243" w:type="pct"/>
          </w:tcPr>
          <w:p w:rsidR="007044D2" w:rsidRPr="00CA7749" w:rsidRDefault="007044D2" w:rsidP="007044D2">
            <w:pPr>
              <w:jc w:val="both"/>
              <w:rPr>
                <w:sz w:val="20"/>
                <w:lang w:val="fr-CA"/>
              </w:rPr>
            </w:pPr>
          </w:p>
        </w:tc>
        <w:tc>
          <w:tcPr>
            <w:tcW w:w="2330" w:type="pct"/>
          </w:tcPr>
          <w:p w:rsidR="007044D2" w:rsidRPr="00CA7749" w:rsidRDefault="007044D2" w:rsidP="007044D2">
            <w:pPr>
              <w:jc w:val="both"/>
              <w:rPr>
                <w:sz w:val="20"/>
                <w:lang w:val="fr-CA"/>
              </w:rPr>
            </w:pPr>
            <w:r w:rsidRPr="00CA7749">
              <w:rPr>
                <w:sz w:val="20"/>
                <w:lang w:val="fr-CA"/>
              </w:rPr>
              <w:t xml:space="preserve">L’appel </w:t>
            </w:r>
            <w:proofErr w:type="gramStart"/>
            <w:r w:rsidRPr="00CA7749">
              <w:rPr>
                <w:sz w:val="20"/>
                <w:lang w:val="fr-CA"/>
              </w:rPr>
              <w:t>de A.J</w:t>
            </w:r>
            <w:proofErr w:type="gramEnd"/>
            <w:r w:rsidRPr="00CA7749">
              <w:rPr>
                <w:sz w:val="20"/>
                <w:lang w:val="fr-CA"/>
              </w:rPr>
              <w:t xml:space="preserve">. est rejeté sous l’art. 365 du </w:t>
            </w:r>
            <w:r w:rsidRPr="00CA7749">
              <w:rPr>
                <w:i/>
                <w:sz w:val="20"/>
                <w:lang w:val="fr-CA"/>
              </w:rPr>
              <w:t>Code de procédure civile</w:t>
            </w:r>
            <w:r w:rsidRPr="00CA7749">
              <w:rPr>
                <w:sz w:val="20"/>
                <w:lang w:val="fr-CA"/>
              </w:rPr>
              <w:t xml:space="preserve">. </w:t>
            </w:r>
          </w:p>
          <w:p w:rsidR="007044D2" w:rsidRPr="00CA7749" w:rsidRDefault="007044D2" w:rsidP="007044D2">
            <w:pPr>
              <w:jc w:val="both"/>
              <w:rPr>
                <w:sz w:val="20"/>
                <w:lang w:val="fr-CA"/>
              </w:rPr>
            </w:pPr>
          </w:p>
        </w:tc>
      </w:tr>
      <w:tr w:rsidR="007044D2" w:rsidRPr="00CA7749" w:rsidTr="00E95A6A">
        <w:tc>
          <w:tcPr>
            <w:tcW w:w="2427" w:type="pct"/>
            <w:gridSpan w:val="2"/>
          </w:tcPr>
          <w:p w:rsidR="007044D2" w:rsidRPr="00CA7749" w:rsidRDefault="007044D2" w:rsidP="007044D2">
            <w:pPr>
              <w:jc w:val="both"/>
              <w:rPr>
                <w:sz w:val="20"/>
                <w:lang w:val="fr-CA"/>
              </w:rPr>
            </w:pPr>
            <w:r w:rsidRPr="00CA7749">
              <w:rPr>
                <w:sz w:val="20"/>
                <w:lang w:val="fr-CA"/>
              </w:rPr>
              <w:t>Le 30 mars 2023</w:t>
            </w:r>
          </w:p>
          <w:p w:rsidR="007044D2" w:rsidRPr="00CA7749" w:rsidRDefault="007044D2" w:rsidP="007044D2">
            <w:pPr>
              <w:jc w:val="both"/>
              <w:rPr>
                <w:sz w:val="20"/>
                <w:lang w:val="fr-CA"/>
              </w:rPr>
            </w:pPr>
            <w:r w:rsidRPr="00CA7749">
              <w:rPr>
                <w:sz w:val="20"/>
                <w:lang w:val="fr-CA"/>
              </w:rPr>
              <w:t>Cour suprême du Canada</w:t>
            </w:r>
          </w:p>
        </w:tc>
        <w:tc>
          <w:tcPr>
            <w:tcW w:w="243" w:type="pct"/>
          </w:tcPr>
          <w:p w:rsidR="007044D2" w:rsidRPr="00CA7749" w:rsidRDefault="007044D2" w:rsidP="007044D2">
            <w:pPr>
              <w:jc w:val="both"/>
              <w:rPr>
                <w:sz w:val="20"/>
                <w:lang w:val="fr-CA"/>
              </w:rPr>
            </w:pPr>
          </w:p>
        </w:tc>
        <w:tc>
          <w:tcPr>
            <w:tcW w:w="2330" w:type="pct"/>
          </w:tcPr>
          <w:p w:rsidR="007044D2" w:rsidRPr="00CA7749" w:rsidRDefault="007044D2" w:rsidP="007044D2">
            <w:pPr>
              <w:jc w:val="both"/>
              <w:rPr>
                <w:sz w:val="20"/>
                <w:lang w:val="fr-CA"/>
              </w:rPr>
            </w:pPr>
            <w:r w:rsidRPr="00CA7749">
              <w:rPr>
                <w:sz w:val="20"/>
                <w:lang w:val="fr-CA"/>
              </w:rPr>
              <w:t xml:space="preserve">Demande d'autorisation d'appel et requête en prorogation de </w:t>
            </w:r>
            <w:proofErr w:type="gramStart"/>
            <w:r w:rsidRPr="00CA7749">
              <w:rPr>
                <w:sz w:val="20"/>
                <w:lang w:val="fr-CA"/>
              </w:rPr>
              <w:t>délai déposées</w:t>
            </w:r>
            <w:proofErr w:type="gramEnd"/>
            <w:r w:rsidRPr="00CA7749">
              <w:rPr>
                <w:sz w:val="20"/>
                <w:lang w:val="fr-CA"/>
              </w:rPr>
              <w:t>.</w:t>
            </w:r>
          </w:p>
        </w:tc>
      </w:tr>
    </w:tbl>
    <w:p w:rsidR="00FC0780" w:rsidRPr="00CA7749" w:rsidRDefault="00FC0780" w:rsidP="00FC0780">
      <w:pPr>
        <w:jc w:val="both"/>
        <w:rPr>
          <w:sz w:val="20"/>
          <w:lang w:val="fr-CA"/>
        </w:rPr>
      </w:pPr>
    </w:p>
    <w:p w:rsidR="002D3AC0" w:rsidRPr="00CA7749" w:rsidRDefault="00CA7749" w:rsidP="00142166">
      <w:pPr>
        <w:widowControl w:val="0"/>
        <w:jc w:val="both"/>
        <w:rPr>
          <w:sz w:val="20"/>
        </w:rPr>
      </w:pPr>
      <w:r w:rsidRPr="00CA7749">
        <w:rPr>
          <w:sz w:val="20"/>
        </w:rPr>
        <w:pict>
          <v:rect id="_x0000_i1044" style="width:2in;height:1pt" o:hrpct="0" o:hralign="center" o:hrstd="t" o:hrnoshade="t" o:hr="t" fillcolor="black [3213]" stroked="f"/>
        </w:pict>
      </w:r>
    </w:p>
    <w:p w:rsidR="00311655" w:rsidRPr="00CA7749" w:rsidRDefault="00311655" w:rsidP="00350651">
      <w:pPr>
        <w:ind w:left="142" w:hanging="142"/>
        <w:jc w:val="both"/>
        <w:rPr>
          <w:sz w:val="20"/>
        </w:rPr>
      </w:pPr>
    </w:p>
    <w:p w:rsidR="008F2F11" w:rsidRPr="00CA7749" w:rsidRDefault="008F2F11" w:rsidP="00350651">
      <w:pPr>
        <w:ind w:left="142" w:hanging="142"/>
        <w:jc w:val="both"/>
        <w:rPr>
          <w:sz w:val="20"/>
        </w:rPr>
      </w:pPr>
    </w:p>
    <w:p w:rsidR="008F2F11" w:rsidRPr="00CA7749" w:rsidRDefault="008F2F11" w:rsidP="00350651">
      <w:pPr>
        <w:ind w:left="142" w:hanging="142"/>
        <w:jc w:val="both"/>
        <w:rPr>
          <w:sz w:val="20"/>
        </w:rPr>
      </w:pPr>
    </w:p>
    <w:p w:rsidR="00D3344A" w:rsidRPr="00CA7749" w:rsidRDefault="00D3344A" w:rsidP="00D3344A">
      <w:pPr>
        <w:widowControl w:val="0"/>
        <w:outlineLvl w:val="0"/>
        <w:rPr>
          <w:sz w:val="20"/>
        </w:rPr>
      </w:pPr>
      <w:r w:rsidRPr="00CA7749">
        <w:rPr>
          <w:sz w:val="20"/>
        </w:rPr>
        <w:t>Supreme Court of Canada / Cour suprême du Canad</w:t>
      </w:r>
      <w:r w:rsidR="00EE289F" w:rsidRPr="00CA7749">
        <w:rPr>
          <w:sz w:val="20"/>
        </w:rPr>
        <w:t>a</w:t>
      </w:r>
      <w:r w:rsidRPr="00CA7749">
        <w:rPr>
          <w:sz w:val="20"/>
        </w:rPr>
        <w:t xml:space="preserve"> :</w:t>
      </w:r>
    </w:p>
    <w:p w:rsidR="00D3344A" w:rsidRPr="00CA7749" w:rsidRDefault="00CA7749" w:rsidP="00D3344A">
      <w:pPr>
        <w:widowControl w:val="0"/>
        <w:outlineLvl w:val="0"/>
        <w:rPr>
          <w:sz w:val="20"/>
          <w:u w:val="single"/>
        </w:rPr>
      </w:pPr>
      <w:hyperlink r:id="rId58" w:history="1">
        <w:r w:rsidR="009B7391" w:rsidRPr="00CA7749">
          <w:rPr>
            <w:rStyle w:val="Hyperlink"/>
            <w:sz w:val="20"/>
          </w:rPr>
          <w:t>comments-commentaires@scc-csc.ca</w:t>
        </w:r>
      </w:hyperlink>
    </w:p>
    <w:p w:rsidR="00D3344A" w:rsidRPr="00CA7749" w:rsidRDefault="0065588C" w:rsidP="00D3344A">
      <w:pPr>
        <w:widowControl w:val="0"/>
        <w:outlineLvl w:val="0"/>
        <w:rPr>
          <w:sz w:val="20"/>
        </w:rPr>
      </w:pPr>
      <w:r w:rsidRPr="00CA7749">
        <w:rPr>
          <w:sz w:val="20"/>
        </w:rPr>
        <w:t>613-</w:t>
      </w:r>
      <w:r w:rsidR="00D3344A" w:rsidRPr="00CA7749">
        <w:rPr>
          <w:sz w:val="20"/>
        </w:rPr>
        <w:t>995-4330</w:t>
      </w:r>
    </w:p>
    <w:p w:rsidR="00497B5E" w:rsidRPr="00CA7749" w:rsidRDefault="00497B5E" w:rsidP="00497B5E">
      <w:pPr>
        <w:widowControl w:val="0"/>
        <w:rPr>
          <w:sz w:val="20"/>
        </w:rPr>
      </w:pPr>
    </w:p>
    <w:p w:rsidR="00F6251B" w:rsidRPr="007607A2" w:rsidRDefault="003F43E6" w:rsidP="00F6251B">
      <w:pPr>
        <w:pStyle w:val="Footer"/>
        <w:jc w:val="center"/>
        <w:rPr>
          <w:sz w:val="20"/>
        </w:rPr>
      </w:pPr>
      <w:r w:rsidRPr="00CA7749">
        <w:rPr>
          <w:sz w:val="20"/>
        </w:rPr>
        <w:t>- 30 -</w:t>
      </w:r>
      <w:bookmarkStart w:id="0" w:name="_GoBack"/>
      <w:bookmarkEnd w:id="0"/>
    </w:p>
    <w:sectPr w:rsidR="00F6251B" w:rsidRPr="007607A2" w:rsidSect="00E62F93">
      <w:headerReference w:type="even" r:id="rId59"/>
      <w:headerReference w:type="default" r:id="rId60"/>
      <w:footerReference w:type="even" r:id="rId61"/>
      <w:footerReference w:type="default" r:id="rId62"/>
      <w:headerReference w:type="first" r:id="rId63"/>
      <w:footerReference w:type="first" r:id="rId6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FA" w:rsidRDefault="004539FA" w:rsidP="0034178A">
      <w:r>
        <w:separator/>
      </w:r>
    </w:p>
  </w:endnote>
  <w:endnote w:type="continuationSeparator" w:id="0">
    <w:p w:rsidR="004539FA" w:rsidRDefault="004539F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FA" w:rsidRDefault="00453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FA" w:rsidRPr="009F77F0" w:rsidRDefault="004539F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FA" w:rsidRDefault="00453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FA" w:rsidRDefault="004539FA" w:rsidP="0034178A">
      <w:r>
        <w:separator/>
      </w:r>
    </w:p>
  </w:footnote>
  <w:footnote w:type="continuationSeparator" w:id="0">
    <w:p w:rsidR="004539FA" w:rsidRDefault="004539F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FA" w:rsidRDefault="00453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FA" w:rsidRDefault="00453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FA" w:rsidRDefault="00453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5C"/>
    <w:multiLevelType w:val="hybridMultilevel"/>
    <w:tmpl w:val="90BE4C0A"/>
    <w:lvl w:ilvl="0" w:tplc="CB5AF95C">
      <w:start w:val="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F72A1"/>
    <w:multiLevelType w:val="hybridMultilevel"/>
    <w:tmpl w:val="AE38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FA2C66"/>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E7235"/>
    <w:multiLevelType w:val="hybridMultilevel"/>
    <w:tmpl w:val="E5C44DC6"/>
    <w:lvl w:ilvl="0" w:tplc="1EDC53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F5091"/>
    <w:multiLevelType w:val="hybridMultilevel"/>
    <w:tmpl w:val="047EA382"/>
    <w:lvl w:ilvl="0" w:tplc="3894D2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8"/>
  </w:num>
  <w:num w:numId="3">
    <w:abstractNumId w:val="45"/>
  </w:num>
  <w:num w:numId="4">
    <w:abstractNumId w:val="19"/>
  </w:num>
  <w:num w:numId="5">
    <w:abstractNumId w:val="15"/>
  </w:num>
  <w:num w:numId="6">
    <w:abstractNumId w:val="39"/>
  </w:num>
  <w:num w:numId="7">
    <w:abstractNumId w:val="36"/>
  </w:num>
  <w:num w:numId="8">
    <w:abstractNumId w:val="41"/>
  </w:num>
  <w:num w:numId="9">
    <w:abstractNumId w:val="6"/>
  </w:num>
  <w:num w:numId="10">
    <w:abstractNumId w:val="11"/>
  </w:num>
  <w:num w:numId="11">
    <w:abstractNumId w:val="3"/>
  </w:num>
  <w:num w:numId="12">
    <w:abstractNumId w:val="38"/>
  </w:num>
  <w:num w:numId="13">
    <w:abstractNumId w:val="4"/>
  </w:num>
  <w:num w:numId="14">
    <w:abstractNumId w:val="18"/>
  </w:num>
  <w:num w:numId="15">
    <w:abstractNumId w:val="8"/>
  </w:num>
  <w:num w:numId="16">
    <w:abstractNumId w:val="12"/>
  </w:num>
  <w:num w:numId="17">
    <w:abstractNumId w:val="42"/>
  </w:num>
  <w:num w:numId="18">
    <w:abstractNumId w:val="24"/>
  </w:num>
  <w:num w:numId="19">
    <w:abstractNumId w:val="16"/>
  </w:num>
  <w:num w:numId="20">
    <w:abstractNumId w:val="34"/>
  </w:num>
  <w:num w:numId="21">
    <w:abstractNumId w:val="10"/>
  </w:num>
  <w:num w:numId="22">
    <w:abstractNumId w:val="40"/>
  </w:num>
  <w:num w:numId="23">
    <w:abstractNumId w:val="33"/>
  </w:num>
  <w:num w:numId="24">
    <w:abstractNumId w:val="22"/>
  </w:num>
  <w:num w:numId="25">
    <w:abstractNumId w:val="27"/>
  </w:num>
  <w:num w:numId="26">
    <w:abstractNumId w:val="37"/>
  </w:num>
  <w:num w:numId="27">
    <w:abstractNumId w:val="21"/>
  </w:num>
  <w:num w:numId="28">
    <w:abstractNumId w:val="7"/>
  </w:num>
  <w:num w:numId="29">
    <w:abstractNumId w:val="32"/>
  </w:num>
  <w:num w:numId="30">
    <w:abstractNumId w:val="20"/>
  </w:num>
  <w:num w:numId="31">
    <w:abstractNumId w:val="9"/>
  </w:num>
  <w:num w:numId="32">
    <w:abstractNumId w:val="25"/>
  </w:num>
  <w:num w:numId="33">
    <w:abstractNumId w:val="5"/>
  </w:num>
  <w:num w:numId="34">
    <w:abstractNumId w:val="2"/>
  </w:num>
  <w:num w:numId="35">
    <w:abstractNumId w:val="17"/>
  </w:num>
  <w:num w:numId="36">
    <w:abstractNumId w:val="43"/>
  </w:num>
  <w:num w:numId="37">
    <w:abstractNumId w:val="23"/>
  </w:num>
  <w:num w:numId="38">
    <w:abstractNumId w:val="26"/>
  </w:num>
  <w:num w:numId="39">
    <w:abstractNumId w:val="35"/>
  </w:num>
  <w:num w:numId="40">
    <w:abstractNumId w:val="30"/>
  </w:num>
  <w:num w:numId="41">
    <w:abstractNumId w:val="0"/>
  </w:num>
  <w:num w:numId="42">
    <w:abstractNumId w:val="14"/>
  </w:num>
  <w:num w:numId="43">
    <w:abstractNumId w:val="1"/>
  </w:num>
  <w:num w:numId="44">
    <w:abstractNumId w:val="29"/>
  </w:num>
  <w:num w:numId="45">
    <w:abstractNumId w:val="31"/>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814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BE"/>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55D"/>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68"/>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DB9"/>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C7FCA"/>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6DD"/>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02"/>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786"/>
    <w:rsid w:val="00334EB2"/>
    <w:rsid w:val="003351CE"/>
    <w:rsid w:val="0033535C"/>
    <w:rsid w:val="00335589"/>
    <w:rsid w:val="0033559C"/>
    <w:rsid w:val="0033602B"/>
    <w:rsid w:val="0033625F"/>
    <w:rsid w:val="003362C9"/>
    <w:rsid w:val="003374B1"/>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D92"/>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810"/>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3A8"/>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618"/>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28C"/>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4D9A"/>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0D72"/>
    <w:rsid w:val="004511AB"/>
    <w:rsid w:val="004511FA"/>
    <w:rsid w:val="004514DB"/>
    <w:rsid w:val="0045234D"/>
    <w:rsid w:val="0045235F"/>
    <w:rsid w:val="004533F1"/>
    <w:rsid w:val="00453797"/>
    <w:rsid w:val="004539FA"/>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8EB"/>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0DF"/>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237"/>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6A19"/>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0FF6"/>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072"/>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4D2"/>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463"/>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63E"/>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109"/>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86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6AF0"/>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575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CB9"/>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29CA"/>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1A"/>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2EEB"/>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749"/>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2F39"/>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4F0E"/>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E74"/>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A99"/>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665FB"/>
    <w:rsid w:val="00E70259"/>
    <w:rsid w:val="00E70612"/>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68E"/>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4D4B"/>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1FD"/>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0FB1"/>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4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612" TargetMode="External"/><Relationship Id="rId18" Type="http://schemas.openxmlformats.org/officeDocument/2006/relationships/hyperlink" Target="https://www.canlii.org/en/bc/bcca/doc/2022/2022bcca389/2022bcca389.html?resultIndex=1" TargetMode="External"/><Relationship Id="rId26" Type="http://schemas.openxmlformats.org/officeDocument/2006/relationships/hyperlink" Target="https://www.canlii.org/en/bc/bcsc/doc/2022/2022bcsc761/2022bcsc761.html?resultIndex=1" TargetMode="External"/><Relationship Id="rId39" Type="http://schemas.openxmlformats.org/officeDocument/2006/relationships/hyperlink" Target="https://www.canlii.org/en/bc/laws/stat/sbc-2011-c-25/latest/sbc-2011-c-25.html" TargetMode="External"/><Relationship Id="rId21" Type="http://schemas.openxmlformats.org/officeDocument/2006/relationships/hyperlink" Target="https://www.canlii.org/en/bc/bcca/doc/2022/2022bcca387/2022bcca387.html" TargetMode="External"/><Relationship Id="rId34" Type="http://schemas.openxmlformats.org/officeDocument/2006/relationships/hyperlink" Target="https://www.canlii.org/en/mb/mbqb/doc/2021/2021mbqb205/2021mbqb205.html?resultIndex=1" TargetMode="External"/><Relationship Id="rId42" Type="http://schemas.openxmlformats.org/officeDocument/2006/relationships/hyperlink" Target="https://www.canlii.org/en/bc/laws/stat/rsbc-1996-c-55/latest/rsbc-1996-c-55.html" TargetMode="External"/><Relationship Id="rId47" Type="http://schemas.openxmlformats.org/officeDocument/2006/relationships/hyperlink" Target="https://canlii.ca/t/jtnt5" TargetMode="External"/><Relationship Id="rId50" Type="http://schemas.openxmlformats.org/officeDocument/2006/relationships/hyperlink" Target="https://canlii.ca/t/js99j" TargetMode="External"/><Relationship Id="rId55" Type="http://schemas.openxmlformats.org/officeDocument/2006/relationships/hyperlink" Target="https://www.canlii.org/en/on/onca/doc/2022/2022onca820/2022onca820.html?autocompleteStr=2022%20ONCA%20820&amp;autocompletePos=1"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0585" TargetMode="External"/><Relationship Id="rId20" Type="http://schemas.openxmlformats.org/officeDocument/2006/relationships/hyperlink" Target="https://www.canlii.org/en/bc/bcsc/doc/2022/2022bcsc87/2022bcsc87.html" TargetMode="External"/><Relationship Id="rId29" Type="http://schemas.openxmlformats.org/officeDocument/2006/relationships/hyperlink" Target="https://www.canlii.org/en/on/onca/doc/2022/2022onca788/2022onca788.html" TargetMode="External"/><Relationship Id="rId41" Type="http://schemas.openxmlformats.org/officeDocument/2006/relationships/hyperlink" Target="https://canlii.ca/t/jtnt5" TargetMode="External"/><Relationship Id="rId54" Type="http://schemas.openxmlformats.org/officeDocument/2006/relationships/hyperlink" Target="https://www.canlii.org/en/on/onsc/doc/2022/2022onsc892/2022onsc892.html?autocompleteStr=2022%20ONSC%20892&amp;autocompletePos=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63" TargetMode="External"/><Relationship Id="rId24" Type="http://schemas.openxmlformats.org/officeDocument/2006/relationships/hyperlink" Target="https://www.canlii.org/en/bc/bcsc/doc/2022/2022bcsc761/2022bcsc761.html?resultIndex=1" TargetMode="External"/><Relationship Id="rId32" Type="http://schemas.openxmlformats.org/officeDocument/2006/relationships/hyperlink" Target="https://www.canlii.org/en/mb/mbqb/doc/2021/2021mbqb205/2021mbqb205.html?resultIndex=1" TargetMode="External"/><Relationship Id="rId37" Type="http://schemas.openxmlformats.org/officeDocument/2006/relationships/hyperlink" Target="https://www.canlii.org/en/bc/laws/stat/sbc-2011-c-25/latest/sbc-2011-c-25.html" TargetMode="External"/><Relationship Id="rId40" Type="http://schemas.openxmlformats.org/officeDocument/2006/relationships/hyperlink" Target="https://canlii.ca/t/jm54h" TargetMode="External"/><Relationship Id="rId45" Type="http://schemas.openxmlformats.org/officeDocument/2006/relationships/hyperlink" Target="https://www.canlii.org/en/bc/laws/stat/sbc-2011-c-25/latest/sbc-2011-c-25.html" TargetMode="External"/><Relationship Id="rId53" Type="http://schemas.openxmlformats.org/officeDocument/2006/relationships/hyperlink" Target="https://www.canlii.org/en/on/onca/doc/2022/2022onca820/2022onca820.html?autocompleteStr=2022%20ONCA%20820&amp;autocompletePos=1" TargetMode="External"/><Relationship Id="rId58" Type="http://schemas.openxmlformats.org/officeDocument/2006/relationships/hyperlink" Target="mailto:comments-commentaires@scc-csc.ca"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583" TargetMode="External"/><Relationship Id="rId23" Type="http://schemas.openxmlformats.org/officeDocument/2006/relationships/hyperlink" Target="https://www.canlii.org/en/bc/bcca/doc/2022/2022bcca387/2022bcca387.html" TargetMode="External"/><Relationship Id="rId28" Type="http://schemas.openxmlformats.org/officeDocument/2006/relationships/hyperlink" Target="https://www.canlii.org/en/on/onsc/doc/2021/2021onsc3872/2021onsc3872.html?autocompleteStr=2021%20ONSC%203872&amp;autocompletePos=1" TargetMode="External"/><Relationship Id="rId36" Type="http://schemas.openxmlformats.org/officeDocument/2006/relationships/hyperlink" Target="https://www.canlii.org/en/bc/laws/stat/rsbc-1996-c-55/latest/rsbc-1996-c-55.html" TargetMode="External"/><Relationship Id="rId49" Type="http://schemas.openxmlformats.org/officeDocument/2006/relationships/hyperlink" Target="https://canlii.ca/t/jtjfm" TargetMode="External"/><Relationship Id="rId57" Type="http://schemas.openxmlformats.org/officeDocument/2006/relationships/hyperlink" Target="https://canlii.ca/t/jqg8k" TargetMode="External"/><Relationship Id="rId61" Type="http://schemas.openxmlformats.org/officeDocument/2006/relationships/footer" Target="footer1.xml"/><Relationship Id="rId10" Type="http://schemas.openxmlformats.org/officeDocument/2006/relationships/hyperlink" Target="https://www.scc-csc.ca/case-dossier/info/sum-som-eng.aspx?cas=40562" TargetMode="External"/><Relationship Id="rId19" Type="http://schemas.openxmlformats.org/officeDocument/2006/relationships/hyperlink" Target="https://www.canlii.org/en/bc/bcca/doc/2022/2022bcca389/2022bcca389.html?resultIndex=1" TargetMode="External"/><Relationship Id="rId31" Type="http://schemas.openxmlformats.org/officeDocument/2006/relationships/hyperlink" Target="https://www.canlii.org/en/on/onca/doc/2022/2022onca788/2022onca788.html" TargetMode="External"/><Relationship Id="rId44" Type="http://schemas.openxmlformats.org/officeDocument/2006/relationships/hyperlink" Target="https://www.canlii.org/en/bc/laws/stat/rsbc-1996-c-55/latest/rsbc-1996-c-55.html" TargetMode="External"/><Relationship Id="rId52" Type="http://schemas.openxmlformats.org/officeDocument/2006/relationships/hyperlink" Target="https://www.canlii.org/en/on/onsc/doc/2022/2022onsc892/2022onsc892.html?autocompleteStr=2022%20ONSC%20892&amp;autocompletePos=1"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0557" TargetMode="External"/><Relationship Id="rId14" Type="http://schemas.openxmlformats.org/officeDocument/2006/relationships/hyperlink" Target="https://www.scc-csc.ca/case-dossier/info/sum-som-eng.aspx?cas=40665" TargetMode="External"/><Relationship Id="rId22" Type="http://schemas.openxmlformats.org/officeDocument/2006/relationships/hyperlink" Target="https://www.canlii.org/en/bc/bcsc/doc/2022/2022bcsc87/2022bcsc87.html" TargetMode="External"/><Relationship Id="rId27" Type="http://schemas.openxmlformats.org/officeDocument/2006/relationships/hyperlink" Target="https://www.canlii.org/en/bc/bcca/doc/2022/2022bcca380/2022bcca380.html?autocompleteStr=2022%20BCCA%20380&amp;autocompletePos=1" TargetMode="External"/><Relationship Id="rId30" Type="http://schemas.openxmlformats.org/officeDocument/2006/relationships/hyperlink" Target="https://www.canlii.org/en/on/onsc/doc/2021/2021onsc3872/2021onsc3872.html?autocompleteStr=2021%20ONSC%203872&amp;autocompletePos=1" TargetMode="External"/><Relationship Id="rId35" Type="http://schemas.openxmlformats.org/officeDocument/2006/relationships/hyperlink" Target="https://www.canlii.org/en/mb/mbca/doc/2023/2023mbca11/2023mbca11.html?resultIndex=1" TargetMode="External"/><Relationship Id="rId43" Type="http://schemas.openxmlformats.org/officeDocument/2006/relationships/hyperlink" Target="https://www.canlii.org/en/bc/laws/stat/sbc-2011-c-25/latest/sbc-2011-c-25.html" TargetMode="External"/><Relationship Id="rId48" Type="http://schemas.openxmlformats.org/officeDocument/2006/relationships/hyperlink" Target="https://canlii.ca/t/js99j" TargetMode="External"/><Relationship Id="rId56" Type="http://schemas.openxmlformats.org/officeDocument/2006/relationships/hyperlink" Target="https://canlii.ca/t/jqg8k" TargetMode="External"/><Relationship Id="rId64" Type="http://schemas.openxmlformats.org/officeDocument/2006/relationships/footer" Target="footer3.xml"/><Relationship Id="rId8" Type="http://schemas.openxmlformats.org/officeDocument/2006/relationships/hyperlink" Target="https://www.scc-csc.ca/case-dossier/info/sum-som-eng.aspx?cas=40567" TargetMode="External"/><Relationship Id="rId51" Type="http://schemas.openxmlformats.org/officeDocument/2006/relationships/hyperlink" Target="https://canlii.ca/t/jtjfm" TargetMode="External"/><Relationship Id="rId3" Type="http://schemas.openxmlformats.org/officeDocument/2006/relationships/styles" Target="styles.xml"/><Relationship Id="rId12" Type="http://schemas.openxmlformats.org/officeDocument/2006/relationships/hyperlink" Target="https://www.scc-csc.ca/case-dossier/info/sum-som-eng.aspx?cas=40674" TargetMode="External"/><Relationship Id="rId17" Type="http://schemas.openxmlformats.org/officeDocument/2006/relationships/hyperlink" Target="https://www.scc-csc.ca/case-dossier/info/sum-som-fra.aspx?cas=40668" TargetMode="External"/><Relationship Id="rId25" Type="http://schemas.openxmlformats.org/officeDocument/2006/relationships/hyperlink" Target="https://www.canlii.org/en/bc/bcca/doc/2022/2022bcca380/2022bcca380.html?autocompleteStr=2022%20BCCA%20380&amp;autocompletePos=1" TargetMode="External"/><Relationship Id="rId33" Type="http://schemas.openxmlformats.org/officeDocument/2006/relationships/hyperlink" Target="https://www.canlii.org/en/mb/mbca/doc/2023/2023mbca11/2023mbca11.html?resultIndex=1" TargetMode="External"/><Relationship Id="rId38" Type="http://schemas.openxmlformats.org/officeDocument/2006/relationships/hyperlink" Target="https://www.canlii.org/en/bc/laws/stat/rsbc-1996-c-55/latest/rsbc-1996-c-55.html" TargetMode="External"/><Relationship Id="rId46" Type="http://schemas.openxmlformats.org/officeDocument/2006/relationships/hyperlink" Target="https://canlii.ca/t/jm54h"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3614-9B9A-4615-B87D-C5F2A623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8058</Words>
  <Characters>45934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53885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2023-06-19T13:33:00Z</dcterms:created>
  <dcterms:modified xsi:type="dcterms:W3CDTF">2023-07-14T13:29:00Z</dcterms:modified>
</cp:coreProperties>
</file>