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91707B" w:rsidRDefault="000E391F" w:rsidP="000E391F">
      <w:pPr>
        <w:pStyle w:val="Header"/>
        <w:jc w:val="center"/>
        <w:rPr>
          <w:b/>
          <w:sz w:val="32"/>
        </w:rPr>
      </w:pPr>
      <w:r w:rsidRPr="0091707B">
        <w:rPr>
          <w:b/>
          <w:sz w:val="32"/>
        </w:rPr>
        <w:t>Supreme Court of Canada / Cour suprême du Canada</w:t>
      </w:r>
    </w:p>
    <w:p w:rsidR="000E391F" w:rsidRPr="0091707B" w:rsidRDefault="000E391F" w:rsidP="000E391F">
      <w:pPr>
        <w:widowControl w:val="0"/>
        <w:rPr>
          <w:i/>
        </w:rPr>
      </w:pPr>
    </w:p>
    <w:p w:rsidR="000E391F" w:rsidRPr="0091707B" w:rsidRDefault="000E391F" w:rsidP="000E391F">
      <w:pPr>
        <w:widowControl w:val="0"/>
        <w:rPr>
          <w:i/>
        </w:rPr>
      </w:pPr>
    </w:p>
    <w:p w:rsidR="006F2579" w:rsidRPr="0091707B" w:rsidRDefault="006F2579" w:rsidP="006F2579">
      <w:pPr>
        <w:widowControl w:val="0"/>
        <w:rPr>
          <w:i/>
          <w:sz w:val="20"/>
        </w:rPr>
      </w:pPr>
      <w:r w:rsidRPr="0091707B">
        <w:rPr>
          <w:i/>
          <w:sz w:val="20"/>
        </w:rPr>
        <w:t>(</w:t>
      </w:r>
      <w:r w:rsidR="003240B6" w:rsidRPr="0091707B">
        <w:rPr>
          <w:i/>
          <w:sz w:val="20"/>
        </w:rPr>
        <w:t>L</w:t>
      </w:r>
      <w:r w:rsidRPr="0091707B">
        <w:rPr>
          <w:i/>
          <w:sz w:val="20"/>
        </w:rPr>
        <w:t>e français suit)</w:t>
      </w:r>
    </w:p>
    <w:p w:rsidR="006F2579" w:rsidRPr="0091707B" w:rsidRDefault="006F2579" w:rsidP="006F2579">
      <w:pPr>
        <w:widowControl w:val="0"/>
      </w:pPr>
    </w:p>
    <w:p w:rsidR="006F2579" w:rsidRPr="0091707B" w:rsidRDefault="00B07908" w:rsidP="006F2579">
      <w:pPr>
        <w:widowControl w:val="0"/>
        <w:jc w:val="center"/>
        <w:rPr>
          <w:b/>
        </w:rPr>
      </w:pPr>
      <w:r w:rsidRPr="0091707B">
        <w:fldChar w:fldCharType="begin"/>
      </w:r>
      <w:r w:rsidR="006F2579" w:rsidRPr="0091707B">
        <w:instrText xml:space="preserve"> SEQ CHAPTER \h \r 1</w:instrText>
      </w:r>
      <w:r w:rsidRPr="0091707B">
        <w:fldChar w:fldCharType="end"/>
      </w:r>
      <w:r w:rsidR="006F2579" w:rsidRPr="0091707B">
        <w:rPr>
          <w:b/>
        </w:rPr>
        <w:t>JUDGMENT</w:t>
      </w:r>
      <w:r w:rsidR="00B17AAC" w:rsidRPr="0091707B">
        <w:rPr>
          <w:b/>
        </w:rPr>
        <w:t>S</w:t>
      </w:r>
      <w:r w:rsidR="006F2579" w:rsidRPr="0091707B">
        <w:rPr>
          <w:b/>
        </w:rPr>
        <w:t xml:space="preserve"> TO B</w:t>
      </w:r>
      <w:r w:rsidR="00001846" w:rsidRPr="0091707B">
        <w:rPr>
          <w:b/>
        </w:rPr>
        <w:t>E RENDERED IN LE</w:t>
      </w:r>
      <w:r w:rsidR="00A0288A" w:rsidRPr="0091707B">
        <w:rPr>
          <w:b/>
        </w:rPr>
        <w:t>A</w:t>
      </w:r>
      <w:r w:rsidR="00001846" w:rsidRPr="0091707B">
        <w:rPr>
          <w:b/>
        </w:rPr>
        <w:t>VE APPLICATION</w:t>
      </w:r>
      <w:r w:rsidR="00E94FDF" w:rsidRPr="0091707B">
        <w:rPr>
          <w:b/>
        </w:rPr>
        <w:t>S</w:t>
      </w:r>
    </w:p>
    <w:p w:rsidR="006F2579" w:rsidRPr="0091707B" w:rsidRDefault="006F2579" w:rsidP="006F2579">
      <w:pPr>
        <w:widowControl w:val="0"/>
      </w:pPr>
    </w:p>
    <w:p w:rsidR="006F2579" w:rsidRPr="0091707B" w:rsidRDefault="00DF16AC" w:rsidP="006F2579">
      <w:pPr>
        <w:widowControl w:val="0"/>
      </w:pPr>
      <w:r w:rsidRPr="0091707B">
        <w:rPr>
          <w:b/>
        </w:rPr>
        <w:t>September 5</w:t>
      </w:r>
      <w:r w:rsidR="004441C7" w:rsidRPr="0091707B">
        <w:rPr>
          <w:b/>
        </w:rPr>
        <w:t>,</w:t>
      </w:r>
      <w:r w:rsidR="006F2579" w:rsidRPr="0091707B">
        <w:rPr>
          <w:b/>
        </w:rPr>
        <w:t xml:space="preserve"> </w:t>
      </w:r>
      <w:r w:rsidR="0054689F" w:rsidRPr="0091707B">
        <w:rPr>
          <w:b/>
        </w:rPr>
        <w:t>20</w:t>
      </w:r>
      <w:r w:rsidR="00526754" w:rsidRPr="0091707B">
        <w:rPr>
          <w:b/>
        </w:rPr>
        <w:t>2</w:t>
      </w:r>
      <w:r w:rsidR="00970CAA" w:rsidRPr="0091707B">
        <w:rPr>
          <w:b/>
        </w:rPr>
        <w:t>3</w:t>
      </w:r>
    </w:p>
    <w:p w:rsidR="006F2579" w:rsidRPr="0091707B" w:rsidRDefault="00674F39" w:rsidP="006F2579">
      <w:pPr>
        <w:widowControl w:val="0"/>
        <w:rPr>
          <w:b/>
        </w:rPr>
      </w:pPr>
      <w:r w:rsidRPr="0091707B">
        <w:rPr>
          <w:b/>
        </w:rPr>
        <w:t>For immediate release</w:t>
      </w:r>
    </w:p>
    <w:p w:rsidR="006F2579" w:rsidRPr="0091707B" w:rsidRDefault="006F2579" w:rsidP="006F2579">
      <w:pPr>
        <w:widowControl w:val="0"/>
      </w:pPr>
    </w:p>
    <w:p w:rsidR="006F2579" w:rsidRPr="0091707B" w:rsidRDefault="006F2579" w:rsidP="006F2579">
      <w:pPr>
        <w:widowControl w:val="0"/>
        <w:rPr>
          <w:lang w:val="fr-CA"/>
        </w:rPr>
      </w:pPr>
      <w:r w:rsidRPr="0091707B">
        <w:rPr>
          <w:b/>
        </w:rPr>
        <w:t>OTTAWA</w:t>
      </w:r>
      <w:r w:rsidRPr="0091707B">
        <w:t xml:space="preserve"> – The Supreme Court of Canad</w:t>
      </w:r>
      <w:r w:rsidR="006246E4" w:rsidRPr="0091707B">
        <w:t>a</w:t>
      </w:r>
      <w:r w:rsidRPr="0091707B">
        <w:t xml:space="preserve"> announced today that judgment in the following </w:t>
      </w:r>
      <w:r w:rsidR="00DB6199" w:rsidRPr="0091707B">
        <w:t xml:space="preserve">leave applications </w:t>
      </w:r>
      <w:r w:rsidRPr="0091707B">
        <w:t xml:space="preserve">will be delivered at 9:45 a.m. </w:t>
      </w:r>
      <w:r w:rsidR="00E05816" w:rsidRPr="0091707B">
        <w:t>E</w:t>
      </w:r>
      <w:r w:rsidR="00DF16AC" w:rsidRPr="0091707B">
        <w:t>D</w:t>
      </w:r>
      <w:r w:rsidR="00E05816" w:rsidRPr="0091707B">
        <w:t>T</w:t>
      </w:r>
      <w:r w:rsidRPr="0091707B">
        <w:t xml:space="preserve"> on Thursday, </w:t>
      </w:r>
      <w:r w:rsidR="00DF16AC" w:rsidRPr="0091707B">
        <w:t>September 7</w:t>
      </w:r>
      <w:r w:rsidR="007E112F" w:rsidRPr="0091707B">
        <w:t>,</w:t>
      </w:r>
      <w:r w:rsidR="002F38D7" w:rsidRPr="0091707B">
        <w:t xml:space="preserve"> </w:t>
      </w:r>
      <w:r w:rsidR="006648D1" w:rsidRPr="0091707B">
        <w:t>20</w:t>
      </w:r>
      <w:r w:rsidR="00526754" w:rsidRPr="0091707B">
        <w:t>2</w:t>
      </w:r>
      <w:r w:rsidR="00970CAA" w:rsidRPr="0091707B">
        <w:t>3</w:t>
      </w:r>
      <w:r w:rsidRPr="0091707B">
        <w:t xml:space="preserve">. </w:t>
      </w:r>
      <w:r w:rsidRPr="0091707B">
        <w:rPr>
          <w:lang w:val="fr-CA"/>
        </w:rPr>
        <w:t>This list is subject to chang</w:t>
      </w:r>
      <w:r w:rsidR="00192F7F" w:rsidRPr="0091707B">
        <w:rPr>
          <w:lang w:val="fr-CA"/>
        </w:rPr>
        <w:t>e</w:t>
      </w:r>
      <w:r w:rsidRPr="0091707B">
        <w:rPr>
          <w:lang w:val="fr-CA"/>
        </w:rPr>
        <w:t>.</w:t>
      </w:r>
    </w:p>
    <w:p w:rsidR="00FF5AA4" w:rsidRPr="0091707B" w:rsidRDefault="00FF5AA4" w:rsidP="006F2579">
      <w:pPr>
        <w:widowControl w:val="0"/>
        <w:rPr>
          <w:lang w:val="fr-CA"/>
        </w:rPr>
      </w:pPr>
    </w:p>
    <w:p w:rsidR="00B43418" w:rsidRPr="0091707B" w:rsidRDefault="00B43418" w:rsidP="006F2579">
      <w:pPr>
        <w:widowControl w:val="0"/>
        <w:rPr>
          <w:lang w:val="fr-CA"/>
        </w:rPr>
      </w:pPr>
    </w:p>
    <w:p w:rsidR="006F2579" w:rsidRPr="0091707B" w:rsidRDefault="006F2579" w:rsidP="006F2579">
      <w:pPr>
        <w:widowControl w:val="0"/>
        <w:jc w:val="center"/>
        <w:rPr>
          <w:lang w:val="fr-CA"/>
        </w:rPr>
      </w:pPr>
      <w:r w:rsidRPr="0091707B">
        <w:rPr>
          <w:b/>
          <w:lang w:val="fr-CA"/>
        </w:rPr>
        <w:t>PROCHAIN</w:t>
      </w:r>
      <w:r w:rsidR="00B17AAC" w:rsidRPr="0091707B">
        <w:rPr>
          <w:b/>
          <w:lang w:val="fr-CA"/>
        </w:rPr>
        <w:t>S</w:t>
      </w:r>
      <w:r w:rsidRPr="0091707B">
        <w:rPr>
          <w:b/>
          <w:lang w:val="fr-CA"/>
        </w:rPr>
        <w:t xml:space="preserve"> JUGEMENT</w:t>
      </w:r>
      <w:r w:rsidR="00B17AAC" w:rsidRPr="0091707B">
        <w:rPr>
          <w:b/>
          <w:lang w:val="fr-CA"/>
        </w:rPr>
        <w:t>S</w:t>
      </w:r>
      <w:r w:rsidR="00001846" w:rsidRPr="0091707B">
        <w:rPr>
          <w:b/>
          <w:lang w:val="fr-CA"/>
        </w:rPr>
        <w:t xml:space="preserve"> SUR DEMANDE</w:t>
      </w:r>
      <w:r w:rsidR="00B17AAC" w:rsidRPr="0091707B">
        <w:rPr>
          <w:b/>
          <w:lang w:val="fr-CA"/>
        </w:rPr>
        <w:t>S</w:t>
      </w:r>
      <w:r w:rsidRPr="0091707B">
        <w:rPr>
          <w:b/>
          <w:lang w:val="fr-CA"/>
        </w:rPr>
        <w:t xml:space="preserve"> D’AUTORISATION</w:t>
      </w:r>
    </w:p>
    <w:p w:rsidR="006F2579" w:rsidRPr="0091707B" w:rsidRDefault="006F2579" w:rsidP="006F2579">
      <w:pPr>
        <w:widowControl w:val="0"/>
        <w:rPr>
          <w:lang w:val="fr-CA"/>
        </w:rPr>
      </w:pPr>
    </w:p>
    <w:p w:rsidR="006F2579" w:rsidRPr="0091707B" w:rsidRDefault="006F2579" w:rsidP="006F2579">
      <w:pPr>
        <w:widowControl w:val="0"/>
        <w:rPr>
          <w:lang w:val="fr-CA"/>
        </w:rPr>
      </w:pPr>
      <w:r w:rsidRPr="0091707B">
        <w:rPr>
          <w:b/>
          <w:lang w:val="fr-CA"/>
        </w:rPr>
        <w:t>Le</w:t>
      </w:r>
      <w:r w:rsidR="00957A76" w:rsidRPr="0091707B">
        <w:rPr>
          <w:b/>
          <w:lang w:val="fr-CA"/>
        </w:rPr>
        <w:t xml:space="preserve"> </w:t>
      </w:r>
      <w:r w:rsidR="00DF16AC" w:rsidRPr="0091707B">
        <w:rPr>
          <w:b/>
          <w:lang w:val="fr-CA"/>
        </w:rPr>
        <w:t>5</w:t>
      </w:r>
      <w:r w:rsidR="00A15B66" w:rsidRPr="0091707B">
        <w:rPr>
          <w:b/>
          <w:lang w:val="fr-CA"/>
        </w:rPr>
        <w:t xml:space="preserve"> </w:t>
      </w:r>
      <w:r w:rsidR="00DF16AC" w:rsidRPr="0091707B">
        <w:rPr>
          <w:b/>
          <w:lang w:val="fr-CA"/>
        </w:rPr>
        <w:t>septembre</w:t>
      </w:r>
      <w:r w:rsidR="00A151D1" w:rsidRPr="0091707B">
        <w:rPr>
          <w:b/>
          <w:lang w:val="fr-CA"/>
        </w:rPr>
        <w:t xml:space="preserve"> 20</w:t>
      </w:r>
      <w:r w:rsidR="00526754" w:rsidRPr="0091707B">
        <w:rPr>
          <w:b/>
          <w:lang w:val="fr-CA"/>
        </w:rPr>
        <w:t>2</w:t>
      </w:r>
      <w:r w:rsidR="00970CAA" w:rsidRPr="0091707B">
        <w:rPr>
          <w:b/>
          <w:lang w:val="fr-CA"/>
        </w:rPr>
        <w:t>3</w:t>
      </w:r>
    </w:p>
    <w:p w:rsidR="006F2579" w:rsidRPr="0091707B" w:rsidRDefault="006F2579" w:rsidP="006F2579">
      <w:pPr>
        <w:widowControl w:val="0"/>
        <w:rPr>
          <w:b/>
          <w:lang w:val="fr-CA"/>
        </w:rPr>
      </w:pPr>
      <w:r w:rsidRPr="0091707B">
        <w:rPr>
          <w:b/>
          <w:lang w:val="fr-CA"/>
        </w:rPr>
        <w:t>Pour diffusion immédiate</w:t>
      </w:r>
    </w:p>
    <w:p w:rsidR="006F2579" w:rsidRPr="0091707B" w:rsidRDefault="006F2579" w:rsidP="006F2579">
      <w:pPr>
        <w:widowControl w:val="0"/>
        <w:rPr>
          <w:lang w:val="fr-CA"/>
        </w:rPr>
      </w:pPr>
    </w:p>
    <w:p w:rsidR="006F2579" w:rsidRPr="0091707B" w:rsidRDefault="006F2579" w:rsidP="006F2579">
      <w:pPr>
        <w:widowControl w:val="0"/>
        <w:rPr>
          <w:lang w:val="fr-CA"/>
        </w:rPr>
      </w:pPr>
      <w:r w:rsidRPr="0091707B">
        <w:rPr>
          <w:b/>
          <w:lang w:val="fr-CA"/>
        </w:rPr>
        <w:t>OTTAWA</w:t>
      </w:r>
      <w:r w:rsidRPr="0091707B">
        <w:rPr>
          <w:lang w:val="fr-CA"/>
        </w:rPr>
        <w:t xml:space="preserve"> – La Cour suprême du Canada annonce que jugement ser</w:t>
      </w:r>
      <w:r w:rsidR="004259F9" w:rsidRPr="0091707B">
        <w:rPr>
          <w:lang w:val="fr-CA"/>
        </w:rPr>
        <w:t>a</w:t>
      </w:r>
      <w:r w:rsidRPr="0091707B">
        <w:rPr>
          <w:lang w:val="fr-CA"/>
        </w:rPr>
        <w:t xml:space="preserve"> rendu dans l</w:t>
      </w:r>
      <w:r w:rsidR="008600ED" w:rsidRPr="0091707B">
        <w:rPr>
          <w:lang w:val="fr-CA"/>
        </w:rPr>
        <w:t>es</w:t>
      </w:r>
      <w:r w:rsidRPr="0091707B">
        <w:rPr>
          <w:lang w:val="fr-CA"/>
        </w:rPr>
        <w:t xml:space="preserve"> demande</w:t>
      </w:r>
      <w:r w:rsidR="008600ED" w:rsidRPr="0091707B">
        <w:rPr>
          <w:lang w:val="fr-CA"/>
        </w:rPr>
        <w:t>s</w:t>
      </w:r>
      <w:r w:rsidRPr="0091707B">
        <w:rPr>
          <w:lang w:val="fr-CA"/>
        </w:rPr>
        <w:t xml:space="preserve"> d</w:t>
      </w:r>
      <w:r w:rsidR="00001846" w:rsidRPr="0091707B">
        <w:rPr>
          <w:lang w:val="fr-CA"/>
        </w:rPr>
        <w:t>’autorisation suivante</w:t>
      </w:r>
      <w:r w:rsidR="008600ED" w:rsidRPr="0091707B">
        <w:rPr>
          <w:lang w:val="fr-CA"/>
        </w:rPr>
        <w:t>s</w:t>
      </w:r>
      <w:r w:rsidRPr="0091707B">
        <w:rPr>
          <w:lang w:val="fr-CA"/>
        </w:rPr>
        <w:t xml:space="preserve"> le jeudi </w:t>
      </w:r>
      <w:r w:rsidR="00DF16AC" w:rsidRPr="0091707B">
        <w:rPr>
          <w:lang w:val="fr-CA"/>
        </w:rPr>
        <w:t>7</w:t>
      </w:r>
      <w:r w:rsidR="00780317" w:rsidRPr="0091707B">
        <w:rPr>
          <w:lang w:val="fr-CA"/>
        </w:rPr>
        <w:t xml:space="preserve"> </w:t>
      </w:r>
      <w:r w:rsidR="00DF16AC" w:rsidRPr="0091707B">
        <w:rPr>
          <w:lang w:val="fr-CA"/>
        </w:rPr>
        <w:t>septembre</w:t>
      </w:r>
      <w:r w:rsidR="00694391" w:rsidRPr="0091707B">
        <w:rPr>
          <w:lang w:val="fr-CA"/>
        </w:rPr>
        <w:t xml:space="preserve"> 2</w:t>
      </w:r>
      <w:r w:rsidR="006648D1" w:rsidRPr="0091707B">
        <w:rPr>
          <w:lang w:val="fr-CA"/>
        </w:rPr>
        <w:t>0</w:t>
      </w:r>
      <w:r w:rsidR="00526754" w:rsidRPr="0091707B">
        <w:rPr>
          <w:lang w:val="fr-CA"/>
        </w:rPr>
        <w:t>2</w:t>
      </w:r>
      <w:r w:rsidR="00970CAA" w:rsidRPr="0091707B">
        <w:rPr>
          <w:lang w:val="fr-CA"/>
        </w:rPr>
        <w:t>3</w:t>
      </w:r>
      <w:r w:rsidRPr="0091707B">
        <w:rPr>
          <w:lang w:val="fr-CA"/>
        </w:rPr>
        <w:t xml:space="preserve">, à 9 h 45 </w:t>
      </w:r>
      <w:r w:rsidR="000627A2" w:rsidRPr="0091707B">
        <w:rPr>
          <w:lang w:val="fr-CA"/>
        </w:rPr>
        <w:t>H</w:t>
      </w:r>
      <w:r w:rsidR="00DF16AC" w:rsidRPr="0091707B">
        <w:rPr>
          <w:lang w:val="fr-CA"/>
        </w:rPr>
        <w:t>A</w:t>
      </w:r>
      <w:r w:rsidRPr="0091707B">
        <w:rPr>
          <w:lang w:val="fr-CA"/>
        </w:rPr>
        <w:t>E. Cette liste est sujette à modifications.</w:t>
      </w:r>
    </w:p>
    <w:p w:rsidR="0080556B" w:rsidRPr="0091707B" w:rsidRDefault="0080556B" w:rsidP="009B14F4">
      <w:pPr>
        <w:widowControl w:val="0"/>
        <w:jc w:val="both"/>
        <w:rPr>
          <w:lang w:val="fr-CA"/>
        </w:rPr>
      </w:pPr>
    </w:p>
    <w:p w:rsidR="007F0348" w:rsidRPr="0091707B" w:rsidRDefault="00860B41" w:rsidP="009B14F4">
      <w:pPr>
        <w:widowControl w:val="0"/>
        <w:jc w:val="both"/>
        <w:rPr>
          <w:sz w:val="20"/>
        </w:rPr>
      </w:pPr>
      <w:r w:rsidRPr="0091707B">
        <w:rPr>
          <w:sz w:val="20"/>
        </w:rPr>
        <w:pict>
          <v:rect id="_x0000_i1025" style="width:2in;height:1pt" o:hrpct="0" o:hralign="center" o:hrstd="t" o:hrnoshade="t" o:hr="t" fillcolor="black [3213]" stroked="f"/>
        </w:pict>
      </w:r>
    </w:p>
    <w:p w:rsidR="00916D50" w:rsidRPr="0091707B" w:rsidRDefault="00916D50" w:rsidP="009B14F4">
      <w:pPr>
        <w:widowControl w:val="0"/>
        <w:jc w:val="both"/>
        <w:rPr>
          <w:sz w:val="20"/>
          <w:lang w:val="fr-CA"/>
        </w:rPr>
      </w:pPr>
    </w:p>
    <w:p w:rsidR="00DF16AC" w:rsidRPr="00BF6446" w:rsidRDefault="00DF16AC" w:rsidP="00BF6446">
      <w:pPr>
        <w:pStyle w:val="ListParagraph"/>
        <w:numPr>
          <w:ilvl w:val="0"/>
          <w:numId w:val="14"/>
        </w:numPr>
        <w:ind w:left="357" w:hanging="357"/>
        <w:rPr>
          <w:sz w:val="20"/>
        </w:rPr>
      </w:pPr>
      <w:r w:rsidRPr="00BF6446">
        <w:rPr>
          <w:i/>
          <w:sz w:val="20"/>
        </w:rPr>
        <w:t xml:space="preserve">Hu Fang v. His Majesty the King </w:t>
      </w:r>
      <w:r w:rsidRPr="00BF6446">
        <w:rPr>
          <w:sz w:val="20"/>
        </w:rPr>
        <w:t>(Que.) (Criminal) (By Leave)</w:t>
      </w:r>
      <w:r w:rsidR="00DB3E53" w:rsidRPr="00BF6446">
        <w:rPr>
          <w:sz w:val="20"/>
        </w:rPr>
        <w:t xml:space="preserve"> (</w:t>
      </w:r>
      <w:hyperlink r:id="rId8" w:history="1">
        <w:r w:rsidR="00DB3E53" w:rsidRPr="00BF6446">
          <w:rPr>
            <w:rStyle w:val="Hyperlink"/>
            <w:sz w:val="20"/>
          </w:rPr>
          <w:t>40640</w:t>
        </w:r>
      </w:hyperlink>
      <w:r w:rsidR="00DB3E53" w:rsidRPr="00BF6446">
        <w:rPr>
          <w:sz w:val="20"/>
        </w:rPr>
        <w:t>)</w:t>
      </w:r>
    </w:p>
    <w:p w:rsidR="00DF16AC" w:rsidRPr="0091707B" w:rsidRDefault="00DF16AC" w:rsidP="00BF6446">
      <w:pPr>
        <w:ind w:left="357" w:hanging="357"/>
        <w:rPr>
          <w:sz w:val="20"/>
          <w:szCs w:val="24"/>
        </w:rPr>
      </w:pPr>
    </w:p>
    <w:p w:rsidR="00DF16AC" w:rsidRPr="00BF6446" w:rsidRDefault="00DF16AC" w:rsidP="00BF6446">
      <w:pPr>
        <w:pStyle w:val="ListParagraph"/>
        <w:numPr>
          <w:ilvl w:val="0"/>
          <w:numId w:val="14"/>
        </w:numPr>
        <w:ind w:left="357" w:hanging="357"/>
        <w:rPr>
          <w:sz w:val="20"/>
        </w:rPr>
      </w:pPr>
      <w:r w:rsidRPr="00BF6446">
        <w:rPr>
          <w:i/>
          <w:sz w:val="20"/>
        </w:rPr>
        <w:t xml:space="preserve">Jonathan Francis Silvanus Sylvester v. His Majesty the King </w:t>
      </w:r>
      <w:r w:rsidRPr="00BF6446">
        <w:rPr>
          <w:sz w:val="20"/>
        </w:rPr>
        <w:t>(Alta.) (Criminal) (By Leave)</w:t>
      </w:r>
      <w:r w:rsidR="00DB3E53" w:rsidRPr="00BF6446">
        <w:rPr>
          <w:sz w:val="20"/>
        </w:rPr>
        <w:t xml:space="preserve"> (</w:t>
      </w:r>
      <w:hyperlink r:id="rId9" w:history="1">
        <w:r w:rsidR="00DB3E53" w:rsidRPr="00BF6446">
          <w:rPr>
            <w:rStyle w:val="Hyperlink"/>
            <w:sz w:val="20"/>
          </w:rPr>
          <w:t>40699</w:t>
        </w:r>
      </w:hyperlink>
      <w:r w:rsidR="00DB3E53" w:rsidRPr="00BF6446">
        <w:rPr>
          <w:sz w:val="20"/>
        </w:rPr>
        <w:t>)</w:t>
      </w:r>
    </w:p>
    <w:p w:rsidR="00DF16AC" w:rsidRPr="0091707B" w:rsidRDefault="00DF16AC" w:rsidP="00BF6446">
      <w:pPr>
        <w:ind w:left="357" w:hanging="357"/>
        <w:rPr>
          <w:sz w:val="20"/>
          <w:szCs w:val="24"/>
        </w:rPr>
      </w:pPr>
    </w:p>
    <w:p w:rsidR="00DF16AC" w:rsidRPr="00BF6446" w:rsidRDefault="00DF16AC" w:rsidP="00BF6446">
      <w:pPr>
        <w:pStyle w:val="ListParagraph"/>
        <w:numPr>
          <w:ilvl w:val="0"/>
          <w:numId w:val="14"/>
        </w:numPr>
        <w:ind w:left="357" w:hanging="357"/>
        <w:rPr>
          <w:sz w:val="20"/>
        </w:rPr>
      </w:pPr>
      <w:r w:rsidRPr="00BF6446">
        <w:rPr>
          <w:i/>
          <w:sz w:val="20"/>
        </w:rPr>
        <w:t xml:space="preserve">Ryan Lewis v. Attorney General of Canada </w:t>
      </w:r>
      <w:r w:rsidRPr="00BF6446">
        <w:rPr>
          <w:sz w:val="20"/>
        </w:rPr>
        <w:t>(Fed.) (Civil) (By Leave)</w:t>
      </w:r>
      <w:r w:rsidR="00DB3E53" w:rsidRPr="00BF6446">
        <w:rPr>
          <w:sz w:val="20"/>
        </w:rPr>
        <w:t xml:space="preserve"> (</w:t>
      </w:r>
      <w:hyperlink r:id="rId10" w:history="1">
        <w:r w:rsidR="00DB3E53" w:rsidRPr="00BF6446">
          <w:rPr>
            <w:rStyle w:val="Hyperlink"/>
            <w:sz w:val="20"/>
          </w:rPr>
          <w:t>40658</w:t>
        </w:r>
      </w:hyperlink>
      <w:r w:rsidR="00DB3E53" w:rsidRPr="00BF6446">
        <w:rPr>
          <w:sz w:val="20"/>
        </w:rPr>
        <w:t>)</w:t>
      </w:r>
    </w:p>
    <w:p w:rsidR="00DF16AC" w:rsidRPr="0091707B" w:rsidRDefault="00DF16AC" w:rsidP="00BF6446">
      <w:pPr>
        <w:ind w:left="357" w:hanging="357"/>
        <w:rPr>
          <w:sz w:val="20"/>
          <w:szCs w:val="24"/>
        </w:rPr>
      </w:pPr>
    </w:p>
    <w:p w:rsidR="00DF16AC" w:rsidRPr="00BF6446" w:rsidRDefault="00DF16AC" w:rsidP="00BF6446">
      <w:pPr>
        <w:pStyle w:val="ListParagraph"/>
        <w:numPr>
          <w:ilvl w:val="0"/>
          <w:numId w:val="14"/>
        </w:numPr>
        <w:ind w:left="357" w:hanging="357"/>
        <w:rPr>
          <w:i/>
          <w:sz w:val="20"/>
          <w:lang w:val="fr-CA"/>
        </w:rPr>
      </w:pPr>
      <w:r w:rsidRPr="00BF6446">
        <w:rPr>
          <w:i/>
          <w:sz w:val="20"/>
          <w:lang w:val="fr-CA"/>
        </w:rPr>
        <w:t xml:space="preserve">Hydro-Québec c. Syndicat des </w:t>
      </w:r>
      <w:proofErr w:type="gramStart"/>
      <w:r w:rsidRPr="00BF6446">
        <w:rPr>
          <w:i/>
          <w:sz w:val="20"/>
          <w:lang w:val="fr-CA"/>
        </w:rPr>
        <w:t>employé-</w:t>
      </w:r>
      <w:proofErr w:type="gramEnd"/>
      <w:r w:rsidRPr="00BF6446">
        <w:rPr>
          <w:i/>
          <w:sz w:val="20"/>
          <w:lang w:val="fr-CA"/>
        </w:rPr>
        <w:t xml:space="preserve">es de métiers d’Hydro-Québec, section locale 1500 (SCFP-FTQ) </w:t>
      </w:r>
      <w:r w:rsidRPr="00BF6446">
        <w:rPr>
          <w:sz w:val="20"/>
          <w:lang w:val="fr-CA"/>
        </w:rPr>
        <w:t>(Qc) (Civile) (Autorisation)</w:t>
      </w:r>
      <w:r w:rsidR="00DB3E53" w:rsidRPr="00BF6446">
        <w:rPr>
          <w:sz w:val="20"/>
          <w:lang w:val="fr-CA"/>
        </w:rPr>
        <w:t xml:space="preserve"> (</w:t>
      </w:r>
      <w:hyperlink r:id="rId11" w:history="1">
        <w:r w:rsidR="00DB3E53" w:rsidRPr="00BF6446">
          <w:rPr>
            <w:rStyle w:val="Hyperlink"/>
            <w:sz w:val="20"/>
            <w:lang w:val="fr-CA"/>
          </w:rPr>
          <w:t>40626</w:t>
        </w:r>
      </w:hyperlink>
      <w:r w:rsidR="00DB3E53" w:rsidRPr="00BF6446">
        <w:rPr>
          <w:sz w:val="20"/>
          <w:lang w:val="fr-CA"/>
        </w:rPr>
        <w:t>)</w:t>
      </w:r>
    </w:p>
    <w:p w:rsidR="00DF16AC" w:rsidRPr="0091707B" w:rsidRDefault="00DF16AC" w:rsidP="00BF6446">
      <w:pPr>
        <w:ind w:left="357" w:hanging="357"/>
        <w:rPr>
          <w:sz w:val="20"/>
          <w:szCs w:val="24"/>
          <w:lang w:val="fr-CA"/>
        </w:rPr>
      </w:pPr>
    </w:p>
    <w:p w:rsidR="00DF16AC" w:rsidRPr="00BF6446" w:rsidRDefault="00DF16AC" w:rsidP="00BF6446">
      <w:pPr>
        <w:pStyle w:val="ListParagraph"/>
        <w:numPr>
          <w:ilvl w:val="0"/>
          <w:numId w:val="14"/>
        </w:numPr>
        <w:ind w:left="357" w:hanging="357"/>
        <w:rPr>
          <w:sz w:val="20"/>
        </w:rPr>
      </w:pPr>
      <w:r w:rsidRPr="00BF6446">
        <w:rPr>
          <w:i/>
          <w:sz w:val="20"/>
          <w:lang w:val="fr-CA"/>
        </w:rPr>
        <w:t xml:space="preserve">Donald Blenus v. Charles Fraser </w:t>
      </w:r>
      <w:r w:rsidRPr="00BF6446">
        <w:rPr>
          <w:sz w:val="20"/>
          <w:lang w:val="fr-CA"/>
        </w:rPr>
        <w:t xml:space="preserve">(N.S.) </w:t>
      </w:r>
      <w:r w:rsidRPr="00BF6446">
        <w:rPr>
          <w:sz w:val="20"/>
        </w:rPr>
        <w:t>(Civil) (By Leave)</w:t>
      </w:r>
      <w:r w:rsidR="00DB3E53" w:rsidRPr="00BF6446">
        <w:rPr>
          <w:sz w:val="20"/>
        </w:rPr>
        <w:t xml:space="preserve"> (</w:t>
      </w:r>
      <w:hyperlink r:id="rId12" w:history="1">
        <w:r w:rsidR="00DB3E53" w:rsidRPr="00BF6446">
          <w:rPr>
            <w:rStyle w:val="Hyperlink"/>
            <w:sz w:val="20"/>
          </w:rPr>
          <w:t>40603</w:t>
        </w:r>
      </w:hyperlink>
      <w:r w:rsidR="00DB3E53" w:rsidRPr="00BF6446">
        <w:rPr>
          <w:sz w:val="20"/>
        </w:rPr>
        <w:t>)</w:t>
      </w:r>
    </w:p>
    <w:p w:rsidR="00DF16AC" w:rsidRPr="0091707B" w:rsidRDefault="00DF16AC" w:rsidP="00BF6446">
      <w:pPr>
        <w:ind w:left="357" w:hanging="357"/>
        <w:rPr>
          <w:sz w:val="20"/>
          <w:szCs w:val="24"/>
        </w:rPr>
      </w:pPr>
    </w:p>
    <w:p w:rsidR="00DF16AC" w:rsidRPr="00BF6446" w:rsidRDefault="00DF16AC" w:rsidP="00BF6446">
      <w:pPr>
        <w:pStyle w:val="ListParagraph"/>
        <w:numPr>
          <w:ilvl w:val="0"/>
          <w:numId w:val="14"/>
        </w:numPr>
        <w:ind w:left="357" w:hanging="357"/>
        <w:rPr>
          <w:sz w:val="20"/>
        </w:rPr>
      </w:pPr>
      <w:r w:rsidRPr="00BF6446">
        <w:rPr>
          <w:i/>
          <w:sz w:val="20"/>
        </w:rPr>
        <w:t xml:space="preserve">Puma SE v. Caterpillar Inc. </w:t>
      </w:r>
      <w:r w:rsidRPr="00BF6446">
        <w:rPr>
          <w:sz w:val="20"/>
        </w:rPr>
        <w:t>(Fed.) (Civil) (By Leave)</w:t>
      </w:r>
      <w:r w:rsidR="00DB3E53" w:rsidRPr="00BF6446">
        <w:rPr>
          <w:sz w:val="20"/>
        </w:rPr>
        <w:t xml:space="preserve"> (</w:t>
      </w:r>
      <w:hyperlink r:id="rId13" w:history="1">
        <w:r w:rsidR="00DB3E53" w:rsidRPr="00BF6446">
          <w:rPr>
            <w:rStyle w:val="Hyperlink"/>
            <w:sz w:val="20"/>
          </w:rPr>
          <w:t>40641</w:t>
        </w:r>
      </w:hyperlink>
      <w:r w:rsidR="00DB3E53" w:rsidRPr="00BF6446">
        <w:rPr>
          <w:sz w:val="20"/>
        </w:rPr>
        <w:t>)</w:t>
      </w:r>
    </w:p>
    <w:p w:rsidR="00DF16AC" w:rsidRPr="0091707B" w:rsidRDefault="00DF16AC" w:rsidP="00BF6446">
      <w:pPr>
        <w:ind w:left="357" w:hanging="357"/>
        <w:rPr>
          <w:sz w:val="20"/>
          <w:szCs w:val="24"/>
        </w:rPr>
      </w:pPr>
    </w:p>
    <w:p w:rsidR="00DF16AC" w:rsidRPr="00BF6446" w:rsidRDefault="00DF16AC" w:rsidP="00BF6446">
      <w:pPr>
        <w:pStyle w:val="ListParagraph"/>
        <w:numPr>
          <w:ilvl w:val="0"/>
          <w:numId w:val="14"/>
        </w:numPr>
        <w:ind w:left="357" w:hanging="357"/>
        <w:rPr>
          <w:i/>
          <w:sz w:val="20"/>
        </w:rPr>
      </w:pPr>
      <w:r w:rsidRPr="00BF6446">
        <w:rPr>
          <w:i/>
          <w:sz w:val="20"/>
        </w:rPr>
        <w:t xml:space="preserve">Joey Toutsaint v. Investigation Committee of the Saskatchewan Registered Nurses Association </w:t>
      </w:r>
      <w:r w:rsidRPr="00BF6446">
        <w:rPr>
          <w:sz w:val="20"/>
        </w:rPr>
        <w:t>(Sask.) (Civil) (By Leave)</w:t>
      </w:r>
      <w:r w:rsidR="00DB3E53" w:rsidRPr="00BF6446">
        <w:rPr>
          <w:sz w:val="20"/>
        </w:rPr>
        <w:t xml:space="preserve"> (</w:t>
      </w:r>
      <w:hyperlink r:id="rId14" w:history="1">
        <w:r w:rsidR="00DB3E53" w:rsidRPr="00BF6446">
          <w:rPr>
            <w:rStyle w:val="Hyperlink"/>
            <w:sz w:val="20"/>
          </w:rPr>
          <w:t>40652</w:t>
        </w:r>
      </w:hyperlink>
      <w:r w:rsidR="00DB3E53" w:rsidRPr="00BF6446">
        <w:rPr>
          <w:sz w:val="20"/>
        </w:rPr>
        <w:t>)</w:t>
      </w:r>
    </w:p>
    <w:p w:rsidR="00DF16AC" w:rsidRPr="0091707B" w:rsidRDefault="00DF16AC" w:rsidP="00BF6446">
      <w:pPr>
        <w:ind w:left="357" w:hanging="357"/>
        <w:rPr>
          <w:sz w:val="20"/>
          <w:szCs w:val="24"/>
        </w:rPr>
      </w:pPr>
    </w:p>
    <w:p w:rsidR="00DF16AC" w:rsidRPr="00BF6446" w:rsidRDefault="00DF16AC" w:rsidP="00BF6446">
      <w:pPr>
        <w:pStyle w:val="ListParagraph"/>
        <w:numPr>
          <w:ilvl w:val="0"/>
          <w:numId w:val="14"/>
        </w:numPr>
        <w:ind w:left="357" w:hanging="357"/>
        <w:rPr>
          <w:sz w:val="20"/>
        </w:rPr>
      </w:pPr>
      <w:r w:rsidRPr="00BF6446">
        <w:rPr>
          <w:i/>
          <w:sz w:val="20"/>
        </w:rPr>
        <w:t xml:space="preserve">Jeremy Maddock, et al. v. Law Society of British Columbia, et al. </w:t>
      </w:r>
      <w:r w:rsidRPr="00BF6446">
        <w:rPr>
          <w:sz w:val="20"/>
        </w:rPr>
        <w:t>(B.C.) (Civil) (By Leave)</w:t>
      </w:r>
      <w:r w:rsidR="00DB3E53" w:rsidRPr="00BF6446">
        <w:rPr>
          <w:sz w:val="20"/>
        </w:rPr>
        <w:t xml:space="preserve"> (</w:t>
      </w:r>
      <w:hyperlink r:id="rId15" w:history="1">
        <w:r w:rsidR="00DB3E53" w:rsidRPr="00BF6446">
          <w:rPr>
            <w:rStyle w:val="Hyperlink"/>
            <w:sz w:val="20"/>
          </w:rPr>
          <w:t>40673</w:t>
        </w:r>
      </w:hyperlink>
      <w:r w:rsidR="00DB3E53" w:rsidRPr="00BF6446">
        <w:rPr>
          <w:sz w:val="20"/>
        </w:rPr>
        <w:t>)</w:t>
      </w:r>
    </w:p>
    <w:p w:rsidR="004C5DA5" w:rsidRPr="0091707B" w:rsidRDefault="004C5DA5" w:rsidP="00BF6446">
      <w:pPr>
        <w:ind w:left="357" w:hanging="357"/>
        <w:rPr>
          <w:sz w:val="20"/>
        </w:rPr>
      </w:pPr>
    </w:p>
    <w:p w:rsidR="004C5DA5" w:rsidRPr="00BF6446" w:rsidRDefault="004C5DA5" w:rsidP="00BF6446">
      <w:pPr>
        <w:pStyle w:val="ListParagraph"/>
        <w:numPr>
          <w:ilvl w:val="0"/>
          <w:numId w:val="14"/>
        </w:numPr>
        <w:ind w:left="357" w:hanging="357"/>
        <w:rPr>
          <w:sz w:val="20"/>
        </w:rPr>
      </w:pPr>
      <w:r w:rsidRPr="00BF6446">
        <w:rPr>
          <w:i/>
          <w:sz w:val="20"/>
        </w:rPr>
        <w:t>K.C. v. His Majesty the King</w:t>
      </w:r>
      <w:r w:rsidRPr="00BF6446">
        <w:rPr>
          <w:sz w:val="20"/>
        </w:rPr>
        <w:t xml:space="preserve"> (Que.) (Criminal) (By Leave) (</w:t>
      </w:r>
      <w:hyperlink r:id="rId16" w:history="1">
        <w:r w:rsidRPr="00BF6446">
          <w:rPr>
            <w:rStyle w:val="Hyperlink"/>
            <w:sz w:val="20"/>
          </w:rPr>
          <w:t>40572</w:t>
        </w:r>
      </w:hyperlink>
      <w:r w:rsidRPr="00BF6446">
        <w:rPr>
          <w:sz w:val="20"/>
        </w:rPr>
        <w:t>)</w:t>
      </w:r>
    </w:p>
    <w:p w:rsidR="004C5DA5" w:rsidRPr="0091707B" w:rsidRDefault="004C5DA5" w:rsidP="00BF6446">
      <w:pPr>
        <w:ind w:left="357" w:hanging="357"/>
        <w:rPr>
          <w:sz w:val="20"/>
        </w:rPr>
      </w:pPr>
    </w:p>
    <w:p w:rsidR="004C5DA5" w:rsidRPr="00BF6446" w:rsidRDefault="004C5DA5" w:rsidP="00BF6446">
      <w:pPr>
        <w:pStyle w:val="ListParagraph"/>
        <w:numPr>
          <w:ilvl w:val="0"/>
          <w:numId w:val="14"/>
        </w:numPr>
        <w:ind w:left="357" w:hanging="357"/>
        <w:rPr>
          <w:sz w:val="20"/>
        </w:rPr>
      </w:pPr>
      <w:r w:rsidRPr="00BF6446">
        <w:rPr>
          <w:i/>
          <w:sz w:val="20"/>
        </w:rPr>
        <w:t>Amacon Alaska Development Partnership v. ARC Digital Canada Corp</w:t>
      </w:r>
      <w:r w:rsidRPr="00BF6446">
        <w:rPr>
          <w:sz w:val="20"/>
        </w:rPr>
        <w:t>. (B.C.) (Civil) (By Leave) (</w:t>
      </w:r>
      <w:hyperlink r:id="rId17" w:history="1">
        <w:r w:rsidRPr="00BF6446">
          <w:rPr>
            <w:rStyle w:val="Hyperlink"/>
            <w:sz w:val="20"/>
          </w:rPr>
          <w:t>40650</w:t>
        </w:r>
      </w:hyperlink>
      <w:r w:rsidRPr="00BF6446">
        <w:rPr>
          <w:sz w:val="20"/>
        </w:rPr>
        <w:t>)</w:t>
      </w:r>
    </w:p>
    <w:p w:rsidR="002866D9" w:rsidRPr="0091707B" w:rsidRDefault="002866D9" w:rsidP="006A22CA">
      <w:pPr>
        <w:ind w:left="142" w:hanging="142"/>
        <w:jc w:val="both"/>
        <w:rPr>
          <w:sz w:val="20"/>
        </w:rPr>
      </w:pPr>
      <w:bookmarkStart w:id="0" w:name="_GoBack"/>
      <w:bookmarkEnd w:id="0"/>
    </w:p>
    <w:p w:rsidR="007F0348" w:rsidRPr="0091707B" w:rsidRDefault="00860B41" w:rsidP="006A22CA">
      <w:pPr>
        <w:ind w:left="142" w:hanging="142"/>
        <w:jc w:val="both"/>
        <w:rPr>
          <w:sz w:val="20"/>
        </w:rPr>
      </w:pPr>
      <w:r w:rsidRPr="0091707B">
        <w:rPr>
          <w:sz w:val="20"/>
        </w:rPr>
        <w:pict>
          <v:rect id="_x0000_i1026" style="width:2in;height:1pt" o:hrpct="0" o:hralign="center" o:hrstd="t" o:hrnoshade="t" o:hr="t" fillcolor="black [3213]" stroked="f"/>
        </w:pict>
      </w:r>
    </w:p>
    <w:p w:rsidR="00916D50" w:rsidRPr="0091707B" w:rsidRDefault="00916D50" w:rsidP="00F053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4668" w:rsidRPr="0091707B" w:rsidTr="00E95A6A">
        <w:tc>
          <w:tcPr>
            <w:tcW w:w="543" w:type="pct"/>
          </w:tcPr>
          <w:p w:rsidR="00A24668" w:rsidRPr="0091707B" w:rsidRDefault="00A24668" w:rsidP="00A24668">
            <w:pPr>
              <w:jc w:val="both"/>
              <w:rPr>
                <w:sz w:val="20"/>
              </w:rPr>
            </w:pPr>
            <w:r w:rsidRPr="0091707B">
              <w:rPr>
                <w:rStyle w:val="SCCFileNumberChar"/>
                <w:sz w:val="20"/>
                <w:szCs w:val="20"/>
              </w:rPr>
              <w:t>40640</w:t>
            </w:r>
          </w:p>
        </w:tc>
        <w:tc>
          <w:tcPr>
            <w:tcW w:w="4457" w:type="pct"/>
            <w:gridSpan w:val="3"/>
          </w:tcPr>
          <w:p w:rsidR="00A24668" w:rsidRPr="0091707B" w:rsidRDefault="00A24668" w:rsidP="00A24668">
            <w:pPr>
              <w:pStyle w:val="SCCLsocParty"/>
              <w:jc w:val="both"/>
              <w:rPr>
                <w:b/>
                <w:sz w:val="20"/>
                <w:szCs w:val="20"/>
                <w:lang w:val="en-US"/>
              </w:rPr>
            </w:pPr>
            <w:r w:rsidRPr="0091707B">
              <w:rPr>
                <w:b/>
                <w:sz w:val="20"/>
                <w:szCs w:val="20"/>
                <w:lang w:val="en-US"/>
              </w:rPr>
              <w:t>Hu Fang v. His Majesty the King</w:t>
            </w:r>
          </w:p>
          <w:p w:rsidR="00A24668" w:rsidRPr="0091707B" w:rsidRDefault="00A24668" w:rsidP="00A24668">
            <w:pPr>
              <w:jc w:val="both"/>
              <w:rPr>
                <w:sz w:val="20"/>
              </w:rPr>
            </w:pPr>
            <w:r w:rsidRPr="0091707B">
              <w:rPr>
                <w:sz w:val="20"/>
              </w:rPr>
              <w:t>(Que.) (Criminal) (By Leave)</w:t>
            </w:r>
          </w:p>
        </w:tc>
      </w:tr>
      <w:tr w:rsidR="00A24668" w:rsidRPr="0091707B" w:rsidTr="00E95A6A">
        <w:tc>
          <w:tcPr>
            <w:tcW w:w="5000" w:type="pct"/>
            <w:gridSpan w:val="4"/>
          </w:tcPr>
          <w:p w:rsidR="00A24668" w:rsidRPr="0091707B" w:rsidRDefault="00A24668" w:rsidP="00A24668">
            <w:pPr>
              <w:jc w:val="both"/>
              <w:rPr>
                <w:sz w:val="20"/>
              </w:rPr>
            </w:pPr>
            <w:r w:rsidRPr="0091707B">
              <w:rPr>
                <w:sz w:val="20"/>
              </w:rPr>
              <w:t xml:space="preserve">Appeals — Regulatory conviction — Whether courts erred in their decisions to dismiss appeal and deny leave to appeal — Whether application for leave to appeal raises issues of public importance — </w:t>
            </w:r>
            <w:r w:rsidRPr="0091707B">
              <w:rPr>
                <w:i/>
                <w:sz w:val="20"/>
              </w:rPr>
              <w:t>Act respecting the Réseau de transport métropolitain</w:t>
            </w:r>
            <w:r w:rsidRPr="0091707B">
              <w:rPr>
                <w:sz w:val="20"/>
              </w:rPr>
              <w:t>, C.Q.L.R., c. R-25.01.</w:t>
            </w:r>
          </w:p>
          <w:p w:rsidR="00A24668" w:rsidRPr="0091707B" w:rsidRDefault="00A24668" w:rsidP="00A24668">
            <w:pPr>
              <w:jc w:val="both"/>
              <w:rPr>
                <w:sz w:val="20"/>
              </w:rPr>
            </w:pPr>
          </w:p>
        </w:tc>
      </w:tr>
      <w:tr w:rsidR="00A24668" w:rsidRPr="0091707B" w:rsidTr="00E95A6A">
        <w:tc>
          <w:tcPr>
            <w:tcW w:w="5000" w:type="pct"/>
            <w:gridSpan w:val="4"/>
          </w:tcPr>
          <w:p w:rsidR="00A24668" w:rsidRPr="0091707B" w:rsidRDefault="00A24668" w:rsidP="00A24668">
            <w:pPr>
              <w:jc w:val="both"/>
              <w:rPr>
                <w:sz w:val="20"/>
              </w:rPr>
            </w:pPr>
            <w:r w:rsidRPr="0091707B">
              <w:rPr>
                <w:sz w:val="20"/>
              </w:rPr>
              <w:t xml:space="preserve">Mr. Fang received a statement of offence under the </w:t>
            </w:r>
            <w:r w:rsidRPr="0091707B">
              <w:rPr>
                <w:i/>
                <w:sz w:val="20"/>
              </w:rPr>
              <w:t>Act respecting the Réseau de transport métropolitain</w:t>
            </w:r>
            <w:r w:rsidRPr="0091707B">
              <w:rPr>
                <w:sz w:val="20"/>
              </w:rPr>
              <w:t>. He did not enter a plea and a court date was set, for which he was not present and was found guilty by default. The Court of Quebec dismissed the application for a revocation of judgment. The Superior Court of Quebec dismissed the appeal, ruling that it had no merit and was manifestly devoid of any chance of success. The Court of Appeal of Quebec refused to grant leave to appeal, as it found there was no true question of law.</w:t>
            </w:r>
          </w:p>
        </w:tc>
      </w:tr>
      <w:tr w:rsidR="00A24668" w:rsidRPr="0091707B" w:rsidTr="00E95A6A">
        <w:tc>
          <w:tcPr>
            <w:tcW w:w="5000" w:type="pct"/>
            <w:gridSpan w:val="4"/>
          </w:tcPr>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rPr>
            </w:pPr>
            <w:r w:rsidRPr="0091707B">
              <w:rPr>
                <w:sz w:val="20"/>
              </w:rPr>
              <w:t>August 23, 2022</w:t>
            </w:r>
          </w:p>
          <w:p w:rsidR="00A24668" w:rsidRPr="0091707B" w:rsidRDefault="00A24668" w:rsidP="00A24668">
            <w:pPr>
              <w:jc w:val="both"/>
              <w:rPr>
                <w:sz w:val="20"/>
              </w:rPr>
            </w:pPr>
            <w:r w:rsidRPr="0091707B">
              <w:rPr>
                <w:sz w:val="20"/>
              </w:rPr>
              <w:t>Superior Court of Quebec</w:t>
            </w:r>
          </w:p>
          <w:p w:rsidR="00A24668" w:rsidRPr="0091707B" w:rsidRDefault="00A24668" w:rsidP="00A24668">
            <w:pPr>
              <w:jc w:val="both"/>
              <w:rPr>
                <w:sz w:val="20"/>
              </w:rPr>
            </w:pPr>
            <w:r w:rsidRPr="0091707B">
              <w:rPr>
                <w:sz w:val="20"/>
              </w:rPr>
              <w:t>(Perreault J.)</w:t>
            </w:r>
          </w:p>
          <w:p w:rsidR="00A24668" w:rsidRPr="0091707B" w:rsidRDefault="00A24668" w:rsidP="00A24668">
            <w:pPr>
              <w:jc w:val="both"/>
              <w:rPr>
                <w:sz w:val="20"/>
              </w:rPr>
            </w:pPr>
            <w:hyperlink r:id="rId18" w:history="1">
              <w:r w:rsidRPr="0091707B">
                <w:rPr>
                  <w:rStyle w:val="Hyperlink"/>
                  <w:sz w:val="20"/>
                </w:rPr>
                <w:t>2022 QCCS 3352</w:t>
              </w:r>
            </w:hyperlink>
            <w:r w:rsidRPr="0091707B">
              <w:rPr>
                <w:sz w:val="20"/>
              </w:rPr>
              <w:t>, File No. 705-36-000931-228</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Appeal dismissed</w:t>
            </w:r>
          </w:p>
        </w:tc>
      </w:tr>
      <w:tr w:rsidR="00A24668" w:rsidRPr="0091707B" w:rsidTr="00E95A6A">
        <w:tc>
          <w:tcPr>
            <w:tcW w:w="2427" w:type="pct"/>
            <w:gridSpan w:val="2"/>
          </w:tcPr>
          <w:p w:rsidR="00A24668" w:rsidRPr="0091707B" w:rsidRDefault="00A24668" w:rsidP="00A24668">
            <w:pPr>
              <w:jc w:val="both"/>
              <w:rPr>
                <w:sz w:val="20"/>
              </w:rPr>
            </w:pPr>
            <w:r w:rsidRPr="0091707B">
              <w:rPr>
                <w:sz w:val="20"/>
              </w:rPr>
              <w:t>December 28, 2022</w:t>
            </w:r>
          </w:p>
          <w:p w:rsidR="00A24668" w:rsidRPr="0091707B" w:rsidRDefault="00A24668" w:rsidP="00A24668">
            <w:pPr>
              <w:jc w:val="both"/>
              <w:rPr>
                <w:sz w:val="20"/>
              </w:rPr>
            </w:pPr>
            <w:r w:rsidRPr="0091707B">
              <w:rPr>
                <w:sz w:val="20"/>
              </w:rPr>
              <w:t xml:space="preserve">Court of Appeal of Quebec (Montréal) </w:t>
            </w:r>
          </w:p>
          <w:p w:rsidR="00A24668" w:rsidRPr="0091707B" w:rsidRDefault="00A24668" w:rsidP="00A24668">
            <w:pPr>
              <w:jc w:val="both"/>
              <w:rPr>
                <w:sz w:val="20"/>
              </w:rPr>
            </w:pPr>
            <w:r w:rsidRPr="0091707B">
              <w:rPr>
                <w:sz w:val="20"/>
              </w:rPr>
              <w:t>(Mainville J.A.)</w:t>
            </w:r>
          </w:p>
          <w:p w:rsidR="00A24668" w:rsidRPr="0091707B" w:rsidRDefault="00A24668" w:rsidP="00A24668">
            <w:pPr>
              <w:jc w:val="both"/>
              <w:rPr>
                <w:sz w:val="20"/>
              </w:rPr>
            </w:pPr>
            <w:r w:rsidRPr="0091707B">
              <w:rPr>
                <w:sz w:val="20"/>
              </w:rPr>
              <w:t>File No. 500-10-007885-229 (unpublished)</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Application for leave to appeal dismissed</w:t>
            </w:r>
          </w:p>
        </w:tc>
      </w:tr>
      <w:tr w:rsidR="00A24668" w:rsidRPr="0091707B" w:rsidTr="00E95A6A">
        <w:tc>
          <w:tcPr>
            <w:tcW w:w="2427" w:type="pct"/>
            <w:gridSpan w:val="2"/>
          </w:tcPr>
          <w:p w:rsidR="00A24668" w:rsidRPr="0091707B" w:rsidRDefault="00A24668" w:rsidP="00A24668">
            <w:pPr>
              <w:jc w:val="both"/>
              <w:rPr>
                <w:sz w:val="20"/>
              </w:rPr>
            </w:pPr>
            <w:r w:rsidRPr="0091707B">
              <w:rPr>
                <w:sz w:val="20"/>
              </w:rPr>
              <w:t>February 21, 2023</w:t>
            </w:r>
          </w:p>
          <w:p w:rsidR="00A24668" w:rsidRPr="0091707B" w:rsidRDefault="00A24668" w:rsidP="00A24668">
            <w:pPr>
              <w:jc w:val="both"/>
              <w:rPr>
                <w:sz w:val="20"/>
              </w:rPr>
            </w:pPr>
            <w:r w:rsidRPr="0091707B">
              <w:rPr>
                <w:sz w:val="20"/>
              </w:rPr>
              <w:t>Supreme Court of Canada</w:t>
            </w: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Application for leave to appeal filed</w:t>
            </w:r>
          </w:p>
          <w:p w:rsidR="00A24668" w:rsidRPr="0091707B" w:rsidRDefault="00A24668" w:rsidP="00A24668">
            <w:pPr>
              <w:jc w:val="both"/>
              <w:rPr>
                <w:sz w:val="20"/>
              </w:rPr>
            </w:pPr>
          </w:p>
        </w:tc>
      </w:tr>
    </w:tbl>
    <w:p w:rsidR="00A24668" w:rsidRPr="0091707B" w:rsidRDefault="00A24668" w:rsidP="00A24668">
      <w:pPr>
        <w:jc w:val="both"/>
        <w:rPr>
          <w:sz w:val="20"/>
        </w:rPr>
      </w:pPr>
    </w:p>
    <w:p w:rsidR="00A24668" w:rsidRPr="0091707B" w:rsidRDefault="00A24668" w:rsidP="00A24668">
      <w:pPr>
        <w:jc w:val="both"/>
        <w:rPr>
          <w:sz w:val="20"/>
        </w:rPr>
      </w:pPr>
      <w:r w:rsidRPr="0091707B">
        <w:rPr>
          <w:sz w:val="20"/>
        </w:rPr>
        <w:pict>
          <v:rect id="_x0000_i1042" style="width:2in;height:1pt" o:hrpct="0" o:hralign="center" o:hrstd="t" o:hrnoshade="t" o:hr="t" fillcolor="black [3213]" stroked="f"/>
        </w:pict>
      </w:r>
    </w:p>
    <w:p w:rsidR="00A24668" w:rsidRPr="0091707B" w:rsidRDefault="00A24668" w:rsidP="00A2466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4668" w:rsidRPr="0091707B" w:rsidTr="00E95A6A">
        <w:tc>
          <w:tcPr>
            <w:tcW w:w="543" w:type="pct"/>
          </w:tcPr>
          <w:p w:rsidR="00A24668" w:rsidRPr="0091707B" w:rsidRDefault="00A24668" w:rsidP="00A24668">
            <w:pPr>
              <w:jc w:val="both"/>
              <w:rPr>
                <w:sz w:val="20"/>
              </w:rPr>
            </w:pPr>
            <w:r w:rsidRPr="0091707B">
              <w:rPr>
                <w:rStyle w:val="SCCFileNumberChar"/>
                <w:sz w:val="20"/>
                <w:szCs w:val="20"/>
              </w:rPr>
              <w:t>40640</w:t>
            </w:r>
          </w:p>
        </w:tc>
        <w:tc>
          <w:tcPr>
            <w:tcW w:w="4457" w:type="pct"/>
            <w:gridSpan w:val="3"/>
          </w:tcPr>
          <w:p w:rsidR="00A24668" w:rsidRPr="0091707B" w:rsidRDefault="00A24668" w:rsidP="00A24668">
            <w:pPr>
              <w:pStyle w:val="SCCLsocParty"/>
              <w:jc w:val="both"/>
              <w:rPr>
                <w:b/>
                <w:sz w:val="20"/>
                <w:szCs w:val="20"/>
              </w:rPr>
            </w:pPr>
            <w:r w:rsidRPr="0091707B">
              <w:rPr>
                <w:b/>
                <w:sz w:val="20"/>
                <w:szCs w:val="20"/>
              </w:rPr>
              <w:t>Hu Fang c. Sa Majesté le Roi</w:t>
            </w:r>
          </w:p>
          <w:p w:rsidR="00A24668" w:rsidRPr="0091707B" w:rsidRDefault="00A24668" w:rsidP="00A24668">
            <w:pPr>
              <w:jc w:val="both"/>
              <w:rPr>
                <w:sz w:val="20"/>
              </w:rPr>
            </w:pPr>
            <w:r w:rsidRPr="0091707B">
              <w:rPr>
                <w:sz w:val="20"/>
              </w:rPr>
              <w:t>(Qc) (Criminelle) (Autorisation)</w:t>
            </w:r>
          </w:p>
        </w:tc>
      </w:tr>
      <w:tr w:rsidR="00A24668" w:rsidRPr="0091707B" w:rsidTr="00E95A6A">
        <w:tc>
          <w:tcPr>
            <w:tcW w:w="5000" w:type="pct"/>
            <w:gridSpan w:val="4"/>
          </w:tcPr>
          <w:p w:rsidR="00A24668" w:rsidRPr="0091707B" w:rsidRDefault="00A24668" w:rsidP="00A24668">
            <w:pPr>
              <w:jc w:val="both"/>
              <w:rPr>
                <w:sz w:val="20"/>
                <w:lang w:val="fr-CA"/>
              </w:rPr>
            </w:pPr>
            <w:r w:rsidRPr="0091707B">
              <w:rPr>
                <w:sz w:val="20"/>
                <w:lang w:val="fr-CA"/>
              </w:rPr>
              <w:t xml:space="preserve">Appel — Déclaration de culpabilité en matière réglementaire — Les tribunaux ont-ils commis des erreurs dans leurs décisions de rejeter l'appel et de refuser l'autorisation d'appel? — La demande d'autorisation d'appel soulève-t-elle des questions d'importance pour le public? — </w:t>
            </w:r>
            <w:r w:rsidRPr="0091707B">
              <w:rPr>
                <w:i/>
                <w:sz w:val="20"/>
                <w:lang w:val="fr-CA"/>
              </w:rPr>
              <w:t>Loi sur le Réseau de transport métropolitain</w:t>
            </w:r>
            <w:r w:rsidRPr="0091707B">
              <w:rPr>
                <w:sz w:val="20"/>
                <w:lang w:val="fr-CA"/>
              </w:rPr>
              <w:t>, RLRQ, ch. R-25.01.</w:t>
            </w:r>
          </w:p>
          <w:p w:rsidR="00A24668" w:rsidRPr="0091707B" w:rsidRDefault="00A24668" w:rsidP="00A24668">
            <w:pPr>
              <w:jc w:val="both"/>
              <w:rPr>
                <w:sz w:val="20"/>
                <w:lang w:val="fr-CA"/>
              </w:rPr>
            </w:pPr>
          </w:p>
        </w:tc>
      </w:tr>
      <w:tr w:rsidR="00A24668" w:rsidRPr="0091707B" w:rsidTr="00E95A6A">
        <w:tc>
          <w:tcPr>
            <w:tcW w:w="5000" w:type="pct"/>
            <w:gridSpan w:val="4"/>
          </w:tcPr>
          <w:p w:rsidR="00A24668" w:rsidRPr="0091707B" w:rsidRDefault="00A24668" w:rsidP="00A24668">
            <w:pPr>
              <w:jc w:val="both"/>
              <w:rPr>
                <w:sz w:val="20"/>
                <w:lang w:val="fr-CA"/>
              </w:rPr>
            </w:pPr>
            <w:r w:rsidRPr="0091707B">
              <w:rPr>
                <w:sz w:val="20"/>
                <w:lang w:val="fr-CA"/>
              </w:rPr>
              <w:t xml:space="preserve">Monsieur Fang a reçu un constat d'infraction en vertu de la </w:t>
            </w:r>
            <w:r w:rsidRPr="0091707B">
              <w:rPr>
                <w:i/>
                <w:sz w:val="20"/>
                <w:lang w:val="fr-CA"/>
              </w:rPr>
              <w:t>Loi sur le Réseau de transport métropolitain</w:t>
            </w:r>
            <w:r w:rsidRPr="0091707B">
              <w:rPr>
                <w:sz w:val="20"/>
                <w:lang w:val="fr-CA"/>
              </w:rPr>
              <w:t>. Il n'a pas plaidé coupable et une date d'audience a été fixée, à laquelle il ne s'est pas présenté et a été déclaré coupable par défaut. La Cour du Québec a rejeté la demande de révocation du jugement. La Cour supérieure du Québec a rejeté l’appel, statuant qu'il n'était pas fondé et qu'il était manifestement dépourvu de toute chance de succès. La Cour d'appel du Québec a refusé d'accorder la permission d’appeler, estimant qu'il n'y avait pas de véritable question de droit.</w:t>
            </w:r>
          </w:p>
        </w:tc>
      </w:tr>
      <w:tr w:rsidR="00A24668" w:rsidRPr="0091707B" w:rsidTr="00E95A6A">
        <w:tc>
          <w:tcPr>
            <w:tcW w:w="5000" w:type="pct"/>
            <w:gridSpan w:val="4"/>
          </w:tcPr>
          <w:p w:rsidR="00A24668" w:rsidRPr="0091707B" w:rsidRDefault="00A24668" w:rsidP="00A24668">
            <w:pPr>
              <w:jc w:val="both"/>
              <w:rPr>
                <w:sz w:val="20"/>
                <w:lang w:val="fr-CA"/>
              </w:rPr>
            </w:pP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23 août 2022</w:t>
            </w:r>
          </w:p>
          <w:p w:rsidR="00A24668" w:rsidRPr="0091707B" w:rsidRDefault="00A24668" w:rsidP="00A24668">
            <w:pPr>
              <w:jc w:val="both"/>
              <w:rPr>
                <w:sz w:val="20"/>
                <w:lang w:val="fr-CA"/>
              </w:rPr>
            </w:pPr>
            <w:r w:rsidRPr="0091707B">
              <w:rPr>
                <w:sz w:val="20"/>
                <w:lang w:val="fr-CA"/>
              </w:rPr>
              <w:t>Cour supérieure du Québec</w:t>
            </w:r>
          </w:p>
          <w:p w:rsidR="00A24668" w:rsidRPr="0091707B" w:rsidRDefault="00A24668" w:rsidP="00A24668">
            <w:pPr>
              <w:jc w:val="both"/>
              <w:rPr>
                <w:sz w:val="20"/>
                <w:lang w:val="fr-CA"/>
              </w:rPr>
            </w:pPr>
            <w:r w:rsidRPr="0091707B">
              <w:rPr>
                <w:sz w:val="20"/>
                <w:lang w:val="fr-CA"/>
              </w:rPr>
              <w:t>(Juge Perreault)</w:t>
            </w:r>
          </w:p>
          <w:p w:rsidR="00A24668" w:rsidRPr="0091707B" w:rsidRDefault="00A24668" w:rsidP="00A24668">
            <w:pPr>
              <w:jc w:val="both"/>
              <w:rPr>
                <w:rStyle w:val="Hyperlink"/>
                <w:sz w:val="20"/>
              </w:rPr>
            </w:pPr>
            <w:hyperlink r:id="rId19" w:history="1">
              <w:r w:rsidRPr="0091707B">
                <w:rPr>
                  <w:rStyle w:val="Hyperlink"/>
                  <w:sz w:val="20"/>
                </w:rPr>
                <w:t>2022 QCCS 3352</w:t>
              </w:r>
            </w:hyperlink>
          </w:p>
          <w:p w:rsidR="00A24668" w:rsidRPr="0091707B" w:rsidRDefault="00A24668" w:rsidP="00A24668">
            <w:pPr>
              <w:jc w:val="both"/>
              <w:rPr>
                <w:sz w:val="20"/>
              </w:rPr>
            </w:pPr>
            <w:r w:rsidRPr="0091707B">
              <w:rPr>
                <w:sz w:val="20"/>
              </w:rPr>
              <w:t>Dossier n° 705-36-000931-228</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Rejet de l’appel</w:t>
            </w: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28 décembre 2022</w:t>
            </w:r>
          </w:p>
          <w:p w:rsidR="00A24668" w:rsidRPr="0091707B" w:rsidRDefault="00A24668" w:rsidP="00A24668">
            <w:pPr>
              <w:jc w:val="both"/>
              <w:rPr>
                <w:sz w:val="20"/>
                <w:lang w:val="fr-CA"/>
              </w:rPr>
            </w:pPr>
            <w:r w:rsidRPr="0091707B">
              <w:rPr>
                <w:sz w:val="20"/>
                <w:lang w:val="fr-CA"/>
              </w:rPr>
              <w:t xml:space="preserve">Cour d'appel du Québec (Montréal) </w:t>
            </w:r>
          </w:p>
          <w:p w:rsidR="00A24668" w:rsidRPr="0091707B" w:rsidRDefault="00A24668" w:rsidP="00A24668">
            <w:pPr>
              <w:jc w:val="both"/>
              <w:rPr>
                <w:sz w:val="20"/>
                <w:lang w:val="fr-CA"/>
              </w:rPr>
            </w:pPr>
            <w:r w:rsidRPr="0091707B">
              <w:rPr>
                <w:sz w:val="20"/>
                <w:lang w:val="fr-CA"/>
              </w:rPr>
              <w:t>(Juge Mainville)</w:t>
            </w:r>
          </w:p>
          <w:p w:rsidR="00A24668" w:rsidRPr="0091707B" w:rsidRDefault="00A24668" w:rsidP="00A24668">
            <w:pPr>
              <w:jc w:val="both"/>
              <w:rPr>
                <w:sz w:val="20"/>
                <w:lang w:val="fr-CA"/>
              </w:rPr>
            </w:pPr>
            <w:r w:rsidRPr="0091707B">
              <w:rPr>
                <w:sz w:val="20"/>
                <w:lang w:val="fr-CA"/>
              </w:rPr>
              <w:t>Dossier n° 500-10-007885-229 (non publié)</w:t>
            </w:r>
          </w:p>
          <w:p w:rsidR="00A24668" w:rsidRPr="0091707B" w:rsidRDefault="00A24668" w:rsidP="00A24668">
            <w:pPr>
              <w:jc w:val="both"/>
              <w:rPr>
                <w:sz w:val="20"/>
                <w:lang w:val="fr-CA"/>
              </w:rPr>
            </w:pPr>
          </w:p>
        </w:tc>
        <w:tc>
          <w:tcPr>
            <w:tcW w:w="243" w:type="pct"/>
          </w:tcPr>
          <w:p w:rsidR="00A24668" w:rsidRPr="0091707B" w:rsidRDefault="00A24668" w:rsidP="00A24668">
            <w:pPr>
              <w:jc w:val="both"/>
              <w:rPr>
                <w:sz w:val="20"/>
                <w:lang w:val="fr-CA"/>
              </w:rPr>
            </w:pPr>
          </w:p>
        </w:tc>
        <w:tc>
          <w:tcPr>
            <w:tcW w:w="2330" w:type="pct"/>
          </w:tcPr>
          <w:p w:rsidR="00A24668" w:rsidRPr="0091707B" w:rsidRDefault="00A24668" w:rsidP="00A24668">
            <w:pPr>
              <w:jc w:val="both"/>
              <w:rPr>
                <w:sz w:val="20"/>
                <w:lang w:val="fr-CA"/>
              </w:rPr>
            </w:pPr>
            <w:r w:rsidRPr="0091707B">
              <w:rPr>
                <w:sz w:val="20"/>
                <w:lang w:val="fr-CA"/>
              </w:rPr>
              <w:t>Rejet de la requête pour permission d’appeler</w:t>
            </w: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21 février 2023</w:t>
            </w:r>
          </w:p>
          <w:p w:rsidR="00A24668" w:rsidRPr="0091707B" w:rsidRDefault="00A24668" w:rsidP="00A24668">
            <w:pPr>
              <w:jc w:val="both"/>
              <w:rPr>
                <w:sz w:val="20"/>
                <w:lang w:val="fr-CA"/>
              </w:rPr>
            </w:pPr>
            <w:r w:rsidRPr="0091707B">
              <w:rPr>
                <w:sz w:val="20"/>
                <w:lang w:val="fr-CA"/>
              </w:rPr>
              <w:t>Cour suprême du Canada</w:t>
            </w:r>
          </w:p>
        </w:tc>
        <w:tc>
          <w:tcPr>
            <w:tcW w:w="243" w:type="pct"/>
          </w:tcPr>
          <w:p w:rsidR="00A24668" w:rsidRPr="0091707B" w:rsidRDefault="00A24668" w:rsidP="00A24668">
            <w:pPr>
              <w:jc w:val="both"/>
              <w:rPr>
                <w:sz w:val="20"/>
                <w:lang w:val="fr-CA"/>
              </w:rPr>
            </w:pPr>
          </w:p>
        </w:tc>
        <w:tc>
          <w:tcPr>
            <w:tcW w:w="2330" w:type="pct"/>
          </w:tcPr>
          <w:p w:rsidR="00A24668" w:rsidRPr="0091707B" w:rsidRDefault="00A24668" w:rsidP="00A24668">
            <w:pPr>
              <w:jc w:val="both"/>
              <w:rPr>
                <w:sz w:val="20"/>
                <w:lang w:val="fr-CA"/>
              </w:rPr>
            </w:pPr>
            <w:r w:rsidRPr="0091707B">
              <w:rPr>
                <w:sz w:val="20"/>
                <w:lang w:val="fr-CA"/>
              </w:rPr>
              <w:t>Dépôt de la demande d'autorisation d'appel</w:t>
            </w:r>
          </w:p>
          <w:p w:rsidR="00A24668" w:rsidRPr="0091707B" w:rsidRDefault="00A24668" w:rsidP="00A24668">
            <w:pPr>
              <w:jc w:val="both"/>
              <w:rPr>
                <w:sz w:val="20"/>
                <w:lang w:val="fr-CA"/>
              </w:rPr>
            </w:pPr>
          </w:p>
        </w:tc>
      </w:tr>
    </w:tbl>
    <w:p w:rsidR="00A24668" w:rsidRPr="0091707B" w:rsidRDefault="00A24668" w:rsidP="00A24668">
      <w:pPr>
        <w:jc w:val="both"/>
        <w:rPr>
          <w:sz w:val="20"/>
          <w:lang w:val="fr-CA"/>
        </w:rPr>
      </w:pPr>
    </w:p>
    <w:p w:rsidR="0091707B" w:rsidRPr="0091707B" w:rsidRDefault="0091707B" w:rsidP="00A24668">
      <w:pPr>
        <w:jc w:val="both"/>
        <w:rPr>
          <w:sz w:val="20"/>
          <w:lang w:val="fr-CA"/>
        </w:rPr>
      </w:pPr>
      <w:r w:rsidRPr="0091707B">
        <w:rPr>
          <w:sz w:val="20"/>
        </w:rPr>
        <w:pict>
          <v:rect id="_x0000_i1043" style="width:2in;height:1pt" o:hrpct="0" o:hralign="center" o:hrstd="t" o:hrnoshade="t" o:hr="t" fillcolor="black [3213]" stroked="f"/>
        </w:pict>
      </w:r>
    </w:p>
    <w:p w:rsidR="0091707B" w:rsidRPr="0091707B" w:rsidRDefault="0091707B" w:rsidP="00A2466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4668" w:rsidRPr="0091707B" w:rsidTr="00E95A6A">
        <w:tc>
          <w:tcPr>
            <w:tcW w:w="543" w:type="pct"/>
          </w:tcPr>
          <w:p w:rsidR="00A24668" w:rsidRPr="0091707B" w:rsidRDefault="00A24668" w:rsidP="00A24668">
            <w:pPr>
              <w:jc w:val="both"/>
              <w:rPr>
                <w:sz w:val="20"/>
              </w:rPr>
            </w:pPr>
            <w:r w:rsidRPr="0091707B">
              <w:rPr>
                <w:rStyle w:val="SCCFileNumberChar"/>
                <w:sz w:val="20"/>
                <w:szCs w:val="20"/>
              </w:rPr>
              <w:t>40699</w:t>
            </w:r>
          </w:p>
        </w:tc>
        <w:tc>
          <w:tcPr>
            <w:tcW w:w="4457" w:type="pct"/>
            <w:gridSpan w:val="3"/>
          </w:tcPr>
          <w:p w:rsidR="00A24668" w:rsidRPr="0091707B" w:rsidRDefault="00A24668" w:rsidP="00A24668">
            <w:pPr>
              <w:pStyle w:val="SCCLsocParty"/>
              <w:jc w:val="both"/>
              <w:rPr>
                <w:b/>
                <w:sz w:val="20"/>
                <w:szCs w:val="20"/>
                <w:lang w:val="en-US"/>
              </w:rPr>
            </w:pPr>
            <w:r w:rsidRPr="0091707B">
              <w:rPr>
                <w:b/>
                <w:sz w:val="20"/>
                <w:szCs w:val="20"/>
                <w:lang w:val="en-US"/>
              </w:rPr>
              <w:t>Jonathan Francis Silvanus Sylvester v. His Majesty the King</w:t>
            </w:r>
          </w:p>
          <w:p w:rsidR="00A24668" w:rsidRPr="0091707B" w:rsidRDefault="00A24668" w:rsidP="00A24668">
            <w:pPr>
              <w:jc w:val="both"/>
              <w:rPr>
                <w:sz w:val="20"/>
              </w:rPr>
            </w:pPr>
            <w:r w:rsidRPr="0091707B">
              <w:rPr>
                <w:sz w:val="20"/>
              </w:rPr>
              <w:t>(Alta.) (Criminal) (By Leave)</w:t>
            </w:r>
          </w:p>
        </w:tc>
      </w:tr>
      <w:tr w:rsidR="00A24668" w:rsidRPr="0091707B" w:rsidTr="00E95A6A">
        <w:tc>
          <w:tcPr>
            <w:tcW w:w="5000" w:type="pct"/>
            <w:gridSpan w:val="4"/>
          </w:tcPr>
          <w:p w:rsidR="00A24668" w:rsidRPr="0091707B" w:rsidRDefault="00A24668" w:rsidP="00A24668">
            <w:pPr>
              <w:jc w:val="both"/>
              <w:rPr>
                <w:sz w:val="20"/>
              </w:rPr>
            </w:pPr>
            <w:r w:rsidRPr="0091707B">
              <w:rPr>
                <w:sz w:val="20"/>
              </w:rPr>
              <w:t>Criminal law — Defences — Intoxication — Self-defence — Whether the trial judge erred by inferring intent from the deceased’s injury without considering any other evidence — Whether the lower courts erred in rejecting the applicant’s defences of intoxication and self-defence?</w:t>
            </w:r>
          </w:p>
          <w:p w:rsidR="00A24668" w:rsidRPr="0091707B" w:rsidRDefault="00A24668" w:rsidP="00A24668">
            <w:pPr>
              <w:jc w:val="both"/>
              <w:rPr>
                <w:sz w:val="20"/>
              </w:rPr>
            </w:pPr>
          </w:p>
        </w:tc>
      </w:tr>
      <w:tr w:rsidR="00A24668" w:rsidRPr="0091707B" w:rsidTr="00E95A6A">
        <w:tc>
          <w:tcPr>
            <w:tcW w:w="5000" w:type="pct"/>
            <w:gridSpan w:val="4"/>
          </w:tcPr>
          <w:p w:rsidR="00A24668" w:rsidRPr="0091707B" w:rsidRDefault="00A24668" w:rsidP="00A24668">
            <w:pPr>
              <w:jc w:val="both"/>
              <w:rPr>
                <w:sz w:val="20"/>
              </w:rPr>
            </w:pPr>
            <w:r w:rsidRPr="0091707B">
              <w:rPr>
                <w:color w:val="000000"/>
                <w:sz w:val="20"/>
              </w:rPr>
              <w:t>The deceased, the applicant, and a number of other individuals lived together in a one-bedroom apartment in Calgary. They were all regular users of drugs and alcohol. There was discord among them which included the deceased injuring two of the roommates. The main issue at trial was the identity of the person who struck and killed the deceased with the machete.</w:t>
            </w:r>
            <w:r w:rsidRPr="0091707B">
              <w:rPr>
                <w:sz w:val="20"/>
              </w:rPr>
              <w:t xml:space="preserve"> </w:t>
            </w:r>
            <w:r w:rsidRPr="0091707B">
              <w:rPr>
                <w:color w:val="000000"/>
                <w:sz w:val="20"/>
              </w:rPr>
              <w:t xml:space="preserve">The applicant testified that it was another person who did it, and that other person testified that it was the applicant who did it. </w:t>
            </w:r>
            <w:r w:rsidRPr="0091707B">
              <w:rPr>
                <w:sz w:val="20"/>
              </w:rPr>
              <w:t>The applicant was convicted of second degree murder, and his conviction appeal was dismissed.</w:t>
            </w:r>
          </w:p>
        </w:tc>
      </w:tr>
      <w:tr w:rsidR="00A24668" w:rsidRPr="0091707B" w:rsidTr="00E95A6A">
        <w:tc>
          <w:tcPr>
            <w:tcW w:w="5000" w:type="pct"/>
            <w:gridSpan w:val="4"/>
          </w:tcPr>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rPr>
            </w:pPr>
            <w:r w:rsidRPr="0091707B">
              <w:rPr>
                <w:sz w:val="20"/>
              </w:rPr>
              <w:t>January 14, 2020</w:t>
            </w:r>
          </w:p>
          <w:p w:rsidR="00A24668" w:rsidRPr="0091707B" w:rsidRDefault="00A24668" w:rsidP="00A24668">
            <w:pPr>
              <w:jc w:val="both"/>
              <w:rPr>
                <w:sz w:val="20"/>
              </w:rPr>
            </w:pPr>
            <w:r w:rsidRPr="0091707B">
              <w:rPr>
                <w:sz w:val="20"/>
              </w:rPr>
              <w:t xml:space="preserve">Court of Queen’s Bench of Alberta </w:t>
            </w:r>
          </w:p>
          <w:p w:rsidR="00A24668" w:rsidRPr="0091707B" w:rsidRDefault="00A24668" w:rsidP="00A24668">
            <w:pPr>
              <w:jc w:val="both"/>
              <w:rPr>
                <w:sz w:val="20"/>
              </w:rPr>
            </w:pPr>
            <w:r w:rsidRPr="0091707B">
              <w:rPr>
                <w:sz w:val="20"/>
              </w:rPr>
              <w:t>(Yamauchi J.)</w:t>
            </w:r>
          </w:p>
          <w:p w:rsidR="00A24668" w:rsidRPr="0091707B" w:rsidRDefault="00A24668" w:rsidP="00A24668">
            <w:pPr>
              <w:jc w:val="both"/>
              <w:rPr>
                <w:sz w:val="20"/>
              </w:rPr>
            </w:pPr>
            <w:hyperlink r:id="rId20" w:history="1">
              <w:r w:rsidRPr="0091707B">
                <w:rPr>
                  <w:rStyle w:val="Hyperlink"/>
                  <w:sz w:val="20"/>
                </w:rPr>
                <w:t>2020 ABQB 27</w:t>
              </w:r>
            </w:hyperlink>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Conviction entered: second degree murder</w:t>
            </w:r>
          </w:p>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rPr>
            </w:pPr>
            <w:r w:rsidRPr="0091707B">
              <w:rPr>
                <w:sz w:val="20"/>
              </w:rPr>
              <w:t>September 23, 2021</w:t>
            </w:r>
          </w:p>
          <w:p w:rsidR="00A24668" w:rsidRPr="0091707B" w:rsidRDefault="00A24668" w:rsidP="00A24668">
            <w:pPr>
              <w:jc w:val="both"/>
              <w:rPr>
                <w:sz w:val="20"/>
              </w:rPr>
            </w:pPr>
            <w:r w:rsidRPr="0091707B">
              <w:rPr>
                <w:sz w:val="20"/>
              </w:rPr>
              <w:t>Court of Appeal of Alberta (Calgary)</w:t>
            </w:r>
          </w:p>
          <w:p w:rsidR="00A24668" w:rsidRPr="0091707B" w:rsidRDefault="00A24668" w:rsidP="00A24668">
            <w:pPr>
              <w:jc w:val="both"/>
              <w:rPr>
                <w:sz w:val="20"/>
              </w:rPr>
            </w:pPr>
            <w:r w:rsidRPr="0091707B">
              <w:rPr>
                <w:sz w:val="20"/>
              </w:rPr>
              <w:t>(O’Ferrall, Wakeling and Schutz JJ.A.)</w:t>
            </w:r>
          </w:p>
          <w:p w:rsidR="00A24668" w:rsidRPr="0091707B" w:rsidRDefault="00A24668" w:rsidP="00A24668">
            <w:pPr>
              <w:jc w:val="both"/>
              <w:rPr>
                <w:sz w:val="20"/>
              </w:rPr>
            </w:pPr>
            <w:hyperlink r:id="rId21" w:history="1">
              <w:r w:rsidRPr="0091707B">
                <w:rPr>
                  <w:rStyle w:val="Hyperlink"/>
                  <w:sz w:val="20"/>
                </w:rPr>
                <w:t>2021 ABCA 312</w:t>
              </w:r>
            </w:hyperlink>
            <w:r w:rsidRPr="0091707B">
              <w:rPr>
                <w:rStyle w:val="Hyperlink"/>
                <w:sz w:val="20"/>
              </w:rPr>
              <w:t xml:space="preserve">; </w:t>
            </w:r>
            <w:r w:rsidRPr="0091707B">
              <w:rPr>
                <w:sz w:val="20"/>
              </w:rPr>
              <w:t>2001-0093A</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Appeal dismissed</w:t>
            </w:r>
          </w:p>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rPr>
            </w:pPr>
            <w:r w:rsidRPr="0091707B">
              <w:rPr>
                <w:sz w:val="20"/>
              </w:rPr>
              <w:t>May 1, 2023</w:t>
            </w:r>
          </w:p>
          <w:p w:rsidR="00A24668" w:rsidRPr="0091707B" w:rsidRDefault="00A24668" w:rsidP="00A24668">
            <w:pPr>
              <w:jc w:val="both"/>
              <w:rPr>
                <w:sz w:val="20"/>
              </w:rPr>
            </w:pPr>
            <w:r w:rsidRPr="0091707B">
              <w:rPr>
                <w:sz w:val="20"/>
              </w:rPr>
              <w:t>Supreme Court of Canada</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Motion for an extension of time to serve and file the application for leave to appeal and application for leave to appeal filed</w:t>
            </w:r>
          </w:p>
        </w:tc>
      </w:tr>
    </w:tbl>
    <w:p w:rsidR="00A24668" w:rsidRPr="0091707B" w:rsidRDefault="00A24668" w:rsidP="00A24668">
      <w:pPr>
        <w:jc w:val="both"/>
        <w:rPr>
          <w:sz w:val="20"/>
        </w:rPr>
      </w:pPr>
    </w:p>
    <w:p w:rsidR="0091707B" w:rsidRPr="0091707B" w:rsidRDefault="0091707B" w:rsidP="00A24668">
      <w:pPr>
        <w:jc w:val="both"/>
        <w:rPr>
          <w:sz w:val="20"/>
        </w:rPr>
      </w:pPr>
      <w:r w:rsidRPr="0091707B">
        <w:rPr>
          <w:sz w:val="20"/>
        </w:rPr>
        <w:pict>
          <v:rect id="_x0000_i1044" style="width:2in;height:1pt" o:hrpct="0" o:hralign="center" o:hrstd="t" o:hrnoshade="t" o:hr="t" fillcolor="black [3213]" stroked="f"/>
        </w:pict>
      </w:r>
    </w:p>
    <w:p w:rsidR="0091707B" w:rsidRPr="0091707B" w:rsidRDefault="0091707B" w:rsidP="00A2466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4668" w:rsidRPr="0091707B" w:rsidTr="00E95A6A">
        <w:tc>
          <w:tcPr>
            <w:tcW w:w="543" w:type="pct"/>
          </w:tcPr>
          <w:p w:rsidR="00A24668" w:rsidRPr="0091707B" w:rsidRDefault="00A24668" w:rsidP="00A24668">
            <w:pPr>
              <w:jc w:val="both"/>
              <w:rPr>
                <w:sz w:val="20"/>
              </w:rPr>
            </w:pPr>
            <w:r w:rsidRPr="0091707B">
              <w:rPr>
                <w:rStyle w:val="SCCFileNumberChar"/>
                <w:sz w:val="20"/>
                <w:szCs w:val="20"/>
              </w:rPr>
              <w:t>40699</w:t>
            </w:r>
          </w:p>
        </w:tc>
        <w:tc>
          <w:tcPr>
            <w:tcW w:w="4457" w:type="pct"/>
            <w:gridSpan w:val="3"/>
          </w:tcPr>
          <w:p w:rsidR="00A24668" w:rsidRPr="0091707B" w:rsidRDefault="00A24668" w:rsidP="00A24668">
            <w:pPr>
              <w:pStyle w:val="SCCLsocParty"/>
              <w:jc w:val="both"/>
              <w:rPr>
                <w:b/>
                <w:sz w:val="20"/>
                <w:szCs w:val="20"/>
              </w:rPr>
            </w:pPr>
            <w:r w:rsidRPr="0091707B">
              <w:rPr>
                <w:b/>
                <w:sz w:val="20"/>
                <w:szCs w:val="20"/>
              </w:rPr>
              <w:t>Jonathan Francis Silvanus Sylvester c. Sa Majesté le Roi</w:t>
            </w:r>
          </w:p>
          <w:p w:rsidR="00A24668" w:rsidRPr="0091707B" w:rsidRDefault="00A24668" w:rsidP="00A24668">
            <w:pPr>
              <w:jc w:val="both"/>
              <w:rPr>
                <w:sz w:val="20"/>
              </w:rPr>
            </w:pPr>
            <w:r w:rsidRPr="0091707B">
              <w:rPr>
                <w:sz w:val="20"/>
              </w:rPr>
              <w:t>(Alb.) (Criminelle) (Autorisation)</w:t>
            </w:r>
          </w:p>
        </w:tc>
      </w:tr>
      <w:tr w:rsidR="00A24668" w:rsidRPr="0091707B" w:rsidTr="00E95A6A">
        <w:tc>
          <w:tcPr>
            <w:tcW w:w="5000" w:type="pct"/>
            <w:gridSpan w:val="4"/>
          </w:tcPr>
          <w:p w:rsidR="00A24668" w:rsidRPr="0091707B" w:rsidRDefault="00A24668" w:rsidP="00A24668">
            <w:pPr>
              <w:jc w:val="both"/>
              <w:rPr>
                <w:sz w:val="20"/>
                <w:lang w:val="fr-CA"/>
              </w:rPr>
            </w:pPr>
            <w:r w:rsidRPr="0091707B">
              <w:rPr>
                <w:sz w:val="20"/>
                <w:lang w:val="fr-CA"/>
              </w:rPr>
              <w:t>Droit criminel — Moyens de défense — Intoxication — Légitime défense — Le juge du procès a-t-il commis une erreur en inférant l'intention sur le fondement de la blessure du défunt sans tenir compte d'autres éléments de preuve? — Les juridictions inférieures ont-elles commis une erreur en rejetant les moyens de défense invoqués par le demandeur, soit l'intoxication et la légitime défense?</w:t>
            </w:r>
          </w:p>
          <w:p w:rsidR="00A24668" w:rsidRPr="0091707B" w:rsidRDefault="00A24668" w:rsidP="00A24668">
            <w:pPr>
              <w:jc w:val="both"/>
              <w:rPr>
                <w:sz w:val="20"/>
                <w:lang w:val="fr-CA"/>
              </w:rPr>
            </w:pPr>
          </w:p>
        </w:tc>
      </w:tr>
      <w:tr w:rsidR="00A24668" w:rsidRPr="0091707B" w:rsidTr="00E95A6A">
        <w:tc>
          <w:tcPr>
            <w:tcW w:w="5000" w:type="pct"/>
            <w:gridSpan w:val="4"/>
          </w:tcPr>
          <w:p w:rsidR="00A24668" w:rsidRPr="0091707B" w:rsidRDefault="00A24668" w:rsidP="00A24668">
            <w:pPr>
              <w:jc w:val="both"/>
              <w:rPr>
                <w:sz w:val="20"/>
                <w:lang w:val="fr-CA"/>
              </w:rPr>
            </w:pPr>
            <w:r w:rsidRPr="0091707B">
              <w:rPr>
                <w:color w:val="000000"/>
                <w:sz w:val="20"/>
                <w:lang w:val="fr-CA"/>
              </w:rPr>
              <w:t>Le défunt, le demandeur et quelques autres personnes vivaient ensemble dans un appartement d'une chambre à coucher à Calgary. Ils étaient tous des consommateurs réguliers de drogues et d'alcool. Il y avait de la discorde entre eux et le défunt a blessé deux de ses colocataires. La principale question litigieuse au procès était l'identité de la personne qui avait frappé et tué le défunt avec la machette.</w:t>
            </w:r>
            <w:r w:rsidRPr="0091707B">
              <w:rPr>
                <w:sz w:val="20"/>
                <w:lang w:val="fr-CA"/>
              </w:rPr>
              <w:t xml:space="preserve"> </w:t>
            </w:r>
            <w:r w:rsidRPr="0091707B">
              <w:rPr>
                <w:color w:val="000000"/>
                <w:sz w:val="20"/>
                <w:lang w:val="fr-CA"/>
              </w:rPr>
              <w:t xml:space="preserve">Dans son témoignage, le demandeur a affirmé que c'était une autre personne qui l'avait fait, et cette autre personne, dans son témoignage, a déclaré que c'était le demandeur qui l'avait fait. </w:t>
            </w:r>
            <w:r w:rsidRPr="0091707B">
              <w:rPr>
                <w:sz w:val="20"/>
                <w:lang w:val="fr-CA"/>
              </w:rPr>
              <w:t>Le demandeur a été déclaré coupable de meurtre au deuxième degré et son appel de la déclaration de culpabilité a été rejeté.</w:t>
            </w:r>
          </w:p>
        </w:tc>
      </w:tr>
      <w:tr w:rsidR="00A24668" w:rsidRPr="0091707B" w:rsidTr="00E95A6A">
        <w:tc>
          <w:tcPr>
            <w:tcW w:w="5000" w:type="pct"/>
            <w:gridSpan w:val="4"/>
          </w:tcPr>
          <w:p w:rsidR="00A24668" w:rsidRPr="0091707B" w:rsidRDefault="00A24668" w:rsidP="00A24668">
            <w:pPr>
              <w:jc w:val="both"/>
              <w:rPr>
                <w:sz w:val="20"/>
                <w:lang w:val="fr-CA"/>
              </w:rPr>
            </w:pP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14 janvier 2020</w:t>
            </w:r>
          </w:p>
          <w:p w:rsidR="00A24668" w:rsidRPr="0091707B" w:rsidRDefault="00A24668" w:rsidP="00A24668">
            <w:pPr>
              <w:jc w:val="both"/>
              <w:rPr>
                <w:sz w:val="20"/>
                <w:lang w:val="fr-CA"/>
              </w:rPr>
            </w:pPr>
            <w:r w:rsidRPr="0091707B">
              <w:rPr>
                <w:sz w:val="20"/>
                <w:lang w:val="fr-CA"/>
              </w:rPr>
              <w:t xml:space="preserve">Cour du Banc de la Reine de l’Alberta </w:t>
            </w:r>
          </w:p>
          <w:p w:rsidR="00A24668" w:rsidRPr="0091707B" w:rsidRDefault="00A24668" w:rsidP="00A24668">
            <w:pPr>
              <w:jc w:val="both"/>
              <w:rPr>
                <w:sz w:val="20"/>
              </w:rPr>
            </w:pPr>
            <w:r w:rsidRPr="0091707B">
              <w:rPr>
                <w:sz w:val="20"/>
              </w:rPr>
              <w:t>(Juge Yamauchi)</w:t>
            </w:r>
          </w:p>
          <w:p w:rsidR="00A24668" w:rsidRPr="0091707B" w:rsidRDefault="00A24668" w:rsidP="00A24668">
            <w:pPr>
              <w:jc w:val="both"/>
              <w:rPr>
                <w:sz w:val="20"/>
              </w:rPr>
            </w:pPr>
            <w:hyperlink r:id="rId22" w:history="1">
              <w:r w:rsidRPr="0091707B">
                <w:rPr>
                  <w:rStyle w:val="Hyperlink"/>
                  <w:sz w:val="20"/>
                </w:rPr>
                <w:t>2020 ACNL 27</w:t>
              </w:r>
            </w:hyperlink>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lang w:val="fr-CA"/>
              </w:rPr>
            </w:pPr>
            <w:r w:rsidRPr="0091707B">
              <w:rPr>
                <w:sz w:val="20"/>
                <w:lang w:val="fr-CA"/>
              </w:rPr>
              <w:t>Déclaration de culpabilité : meurtre au deuxième degré</w:t>
            </w:r>
          </w:p>
          <w:p w:rsidR="00A24668" w:rsidRPr="0091707B" w:rsidRDefault="00A24668" w:rsidP="00A24668">
            <w:pPr>
              <w:jc w:val="both"/>
              <w:rPr>
                <w:sz w:val="20"/>
                <w:lang w:val="fr-CA"/>
              </w:rPr>
            </w:pP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23 septembre 2021</w:t>
            </w:r>
          </w:p>
          <w:p w:rsidR="00A24668" w:rsidRPr="0091707B" w:rsidRDefault="00A24668" w:rsidP="00A24668">
            <w:pPr>
              <w:jc w:val="both"/>
              <w:rPr>
                <w:sz w:val="20"/>
                <w:lang w:val="fr-CA"/>
              </w:rPr>
            </w:pPr>
            <w:r w:rsidRPr="0091707B">
              <w:rPr>
                <w:sz w:val="20"/>
                <w:lang w:val="fr-CA"/>
              </w:rPr>
              <w:t>Cour d'appel de l’Alberta (Calgary)</w:t>
            </w:r>
          </w:p>
          <w:p w:rsidR="00A24668" w:rsidRPr="0091707B" w:rsidRDefault="00A24668" w:rsidP="00A24668">
            <w:pPr>
              <w:jc w:val="both"/>
              <w:rPr>
                <w:sz w:val="20"/>
              </w:rPr>
            </w:pPr>
            <w:r w:rsidRPr="0091707B">
              <w:rPr>
                <w:sz w:val="20"/>
              </w:rPr>
              <w:t>(Juges O'Ferrall, Wakeling et Schutz)</w:t>
            </w:r>
          </w:p>
          <w:p w:rsidR="00A24668" w:rsidRPr="0091707B" w:rsidRDefault="00A24668" w:rsidP="00A24668">
            <w:pPr>
              <w:jc w:val="both"/>
              <w:rPr>
                <w:sz w:val="20"/>
              </w:rPr>
            </w:pPr>
            <w:hyperlink r:id="rId23" w:history="1">
              <w:r w:rsidRPr="0091707B">
                <w:rPr>
                  <w:rStyle w:val="Hyperlink"/>
                  <w:sz w:val="20"/>
                </w:rPr>
                <w:t>2021 ABCA 312</w:t>
              </w:r>
            </w:hyperlink>
            <w:r w:rsidRPr="0091707B">
              <w:rPr>
                <w:rStyle w:val="Hyperlink"/>
                <w:sz w:val="20"/>
              </w:rPr>
              <w:t>;</w:t>
            </w:r>
            <w:r w:rsidRPr="0091707B">
              <w:rPr>
                <w:sz w:val="20"/>
              </w:rPr>
              <w:t xml:space="preserve"> 2001-0093A</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Rejet de l’appel</w:t>
            </w:r>
          </w:p>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1</w:t>
            </w:r>
            <w:r w:rsidRPr="0091707B">
              <w:rPr>
                <w:sz w:val="20"/>
                <w:vertAlign w:val="superscript"/>
                <w:lang w:val="fr-CA"/>
              </w:rPr>
              <w:t>er</w:t>
            </w:r>
            <w:r w:rsidRPr="0091707B">
              <w:rPr>
                <w:sz w:val="20"/>
                <w:lang w:val="fr-CA"/>
              </w:rPr>
              <w:t xml:space="preserve"> mai 2023</w:t>
            </w:r>
          </w:p>
          <w:p w:rsidR="00A24668" w:rsidRPr="0091707B" w:rsidRDefault="00A24668" w:rsidP="00A24668">
            <w:pPr>
              <w:jc w:val="both"/>
              <w:rPr>
                <w:sz w:val="20"/>
                <w:lang w:val="fr-CA"/>
              </w:rPr>
            </w:pPr>
            <w:r w:rsidRPr="0091707B">
              <w:rPr>
                <w:sz w:val="20"/>
                <w:lang w:val="fr-CA"/>
              </w:rPr>
              <w:t>Cour suprême du Canada</w:t>
            </w:r>
          </w:p>
          <w:p w:rsidR="00A24668" w:rsidRPr="0091707B" w:rsidRDefault="00A24668" w:rsidP="00A24668">
            <w:pPr>
              <w:jc w:val="both"/>
              <w:rPr>
                <w:sz w:val="20"/>
                <w:lang w:val="fr-CA"/>
              </w:rPr>
            </w:pPr>
          </w:p>
        </w:tc>
        <w:tc>
          <w:tcPr>
            <w:tcW w:w="243" w:type="pct"/>
          </w:tcPr>
          <w:p w:rsidR="00A24668" w:rsidRPr="0091707B" w:rsidRDefault="00A24668" w:rsidP="00A24668">
            <w:pPr>
              <w:jc w:val="both"/>
              <w:rPr>
                <w:sz w:val="20"/>
                <w:lang w:val="fr-CA"/>
              </w:rPr>
            </w:pPr>
          </w:p>
        </w:tc>
        <w:tc>
          <w:tcPr>
            <w:tcW w:w="2330" w:type="pct"/>
          </w:tcPr>
          <w:p w:rsidR="00A24668" w:rsidRPr="0091707B" w:rsidRDefault="00A24668" w:rsidP="00A24668">
            <w:pPr>
              <w:jc w:val="both"/>
              <w:rPr>
                <w:sz w:val="20"/>
                <w:lang w:val="fr-CA"/>
              </w:rPr>
            </w:pPr>
            <w:r w:rsidRPr="0091707B">
              <w:rPr>
                <w:sz w:val="20"/>
                <w:lang w:val="fr-CA"/>
              </w:rPr>
              <w:t>Dépôt de la requête en prorogation du délai de signification et de dépôt de la demande d'autorisation d'appel et de la demande d'autorisation d'appel</w:t>
            </w:r>
          </w:p>
        </w:tc>
      </w:tr>
    </w:tbl>
    <w:p w:rsidR="00A24668" w:rsidRPr="0091707B" w:rsidRDefault="00A24668" w:rsidP="00A24668">
      <w:pPr>
        <w:jc w:val="both"/>
        <w:rPr>
          <w:sz w:val="20"/>
          <w:lang w:val="fr-CA"/>
        </w:rPr>
      </w:pPr>
    </w:p>
    <w:p w:rsidR="0091707B" w:rsidRPr="0091707B" w:rsidRDefault="0091707B" w:rsidP="00A24668">
      <w:pPr>
        <w:jc w:val="both"/>
        <w:rPr>
          <w:sz w:val="20"/>
          <w:lang w:val="fr-CA"/>
        </w:rPr>
      </w:pPr>
      <w:r w:rsidRPr="0091707B">
        <w:rPr>
          <w:sz w:val="20"/>
        </w:rPr>
        <w:pict>
          <v:rect id="_x0000_i1045" style="width:2in;height:1pt" o:hrpct="0" o:hralign="center" o:hrstd="t" o:hrnoshade="t" o:hr="t" fillcolor="black [3213]" stroked="f"/>
        </w:pict>
      </w:r>
    </w:p>
    <w:p w:rsidR="0091707B" w:rsidRPr="0091707B" w:rsidRDefault="0091707B" w:rsidP="00A2466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4668" w:rsidRPr="0091707B" w:rsidTr="00E95A6A">
        <w:tc>
          <w:tcPr>
            <w:tcW w:w="543" w:type="pct"/>
          </w:tcPr>
          <w:p w:rsidR="00A24668" w:rsidRPr="0091707B" w:rsidRDefault="00A24668" w:rsidP="00A24668">
            <w:pPr>
              <w:jc w:val="both"/>
              <w:rPr>
                <w:sz w:val="20"/>
              </w:rPr>
            </w:pPr>
            <w:r w:rsidRPr="0091707B">
              <w:rPr>
                <w:rStyle w:val="SCCFileNumberChar"/>
                <w:sz w:val="20"/>
                <w:szCs w:val="20"/>
              </w:rPr>
              <w:t>40658</w:t>
            </w:r>
          </w:p>
        </w:tc>
        <w:tc>
          <w:tcPr>
            <w:tcW w:w="4457" w:type="pct"/>
            <w:gridSpan w:val="3"/>
          </w:tcPr>
          <w:p w:rsidR="00A24668" w:rsidRPr="0091707B" w:rsidRDefault="00A24668" w:rsidP="00A24668">
            <w:pPr>
              <w:pStyle w:val="SCCLsocParty"/>
              <w:jc w:val="both"/>
              <w:rPr>
                <w:b/>
                <w:sz w:val="20"/>
                <w:szCs w:val="20"/>
                <w:lang w:val="en-US"/>
              </w:rPr>
            </w:pPr>
            <w:r w:rsidRPr="0091707B">
              <w:rPr>
                <w:b/>
                <w:sz w:val="20"/>
                <w:szCs w:val="20"/>
                <w:lang w:val="en-US"/>
              </w:rPr>
              <w:t>Ryan Lewis v. Attorney General of Canada</w:t>
            </w:r>
          </w:p>
          <w:p w:rsidR="00A24668" w:rsidRPr="0091707B" w:rsidRDefault="00A24668" w:rsidP="00A24668">
            <w:pPr>
              <w:jc w:val="both"/>
              <w:rPr>
                <w:sz w:val="20"/>
              </w:rPr>
            </w:pPr>
            <w:r w:rsidRPr="0091707B">
              <w:rPr>
                <w:sz w:val="20"/>
              </w:rPr>
              <w:t>(Fed.) (Civil) (By Leave)</w:t>
            </w:r>
          </w:p>
        </w:tc>
      </w:tr>
      <w:tr w:rsidR="00A24668" w:rsidRPr="0091707B" w:rsidTr="00E95A6A">
        <w:tc>
          <w:tcPr>
            <w:tcW w:w="5000" w:type="pct"/>
            <w:gridSpan w:val="4"/>
          </w:tcPr>
          <w:p w:rsidR="00A24668" w:rsidRPr="0091707B" w:rsidRDefault="00A24668" w:rsidP="00A24668">
            <w:pPr>
              <w:jc w:val="both"/>
              <w:rPr>
                <w:sz w:val="20"/>
              </w:rPr>
            </w:pPr>
            <w:r w:rsidRPr="0091707B">
              <w:rPr>
                <w:sz w:val="20"/>
              </w:rPr>
              <w:t xml:space="preserve">Administrative law — Boards and tribunals — Regulatory boards — Judicial review — Standard of review — Harassment complaint brought against RCMP officer — How should reviewing courts apply </w:t>
            </w:r>
            <w:r w:rsidRPr="0091707B">
              <w:rPr>
                <w:i/>
                <w:sz w:val="20"/>
              </w:rPr>
              <w:t xml:space="preserve">Vavilov </w:t>
            </w:r>
            <w:r w:rsidRPr="0091707B">
              <w:rPr>
                <w:sz w:val="20"/>
              </w:rPr>
              <w:t>framework where an administrative tribunal has set its own, highly deferential, standard of review — What constitutes reasonable interpretation of test for single incident harassment.</w:t>
            </w:r>
          </w:p>
        </w:tc>
      </w:tr>
      <w:tr w:rsidR="00A24668" w:rsidRPr="0091707B" w:rsidTr="00E95A6A">
        <w:tc>
          <w:tcPr>
            <w:tcW w:w="5000" w:type="pct"/>
            <w:gridSpan w:val="4"/>
          </w:tcPr>
          <w:p w:rsidR="00A24668" w:rsidRPr="0091707B" w:rsidRDefault="00A24668" w:rsidP="00A24668">
            <w:pPr>
              <w:jc w:val="both"/>
              <w:rPr>
                <w:sz w:val="20"/>
              </w:rPr>
            </w:pPr>
          </w:p>
          <w:p w:rsidR="00A24668" w:rsidRPr="0091707B" w:rsidRDefault="00A24668" w:rsidP="00A24668">
            <w:pPr>
              <w:jc w:val="both"/>
              <w:rPr>
                <w:sz w:val="20"/>
              </w:rPr>
            </w:pPr>
            <w:r w:rsidRPr="0091707B">
              <w:rPr>
                <w:sz w:val="20"/>
              </w:rPr>
              <w:t>Mr. Lewis is an RCMP officer. Mr. Lewis’ commanding officer found his conduct towards another officer, during a traffic checkpoint, was harassment. The commanding officer imposed certain conduct measures.</w:t>
            </w:r>
          </w:p>
          <w:p w:rsidR="00A24668" w:rsidRPr="0091707B" w:rsidRDefault="00A24668" w:rsidP="00A24668">
            <w:pPr>
              <w:jc w:val="both"/>
              <w:rPr>
                <w:sz w:val="20"/>
              </w:rPr>
            </w:pPr>
          </w:p>
          <w:p w:rsidR="00A24668" w:rsidRPr="0091707B" w:rsidRDefault="00A24668" w:rsidP="00A24668">
            <w:pPr>
              <w:jc w:val="both"/>
              <w:rPr>
                <w:sz w:val="20"/>
              </w:rPr>
            </w:pPr>
            <w:r w:rsidRPr="0091707B">
              <w:rPr>
                <w:sz w:val="20"/>
              </w:rPr>
              <w:t>The Conduct Appeal Adjudicator confirmed the commanding officer’s finding of harassment. The Adjudicator rescinded the conduct measures imposed by the commanding officer due to a limitation period.</w:t>
            </w:r>
          </w:p>
          <w:p w:rsidR="00A24668" w:rsidRPr="0091707B" w:rsidRDefault="00A24668" w:rsidP="00A24668">
            <w:pPr>
              <w:jc w:val="both"/>
              <w:rPr>
                <w:sz w:val="20"/>
              </w:rPr>
            </w:pPr>
          </w:p>
          <w:p w:rsidR="00A24668" w:rsidRPr="0091707B" w:rsidRDefault="00A24668" w:rsidP="00A24668">
            <w:pPr>
              <w:jc w:val="both"/>
              <w:rPr>
                <w:sz w:val="20"/>
              </w:rPr>
            </w:pPr>
            <w:r w:rsidRPr="0091707B">
              <w:rPr>
                <w:sz w:val="20"/>
              </w:rPr>
              <w:t>The Federal Court dismissed the application for judicial review. The Federal Court of Appeal dismissed the appeal.</w:t>
            </w:r>
          </w:p>
        </w:tc>
      </w:tr>
      <w:tr w:rsidR="00A24668" w:rsidRPr="0091707B" w:rsidTr="00E95A6A">
        <w:tc>
          <w:tcPr>
            <w:tcW w:w="5000" w:type="pct"/>
            <w:gridSpan w:val="4"/>
          </w:tcPr>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rPr>
            </w:pPr>
            <w:r w:rsidRPr="0091707B">
              <w:rPr>
                <w:sz w:val="20"/>
              </w:rPr>
              <w:t>May 21, 2019</w:t>
            </w:r>
          </w:p>
          <w:p w:rsidR="00A24668" w:rsidRPr="0091707B" w:rsidRDefault="00A24668" w:rsidP="00A24668">
            <w:pPr>
              <w:jc w:val="both"/>
              <w:rPr>
                <w:sz w:val="20"/>
              </w:rPr>
            </w:pPr>
            <w:r w:rsidRPr="0091707B">
              <w:rPr>
                <w:sz w:val="20"/>
              </w:rPr>
              <w:t xml:space="preserve">Royal Canadian Mounted Police Harassment </w:t>
            </w:r>
          </w:p>
          <w:p w:rsidR="00A24668" w:rsidRPr="0091707B" w:rsidRDefault="00A24668" w:rsidP="00A24668">
            <w:pPr>
              <w:jc w:val="both"/>
              <w:rPr>
                <w:sz w:val="20"/>
              </w:rPr>
            </w:pPr>
            <w:r w:rsidRPr="0091707B">
              <w:rPr>
                <w:sz w:val="20"/>
              </w:rPr>
              <w:t>Complaint</w:t>
            </w:r>
          </w:p>
          <w:p w:rsidR="00A24668" w:rsidRPr="0091707B" w:rsidRDefault="00A24668" w:rsidP="00A24668">
            <w:pPr>
              <w:jc w:val="both"/>
              <w:rPr>
                <w:sz w:val="20"/>
              </w:rPr>
            </w:pPr>
            <w:r w:rsidRPr="0091707B">
              <w:rPr>
                <w:sz w:val="20"/>
              </w:rPr>
              <w:t>(A/Commr. Tremblay)</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 xml:space="preserve">Complaint of harassment established and officer found to have contravened s. 2.1 of the RCMP </w:t>
            </w:r>
            <w:r w:rsidRPr="0091707B">
              <w:rPr>
                <w:i/>
                <w:sz w:val="20"/>
              </w:rPr>
              <w:t>Code of Conduct</w:t>
            </w:r>
            <w:r w:rsidRPr="0091707B">
              <w:rPr>
                <w:sz w:val="20"/>
              </w:rPr>
              <w:t>.</w:t>
            </w:r>
          </w:p>
        </w:tc>
      </w:tr>
      <w:tr w:rsidR="00A24668" w:rsidRPr="0091707B" w:rsidTr="00E95A6A">
        <w:tc>
          <w:tcPr>
            <w:tcW w:w="2427" w:type="pct"/>
            <w:gridSpan w:val="2"/>
          </w:tcPr>
          <w:p w:rsidR="00A24668" w:rsidRPr="0091707B" w:rsidRDefault="00A24668" w:rsidP="00A24668">
            <w:pPr>
              <w:jc w:val="both"/>
              <w:rPr>
                <w:sz w:val="20"/>
              </w:rPr>
            </w:pPr>
            <w:r w:rsidRPr="0091707B">
              <w:rPr>
                <w:sz w:val="20"/>
              </w:rPr>
              <w:t>February 18, 2020</w:t>
            </w:r>
          </w:p>
          <w:p w:rsidR="00A24668" w:rsidRPr="0091707B" w:rsidRDefault="00A24668" w:rsidP="00A24668">
            <w:pPr>
              <w:jc w:val="both"/>
              <w:rPr>
                <w:sz w:val="20"/>
              </w:rPr>
            </w:pPr>
            <w:r w:rsidRPr="0091707B">
              <w:rPr>
                <w:sz w:val="20"/>
              </w:rPr>
              <w:t xml:space="preserve">Royal Canadian Mounted Police Conduct </w:t>
            </w:r>
          </w:p>
          <w:p w:rsidR="00A24668" w:rsidRPr="0091707B" w:rsidRDefault="00A24668" w:rsidP="00A24668">
            <w:pPr>
              <w:jc w:val="both"/>
              <w:rPr>
                <w:sz w:val="20"/>
              </w:rPr>
            </w:pPr>
            <w:r w:rsidRPr="0091707B">
              <w:rPr>
                <w:sz w:val="20"/>
              </w:rPr>
              <w:t>Appeal Decision</w:t>
            </w:r>
          </w:p>
          <w:p w:rsidR="00A24668" w:rsidRPr="0091707B" w:rsidRDefault="00A24668" w:rsidP="00A24668">
            <w:pPr>
              <w:jc w:val="both"/>
              <w:rPr>
                <w:sz w:val="20"/>
              </w:rPr>
            </w:pPr>
            <w:r w:rsidRPr="0091707B">
              <w:rPr>
                <w:sz w:val="20"/>
              </w:rPr>
              <w:t>(Pittman A., Conduct Appeal Adjudicator)</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Appeal dismissed and harassment complaint confirmed. Appeal of conduct measures allowed on grounds it was statute-barred from imposing conduct measures.</w:t>
            </w:r>
          </w:p>
        </w:tc>
      </w:tr>
      <w:tr w:rsidR="00A24668" w:rsidRPr="0091707B" w:rsidTr="00E95A6A">
        <w:tc>
          <w:tcPr>
            <w:tcW w:w="2427" w:type="pct"/>
            <w:gridSpan w:val="2"/>
          </w:tcPr>
          <w:p w:rsidR="00A24668" w:rsidRPr="0091707B" w:rsidRDefault="00A24668" w:rsidP="00A24668">
            <w:pPr>
              <w:jc w:val="both"/>
              <w:rPr>
                <w:sz w:val="20"/>
              </w:rPr>
            </w:pPr>
            <w:r w:rsidRPr="0091707B">
              <w:rPr>
                <w:sz w:val="20"/>
              </w:rPr>
              <w:t>December 9, 2021</w:t>
            </w:r>
          </w:p>
          <w:p w:rsidR="00A24668" w:rsidRPr="0091707B" w:rsidRDefault="00A24668" w:rsidP="00A24668">
            <w:pPr>
              <w:jc w:val="both"/>
              <w:rPr>
                <w:sz w:val="20"/>
              </w:rPr>
            </w:pPr>
            <w:r w:rsidRPr="0091707B">
              <w:rPr>
                <w:sz w:val="20"/>
              </w:rPr>
              <w:t>Federal Court</w:t>
            </w:r>
          </w:p>
          <w:p w:rsidR="00A24668" w:rsidRPr="0091707B" w:rsidRDefault="00A24668" w:rsidP="00A24668">
            <w:pPr>
              <w:jc w:val="both"/>
              <w:rPr>
                <w:sz w:val="20"/>
              </w:rPr>
            </w:pPr>
            <w:r w:rsidRPr="0091707B">
              <w:rPr>
                <w:sz w:val="20"/>
              </w:rPr>
              <w:t>(Pentney J.)</w:t>
            </w:r>
          </w:p>
          <w:p w:rsidR="00A24668" w:rsidRPr="0091707B" w:rsidRDefault="00A24668" w:rsidP="00A24668">
            <w:pPr>
              <w:jc w:val="both"/>
              <w:rPr>
                <w:sz w:val="20"/>
              </w:rPr>
            </w:pPr>
            <w:hyperlink r:id="rId24" w:history="1">
              <w:r w:rsidRPr="0091707B">
                <w:rPr>
                  <w:rStyle w:val="Hyperlink"/>
                  <w:sz w:val="20"/>
                </w:rPr>
                <w:t>2021 FC 1385</w:t>
              </w:r>
            </w:hyperlink>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Application for judicial review dismissed.</w:t>
            </w:r>
          </w:p>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rPr>
            </w:pPr>
            <w:r w:rsidRPr="0091707B">
              <w:rPr>
                <w:sz w:val="20"/>
              </w:rPr>
              <w:t>January 23, 2023</w:t>
            </w:r>
          </w:p>
          <w:p w:rsidR="00A24668" w:rsidRPr="0091707B" w:rsidRDefault="00A24668" w:rsidP="00A24668">
            <w:pPr>
              <w:jc w:val="both"/>
              <w:rPr>
                <w:sz w:val="20"/>
              </w:rPr>
            </w:pPr>
            <w:r w:rsidRPr="0091707B">
              <w:rPr>
                <w:sz w:val="20"/>
              </w:rPr>
              <w:t>Federal Court of Appeal</w:t>
            </w:r>
          </w:p>
          <w:p w:rsidR="00A24668" w:rsidRPr="0091707B" w:rsidRDefault="00A24668" w:rsidP="00A24668">
            <w:pPr>
              <w:jc w:val="both"/>
              <w:rPr>
                <w:sz w:val="20"/>
              </w:rPr>
            </w:pPr>
            <w:r w:rsidRPr="0091707B">
              <w:rPr>
                <w:sz w:val="20"/>
              </w:rPr>
              <w:t>(Stratas, Locke and Goyette JJ.A.)</w:t>
            </w:r>
          </w:p>
          <w:p w:rsidR="00A24668" w:rsidRPr="0091707B" w:rsidRDefault="00A24668" w:rsidP="00A24668">
            <w:pPr>
              <w:jc w:val="both"/>
              <w:rPr>
                <w:sz w:val="20"/>
              </w:rPr>
            </w:pPr>
            <w:hyperlink r:id="rId25" w:history="1">
              <w:r w:rsidRPr="0091707B">
                <w:rPr>
                  <w:rStyle w:val="Hyperlink"/>
                  <w:sz w:val="20"/>
                </w:rPr>
                <w:t>2023 FCA 15</w:t>
              </w:r>
            </w:hyperlink>
          </w:p>
          <w:p w:rsidR="00A24668" w:rsidRPr="0091707B" w:rsidRDefault="00A24668" w:rsidP="00A24668">
            <w:pPr>
              <w:jc w:val="both"/>
              <w:rPr>
                <w:sz w:val="20"/>
              </w:rPr>
            </w:pPr>
            <w:r w:rsidRPr="0091707B">
              <w:rPr>
                <w:sz w:val="20"/>
              </w:rPr>
              <w:t>A-355-21</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Appeal dismissed.</w:t>
            </w:r>
          </w:p>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rPr>
            </w:pPr>
            <w:r w:rsidRPr="0091707B">
              <w:rPr>
                <w:sz w:val="20"/>
              </w:rPr>
              <w:t>March 24, 2023</w:t>
            </w:r>
          </w:p>
          <w:p w:rsidR="00A24668" w:rsidRPr="0091707B" w:rsidRDefault="00A24668" w:rsidP="00A24668">
            <w:pPr>
              <w:jc w:val="both"/>
              <w:rPr>
                <w:sz w:val="20"/>
              </w:rPr>
            </w:pPr>
            <w:r w:rsidRPr="0091707B">
              <w:rPr>
                <w:sz w:val="20"/>
              </w:rPr>
              <w:t>Supreme Court of Canada</w:t>
            </w: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Application for leave to appeal filed.</w:t>
            </w:r>
          </w:p>
          <w:p w:rsidR="00A24668" w:rsidRPr="0091707B" w:rsidRDefault="00A24668" w:rsidP="00A24668">
            <w:pPr>
              <w:jc w:val="both"/>
              <w:rPr>
                <w:sz w:val="20"/>
              </w:rPr>
            </w:pPr>
          </w:p>
        </w:tc>
      </w:tr>
    </w:tbl>
    <w:p w:rsidR="00A24668" w:rsidRPr="0091707B" w:rsidRDefault="00A24668" w:rsidP="00A24668">
      <w:pPr>
        <w:jc w:val="both"/>
        <w:rPr>
          <w:sz w:val="20"/>
        </w:rPr>
      </w:pPr>
    </w:p>
    <w:p w:rsidR="0091707B" w:rsidRPr="0091707B" w:rsidRDefault="0091707B" w:rsidP="00A24668">
      <w:pPr>
        <w:jc w:val="both"/>
        <w:rPr>
          <w:sz w:val="20"/>
        </w:rPr>
      </w:pPr>
      <w:r w:rsidRPr="0091707B">
        <w:rPr>
          <w:sz w:val="20"/>
        </w:rPr>
        <w:pict>
          <v:rect id="_x0000_i1046" style="width:2in;height:1pt" o:hrpct="0" o:hralign="center" o:hrstd="t" o:hrnoshade="t" o:hr="t" fillcolor="black [3213]" stroked="f"/>
        </w:pict>
      </w:r>
    </w:p>
    <w:p w:rsidR="0091707B" w:rsidRPr="0091707B" w:rsidRDefault="0091707B" w:rsidP="00A2466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4668" w:rsidRPr="0091707B" w:rsidTr="00E95A6A">
        <w:tc>
          <w:tcPr>
            <w:tcW w:w="543" w:type="pct"/>
          </w:tcPr>
          <w:p w:rsidR="00A24668" w:rsidRPr="0091707B" w:rsidRDefault="00A24668" w:rsidP="00A24668">
            <w:pPr>
              <w:jc w:val="both"/>
              <w:rPr>
                <w:sz w:val="20"/>
              </w:rPr>
            </w:pPr>
            <w:r w:rsidRPr="0091707B">
              <w:rPr>
                <w:rStyle w:val="SCCFileNumberChar"/>
                <w:sz w:val="20"/>
                <w:szCs w:val="20"/>
              </w:rPr>
              <w:t>40658</w:t>
            </w:r>
          </w:p>
        </w:tc>
        <w:tc>
          <w:tcPr>
            <w:tcW w:w="4457" w:type="pct"/>
            <w:gridSpan w:val="3"/>
          </w:tcPr>
          <w:p w:rsidR="00A24668" w:rsidRPr="0091707B" w:rsidRDefault="00A24668" w:rsidP="00A24668">
            <w:pPr>
              <w:pStyle w:val="SCCLsocParty"/>
              <w:jc w:val="both"/>
              <w:rPr>
                <w:b/>
                <w:sz w:val="20"/>
                <w:szCs w:val="20"/>
              </w:rPr>
            </w:pPr>
            <w:r w:rsidRPr="0091707B">
              <w:rPr>
                <w:b/>
                <w:sz w:val="20"/>
                <w:szCs w:val="20"/>
              </w:rPr>
              <w:t>Ryan Lewis c. Procureur général du Canada</w:t>
            </w:r>
          </w:p>
          <w:p w:rsidR="00A24668" w:rsidRPr="0091707B" w:rsidRDefault="00A24668" w:rsidP="00A24668">
            <w:pPr>
              <w:jc w:val="both"/>
              <w:rPr>
                <w:sz w:val="20"/>
              </w:rPr>
            </w:pPr>
            <w:r w:rsidRPr="0091707B">
              <w:rPr>
                <w:sz w:val="20"/>
              </w:rPr>
              <w:t>(Féd.) (Civile) (Autorisation)</w:t>
            </w:r>
          </w:p>
        </w:tc>
      </w:tr>
      <w:tr w:rsidR="00A24668" w:rsidRPr="0091707B" w:rsidTr="00E95A6A">
        <w:tc>
          <w:tcPr>
            <w:tcW w:w="5000" w:type="pct"/>
            <w:gridSpan w:val="4"/>
          </w:tcPr>
          <w:p w:rsidR="00A24668" w:rsidRPr="0091707B" w:rsidRDefault="00A24668" w:rsidP="00A24668">
            <w:pPr>
              <w:jc w:val="both"/>
              <w:rPr>
                <w:sz w:val="20"/>
                <w:lang w:val="fr-CA"/>
              </w:rPr>
            </w:pPr>
            <w:r w:rsidRPr="0091707B">
              <w:rPr>
                <w:sz w:val="20"/>
                <w:lang w:val="fr-CA"/>
              </w:rPr>
              <w:t xml:space="preserve">Droit administratif — Organismes et tribunaux administratifs — Organismes de réglementation — Contrôle judiciaire — Norme de contrôle — Plainte de harcèlement déposée contre un agent de la GRC — Comment les cours de révision doivent-elles appliquer le cadre d’analyse établi dans </w:t>
            </w:r>
            <w:r w:rsidRPr="0091707B">
              <w:rPr>
                <w:i/>
                <w:sz w:val="20"/>
                <w:lang w:val="fr-CA"/>
              </w:rPr>
              <w:t xml:space="preserve">Vavilov </w:t>
            </w:r>
            <w:r w:rsidRPr="0091707B">
              <w:rPr>
                <w:sz w:val="20"/>
                <w:lang w:val="fr-CA"/>
              </w:rPr>
              <w:t>lorsqu'un tribunal administratif a établi sa propre norme de contrôle, empreinte d’une grande déférence? — En quoi consiste une interprétation raisonnable du critère pour déterminer si l’incident isolé constituait du harcèlement?</w:t>
            </w:r>
          </w:p>
        </w:tc>
      </w:tr>
      <w:tr w:rsidR="00A24668" w:rsidRPr="0091707B" w:rsidTr="00E95A6A">
        <w:tc>
          <w:tcPr>
            <w:tcW w:w="5000" w:type="pct"/>
            <w:gridSpan w:val="4"/>
          </w:tcPr>
          <w:p w:rsidR="00A24668" w:rsidRPr="0091707B" w:rsidRDefault="00A24668" w:rsidP="00A24668">
            <w:pPr>
              <w:jc w:val="both"/>
              <w:rPr>
                <w:sz w:val="20"/>
                <w:lang w:val="fr-CA"/>
              </w:rPr>
            </w:pPr>
          </w:p>
          <w:p w:rsidR="00A24668" w:rsidRPr="0091707B" w:rsidRDefault="00A24668" w:rsidP="00A24668">
            <w:pPr>
              <w:jc w:val="both"/>
              <w:rPr>
                <w:sz w:val="20"/>
              </w:rPr>
            </w:pPr>
            <w:r w:rsidRPr="0091707B">
              <w:rPr>
                <w:sz w:val="20"/>
                <w:lang w:val="fr-CA"/>
              </w:rPr>
              <w:t xml:space="preserve">Monsieur Lewis est un agent de la GRC. Le commandant de M. Lewis a estimé que son comportement à l'égard d'un autre agent, lors d'un contrôle de la circulation, constituait du harcèlement. </w:t>
            </w:r>
            <w:r w:rsidRPr="0091707B">
              <w:rPr>
                <w:sz w:val="20"/>
              </w:rPr>
              <w:t>Le commandant a imposé certaines mesures disciplinaires.</w:t>
            </w:r>
          </w:p>
          <w:p w:rsidR="00A24668" w:rsidRPr="0091707B" w:rsidRDefault="00A24668" w:rsidP="00A24668">
            <w:pPr>
              <w:jc w:val="both"/>
              <w:rPr>
                <w:sz w:val="20"/>
              </w:rPr>
            </w:pPr>
          </w:p>
          <w:p w:rsidR="00A24668" w:rsidRPr="0091707B" w:rsidRDefault="00A24668" w:rsidP="00A24668">
            <w:pPr>
              <w:jc w:val="both"/>
              <w:rPr>
                <w:sz w:val="20"/>
                <w:lang w:val="fr-CA"/>
              </w:rPr>
            </w:pPr>
            <w:r w:rsidRPr="0091707B">
              <w:rPr>
                <w:sz w:val="20"/>
                <w:lang w:val="fr-CA"/>
              </w:rPr>
              <w:t>L’arbitre de l’appel en matière de déontologie a confirmé la conclusion de harcèlement du commandant. L'arbitre a annulé les mesures disciplinaires imposées par le commandant pour cause de prescription.</w:t>
            </w:r>
          </w:p>
          <w:p w:rsidR="00A24668" w:rsidRPr="0091707B" w:rsidRDefault="00A24668" w:rsidP="00A24668">
            <w:pPr>
              <w:jc w:val="both"/>
              <w:rPr>
                <w:sz w:val="20"/>
                <w:lang w:val="fr-CA"/>
              </w:rPr>
            </w:pPr>
          </w:p>
          <w:p w:rsidR="00A24668" w:rsidRPr="0091707B" w:rsidRDefault="00A24668" w:rsidP="00A24668">
            <w:pPr>
              <w:jc w:val="both"/>
              <w:rPr>
                <w:sz w:val="20"/>
                <w:lang w:val="fr-CA"/>
              </w:rPr>
            </w:pPr>
            <w:r w:rsidRPr="0091707B">
              <w:rPr>
                <w:sz w:val="20"/>
                <w:lang w:val="fr-CA"/>
              </w:rPr>
              <w:t>La Cour fédérale a rejeté la demande de contrôle judiciaire. La Cour d'appel fédérale a rejeté l’appel.</w:t>
            </w:r>
          </w:p>
        </w:tc>
      </w:tr>
      <w:tr w:rsidR="00A24668" w:rsidRPr="0091707B" w:rsidTr="00E95A6A">
        <w:tc>
          <w:tcPr>
            <w:tcW w:w="5000" w:type="pct"/>
            <w:gridSpan w:val="4"/>
          </w:tcPr>
          <w:p w:rsidR="00A24668" w:rsidRPr="0091707B" w:rsidRDefault="00A24668" w:rsidP="00A24668">
            <w:pPr>
              <w:jc w:val="both"/>
              <w:rPr>
                <w:sz w:val="20"/>
                <w:lang w:val="fr-CA"/>
              </w:rPr>
            </w:pP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21 mai 2019</w:t>
            </w:r>
          </w:p>
          <w:p w:rsidR="00A24668" w:rsidRPr="0091707B" w:rsidRDefault="00A24668" w:rsidP="00A24668">
            <w:pPr>
              <w:jc w:val="both"/>
              <w:rPr>
                <w:sz w:val="20"/>
                <w:lang w:val="fr-CA"/>
              </w:rPr>
            </w:pPr>
            <w:r w:rsidRPr="0091707B">
              <w:rPr>
                <w:sz w:val="20"/>
                <w:lang w:val="fr-CA"/>
              </w:rPr>
              <w:t xml:space="preserve">Plainte de harcèlement à la Gendarmerie royale du Canada </w:t>
            </w:r>
          </w:p>
          <w:p w:rsidR="00A24668" w:rsidRPr="0091707B" w:rsidRDefault="00A24668" w:rsidP="00A24668">
            <w:pPr>
              <w:jc w:val="both"/>
              <w:rPr>
                <w:sz w:val="20"/>
              </w:rPr>
            </w:pPr>
            <w:r w:rsidRPr="0091707B">
              <w:rPr>
                <w:sz w:val="20"/>
              </w:rPr>
              <w:t>(Comm. adj. Tremblay)</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lang w:val="fr-CA"/>
              </w:rPr>
            </w:pPr>
            <w:r w:rsidRPr="0091707B">
              <w:rPr>
                <w:sz w:val="20"/>
                <w:lang w:val="fr-CA"/>
              </w:rPr>
              <w:t xml:space="preserve">Décision portant que la plainte de harcèlement est établie et que l’agent a enfreint l'article 2.1 du </w:t>
            </w:r>
            <w:r w:rsidRPr="0091707B">
              <w:rPr>
                <w:i/>
                <w:sz w:val="20"/>
                <w:lang w:val="fr-CA"/>
              </w:rPr>
              <w:t>Code de déontologie</w:t>
            </w:r>
            <w:r w:rsidRPr="0091707B">
              <w:rPr>
                <w:sz w:val="20"/>
                <w:lang w:val="fr-CA"/>
              </w:rPr>
              <w:t xml:space="preserve"> de la GRC.</w:t>
            </w: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18 février 2020</w:t>
            </w:r>
          </w:p>
          <w:p w:rsidR="00A24668" w:rsidRPr="0091707B" w:rsidRDefault="00A24668" w:rsidP="00A24668">
            <w:pPr>
              <w:jc w:val="both"/>
              <w:rPr>
                <w:sz w:val="20"/>
                <w:lang w:val="fr-CA"/>
              </w:rPr>
            </w:pPr>
            <w:r w:rsidRPr="0091707B">
              <w:rPr>
                <w:sz w:val="20"/>
                <w:lang w:val="fr-CA"/>
              </w:rPr>
              <w:t xml:space="preserve">Décision d’appel en matière de déontologie de la Gendarmerie royale du Canada </w:t>
            </w:r>
          </w:p>
          <w:p w:rsidR="00A24668" w:rsidRPr="0091707B" w:rsidRDefault="00A24668" w:rsidP="00A24668">
            <w:pPr>
              <w:jc w:val="both"/>
              <w:rPr>
                <w:sz w:val="20"/>
                <w:lang w:val="fr-CA"/>
              </w:rPr>
            </w:pPr>
            <w:r w:rsidRPr="0091707B">
              <w:rPr>
                <w:sz w:val="20"/>
                <w:lang w:val="fr-CA"/>
              </w:rPr>
              <w:t>(A. Pittman, arbitre de l’appel en matière de déontologie)</w:t>
            </w:r>
          </w:p>
          <w:p w:rsidR="00A24668" w:rsidRPr="0091707B" w:rsidRDefault="00A24668" w:rsidP="00A24668">
            <w:pPr>
              <w:jc w:val="both"/>
              <w:rPr>
                <w:sz w:val="20"/>
                <w:lang w:val="fr-CA"/>
              </w:rPr>
            </w:pPr>
          </w:p>
        </w:tc>
        <w:tc>
          <w:tcPr>
            <w:tcW w:w="243" w:type="pct"/>
          </w:tcPr>
          <w:p w:rsidR="00A24668" w:rsidRPr="0091707B" w:rsidRDefault="00A24668" w:rsidP="00A24668">
            <w:pPr>
              <w:jc w:val="both"/>
              <w:rPr>
                <w:sz w:val="20"/>
                <w:lang w:val="fr-CA"/>
              </w:rPr>
            </w:pPr>
          </w:p>
        </w:tc>
        <w:tc>
          <w:tcPr>
            <w:tcW w:w="2330" w:type="pct"/>
          </w:tcPr>
          <w:p w:rsidR="00A24668" w:rsidRPr="0091707B" w:rsidRDefault="00A24668" w:rsidP="00A24668">
            <w:pPr>
              <w:jc w:val="both"/>
              <w:rPr>
                <w:sz w:val="20"/>
                <w:lang w:val="fr-CA"/>
              </w:rPr>
            </w:pPr>
            <w:r w:rsidRPr="0091707B">
              <w:rPr>
                <w:sz w:val="20"/>
                <w:lang w:val="fr-CA"/>
              </w:rPr>
              <w:t>Rejet de l’appel et confirmation de la plainte de harcèlement. Sentence accueillant l’appel portant sur les mesures disciplinaires au motif que des mesures disciplinaires ne pouvaient être imposées pour cause de prescription.</w:t>
            </w: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9 décembre 2021</w:t>
            </w:r>
          </w:p>
          <w:p w:rsidR="00A24668" w:rsidRPr="0091707B" w:rsidRDefault="00A24668" w:rsidP="00A24668">
            <w:pPr>
              <w:jc w:val="both"/>
              <w:rPr>
                <w:sz w:val="20"/>
                <w:lang w:val="fr-CA"/>
              </w:rPr>
            </w:pPr>
            <w:r w:rsidRPr="0091707B">
              <w:rPr>
                <w:sz w:val="20"/>
                <w:lang w:val="fr-CA"/>
              </w:rPr>
              <w:t>Cour fédérale</w:t>
            </w:r>
          </w:p>
          <w:p w:rsidR="00A24668" w:rsidRPr="0091707B" w:rsidRDefault="00A24668" w:rsidP="00A24668">
            <w:pPr>
              <w:jc w:val="both"/>
              <w:rPr>
                <w:sz w:val="20"/>
                <w:lang w:val="fr-CA"/>
              </w:rPr>
            </w:pPr>
            <w:r w:rsidRPr="0091707B">
              <w:rPr>
                <w:sz w:val="20"/>
                <w:lang w:val="fr-CA"/>
              </w:rPr>
              <w:t>(Juge Pentney)</w:t>
            </w:r>
          </w:p>
          <w:p w:rsidR="00A24668" w:rsidRPr="0091707B" w:rsidRDefault="00A24668" w:rsidP="00A24668">
            <w:pPr>
              <w:jc w:val="both"/>
              <w:rPr>
                <w:sz w:val="20"/>
              </w:rPr>
            </w:pPr>
            <w:hyperlink r:id="rId26" w:history="1">
              <w:r w:rsidRPr="0091707B">
                <w:rPr>
                  <w:rStyle w:val="Hyperlink"/>
                  <w:sz w:val="20"/>
                </w:rPr>
                <w:t>2021 CF 1385</w:t>
              </w:r>
            </w:hyperlink>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lang w:val="fr-CA"/>
              </w:rPr>
            </w:pPr>
            <w:r w:rsidRPr="0091707B">
              <w:rPr>
                <w:sz w:val="20"/>
                <w:lang w:val="fr-CA"/>
              </w:rPr>
              <w:t>Rejet de la demande de contrôle judiciaire.</w:t>
            </w:r>
          </w:p>
          <w:p w:rsidR="00A24668" w:rsidRPr="0091707B" w:rsidRDefault="00A24668" w:rsidP="00A24668">
            <w:pPr>
              <w:jc w:val="both"/>
              <w:rPr>
                <w:sz w:val="20"/>
                <w:lang w:val="fr-CA"/>
              </w:rPr>
            </w:pP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23 janvier 2023</w:t>
            </w:r>
          </w:p>
          <w:p w:rsidR="00A24668" w:rsidRPr="0091707B" w:rsidRDefault="00A24668" w:rsidP="00A24668">
            <w:pPr>
              <w:jc w:val="both"/>
              <w:rPr>
                <w:sz w:val="20"/>
                <w:lang w:val="fr-CA"/>
              </w:rPr>
            </w:pPr>
            <w:r w:rsidRPr="0091707B">
              <w:rPr>
                <w:sz w:val="20"/>
                <w:lang w:val="fr-CA"/>
              </w:rPr>
              <w:t>Cour d'appel fédérale</w:t>
            </w:r>
          </w:p>
          <w:p w:rsidR="00A24668" w:rsidRPr="0091707B" w:rsidRDefault="00A24668" w:rsidP="00A24668">
            <w:pPr>
              <w:jc w:val="both"/>
              <w:rPr>
                <w:sz w:val="20"/>
                <w:lang w:val="fr-CA"/>
              </w:rPr>
            </w:pPr>
            <w:r w:rsidRPr="0091707B">
              <w:rPr>
                <w:sz w:val="20"/>
                <w:lang w:val="fr-CA"/>
              </w:rPr>
              <w:t>(Juges Stratas, Locke et Goyette)</w:t>
            </w:r>
          </w:p>
          <w:p w:rsidR="00A24668" w:rsidRPr="0091707B" w:rsidRDefault="00A24668" w:rsidP="00A24668">
            <w:pPr>
              <w:jc w:val="both"/>
              <w:rPr>
                <w:sz w:val="20"/>
              </w:rPr>
            </w:pPr>
            <w:hyperlink r:id="rId27" w:history="1">
              <w:r w:rsidRPr="0091707B">
                <w:rPr>
                  <w:rStyle w:val="Hyperlink"/>
                  <w:sz w:val="20"/>
                </w:rPr>
                <w:t>2023 FCA 15</w:t>
              </w:r>
            </w:hyperlink>
          </w:p>
          <w:p w:rsidR="00A24668" w:rsidRPr="0091707B" w:rsidRDefault="00A24668" w:rsidP="00A24668">
            <w:pPr>
              <w:jc w:val="both"/>
              <w:rPr>
                <w:sz w:val="20"/>
              </w:rPr>
            </w:pPr>
            <w:r w:rsidRPr="0091707B">
              <w:rPr>
                <w:sz w:val="20"/>
              </w:rPr>
              <w:t>A-355-21</w:t>
            </w:r>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Rejet de l’appel.</w:t>
            </w:r>
          </w:p>
          <w:p w:rsidR="00A24668" w:rsidRPr="0091707B" w:rsidRDefault="00A24668" w:rsidP="00A24668">
            <w:pPr>
              <w:jc w:val="both"/>
              <w:rPr>
                <w:sz w:val="20"/>
              </w:rPr>
            </w:pPr>
          </w:p>
        </w:tc>
      </w:tr>
      <w:tr w:rsidR="00A24668" w:rsidRPr="0091707B" w:rsidTr="00E95A6A">
        <w:tc>
          <w:tcPr>
            <w:tcW w:w="2427" w:type="pct"/>
            <w:gridSpan w:val="2"/>
          </w:tcPr>
          <w:p w:rsidR="00A24668" w:rsidRPr="0091707B" w:rsidRDefault="00A24668" w:rsidP="00A24668">
            <w:pPr>
              <w:jc w:val="both"/>
              <w:rPr>
                <w:sz w:val="20"/>
                <w:lang w:val="fr-CA"/>
              </w:rPr>
            </w:pPr>
            <w:r w:rsidRPr="0091707B">
              <w:rPr>
                <w:sz w:val="20"/>
                <w:lang w:val="fr-CA"/>
              </w:rPr>
              <w:t>24 mars 2023</w:t>
            </w:r>
          </w:p>
          <w:p w:rsidR="00A24668" w:rsidRPr="0091707B" w:rsidRDefault="00A24668" w:rsidP="00A24668">
            <w:pPr>
              <w:jc w:val="both"/>
              <w:rPr>
                <w:sz w:val="20"/>
                <w:lang w:val="fr-CA"/>
              </w:rPr>
            </w:pPr>
            <w:r w:rsidRPr="0091707B">
              <w:rPr>
                <w:sz w:val="20"/>
                <w:lang w:val="fr-CA"/>
              </w:rPr>
              <w:t>Cour suprême du Canada</w:t>
            </w:r>
          </w:p>
        </w:tc>
        <w:tc>
          <w:tcPr>
            <w:tcW w:w="243" w:type="pct"/>
          </w:tcPr>
          <w:p w:rsidR="00A24668" w:rsidRPr="0091707B" w:rsidRDefault="00A24668" w:rsidP="00A24668">
            <w:pPr>
              <w:jc w:val="both"/>
              <w:rPr>
                <w:sz w:val="20"/>
                <w:lang w:val="fr-CA"/>
              </w:rPr>
            </w:pPr>
          </w:p>
        </w:tc>
        <w:tc>
          <w:tcPr>
            <w:tcW w:w="2330" w:type="pct"/>
          </w:tcPr>
          <w:p w:rsidR="00A24668" w:rsidRPr="0091707B" w:rsidRDefault="00A24668" w:rsidP="00A24668">
            <w:pPr>
              <w:jc w:val="both"/>
              <w:rPr>
                <w:sz w:val="20"/>
                <w:lang w:val="fr-CA"/>
              </w:rPr>
            </w:pPr>
            <w:r w:rsidRPr="0091707B">
              <w:rPr>
                <w:sz w:val="20"/>
                <w:lang w:val="fr-CA"/>
              </w:rPr>
              <w:t>Dépôt de la demande d'autorisation d'appel.</w:t>
            </w:r>
          </w:p>
          <w:p w:rsidR="00A24668" w:rsidRPr="0091707B" w:rsidRDefault="00A24668" w:rsidP="00A24668">
            <w:pPr>
              <w:jc w:val="both"/>
              <w:rPr>
                <w:sz w:val="20"/>
                <w:lang w:val="fr-CA"/>
              </w:rPr>
            </w:pPr>
          </w:p>
        </w:tc>
      </w:tr>
    </w:tbl>
    <w:p w:rsidR="00860B41" w:rsidRPr="0091707B" w:rsidRDefault="00860B41" w:rsidP="00F0536F">
      <w:pPr>
        <w:jc w:val="both"/>
        <w:rPr>
          <w:sz w:val="20"/>
          <w:lang w:val="fr-CA"/>
        </w:rPr>
      </w:pPr>
    </w:p>
    <w:p w:rsidR="00860B41" w:rsidRPr="0091707B" w:rsidRDefault="00860B41" w:rsidP="00F0536F">
      <w:pPr>
        <w:jc w:val="both"/>
        <w:rPr>
          <w:sz w:val="20"/>
        </w:rPr>
      </w:pPr>
      <w:r w:rsidRPr="0091707B">
        <w:rPr>
          <w:sz w:val="20"/>
        </w:rPr>
        <w:pict>
          <v:rect id="_x0000_i1028" style="width:2in;height:1pt" o:hrpct="0" o:hralign="center" o:hrstd="t" o:hrnoshade="t" o:hr="t" fillcolor="black [3213]" stroked="f"/>
        </w:pict>
      </w:r>
    </w:p>
    <w:p w:rsidR="00860B41" w:rsidRPr="0091707B" w:rsidRDefault="00860B41" w:rsidP="00F053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lang w:val="en-CA"/>
              </w:rPr>
            </w:pPr>
            <w:r w:rsidRPr="0091707B">
              <w:rPr>
                <w:rStyle w:val="SCCFileNumberChar"/>
                <w:sz w:val="20"/>
                <w:szCs w:val="20"/>
              </w:rPr>
              <w:t>40626</w:t>
            </w:r>
          </w:p>
        </w:tc>
        <w:tc>
          <w:tcPr>
            <w:tcW w:w="4457" w:type="pct"/>
            <w:gridSpan w:val="3"/>
          </w:tcPr>
          <w:p w:rsidR="00860B41" w:rsidRPr="0091707B" w:rsidRDefault="00860B41" w:rsidP="00860B41">
            <w:pPr>
              <w:pStyle w:val="SCCLsocParty"/>
              <w:jc w:val="both"/>
              <w:rPr>
                <w:b/>
                <w:sz w:val="20"/>
                <w:szCs w:val="20"/>
              </w:rPr>
            </w:pPr>
            <w:r w:rsidRPr="0091707B">
              <w:rPr>
                <w:b/>
                <w:sz w:val="20"/>
                <w:szCs w:val="20"/>
              </w:rPr>
              <w:t xml:space="preserve">Hydro-Québec v. Syndicat des </w:t>
            </w:r>
            <w:proofErr w:type="gramStart"/>
            <w:r w:rsidRPr="0091707B">
              <w:rPr>
                <w:b/>
                <w:sz w:val="20"/>
                <w:szCs w:val="20"/>
              </w:rPr>
              <w:t>employé-</w:t>
            </w:r>
            <w:proofErr w:type="gramEnd"/>
            <w:r w:rsidRPr="0091707B">
              <w:rPr>
                <w:b/>
                <w:sz w:val="20"/>
                <w:szCs w:val="20"/>
              </w:rPr>
              <w:t>es de métiers d'Hydro-Québec, section locale 1500 (SCFP-FTQ)</w:t>
            </w:r>
          </w:p>
          <w:p w:rsidR="00860B41" w:rsidRPr="0091707B" w:rsidRDefault="00860B41" w:rsidP="00860B41">
            <w:pPr>
              <w:jc w:val="both"/>
              <w:rPr>
                <w:b/>
                <w:sz w:val="20"/>
                <w:lang w:val="en-CA"/>
              </w:rPr>
            </w:pPr>
            <w:r w:rsidRPr="0091707B">
              <w:rPr>
                <w:b/>
                <w:sz w:val="20"/>
                <w:lang w:val="en-CA"/>
              </w:rPr>
              <w:t>-and-</w:t>
            </w:r>
          </w:p>
          <w:p w:rsidR="00860B41" w:rsidRPr="0091707B" w:rsidRDefault="00860B41" w:rsidP="00860B41">
            <w:pPr>
              <w:jc w:val="both"/>
              <w:rPr>
                <w:b/>
                <w:sz w:val="20"/>
                <w:lang w:val="en-CA"/>
              </w:rPr>
            </w:pPr>
            <w:r w:rsidRPr="0091707B">
              <w:rPr>
                <w:b/>
                <w:sz w:val="20"/>
                <w:lang w:val="en-CA"/>
              </w:rPr>
              <w:t>Pierre-Georges Roy, in his capacity as grievance arbitrator</w:t>
            </w:r>
          </w:p>
          <w:p w:rsidR="00860B41" w:rsidRPr="0091707B" w:rsidRDefault="00860B41" w:rsidP="00860B41">
            <w:pPr>
              <w:jc w:val="both"/>
              <w:rPr>
                <w:sz w:val="20"/>
                <w:lang w:val="en-CA"/>
              </w:rPr>
            </w:pPr>
            <w:r w:rsidRPr="0091707B">
              <w:rPr>
                <w:sz w:val="20"/>
                <w:lang w:val="en-CA"/>
              </w:rPr>
              <w:t>(Que.) (Civil) (By Leave)</w:t>
            </w:r>
          </w:p>
        </w:tc>
      </w:tr>
      <w:tr w:rsidR="00860B41" w:rsidRPr="0091707B" w:rsidTr="00860B41">
        <w:tc>
          <w:tcPr>
            <w:tcW w:w="5000" w:type="pct"/>
            <w:gridSpan w:val="4"/>
          </w:tcPr>
          <w:p w:rsidR="00860B41" w:rsidRPr="0091707B" w:rsidRDefault="00860B41" w:rsidP="00860B41">
            <w:pPr>
              <w:jc w:val="both"/>
              <w:rPr>
                <w:sz w:val="20"/>
                <w:lang w:val="en-CA"/>
              </w:rPr>
            </w:pPr>
            <w:r w:rsidRPr="0091707B">
              <w:rPr>
                <w:sz w:val="20"/>
                <w:lang w:val="en-CA"/>
              </w:rPr>
              <w:t>Administrative law — Judicial review — Arbitration award — Standard of review — Concept of reasonable outcome — Whether it is in public interest for this Court to intervene in order to discard concept of reasonable outcome in respect of facts and law or at least to clarify its role and scope in matters of judicial review.</w:t>
            </w:r>
          </w:p>
        </w:tc>
      </w:tr>
      <w:tr w:rsidR="00860B41" w:rsidRPr="0091707B" w:rsidTr="00860B41">
        <w:tc>
          <w:tcPr>
            <w:tcW w:w="5000" w:type="pct"/>
            <w:gridSpan w:val="4"/>
          </w:tcPr>
          <w:p w:rsidR="00860B41" w:rsidRPr="0091707B" w:rsidRDefault="00860B41" w:rsidP="00860B41">
            <w:pPr>
              <w:jc w:val="both"/>
              <w:rPr>
                <w:sz w:val="20"/>
                <w:lang w:val="en-CA"/>
              </w:rPr>
            </w:pPr>
          </w:p>
          <w:p w:rsidR="00860B41" w:rsidRPr="0091707B" w:rsidRDefault="00860B41" w:rsidP="00860B41">
            <w:pPr>
              <w:jc w:val="both"/>
              <w:rPr>
                <w:sz w:val="20"/>
                <w:lang w:val="en-CA"/>
              </w:rPr>
            </w:pPr>
            <w:r w:rsidRPr="0091707B">
              <w:rPr>
                <w:sz w:val="20"/>
                <w:lang w:val="en-CA"/>
              </w:rPr>
              <w:t xml:space="preserve">In 2019, the applicant, Hydro-Québec (“Employer”), unilaterally changed the working conditions of the mobile operators working at the Outardes-3, Outardes-4 and Manic 3 hydroelectric plants and the Micoua substation in the Manicouagan region (collectively, “mid-complex plants”). Those conditions were set out in letters of agreement that had applied since the 1980s. The respondent, the Syndicat des employé-es de métiers d’Hydro-Québec, section locale 1500 (SCFP-FTQ) (“Union”), filed a grievance to force the Employer to honour the rights and privileges attached to the collective agreement and the letters of agreement. It also sought financial compensation for loss of the benefits provided for in those documents as well as exemplary damages. The arbitrator, Pierre-Georges Roy, dismissed the Union’s grievance </w:t>
            </w:r>
            <w:proofErr w:type="gramStart"/>
            <w:r w:rsidRPr="0091707B">
              <w:rPr>
                <w:sz w:val="20"/>
                <w:lang w:val="en-CA"/>
              </w:rPr>
              <w:t>on the basis of</w:t>
            </w:r>
            <w:proofErr w:type="gramEnd"/>
            <w:r w:rsidRPr="0091707B">
              <w:rPr>
                <w:sz w:val="20"/>
                <w:lang w:val="en-CA"/>
              </w:rPr>
              <w:t xml:space="preserve"> the Employer’s right of management. The trial judge found that the arbitrator’s conclusion was not a reasonable outcome. He allowed the application for judicial review, set aside the arbitrator’s decision, allowed the grievance and ordered the Employer to comply in full with the letters of agreement. He referred the matter back to another arbitrator for a decision on the issue of damages and the monetary compensation to which the aggrieved employees were entitled. A majority of the Court of Appeal dismissed the appeal on the ground that the arbitration award was unreasonable.</w:t>
            </w:r>
          </w:p>
        </w:tc>
      </w:tr>
      <w:tr w:rsidR="00860B41" w:rsidRPr="0091707B" w:rsidTr="00860B41">
        <w:tc>
          <w:tcPr>
            <w:tcW w:w="5000" w:type="pct"/>
            <w:gridSpan w:val="4"/>
          </w:tcPr>
          <w:p w:rsidR="00860B41" w:rsidRPr="0091707B" w:rsidRDefault="00860B41" w:rsidP="00860B41">
            <w:pPr>
              <w:jc w:val="both"/>
              <w:rPr>
                <w:sz w:val="20"/>
                <w:lang w:val="en-CA"/>
              </w:rPr>
            </w:pPr>
          </w:p>
        </w:tc>
      </w:tr>
      <w:tr w:rsidR="00860B41" w:rsidRPr="0091707B" w:rsidTr="00860B41">
        <w:tc>
          <w:tcPr>
            <w:tcW w:w="2427" w:type="pct"/>
            <w:gridSpan w:val="2"/>
          </w:tcPr>
          <w:p w:rsidR="00860B41" w:rsidRPr="0091707B" w:rsidRDefault="00860B41" w:rsidP="00860B41">
            <w:pPr>
              <w:jc w:val="both"/>
              <w:rPr>
                <w:sz w:val="20"/>
                <w:lang w:val="en-CA"/>
              </w:rPr>
            </w:pPr>
            <w:r w:rsidRPr="0091707B">
              <w:rPr>
                <w:sz w:val="20"/>
                <w:lang w:val="en-CA"/>
              </w:rPr>
              <w:t>June 25, 2021</w:t>
            </w:r>
          </w:p>
          <w:p w:rsidR="00860B41" w:rsidRPr="0091707B" w:rsidRDefault="00860B41" w:rsidP="00860B41">
            <w:pPr>
              <w:jc w:val="both"/>
              <w:rPr>
                <w:sz w:val="20"/>
                <w:lang w:val="en-CA"/>
              </w:rPr>
            </w:pPr>
            <w:r w:rsidRPr="0091707B">
              <w:rPr>
                <w:sz w:val="20"/>
                <w:lang w:val="en-CA"/>
              </w:rPr>
              <w:t>Quebec Superior Court</w:t>
            </w:r>
          </w:p>
          <w:p w:rsidR="00860B41" w:rsidRPr="0091707B" w:rsidRDefault="00860B41" w:rsidP="00860B41">
            <w:pPr>
              <w:jc w:val="both"/>
              <w:rPr>
                <w:sz w:val="20"/>
                <w:lang w:val="en-CA"/>
              </w:rPr>
            </w:pPr>
            <w:r w:rsidRPr="0091707B">
              <w:rPr>
                <w:sz w:val="20"/>
                <w:lang w:val="en-CA"/>
              </w:rPr>
              <w:t>(Francoeur J.)</w:t>
            </w:r>
          </w:p>
          <w:p w:rsidR="00860B41" w:rsidRPr="0091707B" w:rsidRDefault="00860B41" w:rsidP="00860B41">
            <w:pPr>
              <w:jc w:val="both"/>
              <w:rPr>
                <w:sz w:val="20"/>
                <w:lang w:val="en-CA"/>
              </w:rPr>
            </w:pPr>
            <w:hyperlink r:id="rId28" w:history="1">
              <w:r w:rsidRPr="0091707B">
                <w:rPr>
                  <w:rStyle w:val="Hyperlink"/>
                  <w:sz w:val="20"/>
                  <w:lang w:val="en-CA"/>
                </w:rPr>
                <w:t>2021 QCCS 3043</w:t>
              </w:r>
            </w:hyperlink>
          </w:p>
        </w:tc>
        <w:tc>
          <w:tcPr>
            <w:tcW w:w="243" w:type="pct"/>
          </w:tcPr>
          <w:p w:rsidR="00860B41" w:rsidRPr="0091707B" w:rsidRDefault="00860B41" w:rsidP="00860B41">
            <w:pPr>
              <w:jc w:val="both"/>
              <w:rPr>
                <w:sz w:val="20"/>
                <w:lang w:val="en-CA"/>
              </w:rPr>
            </w:pPr>
          </w:p>
        </w:tc>
        <w:tc>
          <w:tcPr>
            <w:tcW w:w="2330" w:type="pct"/>
          </w:tcPr>
          <w:p w:rsidR="00860B41" w:rsidRPr="0091707B" w:rsidRDefault="00860B41" w:rsidP="00860B41">
            <w:pPr>
              <w:jc w:val="both"/>
              <w:rPr>
                <w:sz w:val="20"/>
                <w:lang w:val="en-CA"/>
              </w:rPr>
            </w:pPr>
            <w:r w:rsidRPr="0091707B">
              <w:rPr>
                <w:sz w:val="20"/>
                <w:lang w:val="en-CA"/>
              </w:rPr>
              <w:t>Application for judicial review allowed; arbitrator’s decision set aside; grievance allowed; matter referred back to another arbitrator for decision on issue of damages and monetary compensation to which aggrieved employees were entitled</w:t>
            </w:r>
          </w:p>
          <w:p w:rsidR="00A24668" w:rsidRPr="0091707B" w:rsidRDefault="00A24668" w:rsidP="00860B41">
            <w:pPr>
              <w:jc w:val="both"/>
              <w:rPr>
                <w:sz w:val="20"/>
                <w:lang w:val="en-CA"/>
              </w:rPr>
            </w:pPr>
          </w:p>
        </w:tc>
      </w:tr>
      <w:tr w:rsidR="00860B41" w:rsidRPr="0091707B" w:rsidTr="00860B41">
        <w:tc>
          <w:tcPr>
            <w:tcW w:w="2427" w:type="pct"/>
            <w:gridSpan w:val="2"/>
          </w:tcPr>
          <w:p w:rsidR="00860B41" w:rsidRPr="0091707B" w:rsidRDefault="00860B41" w:rsidP="00860B41">
            <w:pPr>
              <w:jc w:val="both"/>
              <w:rPr>
                <w:sz w:val="20"/>
                <w:lang w:val="en-CA"/>
              </w:rPr>
            </w:pPr>
            <w:r w:rsidRPr="0091707B">
              <w:rPr>
                <w:sz w:val="20"/>
                <w:lang w:val="en-CA"/>
              </w:rPr>
              <w:t>December 22, 2022</w:t>
            </w:r>
          </w:p>
          <w:p w:rsidR="00860B41" w:rsidRPr="0091707B" w:rsidRDefault="00860B41" w:rsidP="00860B41">
            <w:pPr>
              <w:jc w:val="both"/>
              <w:rPr>
                <w:sz w:val="20"/>
                <w:lang w:val="en-CA"/>
              </w:rPr>
            </w:pPr>
            <w:r w:rsidRPr="0091707B">
              <w:rPr>
                <w:sz w:val="20"/>
                <w:lang w:val="en-CA"/>
              </w:rPr>
              <w:t>Quebec Court of Appeal (Québec)</w:t>
            </w:r>
          </w:p>
          <w:p w:rsidR="00860B41" w:rsidRPr="0091707B" w:rsidRDefault="00860B41" w:rsidP="00860B41">
            <w:pPr>
              <w:jc w:val="both"/>
              <w:rPr>
                <w:sz w:val="20"/>
                <w:lang w:val="en-CA"/>
              </w:rPr>
            </w:pPr>
            <w:r w:rsidRPr="0091707B">
              <w:rPr>
                <w:sz w:val="20"/>
                <w:lang w:val="en-CA"/>
              </w:rPr>
              <w:t>(Lévesque and Gagné JJ.A. and Cotnam J.A.</w:t>
            </w:r>
          </w:p>
          <w:p w:rsidR="00860B41" w:rsidRPr="0091707B" w:rsidRDefault="00860B41" w:rsidP="00860B41">
            <w:pPr>
              <w:jc w:val="both"/>
              <w:rPr>
                <w:sz w:val="20"/>
                <w:lang w:val="en-CA"/>
              </w:rPr>
            </w:pPr>
            <w:r w:rsidRPr="0091707B">
              <w:rPr>
                <w:sz w:val="20"/>
                <w:lang w:val="en-CA"/>
              </w:rPr>
              <w:t>[dissenting])</w:t>
            </w:r>
          </w:p>
          <w:p w:rsidR="00860B41" w:rsidRPr="0091707B" w:rsidRDefault="00860B41" w:rsidP="00860B41">
            <w:pPr>
              <w:jc w:val="both"/>
              <w:rPr>
                <w:sz w:val="20"/>
                <w:lang w:val="en-CA"/>
              </w:rPr>
            </w:pPr>
            <w:hyperlink r:id="rId29" w:anchor="document" w:history="1">
              <w:r w:rsidRPr="0091707B">
                <w:rPr>
                  <w:rStyle w:val="Hyperlink"/>
                  <w:sz w:val="20"/>
                  <w:lang w:val="en-CA"/>
                </w:rPr>
                <w:t>2022 QCCA 1714</w:t>
              </w:r>
            </w:hyperlink>
            <w:r w:rsidRPr="0091707B">
              <w:rPr>
                <w:sz w:val="20"/>
                <w:lang w:val="en-CA"/>
              </w:rPr>
              <w:t xml:space="preserve">; 200-09-010387-212  </w:t>
            </w:r>
          </w:p>
          <w:p w:rsidR="00860B41" w:rsidRPr="0091707B" w:rsidRDefault="00860B41" w:rsidP="00860B41">
            <w:pPr>
              <w:jc w:val="both"/>
              <w:rPr>
                <w:sz w:val="20"/>
                <w:lang w:val="en-CA"/>
              </w:rPr>
            </w:pPr>
          </w:p>
        </w:tc>
        <w:tc>
          <w:tcPr>
            <w:tcW w:w="243" w:type="pct"/>
          </w:tcPr>
          <w:p w:rsidR="00860B41" w:rsidRPr="0091707B" w:rsidRDefault="00860B41" w:rsidP="00860B41">
            <w:pPr>
              <w:jc w:val="both"/>
              <w:rPr>
                <w:sz w:val="20"/>
                <w:lang w:val="en-CA"/>
              </w:rPr>
            </w:pPr>
          </w:p>
        </w:tc>
        <w:tc>
          <w:tcPr>
            <w:tcW w:w="2330" w:type="pct"/>
          </w:tcPr>
          <w:p w:rsidR="00860B41" w:rsidRPr="0091707B" w:rsidRDefault="00860B41" w:rsidP="00860B41">
            <w:pPr>
              <w:jc w:val="both"/>
              <w:rPr>
                <w:sz w:val="20"/>
                <w:lang w:val="en-CA"/>
              </w:rPr>
            </w:pPr>
            <w:r w:rsidRPr="0091707B">
              <w:rPr>
                <w:sz w:val="20"/>
                <w:lang w:val="en-CA"/>
              </w:rPr>
              <w:t>Appeal dismissed</w:t>
            </w:r>
          </w:p>
          <w:p w:rsidR="00860B41" w:rsidRPr="0091707B" w:rsidRDefault="00860B41" w:rsidP="00860B41">
            <w:pPr>
              <w:jc w:val="both"/>
              <w:rPr>
                <w:sz w:val="20"/>
                <w:lang w:val="en-CA"/>
              </w:rPr>
            </w:pPr>
          </w:p>
        </w:tc>
      </w:tr>
      <w:tr w:rsidR="00860B41" w:rsidRPr="0091707B" w:rsidTr="00860B41">
        <w:tc>
          <w:tcPr>
            <w:tcW w:w="2427" w:type="pct"/>
            <w:gridSpan w:val="2"/>
          </w:tcPr>
          <w:p w:rsidR="00860B41" w:rsidRPr="0091707B" w:rsidRDefault="00860B41" w:rsidP="00860B41">
            <w:pPr>
              <w:jc w:val="both"/>
              <w:rPr>
                <w:sz w:val="20"/>
                <w:lang w:val="en-CA"/>
              </w:rPr>
            </w:pPr>
            <w:r w:rsidRPr="0091707B">
              <w:rPr>
                <w:sz w:val="20"/>
                <w:lang w:val="en-CA"/>
              </w:rPr>
              <w:t>February 17, 2023</w:t>
            </w:r>
          </w:p>
          <w:p w:rsidR="00860B41" w:rsidRPr="0091707B" w:rsidRDefault="00860B41" w:rsidP="00860B41">
            <w:pPr>
              <w:jc w:val="both"/>
              <w:rPr>
                <w:sz w:val="20"/>
                <w:lang w:val="en-CA"/>
              </w:rPr>
            </w:pPr>
            <w:r w:rsidRPr="0091707B">
              <w:rPr>
                <w:sz w:val="20"/>
                <w:lang w:val="en-CA"/>
              </w:rPr>
              <w:t>Supreme Court of Canada</w:t>
            </w:r>
          </w:p>
        </w:tc>
        <w:tc>
          <w:tcPr>
            <w:tcW w:w="243" w:type="pct"/>
          </w:tcPr>
          <w:p w:rsidR="00860B41" w:rsidRPr="0091707B" w:rsidRDefault="00860B41" w:rsidP="00860B41">
            <w:pPr>
              <w:jc w:val="both"/>
              <w:rPr>
                <w:sz w:val="20"/>
                <w:lang w:val="en-CA"/>
              </w:rPr>
            </w:pPr>
          </w:p>
        </w:tc>
        <w:tc>
          <w:tcPr>
            <w:tcW w:w="2330" w:type="pct"/>
          </w:tcPr>
          <w:p w:rsidR="00860B41" w:rsidRPr="0091707B" w:rsidRDefault="00860B41" w:rsidP="00860B41">
            <w:pPr>
              <w:jc w:val="both"/>
              <w:rPr>
                <w:sz w:val="20"/>
                <w:lang w:val="en-CA"/>
              </w:rPr>
            </w:pPr>
            <w:r w:rsidRPr="0091707B">
              <w:rPr>
                <w:sz w:val="20"/>
                <w:lang w:val="en-CA"/>
              </w:rPr>
              <w:t>Application for leave to appeal filed</w:t>
            </w:r>
          </w:p>
          <w:p w:rsidR="00860B41" w:rsidRPr="0091707B" w:rsidRDefault="00860B41" w:rsidP="00860B41">
            <w:pPr>
              <w:jc w:val="both"/>
              <w:rPr>
                <w:sz w:val="20"/>
                <w:lang w:val="en-CA"/>
              </w:rPr>
            </w:pPr>
          </w:p>
        </w:tc>
      </w:tr>
    </w:tbl>
    <w:p w:rsidR="00860B41" w:rsidRPr="0091707B" w:rsidRDefault="00860B41" w:rsidP="00860B41">
      <w:pPr>
        <w:jc w:val="both"/>
        <w:rPr>
          <w:sz w:val="20"/>
          <w:lang w:val="en-CA"/>
        </w:rPr>
      </w:pPr>
    </w:p>
    <w:p w:rsidR="008A5C02" w:rsidRPr="0091707B" w:rsidRDefault="008A5C02" w:rsidP="00860B41">
      <w:pPr>
        <w:jc w:val="both"/>
        <w:rPr>
          <w:sz w:val="20"/>
          <w:lang w:val="en-CA"/>
        </w:rPr>
      </w:pPr>
      <w:r w:rsidRPr="0091707B">
        <w:rPr>
          <w:sz w:val="20"/>
        </w:rPr>
        <w:pict>
          <v:rect id="_x0000_i1029" style="width:2in;height:1pt" o:hrpct="0" o:hralign="center" o:hrstd="t" o:hrnoshade="t" o:hr="t" fillcolor="black [3213]" stroked="f"/>
        </w:pict>
      </w:r>
    </w:p>
    <w:p w:rsidR="008A5C02" w:rsidRPr="0091707B" w:rsidRDefault="008A5C02" w:rsidP="00860B4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40626</w:t>
            </w:r>
          </w:p>
        </w:tc>
        <w:tc>
          <w:tcPr>
            <w:tcW w:w="4457" w:type="pct"/>
            <w:gridSpan w:val="3"/>
          </w:tcPr>
          <w:p w:rsidR="00860B41" w:rsidRPr="0091707B" w:rsidRDefault="00860B41" w:rsidP="00860B41">
            <w:pPr>
              <w:pStyle w:val="SCCLsocParty"/>
              <w:jc w:val="both"/>
              <w:rPr>
                <w:b/>
                <w:sz w:val="20"/>
                <w:szCs w:val="20"/>
              </w:rPr>
            </w:pPr>
            <w:r w:rsidRPr="0091707B">
              <w:rPr>
                <w:b/>
                <w:sz w:val="20"/>
                <w:szCs w:val="20"/>
              </w:rPr>
              <w:t xml:space="preserve">Hydro-Québec c. Syndicat des </w:t>
            </w:r>
            <w:proofErr w:type="gramStart"/>
            <w:r w:rsidRPr="0091707B">
              <w:rPr>
                <w:b/>
                <w:sz w:val="20"/>
                <w:szCs w:val="20"/>
              </w:rPr>
              <w:t>employé-</w:t>
            </w:r>
            <w:proofErr w:type="gramEnd"/>
            <w:r w:rsidRPr="0091707B">
              <w:rPr>
                <w:b/>
                <w:sz w:val="20"/>
                <w:szCs w:val="20"/>
              </w:rPr>
              <w:t>es de métiers d'Hydro-Québec, section locale 1500 (SCFP-FTQ)</w:t>
            </w:r>
          </w:p>
          <w:p w:rsidR="00860B41" w:rsidRPr="0091707B" w:rsidRDefault="00860B41" w:rsidP="00860B41">
            <w:pPr>
              <w:jc w:val="both"/>
              <w:rPr>
                <w:b/>
                <w:sz w:val="20"/>
                <w:lang w:val="fr-CA"/>
              </w:rPr>
            </w:pPr>
            <w:r w:rsidRPr="0091707B">
              <w:rPr>
                <w:b/>
                <w:sz w:val="20"/>
                <w:lang w:val="fr-CA"/>
              </w:rPr>
              <w:t>-et-</w:t>
            </w:r>
          </w:p>
          <w:p w:rsidR="00860B41" w:rsidRPr="0091707B" w:rsidRDefault="00860B41" w:rsidP="00860B41">
            <w:pPr>
              <w:jc w:val="both"/>
              <w:rPr>
                <w:b/>
                <w:sz w:val="20"/>
                <w:lang w:val="fr-CA"/>
              </w:rPr>
            </w:pPr>
            <w:r w:rsidRPr="0091707B">
              <w:rPr>
                <w:b/>
                <w:sz w:val="20"/>
                <w:lang w:val="fr-CA"/>
              </w:rPr>
              <w:t>Pierre-Georges Roy, en sa qualité d’arbitre de griefs</w:t>
            </w:r>
          </w:p>
          <w:p w:rsidR="00860B41" w:rsidRPr="0091707B" w:rsidRDefault="00860B41" w:rsidP="00860B41">
            <w:pPr>
              <w:jc w:val="both"/>
              <w:rPr>
                <w:sz w:val="20"/>
              </w:rPr>
            </w:pPr>
            <w:r w:rsidRPr="0091707B">
              <w:rPr>
                <w:sz w:val="20"/>
              </w:rPr>
              <w:t>(Qc) (Civile) (Autorisation)</w:t>
            </w: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Droit administratif — Contrôle judiciaire — Sentence arbitrale — Norme de contrôle — Notion d’issue raisonnable — Est-il d’intérêt public que cette Cour intervienne pour écarter la notion d’issue raisonnable en regard des faits et du droit ou, à tout le moins, pour en préciser le rôle et la portée en matière de contrôle judiciaire?</w:t>
            </w:r>
          </w:p>
        </w:tc>
      </w:tr>
      <w:tr w:rsidR="00860B41" w:rsidRPr="0091707B" w:rsidTr="00860B41">
        <w:tc>
          <w:tcPr>
            <w:tcW w:w="5000" w:type="pct"/>
            <w:gridSpan w:val="4"/>
          </w:tcPr>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En 2019, la demanderesse Hydro-Québec (« Employeur ») modifie unilatéralement les conditions de travail des opérateurs mobiles qui travaillent dans les centrales hydroélectriques Outardes-3, Outardes-4, Manic 3 et au Poste Micoua dans la région de Manicouagan (collectivement, les « centrales du Milieu du complexe ») qui sont prévues dans des lettres d’entente dont l’application remonte aux années 1980. L’intimé, le Syndicat des employé-es de métiers d’Hydro-Québec, section locale 1500 (SCFP-FTQ) (« Syndicat »), dépose un grief visant à forcer l’Employeur à respecter les droits et privilèges rattachés à la convention collective et aux lettres d’entente, tout en recherchant une compensation financière pour la perte des avantages prévus à celles-ci et des dommages-intérêts exemplaires. L’arbitre, M</w:t>
            </w:r>
            <w:r w:rsidRPr="0091707B">
              <w:rPr>
                <w:sz w:val="20"/>
                <w:vertAlign w:val="superscript"/>
                <w:lang w:val="fr-CA"/>
              </w:rPr>
              <w:t>e</w:t>
            </w:r>
            <w:r w:rsidRPr="0091707B">
              <w:rPr>
                <w:sz w:val="20"/>
                <w:lang w:val="fr-CA"/>
              </w:rPr>
              <w:t xml:space="preserve"> Pierre-Georges Roy, rejette le grief syndical en se fondant sur le droit de gérance de l’Employeur. Le juge de première instance estime que la conclusion retenue par l’arbitre n’est pas une issue raisonnable. Il accueille la demande en contrôle judiciaire, annule la décision de l’arbitre, accueille le grief et ordonne à l’Employeur de respecter intégralement les lettres d’entente. Il retourne le dossier à un autre arbitre afin que soit décidé de la question des dommages et de la compensation monétaire à laquelle les salariés lésés ont droit. La Cour d’appel rejette l’appel à la majorité au motif que la sentence arbitrale est déraisonnable.</w:t>
            </w:r>
          </w:p>
        </w:tc>
      </w:tr>
      <w:tr w:rsidR="00860B41" w:rsidRPr="0091707B" w:rsidTr="00860B41">
        <w:tc>
          <w:tcPr>
            <w:tcW w:w="5000" w:type="pct"/>
            <w:gridSpan w:val="4"/>
          </w:tcPr>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Le 25 juin 2021</w:t>
            </w:r>
          </w:p>
          <w:p w:rsidR="00860B41" w:rsidRPr="0091707B" w:rsidRDefault="00860B41" w:rsidP="00860B41">
            <w:pPr>
              <w:jc w:val="both"/>
              <w:rPr>
                <w:sz w:val="20"/>
                <w:lang w:val="fr-CA"/>
              </w:rPr>
            </w:pPr>
            <w:r w:rsidRPr="0091707B">
              <w:rPr>
                <w:sz w:val="20"/>
                <w:lang w:val="fr-CA"/>
              </w:rPr>
              <w:t>Cour supérieure du Québec</w:t>
            </w:r>
          </w:p>
          <w:p w:rsidR="00860B41" w:rsidRPr="0091707B" w:rsidRDefault="00860B41" w:rsidP="00860B41">
            <w:pPr>
              <w:jc w:val="both"/>
              <w:rPr>
                <w:sz w:val="20"/>
              </w:rPr>
            </w:pPr>
            <w:r w:rsidRPr="0091707B">
              <w:rPr>
                <w:sz w:val="20"/>
              </w:rPr>
              <w:t>(Juge Francoeur)</w:t>
            </w:r>
          </w:p>
          <w:p w:rsidR="00860B41" w:rsidRPr="0091707B" w:rsidRDefault="00860B41" w:rsidP="00860B41">
            <w:pPr>
              <w:jc w:val="both"/>
              <w:rPr>
                <w:sz w:val="20"/>
              </w:rPr>
            </w:pPr>
            <w:hyperlink r:id="rId30" w:history="1">
              <w:r w:rsidRPr="0091707B">
                <w:rPr>
                  <w:rStyle w:val="Hyperlink"/>
                  <w:sz w:val="20"/>
                </w:rPr>
                <w:t>2021 QCCS 3043</w:t>
              </w:r>
            </w:hyperlink>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lang w:val="fr-CA"/>
              </w:rPr>
            </w:pPr>
            <w:r w:rsidRPr="0091707B">
              <w:rPr>
                <w:sz w:val="20"/>
                <w:lang w:val="fr-CA"/>
              </w:rPr>
              <w:t>Demande en contrôle judiciaire accueillie; décision de l’arbitre annulée; grief accueilli; dossier retourné à un autre arbitre afin que soit décidé de la question des dommages et de la compensation monétaire à laquelle les salariés lésés ont droit</w:t>
            </w:r>
          </w:p>
          <w:p w:rsidR="00A24668" w:rsidRPr="0091707B" w:rsidRDefault="00A24668"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Le 22 décembre 2022</w:t>
            </w:r>
          </w:p>
          <w:p w:rsidR="00860B41" w:rsidRPr="0091707B" w:rsidRDefault="00860B41" w:rsidP="00860B41">
            <w:pPr>
              <w:jc w:val="both"/>
              <w:rPr>
                <w:sz w:val="20"/>
                <w:lang w:val="fr-CA"/>
              </w:rPr>
            </w:pPr>
            <w:r w:rsidRPr="0091707B">
              <w:rPr>
                <w:sz w:val="20"/>
                <w:lang w:val="fr-CA"/>
              </w:rPr>
              <w:t>Cour d’appel du Québec (Québec)</w:t>
            </w:r>
          </w:p>
          <w:p w:rsidR="00860B41" w:rsidRPr="0091707B" w:rsidRDefault="00860B41" w:rsidP="00860B41">
            <w:pPr>
              <w:jc w:val="both"/>
              <w:rPr>
                <w:sz w:val="20"/>
                <w:lang w:val="fr-CA"/>
              </w:rPr>
            </w:pPr>
            <w:r w:rsidRPr="0091707B">
              <w:rPr>
                <w:sz w:val="20"/>
                <w:lang w:val="fr-CA"/>
              </w:rPr>
              <w:t xml:space="preserve">(Juges Lévesque, Gagné et Cotnam </w:t>
            </w:r>
          </w:p>
          <w:p w:rsidR="00860B41" w:rsidRPr="0091707B" w:rsidRDefault="00860B41" w:rsidP="00860B41">
            <w:pPr>
              <w:jc w:val="both"/>
              <w:rPr>
                <w:sz w:val="20"/>
                <w:lang w:val="fr-CA"/>
              </w:rPr>
            </w:pPr>
            <w:r w:rsidRPr="0091707B">
              <w:rPr>
                <w:sz w:val="20"/>
                <w:lang w:val="fr-CA"/>
              </w:rPr>
              <w:t>[dissidente])</w:t>
            </w:r>
          </w:p>
          <w:p w:rsidR="00860B41" w:rsidRPr="0091707B" w:rsidRDefault="00860B41" w:rsidP="00860B41">
            <w:pPr>
              <w:jc w:val="both"/>
              <w:rPr>
                <w:sz w:val="20"/>
              </w:rPr>
            </w:pPr>
            <w:hyperlink r:id="rId31" w:anchor="document" w:history="1">
              <w:r w:rsidRPr="0091707B">
                <w:rPr>
                  <w:rStyle w:val="Hyperlink"/>
                  <w:sz w:val="20"/>
                </w:rPr>
                <w:t>2022 QCCA 1714</w:t>
              </w:r>
            </w:hyperlink>
            <w:r w:rsidRPr="0091707B">
              <w:rPr>
                <w:sz w:val="20"/>
              </w:rPr>
              <w:t xml:space="preserve">; 200-09-010387-212  </w:t>
            </w:r>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Appel rejeté</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Le 17 février 2023</w:t>
            </w:r>
          </w:p>
          <w:p w:rsidR="00860B41" w:rsidRPr="0091707B" w:rsidRDefault="00860B41" w:rsidP="00860B41">
            <w:pPr>
              <w:jc w:val="both"/>
              <w:rPr>
                <w:sz w:val="20"/>
                <w:lang w:val="fr-CA"/>
              </w:rPr>
            </w:pPr>
            <w:r w:rsidRPr="0091707B">
              <w:rPr>
                <w:sz w:val="20"/>
                <w:lang w:val="fr-CA"/>
              </w:rPr>
              <w:t>Cour suprême du Canada</w:t>
            </w: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rPr>
            </w:pPr>
            <w:r w:rsidRPr="0091707B">
              <w:rPr>
                <w:sz w:val="20"/>
              </w:rPr>
              <w:t>Demande d'autorisation d'appel déposée</w:t>
            </w:r>
          </w:p>
          <w:p w:rsidR="00860B41" w:rsidRPr="0091707B" w:rsidRDefault="00860B41" w:rsidP="00860B41">
            <w:pPr>
              <w:jc w:val="both"/>
              <w:rPr>
                <w:sz w:val="20"/>
              </w:rPr>
            </w:pPr>
          </w:p>
        </w:tc>
      </w:tr>
    </w:tbl>
    <w:p w:rsidR="00860B41" w:rsidRPr="0091707B" w:rsidRDefault="00860B41" w:rsidP="00860B41">
      <w:pPr>
        <w:jc w:val="both"/>
        <w:rPr>
          <w:sz w:val="20"/>
        </w:rPr>
      </w:pPr>
    </w:p>
    <w:p w:rsidR="008A5C02" w:rsidRPr="0091707B" w:rsidRDefault="008A5C02" w:rsidP="00860B41">
      <w:pPr>
        <w:jc w:val="both"/>
        <w:rPr>
          <w:sz w:val="20"/>
        </w:rPr>
      </w:pPr>
      <w:r w:rsidRPr="0091707B">
        <w:rPr>
          <w:sz w:val="20"/>
        </w:rPr>
        <w:pict>
          <v:rect id="_x0000_i1030" style="width:2in;height:1pt" o:hrpct="0" o:hralign="center" o:hrstd="t" o:hrnoshade="t" o:hr="t" fillcolor="black [3213]" stroked="f"/>
        </w:pict>
      </w:r>
    </w:p>
    <w:p w:rsidR="008A5C02" w:rsidRPr="0091707B" w:rsidRDefault="008A5C02" w:rsidP="00860B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40603</w:t>
            </w:r>
          </w:p>
        </w:tc>
        <w:tc>
          <w:tcPr>
            <w:tcW w:w="4457" w:type="pct"/>
            <w:gridSpan w:val="3"/>
          </w:tcPr>
          <w:p w:rsidR="00860B41" w:rsidRPr="0091707B" w:rsidRDefault="00860B41" w:rsidP="00860B41">
            <w:pPr>
              <w:pStyle w:val="SCCLsocParty"/>
              <w:jc w:val="both"/>
              <w:rPr>
                <w:b/>
                <w:sz w:val="20"/>
                <w:szCs w:val="20"/>
                <w:lang w:val="en-US"/>
              </w:rPr>
            </w:pPr>
            <w:r w:rsidRPr="0091707B">
              <w:rPr>
                <w:b/>
                <w:sz w:val="20"/>
                <w:szCs w:val="20"/>
                <w:lang w:val="en-US"/>
              </w:rPr>
              <w:t>Donald Blenus v. Charles Fraser</w:t>
            </w:r>
          </w:p>
          <w:p w:rsidR="00860B41" w:rsidRPr="0091707B" w:rsidRDefault="00860B41" w:rsidP="00860B41">
            <w:pPr>
              <w:jc w:val="both"/>
              <w:rPr>
                <w:sz w:val="20"/>
              </w:rPr>
            </w:pPr>
            <w:r w:rsidRPr="0091707B">
              <w:rPr>
                <w:sz w:val="20"/>
              </w:rPr>
              <w:t>(N.S.) (Civil) (By Leave)</w:t>
            </w:r>
          </w:p>
        </w:tc>
      </w:tr>
      <w:tr w:rsidR="00860B41" w:rsidRPr="0091707B" w:rsidTr="00860B41">
        <w:tc>
          <w:tcPr>
            <w:tcW w:w="5000" w:type="pct"/>
            <w:gridSpan w:val="4"/>
          </w:tcPr>
          <w:p w:rsidR="00860B41" w:rsidRPr="0091707B" w:rsidRDefault="00860B41" w:rsidP="00860B41">
            <w:pPr>
              <w:jc w:val="both"/>
              <w:rPr>
                <w:sz w:val="20"/>
              </w:rPr>
            </w:pPr>
            <w:r w:rsidRPr="0091707B">
              <w:rPr>
                <w:sz w:val="20"/>
              </w:rPr>
              <w:t>Damages — Quantum — Loss of income — Diminished earning capacity — Mitigation – Causation — Applicant involved in motor vehicle accident with respondent — Applicant formerly operating general construction business – Business shut down in years following accident — Did the trial judge err in his assessment of damages related to loss of income and/or diminished earning capacity?</w:t>
            </w:r>
          </w:p>
        </w:tc>
      </w:tr>
      <w:tr w:rsidR="00860B41" w:rsidRPr="0091707B" w:rsidTr="00860B41">
        <w:tc>
          <w:tcPr>
            <w:tcW w:w="5000" w:type="pct"/>
            <w:gridSpan w:val="4"/>
          </w:tcPr>
          <w:p w:rsidR="00860B41" w:rsidRPr="0091707B" w:rsidRDefault="00860B41" w:rsidP="00860B41">
            <w:pPr>
              <w:jc w:val="both"/>
              <w:rPr>
                <w:sz w:val="20"/>
              </w:rPr>
            </w:pPr>
          </w:p>
          <w:p w:rsidR="00860B41" w:rsidRPr="0091707B" w:rsidRDefault="00860B41" w:rsidP="00860B41">
            <w:pPr>
              <w:jc w:val="both"/>
              <w:rPr>
                <w:sz w:val="20"/>
              </w:rPr>
            </w:pPr>
            <w:r w:rsidRPr="0091707B">
              <w:rPr>
                <w:color w:val="000000"/>
                <w:sz w:val="20"/>
              </w:rPr>
              <w:t>The applicant, Mr. Blenus, suffered injuries in a motor vehicle accident. He sued the respondent, Mr. Fraser, for damages. Though liability was admitted by Mr. Fraser, damages and their causation were at issue in the courts below. The trial judge denied Mr. Blenus’s claims for loss of income and diminished earning capacity. He rejected the premise that the injuries caused Mr. Blenus to close his profitable construction business, resulting in financial loss, and he found that Mr. Blenus could have mitigated any financial loss but elected not to do so. On appeal, Mr. Blenus continued to contend that the judge erred by failing to award any amount of damage for these claims. The Court of Appeal dismissed his appeal. It noted that Mr. Blenus did not demonstrate any error committed by the judge.</w:t>
            </w:r>
          </w:p>
        </w:tc>
      </w:tr>
      <w:tr w:rsidR="00860B41" w:rsidRPr="0091707B" w:rsidTr="00860B41">
        <w:tc>
          <w:tcPr>
            <w:tcW w:w="5000" w:type="pct"/>
            <w:gridSpan w:val="4"/>
          </w:tcPr>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March 2, 2021</w:t>
            </w:r>
          </w:p>
          <w:p w:rsidR="00860B41" w:rsidRPr="0091707B" w:rsidRDefault="00860B41" w:rsidP="00860B41">
            <w:pPr>
              <w:jc w:val="both"/>
              <w:rPr>
                <w:sz w:val="20"/>
              </w:rPr>
            </w:pPr>
            <w:r w:rsidRPr="0091707B">
              <w:rPr>
                <w:sz w:val="20"/>
              </w:rPr>
              <w:t>Supreme Court of Nova Scotia</w:t>
            </w:r>
          </w:p>
          <w:p w:rsidR="00860B41" w:rsidRPr="0091707B" w:rsidRDefault="00860B41" w:rsidP="00860B41">
            <w:pPr>
              <w:jc w:val="both"/>
              <w:rPr>
                <w:sz w:val="20"/>
              </w:rPr>
            </w:pPr>
            <w:r w:rsidRPr="0091707B">
              <w:rPr>
                <w:sz w:val="20"/>
              </w:rPr>
              <w:t>(Warner J.)</w:t>
            </w:r>
          </w:p>
          <w:p w:rsidR="00860B41" w:rsidRPr="0091707B" w:rsidRDefault="00860B41" w:rsidP="00860B41">
            <w:pPr>
              <w:jc w:val="both"/>
              <w:rPr>
                <w:sz w:val="20"/>
              </w:rPr>
            </w:pPr>
            <w:r w:rsidRPr="0091707B">
              <w:rPr>
                <w:sz w:val="20"/>
              </w:rPr>
              <w:t>Ken No. 441592</w:t>
            </w:r>
          </w:p>
          <w:p w:rsidR="00860B41" w:rsidRPr="0091707B" w:rsidRDefault="00860B41" w:rsidP="00860B41">
            <w:pPr>
              <w:jc w:val="both"/>
              <w:rPr>
                <w:sz w:val="20"/>
              </w:rPr>
            </w:pPr>
            <w:hyperlink r:id="rId32" w:history="1">
              <w:r w:rsidRPr="0091707B">
                <w:rPr>
                  <w:rStyle w:val="Hyperlink"/>
                  <w:sz w:val="20"/>
                </w:rPr>
                <w:t>2021 NSSC 79</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General damages of $100,000, damages for loss of housekeeping and valuable services of $25,000, and damages for cost of future care of $25,000 awarded to applicant;  damages reduced by 25 percent due to failure to mitigate</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December 7, 2022</w:t>
            </w:r>
          </w:p>
          <w:p w:rsidR="00860B41" w:rsidRPr="0091707B" w:rsidRDefault="00860B41" w:rsidP="00860B41">
            <w:pPr>
              <w:jc w:val="both"/>
              <w:rPr>
                <w:sz w:val="20"/>
              </w:rPr>
            </w:pPr>
            <w:r w:rsidRPr="0091707B">
              <w:rPr>
                <w:sz w:val="20"/>
              </w:rPr>
              <w:t>Nova Scotia Court of Appeal</w:t>
            </w:r>
          </w:p>
          <w:p w:rsidR="00860B41" w:rsidRPr="0091707B" w:rsidRDefault="00860B41" w:rsidP="00860B41">
            <w:pPr>
              <w:jc w:val="both"/>
              <w:rPr>
                <w:sz w:val="20"/>
              </w:rPr>
            </w:pPr>
            <w:r w:rsidRPr="0091707B">
              <w:rPr>
                <w:sz w:val="20"/>
              </w:rPr>
              <w:t>(Van den Eynden, Bryson and Derrick JJ.A.)</w:t>
            </w:r>
          </w:p>
          <w:p w:rsidR="00860B41" w:rsidRPr="0091707B" w:rsidRDefault="00860B41" w:rsidP="00860B41">
            <w:pPr>
              <w:jc w:val="both"/>
              <w:rPr>
                <w:sz w:val="20"/>
              </w:rPr>
            </w:pPr>
            <w:r w:rsidRPr="0091707B">
              <w:rPr>
                <w:sz w:val="20"/>
              </w:rPr>
              <w:t>No. CA 508019</w:t>
            </w:r>
          </w:p>
          <w:p w:rsidR="00860B41" w:rsidRPr="0091707B" w:rsidRDefault="00860B41" w:rsidP="00860B41">
            <w:pPr>
              <w:jc w:val="both"/>
              <w:rPr>
                <w:sz w:val="20"/>
              </w:rPr>
            </w:pPr>
            <w:hyperlink r:id="rId33" w:history="1">
              <w:r w:rsidRPr="0091707B">
                <w:rPr>
                  <w:rStyle w:val="Hyperlink"/>
                  <w:sz w:val="20"/>
                </w:rPr>
                <w:t>2022 NSCA 73</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Appeal dismissed</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February 2, 2023</w:t>
            </w:r>
          </w:p>
          <w:p w:rsidR="00860B41" w:rsidRPr="0091707B" w:rsidRDefault="00860B41" w:rsidP="00860B41">
            <w:pPr>
              <w:jc w:val="both"/>
              <w:rPr>
                <w:sz w:val="20"/>
              </w:rPr>
            </w:pPr>
            <w:r w:rsidRPr="0091707B">
              <w:rPr>
                <w:sz w:val="20"/>
              </w:rPr>
              <w:t>Supreme Court of Canada</w:t>
            </w: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Application for leave to appeal filed</w:t>
            </w:r>
          </w:p>
          <w:p w:rsidR="00860B41" w:rsidRPr="0091707B" w:rsidRDefault="00860B41" w:rsidP="00860B41">
            <w:pPr>
              <w:jc w:val="both"/>
              <w:rPr>
                <w:sz w:val="20"/>
              </w:rPr>
            </w:pPr>
          </w:p>
        </w:tc>
      </w:tr>
    </w:tbl>
    <w:p w:rsidR="00860B41" w:rsidRPr="0091707B" w:rsidRDefault="00860B41" w:rsidP="00860B41">
      <w:pPr>
        <w:jc w:val="both"/>
        <w:rPr>
          <w:sz w:val="20"/>
        </w:rPr>
      </w:pPr>
    </w:p>
    <w:p w:rsidR="008A5C02" w:rsidRPr="0091707B" w:rsidRDefault="008A5C02" w:rsidP="00860B41">
      <w:pPr>
        <w:jc w:val="both"/>
        <w:rPr>
          <w:sz w:val="20"/>
        </w:rPr>
      </w:pPr>
      <w:r w:rsidRPr="0091707B">
        <w:rPr>
          <w:sz w:val="20"/>
        </w:rPr>
        <w:pict>
          <v:rect id="_x0000_i1031" style="width:2in;height:1pt" o:hrpct="0" o:hralign="center" o:hrstd="t" o:hrnoshade="t" o:hr="t" fillcolor="black [3213]" stroked="f"/>
        </w:pict>
      </w:r>
    </w:p>
    <w:p w:rsidR="008A5C02" w:rsidRPr="0091707B" w:rsidRDefault="008A5C02" w:rsidP="00860B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lang w:val="fr-CA"/>
              </w:rPr>
            </w:pPr>
            <w:r w:rsidRPr="0091707B">
              <w:rPr>
                <w:rStyle w:val="SCCFileNumberChar"/>
                <w:sz w:val="20"/>
                <w:szCs w:val="20"/>
                <w:lang w:val="fr-CA"/>
              </w:rPr>
              <w:t>40603</w:t>
            </w:r>
          </w:p>
        </w:tc>
        <w:tc>
          <w:tcPr>
            <w:tcW w:w="4457" w:type="pct"/>
            <w:gridSpan w:val="3"/>
          </w:tcPr>
          <w:p w:rsidR="00860B41" w:rsidRPr="0091707B" w:rsidRDefault="00860B41" w:rsidP="00860B41">
            <w:pPr>
              <w:pStyle w:val="SCCLsocParty"/>
              <w:jc w:val="both"/>
              <w:rPr>
                <w:b/>
                <w:sz w:val="20"/>
                <w:szCs w:val="20"/>
              </w:rPr>
            </w:pPr>
            <w:r w:rsidRPr="0091707B">
              <w:rPr>
                <w:b/>
                <w:sz w:val="20"/>
                <w:szCs w:val="20"/>
              </w:rPr>
              <w:t>Donald Blenus c. Charles Fraser</w:t>
            </w:r>
          </w:p>
          <w:p w:rsidR="00860B41" w:rsidRPr="0091707B" w:rsidRDefault="00860B41" w:rsidP="00860B41">
            <w:pPr>
              <w:jc w:val="both"/>
              <w:rPr>
                <w:sz w:val="20"/>
                <w:lang w:val="fr-CA"/>
              </w:rPr>
            </w:pPr>
            <w:r w:rsidRPr="0091707B">
              <w:rPr>
                <w:sz w:val="20"/>
                <w:lang w:val="fr-CA"/>
              </w:rPr>
              <w:t>(N.-É.) (Civile) (Autorisation)</w:t>
            </w: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Dommages-intérêts — Quantum — Perte de revenus — Capacité limitée de gagner sa vie — Atténuation – Lien de causalité — Demandeur impliqué dans un accident de véhicule à moteur avec le défendeur — Demandeur exploitant anciennement une entreprise de construction générale – Entreprise cessant ses activités dans les années suivant l’accident — Le juge du procès a-t-il commis une erreur dans son évaluation des dommages-intérêt liés à la perte de revenus et/ou la capacité limitée de gagner sa vie?</w:t>
            </w:r>
          </w:p>
        </w:tc>
      </w:tr>
      <w:tr w:rsidR="00860B41" w:rsidRPr="0091707B" w:rsidTr="00860B41">
        <w:tc>
          <w:tcPr>
            <w:tcW w:w="5000" w:type="pct"/>
            <w:gridSpan w:val="4"/>
          </w:tcPr>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color w:val="000000"/>
                <w:sz w:val="20"/>
                <w:lang w:val="fr-CA"/>
              </w:rPr>
              <w:t>Le demandeur, M. Blenus, a subi des blessures dans un accident de voiture. Il a poursuivi en justice le défendeur, M. Fraser, en vue d’obtenir des dommages-intérêts. Même si M. Fraser a reconnu sa responsabilité, les dommages-intérêts et leur lien de causalité étaient en litige devant les juridictions inférieures. Le juge du procès a rejeté les demandes de M. Blenus relatives à la perte de revenus et à la capacité limitée de gagner sa vie. Il a rejeté la prémisse selon laquelle les blessures ont causé la fermeture de l’entreprise rentable de construction générale de M. Blenus, entraînant des pertes financières, et il a conclu que M. Blenus aurait pu atténuer toute perte financière, mais a choisi de ne pas le faire. En appel, M. Blenus a continué à affirmer que le juge a commis une erreur en omettant d’accorder quelque montant que ce soit pour les dommages-intérêts relatifs à ces demandes. La Cour d’appel a rejeté son appel. Elle a estimé que M. Blenus n’avait pas démontré que le juge avait commis une erreur.</w:t>
            </w:r>
          </w:p>
        </w:tc>
      </w:tr>
      <w:tr w:rsidR="00860B41" w:rsidRPr="0091707B" w:rsidTr="00860B41">
        <w:tc>
          <w:tcPr>
            <w:tcW w:w="5000" w:type="pct"/>
            <w:gridSpan w:val="4"/>
          </w:tcPr>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2 mars 2021</w:t>
            </w:r>
          </w:p>
          <w:p w:rsidR="00860B41" w:rsidRPr="0091707B" w:rsidRDefault="00860B41" w:rsidP="00860B41">
            <w:pPr>
              <w:jc w:val="both"/>
              <w:rPr>
                <w:sz w:val="20"/>
                <w:lang w:val="fr-CA"/>
              </w:rPr>
            </w:pPr>
            <w:r w:rsidRPr="0091707B">
              <w:rPr>
                <w:sz w:val="20"/>
                <w:lang w:val="fr-CA"/>
              </w:rPr>
              <w:t>Cour suprême de la Nouvelle-Écosse</w:t>
            </w:r>
          </w:p>
          <w:p w:rsidR="00860B41" w:rsidRPr="0091707B" w:rsidRDefault="00860B41" w:rsidP="00860B41">
            <w:pPr>
              <w:jc w:val="both"/>
              <w:rPr>
                <w:sz w:val="20"/>
              </w:rPr>
            </w:pPr>
            <w:r w:rsidRPr="0091707B">
              <w:rPr>
                <w:sz w:val="20"/>
              </w:rPr>
              <w:t>(juge Warner)</w:t>
            </w:r>
          </w:p>
          <w:p w:rsidR="00860B41" w:rsidRPr="0091707B" w:rsidRDefault="00860B41" w:rsidP="00860B41">
            <w:pPr>
              <w:jc w:val="both"/>
              <w:rPr>
                <w:sz w:val="20"/>
              </w:rPr>
            </w:pPr>
            <w:r w:rsidRPr="0091707B">
              <w:rPr>
                <w:sz w:val="20"/>
              </w:rPr>
              <w:t>Ken n</w:t>
            </w:r>
            <w:r w:rsidRPr="0091707B">
              <w:rPr>
                <w:sz w:val="20"/>
                <w:vertAlign w:val="superscript"/>
              </w:rPr>
              <w:t>o</w:t>
            </w:r>
            <w:r w:rsidRPr="0091707B">
              <w:rPr>
                <w:sz w:val="20"/>
              </w:rPr>
              <w:t> 441592</w:t>
            </w:r>
          </w:p>
          <w:p w:rsidR="00860B41" w:rsidRPr="0091707B" w:rsidRDefault="00860B41" w:rsidP="00860B41">
            <w:pPr>
              <w:jc w:val="both"/>
              <w:rPr>
                <w:sz w:val="20"/>
              </w:rPr>
            </w:pPr>
            <w:hyperlink r:id="rId34" w:history="1">
              <w:r w:rsidRPr="0091707B">
                <w:rPr>
                  <w:rStyle w:val="Hyperlink"/>
                  <w:sz w:val="20"/>
                </w:rPr>
                <w:t>2021 NSSC 79</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lang w:val="fr-CA"/>
              </w:rPr>
            </w:pPr>
            <w:r w:rsidRPr="0091707B">
              <w:rPr>
                <w:sz w:val="20"/>
                <w:lang w:val="fr-CA"/>
              </w:rPr>
              <w:t xml:space="preserve">Dommages-intérêts généraux de 100 000 $, dommages-intérêts pour perte d’entretien domestique et services valables de 25 000 $, et dommages-intérêts pour les coûts de soins à venir de 25 000 $, adjugés au demandeur; dommages-intérêts réduits de 25 %, en raison de l’absence d’atténuation </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7 décembre 2022</w:t>
            </w:r>
          </w:p>
          <w:p w:rsidR="00860B41" w:rsidRPr="0091707B" w:rsidRDefault="00860B41" w:rsidP="00860B41">
            <w:pPr>
              <w:jc w:val="both"/>
              <w:rPr>
                <w:sz w:val="20"/>
                <w:lang w:val="fr-CA"/>
              </w:rPr>
            </w:pPr>
            <w:r w:rsidRPr="0091707B">
              <w:rPr>
                <w:sz w:val="20"/>
                <w:lang w:val="fr-CA"/>
              </w:rPr>
              <w:t>Cour d’appel de la Nouvelle-Écosse</w:t>
            </w:r>
          </w:p>
          <w:p w:rsidR="00860B41" w:rsidRPr="0091707B" w:rsidRDefault="00860B41" w:rsidP="00860B41">
            <w:pPr>
              <w:jc w:val="both"/>
              <w:rPr>
                <w:sz w:val="20"/>
                <w:lang w:val="fr-CA"/>
              </w:rPr>
            </w:pPr>
            <w:r w:rsidRPr="0091707B">
              <w:rPr>
                <w:sz w:val="20"/>
                <w:lang w:val="fr-CA"/>
              </w:rPr>
              <w:t>(Van den Eynden, Bryson et Derrick)</w:t>
            </w:r>
          </w:p>
          <w:p w:rsidR="00860B41" w:rsidRPr="0091707B" w:rsidRDefault="00860B41" w:rsidP="00860B41">
            <w:pPr>
              <w:jc w:val="both"/>
              <w:rPr>
                <w:sz w:val="20"/>
                <w:lang w:val="fr-CA"/>
              </w:rPr>
            </w:pPr>
            <w:r w:rsidRPr="0091707B">
              <w:rPr>
                <w:sz w:val="20"/>
                <w:lang w:val="fr-CA"/>
              </w:rPr>
              <w:t>n</w:t>
            </w:r>
            <w:r w:rsidRPr="0091707B">
              <w:rPr>
                <w:sz w:val="20"/>
                <w:vertAlign w:val="superscript"/>
                <w:lang w:val="fr-CA"/>
              </w:rPr>
              <w:t>o</w:t>
            </w:r>
            <w:r w:rsidRPr="0091707B">
              <w:rPr>
                <w:sz w:val="20"/>
                <w:lang w:val="fr-CA"/>
              </w:rPr>
              <w:t> CA 508019</w:t>
            </w:r>
          </w:p>
          <w:p w:rsidR="00860B41" w:rsidRPr="0091707B" w:rsidRDefault="00860B41" w:rsidP="00860B41">
            <w:pPr>
              <w:jc w:val="both"/>
              <w:rPr>
                <w:sz w:val="20"/>
                <w:lang w:val="fr-CA"/>
              </w:rPr>
            </w:pPr>
            <w:hyperlink r:id="rId35" w:history="1">
              <w:r w:rsidRPr="0091707B">
                <w:rPr>
                  <w:rStyle w:val="Hyperlink"/>
                  <w:sz w:val="20"/>
                  <w:lang w:val="fr-CA"/>
                </w:rPr>
                <w:t>2022 NSCA 73</w:t>
              </w:r>
            </w:hyperlink>
          </w:p>
          <w:p w:rsidR="00860B41" w:rsidRPr="0091707B" w:rsidRDefault="00860B41" w:rsidP="00860B41">
            <w:pPr>
              <w:jc w:val="both"/>
              <w:rPr>
                <w:sz w:val="20"/>
                <w:lang w:val="fr-CA"/>
              </w:rPr>
            </w:pP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Appel rejeté</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2 février 2023</w:t>
            </w:r>
          </w:p>
          <w:p w:rsidR="00860B41" w:rsidRPr="0091707B" w:rsidRDefault="00860B41" w:rsidP="00860B41">
            <w:pPr>
              <w:jc w:val="both"/>
              <w:rPr>
                <w:sz w:val="20"/>
                <w:lang w:val="fr-CA"/>
              </w:rPr>
            </w:pPr>
            <w:r w:rsidRPr="0091707B">
              <w:rPr>
                <w:sz w:val="20"/>
                <w:lang w:val="fr-CA"/>
              </w:rPr>
              <w:t>Cour suprême du Canada</w:t>
            </w: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Demande d’autorisation d’appel déposée</w:t>
            </w:r>
          </w:p>
          <w:p w:rsidR="00860B41" w:rsidRPr="0091707B" w:rsidRDefault="00860B41" w:rsidP="00860B41">
            <w:pPr>
              <w:jc w:val="both"/>
              <w:rPr>
                <w:sz w:val="20"/>
                <w:lang w:val="fr-CA"/>
              </w:rPr>
            </w:pPr>
          </w:p>
        </w:tc>
      </w:tr>
    </w:tbl>
    <w:p w:rsidR="00860B41" w:rsidRPr="0091707B" w:rsidRDefault="00860B41" w:rsidP="00860B41">
      <w:pPr>
        <w:jc w:val="both"/>
        <w:rPr>
          <w:sz w:val="20"/>
          <w:lang w:val="fr-CA"/>
        </w:rPr>
      </w:pPr>
    </w:p>
    <w:p w:rsidR="008A5C02" w:rsidRPr="0091707B" w:rsidRDefault="008A5C02" w:rsidP="00860B41">
      <w:pPr>
        <w:jc w:val="both"/>
        <w:rPr>
          <w:sz w:val="20"/>
          <w:lang w:val="fr-CA"/>
        </w:rPr>
      </w:pPr>
      <w:r w:rsidRPr="0091707B">
        <w:rPr>
          <w:sz w:val="20"/>
        </w:rPr>
        <w:pict>
          <v:rect id="_x0000_i1032" style="width:2in;height:1pt" o:hrpct="0" o:hralign="center" o:hrstd="t" o:hrnoshade="t" o:hr="t" fillcolor="black [3213]" stroked="f"/>
        </w:pict>
      </w:r>
    </w:p>
    <w:p w:rsidR="008A5C02" w:rsidRPr="0091707B" w:rsidRDefault="008A5C02" w:rsidP="00860B4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104"/>
        <w:gridCol w:w="425"/>
        <w:gridCol w:w="4735"/>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40641</w:t>
            </w:r>
          </w:p>
        </w:tc>
        <w:tc>
          <w:tcPr>
            <w:tcW w:w="4457" w:type="pct"/>
            <w:gridSpan w:val="3"/>
          </w:tcPr>
          <w:p w:rsidR="00860B41" w:rsidRPr="0091707B" w:rsidRDefault="00860B41" w:rsidP="00860B41">
            <w:pPr>
              <w:pStyle w:val="SCCLsocParty"/>
              <w:jc w:val="both"/>
              <w:rPr>
                <w:b/>
                <w:sz w:val="20"/>
                <w:szCs w:val="20"/>
              </w:rPr>
            </w:pPr>
            <w:r w:rsidRPr="0091707B">
              <w:rPr>
                <w:b/>
                <w:sz w:val="20"/>
                <w:szCs w:val="20"/>
              </w:rPr>
              <w:t>Puma SE v. Caterpillar Inc.</w:t>
            </w:r>
          </w:p>
          <w:p w:rsidR="00860B41" w:rsidRPr="0091707B" w:rsidRDefault="008A5C02" w:rsidP="00860B41">
            <w:pPr>
              <w:jc w:val="both"/>
              <w:rPr>
                <w:sz w:val="20"/>
              </w:rPr>
            </w:pPr>
            <w:r w:rsidRPr="0091707B">
              <w:rPr>
                <w:sz w:val="20"/>
              </w:rPr>
              <w:t>(Fed.) (Civil) (By Leave)</w:t>
            </w:r>
          </w:p>
        </w:tc>
      </w:tr>
      <w:tr w:rsidR="00860B41" w:rsidRPr="0091707B" w:rsidTr="00860B41">
        <w:tc>
          <w:tcPr>
            <w:tcW w:w="5000" w:type="pct"/>
            <w:gridSpan w:val="4"/>
          </w:tcPr>
          <w:p w:rsidR="00860B41" w:rsidRPr="0091707B" w:rsidRDefault="00860B41" w:rsidP="00860B41">
            <w:pPr>
              <w:jc w:val="both"/>
              <w:rPr>
                <w:sz w:val="20"/>
              </w:rPr>
            </w:pPr>
            <w:r w:rsidRPr="0091707B">
              <w:rPr>
                <w:sz w:val="20"/>
              </w:rPr>
              <w:t xml:space="preserve">Intellectual property — Trademarks — Appeal of Registrar of Trademarks’ decision — Confusion — Coined terms — Design marks — Dominant feature — Whether right to appeal decision of the Registrar of Trademarks under </w:t>
            </w:r>
            <w:r w:rsidRPr="0091707B">
              <w:rPr>
                <w:i/>
                <w:sz w:val="20"/>
              </w:rPr>
              <w:t>Trademarks Act</w:t>
            </w:r>
            <w:r w:rsidRPr="0091707B">
              <w:rPr>
                <w:sz w:val="20"/>
              </w:rPr>
              <w:t xml:space="preserve">, R.S.C. 1985, c. T-13, s. 56, and ability to adduce additional evidence in such appeals permit case-splitting and </w:t>
            </w:r>
            <w:r w:rsidRPr="0091707B">
              <w:rPr>
                <w:i/>
                <w:sz w:val="20"/>
              </w:rPr>
              <w:t>de novo</w:t>
            </w:r>
            <w:r w:rsidRPr="0091707B">
              <w:rPr>
                <w:sz w:val="20"/>
              </w:rPr>
              <w:t xml:space="preserve"> review — When assessing whether likelihood of confusion exists, including with respect to coined terms and design marks, how dominant or most striking or unique feature of trademark should be considered while still viewing trademark as a whole from perspective of hurried consumer.</w:t>
            </w:r>
          </w:p>
        </w:tc>
      </w:tr>
      <w:tr w:rsidR="00860B41" w:rsidRPr="0091707B" w:rsidTr="00860B41">
        <w:tc>
          <w:tcPr>
            <w:tcW w:w="5000" w:type="pct"/>
            <w:gridSpan w:val="4"/>
          </w:tcPr>
          <w:p w:rsidR="00860B41" w:rsidRPr="0091707B" w:rsidRDefault="00860B41" w:rsidP="00860B41">
            <w:pPr>
              <w:jc w:val="both"/>
              <w:rPr>
                <w:sz w:val="20"/>
              </w:rPr>
            </w:pPr>
          </w:p>
        </w:tc>
      </w:tr>
      <w:tr w:rsidR="00860B41" w:rsidRPr="0091707B" w:rsidTr="00860B41">
        <w:tc>
          <w:tcPr>
            <w:tcW w:w="5000" w:type="pct"/>
            <w:gridSpan w:val="4"/>
          </w:tcPr>
          <w:p w:rsidR="00860B41" w:rsidRPr="0091707B" w:rsidRDefault="00860B41" w:rsidP="00860B41">
            <w:pPr>
              <w:jc w:val="both"/>
              <w:rPr>
                <w:sz w:val="20"/>
              </w:rPr>
            </w:pPr>
            <w:r w:rsidRPr="0091707B">
              <w:rPr>
                <w:sz w:val="20"/>
              </w:rPr>
              <w:t xml:space="preserve">Puma SE filed application number 1558723 for the trademark “procat” based upon proposed use in association with footwear (athletic, sports and casual shoes and boots) and headgear (hats and caps). It was advertised for opposition purposes in the </w:t>
            </w:r>
            <w:r w:rsidRPr="0091707B">
              <w:rPr>
                <w:i/>
                <w:sz w:val="20"/>
              </w:rPr>
              <w:t>Trademarks Journal</w:t>
            </w:r>
            <w:r w:rsidRPr="0091707B">
              <w:rPr>
                <w:sz w:val="20"/>
              </w:rPr>
              <w:t>. Caterpillar Inc. filed a statement of opposition. It owns several registrations and applications for trademarks consisting of or incorporating the term “CAT”, including application No. 1,588,026 for “CAT”, and registration no. TMA382</w:t>
            </w:r>
            <w:proofErr w:type="gramStart"/>
            <w:r w:rsidRPr="0091707B">
              <w:rPr>
                <w:sz w:val="20"/>
              </w:rPr>
              <w:t>,234</w:t>
            </w:r>
            <w:proofErr w:type="gramEnd"/>
            <w:r w:rsidRPr="0091707B">
              <w:rPr>
                <w:sz w:val="20"/>
              </w:rPr>
              <w:t xml:space="preserve"> for “CAT and triangle design”, both associated with work, sport and casual clothing (caps), headwear (stocking caps, ear muffs and head bands), and footwear (work boots and athletic shoes). Caterpillar raised four grounds of opposition under the </w:t>
            </w:r>
            <w:r w:rsidRPr="0091707B">
              <w:rPr>
                <w:i/>
                <w:sz w:val="20"/>
              </w:rPr>
              <w:t>Trademarks Act</w:t>
            </w:r>
            <w:r w:rsidRPr="0091707B">
              <w:rPr>
                <w:sz w:val="20"/>
              </w:rPr>
              <w:t>, R.S.C. 1985, c. T‑13, ss. 2, 12.1(d) and 16(3)(a) and (c), alleging that the marks did not distinguish Puma’s goods from Caterpillar’s and because “procat” was confusing with Caterpillar’s marks, which had been used in Canada before the date the application for “procat” was filed. In support of the grounds of opposition, Caterpillar relied on its licensees’ use of its marks in Canada to show use of the marks and the extent to which they had become known.</w:t>
            </w:r>
          </w:p>
          <w:p w:rsidR="00860B41" w:rsidRPr="0091707B" w:rsidRDefault="00860B41" w:rsidP="00860B41">
            <w:pPr>
              <w:jc w:val="both"/>
              <w:rPr>
                <w:sz w:val="20"/>
              </w:rPr>
            </w:pPr>
          </w:p>
          <w:p w:rsidR="00860B41" w:rsidRPr="0091707B" w:rsidRDefault="00860B41" w:rsidP="00860B41">
            <w:pPr>
              <w:jc w:val="both"/>
              <w:rPr>
                <w:sz w:val="20"/>
              </w:rPr>
            </w:pPr>
            <w:r w:rsidRPr="0091707B">
              <w:rPr>
                <w:sz w:val="20"/>
              </w:rPr>
              <w:t>The Trademarks Opposition Board rejected all of Caterpillar’s grounds of opposition and found that there was no likelihood of confusion between the marks within the meaning of s. 6(5) of the Act. The registration of the mark “procat” was permitted. The Federal Court allowed Caterpillar’s appeal under s. 56(1), set aside the Board’s decision and refused Puma’s application for “procat” under s. 38(12). The Federal Court of Appeal dismissed Puma’s appeal.</w:t>
            </w:r>
          </w:p>
          <w:p w:rsidR="00860B41" w:rsidRPr="0091707B" w:rsidRDefault="00860B41" w:rsidP="00860B41">
            <w:pPr>
              <w:jc w:val="both"/>
              <w:rPr>
                <w:sz w:val="20"/>
              </w:rPr>
            </w:pPr>
          </w:p>
        </w:tc>
      </w:tr>
      <w:tr w:rsidR="00860B41" w:rsidRPr="0091707B" w:rsidTr="00860B41">
        <w:tc>
          <w:tcPr>
            <w:tcW w:w="2217" w:type="pct"/>
            <w:gridSpan w:val="2"/>
          </w:tcPr>
          <w:p w:rsidR="00860B41" w:rsidRPr="0091707B" w:rsidRDefault="00860B41" w:rsidP="00860B41">
            <w:pPr>
              <w:jc w:val="both"/>
              <w:rPr>
                <w:sz w:val="20"/>
              </w:rPr>
            </w:pPr>
            <w:r w:rsidRPr="0091707B">
              <w:rPr>
                <w:sz w:val="20"/>
              </w:rPr>
              <w:t>August 29, 2017</w:t>
            </w:r>
          </w:p>
          <w:p w:rsidR="00860B41" w:rsidRPr="0091707B" w:rsidRDefault="00860B41" w:rsidP="00860B41">
            <w:pPr>
              <w:jc w:val="both"/>
              <w:rPr>
                <w:sz w:val="20"/>
              </w:rPr>
            </w:pPr>
            <w:r w:rsidRPr="0091707B">
              <w:rPr>
                <w:sz w:val="20"/>
              </w:rPr>
              <w:t>Registrar of Trade-Marks</w:t>
            </w:r>
          </w:p>
          <w:p w:rsidR="00860B41" w:rsidRPr="0091707B" w:rsidRDefault="00860B41" w:rsidP="00860B41">
            <w:pPr>
              <w:jc w:val="both"/>
              <w:rPr>
                <w:sz w:val="20"/>
              </w:rPr>
            </w:pPr>
            <w:hyperlink r:id="rId36" w:history="1">
              <w:r w:rsidRPr="0091707B">
                <w:rPr>
                  <w:rStyle w:val="Hyperlink"/>
                  <w:sz w:val="20"/>
                </w:rPr>
                <w:t>2017 TMOB 114</w:t>
              </w:r>
            </w:hyperlink>
          </w:p>
          <w:p w:rsidR="00860B41" w:rsidRPr="0091707B" w:rsidRDefault="00860B41" w:rsidP="00860B41">
            <w:pPr>
              <w:jc w:val="both"/>
              <w:rPr>
                <w:sz w:val="20"/>
              </w:rPr>
            </w:pPr>
          </w:p>
        </w:tc>
        <w:tc>
          <w:tcPr>
            <w:tcW w:w="229" w:type="pct"/>
          </w:tcPr>
          <w:p w:rsidR="00860B41" w:rsidRPr="0091707B" w:rsidRDefault="00860B41" w:rsidP="00860B41">
            <w:pPr>
              <w:jc w:val="both"/>
              <w:rPr>
                <w:sz w:val="20"/>
              </w:rPr>
            </w:pPr>
          </w:p>
        </w:tc>
        <w:tc>
          <w:tcPr>
            <w:tcW w:w="2553" w:type="pct"/>
          </w:tcPr>
          <w:p w:rsidR="00860B41" w:rsidRPr="0091707B" w:rsidRDefault="00860B41" w:rsidP="00860B41">
            <w:pPr>
              <w:jc w:val="both"/>
              <w:rPr>
                <w:sz w:val="20"/>
              </w:rPr>
            </w:pPr>
            <w:r w:rsidRPr="0091707B">
              <w:rPr>
                <w:sz w:val="20"/>
              </w:rPr>
              <w:t>Caterpillar Inc.’s opposition of trademark application no. 1,558,723 by Puma SE for “procat” rejected; registration of “procat” allowed</w:t>
            </w:r>
          </w:p>
          <w:p w:rsidR="00860B41" w:rsidRPr="0091707B" w:rsidRDefault="00860B41" w:rsidP="00860B41">
            <w:pPr>
              <w:jc w:val="both"/>
              <w:rPr>
                <w:sz w:val="20"/>
              </w:rPr>
            </w:pPr>
          </w:p>
        </w:tc>
      </w:tr>
      <w:tr w:rsidR="00860B41" w:rsidRPr="0091707B" w:rsidTr="00860B41">
        <w:tc>
          <w:tcPr>
            <w:tcW w:w="2217" w:type="pct"/>
            <w:gridSpan w:val="2"/>
          </w:tcPr>
          <w:p w:rsidR="00860B41" w:rsidRPr="0091707B" w:rsidRDefault="00860B41" w:rsidP="00860B41">
            <w:pPr>
              <w:jc w:val="both"/>
              <w:rPr>
                <w:sz w:val="20"/>
              </w:rPr>
            </w:pPr>
            <w:r w:rsidRPr="0091707B">
              <w:rPr>
                <w:sz w:val="20"/>
              </w:rPr>
              <w:t>September 22, 2021</w:t>
            </w:r>
          </w:p>
          <w:p w:rsidR="00860B41" w:rsidRPr="0091707B" w:rsidRDefault="00860B41" w:rsidP="00860B41">
            <w:pPr>
              <w:jc w:val="both"/>
              <w:rPr>
                <w:sz w:val="20"/>
              </w:rPr>
            </w:pPr>
            <w:r w:rsidRPr="0091707B">
              <w:rPr>
                <w:sz w:val="20"/>
              </w:rPr>
              <w:t>Federal Court</w:t>
            </w:r>
          </w:p>
          <w:p w:rsidR="00860B41" w:rsidRPr="0091707B" w:rsidRDefault="00860B41" w:rsidP="00860B41">
            <w:pPr>
              <w:jc w:val="both"/>
              <w:rPr>
                <w:sz w:val="20"/>
              </w:rPr>
            </w:pPr>
            <w:r w:rsidRPr="0091707B">
              <w:rPr>
                <w:sz w:val="20"/>
              </w:rPr>
              <w:t>(Fuhrer J.)</w:t>
            </w:r>
          </w:p>
          <w:p w:rsidR="00860B41" w:rsidRPr="0091707B" w:rsidRDefault="00860B41" w:rsidP="00860B41">
            <w:pPr>
              <w:jc w:val="both"/>
              <w:rPr>
                <w:sz w:val="20"/>
              </w:rPr>
            </w:pPr>
            <w:hyperlink r:id="rId37" w:history="1">
              <w:r w:rsidRPr="0091707B">
                <w:rPr>
                  <w:rStyle w:val="Hyperlink"/>
                  <w:sz w:val="20"/>
                </w:rPr>
                <w:t>2021 FC 974</w:t>
              </w:r>
            </w:hyperlink>
          </w:p>
          <w:p w:rsidR="00860B41" w:rsidRPr="0091707B" w:rsidRDefault="00860B41" w:rsidP="00860B41">
            <w:pPr>
              <w:jc w:val="both"/>
              <w:rPr>
                <w:sz w:val="20"/>
              </w:rPr>
            </w:pPr>
          </w:p>
        </w:tc>
        <w:tc>
          <w:tcPr>
            <w:tcW w:w="229" w:type="pct"/>
          </w:tcPr>
          <w:p w:rsidR="00860B41" w:rsidRPr="0091707B" w:rsidRDefault="00860B41" w:rsidP="00860B41">
            <w:pPr>
              <w:jc w:val="both"/>
              <w:rPr>
                <w:sz w:val="20"/>
              </w:rPr>
            </w:pPr>
          </w:p>
        </w:tc>
        <w:tc>
          <w:tcPr>
            <w:tcW w:w="2553" w:type="pct"/>
          </w:tcPr>
          <w:p w:rsidR="00860B41" w:rsidRPr="0091707B" w:rsidRDefault="00860B41" w:rsidP="00860B41">
            <w:pPr>
              <w:jc w:val="both"/>
              <w:rPr>
                <w:sz w:val="20"/>
              </w:rPr>
            </w:pPr>
            <w:r w:rsidRPr="0091707B">
              <w:rPr>
                <w:sz w:val="20"/>
              </w:rPr>
              <w:t>Appeal of Board’s decision allowed; rejection of Caterpillar Inc.’s opposition set aside; trademark application no. 1,558,723 for “procat” refused</w:t>
            </w:r>
          </w:p>
        </w:tc>
      </w:tr>
      <w:tr w:rsidR="00860B41" w:rsidRPr="0091707B" w:rsidTr="00860B41">
        <w:tc>
          <w:tcPr>
            <w:tcW w:w="2217" w:type="pct"/>
            <w:gridSpan w:val="2"/>
          </w:tcPr>
          <w:p w:rsidR="00860B41" w:rsidRPr="0091707B" w:rsidRDefault="00860B41" w:rsidP="00860B41">
            <w:pPr>
              <w:jc w:val="both"/>
              <w:rPr>
                <w:sz w:val="20"/>
              </w:rPr>
            </w:pPr>
            <w:r w:rsidRPr="0091707B">
              <w:rPr>
                <w:sz w:val="20"/>
              </w:rPr>
              <w:t>January 10, 2023</w:t>
            </w:r>
          </w:p>
          <w:p w:rsidR="00860B41" w:rsidRPr="0091707B" w:rsidRDefault="00860B41" w:rsidP="00860B41">
            <w:pPr>
              <w:jc w:val="both"/>
              <w:rPr>
                <w:sz w:val="20"/>
              </w:rPr>
            </w:pPr>
            <w:r w:rsidRPr="0091707B">
              <w:rPr>
                <w:sz w:val="20"/>
              </w:rPr>
              <w:t>Federal Court of Appeal</w:t>
            </w:r>
          </w:p>
          <w:p w:rsidR="00860B41" w:rsidRPr="0091707B" w:rsidRDefault="00860B41" w:rsidP="00860B41">
            <w:pPr>
              <w:jc w:val="both"/>
              <w:rPr>
                <w:sz w:val="20"/>
              </w:rPr>
            </w:pPr>
            <w:r w:rsidRPr="0091707B">
              <w:rPr>
                <w:sz w:val="20"/>
              </w:rPr>
              <w:t>(Boivin, De Montigny, Woods JJ.A.)</w:t>
            </w:r>
          </w:p>
          <w:p w:rsidR="00860B41" w:rsidRPr="0091707B" w:rsidRDefault="00860B41" w:rsidP="00860B41">
            <w:pPr>
              <w:jc w:val="both"/>
              <w:rPr>
                <w:sz w:val="20"/>
              </w:rPr>
            </w:pPr>
            <w:hyperlink r:id="rId38" w:history="1">
              <w:r w:rsidRPr="0091707B">
                <w:rPr>
                  <w:rStyle w:val="Hyperlink"/>
                  <w:sz w:val="20"/>
                </w:rPr>
                <w:t>2023 FCA 4</w:t>
              </w:r>
            </w:hyperlink>
          </w:p>
          <w:p w:rsidR="00860B41" w:rsidRPr="0091707B" w:rsidRDefault="00860B41" w:rsidP="00860B41">
            <w:pPr>
              <w:jc w:val="both"/>
              <w:rPr>
                <w:sz w:val="20"/>
              </w:rPr>
            </w:pPr>
          </w:p>
        </w:tc>
        <w:tc>
          <w:tcPr>
            <w:tcW w:w="229" w:type="pct"/>
          </w:tcPr>
          <w:p w:rsidR="00860B41" w:rsidRPr="0091707B" w:rsidRDefault="00860B41" w:rsidP="00860B41">
            <w:pPr>
              <w:jc w:val="both"/>
              <w:rPr>
                <w:sz w:val="20"/>
              </w:rPr>
            </w:pPr>
          </w:p>
        </w:tc>
        <w:tc>
          <w:tcPr>
            <w:tcW w:w="2553" w:type="pct"/>
          </w:tcPr>
          <w:p w:rsidR="00860B41" w:rsidRPr="0091707B" w:rsidRDefault="00860B41" w:rsidP="00860B41">
            <w:pPr>
              <w:jc w:val="both"/>
              <w:rPr>
                <w:sz w:val="20"/>
              </w:rPr>
            </w:pPr>
            <w:r w:rsidRPr="0091707B">
              <w:rPr>
                <w:sz w:val="20"/>
              </w:rPr>
              <w:t>Appeal dismissed</w:t>
            </w:r>
          </w:p>
        </w:tc>
      </w:tr>
      <w:tr w:rsidR="00860B41" w:rsidRPr="0091707B" w:rsidTr="00860B41">
        <w:tc>
          <w:tcPr>
            <w:tcW w:w="2217" w:type="pct"/>
            <w:gridSpan w:val="2"/>
          </w:tcPr>
          <w:p w:rsidR="00860B41" w:rsidRPr="0091707B" w:rsidRDefault="00860B41" w:rsidP="00860B41">
            <w:pPr>
              <w:jc w:val="both"/>
              <w:rPr>
                <w:sz w:val="20"/>
              </w:rPr>
            </w:pPr>
            <w:r w:rsidRPr="0091707B">
              <w:rPr>
                <w:sz w:val="20"/>
              </w:rPr>
              <w:t>March 10, 2023</w:t>
            </w:r>
          </w:p>
          <w:p w:rsidR="00860B41" w:rsidRPr="0091707B" w:rsidRDefault="00860B41" w:rsidP="00860B41">
            <w:pPr>
              <w:jc w:val="both"/>
              <w:rPr>
                <w:sz w:val="20"/>
              </w:rPr>
            </w:pPr>
            <w:r w:rsidRPr="0091707B">
              <w:rPr>
                <w:sz w:val="20"/>
              </w:rPr>
              <w:t>Supreme Court of Canada</w:t>
            </w:r>
          </w:p>
        </w:tc>
        <w:tc>
          <w:tcPr>
            <w:tcW w:w="229" w:type="pct"/>
          </w:tcPr>
          <w:p w:rsidR="00860B41" w:rsidRPr="0091707B" w:rsidRDefault="00860B41" w:rsidP="00860B41">
            <w:pPr>
              <w:jc w:val="both"/>
              <w:rPr>
                <w:sz w:val="20"/>
              </w:rPr>
            </w:pPr>
          </w:p>
        </w:tc>
        <w:tc>
          <w:tcPr>
            <w:tcW w:w="2553" w:type="pct"/>
          </w:tcPr>
          <w:p w:rsidR="00860B41" w:rsidRPr="0091707B" w:rsidRDefault="00860B41" w:rsidP="00860B41">
            <w:pPr>
              <w:jc w:val="both"/>
              <w:rPr>
                <w:sz w:val="20"/>
              </w:rPr>
            </w:pPr>
            <w:r w:rsidRPr="0091707B">
              <w:rPr>
                <w:sz w:val="20"/>
              </w:rPr>
              <w:t>Application for leave to appeal filed</w:t>
            </w:r>
          </w:p>
        </w:tc>
      </w:tr>
    </w:tbl>
    <w:p w:rsidR="00860B41" w:rsidRPr="0091707B" w:rsidRDefault="00860B41" w:rsidP="00860B41">
      <w:pPr>
        <w:jc w:val="both"/>
        <w:rPr>
          <w:sz w:val="20"/>
        </w:rPr>
      </w:pPr>
    </w:p>
    <w:p w:rsidR="008A5C02" w:rsidRPr="0091707B" w:rsidRDefault="008A5C02" w:rsidP="00860B41">
      <w:pPr>
        <w:jc w:val="both"/>
        <w:rPr>
          <w:sz w:val="20"/>
        </w:rPr>
      </w:pPr>
      <w:r w:rsidRPr="0091707B">
        <w:rPr>
          <w:sz w:val="20"/>
        </w:rPr>
        <w:pict>
          <v:rect id="_x0000_i1033" style="width:2in;height:1pt" o:hrpct="0" o:hralign="center" o:hrstd="t" o:hrnoshade="t" o:hr="t" fillcolor="black [3213]" stroked="f"/>
        </w:pict>
      </w:r>
    </w:p>
    <w:p w:rsidR="008A5C02" w:rsidRPr="0091707B" w:rsidRDefault="008A5C02" w:rsidP="00860B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104"/>
        <w:gridCol w:w="425"/>
        <w:gridCol w:w="4735"/>
      </w:tblGrid>
      <w:tr w:rsidR="00860B41" w:rsidRPr="0091707B" w:rsidTr="00860B41">
        <w:tc>
          <w:tcPr>
            <w:tcW w:w="543" w:type="pct"/>
          </w:tcPr>
          <w:p w:rsidR="00860B41" w:rsidRPr="0091707B" w:rsidRDefault="00860B41" w:rsidP="00860B41">
            <w:pPr>
              <w:jc w:val="both"/>
              <w:rPr>
                <w:sz w:val="20"/>
                <w:lang w:val="fr-CA"/>
              </w:rPr>
            </w:pPr>
            <w:r w:rsidRPr="0091707B">
              <w:rPr>
                <w:rStyle w:val="SCCFileNumberChar"/>
                <w:sz w:val="20"/>
                <w:szCs w:val="20"/>
                <w:lang w:val="fr-CA"/>
              </w:rPr>
              <w:t>40641</w:t>
            </w:r>
          </w:p>
        </w:tc>
        <w:tc>
          <w:tcPr>
            <w:tcW w:w="4457" w:type="pct"/>
            <w:gridSpan w:val="3"/>
          </w:tcPr>
          <w:p w:rsidR="00860B41" w:rsidRPr="0091707B" w:rsidRDefault="00860B41" w:rsidP="00860B41">
            <w:pPr>
              <w:pStyle w:val="SCCLsocParty"/>
              <w:jc w:val="both"/>
              <w:rPr>
                <w:b/>
                <w:sz w:val="20"/>
                <w:szCs w:val="20"/>
              </w:rPr>
            </w:pPr>
            <w:r w:rsidRPr="0091707B">
              <w:rPr>
                <w:b/>
                <w:sz w:val="20"/>
                <w:szCs w:val="20"/>
              </w:rPr>
              <w:t>Puma SE c. Caterpillar Inc.</w:t>
            </w:r>
          </w:p>
          <w:p w:rsidR="00860B41" w:rsidRPr="0091707B" w:rsidRDefault="008A5C02" w:rsidP="00860B41">
            <w:pPr>
              <w:jc w:val="both"/>
              <w:rPr>
                <w:sz w:val="20"/>
                <w:lang w:val="fr-CA"/>
              </w:rPr>
            </w:pPr>
            <w:r w:rsidRPr="0091707B">
              <w:rPr>
                <w:sz w:val="20"/>
                <w:lang w:val="fr-CA"/>
              </w:rPr>
              <w:t>(Féd.) (Civile) (Autorisation)</w:t>
            </w: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 xml:space="preserve">Propriété intellectuelle — Marques de commerce — Appel de la décision du Régistraire des marques de commerce — Confusion — Mots inventés — Marques figuratives — Caractéristique dominante — Le droit d’interjeter appel de la décision du Registraire des marques de commerce, au titre de la </w:t>
            </w:r>
            <w:r w:rsidRPr="0091707B">
              <w:rPr>
                <w:i/>
                <w:sz w:val="20"/>
                <w:lang w:val="fr-CA"/>
              </w:rPr>
              <w:t>Loi sur les marques de commerce</w:t>
            </w:r>
            <w:r w:rsidRPr="0091707B">
              <w:rPr>
                <w:sz w:val="20"/>
                <w:lang w:val="fr-CA"/>
              </w:rPr>
              <w:t xml:space="preserve">, L.C. 1985, c. T-13, art. 56, et la possibilité de produire de nouveaux éléments de preuve dans de tels appels justifie-t-il de scinder l’affaire et un examen </w:t>
            </w:r>
            <w:r w:rsidRPr="0091707B">
              <w:rPr>
                <w:i/>
                <w:sz w:val="20"/>
                <w:lang w:val="fr-CA"/>
              </w:rPr>
              <w:t>de novo</w:t>
            </w:r>
            <w:r w:rsidRPr="0091707B">
              <w:rPr>
                <w:sz w:val="20"/>
                <w:lang w:val="fr-CA"/>
              </w:rPr>
              <w:t>? — Lorsqu’on évalue si la possibilité raisonnable de confusion existe, y compris en ce qui concerne des mots inventés et des marques figuratives comment une caractéristique dominante ou très frappante, ou unique d’une marque de commerce devrait-elle être prise en considération tout en continuant de percevoir la marque de commerce comme un tout du point de vue du consommateur pressé?</w:t>
            </w:r>
          </w:p>
        </w:tc>
      </w:tr>
      <w:tr w:rsidR="00860B41" w:rsidRPr="0091707B" w:rsidTr="00860B41">
        <w:tc>
          <w:tcPr>
            <w:tcW w:w="5000" w:type="pct"/>
            <w:gridSpan w:val="4"/>
          </w:tcPr>
          <w:p w:rsidR="00860B41" w:rsidRPr="0091707B" w:rsidRDefault="00860B41" w:rsidP="00860B41">
            <w:pPr>
              <w:jc w:val="both"/>
              <w:rPr>
                <w:sz w:val="20"/>
                <w:lang w:val="fr-CA"/>
              </w:rPr>
            </w:pP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 xml:space="preserve">Puma SE </w:t>
            </w:r>
            <w:proofErr w:type="gramStart"/>
            <w:r w:rsidRPr="0091707B">
              <w:rPr>
                <w:sz w:val="20"/>
                <w:lang w:val="fr-CA"/>
              </w:rPr>
              <w:t>a</w:t>
            </w:r>
            <w:proofErr w:type="gramEnd"/>
            <w:r w:rsidRPr="0091707B">
              <w:rPr>
                <w:sz w:val="20"/>
                <w:lang w:val="fr-CA"/>
              </w:rPr>
              <w:t xml:space="preserve"> produit la demande d’enregistrement n</w:t>
            </w:r>
            <w:r w:rsidRPr="0091707B">
              <w:rPr>
                <w:sz w:val="20"/>
                <w:vertAlign w:val="superscript"/>
                <w:lang w:val="fr-CA"/>
              </w:rPr>
              <w:t>o</w:t>
            </w:r>
            <w:r w:rsidRPr="0091707B">
              <w:rPr>
                <w:sz w:val="20"/>
                <w:lang w:val="fr-CA"/>
              </w:rPr>
              <w:t xml:space="preserve"> 1558723 relative à la marque de commerce « procat », fondée sur un emploi projeté en liaison avec des articles chaussants (chaussures et bottes d’entraînement et de sport) et couvre-chefs (chapeaux et casquettes). La demande a été annoncée aux fins d’opposition dans le </w:t>
            </w:r>
            <w:r w:rsidRPr="0091707B">
              <w:rPr>
                <w:rStyle w:val="Emphasis"/>
                <w:sz w:val="20"/>
                <w:lang w:val="fr-CA"/>
              </w:rPr>
              <w:t xml:space="preserve">Journal des marques de commerce. </w:t>
            </w:r>
            <w:r w:rsidRPr="0091707B">
              <w:rPr>
                <w:sz w:val="20"/>
                <w:lang w:val="fr-CA"/>
              </w:rPr>
              <w:t>Caterpillar Inc. a produit une déclaration d’opposition. Elle est propriétaire de plusieurs enregistrements et demandes de marques de commerce formées du terme « CAT » ou comprenant ce terme, y compris la demande n</w:t>
            </w:r>
            <w:r w:rsidRPr="0091707B">
              <w:rPr>
                <w:sz w:val="20"/>
                <w:vertAlign w:val="superscript"/>
                <w:lang w:val="fr-CA"/>
              </w:rPr>
              <w:t>o</w:t>
            </w:r>
            <w:r w:rsidRPr="0091707B">
              <w:rPr>
                <w:sz w:val="20"/>
                <w:lang w:val="fr-CA"/>
              </w:rPr>
              <w:t> 1588026 relative à la marque de commerce « CAT », et l’enregistrement n</w:t>
            </w:r>
            <w:r w:rsidRPr="0091707B">
              <w:rPr>
                <w:sz w:val="20"/>
                <w:vertAlign w:val="superscript"/>
                <w:lang w:val="fr-CA"/>
              </w:rPr>
              <w:t>o</w:t>
            </w:r>
            <w:r w:rsidRPr="0091707B">
              <w:rPr>
                <w:sz w:val="20"/>
                <w:lang w:val="fr-CA"/>
              </w:rPr>
              <w:t xml:space="preserve"> LMC382,234 de la marque de commerce « CAT et Dessin de triangle » qui visent tous deux des vêtements de travail, de sport et tout-aller (casquettes) couvre-chefs (tuques, cache-oreilles et bandeaux), et des articles chaussants (bottes de travail et chaussures de sport). Caterpillar a soulevé quatre motifs d’opposition, au titre de la </w:t>
            </w:r>
            <w:r w:rsidRPr="0091707B">
              <w:rPr>
                <w:i/>
                <w:sz w:val="20"/>
                <w:lang w:val="fr-CA"/>
              </w:rPr>
              <w:t>Loi sur les marques de commerce</w:t>
            </w:r>
            <w:r w:rsidRPr="0091707B">
              <w:rPr>
                <w:sz w:val="20"/>
                <w:lang w:val="fr-CA"/>
              </w:rPr>
              <w:t>, L.C. 1985, c. T-13, art. 2, al. 12.1d) et 16(3)a) et c), faisant valoir que la marque ne distingue pas les marchandises de Puma de celles de Caterpillar, et parce que « procat » crée de la confusion avec la marque de commerce de Caterpillar, qui a été employée au Canada avant la date de production de la demande relative à « procat ». À l’appui des motifs d’opposition, Caterpillar s’est fondée sur l’usage de la marque de commerce au Canada par ses licenciés pour démontrer la période pendant laquelle la marque de commerce a été en usage et la mesure dans laquelle elle est devenue connue.</w:t>
            </w:r>
          </w:p>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 xml:space="preserve">La Commission des oppositions des marques de commerce a rejeté tous les motifs d’opposition de Caterpillar et conclu qu’il n’y a aucune probabilité raisonnable de confusion entre les marques de commerce au sens du par. 6(5) de la Loi. L’enregistrement de la marque « procat » a été autorisé. La Cour fédérale a accueilli l’appel interjeté par Caterpillar, en vertu du par. 56(1), annulé la décision de la Commission, et rejeté la demande d’enregistrement de la marque de commerce « procat » de Puma, conformément au </w:t>
            </w:r>
            <w:proofErr w:type="spellStart"/>
            <w:r w:rsidRPr="0091707B">
              <w:rPr>
                <w:sz w:val="20"/>
                <w:lang w:val="fr-CA"/>
              </w:rPr>
              <w:t>par</w:t>
            </w:r>
            <w:proofErr w:type="spellEnd"/>
            <w:r w:rsidRPr="0091707B">
              <w:rPr>
                <w:sz w:val="20"/>
                <w:lang w:val="fr-CA"/>
              </w:rPr>
              <w:t>. 38(12). La Cour d’appel fédérale a rejeté l’appel de Puma.</w:t>
            </w:r>
          </w:p>
          <w:p w:rsidR="00860B41" w:rsidRPr="0091707B" w:rsidRDefault="00860B41" w:rsidP="00860B41">
            <w:pPr>
              <w:jc w:val="both"/>
              <w:rPr>
                <w:sz w:val="20"/>
                <w:lang w:val="fr-CA"/>
              </w:rPr>
            </w:pPr>
          </w:p>
        </w:tc>
      </w:tr>
      <w:tr w:rsidR="00860B41" w:rsidRPr="0091707B" w:rsidTr="00860B41">
        <w:tc>
          <w:tcPr>
            <w:tcW w:w="2217" w:type="pct"/>
            <w:gridSpan w:val="2"/>
          </w:tcPr>
          <w:p w:rsidR="00860B41" w:rsidRPr="0091707B" w:rsidRDefault="00860B41" w:rsidP="00860B41">
            <w:pPr>
              <w:jc w:val="both"/>
              <w:rPr>
                <w:sz w:val="20"/>
                <w:lang w:val="fr-CA"/>
              </w:rPr>
            </w:pPr>
            <w:r w:rsidRPr="0091707B">
              <w:rPr>
                <w:sz w:val="20"/>
                <w:lang w:val="fr-CA"/>
              </w:rPr>
              <w:t>29 août 2017</w:t>
            </w:r>
          </w:p>
          <w:p w:rsidR="00860B41" w:rsidRPr="0091707B" w:rsidRDefault="00860B41" w:rsidP="00860B41">
            <w:pPr>
              <w:jc w:val="both"/>
              <w:rPr>
                <w:sz w:val="20"/>
                <w:lang w:val="fr-CA"/>
              </w:rPr>
            </w:pPr>
            <w:r w:rsidRPr="0091707B">
              <w:rPr>
                <w:sz w:val="20"/>
                <w:lang w:val="fr-CA"/>
              </w:rPr>
              <w:t xml:space="preserve">Régistraire des marques de commerce </w:t>
            </w:r>
          </w:p>
          <w:p w:rsidR="00860B41" w:rsidRPr="0091707B" w:rsidRDefault="00860B41" w:rsidP="00860B41">
            <w:pPr>
              <w:jc w:val="both"/>
              <w:rPr>
                <w:sz w:val="20"/>
                <w:lang w:val="fr-CA"/>
              </w:rPr>
            </w:pPr>
            <w:hyperlink r:id="rId39" w:history="1">
              <w:r w:rsidRPr="0091707B">
                <w:rPr>
                  <w:rStyle w:val="Hyperlink"/>
                  <w:sz w:val="20"/>
                  <w:lang w:val="fr-CA"/>
                </w:rPr>
                <w:t>2017 COMC 114</w:t>
              </w:r>
            </w:hyperlink>
          </w:p>
          <w:p w:rsidR="00860B41" w:rsidRPr="0091707B" w:rsidRDefault="00860B41" w:rsidP="00860B41">
            <w:pPr>
              <w:jc w:val="both"/>
              <w:rPr>
                <w:sz w:val="20"/>
                <w:lang w:val="fr-CA"/>
              </w:rPr>
            </w:pPr>
          </w:p>
        </w:tc>
        <w:tc>
          <w:tcPr>
            <w:tcW w:w="229" w:type="pct"/>
          </w:tcPr>
          <w:p w:rsidR="00860B41" w:rsidRPr="0091707B" w:rsidRDefault="00860B41" w:rsidP="00860B41">
            <w:pPr>
              <w:jc w:val="both"/>
              <w:rPr>
                <w:sz w:val="20"/>
                <w:lang w:val="fr-CA"/>
              </w:rPr>
            </w:pPr>
          </w:p>
        </w:tc>
        <w:tc>
          <w:tcPr>
            <w:tcW w:w="2553" w:type="pct"/>
          </w:tcPr>
          <w:p w:rsidR="00860B41" w:rsidRPr="0091707B" w:rsidRDefault="00860B41" w:rsidP="00860B41">
            <w:pPr>
              <w:jc w:val="both"/>
              <w:rPr>
                <w:sz w:val="20"/>
                <w:lang w:val="fr-CA"/>
              </w:rPr>
            </w:pPr>
            <w:r w:rsidRPr="0091707B">
              <w:rPr>
                <w:sz w:val="20"/>
                <w:lang w:val="fr-CA"/>
              </w:rPr>
              <w:t>Demande d’opposition à la marque de commerce de Caterpillar n</w:t>
            </w:r>
            <w:r w:rsidRPr="0091707B">
              <w:rPr>
                <w:sz w:val="20"/>
                <w:vertAlign w:val="superscript"/>
                <w:lang w:val="fr-CA"/>
              </w:rPr>
              <w:t>o</w:t>
            </w:r>
            <w:r w:rsidRPr="0091707B">
              <w:rPr>
                <w:sz w:val="20"/>
                <w:lang w:val="fr-CA"/>
              </w:rPr>
              <w:t> 1558723 présentée par Puma SE pour « procat » rejetée; enregistrement de « procat » accueilli</w:t>
            </w:r>
          </w:p>
          <w:p w:rsidR="00860B41" w:rsidRPr="0091707B" w:rsidRDefault="00860B41" w:rsidP="00860B41">
            <w:pPr>
              <w:jc w:val="both"/>
              <w:rPr>
                <w:sz w:val="20"/>
                <w:lang w:val="fr-CA"/>
              </w:rPr>
            </w:pPr>
          </w:p>
        </w:tc>
      </w:tr>
      <w:tr w:rsidR="00860B41" w:rsidRPr="0091707B" w:rsidTr="00860B41">
        <w:tc>
          <w:tcPr>
            <w:tcW w:w="2217" w:type="pct"/>
            <w:gridSpan w:val="2"/>
          </w:tcPr>
          <w:p w:rsidR="00860B41" w:rsidRPr="0091707B" w:rsidRDefault="00860B41" w:rsidP="00860B41">
            <w:pPr>
              <w:jc w:val="both"/>
              <w:rPr>
                <w:sz w:val="20"/>
                <w:lang w:val="fr-CA"/>
              </w:rPr>
            </w:pPr>
            <w:r w:rsidRPr="0091707B">
              <w:rPr>
                <w:sz w:val="20"/>
                <w:lang w:val="fr-CA"/>
              </w:rPr>
              <w:t>22 septembre 2021</w:t>
            </w:r>
          </w:p>
          <w:p w:rsidR="00860B41" w:rsidRPr="0091707B" w:rsidRDefault="00860B41" w:rsidP="00860B41">
            <w:pPr>
              <w:jc w:val="both"/>
              <w:rPr>
                <w:sz w:val="20"/>
                <w:lang w:val="fr-CA"/>
              </w:rPr>
            </w:pPr>
            <w:r w:rsidRPr="0091707B">
              <w:rPr>
                <w:sz w:val="20"/>
                <w:lang w:val="fr-CA"/>
              </w:rPr>
              <w:t>Cour fédérale</w:t>
            </w:r>
          </w:p>
          <w:p w:rsidR="00860B41" w:rsidRPr="0091707B" w:rsidRDefault="00860B41" w:rsidP="00860B41">
            <w:pPr>
              <w:jc w:val="both"/>
              <w:rPr>
                <w:sz w:val="20"/>
                <w:lang w:val="fr-CA"/>
              </w:rPr>
            </w:pPr>
            <w:r w:rsidRPr="0091707B">
              <w:rPr>
                <w:sz w:val="20"/>
                <w:lang w:val="fr-CA"/>
              </w:rPr>
              <w:t>(juge Fuhrer)</w:t>
            </w:r>
          </w:p>
          <w:p w:rsidR="00860B41" w:rsidRPr="0091707B" w:rsidRDefault="00860B41" w:rsidP="00860B41">
            <w:pPr>
              <w:jc w:val="both"/>
              <w:rPr>
                <w:sz w:val="20"/>
                <w:lang w:val="fr-CA"/>
              </w:rPr>
            </w:pPr>
            <w:hyperlink r:id="rId40" w:anchor="par104" w:history="1">
              <w:r w:rsidRPr="0091707B">
                <w:rPr>
                  <w:rStyle w:val="Hyperlink"/>
                  <w:sz w:val="20"/>
                  <w:lang w:val="fr-CA"/>
                </w:rPr>
                <w:t>2021 CF 974</w:t>
              </w:r>
            </w:hyperlink>
          </w:p>
          <w:p w:rsidR="00860B41" w:rsidRPr="0091707B" w:rsidRDefault="00860B41" w:rsidP="00860B41">
            <w:pPr>
              <w:jc w:val="both"/>
              <w:rPr>
                <w:sz w:val="20"/>
                <w:lang w:val="fr-CA"/>
              </w:rPr>
            </w:pPr>
          </w:p>
        </w:tc>
        <w:tc>
          <w:tcPr>
            <w:tcW w:w="229" w:type="pct"/>
          </w:tcPr>
          <w:p w:rsidR="00860B41" w:rsidRPr="0091707B" w:rsidRDefault="00860B41" w:rsidP="00860B41">
            <w:pPr>
              <w:jc w:val="both"/>
              <w:rPr>
                <w:sz w:val="20"/>
                <w:lang w:val="fr-CA"/>
              </w:rPr>
            </w:pPr>
          </w:p>
        </w:tc>
        <w:tc>
          <w:tcPr>
            <w:tcW w:w="2553" w:type="pct"/>
          </w:tcPr>
          <w:p w:rsidR="00860B41" w:rsidRPr="0091707B" w:rsidRDefault="00860B41" w:rsidP="00860B41">
            <w:pPr>
              <w:jc w:val="both"/>
              <w:rPr>
                <w:sz w:val="20"/>
                <w:lang w:val="fr-CA"/>
              </w:rPr>
            </w:pPr>
            <w:r w:rsidRPr="0091707B">
              <w:rPr>
                <w:sz w:val="20"/>
                <w:lang w:val="fr-CA"/>
              </w:rPr>
              <w:t>Appel interjeté contre la décision de la Commission accueilli; rejet de l’opposition de Caterpillar Inc. annulé; demande d’enregistrement de la marque de commerce n</w:t>
            </w:r>
            <w:r w:rsidRPr="0091707B">
              <w:rPr>
                <w:sz w:val="20"/>
                <w:vertAlign w:val="superscript"/>
                <w:lang w:val="fr-CA"/>
              </w:rPr>
              <w:t>o</w:t>
            </w:r>
            <w:r w:rsidRPr="0091707B">
              <w:rPr>
                <w:sz w:val="20"/>
                <w:lang w:val="fr-CA"/>
              </w:rPr>
              <w:t> 1558723 pour « procat » rejetée</w:t>
            </w:r>
          </w:p>
        </w:tc>
      </w:tr>
      <w:tr w:rsidR="00860B41" w:rsidRPr="0091707B" w:rsidTr="00860B41">
        <w:tc>
          <w:tcPr>
            <w:tcW w:w="2217" w:type="pct"/>
            <w:gridSpan w:val="2"/>
          </w:tcPr>
          <w:p w:rsidR="00860B41" w:rsidRPr="0091707B" w:rsidRDefault="00860B41" w:rsidP="00860B41">
            <w:pPr>
              <w:jc w:val="both"/>
              <w:rPr>
                <w:sz w:val="20"/>
                <w:lang w:val="fr-CA"/>
              </w:rPr>
            </w:pPr>
            <w:r w:rsidRPr="0091707B">
              <w:rPr>
                <w:sz w:val="20"/>
                <w:lang w:val="fr-CA"/>
              </w:rPr>
              <w:t>10 janvier 2023</w:t>
            </w:r>
          </w:p>
          <w:p w:rsidR="00860B41" w:rsidRPr="0091707B" w:rsidRDefault="00860B41" w:rsidP="00860B41">
            <w:pPr>
              <w:jc w:val="both"/>
              <w:rPr>
                <w:sz w:val="20"/>
                <w:lang w:val="fr-CA"/>
              </w:rPr>
            </w:pPr>
            <w:r w:rsidRPr="0091707B">
              <w:rPr>
                <w:sz w:val="20"/>
                <w:lang w:val="fr-CA"/>
              </w:rPr>
              <w:t>Cour d’appel fédérale</w:t>
            </w:r>
          </w:p>
          <w:p w:rsidR="00860B41" w:rsidRPr="0091707B" w:rsidRDefault="00860B41" w:rsidP="00860B41">
            <w:pPr>
              <w:jc w:val="both"/>
              <w:rPr>
                <w:sz w:val="20"/>
                <w:lang w:val="fr-CA"/>
              </w:rPr>
            </w:pPr>
            <w:r w:rsidRPr="0091707B">
              <w:rPr>
                <w:sz w:val="20"/>
                <w:lang w:val="fr-CA"/>
              </w:rPr>
              <w:t>(juges Boivin, De Montigny, Woods)</w:t>
            </w:r>
          </w:p>
          <w:p w:rsidR="00860B41" w:rsidRPr="0091707B" w:rsidRDefault="00860B41" w:rsidP="00860B41">
            <w:pPr>
              <w:jc w:val="both"/>
              <w:rPr>
                <w:sz w:val="20"/>
                <w:lang w:val="fr-CA"/>
              </w:rPr>
            </w:pPr>
            <w:hyperlink r:id="rId41" w:history="1">
              <w:r w:rsidRPr="0091707B">
                <w:rPr>
                  <w:rStyle w:val="Hyperlink"/>
                  <w:sz w:val="20"/>
                  <w:lang w:val="fr-CA"/>
                </w:rPr>
                <w:t>2023 FCA 4</w:t>
              </w:r>
            </w:hyperlink>
          </w:p>
          <w:p w:rsidR="00860B41" w:rsidRPr="0091707B" w:rsidRDefault="00860B41" w:rsidP="00860B41">
            <w:pPr>
              <w:jc w:val="both"/>
              <w:rPr>
                <w:sz w:val="20"/>
                <w:lang w:val="fr-CA"/>
              </w:rPr>
            </w:pPr>
          </w:p>
        </w:tc>
        <w:tc>
          <w:tcPr>
            <w:tcW w:w="229" w:type="pct"/>
          </w:tcPr>
          <w:p w:rsidR="00860B41" w:rsidRPr="0091707B" w:rsidRDefault="00860B41" w:rsidP="00860B41">
            <w:pPr>
              <w:jc w:val="both"/>
              <w:rPr>
                <w:sz w:val="20"/>
                <w:lang w:val="fr-CA"/>
              </w:rPr>
            </w:pPr>
          </w:p>
        </w:tc>
        <w:tc>
          <w:tcPr>
            <w:tcW w:w="2553" w:type="pct"/>
          </w:tcPr>
          <w:p w:rsidR="00860B41" w:rsidRPr="0091707B" w:rsidRDefault="00860B41" w:rsidP="00860B41">
            <w:pPr>
              <w:jc w:val="both"/>
              <w:rPr>
                <w:sz w:val="20"/>
                <w:lang w:val="fr-CA"/>
              </w:rPr>
            </w:pPr>
            <w:r w:rsidRPr="0091707B">
              <w:rPr>
                <w:sz w:val="20"/>
                <w:lang w:val="fr-CA"/>
              </w:rPr>
              <w:t>Appel rejeté</w:t>
            </w:r>
          </w:p>
        </w:tc>
      </w:tr>
      <w:tr w:rsidR="00860B41" w:rsidRPr="0091707B" w:rsidTr="00860B41">
        <w:tc>
          <w:tcPr>
            <w:tcW w:w="2217" w:type="pct"/>
            <w:gridSpan w:val="2"/>
          </w:tcPr>
          <w:p w:rsidR="00860B41" w:rsidRPr="0091707B" w:rsidRDefault="00860B41" w:rsidP="00860B41">
            <w:pPr>
              <w:jc w:val="both"/>
              <w:rPr>
                <w:sz w:val="20"/>
                <w:lang w:val="fr-CA"/>
              </w:rPr>
            </w:pPr>
            <w:r w:rsidRPr="0091707B">
              <w:rPr>
                <w:sz w:val="20"/>
                <w:lang w:val="fr-CA"/>
              </w:rPr>
              <w:t>10 mars 2023</w:t>
            </w:r>
          </w:p>
          <w:p w:rsidR="00860B41" w:rsidRPr="0091707B" w:rsidRDefault="00860B41" w:rsidP="00860B41">
            <w:pPr>
              <w:jc w:val="both"/>
              <w:rPr>
                <w:sz w:val="20"/>
                <w:lang w:val="fr-CA"/>
              </w:rPr>
            </w:pPr>
            <w:r w:rsidRPr="0091707B">
              <w:rPr>
                <w:sz w:val="20"/>
                <w:lang w:val="fr-CA"/>
              </w:rPr>
              <w:t>Cour suprême du Canada</w:t>
            </w:r>
          </w:p>
        </w:tc>
        <w:tc>
          <w:tcPr>
            <w:tcW w:w="229" w:type="pct"/>
          </w:tcPr>
          <w:p w:rsidR="00860B41" w:rsidRPr="0091707B" w:rsidRDefault="00860B41" w:rsidP="00860B41">
            <w:pPr>
              <w:jc w:val="both"/>
              <w:rPr>
                <w:sz w:val="20"/>
                <w:lang w:val="fr-CA"/>
              </w:rPr>
            </w:pPr>
          </w:p>
        </w:tc>
        <w:tc>
          <w:tcPr>
            <w:tcW w:w="2553" w:type="pct"/>
          </w:tcPr>
          <w:p w:rsidR="00860B41" w:rsidRPr="0091707B" w:rsidRDefault="00860B41" w:rsidP="00860B41">
            <w:pPr>
              <w:jc w:val="both"/>
              <w:rPr>
                <w:sz w:val="20"/>
                <w:lang w:val="fr-CA"/>
              </w:rPr>
            </w:pPr>
            <w:r w:rsidRPr="0091707B">
              <w:rPr>
                <w:sz w:val="20"/>
                <w:lang w:val="fr-CA"/>
              </w:rPr>
              <w:t xml:space="preserve">Demande d’autorisation d’appel déposée </w:t>
            </w:r>
          </w:p>
        </w:tc>
      </w:tr>
    </w:tbl>
    <w:p w:rsidR="00860B41" w:rsidRPr="0091707B" w:rsidRDefault="00860B41" w:rsidP="00860B41">
      <w:pPr>
        <w:jc w:val="both"/>
        <w:rPr>
          <w:sz w:val="20"/>
          <w:lang w:val="fr-CA"/>
        </w:rPr>
      </w:pPr>
    </w:p>
    <w:p w:rsidR="00860B41" w:rsidRPr="0091707B" w:rsidRDefault="008A5C02" w:rsidP="00860B41">
      <w:pPr>
        <w:jc w:val="both"/>
        <w:rPr>
          <w:sz w:val="20"/>
          <w:lang w:val="fr-CA"/>
        </w:rPr>
      </w:pPr>
      <w:r w:rsidRPr="0091707B">
        <w:rPr>
          <w:sz w:val="20"/>
        </w:rPr>
        <w:pict>
          <v:rect id="_x0000_i1034" style="width:2in;height:1pt" o:hrpct="0" o:hralign="center" o:hrstd="t" o:hrnoshade="t" o:hr="t" fillcolor="black [3213]" stroked="f"/>
        </w:pict>
      </w:r>
    </w:p>
    <w:p w:rsidR="00A24668" w:rsidRPr="0091707B" w:rsidRDefault="00A24668" w:rsidP="00A2466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4668" w:rsidRPr="0091707B" w:rsidTr="00A24668">
        <w:tc>
          <w:tcPr>
            <w:tcW w:w="543" w:type="pct"/>
          </w:tcPr>
          <w:p w:rsidR="00A24668" w:rsidRPr="0091707B" w:rsidRDefault="00A24668" w:rsidP="00A24668">
            <w:pPr>
              <w:jc w:val="both"/>
              <w:rPr>
                <w:sz w:val="20"/>
              </w:rPr>
            </w:pPr>
            <w:r w:rsidRPr="0091707B">
              <w:rPr>
                <w:rStyle w:val="SCCFileNumberChar"/>
                <w:sz w:val="20"/>
                <w:szCs w:val="20"/>
              </w:rPr>
              <w:t>40652</w:t>
            </w:r>
          </w:p>
        </w:tc>
        <w:tc>
          <w:tcPr>
            <w:tcW w:w="4457" w:type="pct"/>
            <w:gridSpan w:val="3"/>
          </w:tcPr>
          <w:p w:rsidR="00A24668" w:rsidRPr="0091707B" w:rsidRDefault="00A24668" w:rsidP="00A24668">
            <w:pPr>
              <w:pStyle w:val="SCCLsocParty"/>
              <w:jc w:val="both"/>
              <w:rPr>
                <w:b/>
                <w:sz w:val="20"/>
                <w:szCs w:val="20"/>
                <w:lang w:val="en-US"/>
              </w:rPr>
            </w:pPr>
            <w:r w:rsidRPr="0091707B">
              <w:rPr>
                <w:b/>
                <w:sz w:val="20"/>
                <w:szCs w:val="20"/>
                <w:lang w:val="en-US"/>
              </w:rPr>
              <w:t>Joey Toutsaint v. Investigation Committee of the Saskatchewan Registered Nurses Association</w:t>
            </w:r>
          </w:p>
          <w:p w:rsidR="00A24668" w:rsidRPr="0091707B" w:rsidRDefault="00A24668" w:rsidP="00A24668">
            <w:pPr>
              <w:jc w:val="both"/>
              <w:rPr>
                <w:sz w:val="20"/>
              </w:rPr>
            </w:pPr>
            <w:r w:rsidRPr="0091707B">
              <w:rPr>
                <w:sz w:val="20"/>
              </w:rPr>
              <w:t>(Sask.) (Civil) (By Leave)</w:t>
            </w:r>
          </w:p>
        </w:tc>
      </w:tr>
      <w:tr w:rsidR="00A24668" w:rsidRPr="0091707B" w:rsidTr="00A24668">
        <w:tc>
          <w:tcPr>
            <w:tcW w:w="5000" w:type="pct"/>
            <w:gridSpan w:val="4"/>
          </w:tcPr>
          <w:p w:rsidR="00A24668" w:rsidRPr="0091707B" w:rsidRDefault="00A24668" w:rsidP="00A24668">
            <w:pPr>
              <w:jc w:val="both"/>
              <w:rPr>
                <w:sz w:val="20"/>
              </w:rPr>
            </w:pPr>
            <w:r w:rsidRPr="0091707B">
              <w:rPr>
                <w:sz w:val="20"/>
              </w:rPr>
              <w:t xml:space="preserve">Administrative law – Judicial review – Standard of review – Sufficiency of reasons – </w:t>
            </w:r>
            <w:r w:rsidRPr="0091707B">
              <w:rPr>
                <w:color w:val="212529"/>
                <w:sz w:val="20"/>
                <w:shd w:val="clear" w:color="auto" w:fill="FFFFFF"/>
              </w:rPr>
              <w:t xml:space="preserve">Whether the applicant was denied procedural fairness by the investigation committee in light of the </w:t>
            </w:r>
            <w:r w:rsidRPr="0091707B">
              <w:rPr>
                <w:i/>
                <w:sz w:val="20"/>
              </w:rPr>
              <w:t>Vavilov</w:t>
            </w:r>
            <w:r w:rsidRPr="0091707B">
              <w:rPr>
                <w:sz w:val="20"/>
              </w:rPr>
              <w:t xml:space="preserve"> decision – </w:t>
            </w:r>
            <w:r w:rsidRPr="0091707B">
              <w:rPr>
                <w:color w:val="212529"/>
                <w:sz w:val="20"/>
                <w:shd w:val="clear" w:color="auto" w:fill="FFFFFF"/>
              </w:rPr>
              <w:t>Whether the applicant had standing to challenge the findings of the investigation committee</w:t>
            </w:r>
            <w:r w:rsidRPr="0091707B">
              <w:rPr>
                <w:sz w:val="20"/>
              </w:rPr>
              <w:t>?</w:t>
            </w:r>
          </w:p>
        </w:tc>
      </w:tr>
      <w:tr w:rsidR="00A24668" w:rsidRPr="0091707B" w:rsidTr="00A24668">
        <w:tc>
          <w:tcPr>
            <w:tcW w:w="5000" w:type="pct"/>
            <w:gridSpan w:val="4"/>
          </w:tcPr>
          <w:p w:rsidR="00A24668" w:rsidRPr="0091707B" w:rsidRDefault="00A24668" w:rsidP="00A24668">
            <w:pPr>
              <w:jc w:val="both"/>
              <w:rPr>
                <w:sz w:val="20"/>
              </w:rPr>
            </w:pPr>
          </w:p>
        </w:tc>
      </w:tr>
      <w:tr w:rsidR="00A24668" w:rsidRPr="0091707B" w:rsidTr="00A24668">
        <w:tc>
          <w:tcPr>
            <w:tcW w:w="5000" w:type="pct"/>
            <w:gridSpan w:val="4"/>
          </w:tcPr>
          <w:p w:rsidR="00A24668" w:rsidRPr="0091707B" w:rsidRDefault="00A24668" w:rsidP="00A24668">
            <w:pPr>
              <w:jc w:val="both"/>
              <w:rPr>
                <w:sz w:val="20"/>
              </w:rPr>
            </w:pPr>
            <w:r w:rsidRPr="0091707B">
              <w:rPr>
                <w:color w:val="000000"/>
                <w:sz w:val="20"/>
              </w:rPr>
              <w:t>The applicant was an inmate at the Saskatchewan Federal Penitentiary. The applicant filed a complaint with The Saskatchewan Registered Nurses’ Association regarding a nurse’s conduct when she gave some medication to him. The investigation committee dismissed the complaint with reasons.</w:t>
            </w:r>
            <w:r w:rsidRPr="0091707B">
              <w:rPr>
                <w:sz w:val="20"/>
              </w:rPr>
              <w:t xml:space="preserve"> </w:t>
            </w:r>
            <w:r w:rsidRPr="0091707B">
              <w:rPr>
                <w:color w:val="000000"/>
                <w:sz w:val="20"/>
              </w:rPr>
              <w:t>The applicant’s application for judicial review of the dismissal of his complaint was dismissed. His appeal was dismissed.</w:t>
            </w:r>
          </w:p>
          <w:p w:rsidR="00A24668" w:rsidRPr="0091707B" w:rsidRDefault="00A24668" w:rsidP="00A24668">
            <w:pPr>
              <w:jc w:val="both"/>
              <w:rPr>
                <w:sz w:val="20"/>
              </w:rPr>
            </w:pPr>
          </w:p>
        </w:tc>
      </w:tr>
      <w:tr w:rsidR="00A24668" w:rsidRPr="0091707B" w:rsidTr="00A24668">
        <w:tc>
          <w:tcPr>
            <w:tcW w:w="2427" w:type="pct"/>
            <w:gridSpan w:val="2"/>
          </w:tcPr>
          <w:p w:rsidR="00A24668" w:rsidRPr="0091707B" w:rsidRDefault="00A24668" w:rsidP="00A24668">
            <w:pPr>
              <w:jc w:val="both"/>
              <w:rPr>
                <w:sz w:val="20"/>
              </w:rPr>
            </w:pPr>
            <w:r w:rsidRPr="0091707B">
              <w:rPr>
                <w:sz w:val="20"/>
              </w:rPr>
              <w:t>December 7, 2021</w:t>
            </w:r>
          </w:p>
          <w:p w:rsidR="00A24668" w:rsidRPr="0091707B" w:rsidRDefault="00A24668" w:rsidP="00A24668">
            <w:pPr>
              <w:jc w:val="both"/>
              <w:rPr>
                <w:sz w:val="20"/>
              </w:rPr>
            </w:pPr>
            <w:r w:rsidRPr="0091707B">
              <w:rPr>
                <w:sz w:val="20"/>
              </w:rPr>
              <w:t>Court of Queen’s Bench of Saskatchewan</w:t>
            </w:r>
          </w:p>
          <w:p w:rsidR="00A24668" w:rsidRPr="0091707B" w:rsidRDefault="00A24668" w:rsidP="00A24668">
            <w:pPr>
              <w:jc w:val="both"/>
              <w:rPr>
                <w:sz w:val="20"/>
              </w:rPr>
            </w:pPr>
            <w:r w:rsidRPr="0091707B">
              <w:rPr>
                <w:sz w:val="20"/>
              </w:rPr>
              <w:t>(Gabrielson J.)</w:t>
            </w:r>
          </w:p>
          <w:p w:rsidR="00A24668" w:rsidRPr="0091707B" w:rsidRDefault="00A24668" w:rsidP="00A24668">
            <w:pPr>
              <w:jc w:val="both"/>
              <w:rPr>
                <w:sz w:val="20"/>
              </w:rPr>
            </w:pPr>
            <w:hyperlink r:id="rId42" w:history="1">
              <w:r w:rsidRPr="0091707B">
                <w:rPr>
                  <w:rStyle w:val="Hyperlink"/>
                  <w:sz w:val="20"/>
                </w:rPr>
                <w:t>2021 SKQB 315</w:t>
              </w:r>
            </w:hyperlink>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Application for judicial review dismissed</w:t>
            </w:r>
          </w:p>
          <w:p w:rsidR="00A24668" w:rsidRPr="0091707B" w:rsidRDefault="00A24668" w:rsidP="00A24668">
            <w:pPr>
              <w:jc w:val="both"/>
              <w:rPr>
                <w:sz w:val="20"/>
              </w:rPr>
            </w:pPr>
          </w:p>
        </w:tc>
      </w:tr>
      <w:tr w:rsidR="00A24668" w:rsidRPr="0091707B" w:rsidTr="00A24668">
        <w:tc>
          <w:tcPr>
            <w:tcW w:w="2427" w:type="pct"/>
            <w:gridSpan w:val="2"/>
          </w:tcPr>
          <w:p w:rsidR="00A24668" w:rsidRPr="0091707B" w:rsidRDefault="00A24668" w:rsidP="00A24668">
            <w:pPr>
              <w:jc w:val="both"/>
              <w:rPr>
                <w:sz w:val="20"/>
              </w:rPr>
            </w:pPr>
            <w:r w:rsidRPr="0091707B">
              <w:rPr>
                <w:sz w:val="20"/>
              </w:rPr>
              <w:t>January 17, 2023</w:t>
            </w:r>
          </w:p>
          <w:p w:rsidR="00A24668" w:rsidRPr="0091707B" w:rsidRDefault="00A24668" w:rsidP="00A24668">
            <w:pPr>
              <w:jc w:val="both"/>
              <w:rPr>
                <w:sz w:val="20"/>
              </w:rPr>
            </w:pPr>
            <w:r w:rsidRPr="0091707B">
              <w:rPr>
                <w:sz w:val="20"/>
              </w:rPr>
              <w:t>Court of Appeal for Saskatchewan</w:t>
            </w:r>
          </w:p>
          <w:p w:rsidR="00A24668" w:rsidRPr="0091707B" w:rsidRDefault="00A24668" w:rsidP="00A24668">
            <w:pPr>
              <w:jc w:val="both"/>
              <w:rPr>
                <w:sz w:val="20"/>
              </w:rPr>
            </w:pPr>
            <w:r w:rsidRPr="0091707B">
              <w:rPr>
                <w:sz w:val="20"/>
              </w:rPr>
              <w:t>(Tholl and Leurer JJ.A., Jackson J.A. (dissenting))</w:t>
            </w:r>
          </w:p>
          <w:p w:rsidR="00A24668" w:rsidRPr="0091707B" w:rsidRDefault="00A24668" w:rsidP="00A24668">
            <w:pPr>
              <w:jc w:val="both"/>
              <w:rPr>
                <w:sz w:val="20"/>
              </w:rPr>
            </w:pPr>
            <w:r w:rsidRPr="0091707B">
              <w:rPr>
                <w:sz w:val="20"/>
              </w:rPr>
              <w:t xml:space="preserve">CACV3951; </w:t>
            </w:r>
            <w:hyperlink r:id="rId43" w:history="1">
              <w:r w:rsidRPr="0091707B">
                <w:rPr>
                  <w:rStyle w:val="Hyperlink"/>
                  <w:sz w:val="20"/>
                </w:rPr>
                <w:t>2023 SKCA 11</w:t>
              </w:r>
            </w:hyperlink>
          </w:p>
          <w:p w:rsidR="00A24668" w:rsidRPr="0091707B" w:rsidRDefault="00A24668" w:rsidP="00A24668">
            <w:pPr>
              <w:jc w:val="both"/>
              <w:rPr>
                <w:sz w:val="20"/>
              </w:rPr>
            </w:pP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Appeal dismissed</w:t>
            </w:r>
          </w:p>
          <w:p w:rsidR="00A24668" w:rsidRPr="0091707B" w:rsidRDefault="00A24668" w:rsidP="00A24668">
            <w:pPr>
              <w:jc w:val="both"/>
              <w:rPr>
                <w:sz w:val="20"/>
              </w:rPr>
            </w:pPr>
          </w:p>
        </w:tc>
      </w:tr>
      <w:tr w:rsidR="00A24668" w:rsidRPr="0091707B" w:rsidTr="00A24668">
        <w:tc>
          <w:tcPr>
            <w:tcW w:w="2427" w:type="pct"/>
            <w:gridSpan w:val="2"/>
          </w:tcPr>
          <w:p w:rsidR="00A24668" w:rsidRPr="0091707B" w:rsidRDefault="00A24668" w:rsidP="00A24668">
            <w:pPr>
              <w:jc w:val="both"/>
              <w:rPr>
                <w:sz w:val="20"/>
              </w:rPr>
            </w:pPr>
            <w:r w:rsidRPr="0091707B">
              <w:rPr>
                <w:sz w:val="20"/>
              </w:rPr>
              <w:t>March 20, 2023</w:t>
            </w:r>
          </w:p>
          <w:p w:rsidR="00A24668" w:rsidRPr="0091707B" w:rsidRDefault="00A24668" w:rsidP="00A24668">
            <w:pPr>
              <w:jc w:val="both"/>
              <w:rPr>
                <w:sz w:val="20"/>
              </w:rPr>
            </w:pPr>
            <w:r w:rsidRPr="0091707B">
              <w:rPr>
                <w:sz w:val="20"/>
              </w:rPr>
              <w:t>Supreme Court of Canada</w:t>
            </w:r>
          </w:p>
        </w:tc>
        <w:tc>
          <w:tcPr>
            <w:tcW w:w="243" w:type="pct"/>
          </w:tcPr>
          <w:p w:rsidR="00A24668" w:rsidRPr="0091707B" w:rsidRDefault="00A24668" w:rsidP="00A24668">
            <w:pPr>
              <w:jc w:val="both"/>
              <w:rPr>
                <w:sz w:val="20"/>
              </w:rPr>
            </w:pPr>
          </w:p>
        </w:tc>
        <w:tc>
          <w:tcPr>
            <w:tcW w:w="2330" w:type="pct"/>
          </w:tcPr>
          <w:p w:rsidR="00A24668" w:rsidRPr="0091707B" w:rsidRDefault="00A24668" w:rsidP="00A24668">
            <w:pPr>
              <w:jc w:val="both"/>
              <w:rPr>
                <w:sz w:val="20"/>
              </w:rPr>
            </w:pPr>
            <w:r w:rsidRPr="0091707B">
              <w:rPr>
                <w:sz w:val="20"/>
              </w:rPr>
              <w:t>Application for leave to appeal filed</w:t>
            </w:r>
          </w:p>
          <w:p w:rsidR="00A24668" w:rsidRPr="0091707B" w:rsidRDefault="00A24668" w:rsidP="00A24668">
            <w:pPr>
              <w:jc w:val="both"/>
              <w:rPr>
                <w:sz w:val="20"/>
              </w:rPr>
            </w:pPr>
          </w:p>
        </w:tc>
      </w:tr>
    </w:tbl>
    <w:p w:rsidR="00860B41" w:rsidRPr="0091707B" w:rsidRDefault="00860B41" w:rsidP="00860B41">
      <w:pPr>
        <w:jc w:val="both"/>
        <w:rPr>
          <w:sz w:val="20"/>
          <w:lang w:val="fr-CA"/>
        </w:rPr>
      </w:pPr>
    </w:p>
    <w:p w:rsidR="00860B41" w:rsidRPr="0091707B" w:rsidRDefault="008A5C02" w:rsidP="00860B41">
      <w:pPr>
        <w:jc w:val="both"/>
        <w:rPr>
          <w:sz w:val="20"/>
          <w:lang w:val="fr-CA"/>
        </w:rPr>
      </w:pPr>
      <w:r w:rsidRPr="0091707B">
        <w:rPr>
          <w:sz w:val="20"/>
        </w:rPr>
        <w:pict>
          <v:rect id="_x0000_i1035" style="width:2in;height:1pt" o:hrpct="0" o:hralign="center" o:hrstd="t" o:hrnoshade="t" o:hr="t" fillcolor="black [3213]" stroked="f"/>
        </w:pict>
      </w:r>
    </w:p>
    <w:p w:rsidR="00860B41" w:rsidRPr="0091707B" w:rsidRDefault="00860B41" w:rsidP="00860B4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lang w:val="fr-CA"/>
              </w:rPr>
            </w:pPr>
            <w:r w:rsidRPr="0091707B">
              <w:rPr>
                <w:rStyle w:val="SCCFileNumberChar"/>
                <w:sz w:val="20"/>
                <w:szCs w:val="20"/>
                <w:lang w:val="fr-CA"/>
              </w:rPr>
              <w:t>40652</w:t>
            </w:r>
          </w:p>
        </w:tc>
        <w:tc>
          <w:tcPr>
            <w:tcW w:w="4457" w:type="pct"/>
            <w:gridSpan w:val="3"/>
          </w:tcPr>
          <w:p w:rsidR="00860B41" w:rsidRPr="0091707B" w:rsidRDefault="00860B41" w:rsidP="00860B41">
            <w:pPr>
              <w:pStyle w:val="SCCLsocParty"/>
              <w:jc w:val="both"/>
              <w:rPr>
                <w:b/>
                <w:sz w:val="20"/>
                <w:szCs w:val="20"/>
                <w:lang w:val="en-US"/>
              </w:rPr>
            </w:pPr>
            <w:r w:rsidRPr="0091707B">
              <w:rPr>
                <w:b/>
                <w:sz w:val="20"/>
                <w:szCs w:val="20"/>
                <w:lang w:val="en-US"/>
              </w:rPr>
              <w:t>Joey Toutsaint c. Investigation Committee of the Saskatchewan Registered Nurses Association</w:t>
            </w:r>
          </w:p>
          <w:p w:rsidR="00860B41" w:rsidRPr="0091707B" w:rsidRDefault="00860B41" w:rsidP="00860B41">
            <w:pPr>
              <w:jc w:val="both"/>
              <w:rPr>
                <w:sz w:val="20"/>
                <w:lang w:val="fr-CA"/>
              </w:rPr>
            </w:pPr>
            <w:r w:rsidRPr="0091707B">
              <w:rPr>
                <w:sz w:val="20"/>
                <w:lang w:val="fr-CA"/>
              </w:rPr>
              <w:t>(Sask.) (Civile) (Sur autorisation)</w:t>
            </w: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Droit administratif — Contrôle judiciaire — Norme de contrôle — Suffisance des motifs — Le demandeur s’est-il vu refuser l’équité procédurale par le comité d’enquête compte tenu de la décision dans l’arrêt</w:t>
            </w:r>
            <w:r w:rsidRPr="0091707B">
              <w:rPr>
                <w:color w:val="212529"/>
                <w:sz w:val="20"/>
                <w:shd w:val="clear" w:color="auto" w:fill="FFFFFF"/>
                <w:lang w:val="fr-CA"/>
              </w:rPr>
              <w:t xml:space="preserve"> </w:t>
            </w:r>
            <w:r w:rsidRPr="0091707B">
              <w:rPr>
                <w:i/>
                <w:sz w:val="20"/>
                <w:lang w:val="fr-CA"/>
              </w:rPr>
              <w:t>Vavilov </w:t>
            </w:r>
            <w:r w:rsidRPr="0091707B">
              <w:rPr>
                <w:sz w:val="20"/>
                <w:lang w:val="fr-CA"/>
              </w:rPr>
              <w:t>? — Le demandeur avait-il qualité pour contester les conclusions tirées par le comité d’enquête ?</w:t>
            </w:r>
          </w:p>
        </w:tc>
      </w:tr>
      <w:tr w:rsidR="00860B41" w:rsidRPr="0091707B" w:rsidTr="00860B41">
        <w:tc>
          <w:tcPr>
            <w:tcW w:w="5000" w:type="pct"/>
            <w:gridSpan w:val="4"/>
          </w:tcPr>
          <w:p w:rsidR="00860B41" w:rsidRPr="0091707B" w:rsidRDefault="00860B41" w:rsidP="00860B41">
            <w:pPr>
              <w:jc w:val="both"/>
              <w:rPr>
                <w:sz w:val="20"/>
                <w:lang w:val="fr-CA"/>
              </w:rPr>
            </w:pPr>
          </w:p>
        </w:tc>
      </w:tr>
      <w:tr w:rsidR="00860B41" w:rsidRPr="0091707B" w:rsidTr="00860B41">
        <w:tc>
          <w:tcPr>
            <w:tcW w:w="5000" w:type="pct"/>
            <w:gridSpan w:val="4"/>
          </w:tcPr>
          <w:p w:rsidR="00860B41" w:rsidRPr="0091707B" w:rsidRDefault="00860B41" w:rsidP="00860B41">
            <w:pPr>
              <w:jc w:val="both"/>
              <w:rPr>
                <w:sz w:val="20"/>
                <w:lang w:val="fr-CA"/>
              </w:rPr>
            </w:pPr>
            <w:r w:rsidRPr="0091707B">
              <w:rPr>
                <w:color w:val="000000"/>
                <w:sz w:val="20"/>
                <w:lang w:val="fr-CA"/>
              </w:rPr>
              <w:t>Le demandeur était un détenu du pénitencier fédéral de la Saskatchewan. Il a déposé une plainte auprès de la Saskatchewan Registered Nurses’ Association eu égard à la conduite d’une infirmière lorsqu’elle lui a administré des médicaments. Le comité d’enquête a rejeté la plainte et a motivé sa décision.</w:t>
            </w:r>
            <w:r w:rsidRPr="0091707B">
              <w:rPr>
                <w:sz w:val="20"/>
                <w:lang w:val="fr-CA"/>
              </w:rPr>
              <w:t xml:space="preserve"> La demande de contrôle judiciaire du rejet de la plainte présentée par le demandeur a été rejetée</w:t>
            </w:r>
            <w:r w:rsidRPr="0091707B">
              <w:rPr>
                <w:color w:val="000000"/>
                <w:sz w:val="20"/>
                <w:lang w:val="fr-CA"/>
              </w:rPr>
              <w:t>. L’appel interjeté par ce dernier a également été rejeté.</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7 décembre 2021</w:t>
            </w:r>
          </w:p>
          <w:p w:rsidR="00860B41" w:rsidRPr="0091707B" w:rsidRDefault="00860B41" w:rsidP="00860B41">
            <w:pPr>
              <w:jc w:val="both"/>
              <w:rPr>
                <w:sz w:val="20"/>
                <w:lang w:val="fr-CA"/>
              </w:rPr>
            </w:pPr>
            <w:r w:rsidRPr="0091707B">
              <w:rPr>
                <w:sz w:val="20"/>
                <w:lang w:val="fr-CA"/>
              </w:rPr>
              <w:t>Cour du Banc de la Reine de la Saskatchewan</w:t>
            </w:r>
          </w:p>
          <w:p w:rsidR="00860B41" w:rsidRPr="0091707B" w:rsidRDefault="00860B41" w:rsidP="00860B41">
            <w:pPr>
              <w:jc w:val="both"/>
              <w:rPr>
                <w:sz w:val="20"/>
                <w:lang w:val="fr-CA"/>
              </w:rPr>
            </w:pPr>
            <w:r w:rsidRPr="0091707B">
              <w:rPr>
                <w:sz w:val="20"/>
                <w:lang w:val="fr-CA"/>
              </w:rPr>
              <w:t>(juge Gabrielson)</w:t>
            </w:r>
          </w:p>
          <w:p w:rsidR="00860B41" w:rsidRPr="0091707B" w:rsidRDefault="00860B41" w:rsidP="00860B41">
            <w:pPr>
              <w:jc w:val="both"/>
              <w:rPr>
                <w:sz w:val="20"/>
                <w:lang w:val="fr-CA"/>
              </w:rPr>
            </w:pPr>
            <w:hyperlink r:id="rId44" w:history="1">
              <w:r w:rsidRPr="0091707B">
                <w:rPr>
                  <w:rStyle w:val="Hyperlink"/>
                  <w:sz w:val="20"/>
                  <w:lang w:val="fr-CA"/>
                </w:rPr>
                <w:t>2021 SKQB 315</w:t>
              </w:r>
            </w:hyperlink>
          </w:p>
          <w:p w:rsidR="00860B41" w:rsidRPr="0091707B" w:rsidRDefault="00860B41" w:rsidP="00860B41">
            <w:pPr>
              <w:jc w:val="both"/>
              <w:rPr>
                <w:sz w:val="20"/>
                <w:lang w:val="fr-CA"/>
              </w:rPr>
            </w:pP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La demande de contrôle judiciaire est rejetée.</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17 janvier 2023</w:t>
            </w:r>
          </w:p>
          <w:p w:rsidR="00860B41" w:rsidRPr="0091707B" w:rsidRDefault="00860B41" w:rsidP="00860B41">
            <w:pPr>
              <w:jc w:val="both"/>
              <w:rPr>
                <w:sz w:val="20"/>
                <w:lang w:val="fr-CA"/>
              </w:rPr>
            </w:pPr>
            <w:r w:rsidRPr="0091707B">
              <w:rPr>
                <w:sz w:val="20"/>
                <w:lang w:val="fr-CA"/>
              </w:rPr>
              <w:t>Cour d’appel de la Saskatchewan</w:t>
            </w:r>
          </w:p>
          <w:p w:rsidR="00860B41" w:rsidRPr="0091707B" w:rsidRDefault="00860B41" w:rsidP="00860B41">
            <w:pPr>
              <w:jc w:val="both"/>
              <w:rPr>
                <w:sz w:val="20"/>
                <w:lang w:val="fr-CA"/>
              </w:rPr>
            </w:pPr>
            <w:r w:rsidRPr="0091707B">
              <w:rPr>
                <w:sz w:val="20"/>
                <w:lang w:val="fr-CA"/>
              </w:rPr>
              <w:t>(juges Tholl et Leurer, la juge Jackson est dissidente)</w:t>
            </w:r>
          </w:p>
          <w:p w:rsidR="00860B41" w:rsidRPr="0091707B" w:rsidRDefault="00860B41" w:rsidP="00860B41">
            <w:pPr>
              <w:jc w:val="both"/>
              <w:rPr>
                <w:sz w:val="20"/>
                <w:lang w:val="fr-CA"/>
              </w:rPr>
            </w:pPr>
            <w:r w:rsidRPr="0091707B">
              <w:rPr>
                <w:sz w:val="20"/>
                <w:lang w:val="fr-CA"/>
              </w:rPr>
              <w:t xml:space="preserve">CACV3951; </w:t>
            </w:r>
            <w:hyperlink r:id="rId45" w:history="1">
              <w:r w:rsidRPr="0091707B">
                <w:rPr>
                  <w:rStyle w:val="Hyperlink"/>
                  <w:sz w:val="20"/>
                  <w:lang w:val="fr-CA"/>
                </w:rPr>
                <w:t>2023 SKCA 11</w:t>
              </w:r>
            </w:hyperlink>
          </w:p>
          <w:p w:rsidR="00860B41" w:rsidRPr="0091707B" w:rsidRDefault="00860B41" w:rsidP="00860B41">
            <w:pPr>
              <w:jc w:val="both"/>
              <w:rPr>
                <w:sz w:val="20"/>
                <w:lang w:val="fr-CA"/>
              </w:rPr>
            </w:pP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L’appel est rejeté.</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20 mars 2023</w:t>
            </w:r>
          </w:p>
          <w:p w:rsidR="00860B41" w:rsidRPr="0091707B" w:rsidRDefault="00860B41" w:rsidP="008A5C02">
            <w:pPr>
              <w:jc w:val="both"/>
              <w:rPr>
                <w:sz w:val="20"/>
                <w:lang w:val="fr-CA"/>
              </w:rPr>
            </w:pPr>
            <w:r w:rsidRPr="0091707B">
              <w:rPr>
                <w:sz w:val="20"/>
                <w:lang w:val="fr-CA"/>
              </w:rPr>
              <w:t>Cour suprême du Canada</w:t>
            </w: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La demande d’autorisation d’appel est présentée.</w:t>
            </w:r>
          </w:p>
          <w:p w:rsidR="00860B41" w:rsidRPr="0091707B" w:rsidRDefault="00860B41" w:rsidP="00860B41">
            <w:pPr>
              <w:jc w:val="both"/>
              <w:rPr>
                <w:sz w:val="20"/>
                <w:lang w:val="fr-CA"/>
              </w:rPr>
            </w:pPr>
          </w:p>
        </w:tc>
      </w:tr>
    </w:tbl>
    <w:p w:rsidR="00860B41" w:rsidRPr="0091707B" w:rsidRDefault="00860B41" w:rsidP="00860B41">
      <w:pPr>
        <w:jc w:val="both"/>
        <w:rPr>
          <w:sz w:val="20"/>
          <w:lang w:val="fr-CA"/>
        </w:rPr>
      </w:pPr>
    </w:p>
    <w:p w:rsidR="008A5C02" w:rsidRPr="0091707B" w:rsidRDefault="008A5C02" w:rsidP="00860B41">
      <w:pPr>
        <w:jc w:val="both"/>
        <w:rPr>
          <w:sz w:val="20"/>
          <w:lang w:val="fr-CA"/>
        </w:rPr>
      </w:pPr>
      <w:r w:rsidRPr="0091707B">
        <w:rPr>
          <w:sz w:val="20"/>
        </w:rPr>
        <w:pict>
          <v:rect id="_x0000_i1036" style="width:2in;height:1pt" o:hrpct="0" o:hralign="center" o:hrstd="t" o:hrnoshade="t" o:hr="t" fillcolor="black [3213]" stroked="f"/>
        </w:pict>
      </w:r>
    </w:p>
    <w:p w:rsidR="00860B41" w:rsidRPr="0091707B" w:rsidRDefault="00860B41" w:rsidP="00860B4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40673</w:t>
            </w:r>
          </w:p>
        </w:tc>
        <w:tc>
          <w:tcPr>
            <w:tcW w:w="4457" w:type="pct"/>
            <w:gridSpan w:val="3"/>
          </w:tcPr>
          <w:p w:rsidR="00860B41" w:rsidRPr="0091707B" w:rsidRDefault="00860B41" w:rsidP="00860B41">
            <w:pPr>
              <w:pStyle w:val="SCCLsocParty"/>
              <w:jc w:val="both"/>
              <w:rPr>
                <w:b/>
                <w:sz w:val="20"/>
                <w:szCs w:val="20"/>
                <w:lang w:val="en-US"/>
              </w:rPr>
            </w:pPr>
            <w:r w:rsidRPr="0091707B">
              <w:rPr>
                <w:b/>
                <w:sz w:val="20"/>
                <w:szCs w:val="20"/>
                <w:lang w:val="en-US"/>
              </w:rPr>
              <w:t>Jeremy Maddock v. Law Society of British Columbia</w:t>
            </w:r>
          </w:p>
          <w:p w:rsidR="00860B41" w:rsidRPr="0091707B" w:rsidRDefault="00860B41" w:rsidP="00860B41">
            <w:pPr>
              <w:jc w:val="both"/>
              <w:rPr>
                <w:sz w:val="20"/>
              </w:rPr>
            </w:pPr>
            <w:r w:rsidRPr="0091707B">
              <w:rPr>
                <w:sz w:val="20"/>
              </w:rPr>
              <w:t>(B.C.) (Civil) (By Leave)</w:t>
            </w:r>
          </w:p>
        </w:tc>
      </w:tr>
      <w:tr w:rsidR="00860B41" w:rsidRPr="0091707B" w:rsidTr="00860B41">
        <w:tc>
          <w:tcPr>
            <w:tcW w:w="5000" w:type="pct"/>
            <w:gridSpan w:val="4"/>
          </w:tcPr>
          <w:p w:rsidR="00860B41" w:rsidRPr="0091707B" w:rsidRDefault="00860B41" w:rsidP="00860B41">
            <w:pPr>
              <w:jc w:val="both"/>
              <w:rPr>
                <w:sz w:val="20"/>
              </w:rPr>
            </w:pPr>
            <w:r w:rsidRPr="0091707B">
              <w:rPr>
                <w:sz w:val="20"/>
              </w:rPr>
              <w:t xml:space="preserve">Law of professions — Barristers and solicitors — Representation by non-lawyer agents —Whether statutes allowing representation by agent in certain court proceedings indicates a legislative intention to permit paid agents to promote access to justice — Whether the principle of access to justice requires conflict between a statutory permission to appear as agent, and a general statutory prohibition on non-lawyers providing legal services for a fee, be resolved in favour of permission to appear as a paid agent - </w:t>
            </w:r>
            <w:r w:rsidRPr="0091707B">
              <w:rPr>
                <w:i/>
                <w:sz w:val="20"/>
              </w:rPr>
              <w:t>Legal Profession Act</w:t>
            </w:r>
            <w:r w:rsidRPr="0091707B">
              <w:rPr>
                <w:sz w:val="20"/>
              </w:rPr>
              <w:t xml:space="preserve">, S.B.C. 1998, c. 9 — </w:t>
            </w:r>
            <w:r w:rsidRPr="0091707B">
              <w:rPr>
                <w:i/>
                <w:sz w:val="20"/>
              </w:rPr>
              <w:t>Offence Act</w:t>
            </w:r>
            <w:r w:rsidRPr="0091707B">
              <w:rPr>
                <w:sz w:val="20"/>
              </w:rPr>
              <w:t>, R.S.B.C. 1996, c. 338</w:t>
            </w:r>
          </w:p>
        </w:tc>
      </w:tr>
      <w:tr w:rsidR="00860B41" w:rsidRPr="0091707B" w:rsidTr="00860B41">
        <w:tc>
          <w:tcPr>
            <w:tcW w:w="5000" w:type="pct"/>
            <w:gridSpan w:val="4"/>
          </w:tcPr>
          <w:p w:rsidR="00860B41" w:rsidRPr="0091707B" w:rsidRDefault="00860B41" w:rsidP="00860B41">
            <w:pPr>
              <w:jc w:val="both"/>
              <w:rPr>
                <w:sz w:val="20"/>
              </w:rPr>
            </w:pPr>
          </w:p>
          <w:p w:rsidR="00860B41" w:rsidRPr="0091707B" w:rsidRDefault="00860B41" w:rsidP="00860B41">
            <w:pPr>
              <w:jc w:val="both"/>
              <w:rPr>
                <w:sz w:val="20"/>
              </w:rPr>
            </w:pPr>
            <w:r w:rsidRPr="0091707B">
              <w:rPr>
                <w:sz w:val="20"/>
              </w:rPr>
              <w:t>Applicant Jeremy Maddock is a self-employed legal consultant who provides legal research and other services to lawyers and members of the public. He obtained a law degree but is not, and never has been, a practicing lawyer.</w:t>
            </w:r>
          </w:p>
          <w:p w:rsidR="00860B41" w:rsidRPr="0091707B" w:rsidRDefault="00860B41" w:rsidP="00860B41">
            <w:pPr>
              <w:jc w:val="both"/>
              <w:rPr>
                <w:sz w:val="20"/>
              </w:rPr>
            </w:pPr>
          </w:p>
          <w:p w:rsidR="00860B41" w:rsidRPr="0091707B" w:rsidRDefault="00860B41" w:rsidP="00860B41">
            <w:pPr>
              <w:jc w:val="both"/>
              <w:rPr>
                <w:sz w:val="20"/>
              </w:rPr>
            </w:pPr>
            <w:r w:rsidRPr="0091707B">
              <w:rPr>
                <w:sz w:val="20"/>
              </w:rPr>
              <w:t xml:space="preserve">The respondent Law Society of British Columbia contacted Mr. Maddock over concerns that he was engaging in activities restricted to practicing lawyers. Shortly thereafter, Mr. Maddock filed a petition in superior court seeking declarations concerning the interpretation of two statutory provisions — s. 15(2) of the </w:t>
            </w:r>
            <w:r w:rsidRPr="0091707B">
              <w:rPr>
                <w:i/>
                <w:sz w:val="20"/>
              </w:rPr>
              <w:t>Legal Profession Act</w:t>
            </w:r>
            <w:r w:rsidRPr="0091707B">
              <w:rPr>
                <w:sz w:val="20"/>
              </w:rPr>
              <w:t xml:space="preserve"> and s. 57(2) of the </w:t>
            </w:r>
            <w:r w:rsidRPr="0091707B">
              <w:rPr>
                <w:i/>
                <w:sz w:val="20"/>
              </w:rPr>
              <w:t xml:space="preserve">Offence Act </w:t>
            </w:r>
            <w:r w:rsidRPr="0091707B">
              <w:rPr>
                <w:sz w:val="20"/>
              </w:rPr>
              <w:t>— which concern the extent to which non-lawyers may perform work of a legal nature.</w:t>
            </w:r>
          </w:p>
          <w:p w:rsidR="00860B41" w:rsidRPr="0091707B" w:rsidRDefault="00860B41" w:rsidP="00860B41">
            <w:pPr>
              <w:jc w:val="both"/>
              <w:rPr>
                <w:sz w:val="20"/>
              </w:rPr>
            </w:pPr>
          </w:p>
          <w:p w:rsidR="00860B41" w:rsidRPr="0091707B" w:rsidRDefault="00860B41" w:rsidP="00860B41">
            <w:pPr>
              <w:jc w:val="both"/>
              <w:rPr>
                <w:sz w:val="20"/>
              </w:rPr>
            </w:pPr>
            <w:r w:rsidRPr="0091707B">
              <w:rPr>
                <w:sz w:val="20"/>
              </w:rPr>
              <w:t xml:space="preserve">The Law Society filed its own application, seeking an injunction under s. 85 of the </w:t>
            </w:r>
            <w:r w:rsidRPr="0091707B">
              <w:rPr>
                <w:i/>
                <w:sz w:val="20"/>
              </w:rPr>
              <w:t>Legal Profession Act</w:t>
            </w:r>
            <w:r w:rsidRPr="0091707B">
              <w:rPr>
                <w:sz w:val="20"/>
              </w:rPr>
              <w:t xml:space="preserve"> to prevent Mr. Maddock from engaging in activities it considered to be restricted to practicing lawyers. </w:t>
            </w:r>
          </w:p>
          <w:p w:rsidR="00860B41" w:rsidRPr="0091707B" w:rsidRDefault="00860B41" w:rsidP="00860B41">
            <w:pPr>
              <w:jc w:val="both"/>
              <w:rPr>
                <w:sz w:val="20"/>
              </w:rPr>
            </w:pPr>
          </w:p>
          <w:p w:rsidR="00860B41" w:rsidRPr="0091707B" w:rsidRDefault="00860B41" w:rsidP="00860B41">
            <w:pPr>
              <w:jc w:val="both"/>
              <w:rPr>
                <w:sz w:val="20"/>
              </w:rPr>
            </w:pPr>
            <w:r w:rsidRPr="0091707B">
              <w:rPr>
                <w:sz w:val="20"/>
              </w:rPr>
              <w:t xml:space="preserve">Both applications were heard together. The chambers judge found that Mr. Maddock had breached ss. 15(1) and 15(5) of the </w:t>
            </w:r>
            <w:r w:rsidRPr="0091707B">
              <w:rPr>
                <w:i/>
                <w:sz w:val="20"/>
              </w:rPr>
              <w:t>Legal Professions Act</w:t>
            </w:r>
            <w:r w:rsidRPr="0091707B">
              <w:rPr>
                <w:sz w:val="20"/>
              </w:rPr>
              <w:t xml:space="preserve"> by engaging in the practice of law for a fee, and by prosecuting a matter in the British Columbia Supreme Court. The chambers judge granted the injunction sought by the Law Society, and dismissed Mr. Maddock’s application for declaratory relief. The Court of Appeal dismissed Mr. Maddock’s appeal.</w:t>
            </w:r>
          </w:p>
        </w:tc>
      </w:tr>
      <w:tr w:rsidR="00860B41" w:rsidRPr="0091707B" w:rsidTr="00860B41">
        <w:tc>
          <w:tcPr>
            <w:tcW w:w="5000" w:type="pct"/>
            <w:gridSpan w:val="4"/>
          </w:tcPr>
          <w:p w:rsidR="00860B41" w:rsidRPr="0091707B" w:rsidRDefault="00860B41" w:rsidP="00860B41">
            <w:pPr>
              <w:jc w:val="both"/>
              <w:rPr>
                <w:sz w:val="20"/>
              </w:rPr>
            </w:pPr>
          </w:p>
        </w:tc>
      </w:tr>
      <w:tr w:rsidR="00860B41" w:rsidRPr="0091707B" w:rsidTr="00860B41">
        <w:tc>
          <w:tcPr>
            <w:tcW w:w="2476" w:type="pct"/>
            <w:gridSpan w:val="2"/>
          </w:tcPr>
          <w:p w:rsidR="00860B41" w:rsidRPr="0091707B" w:rsidRDefault="00860B41" w:rsidP="00860B41">
            <w:pPr>
              <w:jc w:val="both"/>
              <w:rPr>
                <w:sz w:val="20"/>
              </w:rPr>
            </w:pPr>
            <w:r w:rsidRPr="0091707B">
              <w:rPr>
                <w:sz w:val="20"/>
              </w:rPr>
              <w:t>January 21, 2020</w:t>
            </w:r>
          </w:p>
          <w:p w:rsidR="00860B41" w:rsidRPr="0091707B" w:rsidRDefault="00860B41" w:rsidP="00860B41">
            <w:pPr>
              <w:jc w:val="both"/>
              <w:rPr>
                <w:sz w:val="20"/>
              </w:rPr>
            </w:pPr>
            <w:r w:rsidRPr="0091707B">
              <w:rPr>
                <w:sz w:val="20"/>
              </w:rPr>
              <w:t>Supreme Court of British Columbia</w:t>
            </w:r>
          </w:p>
          <w:p w:rsidR="00860B41" w:rsidRPr="0091707B" w:rsidRDefault="00860B41" w:rsidP="00860B41">
            <w:pPr>
              <w:jc w:val="both"/>
              <w:rPr>
                <w:sz w:val="20"/>
              </w:rPr>
            </w:pPr>
            <w:r w:rsidRPr="0091707B">
              <w:rPr>
                <w:sz w:val="20"/>
              </w:rPr>
              <w:t>(Shergill J.)</w:t>
            </w:r>
          </w:p>
          <w:p w:rsidR="00860B41" w:rsidRPr="0091707B" w:rsidRDefault="00860B41" w:rsidP="00860B41">
            <w:pPr>
              <w:jc w:val="both"/>
              <w:rPr>
                <w:sz w:val="20"/>
              </w:rPr>
            </w:pPr>
            <w:hyperlink r:id="rId46" w:history="1">
              <w:r w:rsidRPr="0091707B">
                <w:rPr>
                  <w:rStyle w:val="Hyperlink"/>
                  <w:sz w:val="20"/>
                </w:rPr>
                <w:t>2020 BCSC 71</w:t>
              </w:r>
            </w:hyperlink>
          </w:p>
          <w:p w:rsidR="00860B41" w:rsidRPr="0091707B" w:rsidRDefault="00860B41" w:rsidP="00860B41">
            <w:pPr>
              <w:jc w:val="both"/>
              <w:rPr>
                <w:sz w:val="20"/>
              </w:rPr>
            </w:pPr>
          </w:p>
        </w:tc>
        <w:tc>
          <w:tcPr>
            <w:tcW w:w="194"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Application for declaratory relief dismissed; injunction granted to enjoin applicant from engaging in the practice of law or from commencing, prosecuting, or defending a proceeding in any court</w:t>
            </w:r>
          </w:p>
          <w:p w:rsidR="00860B41" w:rsidRPr="0091707B" w:rsidRDefault="00860B41" w:rsidP="00860B41">
            <w:pPr>
              <w:jc w:val="both"/>
              <w:rPr>
                <w:sz w:val="20"/>
              </w:rPr>
            </w:pPr>
          </w:p>
        </w:tc>
      </w:tr>
      <w:tr w:rsidR="00860B41" w:rsidRPr="0091707B" w:rsidTr="00860B41">
        <w:tc>
          <w:tcPr>
            <w:tcW w:w="2476" w:type="pct"/>
            <w:gridSpan w:val="2"/>
          </w:tcPr>
          <w:p w:rsidR="00860B41" w:rsidRPr="0091707B" w:rsidRDefault="00860B41" w:rsidP="00860B41">
            <w:pPr>
              <w:jc w:val="both"/>
              <w:rPr>
                <w:sz w:val="20"/>
              </w:rPr>
            </w:pPr>
            <w:r w:rsidRPr="0091707B">
              <w:rPr>
                <w:sz w:val="20"/>
              </w:rPr>
              <w:t>February 3, 2023</w:t>
            </w:r>
          </w:p>
          <w:p w:rsidR="00860B41" w:rsidRPr="0091707B" w:rsidRDefault="00860B41" w:rsidP="00860B41">
            <w:pPr>
              <w:jc w:val="both"/>
              <w:rPr>
                <w:sz w:val="20"/>
              </w:rPr>
            </w:pPr>
            <w:r w:rsidRPr="0091707B">
              <w:rPr>
                <w:sz w:val="20"/>
              </w:rPr>
              <w:t xml:space="preserve">Court of Appeal for British Columbia </w:t>
            </w:r>
          </w:p>
          <w:p w:rsidR="00860B41" w:rsidRPr="0091707B" w:rsidRDefault="00860B41" w:rsidP="00860B41">
            <w:pPr>
              <w:jc w:val="both"/>
              <w:rPr>
                <w:sz w:val="20"/>
              </w:rPr>
            </w:pPr>
            <w:r w:rsidRPr="0091707B">
              <w:rPr>
                <w:sz w:val="20"/>
              </w:rPr>
              <w:t>(Vancouver)</w:t>
            </w:r>
          </w:p>
          <w:p w:rsidR="00860B41" w:rsidRPr="0091707B" w:rsidRDefault="00860B41" w:rsidP="00860B41">
            <w:pPr>
              <w:jc w:val="both"/>
              <w:rPr>
                <w:sz w:val="20"/>
              </w:rPr>
            </w:pPr>
            <w:r w:rsidRPr="0091707B">
              <w:rPr>
                <w:sz w:val="20"/>
              </w:rPr>
              <w:t>(Willcock, DeWitt-Van Oosten and Voith JJ.A.)</w:t>
            </w:r>
          </w:p>
          <w:p w:rsidR="00860B41" w:rsidRPr="0091707B" w:rsidRDefault="00860B41" w:rsidP="00860B41">
            <w:pPr>
              <w:jc w:val="both"/>
              <w:rPr>
                <w:sz w:val="20"/>
              </w:rPr>
            </w:pPr>
            <w:hyperlink r:id="rId47" w:history="1">
              <w:r w:rsidRPr="0091707B">
                <w:rPr>
                  <w:rStyle w:val="Hyperlink"/>
                  <w:sz w:val="20"/>
                </w:rPr>
                <w:t>2023 BCCA 53</w:t>
              </w:r>
            </w:hyperlink>
          </w:p>
          <w:p w:rsidR="00860B41" w:rsidRPr="0091707B" w:rsidRDefault="00860B41" w:rsidP="00860B41">
            <w:pPr>
              <w:jc w:val="both"/>
              <w:rPr>
                <w:sz w:val="20"/>
              </w:rPr>
            </w:pPr>
          </w:p>
        </w:tc>
        <w:tc>
          <w:tcPr>
            <w:tcW w:w="194"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Appeal dismissed</w:t>
            </w:r>
          </w:p>
          <w:p w:rsidR="00860B41" w:rsidRPr="0091707B" w:rsidRDefault="00860B41" w:rsidP="00860B41">
            <w:pPr>
              <w:jc w:val="both"/>
              <w:rPr>
                <w:sz w:val="20"/>
              </w:rPr>
            </w:pPr>
          </w:p>
        </w:tc>
      </w:tr>
      <w:tr w:rsidR="00860B41" w:rsidRPr="0091707B" w:rsidTr="00860B41">
        <w:tc>
          <w:tcPr>
            <w:tcW w:w="2476" w:type="pct"/>
            <w:gridSpan w:val="2"/>
          </w:tcPr>
          <w:p w:rsidR="00860B41" w:rsidRPr="0091707B" w:rsidRDefault="00860B41" w:rsidP="00860B41">
            <w:pPr>
              <w:jc w:val="both"/>
              <w:rPr>
                <w:sz w:val="20"/>
              </w:rPr>
            </w:pPr>
            <w:r w:rsidRPr="0091707B">
              <w:rPr>
                <w:sz w:val="20"/>
              </w:rPr>
              <w:t>April 4, 2023</w:t>
            </w:r>
          </w:p>
          <w:p w:rsidR="00860B41" w:rsidRPr="0091707B" w:rsidRDefault="00860B41" w:rsidP="00860B41">
            <w:pPr>
              <w:jc w:val="both"/>
              <w:rPr>
                <w:sz w:val="20"/>
              </w:rPr>
            </w:pPr>
            <w:r w:rsidRPr="0091707B">
              <w:rPr>
                <w:sz w:val="20"/>
              </w:rPr>
              <w:t>Supreme Court of Canada</w:t>
            </w:r>
          </w:p>
        </w:tc>
        <w:tc>
          <w:tcPr>
            <w:tcW w:w="194"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Application for leave to appeal filed</w:t>
            </w:r>
          </w:p>
          <w:p w:rsidR="00860B41" w:rsidRPr="0091707B" w:rsidRDefault="00860B41" w:rsidP="00860B41">
            <w:pPr>
              <w:jc w:val="both"/>
              <w:rPr>
                <w:sz w:val="20"/>
              </w:rPr>
            </w:pPr>
          </w:p>
        </w:tc>
      </w:tr>
    </w:tbl>
    <w:p w:rsidR="00860B41" w:rsidRPr="0091707B" w:rsidRDefault="00860B41" w:rsidP="00860B41">
      <w:pPr>
        <w:jc w:val="both"/>
        <w:rPr>
          <w:sz w:val="20"/>
        </w:rPr>
      </w:pPr>
    </w:p>
    <w:p w:rsidR="008A5C02" w:rsidRPr="0091707B" w:rsidRDefault="008A5C02" w:rsidP="00860B41">
      <w:pPr>
        <w:jc w:val="both"/>
        <w:rPr>
          <w:sz w:val="20"/>
        </w:rPr>
      </w:pPr>
      <w:r w:rsidRPr="0091707B">
        <w:rPr>
          <w:sz w:val="20"/>
        </w:rPr>
        <w:pict>
          <v:rect id="_x0000_i1037" style="width:2in;height:1pt" o:hrpct="0" o:hralign="center" o:hrstd="t" o:hrnoshade="t" o:hr="t" fillcolor="black [3213]" stroked="f"/>
        </w:pict>
      </w:r>
    </w:p>
    <w:p w:rsidR="008A5C02" w:rsidRPr="0091707B" w:rsidRDefault="008A5C02" w:rsidP="00860B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860B41" w:rsidRPr="0091707B" w:rsidTr="00860B41">
        <w:tc>
          <w:tcPr>
            <w:tcW w:w="543" w:type="pct"/>
          </w:tcPr>
          <w:p w:rsidR="00860B41" w:rsidRPr="0091707B" w:rsidRDefault="00860B41" w:rsidP="00860B41">
            <w:pPr>
              <w:jc w:val="both"/>
              <w:rPr>
                <w:sz w:val="20"/>
                <w:lang w:val="fr-CA"/>
              </w:rPr>
            </w:pPr>
            <w:r w:rsidRPr="0091707B">
              <w:rPr>
                <w:rStyle w:val="SCCFileNumberChar"/>
                <w:sz w:val="20"/>
                <w:szCs w:val="20"/>
                <w:lang w:val="fr-CA"/>
              </w:rPr>
              <w:t>40673</w:t>
            </w:r>
          </w:p>
        </w:tc>
        <w:tc>
          <w:tcPr>
            <w:tcW w:w="4457" w:type="pct"/>
            <w:gridSpan w:val="3"/>
          </w:tcPr>
          <w:p w:rsidR="00860B41" w:rsidRPr="0091707B" w:rsidRDefault="00860B41" w:rsidP="00860B41">
            <w:pPr>
              <w:pStyle w:val="SCCLsocParty"/>
              <w:jc w:val="both"/>
              <w:rPr>
                <w:b/>
                <w:sz w:val="20"/>
                <w:szCs w:val="20"/>
                <w:lang w:val="en-US"/>
              </w:rPr>
            </w:pPr>
            <w:r w:rsidRPr="0091707B">
              <w:rPr>
                <w:b/>
                <w:sz w:val="20"/>
                <w:szCs w:val="20"/>
                <w:lang w:val="en-US"/>
              </w:rPr>
              <w:t>Jeremy Maddock c. Law Society of British Columbia</w:t>
            </w:r>
          </w:p>
          <w:p w:rsidR="00860B41" w:rsidRPr="0091707B" w:rsidRDefault="00860B41" w:rsidP="00860B41">
            <w:pPr>
              <w:jc w:val="both"/>
              <w:rPr>
                <w:sz w:val="20"/>
                <w:lang w:val="fr-CA"/>
              </w:rPr>
            </w:pPr>
            <w:r w:rsidRPr="0091707B">
              <w:rPr>
                <w:sz w:val="20"/>
                <w:lang w:val="fr-CA"/>
              </w:rPr>
              <w:t>(C.-B.) (Civile) (Autorisation)</w:t>
            </w: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 xml:space="preserve">Droit des professions — Avocats et procureurs — Représentation par des agents qui ne sont pas avocats — Les lois permettant la représentation par un agent dans certaines instances judiciaires sont-elles révélatrices d’une intention législative de permettre à des agents rémunérés de promouvoir l’accès à la justice? — Est-ce que le principe de l’accès à la justice requiert une incompatibilité entre une autorisation légale de comparaître en tant qu’agent et une interdiction légale générale que des non-avocats offrent des services juridiques contre rémunération qui peut être résolue en faveur de l’autorisation de comparaître en tant qu’agent rémunéré? — </w:t>
            </w:r>
            <w:r w:rsidRPr="0091707B">
              <w:rPr>
                <w:i/>
                <w:sz w:val="20"/>
                <w:lang w:val="fr-CA"/>
              </w:rPr>
              <w:t>Legal Profession Act</w:t>
            </w:r>
            <w:r w:rsidRPr="0091707B">
              <w:rPr>
                <w:sz w:val="20"/>
                <w:lang w:val="fr-CA"/>
              </w:rPr>
              <w:t xml:space="preserve">, S.B.C. 1998, c. 9 — </w:t>
            </w:r>
            <w:r w:rsidRPr="0091707B">
              <w:rPr>
                <w:i/>
                <w:sz w:val="20"/>
                <w:lang w:val="fr-CA"/>
              </w:rPr>
              <w:t>Offence Act</w:t>
            </w:r>
            <w:r w:rsidRPr="0091707B">
              <w:rPr>
                <w:sz w:val="20"/>
                <w:lang w:val="fr-CA"/>
              </w:rPr>
              <w:t>, R.S.B.C. 1996, c. 338</w:t>
            </w:r>
          </w:p>
          <w:p w:rsidR="008A5C02" w:rsidRPr="0091707B" w:rsidRDefault="008A5C02" w:rsidP="00860B41">
            <w:pPr>
              <w:jc w:val="both"/>
              <w:rPr>
                <w:sz w:val="20"/>
                <w:lang w:val="fr-CA"/>
              </w:rPr>
            </w:pP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Le demandeur, Jeremy Maddock, est un juriste-conseil autonome qui offre des services de recherche juridique et d’autres services aux avocats et aux membres du public. Il a obtenu un diplôme en droit, mais n’est pas avocat et n’a jamais exercé la profession d’avocat.</w:t>
            </w:r>
          </w:p>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 xml:space="preserve">Le défendeur, le Law Society of British Columbia, a contacté M. Maddock relativement à des préoccupations selon lesquelles il se livrait à des activités réservées à l’exercice de la profession d’avocat. Peu après cela, M. Maddock a déposé une requête à la Cour supérieure sollicitant des déclarations concernant l’interprétation de deux dispositions légales — les par. 15(2) de la </w:t>
            </w:r>
            <w:r w:rsidRPr="0091707B">
              <w:rPr>
                <w:i/>
                <w:sz w:val="20"/>
                <w:lang w:val="fr-CA"/>
              </w:rPr>
              <w:t>Legal Profession Act</w:t>
            </w:r>
            <w:r w:rsidRPr="0091707B">
              <w:rPr>
                <w:sz w:val="20"/>
                <w:lang w:val="fr-CA"/>
              </w:rPr>
              <w:t xml:space="preserve"> et 57(2) de la </w:t>
            </w:r>
            <w:r w:rsidRPr="0091707B">
              <w:rPr>
                <w:i/>
                <w:sz w:val="20"/>
                <w:lang w:val="fr-CA"/>
              </w:rPr>
              <w:t>Offence Act</w:t>
            </w:r>
            <w:r w:rsidRPr="0091707B">
              <w:rPr>
                <w:sz w:val="20"/>
                <w:lang w:val="fr-CA"/>
              </w:rPr>
              <w:t xml:space="preserve"> — relatives à la mesure selon laquelle des non-avocats peuvent accomplir du travail de nature juridique.</w:t>
            </w:r>
          </w:p>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 xml:space="preserve">Le Barreau a déposé sa propre demande, sollicitant une injonction, au titre de l’art. 85 de la </w:t>
            </w:r>
            <w:r w:rsidRPr="0091707B">
              <w:rPr>
                <w:i/>
                <w:sz w:val="20"/>
                <w:lang w:val="fr-CA"/>
              </w:rPr>
              <w:t>Legal Profession Act</w:t>
            </w:r>
            <w:r w:rsidRPr="0091707B">
              <w:rPr>
                <w:sz w:val="20"/>
                <w:lang w:val="fr-CA"/>
              </w:rPr>
              <w:t>, afin d’empêcher M. Maddock de se livrer à des activités qu’il considère comme réservées aux personnes exerçant la profession d’avocat.</w:t>
            </w:r>
          </w:p>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 xml:space="preserve">Les deux demandes ont été entendues conjointement. Le juge en cabinet a conclu que M. Maddock avait violé les par. 15(1) et 15(5) de la </w:t>
            </w:r>
            <w:r w:rsidRPr="0091707B">
              <w:rPr>
                <w:i/>
                <w:sz w:val="20"/>
                <w:lang w:val="fr-CA"/>
              </w:rPr>
              <w:t>Legal Profession Act</w:t>
            </w:r>
            <w:r w:rsidRPr="0091707B">
              <w:rPr>
                <w:sz w:val="20"/>
                <w:lang w:val="fr-CA"/>
              </w:rPr>
              <w:t>, en se livrant à la pratique du droit contre rémunération, et en poursuivant une affaire à la Cour suprême de la Colombie-Britannique</w:t>
            </w:r>
            <w:r w:rsidRPr="0091707B">
              <w:rPr>
                <w:i/>
                <w:sz w:val="20"/>
                <w:lang w:val="fr-CA"/>
              </w:rPr>
              <w:t xml:space="preserve">. </w:t>
            </w:r>
            <w:r w:rsidRPr="0091707B">
              <w:rPr>
                <w:sz w:val="20"/>
                <w:lang w:val="fr-CA"/>
              </w:rPr>
              <w:t>Le juge en cabinet a accordé l’injonction demandée par le Barreau et rejeté la demande de M. Maddock en vue d’un jugement déclaratoire. La Cour d’appel a rejeté l’appel interjeté par M. Maddock.</w:t>
            </w:r>
          </w:p>
        </w:tc>
      </w:tr>
      <w:tr w:rsidR="00860B41" w:rsidRPr="0091707B" w:rsidTr="00860B41">
        <w:tc>
          <w:tcPr>
            <w:tcW w:w="5000" w:type="pct"/>
            <w:gridSpan w:val="4"/>
          </w:tcPr>
          <w:p w:rsidR="00860B41" w:rsidRPr="0091707B" w:rsidRDefault="00860B41" w:rsidP="00860B41">
            <w:pPr>
              <w:jc w:val="both"/>
              <w:rPr>
                <w:sz w:val="20"/>
                <w:lang w:val="fr-CA"/>
              </w:rPr>
            </w:pPr>
          </w:p>
        </w:tc>
      </w:tr>
      <w:tr w:rsidR="00860B41" w:rsidRPr="0091707B" w:rsidTr="00860B41">
        <w:tc>
          <w:tcPr>
            <w:tcW w:w="2476" w:type="pct"/>
            <w:gridSpan w:val="2"/>
          </w:tcPr>
          <w:p w:rsidR="00860B41" w:rsidRPr="0091707B" w:rsidRDefault="00860B41" w:rsidP="00860B41">
            <w:pPr>
              <w:jc w:val="both"/>
              <w:rPr>
                <w:sz w:val="20"/>
                <w:lang w:val="fr-CA"/>
              </w:rPr>
            </w:pPr>
            <w:r w:rsidRPr="0091707B">
              <w:rPr>
                <w:sz w:val="20"/>
                <w:lang w:val="fr-CA"/>
              </w:rPr>
              <w:t>21 janvier 2020</w:t>
            </w:r>
          </w:p>
          <w:p w:rsidR="00860B41" w:rsidRPr="0091707B" w:rsidRDefault="00860B41" w:rsidP="00860B41">
            <w:pPr>
              <w:jc w:val="both"/>
              <w:rPr>
                <w:sz w:val="20"/>
                <w:lang w:val="fr-CA"/>
              </w:rPr>
            </w:pPr>
            <w:r w:rsidRPr="0091707B">
              <w:rPr>
                <w:sz w:val="20"/>
                <w:lang w:val="fr-CA"/>
              </w:rPr>
              <w:t>Cour suprême de la Colombie-Britannique</w:t>
            </w:r>
          </w:p>
          <w:p w:rsidR="00860B41" w:rsidRPr="0091707B" w:rsidRDefault="00860B41" w:rsidP="00860B41">
            <w:pPr>
              <w:jc w:val="both"/>
              <w:rPr>
                <w:sz w:val="20"/>
                <w:lang w:val="fr-CA"/>
              </w:rPr>
            </w:pPr>
            <w:r w:rsidRPr="0091707B">
              <w:rPr>
                <w:sz w:val="20"/>
                <w:lang w:val="fr-CA"/>
              </w:rPr>
              <w:t>(juge Shergill)</w:t>
            </w:r>
          </w:p>
          <w:p w:rsidR="00860B41" w:rsidRPr="0091707B" w:rsidRDefault="00860B41" w:rsidP="00860B41">
            <w:pPr>
              <w:jc w:val="both"/>
              <w:rPr>
                <w:sz w:val="20"/>
                <w:lang w:val="fr-CA"/>
              </w:rPr>
            </w:pPr>
            <w:hyperlink r:id="rId48" w:history="1">
              <w:r w:rsidRPr="0091707B">
                <w:rPr>
                  <w:rStyle w:val="Hyperlink"/>
                  <w:sz w:val="20"/>
                  <w:lang w:val="fr-CA"/>
                </w:rPr>
                <w:t>2020 BCSC 71</w:t>
              </w:r>
            </w:hyperlink>
          </w:p>
          <w:p w:rsidR="00860B41" w:rsidRPr="0091707B" w:rsidRDefault="00860B41" w:rsidP="00860B41">
            <w:pPr>
              <w:jc w:val="both"/>
              <w:rPr>
                <w:sz w:val="20"/>
                <w:lang w:val="fr-CA"/>
              </w:rPr>
            </w:pPr>
          </w:p>
        </w:tc>
        <w:tc>
          <w:tcPr>
            <w:tcW w:w="194"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Rejet de la demande en vue d’un jugement déclaratoire; injonction accordée visant à interdire au demandeur de se livrer à la pratique du droit ou de commencer, poursuivre, ou défendre une instance devant tout tribunal</w:t>
            </w:r>
          </w:p>
          <w:p w:rsidR="00860B41" w:rsidRPr="0091707B" w:rsidRDefault="00860B41" w:rsidP="00860B41">
            <w:pPr>
              <w:jc w:val="both"/>
              <w:rPr>
                <w:sz w:val="20"/>
                <w:lang w:val="fr-CA"/>
              </w:rPr>
            </w:pPr>
          </w:p>
        </w:tc>
      </w:tr>
      <w:tr w:rsidR="00860B41" w:rsidRPr="0091707B" w:rsidTr="00860B41">
        <w:tc>
          <w:tcPr>
            <w:tcW w:w="2476" w:type="pct"/>
            <w:gridSpan w:val="2"/>
          </w:tcPr>
          <w:p w:rsidR="00860B41" w:rsidRPr="0091707B" w:rsidRDefault="00860B41" w:rsidP="00860B41">
            <w:pPr>
              <w:jc w:val="both"/>
              <w:rPr>
                <w:sz w:val="20"/>
                <w:lang w:val="fr-CA"/>
              </w:rPr>
            </w:pPr>
            <w:r w:rsidRPr="0091707B">
              <w:rPr>
                <w:sz w:val="20"/>
                <w:lang w:val="fr-CA"/>
              </w:rPr>
              <w:t>3 février 2023</w:t>
            </w:r>
          </w:p>
          <w:p w:rsidR="00860B41" w:rsidRPr="0091707B" w:rsidRDefault="00860B41" w:rsidP="00860B41">
            <w:pPr>
              <w:jc w:val="both"/>
              <w:rPr>
                <w:sz w:val="20"/>
                <w:lang w:val="fr-CA"/>
              </w:rPr>
            </w:pPr>
            <w:r w:rsidRPr="0091707B">
              <w:rPr>
                <w:sz w:val="20"/>
                <w:lang w:val="fr-CA"/>
              </w:rPr>
              <w:t>Cour d’appel de la Colombie-Britannique</w:t>
            </w:r>
          </w:p>
          <w:p w:rsidR="00860B41" w:rsidRPr="0091707B" w:rsidRDefault="00860B41" w:rsidP="00860B41">
            <w:pPr>
              <w:jc w:val="both"/>
              <w:rPr>
                <w:sz w:val="20"/>
                <w:lang w:val="fr-CA"/>
              </w:rPr>
            </w:pPr>
            <w:r w:rsidRPr="0091707B">
              <w:rPr>
                <w:sz w:val="20"/>
                <w:lang w:val="fr-CA"/>
              </w:rPr>
              <w:t>(Vancouver)</w:t>
            </w:r>
          </w:p>
          <w:p w:rsidR="00860B41" w:rsidRPr="0091707B" w:rsidRDefault="00860B41" w:rsidP="00860B41">
            <w:pPr>
              <w:jc w:val="both"/>
              <w:rPr>
                <w:sz w:val="20"/>
                <w:lang w:val="fr-CA"/>
              </w:rPr>
            </w:pPr>
            <w:r w:rsidRPr="0091707B">
              <w:rPr>
                <w:sz w:val="20"/>
                <w:lang w:val="fr-CA"/>
              </w:rPr>
              <w:t>(juges Willcock, DeWitt-Van Oosten et Voith)</w:t>
            </w:r>
          </w:p>
          <w:p w:rsidR="00860B41" w:rsidRPr="0091707B" w:rsidRDefault="00860B41" w:rsidP="00860B41">
            <w:pPr>
              <w:jc w:val="both"/>
              <w:rPr>
                <w:sz w:val="20"/>
                <w:lang w:val="fr-CA"/>
              </w:rPr>
            </w:pPr>
            <w:hyperlink r:id="rId49" w:history="1">
              <w:r w:rsidRPr="0091707B">
                <w:rPr>
                  <w:rStyle w:val="Hyperlink"/>
                  <w:sz w:val="20"/>
                  <w:lang w:val="fr-CA"/>
                </w:rPr>
                <w:t>2023 BCCA 53</w:t>
              </w:r>
            </w:hyperlink>
          </w:p>
          <w:p w:rsidR="00860B41" w:rsidRPr="0091707B" w:rsidRDefault="00860B41" w:rsidP="00860B41">
            <w:pPr>
              <w:jc w:val="both"/>
              <w:rPr>
                <w:sz w:val="20"/>
                <w:lang w:val="fr-CA"/>
              </w:rPr>
            </w:pPr>
          </w:p>
        </w:tc>
        <w:tc>
          <w:tcPr>
            <w:tcW w:w="194"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Rejet de l’appel</w:t>
            </w:r>
          </w:p>
          <w:p w:rsidR="00860B41" w:rsidRPr="0091707B" w:rsidRDefault="00860B41" w:rsidP="00860B41">
            <w:pPr>
              <w:jc w:val="both"/>
              <w:rPr>
                <w:sz w:val="20"/>
                <w:lang w:val="fr-CA"/>
              </w:rPr>
            </w:pPr>
          </w:p>
        </w:tc>
      </w:tr>
      <w:tr w:rsidR="00860B41" w:rsidRPr="0091707B" w:rsidTr="00860B41">
        <w:tc>
          <w:tcPr>
            <w:tcW w:w="2476" w:type="pct"/>
            <w:gridSpan w:val="2"/>
          </w:tcPr>
          <w:p w:rsidR="00860B41" w:rsidRPr="0091707B" w:rsidRDefault="00860B41" w:rsidP="00860B41">
            <w:pPr>
              <w:jc w:val="both"/>
              <w:rPr>
                <w:sz w:val="20"/>
                <w:lang w:val="fr-CA"/>
              </w:rPr>
            </w:pPr>
            <w:r w:rsidRPr="0091707B">
              <w:rPr>
                <w:sz w:val="20"/>
                <w:lang w:val="fr-CA"/>
              </w:rPr>
              <w:t>4 avril 2023</w:t>
            </w:r>
          </w:p>
          <w:p w:rsidR="00860B41" w:rsidRPr="0091707B" w:rsidRDefault="00860B41" w:rsidP="00860B41">
            <w:pPr>
              <w:jc w:val="both"/>
              <w:rPr>
                <w:sz w:val="20"/>
                <w:lang w:val="fr-CA"/>
              </w:rPr>
            </w:pPr>
            <w:r w:rsidRPr="0091707B">
              <w:rPr>
                <w:sz w:val="20"/>
                <w:lang w:val="fr-CA"/>
              </w:rPr>
              <w:t>Cour suprême du Canada</w:t>
            </w:r>
          </w:p>
        </w:tc>
        <w:tc>
          <w:tcPr>
            <w:tcW w:w="194"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Dépôt de la demande d’autorisation d’appel</w:t>
            </w:r>
          </w:p>
          <w:p w:rsidR="00860B41" w:rsidRPr="0091707B" w:rsidRDefault="00860B41" w:rsidP="00860B41">
            <w:pPr>
              <w:jc w:val="both"/>
              <w:rPr>
                <w:sz w:val="20"/>
                <w:lang w:val="fr-CA"/>
              </w:rPr>
            </w:pPr>
          </w:p>
        </w:tc>
      </w:tr>
    </w:tbl>
    <w:p w:rsidR="00860B41" w:rsidRPr="0091707B" w:rsidRDefault="00860B41" w:rsidP="00860B41">
      <w:pPr>
        <w:jc w:val="both"/>
        <w:rPr>
          <w:sz w:val="20"/>
          <w:lang w:val="fr-CA"/>
        </w:rPr>
      </w:pPr>
    </w:p>
    <w:p w:rsidR="008A5C02" w:rsidRPr="0091707B" w:rsidRDefault="008A5C02" w:rsidP="00860B41">
      <w:pPr>
        <w:jc w:val="both"/>
        <w:rPr>
          <w:sz w:val="20"/>
          <w:lang w:val="fr-CA"/>
        </w:rPr>
      </w:pPr>
      <w:r w:rsidRPr="0091707B">
        <w:rPr>
          <w:sz w:val="20"/>
        </w:rPr>
        <w:pict>
          <v:rect id="_x0000_i1038" style="width:2in;height:1pt" o:hrpct="0" o:hralign="center" o:hrstd="t" o:hrnoshade="t" o:hr="t" fillcolor="black [3213]" stroked="f"/>
        </w:pict>
      </w:r>
    </w:p>
    <w:p w:rsidR="008A5C02" w:rsidRPr="0091707B" w:rsidRDefault="008A5C02" w:rsidP="00860B4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40572</w:t>
            </w:r>
          </w:p>
        </w:tc>
        <w:tc>
          <w:tcPr>
            <w:tcW w:w="4457" w:type="pct"/>
            <w:gridSpan w:val="3"/>
          </w:tcPr>
          <w:p w:rsidR="00860B41" w:rsidRPr="0091707B" w:rsidRDefault="00860B41" w:rsidP="00860B41">
            <w:pPr>
              <w:pStyle w:val="SCCLsocParty"/>
              <w:jc w:val="both"/>
              <w:rPr>
                <w:b/>
                <w:sz w:val="20"/>
                <w:szCs w:val="20"/>
                <w:lang w:val="en-US"/>
              </w:rPr>
            </w:pPr>
            <w:r w:rsidRPr="0091707B">
              <w:rPr>
                <w:b/>
                <w:sz w:val="20"/>
                <w:szCs w:val="20"/>
                <w:lang w:val="en-US"/>
              </w:rPr>
              <w:t>K.C. v. His Majesty the King</w:t>
            </w:r>
          </w:p>
          <w:p w:rsidR="00860B41" w:rsidRPr="0091707B" w:rsidRDefault="00860B41" w:rsidP="00860B41">
            <w:pPr>
              <w:jc w:val="both"/>
              <w:rPr>
                <w:sz w:val="20"/>
              </w:rPr>
            </w:pPr>
            <w:r w:rsidRPr="0091707B">
              <w:rPr>
                <w:sz w:val="20"/>
              </w:rPr>
              <w:t>(Que.) (Criminal) (By Leave)</w:t>
            </w:r>
          </w:p>
        </w:tc>
      </w:tr>
      <w:tr w:rsidR="00860B41" w:rsidRPr="0091707B" w:rsidTr="00860B41">
        <w:tc>
          <w:tcPr>
            <w:tcW w:w="5000" w:type="pct"/>
            <w:gridSpan w:val="4"/>
          </w:tcPr>
          <w:p w:rsidR="00860B41" w:rsidRPr="0091707B" w:rsidRDefault="00860B41" w:rsidP="00860B41">
            <w:pPr>
              <w:pStyle w:val="SCCBanSummary"/>
              <w:rPr>
                <w:sz w:val="20"/>
                <w:szCs w:val="20"/>
              </w:rPr>
            </w:pPr>
            <w:r w:rsidRPr="0091707B">
              <w:rPr>
                <w:sz w:val="20"/>
                <w:szCs w:val="20"/>
              </w:rPr>
              <w:t>(Publication ban in case)</w:t>
            </w:r>
          </w:p>
          <w:p w:rsidR="00860B41" w:rsidRPr="0091707B" w:rsidRDefault="00860B41" w:rsidP="00860B41">
            <w:pPr>
              <w:jc w:val="both"/>
              <w:rPr>
                <w:sz w:val="20"/>
              </w:rPr>
            </w:pPr>
          </w:p>
          <w:p w:rsidR="00860B41" w:rsidRPr="0091707B" w:rsidRDefault="00860B41" w:rsidP="00860B41">
            <w:pPr>
              <w:jc w:val="both"/>
              <w:rPr>
                <w:sz w:val="20"/>
              </w:rPr>
            </w:pPr>
            <w:r w:rsidRPr="0091707B">
              <w:rPr>
                <w:sz w:val="20"/>
              </w:rPr>
              <w:t xml:space="preserve">Criminal law – Sexual offences – Evidence – Credibility – Principle in </w:t>
            </w:r>
            <w:r w:rsidRPr="0091707B">
              <w:rPr>
                <w:i/>
                <w:sz w:val="20"/>
              </w:rPr>
              <w:t xml:space="preserve">Browne v. Dunn </w:t>
            </w:r>
            <w:r w:rsidRPr="0091707B">
              <w:rPr>
                <w:sz w:val="20"/>
              </w:rPr>
              <w:t xml:space="preserve">– Trial fairness – Whether the Court of Appeal erred in law in failing to intervene, despite finding that the principle in </w:t>
            </w:r>
            <w:r w:rsidRPr="0091707B">
              <w:rPr>
                <w:i/>
                <w:sz w:val="20"/>
              </w:rPr>
              <w:t>Browne v. Dunn</w:t>
            </w:r>
            <w:r w:rsidRPr="0091707B">
              <w:rPr>
                <w:sz w:val="20"/>
              </w:rPr>
              <w:t xml:space="preserve"> (1893), 6 R. 67, had not been breached, contrary to the trial judge’s ruling – Whether the Court of Appeal erred in law in finding that since the applicant had not been prevented from presenting his evidence at trial, he suffered no prejudice at all, despite the adverse credibility finding made against him – Whether the Court of Appeal erred in law in finding no breach of trial fairness even though the trial judge had not discussed the breach and its possible remedies with the parties.</w:t>
            </w:r>
          </w:p>
        </w:tc>
      </w:tr>
      <w:tr w:rsidR="00860B41" w:rsidRPr="0091707B" w:rsidTr="00860B41">
        <w:tc>
          <w:tcPr>
            <w:tcW w:w="5000" w:type="pct"/>
            <w:gridSpan w:val="4"/>
          </w:tcPr>
          <w:p w:rsidR="00860B41" w:rsidRPr="0091707B" w:rsidRDefault="00860B41" w:rsidP="00860B41">
            <w:pPr>
              <w:jc w:val="both"/>
              <w:rPr>
                <w:sz w:val="20"/>
              </w:rPr>
            </w:pPr>
          </w:p>
          <w:p w:rsidR="00860B41" w:rsidRPr="0091707B" w:rsidRDefault="00860B41" w:rsidP="00860B41">
            <w:pPr>
              <w:jc w:val="both"/>
              <w:rPr>
                <w:sz w:val="20"/>
              </w:rPr>
            </w:pPr>
            <w:r w:rsidRPr="0091707B">
              <w:rPr>
                <w:sz w:val="20"/>
              </w:rPr>
              <w:t xml:space="preserve">The Court of Quebec made twelve findings of guilt against the applicant for multiple sexual offences committed against his adoptive daughters while they were young girls. At trial, the complainants testified for the prosecution. The defence was total denial. The applicant testified, as did his spouse and several sons. Credibility was the key issue at trial and the resolution of the case was governed by the principles in </w:t>
            </w:r>
            <w:r w:rsidRPr="0091707B">
              <w:rPr>
                <w:i/>
                <w:sz w:val="20"/>
              </w:rPr>
              <w:t>R. v. W</w:t>
            </w:r>
            <w:proofErr w:type="gramStart"/>
            <w:r w:rsidRPr="0091707B">
              <w:rPr>
                <w:i/>
                <w:sz w:val="20"/>
              </w:rPr>
              <w:t>.(</w:t>
            </w:r>
            <w:proofErr w:type="gramEnd"/>
            <w:r w:rsidRPr="0091707B">
              <w:rPr>
                <w:i/>
                <w:sz w:val="20"/>
              </w:rPr>
              <w:t>D.)</w:t>
            </w:r>
            <w:r w:rsidRPr="0091707B">
              <w:rPr>
                <w:sz w:val="20"/>
              </w:rPr>
              <w:t xml:space="preserve">, [1991] 1 S.C.R. 742. </w:t>
            </w:r>
          </w:p>
          <w:p w:rsidR="00860B41" w:rsidRPr="0091707B" w:rsidRDefault="00860B41" w:rsidP="00860B41">
            <w:pPr>
              <w:jc w:val="both"/>
              <w:rPr>
                <w:sz w:val="20"/>
              </w:rPr>
            </w:pPr>
          </w:p>
          <w:p w:rsidR="00860B41" w:rsidRPr="0091707B" w:rsidRDefault="00860B41" w:rsidP="00860B41">
            <w:pPr>
              <w:jc w:val="both"/>
              <w:rPr>
                <w:sz w:val="20"/>
              </w:rPr>
            </w:pPr>
            <w:r w:rsidRPr="0091707B">
              <w:rPr>
                <w:sz w:val="20"/>
              </w:rPr>
              <w:t xml:space="preserve">The applicant appealed his convictions on two grounds. First, he claimed that in the application of the principles in </w:t>
            </w:r>
            <w:r w:rsidRPr="0091707B">
              <w:rPr>
                <w:i/>
                <w:sz w:val="20"/>
              </w:rPr>
              <w:t>W</w:t>
            </w:r>
            <w:proofErr w:type="gramStart"/>
            <w:r w:rsidRPr="0091707B">
              <w:rPr>
                <w:i/>
                <w:sz w:val="20"/>
              </w:rPr>
              <w:t>.(</w:t>
            </w:r>
            <w:proofErr w:type="gramEnd"/>
            <w:r w:rsidRPr="0091707B">
              <w:rPr>
                <w:i/>
                <w:sz w:val="20"/>
              </w:rPr>
              <w:t>D.)</w:t>
            </w:r>
            <w:r w:rsidRPr="0091707B">
              <w:rPr>
                <w:sz w:val="20"/>
              </w:rPr>
              <w:t xml:space="preserve">, the trial judge attributed too much weight to the demeanour of the complainants when they testified. Second, he claimed that the judge erred in his application of the principle in </w:t>
            </w:r>
            <w:r w:rsidRPr="0091707B">
              <w:rPr>
                <w:i/>
                <w:sz w:val="20"/>
              </w:rPr>
              <w:t>Browne v. Dunn</w:t>
            </w:r>
            <w:r w:rsidRPr="0091707B">
              <w:rPr>
                <w:sz w:val="20"/>
              </w:rPr>
              <w:t xml:space="preserve">, (1893), 6 R. 67. The Court of Appeal of Quebec unanimously dismissed the appeal. </w:t>
            </w:r>
          </w:p>
        </w:tc>
      </w:tr>
      <w:tr w:rsidR="00860B41" w:rsidRPr="0091707B" w:rsidTr="00860B41">
        <w:tc>
          <w:tcPr>
            <w:tcW w:w="5000" w:type="pct"/>
            <w:gridSpan w:val="4"/>
          </w:tcPr>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December 21, 2020</w:t>
            </w:r>
          </w:p>
          <w:p w:rsidR="00860B41" w:rsidRPr="0091707B" w:rsidRDefault="00860B41" w:rsidP="00860B41">
            <w:pPr>
              <w:jc w:val="both"/>
              <w:rPr>
                <w:sz w:val="20"/>
              </w:rPr>
            </w:pPr>
            <w:r w:rsidRPr="0091707B">
              <w:rPr>
                <w:sz w:val="20"/>
              </w:rPr>
              <w:t>Court of Quebec</w:t>
            </w:r>
          </w:p>
          <w:p w:rsidR="00860B41" w:rsidRPr="0091707B" w:rsidRDefault="00860B41" w:rsidP="00860B41">
            <w:pPr>
              <w:jc w:val="both"/>
              <w:rPr>
                <w:sz w:val="20"/>
              </w:rPr>
            </w:pPr>
            <w:r w:rsidRPr="0091707B">
              <w:rPr>
                <w:sz w:val="20"/>
              </w:rPr>
              <w:t>(Dubois J.C.Q.)</w:t>
            </w:r>
          </w:p>
          <w:p w:rsidR="00860B41" w:rsidRPr="0091707B" w:rsidRDefault="00860B41" w:rsidP="00860B41">
            <w:pPr>
              <w:jc w:val="both"/>
              <w:rPr>
                <w:sz w:val="20"/>
                <w:lang w:val="fr-CA"/>
              </w:rPr>
            </w:pPr>
            <w:hyperlink r:id="rId50" w:history="1">
              <w:r w:rsidRPr="0091707B">
                <w:rPr>
                  <w:rStyle w:val="Hyperlink"/>
                  <w:sz w:val="20"/>
                  <w:lang w:val="fr-CA"/>
                </w:rPr>
                <w:t>2020 QCCQ 14232</w:t>
              </w:r>
            </w:hyperlink>
          </w:p>
          <w:p w:rsidR="00860B41" w:rsidRPr="0091707B" w:rsidRDefault="00860B41" w:rsidP="00860B41">
            <w:pPr>
              <w:jc w:val="both"/>
              <w:rPr>
                <w:sz w:val="20"/>
                <w:lang w:val="fr-CA"/>
              </w:rPr>
            </w:pP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rPr>
            </w:pPr>
            <w:r w:rsidRPr="0091707B">
              <w:rPr>
                <w:sz w:val="20"/>
              </w:rPr>
              <w:t>Accused convicted of multiple sexual offences</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November 30, 2022</w:t>
            </w:r>
          </w:p>
          <w:p w:rsidR="00860B41" w:rsidRPr="0091707B" w:rsidRDefault="00860B41" w:rsidP="00860B41">
            <w:pPr>
              <w:jc w:val="both"/>
              <w:rPr>
                <w:sz w:val="20"/>
              </w:rPr>
            </w:pPr>
            <w:r w:rsidRPr="0091707B">
              <w:rPr>
                <w:sz w:val="20"/>
              </w:rPr>
              <w:t>Court of Appeal of Quebec (Montréal)</w:t>
            </w:r>
          </w:p>
          <w:p w:rsidR="00860B41" w:rsidRPr="0091707B" w:rsidRDefault="00860B41" w:rsidP="00860B41">
            <w:pPr>
              <w:jc w:val="both"/>
              <w:rPr>
                <w:sz w:val="20"/>
              </w:rPr>
            </w:pPr>
            <w:r w:rsidRPr="0091707B">
              <w:rPr>
                <w:sz w:val="20"/>
              </w:rPr>
              <w:t>(Dutil, Healy and Sansfaçon JJ.A.)</w:t>
            </w:r>
          </w:p>
          <w:p w:rsidR="00860B41" w:rsidRPr="0091707B" w:rsidRDefault="00860B41" w:rsidP="00860B41">
            <w:pPr>
              <w:jc w:val="both"/>
              <w:rPr>
                <w:sz w:val="20"/>
              </w:rPr>
            </w:pPr>
            <w:hyperlink r:id="rId51" w:history="1">
              <w:r w:rsidRPr="0091707B">
                <w:rPr>
                  <w:rStyle w:val="Hyperlink"/>
                  <w:sz w:val="20"/>
                </w:rPr>
                <w:t>2022 QCCA 1611</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Appeal dismissed</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January 16, 2023</w:t>
            </w:r>
          </w:p>
          <w:p w:rsidR="00860B41" w:rsidRPr="0091707B" w:rsidRDefault="00860B41" w:rsidP="00860B41">
            <w:pPr>
              <w:jc w:val="both"/>
              <w:rPr>
                <w:sz w:val="20"/>
              </w:rPr>
            </w:pPr>
            <w:r w:rsidRPr="0091707B">
              <w:rPr>
                <w:sz w:val="20"/>
              </w:rPr>
              <w:t>Supreme Court of Canada</w:t>
            </w: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Application for leave to appeal filed</w:t>
            </w:r>
          </w:p>
          <w:p w:rsidR="00860B41" w:rsidRPr="0091707B" w:rsidRDefault="00860B41" w:rsidP="00860B41">
            <w:pPr>
              <w:jc w:val="both"/>
              <w:rPr>
                <w:sz w:val="20"/>
              </w:rPr>
            </w:pPr>
          </w:p>
        </w:tc>
      </w:tr>
    </w:tbl>
    <w:p w:rsidR="00860B41" w:rsidRPr="0091707B" w:rsidRDefault="00860B41" w:rsidP="00860B41">
      <w:pPr>
        <w:jc w:val="both"/>
        <w:rPr>
          <w:sz w:val="20"/>
        </w:rPr>
      </w:pPr>
    </w:p>
    <w:p w:rsidR="008A5C02" w:rsidRPr="0091707B" w:rsidRDefault="008A5C02" w:rsidP="00860B41">
      <w:pPr>
        <w:jc w:val="both"/>
        <w:rPr>
          <w:sz w:val="20"/>
        </w:rPr>
      </w:pPr>
      <w:r w:rsidRPr="0091707B">
        <w:rPr>
          <w:sz w:val="20"/>
        </w:rPr>
        <w:pict>
          <v:rect id="_x0000_i1039" style="width:2in;height:1pt" o:hrpct="0" o:hralign="center" o:hrstd="t" o:hrnoshade="t" o:hr="t" fillcolor="black [3213]" stroked="f"/>
        </w:pict>
      </w:r>
    </w:p>
    <w:p w:rsidR="008A5C02" w:rsidRPr="0091707B" w:rsidRDefault="008A5C02" w:rsidP="00860B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40572</w:t>
            </w:r>
          </w:p>
        </w:tc>
        <w:tc>
          <w:tcPr>
            <w:tcW w:w="4457" w:type="pct"/>
            <w:gridSpan w:val="3"/>
          </w:tcPr>
          <w:p w:rsidR="00860B41" w:rsidRPr="0091707B" w:rsidRDefault="00860B41" w:rsidP="00860B41">
            <w:pPr>
              <w:pStyle w:val="SCCLsocParty"/>
              <w:jc w:val="both"/>
              <w:rPr>
                <w:b/>
                <w:sz w:val="20"/>
                <w:szCs w:val="20"/>
              </w:rPr>
            </w:pPr>
            <w:r w:rsidRPr="0091707B">
              <w:rPr>
                <w:b/>
                <w:sz w:val="20"/>
                <w:szCs w:val="20"/>
              </w:rPr>
              <w:t>K.C. c. Sa Majesté le Roi</w:t>
            </w:r>
          </w:p>
          <w:p w:rsidR="00860B41" w:rsidRPr="0091707B" w:rsidRDefault="00860B41" w:rsidP="00860B41">
            <w:pPr>
              <w:jc w:val="both"/>
              <w:rPr>
                <w:sz w:val="20"/>
              </w:rPr>
            </w:pPr>
            <w:r w:rsidRPr="0091707B">
              <w:rPr>
                <w:sz w:val="20"/>
              </w:rPr>
              <w:t>(Qué.) (Criminelle) (Autorisation)</w:t>
            </w:r>
          </w:p>
        </w:tc>
      </w:tr>
      <w:tr w:rsidR="00860B41" w:rsidRPr="0091707B" w:rsidTr="00860B41">
        <w:tc>
          <w:tcPr>
            <w:tcW w:w="5000" w:type="pct"/>
            <w:gridSpan w:val="4"/>
          </w:tcPr>
          <w:p w:rsidR="00860B41" w:rsidRPr="0091707B" w:rsidRDefault="00860B41" w:rsidP="00860B41">
            <w:pPr>
              <w:pStyle w:val="SCCBanSummary"/>
              <w:rPr>
                <w:sz w:val="20"/>
                <w:szCs w:val="20"/>
                <w:lang w:val="fr-CA"/>
              </w:rPr>
            </w:pPr>
            <w:r w:rsidRPr="0091707B">
              <w:rPr>
                <w:sz w:val="20"/>
                <w:szCs w:val="20"/>
                <w:lang w:val="fr-CA"/>
              </w:rPr>
              <w:t>(Ordonnance de non-publication dans le dossier)</w:t>
            </w:r>
          </w:p>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 xml:space="preserve">Droit criminel — Infractions sexuelles — Preuve — Crédibilité — Principe de l’arrêt </w:t>
            </w:r>
            <w:r w:rsidRPr="0091707B">
              <w:rPr>
                <w:i/>
                <w:sz w:val="20"/>
                <w:lang w:val="fr-CA"/>
              </w:rPr>
              <w:t xml:space="preserve">Browne c. Dunn </w:t>
            </w:r>
            <w:r w:rsidRPr="0091707B">
              <w:rPr>
                <w:sz w:val="20"/>
                <w:lang w:val="fr-CA"/>
              </w:rPr>
              <w:t xml:space="preserve">— Équité du procès — La Cour d’appel a-t-elle commis une erreur de droit en n’intervenant pas, bien qu’elle ait conclu que le principe de l’arrêt </w:t>
            </w:r>
            <w:r w:rsidRPr="0091707B">
              <w:rPr>
                <w:i/>
                <w:sz w:val="20"/>
                <w:lang w:val="fr-CA"/>
              </w:rPr>
              <w:t>Browne c. Dunn</w:t>
            </w:r>
            <w:r w:rsidRPr="0091707B">
              <w:rPr>
                <w:sz w:val="20"/>
                <w:lang w:val="fr-CA"/>
              </w:rPr>
              <w:t xml:space="preserve"> (1893), 6 R. 67, n’avait pas été violé, contrairement à la décision du juge du procès? — La Cour d’appel a-t-elle commis une erreur de droit en concluant que, puisque le demandeur n’avait pas été empêché de présenter sa preuve au procès, il n’avait subi aucun préjudice, malgré la conclusion défavorable sur sa crédibilité? — La Cour d’appel a-t-elle commis une erreur de droit en concluant qu’il n’y avait pas eu atteinte à l’équité du procès, même si le juge du procès n’avait pas discuté de l’atteinte et de ses réparations possibles avec les parties?</w:t>
            </w:r>
          </w:p>
        </w:tc>
      </w:tr>
      <w:tr w:rsidR="00860B41" w:rsidRPr="0091707B" w:rsidTr="00860B41">
        <w:tc>
          <w:tcPr>
            <w:tcW w:w="5000" w:type="pct"/>
            <w:gridSpan w:val="4"/>
          </w:tcPr>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 xml:space="preserve">La Cour du Québec a prononcé douze déclarations de culpabilité à l’encontre du demandeur pour de multiples infractions sexuelles commises à l’encontre de ses filles adoptives alors qu’elles étaient jeunes. Lors du procès, les plaignantes ont témoigné en faveur de l’accusation. La défense a consisté à tout nier. Le demandeur a témoigné, ainsi que son épouse et plusieurs de ses fils. La crédibilité constituait la question fondamentale au procès et la résolution de l’affaire était régie par les principes énoncés dans l’arrêt </w:t>
            </w:r>
            <w:r w:rsidRPr="0091707B">
              <w:rPr>
                <w:i/>
                <w:sz w:val="20"/>
                <w:lang w:val="fr-CA"/>
              </w:rPr>
              <w:t>R. c. W</w:t>
            </w:r>
            <w:proofErr w:type="gramStart"/>
            <w:r w:rsidRPr="0091707B">
              <w:rPr>
                <w:i/>
                <w:sz w:val="20"/>
                <w:lang w:val="fr-CA"/>
              </w:rPr>
              <w:t>.(</w:t>
            </w:r>
            <w:proofErr w:type="gramEnd"/>
            <w:r w:rsidRPr="0091707B">
              <w:rPr>
                <w:i/>
                <w:sz w:val="20"/>
                <w:lang w:val="fr-CA"/>
              </w:rPr>
              <w:t>D.)</w:t>
            </w:r>
            <w:r w:rsidRPr="0091707B">
              <w:rPr>
                <w:sz w:val="20"/>
                <w:lang w:val="fr-CA"/>
              </w:rPr>
              <w:t xml:space="preserve">, [1991] 1 R.C.S. 742. </w:t>
            </w:r>
          </w:p>
          <w:p w:rsidR="00860B41" w:rsidRPr="0091707B" w:rsidRDefault="00860B41" w:rsidP="00860B41">
            <w:pPr>
              <w:jc w:val="both"/>
              <w:rPr>
                <w:sz w:val="20"/>
                <w:lang w:val="fr-CA"/>
              </w:rPr>
            </w:pPr>
          </w:p>
          <w:p w:rsidR="00860B41" w:rsidRPr="0091707B" w:rsidRDefault="00860B41" w:rsidP="00860B41">
            <w:pPr>
              <w:jc w:val="both"/>
              <w:rPr>
                <w:sz w:val="20"/>
                <w:lang w:val="fr-CA"/>
              </w:rPr>
            </w:pPr>
            <w:r w:rsidRPr="0091707B">
              <w:rPr>
                <w:sz w:val="20"/>
                <w:lang w:val="fr-CA"/>
              </w:rPr>
              <w:t xml:space="preserve">Le demandeur a interjeté appel des déclarations de culpabilité pour deux motifs. Tout d’abord, il a affirmé que, dans l’application des principes de l’arrêt </w:t>
            </w:r>
            <w:r w:rsidRPr="0091707B">
              <w:rPr>
                <w:i/>
                <w:sz w:val="20"/>
                <w:lang w:val="fr-CA"/>
              </w:rPr>
              <w:t>W</w:t>
            </w:r>
            <w:proofErr w:type="gramStart"/>
            <w:r w:rsidRPr="0091707B">
              <w:rPr>
                <w:i/>
                <w:sz w:val="20"/>
                <w:lang w:val="fr-CA"/>
              </w:rPr>
              <w:t>.(</w:t>
            </w:r>
            <w:proofErr w:type="gramEnd"/>
            <w:r w:rsidRPr="0091707B">
              <w:rPr>
                <w:i/>
                <w:sz w:val="20"/>
                <w:lang w:val="fr-CA"/>
              </w:rPr>
              <w:t>D.)</w:t>
            </w:r>
            <w:r w:rsidRPr="0091707B">
              <w:rPr>
                <w:sz w:val="20"/>
                <w:lang w:val="fr-CA"/>
              </w:rPr>
              <w:t xml:space="preserve">, le juge du procès avait accordé trop d’importance à l’attitude des plaignantes lors de leur témoignage. Deuxièmement, il prétend que le juge a commis une erreur dans l’application du principe énoncé dans </w:t>
            </w:r>
            <w:r w:rsidRPr="0091707B">
              <w:rPr>
                <w:i/>
                <w:sz w:val="20"/>
                <w:lang w:val="fr-CA"/>
              </w:rPr>
              <w:t>Browne c. Dunn</w:t>
            </w:r>
            <w:r w:rsidRPr="0091707B">
              <w:rPr>
                <w:sz w:val="20"/>
                <w:lang w:val="fr-CA"/>
              </w:rPr>
              <w:t xml:space="preserve">, (1893), 6 R. 67. La Cour d’appel du Québec a rejeté l’appel à l’unanimité. </w:t>
            </w:r>
          </w:p>
        </w:tc>
      </w:tr>
      <w:tr w:rsidR="00860B41" w:rsidRPr="0091707B" w:rsidTr="00860B41">
        <w:tc>
          <w:tcPr>
            <w:tcW w:w="5000" w:type="pct"/>
            <w:gridSpan w:val="4"/>
          </w:tcPr>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21 décembre 2020</w:t>
            </w:r>
          </w:p>
          <w:p w:rsidR="00860B41" w:rsidRPr="0091707B" w:rsidRDefault="00860B41" w:rsidP="00860B41">
            <w:pPr>
              <w:jc w:val="both"/>
              <w:rPr>
                <w:sz w:val="20"/>
                <w:lang w:val="fr-CA"/>
              </w:rPr>
            </w:pPr>
            <w:r w:rsidRPr="0091707B">
              <w:rPr>
                <w:sz w:val="20"/>
                <w:lang w:val="fr-CA"/>
              </w:rPr>
              <w:t>Cour du Québec</w:t>
            </w:r>
          </w:p>
          <w:p w:rsidR="00860B41" w:rsidRPr="0091707B" w:rsidRDefault="00860B41" w:rsidP="00860B41">
            <w:pPr>
              <w:jc w:val="both"/>
              <w:rPr>
                <w:sz w:val="20"/>
                <w:lang w:val="fr-CA"/>
              </w:rPr>
            </w:pPr>
            <w:r w:rsidRPr="0091707B">
              <w:rPr>
                <w:sz w:val="20"/>
                <w:lang w:val="fr-CA"/>
              </w:rPr>
              <w:t>(Juge Dubois)</w:t>
            </w:r>
          </w:p>
          <w:p w:rsidR="00860B41" w:rsidRPr="0091707B" w:rsidRDefault="00860B41" w:rsidP="00860B41">
            <w:pPr>
              <w:jc w:val="both"/>
              <w:rPr>
                <w:sz w:val="20"/>
              </w:rPr>
            </w:pPr>
            <w:hyperlink r:id="rId52" w:history="1">
              <w:r w:rsidRPr="0091707B">
                <w:rPr>
                  <w:rStyle w:val="Hyperlink"/>
                  <w:sz w:val="20"/>
                </w:rPr>
                <w:t>2020 QCCQ 14232</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lang w:val="fr-CA"/>
              </w:rPr>
            </w:pPr>
            <w:r w:rsidRPr="0091707B">
              <w:rPr>
                <w:sz w:val="20"/>
                <w:lang w:val="fr-CA"/>
              </w:rPr>
              <w:t>Déclaration de culpabilité de l’accusé pour de multiples infractions sexuelles</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30 novembre 2022</w:t>
            </w:r>
          </w:p>
          <w:p w:rsidR="00860B41" w:rsidRPr="0091707B" w:rsidRDefault="00860B41" w:rsidP="00860B41">
            <w:pPr>
              <w:jc w:val="both"/>
              <w:rPr>
                <w:sz w:val="20"/>
                <w:lang w:val="fr-CA"/>
              </w:rPr>
            </w:pPr>
            <w:r w:rsidRPr="0091707B">
              <w:rPr>
                <w:sz w:val="20"/>
                <w:lang w:val="fr-CA"/>
              </w:rPr>
              <w:t>Cour d’appel du Québec (Montréal)</w:t>
            </w:r>
          </w:p>
          <w:p w:rsidR="00860B41" w:rsidRPr="0091707B" w:rsidRDefault="00860B41" w:rsidP="00860B41">
            <w:pPr>
              <w:jc w:val="both"/>
              <w:rPr>
                <w:sz w:val="20"/>
                <w:lang w:val="fr-CA"/>
              </w:rPr>
            </w:pPr>
            <w:r w:rsidRPr="0091707B">
              <w:rPr>
                <w:sz w:val="20"/>
                <w:lang w:val="fr-CA"/>
              </w:rPr>
              <w:t>(Juges Dutil, Healy et Sansfaçon)</w:t>
            </w:r>
          </w:p>
          <w:p w:rsidR="00860B41" w:rsidRPr="0091707B" w:rsidRDefault="00860B41" w:rsidP="00860B41">
            <w:pPr>
              <w:jc w:val="both"/>
              <w:rPr>
                <w:sz w:val="20"/>
              </w:rPr>
            </w:pPr>
            <w:hyperlink r:id="rId53" w:history="1">
              <w:r w:rsidRPr="0091707B">
                <w:rPr>
                  <w:rStyle w:val="Hyperlink"/>
                  <w:sz w:val="20"/>
                </w:rPr>
                <w:t>2022 QCCA 1611</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Rejet de l’appel.</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16 janvier 2023</w:t>
            </w:r>
          </w:p>
          <w:p w:rsidR="00860B41" w:rsidRPr="0091707B" w:rsidRDefault="00860B41" w:rsidP="00860B41">
            <w:pPr>
              <w:jc w:val="both"/>
              <w:rPr>
                <w:sz w:val="20"/>
                <w:lang w:val="fr-CA"/>
              </w:rPr>
            </w:pPr>
            <w:r w:rsidRPr="0091707B">
              <w:rPr>
                <w:sz w:val="20"/>
                <w:lang w:val="fr-CA"/>
              </w:rPr>
              <w:t>Cour suprême du Canada</w:t>
            </w: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Dépôt de la demande d’autorisation d’appel.</w:t>
            </w:r>
          </w:p>
          <w:p w:rsidR="00860B41" w:rsidRPr="0091707B" w:rsidRDefault="00860B41" w:rsidP="00860B41">
            <w:pPr>
              <w:jc w:val="both"/>
              <w:rPr>
                <w:sz w:val="20"/>
                <w:lang w:val="fr-CA"/>
              </w:rPr>
            </w:pPr>
          </w:p>
        </w:tc>
      </w:tr>
    </w:tbl>
    <w:p w:rsidR="00860B41" w:rsidRPr="0091707B" w:rsidRDefault="00860B41" w:rsidP="00860B41">
      <w:pPr>
        <w:jc w:val="both"/>
        <w:rPr>
          <w:sz w:val="20"/>
          <w:lang w:val="fr-CA"/>
        </w:rPr>
      </w:pPr>
    </w:p>
    <w:p w:rsidR="008A5C02" w:rsidRPr="0091707B" w:rsidRDefault="008A5C02" w:rsidP="00860B41">
      <w:pPr>
        <w:jc w:val="both"/>
        <w:rPr>
          <w:sz w:val="20"/>
          <w:lang w:val="fr-CA"/>
        </w:rPr>
      </w:pPr>
      <w:r w:rsidRPr="0091707B">
        <w:rPr>
          <w:sz w:val="20"/>
        </w:rPr>
        <w:pict>
          <v:rect id="_x0000_i1040" style="width:2in;height:1pt" o:hrpct="0" o:hralign="center" o:hrstd="t" o:hrnoshade="t" o:hr="t" fillcolor="black [3213]" stroked="f"/>
        </w:pict>
      </w:r>
    </w:p>
    <w:p w:rsidR="008A5C02" w:rsidRPr="0091707B" w:rsidRDefault="008A5C02" w:rsidP="00860B4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40650</w:t>
            </w:r>
          </w:p>
        </w:tc>
        <w:tc>
          <w:tcPr>
            <w:tcW w:w="4457" w:type="pct"/>
            <w:gridSpan w:val="3"/>
          </w:tcPr>
          <w:p w:rsidR="00860B41" w:rsidRPr="0091707B" w:rsidRDefault="00860B41" w:rsidP="00860B41">
            <w:pPr>
              <w:pStyle w:val="SCCLsocParty"/>
              <w:jc w:val="both"/>
              <w:rPr>
                <w:b/>
                <w:sz w:val="20"/>
                <w:szCs w:val="20"/>
                <w:lang w:val="en-US"/>
              </w:rPr>
            </w:pPr>
            <w:r w:rsidRPr="0091707B">
              <w:rPr>
                <w:b/>
                <w:sz w:val="20"/>
                <w:szCs w:val="20"/>
                <w:lang w:val="en-US"/>
              </w:rPr>
              <w:t>Amacon Alaska Development Partnership v. ARC Digital Canada Corp.</w:t>
            </w:r>
          </w:p>
          <w:p w:rsidR="00860B41" w:rsidRPr="0091707B" w:rsidRDefault="00860B41" w:rsidP="00860B41">
            <w:pPr>
              <w:jc w:val="both"/>
              <w:rPr>
                <w:sz w:val="20"/>
              </w:rPr>
            </w:pPr>
            <w:r w:rsidRPr="0091707B">
              <w:rPr>
                <w:sz w:val="20"/>
              </w:rPr>
              <w:t>(B.C.) (Civil) (By Leave)</w:t>
            </w:r>
          </w:p>
        </w:tc>
      </w:tr>
      <w:tr w:rsidR="00860B41" w:rsidRPr="0091707B" w:rsidTr="00860B41">
        <w:tc>
          <w:tcPr>
            <w:tcW w:w="5000" w:type="pct"/>
            <w:gridSpan w:val="4"/>
          </w:tcPr>
          <w:p w:rsidR="00860B41" w:rsidRPr="0091707B" w:rsidRDefault="00860B41" w:rsidP="00860B41">
            <w:pPr>
              <w:jc w:val="both"/>
              <w:rPr>
                <w:sz w:val="20"/>
              </w:rPr>
            </w:pPr>
            <w:r w:rsidRPr="0091707B">
              <w:rPr>
                <w:sz w:val="20"/>
              </w:rPr>
              <w:t xml:space="preserve">Contracts — Leases — Commercial contracts — Validity — Performance — Breach — How should Canadian courts reconcile the law of good faith and other principles of Canadian contract law — </w:t>
            </w:r>
            <w:r w:rsidRPr="0091707B">
              <w:rPr>
                <w:i/>
                <w:sz w:val="20"/>
              </w:rPr>
              <w:t>Bhasin v. Hrynew</w:t>
            </w:r>
            <w:r w:rsidRPr="0091707B">
              <w:rPr>
                <w:sz w:val="20"/>
              </w:rPr>
              <w:t>, 2014 SCC 71, [2014] 3 S.C.R. 494.</w:t>
            </w:r>
          </w:p>
          <w:p w:rsidR="00860B41" w:rsidRPr="0091707B" w:rsidRDefault="00860B41" w:rsidP="00860B41">
            <w:pPr>
              <w:jc w:val="both"/>
              <w:rPr>
                <w:sz w:val="20"/>
              </w:rPr>
            </w:pPr>
          </w:p>
        </w:tc>
      </w:tr>
      <w:tr w:rsidR="00860B41" w:rsidRPr="0091707B" w:rsidTr="00860B41">
        <w:tc>
          <w:tcPr>
            <w:tcW w:w="5000" w:type="pct"/>
            <w:gridSpan w:val="4"/>
          </w:tcPr>
          <w:p w:rsidR="00860B41" w:rsidRPr="0091707B" w:rsidRDefault="00860B41" w:rsidP="00860B41">
            <w:pPr>
              <w:jc w:val="both"/>
              <w:rPr>
                <w:sz w:val="20"/>
              </w:rPr>
            </w:pPr>
            <w:r w:rsidRPr="0091707B">
              <w:rPr>
                <w:sz w:val="20"/>
              </w:rPr>
              <w:t xml:space="preserve">When the applicant purchased the premises in which the respondent was leasing space, the two parties negotiated the terms of a lease modification agreement. In return for the respondent agreeing to vacate the premises early and give up an option to renew, the applicant was to pay an amount of </w:t>
            </w:r>
            <w:r w:rsidRPr="0091707B">
              <w:rPr>
                <w:color w:val="000000"/>
                <w:sz w:val="20"/>
              </w:rPr>
              <w:t xml:space="preserve">$290,000 upon the execution of the agreement by the respondent and another $290,000 when the premises were vacated. When the respondent waited to execute the agreement until it had negotiated a new lease for alternative premises one month later, the applicant refused to sign the agreement and did not pay the initial $290,000. Without having budgeted money to make a phased move, the respondent did not vacate by the earlier agreed dated. The applicant then signed the agreement and paid the initial $290,000 but refused to pay the second amount on the basis that the respondent had not vacated the premises as agreed. It also sought to charge the respondent double rent for the overholding period. The respondent brought an action for a declaration that the agreement was valid and binding and had been breached by the applicant. </w:t>
            </w:r>
            <w:r w:rsidRPr="0091707B">
              <w:rPr>
                <w:sz w:val="20"/>
              </w:rPr>
              <w:t xml:space="preserve">Applying the principles of good faith set out in </w:t>
            </w:r>
            <w:r w:rsidRPr="0091707B">
              <w:rPr>
                <w:i/>
                <w:sz w:val="20"/>
              </w:rPr>
              <w:t>Bhasin v. Hrynew</w:t>
            </w:r>
            <w:r w:rsidRPr="0091707B">
              <w:rPr>
                <w:sz w:val="20"/>
              </w:rPr>
              <w:t xml:space="preserve">, </w:t>
            </w:r>
            <w:hyperlink r:id="rId54" w:history="1">
              <w:r w:rsidRPr="0091707B">
                <w:rPr>
                  <w:rStyle w:val="Hyperlink"/>
                  <w:color w:val="auto"/>
                  <w:sz w:val="20"/>
                  <w:u w:val="none"/>
                </w:rPr>
                <w:t>2014 SCC 71</w:t>
              </w:r>
            </w:hyperlink>
            <w:r w:rsidRPr="0091707B">
              <w:rPr>
                <w:sz w:val="20"/>
              </w:rPr>
              <w:t xml:space="preserve">, [2014] 3 S.C.R. 494, the court found that the circumstances </w:t>
            </w:r>
            <w:r w:rsidRPr="0091707B">
              <w:rPr>
                <w:color w:val="000000"/>
                <w:sz w:val="20"/>
              </w:rPr>
              <w:t xml:space="preserve">overwhelmingly established that the applicant acted dishonestly towards the respondent. The court awarded damages to the respondent in the amount of </w:t>
            </w:r>
            <w:r w:rsidRPr="0091707B">
              <w:rPr>
                <w:sz w:val="20"/>
              </w:rPr>
              <w:t xml:space="preserve">$369,260 and dismissed the applicant’s counterclaim. The Court of Appeal for British Columbia </w:t>
            </w:r>
            <w:r w:rsidRPr="0091707B">
              <w:rPr>
                <w:color w:val="000000"/>
                <w:sz w:val="20"/>
              </w:rPr>
              <w:t>dismissed the applicant’s appeal.</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August 17, 2021</w:t>
            </w:r>
          </w:p>
          <w:p w:rsidR="00860B41" w:rsidRPr="0091707B" w:rsidRDefault="00860B41" w:rsidP="00860B41">
            <w:pPr>
              <w:jc w:val="both"/>
              <w:rPr>
                <w:sz w:val="20"/>
              </w:rPr>
            </w:pPr>
            <w:r w:rsidRPr="0091707B">
              <w:rPr>
                <w:sz w:val="20"/>
              </w:rPr>
              <w:t>Supreme Court of British Columbia</w:t>
            </w:r>
          </w:p>
          <w:p w:rsidR="00860B41" w:rsidRPr="0091707B" w:rsidRDefault="00860B41" w:rsidP="00860B41">
            <w:pPr>
              <w:jc w:val="both"/>
              <w:rPr>
                <w:sz w:val="20"/>
              </w:rPr>
            </w:pPr>
            <w:r w:rsidRPr="0091707B">
              <w:rPr>
                <w:sz w:val="20"/>
              </w:rPr>
              <w:t>(Fitzpatrick J.)</w:t>
            </w:r>
          </w:p>
          <w:p w:rsidR="00860B41" w:rsidRPr="0091707B" w:rsidRDefault="00860B41" w:rsidP="00860B41">
            <w:pPr>
              <w:jc w:val="both"/>
              <w:rPr>
                <w:sz w:val="20"/>
              </w:rPr>
            </w:pPr>
            <w:hyperlink r:id="rId55" w:history="1">
              <w:r w:rsidRPr="0091707B">
                <w:rPr>
                  <w:rStyle w:val="Hyperlink"/>
                  <w:sz w:val="20"/>
                </w:rPr>
                <w:t>2021 BCSC 1612</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 xml:space="preserve">Respondent awarded damages in the amount of $369,260; applicant’s counterclaim dismissed. </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January 20, 2023</w:t>
            </w:r>
          </w:p>
          <w:p w:rsidR="00860B41" w:rsidRPr="0091707B" w:rsidRDefault="00860B41" w:rsidP="00860B41">
            <w:pPr>
              <w:jc w:val="both"/>
              <w:rPr>
                <w:sz w:val="20"/>
              </w:rPr>
            </w:pPr>
            <w:r w:rsidRPr="0091707B">
              <w:rPr>
                <w:sz w:val="20"/>
              </w:rPr>
              <w:t xml:space="preserve">Court of Appeal for British Columbia </w:t>
            </w:r>
          </w:p>
          <w:p w:rsidR="00860B41" w:rsidRPr="0091707B" w:rsidRDefault="00860B41" w:rsidP="00860B41">
            <w:pPr>
              <w:jc w:val="both"/>
              <w:rPr>
                <w:sz w:val="20"/>
              </w:rPr>
            </w:pPr>
            <w:r w:rsidRPr="0091707B">
              <w:rPr>
                <w:sz w:val="20"/>
              </w:rPr>
              <w:t>(Vancouver)</w:t>
            </w:r>
          </w:p>
          <w:p w:rsidR="00860B41" w:rsidRPr="0091707B" w:rsidRDefault="00860B41" w:rsidP="00860B41">
            <w:pPr>
              <w:jc w:val="both"/>
              <w:rPr>
                <w:sz w:val="20"/>
              </w:rPr>
            </w:pPr>
            <w:r w:rsidRPr="0091707B">
              <w:rPr>
                <w:sz w:val="20"/>
              </w:rPr>
              <w:t>(Bauman C.J., Frankel and MacKenzie JJ.A.)</w:t>
            </w:r>
          </w:p>
          <w:p w:rsidR="00860B41" w:rsidRPr="0091707B" w:rsidRDefault="00860B41" w:rsidP="00860B41">
            <w:pPr>
              <w:jc w:val="both"/>
              <w:rPr>
                <w:sz w:val="20"/>
              </w:rPr>
            </w:pPr>
            <w:hyperlink r:id="rId56" w:history="1">
              <w:r w:rsidRPr="0091707B">
                <w:rPr>
                  <w:rStyle w:val="Hyperlink"/>
                  <w:sz w:val="20"/>
                </w:rPr>
                <w:t>2023 BCCA 34</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Appeal dismissed.</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rPr>
            </w:pPr>
            <w:r w:rsidRPr="0091707B">
              <w:rPr>
                <w:sz w:val="20"/>
              </w:rPr>
              <w:t>March 20, 2023</w:t>
            </w:r>
          </w:p>
          <w:p w:rsidR="00860B41" w:rsidRPr="0091707B" w:rsidRDefault="00860B41" w:rsidP="00860B41">
            <w:pPr>
              <w:jc w:val="both"/>
              <w:rPr>
                <w:sz w:val="20"/>
              </w:rPr>
            </w:pPr>
            <w:r w:rsidRPr="0091707B">
              <w:rPr>
                <w:sz w:val="20"/>
              </w:rPr>
              <w:t>Supreme Court of Canada</w:t>
            </w: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Application for leave to appeal filed.</w:t>
            </w:r>
          </w:p>
          <w:p w:rsidR="00860B41" w:rsidRPr="0091707B" w:rsidRDefault="00860B41" w:rsidP="00860B41">
            <w:pPr>
              <w:jc w:val="both"/>
              <w:rPr>
                <w:sz w:val="20"/>
              </w:rPr>
            </w:pPr>
          </w:p>
        </w:tc>
      </w:tr>
    </w:tbl>
    <w:p w:rsidR="00860B41" w:rsidRPr="0091707B" w:rsidRDefault="00860B41" w:rsidP="00860B41">
      <w:pPr>
        <w:jc w:val="both"/>
        <w:rPr>
          <w:sz w:val="20"/>
        </w:rPr>
      </w:pPr>
    </w:p>
    <w:p w:rsidR="008A5C02" w:rsidRPr="0091707B" w:rsidRDefault="008A5C02" w:rsidP="00860B41">
      <w:pPr>
        <w:jc w:val="both"/>
        <w:rPr>
          <w:sz w:val="20"/>
        </w:rPr>
      </w:pPr>
      <w:r w:rsidRPr="0091707B">
        <w:rPr>
          <w:sz w:val="20"/>
        </w:rPr>
        <w:pict>
          <v:rect id="_x0000_i1041" style="width:2in;height:1pt" o:hrpct="0" o:hralign="center" o:hrstd="t" o:hrnoshade="t" o:hr="t" fillcolor="black [3213]" stroked="f"/>
        </w:pict>
      </w:r>
    </w:p>
    <w:p w:rsidR="008A5C02" w:rsidRPr="0091707B" w:rsidRDefault="008A5C02" w:rsidP="00860B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B41" w:rsidRPr="0091707B" w:rsidTr="00860B41">
        <w:tc>
          <w:tcPr>
            <w:tcW w:w="543" w:type="pct"/>
          </w:tcPr>
          <w:p w:rsidR="00860B41" w:rsidRPr="0091707B" w:rsidRDefault="00860B41" w:rsidP="00860B41">
            <w:pPr>
              <w:jc w:val="both"/>
              <w:rPr>
                <w:sz w:val="20"/>
              </w:rPr>
            </w:pPr>
            <w:r w:rsidRPr="0091707B">
              <w:rPr>
                <w:rStyle w:val="SCCFileNumberChar"/>
                <w:sz w:val="20"/>
                <w:szCs w:val="20"/>
              </w:rPr>
              <w:t>40650</w:t>
            </w:r>
          </w:p>
        </w:tc>
        <w:tc>
          <w:tcPr>
            <w:tcW w:w="4457" w:type="pct"/>
            <w:gridSpan w:val="3"/>
          </w:tcPr>
          <w:p w:rsidR="00860B41" w:rsidRPr="0091707B" w:rsidRDefault="00860B41" w:rsidP="00860B41">
            <w:pPr>
              <w:pStyle w:val="SCCLsocParty"/>
              <w:jc w:val="both"/>
              <w:rPr>
                <w:b/>
                <w:sz w:val="20"/>
                <w:szCs w:val="20"/>
                <w:lang w:val="en-US"/>
              </w:rPr>
            </w:pPr>
            <w:r w:rsidRPr="0091707B">
              <w:rPr>
                <w:b/>
                <w:sz w:val="20"/>
                <w:szCs w:val="20"/>
                <w:lang w:val="en-US"/>
              </w:rPr>
              <w:t>Amacon Alaska Development Partnership c. ARC Digital Canada Corp.</w:t>
            </w:r>
          </w:p>
          <w:p w:rsidR="00860B41" w:rsidRPr="0091707B" w:rsidRDefault="00860B41" w:rsidP="00860B41">
            <w:pPr>
              <w:jc w:val="both"/>
              <w:rPr>
                <w:sz w:val="20"/>
              </w:rPr>
            </w:pPr>
            <w:r w:rsidRPr="0091707B">
              <w:rPr>
                <w:sz w:val="20"/>
              </w:rPr>
              <w:t>(C.-B.) (Civile) (Autorisation)</w:t>
            </w: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 xml:space="preserve">Contrats — Baux — Contrats commerciaux — Validité — Exécution — Violation — Comment les tribunaux canadiens doivent-ils concilier la loi de la bonne foi et les autres principes du droit canadien des contrats — </w:t>
            </w:r>
            <w:r w:rsidRPr="0091707B">
              <w:rPr>
                <w:i/>
                <w:sz w:val="20"/>
                <w:lang w:val="fr-CA"/>
              </w:rPr>
              <w:t>Bhasin c. Hrynew</w:t>
            </w:r>
            <w:r w:rsidRPr="0091707B">
              <w:rPr>
                <w:sz w:val="20"/>
                <w:lang w:val="fr-CA"/>
              </w:rPr>
              <w:t>, 2014 CSC 71, [2014] 3 R.C.S. 494.</w:t>
            </w:r>
          </w:p>
          <w:p w:rsidR="00860B41" w:rsidRPr="0091707B" w:rsidRDefault="00860B41" w:rsidP="00860B41">
            <w:pPr>
              <w:jc w:val="both"/>
              <w:rPr>
                <w:sz w:val="20"/>
                <w:lang w:val="fr-CA"/>
              </w:rPr>
            </w:pPr>
          </w:p>
        </w:tc>
      </w:tr>
      <w:tr w:rsidR="00860B41" w:rsidRPr="0091707B" w:rsidTr="00860B41">
        <w:tc>
          <w:tcPr>
            <w:tcW w:w="5000" w:type="pct"/>
            <w:gridSpan w:val="4"/>
          </w:tcPr>
          <w:p w:rsidR="00860B41" w:rsidRPr="0091707B" w:rsidRDefault="00860B41" w:rsidP="00860B41">
            <w:pPr>
              <w:jc w:val="both"/>
              <w:rPr>
                <w:sz w:val="20"/>
                <w:lang w:val="fr-CA"/>
              </w:rPr>
            </w:pPr>
            <w:r w:rsidRPr="0091707B">
              <w:rPr>
                <w:sz w:val="20"/>
                <w:lang w:val="fr-CA"/>
              </w:rPr>
              <w:t xml:space="preserve">Lorsque la demanderesse a acheté les locaux dans lesquels l’intimée louait des espaces, les deux parties ont négocié les termes d’un accord de modification du bail. En contrepartie de l’acceptation par l’intimée de libérer les lieux de manière anticipée et de renoncer à une option de renouvellement, la demanderesse devait payer un montant de </w:t>
            </w:r>
            <w:r w:rsidRPr="0091707B">
              <w:rPr>
                <w:color w:val="000000"/>
                <w:sz w:val="20"/>
                <w:lang w:val="fr-CA"/>
              </w:rPr>
              <w:t>290 000 $ à la signature de l’accord par l’intimé et un autre montant de 290 000 $ lorsque les lieux seraient libérés</w:t>
            </w:r>
            <w:r w:rsidRPr="0091707B">
              <w:rPr>
                <w:sz w:val="20"/>
                <w:lang w:val="fr-CA"/>
              </w:rPr>
              <w:t>.</w:t>
            </w:r>
            <w:r w:rsidRPr="0091707B">
              <w:rPr>
                <w:color w:val="000000"/>
                <w:sz w:val="20"/>
                <w:lang w:val="fr-CA"/>
              </w:rPr>
              <w:t xml:space="preserve"> Lorsque l’intimée a attendu pour signer l’accord qu’elle ait négocié un nouveau bail pour d’autres locaux un mois plus tard, la demanderesse a refusé de signer l’accord et n’a pas payé le montant initial de 290 000 $. N’ayant pas prévu de budget pour un déménagement progressif, l’intimée n’a pas quitté les lieux à la date convenue. La demanderesse a alors signé l’accord et payé le montant initial de 290 000 $, mais a refusé de payer le second montant au motif que l’intimée n’avait pas libéré les lieux comme convenu. Elle a également cherché à faire payer à l’intimée un double loyer pour la période d’occupation après terme. L’intimée a introduit une action visant à faire déclarer que l’accord était valide et contraignant et qu’il avait été violé par la demanderesse. </w:t>
            </w:r>
            <w:r w:rsidRPr="0091707B">
              <w:rPr>
                <w:sz w:val="20"/>
                <w:lang w:val="fr-CA"/>
              </w:rPr>
              <w:t xml:space="preserve">Appliquant les principes de bonne foi énoncés dans l’arrêt </w:t>
            </w:r>
            <w:r w:rsidRPr="0091707B">
              <w:rPr>
                <w:i/>
                <w:sz w:val="20"/>
                <w:lang w:val="fr-CA"/>
              </w:rPr>
              <w:t>Bhasin c. Hrynew</w:t>
            </w:r>
            <w:r w:rsidRPr="0091707B">
              <w:rPr>
                <w:sz w:val="20"/>
                <w:lang w:val="fr-CA"/>
              </w:rPr>
              <w:t xml:space="preserve">, </w:t>
            </w:r>
            <w:hyperlink r:id="rId57" w:history="1">
              <w:r w:rsidRPr="0091707B">
                <w:rPr>
                  <w:rStyle w:val="Hyperlink"/>
                  <w:color w:val="auto"/>
                  <w:sz w:val="20"/>
                  <w:u w:val="none"/>
                  <w:lang w:val="fr-CA"/>
                </w:rPr>
                <w:t>2014 CSC 71</w:t>
              </w:r>
            </w:hyperlink>
            <w:r w:rsidRPr="0091707B">
              <w:rPr>
                <w:sz w:val="20"/>
                <w:lang w:val="fr-CA"/>
              </w:rPr>
              <w:t xml:space="preserve">, [2014] 3 R.C.S. 494, le tribunal a estimé que les circonstances </w:t>
            </w:r>
            <w:r w:rsidRPr="0091707B">
              <w:rPr>
                <w:color w:val="000000"/>
                <w:sz w:val="20"/>
                <w:lang w:val="fr-CA"/>
              </w:rPr>
              <w:t>établissaient de façon nettement prépondérante que la demanderesse avait agi de manière malhonnête à l’égard de l’intimée</w:t>
            </w:r>
            <w:r w:rsidRPr="0091707B">
              <w:rPr>
                <w:sz w:val="20"/>
                <w:lang w:val="fr-CA"/>
              </w:rPr>
              <w:t>.</w:t>
            </w:r>
            <w:r w:rsidRPr="0091707B">
              <w:rPr>
                <w:color w:val="000000"/>
                <w:sz w:val="20"/>
                <w:lang w:val="fr-CA"/>
              </w:rPr>
              <w:t xml:space="preserve"> Le tribunal a accordé des dommages-intérêts à l’intimée pour un montant de </w:t>
            </w:r>
            <w:r w:rsidRPr="0091707B">
              <w:rPr>
                <w:sz w:val="20"/>
                <w:lang w:val="fr-CA"/>
              </w:rPr>
              <w:t xml:space="preserve">369 260 $ et a rejeté la demande reconventionnelle de la demanderesse. La Cour d’appel de la Colombie-Britannique </w:t>
            </w:r>
            <w:r w:rsidRPr="0091707B">
              <w:rPr>
                <w:color w:val="000000"/>
                <w:sz w:val="20"/>
                <w:lang w:val="fr-CA"/>
              </w:rPr>
              <w:t xml:space="preserve">a rejeté </w:t>
            </w:r>
            <w:r w:rsidRPr="0091707B">
              <w:rPr>
                <w:sz w:val="20"/>
                <w:lang w:val="fr-CA"/>
              </w:rPr>
              <w:t>l’appel de la demanderesse.</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17 août 2021</w:t>
            </w:r>
          </w:p>
          <w:p w:rsidR="00860B41" w:rsidRPr="0091707B" w:rsidRDefault="00860B41" w:rsidP="00860B41">
            <w:pPr>
              <w:jc w:val="both"/>
              <w:rPr>
                <w:sz w:val="20"/>
                <w:lang w:val="fr-CA"/>
              </w:rPr>
            </w:pPr>
            <w:r w:rsidRPr="0091707B">
              <w:rPr>
                <w:sz w:val="20"/>
                <w:lang w:val="fr-CA"/>
              </w:rPr>
              <w:t>Cour suprême de la Colombie-Britannique</w:t>
            </w:r>
          </w:p>
          <w:p w:rsidR="00860B41" w:rsidRPr="0091707B" w:rsidRDefault="00860B41" w:rsidP="00860B41">
            <w:pPr>
              <w:jc w:val="both"/>
              <w:rPr>
                <w:sz w:val="20"/>
              </w:rPr>
            </w:pPr>
            <w:r w:rsidRPr="0091707B">
              <w:rPr>
                <w:sz w:val="20"/>
              </w:rPr>
              <w:t>(Juge Fitzpatrick)</w:t>
            </w:r>
          </w:p>
          <w:p w:rsidR="00860B41" w:rsidRPr="0091707B" w:rsidRDefault="00860B41" w:rsidP="00860B41">
            <w:pPr>
              <w:jc w:val="both"/>
              <w:rPr>
                <w:sz w:val="20"/>
              </w:rPr>
            </w:pPr>
            <w:hyperlink r:id="rId58" w:history="1">
              <w:r w:rsidRPr="0091707B">
                <w:rPr>
                  <w:rStyle w:val="Hyperlink"/>
                  <w:sz w:val="20"/>
                </w:rPr>
                <w:t>2021 ACNL 1612</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lang w:val="fr-CA"/>
              </w:rPr>
            </w:pPr>
            <w:r w:rsidRPr="0091707B">
              <w:rPr>
                <w:sz w:val="20"/>
                <w:lang w:val="fr-CA"/>
              </w:rPr>
              <w:t xml:space="preserve">Jugement accordant à l’intimée des dommages-intérêts pour un montant de 369 260 $ et rejetant la demande reconventionnelle de la demanderesse. </w:t>
            </w:r>
          </w:p>
          <w:p w:rsidR="00860B41" w:rsidRPr="0091707B" w:rsidRDefault="00860B41" w:rsidP="00860B41">
            <w:pPr>
              <w:jc w:val="both"/>
              <w:rPr>
                <w:sz w:val="20"/>
                <w:lang w:val="fr-CA"/>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20 janvier 2023</w:t>
            </w:r>
          </w:p>
          <w:p w:rsidR="00860B41" w:rsidRPr="0091707B" w:rsidRDefault="00860B41" w:rsidP="00860B41">
            <w:pPr>
              <w:jc w:val="both"/>
              <w:rPr>
                <w:sz w:val="20"/>
                <w:lang w:val="fr-CA"/>
              </w:rPr>
            </w:pPr>
            <w:r w:rsidRPr="0091707B">
              <w:rPr>
                <w:sz w:val="20"/>
                <w:lang w:val="fr-CA"/>
              </w:rPr>
              <w:t xml:space="preserve">Cour d’appel de la Colombie-Britannique </w:t>
            </w:r>
          </w:p>
          <w:p w:rsidR="00860B41" w:rsidRPr="0091707B" w:rsidRDefault="00860B41" w:rsidP="00860B41">
            <w:pPr>
              <w:jc w:val="both"/>
              <w:rPr>
                <w:sz w:val="20"/>
                <w:lang w:val="fr-CA"/>
              </w:rPr>
            </w:pPr>
            <w:r w:rsidRPr="0091707B">
              <w:rPr>
                <w:sz w:val="20"/>
                <w:lang w:val="fr-CA"/>
              </w:rPr>
              <w:t>(Vancouver)</w:t>
            </w:r>
          </w:p>
          <w:p w:rsidR="00860B41" w:rsidRPr="0091707B" w:rsidRDefault="00860B41" w:rsidP="00860B41">
            <w:pPr>
              <w:jc w:val="both"/>
              <w:rPr>
                <w:sz w:val="20"/>
                <w:lang w:val="fr-CA"/>
              </w:rPr>
            </w:pPr>
            <w:r w:rsidRPr="0091707B">
              <w:rPr>
                <w:sz w:val="20"/>
                <w:lang w:val="fr-CA"/>
              </w:rPr>
              <w:t>(Juge en chef Bauman, juges Frankel et MacKenzie)</w:t>
            </w:r>
          </w:p>
          <w:p w:rsidR="00860B41" w:rsidRPr="0091707B" w:rsidRDefault="00860B41" w:rsidP="00860B41">
            <w:pPr>
              <w:jc w:val="both"/>
              <w:rPr>
                <w:sz w:val="20"/>
              </w:rPr>
            </w:pPr>
            <w:hyperlink r:id="rId59" w:history="1">
              <w:r w:rsidRPr="0091707B">
                <w:rPr>
                  <w:rStyle w:val="Hyperlink"/>
                  <w:sz w:val="20"/>
                </w:rPr>
                <w:t>2023 ACNL 34</w:t>
              </w:r>
            </w:hyperlink>
          </w:p>
          <w:p w:rsidR="00860B41" w:rsidRPr="0091707B" w:rsidRDefault="00860B41" w:rsidP="00860B41">
            <w:pPr>
              <w:jc w:val="both"/>
              <w:rPr>
                <w:sz w:val="20"/>
              </w:rPr>
            </w:pPr>
          </w:p>
        </w:tc>
        <w:tc>
          <w:tcPr>
            <w:tcW w:w="243" w:type="pct"/>
          </w:tcPr>
          <w:p w:rsidR="00860B41" w:rsidRPr="0091707B" w:rsidRDefault="00860B41" w:rsidP="00860B41">
            <w:pPr>
              <w:jc w:val="both"/>
              <w:rPr>
                <w:sz w:val="20"/>
              </w:rPr>
            </w:pPr>
          </w:p>
        </w:tc>
        <w:tc>
          <w:tcPr>
            <w:tcW w:w="2330" w:type="pct"/>
          </w:tcPr>
          <w:p w:rsidR="00860B41" w:rsidRPr="0091707B" w:rsidRDefault="00860B41" w:rsidP="00860B41">
            <w:pPr>
              <w:jc w:val="both"/>
              <w:rPr>
                <w:sz w:val="20"/>
              </w:rPr>
            </w:pPr>
            <w:r w:rsidRPr="0091707B">
              <w:rPr>
                <w:sz w:val="20"/>
              </w:rPr>
              <w:t>Rejet de l’appel.</w:t>
            </w:r>
          </w:p>
          <w:p w:rsidR="00860B41" w:rsidRPr="0091707B" w:rsidRDefault="00860B41" w:rsidP="00860B41">
            <w:pPr>
              <w:jc w:val="both"/>
              <w:rPr>
                <w:sz w:val="20"/>
              </w:rPr>
            </w:pPr>
          </w:p>
        </w:tc>
      </w:tr>
      <w:tr w:rsidR="00860B41" w:rsidRPr="0091707B" w:rsidTr="00860B41">
        <w:tc>
          <w:tcPr>
            <w:tcW w:w="2427" w:type="pct"/>
            <w:gridSpan w:val="2"/>
          </w:tcPr>
          <w:p w:rsidR="00860B41" w:rsidRPr="0091707B" w:rsidRDefault="00860B41" w:rsidP="00860B41">
            <w:pPr>
              <w:jc w:val="both"/>
              <w:rPr>
                <w:sz w:val="20"/>
                <w:lang w:val="fr-CA"/>
              </w:rPr>
            </w:pPr>
            <w:r w:rsidRPr="0091707B">
              <w:rPr>
                <w:sz w:val="20"/>
                <w:lang w:val="fr-CA"/>
              </w:rPr>
              <w:t>20 mars 2023</w:t>
            </w:r>
          </w:p>
          <w:p w:rsidR="00860B41" w:rsidRPr="0091707B" w:rsidRDefault="00860B41" w:rsidP="00860B41">
            <w:pPr>
              <w:jc w:val="both"/>
              <w:rPr>
                <w:sz w:val="20"/>
                <w:lang w:val="fr-CA"/>
              </w:rPr>
            </w:pPr>
            <w:r w:rsidRPr="0091707B">
              <w:rPr>
                <w:sz w:val="20"/>
                <w:lang w:val="fr-CA"/>
              </w:rPr>
              <w:t>Cour suprême du Canada</w:t>
            </w:r>
          </w:p>
        </w:tc>
        <w:tc>
          <w:tcPr>
            <w:tcW w:w="243" w:type="pct"/>
          </w:tcPr>
          <w:p w:rsidR="00860B41" w:rsidRPr="0091707B" w:rsidRDefault="00860B41" w:rsidP="00860B41">
            <w:pPr>
              <w:jc w:val="both"/>
              <w:rPr>
                <w:sz w:val="20"/>
                <w:lang w:val="fr-CA"/>
              </w:rPr>
            </w:pPr>
          </w:p>
        </w:tc>
        <w:tc>
          <w:tcPr>
            <w:tcW w:w="2330" w:type="pct"/>
          </w:tcPr>
          <w:p w:rsidR="00860B41" w:rsidRPr="0091707B" w:rsidRDefault="00860B41" w:rsidP="00860B41">
            <w:pPr>
              <w:jc w:val="both"/>
              <w:rPr>
                <w:sz w:val="20"/>
                <w:lang w:val="fr-CA"/>
              </w:rPr>
            </w:pPr>
            <w:r w:rsidRPr="0091707B">
              <w:rPr>
                <w:sz w:val="20"/>
                <w:lang w:val="fr-CA"/>
              </w:rPr>
              <w:t>Dépôt de la demande d’autorisation d’appel.</w:t>
            </w:r>
          </w:p>
          <w:p w:rsidR="00860B41" w:rsidRPr="0091707B" w:rsidRDefault="00860B41" w:rsidP="00860B41">
            <w:pPr>
              <w:jc w:val="both"/>
              <w:rPr>
                <w:sz w:val="20"/>
                <w:lang w:val="fr-CA"/>
              </w:rPr>
            </w:pPr>
          </w:p>
        </w:tc>
      </w:tr>
    </w:tbl>
    <w:p w:rsidR="00537F74" w:rsidRPr="0091707B" w:rsidRDefault="00537F74" w:rsidP="00537F74">
      <w:pPr>
        <w:jc w:val="both"/>
        <w:rPr>
          <w:sz w:val="20"/>
          <w:lang w:val="fr-CA"/>
        </w:rPr>
      </w:pPr>
    </w:p>
    <w:p w:rsidR="007F0348" w:rsidRPr="0091707B" w:rsidRDefault="00860B41" w:rsidP="00537F74">
      <w:pPr>
        <w:jc w:val="both"/>
        <w:rPr>
          <w:sz w:val="20"/>
        </w:rPr>
      </w:pPr>
      <w:r w:rsidRPr="0091707B">
        <w:rPr>
          <w:sz w:val="20"/>
        </w:rPr>
        <w:pict>
          <v:rect id="_x0000_i1027" style="width:2in;height:1pt" o:hrpct="0" o:hralign="center" o:hrstd="t" o:hrnoshade="t" o:hr="t" fillcolor="black [3213]" stroked="f"/>
        </w:pict>
      </w:r>
    </w:p>
    <w:p w:rsidR="00537F74" w:rsidRPr="0091707B" w:rsidRDefault="00537F74" w:rsidP="00537F74">
      <w:pPr>
        <w:jc w:val="both"/>
        <w:rPr>
          <w:sz w:val="20"/>
          <w:lang w:val="fr-CA"/>
        </w:rPr>
      </w:pPr>
    </w:p>
    <w:p w:rsidR="005C7161" w:rsidRPr="0091707B" w:rsidRDefault="005C7161" w:rsidP="006A22CA">
      <w:pPr>
        <w:ind w:left="142" w:hanging="142"/>
        <w:jc w:val="both"/>
        <w:rPr>
          <w:sz w:val="20"/>
          <w:lang w:val="fr-CA"/>
        </w:rPr>
      </w:pPr>
    </w:p>
    <w:p w:rsidR="00FD3FA0" w:rsidRPr="0091707B" w:rsidRDefault="00FD3FA0" w:rsidP="006A22CA">
      <w:pPr>
        <w:ind w:left="142" w:hanging="142"/>
        <w:jc w:val="both"/>
        <w:rPr>
          <w:sz w:val="20"/>
          <w:lang w:val="fr-CA"/>
        </w:rPr>
      </w:pPr>
    </w:p>
    <w:p w:rsidR="00D3344A" w:rsidRPr="0091707B" w:rsidRDefault="00D3344A" w:rsidP="00D3344A">
      <w:pPr>
        <w:widowControl w:val="0"/>
        <w:outlineLvl w:val="0"/>
      </w:pPr>
      <w:r w:rsidRPr="0091707B">
        <w:t xml:space="preserve">Supreme Court of Canada / Cour suprême du </w:t>
      </w:r>
      <w:proofErr w:type="gramStart"/>
      <w:r w:rsidRPr="0091707B">
        <w:t>Canad</w:t>
      </w:r>
      <w:r w:rsidR="00EE289F" w:rsidRPr="0091707B">
        <w:t>a</w:t>
      </w:r>
      <w:r w:rsidRPr="0091707B">
        <w:t xml:space="preserve"> :</w:t>
      </w:r>
      <w:proofErr w:type="gramEnd"/>
    </w:p>
    <w:p w:rsidR="00D3344A" w:rsidRPr="0091707B" w:rsidRDefault="00860B41" w:rsidP="00D3344A">
      <w:pPr>
        <w:widowControl w:val="0"/>
        <w:outlineLvl w:val="0"/>
        <w:rPr>
          <w:u w:val="single"/>
        </w:rPr>
      </w:pPr>
      <w:hyperlink r:id="rId60" w:history="1">
        <w:r w:rsidR="009B7391" w:rsidRPr="0091707B">
          <w:rPr>
            <w:rStyle w:val="Hyperlink"/>
          </w:rPr>
          <w:t>comments-commentaires@scc-csc.ca</w:t>
        </w:r>
      </w:hyperlink>
    </w:p>
    <w:p w:rsidR="00D3344A" w:rsidRPr="0091707B" w:rsidRDefault="0065588C" w:rsidP="00D3344A">
      <w:pPr>
        <w:widowControl w:val="0"/>
        <w:outlineLvl w:val="0"/>
      </w:pPr>
      <w:r w:rsidRPr="0091707B">
        <w:t>613-</w:t>
      </w:r>
      <w:r w:rsidR="00D3344A" w:rsidRPr="0091707B">
        <w:t>995-4330</w:t>
      </w:r>
    </w:p>
    <w:p w:rsidR="00497B5E" w:rsidRPr="0091707B" w:rsidRDefault="00497B5E" w:rsidP="00497B5E">
      <w:pPr>
        <w:widowControl w:val="0"/>
        <w:rPr>
          <w:sz w:val="20"/>
        </w:rPr>
      </w:pPr>
    </w:p>
    <w:p w:rsidR="00F6251B" w:rsidRPr="006E558B" w:rsidRDefault="003F43E6" w:rsidP="00F6251B">
      <w:pPr>
        <w:pStyle w:val="Footer"/>
        <w:jc w:val="center"/>
      </w:pPr>
      <w:r w:rsidRPr="0091707B">
        <w:t>- 30 -</w:t>
      </w:r>
    </w:p>
    <w:sectPr w:rsidR="00F6251B" w:rsidRPr="006E558B" w:rsidSect="006313B9">
      <w:headerReference w:type="even" r:id="rId61"/>
      <w:headerReference w:type="default" r:id="rId62"/>
      <w:footerReference w:type="even" r:id="rId63"/>
      <w:footerReference w:type="default" r:id="rId64"/>
      <w:headerReference w:type="first" r:id="rId65"/>
      <w:footerReference w:type="first" r:id="rId66"/>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41" w:rsidRDefault="00860B41" w:rsidP="0034178A">
      <w:r>
        <w:separator/>
      </w:r>
    </w:p>
  </w:endnote>
  <w:endnote w:type="continuationSeparator" w:id="0">
    <w:p w:rsidR="00860B41" w:rsidRDefault="00860B4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41" w:rsidRDefault="00860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41" w:rsidRPr="009F77F0" w:rsidRDefault="00860B41"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41" w:rsidRDefault="00860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41" w:rsidRDefault="00860B41" w:rsidP="0034178A">
      <w:r>
        <w:separator/>
      </w:r>
    </w:p>
  </w:footnote>
  <w:footnote w:type="continuationSeparator" w:id="0">
    <w:p w:rsidR="00860B41" w:rsidRDefault="00860B4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41" w:rsidRDefault="00860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41" w:rsidRDefault="00860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41" w:rsidRDefault="00860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A0B11"/>
    <w:multiLevelType w:val="hybridMultilevel"/>
    <w:tmpl w:val="8F8C6CD4"/>
    <w:lvl w:ilvl="0" w:tplc="8EE692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56C87"/>
    <w:multiLevelType w:val="hybridMultilevel"/>
    <w:tmpl w:val="E4B0B7E0"/>
    <w:lvl w:ilvl="0" w:tplc="A95A74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0"/>
  </w:num>
  <w:num w:numId="5">
    <w:abstractNumId w:val="1"/>
  </w:num>
  <w:num w:numId="6">
    <w:abstractNumId w:val="11"/>
  </w:num>
  <w:num w:numId="7">
    <w:abstractNumId w:val="8"/>
  </w:num>
  <w:num w:numId="8">
    <w:abstractNumId w:val="6"/>
  </w:num>
  <w:num w:numId="9">
    <w:abstractNumId w:val="5"/>
  </w:num>
  <w:num w:numId="10">
    <w:abstractNumId w:val="4"/>
  </w:num>
  <w:num w:numId="11">
    <w:abstractNumId w:val="13"/>
  </w:num>
  <w:num w:numId="12">
    <w:abstractNumId w:val="0"/>
  </w:num>
  <w:num w:numId="13">
    <w:abstractNumId w:val="7"/>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AC"/>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3EF4"/>
    <w:rsid w:val="00304ACA"/>
    <w:rsid w:val="00304F2A"/>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5DA5"/>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348"/>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0B41"/>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C02"/>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4FD0"/>
    <w:rsid w:val="00916333"/>
    <w:rsid w:val="00916D50"/>
    <w:rsid w:val="0091707B"/>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CAA"/>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668"/>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6446"/>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34"/>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E53"/>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AC"/>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character" w:styleId="Emphasis">
    <w:name w:val="Emphasis"/>
    <w:basedOn w:val="DefaultParagraphFont"/>
    <w:uiPriority w:val="20"/>
    <w:qFormat/>
    <w:rsid w:val="0086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641" TargetMode="External"/><Relationship Id="rId18" Type="http://schemas.openxmlformats.org/officeDocument/2006/relationships/hyperlink" Target="https://canlii.ca/t/jrx03" TargetMode="External"/><Relationship Id="rId26" Type="http://schemas.openxmlformats.org/officeDocument/2006/relationships/hyperlink" Target="https://www.canlii.org/fr/ca/cfpi/doc/2021/2021cf1385/2021cf1385.html" TargetMode="External"/><Relationship Id="rId39" Type="http://schemas.openxmlformats.org/officeDocument/2006/relationships/hyperlink" Target="https://www.canlii.org/fr/ca/comc/doc/2017/2017comc114/2017comc114.html" TargetMode="External"/><Relationship Id="rId21" Type="http://schemas.openxmlformats.org/officeDocument/2006/relationships/hyperlink" Target="https://canlii.ca/t/jj778" TargetMode="External"/><Relationship Id="rId34" Type="http://schemas.openxmlformats.org/officeDocument/2006/relationships/hyperlink" Target="https://www.canlii.org/en/ns/nssc/doc/2021/2021nssc79/2021nssc79.html?autocompleteStr=2021%20NSSC%2079&amp;autocompletePos=1" TargetMode="External"/><Relationship Id="rId42" Type="http://schemas.openxmlformats.org/officeDocument/2006/relationships/hyperlink" Target="https://canlii.ca/t/jlk7r" TargetMode="External"/><Relationship Id="rId47" Type="http://schemas.openxmlformats.org/officeDocument/2006/relationships/hyperlink" Target="https://www.canlii.org/en/bc/bcca/doc/2023/2023bcca53/2023bcca53.html" TargetMode="External"/><Relationship Id="rId50" Type="http://schemas.openxmlformats.org/officeDocument/2006/relationships/hyperlink" Target="https://canlii.ca/t/jhxvw" TargetMode="External"/><Relationship Id="rId55" Type="http://schemas.openxmlformats.org/officeDocument/2006/relationships/hyperlink" Target="https://www.canlii.org/en/bc/bcsc/doc/2021/2021bcsc1612/2021bcsc1612.html?autocompleteStr=Amacon%20Alaska&amp;autocompletePos=2"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572" TargetMode="External"/><Relationship Id="rId29" Type="http://schemas.openxmlformats.org/officeDocument/2006/relationships/hyperlink" Target="https://www.canlii.org/fr/qc/qcca/doc/2022/2022qcca1714/2022qcca17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40626" TargetMode="External"/><Relationship Id="rId24" Type="http://schemas.openxmlformats.org/officeDocument/2006/relationships/hyperlink" Target="https://www.canlii.org/en/ca/fct/doc/2021/2021fc1385/2021fc1385.html?autocompleteStr=2021%20fc%201385&amp;autocompletePos=1" TargetMode="External"/><Relationship Id="rId32" Type="http://schemas.openxmlformats.org/officeDocument/2006/relationships/hyperlink" Target="https://www.canlii.org/en/ns/nssc/doc/2021/2021nssc79/2021nssc79.html?autocompleteStr=2021%20NSSC%2079&amp;autocompletePos=1" TargetMode="External"/><Relationship Id="rId37" Type="http://schemas.openxmlformats.org/officeDocument/2006/relationships/hyperlink" Target="https://www.canlii.org/en/ca/fct/doc/2021/2021fc974/2021fc974.html" TargetMode="External"/><Relationship Id="rId40" Type="http://schemas.openxmlformats.org/officeDocument/2006/relationships/hyperlink" Target="https://www.canlii.org/fr/ca/cfpi/doc/2021/2021cf974/2021cf974.html" TargetMode="External"/><Relationship Id="rId45" Type="http://schemas.openxmlformats.org/officeDocument/2006/relationships/hyperlink" Target="https://canlii.ca/t/jtzqs" TargetMode="External"/><Relationship Id="rId53" Type="http://schemas.openxmlformats.org/officeDocument/2006/relationships/hyperlink" Target="https://canlii.ca/t/jt9dg" TargetMode="External"/><Relationship Id="rId58" Type="http://schemas.openxmlformats.org/officeDocument/2006/relationships/hyperlink" Target="https://www.canlii.org/en/bc/bcsc/doc/2021/2021bcsc1612/2021bcsc1612.html?autocompleteStr=Amacon%20Alaska&amp;autocompletePos=2"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0673" TargetMode="External"/><Relationship Id="rId23" Type="http://schemas.openxmlformats.org/officeDocument/2006/relationships/hyperlink" Target="https://canlii.ca/t/jj778" TargetMode="External"/><Relationship Id="rId28" Type="http://schemas.openxmlformats.org/officeDocument/2006/relationships/hyperlink" Target="https://www.canlii.org/fr/qc/qccs/doc/2021/2021qccs3043/2021qccs3043.html" TargetMode="External"/><Relationship Id="rId36" Type="http://schemas.openxmlformats.org/officeDocument/2006/relationships/hyperlink" Target="https://www.canlii.org/en/ca/tmob/doc/2017/2017tmob114/2017tmob114.html" TargetMode="External"/><Relationship Id="rId49" Type="http://schemas.openxmlformats.org/officeDocument/2006/relationships/hyperlink" Target="https://www.canlii.org/en/bc/bcca/doc/2023/2023bcca53/2023bcca53.html" TargetMode="External"/><Relationship Id="rId57" Type="http://schemas.openxmlformats.org/officeDocument/2006/relationships/hyperlink" Target="https://scc-csc.lexum.com/scc-csc/scc-csc/fr/item/14438/index.do" TargetMode="External"/><Relationship Id="rId61" Type="http://schemas.openxmlformats.org/officeDocument/2006/relationships/header" Target="header1.xml"/><Relationship Id="rId10" Type="http://schemas.openxmlformats.org/officeDocument/2006/relationships/hyperlink" Target="https://www.scc-csc.ca/case-dossier/info/sum-som-eng.aspx?cas=40658" TargetMode="External"/><Relationship Id="rId19" Type="http://schemas.openxmlformats.org/officeDocument/2006/relationships/hyperlink" Target="https://canlii.ca/t/jrx03" TargetMode="External"/><Relationship Id="rId31" Type="http://schemas.openxmlformats.org/officeDocument/2006/relationships/hyperlink" Target="https://www.canlii.org/fr/qc/qcca/doc/2022/2022qcca1714/2022qcca1714.html" TargetMode="External"/><Relationship Id="rId44" Type="http://schemas.openxmlformats.org/officeDocument/2006/relationships/hyperlink" Target="https://canlii.ca/t/jlk7r" TargetMode="External"/><Relationship Id="rId52" Type="http://schemas.openxmlformats.org/officeDocument/2006/relationships/hyperlink" Target="https://canlii.ca/t/jhxvw" TargetMode="External"/><Relationship Id="rId60" Type="http://schemas.openxmlformats.org/officeDocument/2006/relationships/hyperlink" Target="mailto:comments-commentaires@scc-csc.ca"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699" TargetMode="External"/><Relationship Id="rId14" Type="http://schemas.openxmlformats.org/officeDocument/2006/relationships/hyperlink" Target="https://www.scc-csc.ca/case-dossier/info/sum-som-eng.aspx?cas=40652" TargetMode="External"/><Relationship Id="rId22" Type="http://schemas.openxmlformats.org/officeDocument/2006/relationships/hyperlink" Target="https://canlii.ca/t/j4vt9" TargetMode="External"/><Relationship Id="rId27" Type="http://schemas.openxmlformats.org/officeDocument/2006/relationships/hyperlink" Target="https://www.canlii.org/en/ca/fca/doc/2023/2023fca15/2023fca15.html?autocompleteStr=2023%20FCA%2015&amp;autocompletePos=1" TargetMode="External"/><Relationship Id="rId30" Type="http://schemas.openxmlformats.org/officeDocument/2006/relationships/hyperlink" Target="https://www.canlii.org/fr/qc/qccs/doc/2021/2021qccs3043/2021qccs3043.html" TargetMode="External"/><Relationship Id="rId35" Type="http://schemas.openxmlformats.org/officeDocument/2006/relationships/hyperlink" Target="https://www.canlii.org/en/ns/nsca/doc/2022/2022nsca73/2022nsca73.html" TargetMode="External"/><Relationship Id="rId43" Type="http://schemas.openxmlformats.org/officeDocument/2006/relationships/hyperlink" Target="https://canlii.ca/t/jtzqs" TargetMode="External"/><Relationship Id="rId48" Type="http://schemas.openxmlformats.org/officeDocument/2006/relationships/hyperlink" Target="https://www.canlii.org/en/bc/bcsc/doc/2020/2020bcsc71/2020bcsc71.html" TargetMode="External"/><Relationship Id="rId56" Type="http://schemas.openxmlformats.org/officeDocument/2006/relationships/hyperlink" Target="https://www.canlii.org/en/bc/bcca/doc/2023/2023bcca34/2023bcca34.html?resultIndex=1" TargetMode="External"/><Relationship Id="rId64" Type="http://schemas.openxmlformats.org/officeDocument/2006/relationships/footer" Target="footer2.xml"/><Relationship Id="rId8" Type="http://schemas.openxmlformats.org/officeDocument/2006/relationships/hyperlink" Target="https://www.scc-csc.ca/case-dossier/info/sum-som-eng.aspx?cas=40640" TargetMode="External"/><Relationship Id="rId51" Type="http://schemas.openxmlformats.org/officeDocument/2006/relationships/hyperlink" Target="https://canlii.ca/t/jt9dg" TargetMode="External"/><Relationship Id="rId3" Type="http://schemas.openxmlformats.org/officeDocument/2006/relationships/styles" Target="styles.xml"/><Relationship Id="rId12" Type="http://schemas.openxmlformats.org/officeDocument/2006/relationships/hyperlink" Target="https://www.scc-csc.ca/case-dossier/info/sum-som-eng.aspx?cas=40603" TargetMode="External"/><Relationship Id="rId17" Type="http://schemas.openxmlformats.org/officeDocument/2006/relationships/hyperlink" Target="https://www.scc-csc.ca/case-dossier/info/sum-som-eng.aspx?cas=40650" TargetMode="External"/><Relationship Id="rId25" Type="http://schemas.openxmlformats.org/officeDocument/2006/relationships/hyperlink" Target="https://www.canlii.org/en/ca/fca/doc/2023/2023fca15/2023fca15.html?autocompleteStr=2023%20FCA%2015&amp;autocompletePos=1" TargetMode="External"/><Relationship Id="rId33" Type="http://schemas.openxmlformats.org/officeDocument/2006/relationships/hyperlink" Target="https://www.canlii.org/en/ns/nsca/doc/2022/2022nsca73/2022nsca73.html" TargetMode="External"/><Relationship Id="rId38" Type="http://schemas.openxmlformats.org/officeDocument/2006/relationships/hyperlink" Target="https://www.canlii.org/en/ca/fca/doc/2023/2023fca4/2023fca4.html?autocompleteStr=A-276-21&amp;autocompletePos=1" TargetMode="External"/><Relationship Id="rId46" Type="http://schemas.openxmlformats.org/officeDocument/2006/relationships/hyperlink" Target="https://www.canlii.org/en/bc/bcsc/doc/2020/2020bcsc71/2020bcsc71.html" TargetMode="External"/><Relationship Id="rId59" Type="http://schemas.openxmlformats.org/officeDocument/2006/relationships/hyperlink" Target="https://www.canlii.org/en/bc/bcca/doc/2023/2023bcca34/2023bcca34.html?resultIndex=1" TargetMode="External"/><Relationship Id="rId67" Type="http://schemas.openxmlformats.org/officeDocument/2006/relationships/fontTable" Target="fontTable.xml"/><Relationship Id="rId20" Type="http://schemas.openxmlformats.org/officeDocument/2006/relationships/hyperlink" Target="https://canlii.ca/t/j4vt9" TargetMode="External"/><Relationship Id="rId41" Type="http://schemas.openxmlformats.org/officeDocument/2006/relationships/hyperlink" Target="https://www.canlii.org/en/ca/fca/doc/2023/2023fca4/2023fca4.html?autocompleteStr=A-276-21&amp;autocompletePos=1" TargetMode="External"/><Relationship Id="rId54" Type="http://schemas.openxmlformats.org/officeDocument/2006/relationships/hyperlink" Target="https://scc-csc.lexum.com/scc-csc/scc-csc/en/item/14438/index.do" TargetMode="External"/><Relationship Id="rId6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p04b\LegalData$\Communications\LEXUM\NewsRelease\TEMPLATES%20-%20News%20Releases\.2a%20-%20JUDGMENTS%20TO%20BE%20RENDERED%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1EA7-444A-43DA-8DC8-55B76212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 - JUDGMENTS TO BE RENDERED IN LEAVE APPLICATIONS.dotx</Template>
  <TotalTime>0</TotalTime>
  <Pages>15</Pages>
  <Words>7248</Words>
  <Characters>41315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48467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2023-08-01T13:26:00Z</dcterms:created>
  <dcterms:modified xsi:type="dcterms:W3CDTF">2023-09-01T12:28:00Z</dcterms:modified>
</cp:coreProperties>
</file>