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CB673E" w:rsidRDefault="002A192B" w:rsidP="002A192B">
      <w:pPr>
        <w:pStyle w:val="Header"/>
        <w:jc w:val="center"/>
        <w:rPr>
          <w:b/>
          <w:sz w:val="32"/>
        </w:rPr>
      </w:pPr>
      <w:r w:rsidRPr="00CB673E">
        <w:rPr>
          <w:b/>
          <w:sz w:val="32"/>
        </w:rPr>
        <w:t>Supreme Court of Canada / Cour suprême du Canada</w:t>
      </w:r>
    </w:p>
    <w:p w:rsidR="002A192B" w:rsidRPr="00CB673E" w:rsidRDefault="002A192B" w:rsidP="002A192B">
      <w:pPr>
        <w:widowControl w:val="0"/>
        <w:rPr>
          <w:i/>
        </w:rPr>
      </w:pPr>
    </w:p>
    <w:p w:rsidR="002A192B" w:rsidRPr="00CB673E" w:rsidRDefault="002A192B" w:rsidP="002A192B">
      <w:pPr>
        <w:widowControl w:val="0"/>
        <w:rPr>
          <w:i/>
        </w:rPr>
      </w:pPr>
    </w:p>
    <w:p w:rsidR="001C4415" w:rsidRPr="00CB673E" w:rsidRDefault="001C4415" w:rsidP="001C4415">
      <w:pPr>
        <w:widowControl w:val="0"/>
        <w:rPr>
          <w:i/>
          <w:sz w:val="20"/>
        </w:rPr>
      </w:pPr>
      <w:r w:rsidRPr="00CB673E">
        <w:rPr>
          <w:i/>
          <w:sz w:val="20"/>
        </w:rPr>
        <w:t>(</w:t>
      </w:r>
      <w:r w:rsidR="003C50BF" w:rsidRPr="00CB673E">
        <w:rPr>
          <w:i/>
          <w:sz w:val="20"/>
        </w:rPr>
        <w:t>Le</w:t>
      </w:r>
      <w:r w:rsidRPr="00CB673E">
        <w:rPr>
          <w:i/>
          <w:sz w:val="20"/>
        </w:rPr>
        <w:t xml:space="preserve"> français suit)</w:t>
      </w:r>
    </w:p>
    <w:p w:rsidR="001C4415" w:rsidRPr="00CB673E" w:rsidRDefault="001C4415" w:rsidP="001C4415">
      <w:pPr>
        <w:widowControl w:val="0"/>
      </w:pPr>
    </w:p>
    <w:p w:rsidR="001C4415" w:rsidRPr="00CB673E" w:rsidRDefault="000347C1" w:rsidP="00214729">
      <w:pPr>
        <w:widowControl w:val="0"/>
        <w:jc w:val="center"/>
        <w:rPr>
          <w:b/>
        </w:rPr>
      </w:pPr>
      <w:r w:rsidRPr="00CB673E">
        <w:fldChar w:fldCharType="begin"/>
      </w:r>
      <w:r w:rsidR="00FA7412" w:rsidRPr="00CB673E">
        <w:instrText xml:space="preserve"> SEQ CHAPTER \h \r 1</w:instrText>
      </w:r>
      <w:r w:rsidRPr="00CB673E">
        <w:fldChar w:fldCharType="end"/>
      </w:r>
      <w:r w:rsidR="00455BB9" w:rsidRPr="00CB673E">
        <w:rPr>
          <w:b/>
        </w:rPr>
        <w:t>JUDGMENT</w:t>
      </w:r>
      <w:r w:rsidR="00422676" w:rsidRPr="00CB673E">
        <w:rPr>
          <w:b/>
        </w:rPr>
        <w:t>S</w:t>
      </w:r>
      <w:r w:rsidR="00FA7412" w:rsidRPr="00CB673E">
        <w:rPr>
          <w:b/>
        </w:rPr>
        <w:t xml:space="preserve"> TO BE RENDERED </w:t>
      </w:r>
      <w:r w:rsidR="00E43F22" w:rsidRPr="00CB673E">
        <w:rPr>
          <w:b/>
        </w:rPr>
        <w:t>O</w:t>
      </w:r>
      <w:r w:rsidR="00FA7412" w:rsidRPr="00CB673E">
        <w:rPr>
          <w:b/>
        </w:rPr>
        <w:t>N APPEA</w:t>
      </w:r>
      <w:r w:rsidR="00CC2799" w:rsidRPr="00CB673E">
        <w:rPr>
          <w:b/>
        </w:rPr>
        <w:t>L</w:t>
      </w:r>
      <w:r w:rsidR="00422676" w:rsidRPr="00CB673E">
        <w:rPr>
          <w:b/>
        </w:rPr>
        <w:t>S</w:t>
      </w:r>
    </w:p>
    <w:p w:rsidR="005A7C1B" w:rsidRPr="00CB673E" w:rsidRDefault="005A7C1B" w:rsidP="005A7C1B">
      <w:pPr>
        <w:widowControl w:val="0"/>
      </w:pPr>
    </w:p>
    <w:p w:rsidR="00EC79B0" w:rsidRPr="00CB673E" w:rsidRDefault="004A4BC7" w:rsidP="00EC79B0">
      <w:pPr>
        <w:widowControl w:val="0"/>
      </w:pPr>
      <w:r w:rsidRPr="00CB673E">
        <w:rPr>
          <w:b/>
        </w:rPr>
        <w:t>September</w:t>
      </w:r>
      <w:r w:rsidR="00C86395" w:rsidRPr="00CB673E">
        <w:rPr>
          <w:b/>
        </w:rPr>
        <w:t xml:space="preserve"> </w:t>
      </w:r>
      <w:r w:rsidR="002C55FE" w:rsidRPr="00CB673E">
        <w:rPr>
          <w:b/>
        </w:rPr>
        <w:t>2</w:t>
      </w:r>
      <w:r w:rsidR="00CB673E" w:rsidRPr="00CB673E">
        <w:rPr>
          <w:b/>
        </w:rPr>
        <w:t>8</w:t>
      </w:r>
      <w:r w:rsidR="00EC79B0" w:rsidRPr="00CB673E">
        <w:rPr>
          <w:b/>
        </w:rPr>
        <w:t>, 2</w:t>
      </w:r>
      <w:r w:rsidR="00E6600C" w:rsidRPr="00CB673E">
        <w:rPr>
          <w:b/>
        </w:rPr>
        <w:t>0</w:t>
      </w:r>
      <w:r w:rsidR="009544E9" w:rsidRPr="00CB673E">
        <w:rPr>
          <w:b/>
        </w:rPr>
        <w:t>2</w:t>
      </w:r>
      <w:r w:rsidR="002C55FE" w:rsidRPr="00CB673E">
        <w:rPr>
          <w:b/>
        </w:rPr>
        <w:t>3</w:t>
      </w:r>
    </w:p>
    <w:p w:rsidR="00EC79B0" w:rsidRPr="00CB673E" w:rsidRDefault="00EC79B0" w:rsidP="00EC79B0">
      <w:pPr>
        <w:widowControl w:val="0"/>
      </w:pPr>
    </w:p>
    <w:p w:rsidR="00EC79B0" w:rsidRPr="00CB673E" w:rsidRDefault="00EC79B0" w:rsidP="00EC79B0">
      <w:pPr>
        <w:widowControl w:val="0"/>
      </w:pPr>
      <w:r w:rsidRPr="00CB673E">
        <w:rPr>
          <w:b/>
        </w:rPr>
        <w:t>OTTAWA</w:t>
      </w:r>
      <w:r w:rsidRPr="00CB673E">
        <w:t xml:space="preserve"> – </w:t>
      </w:r>
      <w:r w:rsidR="0095505F" w:rsidRPr="00CB673E">
        <w:t xml:space="preserve">The Supreme Court of Canada will deliver its judgment on the following appeals at 9:45 a.m. ET on Friday, </w:t>
      </w:r>
      <w:r w:rsidR="004A4BC7" w:rsidRPr="00CB673E">
        <w:t>October</w:t>
      </w:r>
      <w:r w:rsidR="0095505F" w:rsidRPr="00CB673E">
        <w:t xml:space="preserve"> </w:t>
      </w:r>
      <w:r w:rsidR="004A4BC7" w:rsidRPr="00CB673E">
        <w:t>6</w:t>
      </w:r>
      <w:r w:rsidR="0095505F" w:rsidRPr="00CB673E">
        <w:t>, 2023.</w:t>
      </w:r>
    </w:p>
    <w:p w:rsidR="001F76DD" w:rsidRPr="00CB673E" w:rsidRDefault="001F76DD" w:rsidP="001C4415">
      <w:pPr>
        <w:widowControl w:val="0"/>
        <w:rPr>
          <w:szCs w:val="24"/>
        </w:rPr>
      </w:pPr>
    </w:p>
    <w:p w:rsidR="00A97E61" w:rsidRPr="00CB673E" w:rsidRDefault="00A97E61" w:rsidP="001C4415">
      <w:pPr>
        <w:widowControl w:val="0"/>
        <w:rPr>
          <w:szCs w:val="24"/>
        </w:rPr>
      </w:pPr>
    </w:p>
    <w:p w:rsidR="00A63AD0" w:rsidRPr="00CB673E" w:rsidRDefault="00A63AD0" w:rsidP="00A63AD0">
      <w:pPr>
        <w:jc w:val="both"/>
        <w:rPr>
          <w:szCs w:val="24"/>
        </w:rPr>
      </w:pPr>
      <w:r w:rsidRPr="00CB673E">
        <w:rPr>
          <w:i/>
          <w:szCs w:val="24"/>
          <w:lang w:val="fr-CA"/>
        </w:rPr>
        <w:t xml:space="preserve">La Presse inc. v. Frédérick Silva, et al. </w:t>
      </w:r>
      <w:r w:rsidRPr="00CB673E">
        <w:rPr>
          <w:szCs w:val="24"/>
        </w:rPr>
        <w:t>(Que.) (</w:t>
      </w:r>
      <w:hyperlink r:id="rId7" w:history="1">
        <w:r w:rsidRPr="00CB673E">
          <w:rPr>
            <w:rStyle w:val="Hyperlink"/>
            <w:szCs w:val="24"/>
          </w:rPr>
          <w:t>40175</w:t>
        </w:r>
      </w:hyperlink>
      <w:r w:rsidRPr="00CB673E">
        <w:rPr>
          <w:szCs w:val="24"/>
        </w:rPr>
        <w:t>)</w:t>
      </w:r>
    </w:p>
    <w:p w:rsidR="00A63AD0" w:rsidRPr="00CB673E" w:rsidRDefault="00A63AD0" w:rsidP="00A63AD0">
      <w:pPr>
        <w:jc w:val="both"/>
        <w:rPr>
          <w:sz w:val="20"/>
        </w:rPr>
      </w:pPr>
    </w:p>
    <w:p w:rsidR="00A63AD0" w:rsidRPr="00CB673E" w:rsidRDefault="00A63AD0" w:rsidP="00A63AD0">
      <w:pPr>
        <w:jc w:val="both"/>
        <w:rPr>
          <w:szCs w:val="24"/>
        </w:rPr>
      </w:pPr>
      <w:r w:rsidRPr="00CB673E">
        <w:rPr>
          <w:i/>
          <w:szCs w:val="24"/>
        </w:rPr>
        <w:t xml:space="preserve">Canadian Broadcasting Corporation, et al. v. Aydin Coban, et al. </w:t>
      </w:r>
      <w:r w:rsidRPr="00CB673E">
        <w:rPr>
          <w:szCs w:val="24"/>
        </w:rPr>
        <w:t>(B.C.) (</w:t>
      </w:r>
      <w:hyperlink r:id="rId8" w:history="1">
        <w:r w:rsidRPr="00CB673E">
          <w:rPr>
            <w:rStyle w:val="Hyperlink"/>
            <w:szCs w:val="24"/>
          </w:rPr>
          <w:t>40223</w:t>
        </w:r>
      </w:hyperlink>
      <w:r w:rsidRPr="00CB673E">
        <w:rPr>
          <w:szCs w:val="24"/>
        </w:rPr>
        <w:t>)</w:t>
      </w:r>
    </w:p>
    <w:p w:rsidR="00A63AD0" w:rsidRPr="00CB673E" w:rsidRDefault="00A63AD0" w:rsidP="00A63AD0">
      <w:pPr>
        <w:jc w:val="both"/>
        <w:rPr>
          <w:sz w:val="20"/>
        </w:rPr>
      </w:pPr>
    </w:p>
    <w:p w:rsidR="00A63AD0" w:rsidRPr="00CB673E" w:rsidRDefault="00A63AD0" w:rsidP="00A63AD0">
      <w:pPr>
        <w:jc w:val="both"/>
        <w:rPr>
          <w:sz w:val="20"/>
        </w:rPr>
      </w:pPr>
    </w:p>
    <w:p w:rsidR="00A63AD0" w:rsidRPr="00CB673E" w:rsidRDefault="00A63AD0" w:rsidP="00A63AD0">
      <w:pPr>
        <w:pStyle w:val="SCCLsocParty"/>
        <w:rPr>
          <w:b/>
          <w:i w:val="0"/>
          <w:sz w:val="20"/>
          <w:szCs w:val="20"/>
          <w:lang w:val="en-CA"/>
        </w:rPr>
      </w:pPr>
      <w:r w:rsidRPr="00CB673E">
        <w:rPr>
          <w:rStyle w:val="SCCFileNumberChar"/>
          <w:i w:val="0"/>
          <w:sz w:val="20"/>
          <w:szCs w:val="20"/>
        </w:rPr>
        <w:t>40175</w:t>
      </w:r>
      <w:r w:rsidRPr="00CB673E">
        <w:rPr>
          <w:rStyle w:val="SCCFileNumberChar"/>
          <w:i w:val="0"/>
          <w:sz w:val="20"/>
          <w:szCs w:val="20"/>
        </w:rPr>
        <w:tab/>
      </w:r>
      <w:r w:rsidRPr="00CB673E">
        <w:rPr>
          <w:b/>
          <w:sz w:val="20"/>
          <w:szCs w:val="20"/>
          <w:lang w:val="en-CA"/>
        </w:rPr>
        <w:t>La Presse inc. v. Frédérick Silva and His Majesty the King</w:t>
      </w:r>
    </w:p>
    <w:p w:rsidR="00A63AD0" w:rsidRPr="00CB673E" w:rsidRDefault="00A63AD0" w:rsidP="00A63AD0">
      <w:pPr>
        <w:ind w:left="360" w:firstLine="360"/>
        <w:jc w:val="both"/>
        <w:rPr>
          <w:sz w:val="20"/>
          <w:lang w:val="en-CA"/>
        </w:rPr>
      </w:pPr>
      <w:r w:rsidRPr="00CB673E">
        <w:rPr>
          <w:sz w:val="20"/>
          <w:lang w:val="en-CA"/>
        </w:rPr>
        <w:t>(Que.) (Civil) (By Leave)</w:t>
      </w:r>
    </w:p>
    <w:p w:rsidR="00A63AD0" w:rsidRPr="00CB673E" w:rsidRDefault="00A63AD0" w:rsidP="00A63AD0">
      <w:pPr>
        <w:pStyle w:val="SCCBanSummary"/>
        <w:rPr>
          <w:sz w:val="20"/>
          <w:szCs w:val="20"/>
        </w:rPr>
      </w:pPr>
    </w:p>
    <w:p w:rsidR="00A63AD0" w:rsidRPr="00CB673E" w:rsidRDefault="00A63AD0" w:rsidP="00A63AD0">
      <w:pPr>
        <w:pStyle w:val="SCCBanSummary"/>
        <w:rPr>
          <w:sz w:val="20"/>
          <w:szCs w:val="20"/>
        </w:rPr>
      </w:pPr>
      <w:r w:rsidRPr="00CB673E">
        <w:rPr>
          <w:sz w:val="20"/>
          <w:szCs w:val="20"/>
        </w:rPr>
        <w:t>(Certain information not available to the public)</w:t>
      </w:r>
    </w:p>
    <w:p w:rsidR="00A63AD0" w:rsidRPr="00CB673E" w:rsidRDefault="00A63AD0" w:rsidP="00A63AD0">
      <w:pPr>
        <w:jc w:val="both"/>
        <w:rPr>
          <w:sz w:val="20"/>
          <w:lang w:val="en-CA"/>
        </w:rPr>
      </w:pPr>
    </w:p>
    <w:p w:rsidR="00A63AD0" w:rsidRPr="00CB673E" w:rsidRDefault="00A63AD0" w:rsidP="00A63AD0">
      <w:pPr>
        <w:jc w:val="both"/>
        <w:rPr>
          <w:sz w:val="20"/>
        </w:rPr>
      </w:pPr>
      <w:r w:rsidRPr="00CB673E">
        <w:rPr>
          <w:sz w:val="20"/>
          <w:lang w:val="en-CA"/>
        </w:rPr>
        <w:t xml:space="preserve">Criminal law ⸺ Publication ban ⸺ Orders prohibiting publication, broadcasting and transmission in relation to judgments on </w:t>
      </w:r>
      <w:r w:rsidRPr="00CB673E">
        <w:rPr>
          <w:i/>
          <w:sz w:val="20"/>
          <w:lang w:val="en-CA"/>
        </w:rPr>
        <w:t>voir dire</w:t>
      </w:r>
      <w:r w:rsidRPr="00CB673E">
        <w:rPr>
          <w:sz w:val="20"/>
          <w:lang w:val="en-CA"/>
        </w:rPr>
        <w:t xml:space="preserve"> ⸺ Whether s. 648 of </w:t>
      </w:r>
      <w:r w:rsidRPr="00CB673E">
        <w:rPr>
          <w:i/>
          <w:sz w:val="20"/>
          <w:lang w:val="en-CA"/>
        </w:rPr>
        <w:t>Criminal Code</w:t>
      </w:r>
      <w:r w:rsidRPr="00CB673E">
        <w:rPr>
          <w:sz w:val="20"/>
          <w:lang w:val="en-CA"/>
        </w:rPr>
        <w:t xml:space="preserve"> applies prior to jury selection ⸺ Whether Superior Court erred in applying </w:t>
      </w:r>
      <w:r w:rsidRPr="00CB673E">
        <w:rPr>
          <w:i/>
          <w:sz w:val="20"/>
          <w:lang w:val="en-CA"/>
        </w:rPr>
        <w:t>Dagenais/Mentuck</w:t>
      </w:r>
      <w:r w:rsidRPr="00CB673E">
        <w:rPr>
          <w:sz w:val="20"/>
          <w:lang w:val="en-CA"/>
        </w:rPr>
        <w:t xml:space="preserve"> test ⸺ </w:t>
      </w:r>
      <w:r w:rsidRPr="00CB673E">
        <w:rPr>
          <w:i/>
          <w:sz w:val="20"/>
          <w:lang w:val="en-CA"/>
        </w:rPr>
        <w:t>Criminal Code,</w:t>
      </w:r>
      <w:r w:rsidRPr="00CB673E">
        <w:rPr>
          <w:sz w:val="20"/>
          <w:lang w:val="en-CA"/>
        </w:rPr>
        <w:t xml:space="preserve"> R.S.C. 1985, c. C</w:t>
      </w:r>
      <w:r w:rsidRPr="00CB673E">
        <w:rPr>
          <w:sz w:val="20"/>
          <w:lang w:val="en-CA"/>
        </w:rPr>
        <w:noBreakHyphen/>
        <w:t>46, s. 648.</w:t>
      </w:r>
    </w:p>
    <w:p w:rsidR="00A63AD0" w:rsidRPr="00CB673E" w:rsidRDefault="00A63AD0" w:rsidP="00A63AD0">
      <w:pPr>
        <w:jc w:val="both"/>
        <w:rPr>
          <w:sz w:val="20"/>
        </w:rPr>
      </w:pPr>
    </w:p>
    <w:p w:rsidR="00A63AD0" w:rsidRPr="00CB673E" w:rsidRDefault="00A63AD0" w:rsidP="00A63AD0">
      <w:pPr>
        <w:jc w:val="both"/>
        <w:rPr>
          <w:sz w:val="20"/>
        </w:rPr>
      </w:pPr>
      <w:r w:rsidRPr="00CB673E">
        <w:rPr>
          <w:sz w:val="20"/>
          <w:lang w:val="en-CA"/>
        </w:rPr>
        <w:t xml:space="preserve">The respondent Frédérick Silva was charged with four counts of murder and one count of attempted murder based on incidents that occurred on February 21, 2017, and December 20, 2018. On November 22, 2019, the prosecution laid five charges by direct indictment. On August 2 and October 15, 2021, respectively, the Superior Court dismissed Mr. Silva’s motion for a stay of proceedings and </w:t>
      </w:r>
      <w:r w:rsidRPr="00CB673E">
        <w:rPr>
          <w:i/>
          <w:sz w:val="20"/>
          <w:lang w:val="en-CA"/>
        </w:rPr>
        <w:t>Garofoli</w:t>
      </w:r>
      <w:r w:rsidRPr="00CB673E">
        <w:rPr>
          <w:sz w:val="20"/>
          <w:lang w:val="en-CA"/>
        </w:rPr>
        <w:t xml:space="preserve"> motion. It also made orders under s. 648(1) of the </w:t>
      </w:r>
      <w:r w:rsidRPr="00CB673E">
        <w:rPr>
          <w:i/>
          <w:sz w:val="20"/>
          <w:lang w:val="en-CA"/>
        </w:rPr>
        <w:t>Criminal Code</w:t>
      </w:r>
      <w:r w:rsidRPr="00CB673E">
        <w:rPr>
          <w:sz w:val="20"/>
          <w:lang w:val="en-CA"/>
        </w:rPr>
        <w:t>, R.S.C. 1985, c. C</w:t>
      </w:r>
      <w:r w:rsidRPr="00CB673E">
        <w:rPr>
          <w:sz w:val="20"/>
          <w:lang w:val="en-CA"/>
        </w:rPr>
        <w:noBreakHyphen/>
        <w:t>46 (</w:t>
      </w:r>
      <w:r w:rsidRPr="00CB673E">
        <w:rPr>
          <w:i/>
          <w:sz w:val="20"/>
          <w:lang w:val="en-CA"/>
        </w:rPr>
        <w:t>Cr. C.</w:t>
      </w:r>
      <w:r w:rsidRPr="00CB673E">
        <w:rPr>
          <w:sz w:val="20"/>
          <w:lang w:val="en-CA"/>
        </w:rPr>
        <w:t xml:space="preserve">), prohibiting publication, broadcasting and transmission in relation to the two judgments. Further to those judgments, and by consent of the parties, Mr. Silva was tried by a judge alone, without a jury, on four of the five counts. On November 16, 2021, he formally recognized that the prosecution had discharged its burden on each essential element of the four offences through a </w:t>
      </w:r>
      <w:r w:rsidRPr="00CB673E">
        <w:rPr>
          <w:i/>
          <w:sz w:val="20"/>
          <w:lang w:val="en-CA"/>
        </w:rPr>
        <w:t>nolo contendere</w:t>
      </w:r>
      <w:r w:rsidRPr="00CB673E">
        <w:rPr>
          <w:sz w:val="20"/>
          <w:lang w:val="en-CA"/>
        </w:rPr>
        <w:t xml:space="preserve"> proceeding. On January 27, 2022, Mr. Silva was convicted on the four counts. The parties agreed that the last count, which was for second degree murder, would be separated from the indictment and that Mr. Silva would have a trial by judge and jury on that count in May 2022. Before the trial began, La Presse brought a motion to lift the orders prohibiting publication, broadcasting and transmission in relation to the two judgments. On March 11, 2022, the Superior Court dismissed the motion. On May 6, 2022, Mr. Silva filed a </w:t>
      </w:r>
      <w:r w:rsidRPr="00CB673E">
        <w:rPr>
          <w:i/>
          <w:sz w:val="20"/>
          <w:lang w:val="en-CA"/>
        </w:rPr>
        <w:t>nolo contendere</w:t>
      </w:r>
      <w:r w:rsidRPr="00CB673E">
        <w:rPr>
          <w:sz w:val="20"/>
          <w:lang w:val="en-CA"/>
        </w:rPr>
        <w:t xml:space="preserve"> proceeding on the last count, leading to the cancellation of the jury trial.</w:t>
      </w:r>
    </w:p>
    <w:p w:rsidR="00A63AD0" w:rsidRPr="00CB673E" w:rsidRDefault="00A63AD0" w:rsidP="00A63AD0">
      <w:pPr>
        <w:jc w:val="both"/>
        <w:rPr>
          <w:sz w:val="20"/>
        </w:rPr>
      </w:pPr>
    </w:p>
    <w:p w:rsidR="00A63AD0" w:rsidRPr="00CB673E" w:rsidRDefault="00CB673E" w:rsidP="00A63AD0">
      <w:pPr>
        <w:jc w:val="both"/>
        <w:rPr>
          <w:sz w:val="20"/>
        </w:rPr>
      </w:pPr>
      <w:r w:rsidRPr="00CB673E">
        <w:rPr>
          <w:sz w:val="20"/>
        </w:rPr>
        <w:pict>
          <v:rect id="_x0000_i1025" style="width:2in;height:1pt" o:hrpct="0" o:hralign="center" o:hrstd="t" o:hrnoshade="t" o:hr="t" fillcolor="black [3213]" stroked="f"/>
        </w:pict>
      </w:r>
    </w:p>
    <w:p w:rsidR="00A63AD0" w:rsidRPr="00CB673E" w:rsidRDefault="00A63AD0" w:rsidP="00A63AD0">
      <w:pPr>
        <w:jc w:val="both"/>
        <w:rPr>
          <w:sz w:val="20"/>
          <w:lang w:val="fr-CA"/>
        </w:rPr>
      </w:pPr>
    </w:p>
    <w:p w:rsidR="00A63AD0" w:rsidRPr="00CB673E" w:rsidRDefault="00A63AD0" w:rsidP="00A63AD0">
      <w:pPr>
        <w:widowControl w:val="0"/>
        <w:ind w:left="709" w:hanging="709"/>
        <w:jc w:val="both"/>
        <w:rPr>
          <w:b/>
          <w:i/>
          <w:sz w:val="20"/>
          <w:lang w:val="en-CA"/>
        </w:rPr>
      </w:pPr>
      <w:r w:rsidRPr="00CB673E">
        <w:rPr>
          <w:b/>
          <w:sz w:val="20"/>
          <w:lang w:val="en-CA"/>
        </w:rPr>
        <w:fldChar w:fldCharType="begin"/>
      </w:r>
      <w:r w:rsidRPr="00CB673E">
        <w:rPr>
          <w:b/>
          <w:sz w:val="20"/>
        </w:rPr>
        <w:instrText xml:space="preserve"> SEQ CHAPTER \h \r 1</w:instrText>
      </w:r>
      <w:r w:rsidRPr="00CB673E">
        <w:rPr>
          <w:b/>
          <w:sz w:val="20"/>
        </w:rPr>
        <w:fldChar w:fldCharType="end"/>
      </w:r>
      <w:r w:rsidRPr="00CB673E">
        <w:rPr>
          <w:b/>
          <w:sz w:val="20"/>
          <w:lang w:val="en-CA"/>
        </w:rPr>
        <w:t>40223</w:t>
      </w:r>
      <w:r w:rsidRPr="00CB673E">
        <w:rPr>
          <w:sz w:val="20"/>
          <w:lang w:val="en-CA"/>
        </w:rPr>
        <w:tab/>
      </w:r>
      <w:r w:rsidRPr="00CB673E">
        <w:rPr>
          <w:b/>
          <w:i/>
          <w:sz w:val="20"/>
        </w:rPr>
        <w:t>Canadian Broadcasting Corporation, Global News (a division of Corus Television Limited Partnership), Postmedia Network Inc., CTV News (a division of Bell Media Inc.), Glacier Media Inc., CityNews (a division of Rogers Media Inc.), Globe and Mail Inc., Torstar Corporation v. Aydin Coban, His Majesty the King</w:t>
      </w:r>
    </w:p>
    <w:p w:rsidR="00A63AD0" w:rsidRPr="00CB673E" w:rsidRDefault="00A63AD0" w:rsidP="00A63AD0">
      <w:pPr>
        <w:widowControl w:val="0"/>
        <w:tabs>
          <w:tab w:val="left" w:pos="720"/>
        </w:tabs>
        <w:ind w:left="1440" w:hanging="1440"/>
        <w:jc w:val="both"/>
        <w:rPr>
          <w:b/>
          <w:sz w:val="20"/>
        </w:rPr>
      </w:pPr>
      <w:r w:rsidRPr="00CB673E">
        <w:rPr>
          <w:sz w:val="20"/>
        </w:rPr>
        <w:tab/>
        <w:t>(B.C.) (Criminal) (By Leave)</w:t>
      </w:r>
      <w:bookmarkStart w:id="0" w:name="4"/>
      <w:bookmarkEnd w:id="0"/>
    </w:p>
    <w:p w:rsidR="00A63AD0" w:rsidRPr="00CB673E" w:rsidRDefault="00A63AD0" w:rsidP="00A63AD0">
      <w:pPr>
        <w:widowControl w:val="0"/>
        <w:ind w:left="1440" w:hanging="1440"/>
        <w:jc w:val="both"/>
        <w:rPr>
          <w:sz w:val="20"/>
          <w:lang w:val="en-CA"/>
        </w:rPr>
      </w:pPr>
    </w:p>
    <w:p w:rsidR="00A63AD0" w:rsidRPr="00CB673E" w:rsidRDefault="00A63AD0" w:rsidP="00A63AD0">
      <w:pPr>
        <w:pStyle w:val="SCCLsocParty"/>
        <w:rPr>
          <w:i w:val="0"/>
          <w:sz w:val="20"/>
          <w:szCs w:val="20"/>
          <w:lang w:val="en-US"/>
        </w:rPr>
      </w:pPr>
      <w:r w:rsidRPr="00CB673E">
        <w:rPr>
          <w:i w:val="0"/>
          <w:sz w:val="20"/>
          <w:szCs w:val="20"/>
          <w:lang w:val="en-US"/>
        </w:rPr>
        <w:t>(</w:t>
      </w:r>
      <w:r w:rsidRPr="00CB673E">
        <w:rPr>
          <w:i w:val="0"/>
          <w:smallCaps/>
          <w:sz w:val="20"/>
          <w:szCs w:val="20"/>
          <w:lang w:val="en-US"/>
        </w:rPr>
        <w:t>Publication Ban in Case</w:t>
      </w:r>
      <w:r w:rsidRPr="00CB673E">
        <w:rPr>
          <w:i w:val="0"/>
          <w:sz w:val="20"/>
          <w:szCs w:val="20"/>
          <w:lang w:val="en-US"/>
        </w:rPr>
        <w:t>)</w:t>
      </w:r>
    </w:p>
    <w:p w:rsidR="00A63AD0" w:rsidRPr="00CB673E" w:rsidRDefault="00A63AD0" w:rsidP="00A63AD0">
      <w:pPr>
        <w:widowControl w:val="0"/>
        <w:jc w:val="both"/>
        <w:rPr>
          <w:sz w:val="20"/>
          <w:lang w:val="en-CA"/>
        </w:rPr>
      </w:pPr>
    </w:p>
    <w:p w:rsidR="00A63AD0" w:rsidRPr="00CB673E" w:rsidRDefault="00A63AD0" w:rsidP="00A63AD0">
      <w:pPr>
        <w:jc w:val="both"/>
        <w:rPr>
          <w:sz w:val="20"/>
        </w:rPr>
      </w:pPr>
      <w:r w:rsidRPr="00CB673E">
        <w:rPr>
          <w:sz w:val="20"/>
        </w:rPr>
        <w:t xml:space="preserve">Criminal law — Publication bans — </w:t>
      </w:r>
      <w:proofErr w:type="gramStart"/>
      <w:r w:rsidRPr="00CB673E">
        <w:rPr>
          <w:sz w:val="20"/>
        </w:rPr>
        <w:t>Whether</w:t>
      </w:r>
      <w:proofErr w:type="gramEnd"/>
      <w:r w:rsidRPr="00CB673E">
        <w:rPr>
          <w:sz w:val="20"/>
        </w:rPr>
        <w:t xml:space="preserve"> a publication ban pursuant to s. 648 of the </w:t>
      </w:r>
      <w:r w:rsidRPr="00CB673E">
        <w:rPr>
          <w:i/>
          <w:sz w:val="20"/>
        </w:rPr>
        <w:t>Criminal Code</w:t>
      </w:r>
      <w:r w:rsidRPr="00CB673E">
        <w:rPr>
          <w:sz w:val="20"/>
        </w:rPr>
        <w:t xml:space="preserve"> applies to proceedings before a jury is empaneled?</w:t>
      </w:r>
    </w:p>
    <w:p w:rsidR="00A63AD0" w:rsidRPr="00CB673E" w:rsidRDefault="00A63AD0" w:rsidP="00A63AD0">
      <w:pPr>
        <w:widowControl w:val="0"/>
        <w:jc w:val="both"/>
        <w:rPr>
          <w:sz w:val="20"/>
          <w:lang w:val="en-CA"/>
        </w:rPr>
      </w:pPr>
    </w:p>
    <w:p w:rsidR="00A63AD0" w:rsidRPr="00CB673E" w:rsidRDefault="00A63AD0" w:rsidP="00A63AD0">
      <w:pPr>
        <w:widowControl w:val="0"/>
        <w:kinsoku w:val="0"/>
        <w:overflowPunct w:val="0"/>
        <w:jc w:val="both"/>
        <w:textAlignment w:val="baseline"/>
        <w:rPr>
          <w:sz w:val="20"/>
        </w:rPr>
      </w:pPr>
      <w:r w:rsidRPr="00CB673E">
        <w:rPr>
          <w:sz w:val="20"/>
        </w:rPr>
        <w:t xml:space="preserve">An accused was charged with several offences. Before the jury selection process began, a ban on publication was imposed on all pre-trial applications in the proceedings pursuant to s. 648(1) of the </w:t>
      </w:r>
      <w:r w:rsidRPr="00CB673E">
        <w:rPr>
          <w:i/>
          <w:sz w:val="20"/>
        </w:rPr>
        <w:t xml:space="preserve">Criminal Code. </w:t>
      </w:r>
      <w:r w:rsidRPr="00CB673E">
        <w:rPr>
          <w:sz w:val="20"/>
        </w:rPr>
        <w:t xml:space="preserve">A consortium of </w:t>
      </w:r>
      <w:r w:rsidRPr="00CB673E">
        <w:rPr>
          <w:sz w:val="20"/>
        </w:rPr>
        <w:lastRenderedPageBreak/>
        <w:t>major media outlets applied to have the ban clarified and declared applicable only after the jury is empaneled. The motion judge dismissed the application.</w:t>
      </w:r>
    </w:p>
    <w:p w:rsidR="00A97E61" w:rsidRPr="00CB673E" w:rsidRDefault="00A97E61" w:rsidP="001C4415">
      <w:pPr>
        <w:widowControl w:val="0"/>
        <w:rPr>
          <w:szCs w:val="24"/>
        </w:rPr>
      </w:pPr>
    </w:p>
    <w:p w:rsidR="00A97E61" w:rsidRPr="00CB673E" w:rsidRDefault="00A97E61" w:rsidP="001C4415">
      <w:pPr>
        <w:widowControl w:val="0"/>
        <w:rPr>
          <w:szCs w:val="24"/>
        </w:rPr>
      </w:pPr>
    </w:p>
    <w:p w:rsidR="00A97E61" w:rsidRPr="00CB673E" w:rsidRDefault="00CB673E" w:rsidP="001C4415">
      <w:pPr>
        <w:widowControl w:val="0"/>
        <w:rPr>
          <w:szCs w:val="24"/>
          <w:lang w:val="fr-CA"/>
        </w:rPr>
      </w:pPr>
      <w:r w:rsidRPr="00CB673E">
        <w:rPr>
          <w:sz w:val="18"/>
          <w:szCs w:val="18"/>
        </w:rPr>
        <w:pict>
          <v:rect id="_x0000_i1026" style="width:272.25pt;height:1.5pt" o:hrpct="0" o:hralign="center" o:hrstd="t" o:hrnoshade="t" o:hr="t" fillcolor="black [3213]" stroked="f"/>
        </w:pict>
      </w:r>
    </w:p>
    <w:p w:rsidR="00A97E61" w:rsidRPr="00CB673E" w:rsidRDefault="00A97E61" w:rsidP="001C4415">
      <w:pPr>
        <w:widowControl w:val="0"/>
        <w:rPr>
          <w:szCs w:val="24"/>
          <w:lang w:val="fr-CA"/>
        </w:rPr>
      </w:pPr>
    </w:p>
    <w:p w:rsidR="001C4415" w:rsidRPr="00CB673E" w:rsidRDefault="001C4415" w:rsidP="001C4415">
      <w:pPr>
        <w:widowControl w:val="0"/>
        <w:rPr>
          <w:lang w:val="fr-CA"/>
        </w:rPr>
      </w:pPr>
    </w:p>
    <w:p w:rsidR="001335A1" w:rsidRPr="00CB673E" w:rsidRDefault="001335A1" w:rsidP="001335A1">
      <w:pPr>
        <w:widowControl w:val="0"/>
        <w:jc w:val="center"/>
        <w:rPr>
          <w:b/>
          <w:lang w:val="fr-CA"/>
        </w:rPr>
      </w:pPr>
      <w:r w:rsidRPr="00CB673E">
        <w:rPr>
          <w:b/>
          <w:lang w:val="fr-CA"/>
        </w:rPr>
        <w:t>PROCHAIN</w:t>
      </w:r>
      <w:r w:rsidR="00422676" w:rsidRPr="00CB673E">
        <w:rPr>
          <w:b/>
          <w:lang w:val="fr-CA"/>
        </w:rPr>
        <w:t>S</w:t>
      </w:r>
      <w:r w:rsidRPr="00CB673E">
        <w:rPr>
          <w:b/>
          <w:lang w:val="fr-CA"/>
        </w:rPr>
        <w:t xml:space="preserve"> JUGEMENT</w:t>
      </w:r>
      <w:r w:rsidR="00422676" w:rsidRPr="00CB673E">
        <w:rPr>
          <w:b/>
          <w:lang w:val="fr-CA"/>
        </w:rPr>
        <w:t>S</w:t>
      </w:r>
      <w:r w:rsidR="00455BB9" w:rsidRPr="00CB673E">
        <w:rPr>
          <w:b/>
          <w:lang w:val="fr-CA"/>
        </w:rPr>
        <w:t xml:space="preserve"> SUR APPEL</w:t>
      </w:r>
      <w:r w:rsidR="00422676" w:rsidRPr="00CB673E">
        <w:rPr>
          <w:b/>
          <w:lang w:val="fr-CA"/>
        </w:rPr>
        <w:t>S</w:t>
      </w:r>
    </w:p>
    <w:p w:rsidR="001335A1" w:rsidRPr="00CB673E" w:rsidRDefault="001335A1" w:rsidP="001335A1">
      <w:pPr>
        <w:widowControl w:val="0"/>
        <w:rPr>
          <w:lang w:val="fr-CA"/>
        </w:rPr>
      </w:pPr>
    </w:p>
    <w:p w:rsidR="00EC79B0" w:rsidRPr="00CB673E" w:rsidRDefault="00EC79B0" w:rsidP="00EC79B0">
      <w:pPr>
        <w:widowControl w:val="0"/>
        <w:rPr>
          <w:lang w:val="fr-CA"/>
        </w:rPr>
      </w:pPr>
      <w:r w:rsidRPr="00CB673E">
        <w:rPr>
          <w:b/>
          <w:lang w:val="fr-CA"/>
        </w:rPr>
        <w:t xml:space="preserve">Le </w:t>
      </w:r>
      <w:r w:rsidR="002C55FE" w:rsidRPr="00CB673E">
        <w:rPr>
          <w:b/>
          <w:lang w:val="fr-CA"/>
        </w:rPr>
        <w:t>2</w:t>
      </w:r>
      <w:r w:rsidR="00CB673E" w:rsidRPr="00CB673E">
        <w:rPr>
          <w:b/>
          <w:lang w:val="fr-CA"/>
        </w:rPr>
        <w:t>8</w:t>
      </w:r>
      <w:r w:rsidR="00FA5450" w:rsidRPr="00CB673E">
        <w:rPr>
          <w:b/>
          <w:lang w:val="fr-CA"/>
        </w:rPr>
        <w:t xml:space="preserve"> </w:t>
      </w:r>
      <w:r w:rsidR="004A4BC7" w:rsidRPr="00CB673E">
        <w:rPr>
          <w:b/>
          <w:lang w:val="fr-CA"/>
        </w:rPr>
        <w:t>septembre</w:t>
      </w:r>
      <w:r w:rsidR="00C86395" w:rsidRPr="00CB673E">
        <w:rPr>
          <w:b/>
          <w:lang w:val="fr-CA"/>
        </w:rPr>
        <w:t xml:space="preserve"> </w:t>
      </w:r>
      <w:r w:rsidR="0086609D" w:rsidRPr="00CB673E">
        <w:rPr>
          <w:b/>
          <w:lang w:val="fr-CA"/>
        </w:rPr>
        <w:t>20</w:t>
      </w:r>
      <w:r w:rsidR="009544E9" w:rsidRPr="00CB673E">
        <w:rPr>
          <w:b/>
          <w:lang w:val="fr-CA"/>
        </w:rPr>
        <w:t>2</w:t>
      </w:r>
      <w:r w:rsidR="002C55FE" w:rsidRPr="00CB673E">
        <w:rPr>
          <w:b/>
          <w:lang w:val="fr-CA"/>
        </w:rPr>
        <w:t>3</w:t>
      </w:r>
    </w:p>
    <w:p w:rsidR="00EC79B0" w:rsidRPr="00CB673E" w:rsidRDefault="00EC79B0" w:rsidP="00EC79B0">
      <w:pPr>
        <w:widowControl w:val="0"/>
        <w:rPr>
          <w:lang w:val="fr-CA"/>
        </w:rPr>
      </w:pPr>
    </w:p>
    <w:p w:rsidR="00EC79B0" w:rsidRPr="00CB673E" w:rsidRDefault="00EC79B0" w:rsidP="00EC79B0">
      <w:pPr>
        <w:widowControl w:val="0"/>
        <w:rPr>
          <w:lang w:val="fr-CA"/>
        </w:rPr>
      </w:pPr>
      <w:r w:rsidRPr="00CB673E">
        <w:rPr>
          <w:b/>
          <w:lang w:val="fr-CA"/>
        </w:rPr>
        <w:t>OTTAWA</w:t>
      </w:r>
      <w:r w:rsidRPr="00CB673E">
        <w:rPr>
          <w:lang w:val="fr-CA"/>
        </w:rPr>
        <w:t xml:space="preserve"> – </w:t>
      </w:r>
      <w:r w:rsidR="0095505F" w:rsidRPr="00CB673E">
        <w:rPr>
          <w:lang w:val="fr-CA"/>
        </w:rPr>
        <w:t xml:space="preserve">La Cour suprême du Canada rendra jugement dans les appels suivants le vendredi </w:t>
      </w:r>
      <w:r w:rsidR="004A4BC7" w:rsidRPr="00CB673E">
        <w:rPr>
          <w:lang w:val="fr-CA"/>
        </w:rPr>
        <w:t>6</w:t>
      </w:r>
      <w:r w:rsidR="0095505F" w:rsidRPr="00CB673E">
        <w:rPr>
          <w:lang w:val="fr-CA"/>
        </w:rPr>
        <w:t xml:space="preserve"> </w:t>
      </w:r>
      <w:r w:rsidR="004A4BC7" w:rsidRPr="00CB673E">
        <w:rPr>
          <w:lang w:val="fr-CA"/>
        </w:rPr>
        <w:t>octobre</w:t>
      </w:r>
      <w:r w:rsidR="0095505F" w:rsidRPr="00CB673E">
        <w:rPr>
          <w:lang w:val="fr-CA"/>
        </w:rPr>
        <w:t xml:space="preserve"> 2023, à 9 h 45 HE.</w:t>
      </w:r>
    </w:p>
    <w:p w:rsidR="001F76DD" w:rsidRPr="00CB673E" w:rsidRDefault="001F76DD" w:rsidP="00E92006">
      <w:pPr>
        <w:widowControl w:val="0"/>
        <w:jc w:val="both"/>
        <w:rPr>
          <w:szCs w:val="24"/>
          <w:lang w:val="fr-CA"/>
        </w:rPr>
      </w:pPr>
    </w:p>
    <w:p w:rsidR="00CD1374" w:rsidRPr="00CB673E" w:rsidRDefault="00CD1374" w:rsidP="00E92006">
      <w:pPr>
        <w:widowControl w:val="0"/>
        <w:jc w:val="both"/>
        <w:rPr>
          <w:szCs w:val="24"/>
          <w:lang w:val="fr-CA"/>
        </w:rPr>
      </w:pPr>
    </w:p>
    <w:p w:rsidR="00CD1374" w:rsidRPr="00CB673E" w:rsidRDefault="00CD1374" w:rsidP="00CD1374">
      <w:pPr>
        <w:jc w:val="both"/>
        <w:rPr>
          <w:szCs w:val="24"/>
          <w:lang w:val="fr-CA"/>
        </w:rPr>
      </w:pPr>
      <w:r w:rsidRPr="00CB673E">
        <w:rPr>
          <w:i/>
          <w:szCs w:val="24"/>
          <w:lang w:val="fr-CA"/>
        </w:rPr>
        <w:t xml:space="preserve">La Presse inc. c. Frédérick Silva, et al. </w:t>
      </w:r>
      <w:r w:rsidRPr="00CB673E">
        <w:rPr>
          <w:szCs w:val="24"/>
          <w:lang w:val="fr-CA"/>
        </w:rPr>
        <w:t>(Qc) (</w:t>
      </w:r>
      <w:hyperlink r:id="rId9" w:history="1">
        <w:r w:rsidRPr="00CB673E">
          <w:rPr>
            <w:rStyle w:val="Hyperlink"/>
            <w:szCs w:val="24"/>
            <w:lang w:val="fr-CA"/>
          </w:rPr>
          <w:t>40175</w:t>
        </w:r>
      </w:hyperlink>
      <w:r w:rsidRPr="00CB673E">
        <w:rPr>
          <w:szCs w:val="24"/>
          <w:lang w:val="fr-CA"/>
        </w:rPr>
        <w:t>)</w:t>
      </w:r>
    </w:p>
    <w:p w:rsidR="00CD1374" w:rsidRPr="00CB673E" w:rsidRDefault="00CD1374" w:rsidP="00CD1374">
      <w:pPr>
        <w:jc w:val="both"/>
        <w:rPr>
          <w:sz w:val="20"/>
          <w:lang w:val="fr-CA"/>
        </w:rPr>
      </w:pPr>
    </w:p>
    <w:p w:rsidR="00CD1374" w:rsidRPr="00CB673E" w:rsidRDefault="005B2FAA" w:rsidP="00CD1374">
      <w:pPr>
        <w:jc w:val="both"/>
        <w:rPr>
          <w:szCs w:val="24"/>
          <w:lang w:val="fr-CA"/>
        </w:rPr>
      </w:pPr>
      <w:r w:rsidRPr="00CB673E">
        <w:rPr>
          <w:i/>
          <w:szCs w:val="24"/>
          <w:lang w:val="fr-CA"/>
        </w:rPr>
        <w:t>Société Radio-Canada, et al.</w:t>
      </w:r>
      <w:r w:rsidR="00CD1374" w:rsidRPr="00CB673E">
        <w:rPr>
          <w:i/>
          <w:szCs w:val="24"/>
          <w:lang w:val="fr-CA"/>
        </w:rPr>
        <w:t xml:space="preserve"> </w:t>
      </w:r>
      <w:proofErr w:type="gramStart"/>
      <w:r w:rsidR="00CD1374" w:rsidRPr="00CB673E">
        <w:rPr>
          <w:i/>
          <w:szCs w:val="24"/>
          <w:lang w:val="fr-CA"/>
        </w:rPr>
        <w:t>c</w:t>
      </w:r>
      <w:proofErr w:type="gramEnd"/>
      <w:r w:rsidR="00CD1374" w:rsidRPr="00CB673E">
        <w:rPr>
          <w:i/>
          <w:szCs w:val="24"/>
          <w:lang w:val="fr-CA"/>
        </w:rPr>
        <w:t xml:space="preserve">. Aydin Coban, et al. </w:t>
      </w:r>
      <w:r w:rsidR="00CD1374" w:rsidRPr="00CB673E">
        <w:rPr>
          <w:szCs w:val="24"/>
          <w:lang w:val="fr-CA"/>
        </w:rPr>
        <w:t>(C.-B.) (</w:t>
      </w:r>
      <w:hyperlink r:id="rId10" w:history="1">
        <w:r w:rsidR="00CD1374" w:rsidRPr="00CB673E">
          <w:rPr>
            <w:rStyle w:val="Hyperlink"/>
            <w:szCs w:val="24"/>
            <w:lang w:val="fr-CA"/>
          </w:rPr>
          <w:t>40223</w:t>
        </w:r>
      </w:hyperlink>
      <w:r w:rsidR="00CD1374" w:rsidRPr="00CB673E">
        <w:rPr>
          <w:szCs w:val="24"/>
          <w:lang w:val="fr-CA"/>
        </w:rPr>
        <w:t>)</w:t>
      </w:r>
    </w:p>
    <w:p w:rsidR="00CD1374" w:rsidRPr="00CB673E" w:rsidRDefault="00CD1374" w:rsidP="00CD1374">
      <w:pPr>
        <w:jc w:val="both"/>
        <w:rPr>
          <w:sz w:val="20"/>
          <w:lang w:val="fr-CA"/>
        </w:rPr>
      </w:pPr>
    </w:p>
    <w:p w:rsidR="00CD1374" w:rsidRPr="00CB673E" w:rsidRDefault="00CD1374" w:rsidP="00CD1374">
      <w:pPr>
        <w:jc w:val="both"/>
        <w:rPr>
          <w:sz w:val="20"/>
          <w:lang w:val="fr-CA"/>
        </w:rPr>
      </w:pPr>
      <w:bookmarkStart w:id="1" w:name="QuickMark_1"/>
      <w:bookmarkEnd w:id="1"/>
    </w:p>
    <w:p w:rsidR="00CD1374" w:rsidRPr="00CB673E" w:rsidRDefault="00CD1374" w:rsidP="00CD1374">
      <w:pPr>
        <w:pStyle w:val="SCCLsocParty"/>
        <w:rPr>
          <w:b/>
          <w:i w:val="0"/>
          <w:sz w:val="20"/>
          <w:szCs w:val="20"/>
        </w:rPr>
      </w:pPr>
      <w:r w:rsidRPr="00CB673E">
        <w:rPr>
          <w:rStyle w:val="SCCFileNumberChar"/>
          <w:i w:val="0"/>
          <w:sz w:val="20"/>
          <w:szCs w:val="20"/>
          <w:lang w:val="fr-CA"/>
        </w:rPr>
        <w:t>40175</w:t>
      </w:r>
      <w:r w:rsidRPr="00CB673E">
        <w:rPr>
          <w:rStyle w:val="SCCFileNumberChar"/>
          <w:i w:val="0"/>
          <w:sz w:val="20"/>
          <w:szCs w:val="20"/>
          <w:lang w:val="fr-CA"/>
        </w:rPr>
        <w:tab/>
      </w:r>
      <w:r w:rsidRPr="00CB673E">
        <w:rPr>
          <w:b/>
          <w:sz w:val="20"/>
          <w:szCs w:val="20"/>
        </w:rPr>
        <w:t>La Presse inc. c. Frédérick Silva et Sa Majesté le Roi</w:t>
      </w:r>
    </w:p>
    <w:p w:rsidR="00CD1374" w:rsidRPr="00CB673E" w:rsidRDefault="00CD1374" w:rsidP="00CD1374">
      <w:pPr>
        <w:ind w:left="360" w:firstLine="360"/>
        <w:jc w:val="both"/>
        <w:rPr>
          <w:sz w:val="20"/>
          <w:lang w:val="fr-CA"/>
        </w:rPr>
      </w:pPr>
      <w:r w:rsidRPr="00CB673E">
        <w:rPr>
          <w:sz w:val="20"/>
          <w:lang w:val="fr-CA"/>
        </w:rPr>
        <w:t>(Qc) (Civile) (Autorisation)</w:t>
      </w:r>
    </w:p>
    <w:p w:rsidR="00CD1374" w:rsidRPr="00CB673E" w:rsidRDefault="00CD1374" w:rsidP="00CD1374">
      <w:pPr>
        <w:jc w:val="both"/>
        <w:rPr>
          <w:sz w:val="20"/>
          <w:lang w:val="fr-CA"/>
        </w:rPr>
      </w:pPr>
    </w:p>
    <w:p w:rsidR="00CD1374" w:rsidRPr="00CB673E" w:rsidRDefault="00CD1374" w:rsidP="00CD1374">
      <w:pPr>
        <w:pStyle w:val="SCCBanSummary"/>
        <w:rPr>
          <w:sz w:val="20"/>
          <w:szCs w:val="20"/>
          <w:lang w:val="fr-CA"/>
        </w:rPr>
      </w:pPr>
      <w:r w:rsidRPr="00CB673E">
        <w:rPr>
          <w:sz w:val="20"/>
          <w:szCs w:val="20"/>
          <w:lang w:val="fr-CA"/>
        </w:rPr>
        <w:t>(Certaines informations non disponibles pour le public)</w:t>
      </w:r>
    </w:p>
    <w:p w:rsidR="00CD1374" w:rsidRPr="00CB673E" w:rsidRDefault="00CD1374" w:rsidP="00CD1374">
      <w:pPr>
        <w:jc w:val="both"/>
        <w:rPr>
          <w:sz w:val="20"/>
          <w:lang w:val="fr-CA"/>
        </w:rPr>
      </w:pPr>
    </w:p>
    <w:p w:rsidR="00CD1374" w:rsidRPr="00CB673E" w:rsidRDefault="00CD1374" w:rsidP="00CD1374">
      <w:pPr>
        <w:jc w:val="both"/>
        <w:rPr>
          <w:sz w:val="20"/>
          <w:lang w:val="fr-CA"/>
        </w:rPr>
      </w:pPr>
      <w:r w:rsidRPr="00CB673E">
        <w:rPr>
          <w:sz w:val="20"/>
          <w:lang w:val="fr-CA"/>
        </w:rPr>
        <w:t xml:space="preserve">Droit criminel </w:t>
      </w:r>
      <w:r w:rsidRPr="00CB673E">
        <w:rPr>
          <w:sz w:val="20"/>
        </w:rPr>
        <w:t>⸺</w:t>
      </w:r>
      <w:r w:rsidRPr="00CB673E">
        <w:rPr>
          <w:sz w:val="20"/>
          <w:lang w:val="fr-CA"/>
        </w:rPr>
        <w:t xml:space="preserve"> Interdiction de publication </w:t>
      </w:r>
      <w:r w:rsidRPr="00CB673E">
        <w:rPr>
          <w:sz w:val="20"/>
        </w:rPr>
        <w:t>⸺</w:t>
      </w:r>
      <w:r w:rsidRPr="00CB673E">
        <w:rPr>
          <w:sz w:val="20"/>
          <w:lang w:val="fr-CA"/>
        </w:rPr>
        <w:t xml:space="preserve"> Ordonnances de non-publications et de non-diffusion relatives à des jugements sur voir-dire </w:t>
      </w:r>
      <w:r w:rsidRPr="00CB673E">
        <w:rPr>
          <w:sz w:val="20"/>
        </w:rPr>
        <w:t>⸺</w:t>
      </w:r>
      <w:r w:rsidRPr="00CB673E">
        <w:rPr>
          <w:sz w:val="20"/>
          <w:lang w:val="fr-CA"/>
        </w:rPr>
        <w:t xml:space="preserve"> L’article 648 du </w:t>
      </w:r>
      <w:r w:rsidRPr="00CB673E">
        <w:rPr>
          <w:i/>
          <w:sz w:val="20"/>
          <w:lang w:val="fr-CA"/>
        </w:rPr>
        <w:t>Code criminel</w:t>
      </w:r>
      <w:r w:rsidRPr="00CB673E">
        <w:rPr>
          <w:sz w:val="20"/>
          <w:lang w:val="fr-CA"/>
        </w:rPr>
        <w:t xml:space="preserve"> trouve-t-il application avant la sélection du jury? </w:t>
      </w:r>
      <w:r w:rsidRPr="00CB673E">
        <w:rPr>
          <w:sz w:val="20"/>
        </w:rPr>
        <w:t>⸺</w:t>
      </w:r>
      <w:r w:rsidRPr="00CB673E">
        <w:rPr>
          <w:sz w:val="20"/>
          <w:lang w:val="fr-CA"/>
        </w:rPr>
        <w:t xml:space="preserve"> La Cour supérieure a-t-elle erré dans l’application du test </w:t>
      </w:r>
      <w:r w:rsidRPr="00CB673E">
        <w:rPr>
          <w:i/>
          <w:sz w:val="20"/>
          <w:lang w:val="fr-CA"/>
        </w:rPr>
        <w:t>Dagenais/Mentuck</w:t>
      </w:r>
      <w:r w:rsidRPr="00CB673E">
        <w:rPr>
          <w:sz w:val="20"/>
          <w:lang w:val="fr-CA"/>
        </w:rPr>
        <w:t xml:space="preserve">? </w:t>
      </w:r>
      <w:r w:rsidRPr="00CB673E">
        <w:rPr>
          <w:sz w:val="20"/>
        </w:rPr>
        <w:t>⸺</w:t>
      </w:r>
      <w:r w:rsidRPr="00CB673E">
        <w:rPr>
          <w:sz w:val="20"/>
          <w:lang w:val="fr-CA"/>
        </w:rPr>
        <w:t xml:space="preserve"> </w:t>
      </w:r>
      <w:r w:rsidRPr="00CB673E">
        <w:rPr>
          <w:i/>
          <w:sz w:val="20"/>
          <w:lang w:val="fr-CA"/>
        </w:rPr>
        <w:t>Code criminel,</w:t>
      </w:r>
      <w:r w:rsidRPr="00CB673E">
        <w:rPr>
          <w:sz w:val="20"/>
          <w:lang w:val="fr-CA"/>
        </w:rPr>
        <w:t xml:space="preserve"> LRC 1985, c. C-46, art. 648.</w:t>
      </w:r>
    </w:p>
    <w:p w:rsidR="00CD1374" w:rsidRPr="00CB673E" w:rsidRDefault="00CD1374" w:rsidP="00CD1374">
      <w:pPr>
        <w:widowControl w:val="0"/>
        <w:jc w:val="both"/>
        <w:rPr>
          <w:sz w:val="20"/>
          <w:lang w:val="fr-CA"/>
        </w:rPr>
      </w:pPr>
    </w:p>
    <w:p w:rsidR="00CD1374" w:rsidRPr="00CB673E" w:rsidRDefault="00CD1374" w:rsidP="00CD1374">
      <w:pPr>
        <w:jc w:val="both"/>
        <w:rPr>
          <w:sz w:val="20"/>
          <w:lang w:val="fr-CA"/>
        </w:rPr>
      </w:pPr>
      <w:r w:rsidRPr="00CB673E">
        <w:rPr>
          <w:sz w:val="20"/>
          <w:lang w:val="fr-CA"/>
        </w:rPr>
        <w:t xml:space="preserve">M. Frédérick Silva, intimé, est accusé de quatre meurtres et d’une tentative de meurtre pour des évènements survenus entre le 21 février 2017 et le 20 décembre 2018. Le 22 novembre 2019, la poursuite a déposé cinq chefs d’accusation par le biais d’un acte d’accusation direct. Le 2 août 2021 et le 15 octobre 2021, la Cour supérieure a rejeté respectivement une requête en arrêt de procédures et une requête de type </w:t>
      </w:r>
      <w:r w:rsidRPr="00CB673E">
        <w:rPr>
          <w:i/>
          <w:sz w:val="20"/>
          <w:lang w:val="fr-CA"/>
        </w:rPr>
        <w:t>Garofoli</w:t>
      </w:r>
      <w:r w:rsidRPr="00CB673E">
        <w:rPr>
          <w:sz w:val="20"/>
          <w:lang w:val="fr-CA"/>
        </w:rPr>
        <w:t xml:space="preserve">, déposées par M. Silva. Elle a également émis des ordonnances de non-publication et de non-diffusion relativement aux deux jugements en vertu de l’art. 648(1) du </w:t>
      </w:r>
      <w:r w:rsidRPr="00CB673E">
        <w:rPr>
          <w:i/>
          <w:sz w:val="20"/>
          <w:lang w:val="fr-CA"/>
        </w:rPr>
        <w:t>Code criminel</w:t>
      </w:r>
      <w:r w:rsidRPr="00CB673E">
        <w:rPr>
          <w:sz w:val="20"/>
          <w:lang w:val="fr-CA"/>
        </w:rPr>
        <w:t xml:space="preserve"> L.R.C. 1985, c. C-46 (</w:t>
      </w:r>
      <w:r w:rsidRPr="00CB673E">
        <w:rPr>
          <w:i/>
          <w:sz w:val="20"/>
          <w:lang w:val="fr-CA"/>
        </w:rPr>
        <w:t>C.cr.</w:t>
      </w:r>
      <w:r w:rsidRPr="00CB673E">
        <w:rPr>
          <w:sz w:val="20"/>
          <w:lang w:val="fr-CA"/>
        </w:rPr>
        <w:t xml:space="preserve">). Comme suite à ces jugements, et sur consentement des parties, M. Silva a subi un procès sans jury et devant un seul juge pour quatre des cinq chefs. Le 16 novembre 2021, M. Silva a reconnu formellement que la poursuite s’est déchargée de son fardeau à l’égard de chacun des éléments essentiels des quatre infractions par le biais d’une procédure de </w:t>
      </w:r>
      <w:r w:rsidRPr="00CB673E">
        <w:rPr>
          <w:i/>
          <w:sz w:val="20"/>
          <w:lang w:val="fr-CA"/>
        </w:rPr>
        <w:t>nolo contendere</w:t>
      </w:r>
      <w:r w:rsidRPr="00CB673E">
        <w:rPr>
          <w:sz w:val="20"/>
          <w:lang w:val="fr-CA"/>
        </w:rPr>
        <w:t xml:space="preserve">. Le 27 janvier 2022, M. Silva a été déclaré coupable des quatre chefs d’accusation. Quant au dernier chef d’accusation, relatifs à un meurtre au second degré, les parties ont consenti à ce qu’il soit séparé de l’acte d’accusation et que M. Silva subisse un procès devant juge et jury au mois de mai 2022. Avant que ne débute le procès, La Presse a demandé par requête la levée des ordonnances de non-publication et de non-diffusion relatives aux deux jugements. Le 11 mars 2022, la Cour supérieure a rejeté la requête de La Presse. Le 6 mai 2022, M. Silva a déposé une procédure de </w:t>
      </w:r>
      <w:r w:rsidRPr="00CB673E">
        <w:rPr>
          <w:i/>
          <w:sz w:val="20"/>
          <w:lang w:val="fr-CA"/>
        </w:rPr>
        <w:t>nolo contendere</w:t>
      </w:r>
      <w:r w:rsidRPr="00CB673E">
        <w:rPr>
          <w:sz w:val="20"/>
          <w:lang w:val="fr-CA"/>
        </w:rPr>
        <w:t xml:space="preserve"> quant au dernier chef d’accusation entrainant ainsi l’annulation de la tenue du procès devant jury.</w:t>
      </w:r>
    </w:p>
    <w:p w:rsidR="00CD1374" w:rsidRPr="00CB673E" w:rsidRDefault="00CD1374" w:rsidP="00CD1374">
      <w:pPr>
        <w:jc w:val="both"/>
        <w:rPr>
          <w:sz w:val="20"/>
          <w:lang w:val="fr-CA"/>
        </w:rPr>
      </w:pPr>
    </w:p>
    <w:p w:rsidR="003B3C19" w:rsidRPr="00CB673E" w:rsidRDefault="00CB673E" w:rsidP="00CD1374">
      <w:pPr>
        <w:widowControl w:val="0"/>
        <w:jc w:val="both"/>
        <w:rPr>
          <w:sz w:val="20"/>
          <w:lang w:val="fr-CA"/>
        </w:rPr>
      </w:pPr>
      <w:r w:rsidRPr="00CB673E">
        <w:rPr>
          <w:sz w:val="20"/>
        </w:rPr>
        <w:pict>
          <v:rect id="_x0000_i1027" style="width:2in;height:1pt" o:hrpct="0" o:hralign="center" o:hrstd="t" o:hrnoshade="t" o:hr="t" fillcolor="black [3213]" stroked="f"/>
        </w:pict>
      </w:r>
    </w:p>
    <w:p w:rsidR="00CD1374" w:rsidRPr="00CB673E" w:rsidRDefault="00CD1374" w:rsidP="003B3C19">
      <w:pPr>
        <w:widowControl w:val="0"/>
        <w:jc w:val="both"/>
        <w:rPr>
          <w:sz w:val="20"/>
          <w:lang w:val="fr-CA"/>
        </w:rPr>
      </w:pPr>
    </w:p>
    <w:p w:rsidR="00CD1374" w:rsidRPr="00CB673E" w:rsidRDefault="00CD1374" w:rsidP="00CD1374">
      <w:pPr>
        <w:pStyle w:val="SCCLsocParty"/>
        <w:ind w:left="720" w:hanging="720"/>
        <w:rPr>
          <w:b/>
          <w:i w:val="0"/>
          <w:sz w:val="20"/>
          <w:szCs w:val="20"/>
        </w:rPr>
      </w:pPr>
      <w:r w:rsidRPr="00CB673E">
        <w:rPr>
          <w:rStyle w:val="SCCFileNumberChar"/>
          <w:i w:val="0"/>
          <w:sz w:val="20"/>
          <w:szCs w:val="20"/>
          <w:lang w:val="fr-CA"/>
        </w:rPr>
        <w:t>40223</w:t>
      </w:r>
      <w:r w:rsidRPr="00CB673E">
        <w:rPr>
          <w:rStyle w:val="SCCFileNumberChar"/>
          <w:i w:val="0"/>
          <w:sz w:val="20"/>
          <w:szCs w:val="20"/>
          <w:lang w:val="fr-CA"/>
        </w:rPr>
        <w:tab/>
      </w:r>
      <w:r w:rsidRPr="00CB673E">
        <w:rPr>
          <w:b/>
          <w:sz w:val="20"/>
          <w:szCs w:val="20"/>
        </w:rPr>
        <w:t>Société Radio-Canada, Global News (une division de Corus Television Limited Partnership), Postmedia Network Inc., CTV News (une division de Bell Média inc.), Glacier Media Inc., CityNews (une division de Rogers Media Inc.), Globe and Mail Inc., Torstar Corporation c. Aydin Coban, Sa Majesté le Roi</w:t>
      </w:r>
    </w:p>
    <w:p w:rsidR="00CD1374" w:rsidRPr="00CB673E" w:rsidRDefault="00CD1374" w:rsidP="00CD1374">
      <w:pPr>
        <w:ind w:left="360" w:firstLine="360"/>
        <w:jc w:val="both"/>
        <w:rPr>
          <w:sz w:val="20"/>
          <w:lang w:val="fr-CA"/>
        </w:rPr>
      </w:pPr>
      <w:r w:rsidRPr="00CB673E">
        <w:rPr>
          <w:sz w:val="20"/>
          <w:lang w:val="fr-CA"/>
        </w:rPr>
        <w:t>(C.-B.) (Criminelle) (Sur autorisation)</w:t>
      </w:r>
    </w:p>
    <w:p w:rsidR="00CD1374" w:rsidRPr="00CB673E" w:rsidRDefault="00CD1374" w:rsidP="00CD1374">
      <w:pPr>
        <w:widowControl w:val="0"/>
        <w:kinsoku w:val="0"/>
        <w:overflowPunct w:val="0"/>
        <w:jc w:val="both"/>
        <w:textAlignment w:val="baseline"/>
        <w:rPr>
          <w:sz w:val="20"/>
          <w:lang w:val="fr-CA"/>
        </w:rPr>
      </w:pPr>
    </w:p>
    <w:p w:rsidR="00CD1374" w:rsidRPr="00CB673E" w:rsidRDefault="00CD1374" w:rsidP="00CD1374">
      <w:pPr>
        <w:pStyle w:val="SCCBanSummary"/>
        <w:rPr>
          <w:sz w:val="20"/>
          <w:szCs w:val="20"/>
          <w:lang w:val="fr-CA"/>
        </w:rPr>
      </w:pPr>
      <w:r w:rsidRPr="00CB673E">
        <w:rPr>
          <w:sz w:val="20"/>
          <w:szCs w:val="20"/>
          <w:lang w:val="fr-CA"/>
        </w:rPr>
        <w:t xml:space="preserve">(Ordonnance de non-publication au dossier) </w:t>
      </w:r>
    </w:p>
    <w:p w:rsidR="00CD1374" w:rsidRPr="00CB673E" w:rsidRDefault="00CD1374" w:rsidP="00CD1374">
      <w:pPr>
        <w:pStyle w:val="SCCBanSummary"/>
        <w:rPr>
          <w:sz w:val="20"/>
          <w:szCs w:val="20"/>
          <w:lang w:val="fr-CA"/>
        </w:rPr>
      </w:pPr>
    </w:p>
    <w:p w:rsidR="00CD1374" w:rsidRPr="00CB673E" w:rsidRDefault="00CD1374" w:rsidP="00CD1374">
      <w:pPr>
        <w:widowControl w:val="0"/>
        <w:kinsoku w:val="0"/>
        <w:overflowPunct w:val="0"/>
        <w:jc w:val="both"/>
        <w:textAlignment w:val="baseline"/>
        <w:rPr>
          <w:sz w:val="20"/>
          <w:lang w:val="fr-CA"/>
        </w:rPr>
      </w:pPr>
      <w:r w:rsidRPr="00CB673E">
        <w:rPr>
          <w:sz w:val="20"/>
          <w:lang w:val="fr-CA"/>
        </w:rPr>
        <w:t xml:space="preserve">Droit criminel — </w:t>
      </w:r>
      <w:r w:rsidRPr="00CB673E">
        <w:rPr>
          <w:iCs/>
          <w:sz w:val="20"/>
          <w:lang w:val="fr-CA"/>
        </w:rPr>
        <w:t>Interdictions de publication</w:t>
      </w:r>
      <w:r w:rsidRPr="00CB673E">
        <w:rPr>
          <w:sz w:val="20"/>
          <w:lang w:val="fr-CA"/>
        </w:rPr>
        <w:t xml:space="preserve"> — Une interdiction de publication rendue en vertu de l’art. 648 du </w:t>
      </w:r>
      <w:r w:rsidRPr="00CB673E">
        <w:rPr>
          <w:i/>
          <w:sz w:val="20"/>
          <w:lang w:val="fr-CA"/>
        </w:rPr>
        <w:t xml:space="preserve">Code </w:t>
      </w:r>
      <w:r w:rsidRPr="00CB673E">
        <w:rPr>
          <w:i/>
          <w:sz w:val="20"/>
          <w:lang w:val="fr-CA"/>
        </w:rPr>
        <w:lastRenderedPageBreak/>
        <w:t>criminel</w:t>
      </w:r>
      <w:r w:rsidRPr="00CB673E">
        <w:rPr>
          <w:sz w:val="20"/>
          <w:lang w:val="fr-CA"/>
        </w:rPr>
        <w:t xml:space="preserve"> s’applique-t-elle à l’instance avant que le jury ne soit constitué ?</w:t>
      </w:r>
    </w:p>
    <w:p w:rsidR="00CD1374" w:rsidRPr="00CB673E" w:rsidRDefault="00CD1374" w:rsidP="00CD1374">
      <w:pPr>
        <w:widowControl w:val="0"/>
        <w:kinsoku w:val="0"/>
        <w:overflowPunct w:val="0"/>
        <w:jc w:val="both"/>
        <w:textAlignment w:val="baseline"/>
        <w:rPr>
          <w:sz w:val="20"/>
          <w:lang w:val="fr-CA"/>
        </w:rPr>
      </w:pPr>
    </w:p>
    <w:p w:rsidR="00CD1374" w:rsidRPr="00CB673E" w:rsidRDefault="00CD1374" w:rsidP="00CD1374">
      <w:pPr>
        <w:widowControl w:val="0"/>
        <w:kinsoku w:val="0"/>
        <w:overflowPunct w:val="0"/>
        <w:jc w:val="both"/>
        <w:textAlignment w:val="baseline"/>
        <w:rPr>
          <w:sz w:val="20"/>
          <w:lang w:val="fr-CA"/>
        </w:rPr>
      </w:pPr>
      <w:r w:rsidRPr="00CB673E">
        <w:rPr>
          <w:sz w:val="20"/>
          <w:lang w:val="fr-CA"/>
        </w:rPr>
        <w:t xml:space="preserve">Un accusé a été inculpé de plusieurs infractions. Avant le début du processus de sélection des jurés, une interdiction de publication a été imposée relativement à toutes les demandes préalables au procès dans le cadre de l’instance, en vertu du par. 648(1) du </w:t>
      </w:r>
      <w:r w:rsidRPr="00CB673E">
        <w:rPr>
          <w:i/>
          <w:sz w:val="20"/>
          <w:lang w:val="fr-CA"/>
        </w:rPr>
        <w:t>Code criminel</w:t>
      </w:r>
      <w:r w:rsidRPr="00CB673E">
        <w:rPr>
          <w:sz w:val="20"/>
          <w:lang w:val="fr-CA"/>
        </w:rPr>
        <w:t>. Un consortium des grands médias a présenté une demande pour que l’interdiction soit précisée et qu’elle soit déclarée applicable seulement une fois le jury constitué. La juge des requêtes a rejeté la demande.</w:t>
      </w:r>
    </w:p>
    <w:p w:rsidR="00CD14BB" w:rsidRPr="00CB673E"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F4622" w:rsidRPr="00CB673E" w:rsidRDefault="00CB673E" w:rsidP="00CD14BB">
      <w:pPr>
        <w:pStyle w:val="aparanumbering1"/>
        <w:shd w:val="clear" w:color="auto" w:fill="FFFFFF"/>
        <w:spacing w:before="0" w:after="0"/>
        <w:ind w:left="0"/>
        <w:rPr>
          <w:rFonts w:ascii="Times New Roman" w:hAnsi="Times New Roman" w:cs="Times New Roman"/>
          <w:sz w:val="20"/>
          <w:szCs w:val="20"/>
          <w:lang w:val="fr-CA"/>
        </w:rPr>
      </w:pPr>
      <w:r w:rsidRPr="00CB673E">
        <w:rPr>
          <w:sz w:val="20"/>
        </w:rPr>
        <w:pict>
          <v:rect id="_x0000_i1028" style="width:2in;height:1pt" o:hrpct="0" o:hralign="center" o:hrstd="t" o:hrnoshade="t" o:hr="t" fillcolor="black [3213]" stroked="f"/>
        </w:pict>
      </w:r>
    </w:p>
    <w:p w:rsidR="00E92006" w:rsidRPr="00CB673E" w:rsidRDefault="00E92006" w:rsidP="00340C6D">
      <w:pPr>
        <w:jc w:val="both"/>
        <w:rPr>
          <w:sz w:val="20"/>
          <w:lang w:val="fr-CA"/>
        </w:rPr>
      </w:pPr>
    </w:p>
    <w:p w:rsidR="00E92006" w:rsidRPr="00CB673E" w:rsidRDefault="00E92006" w:rsidP="00340C6D">
      <w:pPr>
        <w:jc w:val="both"/>
        <w:rPr>
          <w:sz w:val="20"/>
          <w:lang w:val="fr-CA"/>
        </w:rPr>
      </w:pPr>
    </w:p>
    <w:p w:rsidR="00072A63" w:rsidRPr="00CB673E" w:rsidRDefault="00072A63" w:rsidP="00EC79B0">
      <w:pPr>
        <w:jc w:val="both"/>
        <w:rPr>
          <w:sz w:val="20"/>
          <w:lang w:val="fr-CA"/>
        </w:rPr>
      </w:pPr>
    </w:p>
    <w:p w:rsidR="001C4415" w:rsidRPr="00CB673E" w:rsidRDefault="001C4415" w:rsidP="001C4415">
      <w:pPr>
        <w:widowControl w:val="0"/>
        <w:outlineLvl w:val="0"/>
      </w:pPr>
      <w:r w:rsidRPr="00CB673E">
        <w:t xml:space="preserve">Supreme Court of Canada / Cour suprême du </w:t>
      </w:r>
      <w:proofErr w:type="gramStart"/>
      <w:r w:rsidRPr="00CB673E">
        <w:t>Canada :</w:t>
      </w:r>
      <w:proofErr w:type="gramEnd"/>
      <w:r w:rsidRPr="00CB673E">
        <w:t xml:space="preserve"> </w:t>
      </w:r>
    </w:p>
    <w:p w:rsidR="004F410B" w:rsidRPr="00CB673E" w:rsidRDefault="00CB673E" w:rsidP="004F410B">
      <w:pPr>
        <w:widowControl w:val="0"/>
        <w:outlineLvl w:val="0"/>
      </w:pPr>
      <w:hyperlink r:id="rId11" w:history="1">
        <w:r w:rsidR="004F410B" w:rsidRPr="00CB673E">
          <w:rPr>
            <w:rStyle w:val="Hyperlink"/>
          </w:rPr>
          <w:t>Registry-greffe@scc-csc.ca</w:t>
        </w:r>
      </w:hyperlink>
    </w:p>
    <w:p w:rsidR="001C4415" w:rsidRPr="00614699" w:rsidRDefault="004F410B" w:rsidP="004F410B">
      <w:pPr>
        <w:widowControl w:val="0"/>
        <w:outlineLvl w:val="0"/>
      </w:pPr>
      <w:r w:rsidRPr="00CB673E">
        <w:t>1-844-365-9662</w:t>
      </w:r>
      <w:bookmarkStart w:id="2" w:name="_GoBack"/>
      <w:bookmarkEnd w:id="2"/>
    </w:p>
    <w:sectPr w:rsidR="001C4415" w:rsidRPr="00614699"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2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4017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fra.aspx?cas=402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fra.aspx?cas=401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2023-09-28T16:48:00Z</dcterms:modified>
</cp:coreProperties>
</file>