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8778E" w:rsidRDefault="002A192B" w:rsidP="002A192B">
      <w:pPr>
        <w:pStyle w:val="Header"/>
        <w:jc w:val="center"/>
        <w:rPr>
          <w:b/>
          <w:sz w:val="32"/>
        </w:rPr>
      </w:pPr>
      <w:r w:rsidRPr="0048778E">
        <w:rPr>
          <w:b/>
          <w:sz w:val="32"/>
        </w:rPr>
        <w:t>Supreme Court of Canada / Cour suprême du Canada</w:t>
      </w:r>
    </w:p>
    <w:p w:rsidR="002A192B" w:rsidRPr="0048778E" w:rsidRDefault="002A192B" w:rsidP="002A192B">
      <w:pPr>
        <w:widowControl w:val="0"/>
        <w:rPr>
          <w:i/>
        </w:rPr>
      </w:pPr>
    </w:p>
    <w:p w:rsidR="002A192B" w:rsidRPr="0048778E" w:rsidRDefault="002A192B" w:rsidP="002A192B">
      <w:pPr>
        <w:widowControl w:val="0"/>
        <w:rPr>
          <w:i/>
        </w:rPr>
      </w:pPr>
    </w:p>
    <w:p w:rsidR="001C4415" w:rsidRPr="0048778E" w:rsidRDefault="001C4415" w:rsidP="001C4415">
      <w:pPr>
        <w:widowControl w:val="0"/>
        <w:rPr>
          <w:i/>
          <w:sz w:val="20"/>
        </w:rPr>
      </w:pPr>
      <w:r w:rsidRPr="0048778E">
        <w:rPr>
          <w:i/>
          <w:sz w:val="20"/>
        </w:rPr>
        <w:t>(</w:t>
      </w:r>
      <w:r w:rsidR="003C50BF" w:rsidRPr="0048778E">
        <w:rPr>
          <w:i/>
          <w:sz w:val="20"/>
        </w:rPr>
        <w:t>Le</w:t>
      </w:r>
      <w:r w:rsidRPr="0048778E">
        <w:rPr>
          <w:i/>
          <w:sz w:val="20"/>
        </w:rPr>
        <w:t xml:space="preserve"> français suit)</w:t>
      </w:r>
    </w:p>
    <w:p w:rsidR="001C4415" w:rsidRPr="0048778E" w:rsidRDefault="001C4415" w:rsidP="001C4415">
      <w:pPr>
        <w:widowControl w:val="0"/>
      </w:pPr>
    </w:p>
    <w:p w:rsidR="001C4415" w:rsidRPr="0048778E" w:rsidRDefault="000347C1" w:rsidP="00214729">
      <w:pPr>
        <w:widowControl w:val="0"/>
        <w:jc w:val="center"/>
        <w:rPr>
          <w:b/>
        </w:rPr>
      </w:pPr>
      <w:r w:rsidRPr="0048778E">
        <w:fldChar w:fldCharType="begin"/>
      </w:r>
      <w:r w:rsidR="00FA7412" w:rsidRPr="0048778E">
        <w:instrText xml:space="preserve"> SEQ CHAPTER \h \r 1</w:instrText>
      </w:r>
      <w:r w:rsidRPr="0048778E">
        <w:fldChar w:fldCharType="end"/>
      </w:r>
      <w:r w:rsidR="00455BB9" w:rsidRPr="0048778E">
        <w:rPr>
          <w:b/>
        </w:rPr>
        <w:t>JUDGMENT</w:t>
      </w:r>
      <w:r w:rsidR="00FA7412" w:rsidRPr="0048778E">
        <w:rPr>
          <w:b/>
        </w:rPr>
        <w:t xml:space="preserve"> TO BE RENDERED </w:t>
      </w:r>
      <w:r w:rsidR="00E43F22" w:rsidRPr="0048778E">
        <w:rPr>
          <w:b/>
        </w:rPr>
        <w:t>O</w:t>
      </w:r>
      <w:r w:rsidR="00FA7412" w:rsidRPr="0048778E">
        <w:rPr>
          <w:b/>
        </w:rPr>
        <w:t>N APPEA</w:t>
      </w:r>
      <w:r w:rsidR="00CC2799" w:rsidRPr="0048778E">
        <w:rPr>
          <w:b/>
        </w:rPr>
        <w:t>L</w:t>
      </w:r>
    </w:p>
    <w:p w:rsidR="005A7C1B" w:rsidRPr="0048778E" w:rsidRDefault="005A7C1B" w:rsidP="005A7C1B">
      <w:pPr>
        <w:widowControl w:val="0"/>
      </w:pPr>
    </w:p>
    <w:p w:rsidR="00EC79B0" w:rsidRPr="0048778E" w:rsidRDefault="003B1996" w:rsidP="00EC79B0">
      <w:pPr>
        <w:widowControl w:val="0"/>
      </w:pPr>
      <w:r w:rsidRPr="0048778E">
        <w:rPr>
          <w:b/>
        </w:rPr>
        <w:t>November</w:t>
      </w:r>
      <w:r w:rsidR="00C86395" w:rsidRPr="0048778E">
        <w:rPr>
          <w:b/>
        </w:rPr>
        <w:t xml:space="preserve"> </w:t>
      </w:r>
      <w:r w:rsidR="00B151F7">
        <w:rPr>
          <w:b/>
        </w:rPr>
        <w:t>7</w:t>
      </w:r>
      <w:r w:rsidR="00EC79B0" w:rsidRPr="0048778E">
        <w:rPr>
          <w:b/>
        </w:rPr>
        <w:t>, 2</w:t>
      </w:r>
      <w:r w:rsidR="00E6600C" w:rsidRPr="0048778E">
        <w:rPr>
          <w:b/>
        </w:rPr>
        <w:t>0</w:t>
      </w:r>
      <w:r w:rsidR="009544E9" w:rsidRPr="0048778E">
        <w:rPr>
          <w:b/>
        </w:rPr>
        <w:t>2</w:t>
      </w:r>
      <w:r w:rsidR="002C55FE" w:rsidRPr="0048778E">
        <w:rPr>
          <w:b/>
        </w:rPr>
        <w:t>3</w:t>
      </w:r>
    </w:p>
    <w:p w:rsidR="00EC79B0" w:rsidRPr="0048778E" w:rsidRDefault="00EC79B0" w:rsidP="00EC79B0">
      <w:pPr>
        <w:widowControl w:val="0"/>
      </w:pPr>
    </w:p>
    <w:p w:rsidR="00EC79B0" w:rsidRPr="0048778E" w:rsidRDefault="00EC79B0" w:rsidP="00EC79B0">
      <w:pPr>
        <w:widowControl w:val="0"/>
      </w:pPr>
      <w:r w:rsidRPr="0048778E">
        <w:rPr>
          <w:b/>
        </w:rPr>
        <w:t>OTTAWA</w:t>
      </w:r>
      <w:r w:rsidRPr="0048778E">
        <w:t xml:space="preserve"> – </w:t>
      </w:r>
      <w:r w:rsidR="0095505F" w:rsidRPr="0048778E">
        <w:t xml:space="preserve">The Supreme Court of Canada will deliver its judgment on the following appeal at 9:45 a.m. ET on Friday, </w:t>
      </w:r>
      <w:r w:rsidR="003B1996" w:rsidRPr="0048778E">
        <w:t>November</w:t>
      </w:r>
      <w:r w:rsidR="0095505F" w:rsidRPr="0048778E">
        <w:t xml:space="preserve"> </w:t>
      </w:r>
      <w:r w:rsidR="003B1996" w:rsidRPr="0048778E">
        <w:t>1</w:t>
      </w:r>
      <w:r w:rsidR="0048778E" w:rsidRPr="0048778E">
        <w:t>0</w:t>
      </w:r>
      <w:r w:rsidR="0095505F" w:rsidRPr="0048778E">
        <w:t>, 2023.</w:t>
      </w:r>
    </w:p>
    <w:p w:rsidR="001F76DD" w:rsidRPr="0048778E" w:rsidRDefault="001F76DD" w:rsidP="001C4415">
      <w:pPr>
        <w:widowControl w:val="0"/>
        <w:rPr>
          <w:szCs w:val="24"/>
        </w:rPr>
      </w:pPr>
    </w:p>
    <w:p w:rsidR="00A97E61" w:rsidRPr="0048778E" w:rsidRDefault="00A97E61" w:rsidP="001C4415">
      <w:pPr>
        <w:widowControl w:val="0"/>
        <w:rPr>
          <w:szCs w:val="24"/>
        </w:rPr>
      </w:pPr>
    </w:p>
    <w:p w:rsidR="00A63AD0" w:rsidRPr="0048778E" w:rsidRDefault="0048778E" w:rsidP="00A63AD0">
      <w:pPr>
        <w:jc w:val="both"/>
        <w:rPr>
          <w:szCs w:val="24"/>
        </w:rPr>
      </w:pPr>
      <w:r w:rsidRPr="0048778E">
        <w:rPr>
          <w:i/>
          <w:szCs w:val="24"/>
        </w:rPr>
        <w:t>Corporation of the City of Greater Sudbury v. Ministry of the Attorney General (Ministry of Labour, Training and Skills Development)</w:t>
      </w:r>
      <w:r w:rsidR="00B238AF" w:rsidRPr="0048778E">
        <w:rPr>
          <w:i/>
          <w:szCs w:val="24"/>
        </w:rPr>
        <w:t xml:space="preserve"> </w:t>
      </w:r>
      <w:r w:rsidR="00A63AD0" w:rsidRPr="0048778E">
        <w:rPr>
          <w:szCs w:val="24"/>
        </w:rPr>
        <w:t>(</w:t>
      </w:r>
      <w:r w:rsidRPr="0048778E">
        <w:rPr>
          <w:szCs w:val="24"/>
        </w:rPr>
        <w:t>Ont</w:t>
      </w:r>
      <w:r w:rsidR="00A63AD0" w:rsidRPr="0048778E">
        <w:rPr>
          <w:szCs w:val="24"/>
        </w:rPr>
        <w:t>.) (</w:t>
      </w:r>
      <w:hyperlink r:id="rId7" w:history="1">
        <w:r w:rsidR="00B238AF" w:rsidRPr="0048778E">
          <w:rPr>
            <w:rStyle w:val="Hyperlink"/>
            <w:szCs w:val="24"/>
          </w:rPr>
          <w:t>39</w:t>
        </w:r>
        <w:r w:rsidRPr="0048778E">
          <w:rPr>
            <w:rStyle w:val="Hyperlink"/>
            <w:szCs w:val="24"/>
          </w:rPr>
          <w:t>754</w:t>
        </w:r>
      </w:hyperlink>
      <w:r w:rsidR="00A63AD0" w:rsidRPr="0048778E">
        <w:rPr>
          <w:szCs w:val="24"/>
        </w:rPr>
        <w:t>)</w:t>
      </w:r>
    </w:p>
    <w:p w:rsidR="0048778E" w:rsidRPr="0048778E" w:rsidRDefault="0048778E" w:rsidP="00A63AD0">
      <w:pPr>
        <w:jc w:val="both"/>
        <w:rPr>
          <w:sz w:val="20"/>
        </w:rPr>
      </w:pPr>
    </w:p>
    <w:bookmarkStart w:id="0" w:name="1"/>
    <w:bookmarkEnd w:id="0"/>
    <w:p w:rsidR="0048778E" w:rsidRPr="0048778E" w:rsidRDefault="0048778E" w:rsidP="001774AC">
      <w:pPr>
        <w:widowControl w:val="0"/>
        <w:tabs>
          <w:tab w:val="left" w:pos="720"/>
        </w:tabs>
        <w:ind w:left="720" w:hanging="720"/>
        <w:jc w:val="both"/>
        <w:rPr>
          <w:b/>
          <w:i/>
          <w:sz w:val="20"/>
          <w:lang w:val="en-CA"/>
        </w:rPr>
      </w:pPr>
      <w:r w:rsidRPr="0048778E">
        <w:rPr>
          <w:b/>
          <w:sz w:val="20"/>
          <w:lang w:val="en-CA"/>
        </w:rPr>
        <w:fldChar w:fldCharType="begin"/>
      </w:r>
      <w:r w:rsidRPr="0048778E">
        <w:rPr>
          <w:b/>
          <w:sz w:val="20"/>
        </w:rPr>
        <w:instrText xml:space="preserve"> SEQ CHAPTER \h \r 1</w:instrText>
      </w:r>
      <w:r w:rsidRPr="0048778E">
        <w:rPr>
          <w:b/>
          <w:sz w:val="20"/>
        </w:rPr>
        <w:fldChar w:fldCharType="end"/>
      </w:r>
      <w:r w:rsidRPr="0048778E">
        <w:rPr>
          <w:b/>
          <w:sz w:val="20"/>
          <w:lang w:val="en-CA"/>
        </w:rPr>
        <w:t>39754</w:t>
      </w:r>
      <w:r w:rsidRPr="0048778E">
        <w:rPr>
          <w:sz w:val="20"/>
          <w:lang w:val="en-CA"/>
        </w:rPr>
        <w:tab/>
      </w:r>
      <w:bookmarkStart w:id="1" w:name="3"/>
      <w:bookmarkEnd w:id="1"/>
      <w:r w:rsidRPr="0048778E">
        <w:rPr>
          <w:b/>
          <w:i/>
          <w:sz w:val="20"/>
        </w:rPr>
        <w:t>Corporation of the City of Greater Sudbury</w:t>
      </w:r>
      <w:r w:rsidRPr="0048778E">
        <w:rPr>
          <w:rStyle w:val="HeaderChar"/>
          <w:i/>
          <w:color w:val="333333"/>
          <w:sz w:val="20"/>
          <w:lang w:val="en"/>
        </w:rPr>
        <w:t xml:space="preserve"> </w:t>
      </w:r>
      <w:r w:rsidRPr="0048778E">
        <w:rPr>
          <w:rStyle w:val="Strong"/>
          <w:i/>
          <w:color w:val="333333"/>
          <w:sz w:val="20"/>
          <w:lang w:val="en"/>
        </w:rPr>
        <w:t xml:space="preserve">v. </w:t>
      </w:r>
      <w:r w:rsidRPr="0048778E">
        <w:rPr>
          <w:b/>
          <w:i/>
          <w:sz w:val="20"/>
        </w:rPr>
        <w:t>Ministry of the Attorney General (Ministry of Labour, Training and Skills Development)</w:t>
      </w:r>
    </w:p>
    <w:p w:rsidR="0048778E" w:rsidRPr="0048778E" w:rsidRDefault="0048778E" w:rsidP="001774AC">
      <w:pPr>
        <w:widowControl w:val="0"/>
        <w:tabs>
          <w:tab w:val="left" w:pos="720"/>
        </w:tabs>
        <w:ind w:left="1440" w:hanging="1440"/>
        <w:jc w:val="both"/>
        <w:rPr>
          <w:sz w:val="20"/>
          <w:lang w:val="en-CA"/>
        </w:rPr>
      </w:pPr>
      <w:r w:rsidRPr="0048778E">
        <w:rPr>
          <w:sz w:val="20"/>
          <w:lang w:val="en-CA"/>
        </w:rPr>
        <w:tab/>
        <w:t>(Ont.) (Civil) (By Leave)</w:t>
      </w:r>
    </w:p>
    <w:p w:rsidR="0048778E" w:rsidRPr="0048778E" w:rsidRDefault="0048778E" w:rsidP="00260190">
      <w:pPr>
        <w:widowControl w:val="0"/>
        <w:jc w:val="both"/>
        <w:rPr>
          <w:sz w:val="20"/>
          <w:lang w:val="en-CA"/>
        </w:rPr>
      </w:pPr>
    </w:p>
    <w:p w:rsidR="0048778E" w:rsidRPr="0048778E" w:rsidRDefault="0048778E" w:rsidP="00E3740F">
      <w:pPr>
        <w:widowControl w:val="0"/>
        <w:jc w:val="both"/>
        <w:rPr>
          <w:bCs/>
          <w:color w:val="212121"/>
          <w:sz w:val="20"/>
        </w:rPr>
      </w:pPr>
      <w:r w:rsidRPr="0048778E">
        <w:rPr>
          <w:sz w:val="20"/>
        </w:rPr>
        <w:t xml:space="preserve">Provincial offences </w:t>
      </w:r>
      <w:r w:rsidRPr="0048778E">
        <w:rPr>
          <w:sz w:val="20"/>
          <w:lang w:val="en"/>
        </w:rPr>
        <w:t xml:space="preserve">— </w:t>
      </w:r>
      <w:r w:rsidRPr="0048778E">
        <w:rPr>
          <w:bCs/>
          <w:color w:val="212121"/>
          <w:sz w:val="20"/>
        </w:rPr>
        <w:t xml:space="preserve">Occupational health and safety </w:t>
      </w:r>
      <w:r w:rsidRPr="0048778E">
        <w:rPr>
          <w:sz w:val="20"/>
          <w:lang w:val="en"/>
        </w:rPr>
        <w:t xml:space="preserve">— </w:t>
      </w:r>
      <w:r w:rsidRPr="0048778E">
        <w:rPr>
          <w:color w:val="000000"/>
          <w:sz w:val="20"/>
        </w:rPr>
        <w:t xml:space="preserve">Whether the owner of a construction project which had contracted the construction out to a third party to act as the constructor was the employer pursuant to s. 1(1) of the </w:t>
      </w:r>
      <w:r w:rsidRPr="0048778E">
        <w:rPr>
          <w:i/>
          <w:color w:val="000000"/>
          <w:sz w:val="20"/>
        </w:rPr>
        <w:t>Occupational Health and Safety Act</w:t>
      </w:r>
      <w:r w:rsidRPr="0048778E">
        <w:rPr>
          <w:color w:val="000000"/>
          <w:sz w:val="20"/>
        </w:rPr>
        <w:t>, R.S.O. 1990, c. 0.1, and responsible for workplace safety?</w:t>
      </w:r>
    </w:p>
    <w:p w:rsidR="0048778E" w:rsidRPr="0048778E" w:rsidRDefault="0048778E" w:rsidP="00260190">
      <w:pPr>
        <w:jc w:val="both"/>
        <w:rPr>
          <w:sz w:val="20"/>
        </w:rPr>
      </w:pPr>
    </w:p>
    <w:p w:rsidR="0048778E" w:rsidRPr="0048778E" w:rsidRDefault="0048778E" w:rsidP="00B450F8">
      <w:pPr>
        <w:widowControl w:val="0"/>
        <w:jc w:val="both"/>
        <w:rPr>
          <w:sz w:val="20"/>
          <w:lang w:val="en"/>
        </w:rPr>
      </w:pPr>
      <w:r w:rsidRPr="0048778E">
        <w:rPr>
          <w:sz w:val="20"/>
          <w:lang w:val="en"/>
        </w:rPr>
        <w:t xml:space="preserve">The City of Greater Sudbury contracted Interpaving Limited to repair utilities and to repave streets affected by the repairs. An employee of Interpaving Limited operating a road grader struck and killed a pedestrian who was attempting to cross a street in the construction zone. Safety measures required by legislation were not in place. The Ministry of Labour charged the City as a “constructor” and an “employer” under the </w:t>
      </w:r>
      <w:r w:rsidRPr="0048778E">
        <w:rPr>
          <w:i/>
          <w:iCs/>
          <w:color w:val="262626" w:themeColor="text1" w:themeTint="D9"/>
          <w:sz w:val="20"/>
          <w:lang w:val="en"/>
        </w:rPr>
        <w:t>Occupational Health and Safety Act</w:t>
      </w:r>
      <w:r w:rsidRPr="0048778E">
        <w:rPr>
          <w:color w:val="000000"/>
          <w:sz w:val="20"/>
        </w:rPr>
        <w:t xml:space="preserve">, R.S.O. 1990, c. 0.1, and </w:t>
      </w:r>
      <w:r w:rsidRPr="0048778E">
        <w:rPr>
          <w:i/>
          <w:sz w:val="20"/>
          <w:lang w:val="en"/>
        </w:rPr>
        <w:t>Construction Projects</w:t>
      </w:r>
      <w:r w:rsidRPr="0048778E">
        <w:rPr>
          <w:sz w:val="20"/>
          <w:lang w:val="en"/>
        </w:rPr>
        <w:t>, O. Reg</w:t>
      </w:r>
      <w:r w:rsidRPr="0048778E">
        <w:rPr>
          <w:i/>
          <w:sz w:val="20"/>
          <w:lang w:val="en"/>
        </w:rPr>
        <w:t xml:space="preserve">. </w:t>
      </w:r>
      <w:r w:rsidRPr="0048778E">
        <w:rPr>
          <w:sz w:val="20"/>
          <w:lang w:val="en"/>
        </w:rPr>
        <w:t xml:space="preserve">213/9. The Ontario Court of Justice acquitted the City on all charges. The Ontario Superior Court of Justice dismissed an appeal. The Court of Appeal granted leave to appeal in respect of the three charges against the City as an employer and set aside the acquittals on those charges. The Crown conceded that the factual findings to determine guilt on one count had not been made at trial. The Court of Appeal remanded the case to the Ontario Superior Court of Justice to hear an appeal raising whether the City had established a defence of due diligence in respect of the other two charges. </w:t>
      </w:r>
    </w:p>
    <w:p w:rsidR="00A97E61" w:rsidRPr="0048778E" w:rsidRDefault="00A97E61" w:rsidP="001C4415">
      <w:pPr>
        <w:widowControl w:val="0"/>
        <w:rPr>
          <w:szCs w:val="24"/>
        </w:rPr>
      </w:pPr>
    </w:p>
    <w:p w:rsidR="0048778E" w:rsidRPr="0048778E" w:rsidRDefault="0048778E" w:rsidP="001C4415">
      <w:pPr>
        <w:widowControl w:val="0"/>
        <w:rPr>
          <w:szCs w:val="24"/>
        </w:rPr>
      </w:pPr>
    </w:p>
    <w:p w:rsidR="00A97E61" w:rsidRPr="0048778E" w:rsidRDefault="001F0BFA"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48778E" w:rsidRDefault="00A97E61" w:rsidP="001C4415">
      <w:pPr>
        <w:widowControl w:val="0"/>
        <w:rPr>
          <w:szCs w:val="24"/>
          <w:lang w:val="fr-CA"/>
        </w:rPr>
      </w:pPr>
    </w:p>
    <w:p w:rsidR="001C4415" w:rsidRPr="0048778E" w:rsidRDefault="001C4415" w:rsidP="001C4415">
      <w:pPr>
        <w:widowControl w:val="0"/>
        <w:rPr>
          <w:lang w:val="fr-CA"/>
        </w:rPr>
      </w:pPr>
    </w:p>
    <w:p w:rsidR="001335A1" w:rsidRPr="0048778E" w:rsidRDefault="001335A1" w:rsidP="001335A1">
      <w:pPr>
        <w:widowControl w:val="0"/>
        <w:jc w:val="center"/>
        <w:rPr>
          <w:b/>
          <w:lang w:val="fr-CA"/>
        </w:rPr>
      </w:pPr>
      <w:r w:rsidRPr="0048778E">
        <w:rPr>
          <w:b/>
          <w:lang w:val="fr-CA"/>
        </w:rPr>
        <w:t>PROCHAIN JUGEMENT</w:t>
      </w:r>
      <w:r w:rsidR="00455BB9" w:rsidRPr="0048778E">
        <w:rPr>
          <w:b/>
          <w:lang w:val="fr-CA"/>
        </w:rPr>
        <w:t xml:space="preserve"> SUR APPEL</w:t>
      </w:r>
    </w:p>
    <w:p w:rsidR="001335A1" w:rsidRPr="0048778E" w:rsidRDefault="001335A1" w:rsidP="001335A1">
      <w:pPr>
        <w:widowControl w:val="0"/>
        <w:rPr>
          <w:lang w:val="fr-CA"/>
        </w:rPr>
      </w:pPr>
    </w:p>
    <w:p w:rsidR="00EC79B0" w:rsidRPr="0048778E" w:rsidRDefault="00EC79B0" w:rsidP="00EC79B0">
      <w:pPr>
        <w:widowControl w:val="0"/>
        <w:rPr>
          <w:lang w:val="fr-CA"/>
        </w:rPr>
      </w:pPr>
      <w:r w:rsidRPr="0048778E">
        <w:rPr>
          <w:b/>
          <w:lang w:val="fr-CA"/>
        </w:rPr>
        <w:t xml:space="preserve">Le </w:t>
      </w:r>
      <w:r w:rsidR="00B151F7">
        <w:rPr>
          <w:b/>
          <w:lang w:val="fr-CA"/>
        </w:rPr>
        <w:t>7</w:t>
      </w:r>
      <w:r w:rsidR="00FA5450" w:rsidRPr="0048778E">
        <w:rPr>
          <w:b/>
          <w:lang w:val="fr-CA"/>
        </w:rPr>
        <w:t xml:space="preserve"> </w:t>
      </w:r>
      <w:r w:rsidR="003B1996" w:rsidRPr="0048778E">
        <w:rPr>
          <w:b/>
          <w:lang w:val="fr-CA"/>
        </w:rPr>
        <w:t>novembre</w:t>
      </w:r>
      <w:r w:rsidR="00C86395" w:rsidRPr="0048778E">
        <w:rPr>
          <w:b/>
          <w:lang w:val="fr-CA"/>
        </w:rPr>
        <w:t xml:space="preserve"> </w:t>
      </w:r>
      <w:r w:rsidR="0086609D" w:rsidRPr="0048778E">
        <w:rPr>
          <w:b/>
          <w:lang w:val="fr-CA"/>
        </w:rPr>
        <w:t>20</w:t>
      </w:r>
      <w:r w:rsidR="009544E9" w:rsidRPr="0048778E">
        <w:rPr>
          <w:b/>
          <w:lang w:val="fr-CA"/>
        </w:rPr>
        <w:t>2</w:t>
      </w:r>
      <w:r w:rsidR="002C55FE" w:rsidRPr="0048778E">
        <w:rPr>
          <w:b/>
          <w:lang w:val="fr-CA"/>
        </w:rPr>
        <w:t>3</w:t>
      </w:r>
    </w:p>
    <w:p w:rsidR="00EC79B0" w:rsidRPr="0048778E" w:rsidRDefault="00EC79B0" w:rsidP="00EC79B0">
      <w:pPr>
        <w:widowControl w:val="0"/>
        <w:rPr>
          <w:lang w:val="fr-CA"/>
        </w:rPr>
      </w:pPr>
    </w:p>
    <w:p w:rsidR="00EC79B0" w:rsidRPr="0048778E" w:rsidRDefault="00EC79B0" w:rsidP="00EC79B0">
      <w:pPr>
        <w:widowControl w:val="0"/>
        <w:rPr>
          <w:lang w:val="fr-CA"/>
        </w:rPr>
      </w:pPr>
      <w:r w:rsidRPr="0048778E">
        <w:rPr>
          <w:b/>
          <w:lang w:val="fr-CA"/>
        </w:rPr>
        <w:t>OTTAWA</w:t>
      </w:r>
      <w:r w:rsidRPr="0048778E">
        <w:rPr>
          <w:lang w:val="fr-CA"/>
        </w:rPr>
        <w:t xml:space="preserve"> – </w:t>
      </w:r>
      <w:r w:rsidR="0095505F" w:rsidRPr="0048778E">
        <w:rPr>
          <w:lang w:val="fr-CA"/>
        </w:rPr>
        <w:t>La Cour suprême du Canada rendra jugement dans l</w:t>
      </w:r>
      <w:r w:rsidR="0097593C" w:rsidRPr="0048778E">
        <w:rPr>
          <w:lang w:val="fr-CA"/>
        </w:rPr>
        <w:t>’</w:t>
      </w:r>
      <w:r w:rsidR="0095505F" w:rsidRPr="0048778E">
        <w:rPr>
          <w:lang w:val="fr-CA"/>
        </w:rPr>
        <w:t xml:space="preserve">appel suivant le vendredi </w:t>
      </w:r>
      <w:r w:rsidR="003B1996" w:rsidRPr="0048778E">
        <w:rPr>
          <w:lang w:val="fr-CA"/>
        </w:rPr>
        <w:t>1</w:t>
      </w:r>
      <w:r w:rsidR="0048778E" w:rsidRPr="0048778E">
        <w:rPr>
          <w:lang w:val="fr-CA"/>
        </w:rPr>
        <w:t>0</w:t>
      </w:r>
      <w:r w:rsidR="0095505F" w:rsidRPr="0048778E">
        <w:rPr>
          <w:lang w:val="fr-CA"/>
        </w:rPr>
        <w:t xml:space="preserve"> </w:t>
      </w:r>
      <w:r w:rsidR="003B1996" w:rsidRPr="0048778E">
        <w:rPr>
          <w:lang w:val="fr-CA"/>
        </w:rPr>
        <w:t>novembre</w:t>
      </w:r>
      <w:r w:rsidR="0095505F" w:rsidRPr="0048778E">
        <w:rPr>
          <w:lang w:val="fr-CA"/>
        </w:rPr>
        <w:t xml:space="preserve"> 2023, à 9 h 45 HE.</w:t>
      </w:r>
    </w:p>
    <w:p w:rsidR="001F76DD" w:rsidRPr="0048778E" w:rsidRDefault="001F76DD" w:rsidP="00E92006">
      <w:pPr>
        <w:widowControl w:val="0"/>
        <w:jc w:val="both"/>
        <w:rPr>
          <w:szCs w:val="24"/>
          <w:lang w:val="fr-CA"/>
        </w:rPr>
      </w:pPr>
      <w:bookmarkStart w:id="2" w:name="_GoBack"/>
      <w:bookmarkEnd w:id="2"/>
    </w:p>
    <w:p w:rsidR="00CD1374" w:rsidRPr="0048778E" w:rsidRDefault="00CD1374" w:rsidP="00E92006">
      <w:pPr>
        <w:widowControl w:val="0"/>
        <w:jc w:val="both"/>
        <w:rPr>
          <w:szCs w:val="24"/>
          <w:lang w:val="fr-CA"/>
        </w:rPr>
      </w:pPr>
    </w:p>
    <w:p w:rsidR="00CD1374" w:rsidRPr="0048778E" w:rsidRDefault="0048778E" w:rsidP="00CD1374">
      <w:pPr>
        <w:jc w:val="both"/>
        <w:rPr>
          <w:szCs w:val="24"/>
          <w:lang w:val="fr-CA"/>
        </w:rPr>
      </w:pPr>
      <w:r w:rsidRPr="0048778E">
        <w:rPr>
          <w:i/>
          <w:szCs w:val="24"/>
          <w:lang w:val="fr-CA"/>
        </w:rPr>
        <w:t>Ville du Grand Sudbury c. Ministère du Procureur Général (Ministère du Travail, de la formation et du développement des compétences)</w:t>
      </w:r>
      <w:r w:rsidR="00EF5D65" w:rsidRPr="0048778E">
        <w:rPr>
          <w:i/>
          <w:szCs w:val="24"/>
          <w:lang w:val="fr-CA"/>
        </w:rPr>
        <w:t xml:space="preserve"> </w:t>
      </w:r>
      <w:r w:rsidR="00CD1374" w:rsidRPr="0048778E">
        <w:rPr>
          <w:szCs w:val="24"/>
          <w:lang w:val="fr-CA"/>
        </w:rPr>
        <w:t>(</w:t>
      </w:r>
      <w:r w:rsidRPr="0048778E">
        <w:rPr>
          <w:szCs w:val="24"/>
          <w:lang w:val="fr-CA"/>
        </w:rPr>
        <w:t>Ont.</w:t>
      </w:r>
      <w:r w:rsidR="00CD1374" w:rsidRPr="0048778E">
        <w:rPr>
          <w:szCs w:val="24"/>
          <w:lang w:val="fr-CA"/>
        </w:rPr>
        <w:t>) (</w:t>
      </w:r>
      <w:hyperlink r:id="rId8" w:history="1">
        <w:r w:rsidR="00EF5D65" w:rsidRPr="0048778E">
          <w:rPr>
            <w:rStyle w:val="Hyperlink"/>
            <w:szCs w:val="24"/>
            <w:lang w:val="fr-CA"/>
          </w:rPr>
          <w:t>39</w:t>
        </w:r>
        <w:r w:rsidRPr="0048778E">
          <w:rPr>
            <w:rStyle w:val="Hyperlink"/>
            <w:szCs w:val="24"/>
            <w:lang w:val="fr-CA"/>
          </w:rPr>
          <w:t>754</w:t>
        </w:r>
      </w:hyperlink>
      <w:r w:rsidR="00CD1374" w:rsidRPr="0048778E">
        <w:rPr>
          <w:szCs w:val="24"/>
          <w:lang w:val="fr-CA"/>
        </w:rPr>
        <w:t>)</w:t>
      </w:r>
    </w:p>
    <w:p w:rsidR="00CD1374" w:rsidRPr="0048778E" w:rsidRDefault="00CD1374" w:rsidP="00CD1374">
      <w:pPr>
        <w:jc w:val="both"/>
        <w:rPr>
          <w:sz w:val="20"/>
          <w:lang w:val="fr-CA"/>
        </w:rPr>
      </w:pPr>
    </w:p>
    <w:p w:rsidR="0048778E" w:rsidRPr="0048778E" w:rsidRDefault="0048778E" w:rsidP="0048778E">
      <w:pPr>
        <w:ind w:left="720" w:hanging="720"/>
        <w:jc w:val="both"/>
        <w:rPr>
          <w:b/>
          <w:i/>
          <w:sz w:val="20"/>
          <w:lang w:val="fr-CA"/>
        </w:rPr>
      </w:pPr>
      <w:r w:rsidRPr="0048778E">
        <w:rPr>
          <w:rStyle w:val="SCCFileNumberChar"/>
          <w:sz w:val="20"/>
          <w:szCs w:val="20"/>
          <w:lang w:val="fr-CA"/>
        </w:rPr>
        <w:t>39754</w:t>
      </w:r>
      <w:r w:rsidRPr="0048778E">
        <w:rPr>
          <w:rStyle w:val="SCCFileNumberChar"/>
          <w:sz w:val="20"/>
          <w:szCs w:val="20"/>
          <w:lang w:val="fr-CA"/>
        </w:rPr>
        <w:tab/>
      </w:r>
      <w:r w:rsidRPr="0048778E">
        <w:rPr>
          <w:b/>
          <w:i/>
          <w:sz w:val="20"/>
          <w:lang w:val="fr-CA"/>
        </w:rPr>
        <w:t>Ville du Grand Sudbury c</w:t>
      </w:r>
      <w:r w:rsidRPr="001F0BFA">
        <w:rPr>
          <w:b/>
          <w:i/>
          <w:sz w:val="20"/>
          <w:lang w:val="fr-CA"/>
        </w:rPr>
        <w:t xml:space="preserve">. </w:t>
      </w:r>
      <w:r w:rsidRPr="001F0BFA">
        <w:rPr>
          <w:rStyle w:val="Strong"/>
          <w:i/>
          <w:sz w:val="20"/>
          <w:lang w:val="fr-CA"/>
        </w:rPr>
        <w:t>Ministère du Procureur général (</w:t>
      </w:r>
      <w:r w:rsidRPr="001F0BFA">
        <w:rPr>
          <w:b/>
          <w:i/>
          <w:sz w:val="20"/>
          <w:lang w:val="fr-CA"/>
        </w:rPr>
        <w:t xml:space="preserve">Ministère </w:t>
      </w:r>
      <w:r w:rsidRPr="0048778E">
        <w:rPr>
          <w:b/>
          <w:i/>
          <w:color w:val="000000"/>
          <w:sz w:val="20"/>
          <w:lang w:val="fr-CA"/>
        </w:rPr>
        <w:t>du Travail, de la Formation et du Développement des compétences</w:t>
      </w:r>
      <w:r w:rsidRPr="0048778E">
        <w:rPr>
          <w:rStyle w:val="Strong"/>
          <w:i/>
          <w:color w:val="333333"/>
          <w:sz w:val="20"/>
          <w:lang w:val="fr-CA"/>
        </w:rPr>
        <w:t>)</w:t>
      </w:r>
    </w:p>
    <w:p w:rsidR="0048778E" w:rsidRPr="0048778E" w:rsidRDefault="0048778E" w:rsidP="0048778E">
      <w:pPr>
        <w:ind w:left="360" w:firstLine="360"/>
        <w:jc w:val="both"/>
        <w:rPr>
          <w:sz w:val="20"/>
          <w:lang w:val="fr-CA"/>
        </w:rPr>
      </w:pPr>
      <w:r w:rsidRPr="0048778E">
        <w:rPr>
          <w:sz w:val="20"/>
          <w:lang w:val="fr-CA"/>
        </w:rPr>
        <w:t>(Ont.) (Civile) (Sur autorisation)</w:t>
      </w:r>
    </w:p>
    <w:p w:rsidR="0048778E" w:rsidRPr="0048778E" w:rsidRDefault="0048778E" w:rsidP="0048778E">
      <w:pPr>
        <w:jc w:val="both"/>
        <w:rPr>
          <w:sz w:val="20"/>
          <w:lang w:val="fr-CA"/>
        </w:rPr>
      </w:pPr>
    </w:p>
    <w:p w:rsidR="0048778E" w:rsidRPr="0048778E" w:rsidRDefault="0048778E" w:rsidP="0048778E">
      <w:pPr>
        <w:jc w:val="both"/>
        <w:rPr>
          <w:sz w:val="20"/>
          <w:lang w:val="fr-CA"/>
        </w:rPr>
      </w:pPr>
      <w:r w:rsidRPr="0048778E">
        <w:rPr>
          <w:sz w:val="20"/>
          <w:lang w:val="fr-CA"/>
        </w:rPr>
        <w:t>Infractions provinciales — Santé et sécurité au travail</w:t>
      </w:r>
      <w:r w:rsidRPr="0048778E">
        <w:rPr>
          <w:bCs/>
          <w:color w:val="212121"/>
          <w:sz w:val="20"/>
          <w:lang w:val="fr-CA"/>
        </w:rPr>
        <w:t xml:space="preserve"> —</w:t>
      </w:r>
      <w:r w:rsidRPr="0048778E">
        <w:rPr>
          <w:sz w:val="20"/>
          <w:lang w:val="fr-CA"/>
        </w:rPr>
        <w:t xml:space="preserve"> Le propriétaire d’un chantier de construction, qui avait engagé par contrat un tiers pour effectuer des travaux de construction en tant que constructeur, était</w:t>
      </w:r>
      <w:r w:rsidRPr="0048778E">
        <w:rPr>
          <w:sz w:val="20"/>
          <w:lang w:val="fr-CA"/>
        </w:rPr>
        <w:noBreakHyphen/>
        <w:t xml:space="preserve">il l’employeur au titre du par. 1(1) de la </w:t>
      </w:r>
      <w:r w:rsidRPr="0048778E">
        <w:rPr>
          <w:i/>
          <w:sz w:val="20"/>
          <w:lang w:val="fr-CA"/>
        </w:rPr>
        <w:t>Loi sur la santé et la sécurité au travail</w:t>
      </w:r>
      <w:r w:rsidRPr="0048778E">
        <w:rPr>
          <w:spacing w:val="-4"/>
          <w:sz w:val="20"/>
          <w:lang w:val="fr-CA"/>
        </w:rPr>
        <w:t>, L.R.O. 1990, ch. 0.1, et responsable de la sécurité au travail </w:t>
      </w:r>
      <w:r w:rsidRPr="0048778E">
        <w:rPr>
          <w:sz w:val="20"/>
          <w:lang w:val="fr-CA"/>
        </w:rPr>
        <w:t>?</w:t>
      </w:r>
    </w:p>
    <w:p w:rsidR="0048778E" w:rsidRPr="0048778E" w:rsidRDefault="0048778E" w:rsidP="0048778E">
      <w:pPr>
        <w:jc w:val="both"/>
        <w:rPr>
          <w:sz w:val="20"/>
          <w:lang w:val="fr-CA"/>
        </w:rPr>
      </w:pPr>
    </w:p>
    <w:p w:rsidR="0048778E" w:rsidRPr="0048778E" w:rsidRDefault="0048778E" w:rsidP="0048778E">
      <w:pPr>
        <w:pStyle w:val="mainparagraph"/>
        <w:widowControl w:val="0"/>
        <w:spacing w:before="0" w:beforeAutospacing="0" w:after="0" w:afterAutospacing="0"/>
        <w:jc w:val="both"/>
        <w:rPr>
          <w:sz w:val="20"/>
          <w:szCs w:val="20"/>
          <w:lang w:val="fr-CA"/>
        </w:rPr>
      </w:pPr>
      <w:r w:rsidRPr="0048778E">
        <w:rPr>
          <w:sz w:val="20"/>
          <w:szCs w:val="20"/>
          <w:lang w:val="fr-CA"/>
        </w:rPr>
        <w:t>La Ville du Grand Sudbury a engagé par contrat Interpaving Limited afin d’effectuer des réparations relatives à des services publics et de repaver les rues touchées par ces réparations. Un employé d’Interpaving Limited qui opérait une niveleuse a percuté et tué un piéton qui tentait de traverser une rue dans la zone de construction. Les mesures de sécurité exigées par la législation n’avaient pas été mises en place. Le m</w:t>
      </w:r>
      <w:r w:rsidRPr="0048778E">
        <w:rPr>
          <w:color w:val="000000" w:themeColor="text1"/>
          <w:sz w:val="20"/>
          <w:szCs w:val="20"/>
          <w:lang w:val="fr-CA"/>
        </w:rPr>
        <w:t xml:space="preserve">inistre du Travail a accusé la Ville à titre de « constructeur » et d’« employeur » en vertu de </w:t>
      </w:r>
      <w:r w:rsidRPr="0048778E">
        <w:rPr>
          <w:sz w:val="20"/>
          <w:szCs w:val="20"/>
          <w:lang w:val="fr-CA"/>
        </w:rPr>
        <w:t xml:space="preserve">la </w:t>
      </w:r>
      <w:r w:rsidRPr="0048778E">
        <w:rPr>
          <w:i/>
          <w:sz w:val="20"/>
          <w:szCs w:val="20"/>
          <w:lang w:val="fr-CA"/>
        </w:rPr>
        <w:t>Loi sur la santé et la sécurité au travail</w:t>
      </w:r>
      <w:r w:rsidRPr="0048778E">
        <w:rPr>
          <w:spacing w:val="-4"/>
          <w:sz w:val="20"/>
          <w:szCs w:val="20"/>
          <w:lang w:val="fr-CA"/>
        </w:rPr>
        <w:t xml:space="preserve">, L.R.O. 1990, ch. 0.1 </w:t>
      </w:r>
      <w:r w:rsidRPr="0048778E">
        <w:rPr>
          <w:color w:val="000000" w:themeColor="text1"/>
          <w:sz w:val="20"/>
          <w:szCs w:val="20"/>
          <w:lang w:val="fr-CA"/>
        </w:rPr>
        <w:t xml:space="preserve">et du règlement intitulé </w:t>
      </w:r>
      <w:r w:rsidRPr="0048778E">
        <w:rPr>
          <w:i/>
          <w:sz w:val="20"/>
          <w:szCs w:val="20"/>
          <w:lang w:val="fr-CA"/>
        </w:rPr>
        <w:t>Chantiers de construction</w:t>
      </w:r>
      <w:r w:rsidRPr="0048778E">
        <w:rPr>
          <w:sz w:val="20"/>
          <w:szCs w:val="20"/>
          <w:lang w:val="fr-CA"/>
        </w:rPr>
        <w:t xml:space="preserve">, Règl. </w:t>
      </w:r>
      <w:proofErr w:type="gramStart"/>
      <w:r w:rsidRPr="0048778E">
        <w:rPr>
          <w:sz w:val="20"/>
          <w:szCs w:val="20"/>
          <w:lang w:val="fr-CA"/>
        </w:rPr>
        <w:t>de</w:t>
      </w:r>
      <w:proofErr w:type="gramEnd"/>
      <w:r w:rsidRPr="0048778E">
        <w:rPr>
          <w:sz w:val="20"/>
          <w:szCs w:val="20"/>
          <w:lang w:val="fr-CA"/>
        </w:rPr>
        <w:t xml:space="preserve"> l’Ont. 213/91. La Cour de justice de l’Ontario a acquitté la Ville de toutes les accusations portées contre elle. La Cour supérieure de justice de l’Ontario a rejeté l’appel. La Cour d’appel a accueilli la demande d’autorisation d’appel à l’égard des trois accusations portées contre la Ville à titre d’employeur et a annulé les acquittements inscrits quant à ces accusations. Le ministère public a reconnu que les conclusions de fait pour déterminer la culpabilité à l’égard d’un des chefs d’accusation n’avaient pas été tirées au procès. La Cour d’appel a renvoyé l’affaire à la Cour supérieure de justice de l’Ontario pour qu'elle entende l’appel quant à la question de savoir si la Ville avait établi une défense de diligence raisonnable à l’égard des deux autres accusations pesant contre elle.</w:t>
      </w:r>
    </w:p>
    <w:p w:rsidR="00CD14BB" w:rsidRPr="0048778E"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3" w:name="QuickMark_1"/>
      <w:bookmarkEnd w:id="3"/>
    </w:p>
    <w:p w:rsidR="00EF4622" w:rsidRPr="0048778E" w:rsidRDefault="001F0BFA"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48778E" w:rsidRDefault="00E92006" w:rsidP="00340C6D">
      <w:pPr>
        <w:jc w:val="both"/>
        <w:rPr>
          <w:sz w:val="20"/>
          <w:lang w:val="fr-CA"/>
        </w:rPr>
      </w:pPr>
    </w:p>
    <w:p w:rsidR="00E92006" w:rsidRPr="0048778E" w:rsidRDefault="00E92006" w:rsidP="00340C6D">
      <w:pPr>
        <w:jc w:val="both"/>
        <w:rPr>
          <w:sz w:val="20"/>
          <w:lang w:val="fr-CA"/>
        </w:rPr>
      </w:pPr>
    </w:p>
    <w:p w:rsidR="00072A63" w:rsidRPr="0048778E" w:rsidRDefault="00072A63" w:rsidP="00EC79B0">
      <w:pPr>
        <w:jc w:val="both"/>
        <w:rPr>
          <w:sz w:val="20"/>
          <w:lang w:val="fr-CA"/>
        </w:rPr>
      </w:pPr>
    </w:p>
    <w:p w:rsidR="001C4415" w:rsidRPr="0048778E" w:rsidRDefault="001C4415" w:rsidP="001C4415">
      <w:pPr>
        <w:widowControl w:val="0"/>
        <w:outlineLvl w:val="0"/>
      </w:pPr>
      <w:r w:rsidRPr="0048778E">
        <w:t xml:space="preserve">Supreme Court of Canada / Cour suprême du </w:t>
      </w:r>
      <w:proofErr w:type="gramStart"/>
      <w:r w:rsidRPr="0048778E">
        <w:t>Canada :</w:t>
      </w:r>
      <w:proofErr w:type="gramEnd"/>
      <w:r w:rsidRPr="0048778E">
        <w:t xml:space="preserve"> </w:t>
      </w:r>
    </w:p>
    <w:p w:rsidR="004F410B" w:rsidRPr="0048778E" w:rsidRDefault="001F0BFA" w:rsidP="004F410B">
      <w:pPr>
        <w:widowControl w:val="0"/>
        <w:outlineLvl w:val="0"/>
      </w:pPr>
      <w:hyperlink r:id="rId9" w:history="1">
        <w:r w:rsidR="004F410B" w:rsidRPr="0048778E">
          <w:rPr>
            <w:rStyle w:val="Hyperlink"/>
          </w:rPr>
          <w:t>Registry-greffe@scc-csc.ca</w:t>
        </w:r>
      </w:hyperlink>
    </w:p>
    <w:p w:rsidR="001C4415" w:rsidRPr="00614699" w:rsidRDefault="004F410B" w:rsidP="004F410B">
      <w:pPr>
        <w:widowControl w:val="0"/>
        <w:outlineLvl w:val="0"/>
      </w:pPr>
      <w:r w:rsidRPr="0048778E">
        <w:t>1-844-365-9662</w:t>
      </w:r>
    </w:p>
    <w:sectPr w:rsidR="001C4415"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0BFA"/>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78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87D27"/>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1F7"/>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 w:type="paragraph" w:customStyle="1" w:styleId="mainparagraph">
    <w:name w:val="mainparagraph"/>
    <w:basedOn w:val="Normal"/>
    <w:rsid w:val="0048778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7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75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2023-11-07T15:52:00Z</dcterms:modified>
</cp:coreProperties>
</file>