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CD64DD" w:rsidRDefault="002A192B" w:rsidP="002A192B">
      <w:pPr>
        <w:pStyle w:val="Header"/>
        <w:jc w:val="center"/>
        <w:rPr>
          <w:b/>
          <w:sz w:val="32"/>
        </w:rPr>
      </w:pPr>
      <w:r w:rsidRPr="00CD64DD">
        <w:rPr>
          <w:b/>
          <w:sz w:val="32"/>
        </w:rPr>
        <w:t>Supreme Court of Canada / Cour suprême du Canada</w:t>
      </w:r>
    </w:p>
    <w:p w:rsidR="002A192B" w:rsidRPr="00CD64DD" w:rsidRDefault="002A192B" w:rsidP="002A192B">
      <w:pPr>
        <w:widowControl w:val="0"/>
        <w:rPr>
          <w:i/>
        </w:rPr>
      </w:pPr>
    </w:p>
    <w:p w:rsidR="002A192B" w:rsidRPr="00CD64DD" w:rsidRDefault="002A192B" w:rsidP="002A192B">
      <w:pPr>
        <w:widowControl w:val="0"/>
        <w:rPr>
          <w:i/>
        </w:rPr>
      </w:pPr>
    </w:p>
    <w:p w:rsidR="001C4415" w:rsidRPr="00CD64DD" w:rsidRDefault="001C4415" w:rsidP="001C4415">
      <w:pPr>
        <w:widowControl w:val="0"/>
        <w:rPr>
          <w:i/>
          <w:sz w:val="20"/>
        </w:rPr>
      </w:pPr>
      <w:r w:rsidRPr="00CD64DD">
        <w:rPr>
          <w:i/>
          <w:sz w:val="20"/>
        </w:rPr>
        <w:t>(</w:t>
      </w:r>
      <w:r w:rsidR="003C50BF" w:rsidRPr="00CD64DD">
        <w:rPr>
          <w:i/>
          <w:sz w:val="20"/>
        </w:rPr>
        <w:t>Le</w:t>
      </w:r>
      <w:r w:rsidRPr="00CD64DD">
        <w:rPr>
          <w:i/>
          <w:sz w:val="20"/>
        </w:rPr>
        <w:t xml:space="preserve"> français suit)</w:t>
      </w:r>
    </w:p>
    <w:p w:rsidR="001C4415" w:rsidRPr="00CD64DD" w:rsidRDefault="001C4415" w:rsidP="001C4415">
      <w:pPr>
        <w:widowControl w:val="0"/>
      </w:pPr>
    </w:p>
    <w:p w:rsidR="001C4415" w:rsidRPr="00CD64DD" w:rsidRDefault="000347C1" w:rsidP="00214729">
      <w:pPr>
        <w:widowControl w:val="0"/>
        <w:jc w:val="center"/>
        <w:rPr>
          <w:b/>
        </w:rPr>
      </w:pPr>
      <w:r w:rsidRPr="00CD64DD">
        <w:fldChar w:fldCharType="begin"/>
      </w:r>
      <w:r w:rsidR="00FA7412" w:rsidRPr="00CD64DD">
        <w:instrText xml:space="preserve"> SEQ CHAPTER \h \r 1</w:instrText>
      </w:r>
      <w:r w:rsidRPr="00CD64DD">
        <w:fldChar w:fldCharType="end"/>
      </w:r>
      <w:r w:rsidR="00455BB9" w:rsidRPr="00CD64DD">
        <w:rPr>
          <w:b/>
        </w:rPr>
        <w:t>JUDGMENT</w:t>
      </w:r>
      <w:r w:rsidR="00FA7412" w:rsidRPr="00CD64DD">
        <w:rPr>
          <w:b/>
        </w:rPr>
        <w:t xml:space="preserve"> TO BE RENDERED </w:t>
      </w:r>
      <w:r w:rsidR="00E43F22" w:rsidRPr="00CD64DD">
        <w:rPr>
          <w:b/>
        </w:rPr>
        <w:t>O</w:t>
      </w:r>
      <w:r w:rsidR="00FA7412" w:rsidRPr="00CD64DD">
        <w:rPr>
          <w:b/>
        </w:rPr>
        <w:t>N APPEA</w:t>
      </w:r>
      <w:r w:rsidR="00CC2799" w:rsidRPr="00CD64DD">
        <w:rPr>
          <w:b/>
        </w:rPr>
        <w:t>L</w:t>
      </w:r>
    </w:p>
    <w:p w:rsidR="005A7C1B" w:rsidRPr="00CD64DD" w:rsidRDefault="005A7C1B" w:rsidP="005A7C1B">
      <w:pPr>
        <w:widowControl w:val="0"/>
      </w:pPr>
    </w:p>
    <w:p w:rsidR="00EC79B0" w:rsidRPr="00CD64DD" w:rsidRDefault="00C43B65" w:rsidP="00EC79B0">
      <w:pPr>
        <w:widowControl w:val="0"/>
      </w:pPr>
      <w:r w:rsidRPr="00CD64DD">
        <w:rPr>
          <w:b/>
        </w:rPr>
        <w:t>April</w:t>
      </w:r>
      <w:r w:rsidR="00C86395" w:rsidRPr="00CD64DD">
        <w:rPr>
          <w:b/>
        </w:rPr>
        <w:t xml:space="preserve"> </w:t>
      </w:r>
      <w:r w:rsidR="002915B5" w:rsidRPr="00CD64DD">
        <w:rPr>
          <w:b/>
        </w:rPr>
        <w:t>8</w:t>
      </w:r>
      <w:r w:rsidR="00EC79B0" w:rsidRPr="00CD64DD">
        <w:rPr>
          <w:b/>
        </w:rPr>
        <w:t>, 2</w:t>
      </w:r>
      <w:r w:rsidR="00E6600C" w:rsidRPr="00CD64DD">
        <w:rPr>
          <w:b/>
        </w:rPr>
        <w:t>0</w:t>
      </w:r>
      <w:r w:rsidR="009544E9" w:rsidRPr="00CD64DD">
        <w:rPr>
          <w:b/>
        </w:rPr>
        <w:t>2</w:t>
      </w:r>
      <w:r w:rsidR="0049454A" w:rsidRPr="00CD64DD">
        <w:rPr>
          <w:b/>
        </w:rPr>
        <w:t>4</w:t>
      </w:r>
    </w:p>
    <w:p w:rsidR="00EC79B0" w:rsidRPr="00CD64DD" w:rsidRDefault="00EC79B0" w:rsidP="00EC79B0">
      <w:pPr>
        <w:widowControl w:val="0"/>
      </w:pPr>
    </w:p>
    <w:p w:rsidR="00EC79B0" w:rsidRPr="00CD64DD" w:rsidRDefault="00EC79B0" w:rsidP="00EC79B0">
      <w:pPr>
        <w:widowControl w:val="0"/>
      </w:pPr>
      <w:r w:rsidRPr="00CD64DD">
        <w:rPr>
          <w:b/>
        </w:rPr>
        <w:t>OTTAWA</w:t>
      </w:r>
      <w:r w:rsidRPr="00CD64DD">
        <w:t xml:space="preserve"> – </w:t>
      </w:r>
      <w:r w:rsidR="0095505F" w:rsidRPr="00CD64DD">
        <w:t xml:space="preserve">The Supreme Court of Canada will deliver its judgment on the following appeal at 9:45 a.m. ET on </w:t>
      </w:r>
      <w:r w:rsidR="002915B5" w:rsidRPr="00CD64DD">
        <w:t>Friday</w:t>
      </w:r>
      <w:r w:rsidR="0095505F" w:rsidRPr="00CD64DD">
        <w:t xml:space="preserve">, </w:t>
      </w:r>
      <w:r w:rsidR="002915B5" w:rsidRPr="00CD64DD">
        <w:t>April</w:t>
      </w:r>
      <w:r w:rsidR="0095505F" w:rsidRPr="00CD64DD">
        <w:t xml:space="preserve"> </w:t>
      </w:r>
      <w:r w:rsidR="00C43B65" w:rsidRPr="00CD64DD">
        <w:t>12</w:t>
      </w:r>
      <w:r w:rsidR="0095505F" w:rsidRPr="00CD64DD">
        <w:t>, 202</w:t>
      </w:r>
      <w:r w:rsidR="0049454A" w:rsidRPr="00CD64DD">
        <w:t>4</w:t>
      </w:r>
      <w:r w:rsidR="0095505F" w:rsidRPr="00CD64DD">
        <w:t>.</w:t>
      </w:r>
    </w:p>
    <w:p w:rsidR="001F76DD" w:rsidRPr="00CD64DD" w:rsidRDefault="001F76DD" w:rsidP="001C4415">
      <w:pPr>
        <w:widowControl w:val="0"/>
        <w:rPr>
          <w:szCs w:val="24"/>
        </w:rPr>
      </w:pPr>
    </w:p>
    <w:p w:rsidR="00A97E61" w:rsidRPr="00CD64DD" w:rsidRDefault="00A97E61" w:rsidP="001C4415">
      <w:pPr>
        <w:widowControl w:val="0"/>
        <w:rPr>
          <w:szCs w:val="24"/>
        </w:rPr>
      </w:pPr>
    </w:p>
    <w:p w:rsidR="00A97E61" w:rsidRPr="00CD64DD" w:rsidRDefault="008E3E95" w:rsidP="00A97E61">
      <w:pPr>
        <w:jc w:val="both"/>
        <w:rPr>
          <w:szCs w:val="24"/>
        </w:rPr>
      </w:pPr>
      <w:r w:rsidRPr="00CD64DD">
        <w:rPr>
          <w:i/>
          <w:szCs w:val="24"/>
        </w:rPr>
        <w:t>Jim Shot Both Sides, et al. v. His Majesty the King</w:t>
      </w:r>
      <w:r w:rsidR="00046AF2" w:rsidRPr="00CD64DD">
        <w:rPr>
          <w:i/>
          <w:szCs w:val="24"/>
        </w:rPr>
        <w:t xml:space="preserve"> </w:t>
      </w:r>
      <w:r w:rsidR="00A97E61" w:rsidRPr="00CD64DD">
        <w:rPr>
          <w:szCs w:val="24"/>
        </w:rPr>
        <w:t>(</w:t>
      </w:r>
      <w:r w:rsidR="00593EE1">
        <w:rPr>
          <w:szCs w:val="24"/>
        </w:rPr>
        <w:t>Fed</w:t>
      </w:r>
      <w:bookmarkStart w:id="0" w:name="_GoBack"/>
      <w:bookmarkEnd w:id="0"/>
      <w:r w:rsidR="00A97E61" w:rsidRPr="00CD64DD">
        <w:rPr>
          <w:szCs w:val="24"/>
        </w:rPr>
        <w:t xml:space="preserve">.) </w:t>
      </w:r>
      <w:r w:rsidR="00A97E61" w:rsidRPr="00CD64DD">
        <w:t>(</w:t>
      </w:r>
      <w:hyperlink r:id="rId7" w:history="1">
        <w:r w:rsidR="002915B5" w:rsidRPr="00CD64DD">
          <w:rPr>
            <w:rStyle w:val="Hyperlink"/>
          </w:rPr>
          <w:t>4</w:t>
        </w:r>
        <w:r w:rsidRPr="00CD64DD">
          <w:rPr>
            <w:rStyle w:val="Hyperlink"/>
          </w:rPr>
          <w:t>015</w:t>
        </w:r>
        <w:r w:rsidR="002915B5" w:rsidRPr="00CD64DD">
          <w:rPr>
            <w:rStyle w:val="Hyperlink"/>
          </w:rPr>
          <w:t>3</w:t>
        </w:r>
      </w:hyperlink>
      <w:r w:rsidR="00A97E61" w:rsidRPr="00CD64DD">
        <w:t>)</w:t>
      </w:r>
    </w:p>
    <w:p w:rsidR="00A97E61" w:rsidRPr="00CD64DD" w:rsidRDefault="00A97E61" w:rsidP="00AC11A6">
      <w:pPr>
        <w:widowControl w:val="0"/>
        <w:jc w:val="both"/>
        <w:rPr>
          <w:sz w:val="20"/>
        </w:rPr>
      </w:pPr>
    </w:p>
    <w:bookmarkStart w:id="1" w:name="1"/>
    <w:bookmarkEnd w:id="1"/>
    <w:p w:rsidR="00CD64DD" w:rsidRPr="00CD64DD" w:rsidRDefault="00CD64DD" w:rsidP="00E62115">
      <w:pPr>
        <w:widowControl w:val="0"/>
        <w:tabs>
          <w:tab w:val="left" w:pos="720"/>
        </w:tabs>
        <w:ind w:left="709" w:hanging="709"/>
        <w:jc w:val="both"/>
        <w:rPr>
          <w:b/>
          <w:i/>
          <w:sz w:val="20"/>
          <w:lang w:val="en-CA"/>
        </w:rPr>
      </w:pPr>
      <w:r w:rsidRPr="00CD64DD">
        <w:rPr>
          <w:b/>
          <w:sz w:val="20"/>
          <w:lang w:val="en-CA"/>
        </w:rPr>
        <w:fldChar w:fldCharType="begin"/>
      </w:r>
      <w:r w:rsidRPr="00CD64DD">
        <w:rPr>
          <w:b/>
          <w:sz w:val="20"/>
        </w:rPr>
        <w:instrText xml:space="preserve"> SEQ CHAPTER \h \r 1</w:instrText>
      </w:r>
      <w:r w:rsidRPr="00CD64DD">
        <w:rPr>
          <w:b/>
          <w:sz w:val="20"/>
        </w:rPr>
        <w:fldChar w:fldCharType="end"/>
      </w:r>
      <w:r w:rsidRPr="00CD64DD">
        <w:rPr>
          <w:b/>
          <w:sz w:val="20"/>
          <w:lang w:val="en-CA"/>
        </w:rPr>
        <w:t>40153</w:t>
      </w:r>
      <w:r w:rsidRPr="00CD64DD">
        <w:rPr>
          <w:b/>
          <w:sz w:val="20"/>
          <w:lang w:val="en-CA"/>
        </w:rPr>
        <w:tab/>
      </w:r>
      <w:r w:rsidRPr="00CD64DD">
        <w:rPr>
          <w:sz w:val="20"/>
          <w:lang w:val="en-CA"/>
        </w:rPr>
        <w:tab/>
      </w:r>
      <w:bookmarkStart w:id="2" w:name="3"/>
      <w:bookmarkEnd w:id="2"/>
      <w:r w:rsidRPr="00CD64DD">
        <w:rPr>
          <w:b/>
          <w:i/>
          <w:sz w:val="20"/>
          <w:lang w:val="en-CA"/>
        </w:rPr>
        <w:t>Jim Shot Both Sides, et al. v. His Majesty the King</w:t>
      </w:r>
    </w:p>
    <w:p w:rsidR="00CD64DD" w:rsidRPr="00CD64DD" w:rsidRDefault="00CD64DD" w:rsidP="00E62115">
      <w:pPr>
        <w:widowControl w:val="0"/>
        <w:tabs>
          <w:tab w:val="left" w:pos="720"/>
        </w:tabs>
        <w:ind w:left="1440" w:hanging="1440"/>
        <w:jc w:val="both"/>
        <w:rPr>
          <w:sz w:val="20"/>
          <w:lang w:val="en-CA"/>
        </w:rPr>
      </w:pPr>
      <w:r w:rsidRPr="00CD64DD">
        <w:rPr>
          <w:sz w:val="20"/>
          <w:lang w:val="en-CA"/>
        </w:rPr>
        <w:tab/>
        <w:t>(Fed.) (</w:t>
      </w:r>
      <w:r w:rsidRPr="00CD64DD">
        <w:rPr>
          <w:sz w:val="20"/>
          <w:lang w:val="fr-CA"/>
        </w:rPr>
        <w:t>Civil</w:t>
      </w:r>
      <w:r w:rsidRPr="00CD64DD">
        <w:rPr>
          <w:sz w:val="20"/>
          <w:lang w:val="en-CA"/>
        </w:rPr>
        <w:t>) (By leave)</w:t>
      </w:r>
    </w:p>
    <w:p w:rsidR="00CD64DD" w:rsidRPr="00CD64DD" w:rsidRDefault="00CD64DD">
      <w:pPr>
        <w:widowControl w:val="0"/>
        <w:jc w:val="both"/>
        <w:rPr>
          <w:sz w:val="20"/>
          <w:lang w:val="en-CA"/>
        </w:rPr>
      </w:pPr>
    </w:p>
    <w:p w:rsidR="00CD64DD" w:rsidRPr="00CD64DD" w:rsidRDefault="00CD64DD" w:rsidP="004011B3">
      <w:pPr>
        <w:jc w:val="both"/>
        <w:rPr>
          <w:sz w:val="20"/>
        </w:rPr>
      </w:pPr>
      <w:r w:rsidRPr="00CD64DD">
        <w:rPr>
          <w:sz w:val="20"/>
        </w:rPr>
        <w:t xml:space="preserve">Aboriginal law — Treaty rights — Treaty 7 — Limitation of actions — Breach of treaty as cause of action —Whether breach of treaty was actionable in Canadian courts prior to the coming into force of s. 35 of the </w:t>
      </w:r>
      <w:r w:rsidRPr="00CD64DD">
        <w:rPr>
          <w:i/>
          <w:sz w:val="20"/>
        </w:rPr>
        <w:t>Constitution Act, 1982</w:t>
      </w:r>
      <w:r w:rsidRPr="00CD64DD">
        <w:rPr>
          <w:sz w:val="20"/>
        </w:rPr>
        <w:t xml:space="preserve"> — Whether limitation periods for breach of treaty claims began to run prior to the passage of s. 35 — </w:t>
      </w:r>
      <w:r w:rsidRPr="00CD64DD">
        <w:rPr>
          <w:i/>
          <w:sz w:val="20"/>
        </w:rPr>
        <w:t>Limitation of Actions Act</w:t>
      </w:r>
      <w:r w:rsidRPr="00CD64DD">
        <w:rPr>
          <w:sz w:val="20"/>
        </w:rPr>
        <w:t xml:space="preserve">, R.S.A. 1970, c. 209; </w:t>
      </w:r>
      <w:r w:rsidRPr="00CD64DD">
        <w:rPr>
          <w:i/>
          <w:color w:val="000000"/>
          <w:sz w:val="20"/>
        </w:rPr>
        <w:t>Federal Courts Act</w:t>
      </w:r>
      <w:r w:rsidRPr="00CD64DD">
        <w:rPr>
          <w:color w:val="000000"/>
          <w:sz w:val="20"/>
        </w:rPr>
        <w:t>, R.S.C. 1985, c. F-7</w:t>
      </w:r>
      <w:r w:rsidRPr="00CD64DD">
        <w:rPr>
          <w:sz w:val="20"/>
        </w:rPr>
        <w:t xml:space="preserve"> </w:t>
      </w:r>
    </w:p>
    <w:p w:rsidR="00CD64DD" w:rsidRPr="00CD64DD" w:rsidRDefault="00CD64DD">
      <w:pPr>
        <w:widowControl w:val="0"/>
        <w:jc w:val="both"/>
        <w:rPr>
          <w:sz w:val="20"/>
        </w:rPr>
      </w:pPr>
    </w:p>
    <w:p w:rsidR="00CD64DD" w:rsidRPr="00CD64DD" w:rsidRDefault="00CD64DD" w:rsidP="004011B3">
      <w:pPr>
        <w:widowControl w:val="0"/>
        <w:jc w:val="both"/>
        <w:rPr>
          <w:sz w:val="20"/>
          <w:lang w:val="en-CA"/>
        </w:rPr>
      </w:pPr>
      <w:r w:rsidRPr="00CD64DD">
        <w:rPr>
          <w:sz w:val="20"/>
          <w:lang w:val="en-CA"/>
        </w:rPr>
        <w:t>On September 22, 1877, the Blackfoot Confederacy and the Crown executed Treaty 7, which established Reserve No. 148, the largest reserve in Canada. It is the home of the Kainai, or Blood Tribe. Under the Treaty, the size of the reserve was to be established through a formula promising “one square mile for each family of five persons, or in that proportion for larger and smaller families”. The Blood Tribe has long claimed that the actual size of its reserve did not accord with that promised by the Treaty and, in 1980, commenced an action in the Federal Court.</w:t>
      </w:r>
    </w:p>
    <w:p w:rsidR="00CD64DD" w:rsidRPr="00CD64DD" w:rsidRDefault="00CD64DD" w:rsidP="004011B3">
      <w:pPr>
        <w:widowControl w:val="0"/>
        <w:jc w:val="both"/>
        <w:rPr>
          <w:sz w:val="20"/>
          <w:lang w:val="en-CA"/>
        </w:rPr>
      </w:pPr>
    </w:p>
    <w:p w:rsidR="00CD64DD" w:rsidRPr="00CD64DD" w:rsidRDefault="00CD64DD" w:rsidP="004011B3">
      <w:pPr>
        <w:widowControl w:val="0"/>
        <w:jc w:val="both"/>
        <w:rPr>
          <w:sz w:val="20"/>
          <w:lang w:val="en-CA"/>
        </w:rPr>
      </w:pPr>
      <w:r w:rsidRPr="00CD64DD">
        <w:rPr>
          <w:sz w:val="20"/>
          <w:lang w:val="en-CA"/>
        </w:rPr>
        <w:t>For decades the action sat in abeyance. In 2016, the court held phase I of the trial of the action, for the purpose of receiving oral history evidence from aging members of the Blood Tribe. Phase II commenced in 2018 to hear fact and expert witness evidence, and to make a determination on liability.</w:t>
      </w:r>
    </w:p>
    <w:p w:rsidR="00CD64DD" w:rsidRPr="00CD64DD" w:rsidRDefault="00CD64DD" w:rsidP="004011B3">
      <w:pPr>
        <w:widowControl w:val="0"/>
        <w:jc w:val="both"/>
        <w:rPr>
          <w:sz w:val="20"/>
          <w:lang w:val="en-CA"/>
        </w:rPr>
      </w:pPr>
    </w:p>
    <w:p w:rsidR="00CD64DD" w:rsidRPr="00CD64DD" w:rsidRDefault="00CD64DD" w:rsidP="004011B3">
      <w:pPr>
        <w:widowControl w:val="0"/>
        <w:jc w:val="both"/>
        <w:rPr>
          <w:sz w:val="20"/>
          <w:lang w:val="en-CA"/>
        </w:rPr>
      </w:pPr>
      <w:r w:rsidRPr="00CD64DD">
        <w:rPr>
          <w:sz w:val="20"/>
          <w:lang w:val="en-CA"/>
        </w:rPr>
        <w:t xml:space="preserve">At the completion of phase II, the trial judge found that the Blood Tribe’s claims were discoverable more than six years before the action was commenced in 1980 and, with the exception of a claim for breach of treaty, were therefore time-barred through the operation of </w:t>
      </w:r>
      <w:r w:rsidRPr="00CD64DD">
        <w:rPr>
          <w:i/>
          <w:sz w:val="20"/>
          <w:lang w:val="en-CA"/>
        </w:rPr>
        <w:t>The Limitation of Actions Act</w:t>
      </w:r>
      <w:r w:rsidRPr="00CD64DD">
        <w:rPr>
          <w:sz w:val="20"/>
          <w:lang w:val="en-CA"/>
        </w:rPr>
        <w:t xml:space="preserve">, R.S.A. 1970, c. 209 and s. 39 of the </w:t>
      </w:r>
      <w:r w:rsidRPr="00CD64DD">
        <w:rPr>
          <w:i/>
          <w:sz w:val="20"/>
          <w:lang w:val="en-CA"/>
        </w:rPr>
        <w:t>Federal Courts Act</w:t>
      </w:r>
      <w:r w:rsidRPr="00CD64DD">
        <w:rPr>
          <w:sz w:val="20"/>
          <w:lang w:val="en-CA"/>
        </w:rPr>
        <w:t>, R.S.C. 1985, c. F-7.</w:t>
      </w:r>
    </w:p>
    <w:p w:rsidR="00CD64DD" w:rsidRPr="00CD64DD" w:rsidRDefault="00CD64DD" w:rsidP="004011B3">
      <w:pPr>
        <w:widowControl w:val="0"/>
        <w:jc w:val="both"/>
        <w:rPr>
          <w:sz w:val="20"/>
          <w:lang w:val="en-CA"/>
        </w:rPr>
      </w:pPr>
    </w:p>
    <w:p w:rsidR="00CD64DD" w:rsidRPr="00CD64DD" w:rsidRDefault="00CD64DD" w:rsidP="004011B3">
      <w:pPr>
        <w:widowControl w:val="0"/>
        <w:jc w:val="both"/>
        <w:rPr>
          <w:sz w:val="20"/>
          <w:lang w:val="en-CA"/>
        </w:rPr>
      </w:pPr>
      <w:r w:rsidRPr="00CD64DD">
        <w:rPr>
          <w:sz w:val="20"/>
          <w:lang w:val="en-CA"/>
        </w:rPr>
        <w:t xml:space="preserve">The trial judge held that an action for breach of a treaty commitment could not be pursued in a Canadian court prior to the advent of s. 35 of the </w:t>
      </w:r>
      <w:r w:rsidRPr="00CD64DD">
        <w:rPr>
          <w:i/>
          <w:sz w:val="20"/>
          <w:lang w:val="en-CA"/>
        </w:rPr>
        <w:t>Constitution Act, 1982</w:t>
      </w:r>
      <w:r w:rsidRPr="00CD64DD">
        <w:rPr>
          <w:sz w:val="20"/>
          <w:lang w:val="en-CA"/>
        </w:rPr>
        <w:t>. Therefore, for the purposes of the limitations statute, time for a breach of treaty claim only began to run in 1982.</w:t>
      </w:r>
    </w:p>
    <w:p w:rsidR="00CD64DD" w:rsidRPr="00CD64DD" w:rsidRDefault="00CD64DD" w:rsidP="004011B3">
      <w:pPr>
        <w:widowControl w:val="0"/>
        <w:jc w:val="both"/>
        <w:rPr>
          <w:sz w:val="20"/>
          <w:lang w:val="en-CA"/>
        </w:rPr>
      </w:pPr>
    </w:p>
    <w:p w:rsidR="00CD64DD" w:rsidRPr="00CD64DD" w:rsidRDefault="00CD64DD" w:rsidP="004011B3">
      <w:pPr>
        <w:widowControl w:val="0"/>
        <w:jc w:val="both"/>
        <w:rPr>
          <w:sz w:val="20"/>
          <w:lang w:val="en-CA"/>
        </w:rPr>
      </w:pPr>
      <w:r w:rsidRPr="00CD64DD">
        <w:rPr>
          <w:sz w:val="20"/>
          <w:lang w:val="en-CA"/>
        </w:rPr>
        <w:t>The trial judge found that Canada was in breach of its treaty commitment, and that the size of the Reserve was understated by 162.5 square miles. The Crown appealed. The Federal Court of Appeal allowed the appeal and varied the Federal Court’s judgment to state that all claims of the Blood Tribe were time-barred.</w:t>
      </w:r>
    </w:p>
    <w:p w:rsidR="00A97E61" w:rsidRPr="00CD64DD" w:rsidRDefault="00A97E61" w:rsidP="001C4415">
      <w:pPr>
        <w:widowControl w:val="0"/>
        <w:rPr>
          <w:szCs w:val="24"/>
        </w:rPr>
      </w:pPr>
    </w:p>
    <w:p w:rsidR="00356312" w:rsidRPr="00CD64DD" w:rsidRDefault="00356312" w:rsidP="001C4415">
      <w:pPr>
        <w:widowControl w:val="0"/>
        <w:rPr>
          <w:szCs w:val="24"/>
        </w:rPr>
      </w:pPr>
    </w:p>
    <w:p w:rsidR="00A97E61" w:rsidRPr="00CD64DD" w:rsidRDefault="00593EE1" w:rsidP="001C4415">
      <w:pPr>
        <w:widowControl w:val="0"/>
        <w:rPr>
          <w:szCs w:val="24"/>
          <w:lang w:val="fr-CA"/>
        </w:rPr>
      </w:pPr>
      <w:r>
        <w:rPr>
          <w:sz w:val="18"/>
          <w:szCs w:val="18"/>
        </w:rPr>
        <w:pict>
          <v:rect id="_x0000_i1025" style="width:272.25pt;height:1.5pt" o:hrpct="0" o:hralign="center" o:hrstd="t" o:hrnoshade="t" o:hr="t" fillcolor="black [3213]" stroked="f"/>
        </w:pict>
      </w:r>
    </w:p>
    <w:p w:rsidR="00A97E61" w:rsidRPr="00CD64DD" w:rsidRDefault="00A97E61" w:rsidP="001C4415">
      <w:pPr>
        <w:widowControl w:val="0"/>
        <w:rPr>
          <w:szCs w:val="24"/>
          <w:lang w:val="fr-CA"/>
        </w:rPr>
      </w:pPr>
    </w:p>
    <w:p w:rsidR="001C4415" w:rsidRPr="00CD64DD" w:rsidRDefault="001C4415" w:rsidP="001C4415">
      <w:pPr>
        <w:widowControl w:val="0"/>
        <w:rPr>
          <w:lang w:val="fr-CA"/>
        </w:rPr>
      </w:pPr>
    </w:p>
    <w:p w:rsidR="001335A1" w:rsidRPr="00CD64DD" w:rsidRDefault="001335A1" w:rsidP="001335A1">
      <w:pPr>
        <w:widowControl w:val="0"/>
        <w:jc w:val="center"/>
        <w:rPr>
          <w:b/>
          <w:lang w:val="fr-CA"/>
        </w:rPr>
      </w:pPr>
      <w:r w:rsidRPr="00CD64DD">
        <w:rPr>
          <w:b/>
          <w:lang w:val="fr-CA"/>
        </w:rPr>
        <w:t>PROCHAIN JUGEMENT</w:t>
      </w:r>
      <w:r w:rsidR="00455BB9" w:rsidRPr="00CD64DD">
        <w:rPr>
          <w:b/>
          <w:lang w:val="fr-CA"/>
        </w:rPr>
        <w:t xml:space="preserve"> SUR APPEL</w:t>
      </w:r>
    </w:p>
    <w:p w:rsidR="001335A1" w:rsidRPr="00CD64DD" w:rsidRDefault="001335A1" w:rsidP="001335A1">
      <w:pPr>
        <w:widowControl w:val="0"/>
        <w:rPr>
          <w:lang w:val="fr-CA"/>
        </w:rPr>
      </w:pPr>
    </w:p>
    <w:p w:rsidR="00EC79B0" w:rsidRPr="00CD64DD" w:rsidRDefault="00EC79B0" w:rsidP="00EC79B0">
      <w:pPr>
        <w:widowControl w:val="0"/>
        <w:rPr>
          <w:lang w:val="fr-CA"/>
        </w:rPr>
      </w:pPr>
      <w:r w:rsidRPr="00CD64DD">
        <w:rPr>
          <w:b/>
          <w:lang w:val="fr-CA"/>
        </w:rPr>
        <w:t xml:space="preserve">Le </w:t>
      </w:r>
      <w:r w:rsidR="002915B5" w:rsidRPr="00CD64DD">
        <w:rPr>
          <w:b/>
          <w:lang w:val="fr-CA"/>
        </w:rPr>
        <w:t>8</w:t>
      </w:r>
      <w:r w:rsidR="00FA5450" w:rsidRPr="00CD64DD">
        <w:rPr>
          <w:b/>
          <w:lang w:val="fr-CA"/>
        </w:rPr>
        <w:t xml:space="preserve"> </w:t>
      </w:r>
      <w:r w:rsidR="00046AF2" w:rsidRPr="00CD64DD">
        <w:rPr>
          <w:b/>
          <w:lang w:val="fr-CA"/>
        </w:rPr>
        <w:t>a</w:t>
      </w:r>
      <w:r w:rsidR="00C43B65" w:rsidRPr="00CD64DD">
        <w:rPr>
          <w:b/>
          <w:lang w:val="fr-CA"/>
        </w:rPr>
        <w:t>v</w:t>
      </w:r>
      <w:r w:rsidR="00046AF2" w:rsidRPr="00CD64DD">
        <w:rPr>
          <w:b/>
          <w:lang w:val="fr-CA"/>
        </w:rPr>
        <w:t>r</w:t>
      </w:r>
      <w:r w:rsidR="00C43B65" w:rsidRPr="00CD64DD">
        <w:rPr>
          <w:b/>
          <w:lang w:val="fr-CA"/>
        </w:rPr>
        <w:t>il</w:t>
      </w:r>
      <w:r w:rsidR="00C86395" w:rsidRPr="00CD64DD">
        <w:rPr>
          <w:b/>
          <w:lang w:val="fr-CA"/>
        </w:rPr>
        <w:t xml:space="preserve"> </w:t>
      </w:r>
      <w:r w:rsidR="0086609D" w:rsidRPr="00CD64DD">
        <w:rPr>
          <w:b/>
          <w:lang w:val="fr-CA"/>
        </w:rPr>
        <w:t>20</w:t>
      </w:r>
      <w:r w:rsidR="009544E9" w:rsidRPr="00CD64DD">
        <w:rPr>
          <w:b/>
          <w:lang w:val="fr-CA"/>
        </w:rPr>
        <w:t>2</w:t>
      </w:r>
      <w:r w:rsidR="0049454A" w:rsidRPr="00CD64DD">
        <w:rPr>
          <w:b/>
          <w:lang w:val="fr-CA"/>
        </w:rPr>
        <w:t>4</w:t>
      </w:r>
    </w:p>
    <w:p w:rsidR="00EC79B0" w:rsidRPr="00CD64DD" w:rsidRDefault="00EC79B0" w:rsidP="00EC79B0">
      <w:pPr>
        <w:widowControl w:val="0"/>
        <w:rPr>
          <w:lang w:val="fr-CA"/>
        </w:rPr>
      </w:pPr>
    </w:p>
    <w:p w:rsidR="00EC79B0" w:rsidRPr="00CD64DD" w:rsidRDefault="00EC79B0" w:rsidP="00EC79B0">
      <w:pPr>
        <w:widowControl w:val="0"/>
        <w:rPr>
          <w:lang w:val="fr-CA"/>
        </w:rPr>
      </w:pPr>
      <w:r w:rsidRPr="00CD64DD">
        <w:rPr>
          <w:b/>
          <w:lang w:val="fr-CA"/>
        </w:rPr>
        <w:lastRenderedPageBreak/>
        <w:t>OTTAWA</w:t>
      </w:r>
      <w:r w:rsidRPr="00CD64DD">
        <w:rPr>
          <w:lang w:val="fr-CA"/>
        </w:rPr>
        <w:t xml:space="preserve"> – </w:t>
      </w:r>
      <w:r w:rsidR="0095505F" w:rsidRPr="00CD64DD">
        <w:rPr>
          <w:lang w:val="fr-CA"/>
        </w:rPr>
        <w:t xml:space="preserve">La Cour suprême du Canada rendra jugement dans l’appel suivant le </w:t>
      </w:r>
      <w:r w:rsidR="002915B5" w:rsidRPr="00CD64DD">
        <w:rPr>
          <w:lang w:val="fr-CA"/>
        </w:rPr>
        <w:t>vendredi</w:t>
      </w:r>
      <w:r w:rsidR="0095505F" w:rsidRPr="00CD64DD">
        <w:rPr>
          <w:lang w:val="fr-CA"/>
        </w:rPr>
        <w:t xml:space="preserve"> </w:t>
      </w:r>
      <w:r w:rsidR="00C43B65" w:rsidRPr="00CD64DD">
        <w:rPr>
          <w:lang w:val="fr-CA"/>
        </w:rPr>
        <w:t>12</w:t>
      </w:r>
      <w:r w:rsidR="0095505F" w:rsidRPr="00CD64DD">
        <w:rPr>
          <w:lang w:val="fr-CA"/>
        </w:rPr>
        <w:t xml:space="preserve"> </w:t>
      </w:r>
      <w:r w:rsidR="00F30757" w:rsidRPr="00CD64DD">
        <w:rPr>
          <w:lang w:val="fr-CA"/>
        </w:rPr>
        <w:t>a</w:t>
      </w:r>
      <w:r w:rsidR="002915B5" w:rsidRPr="00CD64DD">
        <w:rPr>
          <w:lang w:val="fr-CA"/>
        </w:rPr>
        <w:t>v</w:t>
      </w:r>
      <w:r w:rsidR="00F30757" w:rsidRPr="00CD64DD">
        <w:rPr>
          <w:lang w:val="fr-CA"/>
        </w:rPr>
        <w:t>r</w:t>
      </w:r>
      <w:r w:rsidR="002915B5" w:rsidRPr="00CD64DD">
        <w:rPr>
          <w:lang w:val="fr-CA"/>
        </w:rPr>
        <w:t>il</w:t>
      </w:r>
      <w:r w:rsidR="0095505F" w:rsidRPr="00CD64DD">
        <w:rPr>
          <w:lang w:val="fr-CA"/>
        </w:rPr>
        <w:t xml:space="preserve"> 202</w:t>
      </w:r>
      <w:r w:rsidR="0049454A" w:rsidRPr="00CD64DD">
        <w:rPr>
          <w:lang w:val="fr-CA"/>
        </w:rPr>
        <w:t>4</w:t>
      </w:r>
      <w:r w:rsidR="0095505F" w:rsidRPr="00CD64DD">
        <w:rPr>
          <w:lang w:val="fr-CA"/>
        </w:rPr>
        <w:t>, à 9 h 45 HE.</w:t>
      </w:r>
    </w:p>
    <w:p w:rsidR="001F76DD" w:rsidRPr="00CD64DD" w:rsidRDefault="001F76DD" w:rsidP="00E92006">
      <w:pPr>
        <w:widowControl w:val="0"/>
        <w:jc w:val="both"/>
        <w:rPr>
          <w:szCs w:val="24"/>
          <w:lang w:val="fr-CA"/>
        </w:rPr>
      </w:pPr>
    </w:p>
    <w:p w:rsidR="001335A1" w:rsidRPr="00CD64DD" w:rsidRDefault="001335A1" w:rsidP="001335A1">
      <w:pPr>
        <w:widowControl w:val="0"/>
        <w:rPr>
          <w:szCs w:val="24"/>
          <w:lang w:val="fr-CA"/>
        </w:rPr>
      </w:pPr>
    </w:p>
    <w:p w:rsidR="00772636" w:rsidRPr="00CD64DD" w:rsidRDefault="00C51A9A" w:rsidP="00772636">
      <w:pPr>
        <w:jc w:val="both"/>
        <w:rPr>
          <w:szCs w:val="24"/>
          <w:lang w:val="fr-CA"/>
        </w:rPr>
      </w:pPr>
      <w:r w:rsidRPr="00CD64DD">
        <w:rPr>
          <w:i/>
          <w:szCs w:val="24"/>
          <w:lang w:val="fr-CA"/>
        </w:rPr>
        <w:t>Jim Shot Both Sides, et al. c. Sa Majesté le Roi</w:t>
      </w:r>
      <w:r w:rsidR="00046AF2" w:rsidRPr="00CD64DD">
        <w:rPr>
          <w:i/>
          <w:szCs w:val="24"/>
          <w:lang w:val="fr-CA"/>
        </w:rPr>
        <w:t xml:space="preserve"> </w:t>
      </w:r>
      <w:r w:rsidR="00772636" w:rsidRPr="00CD64DD">
        <w:rPr>
          <w:szCs w:val="24"/>
          <w:lang w:val="fr-CA"/>
        </w:rPr>
        <w:t>(</w:t>
      </w:r>
      <w:r w:rsidRPr="00CD64DD">
        <w:rPr>
          <w:szCs w:val="24"/>
          <w:lang w:val="fr-CA"/>
        </w:rPr>
        <w:t>Féd.</w:t>
      </w:r>
      <w:r w:rsidR="00772636" w:rsidRPr="00CD64DD">
        <w:rPr>
          <w:szCs w:val="24"/>
          <w:lang w:val="fr-CA"/>
        </w:rPr>
        <w:t xml:space="preserve">) </w:t>
      </w:r>
      <w:r w:rsidR="00772636" w:rsidRPr="00CD64DD">
        <w:rPr>
          <w:lang w:val="fr-CA"/>
        </w:rPr>
        <w:t>(</w:t>
      </w:r>
      <w:hyperlink r:id="rId8" w:history="1">
        <w:r w:rsidR="002915B5" w:rsidRPr="00CD64DD">
          <w:rPr>
            <w:rStyle w:val="Hyperlink"/>
            <w:lang w:val="fr-CA"/>
          </w:rPr>
          <w:t>40</w:t>
        </w:r>
        <w:r w:rsidRPr="00CD64DD">
          <w:rPr>
            <w:rStyle w:val="Hyperlink"/>
            <w:lang w:val="fr-CA"/>
          </w:rPr>
          <w:t>15</w:t>
        </w:r>
        <w:r w:rsidR="002915B5" w:rsidRPr="00CD64DD">
          <w:rPr>
            <w:rStyle w:val="Hyperlink"/>
            <w:lang w:val="fr-CA"/>
          </w:rPr>
          <w:t>3</w:t>
        </w:r>
      </w:hyperlink>
      <w:r w:rsidR="00772636" w:rsidRPr="00CD64DD">
        <w:rPr>
          <w:lang w:val="fr-CA"/>
        </w:rPr>
        <w:t>)</w:t>
      </w:r>
    </w:p>
    <w:p w:rsidR="003B3C19" w:rsidRPr="00CD64DD" w:rsidRDefault="003B3C19" w:rsidP="00C51A9A">
      <w:pPr>
        <w:widowControl w:val="0"/>
        <w:jc w:val="both"/>
        <w:rPr>
          <w:sz w:val="20"/>
          <w:lang w:val="fr-CA"/>
        </w:rPr>
      </w:pPr>
      <w:bookmarkStart w:id="3" w:name="QuickMark_1"/>
      <w:bookmarkEnd w:id="3"/>
    </w:p>
    <w:p w:rsidR="00C51A9A" w:rsidRPr="00CD64DD" w:rsidRDefault="00C51A9A" w:rsidP="00C51A9A">
      <w:pPr>
        <w:pStyle w:val="SCCLsocParty"/>
        <w:rPr>
          <w:b/>
          <w:i w:val="0"/>
          <w:sz w:val="20"/>
          <w:szCs w:val="20"/>
        </w:rPr>
      </w:pPr>
      <w:r w:rsidRPr="00CD64DD">
        <w:rPr>
          <w:rStyle w:val="SCCFileNumberChar"/>
          <w:i w:val="0"/>
          <w:sz w:val="20"/>
          <w:szCs w:val="20"/>
        </w:rPr>
        <w:t>40153</w:t>
      </w:r>
      <w:r w:rsidRPr="00CD64DD">
        <w:rPr>
          <w:rStyle w:val="SCCFileNumberChar"/>
          <w:i w:val="0"/>
          <w:sz w:val="20"/>
          <w:szCs w:val="20"/>
          <w:lang w:val="fr-CA"/>
        </w:rPr>
        <w:tab/>
      </w:r>
      <w:r w:rsidRPr="00CD64DD">
        <w:rPr>
          <w:b/>
          <w:sz w:val="20"/>
          <w:szCs w:val="20"/>
        </w:rPr>
        <w:t>Jim Shot Both Sides, et al. c. Sa Majesté le Roi</w:t>
      </w:r>
    </w:p>
    <w:p w:rsidR="00C51A9A" w:rsidRPr="00CD64DD" w:rsidRDefault="00C51A9A" w:rsidP="00C51A9A">
      <w:pPr>
        <w:widowControl w:val="0"/>
        <w:ind w:left="360" w:firstLine="360"/>
        <w:jc w:val="both"/>
        <w:rPr>
          <w:sz w:val="20"/>
          <w:lang w:val="fr-CA"/>
        </w:rPr>
      </w:pPr>
      <w:r w:rsidRPr="00CD64DD">
        <w:rPr>
          <w:sz w:val="20"/>
          <w:lang w:val="fr-CA"/>
        </w:rPr>
        <w:t>(Féd.) (Civile) (Sur autorisation)</w:t>
      </w:r>
    </w:p>
    <w:p w:rsidR="00C51A9A" w:rsidRPr="00CD64DD" w:rsidRDefault="00C51A9A" w:rsidP="00C51A9A">
      <w:pPr>
        <w:widowControl w:val="0"/>
        <w:jc w:val="both"/>
        <w:rPr>
          <w:sz w:val="20"/>
          <w:lang w:val="fr-CA"/>
        </w:rPr>
      </w:pPr>
    </w:p>
    <w:p w:rsidR="00C51A9A" w:rsidRPr="00CD64DD" w:rsidRDefault="00C51A9A" w:rsidP="00C51A9A">
      <w:pPr>
        <w:jc w:val="both"/>
        <w:rPr>
          <w:sz w:val="20"/>
          <w:lang w:val="fr-CA" w:eastAsia="en-CA"/>
        </w:rPr>
      </w:pPr>
      <w:r w:rsidRPr="00CD64DD">
        <w:rPr>
          <w:sz w:val="20"/>
          <w:lang w:val="fr-CA"/>
        </w:rPr>
        <w:t>Droit des Autochtones — Droits issus de traités — Traité n</w:t>
      </w:r>
      <w:r w:rsidRPr="00CD64DD">
        <w:rPr>
          <w:sz w:val="20"/>
          <w:vertAlign w:val="superscript"/>
          <w:lang w:val="fr-CA"/>
        </w:rPr>
        <w:t>o</w:t>
      </w:r>
      <w:r w:rsidRPr="00CD64DD">
        <w:rPr>
          <w:sz w:val="20"/>
          <w:lang w:val="fr-CA"/>
        </w:rPr>
        <w:t> 7 — Prescription</w:t>
      </w:r>
      <w:r w:rsidRPr="00CD64DD">
        <w:rPr>
          <w:smallCaps/>
          <w:sz w:val="20"/>
          <w:lang w:val="fr-CA"/>
        </w:rPr>
        <w:t xml:space="preserve"> </w:t>
      </w:r>
      <w:r w:rsidRPr="00CD64DD">
        <w:rPr>
          <w:sz w:val="20"/>
          <w:lang w:val="fr-CA"/>
        </w:rPr>
        <w:t>— Violation d’un traité en tant que cause d’action</w:t>
      </w:r>
      <w:r w:rsidRPr="00CD64DD">
        <w:rPr>
          <w:smallCaps/>
          <w:sz w:val="20"/>
          <w:lang w:val="fr-CA"/>
        </w:rPr>
        <w:t xml:space="preserve"> </w:t>
      </w:r>
      <w:r w:rsidRPr="00CD64DD">
        <w:rPr>
          <w:sz w:val="20"/>
          <w:lang w:val="fr-CA"/>
        </w:rPr>
        <w:t>— La violation des dispositions d’un traité donnait-elle ouverture à des poursuites devant les tribunaux canadiens avant l’entrée en vigueur de l’art. 35</w:t>
      </w:r>
      <w:r w:rsidRPr="00CD64DD">
        <w:rPr>
          <w:smallCaps/>
          <w:sz w:val="20"/>
          <w:lang w:val="fr-CA"/>
        </w:rPr>
        <w:t xml:space="preserve"> </w:t>
      </w:r>
      <w:r w:rsidRPr="00CD64DD">
        <w:rPr>
          <w:sz w:val="20"/>
          <w:lang w:val="fr-CA"/>
        </w:rPr>
        <w:t xml:space="preserve">de la </w:t>
      </w:r>
      <w:r w:rsidRPr="00CD64DD">
        <w:rPr>
          <w:i/>
          <w:sz w:val="20"/>
          <w:lang w:val="fr-CA"/>
        </w:rPr>
        <w:t>Loi constitutionnelle de 1982</w:t>
      </w:r>
      <w:r w:rsidRPr="00CD64DD">
        <w:rPr>
          <w:sz w:val="20"/>
          <w:lang w:val="fr-CA"/>
        </w:rPr>
        <w:t> ?</w:t>
      </w:r>
      <w:r w:rsidRPr="00CD64DD">
        <w:rPr>
          <w:smallCaps/>
          <w:sz w:val="20"/>
          <w:lang w:val="fr-CA"/>
        </w:rPr>
        <w:t xml:space="preserve"> </w:t>
      </w:r>
      <w:r w:rsidRPr="00CD64DD">
        <w:rPr>
          <w:sz w:val="20"/>
          <w:lang w:val="fr-CA"/>
        </w:rPr>
        <w:t>— Les délais de prescription à l’égard de demandes fondées sur la violation des dispositions d’un traité ont-ils commencé à courir avant l’adoption de l’art. 35 ?</w:t>
      </w:r>
      <w:r w:rsidRPr="00CD64DD">
        <w:rPr>
          <w:smallCaps/>
          <w:sz w:val="20"/>
          <w:lang w:val="fr-CA"/>
        </w:rPr>
        <w:t xml:space="preserve"> </w:t>
      </w:r>
      <w:r w:rsidRPr="00CD64DD">
        <w:rPr>
          <w:sz w:val="20"/>
          <w:lang w:val="fr-CA"/>
        </w:rPr>
        <w:t>—</w:t>
      </w:r>
      <w:r w:rsidRPr="00CD64DD">
        <w:rPr>
          <w:i/>
          <w:sz w:val="20"/>
          <w:lang w:val="fr-CA" w:eastAsia="en-CA"/>
        </w:rPr>
        <w:t xml:space="preserve"> Limitation of Actions Act</w:t>
      </w:r>
      <w:r w:rsidRPr="00CD64DD">
        <w:rPr>
          <w:sz w:val="20"/>
          <w:lang w:val="fr-CA" w:eastAsia="en-CA"/>
        </w:rPr>
        <w:t xml:space="preserve">, R.S.A. 1970, c. 209; </w:t>
      </w:r>
      <w:r w:rsidRPr="00CD64DD">
        <w:rPr>
          <w:i/>
          <w:color w:val="000000"/>
          <w:sz w:val="20"/>
          <w:lang w:val="fr-CA" w:eastAsia="en-CA"/>
        </w:rPr>
        <w:t>Loi sur les Cours fédérales</w:t>
      </w:r>
      <w:r w:rsidRPr="00CD64DD">
        <w:rPr>
          <w:color w:val="000000"/>
          <w:sz w:val="20"/>
          <w:lang w:val="fr-CA" w:eastAsia="en-CA"/>
        </w:rPr>
        <w:t>, L.R.C. 1985, ch. F-7</w:t>
      </w:r>
      <w:r w:rsidRPr="00CD64DD">
        <w:rPr>
          <w:sz w:val="20"/>
          <w:lang w:val="fr-CA" w:eastAsia="en-CA"/>
        </w:rPr>
        <w:t xml:space="preserve"> </w:t>
      </w:r>
    </w:p>
    <w:p w:rsidR="00C51A9A" w:rsidRPr="00CD64DD" w:rsidRDefault="00C51A9A" w:rsidP="00C51A9A">
      <w:pPr>
        <w:widowControl w:val="0"/>
        <w:jc w:val="both"/>
        <w:rPr>
          <w:sz w:val="20"/>
          <w:lang w:val="fr-CA"/>
        </w:rPr>
      </w:pPr>
    </w:p>
    <w:p w:rsidR="00C51A9A" w:rsidRPr="00CD64DD" w:rsidRDefault="00C51A9A" w:rsidP="00C51A9A">
      <w:pPr>
        <w:jc w:val="both"/>
        <w:rPr>
          <w:color w:val="000000"/>
          <w:sz w:val="20"/>
          <w:lang w:val="fr-CA"/>
        </w:rPr>
      </w:pPr>
      <w:r w:rsidRPr="00CD64DD">
        <w:rPr>
          <w:color w:val="000000"/>
          <w:sz w:val="20"/>
          <w:lang w:val="fr-CA"/>
        </w:rPr>
        <w:t>Le 22 septembre 1877, la Confédération des Pieds-Noirs et la Couronne ont signé le Traité n</w:t>
      </w:r>
      <w:r w:rsidRPr="00CD64DD">
        <w:rPr>
          <w:color w:val="000000"/>
          <w:sz w:val="20"/>
          <w:vertAlign w:val="superscript"/>
          <w:lang w:val="fr-CA"/>
        </w:rPr>
        <w:t>o</w:t>
      </w:r>
      <w:r w:rsidRPr="00CD64DD">
        <w:rPr>
          <w:color w:val="000000"/>
          <w:sz w:val="20"/>
          <w:lang w:val="fr-CA"/>
        </w:rPr>
        <w:t> 7, établissant la réserve n</w:t>
      </w:r>
      <w:r w:rsidRPr="00CD64DD">
        <w:rPr>
          <w:color w:val="000000"/>
          <w:sz w:val="20"/>
          <w:vertAlign w:val="superscript"/>
          <w:lang w:val="fr-CA"/>
        </w:rPr>
        <w:t>o</w:t>
      </w:r>
      <w:r w:rsidRPr="00CD64DD">
        <w:rPr>
          <w:color w:val="000000"/>
          <w:sz w:val="20"/>
          <w:lang w:val="fr-CA"/>
        </w:rPr>
        <w:t> 148, soit la plus grande réserve du Canada. Les Kainai, qu’on appelle également la tribu des Blood, y habitent. Aux termes du traité, la taille de la réserve devait être établie conformément à une formule par laquelle on promettait [traduction</w:t>
      </w:r>
      <w:r w:rsidRPr="00CD64DD">
        <w:rPr>
          <w:rFonts w:asciiTheme="minorBidi" w:hAnsiTheme="minorBidi"/>
          <w:color w:val="000000"/>
          <w:sz w:val="20"/>
          <w:lang w:val="fr-CA"/>
        </w:rPr>
        <w:t xml:space="preserve">] </w:t>
      </w:r>
      <w:r w:rsidRPr="00CD64DD">
        <w:rPr>
          <w:color w:val="000000"/>
          <w:sz w:val="20"/>
          <w:lang w:val="fr-CA"/>
        </w:rPr>
        <w:t>« un mille carré à chaque famille de cinq, ou dans cette proportion pour les familles plus ou moins nombreuses ». La tribu des Blood allègue depuis longtemps que la taille actuelle de sa réserve ne correspond pas à celle promise par le traité et, en 1980, elle a intenté une action en Cour fédérale.</w:t>
      </w:r>
    </w:p>
    <w:p w:rsidR="00C51A9A" w:rsidRPr="00CD64DD" w:rsidRDefault="00C51A9A" w:rsidP="00C51A9A">
      <w:pPr>
        <w:jc w:val="both"/>
        <w:rPr>
          <w:color w:val="000000"/>
          <w:sz w:val="20"/>
          <w:lang w:val="fr-CA"/>
        </w:rPr>
      </w:pPr>
    </w:p>
    <w:p w:rsidR="00C51A9A" w:rsidRPr="00CD64DD" w:rsidRDefault="00C51A9A" w:rsidP="00C51A9A">
      <w:pPr>
        <w:jc w:val="both"/>
        <w:rPr>
          <w:color w:val="000000"/>
          <w:sz w:val="20"/>
          <w:lang w:val="fr-CA"/>
        </w:rPr>
      </w:pPr>
      <w:r w:rsidRPr="00CD64DD">
        <w:rPr>
          <w:color w:val="000000"/>
          <w:sz w:val="20"/>
          <w:lang w:val="fr-CA"/>
        </w:rPr>
        <w:t>Cette action a fait l’objet de suspension pendant des décennies. En 2016, la Cour fédérale a procédé à la première phase de l’instruction de l’action, afin d’admettre en preuve l’histoire orale des membres âgés de la tribu des Blood. La deuxième phase a commencé en 2018 afin d’entendre la preuve des témoins experts et la preuve des faits, et afin que le tribunal se prononce sur la responsabilité.</w:t>
      </w:r>
    </w:p>
    <w:p w:rsidR="00C51A9A" w:rsidRPr="00CD64DD" w:rsidRDefault="00C51A9A" w:rsidP="00C51A9A">
      <w:pPr>
        <w:jc w:val="both"/>
        <w:rPr>
          <w:color w:val="000000"/>
          <w:sz w:val="20"/>
          <w:lang w:val="fr-CA"/>
        </w:rPr>
      </w:pPr>
    </w:p>
    <w:p w:rsidR="00C51A9A" w:rsidRPr="00CD64DD" w:rsidRDefault="00C51A9A" w:rsidP="00C51A9A">
      <w:pPr>
        <w:jc w:val="both"/>
        <w:rPr>
          <w:color w:val="000000"/>
          <w:sz w:val="20"/>
          <w:lang w:val="fr-CA"/>
        </w:rPr>
      </w:pPr>
      <w:r w:rsidRPr="00CD64DD">
        <w:rPr>
          <w:color w:val="000000"/>
          <w:sz w:val="20"/>
          <w:lang w:val="fr-CA"/>
        </w:rPr>
        <w:t xml:space="preserve">Au terme de la deuxième phase, le juge de première instance a conclu que les causes d’action de la tribu des Blood étaient susceptibles d’être découvertes plus de six ans avant que l’action ne soit intentée en 1980 et, à l’exception de la demande fondée sur la violation des dispositions du traité, étaient donc prescrites par application de la loi intitulée </w:t>
      </w:r>
      <w:r w:rsidRPr="00CD64DD">
        <w:rPr>
          <w:i/>
          <w:color w:val="000000"/>
          <w:sz w:val="20"/>
          <w:lang w:val="fr-CA"/>
        </w:rPr>
        <w:t>The</w:t>
      </w:r>
      <w:r w:rsidRPr="00CD64DD">
        <w:rPr>
          <w:color w:val="000000"/>
          <w:sz w:val="20"/>
          <w:lang w:val="fr-CA"/>
        </w:rPr>
        <w:t xml:space="preserve"> </w:t>
      </w:r>
      <w:r w:rsidRPr="00CD64DD">
        <w:rPr>
          <w:i/>
          <w:color w:val="000000"/>
          <w:sz w:val="20"/>
          <w:lang w:val="fr-CA"/>
        </w:rPr>
        <w:t>Limitation of Actions Act</w:t>
      </w:r>
      <w:r w:rsidRPr="00CD64DD">
        <w:rPr>
          <w:color w:val="000000"/>
          <w:sz w:val="20"/>
          <w:lang w:val="fr-CA"/>
        </w:rPr>
        <w:t xml:space="preserve">, R.S.A. 1970, c. 209 et de l’art. 39 de la </w:t>
      </w:r>
      <w:r w:rsidRPr="00CD64DD">
        <w:rPr>
          <w:i/>
          <w:color w:val="000000"/>
          <w:sz w:val="20"/>
          <w:lang w:val="fr-CA"/>
        </w:rPr>
        <w:t>Loi sur les Cours fédérales</w:t>
      </w:r>
      <w:r w:rsidRPr="00CD64DD">
        <w:rPr>
          <w:color w:val="000000"/>
          <w:sz w:val="20"/>
          <w:lang w:val="fr-CA"/>
        </w:rPr>
        <w:t>, L.R.C. (1985), ch. F-7.</w:t>
      </w:r>
    </w:p>
    <w:p w:rsidR="00C51A9A" w:rsidRPr="00CD64DD" w:rsidRDefault="00C51A9A" w:rsidP="00C51A9A">
      <w:pPr>
        <w:jc w:val="both"/>
        <w:rPr>
          <w:color w:val="000000"/>
          <w:sz w:val="20"/>
          <w:lang w:val="fr-CA"/>
        </w:rPr>
      </w:pPr>
    </w:p>
    <w:p w:rsidR="00C51A9A" w:rsidRPr="00CD64DD" w:rsidRDefault="00C51A9A" w:rsidP="00C51A9A">
      <w:pPr>
        <w:jc w:val="both"/>
        <w:rPr>
          <w:color w:val="000000"/>
          <w:sz w:val="20"/>
          <w:lang w:val="fr-CA"/>
        </w:rPr>
      </w:pPr>
      <w:r w:rsidRPr="00CD64DD">
        <w:rPr>
          <w:color w:val="000000"/>
          <w:sz w:val="20"/>
          <w:lang w:val="fr-CA"/>
        </w:rPr>
        <w:t>Le juge de première instance a conclu qu’une action pour violation d’un engagement prévu par un traité ne pouvait pas être intentée devant les tribunaux canadiens avant l’avènement de l’art. 35 de la</w:t>
      </w:r>
      <w:r w:rsidRPr="00CD64DD">
        <w:rPr>
          <w:smallCaps/>
          <w:sz w:val="20"/>
          <w:lang w:val="fr-CA"/>
        </w:rPr>
        <w:t xml:space="preserve"> </w:t>
      </w:r>
      <w:r w:rsidRPr="00CD64DD">
        <w:rPr>
          <w:i/>
          <w:sz w:val="20"/>
          <w:lang w:val="fr-CA"/>
        </w:rPr>
        <w:t>Loi constitutionnelle de 1982</w:t>
      </w:r>
      <w:r w:rsidRPr="00CD64DD">
        <w:rPr>
          <w:color w:val="000000"/>
          <w:sz w:val="20"/>
          <w:lang w:val="fr-CA"/>
        </w:rPr>
        <w:t>. Par conséquent, aux fins des dispositions législatives sur la prescription des actions, le délai relativement à la demande fondée sur la violation des dispositions du traité n’a commencé à courir qu’en 1982.</w:t>
      </w:r>
    </w:p>
    <w:p w:rsidR="00C51A9A" w:rsidRPr="00CD64DD" w:rsidRDefault="00C51A9A" w:rsidP="00C51A9A">
      <w:pPr>
        <w:jc w:val="both"/>
        <w:rPr>
          <w:color w:val="000000"/>
          <w:sz w:val="20"/>
          <w:lang w:val="fr-CA"/>
        </w:rPr>
      </w:pPr>
    </w:p>
    <w:p w:rsidR="00C51A9A" w:rsidRPr="00CD64DD" w:rsidRDefault="00C51A9A" w:rsidP="00C51A9A">
      <w:pPr>
        <w:widowControl w:val="0"/>
        <w:jc w:val="both"/>
        <w:rPr>
          <w:sz w:val="20"/>
          <w:lang w:val="fr-CA"/>
        </w:rPr>
      </w:pPr>
      <w:r w:rsidRPr="00CD64DD">
        <w:rPr>
          <w:color w:val="000000"/>
          <w:sz w:val="20"/>
          <w:lang w:val="fr-CA"/>
        </w:rPr>
        <w:t>Le juge de première instance a conclu que le Canada avait violé l’engagement qu’il avait pris en vertu du traité, et que la taille de la réserve avait été sous-estimée de 162,5 miles carrés. La Couronne a fait appel de cette décision. La Cour d’appel fédérale a accueilli l’appel et a modifié le jugement de la Cour fédérale pour déclarer que toutes les demandes présentées par la tribu des Blood étaient prescrites.</w:t>
      </w:r>
    </w:p>
    <w:p w:rsidR="00046AF2" w:rsidRPr="00CD64DD" w:rsidRDefault="00046AF2" w:rsidP="003B3C19">
      <w:pPr>
        <w:widowControl w:val="0"/>
        <w:jc w:val="both"/>
        <w:rPr>
          <w:sz w:val="20"/>
          <w:lang w:val="fr-CA"/>
        </w:rPr>
      </w:pPr>
    </w:p>
    <w:p w:rsidR="00EF4622" w:rsidRPr="00CD64DD" w:rsidRDefault="00593EE1" w:rsidP="00CD14BB">
      <w:pPr>
        <w:pStyle w:val="aparanumbering1"/>
        <w:shd w:val="clear" w:color="auto" w:fill="FFFFFF"/>
        <w:spacing w:before="0" w:after="0"/>
        <w:ind w:left="0"/>
        <w:rPr>
          <w:rFonts w:ascii="Times New Roman" w:hAnsi="Times New Roman" w:cs="Times New Roman"/>
          <w:sz w:val="20"/>
          <w:szCs w:val="20"/>
          <w:lang w:val="fr-CA"/>
        </w:rPr>
      </w:pPr>
      <w:r>
        <w:rPr>
          <w:sz w:val="20"/>
        </w:rPr>
        <w:pict>
          <v:rect id="_x0000_i1026" style="width:2in;height:1pt" o:hrpct="0" o:hralign="center" o:hrstd="t" o:hrnoshade="t" o:hr="t" fillcolor="black [3213]" stroked="f"/>
        </w:pict>
      </w:r>
    </w:p>
    <w:p w:rsidR="00E92006" w:rsidRPr="00CD64DD" w:rsidRDefault="00E92006" w:rsidP="00340C6D">
      <w:pPr>
        <w:jc w:val="both"/>
        <w:rPr>
          <w:sz w:val="20"/>
          <w:lang w:val="fr-CA"/>
        </w:rPr>
      </w:pPr>
    </w:p>
    <w:p w:rsidR="00E92006" w:rsidRPr="00CD64DD" w:rsidRDefault="00E92006" w:rsidP="00340C6D">
      <w:pPr>
        <w:jc w:val="both"/>
        <w:rPr>
          <w:sz w:val="20"/>
          <w:lang w:val="fr-CA"/>
        </w:rPr>
      </w:pPr>
    </w:p>
    <w:p w:rsidR="00072A63" w:rsidRPr="00CD64DD" w:rsidRDefault="00072A63" w:rsidP="00EC79B0">
      <w:pPr>
        <w:jc w:val="both"/>
        <w:rPr>
          <w:sz w:val="20"/>
          <w:lang w:val="fr-CA"/>
        </w:rPr>
      </w:pPr>
    </w:p>
    <w:p w:rsidR="001C4415" w:rsidRPr="00CD64DD" w:rsidRDefault="001C4415" w:rsidP="001C4415">
      <w:pPr>
        <w:widowControl w:val="0"/>
        <w:outlineLvl w:val="0"/>
      </w:pPr>
      <w:r w:rsidRPr="00CD64DD">
        <w:t xml:space="preserve">Supreme Court of Canada / Cour suprême du </w:t>
      </w:r>
      <w:proofErr w:type="gramStart"/>
      <w:r w:rsidRPr="00CD64DD">
        <w:t>Canada :</w:t>
      </w:r>
      <w:proofErr w:type="gramEnd"/>
      <w:r w:rsidRPr="00CD64DD">
        <w:t xml:space="preserve"> </w:t>
      </w:r>
    </w:p>
    <w:p w:rsidR="004F410B" w:rsidRPr="00CD64DD" w:rsidRDefault="00593EE1" w:rsidP="004F410B">
      <w:pPr>
        <w:widowControl w:val="0"/>
        <w:outlineLvl w:val="0"/>
      </w:pPr>
      <w:hyperlink r:id="rId9" w:history="1">
        <w:r w:rsidR="004F410B" w:rsidRPr="00CD64DD">
          <w:rPr>
            <w:rStyle w:val="Hyperlink"/>
          </w:rPr>
          <w:t>Registry-greffe@scc-csc.ca</w:t>
        </w:r>
      </w:hyperlink>
    </w:p>
    <w:p w:rsidR="001C4415" w:rsidRDefault="004F410B" w:rsidP="004F410B">
      <w:pPr>
        <w:widowControl w:val="0"/>
        <w:outlineLvl w:val="0"/>
      </w:pPr>
      <w:r w:rsidRPr="00CD64DD">
        <w:t>1-844-365-9662</w:t>
      </w:r>
    </w:p>
    <w:p w:rsidR="0049454A" w:rsidRDefault="0049454A" w:rsidP="004F410B">
      <w:pPr>
        <w:widowControl w:val="0"/>
        <w:outlineLvl w:val="0"/>
      </w:pPr>
    </w:p>
    <w:p w:rsidR="0049454A" w:rsidRPr="00614699" w:rsidRDefault="0049454A" w:rsidP="004F410B">
      <w:pPr>
        <w:widowControl w:val="0"/>
        <w:outlineLvl w:val="0"/>
      </w:pPr>
    </w:p>
    <w:sectPr w:rsidR="0049454A" w:rsidRPr="00614699" w:rsidSect="00D362A2">
      <w:headerReference w:type="even" r:id="rId10"/>
      <w:headerReference w:type="default" r:id="rId11"/>
      <w:footerReference w:type="even" r:id="rId12"/>
      <w:footerReference w:type="default" r:id="rId13"/>
      <w:headerReference w:type="first" r:id="rId14"/>
      <w:footerReference w:type="first" r:id="rId15"/>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70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6AF2"/>
    <w:rsid w:val="00047EB5"/>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524B"/>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37B6"/>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87B6E"/>
    <w:rsid w:val="00290E05"/>
    <w:rsid w:val="00290F21"/>
    <w:rsid w:val="002915B5"/>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5FE"/>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2A"/>
    <w:rsid w:val="00342E49"/>
    <w:rsid w:val="00346B6F"/>
    <w:rsid w:val="00346F0D"/>
    <w:rsid w:val="00350C6A"/>
    <w:rsid w:val="00350CE0"/>
    <w:rsid w:val="00352B94"/>
    <w:rsid w:val="00353AB0"/>
    <w:rsid w:val="00356312"/>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9454A"/>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273B"/>
    <w:rsid w:val="004F3FB9"/>
    <w:rsid w:val="004F410B"/>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3EE1"/>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5FA"/>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0FF0"/>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3E95"/>
    <w:rsid w:val="008E4E5F"/>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3AC"/>
    <w:rsid w:val="009246D2"/>
    <w:rsid w:val="00925384"/>
    <w:rsid w:val="00931A3C"/>
    <w:rsid w:val="0093468B"/>
    <w:rsid w:val="00935D33"/>
    <w:rsid w:val="00937052"/>
    <w:rsid w:val="009408A3"/>
    <w:rsid w:val="009421D0"/>
    <w:rsid w:val="009448B0"/>
    <w:rsid w:val="00945121"/>
    <w:rsid w:val="00945199"/>
    <w:rsid w:val="00945849"/>
    <w:rsid w:val="00946EC7"/>
    <w:rsid w:val="009544E9"/>
    <w:rsid w:val="0095505F"/>
    <w:rsid w:val="00955BCE"/>
    <w:rsid w:val="009603A2"/>
    <w:rsid w:val="00961DA1"/>
    <w:rsid w:val="00962301"/>
    <w:rsid w:val="00964827"/>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D656D"/>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97E61"/>
    <w:rsid w:val="00AA6478"/>
    <w:rsid w:val="00AB1071"/>
    <w:rsid w:val="00AB4EFD"/>
    <w:rsid w:val="00AB6E49"/>
    <w:rsid w:val="00AB7298"/>
    <w:rsid w:val="00AB76F5"/>
    <w:rsid w:val="00AC0E55"/>
    <w:rsid w:val="00AC11A6"/>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287D"/>
    <w:rsid w:val="00B26A2D"/>
    <w:rsid w:val="00B348B0"/>
    <w:rsid w:val="00B36EC1"/>
    <w:rsid w:val="00B42DB6"/>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3B65"/>
    <w:rsid w:val="00C443AF"/>
    <w:rsid w:val="00C46901"/>
    <w:rsid w:val="00C472C0"/>
    <w:rsid w:val="00C51144"/>
    <w:rsid w:val="00C51A9A"/>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64DD"/>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3F22"/>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0757"/>
    <w:rsid w:val="00F31115"/>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0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rsid w:val="00046AF2"/>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046AF2"/>
    <w:rPr>
      <w:rFonts w:eastAsiaTheme="minorHAnsi" w:cstheme="minorBidi"/>
      <w:b/>
      <w:sz w:val="24"/>
      <w:szCs w:val="22"/>
      <w:lang w:val="en-CA"/>
    </w:rPr>
  </w:style>
  <w:style w:type="paragraph" w:customStyle="1" w:styleId="SCCCaseDescriptor">
    <w:name w:val="SCC.CaseDescriptor"/>
    <w:basedOn w:val="Normal"/>
    <w:link w:val="SCCCaseDescriptorChar"/>
    <w:qFormat/>
    <w:rsid w:val="00AC11A6"/>
    <w:rPr>
      <w:b/>
      <w:lang w:val="en-CA" w:eastAsia="en-CA"/>
    </w:rPr>
  </w:style>
  <w:style w:type="character" w:customStyle="1" w:styleId="SCCCaseDescriptorChar">
    <w:name w:val="SCC.CaseDescriptor Char"/>
    <w:basedOn w:val="DefaultParagraphFont"/>
    <w:link w:val="SCCCaseDescriptor"/>
    <w:rsid w:val="00AC11A6"/>
    <w:rPr>
      <w:b/>
      <w:sz w:val="24"/>
      <w:lang w:val="en-CA" w:eastAsia="en-CA"/>
    </w:rPr>
  </w:style>
  <w:style w:type="paragraph" w:customStyle="1" w:styleId="SCCBanSummary">
    <w:name w:val="SCC.BanSummary"/>
    <w:basedOn w:val="Normal"/>
    <w:next w:val="Normal"/>
    <w:link w:val="SCCBanSummaryChar"/>
    <w:rsid w:val="00937052"/>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937052"/>
    <w:rPr>
      <w:rFonts w:eastAsiaTheme="minorHAnsi" w:cstheme="minorBidi"/>
      <w:smallCaps/>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4015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cc-csc.ca/case-dossier/info/sum-som-eng.aspx?cas=40153"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gistry-greffe@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1042</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6357</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2024-02-21T16:35:00Z</dcterms:created>
  <dcterms:modified xsi:type="dcterms:W3CDTF">2024-04-08T14:55:00Z</dcterms:modified>
</cp:coreProperties>
</file>