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F3884" w:rsidRDefault="002A192B" w:rsidP="002A192B">
      <w:pPr>
        <w:pStyle w:val="Header"/>
        <w:jc w:val="center"/>
        <w:rPr>
          <w:b/>
          <w:sz w:val="32"/>
        </w:rPr>
      </w:pPr>
      <w:r w:rsidRPr="00DF3884">
        <w:rPr>
          <w:b/>
          <w:sz w:val="32"/>
        </w:rPr>
        <w:t>Supreme Court of Canada / Cour suprême du Canada</w:t>
      </w:r>
    </w:p>
    <w:p w:rsidR="002A192B" w:rsidRPr="00DF3884" w:rsidRDefault="002A192B" w:rsidP="002A192B">
      <w:pPr>
        <w:widowControl w:val="0"/>
        <w:rPr>
          <w:i/>
        </w:rPr>
      </w:pPr>
    </w:p>
    <w:p w:rsidR="002A192B" w:rsidRPr="00DF3884" w:rsidRDefault="002A192B" w:rsidP="002A192B">
      <w:pPr>
        <w:widowControl w:val="0"/>
        <w:rPr>
          <w:i/>
        </w:rPr>
      </w:pPr>
    </w:p>
    <w:p w:rsidR="001C4415" w:rsidRPr="00DF3884" w:rsidRDefault="001C4415" w:rsidP="001C4415">
      <w:pPr>
        <w:widowControl w:val="0"/>
        <w:rPr>
          <w:i/>
          <w:sz w:val="20"/>
        </w:rPr>
      </w:pPr>
      <w:r w:rsidRPr="00DF3884">
        <w:rPr>
          <w:i/>
          <w:sz w:val="20"/>
        </w:rPr>
        <w:t>(</w:t>
      </w:r>
      <w:r w:rsidR="003C50BF" w:rsidRPr="00DF3884">
        <w:rPr>
          <w:i/>
          <w:sz w:val="20"/>
        </w:rPr>
        <w:t>Le</w:t>
      </w:r>
      <w:r w:rsidRPr="00DF3884">
        <w:rPr>
          <w:i/>
          <w:sz w:val="20"/>
        </w:rPr>
        <w:t xml:space="preserve"> français suit)</w:t>
      </w:r>
    </w:p>
    <w:p w:rsidR="001C4415" w:rsidRPr="00DF3884" w:rsidRDefault="001C4415" w:rsidP="001C4415">
      <w:pPr>
        <w:widowControl w:val="0"/>
      </w:pPr>
    </w:p>
    <w:p w:rsidR="001C4415" w:rsidRPr="00DF3884" w:rsidRDefault="000347C1" w:rsidP="00214729">
      <w:pPr>
        <w:widowControl w:val="0"/>
        <w:jc w:val="center"/>
        <w:rPr>
          <w:b/>
        </w:rPr>
      </w:pPr>
      <w:r w:rsidRPr="00DF3884">
        <w:fldChar w:fldCharType="begin"/>
      </w:r>
      <w:r w:rsidR="00FA7412" w:rsidRPr="00DF3884">
        <w:instrText xml:space="preserve"> SEQ CHAPTER \h \r 1</w:instrText>
      </w:r>
      <w:r w:rsidRPr="00DF3884">
        <w:fldChar w:fldCharType="end"/>
      </w:r>
      <w:r w:rsidR="00455BB9" w:rsidRPr="00DF3884">
        <w:rPr>
          <w:b/>
        </w:rPr>
        <w:t>JUDGMENT</w:t>
      </w:r>
      <w:r w:rsidR="002D5140" w:rsidRPr="00DF3884">
        <w:rPr>
          <w:b/>
        </w:rPr>
        <w:t>S</w:t>
      </w:r>
      <w:r w:rsidR="00FA7412" w:rsidRPr="00DF3884">
        <w:rPr>
          <w:b/>
        </w:rPr>
        <w:t xml:space="preserve"> TO BE RENDERED </w:t>
      </w:r>
      <w:r w:rsidR="00E43F22" w:rsidRPr="00DF3884">
        <w:rPr>
          <w:b/>
        </w:rPr>
        <w:t>O</w:t>
      </w:r>
      <w:r w:rsidR="00FA7412" w:rsidRPr="00DF3884">
        <w:rPr>
          <w:b/>
        </w:rPr>
        <w:t>N APPEA</w:t>
      </w:r>
      <w:r w:rsidR="00CC2799" w:rsidRPr="00DF3884">
        <w:rPr>
          <w:b/>
        </w:rPr>
        <w:t>L</w:t>
      </w:r>
      <w:r w:rsidR="002D5140" w:rsidRPr="00DF3884">
        <w:rPr>
          <w:b/>
        </w:rPr>
        <w:t>S</w:t>
      </w:r>
    </w:p>
    <w:p w:rsidR="005A7C1B" w:rsidRPr="00DF3884" w:rsidRDefault="005A7C1B" w:rsidP="005A7C1B">
      <w:pPr>
        <w:widowControl w:val="0"/>
      </w:pPr>
    </w:p>
    <w:p w:rsidR="00EC79B0" w:rsidRPr="00DF3884" w:rsidRDefault="00765C27" w:rsidP="00EC79B0">
      <w:pPr>
        <w:widowControl w:val="0"/>
      </w:pPr>
      <w:r w:rsidRPr="00DF3884">
        <w:rPr>
          <w:b/>
        </w:rPr>
        <w:t>May</w:t>
      </w:r>
      <w:r w:rsidR="00C86395" w:rsidRPr="00DF3884">
        <w:rPr>
          <w:b/>
        </w:rPr>
        <w:t xml:space="preserve"> </w:t>
      </w:r>
      <w:r w:rsidR="002D5140" w:rsidRPr="00DF3884">
        <w:rPr>
          <w:b/>
        </w:rPr>
        <w:t>13</w:t>
      </w:r>
      <w:r w:rsidR="00EC79B0" w:rsidRPr="00DF3884">
        <w:rPr>
          <w:b/>
        </w:rPr>
        <w:t>, 2</w:t>
      </w:r>
      <w:r w:rsidR="00E6600C" w:rsidRPr="00DF3884">
        <w:rPr>
          <w:b/>
        </w:rPr>
        <w:t>0</w:t>
      </w:r>
      <w:r w:rsidR="009544E9" w:rsidRPr="00DF3884">
        <w:rPr>
          <w:b/>
        </w:rPr>
        <w:t>2</w:t>
      </w:r>
      <w:r w:rsidR="0049454A" w:rsidRPr="00DF3884">
        <w:rPr>
          <w:b/>
        </w:rPr>
        <w:t>4</w:t>
      </w:r>
    </w:p>
    <w:p w:rsidR="00EC79B0" w:rsidRPr="00DF3884" w:rsidRDefault="00EC79B0" w:rsidP="00EC79B0">
      <w:pPr>
        <w:widowControl w:val="0"/>
      </w:pPr>
    </w:p>
    <w:p w:rsidR="00EC79B0" w:rsidRPr="00DF3884" w:rsidRDefault="00EC79B0" w:rsidP="00EC79B0">
      <w:pPr>
        <w:widowControl w:val="0"/>
      </w:pPr>
      <w:r w:rsidRPr="00DF3884">
        <w:rPr>
          <w:b/>
        </w:rPr>
        <w:t>OTTAWA</w:t>
      </w:r>
      <w:r w:rsidRPr="00DF3884">
        <w:t xml:space="preserve"> – </w:t>
      </w:r>
      <w:r w:rsidR="0095505F" w:rsidRPr="00DF3884">
        <w:t>The Supreme Court of Canada will deliver its judgment on the following appeal</w:t>
      </w:r>
      <w:r w:rsidR="002D5140" w:rsidRPr="00DF3884">
        <w:t>s</w:t>
      </w:r>
      <w:r w:rsidR="0095505F" w:rsidRPr="00DF3884">
        <w:t xml:space="preserve"> at 9:45 a.m. ET on </w:t>
      </w:r>
      <w:r w:rsidR="002915B5" w:rsidRPr="00DF3884">
        <w:t>Friday</w:t>
      </w:r>
      <w:r w:rsidR="0095505F" w:rsidRPr="00DF3884">
        <w:t xml:space="preserve">, </w:t>
      </w:r>
      <w:r w:rsidR="00765C27" w:rsidRPr="00DF3884">
        <w:t>May</w:t>
      </w:r>
      <w:r w:rsidR="0095505F" w:rsidRPr="00DF3884">
        <w:t xml:space="preserve"> </w:t>
      </w:r>
      <w:r w:rsidR="00C43B65" w:rsidRPr="00DF3884">
        <w:t>1</w:t>
      </w:r>
      <w:r w:rsidR="009C0BD3" w:rsidRPr="00DF3884">
        <w:t>7</w:t>
      </w:r>
      <w:r w:rsidR="0095505F" w:rsidRPr="00DF3884">
        <w:t>, 202</w:t>
      </w:r>
      <w:r w:rsidR="0049454A" w:rsidRPr="00DF3884">
        <w:t>4</w:t>
      </w:r>
      <w:r w:rsidR="0095505F" w:rsidRPr="00DF3884">
        <w:t>.</w:t>
      </w:r>
    </w:p>
    <w:p w:rsidR="001F76DD" w:rsidRPr="00DF3884" w:rsidRDefault="001F76DD" w:rsidP="001C4415">
      <w:pPr>
        <w:widowControl w:val="0"/>
        <w:rPr>
          <w:szCs w:val="24"/>
        </w:rPr>
      </w:pPr>
    </w:p>
    <w:p w:rsidR="00A97E61" w:rsidRPr="00DF3884" w:rsidRDefault="00A97E61" w:rsidP="001C4415">
      <w:pPr>
        <w:widowControl w:val="0"/>
        <w:rPr>
          <w:szCs w:val="24"/>
        </w:rPr>
      </w:pPr>
    </w:p>
    <w:p w:rsidR="00A97E61" w:rsidRPr="00DF3884" w:rsidRDefault="002D5140" w:rsidP="00A97E61">
      <w:pPr>
        <w:jc w:val="both"/>
        <w:rPr>
          <w:szCs w:val="24"/>
        </w:rPr>
      </w:pPr>
      <w:r w:rsidRPr="00DF3884">
        <w:rPr>
          <w:i/>
          <w:szCs w:val="24"/>
        </w:rPr>
        <w:t xml:space="preserve">Emanuel Lozada v. His Majesty the King </w:t>
      </w:r>
      <w:r w:rsidR="00A97E61" w:rsidRPr="00DF3884">
        <w:rPr>
          <w:szCs w:val="24"/>
        </w:rPr>
        <w:t>(</w:t>
      </w:r>
      <w:r w:rsidRPr="00DF3884">
        <w:rPr>
          <w:szCs w:val="24"/>
        </w:rPr>
        <w:t>Ont</w:t>
      </w:r>
      <w:r w:rsidR="002848B1" w:rsidRPr="00DF3884">
        <w:rPr>
          <w:szCs w:val="24"/>
        </w:rPr>
        <w:t>.</w:t>
      </w:r>
      <w:r w:rsidR="00A97E61" w:rsidRPr="00DF3884">
        <w:rPr>
          <w:szCs w:val="24"/>
        </w:rPr>
        <w:t xml:space="preserve">) </w:t>
      </w:r>
      <w:r w:rsidR="00A97E61" w:rsidRPr="00DF3884">
        <w:t>(</w:t>
      </w:r>
      <w:hyperlink r:id="rId7" w:history="1">
        <w:r w:rsidR="002915B5" w:rsidRPr="00DF3884">
          <w:rPr>
            <w:rStyle w:val="Hyperlink"/>
          </w:rPr>
          <w:t>4</w:t>
        </w:r>
        <w:r w:rsidR="008E3E95" w:rsidRPr="00DF3884">
          <w:rPr>
            <w:rStyle w:val="Hyperlink"/>
          </w:rPr>
          <w:t>0</w:t>
        </w:r>
        <w:r w:rsidRPr="00DF3884">
          <w:rPr>
            <w:rStyle w:val="Hyperlink"/>
          </w:rPr>
          <w:t>701</w:t>
        </w:r>
      </w:hyperlink>
      <w:r w:rsidR="00A97E61" w:rsidRPr="00DF3884">
        <w:t>)</w:t>
      </w:r>
    </w:p>
    <w:p w:rsidR="00A97E61" w:rsidRPr="00DF3884" w:rsidRDefault="00A97E61" w:rsidP="00AC11A6">
      <w:pPr>
        <w:widowControl w:val="0"/>
        <w:jc w:val="both"/>
        <w:rPr>
          <w:sz w:val="20"/>
        </w:rPr>
      </w:pPr>
    </w:p>
    <w:p w:rsidR="002D5140" w:rsidRPr="00DF3884" w:rsidRDefault="002D5140" w:rsidP="002D5140">
      <w:pPr>
        <w:jc w:val="both"/>
        <w:rPr>
          <w:szCs w:val="24"/>
        </w:rPr>
      </w:pPr>
      <w:r w:rsidRPr="00DF3884">
        <w:rPr>
          <w:i/>
          <w:szCs w:val="24"/>
        </w:rPr>
        <w:t xml:space="preserve">Victor Ramos v. His Majesty the King </w:t>
      </w:r>
      <w:r w:rsidRPr="00DF3884">
        <w:rPr>
          <w:szCs w:val="24"/>
        </w:rPr>
        <w:t xml:space="preserve">(Ont.) </w:t>
      </w:r>
      <w:r w:rsidRPr="00DF3884">
        <w:t>(</w:t>
      </w:r>
      <w:hyperlink r:id="rId8" w:history="1">
        <w:r w:rsidRPr="00DF3884">
          <w:rPr>
            <w:rStyle w:val="Hyperlink"/>
          </w:rPr>
          <w:t>40709</w:t>
        </w:r>
      </w:hyperlink>
      <w:r w:rsidRPr="00DF3884">
        <w:t>)</w:t>
      </w:r>
    </w:p>
    <w:p w:rsidR="002D5140" w:rsidRPr="00DF3884" w:rsidRDefault="002D5140" w:rsidP="00AC11A6">
      <w:pPr>
        <w:widowControl w:val="0"/>
        <w:jc w:val="both"/>
        <w:rPr>
          <w:sz w:val="20"/>
        </w:rPr>
      </w:pPr>
    </w:p>
    <w:p w:rsidR="009C0BD3" w:rsidRPr="00DF3884" w:rsidRDefault="009C0BD3" w:rsidP="009C0BD3">
      <w:pPr>
        <w:widowControl w:val="0"/>
        <w:tabs>
          <w:tab w:val="left" w:pos="720"/>
        </w:tabs>
        <w:ind w:left="1560" w:hanging="1560"/>
        <w:jc w:val="both"/>
        <w:rPr>
          <w:b/>
          <w:i/>
          <w:sz w:val="20"/>
          <w:lang w:val="en-CA"/>
        </w:rPr>
      </w:pPr>
      <w:r w:rsidRPr="00DF3884">
        <w:rPr>
          <w:b/>
          <w:sz w:val="20"/>
          <w:lang w:val="en-CA"/>
        </w:rPr>
        <w:fldChar w:fldCharType="begin"/>
      </w:r>
      <w:r w:rsidRPr="00DF3884">
        <w:rPr>
          <w:b/>
          <w:sz w:val="20"/>
        </w:rPr>
        <w:instrText xml:space="preserve"> SEQ CHAPTER \h \r 1</w:instrText>
      </w:r>
      <w:r w:rsidRPr="00DF3884">
        <w:rPr>
          <w:b/>
          <w:sz w:val="20"/>
        </w:rPr>
        <w:fldChar w:fldCharType="end"/>
      </w:r>
      <w:r w:rsidRPr="00DF3884">
        <w:rPr>
          <w:b/>
          <w:sz w:val="20"/>
        </w:rPr>
        <w:t>40701</w:t>
      </w:r>
      <w:r w:rsidRPr="00DF3884">
        <w:rPr>
          <w:b/>
          <w:sz w:val="20"/>
          <w:lang w:val="en-CA"/>
        </w:rPr>
        <w:tab/>
      </w:r>
      <w:r w:rsidRPr="00DF3884">
        <w:rPr>
          <w:b/>
          <w:i/>
          <w:sz w:val="20"/>
        </w:rPr>
        <w:t>Emanuel</w:t>
      </w:r>
      <w:r w:rsidRPr="00DF3884">
        <w:rPr>
          <w:b/>
          <w:bCs/>
          <w:i/>
          <w:sz w:val="20"/>
        </w:rPr>
        <w:t xml:space="preserve"> Lozada v. His Majesty the King</w:t>
      </w:r>
    </w:p>
    <w:p w:rsidR="009C0BD3" w:rsidRPr="00DF3884" w:rsidRDefault="009C0BD3" w:rsidP="009C0BD3">
      <w:pPr>
        <w:widowControl w:val="0"/>
        <w:tabs>
          <w:tab w:val="left" w:pos="720"/>
        </w:tabs>
        <w:ind w:left="1440" w:hanging="1440"/>
        <w:jc w:val="both"/>
        <w:rPr>
          <w:sz w:val="20"/>
          <w:lang w:val="en-CA"/>
        </w:rPr>
      </w:pPr>
      <w:r w:rsidRPr="00DF3884">
        <w:rPr>
          <w:sz w:val="20"/>
          <w:lang w:val="en-CA"/>
        </w:rPr>
        <w:tab/>
        <w:t>(</w:t>
      </w:r>
      <w:r w:rsidRPr="00DF3884">
        <w:rPr>
          <w:sz w:val="20"/>
        </w:rPr>
        <w:t>Ont</w:t>
      </w:r>
      <w:r w:rsidRPr="00DF3884">
        <w:rPr>
          <w:sz w:val="20"/>
          <w:lang w:val="en-CA"/>
        </w:rPr>
        <w:t>.) (Criminal) (As of Right)</w:t>
      </w:r>
    </w:p>
    <w:p w:rsidR="009C0BD3" w:rsidRPr="00DF3884" w:rsidRDefault="009C0BD3" w:rsidP="009C0BD3">
      <w:pPr>
        <w:widowControl w:val="0"/>
        <w:jc w:val="both"/>
        <w:rPr>
          <w:sz w:val="20"/>
          <w:lang w:val="en-CA"/>
        </w:rPr>
      </w:pPr>
    </w:p>
    <w:p w:rsidR="009C0BD3" w:rsidRPr="00DF3884" w:rsidRDefault="009C0BD3" w:rsidP="009C0BD3">
      <w:pPr>
        <w:widowControl w:val="0"/>
        <w:jc w:val="both"/>
        <w:rPr>
          <w:smallCaps/>
          <w:sz w:val="20"/>
          <w:lang w:val="en-CA"/>
        </w:rPr>
      </w:pPr>
      <w:r w:rsidRPr="00DF3884">
        <w:rPr>
          <w:smallCaps/>
          <w:sz w:val="20"/>
          <w:lang w:val="en-CA"/>
        </w:rPr>
        <w:t>(Publication ban in case)</w:t>
      </w:r>
    </w:p>
    <w:p w:rsidR="009C0BD3" w:rsidRPr="00DF3884" w:rsidRDefault="009C0BD3" w:rsidP="009C0BD3">
      <w:pPr>
        <w:widowControl w:val="0"/>
        <w:jc w:val="both"/>
        <w:rPr>
          <w:sz w:val="20"/>
          <w:lang w:val="en-CA"/>
        </w:rPr>
      </w:pPr>
    </w:p>
    <w:p w:rsidR="009C0BD3" w:rsidRPr="00DF3884" w:rsidRDefault="009C0BD3" w:rsidP="009C0BD3">
      <w:pPr>
        <w:widowControl w:val="0"/>
        <w:jc w:val="both"/>
        <w:rPr>
          <w:iCs/>
          <w:sz w:val="20"/>
        </w:rPr>
      </w:pPr>
      <w:r w:rsidRPr="00DF3884">
        <w:rPr>
          <w:sz w:val="20"/>
        </w:rPr>
        <w:t xml:space="preserve">Criminal law — </w:t>
      </w:r>
      <w:r w:rsidRPr="00DF3884">
        <w:rPr>
          <w:sz w:val="20"/>
          <w:lang w:val="en-GB"/>
        </w:rPr>
        <w:t xml:space="preserve">Charge to jury </w:t>
      </w:r>
      <w:r w:rsidRPr="00DF3884">
        <w:rPr>
          <w:sz w:val="20"/>
        </w:rPr>
        <w:t>— Co-principal liability — Law of causation —</w:t>
      </w:r>
      <w:r w:rsidRPr="00DF3884">
        <w:rPr>
          <w:rFonts w:ascii="Calibri" w:eastAsia="Calibri" w:hAnsi="Calibri"/>
          <w:sz w:val="20"/>
        </w:rPr>
        <w:t xml:space="preserve"> </w:t>
      </w:r>
      <w:r w:rsidRPr="00DF3884">
        <w:rPr>
          <w:sz w:val="20"/>
        </w:rPr>
        <w:t xml:space="preserve">Whether the trial judge erred by misdirecting the jury with respect to the “causation” element of unlawful act manslaughter — Whether the doctrine of “intervening act” applies in the context of a group assault — </w:t>
      </w:r>
      <w:r w:rsidRPr="00DF3884">
        <w:rPr>
          <w:i/>
          <w:sz w:val="20"/>
        </w:rPr>
        <w:t>Criminal Code</w:t>
      </w:r>
      <w:r w:rsidRPr="00DF3884">
        <w:rPr>
          <w:sz w:val="20"/>
        </w:rPr>
        <w:t>, s. 21(1)(a)</w:t>
      </w:r>
    </w:p>
    <w:p w:rsidR="009C0BD3" w:rsidRPr="00DF3884" w:rsidRDefault="009C0BD3" w:rsidP="009C0BD3">
      <w:pPr>
        <w:widowControl w:val="0"/>
        <w:jc w:val="both"/>
        <w:rPr>
          <w:sz w:val="20"/>
        </w:rPr>
      </w:pPr>
    </w:p>
    <w:p w:rsidR="009C0BD3" w:rsidRPr="00DF3884" w:rsidRDefault="009C0BD3" w:rsidP="009C0BD3">
      <w:pPr>
        <w:widowControl w:val="0"/>
        <w:jc w:val="both"/>
        <w:rPr>
          <w:sz w:val="20"/>
        </w:rPr>
      </w:pPr>
      <w:r w:rsidRPr="00DF3884">
        <w:rPr>
          <w:sz w:val="20"/>
        </w:rPr>
        <w:t>The appellant, Emanuel Lozada, along with other individuals, participated in two fights, the second of which resulted in the fatal stabbing of the victim. At the appellant’s trial for manslaughter, the Crown argued that the appellant was liable for manslaughter either as a co-principal with the man alleged to have stabbed the victim, or as an aider and abettor of the stabber. The jury found the appellant guilty.</w:t>
      </w:r>
      <w:r w:rsidRPr="00DF3884">
        <w:rPr>
          <w:rFonts w:asciiTheme="minorHAnsi" w:eastAsiaTheme="minorHAnsi" w:hAnsiTheme="minorHAnsi" w:cstheme="minorBidi"/>
          <w:sz w:val="20"/>
        </w:rPr>
        <w:t xml:space="preserve"> </w:t>
      </w:r>
      <w:r w:rsidRPr="00DF3884">
        <w:rPr>
          <w:sz w:val="20"/>
        </w:rPr>
        <w:t>The appellant appealed the manslaughter conviction. He alleged, among other grounds of appeal, that the trial judge erred in his instructions to the jury on the law of causation with respect to co</w:t>
      </w:r>
      <w:r w:rsidRPr="00DF3884">
        <w:rPr>
          <w:sz w:val="20"/>
        </w:rPr>
        <w:noBreakHyphen/>
        <w:t>principal liability.</w:t>
      </w:r>
      <w:r w:rsidRPr="00DF3884">
        <w:rPr>
          <w:rFonts w:asciiTheme="minorHAnsi" w:eastAsiaTheme="minorHAnsi" w:hAnsiTheme="minorHAnsi" w:cstheme="minorBidi"/>
          <w:sz w:val="20"/>
        </w:rPr>
        <w:t xml:space="preserve"> </w:t>
      </w:r>
      <w:r w:rsidRPr="00DF3884">
        <w:rPr>
          <w:sz w:val="20"/>
        </w:rPr>
        <w:t>The majority of the Court of Appeal for Ontario dismissed the appeal. It concluded that</w:t>
      </w:r>
      <w:r w:rsidRPr="00DF3884">
        <w:rPr>
          <w:rFonts w:asciiTheme="minorHAnsi" w:eastAsiaTheme="minorHAnsi" w:hAnsiTheme="minorHAnsi" w:cstheme="minorBidi"/>
          <w:sz w:val="20"/>
        </w:rPr>
        <w:t xml:space="preserve"> </w:t>
      </w:r>
      <w:r w:rsidRPr="00DF3884">
        <w:rPr>
          <w:sz w:val="20"/>
        </w:rPr>
        <w:t>read as a whole, the jury instructions accurately put the law of causation as it applied to the appellant. Paciocco J.A., dissenting, would have allowed the appeal, set aside the conviction and ordered a new trial. He found that the trial judge twice misdirected jurors by understating the standard of “reasonable foreseeability” they could use in determining whether the appellant’s unlawful act amounted to a “significant contributing cause” of the victim’s death.</w:t>
      </w:r>
    </w:p>
    <w:p w:rsidR="009C0BD3" w:rsidRPr="00DF3884" w:rsidRDefault="009C0BD3" w:rsidP="009C0BD3">
      <w:pPr>
        <w:widowControl w:val="0"/>
        <w:jc w:val="both"/>
        <w:rPr>
          <w:sz w:val="20"/>
        </w:rPr>
      </w:pPr>
    </w:p>
    <w:p w:rsidR="009C0BD3" w:rsidRPr="00DF3884" w:rsidRDefault="006B546F" w:rsidP="009C0BD3">
      <w:pPr>
        <w:widowControl w:val="0"/>
        <w:jc w:val="both"/>
        <w:rPr>
          <w:sz w:val="20"/>
        </w:rPr>
      </w:pPr>
      <w:r>
        <w:rPr>
          <w:sz w:val="20"/>
        </w:rPr>
        <w:pict>
          <v:rect id="_x0000_i1025" style="width:2in;height:1pt" o:hrpct="0" o:hralign="center" o:hrstd="t" o:hrnoshade="t" o:hr="t" fillcolor="black [3213]" stroked="f"/>
        </w:pict>
      </w:r>
    </w:p>
    <w:p w:rsidR="009C0BD3" w:rsidRPr="00DF3884" w:rsidRDefault="009C0BD3" w:rsidP="009C0BD3">
      <w:pPr>
        <w:widowControl w:val="0"/>
        <w:jc w:val="both"/>
        <w:rPr>
          <w:sz w:val="20"/>
        </w:rPr>
      </w:pPr>
    </w:p>
    <w:p w:rsidR="009C0BD3" w:rsidRPr="00DF3884" w:rsidRDefault="009C0BD3" w:rsidP="009C0BD3">
      <w:pPr>
        <w:widowControl w:val="0"/>
        <w:tabs>
          <w:tab w:val="left" w:pos="720"/>
        </w:tabs>
        <w:ind w:left="1560" w:hanging="1560"/>
        <w:jc w:val="both"/>
        <w:rPr>
          <w:b/>
          <w:i/>
          <w:sz w:val="20"/>
          <w:lang w:val="en-CA" w:eastAsia="en-CA"/>
        </w:rPr>
      </w:pPr>
      <w:r w:rsidRPr="00DF3884">
        <w:rPr>
          <w:b/>
          <w:sz w:val="20"/>
          <w:lang w:val="en-CA" w:eastAsia="en-CA"/>
        </w:rPr>
        <w:fldChar w:fldCharType="begin"/>
      </w:r>
      <w:r w:rsidRPr="00DF3884">
        <w:rPr>
          <w:b/>
          <w:sz w:val="20"/>
          <w:lang w:eastAsia="en-CA"/>
        </w:rPr>
        <w:instrText xml:space="preserve"> SEQ CHAPTER \h \r 1</w:instrText>
      </w:r>
      <w:r w:rsidRPr="00DF3884">
        <w:rPr>
          <w:b/>
          <w:sz w:val="20"/>
          <w:lang w:eastAsia="en-CA"/>
        </w:rPr>
        <w:fldChar w:fldCharType="end"/>
      </w:r>
      <w:r w:rsidRPr="00DF3884">
        <w:rPr>
          <w:b/>
          <w:sz w:val="20"/>
          <w:lang w:eastAsia="en-CA"/>
        </w:rPr>
        <w:t>40709</w:t>
      </w:r>
      <w:r w:rsidRPr="00DF3884">
        <w:rPr>
          <w:sz w:val="20"/>
          <w:lang w:val="en-CA" w:eastAsia="en-CA"/>
        </w:rPr>
        <w:tab/>
      </w:r>
      <w:r w:rsidRPr="00DF3884">
        <w:rPr>
          <w:b/>
          <w:i/>
          <w:sz w:val="20"/>
          <w:lang w:eastAsia="en-CA"/>
        </w:rPr>
        <w:t>Victor</w:t>
      </w:r>
      <w:r w:rsidRPr="00DF3884">
        <w:rPr>
          <w:b/>
          <w:bCs/>
          <w:i/>
          <w:iCs/>
          <w:sz w:val="20"/>
          <w:lang w:val="en-CA" w:eastAsia="en-CA"/>
        </w:rPr>
        <w:t xml:space="preserve"> Ramos v. His Majesty the King</w:t>
      </w:r>
    </w:p>
    <w:p w:rsidR="009C0BD3" w:rsidRPr="00DF3884" w:rsidRDefault="009C0BD3" w:rsidP="009C0BD3">
      <w:pPr>
        <w:widowControl w:val="0"/>
        <w:tabs>
          <w:tab w:val="left" w:pos="720"/>
        </w:tabs>
        <w:ind w:left="1440" w:hanging="1440"/>
        <w:jc w:val="both"/>
        <w:rPr>
          <w:sz w:val="20"/>
          <w:lang w:val="en-CA" w:eastAsia="en-CA"/>
        </w:rPr>
      </w:pPr>
      <w:r w:rsidRPr="00DF3884">
        <w:rPr>
          <w:sz w:val="20"/>
          <w:lang w:val="en-CA" w:eastAsia="en-CA"/>
        </w:rPr>
        <w:tab/>
        <w:t>(</w:t>
      </w:r>
      <w:r w:rsidRPr="00DF3884">
        <w:rPr>
          <w:sz w:val="20"/>
          <w:lang w:val="fr-CA" w:eastAsia="en-CA"/>
        </w:rPr>
        <w:t>Ont</w:t>
      </w:r>
      <w:r w:rsidRPr="00DF3884">
        <w:rPr>
          <w:sz w:val="20"/>
          <w:lang w:val="en-CA" w:eastAsia="en-CA"/>
        </w:rPr>
        <w:t>.) (Criminal) (As of Right)</w:t>
      </w:r>
    </w:p>
    <w:p w:rsidR="009C0BD3" w:rsidRPr="00DF3884" w:rsidRDefault="009C0BD3" w:rsidP="009C0BD3">
      <w:pPr>
        <w:widowControl w:val="0"/>
        <w:jc w:val="both"/>
        <w:rPr>
          <w:sz w:val="20"/>
          <w:lang w:val="en-CA" w:eastAsia="en-CA"/>
        </w:rPr>
      </w:pPr>
    </w:p>
    <w:p w:rsidR="009C0BD3" w:rsidRPr="00DF3884" w:rsidRDefault="009C0BD3" w:rsidP="009C0BD3">
      <w:pPr>
        <w:widowControl w:val="0"/>
        <w:jc w:val="both"/>
        <w:rPr>
          <w:smallCaps/>
          <w:sz w:val="20"/>
          <w:lang w:val="en-CA" w:eastAsia="en-CA"/>
        </w:rPr>
      </w:pPr>
      <w:r w:rsidRPr="00DF3884">
        <w:rPr>
          <w:smallCaps/>
          <w:sz w:val="20"/>
          <w:lang w:val="en-CA" w:eastAsia="en-CA"/>
        </w:rPr>
        <w:t>(Publication ban in case)</w:t>
      </w:r>
    </w:p>
    <w:p w:rsidR="009C0BD3" w:rsidRPr="00DF3884" w:rsidRDefault="009C0BD3" w:rsidP="009C0BD3">
      <w:pPr>
        <w:widowControl w:val="0"/>
        <w:jc w:val="both"/>
        <w:rPr>
          <w:sz w:val="20"/>
          <w:lang w:val="en-CA" w:eastAsia="en-CA"/>
        </w:rPr>
      </w:pPr>
    </w:p>
    <w:p w:rsidR="009C0BD3" w:rsidRPr="00DF3884" w:rsidRDefault="009C0BD3" w:rsidP="009C0BD3">
      <w:pPr>
        <w:widowControl w:val="0"/>
        <w:jc w:val="both"/>
        <w:rPr>
          <w:sz w:val="20"/>
          <w:lang w:val="en-CA" w:eastAsia="en-CA"/>
        </w:rPr>
      </w:pPr>
      <w:r w:rsidRPr="00DF3884">
        <w:rPr>
          <w:sz w:val="20"/>
          <w:lang w:val="en-CA" w:eastAsia="en-CA"/>
        </w:rPr>
        <w:t>Criminal law — Charge to jury — Co-principal liability — Law of causation — Whether the trial judge erred by misdirecting the jury with respect to the “causation” element of unlawful act manslaughter — Whether the doctrine of “intervening act” applies in the context of a group assault — Criminal Code, s. 21(1)(a)</w:t>
      </w:r>
    </w:p>
    <w:p w:rsidR="009C0BD3" w:rsidRPr="00DF3884" w:rsidRDefault="009C0BD3" w:rsidP="009C0BD3">
      <w:pPr>
        <w:widowControl w:val="0"/>
        <w:jc w:val="both"/>
        <w:rPr>
          <w:sz w:val="20"/>
          <w:lang w:eastAsia="en-CA"/>
        </w:rPr>
      </w:pPr>
    </w:p>
    <w:p w:rsidR="009C0BD3" w:rsidRPr="00DF3884" w:rsidRDefault="009C0BD3" w:rsidP="009C0BD3">
      <w:pPr>
        <w:widowControl w:val="0"/>
        <w:jc w:val="both"/>
        <w:rPr>
          <w:sz w:val="20"/>
          <w:lang w:eastAsia="en-CA"/>
        </w:rPr>
      </w:pPr>
      <w:r w:rsidRPr="00DF3884">
        <w:rPr>
          <w:sz w:val="20"/>
          <w:lang w:eastAsia="en-CA"/>
        </w:rPr>
        <w:t>The appellant, Victor Ramos, along with other individuals, participated in two fights, the second of which resulted in the fatal stabbing of the victim. At the appellant’s trial for manslaughter, the Crown argued that the appellant was liable for manslaughter either as a co-principal with the man alleged to have stabbed the victim, or as an aider and abettor of the stabber. The jury found the appellant guilty.</w:t>
      </w:r>
      <w:r w:rsidRPr="00DF3884">
        <w:rPr>
          <w:rFonts w:ascii="Calibri" w:eastAsia="Calibri" w:hAnsi="Calibri"/>
          <w:sz w:val="20"/>
        </w:rPr>
        <w:t xml:space="preserve"> </w:t>
      </w:r>
      <w:r w:rsidRPr="00DF3884">
        <w:rPr>
          <w:sz w:val="20"/>
          <w:lang w:eastAsia="en-CA"/>
        </w:rPr>
        <w:t>The appellant appealed the manslaughter conviction. He alleged, among other grounds of appeal, that the trial judge erred in his instructions to the jury on the law of causation with respect to co-principal liability.</w:t>
      </w:r>
      <w:r w:rsidRPr="00DF3884">
        <w:rPr>
          <w:rFonts w:ascii="Calibri" w:eastAsia="Calibri" w:hAnsi="Calibri"/>
          <w:sz w:val="20"/>
        </w:rPr>
        <w:t xml:space="preserve"> </w:t>
      </w:r>
      <w:r w:rsidRPr="00DF3884">
        <w:rPr>
          <w:sz w:val="20"/>
          <w:lang w:eastAsia="en-CA"/>
        </w:rPr>
        <w:t>The majority of the Court of Appeal for Ontario dismissed the appeal. It concluded that</w:t>
      </w:r>
      <w:r w:rsidRPr="00DF3884">
        <w:rPr>
          <w:rFonts w:ascii="Calibri" w:eastAsia="Calibri" w:hAnsi="Calibri"/>
          <w:sz w:val="20"/>
        </w:rPr>
        <w:t xml:space="preserve"> </w:t>
      </w:r>
      <w:r w:rsidRPr="00DF3884">
        <w:rPr>
          <w:sz w:val="20"/>
          <w:lang w:eastAsia="en-CA"/>
        </w:rPr>
        <w:t xml:space="preserve">read as a whole, the jury instructions accurately put the law of causation as it applied to the appellant. </w:t>
      </w:r>
      <w:r w:rsidRPr="00DF3884">
        <w:rPr>
          <w:sz w:val="20"/>
          <w:lang w:eastAsia="en-CA"/>
        </w:rPr>
        <w:lastRenderedPageBreak/>
        <w:t>Paciocco J.A., dissenting, would have allowed the appeal, set aside the conviction and ordered a new trial. He found that the trial judge twice misdirected jurors by understating the standard of “reasonable foreseeability” they could use in determining whether the appellant’s unlawful act amounted to a “significant contributing cause” of the victim’s death.</w:t>
      </w:r>
    </w:p>
    <w:p w:rsidR="004874F7" w:rsidRPr="00DF3884" w:rsidRDefault="004874F7" w:rsidP="001C4415">
      <w:pPr>
        <w:widowControl w:val="0"/>
        <w:rPr>
          <w:szCs w:val="24"/>
        </w:rPr>
      </w:pPr>
    </w:p>
    <w:p w:rsidR="004874F7" w:rsidRPr="00DF3884" w:rsidRDefault="004874F7" w:rsidP="001C4415">
      <w:pPr>
        <w:widowControl w:val="0"/>
        <w:rPr>
          <w:szCs w:val="24"/>
        </w:rPr>
      </w:pPr>
    </w:p>
    <w:p w:rsidR="00A97E61" w:rsidRPr="00DF3884" w:rsidRDefault="006B546F" w:rsidP="001C4415">
      <w:pPr>
        <w:widowControl w:val="0"/>
        <w:rPr>
          <w:szCs w:val="24"/>
          <w:lang w:val="fr-CA"/>
        </w:rPr>
      </w:pPr>
      <w:r>
        <w:rPr>
          <w:sz w:val="18"/>
          <w:szCs w:val="18"/>
        </w:rPr>
        <w:pict>
          <v:rect id="_x0000_i1026" style="width:272.25pt;height:1.5pt" o:hrpct="0" o:hralign="center" o:hrstd="t" o:hrnoshade="t" o:hr="t" fillcolor="black [3213]" stroked="f"/>
        </w:pict>
      </w:r>
    </w:p>
    <w:p w:rsidR="00A97E61" w:rsidRPr="00DF3884" w:rsidRDefault="00A97E61" w:rsidP="001C4415">
      <w:pPr>
        <w:widowControl w:val="0"/>
        <w:rPr>
          <w:szCs w:val="24"/>
          <w:lang w:val="fr-CA"/>
        </w:rPr>
      </w:pPr>
    </w:p>
    <w:p w:rsidR="001C4415" w:rsidRPr="00DF3884" w:rsidRDefault="001C4415" w:rsidP="001C4415">
      <w:pPr>
        <w:widowControl w:val="0"/>
        <w:rPr>
          <w:lang w:val="fr-CA"/>
        </w:rPr>
      </w:pPr>
    </w:p>
    <w:p w:rsidR="001335A1" w:rsidRPr="00DF3884" w:rsidRDefault="001335A1" w:rsidP="001335A1">
      <w:pPr>
        <w:widowControl w:val="0"/>
        <w:jc w:val="center"/>
        <w:rPr>
          <w:b/>
          <w:lang w:val="fr-CA"/>
        </w:rPr>
      </w:pPr>
      <w:r w:rsidRPr="00DF3884">
        <w:rPr>
          <w:b/>
          <w:lang w:val="fr-CA"/>
        </w:rPr>
        <w:t>PROCHAIN</w:t>
      </w:r>
      <w:r w:rsidR="006B546F">
        <w:rPr>
          <w:b/>
          <w:lang w:val="fr-CA"/>
        </w:rPr>
        <w:t>S</w:t>
      </w:r>
      <w:bookmarkStart w:id="0" w:name="_GoBack"/>
      <w:bookmarkEnd w:id="0"/>
      <w:r w:rsidRPr="00DF3884">
        <w:rPr>
          <w:b/>
          <w:lang w:val="fr-CA"/>
        </w:rPr>
        <w:t xml:space="preserve"> JUGEMENT</w:t>
      </w:r>
      <w:r w:rsidR="009C0BD3" w:rsidRPr="00DF3884">
        <w:rPr>
          <w:b/>
          <w:lang w:val="fr-CA"/>
        </w:rPr>
        <w:t>S</w:t>
      </w:r>
      <w:r w:rsidR="00455BB9" w:rsidRPr="00DF3884">
        <w:rPr>
          <w:b/>
          <w:lang w:val="fr-CA"/>
        </w:rPr>
        <w:t xml:space="preserve"> SUR APPEL</w:t>
      </w:r>
      <w:r w:rsidR="009C0BD3" w:rsidRPr="00DF3884">
        <w:rPr>
          <w:b/>
          <w:lang w:val="fr-CA"/>
        </w:rPr>
        <w:t>S</w:t>
      </w:r>
    </w:p>
    <w:p w:rsidR="001335A1" w:rsidRPr="00DF3884" w:rsidRDefault="001335A1" w:rsidP="001335A1">
      <w:pPr>
        <w:widowControl w:val="0"/>
        <w:rPr>
          <w:lang w:val="fr-CA"/>
        </w:rPr>
      </w:pPr>
    </w:p>
    <w:p w:rsidR="00EC79B0" w:rsidRPr="00DF3884" w:rsidRDefault="00EC79B0" w:rsidP="00EC79B0">
      <w:pPr>
        <w:widowControl w:val="0"/>
        <w:rPr>
          <w:lang w:val="fr-CA"/>
        </w:rPr>
      </w:pPr>
      <w:r w:rsidRPr="00DF3884">
        <w:rPr>
          <w:b/>
          <w:lang w:val="fr-CA"/>
        </w:rPr>
        <w:t xml:space="preserve">Le </w:t>
      </w:r>
      <w:r w:rsidR="009C0BD3" w:rsidRPr="00DF3884">
        <w:rPr>
          <w:b/>
          <w:lang w:val="fr-CA"/>
        </w:rPr>
        <w:t>13</w:t>
      </w:r>
      <w:r w:rsidR="00FA5450" w:rsidRPr="00DF3884">
        <w:rPr>
          <w:b/>
          <w:lang w:val="fr-CA"/>
        </w:rPr>
        <w:t xml:space="preserve"> </w:t>
      </w:r>
      <w:r w:rsidR="00765C27" w:rsidRPr="00DF3884">
        <w:rPr>
          <w:b/>
          <w:lang w:val="fr-CA"/>
        </w:rPr>
        <w:t>mai</w:t>
      </w:r>
      <w:r w:rsidR="00C86395" w:rsidRPr="00DF3884">
        <w:rPr>
          <w:b/>
          <w:lang w:val="fr-CA"/>
        </w:rPr>
        <w:t xml:space="preserve"> </w:t>
      </w:r>
      <w:r w:rsidR="0086609D" w:rsidRPr="00DF3884">
        <w:rPr>
          <w:b/>
          <w:lang w:val="fr-CA"/>
        </w:rPr>
        <w:t>20</w:t>
      </w:r>
      <w:r w:rsidR="009544E9" w:rsidRPr="00DF3884">
        <w:rPr>
          <w:b/>
          <w:lang w:val="fr-CA"/>
        </w:rPr>
        <w:t>2</w:t>
      </w:r>
      <w:r w:rsidR="0049454A" w:rsidRPr="00DF3884">
        <w:rPr>
          <w:b/>
          <w:lang w:val="fr-CA"/>
        </w:rPr>
        <w:t>4</w:t>
      </w:r>
    </w:p>
    <w:p w:rsidR="00EC79B0" w:rsidRPr="00DF3884" w:rsidRDefault="00EC79B0" w:rsidP="00EC79B0">
      <w:pPr>
        <w:widowControl w:val="0"/>
        <w:rPr>
          <w:lang w:val="fr-CA"/>
        </w:rPr>
      </w:pPr>
    </w:p>
    <w:p w:rsidR="00EC79B0" w:rsidRPr="00DF3884" w:rsidRDefault="00EC79B0" w:rsidP="00EC79B0">
      <w:pPr>
        <w:widowControl w:val="0"/>
        <w:rPr>
          <w:lang w:val="fr-CA"/>
        </w:rPr>
      </w:pPr>
      <w:r w:rsidRPr="00DF3884">
        <w:rPr>
          <w:b/>
          <w:lang w:val="fr-CA"/>
        </w:rPr>
        <w:t>OTTAWA</w:t>
      </w:r>
      <w:r w:rsidRPr="00DF3884">
        <w:rPr>
          <w:lang w:val="fr-CA"/>
        </w:rPr>
        <w:t xml:space="preserve"> – </w:t>
      </w:r>
      <w:r w:rsidR="0095505F" w:rsidRPr="00DF3884">
        <w:rPr>
          <w:lang w:val="fr-CA"/>
        </w:rPr>
        <w:t>La Cour suprême du Canada rendra jugement dans l</w:t>
      </w:r>
      <w:r w:rsidR="009C0BD3" w:rsidRPr="00DF3884">
        <w:rPr>
          <w:lang w:val="fr-CA"/>
        </w:rPr>
        <w:t xml:space="preserve">es </w:t>
      </w:r>
      <w:r w:rsidR="0095505F" w:rsidRPr="00DF3884">
        <w:rPr>
          <w:lang w:val="fr-CA"/>
        </w:rPr>
        <w:t>appel</w:t>
      </w:r>
      <w:r w:rsidR="009C0BD3" w:rsidRPr="00DF3884">
        <w:rPr>
          <w:lang w:val="fr-CA"/>
        </w:rPr>
        <w:t>s</w:t>
      </w:r>
      <w:r w:rsidR="0095505F" w:rsidRPr="00DF3884">
        <w:rPr>
          <w:lang w:val="fr-CA"/>
        </w:rPr>
        <w:t xml:space="preserve"> suivant</w:t>
      </w:r>
      <w:r w:rsidR="009C0BD3" w:rsidRPr="00DF3884">
        <w:rPr>
          <w:lang w:val="fr-CA"/>
        </w:rPr>
        <w:t>s</w:t>
      </w:r>
      <w:r w:rsidR="0095505F" w:rsidRPr="00DF3884">
        <w:rPr>
          <w:lang w:val="fr-CA"/>
        </w:rPr>
        <w:t xml:space="preserve"> le </w:t>
      </w:r>
      <w:r w:rsidR="002915B5" w:rsidRPr="00DF3884">
        <w:rPr>
          <w:lang w:val="fr-CA"/>
        </w:rPr>
        <w:t>vendredi</w:t>
      </w:r>
      <w:r w:rsidR="0095505F" w:rsidRPr="00DF3884">
        <w:rPr>
          <w:lang w:val="fr-CA"/>
        </w:rPr>
        <w:t xml:space="preserve"> </w:t>
      </w:r>
      <w:r w:rsidR="00C43B65" w:rsidRPr="00DF3884">
        <w:rPr>
          <w:lang w:val="fr-CA"/>
        </w:rPr>
        <w:t>1</w:t>
      </w:r>
      <w:r w:rsidR="009C0BD3" w:rsidRPr="00DF3884">
        <w:rPr>
          <w:lang w:val="fr-CA"/>
        </w:rPr>
        <w:t>7</w:t>
      </w:r>
      <w:r w:rsidR="0095505F" w:rsidRPr="00DF3884">
        <w:rPr>
          <w:lang w:val="fr-CA"/>
        </w:rPr>
        <w:t xml:space="preserve"> </w:t>
      </w:r>
      <w:r w:rsidR="00765C27" w:rsidRPr="00DF3884">
        <w:rPr>
          <w:lang w:val="fr-CA"/>
        </w:rPr>
        <w:t>mai</w:t>
      </w:r>
      <w:r w:rsidR="0095505F" w:rsidRPr="00DF3884">
        <w:rPr>
          <w:lang w:val="fr-CA"/>
        </w:rPr>
        <w:t xml:space="preserve"> 202</w:t>
      </w:r>
      <w:r w:rsidR="0049454A" w:rsidRPr="00DF3884">
        <w:rPr>
          <w:lang w:val="fr-CA"/>
        </w:rPr>
        <w:t>4</w:t>
      </w:r>
      <w:r w:rsidR="0095505F" w:rsidRPr="00DF3884">
        <w:rPr>
          <w:lang w:val="fr-CA"/>
        </w:rPr>
        <w:t>, à 9 h 45 HE.</w:t>
      </w:r>
    </w:p>
    <w:p w:rsidR="001F76DD" w:rsidRPr="00DF3884" w:rsidRDefault="001F76DD" w:rsidP="00E92006">
      <w:pPr>
        <w:widowControl w:val="0"/>
        <w:jc w:val="both"/>
        <w:rPr>
          <w:szCs w:val="24"/>
          <w:lang w:val="fr-CA"/>
        </w:rPr>
      </w:pPr>
    </w:p>
    <w:p w:rsidR="001335A1" w:rsidRPr="00DF3884" w:rsidRDefault="001335A1" w:rsidP="001335A1">
      <w:pPr>
        <w:widowControl w:val="0"/>
        <w:rPr>
          <w:szCs w:val="24"/>
          <w:lang w:val="fr-CA"/>
        </w:rPr>
      </w:pPr>
    </w:p>
    <w:p w:rsidR="00772636" w:rsidRPr="00DF3884" w:rsidRDefault="00A9546E" w:rsidP="00772636">
      <w:pPr>
        <w:jc w:val="both"/>
        <w:rPr>
          <w:szCs w:val="24"/>
          <w:lang w:val="fr-CA"/>
        </w:rPr>
      </w:pPr>
      <w:r w:rsidRPr="00DF3884">
        <w:rPr>
          <w:i/>
          <w:szCs w:val="24"/>
          <w:lang w:val="fr-CA"/>
        </w:rPr>
        <w:t>Emanuel Lozada c. Sa Majesté le Roi</w:t>
      </w:r>
      <w:r w:rsidR="00765C27" w:rsidRPr="00DF3884">
        <w:rPr>
          <w:i/>
          <w:szCs w:val="24"/>
          <w:lang w:val="fr-CA"/>
        </w:rPr>
        <w:t xml:space="preserve"> </w:t>
      </w:r>
      <w:r w:rsidR="00772636" w:rsidRPr="00DF3884">
        <w:rPr>
          <w:szCs w:val="24"/>
          <w:lang w:val="fr-CA"/>
        </w:rPr>
        <w:t>(</w:t>
      </w:r>
      <w:r w:rsidRPr="00DF3884">
        <w:rPr>
          <w:szCs w:val="24"/>
          <w:lang w:val="fr-CA"/>
        </w:rPr>
        <w:t>Ont</w:t>
      </w:r>
      <w:r w:rsidR="00765C27" w:rsidRPr="00DF3884">
        <w:rPr>
          <w:szCs w:val="24"/>
          <w:lang w:val="fr-CA"/>
        </w:rPr>
        <w:t>.</w:t>
      </w:r>
      <w:r w:rsidR="00772636" w:rsidRPr="00DF3884">
        <w:rPr>
          <w:szCs w:val="24"/>
          <w:lang w:val="fr-CA"/>
        </w:rPr>
        <w:t xml:space="preserve">) </w:t>
      </w:r>
      <w:r w:rsidR="00772636" w:rsidRPr="00DF3884">
        <w:rPr>
          <w:lang w:val="fr-CA"/>
        </w:rPr>
        <w:t>(</w:t>
      </w:r>
      <w:hyperlink r:id="rId9" w:history="1">
        <w:r w:rsidR="002915B5" w:rsidRPr="00DF3884">
          <w:rPr>
            <w:rStyle w:val="Hyperlink"/>
            <w:lang w:val="fr-CA"/>
          </w:rPr>
          <w:t>40</w:t>
        </w:r>
        <w:r w:rsidRPr="00DF3884">
          <w:rPr>
            <w:rStyle w:val="Hyperlink"/>
            <w:lang w:val="fr-CA"/>
          </w:rPr>
          <w:t>701</w:t>
        </w:r>
      </w:hyperlink>
      <w:r w:rsidR="00772636" w:rsidRPr="00DF3884">
        <w:rPr>
          <w:lang w:val="fr-CA"/>
        </w:rPr>
        <w:t>)</w:t>
      </w:r>
    </w:p>
    <w:p w:rsidR="003B3C19" w:rsidRPr="00DF3884" w:rsidRDefault="003B3C19" w:rsidP="00AE14EC">
      <w:pPr>
        <w:widowControl w:val="0"/>
        <w:jc w:val="both"/>
        <w:rPr>
          <w:sz w:val="20"/>
          <w:lang w:val="fr-CA"/>
        </w:rPr>
      </w:pPr>
      <w:bookmarkStart w:id="1" w:name="QuickMark_1"/>
      <w:bookmarkEnd w:id="1"/>
    </w:p>
    <w:p w:rsidR="00A9546E" w:rsidRPr="00DF3884" w:rsidRDefault="00A9546E" w:rsidP="00A9546E">
      <w:pPr>
        <w:jc w:val="both"/>
        <w:rPr>
          <w:szCs w:val="24"/>
          <w:lang w:val="fr-CA"/>
        </w:rPr>
      </w:pPr>
      <w:r w:rsidRPr="00DF3884">
        <w:rPr>
          <w:i/>
          <w:szCs w:val="24"/>
          <w:lang w:val="fr-CA"/>
        </w:rPr>
        <w:t xml:space="preserve">Victor Ramos c. Sa Majesté le Roi </w:t>
      </w:r>
      <w:r w:rsidRPr="00DF3884">
        <w:rPr>
          <w:szCs w:val="24"/>
          <w:lang w:val="fr-CA"/>
        </w:rPr>
        <w:t xml:space="preserve">(Ont.) </w:t>
      </w:r>
      <w:r w:rsidRPr="00DF3884">
        <w:rPr>
          <w:lang w:val="fr-CA"/>
        </w:rPr>
        <w:t>(</w:t>
      </w:r>
      <w:hyperlink r:id="rId10" w:history="1">
        <w:r w:rsidRPr="00DF3884">
          <w:rPr>
            <w:rStyle w:val="Hyperlink"/>
            <w:lang w:val="fr-CA"/>
          </w:rPr>
          <w:t>40709</w:t>
        </w:r>
      </w:hyperlink>
      <w:r w:rsidRPr="00DF3884">
        <w:rPr>
          <w:lang w:val="fr-CA"/>
        </w:rPr>
        <w:t>)</w:t>
      </w:r>
    </w:p>
    <w:p w:rsidR="00A9546E" w:rsidRPr="00DF3884" w:rsidRDefault="00A9546E" w:rsidP="00AE14EC">
      <w:pPr>
        <w:widowControl w:val="0"/>
        <w:jc w:val="both"/>
        <w:rPr>
          <w:sz w:val="20"/>
          <w:lang w:val="fr-CA"/>
        </w:rPr>
      </w:pPr>
    </w:p>
    <w:p w:rsidR="00DF3884" w:rsidRPr="00DF3884" w:rsidRDefault="00DF3884" w:rsidP="00BF4B54">
      <w:pPr>
        <w:widowControl w:val="0"/>
        <w:tabs>
          <w:tab w:val="left" w:pos="720"/>
        </w:tabs>
        <w:ind w:left="1440" w:hanging="1440"/>
        <w:jc w:val="both"/>
        <w:rPr>
          <w:b/>
          <w:i/>
          <w:sz w:val="20"/>
          <w:lang w:val="fr-CA"/>
        </w:rPr>
      </w:pPr>
      <w:r w:rsidRPr="00DF3884">
        <w:rPr>
          <w:b/>
          <w:sz w:val="20"/>
          <w:lang w:val="fr-CA"/>
        </w:rPr>
        <w:fldChar w:fldCharType="begin"/>
      </w:r>
      <w:r w:rsidRPr="00DF3884">
        <w:rPr>
          <w:b/>
          <w:sz w:val="20"/>
          <w:lang w:val="fr-CA"/>
        </w:rPr>
        <w:instrText xml:space="preserve"> SEQ CHAPTER \h \r 1</w:instrText>
      </w:r>
      <w:r w:rsidRPr="00DF3884">
        <w:rPr>
          <w:b/>
          <w:sz w:val="20"/>
          <w:lang w:val="fr-CA"/>
        </w:rPr>
        <w:fldChar w:fldCharType="end"/>
      </w:r>
      <w:r w:rsidRPr="00DF3884">
        <w:rPr>
          <w:b/>
          <w:sz w:val="20"/>
          <w:lang w:val="fr-CA"/>
        </w:rPr>
        <w:t>40701</w:t>
      </w:r>
      <w:r w:rsidRPr="00DF3884">
        <w:rPr>
          <w:sz w:val="20"/>
          <w:lang w:val="fr-CA"/>
        </w:rPr>
        <w:tab/>
      </w:r>
      <w:r w:rsidRPr="00DF3884">
        <w:rPr>
          <w:b/>
          <w:i/>
          <w:sz w:val="20"/>
          <w:lang w:val="fr-CA"/>
        </w:rPr>
        <w:t>Emanuel</w:t>
      </w:r>
      <w:r w:rsidRPr="00DF3884">
        <w:rPr>
          <w:b/>
          <w:bCs/>
          <w:i/>
          <w:sz w:val="20"/>
          <w:lang w:val="fr-CA"/>
        </w:rPr>
        <w:t xml:space="preserve"> Lozada c. Sa Majesté le Roi</w:t>
      </w:r>
    </w:p>
    <w:p w:rsidR="00DF3884" w:rsidRPr="00DF3884" w:rsidRDefault="00DF3884" w:rsidP="00BF4B54">
      <w:pPr>
        <w:widowControl w:val="0"/>
        <w:tabs>
          <w:tab w:val="left" w:pos="720"/>
        </w:tabs>
        <w:ind w:left="1440" w:hanging="1440"/>
        <w:jc w:val="both"/>
        <w:rPr>
          <w:sz w:val="20"/>
          <w:lang w:val="fr-CA"/>
        </w:rPr>
      </w:pPr>
      <w:r w:rsidRPr="00DF3884">
        <w:rPr>
          <w:sz w:val="20"/>
          <w:lang w:val="fr-CA"/>
        </w:rPr>
        <w:tab/>
        <w:t>(Ont.) (Criminelle) (De plein droit)</w:t>
      </w:r>
    </w:p>
    <w:p w:rsidR="00DF3884" w:rsidRPr="00DF3884" w:rsidRDefault="00DF3884">
      <w:pPr>
        <w:widowControl w:val="0"/>
        <w:jc w:val="both"/>
        <w:rPr>
          <w:sz w:val="20"/>
          <w:lang w:val="fr-CA"/>
        </w:rPr>
      </w:pPr>
    </w:p>
    <w:p w:rsidR="00DF3884" w:rsidRPr="00DF3884" w:rsidRDefault="00DF3884" w:rsidP="00AC2B1F">
      <w:pPr>
        <w:widowControl w:val="0"/>
        <w:jc w:val="both"/>
        <w:rPr>
          <w:smallCaps/>
          <w:sz w:val="20"/>
          <w:lang w:val="fr-CA"/>
        </w:rPr>
      </w:pPr>
      <w:r w:rsidRPr="00DF3884">
        <w:rPr>
          <w:smallCaps/>
          <w:sz w:val="20"/>
          <w:lang w:val="fr-CA"/>
        </w:rPr>
        <w:t>(Ordonnance de non</w:t>
      </w:r>
      <w:r w:rsidRPr="00DF3884">
        <w:rPr>
          <w:smallCaps/>
          <w:sz w:val="20"/>
          <w:lang w:val="fr-CA"/>
        </w:rPr>
        <w:noBreakHyphen/>
        <w:t>publication au dossier)</w:t>
      </w:r>
    </w:p>
    <w:p w:rsidR="00DF3884" w:rsidRPr="00DF3884" w:rsidRDefault="00DF3884">
      <w:pPr>
        <w:widowControl w:val="0"/>
        <w:jc w:val="both"/>
        <w:rPr>
          <w:sz w:val="20"/>
          <w:lang w:val="fr-CA"/>
        </w:rPr>
      </w:pPr>
    </w:p>
    <w:p w:rsidR="00DF3884" w:rsidRPr="00DF3884" w:rsidRDefault="00DF3884">
      <w:pPr>
        <w:widowControl w:val="0"/>
        <w:jc w:val="both"/>
        <w:rPr>
          <w:iCs/>
          <w:sz w:val="20"/>
          <w:lang w:val="fr-CA"/>
        </w:rPr>
      </w:pPr>
      <w:r w:rsidRPr="00DF3884">
        <w:rPr>
          <w:sz w:val="20"/>
          <w:lang w:val="fr-CA"/>
        </w:rPr>
        <w:t>Droit criminel — Exposé au jury — Responsabilité en tant que coauteur de l’infraction — Droit relatif à la causalité —</w:t>
      </w:r>
      <w:r w:rsidRPr="00DF3884">
        <w:rPr>
          <w:rFonts w:asciiTheme="minorHAnsi" w:eastAsiaTheme="minorHAnsi" w:hAnsiTheme="minorHAnsi" w:cstheme="minorBidi"/>
          <w:sz w:val="20"/>
          <w:lang w:val="fr-CA"/>
        </w:rPr>
        <w:t xml:space="preserve"> </w:t>
      </w:r>
      <w:r w:rsidRPr="00DF3884">
        <w:rPr>
          <w:sz w:val="20"/>
          <w:lang w:val="fr-CA"/>
        </w:rPr>
        <w:t>Le juge du procès a</w:t>
      </w:r>
      <w:r w:rsidRPr="00DF3884">
        <w:rPr>
          <w:sz w:val="20"/>
          <w:lang w:val="fr-CA"/>
        </w:rPr>
        <w:noBreakHyphen/>
        <w:t>t</w:t>
      </w:r>
      <w:r w:rsidRPr="00DF3884">
        <w:rPr>
          <w:sz w:val="20"/>
          <w:lang w:val="fr-CA"/>
        </w:rPr>
        <w:noBreakHyphen/>
        <w:t>il commis une erreur en donnant au jury des directives erronées sur l’élément de « causalité » de l’homicide involontaire coupable résultant d’un acte illégal?</w:t>
      </w:r>
      <w:r w:rsidRPr="00DF3884">
        <w:rPr>
          <w:sz w:val="20"/>
        </w:rPr>
        <w:t xml:space="preserve"> </w:t>
      </w:r>
      <w:r w:rsidRPr="00DF3884">
        <w:rPr>
          <w:sz w:val="20"/>
          <w:lang w:val="fr-CA"/>
        </w:rPr>
        <w:t>— La doctrine de l’« acte intermédiaire » s’applique</w:t>
      </w:r>
      <w:r w:rsidRPr="00DF3884">
        <w:rPr>
          <w:sz w:val="20"/>
          <w:lang w:val="fr-CA"/>
        </w:rPr>
        <w:noBreakHyphen/>
        <w:t>t</w:t>
      </w:r>
      <w:r w:rsidRPr="00DF3884">
        <w:rPr>
          <w:sz w:val="20"/>
          <w:lang w:val="fr-CA"/>
        </w:rPr>
        <w:noBreakHyphen/>
        <w:t xml:space="preserve">elle dans le contexte d’une agression en groupe? — </w:t>
      </w:r>
      <w:r w:rsidRPr="00DF3884">
        <w:rPr>
          <w:i/>
          <w:sz w:val="20"/>
          <w:lang w:val="fr-CA"/>
        </w:rPr>
        <w:t>Code criminel</w:t>
      </w:r>
      <w:r w:rsidRPr="00DF3884">
        <w:rPr>
          <w:sz w:val="20"/>
          <w:lang w:val="fr-CA"/>
        </w:rPr>
        <w:t>, art. 21(1)a).</w:t>
      </w:r>
    </w:p>
    <w:p w:rsidR="00DF3884" w:rsidRPr="00DF3884" w:rsidRDefault="00DF3884">
      <w:pPr>
        <w:widowControl w:val="0"/>
        <w:jc w:val="both"/>
        <w:rPr>
          <w:sz w:val="20"/>
          <w:lang w:val="fr-CA"/>
        </w:rPr>
      </w:pPr>
    </w:p>
    <w:p w:rsidR="00DF3884" w:rsidRPr="00DF3884" w:rsidRDefault="00DF3884">
      <w:pPr>
        <w:widowControl w:val="0"/>
        <w:jc w:val="both"/>
        <w:rPr>
          <w:sz w:val="20"/>
          <w:lang w:val="fr-CA"/>
        </w:rPr>
      </w:pPr>
      <w:r w:rsidRPr="00DF3884">
        <w:rPr>
          <w:sz w:val="20"/>
          <w:lang w:val="fr-CA"/>
        </w:rPr>
        <w:t>L’appelant, Emanuel Lozada, ainsi que d’autres personnes, ont pris part à deux bagarres, et à l’issue de la seconde, la victime a été poignardée à mort. Au procès pour homicide involontaire coupable qu’a subi l’appelant, la Couronne a fait valoir que ce dernier était coupable d’homicide involontaire coupable soit à titre de coauteur avec l’homme qui aurait poignardé la victime, soit à titre de personne ayant aidé ou encouragé celui</w:t>
      </w:r>
      <w:r w:rsidRPr="00DF3884">
        <w:rPr>
          <w:sz w:val="20"/>
          <w:lang w:val="fr-CA"/>
        </w:rPr>
        <w:noBreakHyphen/>
        <w:t>ci. Le jury a déclaré l’appelant coupable.</w:t>
      </w:r>
      <w:r w:rsidRPr="00DF3884">
        <w:rPr>
          <w:rFonts w:asciiTheme="minorHAnsi" w:eastAsiaTheme="minorHAnsi" w:hAnsiTheme="minorHAnsi" w:cstheme="minorBidi"/>
          <w:sz w:val="20"/>
          <w:lang w:val="fr-CA"/>
        </w:rPr>
        <w:t xml:space="preserve"> </w:t>
      </w:r>
      <w:r w:rsidRPr="00DF3884">
        <w:rPr>
          <w:sz w:val="20"/>
          <w:lang w:val="fr-CA"/>
        </w:rPr>
        <w:t xml:space="preserve">L’appelant a interjeté appel de la déclaration de culpabilité pour homicide involontaire coupable. Il a allégué notamment que le juge du procès avait commis une erreur dans ses directives au jury sur le droit relatif à la causalité en ce qui a trait à la responsabilité du coauteur. Les juges majoritaires de la Cour d’appel de l’Ontario ont rejeté l’appel. Ils ont conclu que, considérées dans leur ensemble, les directives au jury exposaient fidèlement le droit relatif à la causalité </w:t>
      </w:r>
      <w:proofErr w:type="gramStart"/>
      <w:r w:rsidRPr="00DF3884">
        <w:rPr>
          <w:sz w:val="20"/>
          <w:lang w:val="fr-CA"/>
        </w:rPr>
        <w:t>tel</w:t>
      </w:r>
      <w:proofErr w:type="gramEnd"/>
      <w:r w:rsidRPr="00DF3884">
        <w:rPr>
          <w:sz w:val="20"/>
          <w:lang w:val="fr-CA"/>
        </w:rPr>
        <w:t xml:space="preserve"> qu’il s’appliquait à l’appelant. Le juge Paciocco, dissident, aurait accueilli l’appel, annulé la déclaration de culpabilité et ordonné la tenue d’un nouveau procès. Il a conclu que le juge du procès avait à deux reprises donné des directives erronées aux jurés en réduisant l’importance de la norme de la « prévisibilité raisonnable » qu’ils pouvaient utiliser pour déterminer si l’acte illégal de l’appelant équivalait à une « cause ayant contribué de façon appréciable » à la mort de la victime.</w:t>
      </w:r>
    </w:p>
    <w:p w:rsidR="00DF3884" w:rsidRPr="00DF3884" w:rsidRDefault="00DF3884">
      <w:pPr>
        <w:widowControl w:val="0"/>
        <w:jc w:val="both"/>
        <w:rPr>
          <w:sz w:val="20"/>
          <w:lang w:val="fr-CA"/>
        </w:rPr>
      </w:pPr>
    </w:p>
    <w:p w:rsidR="00DF3884" w:rsidRPr="00DF3884" w:rsidRDefault="006B546F">
      <w:pPr>
        <w:widowControl w:val="0"/>
        <w:jc w:val="both"/>
        <w:rPr>
          <w:sz w:val="20"/>
          <w:lang w:val="fr-CA"/>
        </w:rPr>
      </w:pPr>
      <w:r>
        <w:rPr>
          <w:sz w:val="20"/>
        </w:rPr>
        <w:pict>
          <v:rect id="_x0000_i1027" style="width:2in;height:1pt" o:hrpct="0" o:hralign="center" o:hrstd="t" o:hrnoshade="t" o:hr="t" fillcolor="black [3213]" stroked="f"/>
        </w:pict>
      </w:r>
    </w:p>
    <w:p w:rsidR="00DF3884" w:rsidRPr="00DF3884" w:rsidRDefault="00DF3884">
      <w:pPr>
        <w:widowControl w:val="0"/>
        <w:jc w:val="both"/>
        <w:rPr>
          <w:sz w:val="20"/>
          <w:lang w:val="fr-CA"/>
        </w:rPr>
      </w:pPr>
    </w:p>
    <w:p w:rsidR="00DF3884" w:rsidRPr="00DF3884" w:rsidRDefault="00DF3884" w:rsidP="00BF4B54">
      <w:pPr>
        <w:widowControl w:val="0"/>
        <w:tabs>
          <w:tab w:val="left" w:pos="720"/>
        </w:tabs>
        <w:ind w:left="1440" w:hanging="1440"/>
        <w:jc w:val="both"/>
        <w:rPr>
          <w:b/>
          <w:i/>
          <w:sz w:val="20"/>
          <w:lang w:val="fr-CA"/>
        </w:rPr>
      </w:pPr>
      <w:r w:rsidRPr="00DF3884">
        <w:rPr>
          <w:b/>
          <w:sz w:val="20"/>
          <w:lang w:val="fr-CA"/>
        </w:rPr>
        <w:fldChar w:fldCharType="begin"/>
      </w:r>
      <w:r w:rsidRPr="00DF3884">
        <w:rPr>
          <w:b/>
          <w:sz w:val="20"/>
          <w:lang w:val="fr-CA"/>
        </w:rPr>
        <w:instrText xml:space="preserve"> SEQ CHAPTER \h \r 1</w:instrText>
      </w:r>
      <w:r w:rsidRPr="00DF3884">
        <w:rPr>
          <w:b/>
          <w:sz w:val="20"/>
          <w:lang w:val="fr-CA"/>
        </w:rPr>
        <w:fldChar w:fldCharType="end"/>
      </w:r>
      <w:r w:rsidRPr="00DF3884">
        <w:rPr>
          <w:b/>
          <w:sz w:val="20"/>
          <w:lang w:val="fr-CA"/>
        </w:rPr>
        <w:t>40709</w:t>
      </w:r>
      <w:r w:rsidRPr="00DF3884">
        <w:rPr>
          <w:b/>
          <w:sz w:val="20"/>
          <w:lang w:val="fr-CA"/>
        </w:rPr>
        <w:tab/>
      </w:r>
      <w:r w:rsidRPr="00DF3884">
        <w:rPr>
          <w:b/>
          <w:i/>
          <w:sz w:val="20"/>
          <w:lang w:val="fr-CA"/>
        </w:rPr>
        <w:t>Victor</w:t>
      </w:r>
      <w:r w:rsidRPr="00DF3884">
        <w:rPr>
          <w:b/>
          <w:bCs/>
          <w:i/>
          <w:iCs/>
          <w:sz w:val="20"/>
          <w:lang w:val="fr-CA"/>
        </w:rPr>
        <w:t xml:space="preserve"> Ramos</w:t>
      </w:r>
      <w:r w:rsidRPr="00DF3884">
        <w:rPr>
          <w:b/>
          <w:bCs/>
          <w:i/>
          <w:sz w:val="20"/>
          <w:lang w:val="fr-CA"/>
        </w:rPr>
        <w:t xml:space="preserve"> c. Sa Majesté le Roi</w:t>
      </w:r>
    </w:p>
    <w:p w:rsidR="00DF3884" w:rsidRPr="00DF3884" w:rsidRDefault="00DF3884" w:rsidP="00BF4B54">
      <w:pPr>
        <w:widowControl w:val="0"/>
        <w:tabs>
          <w:tab w:val="left" w:pos="720"/>
        </w:tabs>
        <w:ind w:left="1440" w:hanging="1440"/>
        <w:jc w:val="both"/>
        <w:rPr>
          <w:sz w:val="20"/>
          <w:lang w:val="fr-CA"/>
        </w:rPr>
      </w:pPr>
      <w:r w:rsidRPr="00DF3884">
        <w:rPr>
          <w:sz w:val="20"/>
          <w:lang w:val="fr-CA"/>
        </w:rPr>
        <w:tab/>
        <w:t>(Ont.) (Criminelle) (De plein droit)</w:t>
      </w:r>
    </w:p>
    <w:p w:rsidR="00DF3884" w:rsidRPr="00DF3884" w:rsidRDefault="00DF3884">
      <w:pPr>
        <w:widowControl w:val="0"/>
        <w:jc w:val="both"/>
        <w:rPr>
          <w:sz w:val="20"/>
          <w:lang w:val="fr-CA"/>
        </w:rPr>
      </w:pPr>
    </w:p>
    <w:p w:rsidR="00DF3884" w:rsidRPr="00DF3884" w:rsidRDefault="00DF3884" w:rsidP="00AC2B1F">
      <w:pPr>
        <w:widowControl w:val="0"/>
        <w:jc w:val="both"/>
        <w:rPr>
          <w:smallCaps/>
          <w:sz w:val="20"/>
          <w:lang w:val="fr-CA"/>
        </w:rPr>
      </w:pPr>
      <w:r w:rsidRPr="00DF3884">
        <w:rPr>
          <w:smallCaps/>
          <w:sz w:val="20"/>
          <w:lang w:val="fr-CA"/>
        </w:rPr>
        <w:t>(Ordonnance de non-publication au dossier)</w:t>
      </w:r>
    </w:p>
    <w:p w:rsidR="00DF3884" w:rsidRPr="00DF3884" w:rsidRDefault="00DF3884">
      <w:pPr>
        <w:widowControl w:val="0"/>
        <w:jc w:val="both"/>
        <w:rPr>
          <w:sz w:val="20"/>
          <w:lang w:val="fr-CA"/>
        </w:rPr>
      </w:pPr>
    </w:p>
    <w:p w:rsidR="00DF3884" w:rsidRPr="00DF3884" w:rsidRDefault="00DF3884">
      <w:pPr>
        <w:widowControl w:val="0"/>
        <w:jc w:val="both"/>
        <w:rPr>
          <w:iCs/>
          <w:sz w:val="20"/>
          <w:lang w:val="fr-CA"/>
        </w:rPr>
      </w:pPr>
      <w:r w:rsidRPr="00DF3884">
        <w:rPr>
          <w:sz w:val="20"/>
          <w:lang w:val="fr-CA"/>
        </w:rPr>
        <w:t>Droit criminel — Exposé au jury — Responsabilité en tant que coauteur de l’infraction — Droit relatif à la causalité —</w:t>
      </w:r>
      <w:r w:rsidRPr="00DF3884">
        <w:rPr>
          <w:rFonts w:asciiTheme="minorHAnsi" w:eastAsiaTheme="minorHAnsi" w:hAnsiTheme="minorHAnsi" w:cstheme="minorBidi"/>
          <w:sz w:val="20"/>
          <w:lang w:val="fr-CA"/>
        </w:rPr>
        <w:t xml:space="preserve"> </w:t>
      </w:r>
      <w:r w:rsidRPr="00DF3884">
        <w:rPr>
          <w:sz w:val="20"/>
          <w:lang w:val="fr-CA"/>
        </w:rPr>
        <w:t>Le juge du procès a-t-il commis une erreur en donnant au jury des directives erronées sur l’élément de « causalité » de l’homicide involontaire coupable résultant d’un acte illégal?</w:t>
      </w:r>
    </w:p>
    <w:p w:rsidR="00DF3884" w:rsidRPr="00DF3884" w:rsidRDefault="00DF3884">
      <w:pPr>
        <w:widowControl w:val="0"/>
        <w:jc w:val="both"/>
        <w:rPr>
          <w:sz w:val="20"/>
          <w:lang w:val="fr-CA"/>
        </w:rPr>
      </w:pPr>
    </w:p>
    <w:p w:rsidR="00DF3884" w:rsidRPr="00DF3884" w:rsidRDefault="00DF3884">
      <w:pPr>
        <w:widowControl w:val="0"/>
        <w:jc w:val="both"/>
        <w:rPr>
          <w:sz w:val="20"/>
          <w:lang w:val="fr-CA"/>
        </w:rPr>
      </w:pPr>
      <w:r w:rsidRPr="00DF3884">
        <w:rPr>
          <w:sz w:val="20"/>
          <w:lang w:val="fr-CA"/>
        </w:rPr>
        <w:lastRenderedPageBreak/>
        <w:t>L’appelant, Victor Ramos, ainsi que d’autres personnes, ont pris part à une bagarre à l’issue de laquelle la victime a été poignardée à mort. Au procès pour homicide involontaire coupable qu’a subi l’appelant, la Couronne a fait valoir que ce dernier était coupable d’homicide involontaire coupable soit à titre de coauteur avec l’homme qui aurait poignardé la victime, soit à titre de personne ayant aidé ou encouragé celui-ci. Le jury a déclaré l’appelant coupable.</w:t>
      </w:r>
      <w:r w:rsidRPr="00DF3884">
        <w:rPr>
          <w:rFonts w:asciiTheme="minorHAnsi" w:eastAsiaTheme="minorHAnsi" w:hAnsiTheme="minorHAnsi" w:cstheme="minorBidi"/>
          <w:sz w:val="20"/>
          <w:lang w:val="fr-CA"/>
        </w:rPr>
        <w:t xml:space="preserve"> </w:t>
      </w:r>
      <w:r w:rsidRPr="00DF3884">
        <w:rPr>
          <w:sz w:val="20"/>
          <w:lang w:val="fr-CA"/>
        </w:rPr>
        <w:t xml:space="preserve">L’appelant a interjeté appel de la déclaration de culpabilité pour homicide involontaire coupable. Il a allégué notamment que le juge du procès avait commis une erreur dans ses directives au jury sur le droit relatif à la causalité en ce qui a trait à la responsabilité du coauteur. Les juges majoritaires de la Cour d’appel de l’Ontario ont rejeté l’appel. Ils ont conclu que, considérées dans leur ensemble, les directives au jury exposaient fidèlement le droit relatif à la causalité </w:t>
      </w:r>
      <w:proofErr w:type="gramStart"/>
      <w:r w:rsidRPr="00DF3884">
        <w:rPr>
          <w:sz w:val="20"/>
          <w:lang w:val="fr-CA"/>
        </w:rPr>
        <w:t>tel</w:t>
      </w:r>
      <w:proofErr w:type="gramEnd"/>
      <w:r w:rsidRPr="00DF3884">
        <w:rPr>
          <w:sz w:val="20"/>
          <w:lang w:val="fr-CA"/>
        </w:rPr>
        <w:t xml:space="preserve"> qu’il s’appliquait à l’appelant. Le juge Paciocco, dissident, aurait accueilli l’appel, annulé la déclaration de culpabilité et ordonné la tenue d’un nouveau procès. Il a conclu que le juge du procès avait à deux reprises donné des directives erronées aux jurés en réduisant l’importance de la norme de la « prévisibilité raisonnable » qu’ils pouvaient utiliser pour déterminer si l’acte illégal de l’appelant équivalait à une « cause ayant contribué de façon appréciable » à la mort de la victime.</w:t>
      </w:r>
    </w:p>
    <w:p w:rsidR="00046AF2" w:rsidRPr="00DF3884" w:rsidRDefault="00046AF2" w:rsidP="003B3C19">
      <w:pPr>
        <w:widowControl w:val="0"/>
        <w:jc w:val="both"/>
        <w:rPr>
          <w:sz w:val="20"/>
          <w:lang w:val="fr-CA"/>
        </w:rPr>
      </w:pPr>
    </w:p>
    <w:p w:rsidR="00EF4622" w:rsidRPr="00DF3884" w:rsidRDefault="006B546F"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8" style="width:2in;height:1pt" o:hrpct="0" o:hralign="center" o:hrstd="t" o:hrnoshade="t" o:hr="t" fillcolor="black [3213]" stroked="f"/>
        </w:pict>
      </w:r>
    </w:p>
    <w:p w:rsidR="00E92006" w:rsidRPr="00DF3884" w:rsidRDefault="00E92006" w:rsidP="00340C6D">
      <w:pPr>
        <w:jc w:val="both"/>
        <w:rPr>
          <w:sz w:val="20"/>
          <w:lang w:val="fr-CA"/>
        </w:rPr>
      </w:pPr>
    </w:p>
    <w:p w:rsidR="00E92006" w:rsidRPr="00DF3884" w:rsidRDefault="00E92006" w:rsidP="00340C6D">
      <w:pPr>
        <w:jc w:val="both"/>
        <w:rPr>
          <w:sz w:val="20"/>
          <w:lang w:val="fr-CA"/>
        </w:rPr>
      </w:pPr>
    </w:p>
    <w:p w:rsidR="00072A63" w:rsidRPr="00DF3884" w:rsidRDefault="00072A63" w:rsidP="00EC79B0">
      <w:pPr>
        <w:jc w:val="both"/>
        <w:rPr>
          <w:sz w:val="20"/>
          <w:lang w:val="fr-CA"/>
        </w:rPr>
      </w:pPr>
    </w:p>
    <w:p w:rsidR="001C4415" w:rsidRPr="00DF3884" w:rsidRDefault="001C4415" w:rsidP="001C4415">
      <w:pPr>
        <w:widowControl w:val="0"/>
        <w:outlineLvl w:val="0"/>
      </w:pPr>
      <w:r w:rsidRPr="00DF3884">
        <w:t xml:space="preserve">Supreme Court of Canada / Cour suprême du </w:t>
      </w:r>
      <w:proofErr w:type="gramStart"/>
      <w:r w:rsidRPr="00DF3884">
        <w:t>Canada :</w:t>
      </w:r>
      <w:proofErr w:type="gramEnd"/>
      <w:r w:rsidRPr="00DF3884">
        <w:t xml:space="preserve"> </w:t>
      </w:r>
    </w:p>
    <w:p w:rsidR="004F410B" w:rsidRPr="00DF3884" w:rsidRDefault="006B546F" w:rsidP="004F410B">
      <w:pPr>
        <w:widowControl w:val="0"/>
        <w:outlineLvl w:val="0"/>
      </w:pPr>
      <w:hyperlink r:id="rId11" w:history="1">
        <w:r w:rsidR="004F410B" w:rsidRPr="00DF3884">
          <w:rPr>
            <w:rStyle w:val="Hyperlink"/>
          </w:rPr>
          <w:t>Registry-greffe@scc-csc.ca</w:t>
        </w:r>
      </w:hyperlink>
    </w:p>
    <w:p w:rsidR="001C4415" w:rsidRDefault="004F410B" w:rsidP="004F410B">
      <w:pPr>
        <w:widowControl w:val="0"/>
        <w:outlineLvl w:val="0"/>
      </w:pPr>
      <w:r w:rsidRPr="00DF3884">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5140"/>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46F"/>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BD3"/>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546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3884"/>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7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4070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407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407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2024-05-10T12:57:00Z</dcterms:modified>
</cp:coreProperties>
</file>