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B04209" w:rsidRDefault="002A192B" w:rsidP="002A192B">
      <w:pPr>
        <w:pStyle w:val="Header"/>
        <w:jc w:val="center"/>
        <w:rPr>
          <w:b/>
          <w:sz w:val="32"/>
        </w:rPr>
      </w:pPr>
      <w:r w:rsidRPr="00B04209">
        <w:rPr>
          <w:b/>
          <w:sz w:val="32"/>
        </w:rPr>
        <w:t>Supreme Court of Canada / Cour suprême du Canada</w:t>
      </w:r>
    </w:p>
    <w:p w:rsidR="002A192B" w:rsidRPr="00B04209" w:rsidRDefault="002A192B" w:rsidP="002A192B">
      <w:pPr>
        <w:widowControl w:val="0"/>
        <w:rPr>
          <w:i/>
        </w:rPr>
      </w:pPr>
    </w:p>
    <w:p w:rsidR="002A192B" w:rsidRPr="00B04209" w:rsidRDefault="002A192B" w:rsidP="002A192B">
      <w:pPr>
        <w:widowControl w:val="0"/>
        <w:rPr>
          <w:i/>
        </w:rPr>
      </w:pPr>
    </w:p>
    <w:p w:rsidR="001C4415" w:rsidRPr="00B04209" w:rsidRDefault="001C4415" w:rsidP="001C4415">
      <w:pPr>
        <w:widowControl w:val="0"/>
        <w:rPr>
          <w:i/>
          <w:sz w:val="20"/>
        </w:rPr>
      </w:pPr>
      <w:r w:rsidRPr="00B04209">
        <w:rPr>
          <w:i/>
          <w:sz w:val="20"/>
        </w:rPr>
        <w:t>(</w:t>
      </w:r>
      <w:r w:rsidR="003C50BF" w:rsidRPr="00B04209">
        <w:rPr>
          <w:i/>
          <w:sz w:val="20"/>
        </w:rPr>
        <w:t>Le</w:t>
      </w:r>
      <w:r w:rsidRPr="00B04209">
        <w:rPr>
          <w:i/>
          <w:sz w:val="20"/>
        </w:rPr>
        <w:t xml:space="preserve"> français suit)</w:t>
      </w:r>
    </w:p>
    <w:p w:rsidR="001C4415" w:rsidRPr="00B04209" w:rsidRDefault="001C4415" w:rsidP="001C4415">
      <w:pPr>
        <w:widowControl w:val="0"/>
      </w:pPr>
    </w:p>
    <w:p w:rsidR="001C4415" w:rsidRPr="00B04209" w:rsidRDefault="000347C1" w:rsidP="00214729">
      <w:pPr>
        <w:widowControl w:val="0"/>
        <w:jc w:val="center"/>
        <w:rPr>
          <w:b/>
        </w:rPr>
      </w:pPr>
      <w:r w:rsidRPr="00B04209">
        <w:fldChar w:fldCharType="begin"/>
      </w:r>
      <w:r w:rsidR="00FA7412" w:rsidRPr="00B04209">
        <w:instrText xml:space="preserve"> SEQ CHAPTER \h \r 1</w:instrText>
      </w:r>
      <w:r w:rsidRPr="00B04209">
        <w:fldChar w:fldCharType="end"/>
      </w:r>
      <w:r w:rsidR="00455BB9" w:rsidRPr="00B04209">
        <w:rPr>
          <w:b/>
        </w:rPr>
        <w:t>JUDGMENT</w:t>
      </w:r>
      <w:r w:rsidR="00FA7412" w:rsidRPr="00B04209">
        <w:rPr>
          <w:b/>
        </w:rPr>
        <w:t xml:space="preserve"> TO BE RENDERED </w:t>
      </w:r>
      <w:r w:rsidR="00E43F22" w:rsidRPr="00B04209">
        <w:rPr>
          <w:b/>
        </w:rPr>
        <w:t>O</w:t>
      </w:r>
      <w:r w:rsidR="00FA7412" w:rsidRPr="00B04209">
        <w:rPr>
          <w:b/>
        </w:rPr>
        <w:t>N APPEA</w:t>
      </w:r>
      <w:r w:rsidR="00CC2799" w:rsidRPr="00B04209">
        <w:rPr>
          <w:b/>
        </w:rPr>
        <w:t>L</w:t>
      </w:r>
    </w:p>
    <w:p w:rsidR="005A7C1B" w:rsidRPr="00B04209" w:rsidRDefault="005A7C1B" w:rsidP="005A7C1B">
      <w:pPr>
        <w:widowControl w:val="0"/>
      </w:pPr>
    </w:p>
    <w:p w:rsidR="00EC79B0" w:rsidRPr="00B04209" w:rsidRDefault="00765C27" w:rsidP="00EC79B0">
      <w:pPr>
        <w:widowControl w:val="0"/>
      </w:pPr>
      <w:r w:rsidRPr="00B04209">
        <w:rPr>
          <w:b/>
        </w:rPr>
        <w:t>May</w:t>
      </w:r>
      <w:r w:rsidR="00C86395" w:rsidRPr="00B04209">
        <w:rPr>
          <w:b/>
        </w:rPr>
        <w:t xml:space="preserve"> </w:t>
      </w:r>
      <w:r w:rsidR="00B04209" w:rsidRPr="00B04209">
        <w:rPr>
          <w:b/>
        </w:rPr>
        <w:t>17</w:t>
      </w:r>
      <w:r w:rsidR="00EC79B0" w:rsidRPr="00B04209">
        <w:rPr>
          <w:b/>
        </w:rPr>
        <w:t>, 2</w:t>
      </w:r>
      <w:r w:rsidR="00E6600C" w:rsidRPr="00B04209">
        <w:rPr>
          <w:b/>
        </w:rPr>
        <w:t>0</w:t>
      </w:r>
      <w:r w:rsidR="009544E9" w:rsidRPr="00B04209">
        <w:rPr>
          <w:b/>
        </w:rPr>
        <w:t>2</w:t>
      </w:r>
      <w:r w:rsidR="0049454A" w:rsidRPr="00B04209">
        <w:rPr>
          <w:b/>
        </w:rPr>
        <w:t>4</w:t>
      </w:r>
    </w:p>
    <w:p w:rsidR="00EC79B0" w:rsidRPr="00B04209" w:rsidRDefault="00EC79B0" w:rsidP="00EC79B0">
      <w:pPr>
        <w:widowControl w:val="0"/>
      </w:pPr>
    </w:p>
    <w:p w:rsidR="00EC79B0" w:rsidRPr="00B04209" w:rsidRDefault="00EC79B0" w:rsidP="00EC79B0">
      <w:pPr>
        <w:widowControl w:val="0"/>
      </w:pPr>
      <w:r w:rsidRPr="00B04209">
        <w:rPr>
          <w:b/>
        </w:rPr>
        <w:t>OTTAWA</w:t>
      </w:r>
      <w:r w:rsidRPr="00B04209">
        <w:t xml:space="preserve"> – </w:t>
      </w:r>
      <w:r w:rsidR="0095505F" w:rsidRPr="00B04209">
        <w:t xml:space="preserve">The Supreme Court of Canada will deliver its judgment on the following appeal at 9:45 a.m. ET on </w:t>
      </w:r>
      <w:r w:rsidR="002915B5" w:rsidRPr="00B04209">
        <w:t>Friday</w:t>
      </w:r>
      <w:r w:rsidR="0095505F" w:rsidRPr="00B04209">
        <w:t xml:space="preserve">, </w:t>
      </w:r>
      <w:r w:rsidR="00765C27" w:rsidRPr="00B04209">
        <w:t>May</w:t>
      </w:r>
      <w:r w:rsidR="0095505F" w:rsidRPr="00B04209">
        <w:t xml:space="preserve"> </w:t>
      </w:r>
      <w:r w:rsidR="00B04209" w:rsidRPr="00B04209">
        <w:t>24</w:t>
      </w:r>
      <w:r w:rsidR="0095505F" w:rsidRPr="00B04209">
        <w:t>, 202</w:t>
      </w:r>
      <w:r w:rsidR="0049454A" w:rsidRPr="00B04209">
        <w:t>4</w:t>
      </w:r>
      <w:r w:rsidR="0095505F" w:rsidRPr="00B04209">
        <w:t>.</w:t>
      </w:r>
    </w:p>
    <w:p w:rsidR="001F76DD" w:rsidRPr="00B04209" w:rsidRDefault="001F76DD" w:rsidP="001C4415">
      <w:pPr>
        <w:widowControl w:val="0"/>
        <w:rPr>
          <w:szCs w:val="24"/>
        </w:rPr>
      </w:pPr>
    </w:p>
    <w:p w:rsidR="00A97E61" w:rsidRPr="00B04209" w:rsidRDefault="00A97E61" w:rsidP="001C4415">
      <w:pPr>
        <w:widowControl w:val="0"/>
        <w:rPr>
          <w:szCs w:val="24"/>
        </w:rPr>
      </w:pPr>
    </w:p>
    <w:p w:rsidR="00A97E61" w:rsidRPr="00B04209" w:rsidRDefault="00B04209" w:rsidP="00A97E61">
      <w:pPr>
        <w:jc w:val="both"/>
        <w:rPr>
          <w:szCs w:val="24"/>
        </w:rPr>
      </w:pPr>
      <w:r w:rsidRPr="00B04209">
        <w:rPr>
          <w:i/>
          <w:szCs w:val="24"/>
        </w:rPr>
        <w:t>T.W.W. v. His Majesty the King</w:t>
      </w:r>
      <w:r w:rsidR="002848B1" w:rsidRPr="00B04209">
        <w:rPr>
          <w:i/>
          <w:szCs w:val="24"/>
        </w:rPr>
        <w:t xml:space="preserve"> </w:t>
      </w:r>
      <w:r w:rsidR="00A97E61" w:rsidRPr="00B04209">
        <w:rPr>
          <w:szCs w:val="24"/>
        </w:rPr>
        <w:t>(</w:t>
      </w:r>
      <w:r w:rsidRPr="00B04209">
        <w:rPr>
          <w:szCs w:val="24"/>
        </w:rPr>
        <w:t>B</w:t>
      </w:r>
      <w:r w:rsidR="002848B1" w:rsidRPr="00B04209">
        <w:rPr>
          <w:szCs w:val="24"/>
        </w:rPr>
        <w:t>.</w:t>
      </w:r>
      <w:r w:rsidRPr="00B04209">
        <w:rPr>
          <w:szCs w:val="24"/>
        </w:rPr>
        <w:t>C</w:t>
      </w:r>
      <w:r w:rsidR="002848B1" w:rsidRPr="00B04209">
        <w:rPr>
          <w:szCs w:val="24"/>
        </w:rPr>
        <w:t>.</w:t>
      </w:r>
      <w:r w:rsidR="00A97E61" w:rsidRPr="00B04209">
        <w:rPr>
          <w:szCs w:val="24"/>
        </w:rPr>
        <w:t xml:space="preserve">) </w:t>
      </w:r>
      <w:r w:rsidR="00A97E61" w:rsidRPr="00B04209">
        <w:t>(</w:t>
      </w:r>
      <w:hyperlink r:id="rId7" w:history="1">
        <w:r w:rsidR="002915B5" w:rsidRPr="00B04209">
          <w:rPr>
            <w:rStyle w:val="Hyperlink"/>
          </w:rPr>
          <w:t>4</w:t>
        </w:r>
        <w:r w:rsidR="008E3E95" w:rsidRPr="00B04209">
          <w:rPr>
            <w:rStyle w:val="Hyperlink"/>
          </w:rPr>
          <w:t>0</w:t>
        </w:r>
        <w:r w:rsidRPr="00B04209">
          <w:rPr>
            <w:rStyle w:val="Hyperlink"/>
          </w:rPr>
          <w:t>406</w:t>
        </w:r>
      </w:hyperlink>
      <w:r w:rsidR="00A97E61" w:rsidRPr="00B04209">
        <w:t>)</w:t>
      </w:r>
    </w:p>
    <w:p w:rsidR="00A97E61" w:rsidRPr="00B04209" w:rsidRDefault="00A97E61" w:rsidP="00AC11A6">
      <w:pPr>
        <w:widowControl w:val="0"/>
        <w:jc w:val="both"/>
        <w:rPr>
          <w:sz w:val="20"/>
        </w:rPr>
      </w:pPr>
    </w:p>
    <w:p w:rsidR="00B04209" w:rsidRPr="00B04209" w:rsidRDefault="00B04209" w:rsidP="000F3ADF">
      <w:pPr>
        <w:pStyle w:val="SCCLsocParty"/>
        <w:rPr>
          <w:rFonts w:eastAsia="Times New Roman"/>
          <w:b/>
          <w:i w:val="0"/>
          <w:sz w:val="20"/>
          <w:szCs w:val="20"/>
          <w:lang w:eastAsia="en-CA"/>
        </w:rPr>
      </w:pPr>
      <w:r w:rsidRPr="00B04209">
        <w:rPr>
          <w:rFonts w:eastAsia="Times New Roman"/>
          <w:b/>
          <w:i w:val="0"/>
          <w:sz w:val="20"/>
          <w:szCs w:val="20"/>
          <w:lang w:eastAsia="en-CA"/>
        </w:rPr>
        <w:fldChar w:fldCharType="begin"/>
      </w:r>
      <w:r w:rsidRPr="00B04209">
        <w:rPr>
          <w:rFonts w:eastAsia="Times New Roman"/>
          <w:b/>
          <w:i w:val="0"/>
          <w:sz w:val="20"/>
          <w:szCs w:val="20"/>
          <w:lang w:eastAsia="en-CA"/>
        </w:rPr>
        <w:instrText xml:space="preserve"> SEQ CHAPTER \h \r 1</w:instrText>
      </w:r>
      <w:r w:rsidRPr="00B04209">
        <w:rPr>
          <w:rFonts w:eastAsia="Times New Roman"/>
          <w:b/>
          <w:i w:val="0"/>
          <w:sz w:val="20"/>
          <w:szCs w:val="20"/>
          <w:lang w:eastAsia="en-CA"/>
        </w:rPr>
        <w:fldChar w:fldCharType="end"/>
      </w:r>
      <w:r w:rsidRPr="00B04209">
        <w:rPr>
          <w:rFonts w:eastAsia="Times New Roman"/>
          <w:b/>
          <w:i w:val="0"/>
          <w:sz w:val="20"/>
          <w:szCs w:val="20"/>
          <w:lang w:eastAsia="en-CA"/>
        </w:rPr>
        <w:t>40406</w:t>
      </w:r>
      <w:r w:rsidRPr="00B04209">
        <w:rPr>
          <w:rFonts w:eastAsia="Times New Roman"/>
          <w:b/>
          <w:i w:val="0"/>
          <w:sz w:val="20"/>
          <w:szCs w:val="20"/>
          <w:lang w:eastAsia="en-CA"/>
        </w:rPr>
        <w:tab/>
      </w:r>
      <w:r w:rsidRPr="00B04209">
        <w:rPr>
          <w:rFonts w:eastAsia="Times New Roman"/>
          <w:b/>
          <w:bCs/>
          <w:sz w:val="20"/>
          <w:szCs w:val="20"/>
          <w:lang w:eastAsia="en-CA"/>
        </w:rPr>
        <w:t>T.W.W. v. His Majesty the King</w:t>
      </w:r>
    </w:p>
    <w:p w:rsidR="00B04209" w:rsidRPr="00B04209" w:rsidRDefault="00B04209" w:rsidP="000F3ADF">
      <w:pPr>
        <w:widowControl w:val="0"/>
        <w:ind w:left="709" w:hanging="709"/>
        <w:jc w:val="both"/>
        <w:rPr>
          <w:sz w:val="20"/>
          <w:lang w:val="en-CA" w:eastAsia="en-CA"/>
        </w:rPr>
      </w:pPr>
      <w:r w:rsidRPr="00B04209">
        <w:rPr>
          <w:sz w:val="20"/>
          <w:lang w:val="en-CA" w:eastAsia="en-CA"/>
        </w:rPr>
        <w:tab/>
        <w:t>(B.C.) (Criminal) (As of Right)</w:t>
      </w:r>
    </w:p>
    <w:p w:rsidR="00B04209" w:rsidRPr="00B04209" w:rsidRDefault="00B04209" w:rsidP="006E71C0">
      <w:pPr>
        <w:widowControl w:val="0"/>
        <w:jc w:val="both"/>
        <w:rPr>
          <w:sz w:val="20"/>
          <w:lang w:val="en-CA" w:eastAsia="en-CA"/>
        </w:rPr>
      </w:pPr>
    </w:p>
    <w:p w:rsidR="00B04209" w:rsidRPr="00B04209" w:rsidRDefault="00B04209" w:rsidP="003304CB">
      <w:pPr>
        <w:widowControl w:val="0"/>
        <w:jc w:val="both"/>
        <w:rPr>
          <w:smallCaps/>
          <w:sz w:val="20"/>
          <w:lang w:val="en-CA" w:eastAsia="en-CA"/>
        </w:rPr>
      </w:pPr>
      <w:r w:rsidRPr="00B04209">
        <w:rPr>
          <w:smallCaps/>
          <w:sz w:val="20"/>
          <w:lang w:val="en-CA" w:eastAsia="en-CA"/>
        </w:rPr>
        <w:t>(Publication ban in case) (Sealing order) (Certain information not available to the public)</w:t>
      </w:r>
    </w:p>
    <w:p w:rsidR="00B04209" w:rsidRPr="00B04209" w:rsidRDefault="00B04209" w:rsidP="006E71C0">
      <w:pPr>
        <w:widowControl w:val="0"/>
        <w:jc w:val="both"/>
        <w:rPr>
          <w:iCs/>
          <w:sz w:val="20"/>
          <w:lang w:val="en-CA" w:eastAsia="en-CA"/>
        </w:rPr>
      </w:pPr>
    </w:p>
    <w:p w:rsidR="00B04209" w:rsidRPr="00B04209" w:rsidRDefault="00B04209" w:rsidP="006E71C0">
      <w:pPr>
        <w:widowControl w:val="0"/>
        <w:jc w:val="both"/>
        <w:rPr>
          <w:sz w:val="20"/>
          <w:lang w:val="en-CA" w:eastAsia="en-CA"/>
        </w:rPr>
      </w:pPr>
      <w:r w:rsidRPr="00B04209">
        <w:rPr>
          <w:iCs/>
          <w:sz w:val="20"/>
          <w:lang w:eastAsia="en-CA"/>
        </w:rPr>
        <w:t xml:space="preserve">Criminal law — Evidence — Admissibility — Complainant’s sexual activity — Whether trial judge erred in his pre-trial ruling under s. 276 of the </w:t>
      </w:r>
      <w:r w:rsidRPr="00B04209">
        <w:rPr>
          <w:i/>
          <w:iCs/>
          <w:sz w:val="20"/>
          <w:lang w:eastAsia="en-CA"/>
        </w:rPr>
        <w:t>Criminal Code</w:t>
      </w:r>
      <w:r w:rsidRPr="00B04209">
        <w:rPr>
          <w:iCs/>
          <w:sz w:val="20"/>
          <w:lang w:eastAsia="en-CA"/>
        </w:rPr>
        <w:t xml:space="preserve"> by refusing to admit evidence of prior sexual activity on April 1, 2018, or the early morning hours of April 2, 2018.</w:t>
      </w:r>
    </w:p>
    <w:p w:rsidR="00B04209" w:rsidRPr="00B04209" w:rsidRDefault="00B04209" w:rsidP="006E71C0">
      <w:pPr>
        <w:widowControl w:val="0"/>
        <w:jc w:val="both"/>
        <w:rPr>
          <w:iCs/>
          <w:sz w:val="20"/>
          <w:lang w:eastAsia="en-CA"/>
        </w:rPr>
      </w:pPr>
    </w:p>
    <w:p w:rsidR="00B04209" w:rsidRPr="00B04209" w:rsidRDefault="00B04209" w:rsidP="00186D5A">
      <w:pPr>
        <w:widowControl w:val="0"/>
        <w:jc w:val="both"/>
        <w:rPr>
          <w:iCs/>
          <w:sz w:val="20"/>
          <w:lang w:eastAsia="en-CA"/>
        </w:rPr>
      </w:pPr>
      <w:r w:rsidRPr="00B04209">
        <w:rPr>
          <w:iCs/>
          <w:sz w:val="20"/>
          <w:lang w:eastAsia="en-CA"/>
        </w:rPr>
        <w:t xml:space="preserve">The appellant was found guilty of sexual assault against his spouse. He appealed his conviction on the basis that the trial judge erred in his application of s. 276 of the </w:t>
      </w:r>
      <w:r w:rsidRPr="00B04209">
        <w:rPr>
          <w:i/>
          <w:iCs/>
          <w:sz w:val="20"/>
          <w:lang w:eastAsia="en-CA"/>
        </w:rPr>
        <w:t>Criminal Code</w:t>
      </w:r>
      <w:r w:rsidRPr="00B04209">
        <w:rPr>
          <w:iCs/>
          <w:sz w:val="20"/>
          <w:lang w:eastAsia="en-CA"/>
        </w:rPr>
        <w:t xml:space="preserve"> by refusing to allow the appellant to adduce evidence of, and cross-examine the complainant on, sexual activity they engaged in prior to the alleged offence. The majority of the Court of Appeal for British Columbia dismissed the appeal. It found that the application to adduce evidence respecting the complainant’s sexual history was properly dismissed.</w:t>
      </w:r>
      <w:r w:rsidRPr="00B04209">
        <w:rPr>
          <w:sz w:val="20"/>
        </w:rPr>
        <w:t xml:space="preserve"> </w:t>
      </w:r>
      <w:r w:rsidRPr="00B04209">
        <w:rPr>
          <w:iCs/>
          <w:sz w:val="20"/>
          <w:lang w:eastAsia="en-CA"/>
        </w:rPr>
        <w:t>In dissent, Frankel J.A. would have allowed the appeal, set aside the conviction, and ordered a new trial. The appellant should have been permitted to cross-examine the complainant on whether they had engaged in consensual sexual activity in the hours before the sexual assault she described.</w:t>
      </w:r>
    </w:p>
    <w:p w:rsidR="004874F7" w:rsidRPr="00B04209" w:rsidRDefault="004874F7" w:rsidP="001C4415">
      <w:pPr>
        <w:widowControl w:val="0"/>
        <w:rPr>
          <w:szCs w:val="24"/>
        </w:rPr>
      </w:pPr>
    </w:p>
    <w:p w:rsidR="004874F7" w:rsidRPr="00B04209" w:rsidRDefault="004874F7" w:rsidP="001C4415">
      <w:pPr>
        <w:widowControl w:val="0"/>
        <w:rPr>
          <w:szCs w:val="24"/>
        </w:rPr>
      </w:pPr>
    </w:p>
    <w:p w:rsidR="00A97E61" w:rsidRPr="00B04209" w:rsidRDefault="00B04209" w:rsidP="001C4415">
      <w:pPr>
        <w:widowControl w:val="0"/>
        <w:rPr>
          <w:szCs w:val="24"/>
          <w:lang w:val="fr-CA"/>
        </w:rPr>
      </w:pPr>
      <w:r w:rsidRPr="00B04209">
        <w:rPr>
          <w:sz w:val="18"/>
          <w:szCs w:val="18"/>
        </w:rPr>
        <w:pict>
          <v:rect id="_x0000_i1025" style="width:272.25pt;height:1.5pt" o:hrpct="0" o:hralign="center" o:hrstd="t" o:hrnoshade="t" o:hr="t" fillcolor="black [3213]" stroked="f"/>
        </w:pict>
      </w:r>
    </w:p>
    <w:p w:rsidR="00A97E61" w:rsidRPr="00B04209" w:rsidRDefault="00A97E61" w:rsidP="001C4415">
      <w:pPr>
        <w:widowControl w:val="0"/>
        <w:rPr>
          <w:szCs w:val="24"/>
          <w:lang w:val="fr-CA"/>
        </w:rPr>
      </w:pPr>
    </w:p>
    <w:p w:rsidR="001C4415" w:rsidRPr="00B04209" w:rsidRDefault="001C4415" w:rsidP="001C4415">
      <w:pPr>
        <w:widowControl w:val="0"/>
        <w:rPr>
          <w:lang w:val="fr-CA"/>
        </w:rPr>
      </w:pPr>
    </w:p>
    <w:p w:rsidR="001335A1" w:rsidRPr="00B04209" w:rsidRDefault="001335A1" w:rsidP="001335A1">
      <w:pPr>
        <w:widowControl w:val="0"/>
        <w:jc w:val="center"/>
        <w:rPr>
          <w:b/>
          <w:lang w:val="fr-CA"/>
        </w:rPr>
      </w:pPr>
      <w:r w:rsidRPr="00B04209">
        <w:rPr>
          <w:b/>
          <w:lang w:val="fr-CA"/>
        </w:rPr>
        <w:t>PROCHAIN JUGEMENT</w:t>
      </w:r>
      <w:r w:rsidR="00455BB9" w:rsidRPr="00B04209">
        <w:rPr>
          <w:b/>
          <w:lang w:val="fr-CA"/>
        </w:rPr>
        <w:t xml:space="preserve"> SUR APPEL</w:t>
      </w:r>
    </w:p>
    <w:p w:rsidR="001335A1" w:rsidRPr="00B04209" w:rsidRDefault="001335A1" w:rsidP="001335A1">
      <w:pPr>
        <w:widowControl w:val="0"/>
        <w:rPr>
          <w:lang w:val="fr-CA"/>
        </w:rPr>
      </w:pPr>
    </w:p>
    <w:p w:rsidR="00EC79B0" w:rsidRPr="00B04209" w:rsidRDefault="00EC79B0" w:rsidP="00EC79B0">
      <w:pPr>
        <w:widowControl w:val="0"/>
        <w:rPr>
          <w:lang w:val="fr-CA"/>
        </w:rPr>
      </w:pPr>
      <w:r w:rsidRPr="00B04209">
        <w:rPr>
          <w:b/>
          <w:lang w:val="fr-CA"/>
        </w:rPr>
        <w:t xml:space="preserve">Le </w:t>
      </w:r>
      <w:r w:rsidR="00B04209" w:rsidRPr="00B04209">
        <w:rPr>
          <w:b/>
          <w:lang w:val="fr-CA"/>
        </w:rPr>
        <w:t>17</w:t>
      </w:r>
      <w:r w:rsidR="00FA5450" w:rsidRPr="00B04209">
        <w:rPr>
          <w:b/>
          <w:lang w:val="fr-CA"/>
        </w:rPr>
        <w:t xml:space="preserve"> </w:t>
      </w:r>
      <w:r w:rsidR="00765C27" w:rsidRPr="00B04209">
        <w:rPr>
          <w:b/>
          <w:lang w:val="fr-CA"/>
        </w:rPr>
        <w:t>mai</w:t>
      </w:r>
      <w:r w:rsidR="00C86395" w:rsidRPr="00B04209">
        <w:rPr>
          <w:b/>
          <w:lang w:val="fr-CA"/>
        </w:rPr>
        <w:t xml:space="preserve"> </w:t>
      </w:r>
      <w:r w:rsidR="0086609D" w:rsidRPr="00B04209">
        <w:rPr>
          <w:b/>
          <w:lang w:val="fr-CA"/>
        </w:rPr>
        <w:t>20</w:t>
      </w:r>
      <w:r w:rsidR="009544E9" w:rsidRPr="00B04209">
        <w:rPr>
          <w:b/>
          <w:lang w:val="fr-CA"/>
        </w:rPr>
        <w:t>2</w:t>
      </w:r>
      <w:r w:rsidR="0049454A" w:rsidRPr="00B04209">
        <w:rPr>
          <w:b/>
          <w:lang w:val="fr-CA"/>
        </w:rPr>
        <w:t>4</w:t>
      </w:r>
    </w:p>
    <w:p w:rsidR="00EC79B0" w:rsidRPr="00B04209" w:rsidRDefault="00EC79B0" w:rsidP="00EC79B0">
      <w:pPr>
        <w:widowControl w:val="0"/>
        <w:rPr>
          <w:lang w:val="fr-CA"/>
        </w:rPr>
      </w:pPr>
    </w:p>
    <w:p w:rsidR="00EC79B0" w:rsidRPr="00B04209" w:rsidRDefault="00EC79B0" w:rsidP="00EC79B0">
      <w:pPr>
        <w:widowControl w:val="0"/>
        <w:rPr>
          <w:lang w:val="fr-CA"/>
        </w:rPr>
      </w:pPr>
      <w:r w:rsidRPr="00B04209">
        <w:rPr>
          <w:b/>
          <w:lang w:val="fr-CA"/>
        </w:rPr>
        <w:t>OTTAWA</w:t>
      </w:r>
      <w:r w:rsidRPr="00B04209">
        <w:rPr>
          <w:lang w:val="fr-CA"/>
        </w:rPr>
        <w:t xml:space="preserve"> – </w:t>
      </w:r>
      <w:r w:rsidR="0095505F" w:rsidRPr="00B04209">
        <w:rPr>
          <w:lang w:val="fr-CA"/>
        </w:rPr>
        <w:t xml:space="preserve">La Cour suprême du Canada rendra jugement dans l’appel suivant le </w:t>
      </w:r>
      <w:r w:rsidR="002915B5" w:rsidRPr="00B04209">
        <w:rPr>
          <w:lang w:val="fr-CA"/>
        </w:rPr>
        <w:t>vendredi</w:t>
      </w:r>
      <w:r w:rsidR="0095505F" w:rsidRPr="00B04209">
        <w:rPr>
          <w:lang w:val="fr-CA"/>
        </w:rPr>
        <w:t xml:space="preserve"> </w:t>
      </w:r>
      <w:r w:rsidR="00B04209" w:rsidRPr="00B04209">
        <w:rPr>
          <w:lang w:val="fr-CA"/>
        </w:rPr>
        <w:t>24</w:t>
      </w:r>
      <w:r w:rsidR="0095505F" w:rsidRPr="00B04209">
        <w:rPr>
          <w:lang w:val="fr-CA"/>
        </w:rPr>
        <w:t xml:space="preserve"> </w:t>
      </w:r>
      <w:r w:rsidR="00765C27" w:rsidRPr="00B04209">
        <w:rPr>
          <w:lang w:val="fr-CA"/>
        </w:rPr>
        <w:t>mai</w:t>
      </w:r>
      <w:r w:rsidR="0095505F" w:rsidRPr="00B04209">
        <w:rPr>
          <w:lang w:val="fr-CA"/>
        </w:rPr>
        <w:t xml:space="preserve"> 202</w:t>
      </w:r>
      <w:r w:rsidR="0049454A" w:rsidRPr="00B04209">
        <w:rPr>
          <w:lang w:val="fr-CA"/>
        </w:rPr>
        <w:t>4</w:t>
      </w:r>
      <w:r w:rsidR="0095505F" w:rsidRPr="00B04209">
        <w:rPr>
          <w:lang w:val="fr-CA"/>
        </w:rPr>
        <w:t>, à 9 h 45 HE.</w:t>
      </w:r>
    </w:p>
    <w:p w:rsidR="001F76DD" w:rsidRPr="00B04209" w:rsidRDefault="001F76DD" w:rsidP="00E92006">
      <w:pPr>
        <w:widowControl w:val="0"/>
        <w:jc w:val="both"/>
        <w:rPr>
          <w:szCs w:val="24"/>
          <w:lang w:val="fr-CA"/>
        </w:rPr>
      </w:pPr>
    </w:p>
    <w:p w:rsidR="001335A1" w:rsidRPr="00B04209" w:rsidRDefault="001335A1" w:rsidP="001335A1">
      <w:pPr>
        <w:widowControl w:val="0"/>
        <w:rPr>
          <w:szCs w:val="24"/>
          <w:lang w:val="fr-CA"/>
        </w:rPr>
      </w:pPr>
    </w:p>
    <w:p w:rsidR="00772636" w:rsidRPr="00B04209" w:rsidRDefault="00B04209" w:rsidP="00772636">
      <w:pPr>
        <w:jc w:val="both"/>
        <w:rPr>
          <w:szCs w:val="24"/>
          <w:lang w:val="fr-CA"/>
        </w:rPr>
      </w:pPr>
      <w:r w:rsidRPr="00B04209">
        <w:rPr>
          <w:i/>
          <w:szCs w:val="24"/>
          <w:lang w:val="fr-CA"/>
        </w:rPr>
        <w:t>T.W.W. c. Sa Majesté le Roi</w:t>
      </w:r>
      <w:r w:rsidR="00765C27" w:rsidRPr="00B04209">
        <w:rPr>
          <w:i/>
          <w:szCs w:val="24"/>
          <w:lang w:val="fr-CA"/>
        </w:rPr>
        <w:t xml:space="preserve"> </w:t>
      </w:r>
      <w:r w:rsidR="00772636" w:rsidRPr="00B04209">
        <w:rPr>
          <w:szCs w:val="24"/>
          <w:lang w:val="fr-CA"/>
        </w:rPr>
        <w:t>(</w:t>
      </w:r>
      <w:r w:rsidRPr="00B04209">
        <w:rPr>
          <w:szCs w:val="24"/>
          <w:lang w:val="fr-CA"/>
        </w:rPr>
        <w:t>C</w:t>
      </w:r>
      <w:r w:rsidR="00765C27" w:rsidRPr="00B04209">
        <w:rPr>
          <w:szCs w:val="24"/>
          <w:lang w:val="fr-CA"/>
        </w:rPr>
        <w:t>.-</w:t>
      </w:r>
      <w:r w:rsidRPr="00B04209">
        <w:rPr>
          <w:szCs w:val="24"/>
          <w:lang w:val="fr-CA"/>
        </w:rPr>
        <w:t>B</w:t>
      </w:r>
      <w:r w:rsidR="00765C27" w:rsidRPr="00B04209">
        <w:rPr>
          <w:szCs w:val="24"/>
          <w:lang w:val="fr-CA"/>
        </w:rPr>
        <w:t>.</w:t>
      </w:r>
      <w:r w:rsidR="00772636" w:rsidRPr="00B04209">
        <w:rPr>
          <w:szCs w:val="24"/>
          <w:lang w:val="fr-CA"/>
        </w:rPr>
        <w:t xml:space="preserve">) </w:t>
      </w:r>
      <w:r w:rsidR="00772636" w:rsidRPr="00B04209">
        <w:rPr>
          <w:lang w:val="fr-CA"/>
        </w:rPr>
        <w:t>(</w:t>
      </w:r>
      <w:hyperlink r:id="rId8" w:history="1">
        <w:r w:rsidR="002915B5" w:rsidRPr="00B04209">
          <w:rPr>
            <w:rStyle w:val="Hyperlink"/>
            <w:lang w:val="fr-CA"/>
          </w:rPr>
          <w:t>40</w:t>
        </w:r>
        <w:r w:rsidRPr="00B04209">
          <w:rPr>
            <w:rStyle w:val="Hyperlink"/>
            <w:lang w:val="fr-CA"/>
          </w:rPr>
          <w:t>406</w:t>
        </w:r>
      </w:hyperlink>
      <w:r w:rsidR="00772636" w:rsidRPr="00B04209">
        <w:rPr>
          <w:lang w:val="fr-CA"/>
        </w:rPr>
        <w:t>)</w:t>
      </w:r>
    </w:p>
    <w:p w:rsidR="003B3C19" w:rsidRPr="00B04209" w:rsidRDefault="003B3C19" w:rsidP="00AE14EC">
      <w:pPr>
        <w:widowControl w:val="0"/>
        <w:jc w:val="both"/>
        <w:rPr>
          <w:sz w:val="20"/>
          <w:lang w:val="fr-CA"/>
        </w:rPr>
      </w:pPr>
      <w:bookmarkStart w:id="0" w:name="QuickMark_1"/>
      <w:bookmarkEnd w:id="0"/>
    </w:p>
    <w:p w:rsidR="00B04209" w:rsidRPr="00B04209" w:rsidRDefault="00B04209" w:rsidP="0036082F">
      <w:pPr>
        <w:pStyle w:val="SCCLsocParty"/>
        <w:rPr>
          <w:rFonts w:eastAsia="Times New Roman"/>
          <w:b/>
          <w:i w:val="0"/>
          <w:sz w:val="20"/>
          <w:szCs w:val="20"/>
          <w:lang w:eastAsia="en-CA"/>
        </w:rPr>
      </w:pPr>
      <w:r w:rsidRPr="00B04209">
        <w:rPr>
          <w:rFonts w:eastAsia="Times New Roman"/>
          <w:b/>
          <w:i w:val="0"/>
          <w:sz w:val="20"/>
          <w:szCs w:val="20"/>
          <w:lang w:eastAsia="en-CA"/>
        </w:rPr>
        <w:fldChar w:fldCharType="begin"/>
      </w:r>
      <w:r w:rsidRPr="00B04209">
        <w:rPr>
          <w:rFonts w:eastAsia="Times New Roman"/>
          <w:b/>
          <w:i w:val="0"/>
          <w:sz w:val="20"/>
          <w:szCs w:val="20"/>
          <w:lang w:eastAsia="en-CA"/>
        </w:rPr>
        <w:instrText xml:space="preserve"> SEQ CHAPTER \h \r 1</w:instrText>
      </w:r>
      <w:r w:rsidRPr="00B04209">
        <w:rPr>
          <w:rFonts w:eastAsia="Times New Roman"/>
          <w:b/>
          <w:i w:val="0"/>
          <w:sz w:val="20"/>
          <w:szCs w:val="20"/>
          <w:lang w:eastAsia="en-CA"/>
        </w:rPr>
        <w:fldChar w:fldCharType="end"/>
      </w:r>
      <w:r w:rsidRPr="00B04209">
        <w:rPr>
          <w:rFonts w:eastAsia="Times New Roman"/>
          <w:b/>
          <w:i w:val="0"/>
          <w:sz w:val="20"/>
          <w:szCs w:val="20"/>
          <w:lang w:eastAsia="en-CA"/>
        </w:rPr>
        <w:t>40406</w:t>
      </w:r>
      <w:r w:rsidRPr="00B04209">
        <w:rPr>
          <w:rFonts w:eastAsia="Times New Roman"/>
          <w:b/>
          <w:i w:val="0"/>
          <w:sz w:val="20"/>
          <w:szCs w:val="20"/>
          <w:lang w:eastAsia="en-CA"/>
        </w:rPr>
        <w:tab/>
      </w:r>
      <w:r w:rsidRPr="00B04209">
        <w:rPr>
          <w:rFonts w:eastAsia="Times New Roman"/>
          <w:b/>
          <w:bCs/>
          <w:sz w:val="20"/>
          <w:szCs w:val="20"/>
          <w:lang w:eastAsia="en-CA"/>
        </w:rPr>
        <w:t>T.W.W. c. Sa Majesté le Roi</w:t>
      </w:r>
    </w:p>
    <w:p w:rsidR="00B04209" w:rsidRPr="00B04209" w:rsidRDefault="00B04209" w:rsidP="0036082F">
      <w:pPr>
        <w:widowControl w:val="0"/>
        <w:ind w:left="709" w:hanging="709"/>
        <w:jc w:val="both"/>
        <w:rPr>
          <w:sz w:val="20"/>
          <w:lang w:val="fr-CA" w:eastAsia="en-CA"/>
        </w:rPr>
      </w:pPr>
      <w:r w:rsidRPr="00B04209">
        <w:rPr>
          <w:sz w:val="20"/>
          <w:lang w:val="fr-CA" w:eastAsia="en-CA"/>
        </w:rPr>
        <w:tab/>
        <w:t>(C.</w:t>
      </w:r>
      <w:r w:rsidRPr="00B04209">
        <w:rPr>
          <w:sz w:val="20"/>
          <w:lang w:val="fr-CA" w:eastAsia="en-CA"/>
        </w:rPr>
        <w:noBreakHyphen/>
        <w:t>B.) (Criminelle) (De plein droit)</w:t>
      </w:r>
    </w:p>
    <w:p w:rsidR="00B04209" w:rsidRPr="00B04209" w:rsidRDefault="00B04209" w:rsidP="0036082F">
      <w:pPr>
        <w:widowControl w:val="0"/>
        <w:jc w:val="both"/>
        <w:rPr>
          <w:sz w:val="20"/>
          <w:lang w:val="fr-CA" w:eastAsia="en-CA"/>
        </w:rPr>
      </w:pPr>
    </w:p>
    <w:p w:rsidR="00B04209" w:rsidRPr="00B04209" w:rsidRDefault="00B04209" w:rsidP="0036082F">
      <w:pPr>
        <w:widowControl w:val="0"/>
        <w:jc w:val="both"/>
        <w:rPr>
          <w:smallCaps/>
          <w:sz w:val="20"/>
          <w:lang w:val="fr-CA" w:eastAsia="en-CA"/>
        </w:rPr>
      </w:pPr>
      <w:r w:rsidRPr="00B04209">
        <w:rPr>
          <w:smallCaps/>
          <w:sz w:val="20"/>
          <w:lang w:val="fr-CA" w:eastAsia="en-CA"/>
        </w:rPr>
        <w:t>(Ordonnance de non-publication dans le dossier) (Ordonnance de mise sous scellés) (Certaines informations non disponibles pour le public)</w:t>
      </w:r>
    </w:p>
    <w:p w:rsidR="00B04209" w:rsidRPr="00B04209" w:rsidRDefault="00B04209" w:rsidP="0036082F">
      <w:pPr>
        <w:widowControl w:val="0"/>
        <w:jc w:val="both"/>
        <w:rPr>
          <w:iCs/>
          <w:sz w:val="20"/>
          <w:lang w:val="fr-CA" w:eastAsia="en-CA"/>
        </w:rPr>
      </w:pPr>
    </w:p>
    <w:p w:rsidR="00B04209" w:rsidRPr="00B04209" w:rsidRDefault="00B04209" w:rsidP="0036082F">
      <w:pPr>
        <w:widowControl w:val="0"/>
        <w:jc w:val="both"/>
        <w:rPr>
          <w:iCs/>
          <w:sz w:val="20"/>
          <w:lang w:val="fr-CA" w:eastAsia="en-CA"/>
        </w:rPr>
      </w:pPr>
      <w:r w:rsidRPr="00B04209">
        <w:rPr>
          <w:iCs/>
          <w:sz w:val="20"/>
          <w:lang w:val="fr-CA" w:eastAsia="en-CA"/>
        </w:rPr>
        <w:t xml:space="preserve">Droit criminel — Preuve — Admissibilité — Comportement sexuel de la plaignante — Le juge de première instance a-t-il commis une erreur dans sa décision préalable au procès fondée sur l’art. 276 du </w:t>
      </w:r>
      <w:r w:rsidRPr="00B04209">
        <w:rPr>
          <w:i/>
          <w:iCs/>
          <w:sz w:val="20"/>
          <w:lang w:val="fr-CA" w:eastAsia="en-CA"/>
        </w:rPr>
        <w:t>Code criminel</w:t>
      </w:r>
      <w:r w:rsidRPr="00B04209">
        <w:rPr>
          <w:iCs/>
          <w:sz w:val="20"/>
          <w:lang w:val="fr-CA" w:eastAsia="en-CA"/>
        </w:rPr>
        <w:t xml:space="preserve"> en refusant de permettre la présentation d’éléments de preuve concernant une activité sexuelle antérieure qui aurait eu lieu le 1</w:t>
      </w:r>
      <w:r w:rsidRPr="00B04209">
        <w:rPr>
          <w:iCs/>
          <w:sz w:val="20"/>
          <w:vertAlign w:val="superscript"/>
          <w:lang w:val="fr-CA" w:eastAsia="en-CA"/>
        </w:rPr>
        <w:t>er</w:t>
      </w:r>
      <w:r w:rsidRPr="00B04209">
        <w:rPr>
          <w:iCs/>
          <w:sz w:val="20"/>
          <w:lang w:val="fr-CA" w:eastAsia="en-CA"/>
        </w:rPr>
        <w:t xml:space="preserve"> avril 2018 ou très tôt le matin du 2 avril 2018? </w:t>
      </w:r>
    </w:p>
    <w:p w:rsidR="00B04209" w:rsidRPr="00B04209" w:rsidRDefault="00B04209" w:rsidP="0036082F">
      <w:pPr>
        <w:widowControl w:val="0"/>
        <w:jc w:val="both"/>
        <w:rPr>
          <w:iCs/>
          <w:sz w:val="20"/>
          <w:lang w:val="fr-CA" w:eastAsia="en-CA"/>
        </w:rPr>
      </w:pPr>
    </w:p>
    <w:p w:rsidR="00B04209" w:rsidRPr="00B04209" w:rsidRDefault="00B04209" w:rsidP="0036082F">
      <w:pPr>
        <w:widowControl w:val="0"/>
        <w:jc w:val="both"/>
        <w:rPr>
          <w:iCs/>
          <w:sz w:val="20"/>
          <w:lang w:val="fr-CA" w:eastAsia="en-CA"/>
        </w:rPr>
      </w:pPr>
      <w:r w:rsidRPr="00B04209">
        <w:rPr>
          <w:iCs/>
          <w:sz w:val="20"/>
          <w:lang w:val="fr-CA" w:eastAsia="en-CA"/>
        </w:rPr>
        <w:t xml:space="preserve">L’appelant a été déclaré coupable d’agression sexuelle à l’endroit de son épouse. Il a interjeté appel de la déclaration de culpabilité au motif que le juge de première instance avait fait erreur dans l’application de l’art. 276 du </w:t>
      </w:r>
      <w:r w:rsidRPr="00B04209">
        <w:rPr>
          <w:i/>
          <w:iCs/>
          <w:sz w:val="20"/>
          <w:lang w:val="fr-CA" w:eastAsia="en-CA"/>
        </w:rPr>
        <w:t>Code criminel</w:t>
      </w:r>
      <w:r w:rsidRPr="00B04209">
        <w:rPr>
          <w:iCs/>
          <w:sz w:val="20"/>
          <w:lang w:val="fr-CA" w:eastAsia="en-CA"/>
        </w:rPr>
        <w:t xml:space="preserve"> en refusant d’autoriser la présentation d’éléments de preuve concernant une activité sexuelle antérieure avec la plaignante et le contre-interrogatoire de cette dernière à ce sujet. Dans une décision majoritaire, la Cour d’appel de la Colombie</w:t>
      </w:r>
      <w:r w:rsidRPr="00B04209">
        <w:rPr>
          <w:iCs/>
          <w:sz w:val="20"/>
          <w:lang w:val="fr-CA" w:eastAsia="en-CA"/>
        </w:rPr>
        <w:noBreakHyphen/>
        <w:t>Britannique a rejeté l’appel en concluant que la demande visant la présentation d’éléments de preuve concernant l’activité sexuelle antérieure de la plaignante avait à bon droit été rejetée. En dissidence, le juge d’appel Frankel aurait accueilli l’appel, annulé la déclaration de culpabilité et ordonné la tenue d’un nouveau procès, étant d’avis que l’appelant aurait dû se voir accorder la permission de contre-interroger la plaignante au sujet de l’activité sexuelle consensuelle que cette dernière et lui auraient eue dans les heures précédant l’agression sexuelle décrite par la plaignante.</w:t>
      </w:r>
    </w:p>
    <w:p w:rsidR="00046AF2" w:rsidRPr="00B04209" w:rsidRDefault="00046AF2" w:rsidP="003B3C19">
      <w:pPr>
        <w:widowControl w:val="0"/>
        <w:jc w:val="both"/>
        <w:rPr>
          <w:sz w:val="20"/>
          <w:lang w:val="fr-CA"/>
        </w:rPr>
      </w:pPr>
    </w:p>
    <w:p w:rsidR="00EF4622" w:rsidRPr="00B04209" w:rsidRDefault="00B04209" w:rsidP="00CD14BB">
      <w:pPr>
        <w:pStyle w:val="aparanumbering1"/>
        <w:shd w:val="clear" w:color="auto" w:fill="FFFFFF"/>
        <w:spacing w:before="0" w:after="0"/>
        <w:ind w:left="0"/>
        <w:rPr>
          <w:rFonts w:ascii="Times New Roman" w:hAnsi="Times New Roman" w:cs="Times New Roman"/>
          <w:sz w:val="20"/>
          <w:szCs w:val="20"/>
          <w:lang w:val="fr-CA"/>
        </w:rPr>
      </w:pPr>
      <w:r w:rsidRPr="00B04209">
        <w:rPr>
          <w:sz w:val="20"/>
        </w:rPr>
        <w:pict>
          <v:rect id="_x0000_i1026" style="width:2in;height:1pt" o:hrpct="0" o:hralign="center" o:hrstd="t" o:hrnoshade="t" o:hr="t" fillcolor="black [3213]" stroked="f"/>
        </w:pict>
      </w:r>
    </w:p>
    <w:p w:rsidR="00E92006" w:rsidRPr="00B04209" w:rsidRDefault="00E92006" w:rsidP="00340C6D">
      <w:pPr>
        <w:jc w:val="both"/>
        <w:rPr>
          <w:sz w:val="20"/>
          <w:lang w:val="fr-CA"/>
        </w:rPr>
      </w:pPr>
    </w:p>
    <w:p w:rsidR="00E92006" w:rsidRPr="00B04209" w:rsidRDefault="00E92006" w:rsidP="00340C6D">
      <w:pPr>
        <w:jc w:val="both"/>
        <w:rPr>
          <w:sz w:val="20"/>
          <w:lang w:val="fr-CA"/>
        </w:rPr>
      </w:pPr>
    </w:p>
    <w:p w:rsidR="00072A63" w:rsidRPr="00B04209" w:rsidRDefault="00072A63" w:rsidP="00EC79B0">
      <w:pPr>
        <w:jc w:val="both"/>
        <w:rPr>
          <w:sz w:val="20"/>
          <w:lang w:val="fr-CA"/>
        </w:rPr>
      </w:pPr>
    </w:p>
    <w:p w:rsidR="001C4415" w:rsidRPr="00B04209" w:rsidRDefault="001C4415" w:rsidP="001C4415">
      <w:pPr>
        <w:widowControl w:val="0"/>
        <w:outlineLvl w:val="0"/>
      </w:pPr>
      <w:r w:rsidRPr="00B04209">
        <w:t xml:space="preserve">Supreme Court of Canada / Cour suprême du </w:t>
      </w:r>
      <w:proofErr w:type="gramStart"/>
      <w:r w:rsidRPr="00B04209">
        <w:t>Canada :</w:t>
      </w:r>
      <w:proofErr w:type="gramEnd"/>
      <w:r w:rsidRPr="00B04209">
        <w:t xml:space="preserve"> </w:t>
      </w:r>
    </w:p>
    <w:p w:rsidR="004F410B" w:rsidRPr="00B04209" w:rsidRDefault="00B04209" w:rsidP="004F410B">
      <w:pPr>
        <w:widowControl w:val="0"/>
        <w:outlineLvl w:val="0"/>
      </w:pPr>
      <w:hyperlink r:id="rId9" w:history="1">
        <w:r w:rsidR="004F410B" w:rsidRPr="00B04209">
          <w:rPr>
            <w:rStyle w:val="Hyperlink"/>
          </w:rPr>
          <w:t>Registry-greffe@scc-csc.ca</w:t>
        </w:r>
      </w:hyperlink>
    </w:p>
    <w:p w:rsidR="001C4415" w:rsidRDefault="004F410B" w:rsidP="004F410B">
      <w:pPr>
        <w:widowControl w:val="0"/>
        <w:outlineLvl w:val="0"/>
      </w:pPr>
      <w:r w:rsidRPr="00B04209">
        <w:t>1-844-365-9662</w:t>
      </w:r>
      <w:bookmarkStart w:id="1" w:name="_GoBack"/>
      <w:bookmarkEnd w:id="1"/>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6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1E3A"/>
    <w:rsid w:val="00042B21"/>
    <w:rsid w:val="000446D3"/>
    <w:rsid w:val="000454BF"/>
    <w:rsid w:val="00046AF2"/>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48B1"/>
    <w:rsid w:val="0028630C"/>
    <w:rsid w:val="00287B6E"/>
    <w:rsid w:val="00290E05"/>
    <w:rsid w:val="00290F21"/>
    <w:rsid w:val="002915B5"/>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2A"/>
    <w:rsid w:val="00342E49"/>
    <w:rsid w:val="00346B6F"/>
    <w:rsid w:val="00346F0D"/>
    <w:rsid w:val="00350C6A"/>
    <w:rsid w:val="00350CE0"/>
    <w:rsid w:val="00352B94"/>
    <w:rsid w:val="00353AB0"/>
    <w:rsid w:val="00356312"/>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4F7"/>
    <w:rsid w:val="00487DE3"/>
    <w:rsid w:val="00491284"/>
    <w:rsid w:val="004927D1"/>
    <w:rsid w:val="0049454A"/>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273B"/>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5C27"/>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3E95"/>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3AC"/>
    <w:rsid w:val="009246D2"/>
    <w:rsid w:val="00925384"/>
    <w:rsid w:val="00931A3C"/>
    <w:rsid w:val="0093468B"/>
    <w:rsid w:val="00935D33"/>
    <w:rsid w:val="00937052"/>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D656D"/>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EE4"/>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1A6"/>
    <w:rsid w:val="00AC1EBB"/>
    <w:rsid w:val="00AC29C3"/>
    <w:rsid w:val="00AC3DA6"/>
    <w:rsid w:val="00AD271C"/>
    <w:rsid w:val="00AD28E3"/>
    <w:rsid w:val="00AD4D8B"/>
    <w:rsid w:val="00AE14EC"/>
    <w:rsid w:val="00AE57A4"/>
    <w:rsid w:val="00AE77AE"/>
    <w:rsid w:val="00AF291D"/>
    <w:rsid w:val="00AF51A0"/>
    <w:rsid w:val="00AF5D67"/>
    <w:rsid w:val="00B00765"/>
    <w:rsid w:val="00B0211B"/>
    <w:rsid w:val="00B0252F"/>
    <w:rsid w:val="00B02858"/>
    <w:rsid w:val="00B04209"/>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3B65"/>
    <w:rsid w:val="00C443AF"/>
    <w:rsid w:val="00C46901"/>
    <w:rsid w:val="00C472C0"/>
    <w:rsid w:val="00C51144"/>
    <w:rsid w:val="00C51A9A"/>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64DD"/>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46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46AF2"/>
    <w:rPr>
      <w:rFonts w:eastAsiaTheme="minorHAnsi" w:cstheme="minorBidi"/>
      <w:b/>
      <w:sz w:val="24"/>
      <w:szCs w:val="22"/>
      <w:lang w:val="en-CA"/>
    </w:rPr>
  </w:style>
  <w:style w:type="paragraph" w:customStyle="1" w:styleId="SCCCaseDescriptor">
    <w:name w:val="SCC.CaseDescriptor"/>
    <w:basedOn w:val="Normal"/>
    <w:link w:val="SCCCaseDescriptorChar"/>
    <w:qFormat/>
    <w:rsid w:val="00AC11A6"/>
    <w:rPr>
      <w:b/>
      <w:lang w:val="en-CA" w:eastAsia="en-CA"/>
    </w:rPr>
  </w:style>
  <w:style w:type="character" w:customStyle="1" w:styleId="SCCCaseDescriptorChar">
    <w:name w:val="SCC.CaseDescriptor Char"/>
    <w:basedOn w:val="DefaultParagraphFont"/>
    <w:link w:val="SCCCaseDescriptor"/>
    <w:rsid w:val="00AC11A6"/>
    <w:rPr>
      <w:b/>
      <w:sz w:val="24"/>
      <w:lang w:val="en-CA" w:eastAsia="en-CA"/>
    </w:rPr>
  </w:style>
  <w:style w:type="paragraph" w:customStyle="1" w:styleId="SCCBanSummary">
    <w:name w:val="SCC.BanSummary"/>
    <w:basedOn w:val="Normal"/>
    <w:next w:val="Normal"/>
    <w:link w:val="SCCBanSummaryChar"/>
    <w:rsid w:val="0093705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937052"/>
    <w:rPr>
      <w:rFonts w:eastAsiaTheme="minorHAnsi" w:cstheme="minorBidi"/>
      <w:smallCaps/>
      <w:sz w:val="24"/>
      <w:szCs w:val="22"/>
      <w:lang w:val="en-CA"/>
    </w:rPr>
  </w:style>
  <w:style w:type="paragraph" w:customStyle="1" w:styleId="SCCLsocOtherPartySeparator">
    <w:name w:val="SCC.Lsoc.OtherPartySeparator"/>
    <w:basedOn w:val="Normal"/>
    <w:next w:val="Normal"/>
    <w:link w:val="SCCLsocOtherPartySeparatorChar"/>
    <w:rsid w:val="004874F7"/>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4874F7"/>
    <w:rPr>
      <w:rFonts w:eastAsiaTheme="minorHAnsi" w:cstheme="minorBidi"/>
      <w:b/>
      <w:sz w:val="24"/>
      <w:szCs w:val="22"/>
      <w:lang w:val="fr-CA"/>
    </w:rPr>
  </w:style>
  <w:style w:type="paragraph" w:customStyle="1" w:styleId="SCCLsocSubfileSeparator">
    <w:name w:val="SCC.Lsoc.SubfileSeparator"/>
    <w:basedOn w:val="Normal"/>
    <w:next w:val="Normal"/>
    <w:link w:val="SCCLsocSubfileSeparatorChar"/>
    <w:rsid w:val="004874F7"/>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4874F7"/>
    <w:rPr>
      <w:rFonts w:eastAsiaTheme="minorHAnsi"/>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40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40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2024-02-21T16:35:00Z</dcterms:created>
  <dcterms:modified xsi:type="dcterms:W3CDTF">2024-05-01T14:32:00Z</dcterms:modified>
</cp:coreProperties>
</file>