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92B" w:rsidRPr="00D52FF9" w:rsidRDefault="002A192B" w:rsidP="002A192B">
      <w:pPr>
        <w:pStyle w:val="Header"/>
        <w:jc w:val="center"/>
        <w:rPr>
          <w:b/>
          <w:sz w:val="32"/>
        </w:rPr>
      </w:pPr>
      <w:r w:rsidRPr="00D52FF9">
        <w:rPr>
          <w:b/>
          <w:sz w:val="32"/>
        </w:rPr>
        <w:t>Supreme Court of Canada / Cour suprême du Canada</w:t>
      </w:r>
    </w:p>
    <w:p w:rsidR="002A192B" w:rsidRPr="00D52FF9" w:rsidRDefault="002A192B" w:rsidP="002A192B">
      <w:pPr>
        <w:widowControl w:val="0"/>
        <w:rPr>
          <w:i/>
        </w:rPr>
      </w:pPr>
    </w:p>
    <w:p w:rsidR="002A192B" w:rsidRPr="00D52FF9" w:rsidRDefault="002A192B" w:rsidP="002A192B">
      <w:pPr>
        <w:widowControl w:val="0"/>
        <w:rPr>
          <w:i/>
        </w:rPr>
      </w:pPr>
    </w:p>
    <w:p w:rsidR="001C4415" w:rsidRPr="00D52FF9" w:rsidRDefault="001C4415" w:rsidP="001C4415">
      <w:pPr>
        <w:widowControl w:val="0"/>
        <w:rPr>
          <w:i/>
          <w:sz w:val="20"/>
        </w:rPr>
      </w:pPr>
      <w:r w:rsidRPr="00D52FF9">
        <w:rPr>
          <w:i/>
          <w:sz w:val="20"/>
        </w:rPr>
        <w:t>(</w:t>
      </w:r>
      <w:r w:rsidR="003C50BF" w:rsidRPr="00D52FF9">
        <w:rPr>
          <w:i/>
          <w:sz w:val="20"/>
        </w:rPr>
        <w:t>Le</w:t>
      </w:r>
      <w:r w:rsidRPr="00D52FF9">
        <w:rPr>
          <w:i/>
          <w:sz w:val="20"/>
        </w:rPr>
        <w:t xml:space="preserve"> français suit)</w:t>
      </w:r>
    </w:p>
    <w:p w:rsidR="001C4415" w:rsidRPr="00D52FF9" w:rsidRDefault="001C4415" w:rsidP="001C4415">
      <w:pPr>
        <w:widowControl w:val="0"/>
      </w:pPr>
    </w:p>
    <w:p w:rsidR="001C4415" w:rsidRPr="00D52FF9" w:rsidRDefault="000347C1" w:rsidP="00214729">
      <w:pPr>
        <w:widowControl w:val="0"/>
        <w:jc w:val="center"/>
        <w:rPr>
          <w:b/>
        </w:rPr>
      </w:pPr>
      <w:r w:rsidRPr="00D52FF9">
        <w:fldChar w:fldCharType="begin"/>
      </w:r>
      <w:r w:rsidR="00FA7412" w:rsidRPr="00D52FF9">
        <w:instrText xml:space="preserve"> SEQ CHAPTER \h \r 1</w:instrText>
      </w:r>
      <w:r w:rsidRPr="00D52FF9">
        <w:fldChar w:fldCharType="end"/>
      </w:r>
      <w:r w:rsidR="00455BB9" w:rsidRPr="00D52FF9">
        <w:rPr>
          <w:b/>
        </w:rPr>
        <w:t>JUDGMENT</w:t>
      </w:r>
      <w:r w:rsidR="009B1DA0" w:rsidRPr="00D52FF9">
        <w:rPr>
          <w:b/>
        </w:rPr>
        <w:t>S</w:t>
      </w:r>
      <w:r w:rsidR="00FA7412" w:rsidRPr="00D52FF9">
        <w:rPr>
          <w:b/>
        </w:rPr>
        <w:t xml:space="preserve"> TO BE RENDERED </w:t>
      </w:r>
      <w:r w:rsidR="00E43F22" w:rsidRPr="00D52FF9">
        <w:rPr>
          <w:b/>
        </w:rPr>
        <w:t>O</w:t>
      </w:r>
      <w:r w:rsidR="00FA7412" w:rsidRPr="00D52FF9">
        <w:rPr>
          <w:b/>
        </w:rPr>
        <w:t>N APPEA</w:t>
      </w:r>
      <w:r w:rsidR="00CC2799" w:rsidRPr="00D52FF9">
        <w:rPr>
          <w:b/>
        </w:rPr>
        <w:t>L</w:t>
      </w:r>
      <w:r w:rsidR="009B1DA0" w:rsidRPr="00D52FF9">
        <w:rPr>
          <w:b/>
        </w:rPr>
        <w:t>S</w:t>
      </w:r>
    </w:p>
    <w:p w:rsidR="005A7C1B" w:rsidRPr="00D52FF9" w:rsidRDefault="005A7C1B" w:rsidP="005A7C1B">
      <w:pPr>
        <w:widowControl w:val="0"/>
      </w:pPr>
    </w:p>
    <w:p w:rsidR="00EC79B0" w:rsidRPr="00D52FF9" w:rsidRDefault="005C152C" w:rsidP="00EC79B0">
      <w:pPr>
        <w:widowControl w:val="0"/>
      </w:pPr>
      <w:r w:rsidRPr="00D52FF9">
        <w:rPr>
          <w:b/>
        </w:rPr>
        <w:t>June</w:t>
      </w:r>
      <w:r w:rsidR="00C86395" w:rsidRPr="00D52FF9">
        <w:rPr>
          <w:b/>
        </w:rPr>
        <w:t xml:space="preserve"> </w:t>
      </w:r>
      <w:r w:rsidR="009B1DA0" w:rsidRPr="00D52FF9">
        <w:rPr>
          <w:b/>
        </w:rPr>
        <w:t>24</w:t>
      </w:r>
      <w:r w:rsidR="00EC79B0" w:rsidRPr="00D52FF9">
        <w:rPr>
          <w:b/>
        </w:rPr>
        <w:t>, 2</w:t>
      </w:r>
      <w:r w:rsidR="00E6600C" w:rsidRPr="00D52FF9">
        <w:rPr>
          <w:b/>
        </w:rPr>
        <w:t>0</w:t>
      </w:r>
      <w:r w:rsidR="009544E9" w:rsidRPr="00D52FF9">
        <w:rPr>
          <w:b/>
        </w:rPr>
        <w:t>2</w:t>
      </w:r>
      <w:r w:rsidR="0049454A" w:rsidRPr="00D52FF9">
        <w:rPr>
          <w:b/>
        </w:rPr>
        <w:t>4</w:t>
      </w:r>
    </w:p>
    <w:p w:rsidR="00EC79B0" w:rsidRPr="00D52FF9" w:rsidRDefault="00EC79B0" w:rsidP="00EC79B0">
      <w:pPr>
        <w:widowControl w:val="0"/>
      </w:pPr>
    </w:p>
    <w:p w:rsidR="00EC79B0" w:rsidRPr="00D52FF9" w:rsidRDefault="00EC79B0" w:rsidP="00EC79B0">
      <w:pPr>
        <w:widowControl w:val="0"/>
      </w:pPr>
      <w:r w:rsidRPr="00D52FF9">
        <w:rPr>
          <w:b/>
        </w:rPr>
        <w:t>OTTAWA</w:t>
      </w:r>
      <w:r w:rsidRPr="00D52FF9">
        <w:t xml:space="preserve"> – </w:t>
      </w:r>
      <w:r w:rsidR="0095505F" w:rsidRPr="00D52FF9">
        <w:t>The Supreme Court of Canada will deliver its judgment on the following appeal</w:t>
      </w:r>
      <w:r w:rsidR="009B1DA0" w:rsidRPr="00D52FF9">
        <w:t>s</w:t>
      </w:r>
      <w:r w:rsidR="0095505F" w:rsidRPr="00D52FF9">
        <w:t xml:space="preserve"> at 9:45 a.m. ET on </w:t>
      </w:r>
      <w:r w:rsidR="002915B5" w:rsidRPr="00D52FF9">
        <w:t>Friday</w:t>
      </w:r>
      <w:r w:rsidR="0095505F" w:rsidRPr="00D52FF9">
        <w:t xml:space="preserve">, </w:t>
      </w:r>
      <w:r w:rsidR="00FE72B3" w:rsidRPr="00D52FF9">
        <w:t>June</w:t>
      </w:r>
      <w:r w:rsidR="0095505F" w:rsidRPr="00D52FF9">
        <w:t xml:space="preserve"> </w:t>
      </w:r>
      <w:r w:rsidR="005C152C" w:rsidRPr="00D52FF9">
        <w:t>2</w:t>
      </w:r>
      <w:r w:rsidR="009B1DA0" w:rsidRPr="00D52FF9">
        <w:t>8</w:t>
      </w:r>
      <w:r w:rsidR="0095505F" w:rsidRPr="00D52FF9">
        <w:t>, 202</w:t>
      </w:r>
      <w:r w:rsidR="0049454A" w:rsidRPr="00D52FF9">
        <w:t>4</w:t>
      </w:r>
      <w:r w:rsidR="0095505F" w:rsidRPr="00D52FF9">
        <w:t>.</w:t>
      </w:r>
    </w:p>
    <w:p w:rsidR="001F76DD" w:rsidRPr="00D52FF9" w:rsidRDefault="001F76DD" w:rsidP="001C4415">
      <w:pPr>
        <w:widowControl w:val="0"/>
        <w:rPr>
          <w:szCs w:val="24"/>
        </w:rPr>
      </w:pPr>
    </w:p>
    <w:p w:rsidR="00A97E61" w:rsidRPr="00D52FF9" w:rsidRDefault="00A97E61" w:rsidP="001C4415">
      <w:pPr>
        <w:widowControl w:val="0"/>
        <w:rPr>
          <w:szCs w:val="24"/>
        </w:rPr>
      </w:pPr>
    </w:p>
    <w:p w:rsidR="00A97E61" w:rsidRPr="00D52FF9" w:rsidRDefault="008D3B6D" w:rsidP="00A97E61">
      <w:pPr>
        <w:jc w:val="both"/>
        <w:rPr>
          <w:szCs w:val="24"/>
        </w:rPr>
      </w:pPr>
      <w:r w:rsidRPr="00D52FF9">
        <w:rPr>
          <w:i/>
          <w:szCs w:val="24"/>
        </w:rPr>
        <w:t xml:space="preserve">Dow Chemical Canada ULC v. His Majesty the King </w:t>
      </w:r>
      <w:r w:rsidR="00A97E61" w:rsidRPr="00D52FF9">
        <w:rPr>
          <w:szCs w:val="24"/>
        </w:rPr>
        <w:t>(</w:t>
      </w:r>
      <w:r w:rsidRPr="00D52FF9">
        <w:rPr>
          <w:szCs w:val="24"/>
        </w:rPr>
        <w:t>Fed</w:t>
      </w:r>
      <w:r w:rsidR="004A10B5" w:rsidRPr="00D52FF9">
        <w:rPr>
          <w:szCs w:val="24"/>
        </w:rPr>
        <w:t>.</w:t>
      </w:r>
      <w:r w:rsidR="00A97E61" w:rsidRPr="00D52FF9">
        <w:rPr>
          <w:szCs w:val="24"/>
        </w:rPr>
        <w:t xml:space="preserve">) </w:t>
      </w:r>
      <w:r w:rsidR="00A97E61" w:rsidRPr="00D52FF9">
        <w:t>(</w:t>
      </w:r>
      <w:hyperlink r:id="rId7" w:history="1">
        <w:r w:rsidR="002915B5" w:rsidRPr="00D52FF9">
          <w:rPr>
            <w:rStyle w:val="Hyperlink"/>
          </w:rPr>
          <w:t>4</w:t>
        </w:r>
        <w:r w:rsidR="008E3E95" w:rsidRPr="00D52FF9">
          <w:rPr>
            <w:rStyle w:val="Hyperlink"/>
          </w:rPr>
          <w:t>0</w:t>
        </w:r>
        <w:r w:rsidRPr="00D52FF9">
          <w:rPr>
            <w:rStyle w:val="Hyperlink"/>
          </w:rPr>
          <w:t>27</w:t>
        </w:r>
        <w:r w:rsidR="004A10B5" w:rsidRPr="00D52FF9">
          <w:rPr>
            <w:rStyle w:val="Hyperlink"/>
          </w:rPr>
          <w:t>6</w:t>
        </w:r>
      </w:hyperlink>
      <w:r w:rsidR="00A97E61" w:rsidRPr="00D52FF9">
        <w:t>)</w:t>
      </w:r>
    </w:p>
    <w:p w:rsidR="00A97E61" w:rsidRPr="00D52FF9" w:rsidRDefault="00A97E61" w:rsidP="00AC11A6">
      <w:pPr>
        <w:widowControl w:val="0"/>
        <w:jc w:val="both"/>
        <w:rPr>
          <w:sz w:val="20"/>
        </w:rPr>
      </w:pPr>
    </w:p>
    <w:p w:rsidR="009B1DA0" w:rsidRPr="00D52FF9" w:rsidRDefault="008D3B6D" w:rsidP="009B1DA0">
      <w:pPr>
        <w:jc w:val="both"/>
        <w:rPr>
          <w:szCs w:val="24"/>
        </w:rPr>
      </w:pPr>
      <w:r w:rsidRPr="00D52FF9">
        <w:rPr>
          <w:i/>
          <w:szCs w:val="24"/>
        </w:rPr>
        <w:t>Iris Technologies Inc. v. Attorney General of Canada</w:t>
      </w:r>
      <w:r w:rsidR="009B1DA0" w:rsidRPr="00D52FF9">
        <w:rPr>
          <w:i/>
          <w:szCs w:val="24"/>
        </w:rPr>
        <w:t xml:space="preserve"> </w:t>
      </w:r>
      <w:r w:rsidR="009B1DA0" w:rsidRPr="00D52FF9">
        <w:rPr>
          <w:szCs w:val="24"/>
        </w:rPr>
        <w:t>(</w:t>
      </w:r>
      <w:r w:rsidRPr="00D52FF9">
        <w:rPr>
          <w:szCs w:val="24"/>
        </w:rPr>
        <w:t>Fed</w:t>
      </w:r>
      <w:r w:rsidR="009B1DA0" w:rsidRPr="00D52FF9">
        <w:rPr>
          <w:szCs w:val="24"/>
        </w:rPr>
        <w:t xml:space="preserve">.) </w:t>
      </w:r>
      <w:r w:rsidR="009B1DA0" w:rsidRPr="00D52FF9">
        <w:t>(</w:t>
      </w:r>
      <w:hyperlink r:id="rId8" w:history="1">
        <w:r w:rsidR="009B1DA0" w:rsidRPr="00D52FF9">
          <w:rPr>
            <w:rStyle w:val="Hyperlink"/>
          </w:rPr>
          <w:t>403</w:t>
        </w:r>
        <w:r w:rsidRPr="00D52FF9">
          <w:rPr>
            <w:rStyle w:val="Hyperlink"/>
          </w:rPr>
          <w:t>4</w:t>
        </w:r>
        <w:r w:rsidR="009B1DA0" w:rsidRPr="00D52FF9">
          <w:rPr>
            <w:rStyle w:val="Hyperlink"/>
          </w:rPr>
          <w:t>6</w:t>
        </w:r>
      </w:hyperlink>
      <w:r w:rsidR="009B1DA0" w:rsidRPr="00D52FF9">
        <w:t>)</w:t>
      </w:r>
    </w:p>
    <w:p w:rsidR="009B1DA0" w:rsidRPr="00D52FF9" w:rsidRDefault="009B1DA0" w:rsidP="00AC11A6">
      <w:pPr>
        <w:widowControl w:val="0"/>
        <w:jc w:val="both"/>
        <w:rPr>
          <w:sz w:val="20"/>
        </w:rPr>
      </w:pPr>
    </w:p>
    <w:p w:rsidR="003D6292" w:rsidRPr="00D52FF9" w:rsidRDefault="003D6292" w:rsidP="003D6292">
      <w:pPr>
        <w:pStyle w:val="SCCLsocParty"/>
        <w:rPr>
          <w:b/>
          <w:i w:val="0"/>
          <w:sz w:val="20"/>
          <w:szCs w:val="20"/>
        </w:rPr>
      </w:pPr>
      <w:r w:rsidRPr="00D52FF9">
        <w:rPr>
          <w:rStyle w:val="SCCFileNumberChar"/>
          <w:i w:val="0"/>
          <w:sz w:val="20"/>
          <w:szCs w:val="20"/>
        </w:rPr>
        <w:t>40276</w:t>
      </w:r>
      <w:r w:rsidRPr="00D52FF9">
        <w:rPr>
          <w:rStyle w:val="SCCFileNumberChar"/>
          <w:i w:val="0"/>
          <w:sz w:val="20"/>
          <w:szCs w:val="20"/>
        </w:rPr>
        <w:tab/>
      </w:r>
      <w:r w:rsidRPr="00D52FF9">
        <w:rPr>
          <w:b/>
          <w:sz w:val="20"/>
          <w:szCs w:val="20"/>
        </w:rPr>
        <w:t>Dow Chemical Canada ULC v. His Majesty the King</w:t>
      </w:r>
    </w:p>
    <w:p w:rsidR="003D6292" w:rsidRPr="00D52FF9" w:rsidRDefault="003D6292" w:rsidP="003D6292">
      <w:pPr>
        <w:widowControl w:val="0"/>
        <w:ind w:left="360" w:firstLine="360"/>
        <w:jc w:val="both"/>
        <w:rPr>
          <w:sz w:val="20"/>
        </w:rPr>
      </w:pPr>
      <w:r w:rsidRPr="00D52FF9">
        <w:rPr>
          <w:sz w:val="20"/>
        </w:rPr>
        <w:t>(F</w:t>
      </w:r>
      <w:r w:rsidRPr="00D52FF9">
        <w:rPr>
          <w:sz w:val="20"/>
        </w:rPr>
        <w:t>ed.</w:t>
      </w:r>
      <w:r w:rsidRPr="00D52FF9">
        <w:rPr>
          <w:sz w:val="20"/>
        </w:rPr>
        <w:t>) (Civil) (By Leave)</w:t>
      </w:r>
    </w:p>
    <w:p w:rsidR="003D6292" w:rsidRPr="00D52FF9" w:rsidRDefault="003D6292" w:rsidP="003D6292">
      <w:pPr>
        <w:pStyle w:val="SCCBanSummary"/>
        <w:rPr>
          <w:sz w:val="20"/>
          <w:szCs w:val="20"/>
        </w:rPr>
      </w:pPr>
    </w:p>
    <w:p w:rsidR="003D6292" w:rsidRPr="00D52FF9" w:rsidRDefault="003D6292" w:rsidP="003D6292">
      <w:pPr>
        <w:widowControl w:val="0"/>
        <w:jc w:val="both"/>
        <w:rPr>
          <w:sz w:val="20"/>
        </w:rPr>
      </w:pPr>
      <w:r w:rsidRPr="00D52FF9">
        <w:rPr>
          <w:sz w:val="20"/>
        </w:rPr>
        <w:t xml:space="preserve">Courts —Jurisdiction — Income tax — Whether review of exercise of Minister’s power under subsection 247(10) of </w:t>
      </w:r>
      <w:r w:rsidRPr="00D52FF9">
        <w:rPr>
          <w:i/>
          <w:sz w:val="20"/>
        </w:rPr>
        <w:t>Income Tax Act</w:t>
      </w:r>
      <w:r w:rsidRPr="00D52FF9">
        <w:rPr>
          <w:sz w:val="20"/>
        </w:rPr>
        <w:t xml:space="preserve"> is within Tax Court’s exclusive original jurisdiction</w:t>
      </w:r>
    </w:p>
    <w:p w:rsidR="003D6292" w:rsidRPr="00D52FF9" w:rsidRDefault="003D6292" w:rsidP="003D6292">
      <w:pPr>
        <w:widowControl w:val="0"/>
        <w:jc w:val="both"/>
        <w:rPr>
          <w:sz w:val="20"/>
        </w:rPr>
      </w:pPr>
    </w:p>
    <w:p w:rsidR="003D6292" w:rsidRPr="00D52FF9" w:rsidRDefault="003D6292" w:rsidP="003D6292">
      <w:pPr>
        <w:jc w:val="both"/>
        <w:rPr>
          <w:sz w:val="20"/>
        </w:rPr>
      </w:pPr>
      <w:r w:rsidRPr="00D52FF9">
        <w:rPr>
          <w:sz w:val="20"/>
        </w:rPr>
        <w:t xml:space="preserve">A corporate taxpayer requested that the Minister of National Revenue exercise her discretionary power under s. 247(10) of the </w:t>
      </w:r>
      <w:r w:rsidRPr="00D52FF9">
        <w:rPr>
          <w:i/>
          <w:sz w:val="20"/>
        </w:rPr>
        <w:t>Income Tax Act</w:t>
      </w:r>
      <w:r w:rsidRPr="00D52FF9">
        <w:rPr>
          <w:sz w:val="20"/>
        </w:rPr>
        <w:t>, R.S.C. 1985, c. 1 (5</w:t>
      </w:r>
      <w:r w:rsidRPr="00D52FF9">
        <w:rPr>
          <w:sz w:val="20"/>
          <w:vertAlign w:val="superscript"/>
        </w:rPr>
        <w:t>th</w:t>
      </w:r>
      <w:r w:rsidRPr="00D52FF9">
        <w:rPr>
          <w:sz w:val="20"/>
        </w:rPr>
        <w:t xml:space="preserve"> Supp</w:t>
      </w:r>
      <w:r w:rsidRPr="00540FB6">
        <w:rPr>
          <w:sz w:val="20"/>
        </w:rPr>
        <w:t>.) (“</w:t>
      </w:r>
      <w:r w:rsidRPr="00540FB6">
        <w:rPr>
          <w:i/>
          <w:sz w:val="20"/>
        </w:rPr>
        <w:t>ITA</w:t>
      </w:r>
      <w:r w:rsidRPr="00540FB6">
        <w:rPr>
          <w:sz w:val="20"/>
        </w:rPr>
        <w:t>”) to</w:t>
      </w:r>
      <w:r w:rsidRPr="00D52FF9">
        <w:rPr>
          <w:sz w:val="20"/>
        </w:rPr>
        <w:t xml:space="preserve"> adjust the value of a non-arm’s length transaction downward, which would, in turn, reduce the amount of the taxpayer’s assessment. The Minister declined to do so. The taxpayer wished to challenge the Minister’s decision, but it was unclear whether the Tax Court or Federal Court had jurisdiction to do so. The parties put a stated question to the Tax Court </w:t>
      </w:r>
      <w:bookmarkStart w:id="0" w:name="_GoBack"/>
      <w:bookmarkEnd w:id="0"/>
      <w:r w:rsidRPr="00D52FF9">
        <w:rPr>
          <w:sz w:val="20"/>
        </w:rPr>
        <w:t xml:space="preserve">to determine the jurisdictional issue: Where the Minister of National Revenue has exercised her discretion pursuant to s. 247(10) of the </w:t>
      </w:r>
      <w:r w:rsidRPr="00D52FF9">
        <w:rPr>
          <w:i/>
          <w:sz w:val="20"/>
        </w:rPr>
        <w:t>ITA</w:t>
      </w:r>
      <w:r w:rsidRPr="00D52FF9">
        <w:rPr>
          <w:sz w:val="20"/>
        </w:rPr>
        <w:t xml:space="preserve"> to deny a taxpayer’s request for a downward transfer pricing adjustment, is that a decision falling outside the exclusive original jurisdiction granted to the Tax Court of Canada under s. 12 of the </w:t>
      </w:r>
      <w:r w:rsidRPr="00D52FF9">
        <w:rPr>
          <w:i/>
          <w:sz w:val="20"/>
        </w:rPr>
        <w:t>Tax Court of Canada Act</w:t>
      </w:r>
      <w:r w:rsidRPr="00D52FF9">
        <w:rPr>
          <w:sz w:val="20"/>
        </w:rPr>
        <w:t xml:space="preserve">, R.S.C. 1985, c. T-2 and s. 171 of the </w:t>
      </w:r>
      <w:r w:rsidRPr="00D52FF9">
        <w:rPr>
          <w:i/>
          <w:sz w:val="20"/>
        </w:rPr>
        <w:t>ITA</w:t>
      </w:r>
      <w:r w:rsidRPr="00D52FF9">
        <w:rPr>
          <w:sz w:val="20"/>
        </w:rPr>
        <w:t>?</w:t>
      </w:r>
    </w:p>
    <w:p w:rsidR="003D6292" w:rsidRPr="00D52FF9" w:rsidRDefault="003D6292" w:rsidP="003D6292">
      <w:pPr>
        <w:jc w:val="both"/>
        <w:rPr>
          <w:sz w:val="20"/>
        </w:rPr>
      </w:pPr>
    </w:p>
    <w:p w:rsidR="003D6292" w:rsidRPr="00D52FF9" w:rsidRDefault="003D6292" w:rsidP="003D6292">
      <w:pPr>
        <w:jc w:val="both"/>
        <w:rPr>
          <w:sz w:val="20"/>
        </w:rPr>
      </w:pPr>
      <w:r w:rsidRPr="00D52FF9">
        <w:rPr>
          <w:sz w:val="20"/>
        </w:rPr>
        <w:t>The Tax Court judge determined that the Tax Court had exclusive jurisdiction to review the Minister’s decision. She held that the decision directly affected the computation of income, and was therefore part of the assessment. Appeals of assessments are within the Tax Court’s jurisdiction.</w:t>
      </w:r>
    </w:p>
    <w:p w:rsidR="003D6292" w:rsidRPr="00D52FF9" w:rsidRDefault="003D6292" w:rsidP="003D6292">
      <w:pPr>
        <w:jc w:val="both"/>
        <w:rPr>
          <w:sz w:val="20"/>
        </w:rPr>
      </w:pPr>
    </w:p>
    <w:p w:rsidR="003D6292" w:rsidRPr="00D52FF9" w:rsidRDefault="003D6292" w:rsidP="003D6292">
      <w:pPr>
        <w:widowControl w:val="0"/>
        <w:jc w:val="both"/>
        <w:rPr>
          <w:sz w:val="20"/>
        </w:rPr>
      </w:pPr>
      <w:r w:rsidRPr="00D52FF9">
        <w:rPr>
          <w:sz w:val="20"/>
        </w:rPr>
        <w:t xml:space="preserve">The Federal Court of Appeal reached the opposite conclusion and allowed the Crown’s appeal. The decision is part of the </w:t>
      </w:r>
      <w:r w:rsidRPr="00D52FF9">
        <w:rPr>
          <w:i/>
          <w:sz w:val="20"/>
        </w:rPr>
        <w:t>process</w:t>
      </w:r>
      <w:r w:rsidRPr="00D52FF9">
        <w:rPr>
          <w:sz w:val="20"/>
        </w:rPr>
        <w:t xml:space="preserve"> of the assessment, and the Tax Court only has the power to hear appeals of the </w:t>
      </w:r>
      <w:r w:rsidRPr="00D52FF9">
        <w:rPr>
          <w:i/>
          <w:sz w:val="20"/>
        </w:rPr>
        <w:t>product</w:t>
      </w:r>
      <w:r w:rsidRPr="00D52FF9">
        <w:rPr>
          <w:sz w:val="20"/>
        </w:rPr>
        <w:t xml:space="preserve"> of that process. Furthermore, correcting an error in the Minister’s decision requires a power to quash or issue an order of </w:t>
      </w:r>
      <w:r w:rsidRPr="00D52FF9">
        <w:rPr>
          <w:i/>
          <w:sz w:val="20"/>
        </w:rPr>
        <w:t>mandamus</w:t>
      </w:r>
      <w:r w:rsidRPr="00D52FF9">
        <w:rPr>
          <w:sz w:val="20"/>
        </w:rPr>
        <w:t>, and the Tax Court does not have those powers.</w:t>
      </w:r>
    </w:p>
    <w:p w:rsidR="009B1DA0" w:rsidRPr="00D52FF9" w:rsidRDefault="009B1DA0" w:rsidP="00AC11A6">
      <w:pPr>
        <w:widowControl w:val="0"/>
        <w:jc w:val="both"/>
        <w:rPr>
          <w:sz w:val="20"/>
        </w:rPr>
      </w:pPr>
    </w:p>
    <w:p w:rsidR="009B1DA0" w:rsidRPr="00D52FF9" w:rsidRDefault="003D6292" w:rsidP="00AC11A6">
      <w:pPr>
        <w:widowControl w:val="0"/>
        <w:jc w:val="both"/>
        <w:rPr>
          <w:sz w:val="20"/>
        </w:rPr>
      </w:pPr>
      <w:r w:rsidRPr="00D52FF9">
        <w:rPr>
          <w:sz w:val="20"/>
        </w:rPr>
        <w:pict>
          <v:rect id="_x0000_i1029" style="width:2in;height:1pt" o:hrpct="0" o:hralign="center" o:hrstd="t" o:hrnoshade="t" o:hr="t" fillcolor="black [3213]" stroked="f"/>
        </w:pict>
      </w:r>
    </w:p>
    <w:p w:rsidR="003D6292" w:rsidRPr="00D52FF9" w:rsidRDefault="003D6292" w:rsidP="00AC11A6">
      <w:pPr>
        <w:widowControl w:val="0"/>
        <w:jc w:val="both"/>
        <w:rPr>
          <w:sz w:val="20"/>
        </w:rPr>
      </w:pPr>
    </w:p>
    <w:bookmarkStart w:id="1" w:name="1"/>
    <w:bookmarkEnd w:id="1"/>
    <w:p w:rsidR="003D6292" w:rsidRPr="00D52FF9" w:rsidRDefault="003D6292" w:rsidP="003D6292">
      <w:pPr>
        <w:pStyle w:val="SCCLsocParty"/>
        <w:rPr>
          <w:b/>
          <w:sz w:val="20"/>
          <w:szCs w:val="20"/>
        </w:rPr>
      </w:pPr>
      <w:r w:rsidRPr="00D52FF9">
        <w:rPr>
          <w:b/>
          <w:i w:val="0"/>
          <w:sz w:val="20"/>
          <w:szCs w:val="20"/>
        </w:rPr>
        <w:fldChar w:fldCharType="begin"/>
      </w:r>
      <w:r w:rsidRPr="00D52FF9">
        <w:rPr>
          <w:b/>
          <w:i w:val="0"/>
          <w:sz w:val="20"/>
          <w:szCs w:val="20"/>
        </w:rPr>
        <w:instrText xml:space="preserve"> SEQ CHAPTER \h \r 1</w:instrText>
      </w:r>
      <w:r w:rsidRPr="00D52FF9">
        <w:rPr>
          <w:b/>
          <w:i w:val="0"/>
          <w:sz w:val="20"/>
          <w:szCs w:val="20"/>
        </w:rPr>
        <w:fldChar w:fldCharType="end"/>
      </w:r>
      <w:r w:rsidRPr="00D52FF9">
        <w:rPr>
          <w:b/>
          <w:i w:val="0"/>
          <w:sz w:val="20"/>
          <w:szCs w:val="20"/>
        </w:rPr>
        <w:t>40346</w:t>
      </w:r>
      <w:r w:rsidRPr="00D52FF9">
        <w:rPr>
          <w:b/>
          <w:i w:val="0"/>
          <w:sz w:val="20"/>
          <w:szCs w:val="20"/>
        </w:rPr>
        <w:tab/>
      </w:r>
      <w:bookmarkStart w:id="2" w:name="3"/>
      <w:bookmarkEnd w:id="2"/>
      <w:r w:rsidRPr="00D52FF9">
        <w:rPr>
          <w:b/>
          <w:sz w:val="20"/>
          <w:szCs w:val="20"/>
        </w:rPr>
        <w:t>Iris Technologies Inc. v. Attorney General of Canada</w:t>
      </w:r>
    </w:p>
    <w:p w:rsidR="003D6292" w:rsidRPr="00D52FF9" w:rsidRDefault="003D6292" w:rsidP="00712C80">
      <w:pPr>
        <w:ind w:left="360" w:firstLine="360"/>
        <w:jc w:val="both"/>
        <w:rPr>
          <w:sz w:val="20"/>
        </w:rPr>
      </w:pPr>
      <w:r w:rsidRPr="00D52FF9">
        <w:rPr>
          <w:sz w:val="20"/>
        </w:rPr>
        <w:t>(Fed.) (Civil) (By Leave)</w:t>
      </w:r>
    </w:p>
    <w:p w:rsidR="003D6292" w:rsidRPr="00D52FF9" w:rsidRDefault="003D6292" w:rsidP="003D6292">
      <w:pPr>
        <w:widowControl w:val="0"/>
        <w:ind w:left="1440" w:hanging="1440"/>
        <w:jc w:val="both"/>
        <w:rPr>
          <w:sz w:val="20"/>
          <w:lang w:val="en-CA"/>
        </w:rPr>
      </w:pPr>
    </w:p>
    <w:p w:rsidR="003D6292" w:rsidRPr="00D52FF9" w:rsidRDefault="003D6292" w:rsidP="003D6292">
      <w:pPr>
        <w:jc w:val="both"/>
        <w:rPr>
          <w:color w:val="000000"/>
          <w:sz w:val="20"/>
        </w:rPr>
      </w:pPr>
      <w:r w:rsidRPr="00D52FF9">
        <w:rPr>
          <w:color w:val="000000"/>
          <w:sz w:val="20"/>
        </w:rPr>
        <w:t>Administrative law — Judicial Review — Jurisdiction of Federal Court — Minister of National Revenue assessing taxpayer — Taxpayer applying for judicial review and seeking declarations it was denied procedural fairness, there was no evidentiary foundation upon which an assessment could be issued, and assessments were issued for improper purpose — Whether Federal Court has authority and jurisdiction to review conduct of Minister of National Revenue — If the only jurisdiction to review conduct of the Minister is in the determination of the correctness of the assessment in the Tax Court of Canada, who supervises the Minister?</w:t>
      </w:r>
    </w:p>
    <w:p w:rsidR="003D6292" w:rsidRPr="00D52FF9" w:rsidRDefault="003D6292" w:rsidP="003D6292">
      <w:pPr>
        <w:widowControl w:val="0"/>
        <w:jc w:val="both"/>
        <w:rPr>
          <w:sz w:val="20"/>
        </w:rPr>
      </w:pPr>
    </w:p>
    <w:p w:rsidR="003D6292" w:rsidRPr="00D52FF9" w:rsidRDefault="003D6292" w:rsidP="003D6292">
      <w:pPr>
        <w:jc w:val="both"/>
        <w:rPr>
          <w:sz w:val="20"/>
          <w:lang w:val="en-CA"/>
        </w:rPr>
      </w:pPr>
      <w:r w:rsidRPr="00D52FF9">
        <w:rPr>
          <w:color w:val="000000"/>
          <w:sz w:val="20"/>
        </w:rPr>
        <w:t xml:space="preserve">Canada Revenue Agency completed an audit of monthly GST/HST returns of Iris Technologies Inc. Two days later, it commenced a second audit of certain reporting periods. The Minister of National Revenue withheld GST/HST refunds for the reporting periods under examination and denied Iris Technologies Inc.’s requests to have those funds released. Iris Technologies Inc. applied for judicial review seeking to compel the release of the refunds and seeking declarations that it was denied procedural fairness, that the Minister failed to follow policy with respect to the administration of the </w:t>
      </w:r>
      <w:r w:rsidRPr="00D52FF9">
        <w:rPr>
          <w:i/>
          <w:color w:val="000000"/>
          <w:sz w:val="20"/>
        </w:rPr>
        <w:t>Excise Tax Act</w:t>
      </w:r>
      <w:r w:rsidRPr="00D52FF9">
        <w:rPr>
          <w:color w:val="000000"/>
          <w:sz w:val="20"/>
        </w:rPr>
        <w:t xml:space="preserve">, R.S.C., 1985, c. E-15, that there was no evidentiary foundation upon which an assessment could be issued, and that the assessments were issued for an improper purpose. The Minister of National Revenue assessed and reassessed the reporting periods, and imposed penalties and interest, resulting in Iris Technologies Inc. owing $52,191,893.01. The Attorney General filed a motion to dismiss Iris Technologies Inc.’s application for judicial review.  The </w:t>
      </w:r>
      <w:r w:rsidRPr="00D52FF9">
        <w:rPr>
          <w:sz w:val="20"/>
        </w:rPr>
        <w:t xml:space="preserve">Case Management Judge dismissed the motion. The Federal Court dismissed an appeal. The Federal Court of Appeal allowed an appeal and dismissed </w:t>
      </w:r>
      <w:r w:rsidRPr="00D52FF9">
        <w:rPr>
          <w:color w:val="000000"/>
          <w:sz w:val="20"/>
        </w:rPr>
        <w:t>Iris Technologies Inc.’s</w:t>
      </w:r>
      <w:r w:rsidRPr="00D52FF9">
        <w:rPr>
          <w:sz w:val="20"/>
        </w:rPr>
        <w:t xml:space="preserve"> application for judicial review.</w:t>
      </w:r>
    </w:p>
    <w:p w:rsidR="004874F7" w:rsidRPr="00D52FF9" w:rsidRDefault="004874F7" w:rsidP="001C4415">
      <w:pPr>
        <w:widowControl w:val="0"/>
        <w:rPr>
          <w:szCs w:val="24"/>
        </w:rPr>
      </w:pPr>
    </w:p>
    <w:p w:rsidR="004874F7" w:rsidRPr="00D52FF9" w:rsidRDefault="004874F7" w:rsidP="001C4415">
      <w:pPr>
        <w:widowControl w:val="0"/>
        <w:rPr>
          <w:szCs w:val="24"/>
        </w:rPr>
      </w:pPr>
    </w:p>
    <w:p w:rsidR="00A97E61" w:rsidRPr="00D52FF9" w:rsidRDefault="00540FB6" w:rsidP="001C4415">
      <w:pPr>
        <w:widowControl w:val="0"/>
        <w:rPr>
          <w:szCs w:val="24"/>
          <w:lang w:val="fr-CA"/>
        </w:rPr>
      </w:pPr>
      <w:r w:rsidRPr="00D52FF9">
        <w:rPr>
          <w:sz w:val="18"/>
          <w:szCs w:val="18"/>
        </w:rPr>
        <w:pict>
          <v:rect id="_x0000_i1025" style="width:272.25pt;height:1.5pt" o:hrpct="0" o:hralign="center" o:hrstd="t" o:hrnoshade="t" o:hr="t" fillcolor="black [3213]" stroked="f"/>
        </w:pict>
      </w:r>
    </w:p>
    <w:p w:rsidR="00A97E61" w:rsidRPr="00D52FF9" w:rsidRDefault="00A97E61" w:rsidP="001C4415">
      <w:pPr>
        <w:widowControl w:val="0"/>
        <w:rPr>
          <w:szCs w:val="24"/>
          <w:lang w:val="fr-CA"/>
        </w:rPr>
      </w:pPr>
    </w:p>
    <w:p w:rsidR="001C4415" w:rsidRPr="00D52FF9" w:rsidRDefault="001C4415" w:rsidP="001C4415">
      <w:pPr>
        <w:widowControl w:val="0"/>
        <w:rPr>
          <w:lang w:val="fr-CA"/>
        </w:rPr>
      </w:pPr>
    </w:p>
    <w:p w:rsidR="001335A1" w:rsidRPr="00D52FF9" w:rsidRDefault="001335A1" w:rsidP="001335A1">
      <w:pPr>
        <w:widowControl w:val="0"/>
        <w:jc w:val="center"/>
        <w:rPr>
          <w:b/>
          <w:lang w:val="fr-CA"/>
        </w:rPr>
      </w:pPr>
      <w:r w:rsidRPr="00D52FF9">
        <w:rPr>
          <w:b/>
          <w:lang w:val="fr-CA"/>
        </w:rPr>
        <w:t>PROCHAIN</w:t>
      </w:r>
      <w:r w:rsidR="009B1DA0" w:rsidRPr="00D52FF9">
        <w:rPr>
          <w:b/>
          <w:lang w:val="fr-CA"/>
        </w:rPr>
        <w:t>S</w:t>
      </w:r>
      <w:r w:rsidRPr="00D52FF9">
        <w:rPr>
          <w:b/>
          <w:lang w:val="fr-CA"/>
        </w:rPr>
        <w:t xml:space="preserve"> JUGEMENT</w:t>
      </w:r>
      <w:r w:rsidR="009B1DA0" w:rsidRPr="00D52FF9">
        <w:rPr>
          <w:b/>
          <w:lang w:val="fr-CA"/>
        </w:rPr>
        <w:t>S</w:t>
      </w:r>
      <w:r w:rsidR="00455BB9" w:rsidRPr="00D52FF9">
        <w:rPr>
          <w:b/>
          <w:lang w:val="fr-CA"/>
        </w:rPr>
        <w:t xml:space="preserve"> SUR APPEL</w:t>
      </w:r>
      <w:r w:rsidR="009B1DA0" w:rsidRPr="00D52FF9">
        <w:rPr>
          <w:b/>
          <w:lang w:val="fr-CA"/>
        </w:rPr>
        <w:t>S</w:t>
      </w:r>
    </w:p>
    <w:p w:rsidR="001335A1" w:rsidRPr="00D52FF9" w:rsidRDefault="001335A1" w:rsidP="001335A1">
      <w:pPr>
        <w:widowControl w:val="0"/>
        <w:rPr>
          <w:lang w:val="fr-CA"/>
        </w:rPr>
      </w:pPr>
    </w:p>
    <w:p w:rsidR="00EC79B0" w:rsidRPr="00D52FF9" w:rsidRDefault="00EC79B0" w:rsidP="00EC79B0">
      <w:pPr>
        <w:widowControl w:val="0"/>
        <w:rPr>
          <w:lang w:val="fr-CA"/>
        </w:rPr>
      </w:pPr>
      <w:r w:rsidRPr="00D52FF9">
        <w:rPr>
          <w:b/>
          <w:lang w:val="fr-CA"/>
        </w:rPr>
        <w:t xml:space="preserve">Le </w:t>
      </w:r>
      <w:r w:rsidR="009B1DA0" w:rsidRPr="00D52FF9">
        <w:rPr>
          <w:b/>
          <w:lang w:val="fr-CA"/>
        </w:rPr>
        <w:t>24</w:t>
      </w:r>
      <w:r w:rsidR="00FA5450" w:rsidRPr="00D52FF9">
        <w:rPr>
          <w:b/>
          <w:lang w:val="fr-CA"/>
        </w:rPr>
        <w:t xml:space="preserve"> </w:t>
      </w:r>
      <w:r w:rsidR="005C152C" w:rsidRPr="00D52FF9">
        <w:rPr>
          <w:b/>
          <w:lang w:val="fr-CA"/>
        </w:rPr>
        <w:t>juin</w:t>
      </w:r>
      <w:r w:rsidR="00C86395" w:rsidRPr="00D52FF9">
        <w:rPr>
          <w:b/>
          <w:lang w:val="fr-CA"/>
        </w:rPr>
        <w:t xml:space="preserve"> </w:t>
      </w:r>
      <w:r w:rsidR="0086609D" w:rsidRPr="00D52FF9">
        <w:rPr>
          <w:b/>
          <w:lang w:val="fr-CA"/>
        </w:rPr>
        <w:t>20</w:t>
      </w:r>
      <w:r w:rsidR="009544E9" w:rsidRPr="00D52FF9">
        <w:rPr>
          <w:b/>
          <w:lang w:val="fr-CA"/>
        </w:rPr>
        <w:t>2</w:t>
      </w:r>
      <w:r w:rsidR="0049454A" w:rsidRPr="00D52FF9">
        <w:rPr>
          <w:b/>
          <w:lang w:val="fr-CA"/>
        </w:rPr>
        <w:t>4</w:t>
      </w:r>
    </w:p>
    <w:p w:rsidR="00EC79B0" w:rsidRPr="00D52FF9" w:rsidRDefault="00EC79B0" w:rsidP="00EC79B0">
      <w:pPr>
        <w:widowControl w:val="0"/>
        <w:rPr>
          <w:lang w:val="fr-CA"/>
        </w:rPr>
      </w:pPr>
    </w:p>
    <w:p w:rsidR="00EC79B0" w:rsidRPr="00D52FF9" w:rsidRDefault="00EC79B0" w:rsidP="00EC79B0">
      <w:pPr>
        <w:widowControl w:val="0"/>
        <w:rPr>
          <w:lang w:val="fr-CA"/>
        </w:rPr>
      </w:pPr>
      <w:r w:rsidRPr="00D52FF9">
        <w:rPr>
          <w:b/>
          <w:lang w:val="fr-CA"/>
        </w:rPr>
        <w:t>OTTAWA</w:t>
      </w:r>
      <w:r w:rsidRPr="00D52FF9">
        <w:rPr>
          <w:lang w:val="fr-CA"/>
        </w:rPr>
        <w:t xml:space="preserve"> – </w:t>
      </w:r>
      <w:r w:rsidR="0095505F" w:rsidRPr="00D52FF9">
        <w:rPr>
          <w:lang w:val="fr-CA"/>
        </w:rPr>
        <w:t>La Cour suprême du Canada rendra jugement dans l</w:t>
      </w:r>
      <w:r w:rsidR="009B1DA0" w:rsidRPr="00D52FF9">
        <w:rPr>
          <w:lang w:val="fr-CA"/>
        </w:rPr>
        <w:t xml:space="preserve">es </w:t>
      </w:r>
      <w:r w:rsidR="0095505F" w:rsidRPr="00D52FF9">
        <w:rPr>
          <w:lang w:val="fr-CA"/>
        </w:rPr>
        <w:t>appel</w:t>
      </w:r>
      <w:r w:rsidR="009B1DA0" w:rsidRPr="00D52FF9">
        <w:rPr>
          <w:lang w:val="fr-CA"/>
        </w:rPr>
        <w:t>s</w:t>
      </w:r>
      <w:r w:rsidR="0095505F" w:rsidRPr="00D52FF9">
        <w:rPr>
          <w:lang w:val="fr-CA"/>
        </w:rPr>
        <w:t xml:space="preserve"> suivant</w:t>
      </w:r>
      <w:r w:rsidR="009B1DA0" w:rsidRPr="00D52FF9">
        <w:rPr>
          <w:lang w:val="fr-CA"/>
        </w:rPr>
        <w:t>s</w:t>
      </w:r>
      <w:r w:rsidR="0095505F" w:rsidRPr="00D52FF9">
        <w:rPr>
          <w:lang w:val="fr-CA"/>
        </w:rPr>
        <w:t xml:space="preserve"> le </w:t>
      </w:r>
      <w:r w:rsidR="002915B5" w:rsidRPr="00D52FF9">
        <w:rPr>
          <w:lang w:val="fr-CA"/>
        </w:rPr>
        <w:t>vendredi</w:t>
      </w:r>
      <w:r w:rsidR="0095505F" w:rsidRPr="00D52FF9">
        <w:rPr>
          <w:lang w:val="fr-CA"/>
        </w:rPr>
        <w:t xml:space="preserve"> </w:t>
      </w:r>
      <w:r w:rsidR="005C152C" w:rsidRPr="00D52FF9">
        <w:rPr>
          <w:lang w:val="fr-CA"/>
        </w:rPr>
        <w:t>2</w:t>
      </w:r>
      <w:r w:rsidR="009B1DA0" w:rsidRPr="00D52FF9">
        <w:rPr>
          <w:lang w:val="fr-CA"/>
        </w:rPr>
        <w:t>8</w:t>
      </w:r>
      <w:r w:rsidR="0095505F" w:rsidRPr="00D52FF9">
        <w:rPr>
          <w:lang w:val="fr-CA"/>
        </w:rPr>
        <w:t xml:space="preserve"> </w:t>
      </w:r>
      <w:r w:rsidR="00FE72B3" w:rsidRPr="00D52FF9">
        <w:rPr>
          <w:lang w:val="fr-CA"/>
        </w:rPr>
        <w:t>juin</w:t>
      </w:r>
      <w:r w:rsidR="0095505F" w:rsidRPr="00D52FF9">
        <w:rPr>
          <w:lang w:val="fr-CA"/>
        </w:rPr>
        <w:t xml:space="preserve"> 202</w:t>
      </w:r>
      <w:r w:rsidR="0049454A" w:rsidRPr="00D52FF9">
        <w:rPr>
          <w:lang w:val="fr-CA"/>
        </w:rPr>
        <w:t>4</w:t>
      </w:r>
      <w:r w:rsidR="0095505F" w:rsidRPr="00D52FF9">
        <w:rPr>
          <w:lang w:val="fr-CA"/>
        </w:rPr>
        <w:t>, à 9 h 45 HE.</w:t>
      </w:r>
    </w:p>
    <w:p w:rsidR="001F76DD" w:rsidRPr="00D52FF9" w:rsidRDefault="001F76DD" w:rsidP="00E92006">
      <w:pPr>
        <w:widowControl w:val="0"/>
        <w:jc w:val="both"/>
        <w:rPr>
          <w:szCs w:val="24"/>
          <w:lang w:val="fr-CA"/>
        </w:rPr>
      </w:pPr>
    </w:p>
    <w:p w:rsidR="001335A1" w:rsidRPr="00D52FF9" w:rsidRDefault="001335A1" w:rsidP="001335A1">
      <w:pPr>
        <w:widowControl w:val="0"/>
        <w:rPr>
          <w:szCs w:val="24"/>
          <w:lang w:val="fr-CA"/>
        </w:rPr>
      </w:pPr>
    </w:p>
    <w:p w:rsidR="00772636" w:rsidRPr="00D52FF9" w:rsidRDefault="008D3B6D" w:rsidP="00772636">
      <w:pPr>
        <w:jc w:val="both"/>
        <w:rPr>
          <w:szCs w:val="24"/>
          <w:lang w:val="fr-CA"/>
        </w:rPr>
      </w:pPr>
      <w:r w:rsidRPr="00D52FF9">
        <w:rPr>
          <w:i/>
          <w:szCs w:val="24"/>
          <w:lang w:val="fr-CA"/>
        </w:rPr>
        <w:t>Dow Chemical Canada ULC c. Sa Majesté le Roi</w:t>
      </w:r>
      <w:r w:rsidR="002274CC" w:rsidRPr="00D52FF9">
        <w:rPr>
          <w:i/>
          <w:szCs w:val="24"/>
          <w:lang w:val="fr-CA"/>
        </w:rPr>
        <w:t xml:space="preserve"> </w:t>
      </w:r>
      <w:r w:rsidR="00772636" w:rsidRPr="00D52FF9">
        <w:rPr>
          <w:szCs w:val="24"/>
          <w:lang w:val="fr-CA"/>
        </w:rPr>
        <w:t>(</w:t>
      </w:r>
      <w:r w:rsidRPr="00D52FF9">
        <w:rPr>
          <w:szCs w:val="24"/>
          <w:lang w:val="fr-CA"/>
        </w:rPr>
        <w:t>Féd</w:t>
      </w:r>
      <w:r w:rsidR="002274CC" w:rsidRPr="00D52FF9">
        <w:rPr>
          <w:szCs w:val="24"/>
          <w:lang w:val="fr-CA"/>
        </w:rPr>
        <w:t>.</w:t>
      </w:r>
      <w:r w:rsidR="00772636" w:rsidRPr="00D52FF9">
        <w:rPr>
          <w:szCs w:val="24"/>
          <w:lang w:val="fr-CA"/>
        </w:rPr>
        <w:t xml:space="preserve">) </w:t>
      </w:r>
      <w:r w:rsidR="00772636" w:rsidRPr="00D52FF9">
        <w:rPr>
          <w:lang w:val="fr-CA"/>
        </w:rPr>
        <w:t>(</w:t>
      </w:r>
      <w:hyperlink r:id="rId9" w:history="1">
        <w:r w:rsidR="002915B5" w:rsidRPr="00D52FF9">
          <w:rPr>
            <w:rStyle w:val="Hyperlink"/>
            <w:lang w:val="fr-CA"/>
          </w:rPr>
          <w:t>40</w:t>
        </w:r>
        <w:r w:rsidRPr="00D52FF9">
          <w:rPr>
            <w:rStyle w:val="Hyperlink"/>
            <w:lang w:val="fr-CA"/>
          </w:rPr>
          <w:t>27</w:t>
        </w:r>
        <w:r w:rsidR="004A10B5" w:rsidRPr="00D52FF9">
          <w:rPr>
            <w:rStyle w:val="Hyperlink"/>
            <w:lang w:val="fr-CA"/>
          </w:rPr>
          <w:t>6</w:t>
        </w:r>
      </w:hyperlink>
      <w:r w:rsidR="00772636" w:rsidRPr="00D52FF9">
        <w:rPr>
          <w:lang w:val="fr-CA"/>
        </w:rPr>
        <w:t>)</w:t>
      </w:r>
    </w:p>
    <w:p w:rsidR="003B3C19" w:rsidRPr="00D52FF9" w:rsidRDefault="003B3C19" w:rsidP="00AE14EC">
      <w:pPr>
        <w:widowControl w:val="0"/>
        <w:jc w:val="both"/>
        <w:rPr>
          <w:sz w:val="20"/>
          <w:lang w:val="fr-CA"/>
        </w:rPr>
      </w:pPr>
      <w:bookmarkStart w:id="3" w:name="QuickMark_1"/>
      <w:bookmarkEnd w:id="3"/>
    </w:p>
    <w:p w:rsidR="009B1DA0" w:rsidRPr="00D52FF9" w:rsidRDefault="008D3B6D" w:rsidP="009B1DA0">
      <w:pPr>
        <w:jc w:val="both"/>
        <w:rPr>
          <w:szCs w:val="24"/>
          <w:lang w:val="fr-CA"/>
        </w:rPr>
      </w:pPr>
      <w:r w:rsidRPr="00D52FF9">
        <w:rPr>
          <w:i/>
          <w:szCs w:val="24"/>
          <w:lang w:val="fr-CA"/>
        </w:rPr>
        <w:t>Iris Technologies Inc. c. Procureur général du Canada</w:t>
      </w:r>
      <w:r w:rsidR="009B1DA0" w:rsidRPr="00D52FF9">
        <w:rPr>
          <w:i/>
          <w:szCs w:val="24"/>
          <w:lang w:val="fr-CA"/>
        </w:rPr>
        <w:t xml:space="preserve"> </w:t>
      </w:r>
      <w:r w:rsidR="009B1DA0" w:rsidRPr="00D52FF9">
        <w:rPr>
          <w:szCs w:val="24"/>
          <w:lang w:val="fr-CA"/>
        </w:rPr>
        <w:t>(</w:t>
      </w:r>
      <w:r w:rsidRPr="00D52FF9">
        <w:rPr>
          <w:szCs w:val="24"/>
          <w:lang w:val="fr-CA"/>
        </w:rPr>
        <w:t>Féd</w:t>
      </w:r>
      <w:r w:rsidR="009B1DA0" w:rsidRPr="00D52FF9">
        <w:rPr>
          <w:szCs w:val="24"/>
          <w:lang w:val="fr-CA"/>
        </w:rPr>
        <w:t xml:space="preserve">.) </w:t>
      </w:r>
      <w:r w:rsidR="009B1DA0" w:rsidRPr="00D52FF9">
        <w:rPr>
          <w:lang w:val="fr-CA"/>
        </w:rPr>
        <w:t>(</w:t>
      </w:r>
      <w:hyperlink r:id="rId10" w:history="1">
        <w:r w:rsidR="009B1DA0" w:rsidRPr="00D52FF9">
          <w:rPr>
            <w:rStyle w:val="Hyperlink"/>
            <w:lang w:val="fr-CA"/>
          </w:rPr>
          <w:t>403</w:t>
        </w:r>
        <w:r w:rsidRPr="00D52FF9">
          <w:rPr>
            <w:rStyle w:val="Hyperlink"/>
            <w:lang w:val="fr-CA"/>
          </w:rPr>
          <w:t>4</w:t>
        </w:r>
        <w:r w:rsidR="009B1DA0" w:rsidRPr="00D52FF9">
          <w:rPr>
            <w:rStyle w:val="Hyperlink"/>
            <w:lang w:val="fr-CA"/>
          </w:rPr>
          <w:t>6</w:t>
        </w:r>
      </w:hyperlink>
      <w:r w:rsidR="009B1DA0" w:rsidRPr="00D52FF9">
        <w:rPr>
          <w:lang w:val="fr-CA"/>
        </w:rPr>
        <w:t>)</w:t>
      </w:r>
    </w:p>
    <w:p w:rsidR="009B1DA0" w:rsidRPr="00D52FF9" w:rsidRDefault="009B1DA0" w:rsidP="00AE14EC">
      <w:pPr>
        <w:widowControl w:val="0"/>
        <w:jc w:val="both"/>
        <w:rPr>
          <w:sz w:val="20"/>
          <w:lang w:val="fr-CA"/>
        </w:rPr>
      </w:pPr>
    </w:p>
    <w:p w:rsidR="00D52FF9" w:rsidRPr="00D52FF9" w:rsidRDefault="00D52FF9" w:rsidP="00D52FF9">
      <w:pPr>
        <w:pStyle w:val="SCCLsocParty"/>
        <w:rPr>
          <w:b/>
          <w:i w:val="0"/>
          <w:sz w:val="20"/>
          <w:szCs w:val="20"/>
        </w:rPr>
      </w:pPr>
      <w:r w:rsidRPr="00D52FF9">
        <w:rPr>
          <w:rStyle w:val="SCCFileNumberChar"/>
          <w:i w:val="0"/>
          <w:sz w:val="20"/>
          <w:szCs w:val="20"/>
        </w:rPr>
        <w:t>40276</w:t>
      </w:r>
      <w:r w:rsidRPr="00D52FF9">
        <w:rPr>
          <w:rStyle w:val="SCCFileNumberChar"/>
          <w:i w:val="0"/>
          <w:sz w:val="20"/>
          <w:szCs w:val="20"/>
          <w:lang w:val="fr-CA"/>
        </w:rPr>
        <w:tab/>
      </w:r>
      <w:r w:rsidRPr="00D52FF9">
        <w:rPr>
          <w:b/>
          <w:sz w:val="20"/>
          <w:szCs w:val="20"/>
        </w:rPr>
        <w:t>Dow Chemical Canada ULC c. Sa Majesté le Roi</w:t>
      </w:r>
    </w:p>
    <w:p w:rsidR="00D52FF9" w:rsidRPr="00D52FF9" w:rsidRDefault="00D52FF9" w:rsidP="00D52FF9">
      <w:pPr>
        <w:widowControl w:val="0"/>
        <w:ind w:left="360" w:firstLine="360"/>
        <w:jc w:val="both"/>
        <w:rPr>
          <w:sz w:val="20"/>
          <w:lang w:val="fr-CA"/>
        </w:rPr>
      </w:pPr>
      <w:r w:rsidRPr="00D52FF9">
        <w:rPr>
          <w:sz w:val="20"/>
          <w:lang w:val="fr-CA"/>
        </w:rPr>
        <w:t>(</w:t>
      </w:r>
      <w:r w:rsidRPr="00D52FF9">
        <w:rPr>
          <w:sz w:val="20"/>
          <w:lang w:val="fr-CA"/>
        </w:rPr>
        <w:t>Féd.</w:t>
      </w:r>
      <w:r w:rsidRPr="00D52FF9">
        <w:rPr>
          <w:sz w:val="20"/>
          <w:lang w:val="fr-CA"/>
        </w:rPr>
        <w:t>) (</w:t>
      </w:r>
      <w:r w:rsidRPr="00D52FF9">
        <w:rPr>
          <w:sz w:val="20"/>
          <w:lang w:val="fr-CA"/>
        </w:rPr>
        <w:t>C</w:t>
      </w:r>
      <w:r w:rsidRPr="00D52FF9">
        <w:rPr>
          <w:sz w:val="20"/>
          <w:lang w:val="fr-CA"/>
        </w:rPr>
        <w:t>ivile) (Sur autorisation)</w:t>
      </w:r>
    </w:p>
    <w:p w:rsidR="00D52FF9" w:rsidRPr="00D52FF9" w:rsidRDefault="00D52FF9" w:rsidP="00AE14EC">
      <w:pPr>
        <w:widowControl w:val="0"/>
        <w:jc w:val="both"/>
        <w:rPr>
          <w:sz w:val="20"/>
          <w:lang w:val="fr-CA"/>
        </w:rPr>
      </w:pPr>
    </w:p>
    <w:p w:rsidR="00D52FF9" w:rsidRPr="00D52FF9" w:rsidRDefault="00D52FF9" w:rsidP="00D52FF9">
      <w:pPr>
        <w:widowControl w:val="0"/>
        <w:jc w:val="both"/>
        <w:rPr>
          <w:sz w:val="20"/>
          <w:lang w:val="fr-CA"/>
        </w:rPr>
      </w:pPr>
      <w:r w:rsidRPr="00D52FF9">
        <w:rPr>
          <w:sz w:val="20"/>
          <w:lang w:val="fr-CA"/>
        </w:rPr>
        <w:t xml:space="preserve">Tribunaux — Compétence — Impôt sur le revenu — Le contrôle de l’exercice du pouvoir du ministre en vertu du paragraphe 247(10) de la </w:t>
      </w:r>
      <w:r w:rsidRPr="00D52FF9">
        <w:rPr>
          <w:i/>
          <w:sz w:val="20"/>
          <w:lang w:val="fr-CA"/>
        </w:rPr>
        <w:t>Loi de l’impôt sur le revenu</w:t>
      </w:r>
      <w:r w:rsidRPr="00D52FF9">
        <w:rPr>
          <w:sz w:val="20"/>
          <w:lang w:val="fr-CA"/>
        </w:rPr>
        <w:t xml:space="preserve"> relève-t-il de la compétence exclusive de la Cour canadienne de l’impôt en première instance ?</w:t>
      </w:r>
    </w:p>
    <w:p w:rsidR="00D52FF9" w:rsidRPr="00D52FF9" w:rsidRDefault="00D52FF9" w:rsidP="00AE14EC">
      <w:pPr>
        <w:widowControl w:val="0"/>
        <w:jc w:val="both"/>
        <w:rPr>
          <w:sz w:val="20"/>
          <w:lang w:val="fr-CA"/>
        </w:rPr>
      </w:pPr>
    </w:p>
    <w:p w:rsidR="00D52FF9" w:rsidRPr="00D52FF9" w:rsidRDefault="00D52FF9" w:rsidP="00D52FF9">
      <w:pPr>
        <w:jc w:val="both"/>
        <w:rPr>
          <w:sz w:val="20"/>
          <w:lang w:val="fr-CA"/>
        </w:rPr>
      </w:pPr>
      <w:r w:rsidRPr="00D52FF9">
        <w:rPr>
          <w:sz w:val="20"/>
          <w:lang w:val="fr-CA"/>
        </w:rPr>
        <w:t xml:space="preserve">Un contribuable constitué en société a demandé à la ministre du Revenu national d’exercer son pouvoir discrétionnaire en vertu du par. 247(10) de la </w:t>
      </w:r>
      <w:r w:rsidRPr="00D52FF9">
        <w:rPr>
          <w:i/>
          <w:sz w:val="20"/>
          <w:lang w:val="fr-CA"/>
        </w:rPr>
        <w:t>Loi de l’impôt sur le revenu</w:t>
      </w:r>
      <w:r w:rsidRPr="00D52FF9">
        <w:rPr>
          <w:sz w:val="20"/>
          <w:lang w:val="fr-CA"/>
        </w:rPr>
        <w:t>, L.R.C. 1985, c. 1 (5</w:t>
      </w:r>
      <w:r w:rsidRPr="00D52FF9">
        <w:rPr>
          <w:sz w:val="20"/>
          <w:vertAlign w:val="superscript"/>
          <w:lang w:val="fr-CA"/>
        </w:rPr>
        <w:t>e</w:t>
      </w:r>
      <w:r w:rsidRPr="00D52FF9">
        <w:rPr>
          <w:sz w:val="20"/>
          <w:lang w:val="fr-CA"/>
        </w:rPr>
        <w:t xml:space="preserve"> suppl.) (« </w:t>
      </w:r>
      <w:r w:rsidRPr="00D52FF9">
        <w:rPr>
          <w:i/>
          <w:sz w:val="20"/>
          <w:lang w:val="fr-CA"/>
        </w:rPr>
        <w:t>LIR</w:t>
      </w:r>
      <w:r w:rsidRPr="00D52FF9">
        <w:rPr>
          <w:sz w:val="20"/>
          <w:lang w:val="fr-CA"/>
        </w:rPr>
        <w:t xml:space="preserve"> »), pour ajuster vers le bas la valeur d’une opération avec lien de dépendance, ce qui aurait pour effet de réduire le montant de la cotisation du contribuable. La ministre a refusé de le faire. Le contribuable voulait contester la décision de la ministre, mais il n’était pas clair si la Cour canadienne de l’impôt ou la Cour fédérale avait compétence en la matière. Les parties ont demandé à la Cour canadienne de l’impôt de trancher la question de compétence suivante : lorsque la ministre du Revenu national a exercé son pouvoir discrétionnaire en vertu du par. 247(10) de la </w:t>
      </w:r>
      <w:r w:rsidRPr="00D52FF9">
        <w:rPr>
          <w:i/>
          <w:sz w:val="20"/>
          <w:lang w:val="fr-CA"/>
        </w:rPr>
        <w:t>LIR</w:t>
      </w:r>
      <w:r w:rsidRPr="00D52FF9">
        <w:rPr>
          <w:sz w:val="20"/>
          <w:lang w:val="fr-CA"/>
        </w:rPr>
        <w:t xml:space="preserve"> afin de rejeter la demande d’un contribuable visant un rajustement du prix de transfert vers le bas, cette décision excède-t-elle la compétence exclusive conférée à la Cour canadienne de l’impôt en première instance sous le régime de l’art. 12 de la </w:t>
      </w:r>
      <w:r w:rsidRPr="00D52FF9">
        <w:rPr>
          <w:i/>
          <w:sz w:val="20"/>
          <w:lang w:val="fr-CA"/>
        </w:rPr>
        <w:t>Loi sur la Cour canadienne de l’impôt</w:t>
      </w:r>
      <w:r w:rsidRPr="00D52FF9">
        <w:rPr>
          <w:sz w:val="20"/>
          <w:lang w:val="fr-CA"/>
        </w:rPr>
        <w:t xml:space="preserve">, L.R.C. 1985, c. T-2 et de l’art. 171 de la </w:t>
      </w:r>
      <w:r w:rsidRPr="00D52FF9">
        <w:rPr>
          <w:i/>
          <w:sz w:val="20"/>
          <w:lang w:val="fr-CA"/>
        </w:rPr>
        <w:t>LIR </w:t>
      </w:r>
      <w:r w:rsidRPr="00D52FF9">
        <w:rPr>
          <w:sz w:val="20"/>
          <w:lang w:val="fr-CA"/>
        </w:rPr>
        <w:t>?</w:t>
      </w:r>
    </w:p>
    <w:p w:rsidR="00D52FF9" w:rsidRPr="00D52FF9" w:rsidRDefault="00D52FF9" w:rsidP="00D52FF9">
      <w:pPr>
        <w:jc w:val="both"/>
        <w:rPr>
          <w:sz w:val="20"/>
          <w:lang w:val="fr-CA"/>
        </w:rPr>
      </w:pPr>
    </w:p>
    <w:p w:rsidR="00D52FF9" w:rsidRPr="00D52FF9" w:rsidRDefault="00D52FF9" w:rsidP="00D52FF9">
      <w:pPr>
        <w:jc w:val="both"/>
        <w:rPr>
          <w:sz w:val="20"/>
          <w:lang w:val="fr-CA"/>
        </w:rPr>
      </w:pPr>
      <w:r w:rsidRPr="00D52FF9">
        <w:rPr>
          <w:sz w:val="20"/>
          <w:lang w:val="fr-CA"/>
        </w:rPr>
        <w:t>La juge de la Cour canadienne de l’impôt a conclu que celle-ci avait compétence exclusive pour contrôler la décision de la ministre. Elle a conclu que la décision touchait directement le calcul du revenu, et faisait ainsi partie de la cotisation. Les appels de cotisations relèvent de la compétence de la Cour canadienne de l’impôt.</w:t>
      </w:r>
    </w:p>
    <w:p w:rsidR="00D52FF9" w:rsidRPr="00D52FF9" w:rsidRDefault="00D52FF9" w:rsidP="00D52FF9">
      <w:pPr>
        <w:jc w:val="both"/>
        <w:rPr>
          <w:sz w:val="20"/>
          <w:lang w:val="fr-CA"/>
        </w:rPr>
      </w:pPr>
    </w:p>
    <w:p w:rsidR="00D52FF9" w:rsidRPr="00D52FF9" w:rsidRDefault="00D52FF9" w:rsidP="00D52FF9">
      <w:pPr>
        <w:widowControl w:val="0"/>
        <w:jc w:val="both"/>
        <w:rPr>
          <w:sz w:val="20"/>
          <w:lang w:val="fr-CA"/>
        </w:rPr>
      </w:pPr>
      <w:r w:rsidRPr="00D52FF9">
        <w:rPr>
          <w:sz w:val="20"/>
          <w:lang w:val="fr-CA"/>
        </w:rPr>
        <w:t xml:space="preserve">La Cour d’appel fédérale a tiré la conclusion inverse et a accueilli l’appel de la Couronne. La décision fait partie du </w:t>
      </w:r>
      <w:r w:rsidRPr="00D52FF9">
        <w:rPr>
          <w:i/>
          <w:sz w:val="20"/>
          <w:lang w:val="fr-CA"/>
        </w:rPr>
        <w:t>processus</w:t>
      </w:r>
      <w:r w:rsidRPr="00D52FF9">
        <w:rPr>
          <w:sz w:val="20"/>
          <w:lang w:val="fr-CA"/>
        </w:rPr>
        <w:t xml:space="preserve"> de cotisation, et la Cour canadienne de l’impôt n’est habilitée qu’à instruire les appels relatifs au </w:t>
      </w:r>
      <w:r w:rsidRPr="00D52FF9">
        <w:rPr>
          <w:i/>
          <w:sz w:val="20"/>
          <w:lang w:val="fr-CA"/>
        </w:rPr>
        <w:t>résultat</w:t>
      </w:r>
      <w:r w:rsidRPr="00D52FF9">
        <w:rPr>
          <w:sz w:val="20"/>
          <w:lang w:val="fr-CA"/>
        </w:rPr>
        <w:t xml:space="preserve"> de ce processus. En outre, pour corriger une erreur dans la décision de la ministre, il faut être habilité à annuler ou à rendre une ordonnance de </w:t>
      </w:r>
      <w:r w:rsidRPr="00D52FF9">
        <w:rPr>
          <w:i/>
          <w:sz w:val="20"/>
          <w:lang w:val="fr-CA"/>
        </w:rPr>
        <w:t>mandamus</w:t>
      </w:r>
      <w:r w:rsidRPr="00D52FF9">
        <w:rPr>
          <w:sz w:val="20"/>
          <w:lang w:val="fr-CA"/>
        </w:rPr>
        <w:t>, et la Cour canadienne de l’impôt ne possède pas de tels pouvoirs.</w:t>
      </w:r>
    </w:p>
    <w:p w:rsidR="00D52FF9" w:rsidRPr="00D52FF9" w:rsidRDefault="00D52FF9" w:rsidP="00AE14EC">
      <w:pPr>
        <w:widowControl w:val="0"/>
        <w:jc w:val="both"/>
        <w:rPr>
          <w:sz w:val="20"/>
          <w:lang w:val="fr-CA"/>
        </w:rPr>
      </w:pPr>
    </w:p>
    <w:p w:rsidR="00D52FF9" w:rsidRPr="00D52FF9" w:rsidRDefault="00D52FF9" w:rsidP="00D52FF9">
      <w:pPr>
        <w:jc w:val="both"/>
        <w:rPr>
          <w:sz w:val="20"/>
          <w:lang w:val="fr-CA"/>
        </w:rPr>
      </w:pPr>
      <w:r w:rsidRPr="00D52FF9">
        <w:rPr>
          <w:sz w:val="20"/>
        </w:rPr>
        <w:pict>
          <v:rect id="_x0000_i1030" style="width:2in;height:1pt" o:hrpct="0" o:hralign="center" o:hrstd="t" o:hrnoshade="t" o:hr="t" fillcolor="black [3213]" stroked="f"/>
        </w:pict>
      </w:r>
    </w:p>
    <w:p w:rsidR="009B1DA0" w:rsidRPr="00D52FF9" w:rsidRDefault="009B1DA0" w:rsidP="00AE14EC">
      <w:pPr>
        <w:widowControl w:val="0"/>
        <w:jc w:val="both"/>
        <w:rPr>
          <w:sz w:val="20"/>
          <w:lang w:val="fr-CA"/>
        </w:rPr>
      </w:pPr>
    </w:p>
    <w:p w:rsidR="00D52FF9" w:rsidRPr="00D52FF9" w:rsidRDefault="00D52FF9" w:rsidP="00D52FF9">
      <w:pPr>
        <w:pStyle w:val="SCCLsocParty"/>
        <w:rPr>
          <w:b/>
          <w:sz w:val="20"/>
          <w:szCs w:val="20"/>
        </w:rPr>
      </w:pPr>
      <w:r w:rsidRPr="00D52FF9">
        <w:rPr>
          <w:rStyle w:val="SCCFileNumberChar"/>
          <w:i w:val="0"/>
          <w:sz w:val="20"/>
          <w:szCs w:val="20"/>
        </w:rPr>
        <w:t>40346</w:t>
      </w:r>
      <w:r w:rsidRPr="00D52FF9">
        <w:rPr>
          <w:rStyle w:val="SCCFileNumberChar"/>
          <w:i w:val="0"/>
          <w:sz w:val="20"/>
          <w:szCs w:val="20"/>
          <w:lang w:val="fr-CA"/>
        </w:rPr>
        <w:tab/>
      </w:r>
      <w:r w:rsidRPr="00D52FF9">
        <w:rPr>
          <w:b/>
          <w:sz w:val="20"/>
          <w:szCs w:val="20"/>
        </w:rPr>
        <w:t>Iris Technologies Inc. c. Procureur général du Canada</w:t>
      </w:r>
    </w:p>
    <w:p w:rsidR="00D52FF9" w:rsidRPr="00D52FF9" w:rsidRDefault="00D52FF9" w:rsidP="00D52FF9">
      <w:pPr>
        <w:ind w:left="360" w:firstLine="360"/>
        <w:jc w:val="both"/>
        <w:rPr>
          <w:sz w:val="20"/>
          <w:lang w:val="fr-CA"/>
        </w:rPr>
      </w:pPr>
      <w:r w:rsidRPr="00D52FF9">
        <w:rPr>
          <w:sz w:val="20"/>
          <w:lang w:val="fr-CA"/>
        </w:rPr>
        <w:t>(Féd.) (Civile) (Sur autorisation)</w:t>
      </w:r>
    </w:p>
    <w:p w:rsidR="00D52FF9" w:rsidRPr="00D52FF9" w:rsidRDefault="00D52FF9" w:rsidP="00AE14EC">
      <w:pPr>
        <w:widowControl w:val="0"/>
        <w:jc w:val="both"/>
        <w:rPr>
          <w:sz w:val="20"/>
          <w:lang w:val="fr-CA"/>
        </w:rPr>
      </w:pPr>
    </w:p>
    <w:p w:rsidR="00D52FF9" w:rsidRPr="00D52FF9" w:rsidRDefault="00D52FF9" w:rsidP="00AE14EC">
      <w:pPr>
        <w:widowControl w:val="0"/>
        <w:jc w:val="both"/>
        <w:rPr>
          <w:sz w:val="20"/>
          <w:lang w:val="fr-CA"/>
        </w:rPr>
      </w:pPr>
      <w:r w:rsidRPr="00D52FF9">
        <w:rPr>
          <w:sz w:val="20"/>
          <w:lang w:val="fr-CA"/>
        </w:rPr>
        <w:t xml:space="preserve">Droit administratif — Contrôle judiciaire — Compétence de la Cour fédérale — Établissement par le ministre du Revenu national d’une cotisation à l’égard d’une contribuable — Contribuable réclamant un contrôle judiciaire et sollicitant un jugement déclaratoire selon lequel on lui a refusé l’équité procédurale, aucune preuve ne permettait d’établir une cotisation, et des cotisations ont été établies pour un motif illégitime </w:t>
      </w:r>
      <w:r w:rsidRPr="00D52FF9">
        <w:rPr>
          <w:color w:val="000000"/>
          <w:sz w:val="20"/>
          <w:lang w:val="fr-CA"/>
        </w:rPr>
        <w:t xml:space="preserve">— La Cour fédérale a-t-elle le pouvoir et la compétence de contrôler la conduite du ministre du Revenu national? — Si la compétence pour contrôler la conduite du ministre peut uniquement être exercée dans le cadre de la détermination du bien-fondé de la cotisation établie pour l’impôt devant la Cour canadienne de l’impôt, qui assume la supervision du ministre? </w:t>
      </w:r>
      <w:r w:rsidRPr="00D52FF9">
        <w:rPr>
          <w:sz w:val="20"/>
          <w:lang w:val="fr-CA"/>
        </w:rPr>
        <w:t xml:space="preserve"> </w:t>
      </w:r>
    </w:p>
    <w:p w:rsidR="00D52FF9" w:rsidRPr="00D52FF9" w:rsidRDefault="00D52FF9" w:rsidP="00AE14EC">
      <w:pPr>
        <w:widowControl w:val="0"/>
        <w:jc w:val="both"/>
        <w:rPr>
          <w:sz w:val="20"/>
          <w:lang w:val="fr-CA"/>
        </w:rPr>
      </w:pPr>
    </w:p>
    <w:p w:rsidR="00D52FF9" w:rsidRPr="00D52FF9" w:rsidRDefault="00D52FF9" w:rsidP="00AE14EC">
      <w:pPr>
        <w:widowControl w:val="0"/>
        <w:jc w:val="both"/>
        <w:rPr>
          <w:sz w:val="20"/>
          <w:lang w:val="fr-CA"/>
        </w:rPr>
      </w:pPr>
      <w:r w:rsidRPr="00D52FF9">
        <w:rPr>
          <w:sz w:val="20"/>
          <w:lang w:val="fr-CA"/>
        </w:rPr>
        <w:t>L’Agence du revenu du Canada a réalisé une vérification des déclarations mensuelles de TPS</w:t>
      </w:r>
      <w:r w:rsidRPr="00D52FF9">
        <w:rPr>
          <w:color w:val="000000"/>
          <w:sz w:val="20"/>
          <w:lang w:val="fr-CA"/>
        </w:rPr>
        <w:t xml:space="preserve">/TVH faites par </w:t>
      </w:r>
      <w:r w:rsidRPr="00D52FF9">
        <w:rPr>
          <w:sz w:val="20"/>
          <w:lang w:val="fr-CA"/>
        </w:rPr>
        <w:t>Iris Technologies Inc. Deux jours plus tard, elle a amorcé une deuxième vérification de certaines périodes de déclaration</w:t>
      </w:r>
      <w:r w:rsidRPr="00D52FF9">
        <w:rPr>
          <w:color w:val="000000"/>
          <w:sz w:val="20"/>
          <w:lang w:val="fr-CA"/>
        </w:rPr>
        <w:t xml:space="preserve">. Le ministre du Revenu national a retenu des remboursements de TPS/TVH pour les périodes de déclaration examinées, et a refusé les demandes présentées par Iris Technologies Inc. pour que ces fonds soient débloqués. Iris Technologies Inc. a demandé un contrôle judiciaire en vue de faire contraindre le déblocage des remboursements et d’obtenir un jugement déclaratoire portant qu’on lui a refusé l’équité procédurale, que le ministre n’a pas respecté la politique relativement à l’application de la </w:t>
      </w:r>
      <w:r w:rsidRPr="00D52FF9">
        <w:rPr>
          <w:i/>
          <w:color w:val="000000"/>
          <w:sz w:val="20"/>
          <w:lang w:val="fr-CA"/>
        </w:rPr>
        <w:t>Loi sur la taxe d’accise</w:t>
      </w:r>
      <w:r w:rsidRPr="00D52FF9">
        <w:rPr>
          <w:color w:val="000000"/>
          <w:sz w:val="20"/>
          <w:lang w:val="fr-CA"/>
        </w:rPr>
        <w:t xml:space="preserve">, L.R.C. 1985, c. E-15, qu’aucune preuve ne permettait d’établir une cotisation, et que les cotisations avaient été établies pour un motif illégitime. Le ministre du Revenu national a établi des cotisations et de nouvelles cotisations pour les périodes de déclaration, et il a imposé des pénalités et intérêts, </w:t>
      </w:r>
      <w:r w:rsidRPr="00D52FF9">
        <w:rPr>
          <w:sz w:val="20"/>
          <w:lang w:val="fr-CA"/>
        </w:rPr>
        <w:t>ce qui a eu pour résultat qu’</w:t>
      </w:r>
      <w:r w:rsidRPr="00D52FF9">
        <w:rPr>
          <w:color w:val="000000"/>
          <w:sz w:val="20"/>
          <w:lang w:val="fr-CA"/>
        </w:rPr>
        <w:t xml:space="preserve">Iris Technologies Inc. devait 52 191 893,01 $. Le procureur général a déposé une requête en rejet de la demande de contrôle judiciaire présentée par Iris Technologies Inc. La juge chargé de la gestion de l’instance a rejeté la requête. </w:t>
      </w:r>
      <w:r w:rsidRPr="00D52FF9">
        <w:rPr>
          <w:sz w:val="20"/>
          <w:lang w:val="fr-CA"/>
        </w:rPr>
        <w:t xml:space="preserve">La Cour fédérale a rejeté l’appel. </w:t>
      </w:r>
      <w:r w:rsidRPr="00D52FF9">
        <w:rPr>
          <w:color w:val="000000"/>
          <w:sz w:val="20"/>
          <w:lang w:val="fr-CA"/>
        </w:rPr>
        <w:t>La Cour d’appel fédérale a accueilli l’appel et a rejeté la demande de contrôle judiciaire d’Iris Technologies Inc.</w:t>
      </w:r>
    </w:p>
    <w:p w:rsidR="00046AF2" w:rsidRPr="00D52FF9" w:rsidRDefault="00046AF2" w:rsidP="003B3C19">
      <w:pPr>
        <w:widowControl w:val="0"/>
        <w:jc w:val="both"/>
        <w:rPr>
          <w:sz w:val="20"/>
          <w:lang w:val="fr-CA"/>
        </w:rPr>
      </w:pPr>
    </w:p>
    <w:p w:rsidR="00EF4622" w:rsidRPr="00D52FF9" w:rsidRDefault="00540FB6" w:rsidP="00CD14BB">
      <w:pPr>
        <w:pStyle w:val="aparanumbering1"/>
        <w:shd w:val="clear" w:color="auto" w:fill="FFFFFF"/>
        <w:spacing w:before="0" w:after="0"/>
        <w:ind w:left="0"/>
        <w:rPr>
          <w:rFonts w:ascii="Times New Roman" w:hAnsi="Times New Roman" w:cs="Times New Roman"/>
          <w:sz w:val="20"/>
          <w:szCs w:val="20"/>
          <w:lang w:val="fr-CA"/>
        </w:rPr>
      </w:pPr>
      <w:r w:rsidRPr="00D52FF9">
        <w:rPr>
          <w:sz w:val="20"/>
        </w:rPr>
        <w:pict>
          <v:rect id="_x0000_i1026" style="width:2in;height:1pt" o:hrpct="0" o:hralign="center" o:hrstd="t" o:hrnoshade="t" o:hr="t" fillcolor="black [3213]" stroked="f"/>
        </w:pict>
      </w:r>
    </w:p>
    <w:p w:rsidR="00E92006" w:rsidRPr="00D52FF9" w:rsidRDefault="00E92006" w:rsidP="00340C6D">
      <w:pPr>
        <w:jc w:val="both"/>
        <w:rPr>
          <w:sz w:val="20"/>
          <w:lang w:val="fr-CA"/>
        </w:rPr>
      </w:pPr>
    </w:p>
    <w:p w:rsidR="00E92006" w:rsidRPr="00D52FF9" w:rsidRDefault="00E92006" w:rsidP="00340C6D">
      <w:pPr>
        <w:jc w:val="both"/>
        <w:rPr>
          <w:sz w:val="20"/>
          <w:lang w:val="fr-CA"/>
        </w:rPr>
      </w:pPr>
    </w:p>
    <w:p w:rsidR="00072A63" w:rsidRPr="00D52FF9" w:rsidRDefault="00072A63" w:rsidP="00EC79B0">
      <w:pPr>
        <w:jc w:val="both"/>
        <w:rPr>
          <w:sz w:val="20"/>
          <w:lang w:val="fr-CA"/>
        </w:rPr>
      </w:pPr>
    </w:p>
    <w:p w:rsidR="001C4415" w:rsidRPr="00D52FF9" w:rsidRDefault="001C4415" w:rsidP="001C4415">
      <w:pPr>
        <w:widowControl w:val="0"/>
        <w:outlineLvl w:val="0"/>
      </w:pPr>
      <w:r w:rsidRPr="00D52FF9">
        <w:t xml:space="preserve">Supreme Court of Canada / Cour suprême du </w:t>
      </w:r>
      <w:proofErr w:type="gramStart"/>
      <w:r w:rsidRPr="00D52FF9">
        <w:t>Canada :</w:t>
      </w:r>
      <w:proofErr w:type="gramEnd"/>
      <w:r w:rsidRPr="00D52FF9">
        <w:t xml:space="preserve"> </w:t>
      </w:r>
    </w:p>
    <w:p w:rsidR="004F410B" w:rsidRPr="00D52FF9" w:rsidRDefault="00540FB6" w:rsidP="004F410B">
      <w:pPr>
        <w:widowControl w:val="0"/>
        <w:outlineLvl w:val="0"/>
      </w:pPr>
      <w:hyperlink r:id="rId11" w:history="1">
        <w:r w:rsidR="004F410B" w:rsidRPr="00D52FF9">
          <w:rPr>
            <w:rStyle w:val="Hyperlink"/>
          </w:rPr>
          <w:t>Registry-greffe@scc-csc.ca</w:t>
        </w:r>
      </w:hyperlink>
    </w:p>
    <w:p w:rsidR="001C4415" w:rsidRDefault="004F410B" w:rsidP="004F410B">
      <w:pPr>
        <w:widowControl w:val="0"/>
        <w:outlineLvl w:val="0"/>
      </w:pPr>
      <w:r w:rsidRPr="00D52FF9">
        <w:t>1-844-365-9662</w:t>
      </w:r>
    </w:p>
    <w:p w:rsidR="0049454A" w:rsidRDefault="0049454A" w:rsidP="004F410B">
      <w:pPr>
        <w:widowControl w:val="0"/>
        <w:outlineLvl w:val="0"/>
      </w:pPr>
    </w:p>
    <w:p w:rsidR="0049454A" w:rsidRPr="00614699" w:rsidRDefault="0049454A" w:rsidP="004F410B">
      <w:pPr>
        <w:widowControl w:val="0"/>
        <w:outlineLvl w:val="0"/>
      </w:pPr>
    </w:p>
    <w:sectPr w:rsidR="0049454A" w:rsidRPr="00614699" w:rsidSect="00D362A2">
      <w:headerReference w:type="even" r:id="rId12"/>
      <w:headerReference w:type="default" r:id="rId13"/>
      <w:footerReference w:type="even" r:id="rId14"/>
      <w:footerReference w:type="default" r:id="rId15"/>
      <w:headerReference w:type="first" r:id="rId16"/>
      <w:footerReference w:type="first" r:id="rId17"/>
      <w:pgSz w:w="12240" w:h="15840"/>
      <w:pgMar w:top="900" w:right="1440" w:bottom="806" w:left="1440" w:header="1080" w:footer="5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CAD" w:rsidRDefault="00FF3CAD">
      <w:r>
        <w:separator/>
      </w:r>
    </w:p>
  </w:endnote>
  <w:endnote w:type="continuationSeparator" w:id="0">
    <w:p w:rsidR="00FF3CAD" w:rsidRDefault="00FF3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spacing w:line="0" w:lineRule="atLea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CAD" w:rsidRDefault="00FF3CAD">
      <w:r>
        <w:separator/>
      </w:r>
    </w:p>
  </w:footnote>
  <w:footnote w:type="continuationSeparator" w:id="0">
    <w:p w:rsidR="00FF3CAD" w:rsidRDefault="00FF3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3274A"/>
    <w:multiLevelType w:val="hybridMultilevel"/>
    <w:tmpl w:val="EF6A5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825C16"/>
    <w:multiLevelType w:val="hybridMultilevel"/>
    <w:tmpl w:val="0D664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4E6CDB"/>
    <w:multiLevelType w:val="hybridMultilevel"/>
    <w:tmpl w:val="C3006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proofState w:spelling="clean" w:grammar="clean"/>
  <w:defaultTabStop w:val="36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82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86C"/>
    <w:rsid w:val="000015B6"/>
    <w:rsid w:val="00003CBA"/>
    <w:rsid w:val="000100BA"/>
    <w:rsid w:val="00010D78"/>
    <w:rsid w:val="0001212E"/>
    <w:rsid w:val="0001605B"/>
    <w:rsid w:val="0001634B"/>
    <w:rsid w:val="0002161B"/>
    <w:rsid w:val="00021901"/>
    <w:rsid w:val="0003356F"/>
    <w:rsid w:val="000347C1"/>
    <w:rsid w:val="00035555"/>
    <w:rsid w:val="00035B99"/>
    <w:rsid w:val="0003611D"/>
    <w:rsid w:val="0003620E"/>
    <w:rsid w:val="00036BD1"/>
    <w:rsid w:val="00037405"/>
    <w:rsid w:val="00041E3A"/>
    <w:rsid w:val="00042B21"/>
    <w:rsid w:val="000446D3"/>
    <w:rsid w:val="000454BF"/>
    <w:rsid w:val="00046AF2"/>
    <w:rsid w:val="00047EB5"/>
    <w:rsid w:val="00053111"/>
    <w:rsid w:val="00060140"/>
    <w:rsid w:val="00060B39"/>
    <w:rsid w:val="00061A14"/>
    <w:rsid w:val="00072A63"/>
    <w:rsid w:val="0008116D"/>
    <w:rsid w:val="000855FD"/>
    <w:rsid w:val="00087122"/>
    <w:rsid w:val="0009615F"/>
    <w:rsid w:val="00097C3C"/>
    <w:rsid w:val="000A03A4"/>
    <w:rsid w:val="000A063C"/>
    <w:rsid w:val="000A0834"/>
    <w:rsid w:val="000A21DA"/>
    <w:rsid w:val="000A30BB"/>
    <w:rsid w:val="000A33B2"/>
    <w:rsid w:val="000A401F"/>
    <w:rsid w:val="000A7900"/>
    <w:rsid w:val="000B0E38"/>
    <w:rsid w:val="000B216A"/>
    <w:rsid w:val="000B6CE0"/>
    <w:rsid w:val="000C1225"/>
    <w:rsid w:val="000C466B"/>
    <w:rsid w:val="000C7C9D"/>
    <w:rsid w:val="000D25C5"/>
    <w:rsid w:val="000D4096"/>
    <w:rsid w:val="000D413D"/>
    <w:rsid w:val="000D682D"/>
    <w:rsid w:val="000E1ABF"/>
    <w:rsid w:val="000E1FA5"/>
    <w:rsid w:val="000E33A8"/>
    <w:rsid w:val="000E457A"/>
    <w:rsid w:val="000E5C1F"/>
    <w:rsid w:val="000F2225"/>
    <w:rsid w:val="000F2F73"/>
    <w:rsid w:val="000F5730"/>
    <w:rsid w:val="000F7714"/>
    <w:rsid w:val="001002A7"/>
    <w:rsid w:val="00101539"/>
    <w:rsid w:val="0010171C"/>
    <w:rsid w:val="00103400"/>
    <w:rsid w:val="00105085"/>
    <w:rsid w:val="001065AF"/>
    <w:rsid w:val="00114B52"/>
    <w:rsid w:val="00114D6F"/>
    <w:rsid w:val="00116CE5"/>
    <w:rsid w:val="001170D1"/>
    <w:rsid w:val="00121D32"/>
    <w:rsid w:val="0012524B"/>
    <w:rsid w:val="0012635E"/>
    <w:rsid w:val="00127E76"/>
    <w:rsid w:val="001305E1"/>
    <w:rsid w:val="00131418"/>
    <w:rsid w:val="001335A1"/>
    <w:rsid w:val="001364D9"/>
    <w:rsid w:val="0013792F"/>
    <w:rsid w:val="00141A4B"/>
    <w:rsid w:val="001439C6"/>
    <w:rsid w:val="00143A58"/>
    <w:rsid w:val="001448DF"/>
    <w:rsid w:val="00145925"/>
    <w:rsid w:val="001476BD"/>
    <w:rsid w:val="00150BC6"/>
    <w:rsid w:val="00152C42"/>
    <w:rsid w:val="001563FF"/>
    <w:rsid w:val="00163F70"/>
    <w:rsid w:val="001642A1"/>
    <w:rsid w:val="00165E2A"/>
    <w:rsid w:val="00167E17"/>
    <w:rsid w:val="001710E4"/>
    <w:rsid w:val="001714EA"/>
    <w:rsid w:val="00172FC0"/>
    <w:rsid w:val="0017395A"/>
    <w:rsid w:val="00175566"/>
    <w:rsid w:val="00177C9B"/>
    <w:rsid w:val="001801D4"/>
    <w:rsid w:val="0018124A"/>
    <w:rsid w:val="001826CD"/>
    <w:rsid w:val="00191CA9"/>
    <w:rsid w:val="00191F98"/>
    <w:rsid w:val="00193030"/>
    <w:rsid w:val="001936BC"/>
    <w:rsid w:val="001937B6"/>
    <w:rsid w:val="00194B53"/>
    <w:rsid w:val="001A1632"/>
    <w:rsid w:val="001A24F4"/>
    <w:rsid w:val="001A29BA"/>
    <w:rsid w:val="001A4A73"/>
    <w:rsid w:val="001B092D"/>
    <w:rsid w:val="001B0D7E"/>
    <w:rsid w:val="001B104F"/>
    <w:rsid w:val="001B4934"/>
    <w:rsid w:val="001B599A"/>
    <w:rsid w:val="001B71AA"/>
    <w:rsid w:val="001C0462"/>
    <w:rsid w:val="001C149E"/>
    <w:rsid w:val="001C3E08"/>
    <w:rsid w:val="001C4415"/>
    <w:rsid w:val="001C6FEC"/>
    <w:rsid w:val="001D75ED"/>
    <w:rsid w:val="001E4A60"/>
    <w:rsid w:val="001E5E23"/>
    <w:rsid w:val="001E70CD"/>
    <w:rsid w:val="001F1643"/>
    <w:rsid w:val="001F1B2F"/>
    <w:rsid w:val="001F27D7"/>
    <w:rsid w:val="001F332E"/>
    <w:rsid w:val="001F37AC"/>
    <w:rsid w:val="001F57C9"/>
    <w:rsid w:val="001F5973"/>
    <w:rsid w:val="001F76DD"/>
    <w:rsid w:val="001F7F62"/>
    <w:rsid w:val="002029F5"/>
    <w:rsid w:val="00204BED"/>
    <w:rsid w:val="00205278"/>
    <w:rsid w:val="00207BC4"/>
    <w:rsid w:val="00211F62"/>
    <w:rsid w:val="00214729"/>
    <w:rsid w:val="002160B0"/>
    <w:rsid w:val="00221703"/>
    <w:rsid w:val="002257CF"/>
    <w:rsid w:val="00226AE8"/>
    <w:rsid w:val="002274CC"/>
    <w:rsid w:val="00234845"/>
    <w:rsid w:val="00234B46"/>
    <w:rsid w:val="0023600D"/>
    <w:rsid w:val="002404C4"/>
    <w:rsid w:val="00240881"/>
    <w:rsid w:val="00241C35"/>
    <w:rsid w:val="00241F69"/>
    <w:rsid w:val="00242EC8"/>
    <w:rsid w:val="00243B49"/>
    <w:rsid w:val="00244461"/>
    <w:rsid w:val="00244D04"/>
    <w:rsid w:val="00245FBD"/>
    <w:rsid w:val="0024634F"/>
    <w:rsid w:val="002506ED"/>
    <w:rsid w:val="002511EB"/>
    <w:rsid w:val="00251D1B"/>
    <w:rsid w:val="00252555"/>
    <w:rsid w:val="0025265E"/>
    <w:rsid w:val="00253698"/>
    <w:rsid w:val="0025452B"/>
    <w:rsid w:val="00254D6F"/>
    <w:rsid w:val="002617BB"/>
    <w:rsid w:val="0026289A"/>
    <w:rsid w:val="00262BC7"/>
    <w:rsid w:val="0026466A"/>
    <w:rsid w:val="00264AA1"/>
    <w:rsid w:val="002667BA"/>
    <w:rsid w:val="002667ED"/>
    <w:rsid w:val="00266A8B"/>
    <w:rsid w:val="002723AE"/>
    <w:rsid w:val="00272EAB"/>
    <w:rsid w:val="002768F6"/>
    <w:rsid w:val="00282563"/>
    <w:rsid w:val="002848B1"/>
    <w:rsid w:val="0028630C"/>
    <w:rsid w:val="00287B6E"/>
    <w:rsid w:val="00290E05"/>
    <w:rsid w:val="00290F21"/>
    <w:rsid w:val="002915B5"/>
    <w:rsid w:val="00291F84"/>
    <w:rsid w:val="00296694"/>
    <w:rsid w:val="00297E1D"/>
    <w:rsid w:val="002A192B"/>
    <w:rsid w:val="002A1A63"/>
    <w:rsid w:val="002A23AD"/>
    <w:rsid w:val="002A2F5A"/>
    <w:rsid w:val="002A3DD8"/>
    <w:rsid w:val="002A4252"/>
    <w:rsid w:val="002A44BE"/>
    <w:rsid w:val="002A5496"/>
    <w:rsid w:val="002A6BD5"/>
    <w:rsid w:val="002A7752"/>
    <w:rsid w:val="002B06A9"/>
    <w:rsid w:val="002B23EF"/>
    <w:rsid w:val="002B4A1D"/>
    <w:rsid w:val="002B4D23"/>
    <w:rsid w:val="002B4F4E"/>
    <w:rsid w:val="002C177C"/>
    <w:rsid w:val="002C23CB"/>
    <w:rsid w:val="002C55FE"/>
    <w:rsid w:val="002C5CA9"/>
    <w:rsid w:val="002C5FAF"/>
    <w:rsid w:val="002D62BE"/>
    <w:rsid w:val="002D631B"/>
    <w:rsid w:val="002D6424"/>
    <w:rsid w:val="002D6539"/>
    <w:rsid w:val="002D68ED"/>
    <w:rsid w:val="002E3F05"/>
    <w:rsid w:val="002E5644"/>
    <w:rsid w:val="002F28E0"/>
    <w:rsid w:val="002F2E89"/>
    <w:rsid w:val="002F4212"/>
    <w:rsid w:val="003023B2"/>
    <w:rsid w:val="003054B8"/>
    <w:rsid w:val="003078A0"/>
    <w:rsid w:val="003112E4"/>
    <w:rsid w:val="00311F53"/>
    <w:rsid w:val="00317C58"/>
    <w:rsid w:val="00321B31"/>
    <w:rsid w:val="00324B83"/>
    <w:rsid w:val="003255C3"/>
    <w:rsid w:val="00334A90"/>
    <w:rsid w:val="00334E40"/>
    <w:rsid w:val="00336089"/>
    <w:rsid w:val="00336F85"/>
    <w:rsid w:val="00337D5F"/>
    <w:rsid w:val="00340C6D"/>
    <w:rsid w:val="00342E2A"/>
    <w:rsid w:val="00342E49"/>
    <w:rsid w:val="00346B6F"/>
    <w:rsid w:val="00346F0D"/>
    <w:rsid w:val="00350C6A"/>
    <w:rsid w:val="00350CE0"/>
    <w:rsid w:val="00352B94"/>
    <w:rsid w:val="00353AB0"/>
    <w:rsid w:val="00356312"/>
    <w:rsid w:val="00357919"/>
    <w:rsid w:val="00362484"/>
    <w:rsid w:val="0036476C"/>
    <w:rsid w:val="00365867"/>
    <w:rsid w:val="0037261F"/>
    <w:rsid w:val="00374148"/>
    <w:rsid w:val="0037569E"/>
    <w:rsid w:val="00380399"/>
    <w:rsid w:val="00380CC3"/>
    <w:rsid w:val="003835A6"/>
    <w:rsid w:val="00387EA2"/>
    <w:rsid w:val="00390E39"/>
    <w:rsid w:val="0039248C"/>
    <w:rsid w:val="003932EE"/>
    <w:rsid w:val="00393419"/>
    <w:rsid w:val="003936B9"/>
    <w:rsid w:val="003959D2"/>
    <w:rsid w:val="0039607F"/>
    <w:rsid w:val="003A1FB4"/>
    <w:rsid w:val="003A2267"/>
    <w:rsid w:val="003B038F"/>
    <w:rsid w:val="003B10C6"/>
    <w:rsid w:val="003B3AD5"/>
    <w:rsid w:val="003B3C19"/>
    <w:rsid w:val="003B4E7E"/>
    <w:rsid w:val="003B6ECB"/>
    <w:rsid w:val="003C1B6E"/>
    <w:rsid w:val="003C381F"/>
    <w:rsid w:val="003C50BF"/>
    <w:rsid w:val="003D4D2A"/>
    <w:rsid w:val="003D6292"/>
    <w:rsid w:val="003D74E7"/>
    <w:rsid w:val="003E0326"/>
    <w:rsid w:val="003E101F"/>
    <w:rsid w:val="003E1BBF"/>
    <w:rsid w:val="003E21D8"/>
    <w:rsid w:val="003E222C"/>
    <w:rsid w:val="003E31F8"/>
    <w:rsid w:val="003E5C8D"/>
    <w:rsid w:val="003F127B"/>
    <w:rsid w:val="003F2710"/>
    <w:rsid w:val="003F7920"/>
    <w:rsid w:val="004005FE"/>
    <w:rsid w:val="004016BB"/>
    <w:rsid w:val="004019D4"/>
    <w:rsid w:val="0040345E"/>
    <w:rsid w:val="00405F0F"/>
    <w:rsid w:val="004066AC"/>
    <w:rsid w:val="00406D7D"/>
    <w:rsid w:val="004102D0"/>
    <w:rsid w:val="004115B2"/>
    <w:rsid w:val="0041533E"/>
    <w:rsid w:val="0042151F"/>
    <w:rsid w:val="00421CC7"/>
    <w:rsid w:val="00422676"/>
    <w:rsid w:val="0042330C"/>
    <w:rsid w:val="00423876"/>
    <w:rsid w:val="0042442F"/>
    <w:rsid w:val="00424E50"/>
    <w:rsid w:val="00425FF3"/>
    <w:rsid w:val="00426675"/>
    <w:rsid w:val="00426798"/>
    <w:rsid w:val="00426F87"/>
    <w:rsid w:val="00427239"/>
    <w:rsid w:val="004324FD"/>
    <w:rsid w:val="00432DE1"/>
    <w:rsid w:val="0043341E"/>
    <w:rsid w:val="00433466"/>
    <w:rsid w:val="00442F1A"/>
    <w:rsid w:val="0045070D"/>
    <w:rsid w:val="00452E96"/>
    <w:rsid w:val="0045409A"/>
    <w:rsid w:val="00455BB9"/>
    <w:rsid w:val="00460580"/>
    <w:rsid w:val="00464E71"/>
    <w:rsid w:val="0046531B"/>
    <w:rsid w:val="00467AE4"/>
    <w:rsid w:val="00475644"/>
    <w:rsid w:val="0047787E"/>
    <w:rsid w:val="004824D8"/>
    <w:rsid w:val="00486701"/>
    <w:rsid w:val="0048671C"/>
    <w:rsid w:val="0048741E"/>
    <w:rsid w:val="004874F7"/>
    <w:rsid w:val="00487DE3"/>
    <w:rsid w:val="00491284"/>
    <w:rsid w:val="004927D1"/>
    <w:rsid w:val="0049454A"/>
    <w:rsid w:val="004A017B"/>
    <w:rsid w:val="004A10B5"/>
    <w:rsid w:val="004A2228"/>
    <w:rsid w:val="004A40E1"/>
    <w:rsid w:val="004A4570"/>
    <w:rsid w:val="004A56AC"/>
    <w:rsid w:val="004A6F06"/>
    <w:rsid w:val="004B22B5"/>
    <w:rsid w:val="004B4821"/>
    <w:rsid w:val="004B6E20"/>
    <w:rsid w:val="004B6F3A"/>
    <w:rsid w:val="004C070B"/>
    <w:rsid w:val="004D033B"/>
    <w:rsid w:val="004D2539"/>
    <w:rsid w:val="004D4322"/>
    <w:rsid w:val="004D465A"/>
    <w:rsid w:val="004D488A"/>
    <w:rsid w:val="004D7A9D"/>
    <w:rsid w:val="004E4B79"/>
    <w:rsid w:val="004E5455"/>
    <w:rsid w:val="004E605A"/>
    <w:rsid w:val="004E7227"/>
    <w:rsid w:val="004F0A44"/>
    <w:rsid w:val="004F215A"/>
    <w:rsid w:val="004F22F6"/>
    <w:rsid w:val="004F273B"/>
    <w:rsid w:val="004F3FB9"/>
    <w:rsid w:val="004F410B"/>
    <w:rsid w:val="004F76A1"/>
    <w:rsid w:val="00504582"/>
    <w:rsid w:val="00506DD4"/>
    <w:rsid w:val="00512FB2"/>
    <w:rsid w:val="0051320D"/>
    <w:rsid w:val="005132EC"/>
    <w:rsid w:val="00517F18"/>
    <w:rsid w:val="00520525"/>
    <w:rsid w:val="00520A3C"/>
    <w:rsid w:val="00525362"/>
    <w:rsid w:val="00525B8E"/>
    <w:rsid w:val="005271AD"/>
    <w:rsid w:val="00531567"/>
    <w:rsid w:val="00534E1E"/>
    <w:rsid w:val="00537187"/>
    <w:rsid w:val="005400BA"/>
    <w:rsid w:val="00540FB6"/>
    <w:rsid w:val="00542361"/>
    <w:rsid w:val="0054302E"/>
    <w:rsid w:val="0054378D"/>
    <w:rsid w:val="005441B9"/>
    <w:rsid w:val="00545B3E"/>
    <w:rsid w:val="005463D9"/>
    <w:rsid w:val="005511F1"/>
    <w:rsid w:val="00552278"/>
    <w:rsid w:val="005528B6"/>
    <w:rsid w:val="0055520C"/>
    <w:rsid w:val="00560D32"/>
    <w:rsid w:val="005631B8"/>
    <w:rsid w:val="00563EF8"/>
    <w:rsid w:val="005671BC"/>
    <w:rsid w:val="005717F4"/>
    <w:rsid w:val="00572E24"/>
    <w:rsid w:val="00575FA2"/>
    <w:rsid w:val="0057727D"/>
    <w:rsid w:val="00580897"/>
    <w:rsid w:val="00580EBF"/>
    <w:rsid w:val="005831CF"/>
    <w:rsid w:val="00591F70"/>
    <w:rsid w:val="00592185"/>
    <w:rsid w:val="005932DF"/>
    <w:rsid w:val="00595150"/>
    <w:rsid w:val="00595922"/>
    <w:rsid w:val="005A0FB1"/>
    <w:rsid w:val="005A5B16"/>
    <w:rsid w:val="005A5D20"/>
    <w:rsid w:val="005A7C1B"/>
    <w:rsid w:val="005B10FA"/>
    <w:rsid w:val="005B11A1"/>
    <w:rsid w:val="005B4F58"/>
    <w:rsid w:val="005B7E1A"/>
    <w:rsid w:val="005C152C"/>
    <w:rsid w:val="005C258D"/>
    <w:rsid w:val="005C2979"/>
    <w:rsid w:val="005C3F3D"/>
    <w:rsid w:val="005C571B"/>
    <w:rsid w:val="005C7767"/>
    <w:rsid w:val="005C7A4F"/>
    <w:rsid w:val="005D1FAA"/>
    <w:rsid w:val="005D4151"/>
    <w:rsid w:val="005E1617"/>
    <w:rsid w:val="005E1FA2"/>
    <w:rsid w:val="005E263A"/>
    <w:rsid w:val="005E3E02"/>
    <w:rsid w:val="005E696E"/>
    <w:rsid w:val="005E74B7"/>
    <w:rsid w:val="005F3B17"/>
    <w:rsid w:val="005F6821"/>
    <w:rsid w:val="005F6E1A"/>
    <w:rsid w:val="006004E2"/>
    <w:rsid w:val="00600C43"/>
    <w:rsid w:val="006144E7"/>
    <w:rsid w:val="00614699"/>
    <w:rsid w:val="00615DA3"/>
    <w:rsid w:val="00616C60"/>
    <w:rsid w:val="00616DAE"/>
    <w:rsid w:val="006219EE"/>
    <w:rsid w:val="00622F54"/>
    <w:rsid w:val="006256B4"/>
    <w:rsid w:val="006268A3"/>
    <w:rsid w:val="006269C3"/>
    <w:rsid w:val="006306BF"/>
    <w:rsid w:val="0063116A"/>
    <w:rsid w:val="0063254B"/>
    <w:rsid w:val="00632844"/>
    <w:rsid w:val="006334F5"/>
    <w:rsid w:val="006363F6"/>
    <w:rsid w:val="0063679E"/>
    <w:rsid w:val="0063766F"/>
    <w:rsid w:val="00640A4E"/>
    <w:rsid w:val="006413E6"/>
    <w:rsid w:val="006429EF"/>
    <w:rsid w:val="00650518"/>
    <w:rsid w:val="00651F3A"/>
    <w:rsid w:val="006630E5"/>
    <w:rsid w:val="00664993"/>
    <w:rsid w:val="00666E0D"/>
    <w:rsid w:val="0067017D"/>
    <w:rsid w:val="00676709"/>
    <w:rsid w:val="00680968"/>
    <w:rsid w:val="00682A71"/>
    <w:rsid w:val="00685A30"/>
    <w:rsid w:val="006861E2"/>
    <w:rsid w:val="006942C4"/>
    <w:rsid w:val="006A3523"/>
    <w:rsid w:val="006A58E0"/>
    <w:rsid w:val="006A6C0C"/>
    <w:rsid w:val="006B4B4E"/>
    <w:rsid w:val="006B5529"/>
    <w:rsid w:val="006C4A8F"/>
    <w:rsid w:val="006C5AA6"/>
    <w:rsid w:val="006C7633"/>
    <w:rsid w:val="006D2CD6"/>
    <w:rsid w:val="006D2DF8"/>
    <w:rsid w:val="006D69C4"/>
    <w:rsid w:val="006E0932"/>
    <w:rsid w:val="006E1781"/>
    <w:rsid w:val="006E3A6A"/>
    <w:rsid w:val="006E416A"/>
    <w:rsid w:val="006E5414"/>
    <w:rsid w:val="006E6156"/>
    <w:rsid w:val="006E741D"/>
    <w:rsid w:val="006E7CC3"/>
    <w:rsid w:val="006E7FD1"/>
    <w:rsid w:val="006F1899"/>
    <w:rsid w:val="006F1A6D"/>
    <w:rsid w:val="006F202E"/>
    <w:rsid w:val="006F3B04"/>
    <w:rsid w:val="006F636B"/>
    <w:rsid w:val="006F73CC"/>
    <w:rsid w:val="006F7FC8"/>
    <w:rsid w:val="007009F9"/>
    <w:rsid w:val="00700C57"/>
    <w:rsid w:val="0070294E"/>
    <w:rsid w:val="00711DBC"/>
    <w:rsid w:val="0071224C"/>
    <w:rsid w:val="00712C80"/>
    <w:rsid w:val="0071392B"/>
    <w:rsid w:val="00716381"/>
    <w:rsid w:val="00717966"/>
    <w:rsid w:val="00724953"/>
    <w:rsid w:val="00724998"/>
    <w:rsid w:val="00727681"/>
    <w:rsid w:val="00731F00"/>
    <w:rsid w:val="00732616"/>
    <w:rsid w:val="00732764"/>
    <w:rsid w:val="00735BE0"/>
    <w:rsid w:val="00736325"/>
    <w:rsid w:val="007364BD"/>
    <w:rsid w:val="007418AB"/>
    <w:rsid w:val="00743AB2"/>
    <w:rsid w:val="00743CD0"/>
    <w:rsid w:val="007464AD"/>
    <w:rsid w:val="007505FE"/>
    <w:rsid w:val="00753E0D"/>
    <w:rsid w:val="00753FDD"/>
    <w:rsid w:val="00755A54"/>
    <w:rsid w:val="00762239"/>
    <w:rsid w:val="007635FA"/>
    <w:rsid w:val="0076366F"/>
    <w:rsid w:val="00765C27"/>
    <w:rsid w:val="00767B87"/>
    <w:rsid w:val="00772636"/>
    <w:rsid w:val="00777C18"/>
    <w:rsid w:val="007805CD"/>
    <w:rsid w:val="0078068B"/>
    <w:rsid w:val="00780B16"/>
    <w:rsid w:val="0078318A"/>
    <w:rsid w:val="00785AB9"/>
    <w:rsid w:val="00785CE8"/>
    <w:rsid w:val="0079131E"/>
    <w:rsid w:val="00791AA4"/>
    <w:rsid w:val="00793134"/>
    <w:rsid w:val="0079370B"/>
    <w:rsid w:val="00794A43"/>
    <w:rsid w:val="00794D8B"/>
    <w:rsid w:val="0079562F"/>
    <w:rsid w:val="00795926"/>
    <w:rsid w:val="007A0A44"/>
    <w:rsid w:val="007A2100"/>
    <w:rsid w:val="007A4A45"/>
    <w:rsid w:val="007A6290"/>
    <w:rsid w:val="007A6330"/>
    <w:rsid w:val="007A6FF5"/>
    <w:rsid w:val="007A71C4"/>
    <w:rsid w:val="007A7383"/>
    <w:rsid w:val="007B1B40"/>
    <w:rsid w:val="007B2E91"/>
    <w:rsid w:val="007B47FB"/>
    <w:rsid w:val="007C1648"/>
    <w:rsid w:val="007C288F"/>
    <w:rsid w:val="007C30F2"/>
    <w:rsid w:val="007D1B42"/>
    <w:rsid w:val="007D20F6"/>
    <w:rsid w:val="007D4862"/>
    <w:rsid w:val="007D5D5B"/>
    <w:rsid w:val="007D5F75"/>
    <w:rsid w:val="007D6B10"/>
    <w:rsid w:val="007E08A3"/>
    <w:rsid w:val="007E7DF1"/>
    <w:rsid w:val="007F0FF0"/>
    <w:rsid w:val="007F29FE"/>
    <w:rsid w:val="007F3D16"/>
    <w:rsid w:val="007F45A9"/>
    <w:rsid w:val="00800066"/>
    <w:rsid w:val="00803329"/>
    <w:rsid w:val="008064C3"/>
    <w:rsid w:val="00807EAE"/>
    <w:rsid w:val="00810A3F"/>
    <w:rsid w:val="00811E14"/>
    <w:rsid w:val="008120D8"/>
    <w:rsid w:val="008134C2"/>
    <w:rsid w:val="0081445F"/>
    <w:rsid w:val="00815249"/>
    <w:rsid w:val="00815E69"/>
    <w:rsid w:val="00815F42"/>
    <w:rsid w:val="008203B9"/>
    <w:rsid w:val="00820A00"/>
    <w:rsid w:val="008227A7"/>
    <w:rsid w:val="0083044B"/>
    <w:rsid w:val="008313A9"/>
    <w:rsid w:val="00831AFC"/>
    <w:rsid w:val="00831D1B"/>
    <w:rsid w:val="00833C42"/>
    <w:rsid w:val="00837302"/>
    <w:rsid w:val="00843914"/>
    <w:rsid w:val="00844A0C"/>
    <w:rsid w:val="00845B97"/>
    <w:rsid w:val="0085122E"/>
    <w:rsid w:val="00851B24"/>
    <w:rsid w:val="00857775"/>
    <w:rsid w:val="00861E1D"/>
    <w:rsid w:val="0086609D"/>
    <w:rsid w:val="00870608"/>
    <w:rsid w:val="008709FF"/>
    <w:rsid w:val="008716D8"/>
    <w:rsid w:val="00875923"/>
    <w:rsid w:val="00875B30"/>
    <w:rsid w:val="008766B1"/>
    <w:rsid w:val="008814A0"/>
    <w:rsid w:val="0088190D"/>
    <w:rsid w:val="0088662B"/>
    <w:rsid w:val="00890FD7"/>
    <w:rsid w:val="00893647"/>
    <w:rsid w:val="008B0841"/>
    <w:rsid w:val="008B305D"/>
    <w:rsid w:val="008B5FA3"/>
    <w:rsid w:val="008B5FDB"/>
    <w:rsid w:val="008B6308"/>
    <w:rsid w:val="008C2F61"/>
    <w:rsid w:val="008C5ACC"/>
    <w:rsid w:val="008C5D03"/>
    <w:rsid w:val="008D2829"/>
    <w:rsid w:val="008D3B6D"/>
    <w:rsid w:val="008D3DE1"/>
    <w:rsid w:val="008D557C"/>
    <w:rsid w:val="008D5B1F"/>
    <w:rsid w:val="008D6BC4"/>
    <w:rsid w:val="008D7257"/>
    <w:rsid w:val="008E0CE6"/>
    <w:rsid w:val="008E0CF4"/>
    <w:rsid w:val="008E3E95"/>
    <w:rsid w:val="008E4E5F"/>
    <w:rsid w:val="008E5108"/>
    <w:rsid w:val="008E5567"/>
    <w:rsid w:val="008E68D2"/>
    <w:rsid w:val="008E7015"/>
    <w:rsid w:val="008E7777"/>
    <w:rsid w:val="008F15CD"/>
    <w:rsid w:val="008F246A"/>
    <w:rsid w:val="008F6C55"/>
    <w:rsid w:val="0090380F"/>
    <w:rsid w:val="009050BE"/>
    <w:rsid w:val="009062BF"/>
    <w:rsid w:val="009079AF"/>
    <w:rsid w:val="00911071"/>
    <w:rsid w:val="00916404"/>
    <w:rsid w:val="00916B9F"/>
    <w:rsid w:val="009202FD"/>
    <w:rsid w:val="00921102"/>
    <w:rsid w:val="009214B3"/>
    <w:rsid w:val="0092264F"/>
    <w:rsid w:val="009234CE"/>
    <w:rsid w:val="009243AC"/>
    <w:rsid w:val="009246D2"/>
    <w:rsid w:val="00925384"/>
    <w:rsid w:val="00931A3C"/>
    <w:rsid w:val="0093468B"/>
    <w:rsid w:val="00935D33"/>
    <w:rsid w:val="00937052"/>
    <w:rsid w:val="009408A3"/>
    <w:rsid w:val="009421D0"/>
    <w:rsid w:val="009448B0"/>
    <w:rsid w:val="00945121"/>
    <w:rsid w:val="00945199"/>
    <w:rsid w:val="00945849"/>
    <w:rsid w:val="00946EC7"/>
    <w:rsid w:val="009544E9"/>
    <w:rsid w:val="0095505F"/>
    <w:rsid w:val="00955BCE"/>
    <w:rsid w:val="009603A2"/>
    <w:rsid w:val="00961DA1"/>
    <w:rsid w:val="00962301"/>
    <w:rsid w:val="00964827"/>
    <w:rsid w:val="00970CA2"/>
    <w:rsid w:val="00970EDF"/>
    <w:rsid w:val="00972F05"/>
    <w:rsid w:val="00975F1B"/>
    <w:rsid w:val="0097705F"/>
    <w:rsid w:val="009773EE"/>
    <w:rsid w:val="009813C5"/>
    <w:rsid w:val="009907CD"/>
    <w:rsid w:val="0099092D"/>
    <w:rsid w:val="009927A8"/>
    <w:rsid w:val="00992E03"/>
    <w:rsid w:val="00993EF1"/>
    <w:rsid w:val="00995BAC"/>
    <w:rsid w:val="009A229C"/>
    <w:rsid w:val="009A7FCE"/>
    <w:rsid w:val="009B06DD"/>
    <w:rsid w:val="009B1DA0"/>
    <w:rsid w:val="009B3142"/>
    <w:rsid w:val="009B68EF"/>
    <w:rsid w:val="009B72F4"/>
    <w:rsid w:val="009C0D0F"/>
    <w:rsid w:val="009C2A17"/>
    <w:rsid w:val="009C643F"/>
    <w:rsid w:val="009C7B71"/>
    <w:rsid w:val="009D109B"/>
    <w:rsid w:val="009D30BC"/>
    <w:rsid w:val="009D656D"/>
    <w:rsid w:val="009E15E2"/>
    <w:rsid w:val="009E23BF"/>
    <w:rsid w:val="009E24E3"/>
    <w:rsid w:val="009E2BF3"/>
    <w:rsid w:val="009E2D9A"/>
    <w:rsid w:val="009E478A"/>
    <w:rsid w:val="009E6E2B"/>
    <w:rsid w:val="009E7F8F"/>
    <w:rsid w:val="009F18D7"/>
    <w:rsid w:val="009F1E2B"/>
    <w:rsid w:val="009F5005"/>
    <w:rsid w:val="009F5F96"/>
    <w:rsid w:val="009F74D0"/>
    <w:rsid w:val="00A00CBF"/>
    <w:rsid w:val="00A06BFF"/>
    <w:rsid w:val="00A129AE"/>
    <w:rsid w:val="00A12B84"/>
    <w:rsid w:val="00A13112"/>
    <w:rsid w:val="00A17FF7"/>
    <w:rsid w:val="00A20D09"/>
    <w:rsid w:val="00A21A0F"/>
    <w:rsid w:val="00A253E7"/>
    <w:rsid w:val="00A26653"/>
    <w:rsid w:val="00A2764E"/>
    <w:rsid w:val="00A37C7C"/>
    <w:rsid w:val="00A40505"/>
    <w:rsid w:val="00A409CF"/>
    <w:rsid w:val="00A42C03"/>
    <w:rsid w:val="00A45E77"/>
    <w:rsid w:val="00A47417"/>
    <w:rsid w:val="00A50E58"/>
    <w:rsid w:val="00A52FC3"/>
    <w:rsid w:val="00A539FF"/>
    <w:rsid w:val="00A56E84"/>
    <w:rsid w:val="00A60F48"/>
    <w:rsid w:val="00A63EE4"/>
    <w:rsid w:val="00A641A8"/>
    <w:rsid w:val="00A64DFD"/>
    <w:rsid w:val="00A709E8"/>
    <w:rsid w:val="00A83DF2"/>
    <w:rsid w:val="00A8420B"/>
    <w:rsid w:val="00A8502B"/>
    <w:rsid w:val="00A86226"/>
    <w:rsid w:val="00A86D9C"/>
    <w:rsid w:val="00A920FB"/>
    <w:rsid w:val="00A9462E"/>
    <w:rsid w:val="00A968C4"/>
    <w:rsid w:val="00A96F68"/>
    <w:rsid w:val="00A97C36"/>
    <w:rsid w:val="00A97E61"/>
    <w:rsid w:val="00AA6478"/>
    <w:rsid w:val="00AB1071"/>
    <w:rsid w:val="00AB4EFD"/>
    <w:rsid w:val="00AB6E49"/>
    <w:rsid w:val="00AB7298"/>
    <w:rsid w:val="00AB76F5"/>
    <w:rsid w:val="00AC0E55"/>
    <w:rsid w:val="00AC11A6"/>
    <w:rsid w:val="00AC1EBB"/>
    <w:rsid w:val="00AC29C3"/>
    <w:rsid w:val="00AC3DA6"/>
    <w:rsid w:val="00AD271C"/>
    <w:rsid w:val="00AD28E3"/>
    <w:rsid w:val="00AD4D8B"/>
    <w:rsid w:val="00AE14EC"/>
    <w:rsid w:val="00AE57A4"/>
    <w:rsid w:val="00AE77AE"/>
    <w:rsid w:val="00AF291D"/>
    <w:rsid w:val="00AF51A0"/>
    <w:rsid w:val="00AF5D67"/>
    <w:rsid w:val="00B00765"/>
    <w:rsid w:val="00B0211B"/>
    <w:rsid w:val="00B0252F"/>
    <w:rsid w:val="00B02858"/>
    <w:rsid w:val="00B04209"/>
    <w:rsid w:val="00B10539"/>
    <w:rsid w:val="00B10F2E"/>
    <w:rsid w:val="00B11D20"/>
    <w:rsid w:val="00B11D74"/>
    <w:rsid w:val="00B14DCE"/>
    <w:rsid w:val="00B15276"/>
    <w:rsid w:val="00B17303"/>
    <w:rsid w:val="00B21DA8"/>
    <w:rsid w:val="00B2287D"/>
    <w:rsid w:val="00B26A2D"/>
    <w:rsid w:val="00B348B0"/>
    <w:rsid w:val="00B36EC1"/>
    <w:rsid w:val="00B42DB6"/>
    <w:rsid w:val="00B435C2"/>
    <w:rsid w:val="00B46027"/>
    <w:rsid w:val="00B46448"/>
    <w:rsid w:val="00B46917"/>
    <w:rsid w:val="00B50803"/>
    <w:rsid w:val="00B51F4D"/>
    <w:rsid w:val="00B57CEE"/>
    <w:rsid w:val="00B622BC"/>
    <w:rsid w:val="00B62425"/>
    <w:rsid w:val="00B67B8C"/>
    <w:rsid w:val="00B75D52"/>
    <w:rsid w:val="00B7734D"/>
    <w:rsid w:val="00B80672"/>
    <w:rsid w:val="00B8086C"/>
    <w:rsid w:val="00B809D3"/>
    <w:rsid w:val="00B80A40"/>
    <w:rsid w:val="00B84353"/>
    <w:rsid w:val="00B87097"/>
    <w:rsid w:val="00B87662"/>
    <w:rsid w:val="00B90B28"/>
    <w:rsid w:val="00B92053"/>
    <w:rsid w:val="00BA5D3E"/>
    <w:rsid w:val="00BA60B3"/>
    <w:rsid w:val="00BB4305"/>
    <w:rsid w:val="00BB4CC8"/>
    <w:rsid w:val="00BB5F43"/>
    <w:rsid w:val="00BC097C"/>
    <w:rsid w:val="00BC100C"/>
    <w:rsid w:val="00BC4F13"/>
    <w:rsid w:val="00BD0BD6"/>
    <w:rsid w:val="00BD2EF8"/>
    <w:rsid w:val="00BD2F73"/>
    <w:rsid w:val="00BD325B"/>
    <w:rsid w:val="00BD4D56"/>
    <w:rsid w:val="00BD762D"/>
    <w:rsid w:val="00BF00CF"/>
    <w:rsid w:val="00BF07B1"/>
    <w:rsid w:val="00BF0DC4"/>
    <w:rsid w:val="00BF1E18"/>
    <w:rsid w:val="00BF336E"/>
    <w:rsid w:val="00BF4B52"/>
    <w:rsid w:val="00BF5E12"/>
    <w:rsid w:val="00C02565"/>
    <w:rsid w:val="00C02A35"/>
    <w:rsid w:val="00C05DB6"/>
    <w:rsid w:val="00C06000"/>
    <w:rsid w:val="00C06CDF"/>
    <w:rsid w:val="00C07D18"/>
    <w:rsid w:val="00C103A9"/>
    <w:rsid w:val="00C10553"/>
    <w:rsid w:val="00C1495B"/>
    <w:rsid w:val="00C14970"/>
    <w:rsid w:val="00C173E2"/>
    <w:rsid w:val="00C20C17"/>
    <w:rsid w:val="00C210C3"/>
    <w:rsid w:val="00C23E02"/>
    <w:rsid w:val="00C26855"/>
    <w:rsid w:val="00C26ED7"/>
    <w:rsid w:val="00C318D7"/>
    <w:rsid w:val="00C343BF"/>
    <w:rsid w:val="00C34DBC"/>
    <w:rsid w:val="00C3754A"/>
    <w:rsid w:val="00C43B65"/>
    <w:rsid w:val="00C443AF"/>
    <w:rsid w:val="00C46901"/>
    <w:rsid w:val="00C472C0"/>
    <w:rsid w:val="00C51144"/>
    <w:rsid w:val="00C51A9A"/>
    <w:rsid w:val="00C5334E"/>
    <w:rsid w:val="00C54C7F"/>
    <w:rsid w:val="00C55365"/>
    <w:rsid w:val="00C56B06"/>
    <w:rsid w:val="00C610C8"/>
    <w:rsid w:val="00C63FB9"/>
    <w:rsid w:val="00C65E58"/>
    <w:rsid w:val="00C724D2"/>
    <w:rsid w:val="00C72BFA"/>
    <w:rsid w:val="00C72BFD"/>
    <w:rsid w:val="00C72F53"/>
    <w:rsid w:val="00C7690C"/>
    <w:rsid w:val="00C7692E"/>
    <w:rsid w:val="00C76C3D"/>
    <w:rsid w:val="00C77D60"/>
    <w:rsid w:val="00C80CEE"/>
    <w:rsid w:val="00C86395"/>
    <w:rsid w:val="00C87AA9"/>
    <w:rsid w:val="00C92D07"/>
    <w:rsid w:val="00C9358F"/>
    <w:rsid w:val="00C9499A"/>
    <w:rsid w:val="00C96187"/>
    <w:rsid w:val="00C96700"/>
    <w:rsid w:val="00CA0D0B"/>
    <w:rsid w:val="00CA4014"/>
    <w:rsid w:val="00CA425B"/>
    <w:rsid w:val="00CA4B10"/>
    <w:rsid w:val="00CB05B1"/>
    <w:rsid w:val="00CB0853"/>
    <w:rsid w:val="00CB0F26"/>
    <w:rsid w:val="00CB3AE2"/>
    <w:rsid w:val="00CB3FBB"/>
    <w:rsid w:val="00CB5906"/>
    <w:rsid w:val="00CB65F1"/>
    <w:rsid w:val="00CC2799"/>
    <w:rsid w:val="00CC2CF7"/>
    <w:rsid w:val="00CC59ED"/>
    <w:rsid w:val="00CD00F0"/>
    <w:rsid w:val="00CD14BB"/>
    <w:rsid w:val="00CD2A1C"/>
    <w:rsid w:val="00CD2EFD"/>
    <w:rsid w:val="00CD4BC4"/>
    <w:rsid w:val="00CD64DD"/>
    <w:rsid w:val="00CD72FE"/>
    <w:rsid w:val="00CD75D2"/>
    <w:rsid w:val="00CD77BC"/>
    <w:rsid w:val="00CE017D"/>
    <w:rsid w:val="00CE1B9F"/>
    <w:rsid w:val="00CE6F80"/>
    <w:rsid w:val="00CF18AB"/>
    <w:rsid w:val="00D00632"/>
    <w:rsid w:val="00D01F37"/>
    <w:rsid w:val="00D02758"/>
    <w:rsid w:val="00D03A26"/>
    <w:rsid w:val="00D05D59"/>
    <w:rsid w:val="00D17D39"/>
    <w:rsid w:val="00D17D8F"/>
    <w:rsid w:val="00D17E8A"/>
    <w:rsid w:val="00D22031"/>
    <w:rsid w:val="00D303D6"/>
    <w:rsid w:val="00D32687"/>
    <w:rsid w:val="00D32D6E"/>
    <w:rsid w:val="00D3314A"/>
    <w:rsid w:val="00D362A2"/>
    <w:rsid w:val="00D37B27"/>
    <w:rsid w:val="00D424D2"/>
    <w:rsid w:val="00D51791"/>
    <w:rsid w:val="00D52FF9"/>
    <w:rsid w:val="00D5468E"/>
    <w:rsid w:val="00D55F42"/>
    <w:rsid w:val="00D61701"/>
    <w:rsid w:val="00D63A7D"/>
    <w:rsid w:val="00D641AC"/>
    <w:rsid w:val="00D64BC8"/>
    <w:rsid w:val="00D65268"/>
    <w:rsid w:val="00D70C1C"/>
    <w:rsid w:val="00D710A9"/>
    <w:rsid w:val="00D715E9"/>
    <w:rsid w:val="00D73A55"/>
    <w:rsid w:val="00D74667"/>
    <w:rsid w:val="00D75A2B"/>
    <w:rsid w:val="00D8474E"/>
    <w:rsid w:val="00D86029"/>
    <w:rsid w:val="00D86814"/>
    <w:rsid w:val="00D8701B"/>
    <w:rsid w:val="00D906DD"/>
    <w:rsid w:val="00D93AE3"/>
    <w:rsid w:val="00D94FA0"/>
    <w:rsid w:val="00DA1A84"/>
    <w:rsid w:val="00DA2EAA"/>
    <w:rsid w:val="00DA6A86"/>
    <w:rsid w:val="00DB2F91"/>
    <w:rsid w:val="00DB406B"/>
    <w:rsid w:val="00DB531C"/>
    <w:rsid w:val="00DB53BA"/>
    <w:rsid w:val="00DC32EB"/>
    <w:rsid w:val="00DC42B7"/>
    <w:rsid w:val="00DC4589"/>
    <w:rsid w:val="00DC4734"/>
    <w:rsid w:val="00DC4E25"/>
    <w:rsid w:val="00DC6C1E"/>
    <w:rsid w:val="00DD4383"/>
    <w:rsid w:val="00DD78FE"/>
    <w:rsid w:val="00DE04BB"/>
    <w:rsid w:val="00DE2FDB"/>
    <w:rsid w:val="00DE3506"/>
    <w:rsid w:val="00DE37D6"/>
    <w:rsid w:val="00DE746A"/>
    <w:rsid w:val="00DE7E96"/>
    <w:rsid w:val="00DF349B"/>
    <w:rsid w:val="00DF42A7"/>
    <w:rsid w:val="00DF44C2"/>
    <w:rsid w:val="00DF4A3F"/>
    <w:rsid w:val="00DF54E7"/>
    <w:rsid w:val="00DF614F"/>
    <w:rsid w:val="00DF6B95"/>
    <w:rsid w:val="00DF7A2E"/>
    <w:rsid w:val="00E02404"/>
    <w:rsid w:val="00E046A3"/>
    <w:rsid w:val="00E07FAA"/>
    <w:rsid w:val="00E128DB"/>
    <w:rsid w:val="00E12E0B"/>
    <w:rsid w:val="00E14E68"/>
    <w:rsid w:val="00E16926"/>
    <w:rsid w:val="00E21239"/>
    <w:rsid w:val="00E228C8"/>
    <w:rsid w:val="00E363C5"/>
    <w:rsid w:val="00E36DE8"/>
    <w:rsid w:val="00E40153"/>
    <w:rsid w:val="00E41DF4"/>
    <w:rsid w:val="00E43F22"/>
    <w:rsid w:val="00E44A3B"/>
    <w:rsid w:val="00E450FF"/>
    <w:rsid w:val="00E47A93"/>
    <w:rsid w:val="00E507CC"/>
    <w:rsid w:val="00E51DCC"/>
    <w:rsid w:val="00E538AE"/>
    <w:rsid w:val="00E575D4"/>
    <w:rsid w:val="00E602CC"/>
    <w:rsid w:val="00E60BCF"/>
    <w:rsid w:val="00E63199"/>
    <w:rsid w:val="00E631BB"/>
    <w:rsid w:val="00E6600C"/>
    <w:rsid w:val="00E6642E"/>
    <w:rsid w:val="00E66FC2"/>
    <w:rsid w:val="00E67137"/>
    <w:rsid w:val="00E701AC"/>
    <w:rsid w:val="00E71B6C"/>
    <w:rsid w:val="00E71F47"/>
    <w:rsid w:val="00E7552C"/>
    <w:rsid w:val="00E75EDC"/>
    <w:rsid w:val="00E76F19"/>
    <w:rsid w:val="00E7729C"/>
    <w:rsid w:val="00E77DF7"/>
    <w:rsid w:val="00E802FE"/>
    <w:rsid w:val="00E823D3"/>
    <w:rsid w:val="00E828F0"/>
    <w:rsid w:val="00E82DB5"/>
    <w:rsid w:val="00E8450A"/>
    <w:rsid w:val="00E857F1"/>
    <w:rsid w:val="00E919C6"/>
    <w:rsid w:val="00E919F1"/>
    <w:rsid w:val="00E92006"/>
    <w:rsid w:val="00E93DBE"/>
    <w:rsid w:val="00E95156"/>
    <w:rsid w:val="00E9584F"/>
    <w:rsid w:val="00EA00F5"/>
    <w:rsid w:val="00EA2FA7"/>
    <w:rsid w:val="00EA389B"/>
    <w:rsid w:val="00EB1B1D"/>
    <w:rsid w:val="00EB3D84"/>
    <w:rsid w:val="00EB4F12"/>
    <w:rsid w:val="00EB5BC7"/>
    <w:rsid w:val="00EB6CB3"/>
    <w:rsid w:val="00EB7F81"/>
    <w:rsid w:val="00EC0B90"/>
    <w:rsid w:val="00EC103C"/>
    <w:rsid w:val="00EC79B0"/>
    <w:rsid w:val="00ED1C3A"/>
    <w:rsid w:val="00ED2D18"/>
    <w:rsid w:val="00ED4D5F"/>
    <w:rsid w:val="00ED67B7"/>
    <w:rsid w:val="00EE1079"/>
    <w:rsid w:val="00EE1D6B"/>
    <w:rsid w:val="00EE642E"/>
    <w:rsid w:val="00EE677E"/>
    <w:rsid w:val="00EE77E0"/>
    <w:rsid w:val="00EF0BD7"/>
    <w:rsid w:val="00EF4622"/>
    <w:rsid w:val="00EF65C0"/>
    <w:rsid w:val="00EF778F"/>
    <w:rsid w:val="00EF78B8"/>
    <w:rsid w:val="00EF7999"/>
    <w:rsid w:val="00F006DA"/>
    <w:rsid w:val="00F01ED3"/>
    <w:rsid w:val="00F020DF"/>
    <w:rsid w:val="00F03BFD"/>
    <w:rsid w:val="00F043BC"/>
    <w:rsid w:val="00F118D3"/>
    <w:rsid w:val="00F1242C"/>
    <w:rsid w:val="00F128C3"/>
    <w:rsid w:val="00F16512"/>
    <w:rsid w:val="00F1711D"/>
    <w:rsid w:val="00F200BC"/>
    <w:rsid w:val="00F223F4"/>
    <w:rsid w:val="00F23EAF"/>
    <w:rsid w:val="00F25C3E"/>
    <w:rsid w:val="00F269BB"/>
    <w:rsid w:val="00F30757"/>
    <w:rsid w:val="00F31115"/>
    <w:rsid w:val="00F317F9"/>
    <w:rsid w:val="00F33A4A"/>
    <w:rsid w:val="00F353AE"/>
    <w:rsid w:val="00F36D46"/>
    <w:rsid w:val="00F42BF1"/>
    <w:rsid w:val="00F43DC9"/>
    <w:rsid w:val="00F441EF"/>
    <w:rsid w:val="00F443E2"/>
    <w:rsid w:val="00F52595"/>
    <w:rsid w:val="00F530EE"/>
    <w:rsid w:val="00F531CE"/>
    <w:rsid w:val="00F5415C"/>
    <w:rsid w:val="00F54B30"/>
    <w:rsid w:val="00F57324"/>
    <w:rsid w:val="00F62251"/>
    <w:rsid w:val="00F64A4F"/>
    <w:rsid w:val="00F67027"/>
    <w:rsid w:val="00F71933"/>
    <w:rsid w:val="00F74994"/>
    <w:rsid w:val="00F74DE7"/>
    <w:rsid w:val="00F7795B"/>
    <w:rsid w:val="00F803D9"/>
    <w:rsid w:val="00F823B0"/>
    <w:rsid w:val="00F82D1B"/>
    <w:rsid w:val="00F85483"/>
    <w:rsid w:val="00F950E6"/>
    <w:rsid w:val="00F960F5"/>
    <w:rsid w:val="00F97939"/>
    <w:rsid w:val="00FA0ED7"/>
    <w:rsid w:val="00FA3210"/>
    <w:rsid w:val="00FA5450"/>
    <w:rsid w:val="00FA62A2"/>
    <w:rsid w:val="00FA7412"/>
    <w:rsid w:val="00FB0F59"/>
    <w:rsid w:val="00FB3BF9"/>
    <w:rsid w:val="00FB55B6"/>
    <w:rsid w:val="00FB56B2"/>
    <w:rsid w:val="00FB5B7E"/>
    <w:rsid w:val="00FB61C0"/>
    <w:rsid w:val="00FB709E"/>
    <w:rsid w:val="00FC57AE"/>
    <w:rsid w:val="00FC6C27"/>
    <w:rsid w:val="00FD7E78"/>
    <w:rsid w:val="00FE3585"/>
    <w:rsid w:val="00FE72B3"/>
    <w:rsid w:val="00FF09DA"/>
    <w:rsid w:val="00FF16A1"/>
    <w:rsid w:val="00FF330A"/>
    <w:rsid w:val="00FF3CAD"/>
    <w:rsid w:val="00FF483D"/>
    <w:rsid w:val="00FF49A5"/>
    <w:rsid w:val="00FF69FD"/>
    <w:rsid w:val="00FF6B2B"/>
    <w:rsid w:val="00FF6CAF"/>
    <w:rsid w:val="00FF7398"/>
    <w:rsid w:val="00FF7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2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7C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7B87"/>
    <w:rPr>
      <w:color w:val="0000FF"/>
      <w:u w:val="single"/>
    </w:rPr>
  </w:style>
  <w:style w:type="character" w:customStyle="1" w:styleId="SYSHYPERTEXT">
    <w:name w:val="SYS_HYPERTEXT"/>
    <w:basedOn w:val="DefaultParagraphFont"/>
    <w:rsid w:val="000347C1"/>
    <w:rPr>
      <w:color w:val="0000FF"/>
      <w:u w:val="single"/>
    </w:rPr>
  </w:style>
  <w:style w:type="character" w:styleId="FollowedHyperlink">
    <w:name w:val="FollowedHyperlink"/>
    <w:basedOn w:val="DefaultParagraphFont"/>
    <w:uiPriority w:val="99"/>
    <w:semiHidden/>
    <w:unhideWhenUsed/>
    <w:rsid w:val="008709FF"/>
    <w:rPr>
      <w:color w:val="800080"/>
      <w:u w:val="single"/>
    </w:rPr>
  </w:style>
  <w:style w:type="paragraph" w:styleId="Header">
    <w:name w:val="header"/>
    <w:basedOn w:val="Normal"/>
    <w:link w:val="HeaderChar"/>
    <w:uiPriority w:val="99"/>
    <w:unhideWhenUsed/>
    <w:rsid w:val="00FA62A2"/>
    <w:pPr>
      <w:tabs>
        <w:tab w:val="center" w:pos="4680"/>
        <w:tab w:val="right" w:pos="9360"/>
      </w:tabs>
    </w:pPr>
  </w:style>
  <w:style w:type="character" w:customStyle="1" w:styleId="HeaderChar">
    <w:name w:val="Header Char"/>
    <w:basedOn w:val="DefaultParagraphFont"/>
    <w:link w:val="Header"/>
    <w:uiPriority w:val="99"/>
    <w:rsid w:val="00FA62A2"/>
    <w:rPr>
      <w:sz w:val="24"/>
    </w:rPr>
  </w:style>
  <w:style w:type="paragraph" w:styleId="Footer">
    <w:name w:val="footer"/>
    <w:basedOn w:val="Normal"/>
    <w:link w:val="FooterChar"/>
    <w:uiPriority w:val="99"/>
    <w:unhideWhenUsed/>
    <w:rsid w:val="00FA62A2"/>
    <w:pPr>
      <w:tabs>
        <w:tab w:val="center" w:pos="4680"/>
        <w:tab w:val="right" w:pos="9360"/>
      </w:tabs>
    </w:pPr>
  </w:style>
  <w:style w:type="character" w:customStyle="1" w:styleId="FooterChar">
    <w:name w:val="Footer Char"/>
    <w:basedOn w:val="DefaultParagraphFont"/>
    <w:link w:val="Footer"/>
    <w:uiPriority w:val="99"/>
    <w:rsid w:val="00FA62A2"/>
    <w:rPr>
      <w:sz w:val="24"/>
    </w:rPr>
  </w:style>
  <w:style w:type="character" w:styleId="Strong">
    <w:name w:val="Strong"/>
    <w:basedOn w:val="DefaultParagraphFont"/>
    <w:uiPriority w:val="22"/>
    <w:qFormat/>
    <w:rsid w:val="0079562F"/>
    <w:rPr>
      <w:b/>
      <w:bCs/>
    </w:rPr>
  </w:style>
  <w:style w:type="paragraph" w:customStyle="1" w:styleId="SCCLsocParty">
    <w:name w:val="SCC.Lsoc.Party"/>
    <w:basedOn w:val="Normal"/>
    <w:next w:val="Normal"/>
    <w:link w:val="SCCLsocPartyChar"/>
    <w:rsid w:val="0079562F"/>
    <w:pPr>
      <w:jc w:val="both"/>
    </w:pPr>
    <w:rPr>
      <w:rFonts w:eastAsia="Calibri"/>
      <w:i/>
      <w:szCs w:val="22"/>
      <w:lang w:val="fr-CA"/>
    </w:rPr>
  </w:style>
  <w:style w:type="character" w:customStyle="1" w:styleId="SCCLsocPartyChar">
    <w:name w:val="SCC.Lsoc.Party Char"/>
    <w:basedOn w:val="DefaultParagraphFont"/>
    <w:link w:val="SCCLsocParty"/>
    <w:rsid w:val="0079562F"/>
    <w:rPr>
      <w:rFonts w:eastAsia="Calibri" w:cs="Times New Roman"/>
      <w:i/>
      <w:sz w:val="24"/>
      <w:szCs w:val="22"/>
      <w:lang w:val="fr-CA"/>
    </w:rPr>
  </w:style>
  <w:style w:type="paragraph" w:styleId="BalloonText">
    <w:name w:val="Balloon Text"/>
    <w:basedOn w:val="Normal"/>
    <w:link w:val="BalloonTextChar"/>
    <w:uiPriority w:val="99"/>
    <w:semiHidden/>
    <w:unhideWhenUsed/>
    <w:rsid w:val="00F20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0BC"/>
    <w:rPr>
      <w:rFonts w:ascii="Segoe UI" w:hAnsi="Segoe UI" w:cs="Segoe UI"/>
      <w:sz w:val="18"/>
      <w:szCs w:val="18"/>
    </w:rPr>
  </w:style>
  <w:style w:type="table" w:styleId="TableGrid">
    <w:name w:val="Table Grid"/>
    <w:basedOn w:val="TableNormal"/>
    <w:uiPriority w:val="59"/>
    <w:rsid w:val="00097C3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ranumbering1">
    <w:name w:val="aparanumbering1"/>
    <w:basedOn w:val="Normal"/>
    <w:rsid w:val="003B3C19"/>
    <w:pPr>
      <w:spacing w:before="120" w:after="120"/>
      <w:ind w:left="142"/>
      <w:jc w:val="both"/>
    </w:pPr>
    <w:rPr>
      <w:rFonts w:ascii="Arial" w:hAnsi="Arial" w:cs="Arial"/>
      <w:sz w:val="26"/>
      <w:szCs w:val="26"/>
    </w:rPr>
  </w:style>
  <w:style w:type="paragraph" w:customStyle="1" w:styleId="SCCFileNumber">
    <w:name w:val="SCC.FileNumber"/>
    <w:basedOn w:val="Normal"/>
    <w:next w:val="Normal"/>
    <w:link w:val="SCCFileNumberChar"/>
    <w:rsid w:val="00046AF2"/>
    <w:pPr>
      <w:jc w:val="both"/>
    </w:pPr>
    <w:rPr>
      <w:rFonts w:eastAsiaTheme="minorHAnsi" w:cstheme="minorBidi"/>
      <w:b/>
      <w:szCs w:val="22"/>
      <w:lang w:val="en-CA"/>
    </w:rPr>
  </w:style>
  <w:style w:type="character" w:customStyle="1" w:styleId="SCCFileNumberChar">
    <w:name w:val="SCC.FileNumber Char"/>
    <w:basedOn w:val="DefaultParagraphFont"/>
    <w:link w:val="SCCFileNumber"/>
    <w:rsid w:val="00046AF2"/>
    <w:rPr>
      <w:rFonts w:eastAsiaTheme="minorHAnsi" w:cstheme="minorBidi"/>
      <w:b/>
      <w:sz w:val="24"/>
      <w:szCs w:val="22"/>
      <w:lang w:val="en-CA"/>
    </w:rPr>
  </w:style>
  <w:style w:type="paragraph" w:customStyle="1" w:styleId="SCCCaseDescriptor">
    <w:name w:val="SCC.CaseDescriptor"/>
    <w:basedOn w:val="Normal"/>
    <w:link w:val="SCCCaseDescriptorChar"/>
    <w:qFormat/>
    <w:rsid w:val="00AC11A6"/>
    <w:rPr>
      <w:b/>
      <w:lang w:val="en-CA" w:eastAsia="en-CA"/>
    </w:rPr>
  </w:style>
  <w:style w:type="character" w:customStyle="1" w:styleId="SCCCaseDescriptorChar">
    <w:name w:val="SCC.CaseDescriptor Char"/>
    <w:basedOn w:val="DefaultParagraphFont"/>
    <w:link w:val="SCCCaseDescriptor"/>
    <w:rsid w:val="00AC11A6"/>
    <w:rPr>
      <w:b/>
      <w:sz w:val="24"/>
      <w:lang w:val="en-CA" w:eastAsia="en-CA"/>
    </w:rPr>
  </w:style>
  <w:style w:type="paragraph" w:customStyle="1" w:styleId="SCCBanSummary">
    <w:name w:val="SCC.BanSummary"/>
    <w:basedOn w:val="Normal"/>
    <w:next w:val="Normal"/>
    <w:link w:val="SCCBanSummaryChar"/>
    <w:rsid w:val="00937052"/>
    <w:pPr>
      <w:jc w:val="both"/>
    </w:pPr>
    <w:rPr>
      <w:rFonts w:eastAsiaTheme="minorHAnsi" w:cstheme="minorBidi"/>
      <w:smallCaps/>
      <w:szCs w:val="22"/>
      <w:lang w:val="en-CA"/>
    </w:rPr>
  </w:style>
  <w:style w:type="character" w:customStyle="1" w:styleId="SCCBanSummaryChar">
    <w:name w:val="SCC.BanSummary Char"/>
    <w:basedOn w:val="DefaultParagraphFont"/>
    <w:link w:val="SCCBanSummary"/>
    <w:rsid w:val="00937052"/>
    <w:rPr>
      <w:rFonts w:eastAsiaTheme="minorHAnsi" w:cstheme="minorBidi"/>
      <w:smallCaps/>
      <w:sz w:val="24"/>
      <w:szCs w:val="22"/>
      <w:lang w:val="en-CA"/>
    </w:rPr>
  </w:style>
  <w:style w:type="paragraph" w:customStyle="1" w:styleId="SCCLsocOtherPartySeparator">
    <w:name w:val="SCC.Lsoc.OtherPartySeparator"/>
    <w:basedOn w:val="Normal"/>
    <w:next w:val="Normal"/>
    <w:link w:val="SCCLsocOtherPartySeparatorChar"/>
    <w:rsid w:val="004874F7"/>
    <w:pPr>
      <w:jc w:val="both"/>
    </w:pPr>
    <w:rPr>
      <w:rFonts w:eastAsiaTheme="minorHAnsi" w:cstheme="minorBidi"/>
      <w:b/>
      <w:szCs w:val="22"/>
      <w:lang w:val="fr-CA"/>
    </w:rPr>
  </w:style>
  <w:style w:type="character" w:customStyle="1" w:styleId="SCCLsocOtherPartySeparatorChar">
    <w:name w:val="SCC.Lsoc.OtherPartySeparator Char"/>
    <w:basedOn w:val="DefaultParagraphFont"/>
    <w:link w:val="SCCLsocOtherPartySeparator"/>
    <w:rsid w:val="004874F7"/>
    <w:rPr>
      <w:rFonts w:eastAsiaTheme="minorHAnsi" w:cstheme="minorBidi"/>
      <w:b/>
      <w:sz w:val="24"/>
      <w:szCs w:val="22"/>
      <w:lang w:val="fr-CA"/>
    </w:rPr>
  </w:style>
  <w:style w:type="paragraph" w:customStyle="1" w:styleId="SCCLsocSubfileSeparator">
    <w:name w:val="SCC.Lsoc.SubfileSeparator"/>
    <w:basedOn w:val="Normal"/>
    <w:next w:val="Normal"/>
    <w:link w:val="SCCLsocSubfileSeparatorChar"/>
    <w:rsid w:val="004874F7"/>
    <w:pPr>
      <w:jc w:val="both"/>
    </w:pPr>
    <w:rPr>
      <w:rFonts w:eastAsiaTheme="minorHAnsi"/>
      <w:b/>
      <w:szCs w:val="24"/>
      <w:lang w:val="fr-CA"/>
    </w:rPr>
  </w:style>
  <w:style w:type="character" w:customStyle="1" w:styleId="SCCLsocSubfileSeparatorChar">
    <w:name w:val="SCC.Lsoc.SubfileSeparator Char"/>
    <w:basedOn w:val="DefaultParagraphFont"/>
    <w:link w:val="SCCLsocSubfileSeparator"/>
    <w:rsid w:val="004874F7"/>
    <w:rPr>
      <w:rFonts w:eastAsiaTheme="minorHAnsi"/>
      <w:b/>
      <w:sz w:val="24"/>
      <w:szCs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7468">
      <w:bodyDiv w:val="1"/>
      <w:marLeft w:val="0"/>
      <w:marRight w:val="0"/>
      <w:marTop w:val="0"/>
      <w:marBottom w:val="0"/>
      <w:divBdr>
        <w:top w:val="none" w:sz="0" w:space="0" w:color="auto"/>
        <w:left w:val="none" w:sz="0" w:space="0" w:color="auto"/>
        <w:bottom w:val="none" w:sz="0" w:space="0" w:color="auto"/>
        <w:right w:val="none" w:sz="0" w:space="0" w:color="auto"/>
      </w:divBdr>
    </w:div>
    <w:div w:id="155541300">
      <w:bodyDiv w:val="1"/>
      <w:marLeft w:val="0"/>
      <w:marRight w:val="0"/>
      <w:marTop w:val="0"/>
      <w:marBottom w:val="0"/>
      <w:divBdr>
        <w:top w:val="none" w:sz="0" w:space="0" w:color="auto"/>
        <w:left w:val="none" w:sz="0" w:space="0" w:color="auto"/>
        <w:bottom w:val="none" w:sz="0" w:space="0" w:color="auto"/>
        <w:right w:val="none" w:sz="0" w:space="0" w:color="auto"/>
      </w:divBdr>
    </w:div>
    <w:div w:id="434251522">
      <w:bodyDiv w:val="1"/>
      <w:marLeft w:val="0"/>
      <w:marRight w:val="0"/>
      <w:marTop w:val="0"/>
      <w:marBottom w:val="0"/>
      <w:divBdr>
        <w:top w:val="none" w:sz="0" w:space="0" w:color="auto"/>
        <w:left w:val="none" w:sz="0" w:space="0" w:color="auto"/>
        <w:bottom w:val="none" w:sz="0" w:space="0" w:color="auto"/>
        <w:right w:val="none" w:sz="0" w:space="0" w:color="auto"/>
      </w:divBdr>
    </w:div>
    <w:div w:id="470638163">
      <w:bodyDiv w:val="1"/>
      <w:marLeft w:val="0"/>
      <w:marRight w:val="0"/>
      <w:marTop w:val="0"/>
      <w:marBottom w:val="0"/>
      <w:divBdr>
        <w:top w:val="none" w:sz="0" w:space="0" w:color="auto"/>
        <w:left w:val="none" w:sz="0" w:space="0" w:color="auto"/>
        <w:bottom w:val="none" w:sz="0" w:space="0" w:color="auto"/>
        <w:right w:val="none" w:sz="0" w:space="0" w:color="auto"/>
      </w:divBdr>
    </w:div>
    <w:div w:id="563030962">
      <w:bodyDiv w:val="1"/>
      <w:marLeft w:val="0"/>
      <w:marRight w:val="0"/>
      <w:marTop w:val="0"/>
      <w:marBottom w:val="0"/>
      <w:divBdr>
        <w:top w:val="none" w:sz="0" w:space="0" w:color="auto"/>
        <w:left w:val="none" w:sz="0" w:space="0" w:color="auto"/>
        <w:bottom w:val="none" w:sz="0" w:space="0" w:color="auto"/>
        <w:right w:val="none" w:sz="0" w:space="0" w:color="auto"/>
      </w:divBdr>
    </w:div>
    <w:div w:id="585531170">
      <w:bodyDiv w:val="1"/>
      <w:marLeft w:val="0"/>
      <w:marRight w:val="0"/>
      <w:marTop w:val="0"/>
      <w:marBottom w:val="0"/>
      <w:divBdr>
        <w:top w:val="none" w:sz="0" w:space="0" w:color="auto"/>
        <w:left w:val="none" w:sz="0" w:space="0" w:color="auto"/>
        <w:bottom w:val="none" w:sz="0" w:space="0" w:color="auto"/>
        <w:right w:val="none" w:sz="0" w:space="0" w:color="auto"/>
      </w:divBdr>
    </w:div>
    <w:div w:id="848062956">
      <w:bodyDiv w:val="1"/>
      <w:marLeft w:val="0"/>
      <w:marRight w:val="0"/>
      <w:marTop w:val="0"/>
      <w:marBottom w:val="0"/>
      <w:divBdr>
        <w:top w:val="none" w:sz="0" w:space="0" w:color="auto"/>
        <w:left w:val="none" w:sz="0" w:space="0" w:color="auto"/>
        <w:bottom w:val="none" w:sz="0" w:space="0" w:color="auto"/>
        <w:right w:val="none" w:sz="0" w:space="0" w:color="auto"/>
      </w:divBdr>
    </w:div>
    <w:div w:id="850292782">
      <w:bodyDiv w:val="1"/>
      <w:marLeft w:val="0"/>
      <w:marRight w:val="0"/>
      <w:marTop w:val="0"/>
      <w:marBottom w:val="0"/>
      <w:divBdr>
        <w:top w:val="none" w:sz="0" w:space="0" w:color="auto"/>
        <w:left w:val="none" w:sz="0" w:space="0" w:color="auto"/>
        <w:bottom w:val="none" w:sz="0" w:space="0" w:color="auto"/>
        <w:right w:val="none" w:sz="0" w:space="0" w:color="auto"/>
      </w:divBdr>
    </w:div>
    <w:div w:id="868831822">
      <w:bodyDiv w:val="1"/>
      <w:marLeft w:val="0"/>
      <w:marRight w:val="0"/>
      <w:marTop w:val="0"/>
      <w:marBottom w:val="0"/>
      <w:divBdr>
        <w:top w:val="none" w:sz="0" w:space="0" w:color="auto"/>
        <w:left w:val="none" w:sz="0" w:space="0" w:color="auto"/>
        <w:bottom w:val="none" w:sz="0" w:space="0" w:color="auto"/>
        <w:right w:val="none" w:sz="0" w:space="0" w:color="auto"/>
      </w:divBdr>
    </w:div>
    <w:div w:id="888108128">
      <w:bodyDiv w:val="1"/>
      <w:marLeft w:val="0"/>
      <w:marRight w:val="0"/>
      <w:marTop w:val="0"/>
      <w:marBottom w:val="0"/>
      <w:divBdr>
        <w:top w:val="none" w:sz="0" w:space="0" w:color="auto"/>
        <w:left w:val="none" w:sz="0" w:space="0" w:color="auto"/>
        <w:bottom w:val="none" w:sz="0" w:space="0" w:color="auto"/>
        <w:right w:val="none" w:sz="0" w:space="0" w:color="auto"/>
      </w:divBdr>
    </w:div>
    <w:div w:id="913852924">
      <w:bodyDiv w:val="1"/>
      <w:marLeft w:val="0"/>
      <w:marRight w:val="0"/>
      <w:marTop w:val="0"/>
      <w:marBottom w:val="0"/>
      <w:divBdr>
        <w:top w:val="none" w:sz="0" w:space="0" w:color="auto"/>
        <w:left w:val="none" w:sz="0" w:space="0" w:color="auto"/>
        <w:bottom w:val="none" w:sz="0" w:space="0" w:color="auto"/>
        <w:right w:val="none" w:sz="0" w:space="0" w:color="auto"/>
      </w:divBdr>
    </w:div>
    <w:div w:id="1044868879">
      <w:bodyDiv w:val="1"/>
      <w:marLeft w:val="0"/>
      <w:marRight w:val="0"/>
      <w:marTop w:val="0"/>
      <w:marBottom w:val="0"/>
      <w:divBdr>
        <w:top w:val="none" w:sz="0" w:space="0" w:color="auto"/>
        <w:left w:val="none" w:sz="0" w:space="0" w:color="auto"/>
        <w:bottom w:val="none" w:sz="0" w:space="0" w:color="auto"/>
        <w:right w:val="none" w:sz="0" w:space="0" w:color="auto"/>
      </w:divBdr>
    </w:div>
    <w:div w:id="1098332106">
      <w:bodyDiv w:val="1"/>
      <w:marLeft w:val="0"/>
      <w:marRight w:val="0"/>
      <w:marTop w:val="0"/>
      <w:marBottom w:val="0"/>
      <w:divBdr>
        <w:top w:val="none" w:sz="0" w:space="0" w:color="auto"/>
        <w:left w:val="none" w:sz="0" w:space="0" w:color="auto"/>
        <w:bottom w:val="none" w:sz="0" w:space="0" w:color="auto"/>
        <w:right w:val="none" w:sz="0" w:space="0" w:color="auto"/>
      </w:divBdr>
    </w:div>
    <w:div w:id="1195773862">
      <w:bodyDiv w:val="1"/>
      <w:marLeft w:val="0"/>
      <w:marRight w:val="0"/>
      <w:marTop w:val="0"/>
      <w:marBottom w:val="0"/>
      <w:divBdr>
        <w:top w:val="none" w:sz="0" w:space="0" w:color="auto"/>
        <w:left w:val="none" w:sz="0" w:space="0" w:color="auto"/>
        <w:bottom w:val="none" w:sz="0" w:space="0" w:color="auto"/>
        <w:right w:val="none" w:sz="0" w:space="0" w:color="auto"/>
      </w:divBdr>
    </w:div>
    <w:div w:id="1203446659">
      <w:bodyDiv w:val="1"/>
      <w:marLeft w:val="0"/>
      <w:marRight w:val="0"/>
      <w:marTop w:val="0"/>
      <w:marBottom w:val="0"/>
      <w:divBdr>
        <w:top w:val="none" w:sz="0" w:space="0" w:color="auto"/>
        <w:left w:val="none" w:sz="0" w:space="0" w:color="auto"/>
        <w:bottom w:val="none" w:sz="0" w:space="0" w:color="auto"/>
        <w:right w:val="none" w:sz="0" w:space="0" w:color="auto"/>
      </w:divBdr>
    </w:div>
    <w:div w:id="1261792763">
      <w:bodyDiv w:val="1"/>
      <w:marLeft w:val="0"/>
      <w:marRight w:val="0"/>
      <w:marTop w:val="0"/>
      <w:marBottom w:val="0"/>
      <w:divBdr>
        <w:top w:val="none" w:sz="0" w:space="0" w:color="auto"/>
        <w:left w:val="none" w:sz="0" w:space="0" w:color="auto"/>
        <w:bottom w:val="none" w:sz="0" w:space="0" w:color="auto"/>
        <w:right w:val="none" w:sz="0" w:space="0" w:color="auto"/>
      </w:divBdr>
    </w:div>
    <w:div w:id="1288120850">
      <w:bodyDiv w:val="1"/>
      <w:marLeft w:val="0"/>
      <w:marRight w:val="0"/>
      <w:marTop w:val="0"/>
      <w:marBottom w:val="0"/>
      <w:divBdr>
        <w:top w:val="none" w:sz="0" w:space="0" w:color="auto"/>
        <w:left w:val="none" w:sz="0" w:space="0" w:color="auto"/>
        <w:bottom w:val="none" w:sz="0" w:space="0" w:color="auto"/>
        <w:right w:val="none" w:sz="0" w:space="0" w:color="auto"/>
      </w:divBdr>
    </w:div>
    <w:div w:id="1302808878">
      <w:bodyDiv w:val="1"/>
      <w:marLeft w:val="0"/>
      <w:marRight w:val="0"/>
      <w:marTop w:val="0"/>
      <w:marBottom w:val="0"/>
      <w:divBdr>
        <w:top w:val="none" w:sz="0" w:space="0" w:color="auto"/>
        <w:left w:val="none" w:sz="0" w:space="0" w:color="auto"/>
        <w:bottom w:val="none" w:sz="0" w:space="0" w:color="auto"/>
        <w:right w:val="none" w:sz="0" w:space="0" w:color="auto"/>
      </w:divBdr>
    </w:div>
    <w:div w:id="1315262274">
      <w:bodyDiv w:val="1"/>
      <w:marLeft w:val="0"/>
      <w:marRight w:val="0"/>
      <w:marTop w:val="0"/>
      <w:marBottom w:val="0"/>
      <w:divBdr>
        <w:top w:val="none" w:sz="0" w:space="0" w:color="auto"/>
        <w:left w:val="none" w:sz="0" w:space="0" w:color="auto"/>
        <w:bottom w:val="none" w:sz="0" w:space="0" w:color="auto"/>
        <w:right w:val="none" w:sz="0" w:space="0" w:color="auto"/>
      </w:divBdr>
    </w:div>
    <w:div w:id="1404916155">
      <w:bodyDiv w:val="1"/>
      <w:marLeft w:val="0"/>
      <w:marRight w:val="0"/>
      <w:marTop w:val="0"/>
      <w:marBottom w:val="0"/>
      <w:divBdr>
        <w:top w:val="none" w:sz="0" w:space="0" w:color="auto"/>
        <w:left w:val="none" w:sz="0" w:space="0" w:color="auto"/>
        <w:bottom w:val="none" w:sz="0" w:space="0" w:color="auto"/>
        <w:right w:val="none" w:sz="0" w:space="0" w:color="auto"/>
      </w:divBdr>
    </w:div>
    <w:div w:id="1426224100">
      <w:bodyDiv w:val="1"/>
      <w:marLeft w:val="0"/>
      <w:marRight w:val="0"/>
      <w:marTop w:val="0"/>
      <w:marBottom w:val="0"/>
      <w:divBdr>
        <w:top w:val="none" w:sz="0" w:space="0" w:color="auto"/>
        <w:left w:val="none" w:sz="0" w:space="0" w:color="auto"/>
        <w:bottom w:val="none" w:sz="0" w:space="0" w:color="auto"/>
        <w:right w:val="none" w:sz="0" w:space="0" w:color="auto"/>
      </w:divBdr>
    </w:div>
    <w:div w:id="1442187160">
      <w:bodyDiv w:val="1"/>
      <w:marLeft w:val="0"/>
      <w:marRight w:val="0"/>
      <w:marTop w:val="0"/>
      <w:marBottom w:val="0"/>
      <w:divBdr>
        <w:top w:val="none" w:sz="0" w:space="0" w:color="auto"/>
        <w:left w:val="none" w:sz="0" w:space="0" w:color="auto"/>
        <w:bottom w:val="none" w:sz="0" w:space="0" w:color="auto"/>
        <w:right w:val="none" w:sz="0" w:space="0" w:color="auto"/>
      </w:divBdr>
    </w:div>
    <w:div w:id="1467426635">
      <w:bodyDiv w:val="1"/>
      <w:marLeft w:val="0"/>
      <w:marRight w:val="0"/>
      <w:marTop w:val="0"/>
      <w:marBottom w:val="0"/>
      <w:divBdr>
        <w:top w:val="none" w:sz="0" w:space="0" w:color="auto"/>
        <w:left w:val="none" w:sz="0" w:space="0" w:color="auto"/>
        <w:bottom w:val="none" w:sz="0" w:space="0" w:color="auto"/>
        <w:right w:val="none" w:sz="0" w:space="0" w:color="auto"/>
      </w:divBdr>
    </w:div>
    <w:div w:id="1633704952">
      <w:bodyDiv w:val="1"/>
      <w:marLeft w:val="0"/>
      <w:marRight w:val="0"/>
      <w:marTop w:val="0"/>
      <w:marBottom w:val="0"/>
      <w:divBdr>
        <w:top w:val="none" w:sz="0" w:space="0" w:color="auto"/>
        <w:left w:val="none" w:sz="0" w:space="0" w:color="auto"/>
        <w:bottom w:val="none" w:sz="0" w:space="0" w:color="auto"/>
        <w:right w:val="none" w:sz="0" w:space="0" w:color="auto"/>
      </w:divBdr>
    </w:div>
    <w:div w:id="1663897148">
      <w:bodyDiv w:val="1"/>
      <w:marLeft w:val="0"/>
      <w:marRight w:val="0"/>
      <w:marTop w:val="0"/>
      <w:marBottom w:val="0"/>
      <w:divBdr>
        <w:top w:val="none" w:sz="0" w:space="0" w:color="auto"/>
        <w:left w:val="none" w:sz="0" w:space="0" w:color="auto"/>
        <w:bottom w:val="none" w:sz="0" w:space="0" w:color="auto"/>
        <w:right w:val="none" w:sz="0" w:space="0" w:color="auto"/>
      </w:divBdr>
    </w:div>
    <w:div w:id="1794329043">
      <w:bodyDiv w:val="1"/>
      <w:marLeft w:val="0"/>
      <w:marRight w:val="0"/>
      <w:marTop w:val="0"/>
      <w:marBottom w:val="0"/>
      <w:divBdr>
        <w:top w:val="none" w:sz="0" w:space="0" w:color="auto"/>
        <w:left w:val="none" w:sz="0" w:space="0" w:color="auto"/>
        <w:bottom w:val="none" w:sz="0" w:space="0" w:color="auto"/>
        <w:right w:val="none" w:sz="0" w:space="0" w:color="auto"/>
      </w:divBdr>
    </w:div>
    <w:div w:id="1824928011">
      <w:bodyDiv w:val="1"/>
      <w:marLeft w:val="0"/>
      <w:marRight w:val="0"/>
      <w:marTop w:val="0"/>
      <w:marBottom w:val="0"/>
      <w:divBdr>
        <w:top w:val="none" w:sz="0" w:space="0" w:color="auto"/>
        <w:left w:val="none" w:sz="0" w:space="0" w:color="auto"/>
        <w:bottom w:val="none" w:sz="0" w:space="0" w:color="auto"/>
        <w:right w:val="none" w:sz="0" w:space="0" w:color="auto"/>
      </w:divBdr>
    </w:div>
    <w:div w:id="2017027245">
      <w:bodyDiv w:val="1"/>
      <w:marLeft w:val="0"/>
      <w:marRight w:val="0"/>
      <w:marTop w:val="0"/>
      <w:marBottom w:val="0"/>
      <w:divBdr>
        <w:top w:val="none" w:sz="0" w:space="0" w:color="auto"/>
        <w:left w:val="none" w:sz="0" w:space="0" w:color="auto"/>
        <w:bottom w:val="none" w:sz="0" w:space="0" w:color="auto"/>
        <w:right w:val="none" w:sz="0" w:space="0" w:color="auto"/>
      </w:divBdr>
    </w:div>
    <w:div w:id="2065331188">
      <w:bodyDiv w:val="1"/>
      <w:marLeft w:val="0"/>
      <w:marRight w:val="0"/>
      <w:marTop w:val="0"/>
      <w:marBottom w:val="0"/>
      <w:divBdr>
        <w:top w:val="none" w:sz="0" w:space="0" w:color="auto"/>
        <w:left w:val="none" w:sz="0" w:space="0" w:color="auto"/>
        <w:bottom w:val="none" w:sz="0" w:space="0" w:color="auto"/>
        <w:right w:val="none" w:sz="0" w:space="0" w:color="auto"/>
      </w:divBdr>
    </w:div>
    <w:div w:id="214519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c-csc.ca/case-dossier/info/sum-som-eng.aspx?cas=40346"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c-csc.ca/case-dossier/info/sum-som-eng.aspx?cas=40276"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gistry-greffe@scc-csc.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scc-csc.ca/case-dossier/info/sum-som-fra.aspx?cas=4034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cc-csc.ca/case-dossier/info/sum-som-fra.aspx?cas=4027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1477</Words>
  <Characters>8270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9728</CharactersWithSpaces>
  <SharedDoc>false</SharedDoc>
  <HLinks>
    <vt:vector size="48" baseType="variant">
      <vt:variant>
        <vt:i4>524364</vt:i4>
      </vt:variant>
      <vt:variant>
        <vt:i4>23</vt:i4>
      </vt:variant>
      <vt:variant>
        <vt:i4>0</vt:i4>
      </vt:variant>
      <vt:variant>
        <vt:i4>5</vt:i4>
      </vt:variant>
      <vt:variant>
        <vt:lpwstr>http://www.scc-csc.gc.ca/news-nouv/rel-com/subs-abon-fra.aspx</vt:lpwstr>
      </vt:variant>
      <vt:variant>
        <vt:lpwstr/>
      </vt:variant>
      <vt:variant>
        <vt:i4>852048</vt:i4>
      </vt:variant>
      <vt:variant>
        <vt:i4>20</vt:i4>
      </vt:variant>
      <vt:variant>
        <vt:i4>0</vt:i4>
      </vt:variant>
      <vt:variant>
        <vt:i4>5</vt:i4>
      </vt:variant>
      <vt:variant>
        <vt:lpwstr>http://www.scc-csc.gc.ca/news-nouv/rel-com/subs-abon-eng.aspx</vt:lpwstr>
      </vt:variant>
      <vt:variant>
        <vt:lpwstr/>
      </vt:variant>
      <vt:variant>
        <vt:i4>3080213</vt:i4>
      </vt:variant>
      <vt:variant>
        <vt:i4>17</vt:i4>
      </vt:variant>
      <vt:variant>
        <vt:i4>0</vt:i4>
      </vt:variant>
      <vt:variant>
        <vt:i4>5</vt:i4>
      </vt:variant>
      <vt:variant>
        <vt:lpwstr>mailto:comments-commentaires@scc-csc.ca</vt:lpwstr>
      </vt:variant>
      <vt:variant>
        <vt:lpwstr/>
      </vt:variant>
      <vt:variant>
        <vt:i4>589830</vt:i4>
      </vt:variant>
      <vt:variant>
        <vt:i4>14</vt:i4>
      </vt:variant>
      <vt:variant>
        <vt:i4>0</vt:i4>
      </vt:variant>
      <vt:variant>
        <vt:i4>5</vt:i4>
      </vt:variant>
      <vt:variant>
        <vt:lpwstr>http://www.scc-csc.gc.ca/case-dossier/info/sum-som-eng.aspx?cas=36064</vt:lpwstr>
      </vt:variant>
      <vt:variant>
        <vt:lpwstr/>
      </vt:variant>
      <vt:variant>
        <vt:i4>720911</vt:i4>
      </vt:variant>
      <vt:variant>
        <vt:i4>11</vt:i4>
      </vt:variant>
      <vt:variant>
        <vt:i4>0</vt:i4>
      </vt:variant>
      <vt:variant>
        <vt:i4>5</vt:i4>
      </vt:variant>
      <vt:variant>
        <vt:lpwstr>http://www.scc-csc.gc.ca/case-dossier/info/sum-som-eng.aspx?cas=35977</vt:lpwstr>
      </vt:variant>
      <vt:variant>
        <vt:lpwstr/>
      </vt:variant>
      <vt:variant>
        <vt:i4>720898</vt:i4>
      </vt:variant>
      <vt:variant>
        <vt:i4>8</vt:i4>
      </vt:variant>
      <vt:variant>
        <vt:i4>0</vt:i4>
      </vt:variant>
      <vt:variant>
        <vt:i4>5</vt:i4>
      </vt:variant>
      <vt:variant>
        <vt:lpwstr>http://www.scc-csc.gc.ca/case-dossier/info/sum-som-eng.aspx?cas=35475</vt:lpwstr>
      </vt:variant>
      <vt:variant>
        <vt:lpwstr/>
      </vt:variant>
      <vt:variant>
        <vt:i4>2424895</vt:i4>
      </vt:variant>
      <vt:variant>
        <vt:i4>5</vt:i4>
      </vt:variant>
      <vt:variant>
        <vt:i4>0</vt:i4>
      </vt:variant>
      <vt:variant>
        <vt:i4>5</vt:i4>
      </vt:variant>
      <vt:variant>
        <vt:lpwstr>http://scc-csc.lexum.com/scc-csc/news/fr/item/4916/index.do</vt:lpwstr>
      </vt:variant>
      <vt:variant>
        <vt:lpwstr/>
      </vt:variant>
      <vt:variant>
        <vt:i4>3735612</vt:i4>
      </vt:variant>
      <vt:variant>
        <vt:i4>2</vt:i4>
      </vt:variant>
      <vt:variant>
        <vt:i4>0</vt:i4>
      </vt:variant>
      <vt:variant>
        <vt:i4>5</vt:i4>
      </vt:variant>
      <vt:variant>
        <vt:lpwstr>http://scc-csc.lexum.com/scc-csc/news/en/item/4916/index.do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2024-05-15T18:18:00Z</dcterms:created>
  <dcterms:modified xsi:type="dcterms:W3CDTF">2024-05-15T18:32:00Z</dcterms:modified>
</cp:coreProperties>
</file>