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D759F7" w:rsidRDefault="003F43E6" w:rsidP="003F43E6">
      <w:pPr>
        <w:pStyle w:val="Header"/>
        <w:jc w:val="center"/>
        <w:rPr>
          <w:b/>
          <w:sz w:val="32"/>
        </w:rPr>
      </w:pPr>
      <w:r w:rsidRPr="00D759F7">
        <w:rPr>
          <w:b/>
          <w:sz w:val="32"/>
        </w:rPr>
        <w:t>Supreme Court of Canada / Cour suprême du Canada</w:t>
      </w:r>
    </w:p>
    <w:p w:rsidR="003F43E6" w:rsidRPr="00D759F7" w:rsidRDefault="003F43E6" w:rsidP="006F2579">
      <w:pPr>
        <w:widowControl w:val="0"/>
        <w:rPr>
          <w:i/>
        </w:rPr>
      </w:pPr>
    </w:p>
    <w:p w:rsidR="003F43E6" w:rsidRPr="00D759F7" w:rsidRDefault="003F43E6" w:rsidP="006F2579">
      <w:pPr>
        <w:widowControl w:val="0"/>
        <w:rPr>
          <w:i/>
        </w:rPr>
      </w:pPr>
    </w:p>
    <w:p w:rsidR="006F2579" w:rsidRPr="00D759F7" w:rsidRDefault="006F2579" w:rsidP="006F2579">
      <w:pPr>
        <w:widowControl w:val="0"/>
        <w:rPr>
          <w:i/>
          <w:sz w:val="20"/>
          <w:lang w:val="fr-CA"/>
        </w:rPr>
      </w:pPr>
      <w:r w:rsidRPr="00D759F7">
        <w:rPr>
          <w:i/>
          <w:sz w:val="20"/>
          <w:lang w:val="fr-CA"/>
        </w:rPr>
        <w:t>(</w:t>
      </w:r>
      <w:r w:rsidR="008F3C5D" w:rsidRPr="00D759F7">
        <w:rPr>
          <w:i/>
          <w:sz w:val="20"/>
          <w:lang w:val="fr-CA"/>
        </w:rPr>
        <w:t>L</w:t>
      </w:r>
      <w:r w:rsidRPr="00D759F7">
        <w:rPr>
          <w:i/>
          <w:sz w:val="20"/>
          <w:lang w:val="fr-CA"/>
        </w:rPr>
        <w:t>e français suit)</w:t>
      </w:r>
    </w:p>
    <w:p w:rsidR="006F2579" w:rsidRPr="00D759F7" w:rsidRDefault="006F2579" w:rsidP="006F2579">
      <w:pPr>
        <w:widowControl w:val="0"/>
        <w:rPr>
          <w:lang w:val="fr-CA"/>
        </w:rPr>
      </w:pPr>
    </w:p>
    <w:p w:rsidR="006F2579" w:rsidRPr="00D759F7" w:rsidRDefault="00C007C3" w:rsidP="006F2579">
      <w:pPr>
        <w:widowControl w:val="0"/>
        <w:jc w:val="center"/>
        <w:rPr>
          <w:b/>
          <w:lang w:val="fr-CA"/>
        </w:rPr>
      </w:pPr>
      <w:r w:rsidRPr="00D759F7">
        <w:fldChar w:fldCharType="begin"/>
      </w:r>
      <w:r w:rsidR="006F2579" w:rsidRPr="00D759F7">
        <w:rPr>
          <w:lang w:val="fr-CA"/>
        </w:rPr>
        <w:instrText xml:space="preserve"> SEQ CHAPTER \h \r 1</w:instrText>
      </w:r>
      <w:r w:rsidRPr="00D759F7">
        <w:fldChar w:fldCharType="end"/>
      </w:r>
      <w:r w:rsidR="002767DF" w:rsidRPr="00D759F7">
        <w:rPr>
          <w:b/>
          <w:lang w:val="fr-CA"/>
        </w:rPr>
        <w:t xml:space="preserve">JUDGMENTS </w:t>
      </w:r>
      <w:r w:rsidR="00E72873" w:rsidRPr="00D759F7">
        <w:rPr>
          <w:b/>
          <w:lang w:val="fr-CA"/>
        </w:rPr>
        <w:t>O</w:t>
      </w:r>
      <w:r w:rsidR="004C4C26" w:rsidRPr="00D759F7">
        <w:rPr>
          <w:b/>
          <w:lang w:val="fr-CA"/>
        </w:rPr>
        <w:t>N LEAVE APPLICATION</w:t>
      </w:r>
      <w:r w:rsidR="002375D8" w:rsidRPr="00D759F7">
        <w:rPr>
          <w:b/>
          <w:lang w:val="fr-CA"/>
        </w:rPr>
        <w:t>S</w:t>
      </w:r>
    </w:p>
    <w:p w:rsidR="006F2579" w:rsidRPr="00D759F7" w:rsidRDefault="006F2579" w:rsidP="006F2579">
      <w:pPr>
        <w:widowControl w:val="0"/>
        <w:rPr>
          <w:lang w:val="fr-CA"/>
        </w:rPr>
      </w:pPr>
    </w:p>
    <w:p w:rsidR="006F2579" w:rsidRPr="00D759F7" w:rsidRDefault="00B44DF4" w:rsidP="006F2579">
      <w:pPr>
        <w:widowControl w:val="0"/>
        <w:rPr>
          <w:lang w:val="en-CA"/>
        </w:rPr>
      </w:pPr>
      <w:r w:rsidRPr="00D759F7">
        <w:rPr>
          <w:b/>
          <w:lang w:val="en-CA"/>
        </w:rPr>
        <w:t>J</w:t>
      </w:r>
      <w:r w:rsidR="002C3296" w:rsidRPr="00D759F7">
        <w:rPr>
          <w:b/>
          <w:lang w:val="en-CA"/>
        </w:rPr>
        <w:t>une</w:t>
      </w:r>
      <w:r w:rsidR="00C9475D" w:rsidRPr="00D759F7">
        <w:rPr>
          <w:b/>
          <w:lang w:val="en-CA"/>
        </w:rPr>
        <w:t xml:space="preserve"> </w:t>
      </w:r>
      <w:r w:rsidR="002C3296" w:rsidRPr="00D759F7">
        <w:rPr>
          <w:b/>
          <w:lang w:val="en-CA"/>
        </w:rPr>
        <w:t>27</w:t>
      </w:r>
      <w:r w:rsidR="00170148" w:rsidRPr="00D759F7">
        <w:rPr>
          <w:b/>
          <w:lang w:val="en-CA"/>
        </w:rPr>
        <w:t>,</w:t>
      </w:r>
      <w:r w:rsidR="008825DB" w:rsidRPr="00D759F7">
        <w:rPr>
          <w:b/>
          <w:lang w:val="en-CA"/>
        </w:rPr>
        <w:t xml:space="preserve"> 20</w:t>
      </w:r>
      <w:r w:rsidRPr="00D759F7">
        <w:rPr>
          <w:b/>
          <w:lang w:val="en-CA"/>
        </w:rPr>
        <w:t>2</w:t>
      </w:r>
      <w:r w:rsidR="00645EBD" w:rsidRPr="00D759F7">
        <w:rPr>
          <w:b/>
          <w:lang w:val="en-CA"/>
        </w:rPr>
        <w:t>4</w:t>
      </w:r>
    </w:p>
    <w:p w:rsidR="006F2579" w:rsidRPr="00D759F7" w:rsidRDefault="006F2579" w:rsidP="006F2579">
      <w:pPr>
        <w:widowControl w:val="0"/>
        <w:rPr>
          <w:lang w:val="en-CA"/>
        </w:rPr>
      </w:pPr>
    </w:p>
    <w:p w:rsidR="006F2579" w:rsidRPr="00D759F7" w:rsidRDefault="002767DF" w:rsidP="006F2579">
      <w:pPr>
        <w:widowControl w:val="0"/>
      </w:pPr>
      <w:r w:rsidRPr="00D759F7">
        <w:rPr>
          <w:b/>
        </w:rPr>
        <w:t>OTTAWA</w:t>
      </w:r>
      <w:r w:rsidRPr="00D759F7">
        <w:t xml:space="preserve"> – </w:t>
      </w:r>
      <w:r w:rsidR="002E3D11" w:rsidRPr="00D759F7">
        <w:t>The Supreme Court of Canada has decided the following leave applications.</w:t>
      </w:r>
    </w:p>
    <w:p w:rsidR="006F2579" w:rsidRPr="00B05145" w:rsidRDefault="006F2579" w:rsidP="006F2579">
      <w:pPr>
        <w:widowControl w:val="0"/>
        <w:rPr>
          <w:sz w:val="20"/>
        </w:rPr>
      </w:pPr>
    </w:p>
    <w:p w:rsidR="00B05145" w:rsidRPr="00B05145" w:rsidRDefault="00B05145" w:rsidP="006F2579">
      <w:pPr>
        <w:widowControl w:val="0"/>
        <w:rPr>
          <w:sz w:val="20"/>
        </w:rPr>
      </w:pPr>
    </w:p>
    <w:p w:rsidR="0045185C" w:rsidRPr="00D759F7" w:rsidRDefault="0045185C" w:rsidP="0045185C">
      <w:pPr>
        <w:jc w:val="both"/>
        <w:rPr>
          <w:sz w:val="20"/>
          <w:lang w:val="en-CA"/>
        </w:rPr>
      </w:pPr>
      <w:r w:rsidRPr="00D759F7">
        <w:rPr>
          <w:b/>
          <w:sz w:val="22"/>
          <w:szCs w:val="22"/>
          <w:lang w:val="en-CA"/>
        </w:rPr>
        <w:t>GRANTED</w:t>
      </w:r>
    </w:p>
    <w:p w:rsidR="0045185C" w:rsidRPr="00D759F7" w:rsidRDefault="0045185C" w:rsidP="0045185C">
      <w:pPr>
        <w:jc w:val="both"/>
        <w:rPr>
          <w:sz w:val="20"/>
          <w:lang w:val="en-CA"/>
        </w:rPr>
      </w:pPr>
    </w:p>
    <w:p w:rsidR="00170BC0" w:rsidRPr="00D759F7" w:rsidRDefault="00170BC0" w:rsidP="00170BC0">
      <w:pPr>
        <w:tabs>
          <w:tab w:val="left" w:pos="360"/>
        </w:tabs>
        <w:rPr>
          <w:i/>
          <w:sz w:val="22"/>
          <w:szCs w:val="22"/>
        </w:rPr>
      </w:pPr>
      <w:r w:rsidRPr="00D759F7">
        <w:rPr>
          <w:i/>
          <w:sz w:val="22"/>
          <w:szCs w:val="22"/>
        </w:rPr>
        <w:t>His Majesty the King v. Wayne Lester Singer</w:t>
      </w:r>
      <w:r w:rsidRPr="00D759F7">
        <w:rPr>
          <w:sz w:val="22"/>
          <w:szCs w:val="22"/>
        </w:rPr>
        <w:t xml:space="preserve"> (Sask.) (Criminal) (By Leave) (</w:t>
      </w:r>
      <w:hyperlink r:id="rId8" w:history="1">
        <w:r w:rsidRPr="00D759F7">
          <w:rPr>
            <w:rStyle w:val="Hyperlink"/>
            <w:sz w:val="22"/>
            <w:szCs w:val="22"/>
          </w:rPr>
          <w:t>41090</w:t>
        </w:r>
      </w:hyperlink>
      <w:r w:rsidRPr="00D759F7">
        <w:rPr>
          <w:sz w:val="22"/>
          <w:szCs w:val="22"/>
        </w:rPr>
        <w:t>)</w:t>
      </w:r>
    </w:p>
    <w:p w:rsidR="0014508F" w:rsidRPr="00D759F7" w:rsidRDefault="0014508F" w:rsidP="0045185C">
      <w:pPr>
        <w:jc w:val="both"/>
        <w:rPr>
          <w:sz w:val="20"/>
          <w:lang w:val="en-CA"/>
        </w:rPr>
      </w:pPr>
    </w:p>
    <w:p w:rsidR="00170BC0" w:rsidRPr="00D759F7" w:rsidRDefault="00170BC0" w:rsidP="00170BC0">
      <w:pPr>
        <w:jc w:val="both"/>
        <w:rPr>
          <w:sz w:val="20"/>
        </w:rPr>
      </w:pPr>
      <w:r w:rsidRPr="00D759F7">
        <w:rPr>
          <w:sz w:val="20"/>
        </w:rPr>
        <w:t>The application for leave to appeal from the judgment of the Court of Appeal for Saskatchewan, Number CACR3530, 2023 SKCA 123, dated November 15, 2023, is granted.</w:t>
      </w:r>
    </w:p>
    <w:p w:rsidR="00170BC0" w:rsidRPr="00D759F7" w:rsidRDefault="00170BC0" w:rsidP="0045185C">
      <w:pPr>
        <w:jc w:val="both"/>
        <w:rPr>
          <w:sz w:val="20"/>
          <w:lang w:val="en-CA"/>
        </w:rPr>
      </w:pPr>
    </w:p>
    <w:p w:rsidR="00170BC0" w:rsidRPr="00D759F7" w:rsidRDefault="00CE1ED8" w:rsidP="0045185C">
      <w:pPr>
        <w:jc w:val="both"/>
        <w:rPr>
          <w:sz w:val="20"/>
          <w:lang w:val="fr-CA"/>
        </w:rPr>
      </w:pPr>
      <w:r>
        <w:rPr>
          <w:sz w:val="20"/>
        </w:rPr>
        <w:pict>
          <v:rect id="_x0000_i1025" style="width:2in;height:1pt" o:hrpct="0" o:hralign="center" o:hrstd="t" o:hrnoshade="t" o:hr="t" fillcolor="black [3213]" stroked="f"/>
        </w:pict>
      </w:r>
    </w:p>
    <w:p w:rsidR="00170BC0" w:rsidRPr="00D759F7" w:rsidRDefault="00170BC0" w:rsidP="0045185C">
      <w:pPr>
        <w:jc w:val="both"/>
        <w:rPr>
          <w:sz w:val="20"/>
          <w:lang w:val="fr-CA"/>
        </w:rPr>
      </w:pPr>
    </w:p>
    <w:p w:rsidR="008F59DD" w:rsidRPr="00D759F7" w:rsidRDefault="008F59DD" w:rsidP="008F59DD">
      <w:pPr>
        <w:pStyle w:val="SCCLsocParty"/>
        <w:jc w:val="left"/>
        <w:rPr>
          <w:i/>
          <w:sz w:val="22"/>
          <w:lang w:val="en-CA"/>
        </w:rPr>
      </w:pPr>
      <w:bookmarkStart w:id="0" w:name="_Hlk165458636"/>
      <w:r w:rsidRPr="00D759F7">
        <w:rPr>
          <w:i/>
          <w:sz w:val="22"/>
        </w:rPr>
        <w:t>Ville de Sainte-Julie v. Investissements Laroda Inc.</w:t>
      </w:r>
      <w:r w:rsidRPr="00D759F7">
        <w:rPr>
          <w:sz w:val="22"/>
        </w:rPr>
        <w:t xml:space="preserve"> </w:t>
      </w:r>
      <w:r w:rsidRPr="00D759F7">
        <w:rPr>
          <w:sz w:val="22"/>
          <w:lang w:val="en-CA"/>
        </w:rPr>
        <w:t>(Que.) (Civil) (By Leave) (</w:t>
      </w:r>
      <w:hyperlink r:id="rId9" w:history="1">
        <w:r w:rsidRPr="00D759F7">
          <w:rPr>
            <w:rStyle w:val="Hyperlink"/>
            <w:sz w:val="22"/>
            <w:lang w:val="en-CA"/>
          </w:rPr>
          <w:t>41036</w:t>
        </w:r>
      </w:hyperlink>
      <w:r w:rsidRPr="00D759F7">
        <w:rPr>
          <w:sz w:val="22"/>
          <w:lang w:val="en-CA"/>
        </w:rPr>
        <w:t>)</w:t>
      </w:r>
    </w:p>
    <w:bookmarkEnd w:id="0"/>
    <w:p w:rsidR="0014508F" w:rsidRPr="00D759F7" w:rsidRDefault="0014508F" w:rsidP="0045185C">
      <w:pPr>
        <w:jc w:val="both"/>
        <w:rPr>
          <w:sz w:val="20"/>
          <w:lang w:val="en-CA"/>
        </w:rPr>
      </w:pPr>
    </w:p>
    <w:p w:rsidR="008F59DD" w:rsidRPr="00D759F7" w:rsidRDefault="008F59DD" w:rsidP="008F59DD">
      <w:pPr>
        <w:jc w:val="both"/>
        <w:rPr>
          <w:sz w:val="20"/>
          <w:lang w:val="en-CA"/>
        </w:rPr>
      </w:pPr>
      <w:r w:rsidRPr="00D759F7">
        <w:rPr>
          <w:sz w:val="20"/>
          <w:lang w:val="en-CA"/>
        </w:rPr>
        <w:t xml:space="preserve">The application for leave to appeal and the application for leave to cross-appeal from the judgment of the </w:t>
      </w:r>
      <w:r w:rsidRPr="00D759F7">
        <w:rPr>
          <w:sz w:val="20"/>
        </w:rPr>
        <w:t>Court of Appeal of Quebec (Montréal)</w:t>
      </w:r>
      <w:r w:rsidRPr="00D759F7">
        <w:rPr>
          <w:sz w:val="20"/>
          <w:lang w:val="en-CA"/>
        </w:rPr>
        <w:t xml:space="preserve">, Number </w:t>
      </w:r>
      <w:r w:rsidRPr="00D759F7">
        <w:rPr>
          <w:sz w:val="20"/>
        </w:rPr>
        <w:t>500-09-029730-215</w:t>
      </w:r>
      <w:r w:rsidRPr="00D759F7">
        <w:rPr>
          <w:sz w:val="20"/>
          <w:lang w:val="en-CA"/>
        </w:rPr>
        <w:t xml:space="preserve">, </w:t>
      </w:r>
      <w:r w:rsidRPr="00D759F7">
        <w:rPr>
          <w:sz w:val="20"/>
        </w:rPr>
        <w:t xml:space="preserve">2023 QCCA 1294, </w:t>
      </w:r>
      <w:r w:rsidRPr="00D759F7">
        <w:rPr>
          <w:sz w:val="20"/>
          <w:lang w:val="en-CA"/>
        </w:rPr>
        <w:t xml:space="preserve">dated </w:t>
      </w:r>
      <w:r w:rsidRPr="00D759F7">
        <w:rPr>
          <w:sz w:val="20"/>
        </w:rPr>
        <w:t>October 18, 2023,</w:t>
      </w:r>
      <w:r w:rsidRPr="00D759F7">
        <w:rPr>
          <w:sz w:val="20"/>
          <w:lang w:val="en-CA"/>
        </w:rPr>
        <w:t xml:space="preserve"> are granted with costs in the cause.</w:t>
      </w:r>
    </w:p>
    <w:p w:rsidR="0045185C" w:rsidRPr="00D759F7" w:rsidRDefault="0045185C" w:rsidP="0045185C">
      <w:pPr>
        <w:jc w:val="both"/>
        <w:rPr>
          <w:sz w:val="20"/>
        </w:rPr>
      </w:pPr>
    </w:p>
    <w:p w:rsidR="0045185C" w:rsidRPr="00D759F7" w:rsidRDefault="00CE1ED8" w:rsidP="0045185C">
      <w:pPr>
        <w:jc w:val="both"/>
        <w:rPr>
          <w:sz w:val="22"/>
          <w:szCs w:val="22"/>
        </w:rPr>
      </w:pPr>
      <w:r>
        <w:rPr>
          <w:sz w:val="20"/>
        </w:rPr>
        <w:pict>
          <v:rect id="_x0000_i1026" style="width:2in;height:1pt" o:hrpct="0" o:hralign="center" o:hrstd="t" o:hrnoshade="t" o:hr="t" fillcolor="black [3213]" stroked="f"/>
        </w:pict>
      </w:r>
    </w:p>
    <w:p w:rsidR="0045185C" w:rsidRPr="00D759F7" w:rsidRDefault="0045185C" w:rsidP="0045185C">
      <w:pPr>
        <w:jc w:val="both"/>
        <w:rPr>
          <w:sz w:val="20"/>
        </w:rPr>
      </w:pPr>
    </w:p>
    <w:p w:rsidR="0045185C" w:rsidRPr="00D759F7" w:rsidRDefault="0045185C" w:rsidP="0045185C">
      <w:pPr>
        <w:jc w:val="both"/>
        <w:rPr>
          <w:b/>
          <w:sz w:val="22"/>
          <w:szCs w:val="22"/>
        </w:rPr>
      </w:pPr>
      <w:r w:rsidRPr="00D759F7">
        <w:rPr>
          <w:b/>
          <w:sz w:val="22"/>
          <w:szCs w:val="22"/>
        </w:rPr>
        <w:t>DISMISSED</w:t>
      </w:r>
    </w:p>
    <w:p w:rsidR="0045185C" w:rsidRPr="00D759F7" w:rsidRDefault="0045185C" w:rsidP="0045185C">
      <w:pPr>
        <w:jc w:val="both"/>
        <w:rPr>
          <w:sz w:val="20"/>
        </w:rPr>
      </w:pPr>
    </w:p>
    <w:p w:rsidR="00971D1E" w:rsidRPr="00D759F7" w:rsidRDefault="00971D1E" w:rsidP="00971D1E">
      <w:pPr>
        <w:tabs>
          <w:tab w:val="left" w:pos="360"/>
        </w:tabs>
        <w:rPr>
          <w:i/>
          <w:sz w:val="22"/>
          <w:szCs w:val="22"/>
          <w:lang w:val="en-CA"/>
        </w:rPr>
      </w:pPr>
      <w:r w:rsidRPr="00D759F7">
        <w:rPr>
          <w:i/>
          <w:sz w:val="22"/>
          <w:szCs w:val="22"/>
        </w:rPr>
        <w:t xml:space="preserve">Dr Steven Lapointe, in his capacity as assistant syndic of the Collège des médecins du Québec v. Dr Sébastien Paquin </w:t>
      </w:r>
      <w:r w:rsidRPr="00D759F7">
        <w:rPr>
          <w:sz w:val="22"/>
          <w:szCs w:val="22"/>
        </w:rPr>
        <w:t xml:space="preserve">(Que.) </w:t>
      </w:r>
      <w:r w:rsidRPr="00D759F7">
        <w:rPr>
          <w:sz w:val="22"/>
          <w:szCs w:val="22"/>
          <w:lang w:val="en-CA"/>
        </w:rPr>
        <w:t>(Civil) (By Leave) (</w:t>
      </w:r>
      <w:hyperlink r:id="rId10" w:history="1">
        <w:r w:rsidRPr="00D759F7">
          <w:rPr>
            <w:rStyle w:val="Hyperlink"/>
            <w:sz w:val="22"/>
            <w:szCs w:val="22"/>
            <w:lang w:val="en-CA"/>
          </w:rPr>
          <w:t>40961</w:t>
        </w:r>
      </w:hyperlink>
      <w:r w:rsidRPr="00D759F7">
        <w:rPr>
          <w:sz w:val="22"/>
          <w:szCs w:val="22"/>
          <w:lang w:val="en-CA"/>
        </w:rPr>
        <w:t>)</w:t>
      </w:r>
    </w:p>
    <w:p w:rsidR="0045185C" w:rsidRPr="00D759F7" w:rsidRDefault="0045185C" w:rsidP="0045185C">
      <w:pPr>
        <w:widowControl w:val="0"/>
        <w:rPr>
          <w:sz w:val="20"/>
        </w:rPr>
      </w:pPr>
    </w:p>
    <w:p w:rsidR="0045185C" w:rsidRPr="00D759F7" w:rsidRDefault="00971D1E" w:rsidP="00971D1E">
      <w:pPr>
        <w:jc w:val="both"/>
        <w:rPr>
          <w:sz w:val="20"/>
          <w:lang w:val="en-CA"/>
        </w:rPr>
      </w:pPr>
      <w:r w:rsidRPr="00D759F7">
        <w:rPr>
          <w:sz w:val="20"/>
          <w:lang w:val="en-CA"/>
        </w:rPr>
        <w:t>The application for leave to appeal from the judgment of the</w:t>
      </w:r>
      <w:bookmarkStart w:id="1" w:name="BM_1_"/>
      <w:bookmarkEnd w:id="1"/>
      <w:r w:rsidRPr="00D759F7">
        <w:rPr>
          <w:sz w:val="20"/>
          <w:lang w:val="en-CA"/>
        </w:rPr>
        <w:t xml:space="preserve"> Court of Appeal of Quebec (Québec), Number 200-09-010433-214, 2023 QCCA 1129, dated September 13, 2023, is dismissed with costs.</w:t>
      </w:r>
    </w:p>
    <w:p w:rsidR="00971D1E" w:rsidRPr="00D759F7" w:rsidRDefault="00971D1E" w:rsidP="00971D1E">
      <w:pPr>
        <w:jc w:val="both"/>
        <w:rPr>
          <w:sz w:val="20"/>
        </w:rPr>
      </w:pPr>
    </w:p>
    <w:p w:rsidR="0045185C" w:rsidRPr="00D759F7" w:rsidRDefault="00CE1ED8" w:rsidP="0045185C">
      <w:pPr>
        <w:contextualSpacing/>
        <w:jc w:val="both"/>
        <w:rPr>
          <w:sz w:val="20"/>
          <w:lang w:val="fr-CA"/>
        </w:rPr>
      </w:pPr>
      <w:r>
        <w:rPr>
          <w:sz w:val="20"/>
        </w:rPr>
        <w:pict>
          <v:rect id="_x0000_i1027" style="width:2in;height:1pt" o:hrpct="0" o:hralign="center" o:hrstd="t" o:hrnoshade="t" o:hr="t" fillcolor="black [3213]" stroked="f"/>
        </w:pict>
      </w:r>
    </w:p>
    <w:p w:rsidR="0045185C" w:rsidRPr="00D759F7" w:rsidRDefault="0045185C" w:rsidP="0045185C">
      <w:pPr>
        <w:ind w:left="357" w:hanging="357"/>
        <w:rPr>
          <w:sz w:val="20"/>
        </w:rPr>
      </w:pPr>
    </w:p>
    <w:p w:rsidR="00E97275" w:rsidRPr="00D759F7" w:rsidRDefault="00E97275" w:rsidP="00E97275">
      <w:pPr>
        <w:tabs>
          <w:tab w:val="left" w:pos="360"/>
        </w:tabs>
        <w:rPr>
          <w:i/>
          <w:sz w:val="22"/>
          <w:szCs w:val="22"/>
        </w:rPr>
      </w:pPr>
      <w:r w:rsidRPr="00D759F7">
        <w:rPr>
          <w:i/>
          <w:sz w:val="22"/>
          <w:szCs w:val="22"/>
        </w:rPr>
        <w:t xml:space="preserve">Voltage Holdings, LLC v. Doe #1, et al. and Samuelson-Glushko Canadian Internet Policy &amp; Public Interest Clinic </w:t>
      </w:r>
      <w:r w:rsidRPr="00D759F7">
        <w:rPr>
          <w:sz w:val="22"/>
          <w:szCs w:val="22"/>
        </w:rPr>
        <w:t>(Fed.) (Civil) (By Leave) (</w:t>
      </w:r>
      <w:hyperlink r:id="rId11" w:history="1">
        <w:r w:rsidRPr="00D759F7">
          <w:rPr>
            <w:rStyle w:val="Hyperlink"/>
            <w:sz w:val="22"/>
            <w:szCs w:val="22"/>
          </w:rPr>
          <w:t>41026</w:t>
        </w:r>
      </w:hyperlink>
      <w:r w:rsidRPr="00D759F7">
        <w:rPr>
          <w:sz w:val="22"/>
          <w:szCs w:val="22"/>
        </w:rPr>
        <w:t>)</w:t>
      </w:r>
    </w:p>
    <w:p w:rsidR="0014508F" w:rsidRPr="00D759F7" w:rsidRDefault="0014508F" w:rsidP="0045185C">
      <w:pPr>
        <w:ind w:left="357" w:hanging="357"/>
        <w:rPr>
          <w:sz w:val="20"/>
        </w:rPr>
      </w:pPr>
    </w:p>
    <w:p w:rsidR="00E97275" w:rsidRPr="00D759F7" w:rsidRDefault="00E97275" w:rsidP="00E97275">
      <w:pPr>
        <w:jc w:val="both"/>
        <w:rPr>
          <w:sz w:val="20"/>
        </w:rPr>
      </w:pPr>
      <w:r w:rsidRPr="00D759F7">
        <w:rPr>
          <w:sz w:val="20"/>
        </w:rPr>
        <w:t>The application for leave to appeal from the judgment of the Federal Court of Appeal, Number A-129-22, 2023 FCA 194, dated September 27, 2023, is dismissed.</w:t>
      </w:r>
    </w:p>
    <w:p w:rsidR="0014508F" w:rsidRPr="00D759F7" w:rsidRDefault="0014508F" w:rsidP="0045185C">
      <w:pPr>
        <w:ind w:left="357" w:hanging="357"/>
        <w:rPr>
          <w:sz w:val="20"/>
        </w:rPr>
      </w:pPr>
    </w:p>
    <w:p w:rsidR="0045185C" w:rsidRPr="00D759F7" w:rsidRDefault="00CE1ED8" w:rsidP="0045185C">
      <w:pPr>
        <w:rPr>
          <w:sz w:val="20"/>
        </w:rPr>
      </w:pPr>
      <w:r>
        <w:rPr>
          <w:sz w:val="20"/>
        </w:rPr>
        <w:pict>
          <v:rect id="_x0000_i1028" style="width:2in;height:1pt" o:hrpct="0" o:hralign="center" o:hrstd="t" o:hrnoshade="t" o:hr="t" fillcolor="black [3213]" stroked="f"/>
        </w:pict>
      </w:r>
    </w:p>
    <w:p w:rsidR="0045185C" w:rsidRPr="00D759F7" w:rsidRDefault="0045185C" w:rsidP="0045185C">
      <w:pPr>
        <w:ind w:left="357" w:hanging="357"/>
        <w:rPr>
          <w:sz w:val="20"/>
        </w:rPr>
      </w:pPr>
    </w:p>
    <w:p w:rsidR="008C5167" w:rsidRPr="00D759F7" w:rsidRDefault="008C5167" w:rsidP="008C5167">
      <w:pPr>
        <w:tabs>
          <w:tab w:val="left" w:pos="360"/>
        </w:tabs>
        <w:rPr>
          <w:i/>
          <w:sz w:val="22"/>
          <w:szCs w:val="22"/>
        </w:rPr>
      </w:pPr>
      <w:r w:rsidRPr="00D759F7">
        <w:rPr>
          <w:i/>
          <w:sz w:val="22"/>
          <w:szCs w:val="22"/>
        </w:rPr>
        <w:t>Pharmascience Inc. v. Janssen Inc. and Janssen Pharmaceutica N.V.</w:t>
      </w:r>
      <w:r w:rsidRPr="00D759F7">
        <w:rPr>
          <w:sz w:val="22"/>
          <w:szCs w:val="22"/>
        </w:rPr>
        <w:t xml:space="preserve"> (Fed.) (Civil) (By Leave) (</w:t>
      </w:r>
      <w:hyperlink r:id="rId12" w:history="1">
        <w:r w:rsidRPr="00D759F7">
          <w:rPr>
            <w:rStyle w:val="Hyperlink"/>
            <w:sz w:val="22"/>
            <w:szCs w:val="22"/>
          </w:rPr>
          <w:t>41162</w:t>
        </w:r>
      </w:hyperlink>
      <w:r w:rsidRPr="00D759F7">
        <w:rPr>
          <w:sz w:val="22"/>
          <w:szCs w:val="22"/>
        </w:rPr>
        <w:t>)</w:t>
      </w:r>
    </w:p>
    <w:p w:rsidR="0014508F" w:rsidRPr="00D759F7" w:rsidRDefault="0014508F" w:rsidP="0045185C">
      <w:pPr>
        <w:ind w:left="357" w:hanging="357"/>
        <w:rPr>
          <w:sz w:val="20"/>
        </w:rPr>
      </w:pPr>
    </w:p>
    <w:p w:rsidR="008C5167" w:rsidRPr="00D759F7" w:rsidRDefault="008C5167" w:rsidP="008C5167">
      <w:pPr>
        <w:jc w:val="both"/>
        <w:rPr>
          <w:sz w:val="20"/>
        </w:rPr>
      </w:pPr>
      <w:r w:rsidRPr="00D759F7">
        <w:rPr>
          <w:sz w:val="20"/>
        </w:rPr>
        <w:t>The application for leave to appeal from the judgment of the Federal Court of Appeal, Number A-69-22, 2024 FCA 10, dated January 12, 2024, is dismissed with costs.</w:t>
      </w:r>
    </w:p>
    <w:p w:rsidR="0014508F" w:rsidRPr="00D759F7" w:rsidRDefault="0014508F" w:rsidP="0014508F">
      <w:pPr>
        <w:ind w:left="357" w:hanging="357"/>
        <w:rPr>
          <w:sz w:val="20"/>
        </w:rPr>
      </w:pPr>
    </w:p>
    <w:p w:rsidR="0014508F" w:rsidRPr="00D759F7" w:rsidRDefault="00CE1ED8" w:rsidP="0014508F">
      <w:pPr>
        <w:rPr>
          <w:sz w:val="20"/>
        </w:rPr>
      </w:pPr>
      <w:r>
        <w:rPr>
          <w:sz w:val="20"/>
        </w:rPr>
        <w:pict>
          <v:rect id="_x0000_i1029" style="width:2in;height:1pt" o:hrpct="0" o:hralign="center" o:hrstd="t" o:hrnoshade="t" o:hr="t" fillcolor="black [3213]" stroked="f"/>
        </w:pict>
      </w:r>
    </w:p>
    <w:p w:rsidR="0014508F" w:rsidRPr="00D759F7" w:rsidRDefault="0014508F" w:rsidP="0014508F">
      <w:pPr>
        <w:ind w:left="357" w:hanging="357"/>
        <w:rPr>
          <w:sz w:val="20"/>
        </w:rPr>
      </w:pPr>
    </w:p>
    <w:p w:rsidR="003E5BDC" w:rsidRPr="00D759F7" w:rsidRDefault="003E5BDC" w:rsidP="003E5BDC">
      <w:pPr>
        <w:tabs>
          <w:tab w:val="left" w:pos="360"/>
        </w:tabs>
        <w:rPr>
          <w:i/>
          <w:sz w:val="22"/>
          <w:szCs w:val="22"/>
          <w:lang w:val="en-CA"/>
        </w:rPr>
      </w:pPr>
      <w:r w:rsidRPr="00D759F7">
        <w:rPr>
          <w:i/>
          <w:sz w:val="22"/>
          <w:szCs w:val="22"/>
          <w:lang w:val="en-CA"/>
        </w:rPr>
        <w:t xml:space="preserve">His Majesty the King v. R.M. </w:t>
      </w:r>
      <w:r w:rsidRPr="00D759F7">
        <w:rPr>
          <w:sz w:val="22"/>
          <w:szCs w:val="22"/>
        </w:rPr>
        <w:t>(B.C.) (Criminal) (By Leave) (</w:t>
      </w:r>
      <w:hyperlink r:id="rId13" w:history="1">
        <w:r w:rsidRPr="00D759F7">
          <w:rPr>
            <w:rStyle w:val="Hyperlink"/>
            <w:sz w:val="22"/>
            <w:szCs w:val="22"/>
          </w:rPr>
          <w:t>41095</w:t>
        </w:r>
      </w:hyperlink>
      <w:r w:rsidRPr="00D759F7">
        <w:rPr>
          <w:sz w:val="22"/>
          <w:szCs w:val="22"/>
        </w:rPr>
        <w:t>)</w:t>
      </w:r>
    </w:p>
    <w:p w:rsidR="0014508F" w:rsidRPr="00D759F7" w:rsidRDefault="0014508F" w:rsidP="0014508F">
      <w:pPr>
        <w:ind w:left="357" w:hanging="357"/>
        <w:rPr>
          <w:sz w:val="20"/>
        </w:rPr>
      </w:pPr>
    </w:p>
    <w:p w:rsidR="003E5BDC" w:rsidRPr="00D759F7" w:rsidRDefault="003E5BDC" w:rsidP="003E5BDC">
      <w:pPr>
        <w:jc w:val="both"/>
        <w:rPr>
          <w:sz w:val="20"/>
        </w:rPr>
      </w:pPr>
      <w:r w:rsidRPr="00D759F7">
        <w:rPr>
          <w:sz w:val="20"/>
        </w:rPr>
        <w:lastRenderedPageBreak/>
        <w:t>The application for leave to appeal from the judgment of the Court of Appeal for British Columbia (Vancouver), Number CA48460, 2023 BCCA 455, dated December 11, 2023, is dismissed.</w:t>
      </w:r>
    </w:p>
    <w:p w:rsidR="0014508F" w:rsidRPr="00D759F7" w:rsidRDefault="0014508F" w:rsidP="00CE1ED8">
      <w:pPr>
        <w:ind w:left="357" w:hanging="357"/>
        <w:jc w:val="both"/>
        <w:rPr>
          <w:sz w:val="20"/>
        </w:rPr>
      </w:pPr>
    </w:p>
    <w:p w:rsidR="0014508F" w:rsidRPr="00D759F7" w:rsidRDefault="00CE1ED8" w:rsidP="0014508F">
      <w:pPr>
        <w:contextualSpacing/>
        <w:jc w:val="both"/>
        <w:rPr>
          <w:sz w:val="20"/>
          <w:lang w:val="fr-CA"/>
        </w:rPr>
      </w:pPr>
      <w:r>
        <w:rPr>
          <w:sz w:val="20"/>
        </w:rPr>
        <w:pict>
          <v:rect id="_x0000_i1030" style="width:2in;height:1pt" o:hrpct="0" o:hralign="center" o:hrstd="t" o:hrnoshade="t" o:hr="t" fillcolor="black [3213]" stroked="f"/>
        </w:pict>
      </w:r>
    </w:p>
    <w:p w:rsidR="0014508F" w:rsidRPr="00D759F7" w:rsidRDefault="0014508F" w:rsidP="0014508F">
      <w:pPr>
        <w:ind w:left="357" w:hanging="357"/>
        <w:rPr>
          <w:sz w:val="20"/>
        </w:rPr>
      </w:pPr>
    </w:p>
    <w:p w:rsidR="00170BC0" w:rsidRPr="00D759F7" w:rsidRDefault="00170BC0" w:rsidP="00170BC0">
      <w:pPr>
        <w:tabs>
          <w:tab w:val="left" w:pos="360"/>
        </w:tabs>
        <w:rPr>
          <w:i/>
          <w:sz w:val="22"/>
          <w:szCs w:val="22"/>
        </w:rPr>
      </w:pPr>
      <w:r w:rsidRPr="00D759F7">
        <w:rPr>
          <w:i/>
          <w:sz w:val="22"/>
          <w:szCs w:val="22"/>
        </w:rPr>
        <w:t xml:space="preserve">Kieran Devine v. His Majesty the King </w:t>
      </w:r>
      <w:r w:rsidRPr="00D759F7">
        <w:rPr>
          <w:sz w:val="22"/>
          <w:szCs w:val="22"/>
        </w:rPr>
        <w:t>(Fed.) (Civil) (By Leave) (</w:t>
      </w:r>
      <w:hyperlink r:id="rId14" w:history="1">
        <w:r w:rsidRPr="00D759F7">
          <w:rPr>
            <w:rStyle w:val="Hyperlink"/>
            <w:sz w:val="22"/>
            <w:szCs w:val="22"/>
          </w:rPr>
          <w:t>41094</w:t>
        </w:r>
      </w:hyperlink>
      <w:r w:rsidRPr="00D759F7">
        <w:rPr>
          <w:sz w:val="22"/>
          <w:szCs w:val="22"/>
        </w:rPr>
        <w:t>)</w:t>
      </w:r>
    </w:p>
    <w:p w:rsidR="0014508F" w:rsidRPr="00D759F7" w:rsidRDefault="0014508F" w:rsidP="0014508F">
      <w:pPr>
        <w:ind w:left="357" w:hanging="357"/>
        <w:rPr>
          <w:sz w:val="20"/>
        </w:rPr>
      </w:pPr>
    </w:p>
    <w:p w:rsidR="00170BC0" w:rsidRPr="00D759F7" w:rsidRDefault="00170BC0" w:rsidP="00170BC0">
      <w:pPr>
        <w:jc w:val="both"/>
        <w:rPr>
          <w:sz w:val="20"/>
        </w:rPr>
      </w:pPr>
      <w:r w:rsidRPr="00D759F7">
        <w:rPr>
          <w:sz w:val="20"/>
        </w:rPr>
        <w:t>Pursuant to Rule 6(1) of the Rules of the Supreme Court of Canada, the time to file the reply is extended to March 4, 2024. Pursuant to Rule 8(1) of the Rules of the Supreme Court of Canada, the applicant is dispensed with the service of the motion for directions. The motion for directions is dismissed. The application for leave to appeal from the judgment of the Federal Court of Appeal, Number A-200-23, 2023 FCA 223, dated November 15, 2023, is dismissed.</w:t>
      </w:r>
    </w:p>
    <w:p w:rsidR="0014508F" w:rsidRPr="00D759F7" w:rsidRDefault="0014508F" w:rsidP="0014508F">
      <w:pPr>
        <w:ind w:left="357" w:hanging="357"/>
        <w:rPr>
          <w:sz w:val="20"/>
        </w:rPr>
      </w:pPr>
    </w:p>
    <w:p w:rsidR="0014508F" w:rsidRPr="00D759F7" w:rsidRDefault="00CE1ED8" w:rsidP="0014508F">
      <w:pPr>
        <w:rPr>
          <w:sz w:val="20"/>
        </w:rPr>
      </w:pPr>
      <w:r>
        <w:rPr>
          <w:sz w:val="20"/>
        </w:rPr>
        <w:pict>
          <v:rect id="_x0000_i1031" style="width:2in;height:1pt" o:hrpct="0" o:hralign="center" o:hrstd="t" o:hrnoshade="t" o:hr="t" fillcolor="black [3213]" stroked="f"/>
        </w:pict>
      </w:r>
    </w:p>
    <w:p w:rsidR="0014508F" w:rsidRPr="00D759F7" w:rsidRDefault="0014508F" w:rsidP="0014508F">
      <w:pPr>
        <w:ind w:left="357" w:hanging="357"/>
        <w:rPr>
          <w:sz w:val="20"/>
        </w:rPr>
      </w:pPr>
    </w:p>
    <w:p w:rsidR="00BF4B34" w:rsidRPr="00D759F7" w:rsidRDefault="00BF4B34" w:rsidP="00BF4B34">
      <w:pPr>
        <w:tabs>
          <w:tab w:val="left" w:pos="360"/>
        </w:tabs>
        <w:rPr>
          <w:sz w:val="22"/>
          <w:szCs w:val="22"/>
          <w:lang w:val="en-CA"/>
        </w:rPr>
      </w:pPr>
      <w:r w:rsidRPr="00D759F7">
        <w:rPr>
          <w:i/>
          <w:sz w:val="22"/>
          <w:szCs w:val="22"/>
          <w:lang w:val="en-CA"/>
        </w:rPr>
        <w:t>SIR Corp., US S.I.R., LLC and/or subsidiaries and/or franchises and/or affiliated and/or associated firms and/or other interests as directed by SIR Corp. v. Aviva Insurance Company of Canada</w:t>
      </w:r>
      <w:r w:rsidRPr="00D759F7">
        <w:rPr>
          <w:sz w:val="22"/>
          <w:szCs w:val="22"/>
          <w:lang w:val="en-CA"/>
        </w:rPr>
        <w:t xml:space="preserve"> (Ont.) (Civil) (By Leave) </w:t>
      </w:r>
      <w:r w:rsidRPr="00D759F7">
        <w:rPr>
          <w:sz w:val="22"/>
          <w:szCs w:val="22"/>
        </w:rPr>
        <w:t>(</w:t>
      </w:r>
      <w:hyperlink r:id="rId15" w:history="1">
        <w:r w:rsidRPr="00D759F7">
          <w:rPr>
            <w:rStyle w:val="Hyperlink"/>
            <w:sz w:val="22"/>
            <w:szCs w:val="22"/>
          </w:rPr>
          <w:t>41092</w:t>
        </w:r>
      </w:hyperlink>
      <w:r w:rsidRPr="00D759F7">
        <w:rPr>
          <w:sz w:val="22"/>
          <w:szCs w:val="22"/>
        </w:rPr>
        <w:t>)</w:t>
      </w:r>
    </w:p>
    <w:p w:rsidR="0014508F" w:rsidRPr="00D759F7" w:rsidRDefault="0014508F" w:rsidP="0014508F">
      <w:pPr>
        <w:ind w:left="357" w:hanging="357"/>
        <w:rPr>
          <w:sz w:val="20"/>
        </w:rPr>
      </w:pPr>
    </w:p>
    <w:p w:rsidR="00BF4B34" w:rsidRPr="00D759F7" w:rsidRDefault="00BF4B34" w:rsidP="00BF4B34">
      <w:pPr>
        <w:jc w:val="both"/>
        <w:rPr>
          <w:sz w:val="20"/>
        </w:rPr>
      </w:pPr>
      <w:r w:rsidRPr="00D759F7">
        <w:rPr>
          <w:sz w:val="20"/>
        </w:rPr>
        <w:t>The application for leave to appeal from the judgment of the Court of Appeal for Ontario, Number COA-23-CV-0024, 2023 ONCA 778, dated November 22, 2023, is dismissed with costs.</w:t>
      </w:r>
    </w:p>
    <w:p w:rsidR="0014508F" w:rsidRPr="00D759F7" w:rsidRDefault="0014508F" w:rsidP="00CE1ED8">
      <w:pPr>
        <w:ind w:left="357" w:hanging="357"/>
        <w:jc w:val="both"/>
        <w:rPr>
          <w:sz w:val="20"/>
        </w:rPr>
      </w:pPr>
    </w:p>
    <w:p w:rsidR="0014508F" w:rsidRPr="00D759F7" w:rsidRDefault="00CE1ED8" w:rsidP="0014508F">
      <w:pPr>
        <w:contextualSpacing/>
        <w:jc w:val="both"/>
        <w:rPr>
          <w:sz w:val="20"/>
          <w:lang w:val="fr-CA"/>
        </w:rPr>
      </w:pPr>
      <w:r>
        <w:rPr>
          <w:sz w:val="20"/>
        </w:rPr>
        <w:pict>
          <v:rect id="_x0000_i1032" style="width:2in;height:1pt" o:hrpct="0" o:hralign="center" o:hrstd="t" o:hrnoshade="t" o:hr="t" fillcolor="black [3213]" stroked="f"/>
        </w:pict>
      </w:r>
    </w:p>
    <w:p w:rsidR="0014508F" w:rsidRPr="00D759F7" w:rsidRDefault="0014508F" w:rsidP="0014508F">
      <w:pPr>
        <w:ind w:left="357" w:hanging="357"/>
        <w:rPr>
          <w:sz w:val="20"/>
        </w:rPr>
      </w:pPr>
    </w:p>
    <w:p w:rsidR="00EC1584" w:rsidRPr="00D759F7" w:rsidRDefault="00EC1584" w:rsidP="00EC1584">
      <w:pPr>
        <w:tabs>
          <w:tab w:val="left" w:pos="360"/>
        </w:tabs>
        <w:rPr>
          <w:sz w:val="22"/>
          <w:szCs w:val="22"/>
          <w:lang w:val="en-CA"/>
        </w:rPr>
      </w:pPr>
      <w:r w:rsidRPr="00D759F7">
        <w:rPr>
          <w:i/>
          <w:sz w:val="22"/>
          <w:szCs w:val="22"/>
          <w:lang w:val="en-CA"/>
        </w:rPr>
        <w:t>Apotex Inc. v. Janssen Inc. and Janssen Pharmaceutica N.V.</w:t>
      </w:r>
      <w:r w:rsidRPr="00D759F7">
        <w:rPr>
          <w:sz w:val="22"/>
          <w:szCs w:val="22"/>
          <w:lang w:val="en-CA"/>
        </w:rPr>
        <w:t xml:space="preserve"> (Fed.) (Civil) (By Leave) </w:t>
      </w:r>
      <w:r w:rsidRPr="00D759F7">
        <w:rPr>
          <w:sz w:val="22"/>
          <w:szCs w:val="22"/>
        </w:rPr>
        <w:t>(</w:t>
      </w:r>
      <w:hyperlink r:id="rId16" w:history="1">
        <w:r w:rsidRPr="00D759F7">
          <w:rPr>
            <w:rStyle w:val="Hyperlink"/>
            <w:sz w:val="22"/>
            <w:szCs w:val="22"/>
          </w:rPr>
          <w:t>41164</w:t>
        </w:r>
      </w:hyperlink>
      <w:r w:rsidRPr="00D759F7">
        <w:rPr>
          <w:sz w:val="22"/>
          <w:szCs w:val="22"/>
        </w:rPr>
        <w:t>)</w:t>
      </w:r>
    </w:p>
    <w:p w:rsidR="0014508F" w:rsidRPr="00D759F7" w:rsidRDefault="0014508F" w:rsidP="0014508F">
      <w:pPr>
        <w:ind w:left="357" w:hanging="357"/>
        <w:rPr>
          <w:sz w:val="20"/>
        </w:rPr>
      </w:pPr>
    </w:p>
    <w:p w:rsidR="00EC1584" w:rsidRPr="00D759F7" w:rsidRDefault="00EC1584" w:rsidP="00EC1584">
      <w:pPr>
        <w:jc w:val="both"/>
        <w:rPr>
          <w:sz w:val="20"/>
        </w:rPr>
      </w:pPr>
      <w:r w:rsidRPr="00D759F7">
        <w:rPr>
          <w:sz w:val="20"/>
        </w:rPr>
        <w:t>The application for leave to appeal from the judgment of the Federal Court of Appeal, Number A-36-22, 2024 FCA 9, dated January 12, 2024, is dismissed with costs.</w:t>
      </w:r>
    </w:p>
    <w:p w:rsidR="0014508F" w:rsidRPr="00D759F7" w:rsidRDefault="0014508F" w:rsidP="0014508F">
      <w:pPr>
        <w:ind w:left="357" w:hanging="357"/>
        <w:rPr>
          <w:sz w:val="20"/>
        </w:rPr>
      </w:pPr>
    </w:p>
    <w:p w:rsidR="0014508F" w:rsidRPr="00D759F7" w:rsidRDefault="00CE1ED8" w:rsidP="0014508F">
      <w:pPr>
        <w:rPr>
          <w:sz w:val="20"/>
        </w:rPr>
      </w:pPr>
      <w:r>
        <w:rPr>
          <w:sz w:val="20"/>
        </w:rPr>
        <w:pict>
          <v:rect id="_x0000_i1033" style="width:2in;height:1pt" o:hrpct="0" o:hralign="center" o:hrstd="t" o:hrnoshade="t" o:hr="t" fillcolor="black [3213]" stroked="f"/>
        </w:pict>
      </w:r>
    </w:p>
    <w:p w:rsidR="0014508F" w:rsidRPr="00D759F7" w:rsidRDefault="0014508F" w:rsidP="0014508F">
      <w:pPr>
        <w:ind w:left="357" w:hanging="357"/>
        <w:rPr>
          <w:sz w:val="20"/>
        </w:rPr>
      </w:pPr>
    </w:p>
    <w:p w:rsidR="008B280D" w:rsidRPr="00D759F7" w:rsidRDefault="008B280D" w:rsidP="008B280D">
      <w:pPr>
        <w:tabs>
          <w:tab w:val="left" w:pos="360"/>
        </w:tabs>
        <w:rPr>
          <w:sz w:val="22"/>
          <w:szCs w:val="22"/>
          <w:lang w:val="en-CA"/>
        </w:rPr>
      </w:pPr>
      <w:r w:rsidRPr="00D759F7">
        <w:rPr>
          <w:i/>
          <w:sz w:val="22"/>
          <w:szCs w:val="22"/>
          <w:lang w:val="en-CA"/>
        </w:rPr>
        <w:t xml:space="preserve">Kyle Jones v. Minister of Justice of Canada </w:t>
      </w:r>
      <w:r w:rsidRPr="00D759F7">
        <w:rPr>
          <w:sz w:val="22"/>
          <w:szCs w:val="22"/>
          <w:lang w:val="en-CA"/>
        </w:rPr>
        <w:t xml:space="preserve">(Ont.) (Criminal) (By Leave) </w:t>
      </w:r>
      <w:r w:rsidRPr="00D759F7">
        <w:rPr>
          <w:sz w:val="22"/>
          <w:szCs w:val="22"/>
        </w:rPr>
        <w:t>(</w:t>
      </w:r>
      <w:hyperlink r:id="rId17" w:history="1">
        <w:r w:rsidRPr="00D759F7">
          <w:rPr>
            <w:rStyle w:val="Hyperlink"/>
            <w:sz w:val="22"/>
            <w:szCs w:val="22"/>
          </w:rPr>
          <w:t>41205</w:t>
        </w:r>
      </w:hyperlink>
      <w:r w:rsidRPr="00D759F7">
        <w:rPr>
          <w:sz w:val="22"/>
          <w:szCs w:val="22"/>
        </w:rPr>
        <w:t>)</w:t>
      </w:r>
    </w:p>
    <w:p w:rsidR="0014508F" w:rsidRPr="00D759F7" w:rsidRDefault="0014508F" w:rsidP="0014508F">
      <w:pPr>
        <w:ind w:left="357" w:hanging="357"/>
        <w:rPr>
          <w:sz w:val="20"/>
        </w:rPr>
      </w:pPr>
    </w:p>
    <w:p w:rsidR="008B280D" w:rsidRPr="00D759F7" w:rsidRDefault="008B280D" w:rsidP="008B280D">
      <w:pPr>
        <w:jc w:val="both"/>
        <w:rPr>
          <w:sz w:val="20"/>
        </w:rPr>
      </w:pPr>
      <w:r w:rsidRPr="00D759F7">
        <w:rPr>
          <w:sz w:val="20"/>
        </w:rPr>
        <w:t>The application for leave to appeal from the judgment of the Court of Appeal for Ontario, Number COA-23-CR-0178, 2024 ONCA 61, dated January 29, 2024, is dismissed.</w:t>
      </w:r>
    </w:p>
    <w:p w:rsidR="0014508F" w:rsidRPr="00D759F7" w:rsidRDefault="0014508F" w:rsidP="0014508F">
      <w:pPr>
        <w:ind w:left="357" w:hanging="357"/>
        <w:rPr>
          <w:sz w:val="20"/>
        </w:rPr>
      </w:pPr>
    </w:p>
    <w:p w:rsidR="0014508F" w:rsidRPr="00D759F7" w:rsidRDefault="00CE1ED8" w:rsidP="0014508F">
      <w:pPr>
        <w:rPr>
          <w:sz w:val="20"/>
        </w:rPr>
      </w:pPr>
      <w:r>
        <w:rPr>
          <w:sz w:val="20"/>
        </w:rPr>
        <w:pict>
          <v:rect id="_x0000_i1034" style="width:2in;height:1pt" o:hrpct="0" o:hralign="center" o:hrstd="t" o:hrnoshade="t" o:hr="t" fillcolor="black [3213]" stroked="f"/>
        </w:pict>
      </w:r>
    </w:p>
    <w:p w:rsidR="0014508F" w:rsidRPr="00D759F7" w:rsidRDefault="0014508F" w:rsidP="0014508F">
      <w:pPr>
        <w:ind w:left="357" w:hanging="357"/>
        <w:rPr>
          <w:sz w:val="20"/>
        </w:rPr>
      </w:pPr>
    </w:p>
    <w:p w:rsidR="00552022" w:rsidRPr="00D759F7" w:rsidRDefault="00552022" w:rsidP="00552022">
      <w:pPr>
        <w:rPr>
          <w:sz w:val="22"/>
          <w:szCs w:val="22"/>
          <w:lang w:val="en-CA"/>
        </w:rPr>
      </w:pPr>
      <w:r w:rsidRPr="00D759F7">
        <w:rPr>
          <w:i/>
          <w:sz w:val="22"/>
          <w:szCs w:val="22"/>
          <w:lang w:val="en-CA"/>
        </w:rPr>
        <w:t xml:space="preserve">Todd Mechalchuk v. Galaxy Motors (1990) Ltd. </w:t>
      </w:r>
      <w:r w:rsidRPr="00D759F7">
        <w:rPr>
          <w:sz w:val="22"/>
          <w:szCs w:val="22"/>
          <w:lang w:val="en-CA"/>
        </w:rPr>
        <w:t xml:space="preserve">(B.C.) (Civil) (By Leave) </w:t>
      </w:r>
      <w:r w:rsidRPr="00D759F7">
        <w:rPr>
          <w:sz w:val="22"/>
          <w:szCs w:val="22"/>
        </w:rPr>
        <w:t>(</w:t>
      </w:r>
      <w:hyperlink r:id="rId18" w:history="1">
        <w:r w:rsidRPr="00D759F7">
          <w:rPr>
            <w:rStyle w:val="Hyperlink"/>
            <w:sz w:val="22"/>
            <w:szCs w:val="22"/>
          </w:rPr>
          <w:t>41103</w:t>
        </w:r>
      </w:hyperlink>
      <w:r w:rsidRPr="00D759F7">
        <w:rPr>
          <w:sz w:val="22"/>
          <w:szCs w:val="22"/>
        </w:rPr>
        <w:t>)</w:t>
      </w:r>
    </w:p>
    <w:p w:rsidR="0014508F" w:rsidRPr="00D759F7" w:rsidRDefault="0014508F" w:rsidP="0014508F">
      <w:pPr>
        <w:ind w:left="357" w:hanging="357"/>
        <w:rPr>
          <w:sz w:val="20"/>
          <w:lang w:val="en-CA"/>
        </w:rPr>
      </w:pPr>
    </w:p>
    <w:p w:rsidR="00552022" w:rsidRPr="00D759F7" w:rsidRDefault="00552022" w:rsidP="00552022">
      <w:pPr>
        <w:jc w:val="both"/>
        <w:rPr>
          <w:sz w:val="20"/>
        </w:rPr>
      </w:pPr>
      <w:r w:rsidRPr="00D759F7">
        <w:rPr>
          <w:sz w:val="20"/>
        </w:rPr>
        <w:t>The application for leave to appeal from the judgment of the Court of Appeal for British Columbia (Vancouver), Number CA49041, 2023 BCCA 482, dated December 1, 2023, is dismissed with costs.</w:t>
      </w:r>
    </w:p>
    <w:p w:rsidR="0014508F" w:rsidRPr="00D759F7" w:rsidRDefault="0014508F" w:rsidP="00CE1ED8">
      <w:pPr>
        <w:ind w:left="357" w:hanging="357"/>
        <w:jc w:val="both"/>
        <w:rPr>
          <w:sz w:val="20"/>
        </w:rPr>
      </w:pPr>
      <w:bookmarkStart w:id="2" w:name="_GoBack"/>
      <w:bookmarkEnd w:id="2"/>
    </w:p>
    <w:p w:rsidR="0014508F" w:rsidRPr="00D759F7" w:rsidRDefault="00CE1ED8" w:rsidP="0014508F">
      <w:pPr>
        <w:contextualSpacing/>
        <w:jc w:val="both"/>
        <w:rPr>
          <w:sz w:val="20"/>
          <w:lang w:val="fr-CA"/>
        </w:rPr>
      </w:pPr>
      <w:r>
        <w:rPr>
          <w:sz w:val="20"/>
        </w:rPr>
        <w:pict>
          <v:rect id="_x0000_i1035" style="width:2in;height:1pt" o:hrpct="0" o:hralign="center" o:hrstd="t" o:hrnoshade="t" o:hr="t" fillcolor="black [3213]" stroked="f"/>
        </w:pict>
      </w:r>
    </w:p>
    <w:p w:rsidR="0014508F" w:rsidRPr="00D759F7" w:rsidRDefault="0014508F" w:rsidP="0014508F">
      <w:pPr>
        <w:ind w:left="357" w:hanging="357"/>
        <w:rPr>
          <w:sz w:val="20"/>
        </w:rPr>
      </w:pPr>
    </w:p>
    <w:p w:rsidR="00130CEE" w:rsidRPr="00D759F7" w:rsidRDefault="00130CEE" w:rsidP="00130CEE">
      <w:pPr>
        <w:pStyle w:val="SCCLsocParty"/>
        <w:jc w:val="left"/>
        <w:rPr>
          <w:i/>
          <w:sz w:val="22"/>
          <w:lang w:val="en-CA"/>
        </w:rPr>
      </w:pPr>
      <w:r w:rsidRPr="00D759F7">
        <w:rPr>
          <w:i/>
          <w:sz w:val="22"/>
          <w:lang w:val="en-CA"/>
        </w:rPr>
        <w:t>Adam Simeunovich v. His Majesty the King</w:t>
      </w:r>
      <w:r w:rsidRPr="00D759F7">
        <w:rPr>
          <w:sz w:val="22"/>
          <w:lang w:val="en-CA"/>
        </w:rPr>
        <w:t xml:space="preserve"> (Ont.) (Criminal) (By Leave) (</w:t>
      </w:r>
      <w:hyperlink r:id="rId19" w:history="1">
        <w:r w:rsidRPr="00D759F7">
          <w:rPr>
            <w:rStyle w:val="Hyperlink"/>
            <w:sz w:val="22"/>
            <w:lang w:val="en-CA"/>
          </w:rPr>
          <w:t>41129</w:t>
        </w:r>
      </w:hyperlink>
      <w:r w:rsidRPr="00D759F7">
        <w:rPr>
          <w:sz w:val="22"/>
          <w:lang w:val="en-CA"/>
        </w:rPr>
        <w:t>)</w:t>
      </w:r>
    </w:p>
    <w:p w:rsidR="0014508F" w:rsidRPr="00D759F7" w:rsidRDefault="0014508F" w:rsidP="0014508F">
      <w:pPr>
        <w:ind w:left="357" w:hanging="357"/>
        <w:rPr>
          <w:sz w:val="20"/>
        </w:rPr>
      </w:pPr>
    </w:p>
    <w:p w:rsidR="00130CEE" w:rsidRPr="00D759F7" w:rsidRDefault="00130CEE" w:rsidP="00130CEE">
      <w:pPr>
        <w:jc w:val="both"/>
        <w:rPr>
          <w:sz w:val="20"/>
        </w:rPr>
      </w:pPr>
      <w:r w:rsidRPr="00D759F7">
        <w:rPr>
          <w:sz w:val="20"/>
        </w:rPr>
        <w:t>The motion for an extension of time to serve and file the application for leave to appeal is granted. The application for leave to appeal from the judgment of the Court of Appeal for Ontario, Number COA-22-CR-0371, 2023 ONCA 562, dated August 28, 2023, is dismissed.</w:t>
      </w:r>
    </w:p>
    <w:p w:rsidR="0014508F" w:rsidRPr="00D759F7" w:rsidRDefault="0014508F" w:rsidP="0014508F">
      <w:pPr>
        <w:ind w:left="357" w:hanging="357"/>
        <w:rPr>
          <w:sz w:val="20"/>
        </w:rPr>
      </w:pPr>
    </w:p>
    <w:p w:rsidR="0014508F" w:rsidRPr="00D759F7" w:rsidRDefault="00CE1ED8" w:rsidP="0014508F">
      <w:pPr>
        <w:rPr>
          <w:sz w:val="20"/>
        </w:rPr>
      </w:pPr>
      <w:r>
        <w:rPr>
          <w:sz w:val="20"/>
        </w:rPr>
        <w:pict>
          <v:rect id="_x0000_i1036" style="width:2in;height:1pt" o:hrpct="0" o:hralign="center" o:hrstd="t" o:hrnoshade="t" o:hr="t" fillcolor="black [3213]" stroked="f"/>
        </w:pict>
      </w:r>
    </w:p>
    <w:p w:rsidR="0014508F" w:rsidRPr="00D759F7" w:rsidRDefault="0014508F" w:rsidP="0014508F">
      <w:pPr>
        <w:ind w:left="357" w:hanging="357"/>
        <w:rPr>
          <w:sz w:val="20"/>
        </w:rPr>
      </w:pPr>
    </w:p>
    <w:p w:rsidR="0014508F" w:rsidRPr="00D759F7" w:rsidRDefault="00D759F7" w:rsidP="0014508F">
      <w:pPr>
        <w:pStyle w:val="SCCLsocParty"/>
        <w:jc w:val="left"/>
        <w:rPr>
          <w:sz w:val="22"/>
          <w:lang w:val="en-CA"/>
        </w:rPr>
      </w:pPr>
      <w:r w:rsidRPr="00D759F7">
        <w:rPr>
          <w:i/>
          <w:sz w:val="22"/>
          <w:lang w:val="en-CA"/>
        </w:rPr>
        <w:t>Souphin Inlakhana, Damion Inlakhana, Somnuck Inlakhana and Khambay Inlakhana</w:t>
      </w:r>
      <w:r w:rsidR="0014508F" w:rsidRPr="00D759F7">
        <w:rPr>
          <w:i/>
          <w:sz w:val="22"/>
          <w:lang w:val="en-CA"/>
        </w:rPr>
        <w:t xml:space="preserve"> v. Attorney General of Canada</w:t>
      </w:r>
      <w:r w:rsidR="0014508F" w:rsidRPr="00D759F7">
        <w:rPr>
          <w:sz w:val="22"/>
          <w:lang w:val="en-CA"/>
        </w:rPr>
        <w:t xml:space="preserve"> (Ont.) (Civil) (By Leave) (</w:t>
      </w:r>
      <w:hyperlink r:id="rId20" w:history="1">
        <w:r w:rsidR="0014508F" w:rsidRPr="00D759F7">
          <w:rPr>
            <w:rStyle w:val="Hyperlink"/>
            <w:sz w:val="22"/>
            <w:lang w:val="en-CA"/>
          </w:rPr>
          <w:t>41130</w:t>
        </w:r>
      </w:hyperlink>
      <w:r w:rsidR="0014508F" w:rsidRPr="00D759F7">
        <w:rPr>
          <w:sz w:val="22"/>
          <w:lang w:val="en-CA"/>
        </w:rPr>
        <w:t>)</w:t>
      </w:r>
    </w:p>
    <w:p w:rsidR="008F59DD" w:rsidRPr="00D759F7" w:rsidRDefault="008F59DD" w:rsidP="008F59DD">
      <w:pPr>
        <w:rPr>
          <w:sz w:val="20"/>
          <w:lang w:val="en-CA"/>
        </w:rPr>
      </w:pPr>
    </w:p>
    <w:p w:rsidR="00D759F7" w:rsidRPr="00D759F7" w:rsidRDefault="00D759F7" w:rsidP="00D759F7">
      <w:pPr>
        <w:jc w:val="both"/>
        <w:rPr>
          <w:sz w:val="20"/>
        </w:rPr>
      </w:pPr>
      <w:r w:rsidRPr="00D759F7">
        <w:rPr>
          <w:sz w:val="20"/>
        </w:rPr>
        <w:t>The application for leave to appeal from the judgment of the Court of Appeal for Ontario, Number COA-23-CV-0395, 2023 ONCA 836, dated December 19, 2023, is dismissed with costs.</w:t>
      </w:r>
    </w:p>
    <w:p w:rsidR="0045185C" w:rsidRPr="00D759F7" w:rsidRDefault="0045185C" w:rsidP="006F2579">
      <w:pPr>
        <w:widowControl w:val="0"/>
        <w:rPr>
          <w:lang w:val="en-CA"/>
        </w:rPr>
      </w:pPr>
    </w:p>
    <w:p w:rsidR="0045185C" w:rsidRPr="00D759F7" w:rsidRDefault="0045185C" w:rsidP="006F2579">
      <w:pPr>
        <w:widowControl w:val="0"/>
      </w:pPr>
    </w:p>
    <w:p w:rsidR="0045185C" w:rsidRPr="00D759F7" w:rsidRDefault="00CE1ED8" w:rsidP="006F2579">
      <w:pPr>
        <w:widowControl w:val="0"/>
      </w:pPr>
      <w:r>
        <w:rPr>
          <w:sz w:val="18"/>
          <w:szCs w:val="18"/>
        </w:rPr>
        <w:pict>
          <v:rect id="_x0000_i1037" style="width:272.25pt;height:1.5pt" o:hrpct="0" o:hralign="center" o:hrstd="t" o:hrnoshade="t" o:hr="t" fillcolor="black [3213]" stroked="f"/>
        </w:pict>
      </w:r>
    </w:p>
    <w:p w:rsidR="0045185C" w:rsidRPr="00D759F7" w:rsidRDefault="0045185C" w:rsidP="006F2579">
      <w:pPr>
        <w:widowControl w:val="0"/>
      </w:pPr>
    </w:p>
    <w:p w:rsidR="0045185C" w:rsidRPr="00D759F7" w:rsidRDefault="0045185C" w:rsidP="006F2579">
      <w:pPr>
        <w:widowControl w:val="0"/>
      </w:pPr>
    </w:p>
    <w:p w:rsidR="002767DF" w:rsidRPr="00D759F7" w:rsidRDefault="002767DF" w:rsidP="002767DF">
      <w:pPr>
        <w:widowControl w:val="0"/>
        <w:jc w:val="center"/>
        <w:rPr>
          <w:lang w:val="fr-CA"/>
        </w:rPr>
      </w:pPr>
      <w:r w:rsidRPr="00D759F7">
        <w:rPr>
          <w:b/>
          <w:lang w:val="fr-CA"/>
        </w:rPr>
        <w:t>JUGEMENT</w:t>
      </w:r>
      <w:r w:rsidR="004C4C26" w:rsidRPr="00D759F7">
        <w:rPr>
          <w:b/>
          <w:lang w:val="fr-CA"/>
        </w:rPr>
        <w:t>S SUR DEMANDE</w:t>
      </w:r>
      <w:r w:rsidR="00CC044F" w:rsidRPr="00D759F7">
        <w:rPr>
          <w:b/>
          <w:lang w:val="fr-CA"/>
        </w:rPr>
        <w:t>S</w:t>
      </w:r>
      <w:r w:rsidRPr="00D759F7">
        <w:rPr>
          <w:b/>
          <w:lang w:val="fr-CA"/>
        </w:rPr>
        <w:t xml:space="preserve"> D’AUTORISATION</w:t>
      </w:r>
    </w:p>
    <w:p w:rsidR="006F2579" w:rsidRPr="00D759F7" w:rsidRDefault="006F2579" w:rsidP="006F2579">
      <w:pPr>
        <w:widowControl w:val="0"/>
        <w:rPr>
          <w:lang w:val="fr-CA"/>
        </w:rPr>
      </w:pPr>
    </w:p>
    <w:p w:rsidR="006F2579" w:rsidRPr="00D759F7" w:rsidRDefault="006F2579" w:rsidP="006F2579">
      <w:pPr>
        <w:widowControl w:val="0"/>
        <w:rPr>
          <w:lang w:val="fr-CA"/>
        </w:rPr>
      </w:pPr>
      <w:r w:rsidRPr="00D759F7">
        <w:rPr>
          <w:b/>
          <w:lang w:val="fr-CA"/>
        </w:rPr>
        <w:t>Le</w:t>
      </w:r>
      <w:r w:rsidR="008825DB" w:rsidRPr="00D759F7">
        <w:rPr>
          <w:b/>
          <w:lang w:val="fr-CA"/>
        </w:rPr>
        <w:t xml:space="preserve"> </w:t>
      </w:r>
      <w:r w:rsidR="002C3296" w:rsidRPr="00D759F7">
        <w:rPr>
          <w:b/>
          <w:lang w:val="fr-CA"/>
        </w:rPr>
        <w:t>27</w:t>
      </w:r>
      <w:r w:rsidR="00C9475D" w:rsidRPr="00D759F7">
        <w:rPr>
          <w:b/>
          <w:lang w:val="fr-CA"/>
        </w:rPr>
        <w:t xml:space="preserve"> </w:t>
      </w:r>
      <w:r w:rsidR="00B44DF4" w:rsidRPr="00D759F7">
        <w:rPr>
          <w:b/>
          <w:lang w:val="fr-CA"/>
        </w:rPr>
        <w:t>j</w:t>
      </w:r>
      <w:r w:rsidR="002C3296" w:rsidRPr="00D759F7">
        <w:rPr>
          <w:b/>
          <w:lang w:val="fr-CA"/>
        </w:rPr>
        <w:t>ui</w:t>
      </w:r>
      <w:r w:rsidR="00B44DF4" w:rsidRPr="00D759F7">
        <w:rPr>
          <w:b/>
          <w:lang w:val="fr-CA"/>
        </w:rPr>
        <w:t>n</w:t>
      </w:r>
      <w:r w:rsidR="002C3296" w:rsidRPr="00D759F7">
        <w:rPr>
          <w:b/>
          <w:lang w:val="fr-CA"/>
        </w:rPr>
        <w:t xml:space="preserve"> 2024</w:t>
      </w:r>
    </w:p>
    <w:p w:rsidR="006F2579" w:rsidRPr="00D759F7" w:rsidRDefault="006F2579" w:rsidP="006F2579">
      <w:pPr>
        <w:widowControl w:val="0"/>
        <w:rPr>
          <w:lang w:val="fr-CA"/>
        </w:rPr>
      </w:pPr>
    </w:p>
    <w:p w:rsidR="002767DF" w:rsidRPr="00D759F7" w:rsidRDefault="002767DF" w:rsidP="002767DF">
      <w:pPr>
        <w:widowControl w:val="0"/>
        <w:rPr>
          <w:lang w:val="fr-CA"/>
        </w:rPr>
      </w:pPr>
      <w:r w:rsidRPr="00D759F7">
        <w:rPr>
          <w:b/>
          <w:lang w:val="fr-CA"/>
        </w:rPr>
        <w:t>OTTAWA</w:t>
      </w:r>
      <w:r w:rsidRPr="00D759F7">
        <w:rPr>
          <w:lang w:val="fr-CA"/>
        </w:rPr>
        <w:t xml:space="preserve"> – </w:t>
      </w:r>
      <w:r w:rsidR="002E3D11" w:rsidRPr="00D759F7">
        <w:rPr>
          <w:lang w:val="fr-CA"/>
        </w:rPr>
        <w:t>La Cour suprême du Canada s’est prononcée sur</w:t>
      </w:r>
      <w:r w:rsidR="002C3296" w:rsidRPr="00D759F7">
        <w:rPr>
          <w:lang w:val="fr-CA"/>
        </w:rPr>
        <w:t xml:space="preserve"> les demandes d’autorisation suivantes</w:t>
      </w:r>
      <w:r w:rsidR="002E3D11" w:rsidRPr="00D759F7">
        <w:rPr>
          <w:lang w:val="fr-CA"/>
        </w:rPr>
        <w:t>.</w:t>
      </w:r>
    </w:p>
    <w:p w:rsidR="00694BDA" w:rsidRPr="00D759F7" w:rsidRDefault="00694BDA" w:rsidP="000B5274">
      <w:pPr>
        <w:jc w:val="both"/>
        <w:rPr>
          <w:sz w:val="20"/>
          <w:lang w:val="fr-CA"/>
        </w:rPr>
      </w:pPr>
    </w:p>
    <w:p w:rsidR="005976BA" w:rsidRPr="00D759F7" w:rsidRDefault="005976BA" w:rsidP="000B5274">
      <w:pPr>
        <w:jc w:val="both"/>
        <w:rPr>
          <w:sz w:val="20"/>
          <w:lang w:val="fr-CA"/>
        </w:rPr>
      </w:pPr>
    </w:p>
    <w:p w:rsidR="00645A91" w:rsidRPr="00D759F7" w:rsidRDefault="00645A91" w:rsidP="00645A91">
      <w:pPr>
        <w:jc w:val="both"/>
        <w:rPr>
          <w:sz w:val="20"/>
          <w:lang w:val="fr-CA"/>
        </w:rPr>
      </w:pPr>
      <w:r w:rsidRPr="00D759F7">
        <w:rPr>
          <w:b/>
          <w:sz w:val="22"/>
          <w:szCs w:val="22"/>
          <w:lang w:val="fr-CA"/>
        </w:rPr>
        <w:t>ACCORDÉE</w:t>
      </w:r>
      <w:r w:rsidR="000662BE" w:rsidRPr="00D759F7">
        <w:rPr>
          <w:b/>
          <w:sz w:val="22"/>
          <w:szCs w:val="22"/>
          <w:lang w:val="fr-CA"/>
        </w:rPr>
        <w:t>S</w:t>
      </w:r>
    </w:p>
    <w:p w:rsidR="003C3024" w:rsidRPr="00D759F7" w:rsidRDefault="003C3024" w:rsidP="003C3024">
      <w:pPr>
        <w:jc w:val="both"/>
        <w:rPr>
          <w:sz w:val="20"/>
          <w:lang w:val="fr-CA"/>
        </w:rPr>
      </w:pPr>
    </w:p>
    <w:p w:rsidR="00170BC0" w:rsidRPr="00D759F7" w:rsidRDefault="00170BC0" w:rsidP="00170BC0">
      <w:pPr>
        <w:tabs>
          <w:tab w:val="left" w:pos="360"/>
        </w:tabs>
        <w:rPr>
          <w:i/>
          <w:sz w:val="22"/>
          <w:szCs w:val="22"/>
          <w:lang w:val="fr-CA"/>
        </w:rPr>
      </w:pPr>
      <w:r w:rsidRPr="00D759F7">
        <w:rPr>
          <w:i/>
          <w:sz w:val="22"/>
          <w:szCs w:val="22"/>
          <w:lang w:val="fr-CA"/>
        </w:rPr>
        <w:t>Sa Majesté le Roi c. Wayne Lester Singer</w:t>
      </w:r>
      <w:r w:rsidRPr="00D759F7">
        <w:rPr>
          <w:sz w:val="22"/>
          <w:szCs w:val="22"/>
          <w:lang w:val="fr-CA"/>
        </w:rPr>
        <w:t xml:space="preserve"> (Sask.) (Criminelle) (Autorisation) (</w:t>
      </w:r>
      <w:hyperlink r:id="rId21" w:history="1">
        <w:r w:rsidRPr="00D759F7">
          <w:rPr>
            <w:rStyle w:val="Hyperlink"/>
            <w:sz w:val="22"/>
            <w:szCs w:val="22"/>
            <w:lang w:val="fr-CA"/>
          </w:rPr>
          <w:t>41090</w:t>
        </w:r>
      </w:hyperlink>
      <w:r w:rsidRPr="00D759F7">
        <w:rPr>
          <w:sz w:val="22"/>
          <w:szCs w:val="22"/>
          <w:lang w:val="fr-CA"/>
        </w:rPr>
        <w:t>)</w:t>
      </w:r>
    </w:p>
    <w:p w:rsidR="00193E43" w:rsidRPr="00D759F7" w:rsidRDefault="00193E43" w:rsidP="00645A91">
      <w:pPr>
        <w:jc w:val="both"/>
        <w:rPr>
          <w:sz w:val="20"/>
          <w:lang w:val="fr-CA"/>
        </w:rPr>
      </w:pPr>
    </w:p>
    <w:p w:rsidR="001401A9" w:rsidRPr="00B05145" w:rsidRDefault="00170BC0" w:rsidP="00645A91">
      <w:pPr>
        <w:jc w:val="both"/>
        <w:rPr>
          <w:sz w:val="20"/>
          <w:lang w:val="fr-CA"/>
        </w:rPr>
      </w:pPr>
      <w:r w:rsidRPr="00B05145">
        <w:rPr>
          <w:sz w:val="20"/>
          <w:lang w:val="fr-CA"/>
        </w:rPr>
        <w:t>La demande d’autorisation d’appel de l’arrêt de la Cour d’appel de la Saskatchewan, numéro CACR3530, 2023 SKCA 123, daté du 15 novembre 2023, est accueillie.</w:t>
      </w:r>
    </w:p>
    <w:p w:rsidR="001401A9" w:rsidRPr="00D759F7" w:rsidRDefault="001401A9" w:rsidP="00645A91">
      <w:pPr>
        <w:jc w:val="both"/>
        <w:rPr>
          <w:sz w:val="20"/>
          <w:lang w:val="fr-CA"/>
        </w:rPr>
      </w:pPr>
    </w:p>
    <w:p w:rsidR="00170BC0" w:rsidRPr="00D759F7" w:rsidRDefault="00CE1ED8" w:rsidP="00645A91">
      <w:pPr>
        <w:jc w:val="both"/>
        <w:rPr>
          <w:sz w:val="20"/>
          <w:lang w:val="fr-CA"/>
        </w:rPr>
      </w:pPr>
      <w:r>
        <w:rPr>
          <w:sz w:val="20"/>
        </w:rPr>
        <w:pict>
          <v:rect id="_x0000_i1038" style="width:2in;height:1pt" o:hrpct="0" o:hralign="center" o:hrstd="t" o:hrnoshade="t" o:hr="t" fillcolor="black [3213]" stroked="f"/>
        </w:pict>
      </w:r>
    </w:p>
    <w:p w:rsidR="00170BC0" w:rsidRPr="00D759F7" w:rsidRDefault="00170BC0" w:rsidP="00645A91">
      <w:pPr>
        <w:jc w:val="both"/>
        <w:rPr>
          <w:sz w:val="20"/>
          <w:lang w:val="fr-CA"/>
        </w:rPr>
      </w:pPr>
    </w:p>
    <w:p w:rsidR="008F59DD" w:rsidRPr="00D759F7" w:rsidRDefault="008F59DD" w:rsidP="008F59DD">
      <w:pPr>
        <w:pStyle w:val="SCCLsocParty"/>
        <w:jc w:val="left"/>
        <w:rPr>
          <w:i/>
          <w:sz w:val="22"/>
        </w:rPr>
      </w:pPr>
      <w:r w:rsidRPr="00D759F7">
        <w:rPr>
          <w:i/>
          <w:sz w:val="22"/>
        </w:rPr>
        <w:t>Ville de Sainte-Julie c. Investissements Laroda inc.</w:t>
      </w:r>
      <w:r w:rsidRPr="00D759F7">
        <w:rPr>
          <w:sz w:val="22"/>
        </w:rPr>
        <w:t xml:space="preserve"> (Qc) (Civile) (Autorisation) (</w:t>
      </w:r>
      <w:hyperlink r:id="rId22" w:history="1">
        <w:r w:rsidRPr="00D759F7">
          <w:rPr>
            <w:rStyle w:val="Hyperlink"/>
            <w:sz w:val="22"/>
          </w:rPr>
          <w:t>41036</w:t>
        </w:r>
      </w:hyperlink>
      <w:r w:rsidRPr="00D759F7">
        <w:rPr>
          <w:sz w:val="22"/>
        </w:rPr>
        <w:t>)</w:t>
      </w:r>
    </w:p>
    <w:p w:rsidR="00170BC0" w:rsidRPr="00D759F7" w:rsidRDefault="00170BC0" w:rsidP="00645A91">
      <w:pPr>
        <w:jc w:val="both"/>
        <w:rPr>
          <w:sz w:val="20"/>
          <w:lang w:val="fr-CA"/>
        </w:rPr>
      </w:pPr>
    </w:p>
    <w:p w:rsidR="008F59DD" w:rsidRPr="00D759F7" w:rsidRDefault="008F59DD" w:rsidP="008F59DD">
      <w:pPr>
        <w:jc w:val="both"/>
        <w:rPr>
          <w:sz w:val="20"/>
          <w:lang w:val="fr-CA"/>
        </w:rPr>
      </w:pPr>
      <w:r w:rsidRPr="00D759F7">
        <w:rPr>
          <w:sz w:val="20"/>
          <w:lang w:val="fr-CA"/>
        </w:rPr>
        <w:t>La demande d’autorisation d’appel et la demande d’autorisation d’appel incident de l’arrêt de la Cour d’appel du Québec (Montréal), numéro 500-09-029730-215, 2023 QCCA 1294, daté du 18 octobre 2023, sont accueillies avec dépens suivant l’issue de la cause.</w:t>
      </w:r>
    </w:p>
    <w:p w:rsidR="001401A9" w:rsidRPr="00D759F7" w:rsidRDefault="001401A9" w:rsidP="00645A91">
      <w:pPr>
        <w:jc w:val="both"/>
        <w:rPr>
          <w:sz w:val="20"/>
          <w:lang w:val="fr-CA"/>
        </w:rPr>
      </w:pPr>
    </w:p>
    <w:p w:rsidR="00645A91" w:rsidRPr="00D759F7" w:rsidRDefault="00CE1ED8" w:rsidP="00645A91">
      <w:pPr>
        <w:jc w:val="both"/>
        <w:rPr>
          <w:sz w:val="22"/>
          <w:szCs w:val="22"/>
        </w:rPr>
      </w:pPr>
      <w:r>
        <w:rPr>
          <w:sz w:val="20"/>
        </w:rPr>
        <w:pict>
          <v:rect id="_x0000_i1039" style="width:2in;height:1pt" o:hrpct="0" o:hralign="center" o:hrstd="t" o:hrnoshade="t" o:hr="t" fillcolor="black [3213]" stroked="f"/>
        </w:pict>
      </w:r>
    </w:p>
    <w:p w:rsidR="00645A91" w:rsidRPr="00D759F7" w:rsidRDefault="00645A91" w:rsidP="000B5274">
      <w:pPr>
        <w:jc w:val="both"/>
        <w:rPr>
          <w:sz w:val="20"/>
        </w:rPr>
      </w:pPr>
    </w:p>
    <w:p w:rsidR="00431DE2" w:rsidRPr="00D759F7" w:rsidRDefault="00431DE2" w:rsidP="00431DE2">
      <w:pPr>
        <w:jc w:val="both"/>
        <w:rPr>
          <w:b/>
          <w:sz w:val="22"/>
          <w:szCs w:val="22"/>
          <w:lang w:val="fr-CA"/>
        </w:rPr>
      </w:pPr>
      <w:r w:rsidRPr="00D759F7">
        <w:rPr>
          <w:b/>
          <w:sz w:val="22"/>
          <w:szCs w:val="22"/>
          <w:lang w:val="fr-CA"/>
        </w:rPr>
        <w:t>REJETÉE</w:t>
      </w:r>
      <w:r w:rsidR="001B1618" w:rsidRPr="00D759F7">
        <w:rPr>
          <w:b/>
          <w:sz w:val="22"/>
          <w:szCs w:val="22"/>
          <w:lang w:val="fr-CA"/>
        </w:rPr>
        <w:t>S</w:t>
      </w:r>
    </w:p>
    <w:p w:rsidR="00431DE2" w:rsidRPr="00D759F7" w:rsidRDefault="00431DE2" w:rsidP="000B5274">
      <w:pPr>
        <w:jc w:val="both"/>
        <w:rPr>
          <w:sz w:val="20"/>
          <w:lang w:val="fr-CA"/>
        </w:rPr>
      </w:pPr>
    </w:p>
    <w:p w:rsidR="00971D1E" w:rsidRPr="00D759F7" w:rsidRDefault="00971D1E" w:rsidP="00971D1E">
      <w:pPr>
        <w:tabs>
          <w:tab w:val="left" w:pos="360"/>
        </w:tabs>
        <w:rPr>
          <w:i/>
          <w:sz w:val="22"/>
          <w:szCs w:val="22"/>
          <w:lang w:val="fr-CA"/>
        </w:rPr>
      </w:pPr>
      <w:r w:rsidRPr="00D759F7">
        <w:rPr>
          <w:i/>
          <w:sz w:val="22"/>
          <w:szCs w:val="22"/>
          <w:lang w:val="fr-CA"/>
        </w:rPr>
        <w:t xml:space="preserve">Dr Steven Lapointe, en sa qualité de syndic adjoint du Collège des médecins du Québec c. Dr Sébastien Paquin </w:t>
      </w:r>
      <w:r w:rsidRPr="00D759F7">
        <w:rPr>
          <w:sz w:val="22"/>
          <w:szCs w:val="22"/>
          <w:lang w:val="fr-CA"/>
        </w:rPr>
        <w:t>(Qc) (Civile) (Autorisation) (</w:t>
      </w:r>
      <w:hyperlink r:id="rId23" w:history="1">
        <w:r w:rsidRPr="00D759F7">
          <w:rPr>
            <w:rStyle w:val="Hyperlink"/>
            <w:sz w:val="22"/>
            <w:szCs w:val="22"/>
            <w:lang w:val="fr-CA"/>
          </w:rPr>
          <w:t>40961</w:t>
        </w:r>
      </w:hyperlink>
      <w:r w:rsidRPr="00D759F7">
        <w:rPr>
          <w:sz w:val="22"/>
          <w:szCs w:val="22"/>
          <w:lang w:val="fr-CA"/>
        </w:rPr>
        <w:t>)</w:t>
      </w:r>
    </w:p>
    <w:p w:rsidR="00A30607" w:rsidRPr="00D759F7" w:rsidRDefault="00A30607" w:rsidP="00A30607">
      <w:pPr>
        <w:widowControl w:val="0"/>
        <w:rPr>
          <w:sz w:val="16"/>
          <w:lang w:val="fr-CA"/>
        </w:rPr>
      </w:pPr>
    </w:p>
    <w:p w:rsidR="00971D1E" w:rsidRPr="00D759F7" w:rsidRDefault="00971D1E" w:rsidP="00971D1E">
      <w:pPr>
        <w:jc w:val="both"/>
        <w:rPr>
          <w:sz w:val="20"/>
          <w:lang w:val="fr-CA"/>
        </w:rPr>
      </w:pPr>
      <w:r w:rsidRPr="00D759F7">
        <w:rPr>
          <w:sz w:val="20"/>
          <w:lang w:val="fr-CA"/>
        </w:rPr>
        <w:t>La demande d’autorisation d’appel de l’arrêt de la Cour d’appel du Québec (Québec), numéro 200-09-010433-214, 2023 QCCA 1129, daté du 13 septembre 2023, est rejetée avec dépens.</w:t>
      </w:r>
    </w:p>
    <w:p w:rsidR="00A30607" w:rsidRPr="00D759F7" w:rsidRDefault="00A30607" w:rsidP="00A30607">
      <w:pPr>
        <w:widowControl w:val="0"/>
        <w:rPr>
          <w:sz w:val="20"/>
          <w:lang w:val="fr-CA"/>
        </w:rPr>
      </w:pPr>
    </w:p>
    <w:p w:rsidR="00BF66C0" w:rsidRPr="00D759F7" w:rsidRDefault="00CE1ED8" w:rsidP="00A30607">
      <w:pPr>
        <w:widowControl w:val="0"/>
        <w:rPr>
          <w:sz w:val="20"/>
          <w:lang w:val="fr-CA"/>
        </w:rPr>
      </w:pPr>
      <w:r>
        <w:rPr>
          <w:sz w:val="20"/>
        </w:rPr>
        <w:pict>
          <v:rect id="_x0000_i1040" style="width:2in;height:1pt" o:hrpct="0" o:hralign="center" o:hrstd="t" o:hrnoshade="t" o:hr="t" fillcolor="black [3213]" stroked="f"/>
        </w:pict>
      </w:r>
    </w:p>
    <w:p w:rsidR="00C5363F" w:rsidRPr="00D759F7" w:rsidRDefault="00C5363F" w:rsidP="00C5363F">
      <w:pPr>
        <w:ind w:left="357" w:hanging="357"/>
        <w:rPr>
          <w:sz w:val="20"/>
        </w:rPr>
      </w:pPr>
    </w:p>
    <w:p w:rsidR="00E97275" w:rsidRPr="00D759F7" w:rsidRDefault="00E97275" w:rsidP="00E97275">
      <w:pPr>
        <w:tabs>
          <w:tab w:val="left" w:pos="360"/>
        </w:tabs>
        <w:rPr>
          <w:i/>
          <w:sz w:val="22"/>
          <w:szCs w:val="22"/>
          <w:lang w:val="fr-CA"/>
        </w:rPr>
      </w:pPr>
      <w:r w:rsidRPr="00D759F7">
        <w:rPr>
          <w:i/>
          <w:sz w:val="22"/>
          <w:szCs w:val="22"/>
          <w:lang w:val="fr-CA"/>
        </w:rPr>
        <w:t xml:space="preserve">Voltage Holdings, LLC c. Untel no. 1, et al. </w:t>
      </w:r>
      <w:proofErr w:type="gramStart"/>
      <w:r w:rsidRPr="00D759F7">
        <w:rPr>
          <w:i/>
          <w:sz w:val="22"/>
          <w:szCs w:val="22"/>
          <w:lang w:val="fr-CA"/>
        </w:rPr>
        <w:t>et</w:t>
      </w:r>
      <w:proofErr w:type="gramEnd"/>
      <w:r w:rsidRPr="00D759F7">
        <w:rPr>
          <w:i/>
          <w:sz w:val="22"/>
          <w:szCs w:val="22"/>
          <w:lang w:val="fr-CA"/>
        </w:rPr>
        <w:t xml:space="preserve"> Clinic d'intérêt public et de politique d'internet du Canada Samuelson-Glushko </w:t>
      </w:r>
      <w:r w:rsidRPr="00D759F7">
        <w:rPr>
          <w:sz w:val="22"/>
          <w:szCs w:val="22"/>
          <w:lang w:val="fr-CA"/>
        </w:rPr>
        <w:t>(Féd.) (Civile) (Autorisation) (</w:t>
      </w:r>
      <w:hyperlink r:id="rId24" w:history="1">
        <w:r w:rsidRPr="00D759F7">
          <w:rPr>
            <w:rStyle w:val="Hyperlink"/>
            <w:sz w:val="22"/>
            <w:szCs w:val="22"/>
            <w:lang w:val="fr-CA"/>
          </w:rPr>
          <w:t>41026</w:t>
        </w:r>
      </w:hyperlink>
      <w:r w:rsidRPr="00D759F7">
        <w:rPr>
          <w:sz w:val="22"/>
          <w:szCs w:val="22"/>
          <w:lang w:val="fr-CA"/>
        </w:rPr>
        <w:t>)</w:t>
      </w:r>
    </w:p>
    <w:p w:rsidR="00911F2D" w:rsidRPr="00D759F7" w:rsidRDefault="00911F2D" w:rsidP="00C5363F">
      <w:pPr>
        <w:ind w:left="357" w:hanging="357"/>
        <w:rPr>
          <w:sz w:val="20"/>
          <w:lang w:val="fr-CA"/>
        </w:rPr>
      </w:pPr>
    </w:p>
    <w:p w:rsidR="001401A9" w:rsidRPr="00D759F7" w:rsidRDefault="00E97275" w:rsidP="00E97275">
      <w:pPr>
        <w:jc w:val="both"/>
        <w:rPr>
          <w:sz w:val="20"/>
          <w:lang w:val="fr-CA"/>
        </w:rPr>
      </w:pPr>
      <w:r w:rsidRPr="00B05145">
        <w:rPr>
          <w:sz w:val="20"/>
          <w:lang w:val="fr-CA"/>
        </w:rPr>
        <w:t>La demande d’autorisation d’appel de l’arrêt de la Cour d’appel fédérale, numéro A-129-22, 2023 CAF 194, daté du 27 septembre 2023, est rejetée.</w:t>
      </w:r>
    </w:p>
    <w:p w:rsidR="001401A9" w:rsidRPr="00D759F7" w:rsidRDefault="001401A9" w:rsidP="00C5363F">
      <w:pPr>
        <w:ind w:left="357" w:hanging="357"/>
        <w:rPr>
          <w:sz w:val="20"/>
          <w:lang w:val="fr-CA"/>
        </w:rPr>
      </w:pPr>
    </w:p>
    <w:p w:rsidR="00BF66C0" w:rsidRPr="00D759F7" w:rsidRDefault="00CE1ED8" w:rsidP="00BF66C0">
      <w:pPr>
        <w:rPr>
          <w:sz w:val="20"/>
        </w:rPr>
      </w:pPr>
      <w:r>
        <w:rPr>
          <w:sz w:val="20"/>
        </w:rPr>
        <w:pict>
          <v:rect id="_x0000_i1041" style="width:2in;height:1pt" o:hrpct="0" o:hralign="center" o:hrstd="t" o:hrnoshade="t" o:hr="t" fillcolor="black [3213]" stroked="f"/>
        </w:pict>
      </w:r>
    </w:p>
    <w:p w:rsidR="00911F2D" w:rsidRPr="00D759F7" w:rsidRDefault="00911F2D" w:rsidP="00C5363F">
      <w:pPr>
        <w:ind w:left="357" w:hanging="357"/>
        <w:rPr>
          <w:sz w:val="20"/>
        </w:rPr>
      </w:pPr>
    </w:p>
    <w:p w:rsidR="008C5167" w:rsidRPr="00D759F7" w:rsidRDefault="008C5167" w:rsidP="008C5167">
      <w:pPr>
        <w:tabs>
          <w:tab w:val="left" w:pos="360"/>
        </w:tabs>
        <w:rPr>
          <w:i/>
          <w:sz w:val="22"/>
          <w:szCs w:val="22"/>
          <w:lang w:val="fr-CA"/>
        </w:rPr>
      </w:pPr>
      <w:r w:rsidRPr="00D759F7">
        <w:rPr>
          <w:i/>
          <w:sz w:val="22"/>
          <w:szCs w:val="22"/>
          <w:lang w:val="fr-CA"/>
        </w:rPr>
        <w:t>Pharmascience Inc. c. Janssen Inc. et Janssen Pharmaceutica N.V.</w:t>
      </w:r>
      <w:r w:rsidRPr="00D759F7">
        <w:rPr>
          <w:sz w:val="22"/>
          <w:szCs w:val="22"/>
          <w:lang w:val="fr-CA"/>
        </w:rPr>
        <w:t xml:space="preserve"> (Féd.) (Civile) (Autorisation) (</w:t>
      </w:r>
      <w:hyperlink r:id="rId25" w:history="1">
        <w:r w:rsidRPr="00D759F7">
          <w:rPr>
            <w:rStyle w:val="Hyperlink"/>
            <w:sz w:val="22"/>
            <w:szCs w:val="22"/>
            <w:lang w:val="fr-CA"/>
          </w:rPr>
          <w:t>41162</w:t>
        </w:r>
      </w:hyperlink>
      <w:r w:rsidRPr="00D759F7">
        <w:rPr>
          <w:sz w:val="22"/>
          <w:szCs w:val="22"/>
          <w:lang w:val="fr-CA"/>
        </w:rPr>
        <w:t>)</w:t>
      </w:r>
    </w:p>
    <w:p w:rsidR="00D75521" w:rsidRPr="00D759F7" w:rsidRDefault="00D75521" w:rsidP="00D75521">
      <w:pPr>
        <w:jc w:val="both"/>
        <w:rPr>
          <w:sz w:val="20"/>
          <w:lang w:val="fr-CA"/>
        </w:rPr>
      </w:pPr>
    </w:p>
    <w:p w:rsidR="001401A9" w:rsidRPr="00B05145" w:rsidRDefault="008C5167" w:rsidP="00D75521">
      <w:pPr>
        <w:jc w:val="both"/>
        <w:rPr>
          <w:sz w:val="20"/>
          <w:lang w:val="fr-CA"/>
        </w:rPr>
      </w:pPr>
      <w:r w:rsidRPr="00B05145">
        <w:rPr>
          <w:sz w:val="20"/>
          <w:lang w:val="fr-CA"/>
        </w:rPr>
        <w:t>La demande d’autorisation d’appel de l’arrêt de la Cour d’appel fédérale, numéro A-69-22, 2024 FCA 10, daté du 12 janvier 2024, est rejetée avec dépens.</w:t>
      </w:r>
    </w:p>
    <w:p w:rsidR="001401A9" w:rsidRPr="00D759F7" w:rsidRDefault="001401A9" w:rsidP="00D75521">
      <w:pPr>
        <w:jc w:val="both"/>
        <w:rPr>
          <w:sz w:val="20"/>
          <w:lang w:val="fr-CA"/>
        </w:rPr>
      </w:pPr>
    </w:p>
    <w:p w:rsidR="00BF66C0" w:rsidRPr="00D759F7" w:rsidRDefault="00CE1ED8" w:rsidP="00D75521">
      <w:pPr>
        <w:jc w:val="both"/>
        <w:rPr>
          <w:sz w:val="20"/>
        </w:rPr>
      </w:pPr>
      <w:r>
        <w:rPr>
          <w:sz w:val="20"/>
        </w:rPr>
        <w:pict>
          <v:rect id="_x0000_i1042" style="width:2in;height:1pt" o:hrpct="0" o:hralign="center" o:hrstd="t" o:hrnoshade="t" o:hr="t" fillcolor="black [3213]" stroked="f"/>
        </w:pict>
      </w:r>
    </w:p>
    <w:p w:rsidR="00A30607" w:rsidRPr="00D759F7" w:rsidRDefault="00A30607" w:rsidP="00D3228D">
      <w:pPr>
        <w:ind w:left="357" w:hanging="357"/>
        <w:jc w:val="both"/>
        <w:rPr>
          <w:sz w:val="20"/>
        </w:rPr>
      </w:pPr>
    </w:p>
    <w:p w:rsidR="003E5BDC" w:rsidRPr="00D759F7" w:rsidRDefault="003E5BDC" w:rsidP="003E5BDC">
      <w:pPr>
        <w:tabs>
          <w:tab w:val="left" w:pos="360"/>
        </w:tabs>
        <w:rPr>
          <w:i/>
          <w:sz w:val="22"/>
          <w:szCs w:val="22"/>
          <w:lang w:val="fr-CA"/>
        </w:rPr>
      </w:pPr>
      <w:r w:rsidRPr="00D759F7">
        <w:rPr>
          <w:i/>
          <w:sz w:val="22"/>
          <w:szCs w:val="22"/>
          <w:lang w:val="fr-CA"/>
        </w:rPr>
        <w:t xml:space="preserve">Sa Majesté le Roi c. R.M. </w:t>
      </w:r>
      <w:r w:rsidRPr="00D759F7">
        <w:rPr>
          <w:sz w:val="22"/>
          <w:szCs w:val="22"/>
          <w:lang w:val="fr-CA"/>
        </w:rPr>
        <w:t>(C.-B.) (Criminelle) (Autorisation) (</w:t>
      </w:r>
      <w:hyperlink r:id="rId26" w:history="1">
        <w:r w:rsidRPr="00D759F7">
          <w:rPr>
            <w:rStyle w:val="Hyperlink"/>
            <w:sz w:val="22"/>
            <w:szCs w:val="22"/>
            <w:lang w:val="fr-CA"/>
          </w:rPr>
          <w:t>41095</w:t>
        </w:r>
      </w:hyperlink>
      <w:r w:rsidRPr="00D759F7">
        <w:rPr>
          <w:sz w:val="22"/>
          <w:szCs w:val="22"/>
          <w:lang w:val="fr-CA"/>
        </w:rPr>
        <w:t>)</w:t>
      </w:r>
    </w:p>
    <w:p w:rsidR="001401A9" w:rsidRPr="00D759F7" w:rsidRDefault="001401A9" w:rsidP="00D3228D">
      <w:pPr>
        <w:ind w:left="357" w:hanging="357"/>
        <w:jc w:val="both"/>
        <w:rPr>
          <w:sz w:val="20"/>
          <w:lang w:val="fr-CA"/>
        </w:rPr>
      </w:pPr>
    </w:p>
    <w:p w:rsidR="001401A9" w:rsidRPr="00D759F7" w:rsidRDefault="003E5BDC" w:rsidP="003E5BDC">
      <w:pPr>
        <w:jc w:val="both"/>
        <w:rPr>
          <w:sz w:val="20"/>
          <w:lang w:val="fr-CA"/>
        </w:rPr>
      </w:pPr>
      <w:r w:rsidRPr="00B05145">
        <w:rPr>
          <w:sz w:val="20"/>
          <w:lang w:val="fr-CA"/>
        </w:rPr>
        <w:lastRenderedPageBreak/>
        <w:t>La demande d’autorisation d’appel de l’arrêt de la Cour d’appel de la Colombie-Britannique (Vancouver), numéro CA48460, 2023 BCCA 455, daté du 11 décembre 2023, est rejetée.</w:t>
      </w:r>
    </w:p>
    <w:p w:rsidR="001401A9" w:rsidRPr="00D759F7" w:rsidRDefault="001401A9" w:rsidP="001401A9">
      <w:pPr>
        <w:widowControl w:val="0"/>
        <w:rPr>
          <w:sz w:val="20"/>
          <w:lang w:val="fr-CA"/>
        </w:rPr>
      </w:pPr>
    </w:p>
    <w:p w:rsidR="001401A9" w:rsidRPr="00D759F7" w:rsidRDefault="00CE1ED8" w:rsidP="001401A9">
      <w:pPr>
        <w:widowControl w:val="0"/>
        <w:rPr>
          <w:sz w:val="20"/>
          <w:lang w:val="fr-CA"/>
        </w:rPr>
      </w:pPr>
      <w:r>
        <w:rPr>
          <w:sz w:val="20"/>
        </w:rPr>
        <w:pict>
          <v:rect id="_x0000_i1043" style="width:2in;height:1pt" o:hrpct="0" o:hralign="center" o:hrstd="t" o:hrnoshade="t" o:hr="t" fillcolor="black [3213]" stroked="f"/>
        </w:pict>
      </w:r>
    </w:p>
    <w:p w:rsidR="001401A9" w:rsidRPr="00D759F7" w:rsidRDefault="001401A9" w:rsidP="001401A9">
      <w:pPr>
        <w:ind w:left="357" w:hanging="357"/>
        <w:rPr>
          <w:sz w:val="20"/>
        </w:rPr>
      </w:pPr>
    </w:p>
    <w:p w:rsidR="00170BC0" w:rsidRPr="00D759F7" w:rsidRDefault="00170BC0" w:rsidP="00170BC0">
      <w:pPr>
        <w:tabs>
          <w:tab w:val="left" w:pos="360"/>
        </w:tabs>
        <w:rPr>
          <w:i/>
          <w:sz w:val="22"/>
          <w:szCs w:val="22"/>
          <w:lang w:val="fr-CA"/>
        </w:rPr>
      </w:pPr>
      <w:r w:rsidRPr="00D759F7">
        <w:rPr>
          <w:i/>
          <w:sz w:val="22"/>
          <w:szCs w:val="22"/>
          <w:lang w:val="fr-CA"/>
        </w:rPr>
        <w:t xml:space="preserve">Kieran Devine c. Sa Majesté le Roi </w:t>
      </w:r>
      <w:r w:rsidRPr="00D759F7">
        <w:rPr>
          <w:sz w:val="22"/>
          <w:szCs w:val="22"/>
          <w:lang w:val="fr-CA"/>
        </w:rPr>
        <w:t>(Féd.) (Civile) (Autorisation) (</w:t>
      </w:r>
      <w:hyperlink r:id="rId27" w:history="1">
        <w:r w:rsidRPr="00D759F7">
          <w:rPr>
            <w:rStyle w:val="Hyperlink"/>
            <w:sz w:val="22"/>
            <w:szCs w:val="22"/>
            <w:lang w:val="fr-CA"/>
          </w:rPr>
          <w:t>41094</w:t>
        </w:r>
      </w:hyperlink>
      <w:r w:rsidRPr="00D759F7">
        <w:rPr>
          <w:sz w:val="22"/>
          <w:szCs w:val="22"/>
          <w:lang w:val="fr-CA"/>
        </w:rPr>
        <w:t>)</w:t>
      </w:r>
    </w:p>
    <w:p w:rsidR="001401A9" w:rsidRPr="00D759F7" w:rsidRDefault="001401A9" w:rsidP="001401A9">
      <w:pPr>
        <w:ind w:left="357" w:hanging="357"/>
        <w:rPr>
          <w:sz w:val="20"/>
          <w:lang w:val="fr-CA"/>
        </w:rPr>
      </w:pPr>
    </w:p>
    <w:p w:rsidR="001401A9" w:rsidRPr="00D759F7" w:rsidRDefault="00170BC0" w:rsidP="00170BC0">
      <w:pPr>
        <w:jc w:val="both"/>
        <w:rPr>
          <w:sz w:val="20"/>
          <w:lang w:val="fr-CA"/>
        </w:rPr>
      </w:pPr>
      <w:r w:rsidRPr="00D759F7">
        <w:rPr>
          <w:sz w:val="20"/>
          <w:lang w:val="fr-CA"/>
        </w:rPr>
        <w:t>Conformément à la règle 6(1) des Règles de la Cour suprême du Canada, le délai pour le dépôt de la réplique est prorogé jusqu’au 4 mars 2024. Conformément à la règle 8(1) des Règles de la Cour suprême du Canada, le demandeur est dispensé de la signification de la requête pour directives. La requête pour directives est rejetée. La demande d’autorisation d’appel de l’arrêt de la Cour d’appel fédérale, numéro A-200-23, 2023 FCA 223, daté du 15 novembre 2023, est rejetée.</w:t>
      </w:r>
    </w:p>
    <w:p w:rsidR="001401A9" w:rsidRPr="00D759F7" w:rsidRDefault="001401A9" w:rsidP="001401A9">
      <w:pPr>
        <w:ind w:left="357" w:hanging="357"/>
        <w:rPr>
          <w:sz w:val="20"/>
          <w:lang w:val="fr-CA"/>
        </w:rPr>
      </w:pPr>
    </w:p>
    <w:p w:rsidR="001401A9" w:rsidRPr="00D759F7" w:rsidRDefault="00CE1ED8" w:rsidP="001401A9">
      <w:pPr>
        <w:rPr>
          <w:sz w:val="20"/>
        </w:rPr>
      </w:pPr>
      <w:r>
        <w:rPr>
          <w:sz w:val="20"/>
        </w:rPr>
        <w:pict>
          <v:rect id="_x0000_i1044" style="width:2in;height:1pt" o:hrpct="0" o:hralign="center" o:hrstd="t" o:hrnoshade="t" o:hr="t" fillcolor="black [3213]" stroked="f"/>
        </w:pict>
      </w:r>
    </w:p>
    <w:p w:rsidR="001401A9" w:rsidRPr="00D759F7" w:rsidRDefault="001401A9" w:rsidP="001401A9">
      <w:pPr>
        <w:ind w:left="357" w:hanging="357"/>
        <w:rPr>
          <w:sz w:val="20"/>
        </w:rPr>
      </w:pPr>
    </w:p>
    <w:p w:rsidR="00BF4B34" w:rsidRPr="00D759F7" w:rsidRDefault="00BF4B34" w:rsidP="00BF4B34">
      <w:pPr>
        <w:tabs>
          <w:tab w:val="left" w:pos="360"/>
        </w:tabs>
        <w:rPr>
          <w:sz w:val="22"/>
          <w:szCs w:val="22"/>
          <w:lang w:val="fr-CA"/>
        </w:rPr>
      </w:pPr>
      <w:r w:rsidRPr="00D759F7">
        <w:rPr>
          <w:i/>
          <w:sz w:val="22"/>
          <w:szCs w:val="22"/>
          <w:lang w:val="fr-CA"/>
        </w:rPr>
        <w:t xml:space="preserve">SIR Corp., US S.I.R., llc et/ou filiales et/ou franchises et/ou entreprises liées et/ou entreprises associées et/ou autres intérêts selon les instructions de SIR Corp. c. </w:t>
      </w:r>
      <w:r w:rsidRPr="00D759F7">
        <w:rPr>
          <w:sz w:val="22"/>
          <w:szCs w:val="22"/>
          <w:lang w:val="fr-CA"/>
        </w:rPr>
        <w:t>Aviva, compagnie d’assurance du Canada (Ont.) (Civile) (Autorisation) (</w:t>
      </w:r>
      <w:hyperlink r:id="rId28" w:history="1">
        <w:r w:rsidRPr="00D759F7">
          <w:rPr>
            <w:rStyle w:val="Hyperlink"/>
            <w:sz w:val="22"/>
            <w:szCs w:val="22"/>
            <w:lang w:val="fr-CA"/>
          </w:rPr>
          <w:t>41092</w:t>
        </w:r>
      </w:hyperlink>
      <w:r w:rsidRPr="00D759F7">
        <w:rPr>
          <w:sz w:val="22"/>
          <w:szCs w:val="22"/>
          <w:lang w:val="fr-CA"/>
        </w:rPr>
        <w:t>)</w:t>
      </w:r>
    </w:p>
    <w:p w:rsidR="001401A9" w:rsidRPr="00D759F7" w:rsidRDefault="001401A9" w:rsidP="001401A9">
      <w:pPr>
        <w:jc w:val="both"/>
        <w:rPr>
          <w:sz w:val="20"/>
          <w:lang w:val="fr-CA"/>
        </w:rPr>
      </w:pPr>
    </w:p>
    <w:p w:rsidR="001401A9" w:rsidRPr="00B05145" w:rsidRDefault="00BF4B34" w:rsidP="001401A9">
      <w:pPr>
        <w:jc w:val="both"/>
        <w:rPr>
          <w:sz w:val="20"/>
          <w:lang w:val="fr-CA"/>
        </w:rPr>
      </w:pPr>
      <w:r w:rsidRPr="00B05145">
        <w:rPr>
          <w:sz w:val="20"/>
          <w:lang w:val="fr-CA"/>
        </w:rPr>
        <w:t>La demande d’autorisation d’appel de l’arrêt de la Cour d’appel de l’Ontario, numéro COA-23-CV-0024, 2023 ONCA 778, daté du 22 novembre 2023, est rejetée avec dépens.</w:t>
      </w:r>
    </w:p>
    <w:p w:rsidR="001401A9" w:rsidRPr="00D759F7" w:rsidRDefault="001401A9" w:rsidP="001401A9">
      <w:pPr>
        <w:widowControl w:val="0"/>
        <w:rPr>
          <w:sz w:val="20"/>
          <w:lang w:val="fr-CA"/>
        </w:rPr>
      </w:pPr>
    </w:p>
    <w:p w:rsidR="001401A9" w:rsidRPr="00D759F7" w:rsidRDefault="00CE1ED8" w:rsidP="001401A9">
      <w:pPr>
        <w:widowControl w:val="0"/>
        <w:rPr>
          <w:sz w:val="20"/>
          <w:lang w:val="fr-CA"/>
        </w:rPr>
      </w:pPr>
      <w:r>
        <w:rPr>
          <w:sz w:val="20"/>
        </w:rPr>
        <w:pict>
          <v:rect id="_x0000_i1045" style="width:2in;height:1pt" o:hrpct="0" o:hralign="center" o:hrstd="t" o:hrnoshade="t" o:hr="t" fillcolor="black [3213]" stroked="f"/>
        </w:pict>
      </w:r>
    </w:p>
    <w:p w:rsidR="001401A9" w:rsidRPr="00D759F7" w:rsidRDefault="001401A9" w:rsidP="001401A9">
      <w:pPr>
        <w:ind w:left="357" w:hanging="357"/>
        <w:rPr>
          <w:sz w:val="20"/>
        </w:rPr>
      </w:pPr>
    </w:p>
    <w:p w:rsidR="00EC1584" w:rsidRPr="00D759F7" w:rsidRDefault="00EC1584" w:rsidP="00EC1584">
      <w:pPr>
        <w:tabs>
          <w:tab w:val="left" w:pos="360"/>
        </w:tabs>
        <w:rPr>
          <w:sz w:val="22"/>
          <w:szCs w:val="22"/>
          <w:lang w:val="fr-CA"/>
        </w:rPr>
      </w:pPr>
      <w:r w:rsidRPr="00D759F7">
        <w:rPr>
          <w:i/>
          <w:sz w:val="22"/>
          <w:szCs w:val="22"/>
          <w:lang w:val="fr-CA"/>
        </w:rPr>
        <w:t>Apotex Inc. c. Janssen Inc. et Janssen Pharmaceutica N.V.</w:t>
      </w:r>
      <w:r w:rsidRPr="00D759F7">
        <w:rPr>
          <w:sz w:val="22"/>
          <w:szCs w:val="22"/>
          <w:lang w:val="fr-CA"/>
        </w:rPr>
        <w:t xml:space="preserve"> (Féd.) (Civile) (Autorisation) (</w:t>
      </w:r>
      <w:hyperlink r:id="rId29" w:history="1">
        <w:r w:rsidRPr="00D759F7">
          <w:rPr>
            <w:rStyle w:val="Hyperlink"/>
            <w:sz w:val="22"/>
            <w:szCs w:val="22"/>
            <w:lang w:val="fr-CA"/>
          </w:rPr>
          <w:t>41164</w:t>
        </w:r>
      </w:hyperlink>
      <w:r w:rsidRPr="00D759F7">
        <w:rPr>
          <w:sz w:val="22"/>
          <w:szCs w:val="22"/>
          <w:lang w:val="fr-CA"/>
        </w:rPr>
        <w:t>)</w:t>
      </w:r>
    </w:p>
    <w:p w:rsidR="001401A9" w:rsidRPr="00D759F7" w:rsidRDefault="001401A9" w:rsidP="001401A9">
      <w:pPr>
        <w:ind w:left="357" w:hanging="357"/>
        <w:rPr>
          <w:sz w:val="20"/>
          <w:lang w:val="fr-CA"/>
        </w:rPr>
      </w:pPr>
    </w:p>
    <w:p w:rsidR="001401A9" w:rsidRPr="00D759F7" w:rsidRDefault="00EC1584" w:rsidP="00EC1584">
      <w:pPr>
        <w:jc w:val="both"/>
        <w:rPr>
          <w:sz w:val="20"/>
          <w:lang w:val="fr-CA"/>
        </w:rPr>
      </w:pPr>
      <w:r w:rsidRPr="00B05145">
        <w:rPr>
          <w:sz w:val="20"/>
          <w:lang w:val="fr-CA"/>
        </w:rPr>
        <w:t>La demande d’autorisation d’appel de l’arrêt de la Cour d’appel fédérale, numéro A-36-22, 2024 FCA 9, daté du 12 janvier 2024, est rejetée avec dépens.</w:t>
      </w:r>
    </w:p>
    <w:p w:rsidR="001401A9" w:rsidRPr="00D759F7" w:rsidRDefault="001401A9" w:rsidP="001401A9">
      <w:pPr>
        <w:ind w:left="357" w:hanging="357"/>
        <w:rPr>
          <w:sz w:val="20"/>
          <w:lang w:val="fr-CA"/>
        </w:rPr>
      </w:pPr>
    </w:p>
    <w:p w:rsidR="001401A9" w:rsidRPr="00D759F7" w:rsidRDefault="00CE1ED8" w:rsidP="001401A9">
      <w:pPr>
        <w:rPr>
          <w:sz w:val="20"/>
        </w:rPr>
      </w:pPr>
      <w:r>
        <w:rPr>
          <w:sz w:val="20"/>
        </w:rPr>
        <w:pict>
          <v:rect id="_x0000_i1046" style="width:2in;height:1pt" o:hrpct="0" o:hralign="center" o:hrstd="t" o:hrnoshade="t" o:hr="t" fillcolor="black [3213]" stroked="f"/>
        </w:pict>
      </w:r>
    </w:p>
    <w:p w:rsidR="001401A9" w:rsidRPr="00D759F7" w:rsidRDefault="001401A9" w:rsidP="001401A9">
      <w:pPr>
        <w:ind w:left="357" w:hanging="357"/>
        <w:rPr>
          <w:sz w:val="20"/>
        </w:rPr>
      </w:pPr>
    </w:p>
    <w:p w:rsidR="008B280D" w:rsidRPr="00D759F7" w:rsidRDefault="008B280D" w:rsidP="008B280D">
      <w:pPr>
        <w:tabs>
          <w:tab w:val="left" w:pos="360"/>
        </w:tabs>
        <w:rPr>
          <w:sz w:val="22"/>
          <w:szCs w:val="22"/>
          <w:lang w:val="fr-CA"/>
        </w:rPr>
      </w:pPr>
      <w:r w:rsidRPr="00D759F7">
        <w:rPr>
          <w:i/>
          <w:sz w:val="22"/>
          <w:szCs w:val="22"/>
          <w:lang w:val="fr-CA"/>
        </w:rPr>
        <w:t xml:space="preserve">Kyle Jones c. Ministre de la Justice du Canada </w:t>
      </w:r>
      <w:r w:rsidRPr="00D759F7">
        <w:rPr>
          <w:sz w:val="22"/>
          <w:szCs w:val="22"/>
          <w:lang w:val="fr-CA"/>
        </w:rPr>
        <w:t>(Ont.) (Criminelle) (Autorisation) (</w:t>
      </w:r>
      <w:hyperlink r:id="rId30" w:history="1">
        <w:r w:rsidRPr="00D759F7">
          <w:rPr>
            <w:rStyle w:val="Hyperlink"/>
            <w:sz w:val="22"/>
            <w:szCs w:val="22"/>
            <w:lang w:val="fr-CA"/>
          </w:rPr>
          <w:t>41205</w:t>
        </w:r>
      </w:hyperlink>
      <w:r w:rsidRPr="00D759F7">
        <w:rPr>
          <w:sz w:val="22"/>
          <w:szCs w:val="22"/>
          <w:lang w:val="fr-CA"/>
        </w:rPr>
        <w:t>)</w:t>
      </w:r>
    </w:p>
    <w:p w:rsidR="001401A9" w:rsidRPr="00D759F7" w:rsidRDefault="001401A9" w:rsidP="001401A9">
      <w:pPr>
        <w:jc w:val="both"/>
        <w:rPr>
          <w:sz w:val="20"/>
          <w:lang w:val="fr-CA"/>
        </w:rPr>
      </w:pPr>
    </w:p>
    <w:p w:rsidR="001401A9" w:rsidRPr="00D759F7" w:rsidRDefault="008B280D" w:rsidP="001401A9">
      <w:pPr>
        <w:jc w:val="both"/>
        <w:rPr>
          <w:sz w:val="20"/>
          <w:lang w:val="fr-CA"/>
        </w:rPr>
      </w:pPr>
      <w:r w:rsidRPr="00D759F7">
        <w:rPr>
          <w:sz w:val="20"/>
          <w:lang w:val="fr-CA"/>
        </w:rPr>
        <w:t>La demande d’autorisation d’appel de l’arrêt de la Cour d’appel de l’Ontario, numéro COA-23-CR-0178, 2024 ONCA 61, daté du 29 janvier 2024, est rejetée.</w:t>
      </w:r>
    </w:p>
    <w:p w:rsidR="001401A9" w:rsidRPr="00D759F7" w:rsidRDefault="001401A9" w:rsidP="001401A9">
      <w:pPr>
        <w:jc w:val="both"/>
        <w:rPr>
          <w:sz w:val="20"/>
          <w:lang w:val="fr-CA"/>
        </w:rPr>
      </w:pPr>
    </w:p>
    <w:p w:rsidR="001401A9" w:rsidRPr="00D759F7" w:rsidRDefault="00CE1ED8" w:rsidP="001401A9">
      <w:pPr>
        <w:jc w:val="both"/>
        <w:rPr>
          <w:sz w:val="20"/>
        </w:rPr>
      </w:pPr>
      <w:r>
        <w:rPr>
          <w:sz w:val="20"/>
        </w:rPr>
        <w:pict>
          <v:rect id="_x0000_i1047" style="width:2in;height:1pt" o:hrpct="0" o:hralign="center" o:hrstd="t" o:hrnoshade="t" o:hr="t" fillcolor="black [3213]" stroked="f"/>
        </w:pict>
      </w:r>
    </w:p>
    <w:p w:rsidR="001401A9" w:rsidRPr="00D759F7" w:rsidRDefault="001401A9" w:rsidP="001401A9">
      <w:pPr>
        <w:ind w:left="357" w:hanging="357"/>
        <w:jc w:val="both"/>
        <w:rPr>
          <w:sz w:val="20"/>
        </w:rPr>
      </w:pPr>
    </w:p>
    <w:p w:rsidR="00552022" w:rsidRPr="00D759F7" w:rsidRDefault="00552022" w:rsidP="00552022">
      <w:pPr>
        <w:rPr>
          <w:sz w:val="22"/>
          <w:szCs w:val="22"/>
          <w:lang w:val="fr-CA"/>
        </w:rPr>
      </w:pPr>
      <w:r w:rsidRPr="00D759F7">
        <w:rPr>
          <w:i/>
          <w:sz w:val="22"/>
          <w:szCs w:val="22"/>
          <w:lang w:val="en-CA"/>
        </w:rPr>
        <w:t xml:space="preserve">Todd Mechalchuk c. Galaxy Motors (1990) Ltd. </w:t>
      </w:r>
      <w:r w:rsidRPr="00D759F7">
        <w:rPr>
          <w:sz w:val="22"/>
          <w:szCs w:val="22"/>
          <w:lang w:val="fr-CA"/>
        </w:rPr>
        <w:t>(C.-B.) (Civile) (Autorisation) (</w:t>
      </w:r>
      <w:hyperlink r:id="rId31" w:history="1">
        <w:r w:rsidRPr="00D759F7">
          <w:rPr>
            <w:rStyle w:val="Hyperlink"/>
            <w:sz w:val="22"/>
            <w:szCs w:val="22"/>
            <w:lang w:val="fr-CA"/>
          </w:rPr>
          <w:t>41103</w:t>
        </w:r>
      </w:hyperlink>
      <w:r w:rsidRPr="00D759F7">
        <w:rPr>
          <w:sz w:val="22"/>
          <w:szCs w:val="22"/>
          <w:lang w:val="fr-CA"/>
        </w:rPr>
        <w:t>)</w:t>
      </w:r>
    </w:p>
    <w:p w:rsidR="001401A9" w:rsidRPr="00D759F7" w:rsidRDefault="001401A9" w:rsidP="001401A9">
      <w:pPr>
        <w:ind w:left="357" w:hanging="357"/>
        <w:jc w:val="both"/>
        <w:rPr>
          <w:sz w:val="20"/>
          <w:lang w:val="fr-CA"/>
        </w:rPr>
      </w:pPr>
    </w:p>
    <w:p w:rsidR="001401A9" w:rsidRPr="00D759F7" w:rsidRDefault="00552022" w:rsidP="00552022">
      <w:pPr>
        <w:jc w:val="both"/>
        <w:rPr>
          <w:sz w:val="20"/>
          <w:lang w:val="fr-CA"/>
        </w:rPr>
      </w:pPr>
      <w:r w:rsidRPr="00B05145">
        <w:rPr>
          <w:sz w:val="20"/>
          <w:lang w:val="fr-CA"/>
        </w:rPr>
        <w:t>La demande d’autorisation d’appel de l’arrêt de la Cour d’appel de la Colombie-Britannique (Vancouver), numéro CA49041, 2023 BCCA 482, daté du 1 décembre 2023, est rejetée avec dépens.</w:t>
      </w:r>
    </w:p>
    <w:p w:rsidR="001401A9" w:rsidRPr="00D759F7" w:rsidRDefault="001401A9" w:rsidP="001401A9">
      <w:pPr>
        <w:widowControl w:val="0"/>
        <w:rPr>
          <w:sz w:val="20"/>
          <w:lang w:val="fr-CA"/>
        </w:rPr>
      </w:pPr>
    </w:p>
    <w:p w:rsidR="001401A9" w:rsidRPr="00D759F7" w:rsidRDefault="00CE1ED8" w:rsidP="001401A9">
      <w:pPr>
        <w:widowControl w:val="0"/>
        <w:rPr>
          <w:sz w:val="20"/>
          <w:lang w:val="fr-CA"/>
        </w:rPr>
      </w:pPr>
      <w:r>
        <w:rPr>
          <w:sz w:val="20"/>
        </w:rPr>
        <w:pict>
          <v:rect id="_x0000_i1048" style="width:2in;height:1pt" o:hrpct="0" o:hralign="center" o:hrstd="t" o:hrnoshade="t" o:hr="t" fillcolor="black [3213]" stroked="f"/>
        </w:pict>
      </w:r>
    </w:p>
    <w:p w:rsidR="001401A9" w:rsidRPr="00D759F7" w:rsidRDefault="001401A9" w:rsidP="001401A9">
      <w:pPr>
        <w:ind w:left="357" w:hanging="357"/>
        <w:rPr>
          <w:sz w:val="20"/>
        </w:rPr>
      </w:pPr>
    </w:p>
    <w:p w:rsidR="00130CEE" w:rsidRPr="00D759F7" w:rsidRDefault="00130CEE" w:rsidP="00130CEE">
      <w:pPr>
        <w:pStyle w:val="SCCLsocParty"/>
        <w:jc w:val="left"/>
        <w:rPr>
          <w:i/>
          <w:sz w:val="22"/>
        </w:rPr>
      </w:pPr>
      <w:r w:rsidRPr="00D759F7">
        <w:rPr>
          <w:i/>
          <w:sz w:val="22"/>
        </w:rPr>
        <w:t>Adam Simeunovich c. Sa Majesté le Roi</w:t>
      </w:r>
      <w:r w:rsidRPr="00D759F7">
        <w:rPr>
          <w:sz w:val="22"/>
        </w:rPr>
        <w:t xml:space="preserve"> (Ont.) (Criminelle) (Autorisation) (</w:t>
      </w:r>
      <w:hyperlink r:id="rId32" w:history="1">
        <w:r w:rsidRPr="00D759F7">
          <w:rPr>
            <w:rStyle w:val="Hyperlink"/>
            <w:sz w:val="22"/>
          </w:rPr>
          <w:t>41129</w:t>
        </w:r>
      </w:hyperlink>
      <w:r w:rsidRPr="00D759F7">
        <w:rPr>
          <w:sz w:val="22"/>
        </w:rPr>
        <w:t>)</w:t>
      </w:r>
    </w:p>
    <w:p w:rsidR="001401A9" w:rsidRPr="00D759F7" w:rsidRDefault="001401A9" w:rsidP="001401A9">
      <w:pPr>
        <w:ind w:left="357" w:hanging="357"/>
        <w:rPr>
          <w:sz w:val="20"/>
          <w:lang w:val="fr-CA"/>
        </w:rPr>
      </w:pPr>
    </w:p>
    <w:p w:rsidR="001401A9" w:rsidRPr="00D759F7" w:rsidRDefault="00130CEE" w:rsidP="00130CEE">
      <w:pPr>
        <w:jc w:val="both"/>
        <w:rPr>
          <w:sz w:val="20"/>
          <w:lang w:val="fr-CA"/>
        </w:rPr>
      </w:pPr>
      <w:r w:rsidRPr="00B05145">
        <w:rPr>
          <w:sz w:val="20"/>
          <w:lang w:val="fr-CA"/>
        </w:rPr>
        <w:t>La requête en prorogation du délai de signification et de dépôt de la demande d’autorisation d’appel est accueillie. La demande d’autorisation d’appel de l’arrêt de la Cour d’appel de l’Ontario, numéro COA-22-CR-0371, 2023 ONCA 562, daté du 28 août 2023, est rejetée.</w:t>
      </w:r>
    </w:p>
    <w:p w:rsidR="001401A9" w:rsidRPr="00D759F7" w:rsidRDefault="001401A9" w:rsidP="001401A9">
      <w:pPr>
        <w:ind w:left="357" w:hanging="357"/>
        <w:rPr>
          <w:sz w:val="20"/>
          <w:lang w:val="fr-CA"/>
        </w:rPr>
      </w:pPr>
    </w:p>
    <w:p w:rsidR="001401A9" w:rsidRPr="00D759F7" w:rsidRDefault="00CE1ED8" w:rsidP="001401A9">
      <w:pPr>
        <w:rPr>
          <w:sz w:val="20"/>
        </w:rPr>
      </w:pPr>
      <w:r>
        <w:rPr>
          <w:sz w:val="20"/>
        </w:rPr>
        <w:pict>
          <v:rect id="_x0000_i1049" style="width:2in;height:1pt" o:hrpct="0" o:hralign="center" o:hrstd="t" o:hrnoshade="t" o:hr="t" fillcolor="black [3213]" stroked="f"/>
        </w:pict>
      </w:r>
    </w:p>
    <w:p w:rsidR="001401A9" w:rsidRPr="00D759F7" w:rsidRDefault="001401A9" w:rsidP="001401A9">
      <w:pPr>
        <w:ind w:left="357" w:hanging="357"/>
        <w:rPr>
          <w:sz w:val="20"/>
        </w:rPr>
      </w:pPr>
    </w:p>
    <w:p w:rsidR="00D759F7" w:rsidRPr="00FF3B2A" w:rsidRDefault="00D759F7" w:rsidP="00D759F7">
      <w:pPr>
        <w:pStyle w:val="SCCLsocParty"/>
        <w:jc w:val="left"/>
        <w:rPr>
          <w:i/>
          <w:sz w:val="22"/>
        </w:rPr>
      </w:pPr>
      <w:r w:rsidRPr="00FF3B2A">
        <w:rPr>
          <w:i/>
          <w:sz w:val="22"/>
        </w:rPr>
        <w:t>Souphin Inlakhana, Damion Inlakhana, Somnuck Inlakhana et Khambay Inlakhana c. Procureur général du Canada</w:t>
      </w:r>
      <w:r w:rsidRPr="00FF3B2A">
        <w:rPr>
          <w:sz w:val="22"/>
        </w:rPr>
        <w:t xml:space="preserve"> (Ont.) (Civile) (Autorisation) (</w:t>
      </w:r>
      <w:hyperlink r:id="rId33" w:history="1">
        <w:r w:rsidRPr="00FF3B2A">
          <w:rPr>
            <w:rStyle w:val="Hyperlink"/>
            <w:sz w:val="22"/>
          </w:rPr>
          <w:t>41130</w:t>
        </w:r>
      </w:hyperlink>
      <w:r w:rsidRPr="00FF3B2A">
        <w:rPr>
          <w:sz w:val="22"/>
        </w:rPr>
        <w:t>)</w:t>
      </w:r>
    </w:p>
    <w:p w:rsidR="001401A9" w:rsidRPr="00D759F7" w:rsidRDefault="001401A9" w:rsidP="001401A9">
      <w:pPr>
        <w:jc w:val="both"/>
        <w:rPr>
          <w:sz w:val="20"/>
          <w:lang w:val="fr-CA"/>
        </w:rPr>
      </w:pPr>
    </w:p>
    <w:p w:rsidR="001401A9" w:rsidRPr="00B05145" w:rsidRDefault="00D759F7" w:rsidP="001401A9">
      <w:pPr>
        <w:jc w:val="both"/>
        <w:rPr>
          <w:sz w:val="20"/>
          <w:lang w:val="fr-CA"/>
        </w:rPr>
      </w:pPr>
      <w:r w:rsidRPr="00B05145">
        <w:rPr>
          <w:sz w:val="20"/>
          <w:lang w:val="fr-CA"/>
        </w:rPr>
        <w:t>La demande d’autorisation d’appel de l’arrêt de la Cour d’appel de l’Ontario, numéro COA-23-CV-0395, 2023 ONCA 836, daté du 19 décembre 2023, est rejetée avec dépens.</w:t>
      </w:r>
    </w:p>
    <w:p w:rsidR="001401A9" w:rsidRPr="00D759F7" w:rsidRDefault="001401A9" w:rsidP="001401A9">
      <w:pPr>
        <w:jc w:val="both"/>
        <w:rPr>
          <w:sz w:val="20"/>
          <w:lang w:val="fr-CA"/>
        </w:rPr>
      </w:pPr>
    </w:p>
    <w:p w:rsidR="001401A9" w:rsidRPr="00D759F7" w:rsidRDefault="00CE1ED8" w:rsidP="001401A9">
      <w:pPr>
        <w:jc w:val="both"/>
        <w:rPr>
          <w:sz w:val="20"/>
        </w:rPr>
      </w:pPr>
      <w:r>
        <w:rPr>
          <w:sz w:val="20"/>
        </w:rPr>
        <w:pict>
          <v:rect id="_x0000_i1050" style="width:2in;height:1pt" o:hrpct="0" o:hralign="center" o:hrstd="t" o:hrnoshade="t" o:hr="t" fillcolor="black [3213]" stroked="f"/>
        </w:pict>
      </w:r>
    </w:p>
    <w:p w:rsidR="001401A9" w:rsidRPr="00D759F7" w:rsidRDefault="001401A9" w:rsidP="001401A9">
      <w:pPr>
        <w:widowControl w:val="0"/>
        <w:tabs>
          <w:tab w:val="left" w:pos="360"/>
        </w:tabs>
        <w:autoSpaceDE w:val="0"/>
        <w:autoSpaceDN w:val="0"/>
        <w:adjustRightInd w:val="0"/>
        <w:ind w:left="357" w:hanging="357"/>
        <w:rPr>
          <w:sz w:val="20"/>
          <w:lang w:val="en-CA"/>
        </w:rPr>
      </w:pPr>
    </w:p>
    <w:p w:rsidR="007710A9" w:rsidRPr="00D759F7" w:rsidRDefault="007710A9" w:rsidP="00D3228D">
      <w:pPr>
        <w:ind w:left="357" w:hanging="357"/>
        <w:jc w:val="both"/>
        <w:rPr>
          <w:sz w:val="20"/>
          <w:lang w:val="fr-CA"/>
        </w:rPr>
      </w:pPr>
    </w:p>
    <w:p w:rsidR="007710A9" w:rsidRPr="00D759F7" w:rsidRDefault="007710A9" w:rsidP="00D3228D">
      <w:pPr>
        <w:ind w:left="357" w:hanging="357"/>
        <w:jc w:val="both"/>
        <w:rPr>
          <w:sz w:val="20"/>
          <w:lang w:val="fr-CA"/>
        </w:rPr>
      </w:pPr>
    </w:p>
    <w:p w:rsidR="00D3344A" w:rsidRPr="00D759F7" w:rsidRDefault="00D3344A" w:rsidP="00D3344A">
      <w:pPr>
        <w:widowControl w:val="0"/>
        <w:outlineLvl w:val="0"/>
      </w:pPr>
      <w:r w:rsidRPr="00D759F7">
        <w:t xml:space="preserve">Supreme Court of Canada / Cour suprême du </w:t>
      </w:r>
      <w:proofErr w:type="gramStart"/>
      <w:r w:rsidRPr="00D759F7">
        <w:t>Canada :</w:t>
      </w:r>
      <w:proofErr w:type="gramEnd"/>
      <w:r w:rsidRPr="00D759F7">
        <w:t xml:space="preserve"> </w:t>
      </w:r>
    </w:p>
    <w:p w:rsidR="00247630" w:rsidRPr="00D759F7" w:rsidRDefault="00CE1ED8" w:rsidP="00247630">
      <w:pPr>
        <w:widowControl w:val="0"/>
        <w:outlineLvl w:val="0"/>
      </w:pPr>
      <w:hyperlink r:id="rId34" w:history="1">
        <w:r w:rsidR="00247630" w:rsidRPr="00D759F7">
          <w:rPr>
            <w:rStyle w:val="Hyperlink"/>
          </w:rPr>
          <w:t>Registry-greffe@scc-csc.ca</w:t>
        </w:r>
      </w:hyperlink>
    </w:p>
    <w:p w:rsidR="00497B5E" w:rsidRDefault="00247630" w:rsidP="00247630">
      <w:pPr>
        <w:widowControl w:val="0"/>
        <w:outlineLvl w:val="0"/>
      </w:pPr>
      <w:r w:rsidRPr="00D759F7">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35"/>
      <w:headerReference w:type="default" r:id="rId36"/>
      <w:footerReference w:type="even" r:id="rId37"/>
      <w:footerReference w:type="default" r:id="rId38"/>
      <w:headerReference w:type="first" r:id="rId39"/>
      <w:footerReference w:type="first" r:id="rId40"/>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36C5B"/>
    <w:multiLevelType w:val="hybridMultilevel"/>
    <w:tmpl w:val="45A4EFF6"/>
    <w:lvl w:ilvl="0" w:tplc="3108454C">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8B2B6B"/>
    <w:multiLevelType w:val="hybridMultilevel"/>
    <w:tmpl w:val="45A4EFF6"/>
    <w:lvl w:ilvl="0" w:tplc="3108454C">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4"/>
  </w:num>
  <w:num w:numId="4">
    <w:abstractNumId w:val="15"/>
  </w:num>
  <w:num w:numId="5">
    <w:abstractNumId w:val="13"/>
  </w:num>
  <w:num w:numId="6">
    <w:abstractNumId w:val="6"/>
  </w:num>
  <w:num w:numId="7">
    <w:abstractNumId w:val="11"/>
  </w:num>
  <w:num w:numId="8">
    <w:abstractNumId w:val="10"/>
  </w:num>
  <w:num w:numId="9">
    <w:abstractNumId w:val="0"/>
  </w:num>
  <w:num w:numId="10">
    <w:abstractNumId w:val="8"/>
  </w:num>
  <w:num w:numId="11">
    <w:abstractNumId w:val="14"/>
  </w:num>
  <w:num w:numId="12">
    <w:abstractNumId w:val="9"/>
  </w:num>
  <w:num w:numId="13">
    <w:abstractNumId w:val="5"/>
  </w:num>
  <w:num w:numId="14">
    <w:abstractNumId w:val="7"/>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67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0CEE"/>
    <w:rsid w:val="00131A94"/>
    <w:rsid w:val="00132635"/>
    <w:rsid w:val="00132B24"/>
    <w:rsid w:val="00132D73"/>
    <w:rsid w:val="00133AF1"/>
    <w:rsid w:val="00134819"/>
    <w:rsid w:val="001351CE"/>
    <w:rsid w:val="001354E7"/>
    <w:rsid w:val="001374EE"/>
    <w:rsid w:val="001401A9"/>
    <w:rsid w:val="00141200"/>
    <w:rsid w:val="001412DF"/>
    <w:rsid w:val="001421CF"/>
    <w:rsid w:val="0014243F"/>
    <w:rsid w:val="00142C72"/>
    <w:rsid w:val="00144111"/>
    <w:rsid w:val="00144379"/>
    <w:rsid w:val="00144E02"/>
    <w:rsid w:val="00145015"/>
    <w:rsid w:val="0014508F"/>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0BC0"/>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5BDC"/>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02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61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280D"/>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16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302C"/>
    <w:rsid w:val="008F3C5D"/>
    <w:rsid w:val="008F400D"/>
    <w:rsid w:val="008F43D1"/>
    <w:rsid w:val="008F59DD"/>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D1E"/>
    <w:rsid w:val="00971F36"/>
    <w:rsid w:val="00972373"/>
    <w:rsid w:val="00972A4E"/>
    <w:rsid w:val="009731BD"/>
    <w:rsid w:val="0097357C"/>
    <w:rsid w:val="009739B3"/>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0FD8"/>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5145"/>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4B34"/>
    <w:rsid w:val="00BF5C89"/>
    <w:rsid w:val="00BF666B"/>
    <w:rsid w:val="00BF66C0"/>
    <w:rsid w:val="00BF7E95"/>
    <w:rsid w:val="00BF7F5F"/>
    <w:rsid w:val="00C005B0"/>
    <w:rsid w:val="00C00650"/>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1ED8"/>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49C"/>
    <w:rsid w:val="00D61116"/>
    <w:rsid w:val="00D62E8F"/>
    <w:rsid w:val="00D645E0"/>
    <w:rsid w:val="00D64F9B"/>
    <w:rsid w:val="00D6599A"/>
    <w:rsid w:val="00D6634C"/>
    <w:rsid w:val="00D663E9"/>
    <w:rsid w:val="00D669A4"/>
    <w:rsid w:val="00D6784F"/>
    <w:rsid w:val="00D6791C"/>
    <w:rsid w:val="00D70240"/>
    <w:rsid w:val="00D70CF5"/>
    <w:rsid w:val="00D71307"/>
    <w:rsid w:val="00D7143F"/>
    <w:rsid w:val="00D72E93"/>
    <w:rsid w:val="00D72F77"/>
    <w:rsid w:val="00D7484D"/>
    <w:rsid w:val="00D74F46"/>
    <w:rsid w:val="00D7507B"/>
    <w:rsid w:val="00D75521"/>
    <w:rsid w:val="00D7557F"/>
    <w:rsid w:val="00D759F7"/>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275"/>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584"/>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C71C7"/>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3B2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090" TargetMode="External"/><Relationship Id="rId13" Type="http://schemas.openxmlformats.org/officeDocument/2006/relationships/hyperlink" Target="https://www.scc-csc.ca/case-dossier/info/sum-som-eng.aspx?cas=41095" TargetMode="External"/><Relationship Id="rId18" Type="http://schemas.openxmlformats.org/officeDocument/2006/relationships/hyperlink" Target="https://www.scc-csc.ca/case-dossier/info/sum-som-eng.aspx?cas=41103" TargetMode="External"/><Relationship Id="rId26" Type="http://schemas.openxmlformats.org/officeDocument/2006/relationships/hyperlink" Target="https://www.scc-csc.ca/case-dossier/info/sum-som-fra.aspx?cas=41095"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cc-csc.ca/case-dossier/info/sum-som-fra.aspx?cas=41090" TargetMode="External"/><Relationship Id="rId34" Type="http://schemas.openxmlformats.org/officeDocument/2006/relationships/hyperlink" Target="mailto:Registry-greffe@scc-csc.c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c-csc.ca/case-dossier/info/sum-som-eng.aspx?cas=41162" TargetMode="External"/><Relationship Id="rId17" Type="http://schemas.openxmlformats.org/officeDocument/2006/relationships/hyperlink" Target="https://www.scc-csc.ca/case-dossier/info/sum-som-eng.aspx?cas=41205" TargetMode="External"/><Relationship Id="rId25" Type="http://schemas.openxmlformats.org/officeDocument/2006/relationships/hyperlink" Target="https://www.scc-csc.ca/case-dossier/info/sum-som-fra.aspx?cas=41162" TargetMode="External"/><Relationship Id="rId33" Type="http://schemas.openxmlformats.org/officeDocument/2006/relationships/hyperlink" Target="https://www.scc-csc.ca/case-dossier/info/sum-som-fra.aspx?cas=41130"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cc-csc.ca/case-dossier/info/sum-som-eng.aspx?cas=41164" TargetMode="External"/><Relationship Id="rId20" Type="http://schemas.openxmlformats.org/officeDocument/2006/relationships/hyperlink" Target="https://www.scc-csc.ca/case-dossier/info/sum-som-eng.aspx?cas=41130" TargetMode="External"/><Relationship Id="rId29" Type="http://schemas.openxmlformats.org/officeDocument/2006/relationships/hyperlink" Target="https://www.scc-csc.ca/case-dossier/info/sum-som-fra.aspx?cas=4116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026" TargetMode="External"/><Relationship Id="rId24" Type="http://schemas.openxmlformats.org/officeDocument/2006/relationships/hyperlink" Target="https://www.scc-csc.ca/case-dossier/info/sum-som-fra.aspx?cas=41026" TargetMode="External"/><Relationship Id="rId32" Type="http://schemas.openxmlformats.org/officeDocument/2006/relationships/hyperlink" Target="https://www.scc-csc.ca/case-dossier/info/sum-som-fra.aspx?cas=41129"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cc-csc.ca/case-dossier/info/sum-som-eng.aspx?cas=41092" TargetMode="External"/><Relationship Id="rId23" Type="http://schemas.openxmlformats.org/officeDocument/2006/relationships/hyperlink" Target="https://www.scc-csc.ca/case-dossier/info/sum-som-fra.aspx?cas=40961" TargetMode="External"/><Relationship Id="rId28" Type="http://schemas.openxmlformats.org/officeDocument/2006/relationships/hyperlink" Target="https://www.scc-csc.ca/case-dossier/info/sum-som-fra.aspx?cas=41092" TargetMode="External"/><Relationship Id="rId36" Type="http://schemas.openxmlformats.org/officeDocument/2006/relationships/header" Target="header2.xml"/><Relationship Id="rId10" Type="http://schemas.openxmlformats.org/officeDocument/2006/relationships/hyperlink" Target="https://www.scc-csc.ca/case-dossier/info/sum-som-eng.aspx?cas=40961" TargetMode="External"/><Relationship Id="rId19" Type="http://schemas.openxmlformats.org/officeDocument/2006/relationships/hyperlink" Target="https://www.scc-csc.ca/case-dossier/info/sum-som-eng.aspx?cas=41129" TargetMode="External"/><Relationship Id="rId31" Type="http://schemas.openxmlformats.org/officeDocument/2006/relationships/hyperlink" Target="https://www.scc-csc.ca/case-dossier/info/sum-som-fra.aspx?cas=41103" TargetMode="External"/><Relationship Id="rId4" Type="http://schemas.openxmlformats.org/officeDocument/2006/relationships/settings" Target="settings.xml"/><Relationship Id="rId9" Type="http://schemas.openxmlformats.org/officeDocument/2006/relationships/hyperlink" Target="https://www.scc-csc.ca/case-dossier/info/sum-som-eng.aspx?cas=41036" TargetMode="External"/><Relationship Id="rId14" Type="http://schemas.openxmlformats.org/officeDocument/2006/relationships/hyperlink" Target="https://www.scc-csc.ca/case-dossier/info/sum-som-eng.aspx?cas=41094" TargetMode="External"/><Relationship Id="rId22" Type="http://schemas.openxmlformats.org/officeDocument/2006/relationships/hyperlink" Target="https://www.scc-csc.ca/case-dossier/info/sum-som-fra.aspx?cas=41036" TargetMode="External"/><Relationship Id="rId27" Type="http://schemas.openxmlformats.org/officeDocument/2006/relationships/hyperlink" Target="https://www.scc-csc.ca/case-dossier/info/sum-som-fra.aspx?cas=41094" TargetMode="External"/><Relationship Id="rId30" Type="http://schemas.openxmlformats.org/officeDocument/2006/relationships/hyperlink" Target="https://www.scc-csc.ca/case-dossier/info/sum-som-fra.aspx?cas=41205"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119F2-E000-47AA-9A9D-21673E8A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11082</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2024-06-27T11:39:00Z</dcterms:modified>
</cp:coreProperties>
</file>