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415" w:rsidRPr="00C871EF" w:rsidRDefault="001C4415" w:rsidP="001C4415">
      <w:pPr>
        <w:pStyle w:val="Header"/>
        <w:jc w:val="center"/>
        <w:rPr>
          <w:b/>
          <w:sz w:val="32"/>
        </w:rPr>
      </w:pPr>
      <w:r w:rsidRPr="00C871EF">
        <w:rPr>
          <w:b/>
          <w:sz w:val="32"/>
        </w:rPr>
        <w:t>Supreme Court of Canada / Cour suprême du Canada</w:t>
      </w:r>
    </w:p>
    <w:p w:rsidR="001C4415" w:rsidRPr="00C871EF" w:rsidRDefault="001C4415" w:rsidP="001C4415">
      <w:pPr>
        <w:widowControl w:val="0"/>
        <w:rPr>
          <w:i/>
        </w:rPr>
      </w:pPr>
    </w:p>
    <w:p w:rsidR="001C4415" w:rsidRPr="00C871EF" w:rsidRDefault="001C4415" w:rsidP="001C4415">
      <w:pPr>
        <w:widowControl w:val="0"/>
        <w:rPr>
          <w:i/>
        </w:rPr>
      </w:pPr>
    </w:p>
    <w:p w:rsidR="001C4415" w:rsidRPr="00C871EF" w:rsidRDefault="001C4415" w:rsidP="001C4415">
      <w:pPr>
        <w:widowControl w:val="0"/>
        <w:rPr>
          <w:i/>
        </w:rPr>
      </w:pPr>
      <w:r w:rsidRPr="00C871EF">
        <w:rPr>
          <w:i/>
        </w:rPr>
        <w:t>(le français suit)</w:t>
      </w:r>
    </w:p>
    <w:p w:rsidR="001C4415" w:rsidRPr="00C871EF" w:rsidRDefault="001C4415" w:rsidP="001C4415">
      <w:pPr>
        <w:widowControl w:val="0"/>
      </w:pPr>
    </w:p>
    <w:p w:rsidR="001C4415" w:rsidRPr="00C871EF" w:rsidRDefault="000347C1" w:rsidP="00214729">
      <w:pPr>
        <w:widowControl w:val="0"/>
        <w:jc w:val="center"/>
        <w:rPr>
          <w:b/>
        </w:rPr>
      </w:pPr>
      <w:r w:rsidRPr="00C871EF">
        <w:fldChar w:fldCharType="begin"/>
      </w:r>
      <w:r w:rsidR="00FA7412" w:rsidRPr="00C871EF">
        <w:instrText xml:space="preserve"> SEQ CHAPTER \h \r 1</w:instrText>
      </w:r>
      <w:r w:rsidRPr="00C871EF">
        <w:fldChar w:fldCharType="end"/>
      </w:r>
      <w:r w:rsidR="006545ED" w:rsidRPr="00C871EF">
        <w:rPr>
          <w:b/>
        </w:rPr>
        <w:t>REASONS FOR J</w:t>
      </w:r>
      <w:r w:rsidR="00455BB9" w:rsidRPr="00C871EF">
        <w:rPr>
          <w:b/>
        </w:rPr>
        <w:t>UDGMENT</w:t>
      </w:r>
      <w:r w:rsidR="00F821F9" w:rsidRPr="00C871EF">
        <w:rPr>
          <w:b/>
        </w:rPr>
        <w:t xml:space="preserve"> TO BE RENDERED O</w:t>
      </w:r>
      <w:r w:rsidR="00FA7412" w:rsidRPr="00C871EF">
        <w:rPr>
          <w:b/>
        </w:rPr>
        <w:t>N APPEA</w:t>
      </w:r>
      <w:r w:rsidR="00342E49" w:rsidRPr="00C871EF">
        <w:rPr>
          <w:b/>
        </w:rPr>
        <w:t>L</w:t>
      </w:r>
    </w:p>
    <w:p w:rsidR="005A7C1B" w:rsidRPr="00C871EF" w:rsidRDefault="005A7C1B" w:rsidP="005A7C1B">
      <w:pPr>
        <w:widowControl w:val="0"/>
      </w:pPr>
    </w:p>
    <w:p w:rsidR="00EC79B0" w:rsidRPr="00C871EF" w:rsidRDefault="00D17434" w:rsidP="00EC79B0">
      <w:pPr>
        <w:widowControl w:val="0"/>
        <w:rPr>
          <w:b/>
        </w:rPr>
      </w:pPr>
      <w:r w:rsidRPr="00C871EF">
        <w:rPr>
          <w:b/>
        </w:rPr>
        <w:t>July</w:t>
      </w:r>
      <w:r w:rsidR="00C86395" w:rsidRPr="00C871EF">
        <w:rPr>
          <w:b/>
        </w:rPr>
        <w:t xml:space="preserve"> </w:t>
      </w:r>
      <w:r w:rsidRPr="00C871EF">
        <w:rPr>
          <w:b/>
        </w:rPr>
        <w:t>8</w:t>
      </w:r>
      <w:r w:rsidR="00EC79B0" w:rsidRPr="00C871EF">
        <w:rPr>
          <w:b/>
        </w:rPr>
        <w:t>, 20</w:t>
      </w:r>
      <w:r w:rsidR="00690520" w:rsidRPr="00C871EF">
        <w:rPr>
          <w:b/>
        </w:rPr>
        <w:t>2</w:t>
      </w:r>
      <w:r w:rsidRPr="00C871EF">
        <w:rPr>
          <w:b/>
        </w:rPr>
        <w:t>4</w:t>
      </w:r>
    </w:p>
    <w:p w:rsidR="00EC79B0" w:rsidRPr="00C871EF" w:rsidRDefault="00EC79B0" w:rsidP="00EC79B0">
      <w:pPr>
        <w:widowControl w:val="0"/>
      </w:pPr>
    </w:p>
    <w:p w:rsidR="00EC79B0" w:rsidRPr="00C871EF" w:rsidRDefault="00EC79B0" w:rsidP="00EC79B0">
      <w:pPr>
        <w:widowControl w:val="0"/>
      </w:pPr>
      <w:r w:rsidRPr="00C871EF">
        <w:rPr>
          <w:b/>
        </w:rPr>
        <w:t>OTTAWA</w:t>
      </w:r>
      <w:r w:rsidRPr="00C871EF">
        <w:t xml:space="preserve"> –</w:t>
      </w:r>
      <w:r w:rsidR="00C73BB2" w:rsidRPr="00C871EF">
        <w:t xml:space="preserve"> On </w:t>
      </w:r>
      <w:r w:rsidR="00970A7B" w:rsidRPr="00C871EF">
        <w:t>February</w:t>
      </w:r>
      <w:r w:rsidR="00C73BB2" w:rsidRPr="00C871EF">
        <w:t xml:space="preserve"> </w:t>
      </w:r>
      <w:r w:rsidR="00970A7B" w:rsidRPr="00C871EF">
        <w:t>15</w:t>
      </w:r>
      <w:r w:rsidR="00C73BB2" w:rsidRPr="00C871EF">
        <w:t>, 20</w:t>
      </w:r>
      <w:r w:rsidR="002674CC" w:rsidRPr="00C871EF">
        <w:t>2</w:t>
      </w:r>
      <w:r w:rsidR="00970A7B" w:rsidRPr="00C871EF">
        <w:t>4</w:t>
      </w:r>
      <w:r w:rsidR="00C73BB2" w:rsidRPr="00C871EF">
        <w:t xml:space="preserve">, the Supreme Court of Canada </w:t>
      </w:r>
      <w:r w:rsidR="00970A7B" w:rsidRPr="00C871EF">
        <w:t>allowed</w:t>
      </w:r>
      <w:r w:rsidR="00C73BB2" w:rsidRPr="00C871EF">
        <w:t xml:space="preserve"> the appeal</w:t>
      </w:r>
      <w:r w:rsidR="00F821F9" w:rsidRPr="00C871EF">
        <w:t xml:space="preserve"> set out below</w:t>
      </w:r>
      <w:r w:rsidR="00AE3866" w:rsidRPr="00C871EF">
        <w:t xml:space="preserve"> </w:t>
      </w:r>
      <w:r w:rsidR="00C73BB2" w:rsidRPr="00C871EF">
        <w:t xml:space="preserve">with reasons </w:t>
      </w:r>
      <w:r w:rsidR="00F821F9" w:rsidRPr="00C871EF">
        <w:t xml:space="preserve">for judgment </w:t>
      </w:r>
      <w:r w:rsidR="00C73BB2" w:rsidRPr="00C871EF">
        <w:t>t</w:t>
      </w:r>
      <w:r w:rsidR="00F821F9" w:rsidRPr="00C871EF">
        <w:t>o follow</w:t>
      </w:r>
      <w:r w:rsidR="00C73BB2" w:rsidRPr="00C871EF">
        <w:t>. The</w:t>
      </w:r>
      <w:r w:rsidR="00E004F0" w:rsidRPr="00C871EF">
        <w:t xml:space="preserve">se reasons </w:t>
      </w:r>
      <w:r w:rsidR="00C73BB2" w:rsidRPr="00C871EF">
        <w:t xml:space="preserve">will be delivered at 9:45 a.m. ET on </w:t>
      </w:r>
      <w:r w:rsidR="00D17434" w:rsidRPr="00C871EF">
        <w:t>Friday</w:t>
      </w:r>
      <w:r w:rsidR="00C73BB2" w:rsidRPr="00C871EF">
        <w:t xml:space="preserve">, </w:t>
      </w:r>
      <w:r w:rsidR="00D17434" w:rsidRPr="00C871EF">
        <w:t>July</w:t>
      </w:r>
      <w:r w:rsidR="00C73BB2" w:rsidRPr="00C871EF">
        <w:t xml:space="preserve"> </w:t>
      </w:r>
      <w:r w:rsidR="00D17434" w:rsidRPr="00C871EF">
        <w:t>12</w:t>
      </w:r>
      <w:r w:rsidR="00C73BB2" w:rsidRPr="00C871EF">
        <w:t>, 20</w:t>
      </w:r>
      <w:r w:rsidR="00690520" w:rsidRPr="00C871EF">
        <w:t>2</w:t>
      </w:r>
      <w:r w:rsidR="00D17434" w:rsidRPr="00C871EF">
        <w:t>4</w:t>
      </w:r>
      <w:r w:rsidR="001C5ACC" w:rsidRPr="00C871EF">
        <w:t>.</w:t>
      </w:r>
    </w:p>
    <w:p w:rsidR="001C4415" w:rsidRPr="00C871EF" w:rsidRDefault="001C4415" w:rsidP="001C4415">
      <w:pPr>
        <w:widowControl w:val="0"/>
        <w:rPr>
          <w:sz w:val="20"/>
        </w:rPr>
      </w:pPr>
    </w:p>
    <w:p w:rsidR="001C5ACC" w:rsidRPr="00C871EF" w:rsidRDefault="001C5ACC" w:rsidP="001C4415">
      <w:pPr>
        <w:widowControl w:val="0"/>
        <w:rPr>
          <w:sz w:val="20"/>
        </w:rPr>
      </w:pPr>
    </w:p>
    <w:p w:rsidR="001C5ACC" w:rsidRPr="00C871EF" w:rsidRDefault="00970A7B" w:rsidP="001C5ACC">
      <w:pPr>
        <w:widowControl w:val="0"/>
        <w:rPr>
          <w:szCs w:val="24"/>
        </w:rPr>
      </w:pPr>
      <w:r w:rsidRPr="00C871EF">
        <w:rPr>
          <w:i/>
          <w:iCs/>
          <w:szCs w:val="24"/>
        </w:rPr>
        <w:t>Daniel Hodgson v. His Majesty the King</w:t>
      </w:r>
      <w:r w:rsidR="001C5ACC" w:rsidRPr="00C871EF">
        <w:rPr>
          <w:i/>
          <w:iCs/>
          <w:szCs w:val="24"/>
        </w:rPr>
        <w:t xml:space="preserve"> </w:t>
      </w:r>
      <w:r w:rsidR="001C5ACC" w:rsidRPr="00C871EF">
        <w:rPr>
          <w:szCs w:val="24"/>
        </w:rPr>
        <w:t>(</w:t>
      </w:r>
      <w:r w:rsidRPr="00C871EF">
        <w:rPr>
          <w:szCs w:val="24"/>
        </w:rPr>
        <w:t>Nvt</w:t>
      </w:r>
      <w:r w:rsidR="001C5ACC" w:rsidRPr="00C871EF">
        <w:rPr>
          <w:szCs w:val="24"/>
        </w:rPr>
        <w:t>) (</w:t>
      </w:r>
      <w:hyperlink r:id="rId7" w:history="1">
        <w:r w:rsidRPr="00C871EF">
          <w:rPr>
            <w:rStyle w:val="Hyperlink"/>
            <w:szCs w:val="24"/>
          </w:rPr>
          <w:t>40498</w:t>
        </w:r>
      </w:hyperlink>
      <w:r w:rsidR="001C5ACC" w:rsidRPr="00C871EF">
        <w:rPr>
          <w:szCs w:val="24"/>
        </w:rPr>
        <w:t>)</w:t>
      </w:r>
    </w:p>
    <w:p w:rsidR="001C5ACC" w:rsidRPr="00C871EF" w:rsidRDefault="001C5ACC" w:rsidP="001C5ACC">
      <w:pPr>
        <w:jc w:val="both"/>
        <w:rPr>
          <w:sz w:val="20"/>
        </w:rPr>
      </w:pPr>
    </w:p>
    <w:bookmarkStart w:id="0" w:name="1"/>
    <w:bookmarkEnd w:id="0"/>
    <w:p w:rsidR="00C871EF" w:rsidRPr="00C871EF" w:rsidRDefault="00C871EF" w:rsidP="00E46C08">
      <w:pPr>
        <w:widowControl w:val="0"/>
        <w:tabs>
          <w:tab w:val="left" w:pos="720"/>
        </w:tabs>
        <w:ind w:left="1440" w:hanging="1440"/>
        <w:jc w:val="both"/>
        <w:rPr>
          <w:b/>
          <w:i/>
          <w:sz w:val="20"/>
        </w:rPr>
      </w:pPr>
      <w:r w:rsidRPr="00C871EF">
        <w:rPr>
          <w:b/>
          <w:sz w:val="20"/>
          <w:lang w:val="en-CA"/>
        </w:rPr>
        <w:fldChar w:fldCharType="begin"/>
      </w:r>
      <w:r w:rsidRPr="00C871EF">
        <w:rPr>
          <w:b/>
          <w:sz w:val="20"/>
        </w:rPr>
        <w:instrText xml:space="preserve"> SEQ CHAPTER \h \r 1</w:instrText>
      </w:r>
      <w:r w:rsidRPr="00C871EF">
        <w:rPr>
          <w:b/>
          <w:sz w:val="20"/>
        </w:rPr>
        <w:fldChar w:fldCharType="end"/>
      </w:r>
      <w:r w:rsidRPr="00C871EF">
        <w:rPr>
          <w:b/>
          <w:sz w:val="20"/>
        </w:rPr>
        <w:t>40498</w:t>
      </w:r>
      <w:r w:rsidRPr="00C871EF">
        <w:rPr>
          <w:b/>
          <w:sz w:val="20"/>
        </w:rPr>
        <w:tab/>
      </w:r>
      <w:bookmarkStart w:id="1" w:name="3"/>
      <w:bookmarkEnd w:id="1"/>
      <w:r w:rsidRPr="00C871EF">
        <w:rPr>
          <w:b/>
          <w:i/>
          <w:sz w:val="20"/>
          <w:lang w:val="en-CA"/>
        </w:rPr>
        <w:t>Daniel</w:t>
      </w:r>
      <w:r w:rsidRPr="00C871EF">
        <w:rPr>
          <w:b/>
          <w:i/>
          <w:sz w:val="20"/>
        </w:rPr>
        <w:t xml:space="preserve"> Hodgson v. His Majesty </w:t>
      </w:r>
      <w:proofErr w:type="gramStart"/>
      <w:r w:rsidRPr="00C871EF">
        <w:rPr>
          <w:b/>
          <w:i/>
          <w:sz w:val="20"/>
        </w:rPr>
        <w:t>The</w:t>
      </w:r>
      <w:proofErr w:type="gramEnd"/>
      <w:r w:rsidRPr="00C871EF">
        <w:rPr>
          <w:b/>
          <w:i/>
          <w:sz w:val="20"/>
        </w:rPr>
        <w:t xml:space="preserve"> King</w:t>
      </w:r>
    </w:p>
    <w:p w:rsidR="00C871EF" w:rsidRPr="00C871EF" w:rsidRDefault="00C871EF" w:rsidP="00E46C08">
      <w:pPr>
        <w:widowControl w:val="0"/>
        <w:tabs>
          <w:tab w:val="left" w:pos="720"/>
        </w:tabs>
        <w:ind w:left="1440" w:hanging="1440"/>
        <w:jc w:val="both"/>
        <w:rPr>
          <w:sz w:val="20"/>
          <w:lang w:val="en-CA"/>
        </w:rPr>
      </w:pPr>
      <w:r w:rsidRPr="00C871EF">
        <w:rPr>
          <w:sz w:val="20"/>
        </w:rPr>
        <w:tab/>
      </w:r>
      <w:r w:rsidRPr="00C871EF">
        <w:rPr>
          <w:sz w:val="20"/>
          <w:lang w:val="en-CA"/>
        </w:rPr>
        <w:t>(Nvt) (Criminal) (By Leave)</w:t>
      </w:r>
    </w:p>
    <w:p w:rsidR="00C871EF" w:rsidRPr="00C871EF" w:rsidRDefault="00C871EF">
      <w:pPr>
        <w:widowControl w:val="0"/>
        <w:jc w:val="both"/>
        <w:rPr>
          <w:sz w:val="20"/>
          <w:lang w:val="en-CA"/>
        </w:rPr>
      </w:pPr>
    </w:p>
    <w:p w:rsidR="00C871EF" w:rsidRPr="00C871EF" w:rsidRDefault="00C871EF" w:rsidP="007D2AA5">
      <w:pPr>
        <w:jc w:val="both"/>
        <w:rPr>
          <w:color w:val="000000"/>
          <w:sz w:val="20"/>
        </w:rPr>
      </w:pPr>
      <w:bookmarkStart w:id="2" w:name="QuickMark_1"/>
      <w:bookmarkEnd w:id="2"/>
      <w:r w:rsidRPr="00C871EF">
        <w:rPr>
          <w:sz w:val="20"/>
        </w:rPr>
        <w:t xml:space="preserve">Criminal Law — Defences — Self-Defence — Appellant charged with second-degree murder following an altercation at party — Trial judge </w:t>
      </w:r>
      <w:r w:rsidRPr="00C871EF">
        <w:rPr>
          <w:color w:val="000000"/>
          <w:sz w:val="20"/>
        </w:rPr>
        <w:t xml:space="preserve">finding no intent to murder, and Crown failing to disprove self-defence on the lesser included offence of manslaughter — </w:t>
      </w:r>
      <w:r w:rsidRPr="00C871EF">
        <w:rPr>
          <w:sz w:val="20"/>
        </w:rPr>
        <w:t xml:space="preserve">Appellant acquitted — </w:t>
      </w:r>
      <w:r w:rsidRPr="00C871EF">
        <w:rPr>
          <w:color w:val="000000"/>
          <w:sz w:val="20"/>
        </w:rPr>
        <w:t xml:space="preserve">Court of Appeal setting aside acquittal and ordering new trial — Whether Court of Appeal exceeded its jurisdiction in concluding that the trial judge’s failure to infer intent for murder was a reviewable legal error — Whether the Court of Appeal erred in concluding that the trial judge was required to infer the intent for murder — Whether the Court of Appeal erred in concluding that the trial judge erroneously approached the issue of the reasonableness of the Appellant’s response from a purely subjective perspective — </w:t>
      </w:r>
      <w:r w:rsidRPr="00C871EF">
        <w:rPr>
          <w:i/>
          <w:color w:val="000000"/>
          <w:sz w:val="20"/>
        </w:rPr>
        <w:t>Criminal Code</w:t>
      </w:r>
      <w:r w:rsidRPr="00C871EF">
        <w:rPr>
          <w:color w:val="000000"/>
          <w:sz w:val="20"/>
        </w:rPr>
        <w:t>, R.S.C. 1985, c. C-46, s. 34.</w:t>
      </w:r>
    </w:p>
    <w:p w:rsidR="00C871EF" w:rsidRPr="00C871EF" w:rsidRDefault="00C871EF">
      <w:pPr>
        <w:widowControl w:val="0"/>
        <w:jc w:val="both"/>
        <w:rPr>
          <w:sz w:val="20"/>
        </w:rPr>
      </w:pPr>
    </w:p>
    <w:p w:rsidR="00C871EF" w:rsidRPr="00C871EF" w:rsidRDefault="00C871EF" w:rsidP="007D2AA5">
      <w:pPr>
        <w:jc w:val="both"/>
        <w:rPr>
          <w:sz w:val="20"/>
        </w:rPr>
      </w:pPr>
      <w:r w:rsidRPr="00C871EF">
        <w:rPr>
          <w:sz w:val="20"/>
        </w:rPr>
        <w:t xml:space="preserve">Appellant Daniel Hodgson was charged with second-degree murder following a death at a house party. The victim, a large man, had become aggressive towards the house owner and refused to leave. Mr. Hodgson, who had been sleeping in a nearby bedroom, was asked by a guest to help remove the victim from the house. The victim died after Mr. Hodgson applied a one-arm choke hold on him. </w:t>
      </w:r>
    </w:p>
    <w:p w:rsidR="00C871EF" w:rsidRPr="00C871EF" w:rsidRDefault="00C871EF" w:rsidP="007D2AA5">
      <w:pPr>
        <w:jc w:val="both"/>
        <w:rPr>
          <w:sz w:val="20"/>
        </w:rPr>
      </w:pPr>
    </w:p>
    <w:p w:rsidR="00C871EF" w:rsidRPr="00C871EF" w:rsidRDefault="00C871EF" w:rsidP="0096717B">
      <w:pPr>
        <w:jc w:val="both"/>
        <w:rPr>
          <w:sz w:val="20"/>
        </w:rPr>
      </w:pPr>
      <w:r w:rsidRPr="00C871EF">
        <w:rPr>
          <w:sz w:val="20"/>
        </w:rPr>
        <w:t xml:space="preserve">Mr. Hodgson was acquitted at trial. The trial judge had a reasonable doubt as to whether Mr. Hodgson had the requisite intent for murder. On the lesser included offence of manslaughter, the trial judge concluded that the Crown had not proven beyond a reasonable doubt that Mr. Hodgson did not act in self-defence pursuant to s. 34 of the </w:t>
      </w:r>
      <w:r w:rsidRPr="00C871EF">
        <w:rPr>
          <w:i/>
          <w:sz w:val="20"/>
        </w:rPr>
        <w:t>Criminal Code</w:t>
      </w:r>
      <w:r w:rsidRPr="00C871EF">
        <w:rPr>
          <w:sz w:val="20"/>
        </w:rPr>
        <w:t xml:space="preserve">, R.S.C. 1985, </w:t>
      </w:r>
      <w:proofErr w:type="gramStart"/>
      <w:r w:rsidRPr="00C871EF">
        <w:rPr>
          <w:sz w:val="20"/>
        </w:rPr>
        <w:t>c</w:t>
      </w:r>
      <w:proofErr w:type="gramEnd"/>
      <w:r w:rsidRPr="00C871EF">
        <w:rPr>
          <w:sz w:val="20"/>
        </w:rPr>
        <w:t xml:space="preserve">. C-46. The Court of Appeal set aside the acquittal and ordered a new trial. </w:t>
      </w:r>
    </w:p>
    <w:p w:rsidR="001C5ACC" w:rsidRPr="00C871EF" w:rsidRDefault="001C5ACC" w:rsidP="001C4415">
      <w:pPr>
        <w:widowControl w:val="0"/>
      </w:pPr>
    </w:p>
    <w:p w:rsidR="00C871EF" w:rsidRPr="00C871EF" w:rsidRDefault="00C871EF" w:rsidP="001C4415">
      <w:pPr>
        <w:widowControl w:val="0"/>
      </w:pPr>
    </w:p>
    <w:p w:rsidR="001C5ACC" w:rsidRPr="00C871EF" w:rsidRDefault="00C871EF" w:rsidP="001C4415">
      <w:pPr>
        <w:widowControl w:val="0"/>
      </w:pPr>
      <w:r w:rsidRPr="00C871EF">
        <w:rPr>
          <w:sz w:val="18"/>
          <w:szCs w:val="18"/>
        </w:rPr>
        <w:pict>
          <v:rect id="_x0000_i1025" style="width:272.25pt;height:1.5pt" o:hrpct="0" o:hralign="center" o:hrstd="t" o:hrnoshade="t" o:hr="t" fillcolor="black [3213]" stroked="f"/>
        </w:pict>
      </w:r>
    </w:p>
    <w:p w:rsidR="001C5ACC" w:rsidRPr="00C871EF" w:rsidRDefault="001C5ACC" w:rsidP="001C4415">
      <w:pPr>
        <w:widowControl w:val="0"/>
      </w:pPr>
    </w:p>
    <w:p w:rsidR="001C5ACC" w:rsidRPr="00C871EF" w:rsidRDefault="001C5ACC" w:rsidP="001C4415">
      <w:pPr>
        <w:widowControl w:val="0"/>
      </w:pPr>
    </w:p>
    <w:p w:rsidR="001335A1" w:rsidRPr="00C871EF" w:rsidRDefault="001335A1" w:rsidP="001335A1">
      <w:pPr>
        <w:widowControl w:val="0"/>
        <w:jc w:val="center"/>
        <w:rPr>
          <w:b/>
          <w:lang w:val="fr-CA"/>
        </w:rPr>
      </w:pPr>
      <w:r w:rsidRPr="00C871EF">
        <w:rPr>
          <w:b/>
          <w:lang w:val="fr-CA"/>
        </w:rPr>
        <w:t>PROCHAIN</w:t>
      </w:r>
      <w:r w:rsidR="006545ED" w:rsidRPr="00C871EF">
        <w:rPr>
          <w:b/>
          <w:lang w:val="fr-CA"/>
        </w:rPr>
        <w:t>S MOTIFS DE</w:t>
      </w:r>
      <w:r w:rsidRPr="00C871EF">
        <w:rPr>
          <w:b/>
          <w:lang w:val="fr-CA"/>
        </w:rPr>
        <w:t xml:space="preserve"> JUGEMENT</w:t>
      </w:r>
      <w:r w:rsidR="00455BB9" w:rsidRPr="00C871EF">
        <w:rPr>
          <w:b/>
          <w:lang w:val="fr-CA"/>
        </w:rPr>
        <w:t xml:space="preserve"> SUR APPEL</w:t>
      </w:r>
    </w:p>
    <w:p w:rsidR="001335A1" w:rsidRPr="00C871EF" w:rsidRDefault="001335A1" w:rsidP="001335A1">
      <w:pPr>
        <w:widowControl w:val="0"/>
        <w:rPr>
          <w:lang w:val="fr-CA"/>
        </w:rPr>
      </w:pPr>
    </w:p>
    <w:p w:rsidR="00EC79B0" w:rsidRPr="00C871EF" w:rsidRDefault="00EC79B0" w:rsidP="00EC79B0">
      <w:pPr>
        <w:widowControl w:val="0"/>
        <w:rPr>
          <w:b/>
          <w:lang w:val="fr-CA"/>
        </w:rPr>
      </w:pPr>
      <w:r w:rsidRPr="00C871EF">
        <w:rPr>
          <w:b/>
          <w:lang w:val="fr-CA"/>
        </w:rPr>
        <w:t xml:space="preserve">Le </w:t>
      </w:r>
      <w:r w:rsidR="00D17434" w:rsidRPr="00C871EF">
        <w:rPr>
          <w:b/>
          <w:lang w:val="fr-CA"/>
        </w:rPr>
        <w:t>8</w:t>
      </w:r>
      <w:r w:rsidR="002674CC" w:rsidRPr="00C871EF">
        <w:rPr>
          <w:b/>
          <w:lang w:val="fr-CA"/>
        </w:rPr>
        <w:t xml:space="preserve"> </w:t>
      </w:r>
      <w:r w:rsidR="00D17434" w:rsidRPr="00C871EF">
        <w:rPr>
          <w:b/>
          <w:lang w:val="fr-CA"/>
        </w:rPr>
        <w:t>juillet</w:t>
      </w:r>
      <w:r w:rsidR="00B1627A" w:rsidRPr="00C871EF">
        <w:rPr>
          <w:b/>
          <w:lang w:val="fr-CA"/>
        </w:rPr>
        <w:t xml:space="preserve"> </w:t>
      </w:r>
      <w:r w:rsidR="0086609D" w:rsidRPr="00C871EF">
        <w:rPr>
          <w:b/>
          <w:lang w:val="fr-CA"/>
        </w:rPr>
        <w:t>20</w:t>
      </w:r>
      <w:r w:rsidR="00690520" w:rsidRPr="00C871EF">
        <w:rPr>
          <w:b/>
          <w:lang w:val="fr-CA"/>
        </w:rPr>
        <w:t>2</w:t>
      </w:r>
      <w:r w:rsidR="00D17434" w:rsidRPr="00C871EF">
        <w:rPr>
          <w:b/>
          <w:lang w:val="fr-CA"/>
        </w:rPr>
        <w:t>4</w:t>
      </w:r>
    </w:p>
    <w:p w:rsidR="00EC79B0" w:rsidRPr="00C871EF" w:rsidRDefault="00EC79B0" w:rsidP="00EC79B0">
      <w:pPr>
        <w:widowControl w:val="0"/>
        <w:rPr>
          <w:lang w:val="fr-CA"/>
        </w:rPr>
      </w:pPr>
    </w:p>
    <w:p w:rsidR="00EC79B0" w:rsidRPr="00C871EF" w:rsidRDefault="00EC79B0" w:rsidP="00EC79B0">
      <w:pPr>
        <w:widowControl w:val="0"/>
        <w:rPr>
          <w:lang w:val="fr-CA"/>
        </w:rPr>
      </w:pPr>
      <w:r w:rsidRPr="00C871EF">
        <w:rPr>
          <w:b/>
          <w:lang w:val="fr-CA"/>
        </w:rPr>
        <w:t>OTTAWA</w:t>
      </w:r>
      <w:r w:rsidR="00C73BB2" w:rsidRPr="00C871EF">
        <w:rPr>
          <w:lang w:val="fr-CA"/>
        </w:rPr>
        <w:t xml:space="preserve"> – Le </w:t>
      </w:r>
      <w:r w:rsidR="00385E20" w:rsidRPr="00C871EF">
        <w:rPr>
          <w:lang w:val="fr-CA"/>
        </w:rPr>
        <w:t>1</w:t>
      </w:r>
      <w:r w:rsidR="00970A7B" w:rsidRPr="00C871EF">
        <w:rPr>
          <w:lang w:val="fr-CA"/>
        </w:rPr>
        <w:t>5</w:t>
      </w:r>
      <w:r w:rsidR="00C73BB2" w:rsidRPr="00C871EF">
        <w:rPr>
          <w:lang w:val="fr-CA"/>
        </w:rPr>
        <w:t xml:space="preserve"> </w:t>
      </w:r>
      <w:r w:rsidR="00970A7B" w:rsidRPr="00C871EF">
        <w:rPr>
          <w:lang w:val="fr-CA"/>
        </w:rPr>
        <w:t>février</w:t>
      </w:r>
      <w:r w:rsidR="00C73BB2" w:rsidRPr="00C871EF">
        <w:rPr>
          <w:lang w:val="fr-CA"/>
        </w:rPr>
        <w:t xml:space="preserve"> 20</w:t>
      </w:r>
      <w:r w:rsidR="002674CC" w:rsidRPr="00C871EF">
        <w:rPr>
          <w:lang w:val="fr-CA"/>
        </w:rPr>
        <w:t>2</w:t>
      </w:r>
      <w:r w:rsidR="00970A7B" w:rsidRPr="00C871EF">
        <w:rPr>
          <w:lang w:val="fr-CA"/>
        </w:rPr>
        <w:t>4</w:t>
      </w:r>
      <w:r w:rsidR="00C73BB2" w:rsidRPr="00C871EF">
        <w:rPr>
          <w:lang w:val="fr-CA"/>
        </w:rPr>
        <w:t xml:space="preserve">, la Cour suprême du Canada a </w:t>
      </w:r>
      <w:r w:rsidR="00970A7B" w:rsidRPr="00C871EF">
        <w:rPr>
          <w:lang w:val="fr-CA"/>
        </w:rPr>
        <w:t>accueilli</w:t>
      </w:r>
      <w:r w:rsidR="00782B59" w:rsidRPr="00C871EF">
        <w:rPr>
          <w:lang w:val="fr-CA"/>
        </w:rPr>
        <w:t xml:space="preserve"> </w:t>
      </w:r>
      <w:r w:rsidR="00C73BB2" w:rsidRPr="00C871EF">
        <w:rPr>
          <w:lang w:val="fr-CA"/>
        </w:rPr>
        <w:t>l</w:t>
      </w:r>
      <w:r w:rsidR="00A463BE" w:rsidRPr="00C871EF">
        <w:rPr>
          <w:lang w:val="fr-CA"/>
        </w:rPr>
        <w:t>’</w:t>
      </w:r>
      <w:r w:rsidR="00C73BB2" w:rsidRPr="00C871EF">
        <w:rPr>
          <w:lang w:val="fr-CA"/>
        </w:rPr>
        <w:t>appel</w:t>
      </w:r>
      <w:r w:rsidR="00E004F0" w:rsidRPr="00C871EF">
        <w:rPr>
          <w:lang w:val="fr-CA"/>
        </w:rPr>
        <w:t xml:space="preserve"> ci-dessous</w:t>
      </w:r>
      <w:r w:rsidR="00AE3866" w:rsidRPr="00C871EF">
        <w:rPr>
          <w:lang w:val="fr-CA"/>
        </w:rPr>
        <w:t xml:space="preserve">, </w:t>
      </w:r>
      <w:r w:rsidR="00DB5074" w:rsidRPr="00C871EF">
        <w:rPr>
          <w:lang w:val="fr-CA"/>
        </w:rPr>
        <w:t>avec</w:t>
      </w:r>
      <w:r w:rsidR="00C73BB2" w:rsidRPr="00C871EF">
        <w:rPr>
          <w:lang w:val="fr-CA"/>
        </w:rPr>
        <w:t xml:space="preserve"> motifs </w:t>
      </w:r>
      <w:r w:rsidR="00E004F0" w:rsidRPr="00C871EF">
        <w:rPr>
          <w:lang w:val="fr-CA"/>
        </w:rPr>
        <w:t xml:space="preserve">de jugement </w:t>
      </w:r>
      <w:r w:rsidR="00C73BB2" w:rsidRPr="00C871EF">
        <w:rPr>
          <w:lang w:val="fr-CA"/>
        </w:rPr>
        <w:t>à suivre</w:t>
      </w:r>
      <w:r w:rsidR="00E004F0" w:rsidRPr="00C871EF">
        <w:rPr>
          <w:lang w:val="fr-CA"/>
        </w:rPr>
        <w:t>. C</w:t>
      </w:r>
      <w:r w:rsidR="00C73BB2" w:rsidRPr="00C871EF">
        <w:rPr>
          <w:lang w:val="fr-CA"/>
        </w:rPr>
        <w:t>es motifs</w:t>
      </w:r>
      <w:r w:rsidR="006F57A6" w:rsidRPr="00C871EF">
        <w:rPr>
          <w:lang w:val="fr-CA"/>
        </w:rPr>
        <w:t xml:space="preserve"> seront déposés le </w:t>
      </w:r>
      <w:r w:rsidR="00D17434" w:rsidRPr="00C871EF">
        <w:rPr>
          <w:lang w:val="fr-CA"/>
        </w:rPr>
        <w:t>vendre</w:t>
      </w:r>
      <w:r w:rsidR="00385E20" w:rsidRPr="00C871EF">
        <w:rPr>
          <w:lang w:val="fr-CA"/>
        </w:rPr>
        <w:t>di</w:t>
      </w:r>
      <w:r w:rsidR="00C73BB2" w:rsidRPr="00C871EF">
        <w:rPr>
          <w:lang w:val="fr-CA"/>
        </w:rPr>
        <w:t xml:space="preserve"> </w:t>
      </w:r>
      <w:r w:rsidR="00D17434" w:rsidRPr="00C871EF">
        <w:rPr>
          <w:lang w:val="fr-CA"/>
        </w:rPr>
        <w:t>12</w:t>
      </w:r>
      <w:r w:rsidR="00C73BB2" w:rsidRPr="00C871EF">
        <w:rPr>
          <w:lang w:val="fr-CA"/>
        </w:rPr>
        <w:t xml:space="preserve"> </w:t>
      </w:r>
      <w:r w:rsidR="00D17434" w:rsidRPr="00C871EF">
        <w:rPr>
          <w:lang w:val="fr-CA"/>
        </w:rPr>
        <w:t>juillet</w:t>
      </w:r>
      <w:r w:rsidR="00C73BB2" w:rsidRPr="00C871EF">
        <w:rPr>
          <w:lang w:val="fr-CA"/>
        </w:rPr>
        <w:t xml:space="preserve"> 20</w:t>
      </w:r>
      <w:r w:rsidR="00690520" w:rsidRPr="00C871EF">
        <w:rPr>
          <w:lang w:val="fr-CA"/>
        </w:rPr>
        <w:t>2</w:t>
      </w:r>
      <w:r w:rsidR="00D17434" w:rsidRPr="00C871EF">
        <w:rPr>
          <w:lang w:val="fr-CA"/>
        </w:rPr>
        <w:t>4</w:t>
      </w:r>
      <w:r w:rsidR="00C73BB2" w:rsidRPr="00C871EF">
        <w:rPr>
          <w:lang w:val="fr-CA"/>
        </w:rPr>
        <w:t>, à 9 h 45 H</w:t>
      </w:r>
      <w:r w:rsidR="001C5ACC" w:rsidRPr="00C871EF">
        <w:rPr>
          <w:lang w:val="fr-CA"/>
        </w:rPr>
        <w:t>E.</w:t>
      </w:r>
    </w:p>
    <w:p w:rsidR="0069183C" w:rsidRPr="00C871EF" w:rsidRDefault="0069183C" w:rsidP="00A36EBE">
      <w:pPr>
        <w:widowControl w:val="0"/>
        <w:jc w:val="both"/>
        <w:rPr>
          <w:iCs/>
          <w:sz w:val="20"/>
          <w:lang w:val="fr-CA" w:eastAsia="en-CA"/>
        </w:rPr>
      </w:pPr>
    </w:p>
    <w:p w:rsidR="00385E20" w:rsidRPr="00C871EF" w:rsidRDefault="00385E20" w:rsidP="00A36EBE">
      <w:pPr>
        <w:widowControl w:val="0"/>
        <w:jc w:val="both"/>
        <w:rPr>
          <w:iCs/>
          <w:sz w:val="20"/>
          <w:lang w:val="fr-CA" w:eastAsia="en-CA"/>
        </w:rPr>
      </w:pPr>
    </w:p>
    <w:p w:rsidR="003E64A6" w:rsidRPr="00C871EF" w:rsidRDefault="00FB7966" w:rsidP="003E64A6">
      <w:pPr>
        <w:widowControl w:val="0"/>
        <w:rPr>
          <w:szCs w:val="24"/>
          <w:lang w:val="fr-CA"/>
        </w:rPr>
      </w:pPr>
      <w:r w:rsidRPr="00C871EF">
        <w:rPr>
          <w:i/>
          <w:iCs/>
          <w:szCs w:val="24"/>
          <w:lang w:val="fr-CA"/>
        </w:rPr>
        <w:t xml:space="preserve">Daniel Hodgson c. Sa Majesté le Roi </w:t>
      </w:r>
      <w:r w:rsidR="003E64A6" w:rsidRPr="00C871EF">
        <w:rPr>
          <w:szCs w:val="24"/>
          <w:lang w:val="fr-CA"/>
        </w:rPr>
        <w:t>(</w:t>
      </w:r>
      <w:r w:rsidRPr="00C871EF">
        <w:rPr>
          <w:szCs w:val="24"/>
          <w:lang w:val="fr-CA"/>
        </w:rPr>
        <w:t>Nt</w:t>
      </w:r>
      <w:r w:rsidR="003E64A6" w:rsidRPr="00C871EF">
        <w:rPr>
          <w:szCs w:val="24"/>
          <w:lang w:val="fr-CA"/>
        </w:rPr>
        <w:t>.) (</w:t>
      </w:r>
      <w:hyperlink r:id="rId8" w:history="1">
        <w:r w:rsidR="00970A7B" w:rsidRPr="00C871EF">
          <w:rPr>
            <w:rStyle w:val="Hyperlink"/>
            <w:szCs w:val="24"/>
            <w:lang w:val="fr-CA"/>
          </w:rPr>
          <w:t>40498</w:t>
        </w:r>
      </w:hyperlink>
      <w:r w:rsidR="003E64A6" w:rsidRPr="00C871EF">
        <w:rPr>
          <w:szCs w:val="24"/>
          <w:lang w:val="fr-CA"/>
        </w:rPr>
        <w:t>)</w:t>
      </w:r>
    </w:p>
    <w:p w:rsidR="00385E20" w:rsidRPr="00C871EF" w:rsidRDefault="00385E20" w:rsidP="00A36EBE">
      <w:pPr>
        <w:widowControl w:val="0"/>
        <w:jc w:val="both"/>
        <w:rPr>
          <w:iCs/>
          <w:sz w:val="20"/>
          <w:lang w:val="fr-CA" w:eastAsia="en-CA"/>
        </w:rPr>
      </w:pPr>
    </w:p>
    <w:p w:rsidR="006847C4" w:rsidRPr="00C871EF" w:rsidRDefault="006847C4" w:rsidP="006847C4">
      <w:pPr>
        <w:pStyle w:val="SCCLsocParty"/>
        <w:rPr>
          <w:b/>
          <w:i w:val="0"/>
          <w:sz w:val="20"/>
          <w:szCs w:val="20"/>
        </w:rPr>
      </w:pPr>
      <w:r w:rsidRPr="00C871EF">
        <w:rPr>
          <w:rStyle w:val="SCCFileNumberChar"/>
          <w:i w:val="0"/>
          <w:sz w:val="20"/>
          <w:szCs w:val="20"/>
        </w:rPr>
        <w:t>40498</w:t>
      </w:r>
      <w:r w:rsidRPr="00C871EF">
        <w:rPr>
          <w:rStyle w:val="SCCFileNumberChar"/>
          <w:i w:val="0"/>
          <w:sz w:val="20"/>
          <w:szCs w:val="20"/>
          <w:lang w:val="fr-CA"/>
        </w:rPr>
        <w:tab/>
      </w:r>
      <w:r w:rsidRPr="00C871EF">
        <w:rPr>
          <w:b/>
          <w:sz w:val="20"/>
          <w:szCs w:val="20"/>
        </w:rPr>
        <w:t xml:space="preserve">Daniel Hodgson c. Sa Majesté le Roi </w:t>
      </w:r>
    </w:p>
    <w:p w:rsidR="006847C4" w:rsidRPr="00C871EF" w:rsidRDefault="006847C4" w:rsidP="006847C4">
      <w:pPr>
        <w:widowControl w:val="0"/>
        <w:ind w:left="360" w:firstLine="360"/>
        <w:jc w:val="both"/>
        <w:rPr>
          <w:iCs/>
          <w:sz w:val="20"/>
          <w:lang w:val="fr-CA" w:eastAsia="en-CA"/>
        </w:rPr>
      </w:pPr>
      <w:r w:rsidRPr="00C871EF">
        <w:rPr>
          <w:sz w:val="20"/>
          <w:lang w:val="fr-CA"/>
        </w:rPr>
        <w:t>(Nt.) (Criminelle) (Sur autorisation)</w:t>
      </w:r>
    </w:p>
    <w:p w:rsidR="006847C4" w:rsidRPr="00C871EF" w:rsidRDefault="006847C4" w:rsidP="00A36EBE">
      <w:pPr>
        <w:widowControl w:val="0"/>
        <w:jc w:val="both"/>
        <w:rPr>
          <w:iCs/>
          <w:sz w:val="20"/>
          <w:lang w:val="fr-CA" w:eastAsia="en-CA"/>
        </w:rPr>
      </w:pPr>
    </w:p>
    <w:p w:rsidR="006847C4" w:rsidRPr="00C871EF" w:rsidRDefault="006847C4" w:rsidP="006847C4">
      <w:pPr>
        <w:widowControl w:val="0"/>
        <w:jc w:val="both"/>
        <w:rPr>
          <w:iCs/>
          <w:sz w:val="20"/>
          <w:lang w:val="fr-CA" w:eastAsia="en-CA"/>
        </w:rPr>
      </w:pPr>
      <w:r w:rsidRPr="00C871EF">
        <w:rPr>
          <w:sz w:val="20"/>
          <w:lang w:val="fr-CA"/>
        </w:rPr>
        <w:t xml:space="preserve">Droit criminel — Moyens de défense — Légitime défense — Appelant accusé de meurtre au second degré à la suite d’une altercation survenue lors d’une soirée entre amis — Juge de première instance concluant à l’absence d’intention de commettre un meurtre et Couronne échouant à réfuter la légitime défense relativement à l’infraction moindre et incluse d’homicide involontaire coupable </w:t>
      </w:r>
      <w:r w:rsidRPr="00C871EF">
        <w:rPr>
          <w:color w:val="000000"/>
          <w:sz w:val="20"/>
          <w:lang w:val="fr-CA"/>
        </w:rPr>
        <w:t>— Appelant acquitté</w:t>
      </w:r>
      <w:r w:rsidRPr="00C871EF">
        <w:rPr>
          <w:sz w:val="20"/>
          <w:lang w:val="fr-CA"/>
        </w:rPr>
        <w:t xml:space="preserve"> — Cour d’appel annulant l’acquittement et ordonnant la tenue d’un nouveau procès </w:t>
      </w:r>
      <w:r w:rsidRPr="00C871EF">
        <w:rPr>
          <w:color w:val="000000"/>
          <w:sz w:val="20"/>
          <w:lang w:val="fr-CA"/>
        </w:rPr>
        <w:t xml:space="preserve">— La Cour d’appel a-t-elle outrepassé sa compétence en concluant que l’omission de la juge de première instance d’inférer l’intention de commettre un meurtre constituait une erreur de droit révisable? — La Cour d’appel a-t-elle commis une erreur en concluant que la juge de première instance devait inférer l’intention de commettre un meurtre? La Cour d’appel a-t-elle fait erreur en concluant que la juge de première instance avait eu tort d’aborder la question du caractère raisonnable de la réponse de l’appelant d’un point de vue purement subjectif? — </w:t>
      </w:r>
      <w:r w:rsidRPr="00C871EF">
        <w:rPr>
          <w:i/>
          <w:color w:val="000000"/>
          <w:sz w:val="20"/>
          <w:lang w:val="fr-CA"/>
        </w:rPr>
        <w:t>Code criminel</w:t>
      </w:r>
      <w:r w:rsidRPr="00C871EF">
        <w:rPr>
          <w:color w:val="000000"/>
          <w:sz w:val="20"/>
          <w:lang w:val="fr-CA"/>
        </w:rPr>
        <w:t>, L.R.C. 1985, c. C</w:t>
      </w:r>
      <w:r w:rsidRPr="00C871EF">
        <w:rPr>
          <w:color w:val="000000"/>
          <w:sz w:val="20"/>
          <w:lang w:val="fr-CA"/>
        </w:rPr>
        <w:noBreakHyphen/>
        <w:t>46, art. 34.</w:t>
      </w:r>
    </w:p>
    <w:p w:rsidR="006847C4" w:rsidRPr="00C871EF" w:rsidRDefault="006847C4" w:rsidP="00A36EBE">
      <w:pPr>
        <w:widowControl w:val="0"/>
        <w:jc w:val="both"/>
        <w:rPr>
          <w:iCs/>
          <w:sz w:val="20"/>
          <w:lang w:val="fr-CA" w:eastAsia="en-CA"/>
        </w:rPr>
      </w:pPr>
    </w:p>
    <w:p w:rsidR="006847C4" w:rsidRPr="00C871EF" w:rsidRDefault="006847C4" w:rsidP="006847C4">
      <w:pPr>
        <w:jc w:val="both"/>
        <w:rPr>
          <w:sz w:val="20"/>
          <w:lang w:val="fr-CA"/>
        </w:rPr>
      </w:pPr>
      <w:r w:rsidRPr="00C871EF">
        <w:rPr>
          <w:sz w:val="20"/>
          <w:lang w:val="fr-CA"/>
        </w:rPr>
        <w:t xml:space="preserve">L’appelant, Daniel Hodgson, a été accusé de meurtre au second degré après qu’une personne eut perdu la vie lors d’une soirée entre amis dans une maison privée. La victime, un homme de forte corpulence, avait adopté une conduite agressive envers la propriétaire de la maison et refusait de quitter les lieux. Monsieur Hodgson, qui dormait dans une chambre à coucher de la maison, s’est fait réveiller par une invitée qui lui a demandé son aide pour expulser l’homme agressif. Ce dernier a perdu la vie après que M. Hodgson l’eut immobilisé en lui appliquant une prise d’étranglement à un bras. </w:t>
      </w:r>
    </w:p>
    <w:p w:rsidR="006847C4" w:rsidRPr="00C871EF" w:rsidRDefault="006847C4" w:rsidP="006847C4">
      <w:pPr>
        <w:rPr>
          <w:sz w:val="20"/>
          <w:lang w:val="fr-CA"/>
        </w:rPr>
      </w:pPr>
    </w:p>
    <w:p w:rsidR="006847C4" w:rsidRPr="00C871EF" w:rsidRDefault="006847C4" w:rsidP="006847C4">
      <w:pPr>
        <w:widowControl w:val="0"/>
        <w:jc w:val="both"/>
        <w:rPr>
          <w:iCs/>
          <w:sz w:val="20"/>
          <w:lang w:val="fr-CA" w:eastAsia="en-CA"/>
        </w:rPr>
      </w:pPr>
      <w:r w:rsidRPr="00C871EF">
        <w:rPr>
          <w:sz w:val="20"/>
          <w:lang w:val="fr-CA"/>
        </w:rPr>
        <w:t xml:space="preserve">Monsieur Hodgson a été acquitté au procès. La juge de première instance entretenait un doute raisonnable quant à la question de savoir s’il avait eu l’intention requise pour commettre un meurtre. Quant à l’infraction moindre et incluse d’homicide involontaire coupable, elle a conclu que la Couronne avait échoué à prouver hors de tout doute raisonnable que M. Hodgson n’avait pas agi en légitime défense, suivant l’art. 34 du </w:t>
      </w:r>
      <w:r w:rsidRPr="00C871EF">
        <w:rPr>
          <w:i/>
          <w:sz w:val="20"/>
          <w:lang w:val="fr-CA"/>
        </w:rPr>
        <w:t>Code criminel</w:t>
      </w:r>
      <w:r w:rsidRPr="00C871EF">
        <w:rPr>
          <w:sz w:val="20"/>
          <w:lang w:val="fr-CA"/>
        </w:rPr>
        <w:t>, L.R.C. 1985, c. C</w:t>
      </w:r>
      <w:r w:rsidRPr="00C871EF">
        <w:rPr>
          <w:sz w:val="20"/>
          <w:lang w:val="fr-CA"/>
        </w:rPr>
        <w:noBreakHyphen/>
        <w:t>46. La Cour d’appel a annulé l’acquittement et ordonné la tenue d’un nouveau procès.</w:t>
      </w:r>
    </w:p>
    <w:p w:rsidR="009F5887" w:rsidRPr="00C871EF" w:rsidRDefault="009F5887" w:rsidP="00340C6D">
      <w:pPr>
        <w:jc w:val="both"/>
        <w:rPr>
          <w:sz w:val="20"/>
          <w:lang w:val="fr-CA"/>
        </w:rPr>
      </w:pPr>
    </w:p>
    <w:p w:rsidR="009F5887" w:rsidRPr="00C871EF" w:rsidRDefault="00C871EF" w:rsidP="00340C6D">
      <w:pPr>
        <w:jc w:val="both"/>
        <w:rPr>
          <w:sz w:val="20"/>
          <w:lang w:val="fr-CA"/>
        </w:rPr>
      </w:pPr>
      <w:r w:rsidRPr="00C871EF">
        <w:rPr>
          <w:sz w:val="20"/>
        </w:rPr>
        <w:pict>
          <v:rect id="_x0000_i1026" style="width:2in;height:1pt" o:hrpct="0" o:hralign="center" o:hrstd="t" o:hrnoshade="t" o:hr="t" fillcolor="black [3213]" stroked="f"/>
        </w:pict>
      </w:r>
    </w:p>
    <w:p w:rsidR="00782B59" w:rsidRPr="00C871EF" w:rsidRDefault="00782B59" w:rsidP="00340C6D">
      <w:pPr>
        <w:jc w:val="both"/>
        <w:rPr>
          <w:szCs w:val="24"/>
          <w:lang w:val="fr-CA"/>
        </w:rPr>
      </w:pPr>
    </w:p>
    <w:p w:rsidR="00ED67FB" w:rsidRPr="00C871EF" w:rsidRDefault="00ED67FB" w:rsidP="00340C6D">
      <w:pPr>
        <w:jc w:val="both"/>
        <w:rPr>
          <w:szCs w:val="24"/>
          <w:lang w:val="fr-CA"/>
        </w:rPr>
      </w:pPr>
    </w:p>
    <w:p w:rsidR="00072A63" w:rsidRPr="00C871EF" w:rsidRDefault="00072A63" w:rsidP="00EC79B0">
      <w:pPr>
        <w:jc w:val="both"/>
        <w:rPr>
          <w:szCs w:val="24"/>
          <w:lang w:val="fr-CA"/>
        </w:rPr>
      </w:pPr>
    </w:p>
    <w:p w:rsidR="001C5ACC" w:rsidRPr="00C871EF" w:rsidRDefault="001C5ACC" w:rsidP="001C5ACC">
      <w:pPr>
        <w:widowControl w:val="0"/>
        <w:outlineLvl w:val="0"/>
      </w:pPr>
      <w:r w:rsidRPr="00C871EF">
        <w:t xml:space="preserve">Supreme Court of Canada / Cour suprême du </w:t>
      </w:r>
      <w:proofErr w:type="gramStart"/>
      <w:r w:rsidRPr="00C871EF">
        <w:t>Canada :</w:t>
      </w:r>
      <w:proofErr w:type="gramEnd"/>
      <w:r w:rsidRPr="00C871EF">
        <w:t xml:space="preserve"> </w:t>
      </w:r>
    </w:p>
    <w:p w:rsidR="001C5ACC" w:rsidRPr="00C871EF" w:rsidRDefault="00C871EF" w:rsidP="001C5ACC">
      <w:pPr>
        <w:widowControl w:val="0"/>
        <w:outlineLvl w:val="0"/>
      </w:pPr>
      <w:hyperlink r:id="rId9" w:history="1">
        <w:r w:rsidR="001C5ACC" w:rsidRPr="00C871EF">
          <w:rPr>
            <w:rStyle w:val="Hyperlink"/>
          </w:rPr>
          <w:t>Registry-greffe@scc-csc.ca</w:t>
        </w:r>
      </w:hyperlink>
    </w:p>
    <w:p w:rsidR="001C5ACC" w:rsidRPr="00614699" w:rsidRDefault="001C5ACC" w:rsidP="001C5ACC">
      <w:pPr>
        <w:widowControl w:val="0"/>
        <w:outlineLvl w:val="0"/>
      </w:pPr>
      <w:r w:rsidRPr="00C871EF">
        <w:t>1-844-365-9662</w:t>
      </w:r>
      <w:bookmarkStart w:id="3" w:name="_GoBack"/>
      <w:bookmarkEnd w:id="3"/>
    </w:p>
    <w:p w:rsidR="001C4415" w:rsidRPr="0069183C" w:rsidRDefault="001C4415" w:rsidP="001C4415">
      <w:pPr>
        <w:widowControl w:val="0"/>
        <w:rPr>
          <w:sz w:val="20"/>
        </w:rPr>
      </w:pPr>
    </w:p>
    <w:sectPr w:rsidR="001C4415" w:rsidRPr="0069183C" w:rsidSect="00D362A2">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63052E"/>
    <w:multiLevelType w:val="hybridMultilevel"/>
    <w:tmpl w:val="487E6972"/>
    <w:lvl w:ilvl="0" w:tplc="030067C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93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15B6"/>
    <w:rsid w:val="000100BA"/>
    <w:rsid w:val="00010D78"/>
    <w:rsid w:val="0001212E"/>
    <w:rsid w:val="0001605B"/>
    <w:rsid w:val="0001634B"/>
    <w:rsid w:val="0002161B"/>
    <w:rsid w:val="00021901"/>
    <w:rsid w:val="0003222E"/>
    <w:rsid w:val="0003356F"/>
    <w:rsid w:val="000347C1"/>
    <w:rsid w:val="00035555"/>
    <w:rsid w:val="00035B99"/>
    <w:rsid w:val="0003611D"/>
    <w:rsid w:val="0003620E"/>
    <w:rsid w:val="00037405"/>
    <w:rsid w:val="00042B21"/>
    <w:rsid w:val="000446D3"/>
    <w:rsid w:val="000454BF"/>
    <w:rsid w:val="00053111"/>
    <w:rsid w:val="00060140"/>
    <w:rsid w:val="00060B39"/>
    <w:rsid w:val="00061A14"/>
    <w:rsid w:val="00072A63"/>
    <w:rsid w:val="0008116D"/>
    <w:rsid w:val="000855FD"/>
    <w:rsid w:val="00087122"/>
    <w:rsid w:val="0009615F"/>
    <w:rsid w:val="000A063C"/>
    <w:rsid w:val="000A21DA"/>
    <w:rsid w:val="000A30BB"/>
    <w:rsid w:val="000A33B2"/>
    <w:rsid w:val="000A401F"/>
    <w:rsid w:val="000A7900"/>
    <w:rsid w:val="000B0E38"/>
    <w:rsid w:val="000B216A"/>
    <w:rsid w:val="000B6CE0"/>
    <w:rsid w:val="000C1225"/>
    <w:rsid w:val="000C466B"/>
    <w:rsid w:val="000C7C9D"/>
    <w:rsid w:val="000D17A5"/>
    <w:rsid w:val="000D25C5"/>
    <w:rsid w:val="000D4096"/>
    <w:rsid w:val="000D413D"/>
    <w:rsid w:val="000D682D"/>
    <w:rsid w:val="000E1FA5"/>
    <w:rsid w:val="000E33A8"/>
    <w:rsid w:val="000E457A"/>
    <w:rsid w:val="000F2225"/>
    <w:rsid w:val="000F2F73"/>
    <w:rsid w:val="000F5730"/>
    <w:rsid w:val="000F7714"/>
    <w:rsid w:val="000F7999"/>
    <w:rsid w:val="001002A7"/>
    <w:rsid w:val="00100BC4"/>
    <w:rsid w:val="00103400"/>
    <w:rsid w:val="00105085"/>
    <w:rsid w:val="001065AF"/>
    <w:rsid w:val="00114B52"/>
    <w:rsid w:val="00114D6F"/>
    <w:rsid w:val="00116CE5"/>
    <w:rsid w:val="001170D1"/>
    <w:rsid w:val="00127E76"/>
    <w:rsid w:val="00131418"/>
    <w:rsid w:val="001335A1"/>
    <w:rsid w:val="001364D9"/>
    <w:rsid w:val="0013792F"/>
    <w:rsid w:val="00141A4B"/>
    <w:rsid w:val="001439C6"/>
    <w:rsid w:val="00143A58"/>
    <w:rsid w:val="001448DF"/>
    <w:rsid w:val="00145925"/>
    <w:rsid w:val="00145B0A"/>
    <w:rsid w:val="001476BD"/>
    <w:rsid w:val="001503AF"/>
    <w:rsid w:val="00150BC6"/>
    <w:rsid w:val="001563FF"/>
    <w:rsid w:val="001642A1"/>
    <w:rsid w:val="00165E2A"/>
    <w:rsid w:val="00167E17"/>
    <w:rsid w:val="001710E4"/>
    <w:rsid w:val="001714EA"/>
    <w:rsid w:val="00172FC0"/>
    <w:rsid w:val="0017395A"/>
    <w:rsid w:val="00175566"/>
    <w:rsid w:val="00177C9B"/>
    <w:rsid w:val="001801D4"/>
    <w:rsid w:val="0018124A"/>
    <w:rsid w:val="00191F98"/>
    <w:rsid w:val="001936BC"/>
    <w:rsid w:val="00194B53"/>
    <w:rsid w:val="001A02D9"/>
    <w:rsid w:val="001A1632"/>
    <w:rsid w:val="001A24F4"/>
    <w:rsid w:val="001A29BA"/>
    <w:rsid w:val="001A4A73"/>
    <w:rsid w:val="001B092D"/>
    <w:rsid w:val="001B0D7E"/>
    <w:rsid w:val="001B4934"/>
    <w:rsid w:val="001B599A"/>
    <w:rsid w:val="001B71AA"/>
    <w:rsid w:val="001C0462"/>
    <w:rsid w:val="001C149E"/>
    <w:rsid w:val="001C3E08"/>
    <w:rsid w:val="001C4415"/>
    <w:rsid w:val="001C5ACC"/>
    <w:rsid w:val="001C6FEC"/>
    <w:rsid w:val="001D75ED"/>
    <w:rsid w:val="001E4A60"/>
    <w:rsid w:val="001E5E23"/>
    <w:rsid w:val="001E70CD"/>
    <w:rsid w:val="001F1643"/>
    <w:rsid w:val="001F1B2F"/>
    <w:rsid w:val="001F27D7"/>
    <w:rsid w:val="001F37AC"/>
    <w:rsid w:val="001F57C9"/>
    <w:rsid w:val="001F5973"/>
    <w:rsid w:val="001F7F62"/>
    <w:rsid w:val="002029F5"/>
    <w:rsid w:val="00204BED"/>
    <w:rsid w:val="00205278"/>
    <w:rsid w:val="00207BC4"/>
    <w:rsid w:val="00211F62"/>
    <w:rsid w:val="00214729"/>
    <w:rsid w:val="002160B0"/>
    <w:rsid w:val="00221703"/>
    <w:rsid w:val="002257CF"/>
    <w:rsid w:val="00226AE8"/>
    <w:rsid w:val="00234845"/>
    <w:rsid w:val="00234B46"/>
    <w:rsid w:val="00234BAD"/>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27D7"/>
    <w:rsid w:val="00253698"/>
    <w:rsid w:val="0025452B"/>
    <w:rsid w:val="002617BB"/>
    <w:rsid w:val="0026289A"/>
    <w:rsid w:val="00264AA1"/>
    <w:rsid w:val="002667BA"/>
    <w:rsid w:val="002667ED"/>
    <w:rsid w:val="00266A8B"/>
    <w:rsid w:val="002674CC"/>
    <w:rsid w:val="002723AE"/>
    <w:rsid w:val="00272EAB"/>
    <w:rsid w:val="002768F6"/>
    <w:rsid w:val="00282563"/>
    <w:rsid w:val="0028630C"/>
    <w:rsid w:val="00290F21"/>
    <w:rsid w:val="00291F84"/>
    <w:rsid w:val="00297E1D"/>
    <w:rsid w:val="002A23AD"/>
    <w:rsid w:val="002A2F5A"/>
    <w:rsid w:val="002A3DD8"/>
    <w:rsid w:val="002A4252"/>
    <w:rsid w:val="002A44BE"/>
    <w:rsid w:val="002A5496"/>
    <w:rsid w:val="002A6BD5"/>
    <w:rsid w:val="002A7752"/>
    <w:rsid w:val="002B06A9"/>
    <w:rsid w:val="002B23EF"/>
    <w:rsid w:val="002B4219"/>
    <w:rsid w:val="002B4D23"/>
    <w:rsid w:val="002B4F4E"/>
    <w:rsid w:val="002C23CB"/>
    <w:rsid w:val="002C5CA9"/>
    <w:rsid w:val="002C5FAF"/>
    <w:rsid w:val="002D62BE"/>
    <w:rsid w:val="002D631B"/>
    <w:rsid w:val="002D6424"/>
    <w:rsid w:val="002D6539"/>
    <w:rsid w:val="002D68ED"/>
    <w:rsid w:val="002E3F05"/>
    <w:rsid w:val="002E5644"/>
    <w:rsid w:val="002F28E0"/>
    <w:rsid w:val="002F2E89"/>
    <w:rsid w:val="002F4212"/>
    <w:rsid w:val="003023B2"/>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49"/>
    <w:rsid w:val="00346B6F"/>
    <w:rsid w:val="00346F0D"/>
    <w:rsid w:val="00350C6A"/>
    <w:rsid w:val="00350CE0"/>
    <w:rsid w:val="00352B94"/>
    <w:rsid w:val="00353AB0"/>
    <w:rsid w:val="00357919"/>
    <w:rsid w:val="00362484"/>
    <w:rsid w:val="0036476C"/>
    <w:rsid w:val="00365867"/>
    <w:rsid w:val="0037261F"/>
    <w:rsid w:val="00374148"/>
    <w:rsid w:val="0037569E"/>
    <w:rsid w:val="00380CC3"/>
    <w:rsid w:val="003835A6"/>
    <w:rsid w:val="00385E20"/>
    <w:rsid w:val="00387EA2"/>
    <w:rsid w:val="0039248C"/>
    <w:rsid w:val="003932EE"/>
    <w:rsid w:val="00393419"/>
    <w:rsid w:val="003959D2"/>
    <w:rsid w:val="0039607F"/>
    <w:rsid w:val="003A1FB4"/>
    <w:rsid w:val="003A2267"/>
    <w:rsid w:val="003B018B"/>
    <w:rsid w:val="003B038F"/>
    <w:rsid w:val="003B10C6"/>
    <w:rsid w:val="003B3AD5"/>
    <w:rsid w:val="003B4E7E"/>
    <w:rsid w:val="003B6ECB"/>
    <w:rsid w:val="003B7075"/>
    <w:rsid w:val="003C1B6E"/>
    <w:rsid w:val="003C381F"/>
    <w:rsid w:val="003D4D2A"/>
    <w:rsid w:val="003D74E7"/>
    <w:rsid w:val="003E0326"/>
    <w:rsid w:val="003E101F"/>
    <w:rsid w:val="003E1BBF"/>
    <w:rsid w:val="003E222C"/>
    <w:rsid w:val="003E31F8"/>
    <w:rsid w:val="003E5C8D"/>
    <w:rsid w:val="003E64A6"/>
    <w:rsid w:val="003F127B"/>
    <w:rsid w:val="003F2710"/>
    <w:rsid w:val="003F7920"/>
    <w:rsid w:val="004005FE"/>
    <w:rsid w:val="004016BB"/>
    <w:rsid w:val="004019D4"/>
    <w:rsid w:val="0040345E"/>
    <w:rsid w:val="00405F0F"/>
    <w:rsid w:val="004066AC"/>
    <w:rsid w:val="00406D7D"/>
    <w:rsid w:val="004102D0"/>
    <w:rsid w:val="004115B2"/>
    <w:rsid w:val="0041533E"/>
    <w:rsid w:val="00421CC7"/>
    <w:rsid w:val="0042330C"/>
    <w:rsid w:val="00423876"/>
    <w:rsid w:val="00424E50"/>
    <w:rsid w:val="00425FF3"/>
    <w:rsid w:val="00426675"/>
    <w:rsid w:val="00426798"/>
    <w:rsid w:val="00426F87"/>
    <w:rsid w:val="00427239"/>
    <w:rsid w:val="00432DE1"/>
    <w:rsid w:val="00433466"/>
    <w:rsid w:val="0043481E"/>
    <w:rsid w:val="00440ACC"/>
    <w:rsid w:val="00442F1A"/>
    <w:rsid w:val="0045070D"/>
    <w:rsid w:val="00452E96"/>
    <w:rsid w:val="0045409A"/>
    <w:rsid w:val="00455BB9"/>
    <w:rsid w:val="00460580"/>
    <w:rsid w:val="00464E71"/>
    <w:rsid w:val="0046531B"/>
    <w:rsid w:val="00467AE4"/>
    <w:rsid w:val="0047787E"/>
    <w:rsid w:val="004824D8"/>
    <w:rsid w:val="00486701"/>
    <w:rsid w:val="0048671C"/>
    <w:rsid w:val="0048741E"/>
    <w:rsid w:val="00491284"/>
    <w:rsid w:val="004927D1"/>
    <w:rsid w:val="004A017B"/>
    <w:rsid w:val="004A2228"/>
    <w:rsid w:val="004A40E1"/>
    <w:rsid w:val="004A4570"/>
    <w:rsid w:val="004A56AC"/>
    <w:rsid w:val="004A6F06"/>
    <w:rsid w:val="004B22B5"/>
    <w:rsid w:val="004B4821"/>
    <w:rsid w:val="004B6E20"/>
    <w:rsid w:val="004B6F3A"/>
    <w:rsid w:val="004C070B"/>
    <w:rsid w:val="004C076F"/>
    <w:rsid w:val="004C1A5A"/>
    <w:rsid w:val="004D033B"/>
    <w:rsid w:val="004D2539"/>
    <w:rsid w:val="004D4322"/>
    <w:rsid w:val="004D465A"/>
    <w:rsid w:val="004D488A"/>
    <w:rsid w:val="004E5455"/>
    <w:rsid w:val="004E605A"/>
    <w:rsid w:val="004E7227"/>
    <w:rsid w:val="004F0A44"/>
    <w:rsid w:val="004F215A"/>
    <w:rsid w:val="004F22F6"/>
    <w:rsid w:val="004F3FB9"/>
    <w:rsid w:val="004F76A1"/>
    <w:rsid w:val="00504582"/>
    <w:rsid w:val="0051320D"/>
    <w:rsid w:val="005132EC"/>
    <w:rsid w:val="00520A3C"/>
    <w:rsid w:val="00525362"/>
    <w:rsid w:val="00525B8E"/>
    <w:rsid w:val="005273F5"/>
    <w:rsid w:val="00531567"/>
    <w:rsid w:val="00532A0E"/>
    <w:rsid w:val="00534E1E"/>
    <w:rsid w:val="00537187"/>
    <w:rsid w:val="00537545"/>
    <w:rsid w:val="005400BA"/>
    <w:rsid w:val="0054378D"/>
    <w:rsid w:val="00545B3E"/>
    <w:rsid w:val="005511F1"/>
    <w:rsid w:val="00551845"/>
    <w:rsid w:val="00552278"/>
    <w:rsid w:val="0055520C"/>
    <w:rsid w:val="00560D32"/>
    <w:rsid w:val="005631B8"/>
    <w:rsid w:val="00563EF8"/>
    <w:rsid w:val="005717F4"/>
    <w:rsid w:val="00572E24"/>
    <w:rsid w:val="00575FA2"/>
    <w:rsid w:val="00580897"/>
    <w:rsid w:val="00580EBF"/>
    <w:rsid w:val="00581503"/>
    <w:rsid w:val="00591F70"/>
    <w:rsid w:val="005932DF"/>
    <w:rsid w:val="00594A5F"/>
    <w:rsid w:val="00595150"/>
    <w:rsid w:val="00595922"/>
    <w:rsid w:val="005973D8"/>
    <w:rsid w:val="005A0FB1"/>
    <w:rsid w:val="005A5B16"/>
    <w:rsid w:val="005A5D20"/>
    <w:rsid w:val="005A7C1B"/>
    <w:rsid w:val="005B10FA"/>
    <w:rsid w:val="005B4F58"/>
    <w:rsid w:val="005B7E1A"/>
    <w:rsid w:val="005C258D"/>
    <w:rsid w:val="005C2979"/>
    <w:rsid w:val="005C3F3D"/>
    <w:rsid w:val="005C571B"/>
    <w:rsid w:val="005C7767"/>
    <w:rsid w:val="005C7A4F"/>
    <w:rsid w:val="005D1FAA"/>
    <w:rsid w:val="005D4151"/>
    <w:rsid w:val="005E1617"/>
    <w:rsid w:val="005E1FA2"/>
    <w:rsid w:val="005E3E02"/>
    <w:rsid w:val="005E696E"/>
    <w:rsid w:val="005E74B7"/>
    <w:rsid w:val="005F3B17"/>
    <w:rsid w:val="005F6821"/>
    <w:rsid w:val="005F6E1A"/>
    <w:rsid w:val="006004E2"/>
    <w:rsid w:val="00600C43"/>
    <w:rsid w:val="00615DA3"/>
    <w:rsid w:val="006219EE"/>
    <w:rsid w:val="00622F54"/>
    <w:rsid w:val="006244B6"/>
    <w:rsid w:val="006256B4"/>
    <w:rsid w:val="006268A3"/>
    <w:rsid w:val="006269C3"/>
    <w:rsid w:val="006306BF"/>
    <w:rsid w:val="0063116A"/>
    <w:rsid w:val="0063254B"/>
    <w:rsid w:val="00632844"/>
    <w:rsid w:val="006334F5"/>
    <w:rsid w:val="0063679E"/>
    <w:rsid w:val="0063766F"/>
    <w:rsid w:val="00640A4E"/>
    <w:rsid w:val="006429EF"/>
    <w:rsid w:val="00650518"/>
    <w:rsid w:val="00651F3A"/>
    <w:rsid w:val="006545ED"/>
    <w:rsid w:val="006630E5"/>
    <w:rsid w:val="00666E0D"/>
    <w:rsid w:val="0067017D"/>
    <w:rsid w:val="00676709"/>
    <w:rsid w:val="00680968"/>
    <w:rsid w:val="00682A71"/>
    <w:rsid w:val="006847C4"/>
    <w:rsid w:val="00685A30"/>
    <w:rsid w:val="00690520"/>
    <w:rsid w:val="0069183C"/>
    <w:rsid w:val="006942C4"/>
    <w:rsid w:val="006A3523"/>
    <w:rsid w:val="006A58E0"/>
    <w:rsid w:val="006A6C0C"/>
    <w:rsid w:val="006B4B4E"/>
    <w:rsid w:val="006B5529"/>
    <w:rsid w:val="006C4A8F"/>
    <w:rsid w:val="006C5AA6"/>
    <w:rsid w:val="006C7633"/>
    <w:rsid w:val="006D2CD6"/>
    <w:rsid w:val="006D2DF8"/>
    <w:rsid w:val="006D69C4"/>
    <w:rsid w:val="006E1781"/>
    <w:rsid w:val="006E3A6A"/>
    <w:rsid w:val="006E416A"/>
    <w:rsid w:val="006E5414"/>
    <w:rsid w:val="006E6156"/>
    <w:rsid w:val="006E7CC3"/>
    <w:rsid w:val="006E7FD1"/>
    <w:rsid w:val="006F1899"/>
    <w:rsid w:val="006F1A6D"/>
    <w:rsid w:val="006F202E"/>
    <w:rsid w:val="006F3B04"/>
    <w:rsid w:val="006F57A6"/>
    <w:rsid w:val="006F6171"/>
    <w:rsid w:val="006F636B"/>
    <w:rsid w:val="006F73CC"/>
    <w:rsid w:val="006F7FC8"/>
    <w:rsid w:val="00711DBC"/>
    <w:rsid w:val="0071224C"/>
    <w:rsid w:val="0071392B"/>
    <w:rsid w:val="00716381"/>
    <w:rsid w:val="00724998"/>
    <w:rsid w:val="00727681"/>
    <w:rsid w:val="00731F00"/>
    <w:rsid w:val="00732616"/>
    <w:rsid w:val="00732764"/>
    <w:rsid w:val="007364BD"/>
    <w:rsid w:val="00743AB2"/>
    <w:rsid w:val="00743CD0"/>
    <w:rsid w:val="007464AD"/>
    <w:rsid w:val="007505FE"/>
    <w:rsid w:val="00753E0D"/>
    <w:rsid w:val="00753FDD"/>
    <w:rsid w:val="00755A54"/>
    <w:rsid w:val="00762239"/>
    <w:rsid w:val="00766CBA"/>
    <w:rsid w:val="00767B87"/>
    <w:rsid w:val="00772636"/>
    <w:rsid w:val="00777C18"/>
    <w:rsid w:val="007805CD"/>
    <w:rsid w:val="00780B16"/>
    <w:rsid w:val="00782B59"/>
    <w:rsid w:val="0078318A"/>
    <w:rsid w:val="00785CE8"/>
    <w:rsid w:val="00791AA4"/>
    <w:rsid w:val="00793134"/>
    <w:rsid w:val="0079370B"/>
    <w:rsid w:val="00794A43"/>
    <w:rsid w:val="00794D8B"/>
    <w:rsid w:val="0079562F"/>
    <w:rsid w:val="00795926"/>
    <w:rsid w:val="007A0A44"/>
    <w:rsid w:val="007A2100"/>
    <w:rsid w:val="007A4A45"/>
    <w:rsid w:val="007A6290"/>
    <w:rsid w:val="007A6330"/>
    <w:rsid w:val="007A71C4"/>
    <w:rsid w:val="007A7383"/>
    <w:rsid w:val="007B1B40"/>
    <w:rsid w:val="007B20D2"/>
    <w:rsid w:val="007B2E91"/>
    <w:rsid w:val="007B47FB"/>
    <w:rsid w:val="007C288F"/>
    <w:rsid w:val="007C30F2"/>
    <w:rsid w:val="007D1B42"/>
    <w:rsid w:val="007D20F6"/>
    <w:rsid w:val="007D4862"/>
    <w:rsid w:val="007D5D5B"/>
    <w:rsid w:val="007D6B10"/>
    <w:rsid w:val="007E7DF1"/>
    <w:rsid w:val="007F29FE"/>
    <w:rsid w:val="007F3D16"/>
    <w:rsid w:val="007F45A9"/>
    <w:rsid w:val="00800066"/>
    <w:rsid w:val="00803329"/>
    <w:rsid w:val="00807EAE"/>
    <w:rsid w:val="00811E14"/>
    <w:rsid w:val="00815249"/>
    <w:rsid w:val="00815E69"/>
    <w:rsid w:val="00815F42"/>
    <w:rsid w:val="008203B9"/>
    <w:rsid w:val="00820A00"/>
    <w:rsid w:val="008227A7"/>
    <w:rsid w:val="0083044B"/>
    <w:rsid w:val="008313A9"/>
    <w:rsid w:val="00831AFC"/>
    <w:rsid w:val="00833C42"/>
    <w:rsid w:val="00843914"/>
    <w:rsid w:val="00844A0C"/>
    <w:rsid w:val="00845B97"/>
    <w:rsid w:val="0085122E"/>
    <w:rsid w:val="00851B24"/>
    <w:rsid w:val="00857775"/>
    <w:rsid w:val="00861E1D"/>
    <w:rsid w:val="0086609D"/>
    <w:rsid w:val="00870608"/>
    <w:rsid w:val="008709FF"/>
    <w:rsid w:val="008716D8"/>
    <w:rsid w:val="00875923"/>
    <w:rsid w:val="00875B30"/>
    <w:rsid w:val="008766B1"/>
    <w:rsid w:val="008814A0"/>
    <w:rsid w:val="0088190D"/>
    <w:rsid w:val="00893647"/>
    <w:rsid w:val="008B0841"/>
    <w:rsid w:val="008B1C40"/>
    <w:rsid w:val="008B305D"/>
    <w:rsid w:val="008B5FA3"/>
    <w:rsid w:val="008B5FDB"/>
    <w:rsid w:val="008B6308"/>
    <w:rsid w:val="008C2F61"/>
    <w:rsid w:val="008C333C"/>
    <w:rsid w:val="008C5D03"/>
    <w:rsid w:val="008D2829"/>
    <w:rsid w:val="008D3DE1"/>
    <w:rsid w:val="008D557C"/>
    <w:rsid w:val="008D5B1F"/>
    <w:rsid w:val="008D6BC4"/>
    <w:rsid w:val="008E0CF4"/>
    <w:rsid w:val="008E5108"/>
    <w:rsid w:val="008E5D30"/>
    <w:rsid w:val="008E7015"/>
    <w:rsid w:val="008F15CD"/>
    <w:rsid w:val="008F246A"/>
    <w:rsid w:val="008F6C55"/>
    <w:rsid w:val="0090380F"/>
    <w:rsid w:val="009062BF"/>
    <w:rsid w:val="009079AF"/>
    <w:rsid w:val="00911071"/>
    <w:rsid w:val="00916404"/>
    <w:rsid w:val="00916B9F"/>
    <w:rsid w:val="009202FD"/>
    <w:rsid w:val="00921102"/>
    <w:rsid w:val="009214B3"/>
    <w:rsid w:val="0092264F"/>
    <w:rsid w:val="009234CE"/>
    <w:rsid w:val="009246D2"/>
    <w:rsid w:val="00931A3C"/>
    <w:rsid w:val="009408A3"/>
    <w:rsid w:val="009421D0"/>
    <w:rsid w:val="009448B0"/>
    <w:rsid w:val="00945199"/>
    <w:rsid w:val="00945849"/>
    <w:rsid w:val="00946EC7"/>
    <w:rsid w:val="00955BCE"/>
    <w:rsid w:val="009603A2"/>
    <w:rsid w:val="00962301"/>
    <w:rsid w:val="00970A7B"/>
    <w:rsid w:val="00970CA2"/>
    <w:rsid w:val="00970EDF"/>
    <w:rsid w:val="00972F05"/>
    <w:rsid w:val="00972F9B"/>
    <w:rsid w:val="00975F1B"/>
    <w:rsid w:val="0097705F"/>
    <w:rsid w:val="009773EE"/>
    <w:rsid w:val="009813C5"/>
    <w:rsid w:val="009907CD"/>
    <w:rsid w:val="0099092D"/>
    <w:rsid w:val="009927A8"/>
    <w:rsid w:val="00992E03"/>
    <w:rsid w:val="00993EF1"/>
    <w:rsid w:val="00995BAC"/>
    <w:rsid w:val="009A229C"/>
    <w:rsid w:val="009A7FCE"/>
    <w:rsid w:val="009B06DD"/>
    <w:rsid w:val="009B603F"/>
    <w:rsid w:val="009B68EF"/>
    <w:rsid w:val="009B72F4"/>
    <w:rsid w:val="009C0D0F"/>
    <w:rsid w:val="009C2A17"/>
    <w:rsid w:val="009C3750"/>
    <w:rsid w:val="009C643F"/>
    <w:rsid w:val="009C7B0C"/>
    <w:rsid w:val="009C7B71"/>
    <w:rsid w:val="009D109B"/>
    <w:rsid w:val="009D30BC"/>
    <w:rsid w:val="009E15E2"/>
    <w:rsid w:val="009E23BF"/>
    <w:rsid w:val="009E478A"/>
    <w:rsid w:val="009E6E2B"/>
    <w:rsid w:val="009E7F8F"/>
    <w:rsid w:val="009F18D7"/>
    <w:rsid w:val="009F1E2B"/>
    <w:rsid w:val="009F5005"/>
    <w:rsid w:val="009F5887"/>
    <w:rsid w:val="009F5F96"/>
    <w:rsid w:val="009F74D0"/>
    <w:rsid w:val="00A06BFF"/>
    <w:rsid w:val="00A129AE"/>
    <w:rsid w:val="00A12B84"/>
    <w:rsid w:val="00A13112"/>
    <w:rsid w:val="00A13327"/>
    <w:rsid w:val="00A17FF7"/>
    <w:rsid w:val="00A20D09"/>
    <w:rsid w:val="00A21A0F"/>
    <w:rsid w:val="00A253E7"/>
    <w:rsid w:val="00A2764E"/>
    <w:rsid w:val="00A300C0"/>
    <w:rsid w:val="00A40505"/>
    <w:rsid w:val="00A409CF"/>
    <w:rsid w:val="00A42C03"/>
    <w:rsid w:val="00A45E77"/>
    <w:rsid w:val="00A463BE"/>
    <w:rsid w:val="00A47417"/>
    <w:rsid w:val="00A52FC3"/>
    <w:rsid w:val="00A539FF"/>
    <w:rsid w:val="00A60F48"/>
    <w:rsid w:val="00A63227"/>
    <w:rsid w:val="00A64DFD"/>
    <w:rsid w:val="00A709E8"/>
    <w:rsid w:val="00A8420B"/>
    <w:rsid w:val="00A8502B"/>
    <w:rsid w:val="00A86226"/>
    <w:rsid w:val="00A86D9C"/>
    <w:rsid w:val="00A920FB"/>
    <w:rsid w:val="00A9462E"/>
    <w:rsid w:val="00A96F68"/>
    <w:rsid w:val="00A97C36"/>
    <w:rsid w:val="00AA6478"/>
    <w:rsid w:val="00AB491A"/>
    <w:rsid w:val="00AB4EFD"/>
    <w:rsid w:val="00AB6E49"/>
    <w:rsid w:val="00AB7298"/>
    <w:rsid w:val="00AB76F5"/>
    <w:rsid w:val="00AC0E55"/>
    <w:rsid w:val="00AC1EBB"/>
    <w:rsid w:val="00AC29C3"/>
    <w:rsid w:val="00AC3DA6"/>
    <w:rsid w:val="00AD28E3"/>
    <w:rsid w:val="00AE3866"/>
    <w:rsid w:val="00AE57A4"/>
    <w:rsid w:val="00AE77AE"/>
    <w:rsid w:val="00AF291D"/>
    <w:rsid w:val="00AF51A0"/>
    <w:rsid w:val="00AF5D67"/>
    <w:rsid w:val="00B00765"/>
    <w:rsid w:val="00B0211B"/>
    <w:rsid w:val="00B0252F"/>
    <w:rsid w:val="00B02858"/>
    <w:rsid w:val="00B10539"/>
    <w:rsid w:val="00B108B3"/>
    <w:rsid w:val="00B10F2E"/>
    <w:rsid w:val="00B11D20"/>
    <w:rsid w:val="00B11D74"/>
    <w:rsid w:val="00B122CA"/>
    <w:rsid w:val="00B14DCE"/>
    <w:rsid w:val="00B15276"/>
    <w:rsid w:val="00B1627A"/>
    <w:rsid w:val="00B17303"/>
    <w:rsid w:val="00B26A2D"/>
    <w:rsid w:val="00B348B0"/>
    <w:rsid w:val="00B435C2"/>
    <w:rsid w:val="00B46027"/>
    <w:rsid w:val="00B46448"/>
    <w:rsid w:val="00B46917"/>
    <w:rsid w:val="00B50803"/>
    <w:rsid w:val="00B57CEE"/>
    <w:rsid w:val="00B622BC"/>
    <w:rsid w:val="00B67B8C"/>
    <w:rsid w:val="00B7734D"/>
    <w:rsid w:val="00B80672"/>
    <w:rsid w:val="00B8086C"/>
    <w:rsid w:val="00B809D3"/>
    <w:rsid w:val="00B80A40"/>
    <w:rsid w:val="00B81F9B"/>
    <w:rsid w:val="00B84353"/>
    <w:rsid w:val="00B87097"/>
    <w:rsid w:val="00B90B28"/>
    <w:rsid w:val="00B92053"/>
    <w:rsid w:val="00BA5D3E"/>
    <w:rsid w:val="00BB4305"/>
    <w:rsid w:val="00BB4CC8"/>
    <w:rsid w:val="00BB5F43"/>
    <w:rsid w:val="00BC097C"/>
    <w:rsid w:val="00BC4F13"/>
    <w:rsid w:val="00BD0BD6"/>
    <w:rsid w:val="00BD2EF8"/>
    <w:rsid w:val="00BD4D56"/>
    <w:rsid w:val="00BD762D"/>
    <w:rsid w:val="00BE1594"/>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4970"/>
    <w:rsid w:val="00C173E2"/>
    <w:rsid w:val="00C210C3"/>
    <w:rsid w:val="00C23058"/>
    <w:rsid w:val="00C23E02"/>
    <w:rsid w:val="00C26855"/>
    <w:rsid w:val="00C26ED7"/>
    <w:rsid w:val="00C309BB"/>
    <w:rsid w:val="00C30AEA"/>
    <w:rsid w:val="00C343BF"/>
    <w:rsid w:val="00C34DBC"/>
    <w:rsid w:val="00C3754A"/>
    <w:rsid w:val="00C40A6D"/>
    <w:rsid w:val="00C443AF"/>
    <w:rsid w:val="00C51144"/>
    <w:rsid w:val="00C54C7F"/>
    <w:rsid w:val="00C55365"/>
    <w:rsid w:val="00C56B06"/>
    <w:rsid w:val="00C65E58"/>
    <w:rsid w:val="00C724D2"/>
    <w:rsid w:val="00C72BFA"/>
    <w:rsid w:val="00C73BB2"/>
    <w:rsid w:val="00C7692E"/>
    <w:rsid w:val="00C76C3D"/>
    <w:rsid w:val="00C77D60"/>
    <w:rsid w:val="00C80CEE"/>
    <w:rsid w:val="00C86395"/>
    <w:rsid w:val="00C871EF"/>
    <w:rsid w:val="00C87AA9"/>
    <w:rsid w:val="00C92D07"/>
    <w:rsid w:val="00C9499A"/>
    <w:rsid w:val="00C96187"/>
    <w:rsid w:val="00C96700"/>
    <w:rsid w:val="00CA0D0B"/>
    <w:rsid w:val="00CA4014"/>
    <w:rsid w:val="00CA425B"/>
    <w:rsid w:val="00CA4B10"/>
    <w:rsid w:val="00CB05B1"/>
    <w:rsid w:val="00CB0F26"/>
    <w:rsid w:val="00CB3AE2"/>
    <w:rsid w:val="00CB3FBB"/>
    <w:rsid w:val="00CB5906"/>
    <w:rsid w:val="00CB65F1"/>
    <w:rsid w:val="00CC2CF7"/>
    <w:rsid w:val="00CC59ED"/>
    <w:rsid w:val="00CD00F0"/>
    <w:rsid w:val="00CD2A1C"/>
    <w:rsid w:val="00CD2EFD"/>
    <w:rsid w:val="00CD4BC4"/>
    <w:rsid w:val="00CD75D2"/>
    <w:rsid w:val="00CD77BC"/>
    <w:rsid w:val="00CE1B9F"/>
    <w:rsid w:val="00CE6F80"/>
    <w:rsid w:val="00CF18AB"/>
    <w:rsid w:val="00D00632"/>
    <w:rsid w:val="00D01F37"/>
    <w:rsid w:val="00D03A26"/>
    <w:rsid w:val="00D05D59"/>
    <w:rsid w:val="00D14F2F"/>
    <w:rsid w:val="00D17434"/>
    <w:rsid w:val="00D17D39"/>
    <w:rsid w:val="00D17D8F"/>
    <w:rsid w:val="00D22031"/>
    <w:rsid w:val="00D303D6"/>
    <w:rsid w:val="00D32687"/>
    <w:rsid w:val="00D3314A"/>
    <w:rsid w:val="00D362A2"/>
    <w:rsid w:val="00D37B27"/>
    <w:rsid w:val="00D424D2"/>
    <w:rsid w:val="00D51791"/>
    <w:rsid w:val="00D53AE7"/>
    <w:rsid w:val="00D5468E"/>
    <w:rsid w:val="00D61701"/>
    <w:rsid w:val="00D63A7D"/>
    <w:rsid w:val="00D641AC"/>
    <w:rsid w:val="00D64BC8"/>
    <w:rsid w:val="00D65268"/>
    <w:rsid w:val="00D70C1C"/>
    <w:rsid w:val="00D710A9"/>
    <w:rsid w:val="00D715E9"/>
    <w:rsid w:val="00D73A55"/>
    <w:rsid w:val="00D74667"/>
    <w:rsid w:val="00D75A2B"/>
    <w:rsid w:val="00D8474E"/>
    <w:rsid w:val="00D86814"/>
    <w:rsid w:val="00D8701B"/>
    <w:rsid w:val="00D93AE3"/>
    <w:rsid w:val="00D94FA0"/>
    <w:rsid w:val="00DA1A84"/>
    <w:rsid w:val="00DA2EAA"/>
    <w:rsid w:val="00DA6A86"/>
    <w:rsid w:val="00DB2F91"/>
    <w:rsid w:val="00DB406B"/>
    <w:rsid w:val="00DB5074"/>
    <w:rsid w:val="00DB531C"/>
    <w:rsid w:val="00DC32EB"/>
    <w:rsid w:val="00DC42B7"/>
    <w:rsid w:val="00DC4589"/>
    <w:rsid w:val="00DC4734"/>
    <w:rsid w:val="00DC4E25"/>
    <w:rsid w:val="00DC6C1E"/>
    <w:rsid w:val="00DD4383"/>
    <w:rsid w:val="00DD78FE"/>
    <w:rsid w:val="00DE04BB"/>
    <w:rsid w:val="00DE3506"/>
    <w:rsid w:val="00DE746A"/>
    <w:rsid w:val="00DF349B"/>
    <w:rsid w:val="00DF42A7"/>
    <w:rsid w:val="00DF44C2"/>
    <w:rsid w:val="00DF4A3F"/>
    <w:rsid w:val="00DF54E7"/>
    <w:rsid w:val="00DF614F"/>
    <w:rsid w:val="00E004F0"/>
    <w:rsid w:val="00E02404"/>
    <w:rsid w:val="00E046A3"/>
    <w:rsid w:val="00E07FAA"/>
    <w:rsid w:val="00E128DB"/>
    <w:rsid w:val="00E12E0B"/>
    <w:rsid w:val="00E14E68"/>
    <w:rsid w:val="00E16926"/>
    <w:rsid w:val="00E21239"/>
    <w:rsid w:val="00E228C8"/>
    <w:rsid w:val="00E363C5"/>
    <w:rsid w:val="00E36DE8"/>
    <w:rsid w:val="00E40153"/>
    <w:rsid w:val="00E41DF4"/>
    <w:rsid w:val="00E44A3B"/>
    <w:rsid w:val="00E450FF"/>
    <w:rsid w:val="00E47A93"/>
    <w:rsid w:val="00E51DCC"/>
    <w:rsid w:val="00E575D4"/>
    <w:rsid w:val="00E602CC"/>
    <w:rsid w:val="00E60BCF"/>
    <w:rsid w:val="00E63199"/>
    <w:rsid w:val="00E631BB"/>
    <w:rsid w:val="00E66FC2"/>
    <w:rsid w:val="00E701AC"/>
    <w:rsid w:val="00E71B6C"/>
    <w:rsid w:val="00E71F47"/>
    <w:rsid w:val="00E7552C"/>
    <w:rsid w:val="00E75EDC"/>
    <w:rsid w:val="00E76E6A"/>
    <w:rsid w:val="00E76F19"/>
    <w:rsid w:val="00E77CD4"/>
    <w:rsid w:val="00E77DF7"/>
    <w:rsid w:val="00E802FE"/>
    <w:rsid w:val="00E823D3"/>
    <w:rsid w:val="00E828F0"/>
    <w:rsid w:val="00E82DB5"/>
    <w:rsid w:val="00E8450A"/>
    <w:rsid w:val="00E857F1"/>
    <w:rsid w:val="00E93DBE"/>
    <w:rsid w:val="00E9584F"/>
    <w:rsid w:val="00EA2FA7"/>
    <w:rsid w:val="00EA389B"/>
    <w:rsid w:val="00EB1B1D"/>
    <w:rsid w:val="00EB5BC7"/>
    <w:rsid w:val="00EB6CB3"/>
    <w:rsid w:val="00EC0B90"/>
    <w:rsid w:val="00EC103C"/>
    <w:rsid w:val="00EC79B0"/>
    <w:rsid w:val="00ED1C3A"/>
    <w:rsid w:val="00ED2D18"/>
    <w:rsid w:val="00ED4D5F"/>
    <w:rsid w:val="00ED67B7"/>
    <w:rsid w:val="00ED67FB"/>
    <w:rsid w:val="00EE1079"/>
    <w:rsid w:val="00EE1311"/>
    <w:rsid w:val="00EE1D6B"/>
    <w:rsid w:val="00EE642E"/>
    <w:rsid w:val="00EE677E"/>
    <w:rsid w:val="00EE77E0"/>
    <w:rsid w:val="00EF0BD7"/>
    <w:rsid w:val="00EF778F"/>
    <w:rsid w:val="00EF7999"/>
    <w:rsid w:val="00F006DA"/>
    <w:rsid w:val="00F020DF"/>
    <w:rsid w:val="00F03BFD"/>
    <w:rsid w:val="00F118D3"/>
    <w:rsid w:val="00F1242C"/>
    <w:rsid w:val="00F128C3"/>
    <w:rsid w:val="00F1711D"/>
    <w:rsid w:val="00F223F4"/>
    <w:rsid w:val="00F23EAF"/>
    <w:rsid w:val="00F25C3E"/>
    <w:rsid w:val="00F269BB"/>
    <w:rsid w:val="00F277B7"/>
    <w:rsid w:val="00F317F9"/>
    <w:rsid w:val="00F33A4A"/>
    <w:rsid w:val="00F353AE"/>
    <w:rsid w:val="00F36D46"/>
    <w:rsid w:val="00F43DC9"/>
    <w:rsid w:val="00F441EF"/>
    <w:rsid w:val="00F443E2"/>
    <w:rsid w:val="00F52595"/>
    <w:rsid w:val="00F530EE"/>
    <w:rsid w:val="00F54B30"/>
    <w:rsid w:val="00F57324"/>
    <w:rsid w:val="00F63FCE"/>
    <w:rsid w:val="00F64A4F"/>
    <w:rsid w:val="00F67027"/>
    <w:rsid w:val="00F71933"/>
    <w:rsid w:val="00F74DE7"/>
    <w:rsid w:val="00F7795B"/>
    <w:rsid w:val="00F803D9"/>
    <w:rsid w:val="00F821F9"/>
    <w:rsid w:val="00F823B0"/>
    <w:rsid w:val="00F82D1B"/>
    <w:rsid w:val="00F85483"/>
    <w:rsid w:val="00F950E6"/>
    <w:rsid w:val="00F960F5"/>
    <w:rsid w:val="00F97939"/>
    <w:rsid w:val="00FA0ED7"/>
    <w:rsid w:val="00FA3210"/>
    <w:rsid w:val="00FA62A2"/>
    <w:rsid w:val="00FA7412"/>
    <w:rsid w:val="00FB0F59"/>
    <w:rsid w:val="00FB3BF9"/>
    <w:rsid w:val="00FB55B6"/>
    <w:rsid w:val="00FB56B2"/>
    <w:rsid w:val="00FB5B7E"/>
    <w:rsid w:val="00FB709E"/>
    <w:rsid w:val="00FB7966"/>
    <w:rsid w:val="00FC3E5C"/>
    <w:rsid w:val="00FC57AE"/>
    <w:rsid w:val="00FC6C27"/>
    <w:rsid w:val="00FE3585"/>
    <w:rsid w:val="00FF16A1"/>
    <w:rsid w:val="00FF330A"/>
    <w:rsid w:val="00FF3CAD"/>
    <w:rsid w:val="00FF483D"/>
    <w:rsid w:val="00FF49A5"/>
    <w:rsid w:val="00FF6B2B"/>
    <w:rsid w:val="00FF6CAF"/>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customStyle="1" w:styleId="SCCCaseDescriptor">
    <w:name w:val="SCC.CaseDescriptor"/>
    <w:basedOn w:val="Normal"/>
    <w:link w:val="SCCCaseDescriptorChar"/>
    <w:qFormat/>
    <w:rsid w:val="00ED67FB"/>
    <w:rPr>
      <w:b/>
      <w:lang w:val="fr-CA" w:eastAsia="en-CA"/>
    </w:rPr>
  </w:style>
  <w:style w:type="character" w:customStyle="1" w:styleId="SCCCaseDescriptorChar">
    <w:name w:val="SCC.CaseDescriptor Char"/>
    <w:basedOn w:val="DefaultParagraphFont"/>
    <w:link w:val="SCCCaseDescriptor"/>
    <w:rsid w:val="00ED67FB"/>
    <w:rPr>
      <w:b/>
      <w:sz w:val="24"/>
      <w:lang w:val="fr-CA" w:eastAsia="en-CA"/>
    </w:rPr>
  </w:style>
  <w:style w:type="paragraph" w:customStyle="1" w:styleId="SCCBanSummary">
    <w:name w:val="SCC.BanSummary"/>
    <w:basedOn w:val="Normal"/>
    <w:next w:val="Normal"/>
    <w:link w:val="SCCBanSummaryChar"/>
    <w:rsid w:val="00782B59"/>
    <w:pPr>
      <w:jc w:val="both"/>
    </w:pPr>
    <w:rPr>
      <w:rFonts w:eastAsiaTheme="minorHAnsi" w:cstheme="minorBidi"/>
      <w:smallCaps/>
      <w:szCs w:val="22"/>
      <w:lang w:val="en-CA"/>
    </w:rPr>
  </w:style>
  <w:style w:type="character" w:customStyle="1" w:styleId="SCCBanSummaryChar">
    <w:name w:val="SCC.BanSummary Char"/>
    <w:basedOn w:val="DefaultParagraphFont"/>
    <w:link w:val="SCCBanSummary"/>
    <w:rsid w:val="00782B59"/>
    <w:rPr>
      <w:rFonts w:eastAsiaTheme="minorHAnsi" w:cstheme="minorBidi"/>
      <w:smallCaps/>
      <w:sz w:val="24"/>
      <w:szCs w:val="22"/>
      <w:lang w:val="en-CA"/>
    </w:rPr>
  </w:style>
  <w:style w:type="paragraph" w:customStyle="1" w:styleId="SCCFileNumber">
    <w:name w:val="SCC.FileNumber"/>
    <w:basedOn w:val="Normal"/>
    <w:next w:val="Normal"/>
    <w:link w:val="SCCFileNumberChar"/>
    <w:rsid w:val="00782B59"/>
    <w:pPr>
      <w:jc w:val="both"/>
    </w:pPr>
    <w:rPr>
      <w:rFonts w:eastAsiaTheme="minorHAnsi" w:cstheme="minorBidi"/>
      <w:b/>
      <w:szCs w:val="22"/>
      <w:lang w:val="en-CA"/>
    </w:rPr>
  </w:style>
  <w:style w:type="character" w:customStyle="1" w:styleId="SCCFileNumberChar">
    <w:name w:val="SCC.FileNumber Char"/>
    <w:basedOn w:val="DefaultParagraphFont"/>
    <w:link w:val="SCCFileNumber"/>
    <w:rsid w:val="00782B59"/>
    <w:rPr>
      <w:rFonts w:eastAsiaTheme="minorHAnsi" w:cstheme="minorBidi"/>
      <w:b/>
      <w:sz w:val="24"/>
      <w:szCs w:val="22"/>
      <w:lang w:val="en-CA"/>
    </w:rPr>
  </w:style>
  <w:style w:type="paragraph" w:customStyle="1" w:styleId="SCCLsocOtherPartySeparator">
    <w:name w:val="SCC.Lsoc.OtherPartySeparator"/>
    <w:basedOn w:val="Normal"/>
    <w:next w:val="Normal"/>
    <w:link w:val="SCCLsocOtherPartySeparatorChar"/>
    <w:rsid w:val="002B4219"/>
    <w:pPr>
      <w:jc w:val="both"/>
    </w:pPr>
    <w:rPr>
      <w:rFonts w:eastAsiaTheme="minorHAnsi" w:cstheme="minorBidi"/>
      <w:b/>
      <w:szCs w:val="22"/>
      <w:lang w:val="en-CA"/>
    </w:rPr>
  </w:style>
  <w:style w:type="character" w:customStyle="1" w:styleId="SCCLsocOtherPartySeparatorChar">
    <w:name w:val="SCC.Lsoc.OtherPartySeparator Char"/>
    <w:basedOn w:val="DefaultParagraphFont"/>
    <w:link w:val="SCCLsocOtherPartySeparator"/>
    <w:rsid w:val="002B4219"/>
    <w:rPr>
      <w:rFonts w:eastAsiaTheme="minorHAnsi" w:cstheme="minorBidi"/>
      <w:b/>
      <w:sz w:val="24"/>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sc.ca/case-dossier/info/sum-som-fra.aspx?cas=4049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cc-csc.ca/case-dossier/info/sum-som-eng.aspx?cas=4049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stry-greffe@scc-cs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5105</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2023-10-27T14:47:00Z</dcterms:created>
  <dcterms:modified xsi:type="dcterms:W3CDTF">2024-06-11T13:37:00Z</dcterms:modified>
</cp:coreProperties>
</file>