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5213C3" w:rsidRDefault="003F43E6" w:rsidP="003F43E6">
      <w:pPr>
        <w:pStyle w:val="Header"/>
        <w:jc w:val="center"/>
        <w:rPr>
          <w:b/>
          <w:sz w:val="32"/>
        </w:rPr>
      </w:pPr>
      <w:r w:rsidRPr="005213C3">
        <w:rPr>
          <w:b/>
          <w:sz w:val="32"/>
        </w:rPr>
        <w:t>Supreme Court of Canada / Cour suprême du Canada</w:t>
      </w:r>
    </w:p>
    <w:p w:rsidR="003F43E6" w:rsidRPr="005213C3" w:rsidRDefault="003F43E6" w:rsidP="006F2579">
      <w:pPr>
        <w:widowControl w:val="0"/>
        <w:rPr>
          <w:i/>
        </w:rPr>
      </w:pPr>
    </w:p>
    <w:p w:rsidR="003F43E6" w:rsidRPr="005213C3" w:rsidRDefault="003F43E6" w:rsidP="006F2579">
      <w:pPr>
        <w:widowControl w:val="0"/>
        <w:rPr>
          <w:i/>
        </w:rPr>
      </w:pPr>
    </w:p>
    <w:p w:rsidR="006F2579" w:rsidRPr="005213C3" w:rsidRDefault="006F2579" w:rsidP="006F2579">
      <w:pPr>
        <w:widowControl w:val="0"/>
        <w:rPr>
          <w:i/>
          <w:sz w:val="20"/>
          <w:lang w:val="fr-CA"/>
        </w:rPr>
      </w:pPr>
      <w:r w:rsidRPr="005213C3">
        <w:rPr>
          <w:i/>
          <w:sz w:val="20"/>
          <w:lang w:val="fr-CA"/>
        </w:rPr>
        <w:t>(</w:t>
      </w:r>
      <w:r w:rsidR="008F3C5D" w:rsidRPr="005213C3">
        <w:rPr>
          <w:i/>
          <w:sz w:val="20"/>
          <w:lang w:val="fr-CA"/>
        </w:rPr>
        <w:t>L</w:t>
      </w:r>
      <w:r w:rsidRPr="005213C3">
        <w:rPr>
          <w:i/>
          <w:sz w:val="20"/>
          <w:lang w:val="fr-CA"/>
        </w:rPr>
        <w:t>e français suit)</w:t>
      </w:r>
    </w:p>
    <w:p w:rsidR="006F2579" w:rsidRPr="005213C3" w:rsidRDefault="006F2579" w:rsidP="006F2579">
      <w:pPr>
        <w:widowControl w:val="0"/>
        <w:rPr>
          <w:lang w:val="fr-CA"/>
        </w:rPr>
      </w:pPr>
    </w:p>
    <w:p w:rsidR="006F2579" w:rsidRPr="005213C3" w:rsidRDefault="00C007C3" w:rsidP="006F2579">
      <w:pPr>
        <w:widowControl w:val="0"/>
        <w:jc w:val="center"/>
        <w:rPr>
          <w:b/>
          <w:lang w:val="fr-CA"/>
        </w:rPr>
      </w:pPr>
      <w:r w:rsidRPr="005213C3">
        <w:fldChar w:fldCharType="begin"/>
      </w:r>
      <w:r w:rsidR="006F2579" w:rsidRPr="005213C3">
        <w:rPr>
          <w:lang w:val="fr-CA"/>
        </w:rPr>
        <w:instrText xml:space="preserve"> SEQ CHAPTER \h \r 1</w:instrText>
      </w:r>
      <w:r w:rsidRPr="005213C3">
        <w:fldChar w:fldCharType="end"/>
      </w:r>
      <w:r w:rsidR="002767DF" w:rsidRPr="005213C3">
        <w:rPr>
          <w:b/>
          <w:lang w:val="fr-CA"/>
        </w:rPr>
        <w:t xml:space="preserve">JUDGMENTS </w:t>
      </w:r>
      <w:r w:rsidR="00E72873" w:rsidRPr="005213C3">
        <w:rPr>
          <w:b/>
          <w:lang w:val="fr-CA"/>
        </w:rPr>
        <w:t>O</w:t>
      </w:r>
      <w:r w:rsidR="004C4C26" w:rsidRPr="005213C3">
        <w:rPr>
          <w:b/>
          <w:lang w:val="fr-CA"/>
        </w:rPr>
        <w:t>N LEAVE APPLICATION</w:t>
      </w:r>
      <w:r w:rsidR="002375D8" w:rsidRPr="005213C3">
        <w:rPr>
          <w:b/>
          <w:lang w:val="fr-CA"/>
        </w:rPr>
        <w:t>S</w:t>
      </w:r>
    </w:p>
    <w:p w:rsidR="006F2579" w:rsidRPr="005213C3" w:rsidRDefault="006F2579" w:rsidP="006F2579">
      <w:pPr>
        <w:widowControl w:val="0"/>
        <w:rPr>
          <w:lang w:val="fr-CA"/>
        </w:rPr>
      </w:pPr>
    </w:p>
    <w:p w:rsidR="006F2579" w:rsidRPr="005213C3" w:rsidRDefault="00B44DF4" w:rsidP="006F2579">
      <w:pPr>
        <w:widowControl w:val="0"/>
        <w:rPr>
          <w:lang w:val="en-CA"/>
        </w:rPr>
      </w:pPr>
      <w:r w:rsidRPr="005213C3">
        <w:rPr>
          <w:b/>
          <w:lang w:val="en-CA"/>
        </w:rPr>
        <w:t>J</w:t>
      </w:r>
      <w:r w:rsidR="002C3296" w:rsidRPr="005213C3">
        <w:rPr>
          <w:b/>
          <w:lang w:val="en-CA"/>
        </w:rPr>
        <w:t>u</w:t>
      </w:r>
      <w:r w:rsidR="00973A6F" w:rsidRPr="005213C3">
        <w:rPr>
          <w:b/>
          <w:lang w:val="en-CA"/>
        </w:rPr>
        <w:t>ly</w:t>
      </w:r>
      <w:r w:rsidR="00C9475D" w:rsidRPr="005213C3">
        <w:rPr>
          <w:b/>
          <w:lang w:val="en-CA"/>
        </w:rPr>
        <w:t xml:space="preserve"> </w:t>
      </w:r>
      <w:r w:rsidR="00576990" w:rsidRPr="005213C3">
        <w:rPr>
          <w:b/>
          <w:lang w:val="en-CA"/>
        </w:rPr>
        <w:t>11</w:t>
      </w:r>
      <w:r w:rsidR="00170148" w:rsidRPr="005213C3">
        <w:rPr>
          <w:b/>
          <w:lang w:val="en-CA"/>
        </w:rPr>
        <w:t>,</w:t>
      </w:r>
      <w:r w:rsidR="008825DB" w:rsidRPr="005213C3">
        <w:rPr>
          <w:b/>
          <w:lang w:val="en-CA"/>
        </w:rPr>
        <w:t xml:space="preserve"> 20</w:t>
      </w:r>
      <w:r w:rsidRPr="005213C3">
        <w:rPr>
          <w:b/>
          <w:lang w:val="en-CA"/>
        </w:rPr>
        <w:t>2</w:t>
      </w:r>
      <w:r w:rsidR="00645EBD" w:rsidRPr="005213C3">
        <w:rPr>
          <w:b/>
          <w:lang w:val="en-CA"/>
        </w:rPr>
        <w:t>4</w:t>
      </w:r>
    </w:p>
    <w:p w:rsidR="006F2579" w:rsidRPr="005213C3" w:rsidRDefault="006F2579" w:rsidP="006F2579">
      <w:pPr>
        <w:widowControl w:val="0"/>
        <w:rPr>
          <w:lang w:val="en-CA"/>
        </w:rPr>
      </w:pPr>
    </w:p>
    <w:p w:rsidR="006F2579" w:rsidRPr="005213C3" w:rsidRDefault="002767DF" w:rsidP="006F2579">
      <w:pPr>
        <w:widowControl w:val="0"/>
      </w:pPr>
      <w:r w:rsidRPr="005213C3">
        <w:rPr>
          <w:b/>
        </w:rPr>
        <w:t>OTTAWA</w:t>
      </w:r>
      <w:r w:rsidRPr="005213C3">
        <w:t xml:space="preserve"> – </w:t>
      </w:r>
      <w:r w:rsidR="002E3D11" w:rsidRPr="005213C3">
        <w:t>The Supreme Court of Canada has decided the following leave applications.</w:t>
      </w:r>
    </w:p>
    <w:p w:rsidR="0045185C" w:rsidRPr="005213C3" w:rsidRDefault="0045185C" w:rsidP="0045185C">
      <w:pPr>
        <w:jc w:val="both"/>
        <w:rPr>
          <w:sz w:val="20"/>
        </w:rPr>
      </w:pPr>
    </w:p>
    <w:p w:rsidR="00235391" w:rsidRPr="005213C3" w:rsidRDefault="00235391" w:rsidP="0045185C">
      <w:pPr>
        <w:jc w:val="both"/>
        <w:rPr>
          <w:sz w:val="20"/>
        </w:rPr>
      </w:pPr>
    </w:p>
    <w:p w:rsidR="0045185C" w:rsidRPr="005213C3" w:rsidRDefault="0045185C" w:rsidP="0045185C">
      <w:pPr>
        <w:jc w:val="both"/>
        <w:rPr>
          <w:b/>
          <w:sz w:val="22"/>
          <w:szCs w:val="22"/>
        </w:rPr>
      </w:pPr>
      <w:r w:rsidRPr="005213C3">
        <w:rPr>
          <w:b/>
          <w:sz w:val="22"/>
          <w:szCs w:val="22"/>
        </w:rPr>
        <w:t>DISMISSED</w:t>
      </w:r>
    </w:p>
    <w:p w:rsidR="0045185C" w:rsidRPr="005213C3" w:rsidRDefault="0045185C" w:rsidP="0045185C">
      <w:pPr>
        <w:jc w:val="both"/>
        <w:rPr>
          <w:sz w:val="20"/>
        </w:rPr>
      </w:pPr>
    </w:p>
    <w:p w:rsidR="00C9106C" w:rsidRPr="005213C3" w:rsidRDefault="00C9106C" w:rsidP="00C9106C">
      <w:pPr>
        <w:tabs>
          <w:tab w:val="left" w:pos="360"/>
        </w:tabs>
        <w:rPr>
          <w:sz w:val="22"/>
          <w:szCs w:val="22"/>
          <w:lang w:val="en-CA"/>
        </w:rPr>
      </w:pPr>
      <w:r w:rsidRPr="005213C3">
        <w:rPr>
          <w:i/>
          <w:sz w:val="22"/>
          <w:szCs w:val="22"/>
          <w:lang w:val="en-CA"/>
        </w:rPr>
        <w:t>P. A. v. B. C., Isabel Prud’homme, in her capacity as ad hoc tutor to the child and Attorney General of Canada</w:t>
      </w:r>
      <w:r w:rsidRPr="005213C3">
        <w:rPr>
          <w:sz w:val="22"/>
          <w:szCs w:val="22"/>
          <w:lang w:val="en-CA"/>
        </w:rPr>
        <w:t xml:space="preserve"> (Que.) (Civil) (By Leave) (</w:t>
      </w:r>
      <w:hyperlink r:id="rId8" w:history="1">
        <w:r w:rsidRPr="005213C3">
          <w:rPr>
            <w:rStyle w:val="Hyperlink"/>
            <w:sz w:val="22"/>
            <w:szCs w:val="22"/>
            <w:lang w:val="en-CA"/>
          </w:rPr>
          <w:t>41134</w:t>
        </w:r>
      </w:hyperlink>
      <w:r w:rsidRPr="005213C3">
        <w:rPr>
          <w:sz w:val="22"/>
          <w:szCs w:val="22"/>
          <w:lang w:val="en-CA"/>
        </w:rPr>
        <w:t>)</w:t>
      </w:r>
    </w:p>
    <w:p w:rsidR="0045185C" w:rsidRPr="005213C3" w:rsidRDefault="0045185C" w:rsidP="0045185C">
      <w:pPr>
        <w:widowControl w:val="0"/>
        <w:rPr>
          <w:sz w:val="20"/>
        </w:rPr>
      </w:pPr>
    </w:p>
    <w:p w:rsidR="0045185C" w:rsidRPr="005213C3" w:rsidRDefault="00C9106C" w:rsidP="00C9106C">
      <w:pPr>
        <w:widowControl w:val="0"/>
        <w:jc w:val="both"/>
        <w:rPr>
          <w:sz w:val="20"/>
        </w:rPr>
      </w:pPr>
      <w:r w:rsidRPr="005213C3">
        <w:rPr>
          <w:sz w:val="20"/>
        </w:rPr>
        <w:t>The motion for an extension of time to serve and file the application for leave to appeal is granted. The motion for an oral hearing is dismissed. The motion for an extension of time to serve and file the reply is granted. The application for leave to appeal from the judgment of the</w:t>
      </w:r>
      <w:bookmarkStart w:id="0" w:name="BM_1_"/>
      <w:bookmarkEnd w:id="0"/>
      <w:r w:rsidRPr="005213C3">
        <w:rPr>
          <w:sz w:val="20"/>
        </w:rPr>
        <w:t xml:space="preserve"> Court of Appeal of Quebec (Québec), Number 500-09-700138-225, 2023 QCCA 1653, dated September 7, 2023, is dismissed with costs to the respondent Attorney General of Canada.</w:t>
      </w:r>
    </w:p>
    <w:p w:rsidR="0045185C" w:rsidRPr="005213C3" w:rsidRDefault="0045185C" w:rsidP="0017755C">
      <w:pPr>
        <w:jc w:val="both"/>
        <w:rPr>
          <w:sz w:val="20"/>
        </w:rPr>
      </w:pPr>
    </w:p>
    <w:p w:rsidR="0045185C" w:rsidRPr="005213C3" w:rsidRDefault="00E613F5" w:rsidP="0045185C">
      <w:pPr>
        <w:contextualSpacing/>
        <w:jc w:val="both"/>
        <w:rPr>
          <w:sz w:val="20"/>
          <w:lang w:val="fr-CA"/>
        </w:rPr>
      </w:pPr>
      <w:r>
        <w:rPr>
          <w:sz w:val="20"/>
        </w:rPr>
        <w:pict>
          <v:rect id="_x0000_i1025" style="width:2in;height:1pt" o:hrpct="0" o:hralign="center" o:hrstd="t" o:hrnoshade="t" o:hr="t" fillcolor="black [3213]" stroked="f"/>
        </w:pict>
      </w:r>
    </w:p>
    <w:p w:rsidR="0045185C" w:rsidRPr="005213C3" w:rsidRDefault="0045185C" w:rsidP="0017755C">
      <w:pPr>
        <w:rPr>
          <w:sz w:val="20"/>
        </w:rPr>
      </w:pPr>
    </w:p>
    <w:p w:rsidR="0037322A" w:rsidRPr="005213C3" w:rsidRDefault="0037322A" w:rsidP="0037322A">
      <w:pPr>
        <w:rPr>
          <w:sz w:val="22"/>
          <w:szCs w:val="22"/>
          <w:lang w:val="en-CA"/>
        </w:rPr>
      </w:pPr>
      <w:r w:rsidRPr="005213C3">
        <w:rPr>
          <w:i/>
          <w:sz w:val="22"/>
          <w:szCs w:val="22"/>
          <w:lang w:val="en-CA"/>
        </w:rPr>
        <w:t xml:space="preserve">Trevor Scott Small aka Trevor Small v. Oxana Small aka Oxana Kirsanova </w:t>
      </w:r>
      <w:r w:rsidRPr="005213C3">
        <w:rPr>
          <w:sz w:val="22"/>
          <w:szCs w:val="22"/>
          <w:lang w:val="en-CA"/>
        </w:rPr>
        <w:t xml:space="preserve">(B.C.) (Civil) (By Leave) </w:t>
      </w:r>
      <w:r w:rsidRPr="005213C3">
        <w:rPr>
          <w:sz w:val="22"/>
          <w:szCs w:val="22"/>
        </w:rPr>
        <w:t>(</w:t>
      </w:r>
      <w:hyperlink r:id="rId9" w:history="1">
        <w:r w:rsidRPr="005213C3">
          <w:rPr>
            <w:rStyle w:val="Hyperlink"/>
            <w:sz w:val="22"/>
            <w:szCs w:val="22"/>
          </w:rPr>
          <w:t>40999</w:t>
        </w:r>
      </w:hyperlink>
      <w:r w:rsidRPr="005213C3">
        <w:rPr>
          <w:sz w:val="22"/>
          <w:szCs w:val="22"/>
        </w:rPr>
        <w:t>)</w:t>
      </w:r>
    </w:p>
    <w:p w:rsidR="002145B9" w:rsidRPr="005213C3" w:rsidRDefault="002145B9" w:rsidP="0017755C">
      <w:pPr>
        <w:rPr>
          <w:sz w:val="20"/>
        </w:rPr>
      </w:pPr>
    </w:p>
    <w:p w:rsidR="0037322A" w:rsidRPr="005213C3" w:rsidRDefault="0037322A" w:rsidP="0037322A">
      <w:pPr>
        <w:jc w:val="both"/>
        <w:rPr>
          <w:sz w:val="20"/>
        </w:rPr>
      </w:pPr>
      <w:r w:rsidRPr="005213C3">
        <w:rPr>
          <w:sz w:val="20"/>
        </w:rPr>
        <w:t>The motion to join this application for leave to appeal and another application for leave to appeal is dismissed. The motion for an extension of time to serve and file a response and an application for leave to cross-appeal is dismissed. The application for leave to appeal from the judgment of the Court of Appeal for British Columbia (Vancouver), Number CA47388, 2023 BCCA 349, dated September 8, 2023, is dismissed.</w:t>
      </w:r>
    </w:p>
    <w:p w:rsidR="002145B9" w:rsidRPr="005213C3" w:rsidRDefault="002145B9" w:rsidP="0017755C">
      <w:pPr>
        <w:jc w:val="both"/>
        <w:rPr>
          <w:sz w:val="20"/>
        </w:rPr>
      </w:pPr>
    </w:p>
    <w:p w:rsidR="002145B9" w:rsidRPr="005213C3" w:rsidRDefault="00E613F5" w:rsidP="002145B9">
      <w:pPr>
        <w:contextualSpacing/>
        <w:jc w:val="both"/>
        <w:rPr>
          <w:sz w:val="20"/>
          <w:lang w:val="fr-CA"/>
        </w:rPr>
      </w:pPr>
      <w:r>
        <w:rPr>
          <w:sz w:val="20"/>
        </w:rPr>
        <w:pict>
          <v:rect id="_x0000_i1026" style="width:2in;height:1pt" o:hrpct="0" o:hralign="center" o:hrstd="t" o:hrnoshade="t" o:hr="t" fillcolor="black [3213]" stroked="f"/>
        </w:pict>
      </w:r>
    </w:p>
    <w:p w:rsidR="002145B9" w:rsidRPr="005213C3" w:rsidRDefault="002145B9" w:rsidP="0017755C">
      <w:pPr>
        <w:rPr>
          <w:sz w:val="20"/>
        </w:rPr>
      </w:pPr>
    </w:p>
    <w:p w:rsidR="00093CEB" w:rsidRPr="005213C3" w:rsidRDefault="00093CEB" w:rsidP="00093CEB">
      <w:pPr>
        <w:rPr>
          <w:sz w:val="22"/>
          <w:szCs w:val="22"/>
        </w:rPr>
      </w:pPr>
      <w:r w:rsidRPr="005213C3">
        <w:rPr>
          <w:i/>
          <w:sz w:val="22"/>
          <w:szCs w:val="22"/>
        </w:rPr>
        <w:t>PacNet Services Ltd. and DeepCove Laboratories Ltd. v. Attorney General of Canada on behalf of the United States of America</w:t>
      </w:r>
      <w:r w:rsidRPr="005213C3">
        <w:rPr>
          <w:sz w:val="22"/>
          <w:szCs w:val="22"/>
        </w:rPr>
        <w:t xml:space="preserve"> (B.C.) (Civil) (By Leave) (</w:t>
      </w:r>
      <w:hyperlink r:id="rId10" w:history="1">
        <w:r w:rsidRPr="005213C3">
          <w:rPr>
            <w:rStyle w:val="Hyperlink"/>
            <w:sz w:val="22"/>
            <w:szCs w:val="22"/>
          </w:rPr>
          <w:t>41102</w:t>
        </w:r>
      </w:hyperlink>
      <w:r w:rsidRPr="005213C3">
        <w:rPr>
          <w:sz w:val="22"/>
          <w:szCs w:val="22"/>
        </w:rPr>
        <w:t>)</w:t>
      </w:r>
    </w:p>
    <w:p w:rsidR="002145B9" w:rsidRPr="005213C3" w:rsidRDefault="002145B9" w:rsidP="0017755C">
      <w:pPr>
        <w:rPr>
          <w:sz w:val="20"/>
        </w:rPr>
      </w:pPr>
    </w:p>
    <w:p w:rsidR="002145B9" w:rsidRPr="005213C3" w:rsidRDefault="00093CEB" w:rsidP="00093CEB">
      <w:pPr>
        <w:jc w:val="both"/>
        <w:rPr>
          <w:sz w:val="20"/>
        </w:rPr>
      </w:pPr>
      <w:r w:rsidRPr="005213C3">
        <w:rPr>
          <w:sz w:val="20"/>
        </w:rPr>
        <w:t>The application for leave to appeal from the judgment of the Court of Appeal for British Columbia (Vancouver), Numbers CA48989 and CA48991, 2023 BCCA 445, dated November 30, 2023, is dismissed.</w:t>
      </w:r>
    </w:p>
    <w:p w:rsidR="002145B9" w:rsidRPr="005213C3" w:rsidRDefault="002145B9" w:rsidP="0017755C">
      <w:pPr>
        <w:jc w:val="both"/>
        <w:rPr>
          <w:sz w:val="20"/>
        </w:rPr>
      </w:pPr>
    </w:p>
    <w:p w:rsidR="002145B9" w:rsidRPr="005213C3" w:rsidRDefault="00E613F5" w:rsidP="0017755C">
      <w:pPr>
        <w:contextualSpacing/>
        <w:jc w:val="both"/>
        <w:rPr>
          <w:sz w:val="20"/>
          <w:lang w:val="fr-CA"/>
        </w:rPr>
      </w:pPr>
      <w:r>
        <w:rPr>
          <w:sz w:val="20"/>
        </w:rPr>
        <w:pict>
          <v:rect id="_x0000_i1027" style="width:2in;height:1pt" o:hrpct="0" o:hralign="center" o:hrstd="t" o:hrnoshade="t" o:hr="t" fillcolor="black [3213]" stroked="f"/>
        </w:pict>
      </w:r>
    </w:p>
    <w:p w:rsidR="002145B9" w:rsidRPr="005213C3" w:rsidRDefault="002145B9" w:rsidP="0017755C">
      <w:pPr>
        <w:rPr>
          <w:sz w:val="20"/>
        </w:rPr>
      </w:pPr>
    </w:p>
    <w:p w:rsidR="00B56AA7" w:rsidRPr="005213C3" w:rsidRDefault="00B56AA7" w:rsidP="00B56AA7">
      <w:pPr>
        <w:rPr>
          <w:sz w:val="22"/>
          <w:szCs w:val="22"/>
        </w:rPr>
      </w:pPr>
      <w:r w:rsidRPr="005213C3">
        <w:rPr>
          <w:i/>
          <w:sz w:val="22"/>
          <w:szCs w:val="22"/>
        </w:rPr>
        <w:t xml:space="preserve">ivari v. Janice Thomson </w:t>
      </w:r>
      <w:r w:rsidRPr="005213C3">
        <w:rPr>
          <w:sz w:val="22"/>
          <w:szCs w:val="22"/>
        </w:rPr>
        <w:t>(Alta.) (Civil) (By Leave) (</w:t>
      </w:r>
      <w:hyperlink r:id="rId11" w:history="1">
        <w:r w:rsidRPr="005213C3">
          <w:rPr>
            <w:rStyle w:val="Hyperlink"/>
            <w:sz w:val="22"/>
            <w:szCs w:val="22"/>
          </w:rPr>
          <w:t>41125</w:t>
        </w:r>
      </w:hyperlink>
      <w:r w:rsidRPr="005213C3">
        <w:rPr>
          <w:sz w:val="22"/>
          <w:szCs w:val="22"/>
        </w:rPr>
        <w:t>)</w:t>
      </w:r>
    </w:p>
    <w:p w:rsidR="002145B9" w:rsidRPr="005213C3" w:rsidRDefault="002145B9" w:rsidP="0017755C">
      <w:pPr>
        <w:rPr>
          <w:sz w:val="20"/>
        </w:rPr>
      </w:pPr>
    </w:p>
    <w:p w:rsidR="00B56AA7" w:rsidRPr="005213C3" w:rsidRDefault="00B56AA7" w:rsidP="00B56AA7">
      <w:pPr>
        <w:jc w:val="both"/>
        <w:rPr>
          <w:sz w:val="20"/>
        </w:rPr>
      </w:pPr>
      <w:r w:rsidRPr="005213C3">
        <w:rPr>
          <w:sz w:val="20"/>
        </w:rPr>
        <w:t>The motion for leave to intervene in the leave application filed by the Canadian Life and Health Insurance Association is dismissed. The application for leave to appeal from the judgment of the Court of Appeal of Alberta (Edmonton), Number 2203-0190AC, 2023 ABCA 369, dated December 18, 2023, is dismissed with costs.</w:t>
      </w:r>
    </w:p>
    <w:p w:rsidR="00B56AA7" w:rsidRPr="005213C3" w:rsidRDefault="00B56AA7" w:rsidP="00B56AA7">
      <w:pPr>
        <w:jc w:val="both"/>
        <w:rPr>
          <w:sz w:val="20"/>
        </w:rPr>
      </w:pPr>
    </w:p>
    <w:p w:rsidR="00B56AA7" w:rsidRPr="005213C3" w:rsidRDefault="00B56AA7" w:rsidP="00B56AA7">
      <w:pPr>
        <w:jc w:val="both"/>
        <w:rPr>
          <w:sz w:val="20"/>
        </w:rPr>
      </w:pPr>
      <w:r w:rsidRPr="005213C3">
        <w:rPr>
          <w:sz w:val="20"/>
        </w:rPr>
        <w:t>Côté J. took no part in the judgment.</w:t>
      </w:r>
    </w:p>
    <w:p w:rsidR="002145B9" w:rsidRPr="005213C3" w:rsidRDefault="002145B9" w:rsidP="0017755C">
      <w:pPr>
        <w:jc w:val="both"/>
        <w:rPr>
          <w:sz w:val="20"/>
        </w:rPr>
      </w:pPr>
    </w:p>
    <w:p w:rsidR="002145B9" w:rsidRPr="005213C3" w:rsidRDefault="00E613F5" w:rsidP="0017755C">
      <w:pPr>
        <w:contextualSpacing/>
        <w:jc w:val="both"/>
        <w:rPr>
          <w:sz w:val="20"/>
          <w:lang w:val="fr-CA"/>
        </w:rPr>
      </w:pPr>
      <w:r>
        <w:rPr>
          <w:sz w:val="20"/>
        </w:rPr>
        <w:pict>
          <v:rect id="_x0000_i1028" style="width:2in;height:1pt" o:hrpct="0" o:hralign="center" o:hrstd="t" o:hrnoshade="t" o:hr="t" fillcolor="black [3213]" stroked="f"/>
        </w:pict>
      </w:r>
    </w:p>
    <w:p w:rsidR="002145B9" w:rsidRPr="005213C3" w:rsidRDefault="002145B9" w:rsidP="0017755C">
      <w:pPr>
        <w:rPr>
          <w:sz w:val="20"/>
        </w:rPr>
      </w:pPr>
    </w:p>
    <w:p w:rsidR="005213C3" w:rsidRPr="005213C3" w:rsidRDefault="005213C3" w:rsidP="005213C3">
      <w:pPr>
        <w:rPr>
          <w:sz w:val="22"/>
          <w:szCs w:val="22"/>
        </w:rPr>
      </w:pPr>
      <w:r w:rsidRPr="005213C3">
        <w:rPr>
          <w:i/>
          <w:sz w:val="22"/>
          <w:szCs w:val="22"/>
        </w:rPr>
        <w:t xml:space="preserve">Regional Municipality of Halton, Corporation of the Town of Milton, Corporation of the Town of Halton Hills, Corporation of the City of Burlington, Corporation of the Town of Oakville and  Halton Region Conservation Authority v. Canadian National Railway Company </w:t>
      </w:r>
      <w:r w:rsidRPr="005213C3">
        <w:rPr>
          <w:sz w:val="22"/>
          <w:szCs w:val="22"/>
        </w:rPr>
        <w:t>(Ont.) (Civil) (By Leave) (</w:t>
      </w:r>
      <w:hyperlink r:id="rId12" w:history="1">
        <w:r w:rsidRPr="005213C3">
          <w:rPr>
            <w:rStyle w:val="Hyperlink"/>
            <w:sz w:val="22"/>
            <w:szCs w:val="22"/>
          </w:rPr>
          <w:t>41248</w:t>
        </w:r>
      </w:hyperlink>
      <w:r w:rsidRPr="005213C3">
        <w:rPr>
          <w:sz w:val="22"/>
          <w:szCs w:val="22"/>
        </w:rPr>
        <w:t>)</w:t>
      </w:r>
    </w:p>
    <w:p w:rsidR="002145B9" w:rsidRPr="005213C3" w:rsidRDefault="002145B9" w:rsidP="0017755C">
      <w:pPr>
        <w:rPr>
          <w:sz w:val="20"/>
        </w:rPr>
      </w:pPr>
    </w:p>
    <w:p w:rsidR="005213C3" w:rsidRPr="005213C3" w:rsidRDefault="005213C3" w:rsidP="005213C3">
      <w:pPr>
        <w:jc w:val="both"/>
        <w:rPr>
          <w:sz w:val="20"/>
        </w:rPr>
      </w:pPr>
      <w:r w:rsidRPr="005213C3">
        <w:rPr>
          <w:sz w:val="20"/>
        </w:rPr>
        <w:lastRenderedPageBreak/>
        <w:t>The motion to expedite the application for leave to appeal is dismissed. The application for leave to appeal from the judgment of the Court of Appeal for Ontario, Number COA-22-CV-0144, 2024 ONCA 174, dated March 7, 2024, is dismissed with costs.</w:t>
      </w:r>
    </w:p>
    <w:p w:rsidR="0045185C" w:rsidRPr="005213C3" w:rsidRDefault="0045185C" w:rsidP="006F2579">
      <w:pPr>
        <w:widowControl w:val="0"/>
        <w:rPr>
          <w:lang w:val="en-CA"/>
        </w:rPr>
      </w:pPr>
    </w:p>
    <w:p w:rsidR="0045185C" w:rsidRPr="005213C3" w:rsidRDefault="0045185C" w:rsidP="006F2579">
      <w:pPr>
        <w:widowControl w:val="0"/>
      </w:pPr>
    </w:p>
    <w:p w:rsidR="0045185C" w:rsidRPr="005213C3" w:rsidRDefault="00E613F5" w:rsidP="006F2579">
      <w:pPr>
        <w:widowControl w:val="0"/>
      </w:pPr>
      <w:r>
        <w:rPr>
          <w:sz w:val="18"/>
          <w:szCs w:val="18"/>
        </w:rPr>
        <w:pict>
          <v:rect id="_x0000_i1029" style="width:272.25pt;height:1.5pt" o:hrpct="0" o:hralign="center" o:hrstd="t" o:hrnoshade="t" o:hr="t" fillcolor="black [3213]" stroked="f"/>
        </w:pict>
      </w:r>
    </w:p>
    <w:p w:rsidR="0045185C" w:rsidRPr="005213C3" w:rsidRDefault="0045185C" w:rsidP="006F2579">
      <w:pPr>
        <w:widowControl w:val="0"/>
      </w:pPr>
    </w:p>
    <w:p w:rsidR="0045185C" w:rsidRPr="005213C3" w:rsidRDefault="0045185C" w:rsidP="006F2579">
      <w:pPr>
        <w:widowControl w:val="0"/>
      </w:pPr>
    </w:p>
    <w:p w:rsidR="002767DF" w:rsidRPr="005213C3" w:rsidRDefault="002767DF" w:rsidP="002767DF">
      <w:pPr>
        <w:widowControl w:val="0"/>
        <w:jc w:val="center"/>
        <w:rPr>
          <w:lang w:val="fr-CA"/>
        </w:rPr>
      </w:pPr>
      <w:r w:rsidRPr="005213C3">
        <w:rPr>
          <w:b/>
          <w:lang w:val="fr-CA"/>
        </w:rPr>
        <w:t>JUGEMENT</w:t>
      </w:r>
      <w:r w:rsidR="004C4C26" w:rsidRPr="005213C3">
        <w:rPr>
          <w:b/>
          <w:lang w:val="fr-CA"/>
        </w:rPr>
        <w:t>S SUR DEMANDE</w:t>
      </w:r>
      <w:r w:rsidR="00CC044F" w:rsidRPr="005213C3">
        <w:rPr>
          <w:b/>
          <w:lang w:val="fr-CA"/>
        </w:rPr>
        <w:t>S</w:t>
      </w:r>
      <w:r w:rsidRPr="005213C3">
        <w:rPr>
          <w:b/>
          <w:lang w:val="fr-CA"/>
        </w:rPr>
        <w:t xml:space="preserve"> D’AUTORISATION</w:t>
      </w:r>
    </w:p>
    <w:p w:rsidR="006F2579" w:rsidRPr="005213C3" w:rsidRDefault="006F2579" w:rsidP="006F2579">
      <w:pPr>
        <w:widowControl w:val="0"/>
        <w:rPr>
          <w:lang w:val="fr-CA"/>
        </w:rPr>
      </w:pPr>
    </w:p>
    <w:p w:rsidR="006F2579" w:rsidRPr="005213C3" w:rsidRDefault="006F2579" w:rsidP="006F2579">
      <w:pPr>
        <w:widowControl w:val="0"/>
        <w:rPr>
          <w:lang w:val="fr-CA"/>
        </w:rPr>
      </w:pPr>
      <w:r w:rsidRPr="005213C3">
        <w:rPr>
          <w:b/>
          <w:lang w:val="fr-CA"/>
        </w:rPr>
        <w:t>Le</w:t>
      </w:r>
      <w:r w:rsidR="008825DB" w:rsidRPr="005213C3">
        <w:rPr>
          <w:b/>
          <w:lang w:val="fr-CA"/>
        </w:rPr>
        <w:t xml:space="preserve"> </w:t>
      </w:r>
      <w:r w:rsidR="00576990" w:rsidRPr="005213C3">
        <w:rPr>
          <w:b/>
          <w:lang w:val="fr-CA"/>
        </w:rPr>
        <w:t>11</w:t>
      </w:r>
      <w:r w:rsidR="00C9475D" w:rsidRPr="005213C3">
        <w:rPr>
          <w:b/>
          <w:lang w:val="fr-CA"/>
        </w:rPr>
        <w:t xml:space="preserve"> </w:t>
      </w:r>
      <w:r w:rsidR="00B44DF4" w:rsidRPr="005213C3">
        <w:rPr>
          <w:b/>
          <w:lang w:val="fr-CA"/>
        </w:rPr>
        <w:t>j</w:t>
      </w:r>
      <w:r w:rsidR="002C3296" w:rsidRPr="005213C3">
        <w:rPr>
          <w:b/>
          <w:lang w:val="fr-CA"/>
        </w:rPr>
        <w:t>ui</w:t>
      </w:r>
      <w:r w:rsidR="00973A6F" w:rsidRPr="005213C3">
        <w:rPr>
          <w:b/>
          <w:lang w:val="fr-CA"/>
        </w:rPr>
        <w:t>llet</w:t>
      </w:r>
      <w:r w:rsidR="002C3296" w:rsidRPr="005213C3">
        <w:rPr>
          <w:b/>
          <w:lang w:val="fr-CA"/>
        </w:rPr>
        <w:t xml:space="preserve"> 2024</w:t>
      </w:r>
    </w:p>
    <w:p w:rsidR="006F2579" w:rsidRPr="005213C3" w:rsidRDefault="006F2579" w:rsidP="006F2579">
      <w:pPr>
        <w:widowControl w:val="0"/>
        <w:rPr>
          <w:lang w:val="fr-CA"/>
        </w:rPr>
      </w:pPr>
    </w:p>
    <w:p w:rsidR="002767DF" w:rsidRPr="005213C3" w:rsidRDefault="002767DF" w:rsidP="002767DF">
      <w:pPr>
        <w:widowControl w:val="0"/>
        <w:rPr>
          <w:lang w:val="fr-CA"/>
        </w:rPr>
      </w:pPr>
      <w:r w:rsidRPr="005213C3">
        <w:rPr>
          <w:b/>
          <w:lang w:val="fr-CA"/>
        </w:rPr>
        <w:t>OTTAWA</w:t>
      </w:r>
      <w:r w:rsidRPr="005213C3">
        <w:rPr>
          <w:lang w:val="fr-CA"/>
        </w:rPr>
        <w:t xml:space="preserve"> – </w:t>
      </w:r>
      <w:r w:rsidR="002E3D11" w:rsidRPr="005213C3">
        <w:rPr>
          <w:lang w:val="fr-CA"/>
        </w:rPr>
        <w:t>La Cour suprême du Canada s’est prononcée sur</w:t>
      </w:r>
      <w:r w:rsidR="002C3296" w:rsidRPr="005213C3">
        <w:rPr>
          <w:lang w:val="fr-CA"/>
        </w:rPr>
        <w:t xml:space="preserve"> les demandes d’autorisation suivantes</w:t>
      </w:r>
      <w:r w:rsidR="002E3D11" w:rsidRPr="005213C3">
        <w:rPr>
          <w:lang w:val="fr-CA"/>
        </w:rPr>
        <w:t>.</w:t>
      </w:r>
    </w:p>
    <w:p w:rsidR="00694BDA" w:rsidRPr="005213C3" w:rsidRDefault="00694BDA" w:rsidP="000B5274">
      <w:pPr>
        <w:jc w:val="both"/>
        <w:rPr>
          <w:sz w:val="20"/>
          <w:lang w:val="fr-CA"/>
        </w:rPr>
      </w:pPr>
    </w:p>
    <w:p w:rsidR="005976BA" w:rsidRPr="005213C3" w:rsidRDefault="005976BA" w:rsidP="000B5274">
      <w:pPr>
        <w:jc w:val="both"/>
        <w:rPr>
          <w:sz w:val="20"/>
          <w:lang w:val="fr-CA"/>
        </w:rPr>
      </w:pPr>
    </w:p>
    <w:p w:rsidR="00431DE2" w:rsidRPr="005213C3" w:rsidRDefault="00431DE2" w:rsidP="00431DE2">
      <w:pPr>
        <w:jc w:val="both"/>
        <w:rPr>
          <w:b/>
          <w:sz w:val="22"/>
          <w:szCs w:val="22"/>
          <w:lang w:val="fr-CA"/>
        </w:rPr>
      </w:pPr>
      <w:r w:rsidRPr="005213C3">
        <w:rPr>
          <w:b/>
          <w:sz w:val="22"/>
          <w:szCs w:val="22"/>
          <w:lang w:val="fr-CA"/>
        </w:rPr>
        <w:t>REJETÉE</w:t>
      </w:r>
      <w:r w:rsidR="001B1618" w:rsidRPr="005213C3">
        <w:rPr>
          <w:b/>
          <w:sz w:val="22"/>
          <w:szCs w:val="22"/>
          <w:lang w:val="fr-CA"/>
        </w:rPr>
        <w:t>S</w:t>
      </w:r>
    </w:p>
    <w:p w:rsidR="00431DE2" w:rsidRPr="005213C3" w:rsidRDefault="00431DE2" w:rsidP="000B5274">
      <w:pPr>
        <w:jc w:val="both"/>
        <w:rPr>
          <w:sz w:val="20"/>
          <w:lang w:val="fr-CA"/>
        </w:rPr>
      </w:pPr>
    </w:p>
    <w:p w:rsidR="00C9106C" w:rsidRPr="005213C3" w:rsidRDefault="00C9106C" w:rsidP="00C9106C">
      <w:pPr>
        <w:tabs>
          <w:tab w:val="left" w:pos="360"/>
        </w:tabs>
        <w:rPr>
          <w:sz w:val="22"/>
          <w:szCs w:val="22"/>
          <w:lang w:val="fr-CA"/>
        </w:rPr>
      </w:pPr>
      <w:r w:rsidRPr="005213C3">
        <w:rPr>
          <w:i/>
          <w:sz w:val="22"/>
          <w:szCs w:val="22"/>
          <w:lang w:val="fr-CA"/>
        </w:rPr>
        <w:t>P. A. c. B. C., Isabel Prud’homme, en sa qualité de tutrice ad hoc de l’enfant et Procureur général du Canada</w:t>
      </w:r>
      <w:r w:rsidRPr="005213C3">
        <w:rPr>
          <w:sz w:val="22"/>
          <w:szCs w:val="22"/>
          <w:lang w:val="fr-CA"/>
        </w:rPr>
        <w:t xml:space="preserve"> (Qc) (Civile) (Autorisation) (</w:t>
      </w:r>
      <w:hyperlink r:id="rId13" w:history="1">
        <w:r w:rsidRPr="005213C3">
          <w:rPr>
            <w:rStyle w:val="Hyperlink"/>
            <w:sz w:val="22"/>
            <w:szCs w:val="22"/>
            <w:lang w:val="fr-CA"/>
          </w:rPr>
          <w:t>41134</w:t>
        </w:r>
      </w:hyperlink>
      <w:r w:rsidRPr="005213C3">
        <w:rPr>
          <w:sz w:val="22"/>
          <w:szCs w:val="22"/>
          <w:lang w:val="fr-CA"/>
        </w:rPr>
        <w:t>)</w:t>
      </w:r>
    </w:p>
    <w:p w:rsidR="00A30607" w:rsidRPr="005213C3" w:rsidRDefault="00A30607" w:rsidP="00A30607">
      <w:pPr>
        <w:widowControl w:val="0"/>
        <w:rPr>
          <w:sz w:val="20"/>
          <w:lang w:val="fr-CA"/>
        </w:rPr>
      </w:pPr>
    </w:p>
    <w:p w:rsidR="00C9106C" w:rsidRPr="005213C3" w:rsidRDefault="00C9106C" w:rsidP="00C9106C">
      <w:pPr>
        <w:jc w:val="both"/>
        <w:rPr>
          <w:sz w:val="20"/>
          <w:lang w:val="fr-CA"/>
        </w:rPr>
      </w:pPr>
      <w:r w:rsidRPr="005213C3">
        <w:rPr>
          <w:sz w:val="20"/>
          <w:lang w:val="fr-CA"/>
        </w:rPr>
        <w:t>La requête en prorogation du délai de signification et de dépôt de la demande d’autorisation d’appel est accueillie. La requête pour la tenue d’une audience est rejetée. La requête en prorogation du délai de signification et de dépôt de la réplique est accueillie. La demande d’autorisation d’appel de l’arrêt de la Cour d’appel du Québec (Québec), numéro 500-09-700138-225, 2023 QCCA 1653, daté du 7 septembre 2023, est rejetée avec dépens en faveur de l’intimé le Procureur général du Canada.</w:t>
      </w:r>
    </w:p>
    <w:p w:rsidR="00A30607" w:rsidRPr="005213C3" w:rsidRDefault="00A30607" w:rsidP="00A30607">
      <w:pPr>
        <w:widowControl w:val="0"/>
        <w:rPr>
          <w:sz w:val="20"/>
          <w:lang w:val="fr-CA"/>
        </w:rPr>
      </w:pPr>
    </w:p>
    <w:p w:rsidR="00BF66C0" w:rsidRPr="005213C3" w:rsidRDefault="00E613F5" w:rsidP="00A30607">
      <w:pPr>
        <w:widowControl w:val="0"/>
        <w:rPr>
          <w:sz w:val="20"/>
          <w:lang w:val="fr-CA"/>
        </w:rPr>
      </w:pPr>
      <w:r>
        <w:rPr>
          <w:sz w:val="20"/>
        </w:rPr>
        <w:pict>
          <v:rect id="_x0000_i1030" style="width:2in;height:1pt" o:hrpct="0" o:hralign="center" o:hrstd="t" o:hrnoshade="t" o:hr="t" fillcolor="black [3213]" stroked="f"/>
        </w:pict>
      </w:r>
    </w:p>
    <w:p w:rsidR="00C5363F" w:rsidRPr="005213C3" w:rsidRDefault="00C5363F" w:rsidP="00093CEB">
      <w:pPr>
        <w:rPr>
          <w:sz w:val="20"/>
        </w:rPr>
      </w:pPr>
    </w:p>
    <w:p w:rsidR="0037322A" w:rsidRPr="005213C3" w:rsidRDefault="0037322A" w:rsidP="0037322A">
      <w:pPr>
        <w:rPr>
          <w:sz w:val="22"/>
          <w:szCs w:val="22"/>
          <w:lang w:val="fr-CA"/>
        </w:rPr>
      </w:pPr>
      <w:r w:rsidRPr="005213C3">
        <w:rPr>
          <w:i/>
          <w:sz w:val="22"/>
          <w:szCs w:val="22"/>
          <w:lang w:val="en-CA"/>
        </w:rPr>
        <w:t xml:space="preserve">Trevor Scott Small aka Trevor Small c. Oxana Small aka Oxana Kirsanova </w:t>
      </w:r>
      <w:r w:rsidRPr="005213C3">
        <w:rPr>
          <w:sz w:val="22"/>
          <w:szCs w:val="22"/>
          <w:lang w:val="en-CA"/>
        </w:rPr>
        <w:t xml:space="preserve">(C.-B.) </w:t>
      </w:r>
      <w:r w:rsidRPr="005213C3">
        <w:rPr>
          <w:sz w:val="22"/>
          <w:szCs w:val="22"/>
          <w:lang w:val="fr-CA"/>
        </w:rPr>
        <w:t>(Civile) (Autorisation) (</w:t>
      </w:r>
      <w:hyperlink r:id="rId14" w:history="1">
        <w:r w:rsidRPr="005213C3">
          <w:rPr>
            <w:rStyle w:val="Hyperlink"/>
            <w:sz w:val="22"/>
            <w:szCs w:val="22"/>
            <w:lang w:val="fr-CA"/>
          </w:rPr>
          <w:t>40999</w:t>
        </w:r>
      </w:hyperlink>
      <w:r w:rsidRPr="005213C3">
        <w:rPr>
          <w:sz w:val="22"/>
          <w:szCs w:val="22"/>
          <w:lang w:val="fr-CA"/>
        </w:rPr>
        <w:t>)</w:t>
      </w:r>
    </w:p>
    <w:p w:rsidR="002145B9" w:rsidRPr="005213C3" w:rsidRDefault="002145B9" w:rsidP="00093CEB">
      <w:pPr>
        <w:rPr>
          <w:sz w:val="20"/>
          <w:lang w:val="fr-CA"/>
        </w:rPr>
      </w:pPr>
    </w:p>
    <w:p w:rsidR="002145B9" w:rsidRPr="005213C3" w:rsidRDefault="0037322A" w:rsidP="0037322A">
      <w:pPr>
        <w:jc w:val="both"/>
        <w:rPr>
          <w:sz w:val="20"/>
          <w:lang w:val="fr-CA"/>
        </w:rPr>
      </w:pPr>
      <w:r w:rsidRPr="005213C3">
        <w:rPr>
          <w:sz w:val="20"/>
          <w:lang w:val="fr-CA"/>
        </w:rPr>
        <w:t>La requête en jonction de cette demande d’autorisation d’appel à une autre demande d’autorisation d’appel est rejetée. La requête en prorogation du délai de signification et de dépôt d’une réponse et d’une demande d’autorisation d’appel incident est rejetée. La demande d’autorisation d’appel de l’arrêt de la Cour d’appel de la Colombie-Britannique (Vancouver), numéro CA47388, 2023 BCCA 349, daté du 8 septembre 2023, est rejetée.</w:t>
      </w:r>
    </w:p>
    <w:p w:rsidR="002145B9" w:rsidRPr="005213C3" w:rsidRDefault="002145B9" w:rsidP="002145B9">
      <w:pPr>
        <w:widowControl w:val="0"/>
        <w:rPr>
          <w:sz w:val="20"/>
          <w:lang w:val="fr-CA"/>
        </w:rPr>
      </w:pPr>
    </w:p>
    <w:p w:rsidR="002145B9" w:rsidRPr="005213C3" w:rsidRDefault="00E613F5" w:rsidP="002145B9">
      <w:pPr>
        <w:widowControl w:val="0"/>
        <w:rPr>
          <w:sz w:val="20"/>
          <w:lang w:val="fr-CA"/>
        </w:rPr>
      </w:pPr>
      <w:r>
        <w:rPr>
          <w:sz w:val="20"/>
        </w:rPr>
        <w:pict>
          <v:rect id="_x0000_i1031" style="width:2in;height:1pt" o:hrpct="0" o:hralign="center" o:hrstd="t" o:hrnoshade="t" o:hr="t" fillcolor="black [3213]" stroked="f"/>
        </w:pict>
      </w:r>
    </w:p>
    <w:p w:rsidR="002145B9" w:rsidRPr="005213C3" w:rsidRDefault="002145B9" w:rsidP="0037322A">
      <w:pPr>
        <w:rPr>
          <w:sz w:val="20"/>
        </w:rPr>
      </w:pPr>
    </w:p>
    <w:p w:rsidR="00093CEB" w:rsidRPr="005213C3" w:rsidRDefault="00093CEB" w:rsidP="00093CEB">
      <w:pPr>
        <w:rPr>
          <w:sz w:val="22"/>
          <w:szCs w:val="22"/>
          <w:lang w:val="fr-CA"/>
        </w:rPr>
      </w:pPr>
      <w:r w:rsidRPr="005213C3">
        <w:rPr>
          <w:i/>
          <w:sz w:val="22"/>
          <w:szCs w:val="22"/>
          <w:lang w:val="fr-CA"/>
        </w:rPr>
        <w:t>PacNet Services Ltd. et DeepCove Laboratories Ltd. c. Procureur général du Canada au nom des États-Unis d’Amérique</w:t>
      </w:r>
      <w:r w:rsidRPr="005213C3">
        <w:rPr>
          <w:sz w:val="22"/>
          <w:szCs w:val="22"/>
          <w:lang w:val="fr-CA"/>
        </w:rPr>
        <w:t xml:space="preserve"> (C.-B.) (Civile) (Autorisation) (</w:t>
      </w:r>
      <w:hyperlink r:id="rId15" w:history="1">
        <w:r w:rsidRPr="005213C3">
          <w:rPr>
            <w:rStyle w:val="Hyperlink"/>
            <w:sz w:val="22"/>
            <w:szCs w:val="22"/>
            <w:lang w:val="fr-CA"/>
          </w:rPr>
          <w:t>41102</w:t>
        </w:r>
      </w:hyperlink>
      <w:r w:rsidRPr="005213C3">
        <w:rPr>
          <w:sz w:val="22"/>
          <w:szCs w:val="22"/>
          <w:lang w:val="fr-CA"/>
        </w:rPr>
        <w:t>)</w:t>
      </w:r>
    </w:p>
    <w:p w:rsidR="002145B9" w:rsidRPr="005213C3" w:rsidRDefault="002145B9" w:rsidP="0037322A">
      <w:pPr>
        <w:rPr>
          <w:sz w:val="20"/>
          <w:lang w:val="fr-CA"/>
        </w:rPr>
      </w:pPr>
    </w:p>
    <w:p w:rsidR="002145B9" w:rsidRPr="005213C3" w:rsidRDefault="00093CEB" w:rsidP="00093CEB">
      <w:pPr>
        <w:jc w:val="both"/>
        <w:rPr>
          <w:sz w:val="20"/>
          <w:lang w:val="fr-CA"/>
        </w:rPr>
      </w:pPr>
      <w:r w:rsidRPr="005213C3">
        <w:rPr>
          <w:sz w:val="20"/>
          <w:lang w:val="fr-CA"/>
        </w:rPr>
        <w:t>La demande d’autorisation d’appel de l’arrêt de la Cour d’appel de la Colombie-Britannique (Vancouver), numéros CA48989 et CA48991, 2023 BCCA 445, daté du 30 novembre 2023, est rejetée.</w:t>
      </w:r>
    </w:p>
    <w:p w:rsidR="002145B9" w:rsidRPr="005213C3" w:rsidRDefault="002145B9" w:rsidP="0037322A">
      <w:pPr>
        <w:jc w:val="both"/>
        <w:rPr>
          <w:sz w:val="20"/>
          <w:lang w:val="fr-CA"/>
        </w:rPr>
      </w:pPr>
    </w:p>
    <w:p w:rsidR="002145B9" w:rsidRPr="005213C3" w:rsidRDefault="00E613F5" w:rsidP="0037322A">
      <w:pPr>
        <w:jc w:val="both"/>
        <w:rPr>
          <w:sz w:val="20"/>
        </w:rPr>
      </w:pPr>
      <w:r>
        <w:rPr>
          <w:sz w:val="20"/>
        </w:rPr>
        <w:pict>
          <v:rect id="_x0000_i1032" style="width:2in;height:1pt" o:hrpct="0" o:hralign="center" o:hrstd="t" o:hrnoshade="t" o:hr="t" fillcolor="black [3213]" stroked="f"/>
        </w:pict>
      </w:r>
    </w:p>
    <w:p w:rsidR="002145B9" w:rsidRPr="005213C3" w:rsidRDefault="002145B9" w:rsidP="0037322A">
      <w:pPr>
        <w:jc w:val="both"/>
        <w:rPr>
          <w:sz w:val="20"/>
        </w:rPr>
      </w:pPr>
    </w:p>
    <w:p w:rsidR="00B56AA7" w:rsidRPr="005213C3" w:rsidRDefault="00B56AA7" w:rsidP="00B56AA7">
      <w:pPr>
        <w:rPr>
          <w:sz w:val="22"/>
          <w:szCs w:val="22"/>
          <w:lang w:val="fr-CA"/>
        </w:rPr>
      </w:pPr>
      <w:proofErr w:type="gramStart"/>
      <w:r w:rsidRPr="005213C3">
        <w:rPr>
          <w:i/>
          <w:sz w:val="22"/>
          <w:szCs w:val="22"/>
        </w:rPr>
        <w:t>ivari</w:t>
      </w:r>
      <w:proofErr w:type="gramEnd"/>
      <w:r w:rsidRPr="005213C3">
        <w:rPr>
          <w:i/>
          <w:sz w:val="22"/>
          <w:szCs w:val="22"/>
        </w:rPr>
        <w:t xml:space="preserve"> c. Janice Thomson </w:t>
      </w:r>
      <w:r w:rsidRPr="005213C3">
        <w:rPr>
          <w:sz w:val="22"/>
          <w:szCs w:val="22"/>
        </w:rPr>
        <w:t xml:space="preserve">(Alb.) </w:t>
      </w:r>
      <w:r w:rsidRPr="005213C3">
        <w:rPr>
          <w:sz w:val="22"/>
          <w:szCs w:val="22"/>
          <w:lang w:val="fr-CA"/>
        </w:rPr>
        <w:t>(Civile) (Autorisation) (</w:t>
      </w:r>
      <w:hyperlink r:id="rId16" w:history="1">
        <w:r w:rsidRPr="005213C3">
          <w:rPr>
            <w:rStyle w:val="Hyperlink"/>
            <w:sz w:val="22"/>
            <w:szCs w:val="22"/>
            <w:lang w:val="fr-CA"/>
          </w:rPr>
          <w:t>41125</w:t>
        </w:r>
      </w:hyperlink>
      <w:r w:rsidRPr="005213C3">
        <w:rPr>
          <w:sz w:val="22"/>
          <w:szCs w:val="22"/>
          <w:lang w:val="fr-CA"/>
        </w:rPr>
        <w:t>)</w:t>
      </w:r>
    </w:p>
    <w:p w:rsidR="002145B9" w:rsidRPr="005213C3" w:rsidRDefault="002145B9" w:rsidP="0037322A">
      <w:pPr>
        <w:rPr>
          <w:sz w:val="20"/>
          <w:lang w:val="fr-CA"/>
        </w:rPr>
      </w:pPr>
    </w:p>
    <w:p w:rsidR="00B56AA7" w:rsidRPr="005213C3" w:rsidRDefault="00B56AA7" w:rsidP="00B56AA7">
      <w:pPr>
        <w:jc w:val="both"/>
        <w:rPr>
          <w:sz w:val="20"/>
          <w:lang w:val="fr-CA"/>
        </w:rPr>
      </w:pPr>
      <w:r w:rsidRPr="005213C3">
        <w:rPr>
          <w:sz w:val="20"/>
          <w:lang w:val="fr-CA"/>
        </w:rPr>
        <w:t xml:space="preserve">La requête pour permission d’intervenir dans la demande d’autorisation d’appel déposée par l’Association canadienne des compagnies d’assurances de personnes est rejetée. La demande d’autorisation d’appel de l’arrêt de la Cour d’appel de l’Alberta (Edmonton), numéro 2203-0190AC, 2023 ABCA 369, daté du 18 décembre 2023, est rejetée avec dépens. </w:t>
      </w:r>
    </w:p>
    <w:p w:rsidR="00B56AA7" w:rsidRPr="005213C3" w:rsidRDefault="00B56AA7" w:rsidP="00B56AA7">
      <w:pPr>
        <w:jc w:val="both"/>
        <w:rPr>
          <w:sz w:val="20"/>
          <w:lang w:val="fr-CA"/>
        </w:rPr>
      </w:pPr>
    </w:p>
    <w:p w:rsidR="002145B9" w:rsidRPr="005213C3" w:rsidRDefault="00B56AA7" w:rsidP="00B56AA7">
      <w:pPr>
        <w:jc w:val="both"/>
        <w:rPr>
          <w:sz w:val="20"/>
          <w:lang w:val="fr-CA"/>
        </w:rPr>
      </w:pPr>
      <w:r w:rsidRPr="005213C3">
        <w:rPr>
          <w:sz w:val="20"/>
          <w:lang w:val="fr-CA"/>
        </w:rPr>
        <w:t>La juge Côté n’a pas participé au jugement.</w:t>
      </w:r>
    </w:p>
    <w:p w:rsidR="002145B9" w:rsidRPr="005213C3" w:rsidRDefault="002145B9" w:rsidP="0037322A">
      <w:pPr>
        <w:widowControl w:val="0"/>
        <w:rPr>
          <w:sz w:val="20"/>
          <w:lang w:val="fr-CA"/>
        </w:rPr>
      </w:pPr>
    </w:p>
    <w:p w:rsidR="002145B9" w:rsidRPr="005213C3" w:rsidRDefault="00E613F5" w:rsidP="0037322A">
      <w:pPr>
        <w:widowControl w:val="0"/>
        <w:rPr>
          <w:sz w:val="20"/>
          <w:lang w:val="fr-CA"/>
        </w:rPr>
      </w:pPr>
      <w:r>
        <w:rPr>
          <w:sz w:val="20"/>
        </w:rPr>
        <w:pict>
          <v:rect id="_x0000_i1033" style="width:2in;height:1pt" o:hrpct="0" o:hralign="center" o:hrstd="t" o:hrnoshade="t" o:hr="t" fillcolor="black [3213]" stroked="f"/>
        </w:pict>
      </w:r>
    </w:p>
    <w:p w:rsidR="002145B9" w:rsidRPr="005213C3" w:rsidRDefault="002145B9" w:rsidP="0037322A">
      <w:pPr>
        <w:rPr>
          <w:sz w:val="20"/>
        </w:rPr>
      </w:pPr>
    </w:p>
    <w:p w:rsidR="005213C3" w:rsidRPr="005213C3" w:rsidRDefault="005213C3" w:rsidP="005213C3">
      <w:pPr>
        <w:rPr>
          <w:sz w:val="22"/>
          <w:szCs w:val="22"/>
          <w:lang w:val="fr-CA"/>
        </w:rPr>
      </w:pPr>
      <w:r w:rsidRPr="005213C3">
        <w:rPr>
          <w:i/>
          <w:sz w:val="22"/>
          <w:szCs w:val="22"/>
          <w:lang w:val="en-CA"/>
        </w:rPr>
        <w:t xml:space="preserve">Regional Municipality of Halton, Corporation of the Town of Milton, Corporation of the Town of Halton Hills, Corporation of the City of Burlington, Corporation of the Town of Oakville et Halton Region Conservation Authority c. Compagnie des chemins de fer nationaux du Canada </w:t>
      </w:r>
      <w:r w:rsidRPr="005213C3">
        <w:rPr>
          <w:sz w:val="22"/>
          <w:szCs w:val="22"/>
          <w:lang w:val="en-CA"/>
        </w:rPr>
        <w:t xml:space="preserve">(Ont.) </w:t>
      </w:r>
      <w:r w:rsidRPr="005213C3">
        <w:rPr>
          <w:sz w:val="22"/>
          <w:szCs w:val="22"/>
          <w:lang w:val="fr-CA"/>
        </w:rPr>
        <w:t>(Civile) (Autorisation) (</w:t>
      </w:r>
      <w:hyperlink r:id="rId17" w:history="1">
        <w:r w:rsidRPr="005213C3">
          <w:rPr>
            <w:rStyle w:val="Hyperlink"/>
            <w:sz w:val="22"/>
            <w:szCs w:val="22"/>
            <w:lang w:val="fr-CA"/>
          </w:rPr>
          <w:t>41248</w:t>
        </w:r>
      </w:hyperlink>
      <w:r w:rsidRPr="005213C3">
        <w:rPr>
          <w:sz w:val="22"/>
          <w:szCs w:val="22"/>
          <w:lang w:val="fr-CA"/>
        </w:rPr>
        <w:t>)</w:t>
      </w:r>
    </w:p>
    <w:p w:rsidR="002145B9" w:rsidRPr="005213C3" w:rsidRDefault="002145B9" w:rsidP="0037322A">
      <w:pPr>
        <w:rPr>
          <w:sz w:val="20"/>
          <w:lang w:val="fr-CA"/>
        </w:rPr>
      </w:pPr>
    </w:p>
    <w:p w:rsidR="002145B9" w:rsidRPr="005213C3" w:rsidRDefault="005213C3" w:rsidP="005213C3">
      <w:pPr>
        <w:jc w:val="both"/>
        <w:rPr>
          <w:sz w:val="20"/>
          <w:lang w:val="fr-CA"/>
        </w:rPr>
      </w:pPr>
      <w:r w:rsidRPr="005213C3">
        <w:rPr>
          <w:sz w:val="20"/>
          <w:lang w:val="fr-CA"/>
        </w:rPr>
        <w:t>La requête visant à accélérer la procédure de la demande d’autorisation d’appel est rejetée. La demande d’autorisation d’appel de l’arrêt de la Cour d’appel de l’Ontario, numéro COA-22-CV-0144, 2024 ONCA 174, daté du 7 mars 2024, est rejetée avec dépens.</w:t>
      </w:r>
    </w:p>
    <w:p w:rsidR="002145B9" w:rsidRPr="005213C3" w:rsidRDefault="002145B9" w:rsidP="0037322A">
      <w:pPr>
        <w:jc w:val="both"/>
        <w:rPr>
          <w:sz w:val="20"/>
          <w:lang w:val="fr-CA"/>
        </w:rPr>
      </w:pPr>
      <w:bookmarkStart w:id="1" w:name="_GoBack"/>
      <w:bookmarkEnd w:id="1"/>
    </w:p>
    <w:p w:rsidR="002145B9" w:rsidRPr="005213C3" w:rsidRDefault="00E613F5" w:rsidP="0037322A">
      <w:pPr>
        <w:jc w:val="both"/>
        <w:rPr>
          <w:sz w:val="20"/>
        </w:rPr>
      </w:pPr>
      <w:r>
        <w:rPr>
          <w:sz w:val="20"/>
        </w:rPr>
        <w:pict>
          <v:rect id="_x0000_i1034" style="width:2in;height:1pt" o:hrpct="0" o:hralign="center" o:hrstd="t" o:hrnoshade="t" o:hr="t" fillcolor="black [3213]" stroked="f"/>
        </w:pict>
      </w:r>
    </w:p>
    <w:p w:rsidR="002145B9" w:rsidRPr="005213C3" w:rsidRDefault="002145B9" w:rsidP="0037322A">
      <w:pPr>
        <w:jc w:val="both"/>
        <w:rPr>
          <w:sz w:val="20"/>
        </w:rPr>
      </w:pPr>
    </w:p>
    <w:p w:rsidR="007710A9" w:rsidRPr="005213C3" w:rsidRDefault="007710A9" w:rsidP="00D3228D">
      <w:pPr>
        <w:ind w:left="357" w:hanging="357"/>
        <w:jc w:val="both"/>
        <w:rPr>
          <w:sz w:val="20"/>
        </w:rPr>
      </w:pPr>
    </w:p>
    <w:p w:rsidR="007710A9" w:rsidRPr="005213C3" w:rsidRDefault="007710A9" w:rsidP="00D3228D">
      <w:pPr>
        <w:ind w:left="357" w:hanging="357"/>
        <w:jc w:val="both"/>
        <w:rPr>
          <w:sz w:val="20"/>
        </w:rPr>
      </w:pPr>
    </w:p>
    <w:p w:rsidR="00D3344A" w:rsidRPr="005213C3" w:rsidRDefault="00D3344A" w:rsidP="00D3344A">
      <w:pPr>
        <w:widowControl w:val="0"/>
        <w:outlineLvl w:val="0"/>
      </w:pPr>
      <w:r w:rsidRPr="005213C3">
        <w:t xml:space="preserve">Supreme Court of Canada / Cour suprême du </w:t>
      </w:r>
      <w:proofErr w:type="gramStart"/>
      <w:r w:rsidRPr="005213C3">
        <w:t>Canada :</w:t>
      </w:r>
      <w:proofErr w:type="gramEnd"/>
      <w:r w:rsidRPr="005213C3">
        <w:t xml:space="preserve"> </w:t>
      </w:r>
    </w:p>
    <w:p w:rsidR="00247630" w:rsidRPr="005213C3" w:rsidRDefault="00E613F5" w:rsidP="00247630">
      <w:pPr>
        <w:widowControl w:val="0"/>
        <w:outlineLvl w:val="0"/>
      </w:pPr>
      <w:hyperlink r:id="rId18" w:history="1">
        <w:r w:rsidR="00247630" w:rsidRPr="005213C3">
          <w:rPr>
            <w:rStyle w:val="Hyperlink"/>
          </w:rPr>
          <w:t>Registry-greffe@scc-csc.ca</w:t>
        </w:r>
      </w:hyperlink>
    </w:p>
    <w:p w:rsidR="00497B5E" w:rsidRDefault="00247630" w:rsidP="00247630">
      <w:pPr>
        <w:widowControl w:val="0"/>
        <w:outlineLvl w:val="0"/>
      </w:pPr>
      <w:r w:rsidRPr="005213C3">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9"/>
      <w:headerReference w:type="default" r:id="rId20"/>
      <w:footerReference w:type="even" r:id="rId21"/>
      <w:footerReference w:type="default" r:id="rId22"/>
      <w:headerReference w:type="first" r:id="rId23"/>
      <w:footerReference w:type="first" r:id="rId2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94CED"/>
    <w:multiLevelType w:val="hybridMultilevel"/>
    <w:tmpl w:val="BA724C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A78E9"/>
    <w:multiLevelType w:val="hybridMultilevel"/>
    <w:tmpl w:val="845A0B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5"/>
  </w:num>
  <w:num w:numId="5">
    <w:abstractNumId w:val="13"/>
  </w:num>
  <w:num w:numId="6">
    <w:abstractNumId w:val="4"/>
  </w:num>
  <w:num w:numId="7">
    <w:abstractNumId w:val="10"/>
  </w:num>
  <w:num w:numId="8">
    <w:abstractNumId w:val="9"/>
  </w:num>
  <w:num w:numId="9">
    <w:abstractNumId w:val="0"/>
  </w:num>
  <w:num w:numId="10">
    <w:abstractNumId w:val="6"/>
  </w:num>
  <w:num w:numId="11">
    <w:abstractNumId w:val="14"/>
  </w:num>
  <w:num w:numId="12">
    <w:abstractNumId w:val="8"/>
  </w:num>
  <w:num w:numId="13">
    <w:abstractNumId w:val="3"/>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8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3CEB"/>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55C"/>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45B9"/>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391"/>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22A"/>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3C3"/>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56AA7"/>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106C"/>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3F5"/>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34" TargetMode="External"/><Relationship Id="rId13" Type="http://schemas.openxmlformats.org/officeDocument/2006/relationships/hyperlink" Target="https://www.scc-csc.ca/case-dossier/info/sum-som-fra.aspx?cas=41134" TargetMode="External"/><Relationship Id="rId18" Type="http://schemas.openxmlformats.org/officeDocument/2006/relationships/hyperlink" Target="mailto:Registry-greffe@scc-csc.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c-csc.ca/case-dossier/info/sum-som-eng.aspx?cas=41248" TargetMode="External"/><Relationship Id="rId17" Type="http://schemas.openxmlformats.org/officeDocument/2006/relationships/hyperlink" Target="https://www.scc-csc.ca/case-dossier/info/sum-som-fra.aspx?cas=412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c-csc.ca/case-dossier/info/sum-som-fra.aspx?cas=411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2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fra.aspx?cas=41102" TargetMode="External"/><Relationship Id="rId23" Type="http://schemas.openxmlformats.org/officeDocument/2006/relationships/header" Target="header3.xml"/><Relationship Id="rId10" Type="http://schemas.openxmlformats.org/officeDocument/2006/relationships/hyperlink" Target="https://www.scc-csc.ca/case-dossier/info/sum-som-eng.aspx?cas=411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c-csc.ca/case-dossier/info/sum-som-eng.aspx?cas=40999" TargetMode="External"/><Relationship Id="rId14" Type="http://schemas.openxmlformats.org/officeDocument/2006/relationships/hyperlink" Target="https://www.scc-csc.ca/case-dossier/info/sum-som-fra.aspx?cas=4099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A67-A4C5-47C9-BB92-0422D688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6419</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2024-07-10T12:39:00Z</dcterms:modified>
</cp:coreProperties>
</file>