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2B09C1" w:rsidRDefault="00A41431" w:rsidP="00A41431">
      <w:pPr>
        <w:pStyle w:val="Header"/>
        <w:jc w:val="center"/>
        <w:rPr>
          <w:b/>
          <w:sz w:val="32"/>
        </w:rPr>
      </w:pPr>
      <w:r w:rsidRPr="002B09C1">
        <w:rPr>
          <w:b/>
          <w:sz w:val="32"/>
        </w:rPr>
        <w:t>Supreme Court of Canada / Cour suprême du Canada</w:t>
      </w:r>
    </w:p>
    <w:p w:rsidR="00A41431" w:rsidRPr="002B09C1" w:rsidRDefault="00A41431" w:rsidP="00A41431">
      <w:pPr>
        <w:widowControl w:val="0"/>
        <w:rPr>
          <w:i/>
        </w:rPr>
      </w:pPr>
    </w:p>
    <w:p w:rsidR="00DF33A9" w:rsidRPr="002B09C1" w:rsidRDefault="00DF33A9" w:rsidP="00DF33A9">
      <w:pPr>
        <w:widowControl w:val="0"/>
        <w:rPr>
          <w:i/>
          <w:sz w:val="20"/>
          <w:lang w:val="fr-CA"/>
        </w:rPr>
      </w:pPr>
      <w:r w:rsidRPr="002B09C1">
        <w:rPr>
          <w:i/>
          <w:sz w:val="20"/>
          <w:lang w:val="fr-CA"/>
        </w:rPr>
        <w:t>(</w:t>
      </w:r>
      <w:r w:rsidR="00167C53" w:rsidRPr="002B09C1">
        <w:rPr>
          <w:i/>
          <w:sz w:val="20"/>
          <w:lang w:val="fr-CA"/>
        </w:rPr>
        <w:t>Le</w:t>
      </w:r>
      <w:r w:rsidRPr="002B09C1">
        <w:rPr>
          <w:i/>
          <w:sz w:val="20"/>
          <w:lang w:val="fr-CA"/>
        </w:rPr>
        <w:t xml:space="preserve"> français suit)</w:t>
      </w:r>
    </w:p>
    <w:p w:rsidR="00DF33A9" w:rsidRPr="002B09C1" w:rsidRDefault="00DF33A9" w:rsidP="00DF33A9">
      <w:pPr>
        <w:widowControl w:val="0"/>
        <w:rPr>
          <w:lang w:val="fr-CA"/>
        </w:rPr>
      </w:pPr>
    </w:p>
    <w:p w:rsidR="00DF33A9" w:rsidRPr="002B09C1" w:rsidRDefault="001E2235" w:rsidP="00DF33A9">
      <w:pPr>
        <w:widowControl w:val="0"/>
        <w:jc w:val="center"/>
        <w:rPr>
          <w:b/>
          <w:lang w:val="fr-CA"/>
        </w:rPr>
      </w:pPr>
      <w:r w:rsidRPr="002B09C1">
        <w:fldChar w:fldCharType="begin"/>
      </w:r>
      <w:r w:rsidR="00DF33A9" w:rsidRPr="002B09C1">
        <w:rPr>
          <w:lang w:val="fr-CA"/>
        </w:rPr>
        <w:instrText xml:space="preserve"> SEQ CHAPTER \h \r 1</w:instrText>
      </w:r>
      <w:r w:rsidRPr="002B09C1">
        <w:fldChar w:fldCharType="end"/>
      </w:r>
      <w:r w:rsidR="00DF33A9" w:rsidRPr="002B09C1">
        <w:rPr>
          <w:b/>
          <w:lang w:val="fr-CA"/>
        </w:rPr>
        <w:t>JUDGMENT</w:t>
      </w:r>
      <w:r w:rsidR="00777096" w:rsidRPr="002B09C1">
        <w:rPr>
          <w:b/>
          <w:lang w:val="fr-CA"/>
        </w:rPr>
        <w:t xml:space="preserve"> </w:t>
      </w:r>
      <w:r w:rsidR="002439DA" w:rsidRPr="002B09C1">
        <w:rPr>
          <w:b/>
          <w:lang w:val="fr-CA"/>
        </w:rPr>
        <w:t>O</w:t>
      </w:r>
      <w:r w:rsidR="00DF33A9" w:rsidRPr="002B09C1">
        <w:rPr>
          <w:b/>
          <w:lang w:val="fr-CA"/>
        </w:rPr>
        <w:t>N APPEA</w:t>
      </w:r>
      <w:r w:rsidR="00671A3B" w:rsidRPr="002B09C1">
        <w:rPr>
          <w:b/>
          <w:lang w:val="fr-CA"/>
        </w:rPr>
        <w:t>L</w:t>
      </w:r>
    </w:p>
    <w:p w:rsidR="00DF33A9" w:rsidRPr="002B09C1" w:rsidRDefault="00DF33A9" w:rsidP="0050239F">
      <w:pPr>
        <w:widowControl w:val="0"/>
        <w:rPr>
          <w:lang w:val="fr-CA"/>
        </w:rPr>
      </w:pPr>
    </w:p>
    <w:p w:rsidR="00DF33A9" w:rsidRPr="002B09C1" w:rsidRDefault="00A2119C" w:rsidP="00DF33A9">
      <w:pPr>
        <w:widowControl w:val="0"/>
      </w:pPr>
      <w:r w:rsidRPr="002B09C1">
        <w:rPr>
          <w:b/>
        </w:rPr>
        <w:t>Ju</w:t>
      </w:r>
      <w:r w:rsidR="00604942" w:rsidRPr="002B09C1">
        <w:rPr>
          <w:b/>
        </w:rPr>
        <w:t>ly</w:t>
      </w:r>
      <w:r w:rsidR="006E047B" w:rsidRPr="002B09C1">
        <w:rPr>
          <w:b/>
        </w:rPr>
        <w:t xml:space="preserve"> </w:t>
      </w:r>
      <w:r w:rsidR="0013628C" w:rsidRPr="002B09C1">
        <w:rPr>
          <w:b/>
        </w:rPr>
        <w:t>3</w:t>
      </w:r>
      <w:r w:rsidR="00B568C6" w:rsidRPr="002B09C1">
        <w:rPr>
          <w:b/>
        </w:rPr>
        <w:t>1</w:t>
      </w:r>
      <w:r w:rsidR="00425D2C" w:rsidRPr="002B09C1">
        <w:rPr>
          <w:b/>
        </w:rPr>
        <w:t>, 20</w:t>
      </w:r>
      <w:r w:rsidR="009C1BB4" w:rsidRPr="002B09C1">
        <w:rPr>
          <w:b/>
        </w:rPr>
        <w:t>2</w:t>
      </w:r>
      <w:r w:rsidR="00F06D19" w:rsidRPr="002B09C1">
        <w:rPr>
          <w:b/>
        </w:rPr>
        <w:t>4</w:t>
      </w:r>
    </w:p>
    <w:p w:rsidR="00DF33A9" w:rsidRPr="002B09C1" w:rsidRDefault="00DF33A9" w:rsidP="00DF33A9">
      <w:pPr>
        <w:widowControl w:val="0"/>
      </w:pPr>
    </w:p>
    <w:p w:rsidR="00DA7E05" w:rsidRPr="002B09C1" w:rsidRDefault="00A37AD6" w:rsidP="00DF33A9">
      <w:pPr>
        <w:widowControl w:val="0"/>
      </w:pPr>
      <w:r w:rsidRPr="002B09C1">
        <w:rPr>
          <w:b/>
        </w:rPr>
        <w:t>OTTAWA</w:t>
      </w:r>
      <w:r w:rsidRPr="002B09C1">
        <w:t xml:space="preserve"> – </w:t>
      </w:r>
      <w:r w:rsidR="00CF5B82" w:rsidRPr="002B09C1">
        <w:t xml:space="preserve">The Supreme Court of Canada has delivered its judgment in the following appeal. The Court invites you to read the </w:t>
      </w:r>
      <w:hyperlink r:id="rId7" w:history="1">
        <w:r w:rsidR="00CF5B82" w:rsidRPr="002B09C1">
          <w:rPr>
            <w:rStyle w:val="Hyperlink"/>
          </w:rPr>
          <w:t>reasons for judgment</w:t>
        </w:r>
      </w:hyperlink>
      <w:r w:rsidR="00CF5B82" w:rsidRPr="002B09C1">
        <w:t xml:space="preserve"> and the </w:t>
      </w:r>
      <w:r w:rsidR="00AB6E08" w:rsidRPr="002B09C1">
        <w:t>plain language</w:t>
      </w:r>
      <w:r w:rsidR="00CF5B82" w:rsidRPr="002B09C1">
        <w:t xml:space="preserve"> summary called a </w:t>
      </w:r>
      <w:hyperlink r:id="rId8" w:history="1">
        <w:r w:rsidR="00CF5B82" w:rsidRPr="002B09C1">
          <w:rPr>
            <w:rStyle w:val="Hyperlink"/>
          </w:rPr>
          <w:t>Case in Brief</w:t>
        </w:r>
      </w:hyperlink>
      <w:r w:rsidR="00CF5B82" w:rsidRPr="002B09C1">
        <w:rPr>
          <w:rStyle w:val="Hyperlink"/>
        </w:rPr>
        <w:t>.</w:t>
      </w:r>
    </w:p>
    <w:p w:rsidR="00FF03D5" w:rsidRPr="002B09C1" w:rsidRDefault="00FF03D5" w:rsidP="00FF03D5">
      <w:pPr>
        <w:jc w:val="both"/>
        <w:outlineLvl w:val="0"/>
        <w:rPr>
          <w:szCs w:val="24"/>
        </w:rPr>
      </w:pPr>
    </w:p>
    <w:p w:rsidR="00FF03D5" w:rsidRPr="002B09C1" w:rsidRDefault="00234A13" w:rsidP="00C758E9">
      <w:pPr>
        <w:ind w:left="1440" w:hanging="1440"/>
        <w:jc w:val="both"/>
        <w:rPr>
          <w:rFonts w:eastAsiaTheme="minorHAnsi" w:cstheme="minorBidi"/>
          <w:sz w:val="20"/>
        </w:rPr>
      </w:pPr>
      <w:r w:rsidRPr="002B09C1">
        <w:rPr>
          <w:b/>
          <w:sz w:val="20"/>
        </w:rPr>
        <w:t>40</w:t>
      </w:r>
      <w:r w:rsidR="00C758E9" w:rsidRPr="002B09C1">
        <w:rPr>
          <w:b/>
          <w:sz w:val="20"/>
        </w:rPr>
        <w:t>396</w:t>
      </w:r>
      <w:r w:rsidR="00FF03D5" w:rsidRPr="002B09C1">
        <w:rPr>
          <w:b/>
          <w:sz w:val="20"/>
        </w:rPr>
        <w:fldChar w:fldCharType="begin"/>
      </w:r>
      <w:r w:rsidR="00FF03D5" w:rsidRPr="002B09C1">
        <w:rPr>
          <w:b/>
          <w:sz w:val="20"/>
        </w:rPr>
        <w:instrText xml:space="preserve"> SEQ CHAPTER \h \r 1</w:instrText>
      </w:r>
      <w:r w:rsidR="00FF03D5" w:rsidRPr="002B09C1">
        <w:rPr>
          <w:b/>
          <w:sz w:val="20"/>
        </w:rPr>
        <w:fldChar w:fldCharType="end"/>
      </w:r>
      <w:r w:rsidR="00FF03D5" w:rsidRPr="002B09C1">
        <w:rPr>
          <w:color w:val="FF0000"/>
          <w:sz w:val="20"/>
        </w:rPr>
        <w:tab/>
      </w:r>
      <w:r w:rsidR="00C758E9" w:rsidRPr="002B09C1">
        <w:rPr>
          <w:rFonts w:eastAsiaTheme="minorHAnsi" w:cstheme="minorBidi"/>
          <w:b/>
          <w:sz w:val="20"/>
        </w:rPr>
        <w:t xml:space="preserve">Thalbinder Singh Poonian and Shailu Poonian </w:t>
      </w:r>
      <w:r w:rsidR="00963205" w:rsidRPr="002B09C1">
        <w:rPr>
          <w:rFonts w:eastAsiaTheme="minorHAnsi" w:cstheme="minorBidi"/>
          <w:b/>
          <w:sz w:val="20"/>
        </w:rPr>
        <w:t xml:space="preserve">v. </w:t>
      </w:r>
      <w:r w:rsidR="00C758E9" w:rsidRPr="002B09C1">
        <w:rPr>
          <w:rFonts w:eastAsiaTheme="minorHAnsi" w:cstheme="minorBidi"/>
          <w:b/>
          <w:sz w:val="20"/>
        </w:rPr>
        <w:t xml:space="preserve">British Columbia Securities Commission </w:t>
      </w:r>
      <w:r w:rsidR="00B568C6" w:rsidRPr="002B09C1">
        <w:rPr>
          <w:rFonts w:eastAsiaTheme="minorHAnsi" w:cstheme="minorBidi"/>
          <w:b/>
          <w:sz w:val="20"/>
        </w:rPr>
        <w:t xml:space="preserve">- and - </w:t>
      </w:r>
      <w:r w:rsidR="002B09C1" w:rsidRPr="002B09C1">
        <w:rPr>
          <w:rFonts w:eastAsiaTheme="minorHAnsi" w:cstheme="minorBidi"/>
          <w:b/>
          <w:sz w:val="20"/>
        </w:rPr>
        <w:t>Attorney General of Ontario, Attorney General of British Columbia, Attorney General of Saskatchewan, Canadian Association of Insolvency and Restructuring Professionals, Superintendent of Bankruptcy, Federation of Law Societies of Canada, Alberta Securities Commission, Ontario Securities Commission and Osgoode Investor Protection Clinic</w:t>
      </w:r>
      <w:r w:rsidR="00A2119C" w:rsidRPr="002B09C1">
        <w:rPr>
          <w:rFonts w:eastAsiaTheme="minorHAnsi" w:cstheme="minorBidi"/>
          <w:b/>
          <w:sz w:val="20"/>
        </w:rPr>
        <w:t xml:space="preserve"> </w:t>
      </w:r>
      <w:r w:rsidR="00FF03D5" w:rsidRPr="002B09C1">
        <w:rPr>
          <w:rFonts w:eastAsiaTheme="minorHAnsi" w:cstheme="minorBidi"/>
          <w:iCs/>
          <w:sz w:val="20"/>
        </w:rPr>
        <w:t>(</w:t>
      </w:r>
      <w:r w:rsidR="00C758E9" w:rsidRPr="002B09C1">
        <w:rPr>
          <w:rFonts w:eastAsiaTheme="minorHAnsi" w:cstheme="minorBidi"/>
          <w:iCs/>
          <w:sz w:val="20"/>
        </w:rPr>
        <w:t>B</w:t>
      </w:r>
      <w:r w:rsidR="006B7942" w:rsidRPr="002B09C1">
        <w:rPr>
          <w:rFonts w:eastAsiaTheme="minorHAnsi" w:cstheme="minorBidi"/>
          <w:iCs/>
          <w:sz w:val="20"/>
        </w:rPr>
        <w:t>.</w:t>
      </w:r>
      <w:r w:rsidR="00C758E9" w:rsidRPr="002B09C1">
        <w:rPr>
          <w:rFonts w:eastAsiaTheme="minorHAnsi" w:cstheme="minorBidi"/>
          <w:iCs/>
          <w:sz w:val="20"/>
        </w:rPr>
        <w:t>C</w:t>
      </w:r>
      <w:r w:rsidR="00832857" w:rsidRPr="002B09C1">
        <w:rPr>
          <w:rFonts w:eastAsiaTheme="minorHAnsi" w:cstheme="minorBidi"/>
          <w:iCs/>
          <w:sz w:val="20"/>
        </w:rPr>
        <w:t>.</w:t>
      </w:r>
      <w:r w:rsidR="00FF03D5" w:rsidRPr="002B09C1">
        <w:rPr>
          <w:rFonts w:eastAsiaTheme="minorHAnsi" w:cstheme="minorBidi"/>
          <w:iCs/>
          <w:sz w:val="20"/>
        </w:rPr>
        <w:t>)</w:t>
      </w:r>
    </w:p>
    <w:p w:rsidR="00FF03D5" w:rsidRPr="002B09C1"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2B09C1">
        <w:rPr>
          <w:rFonts w:eastAsiaTheme="minorHAnsi" w:cstheme="minorBidi"/>
          <w:b/>
          <w:sz w:val="20"/>
        </w:rPr>
        <w:t>202</w:t>
      </w:r>
      <w:r w:rsidR="00F06D19" w:rsidRPr="002B09C1">
        <w:rPr>
          <w:rFonts w:eastAsiaTheme="minorHAnsi" w:cstheme="minorBidi"/>
          <w:b/>
          <w:sz w:val="20"/>
        </w:rPr>
        <w:t>4</w:t>
      </w:r>
      <w:r w:rsidRPr="002B09C1">
        <w:rPr>
          <w:rFonts w:eastAsiaTheme="minorHAnsi" w:cstheme="minorBidi"/>
          <w:b/>
          <w:sz w:val="20"/>
        </w:rPr>
        <w:t xml:space="preserve"> SCC </w:t>
      </w:r>
      <w:r w:rsidR="00BC2747" w:rsidRPr="002B09C1">
        <w:rPr>
          <w:rFonts w:eastAsiaTheme="minorHAnsi" w:cstheme="minorBidi"/>
          <w:b/>
          <w:sz w:val="20"/>
        </w:rPr>
        <w:t>28</w:t>
      </w:r>
    </w:p>
    <w:p w:rsidR="00FF03D5" w:rsidRPr="002B09C1" w:rsidRDefault="00FF03D5" w:rsidP="00FF03D5">
      <w:pPr>
        <w:ind w:left="1440" w:hanging="1440"/>
        <w:jc w:val="both"/>
        <w:rPr>
          <w:sz w:val="20"/>
        </w:rPr>
      </w:pPr>
    </w:p>
    <w:p w:rsidR="00FF03D5" w:rsidRPr="002B09C1" w:rsidRDefault="00EC4905" w:rsidP="002E218F">
      <w:pPr>
        <w:ind w:left="1440" w:hanging="1440"/>
        <w:rPr>
          <w:sz w:val="20"/>
        </w:rPr>
      </w:pPr>
      <w:r w:rsidRPr="002B09C1">
        <w:rPr>
          <w:sz w:val="20"/>
        </w:rPr>
        <w:t>Coram:</w:t>
      </w:r>
      <w:r w:rsidRPr="002B09C1">
        <w:rPr>
          <w:sz w:val="20"/>
        </w:rPr>
        <w:tab/>
      </w:r>
      <w:r w:rsidR="00C758E9" w:rsidRPr="002B09C1">
        <w:rPr>
          <w:sz w:val="20"/>
        </w:rPr>
        <w:t>Wagner C.J. and Karakatsanis, Côté, Rowe, Martin, Jamal and O’Bonsawin JJ.</w:t>
      </w:r>
    </w:p>
    <w:p w:rsidR="002E218F" w:rsidRPr="002B09C1" w:rsidRDefault="002E218F" w:rsidP="002B09C1">
      <w:pPr>
        <w:ind w:left="1440" w:hanging="1440"/>
        <w:jc w:val="both"/>
        <w:rPr>
          <w:sz w:val="20"/>
        </w:rPr>
      </w:pPr>
    </w:p>
    <w:p w:rsidR="002B09C1" w:rsidRPr="002B09C1" w:rsidRDefault="002B09C1" w:rsidP="002B09C1">
      <w:pPr>
        <w:jc w:val="both"/>
        <w:rPr>
          <w:sz w:val="20"/>
        </w:rPr>
      </w:pPr>
      <w:r w:rsidRPr="002B09C1">
        <w:rPr>
          <w:sz w:val="20"/>
        </w:rPr>
        <w:t xml:space="preserve">The appeal from the judgment </w:t>
      </w:r>
      <w:bookmarkStart w:id="0" w:name="BM_1_"/>
      <w:bookmarkEnd w:id="0"/>
      <w:r w:rsidRPr="002B09C1">
        <w:rPr>
          <w:sz w:val="20"/>
        </w:rPr>
        <w:t>of the Court of Appeal for British Columbia (Vancouver), Number CA47364, 2022 BCCA 274, dated August 5, 2022, heard on December 6, 2023, is allowed in part, without costs.</w:t>
      </w:r>
    </w:p>
    <w:p w:rsidR="002B09C1" w:rsidRPr="002B09C1" w:rsidRDefault="002B09C1" w:rsidP="002B09C1">
      <w:pPr>
        <w:jc w:val="both"/>
        <w:rPr>
          <w:sz w:val="20"/>
        </w:rPr>
      </w:pPr>
    </w:p>
    <w:p w:rsidR="002B09C1" w:rsidRPr="002B09C1" w:rsidRDefault="002B09C1" w:rsidP="002B09C1">
      <w:pPr>
        <w:jc w:val="both"/>
        <w:rPr>
          <w:sz w:val="20"/>
        </w:rPr>
      </w:pPr>
      <w:r w:rsidRPr="002B09C1">
        <w:rPr>
          <w:sz w:val="20"/>
        </w:rPr>
        <w:t xml:space="preserve">The chambers judge’s order is set aside in part. The respondent’s application for a declaration that pursuant to s. 178(1)(a), (d) and (e) of the </w:t>
      </w:r>
      <w:r w:rsidRPr="002B09C1">
        <w:rPr>
          <w:i/>
          <w:sz w:val="20"/>
        </w:rPr>
        <w:t>Bankruptcy and Insolvency Act</w:t>
      </w:r>
      <w:r w:rsidRPr="002B09C1">
        <w:rPr>
          <w:sz w:val="20"/>
        </w:rPr>
        <w:t>, R.S.C. 1985, c. B-3, the amounts owing by the appellants to the respondent pursuant to the respondent’s decision dated March 13, 2015, and registered with the Supreme Court of British Columbia in Action No. L-150104, shall not be released by any order of discharge granted to the appellants is dismissed.</w:t>
      </w:r>
    </w:p>
    <w:p w:rsidR="002B09C1" w:rsidRPr="002B09C1" w:rsidRDefault="002B09C1" w:rsidP="002B09C1">
      <w:pPr>
        <w:jc w:val="both"/>
        <w:rPr>
          <w:sz w:val="20"/>
        </w:rPr>
      </w:pPr>
    </w:p>
    <w:p w:rsidR="00E653A8" w:rsidRPr="002B09C1" w:rsidRDefault="002B09C1" w:rsidP="002B09C1">
      <w:pPr>
        <w:widowControl w:val="0"/>
        <w:jc w:val="both"/>
        <w:rPr>
          <w:sz w:val="20"/>
        </w:rPr>
      </w:pPr>
      <w:r w:rsidRPr="002B09C1">
        <w:rPr>
          <w:sz w:val="20"/>
        </w:rPr>
        <w:t xml:space="preserve">Karakatsanis and Martin JJ. </w:t>
      </w:r>
      <w:proofErr w:type="gramStart"/>
      <w:r w:rsidRPr="002B09C1">
        <w:rPr>
          <w:sz w:val="20"/>
        </w:rPr>
        <w:t>dissent</w:t>
      </w:r>
      <w:proofErr w:type="gramEnd"/>
      <w:r w:rsidRPr="002B09C1">
        <w:rPr>
          <w:sz w:val="20"/>
        </w:rPr>
        <w:t xml:space="preserve"> in part.</w:t>
      </w:r>
    </w:p>
    <w:p w:rsidR="00111A13" w:rsidRPr="002B09C1" w:rsidRDefault="00111A13" w:rsidP="00DF33A9">
      <w:pPr>
        <w:widowControl w:val="0"/>
      </w:pPr>
    </w:p>
    <w:p w:rsidR="00D16F53" w:rsidRPr="002B09C1" w:rsidRDefault="00D16F53" w:rsidP="00DF33A9">
      <w:pPr>
        <w:widowControl w:val="0"/>
      </w:pPr>
    </w:p>
    <w:p w:rsidR="00FF03D5" w:rsidRPr="002B09C1" w:rsidRDefault="002B09C1" w:rsidP="00DF33A9">
      <w:pPr>
        <w:widowControl w:val="0"/>
      </w:pPr>
      <w:r w:rsidRPr="002B09C1">
        <w:rPr>
          <w:sz w:val="18"/>
          <w:szCs w:val="18"/>
        </w:rPr>
        <w:pict>
          <v:rect id="_x0000_i1025" style="width:272.25pt;height:1.5pt" o:hrpct="0" o:hralign="center" o:hrstd="t" o:hrnoshade="t" o:hr="t" fillcolor="black [3213]" stroked="f"/>
        </w:pict>
      </w:r>
    </w:p>
    <w:p w:rsidR="00FF03D5" w:rsidRPr="002B09C1" w:rsidRDefault="00FF03D5" w:rsidP="00DF33A9">
      <w:pPr>
        <w:widowControl w:val="0"/>
      </w:pPr>
    </w:p>
    <w:p w:rsidR="00E653A8" w:rsidRPr="002B09C1" w:rsidRDefault="00E653A8" w:rsidP="00DF33A9">
      <w:pPr>
        <w:widowControl w:val="0"/>
      </w:pPr>
    </w:p>
    <w:p w:rsidR="00DF33A9" w:rsidRPr="002B09C1" w:rsidRDefault="00DF33A9" w:rsidP="00DF33A9">
      <w:pPr>
        <w:widowControl w:val="0"/>
        <w:jc w:val="center"/>
        <w:rPr>
          <w:lang w:val="fr-CA"/>
        </w:rPr>
      </w:pPr>
      <w:r w:rsidRPr="002B09C1">
        <w:rPr>
          <w:b/>
          <w:lang w:val="fr-CA"/>
        </w:rPr>
        <w:t>JUGEMENT SUR APPEL</w:t>
      </w:r>
    </w:p>
    <w:p w:rsidR="00DF33A9" w:rsidRPr="002B09C1" w:rsidRDefault="00DF33A9" w:rsidP="00DF33A9">
      <w:pPr>
        <w:widowControl w:val="0"/>
        <w:rPr>
          <w:lang w:val="fr-CA"/>
        </w:rPr>
      </w:pPr>
    </w:p>
    <w:p w:rsidR="00DF33A9" w:rsidRPr="002B09C1" w:rsidRDefault="00DF33A9" w:rsidP="00DF33A9">
      <w:pPr>
        <w:widowControl w:val="0"/>
        <w:rPr>
          <w:lang w:val="fr-CA"/>
        </w:rPr>
      </w:pPr>
      <w:r w:rsidRPr="002B09C1">
        <w:rPr>
          <w:b/>
          <w:lang w:val="fr-CA"/>
        </w:rPr>
        <w:t xml:space="preserve">Le </w:t>
      </w:r>
      <w:r w:rsidR="0013628C" w:rsidRPr="002B09C1">
        <w:rPr>
          <w:b/>
          <w:lang w:val="fr-CA"/>
        </w:rPr>
        <w:t>3</w:t>
      </w:r>
      <w:r w:rsidR="00B568C6" w:rsidRPr="002B09C1">
        <w:rPr>
          <w:b/>
          <w:lang w:val="fr-CA"/>
        </w:rPr>
        <w:t>1</w:t>
      </w:r>
      <w:r w:rsidR="00A2119C" w:rsidRPr="002B09C1">
        <w:rPr>
          <w:b/>
          <w:lang w:val="fr-CA"/>
        </w:rPr>
        <w:t xml:space="preserve"> jui</w:t>
      </w:r>
      <w:r w:rsidR="00604942" w:rsidRPr="002B09C1">
        <w:rPr>
          <w:b/>
          <w:lang w:val="fr-CA"/>
        </w:rPr>
        <w:t>llet</w:t>
      </w:r>
      <w:r w:rsidR="00BB1936" w:rsidRPr="002B09C1">
        <w:rPr>
          <w:b/>
          <w:lang w:val="fr-CA"/>
        </w:rPr>
        <w:t xml:space="preserve"> </w:t>
      </w:r>
      <w:r w:rsidR="007B36C2" w:rsidRPr="002B09C1">
        <w:rPr>
          <w:b/>
          <w:lang w:val="fr-CA"/>
        </w:rPr>
        <w:t>20</w:t>
      </w:r>
      <w:r w:rsidR="009C1BB4" w:rsidRPr="002B09C1">
        <w:rPr>
          <w:b/>
          <w:lang w:val="fr-CA"/>
        </w:rPr>
        <w:t>2</w:t>
      </w:r>
      <w:r w:rsidR="00F06D19" w:rsidRPr="002B09C1">
        <w:rPr>
          <w:b/>
          <w:lang w:val="fr-CA"/>
        </w:rPr>
        <w:t>4</w:t>
      </w:r>
    </w:p>
    <w:p w:rsidR="00DF33A9" w:rsidRPr="002B09C1" w:rsidRDefault="00DF33A9" w:rsidP="00DF33A9">
      <w:pPr>
        <w:widowControl w:val="0"/>
        <w:rPr>
          <w:lang w:val="fr-CA"/>
        </w:rPr>
      </w:pPr>
    </w:p>
    <w:p w:rsidR="00A37AD6" w:rsidRPr="002B09C1" w:rsidRDefault="00A37AD6" w:rsidP="00A37AD6">
      <w:pPr>
        <w:widowControl w:val="0"/>
        <w:rPr>
          <w:lang w:val="fr-CA"/>
        </w:rPr>
      </w:pPr>
      <w:r w:rsidRPr="002B09C1">
        <w:rPr>
          <w:b/>
          <w:lang w:val="fr-CA"/>
        </w:rPr>
        <w:t>OTTAWA</w:t>
      </w:r>
      <w:r w:rsidRPr="002B09C1">
        <w:rPr>
          <w:lang w:val="fr-CA"/>
        </w:rPr>
        <w:t xml:space="preserve"> – </w:t>
      </w:r>
      <w:r w:rsidR="00CF5B82" w:rsidRPr="002B09C1">
        <w:rPr>
          <w:lang w:val="fr-CA"/>
        </w:rPr>
        <w:t xml:space="preserve">La Cour suprême du Canada a rendu jugement dans l’appel suivant. La Cour vous invite à lire les </w:t>
      </w:r>
      <w:hyperlink r:id="rId9" w:history="1">
        <w:r w:rsidR="00CF5B82" w:rsidRPr="002B09C1">
          <w:rPr>
            <w:rStyle w:val="Hyperlink"/>
            <w:lang w:val="fr-CA"/>
          </w:rPr>
          <w:t>motifs de jugement</w:t>
        </w:r>
      </w:hyperlink>
      <w:r w:rsidR="00CF5B82" w:rsidRPr="002B09C1">
        <w:rPr>
          <w:lang w:val="fr-CA"/>
        </w:rPr>
        <w:t xml:space="preserve"> et le résumé </w:t>
      </w:r>
      <w:r w:rsidR="00AB6E08" w:rsidRPr="002B09C1">
        <w:rPr>
          <w:lang w:val="fr-CA"/>
        </w:rPr>
        <w:t>en langage simple</w:t>
      </w:r>
      <w:r w:rsidR="00CF5B82" w:rsidRPr="002B09C1">
        <w:rPr>
          <w:lang w:val="fr-CA"/>
        </w:rPr>
        <w:t xml:space="preserve"> appelé </w:t>
      </w:r>
      <w:hyperlink r:id="rId10" w:history="1">
        <w:r w:rsidR="00CF5B82" w:rsidRPr="002B09C1">
          <w:rPr>
            <w:rStyle w:val="Hyperlink"/>
            <w:i/>
            <w:lang w:val="fr-CA"/>
          </w:rPr>
          <w:t>La cause en bref</w:t>
        </w:r>
      </w:hyperlink>
      <w:r w:rsidR="00CF5B82" w:rsidRPr="002B09C1">
        <w:rPr>
          <w:lang w:val="fr-CA"/>
        </w:rPr>
        <w:t>.</w:t>
      </w:r>
    </w:p>
    <w:p w:rsidR="00DA7E05" w:rsidRPr="002B09C1"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2B09C1" w:rsidRDefault="00234A13" w:rsidP="0013628C">
      <w:pPr>
        <w:ind w:left="1440" w:hanging="1440"/>
        <w:jc w:val="both"/>
        <w:rPr>
          <w:rFonts w:eastAsiaTheme="minorHAnsi" w:cstheme="minorBidi"/>
          <w:sz w:val="20"/>
          <w:lang w:val="fr-CA"/>
        </w:rPr>
      </w:pPr>
      <w:r w:rsidRPr="002B09C1">
        <w:rPr>
          <w:b/>
          <w:sz w:val="20"/>
          <w:lang w:val="fr-CA"/>
        </w:rPr>
        <w:t>40</w:t>
      </w:r>
      <w:r w:rsidR="0013628C" w:rsidRPr="002B09C1">
        <w:rPr>
          <w:b/>
          <w:sz w:val="20"/>
          <w:lang w:val="fr-CA"/>
        </w:rPr>
        <w:t>396</w:t>
      </w:r>
      <w:r w:rsidR="00A579AD" w:rsidRPr="002B09C1">
        <w:rPr>
          <w:b/>
          <w:sz w:val="20"/>
        </w:rPr>
        <w:fldChar w:fldCharType="begin"/>
      </w:r>
      <w:r w:rsidR="00A579AD" w:rsidRPr="002B09C1">
        <w:rPr>
          <w:b/>
          <w:sz w:val="20"/>
          <w:lang w:val="fr-CA"/>
        </w:rPr>
        <w:instrText xml:space="preserve"> SEQ CHAPTER \h \r 1</w:instrText>
      </w:r>
      <w:r w:rsidR="00A579AD" w:rsidRPr="002B09C1">
        <w:rPr>
          <w:b/>
          <w:sz w:val="20"/>
        </w:rPr>
        <w:fldChar w:fldCharType="end"/>
      </w:r>
      <w:r w:rsidR="00A579AD" w:rsidRPr="002B09C1">
        <w:rPr>
          <w:color w:val="FF0000"/>
          <w:sz w:val="20"/>
          <w:lang w:val="fr-CA"/>
        </w:rPr>
        <w:tab/>
      </w:r>
      <w:r w:rsidR="0013628C" w:rsidRPr="002B09C1">
        <w:rPr>
          <w:rFonts w:eastAsiaTheme="minorHAnsi" w:cstheme="minorBidi"/>
          <w:b/>
          <w:sz w:val="20"/>
          <w:lang w:val="fr-CA"/>
        </w:rPr>
        <w:t xml:space="preserve">Thalbinder Singh Poonian et Shailu Poonian </w:t>
      </w:r>
      <w:r w:rsidR="00963205" w:rsidRPr="002B09C1">
        <w:rPr>
          <w:rFonts w:eastAsiaTheme="minorHAnsi" w:cstheme="minorBidi"/>
          <w:b/>
          <w:sz w:val="20"/>
          <w:lang w:val="fr-CA"/>
        </w:rPr>
        <w:t xml:space="preserve">c. </w:t>
      </w:r>
      <w:r w:rsidR="0013628C" w:rsidRPr="002B09C1">
        <w:rPr>
          <w:rFonts w:eastAsiaTheme="minorHAnsi" w:cstheme="minorBidi"/>
          <w:b/>
          <w:sz w:val="20"/>
          <w:lang w:val="fr-CA"/>
        </w:rPr>
        <w:t xml:space="preserve">British Columbia Securities Commission </w:t>
      </w:r>
      <w:r w:rsidR="006B7942" w:rsidRPr="002B09C1">
        <w:rPr>
          <w:rFonts w:eastAsiaTheme="minorHAnsi" w:cstheme="minorBidi"/>
          <w:b/>
          <w:sz w:val="20"/>
          <w:lang w:val="fr-CA"/>
        </w:rPr>
        <w:t xml:space="preserve">- et - </w:t>
      </w:r>
      <w:r w:rsidR="002B09C1" w:rsidRPr="002B09C1">
        <w:rPr>
          <w:rFonts w:eastAsiaTheme="minorHAnsi" w:cstheme="minorBidi"/>
          <w:b/>
          <w:sz w:val="20"/>
          <w:lang w:val="fr-CA"/>
        </w:rPr>
        <w:t>Procureur général de l’Ontario, procureur général de la Colombie-Britannique, procureur général de la Saskatchewan, Canadian Association of Insolvency and Restructuring Professionals, Surintendant des faillites, Fédération des ordres professionnels de juristes du Canada, Alberta Securities Commission, Commission des valeurs mobilières de l’Ontario et Osgoode Investor Protection Clinic</w:t>
      </w:r>
      <w:r w:rsidR="00963205" w:rsidRPr="002B09C1">
        <w:rPr>
          <w:rFonts w:eastAsiaTheme="minorHAnsi" w:cstheme="minorBidi"/>
          <w:b/>
          <w:sz w:val="20"/>
          <w:lang w:val="fr-CA"/>
        </w:rPr>
        <w:t xml:space="preserve"> </w:t>
      </w:r>
      <w:r w:rsidR="00A579AD" w:rsidRPr="002B09C1">
        <w:rPr>
          <w:rFonts w:eastAsiaTheme="minorHAnsi" w:cstheme="minorBidi"/>
          <w:iCs/>
          <w:sz w:val="20"/>
          <w:lang w:val="fr-CA"/>
        </w:rPr>
        <w:t>(</w:t>
      </w:r>
      <w:r w:rsidR="0013628C" w:rsidRPr="002B09C1">
        <w:rPr>
          <w:rFonts w:eastAsiaTheme="minorHAnsi" w:cstheme="minorBidi"/>
          <w:iCs/>
          <w:sz w:val="20"/>
          <w:lang w:val="fr-CA"/>
        </w:rPr>
        <w:t>C</w:t>
      </w:r>
      <w:r w:rsidR="006B7942" w:rsidRPr="002B09C1">
        <w:rPr>
          <w:rFonts w:eastAsiaTheme="minorHAnsi" w:cstheme="minorBidi"/>
          <w:iCs/>
          <w:sz w:val="20"/>
          <w:lang w:val="fr-CA"/>
        </w:rPr>
        <w:t>.</w:t>
      </w:r>
      <w:r w:rsidR="0013628C" w:rsidRPr="002B09C1">
        <w:rPr>
          <w:rFonts w:eastAsiaTheme="minorHAnsi" w:cstheme="minorBidi"/>
          <w:iCs/>
          <w:sz w:val="20"/>
          <w:lang w:val="fr-CA"/>
        </w:rPr>
        <w:t>-</w:t>
      </w:r>
      <w:r w:rsidR="006B7942" w:rsidRPr="002B09C1">
        <w:rPr>
          <w:rFonts w:eastAsiaTheme="minorHAnsi" w:cstheme="minorBidi"/>
          <w:iCs/>
          <w:sz w:val="20"/>
          <w:lang w:val="fr-CA"/>
        </w:rPr>
        <w:t>B</w:t>
      </w:r>
      <w:r w:rsidR="00604942" w:rsidRPr="002B09C1">
        <w:rPr>
          <w:rFonts w:eastAsiaTheme="minorHAnsi" w:cstheme="minorBidi"/>
          <w:iCs/>
          <w:sz w:val="20"/>
          <w:lang w:val="fr-CA"/>
        </w:rPr>
        <w:t>.</w:t>
      </w:r>
      <w:r w:rsidR="00A579AD" w:rsidRPr="002B09C1">
        <w:rPr>
          <w:rFonts w:eastAsiaTheme="minorHAnsi" w:cstheme="minorBidi"/>
          <w:iCs/>
          <w:sz w:val="20"/>
          <w:lang w:val="fr-CA"/>
        </w:rPr>
        <w:t>)</w:t>
      </w:r>
    </w:p>
    <w:p w:rsidR="00A579AD" w:rsidRPr="002B09C1"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2B09C1">
        <w:rPr>
          <w:rFonts w:eastAsiaTheme="minorHAnsi" w:cstheme="minorBidi"/>
          <w:b/>
          <w:sz w:val="20"/>
          <w:lang w:val="fr-CA"/>
        </w:rPr>
        <w:t>20</w:t>
      </w:r>
      <w:r w:rsidR="009C1BB4" w:rsidRPr="002B09C1">
        <w:rPr>
          <w:rFonts w:eastAsiaTheme="minorHAnsi" w:cstheme="minorBidi"/>
          <w:b/>
          <w:sz w:val="20"/>
          <w:lang w:val="fr-CA"/>
        </w:rPr>
        <w:t>2</w:t>
      </w:r>
      <w:r w:rsidR="00F06D19" w:rsidRPr="002B09C1">
        <w:rPr>
          <w:rFonts w:eastAsiaTheme="minorHAnsi" w:cstheme="minorBidi"/>
          <w:b/>
          <w:sz w:val="20"/>
          <w:lang w:val="fr-CA"/>
        </w:rPr>
        <w:t>4</w:t>
      </w:r>
      <w:r w:rsidRPr="002B09C1">
        <w:rPr>
          <w:rFonts w:eastAsiaTheme="minorHAnsi" w:cstheme="minorBidi"/>
          <w:b/>
          <w:sz w:val="20"/>
          <w:lang w:val="fr-CA"/>
        </w:rPr>
        <w:t xml:space="preserve"> CSC </w:t>
      </w:r>
      <w:r w:rsidR="00BC2747" w:rsidRPr="002B09C1">
        <w:rPr>
          <w:rFonts w:eastAsiaTheme="minorHAnsi" w:cstheme="minorBidi"/>
          <w:b/>
          <w:sz w:val="20"/>
          <w:lang w:val="fr-CA"/>
        </w:rPr>
        <w:t>28</w:t>
      </w:r>
    </w:p>
    <w:p w:rsidR="00A579AD" w:rsidRPr="002B09C1" w:rsidRDefault="00A579AD" w:rsidP="00A579AD">
      <w:pPr>
        <w:ind w:left="1440" w:hanging="1440"/>
        <w:jc w:val="both"/>
        <w:rPr>
          <w:sz w:val="20"/>
          <w:lang w:val="fr-CA"/>
        </w:rPr>
      </w:pPr>
    </w:p>
    <w:p w:rsidR="00A50340" w:rsidRPr="002B09C1" w:rsidRDefault="00A579AD" w:rsidP="00234A13">
      <w:pPr>
        <w:ind w:left="1440" w:hanging="1440"/>
        <w:rPr>
          <w:sz w:val="20"/>
          <w:lang w:val="fr-CA"/>
        </w:rPr>
      </w:pPr>
      <w:r w:rsidRPr="002B09C1">
        <w:rPr>
          <w:sz w:val="20"/>
          <w:lang w:val="fr-CA"/>
        </w:rPr>
        <w:t>Coram:</w:t>
      </w:r>
      <w:r w:rsidRPr="002B09C1">
        <w:rPr>
          <w:sz w:val="20"/>
          <w:lang w:val="fr-CA"/>
        </w:rPr>
        <w:tab/>
      </w:r>
      <w:r w:rsidR="00A2119C" w:rsidRPr="002B09C1">
        <w:rPr>
          <w:sz w:val="20"/>
          <w:lang w:val="fr-CA"/>
        </w:rPr>
        <w:t xml:space="preserve">Le </w:t>
      </w:r>
      <w:r w:rsidR="0013628C" w:rsidRPr="002B09C1">
        <w:rPr>
          <w:sz w:val="20"/>
          <w:lang w:val="fr-CA"/>
        </w:rPr>
        <w:t>juge en chef Wagner et les juges Karakatsanis, Côté, Rowe, Martin, Jamal et O’Bonsawin</w:t>
      </w:r>
    </w:p>
    <w:p w:rsidR="00E50F13" w:rsidRPr="002B09C1" w:rsidRDefault="00E50F13" w:rsidP="00234A13">
      <w:pPr>
        <w:ind w:left="1440" w:hanging="1440"/>
        <w:rPr>
          <w:sz w:val="20"/>
          <w:lang w:val="fr-CA"/>
        </w:rPr>
      </w:pPr>
    </w:p>
    <w:p w:rsidR="002B09C1" w:rsidRPr="002B09C1" w:rsidRDefault="002B09C1" w:rsidP="002B09C1">
      <w:pPr>
        <w:jc w:val="both"/>
        <w:rPr>
          <w:sz w:val="20"/>
          <w:lang w:val="fr-CA"/>
        </w:rPr>
      </w:pPr>
      <w:r w:rsidRPr="002B09C1">
        <w:rPr>
          <w:sz w:val="20"/>
          <w:lang w:val="fr-CA"/>
        </w:rPr>
        <w:t>L’appel interjeté contre l’arrêt de la Cour d’appel de la Colombie-Britannique (Vancouver), numéro CA47364, 2022 BCCA 274, daté du 5 août 2022, entendu le 6 décembre 2023, est accueilli en partie, sans dépens.</w:t>
      </w:r>
    </w:p>
    <w:p w:rsidR="002B09C1" w:rsidRPr="002B09C1" w:rsidRDefault="002B09C1" w:rsidP="002B09C1">
      <w:pPr>
        <w:jc w:val="both"/>
        <w:rPr>
          <w:sz w:val="20"/>
          <w:lang w:val="fr-CA"/>
        </w:rPr>
      </w:pPr>
    </w:p>
    <w:p w:rsidR="002B09C1" w:rsidRPr="002B09C1" w:rsidRDefault="002B09C1" w:rsidP="002B09C1">
      <w:pPr>
        <w:jc w:val="both"/>
        <w:rPr>
          <w:sz w:val="20"/>
          <w:lang w:val="fr-CA"/>
        </w:rPr>
      </w:pPr>
      <w:r w:rsidRPr="002B09C1">
        <w:rPr>
          <w:sz w:val="20"/>
          <w:lang w:val="fr-CA"/>
        </w:rPr>
        <w:t xml:space="preserve">L’ordonnance du juge en cabinet est annulée en partie. La demande de l’intimée sollicitant un jugement déclaratoire portant que, en application des al. 178(1)a), d) et e) de la </w:t>
      </w:r>
      <w:r w:rsidRPr="002B09C1">
        <w:rPr>
          <w:i/>
          <w:sz w:val="20"/>
          <w:lang w:val="fr-CA"/>
        </w:rPr>
        <w:t>Loi sur la faillite et l’insolvabilité</w:t>
      </w:r>
      <w:r w:rsidRPr="002B09C1">
        <w:rPr>
          <w:sz w:val="20"/>
          <w:lang w:val="fr-CA"/>
        </w:rPr>
        <w:t>, L.R.C. 1985, c. B-3, les sommes qui lui sont dues par les appelants par suite de sa décision datée du 13 mars 2015 et enregistrée auprès de la Cour suprême de la Colombie-Britannique dans l’action n</w:t>
      </w:r>
      <w:r w:rsidRPr="002B09C1">
        <w:rPr>
          <w:sz w:val="20"/>
          <w:vertAlign w:val="superscript"/>
          <w:lang w:val="fr-CA"/>
        </w:rPr>
        <w:t>o</w:t>
      </w:r>
      <w:r w:rsidRPr="002B09C1">
        <w:rPr>
          <w:sz w:val="20"/>
          <w:lang w:val="fr-CA"/>
        </w:rPr>
        <w:t xml:space="preserve"> L-150104, ne peuvent faire l’objet de quelque ordonnance de libération est rejetée.</w:t>
      </w:r>
    </w:p>
    <w:p w:rsidR="002B09C1" w:rsidRPr="002B09C1" w:rsidRDefault="002B09C1" w:rsidP="002B09C1">
      <w:pPr>
        <w:jc w:val="both"/>
        <w:rPr>
          <w:sz w:val="20"/>
          <w:lang w:val="fr-CA"/>
        </w:rPr>
      </w:pPr>
    </w:p>
    <w:p w:rsidR="00D33E92" w:rsidRPr="002B09C1" w:rsidRDefault="002B09C1" w:rsidP="002B09C1">
      <w:pPr>
        <w:widowControl w:val="0"/>
        <w:jc w:val="both"/>
        <w:outlineLvl w:val="0"/>
        <w:rPr>
          <w:sz w:val="20"/>
          <w:lang w:val="fr-CA"/>
        </w:rPr>
      </w:pPr>
      <w:r w:rsidRPr="002B09C1">
        <w:rPr>
          <w:sz w:val="20"/>
          <w:lang w:val="fr-CA"/>
        </w:rPr>
        <w:t>Les juges Karakatsanis et Martin sont dissidentes en partie.</w:t>
      </w:r>
    </w:p>
    <w:p w:rsidR="00D16F53" w:rsidRPr="002B09C1" w:rsidRDefault="00D16F53" w:rsidP="00A579AD">
      <w:pPr>
        <w:widowControl w:val="0"/>
        <w:jc w:val="both"/>
        <w:outlineLvl w:val="0"/>
        <w:rPr>
          <w:sz w:val="20"/>
          <w:lang w:val="fr-CA"/>
        </w:rPr>
      </w:pPr>
    </w:p>
    <w:p w:rsidR="00B92F8C" w:rsidRPr="002B09C1" w:rsidRDefault="002B09C1" w:rsidP="00A579AD">
      <w:pPr>
        <w:widowControl w:val="0"/>
        <w:jc w:val="both"/>
        <w:outlineLvl w:val="0"/>
        <w:rPr>
          <w:sz w:val="20"/>
          <w:lang w:val="fr-CA"/>
        </w:rPr>
      </w:pPr>
      <w:r w:rsidRPr="002B09C1">
        <w:rPr>
          <w:sz w:val="20"/>
        </w:rPr>
        <w:pict>
          <v:rect id="_x0000_i1026" style="width:2in;height:1pt" o:hrpct="0" o:hralign="center" o:hrstd="t" o:hrnoshade="t" o:hr="t" fillcolor="black [3213]" stroked="f"/>
        </w:pict>
      </w:r>
    </w:p>
    <w:p w:rsidR="00BD2FF5" w:rsidRPr="002B09C1" w:rsidRDefault="00BD2FF5" w:rsidP="00F71561">
      <w:pPr>
        <w:widowControl w:val="0"/>
        <w:jc w:val="both"/>
        <w:outlineLvl w:val="0"/>
        <w:rPr>
          <w:sz w:val="20"/>
          <w:lang w:val="fr-CA"/>
        </w:rPr>
      </w:pPr>
    </w:p>
    <w:p w:rsidR="00E653A8" w:rsidRPr="002B09C1" w:rsidRDefault="00E653A8" w:rsidP="00F71561">
      <w:pPr>
        <w:widowControl w:val="0"/>
        <w:jc w:val="both"/>
        <w:outlineLvl w:val="0"/>
        <w:rPr>
          <w:sz w:val="20"/>
          <w:lang w:val="fr-CA"/>
        </w:rPr>
      </w:pPr>
    </w:p>
    <w:p w:rsidR="00E653A8" w:rsidRPr="002B09C1" w:rsidRDefault="00E653A8" w:rsidP="00F71561">
      <w:pPr>
        <w:widowControl w:val="0"/>
        <w:jc w:val="both"/>
        <w:outlineLvl w:val="0"/>
        <w:rPr>
          <w:sz w:val="20"/>
          <w:lang w:val="fr-CA"/>
        </w:rPr>
      </w:pPr>
    </w:p>
    <w:p w:rsidR="00DF33A9" w:rsidRPr="002B09C1" w:rsidRDefault="00DF33A9" w:rsidP="00DF33A9">
      <w:pPr>
        <w:widowControl w:val="0"/>
        <w:outlineLvl w:val="0"/>
      </w:pPr>
      <w:r w:rsidRPr="002B09C1">
        <w:lastRenderedPageBreak/>
        <w:t xml:space="preserve">Supreme Court of Canada / Cour suprême du Canada : </w:t>
      </w:r>
    </w:p>
    <w:p w:rsidR="00A37AD6" w:rsidRPr="002B09C1" w:rsidRDefault="002B09C1" w:rsidP="00A37AD6">
      <w:pPr>
        <w:widowControl w:val="0"/>
        <w:outlineLvl w:val="0"/>
      </w:pPr>
      <w:hyperlink r:id="rId11" w:history="1">
        <w:r w:rsidR="00A37AD6" w:rsidRPr="002B09C1">
          <w:rPr>
            <w:rStyle w:val="Hyperlink"/>
          </w:rPr>
          <w:t>Registry-greffe@scc-csc.ca</w:t>
        </w:r>
      </w:hyperlink>
    </w:p>
    <w:p w:rsidR="00DF33A9" w:rsidRDefault="00A37AD6" w:rsidP="00A37AD6">
      <w:pPr>
        <w:widowControl w:val="0"/>
        <w:outlineLvl w:val="0"/>
      </w:pPr>
      <w:r w:rsidRPr="002B09C1">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3685</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2024-07-29T17:36:00Z</dcterms:modified>
</cp:coreProperties>
</file>