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04265E" w:rsidRDefault="002A192B" w:rsidP="002A192B">
      <w:pPr>
        <w:pStyle w:val="Header"/>
        <w:jc w:val="center"/>
        <w:rPr>
          <w:b/>
          <w:sz w:val="32"/>
        </w:rPr>
      </w:pPr>
      <w:r w:rsidRPr="0004265E">
        <w:rPr>
          <w:b/>
          <w:sz w:val="32"/>
        </w:rPr>
        <w:t>Supreme Court of Canada / Cour suprême du Canada</w:t>
      </w:r>
    </w:p>
    <w:p w:rsidR="002A192B" w:rsidRPr="0004265E" w:rsidRDefault="002A192B" w:rsidP="002A192B">
      <w:pPr>
        <w:widowControl w:val="0"/>
        <w:rPr>
          <w:i/>
        </w:rPr>
      </w:pPr>
    </w:p>
    <w:p w:rsidR="002A192B" w:rsidRPr="0004265E" w:rsidRDefault="002A192B" w:rsidP="002A192B">
      <w:pPr>
        <w:widowControl w:val="0"/>
        <w:rPr>
          <w:i/>
        </w:rPr>
      </w:pPr>
    </w:p>
    <w:p w:rsidR="001C4415" w:rsidRPr="0004265E" w:rsidRDefault="001C4415" w:rsidP="001C4415">
      <w:pPr>
        <w:widowControl w:val="0"/>
        <w:rPr>
          <w:i/>
          <w:sz w:val="20"/>
        </w:rPr>
      </w:pPr>
      <w:r w:rsidRPr="0004265E">
        <w:rPr>
          <w:i/>
          <w:sz w:val="20"/>
        </w:rPr>
        <w:t>(</w:t>
      </w:r>
      <w:r w:rsidR="003C50BF" w:rsidRPr="0004265E">
        <w:rPr>
          <w:i/>
          <w:sz w:val="20"/>
        </w:rPr>
        <w:t>Le</w:t>
      </w:r>
      <w:r w:rsidRPr="0004265E">
        <w:rPr>
          <w:i/>
          <w:sz w:val="20"/>
        </w:rPr>
        <w:t xml:space="preserve"> français suit)</w:t>
      </w:r>
    </w:p>
    <w:p w:rsidR="001C4415" w:rsidRPr="0004265E" w:rsidRDefault="001C4415" w:rsidP="001C4415">
      <w:pPr>
        <w:widowControl w:val="0"/>
      </w:pPr>
    </w:p>
    <w:p w:rsidR="001C4415" w:rsidRPr="0004265E" w:rsidRDefault="000347C1" w:rsidP="00214729">
      <w:pPr>
        <w:widowControl w:val="0"/>
        <w:jc w:val="center"/>
        <w:rPr>
          <w:b/>
        </w:rPr>
      </w:pPr>
      <w:r w:rsidRPr="0004265E">
        <w:fldChar w:fldCharType="begin"/>
      </w:r>
      <w:r w:rsidR="00FA7412" w:rsidRPr="0004265E">
        <w:instrText xml:space="preserve"> SEQ CHAPTER \h \r 1</w:instrText>
      </w:r>
      <w:r w:rsidRPr="0004265E">
        <w:fldChar w:fldCharType="end"/>
      </w:r>
      <w:r w:rsidR="00455BB9" w:rsidRPr="0004265E">
        <w:rPr>
          <w:b/>
        </w:rPr>
        <w:t>JUDGMENT</w:t>
      </w:r>
      <w:r w:rsidR="00FA7412" w:rsidRPr="0004265E">
        <w:rPr>
          <w:b/>
        </w:rPr>
        <w:t xml:space="preserve"> TO BE RENDERED </w:t>
      </w:r>
      <w:r w:rsidR="00E43F22" w:rsidRPr="0004265E">
        <w:rPr>
          <w:b/>
        </w:rPr>
        <w:t>O</w:t>
      </w:r>
      <w:r w:rsidR="00FA7412" w:rsidRPr="0004265E">
        <w:rPr>
          <w:b/>
        </w:rPr>
        <w:t>N APPEA</w:t>
      </w:r>
      <w:r w:rsidR="00CC2799" w:rsidRPr="0004265E">
        <w:rPr>
          <w:b/>
        </w:rPr>
        <w:t>L</w:t>
      </w:r>
    </w:p>
    <w:p w:rsidR="005A7C1B" w:rsidRPr="0004265E" w:rsidRDefault="005A7C1B" w:rsidP="005A7C1B">
      <w:pPr>
        <w:widowControl w:val="0"/>
      </w:pPr>
    </w:p>
    <w:p w:rsidR="00EC79B0" w:rsidRPr="0004265E" w:rsidRDefault="00D27D6F" w:rsidP="00EC79B0">
      <w:pPr>
        <w:widowControl w:val="0"/>
      </w:pPr>
      <w:r w:rsidRPr="0004265E">
        <w:rPr>
          <w:b/>
        </w:rPr>
        <w:t>October</w:t>
      </w:r>
      <w:r w:rsidR="00C86395" w:rsidRPr="0004265E">
        <w:rPr>
          <w:b/>
        </w:rPr>
        <w:t xml:space="preserve"> </w:t>
      </w:r>
      <w:r w:rsidR="002D0B9A" w:rsidRPr="0004265E">
        <w:rPr>
          <w:b/>
        </w:rPr>
        <w:t>28</w:t>
      </w:r>
      <w:r w:rsidR="00EC79B0" w:rsidRPr="0004265E">
        <w:rPr>
          <w:b/>
        </w:rPr>
        <w:t>, 2</w:t>
      </w:r>
      <w:r w:rsidR="00E6600C" w:rsidRPr="0004265E">
        <w:rPr>
          <w:b/>
        </w:rPr>
        <w:t>0</w:t>
      </w:r>
      <w:r w:rsidR="009544E9" w:rsidRPr="0004265E">
        <w:rPr>
          <w:b/>
        </w:rPr>
        <w:t>2</w:t>
      </w:r>
      <w:r w:rsidR="0049454A" w:rsidRPr="0004265E">
        <w:rPr>
          <w:b/>
        </w:rPr>
        <w:t>4</w:t>
      </w:r>
    </w:p>
    <w:p w:rsidR="00EC79B0" w:rsidRPr="0004265E" w:rsidRDefault="00EC79B0" w:rsidP="00EC79B0">
      <w:pPr>
        <w:widowControl w:val="0"/>
      </w:pPr>
    </w:p>
    <w:p w:rsidR="00EC79B0" w:rsidRPr="0004265E" w:rsidRDefault="00EC79B0" w:rsidP="00EC79B0">
      <w:pPr>
        <w:widowControl w:val="0"/>
      </w:pPr>
      <w:r w:rsidRPr="0004265E">
        <w:rPr>
          <w:b/>
        </w:rPr>
        <w:t>OTTAWA</w:t>
      </w:r>
      <w:r w:rsidRPr="0004265E">
        <w:t xml:space="preserve"> – </w:t>
      </w:r>
      <w:r w:rsidR="0095505F" w:rsidRPr="0004265E">
        <w:t xml:space="preserve">The Supreme Court of Canada will deliver its judgment on the following appeal at 9:45 a.m. ET on </w:t>
      </w:r>
      <w:r w:rsidR="00D27D6F" w:rsidRPr="0004265E">
        <w:t>Friday</w:t>
      </w:r>
      <w:r w:rsidR="0095505F" w:rsidRPr="0004265E">
        <w:t xml:space="preserve">, </w:t>
      </w:r>
      <w:r w:rsidR="002D0B9A" w:rsidRPr="0004265E">
        <w:t>November</w:t>
      </w:r>
      <w:r w:rsidR="0095505F" w:rsidRPr="0004265E">
        <w:t xml:space="preserve"> </w:t>
      </w:r>
      <w:r w:rsidR="00D27D6F" w:rsidRPr="0004265E">
        <w:t>1</w:t>
      </w:r>
      <w:r w:rsidR="0095505F" w:rsidRPr="0004265E">
        <w:t>, 202</w:t>
      </w:r>
      <w:r w:rsidR="0049454A" w:rsidRPr="0004265E">
        <w:t>4</w:t>
      </w:r>
      <w:r w:rsidR="0095505F" w:rsidRPr="0004265E">
        <w:t>.</w:t>
      </w:r>
    </w:p>
    <w:p w:rsidR="001F76DD" w:rsidRPr="0004265E" w:rsidRDefault="001F76DD" w:rsidP="001C4415">
      <w:pPr>
        <w:widowControl w:val="0"/>
        <w:rPr>
          <w:szCs w:val="24"/>
        </w:rPr>
      </w:pPr>
    </w:p>
    <w:p w:rsidR="00A97E61" w:rsidRPr="0004265E" w:rsidRDefault="00A97E61" w:rsidP="001C4415">
      <w:pPr>
        <w:widowControl w:val="0"/>
        <w:rPr>
          <w:szCs w:val="24"/>
        </w:rPr>
      </w:pPr>
    </w:p>
    <w:p w:rsidR="00A97E61" w:rsidRPr="0004265E" w:rsidRDefault="002D0B9A" w:rsidP="00A97E61">
      <w:pPr>
        <w:jc w:val="both"/>
        <w:rPr>
          <w:szCs w:val="24"/>
        </w:rPr>
      </w:pPr>
      <w:r w:rsidRPr="0004265E">
        <w:rPr>
          <w:i/>
          <w:szCs w:val="24"/>
        </w:rPr>
        <w:t xml:space="preserve">His Majesty the King v. Agénor Archambault, et al. </w:t>
      </w:r>
      <w:r w:rsidR="00A97E61" w:rsidRPr="0004265E">
        <w:rPr>
          <w:szCs w:val="24"/>
        </w:rPr>
        <w:t>(</w:t>
      </w:r>
      <w:r w:rsidRPr="0004265E">
        <w:rPr>
          <w:szCs w:val="24"/>
        </w:rPr>
        <w:t>Que</w:t>
      </w:r>
      <w:r w:rsidR="002848B1" w:rsidRPr="0004265E">
        <w:rPr>
          <w:szCs w:val="24"/>
        </w:rPr>
        <w:t>.</w:t>
      </w:r>
      <w:r w:rsidR="00A97E61" w:rsidRPr="0004265E">
        <w:rPr>
          <w:szCs w:val="24"/>
        </w:rPr>
        <w:t xml:space="preserve">) </w:t>
      </w:r>
      <w:r w:rsidR="00A97E61" w:rsidRPr="0004265E">
        <w:t>(</w:t>
      </w:r>
      <w:hyperlink r:id="rId7" w:history="1">
        <w:r w:rsidR="002915B5" w:rsidRPr="0004265E">
          <w:rPr>
            <w:rStyle w:val="Hyperlink"/>
          </w:rPr>
          <w:t>4</w:t>
        </w:r>
        <w:r w:rsidR="008E3E95" w:rsidRPr="0004265E">
          <w:rPr>
            <w:rStyle w:val="Hyperlink"/>
          </w:rPr>
          <w:t>0</w:t>
        </w:r>
        <w:r w:rsidRPr="0004265E">
          <w:rPr>
            <w:rStyle w:val="Hyperlink"/>
          </w:rPr>
          <w:t>42</w:t>
        </w:r>
        <w:r w:rsidR="00DE0A34" w:rsidRPr="0004265E">
          <w:rPr>
            <w:rStyle w:val="Hyperlink"/>
          </w:rPr>
          <w:t>8</w:t>
        </w:r>
      </w:hyperlink>
      <w:r w:rsidR="00A97E61" w:rsidRPr="0004265E">
        <w:t>)</w:t>
      </w:r>
    </w:p>
    <w:p w:rsidR="00A97E61" w:rsidRPr="0004265E" w:rsidRDefault="00A97E61" w:rsidP="00AC11A6">
      <w:pPr>
        <w:widowControl w:val="0"/>
        <w:jc w:val="both"/>
        <w:rPr>
          <w:sz w:val="20"/>
        </w:rPr>
      </w:pPr>
    </w:p>
    <w:p w:rsidR="002D0B9A" w:rsidRPr="0004265E" w:rsidRDefault="002D0B9A" w:rsidP="002D0B9A">
      <w:pPr>
        <w:pStyle w:val="SCCLsocParty"/>
        <w:rPr>
          <w:b/>
          <w:i w:val="0"/>
          <w:sz w:val="20"/>
          <w:szCs w:val="20"/>
          <w:lang w:val="en-CA"/>
        </w:rPr>
      </w:pPr>
      <w:r w:rsidRPr="0004265E">
        <w:rPr>
          <w:rStyle w:val="SCCFileNumberChar"/>
          <w:i w:val="0"/>
          <w:sz w:val="20"/>
          <w:szCs w:val="20"/>
        </w:rPr>
        <w:t>40428</w:t>
      </w:r>
      <w:r w:rsidRPr="0004265E">
        <w:rPr>
          <w:rStyle w:val="SCCFileNumberChar"/>
          <w:i w:val="0"/>
          <w:sz w:val="20"/>
          <w:szCs w:val="20"/>
        </w:rPr>
        <w:tab/>
      </w:r>
      <w:r w:rsidRPr="0004265E">
        <w:rPr>
          <w:b/>
          <w:sz w:val="20"/>
          <w:szCs w:val="20"/>
          <w:lang w:val="en-CA"/>
        </w:rPr>
        <w:t>His Majesty the King v. Agénor Archambault and Gilles Grenier</w:t>
      </w:r>
    </w:p>
    <w:p w:rsidR="002D0B9A" w:rsidRPr="0004265E" w:rsidRDefault="002D0B9A" w:rsidP="002D0B9A">
      <w:pPr>
        <w:widowControl w:val="0"/>
        <w:ind w:left="360" w:firstLine="360"/>
        <w:jc w:val="both"/>
        <w:rPr>
          <w:sz w:val="20"/>
        </w:rPr>
      </w:pPr>
      <w:r w:rsidRPr="0004265E">
        <w:rPr>
          <w:sz w:val="20"/>
        </w:rPr>
        <w:t>(Que.) (Criminal) (By Leave)</w:t>
      </w:r>
    </w:p>
    <w:p w:rsidR="002D0B9A" w:rsidRPr="0004265E" w:rsidRDefault="002D0B9A" w:rsidP="00AC11A6">
      <w:pPr>
        <w:widowControl w:val="0"/>
        <w:jc w:val="both"/>
        <w:rPr>
          <w:sz w:val="20"/>
        </w:rPr>
      </w:pPr>
    </w:p>
    <w:p w:rsidR="002D0B9A" w:rsidRPr="0004265E" w:rsidRDefault="002D0B9A" w:rsidP="002D0B9A">
      <w:pPr>
        <w:widowControl w:val="0"/>
        <w:rPr>
          <w:sz w:val="20"/>
          <w:lang w:val="en-CA"/>
        </w:rPr>
      </w:pPr>
      <w:r w:rsidRPr="0004265E">
        <w:rPr>
          <w:sz w:val="20"/>
          <w:lang w:val="en-CA"/>
        </w:rPr>
        <w:t>(</w:t>
      </w:r>
      <w:r w:rsidRPr="0004265E">
        <w:rPr>
          <w:smallCaps/>
          <w:sz w:val="20"/>
          <w:lang w:val="en-CA"/>
        </w:rPr>
        <w:t>Publication ban in case</w:t>
      </w:r>
      <w:r w:rsidRPr="0004265E">
        <w:rPr>
          <w:sz w:val="20"/>
          <w:lang w:val="en-CA"/>
        </w:rPr>
        <w:t>)</w:t>
      </w:r>
    </w:p>
    <w:p w:rsidR="002D0B9A" w:rsidRPr="0004265E" w:rsidRDefault="002D0B9A" w:rsidP="002D0B9A">
      <w:pPr>
        <w:rPr>
          <w:sz w:val="20"/>
        </w:rPr>
      </w:pPr>
    </w:p>
    <w:p w:rsidR="002D0B9A" w:rsidRPr="0004265E" w:rsidRDefault="002D0B9A" w:rsidP="002D0B9A">
      <w:pPr>
        <w:widowControl w:val="0"/>
        <w:jc w:val="both"/>
        <w:rPr>
          <w:sz w:val="20"/>
        </w:rPr>
      </w:pPr>
      <w:r w:rsidRPr="0004265E">
        <w:rPr>
          <w:sz w:val="20"/>
        </w:rPr>
        <w:t xml:space="preserve">Criminal law — Preliminary inquiry — Legislation — Prospective application of legislative amendments to preliminary inquiry rules — Interpretation — Whether Quebec Court of Appeal erred in law in finding that right to preliminary inquiry depends on law in force at time of commission of offence with which accused is charged — Whether accused charged with indictable offence has right to preliminary inquiry even if not personally liable to 14 years or more of imprisonment — </w:t>
      </w:r>
      <w:r w:rsidRPr="0004265E">
        <w:rPr>
          <w:i/>
          <w:sz w:val="20"/>
        </w:rPr>
        <w:t>Criminal Code</w:t>
      </w:r>
      <w:r w:rsidRPr="0004265E">
        <w:rPr>
          <w:sz w:val="20"/>
        </w:rPr>
        <w:t>, R.S.C. 1985, c. C-46, s. 535.</w:t>
      </w:r>
    </w:p>
    <w:p w:rsidR="002D0B9A" w:rsidRPr="0004265E" w:rsidRDefault="002D0B9A" w:rsidP="002D0B9A">
      <w:pPr>
        <w:rPr>
          <w:sz w:val="20"/>
        </w:rPr>
      </w:pPr>
    </w:p>
    <w:p w:rsidR="002D0B9A" w:rsidRPr="0004265E" w:rsidRDefault="002D0B9A" w:rsidP="002D0B9A">
      <w:pPr>
        <w:widowControl w:val="0"/>
        <w:jc w:val="both"/>
        <w:rPr>
          <w:sz w:val="20"/>
        </w:rPr>
      </w:pPr>
      <w:r w:rsidRPr="0004265E">
        <w:rPr>
          <w:sz w:val="20"/>
        </w:rPr>
        <w:t xml:space="preserve">In July 2019, in two separate cases, the respondents appeared in the Court of Québec to answer charges for indictable offences that were punishable by a maximum of 14 years of imprisonment, but that had been punishable by a maximum of 10 years of imprisonment at the time they were allegedly committed. The respondents were thus entitled to a preliminary inquiry. On September 19, 2019, s. 535 of the </w:t>
      </w:r>
      <w:r w:rsidRPr="0004265E">
        <w:rPr>
          <w:i/>
          <w:sz w:val="20"/>
        </w:rPr>
        <w:t>Criminal Code</w:t>
      </w:r>
      <w:r w:rsidRPr="0004265E">
        <w:rPr>
          <w:sz w:val="20"/>
        </w:rPr>
        <w:t>, R.S.C. 1985, c. C-46 (“</w:t>
      </w:r>
      <w:r w:rsidRPr="0004265E">
        <w:rPr>
          <w:i/>
          <w:sz w:val="20"/>
        </w:rPr>
        <w:t>Cr. C.</w:t>
      </w:r>
      <w:r w:rsidRPr="0004265E">
        <w:rPr>
          <w:sz w:val="20"/>
        </w:rPr>
        <w:t xml:space="preserve">”), was amended and the right to a preliminary inquiry was abolished for an accused charged with an indictable offence punishable by less than 14 years of imprisonment. The respondents both requested a preliminary inquiry after September 19, 2019. Both requests were denied by the Court of Québec on the basis that it lacked jurisdiction followed the amendment to s. 535 </w:t>
      </w:r>
      <w:r w:rsidRPr="0004265E">
        <w:rPr>
          <w:i/>
          <w:sz w:val="20"/>
        </w:rPr>
        <w:t>Cr. C.</w:t>
      </w:r>
      <w:r w:rsidRPr="0004265E">
        <w:rPr>
          <w:sz w:val="20"/>
        </w:rPr>
        <w:t xml:space="preserve"> The Quebec Superior Court denied judicial review in each case. The Quebec Court of Appeal determined that the amendment to s. 535 </w:t>
      </w:r>
      <w:r w:rsidRPr="0004265E">
        <w:rPr>
          <w:i/>
          <w:sz w:val="20"/>
        </w:rPr>
        <w:t>Cr. C.</w:t>
      </w:r>
      <w:r w:rsidRPr="0004265E">
        <w:rPr>
          <w:sz w:val="20"/>
        </w:rPr>
        <w:t xml:space="preserve"> applies prospectively; it allowed both appeals and referred each case back to the Court of Québec for a preliminary inquiry.</w:t>
      </w:r>
    </w:p>
    <w:p w:rsidR="004874F7" w:rsidRPr="0004265E" w:rsidRDefault="004874F7" w:rsidP="001C4415">
      <w:pPr>
        <w:widowControl w:val="0"/>
        <w:rPr>
          <w:szCs w:val="24"/>
        </w:rPr>
      </w:pPr>
    </w:p>
    <w:p w:rsidR="004874F7" w:rsidRPr="0004265E" w:rsidRDefault="004874F7" w:rsidP="001C4415">
      <w:pPr>
        <w:widowControl w:val="0"/>
        <w:rPr>
          <w:szCs w:val="24"/>
        </w:rPr>
      </w:pPr>
    </w:p>
    <w:p w:rsidR="00A97E61" w:rsidRPr="0004265E" w:rsidRDefault="0004265E" w:rsidP="001C4415">
      <w:pPr>
        <w:widowControl w:val="0"/>
        <w:rPr>
          <w:szCs w:val="24"/>
          <w:lang w:val="fr-CA"/>
        </w:rPr>
      </w:pPr>
      <w:r w:rsidRPr="0004265E">
        <w:rPr>
          <w:sz w:val="18"/>
          <w:szCs w:val="18"/>
        </w:rPr>
        <w:pict>
          <v:rect id="_x0000_i1025" style="width:272.25pt;height:1.5pt" o:hrpct="0" o:hralign="center" o:hrstd="t" o:hrnoshade="t" o:hr="t" fillcolor="black [3213]" stroked="f"/>
        </w:pict>
      </w:r>
    </w:p>
    <w:p w:rsidR="00A97E61" w:rsidRPr="0004265E" w:rsidRDefault="00A97E61" w:rsidP="001C4415">
      <w:pPr>
        <w:widowControl w:val="0"/>
        <w:rPr>
          <w:szCs w:val="24"/>
          <w:lang w:val="fr-CA"/>
        </w:rPr>
      </w:pPr>
    </w:p>
    <w:p w:rsidR="001C4415" w:rsidRPr="0004265E" w:rsidRDefault="001C4415" w:rsidP="001C4415">
      <w:pPr>
        <w:widowControl w:val="0"/>
        <w:rPr>
          <w:lang w:val="fr-CA"/>
        </w:rPr>
      </w:pPr>
    </w:p>
    <w:p w:rsidR="001335A1" w:rsidRPr="0004265E" w:rsidRDefault="001335A1" w:rsidP="001335A1">
      <w:pPr>
        <w:widowControl w:val="0"/>
        <w:jc w:val="center"/>
        <w:rPr>
          <w:b/>
          <w:lang w:val="fr-CA"/>
        </w:rPr>
      </w:pPr>
      <w:r w:rsidRPr="0004265E">
        <w:rPr>
          <w:b/>
          <w:lang w:val="fr-CA"/>
        </w:rPr>
        <w:t>PROCHAIN JUGEMENT</w:t>
      </w:r>
      <w:r w:rsidR="00455BB9" w:rsidRPr="0004265E">
        <w:rPr>
          <w:b/>
          <w:lang w:val="fr-CA"/>
        </w:rPr>
        <w:t xml:space="preserve"> SUR APPEL</w:t>
      </w:r>
    </w:p>
    <w:p w:rsidR="001335A1" w:rsidRPr="0004265E" w:rsidRDefault="001335A1" w:rsidP="001335A1">
      <w:pPr>
        <w:widowControl w:val="0"/>
        <w:rPr>
          <w:lang w:val="fr-CA"/>
        </w:rPr>
      </w:pPr>
    </w:p>
    <w:p w:rsidR="00EC79B0" w:rsidRPr="0004265E" w:rsidRDefault="00EC79B0" w:rsidP="00EC79B0">
      <w:pPr>
        <w:widowControl w:val="0"/>
        <w:rPr>
          <w:lang w:val="fr-CA"/>
        </w:rPr>
      </w:pPr>
      <w:r w:rsidRPr="0004265E">
        <w:rPr>
          <w:b/>
          <w:lang w:val="fr-CA"/>
        </w:rPr>
        <w:t xml:space="preserve">Le </w:t>
      </w:r>
      <w:r w:rsidR="002D0B9A" w:rsidRPr="0004265E">
        <w:rPr>
          <w:b/>
          <w:lang w:val="fr-CA"/>
        </w:rPr>
        <w:t>28</w:t>
      </w:r>
      <w:r w:rsidR="00935B44" w:rsidRPr="0004265E">
        <w:rPr>
          <w:b/>
          <w:lang w:val="fr-CA"/>
        </w:rPr>
        <w:t xml:space="preserve"> </w:t>
      </w:r>
      <w:r w:rsidR="00D27D6F" w:rsidRPr="0004265E">
        <w:rPr>
          <w:b/>
          <w:lang w:val="fr-CA"/>
        </w:rPr>
        <w:t>octobre</w:t>
      </w:r>
      <w:r w:rsidR="00C86395" w:rsidRPr="0004265E">
        <w:rPr>
          <w:b/>
          <w:lang w:val="fr-CA"/>
        </w:rPr>
        <w:t xml:space="preserve"> </w:t>
      </w:r>
      <w:r w:rsidR="0086609D" w:rsidRPr="0004265E">
        <w:rPr>
          <w:b/>
          <w:lang w:val="fr-CA"/>
        </w:rPr>
        <w:t>20</w:t>
      </w:r>
      <w:r w:rsidR="009544E9" w:rsidRPr="0004265E">
        <w:rPr>
          <w:b/>
          <w:lang w:val="fr-CA"/>
        </w:rPr>
        <w:t>2</w:t>
      </w:r>
      <w:r w:rsidR="0049454A" w:rsidRPr="0004265E">
        <w:rPr>
          <w:b/>
          <w:lang w:val="fr-CA"/>
        </w:rPr>
        <w:t>4</w:t>
      </w:r>
    </w:p>
    <w:p w:rsidR="00EC79B0" w:rsidRPr="0004265E" w:rsidRDefault="00EC79B0" w:rsidP="00EC79B0">
      <w:pPr>
        <w:widowControl w:val="0"/>
        <w:rPr>
          <w:lang w:val="fr-CA"/>
        </w:rPr>
      </w:pPr>
    </w:p>
    <w:p w:rsidR="00EC79B0" w:rsidRPr="0004265E" w:rsidRDefault="00EC79B0" w:rsidP="00EC79B0">
      <w:pPr>
        <w:widowControl w:val="0"/>
        <w:rPr>
          <w:lang w:val="fr-CA"/>
        </w:rPr>
      </w:pPr>
      <w:r w:rsidRPr="0004265E">
        <w:rPr>
          <w:b/>
          <w:lang w:val="fr-CA"/>
        </w:rPr>
        <w:t>OTTAWA</w:t>
      </w:r>
      <w:r w:rsidRPr="0004265E">
        <w:rPr>
          <w:lang w:val="fr-CA"/>
        </w:rPr>
        <w:t xml:space="preserve"> – </w:t>
      </w:r>
      <w:r w:rsidR="0095505F" w:rsidRPr="0004265E">
        <w:rPr>
          <w:lang w:val="fr-CA"/>
        </w:rPr>
        <w:t xml:space="preserve">La Cour suprême du Canada rendra jugement dans l’appel suivant le </w:t>
      </w:r>
      <w:r w:rsidR="00D27D6F" w:rsidRPr="0004265E">
        <w:rPr>
          <w:lang w:val="fr-CA"/>
        </w:rPr>
        <w:t>vendredi</w:t>
      </w:r>
      <w:r w:rsidR="0095505F" w:rsidRPr="0004265E">
        <w:rPr>
          <w:lang w:val="fr-CA"/>
        </w:rPr>
        <w:t xml:space="preserve"> </w:t>
      </w:r>
      <w:r w:rsidR="00D27D6F" w:rsidRPr="0004265E">
        <w:rPr>
          <w:lang w:val="fr-CA"/>
        </w:rPr>
        <w:t>1</w:t>
      </w:r>
      <w:r w:rsidR="002D0B9A" w:rsidRPr="0004265E">
        <w:rPr>
          <w:lang w:val="fr-CA"/>
        </w:rPr>
        <w:t>er</w:t>
      </w:r>
      <w:r w:rsidR="0095505F" w:rsidRPr="0004265E">
        <w:rPr>
          <w:lang w:val="fr-CA"/>
        </w:rPr>
        <w:t xml:space="preserve"> </w:t>
      </w:r>
      <w:r w:rsidR="002D0B9A" w:rsidRPr="0004265E">
        <w:rPr>
          <w:lang w:val="fr-CA"/>
        </w:rPr>
        <w:t>novembre</w:t>
      </w:r>
      <w:r w:rsidR="0095505F" w:rsidRPr="0004265E">
        <w:rPr>
          <w:lang w:val="fr-CA"/>
        </w:rPr>
        <w:t xml:space="preserve"> 202</w:t>
      </w:r>
      <w:r w:rsidR="0049454A" w:rsidRPr="0004265E">
        <w:rPr>
          <w:lang w:val="fr-CA"/>
        </w:rPr>
        <w:t>4</w:t>
      </w:r>
      <w:r w:rsidR="0095505F" w:rsidRPr="0004265E">
        <w:rPr>
          <w:lang w:val="fr-CA"/>
        </w:rPr>
        <w:t>, à 9 h 45 HE.</w:t>
      </w:r>
    </w:p>
    <w:p w:rsidR="001F76DD" w:rsidRPr="0004265E" w:rsidRDefault="001F76DD" w:rsidP="00E92006">
      <w:pPr>
        <w:widowControl w:val="0"/>
        <w:jc w:val="both"/>
        <w:rPr>
          <w:szCs w:val="24"/>
          <w:lang w:val="fr-CA"/>
        </w:rPr>
      </w:pPr>
    </w:p>
    <w:p w:rsidR="001335A1" w:rsidRPr="0004265E" w:rsidRDefault="001335A1" w:rsidP="001335A1">
      <w:pPr>
        <w:widowControl w:val="0"/>
        <w:rPr>
          <w:szCs w:val="24"/>
          <w:lang w:val="fr-CA"/>
        </w:rPr>
      </w:pPr>
    </w:p>
    <w:p w:rsidR="00772636" w:rsidRPr="0004265E" w:rsidRDefault="002D0B9A" w:rsidP="00772636">
      <w:pPr>
        <w:jc w:val="both"/>
        <w:rPr>
          <w:szCs w:val="24"/>
          <w:lang w:val="fr-CA"/>
        </w:rPr>
      </w:pPr>
      <w:r w:rsidRPr="0004265E">
        <w:rPr>
          <w:i/>
          <w:szCs w:val="24"/>
          <w:lang w:val="fr-CA"/>
        </w:rPr>
        <w:t>Sa Majesté le Roi c. Agénor Archambault, et al.</w:t>
      </w:r>
      <w:r w:rsidR="009764B0" w:rsidRPr="0004265E">
        <w:rPr>
          <w:i/>
          <w:szCs w:val="24"/>
          <w:lang w:val="fr-CA"/>
        </w:rPr>
        <w:t xml:space="preserve"> </w:t>
      </w:r>
      <w:r w:rsidR="00772636" w:rsidRPr="0004265E">
        <w:rPr>
          <w:szCs w:val="24"/>
          <w:lang w:val="fr-CA"/>
        </w:rPr>
        <w:t>(</w:t>
      </w:r>
      <w:r w:rsidRPr="0004265E">
        <w:rPr>
          <w:szCs w:val="24"/>
          <w:lang w:val="fr-CA"/>
        </w:rPr>
        <w:t>Qc</w:t>
      </w:r>
      <w:r w:rsidR="00772636" w:rsidRPr="0004265E">
        <w:rPr>
          <w:szCs w:val="24"/>
          <w:lang w:val="fr-CA"/>
        </w:rPr>
        <w:t xml:space="preserve">) </w:t>
      </w:r>
      <w:r w:rsidR="00772636" w:rsidRPr="0004265E">
        <w:rPr>
          <w:lang w:val="fr-CA"/>
        </w:rPr>
        <w:t>(</w:t>
      </w:r>
      <w:hyperlink r:id="rId8" w:history="1">
        <w:r w:rsidR="002915B5" w:rsidRPr="0004265E">
          <w:rPr>
            <w:rStyle w:val="Hyperlink"/>
            <w:lang w:val="fr-CA"/>
          </w:rPr>
          <w:t>40</w:t>
        </w:r>
        <w:r w:rsidRPr="0004265E">
          <w:rPr>
            <w:rStyle w:val="Hyperlink"/>
            <w:lang w:val="fr-CA"/>
          </w:rPr>
          <w:t>42</w:t>
        </w:r>
        <w:r w:rsidR="00DE0A34" w:rsidRPr="0004265E">
          <w:rPr>
            <w:rStyle w:val="Hyperlink"/>
            <w:lang w:val="fr-CA"/>
          </w:rPr>
          <w:t>8</w:t>
        </w:r>
      </w:hyperlink>
      <w:r w:rsidR="00772636" w:rsidRPr="0004265E">
        <w:rPr>
          <w:lang w:val="fr-CA"/>
        </w:rPr>
        <w:t>)</w:t>
      </w:r>
    </w:p>
    <w:p w:rsidR="003B3C19" w:rsidRPr="0004265E" w:rsidRDefault="003B3C19" w:rsidP="00AE14EC">
      <w:pPr>
        <w:widowControl w:val="0"/>
        <w:jc w:val="both"/>
        <w:rPr>
          <w:sz w:val="20"/>
          <w:lang w:val="fr-CA"/>
        </w:rPr>
      </w:pPr>
      <w:bookmarkStart w:id="0" w:name="QuickMark_1"/>
      <w:bookmarkEnd w:id="0"/>
    </w:p>
    <w:p w:rsidR="0004265E" w:rsidRPr="0004265E" w:rsidRDefault="0004265E" w:rsidP="009F30C1">
      <w:pPr>
        <w:widowControl w:val="0"/>
        <w:tabs>
          <w:tab w:val="left" w:pos="720"/>
        </w:tabs>
        <w:ind w:left="1440" w:hanging="1440"/>
        <w:jc w:val="both"/>
        <w:rPr>
          <w:b/>
          <w:i/>
          <w:sz w:val="20"/>
          <w:lang w:val="fr-CA"/>
        </w:rPr>
      </w:pPr>
      <w:r w:rsidRPr="0004265E">
        <w:rPr>
          <w:b/>
          <w:sz w:val="20"/>
          <w:lang w:val="fr-CA"/>
        </w:rPr>
        <w:t>40428</w:t>
      </w:r>
      <w:r w:rsidRPr="0004265E">
        <w:rPr>
          <w:sz w:val="20"/>
          <w:lang w:val="fr-CA"/>
        </w:rPr>
        <w:fldChar w:fldCharType="begin"/>
      </w:r>
      <w:r w:rsidRPr="0004265E">
        <w:rPr>
          <w:sz w:val="20"/>
          <w:lang w:val="fr-CA"/>
        </w:rPr>
        <w:instrText xml:space="preserve"> SEQ CHAPTER \h \r 1</w:instrText>
      </w:r>
      <w:r w:rsidRPr="0004265E">
        <w:rPr>
          <w:sz w:val="20"/>
          <w:lang w:val="fr-CA"/>
        </w:rPr>
        <w:fldChar w:fldCharType="end"/>
      </w:r>
      <w:r w:rsidRPr="0004265E">
        <w:rPr>
          <w:sz w:val="20"/>
          <w:lang w:val="fr-CA"/>
        </w:rPr>
        <w:tab/>
      </w:r>
      <w:bookmarkStart w:id="1" w:name="3"/>
      <w:bookmarkEnd w:id="1"/>
      <w:r w:rsidRPr="0004265E">
        <w:rPr>
          <w:b/>
          <w:i/>
          <w:sz w:val="20"/>
          <w:lang w:val="fr-CA"/>
        </w:rPr>
        <w:t>Sa Majesté le Roi c. Agénor Archambault et Gilles Grenier</w:t>
      </w:r>
    </w:p>
    <w:p w:rsidR="0004265E" w:rsidRPr="0004265E" w:rsidRDefault="0004265E" w:rsidP="009F30C1">
      <w:pPr>
        <w:widowControl w:val="0"/>
        <w:tabs>
          <w:tab w:val="left" w:pos="720"/>
        </w:tabs>
        <w:ind w:left="1440" w:hanging="1440"/>
        <w:jc w:val="both"/>
        <w:rPr>
          <w:sz w:val="20"/>
          <w:lang w:val="fr-CA"/>
        </w:rPr>
      </w:pPr>
      <w:r w:rsidRPr="0004265E">
        <w:rPr>
          <w:b/>
          <w:i/>
          <w:sz w:val="20"/>
          <w:lang w:val="fr-CA"/>
        </w:rPr>
        <w:tab/>
      </w:r>
      <w:r w:rsidRPr="0004265E">
        <w:rPr>
          <w:sz w:val="20"/>
          <w:lang w:val="fr-CA"/>
        </w:rPr>
        <w:t>(Qc) (</w:t>
      </w:r>
      <w:r w:rsidRPr="0004265E">
        <w:rPr>
          <w:sz w:val="20"/>
          <w:lang w:val="en-CA"/>
        </w:rPr>
        <w:t>Criminelle</w:t>
      </w:r>
      <w:r w:rsidRPr="0004265E">
        <w:rPr>
          <w:sz w:val="20"/>
          <w:lang w:val="fr-CA"/>
        </w:rPr>
        <w:t>) (Autorisation)</w:t>
      </w:r>
    </w:p>
    <w:p w:rsidR="0004265E" w:rsidRPr="0004265E" w:rsidRDefault="0004265E" w:rsidP="00ED6841">
      <w:pPr>
        <w:widowControl w:val="0"/>
        <w:jc w:val="both"/>
        <w:rPr>
          <w:sz w:val="20"/>
          <w:lang w:val="fr-CA"/>
        </w:rPr>
      </w:pPr>
    </w:p>
    <w:p w:rsidR="0004265E" w:rsidRPr="0004265E" w:rsidRDefault="0004265E" w:rsidP="00ED6841">
      <w:pPr>
        <w:widowControl w:val="0"/>
        <w:jc w:val="both"/>
        <w:rPr>
          <w:sz w:val="20"/>
          <w:lang w:val="fr-CA"/>
        </w:rPr>
      </w:pPr>
      <w:r w:rsidRPr="0004265E">
        <w:rPr>
          <w:sz w:val="20"/>
          <w:lang w:val="fr-CA"/>
        </w:rPr>
        <w:t>(</w:t>
      </w:r>
      <w:r w:rsidRPr="0004265E">
        <w:rPr>
          <w:smallCaps/>
          <w:sz w:val="20"/>
          <w:lang w:val="fr-CA"/>
        </w:rPr>
        <w:t>Ordonnance de non-publication dans le dossier</w:t>
      </w:r>
      <w:r w:rsidRPr="0004265E">
        <w:rPr>
          <w:sz w:val="20"/>
          <w:lang w:val="fr-CA"/>
        </w:rPr>
        <w:t>)</w:t>
      </w:r>
    </w:p>
    <w:p w:rsidR="0004265E" w:rsidRPr="0004265E" w:rsidRDefault="0004265E" w:rsidP="00ED6841">
      <w:pPr>
        <w:widowControl w:val="0"/>
        <w:jc w:val="both"/>
        <w:rPr>
          <w:sz w:val="20"/>
          <w:lang w:val="fr-CA"/>
        </w:rPr>
      </w:pPr>
    </w:p>
    <w:p w:rsidR="0004265E" w:rsidRPr="0004265E" w:rsidRDefault="0004265E" w:rsidP="004B1032">
      <w:pPr>
        <w:widowControl w:val="0"/>
        <w:jc w:val="both"/>
        <w:rPr>
          <w:sz w:val="20"/>
          <w:lang w:val="fr-CA"/>
        </w:rPr>
      </w:pPr>
      <w:r w:rsidRPr="0004265E">
        <w:rPr>
          <w:sz w:val="20"/>
          <w:lang w:val="fr-CA"/>
        </w:rPr>
        <w:t xml:space="preserve">Droit criminel — Enquête préliminaire — Législation — Application prospective de modifications législatives au régime de l’enquête préliminaire — Interprétation — La Cour d’appel du Québec a-t-elle erré en droit en concluant que le droit à la tenue d’une enquête préliminaire est fonction du droit en vigueur au moment de la commission de l’infraction dont le prévenu est inculpé? — Un prévenu inculpé d’un acte criminel a-t-il droit à la tenue d’une enquête préliminaire même s’il ne s’expose pas personnellement à un emprisonnement de quatorze ans ou plus? — </w:t>
      </w:r>
      <w:r w:rsidRPr="0004265E">
        <w:rPr>
          <w:i/>
          <w:sz w:val="20"/>
          <w:lang w:val="fr-CA"/>
        </w:rPr>
        <w:t>Code criminel</w:t>
      </w:r>
      <w:r w:rsidRPr="0004265E">
        <w:rPr>
          <w:sz w:val="20"/>
          <w:lang w:val="fr-CA"/>
        </w:rPr>
        <w:t>, L.R.C. 1985, c. C-46, art. 535</w:t>
      </w:r>
    </w:p>
    <w:p w:rsidR="0004265E" w:rsidRPr="0004265E" w:rsidRDefault="0004265E" w:rsidP="00ED6841">
      <w:pPr>
        <w:widowControl w:val="0"/>
        <w:jc w:val="both"/>
        <w:rPr>
          <w:sz w:val="20"/>
          <w:lang w:val="fr-CA"/>
        </w:rPr>
      </w:pPr>
    </w:p>
    <w:p w:rsidR="0004265E" w:rsidRPr="0004265E" w:rsidRDefault="0004265E" w:rsidP="004B1032">
      <w:pPr>
        <w:jc w:val="both"/>
        <w:rPr>
          <w:sz w:val="20"/>
          <w:lang w:val="fr-CA"/>
        </w:rPr>
      </w:pPr>
      <w:r w:rsidRPr="0004265E">
        <w:rPr>
          <w:sz w:val="20"/>
          <w:lang w:val="fr-CA"/>
        </w:rPr>
        <w:t xml:space="preserve">En juillet 2019, dans deux dossiers distincts, les intimés comparaissent devant la Cour du Québec afin de répondre à des accusations d’actes criminels passibles d’un emprisonnement maximal de 14 ans, mais qui étaient passibles d’un emprisonnement maximal de dix ans au moment où ils auraient été commis. Les intimés ont alors droit à une enquête préliminaire. Le 19 septembre 2019, l’art. 535 du </w:t>
      </w:r>
      <w:r w:rsidRPr="0004265E">
        <w:rPr>
          <w:i/>
          <w:sz w:val="20"/>
          <w:lang w:val="fr-CA"/>
        </w:rPr>
        <w:t>Code criminel</w:t>
      </w:r>
      <w:r w:rsidRPr="0004265E">
        <w:rPr>
          <w:sz w:val="20"/>
          <w:lang w:val="fr-CA"/>
        </w:rPr>
        <w:t>, L.R.C. 1985, c. C-46 (« </w:t>
      </w:r>
      <w:r w:rsidRPr="0004265E">
        <w:rPr>
          <w:i/>
          <w:sz w:val="20"/>
          <w:lang w:val="fr-CA"/>
        </w:rPr>
        <w:t>C. cr.</w:t>
      </w:r>
      <w:r w:rsidRPr="0004265E">
        <w:rPr>
          <w:sz w:val="20"/>
          <w:lang w:val="fr-CA"/>
        </w:rPr>
        <w:t xml:space="preserve"> ») est modifié et le droit à l’enquête préliminaire est aboli lorsqu’un prévenu est inculpé d’un acte criminel passible d’une peine d’emprisonnement de moins de 14 ans. Les intimés présentent tous deux une demande d’enquête préliminaire après le 19 septembre 2019. Les deux demandes sont rejetées par la Cour du Québec pour absence de compétence après la modification à l’art. 535 </w:t>
      </w:r>
      <w:r w:rsidRPr="0004265E">
        <w:rPr>
          <w:i/>
          <w:sz w:val="20"/>
          <w:lang w:val="fr-CA"/>
        </w:rPr>
        <w:t>C. cr.</w:t>
      </w:r>
      <w:r w:rsidRPr="0004265E">
        <w:rPr>
          <w:sz w:val="20"/>
          <w:lang w:val="fr-CA"/>
        </w:rPr>
        <w:t xml:space="preserve"> La Cour supérieure du Québec refuse le contrôle judiciaire dans chacun des deux cas. La Cour d’appel du Québec détermine que la modification à l’art. 535 </w:t>
      </w:r>
      <w:r w:rsidRPr="0004265E">
        <w:rPr>
          <w:i/>
          <w:sz w:val="20"/>
          <w:lang w:val="fr-CA"/>
        </w:rPr>
        <w:t>C. cr.</w:t>
      </w:r>
      <w:r w:rsidRPr="0004265E">
        <w:rPr>
          <w:sz w:val="20"/>
          <w:lang w:val="fr-CA"/>
        </w:rPr>
        <w:t xml:space="preserve"> </w:t>
      </w:r>
      <w:proofErr w:type="gramStart"/>
      <w:r w:rsidRPr="0004265E">
        <w:rPr>
          <w:sz w:val="20"/>
          <w:lang w:val="fr-CA"/>
        </w:rPr>
        <w:t>s’applique</w:t>
      </w:r>
      <w:proofErr w:type="gramEnd"/>
      <w:r w:rsidRPr="0004265E">
        <w:rPr>
          <w:sz w:val="20"/>
          <w:lang w:val="fr-CA"/>
        </w:rPr>
        <w:t xml:space="preserve"> prospectivement; elle accueille les deux appels et renvoie chacun des dossiers à la Cour du Québec pour une enquête préliminaire.</w:t>
      </w:r>
    </w:p>
    <w:p w:rsidR="00046AF2" w:rsidRPr="0004265E" w:rsidRDefault="00046AF2" w:rsidP="003B3C19">
      <w:pPr>
        <w:widowControl w:val="0"/>
        <w:jc w:val="both"/>
        <w:rPr>
          <w:sz w:val="20"/>
          <w:lang w:val="fr-CA"/>
        </w:rPr>
      </w:pPr>
    </w:p>
    <w:p w:rsidR="00EF4622" w:rsidRPr="0004265E" w:rsidRDefault="0004265E" w:rsidP="00CD14BB">
      <w:pPr>
        <w:pStyle w:val="aparanumbering1"/>
        <w:shd w:val="clear" w:color="auto" w:fill="FFFFFF"/>
        <w:spacing w:before="0" w:after="0"/>
        <w:ind w:left="0"/>
        <w:rPr>
          <w:rFonts w:ascii="Times New Roman" w:hAnsi="Times New Roman" w:cs="Times New Roman"/>
          <w:sz w:val="20"/>
          <w:szCs w:val="20"/>
          <w:lang w:val="fr-CA"/>
        </w:rPr>
      </w:pPr>
      <w:r w:rsidRPr="0004265E">
        <w:rPr>
          <w:sz w:val="20"/>
        </w:rPr>
        <w:pict>
          <v:rect id="_x0000_i1026" style="width:2in;height:1pt" o:hrpct="0" o:hralign="center" o:hrstd="t" o:hrnoshade="t" o:hr="t" fillcolor="black [3213]" stroked="f"/>
        </w:pict>
      </w:r>
    </w:p>
    <w:p w:rsidR="00E92006" w:rsidRPr="0004265E" w:rsidRDefault="00E92006" w:rsidP="00340C6D">
      <w:pPr>
        <w:jc w:val="both"/>
        <w:rPr>
          <w:sz w:val="20"/>
          <w:lang w:val="fr-CA"/>
        </w:rPr>
      </w:pPr>
    </w:p>
    <w:p w:rsidR="00E92006" w:rsidRPr="0004265E" w:rsidRDefault="00E92006" w:rsidP="00340C6D">
      <w:pPr>
        <w:jc w:val="both"/>
        <w:rPr>
          <w:sz w:val="20"/>
          <w:lang w:val="fr-CA"/>
        </w:rPr>
      </w:pPr>
    </w:p>
    <w:p w:rsidR="00072A63" w:rsidRPr="0004265E" w:rsidRDefault="00072A63" w:rsidP="00EC79B0">
      <w:pPr>
        <w:jc w:val="both"/>
        <w:rPr>
          <w:sz w:val="20"/>
          <w:lang w:val="fr-CA"/>
        </w:rPr>
      </w:pPr>
    </w:p>
    <w:p w:rsidR="001C4415" w:rsidRPr="0004265E" w:rsidRDefault="001C4415" w:rsidP="001C4415">
      <w:pPr>
        <w:widowControl w:val="0"/>
        <w:outlineLvl w:val="0"/>
      </w:pPr>
      <w:r w:rsidRPr="0004265E">
        <w:t xml:space="preserve">Supreme Court of Canada / Cour suprême du </w:t>
      </w:r>
      <w:proofErr w:type="gramStart"/>
      <w:r w:rsidRPr="0004265E">
        <w:t>Canada :</w:t>
      </w:r>
      <w:proofErr w:type="gramEnd"/>
      <w:r w:rsidRPr="0004265E">
        <w:t xml:space="preserve"> </w:t>
      </w:r>
    </w:p>
    <w:p w:rsidR="004F410B" w:rsidRPr="0004265E" w:rsidRDefault="0004265E" w:rsidP="004F410B">
      <w:pPr>
        <w:widowControl w:val="0"/>
        <w:outlineLvl w:val="0"/>
      </w:pPr>
      <w:hyperlink r:id="rId9" w:history="1">
        <w:r w:rsidR="004F410B" w:rsidRPr="0004265E">
          <w:rPr>
            <w:rStyle w:val="Hyperlink"/>
          </w:rPr>
          <w:t>Registry-greffe@scc-csc.ca</w:t>
        </w:r>
      </w:hyperlink>
    </w:p>
    <w:p w:rsidR="001C4415" w:rsidRDefault="004F410B" w:rsidP="004F410B">
      <w:pPr>
        <w:widowControl w:val="0"/>
        <w:outlineLvl w:val="0"/>
      </w:pPr>
      <w:r w:rsidRPr="0004265E">
        <w:t>1-844-365-9662</w:t>
      </w:r>
      <w:bookmarkStart w:id="2" w:name="_GoBack"/>
      <w:bookmarkEnd w:id="2"/>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8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65E"/>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0B9A"/>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8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42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42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4533</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2024-10-03T18:41:00Z</dcterms:modified>
</cp:coreProperties>
</file>