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5A4F03" w:rsidRDefault="002A192B" w:rsidP="002A192B">
      <w:pPr>
        <w:pStyle w:val="Header"/>
        <w:jc w:val="center"/>
        <w:rPr>
          <w:b/>
          <w:sz w:val="32"/>
        </w:rPr>
      </w:pPr>
      <w:r w:rsidRPr="005A4F03">
        <w:rPr>
          <w:b/>
          <w:sz w:val="32"/>
        </w:rPr>
        <w:t>Supreme Court of Canada / Cour suprême du Canada</w:t>
      </w:r>
    </w:p>
    <w:p w:rsidR="002A192B" w:rsidRPr="005A4F03" w:rsidRDefault="002A192B" w:rsidP="002A192B">
      <w:pPr>
        <w:widowControl w:val="0"/>
        <w:rPr>
          <w:i/>
        </w:rPr>
      </w:pPr>
    </w:p>
    <w:p w:rsidR="002A192B" w:rsidRPr="005A4F03" w:rsidRDefault="002A192B" w:rsidP="002A192B">
      <w:pPr>
        <w:widowControl w:val="0"/>
        <w:rPr>
          <w:i/>
        </w:rPr>
      </w:pPr>
    </w:p>
    <w:p w:rsidR="001C4415" w:rsidRPr="005A4F03" w:rsidRDefault="001C4415" w:rsidP="001C4415">
      <w:pPr>
        <w:widowControl w:val="0"/>
        <w:rPr>
          <w:i/>
          <w:sz w:val="20"/>
        </w:rPr>
      </w:pPr>
      <w:r w:rsidRPr="005A4F03">
        <w:rPr>
          <w:i/>
          <w:sz w:val="20"/>
        </w:rPr>
        <w:t>(</w:t>
      </w:r>
      <w:r w:rsidR="003C50BF" w:rsidRPr="005A4F03">
        <w:rPr>
          <w:i/>
          <w:sz w:val="20"/>
        </w:rPr>
        <w:t>Le</w:t>
      </w:r>
      <w:r w:rsidRPr="005A4F03">
        <w:rPr>
          <w:i/>
          <w:sz w:val="20"/>
        </w:rPr>
        <w:t xml:space="preserve"> français suit)</w:t>
      </w:r>
    </w:p>
    <w:p w:rsidR="001C4415" w:rsidRPr="005A4F03" w:rsidRDefault="001C4415" w:rsidP="001C4415">
      <w:pPr>
        <w:widowControl w:val="0"/>
      </w:pPr>
    </w:p>
    <w:p w:rsidR="001C4415" w:rsidRPr="005A4F03" w:rsidRDefault="000347C1" w:rsidP="00214729">
      <w:pPr>
        <w:widowControl w:val="0"/>
        <w:jc w:val="center"/>
        <w:rPr>
          <w:b/>
        </w:rPr>
      </w:pPr>
      <w:r w:rsidRPr="005A4F03">
        <w:fldChar w:fldCharType="begin"/>
      </w:r>
      <w:r w:rsidR="00FA7412" w:rsidRPr="005A4F03">
        <w:instrText xml:space="preserve"> SEQ CHAPTER \h \r 1</w:instrText>
      </w:r>
      <w:r w:rsidRPr="005A4F03">
        <w:fldChar w:fldCharType="end"/>
      </w:r>
      <w:r w:rsidR="00455BB9" w:rsidRPr="005A4F03">
        <w:rPr>
          <w:b/>
        </w:rPr>
        <w:t>JUDGMENT</w:t>
      </w:r>
      <w:r w:rsidR="00FA7412" w:rsidRPr="005A4F03">
        <w:rPr>
          <w:b/>
        </w:rPr>
        <w:t xml:space="preserve"> TO BE RENDERED </w:t>
      </w:r>
      <w:r w:rsidR="00E43F22" w:rsidRPr="005A4F03">
        <w:rPr>
          <w:b/>
        </w:rPr>
        <w:t>O</w:t>
      </w:r>
      <w:r w:rsidR="00FA7412" w:rsidRPr="005A4F03">
        <w:rPr>
          <w:b/>
        </w:rPr>
        <w:t>N APPEA</w:t>
      </w:r>
      <w:r w:rsidR="00CC2799" w:rsidRPr="005A4F03">
        <w:rPr>
          <w:b/>
        </w:rPr>
        <w:t>L</w:t>
      </w:r>
    </w:p>
    <w:p w:rsidR="005A7C1B" w:rsidRPr="005A4F03" w:rsidRDefault="005A7C1B" w:rsidP="005A7C1B">
      <w:pPr>
        <w:widowControl w:val="0"/>
      </w:pPr>
    </w:p>
    <w:p w:rsidR="00EC79B0" w:rsidRPr="005A4F03" w:rsidRDefault="00501215" w:rsidP="00EC79B0">
      <w:pPr>
        <w:widowControl w:val="0"/>
      </w:pPr>
      <w:r w:rsidRPr="005A4F03">
        <w:rPr>
          <w:b/>
        </w:rPr>
        <w:t>November</w:t>
      </w:r>
      <w:r w:rsidR="00C86395" w:rsidRPr="005A4F03">
        <w:rPr>
          <w:b/>
        </w:rPr>
        <w:t xml:space="preserve"> </w:t>
      </w:r>
      <w:r w:rsidR="002D0B9A" w:rsidRPr="005A4F03">
        <w:rPr>
          <w:b/>
        </w:rPr>
        <w:t>8</w:t>
      </w:r>
      <w:r w:rsidR="00EC79B0" w:rsidRPr="005A4F03">
        <w:rPr>
          <w:b/>
        </w:rPr>
        <w:t>, 2</w:t>
      </w:r>
      <w:r w:rsidR="00E6600C" w:rsidRPr="005A4F03">
        <w:rPr>
          <w:b/>
        </w:rPr>
        <w:t>0</w:t>
      </w:r>
      <w:r w:rsidR="009544E9" w:rsidRPr="005A4F03">
        <w:rPr>
          <w:b/>
        </w:rPr>
        <w:t>2</w:t>
      </w:r>
      <w:r w:rsidR="0049454A" w:rsidRPr="005A4F03">
        <w:rPr>
          <w:b/>
        </w:rPr>
        <w:t>4</w:t>
      </w:r>
    </w:p>
    <w:p w:rsidR="00EC79B0" w:rsidRPr="005A4F03" w:rsidRDefault="00EC79B0" w:rsidP="00EC79B0">
      <w:pPr>
        <w:widowControl w:val="0"/>
      </w:pPr>
    </w:p>
    <w:p w:rsidR="00EC79B0" w:rsidRPr="005A4F03" w:rsidRDefault="00EC79B0" w:rsidP="00EC79B0">
      <w:pPr>
        <w:widowControl w:val="0"/>
      </w:pPr>
      <w:r w:rsidRPr="005A4F03">
        <w:rPr>
          <w:b/>
        </w:rPr>
        <w:t>OTTAWA</w:t>
      </w:r>
      <w:r w:rsidRPr="005A4F03">
        <w:t xml:space="preserve"> – </w:t>
      </w:r>
      <w:r w:rsidR="0095505F" w:rsidRPr="005A4F03">
        <w:t xml:space="preserve">The Supreme Court of Canada will deliver its judgment on the following appeal at 9:45 a.m. ET on </w:t>
      </w:r>
      <w:r w:rsidR="00D27D6F" w:rsidRPr="005A4F03">
        <w:t>Friday</w:t>
      </w:r>
      <w:r w:rsidR="0095505F" w:rsidRPr="005A4F03">
        <w:t xml:space="preserve">, </w:t>
      </w:r>
      <w:r w:rsidR="002D0B9A" w:rsidRPr="005A4F03">
        <w:t>November</w:t>
      </w:r>
      <w:r w:rsidR="0095505F" w:rsidRPr="005A4F03">
        <w:t xml:space="preserve"> </w:t>
      </w:r>
      <w:r w:rsidR="00D27D6F" w:rsidRPr="005A4F03">
        <w:t>1</w:t>
      </w:r>
      <w:r w:rsidR="00501215" w:rsidRPr="005A4F03">
        <w:t>5</w:t>
      </w:r>
      <w:r w:rsidR="0095505F" w:rsidRPr="005A4F03">
        <w:t>, 202</w:t>
      </w:r>
      <w:r w:rsidR="0049454A" w:rsidRPr="005A4F03">
        <w:t>4</w:t>
      </w:r>
      <w:r w:rsidR="0095505F" w:rsidRPr="005A4F03">
        <w:t>.</w:t>
      </w:r>
    </w:p>
    <w:p w:rsidR="001F76DD" w:rsidRPr="005A4F03" w:rsidRDefault="001F76DD" w:rsidP="001C4415">
      <w:pPr>
        <w:widowControl w:val="0"/>
        <w:rPr>
          <w:szCs w:val="24"/>
        </w:rPr>
      </w:pPr>
    </w:p>
    <w:p w:rsidR="00A97E61" w:rsidRPr="005A4F03" w:rsidRDefault="00A97E61" w:rsidP="001C4415">
      <w:pPr>
        <w:widowControl w:val="0"/>
        <w:rPr>
          <w:szCs w:val="24"/>
        </w:rPr>
      </w:pPr>
    </w:p>
    <w:p w:rsidR="00A97E61" w:rsidRPr="005A4F03" w:rsidRDefault="002D0B9A" w:rsidP="00A97E61">
      <w:pPr>
        <w:jc w:val="both"/>
        <w:rPr>
          <w:szCs w:val="24"/>
        </w:rPr>
      </w:pPr>
      <w:r w:rsidRPr="005A4F03">
        <w:rPr>
          <w:i/>
          <w:szCs w:val="24"/>
        </w:rPr>
        <w:t xml:space="preserve">His Majesty the King v. </w:t>
      </w:r>
      <w:r w:rsidR="005A4F03" w:rsidRPr="005A4F03">
        <w:rPr>
          <w:i/>
          <w:szCs w:val="24"/>
        </w:rPr>
        <w:t>T.J.F.</w:t>
      </w:r>
      <w:r w:rsidRPr="005A4F03">
        <w:rPr>
          <w:i/>
          <w:szCs w:val="24"/>
        </w:rPr>
        <w:t xml:space="preserve"> </w:t>
      </w:r>
      <w:r w:rsidR="00A97E61" w:rsidRPr="005A4F03">
        <w:rPr>
          <w:szCs w:val="24"/>
        </w:rPr>
        <w:t>(</w:t>
      </w:r>
      <w:r w:rsidR="005A4F03" w:rsidRPr="005A4F03">
        <w:rPr>
          <w:szCs w:val="24"/>
        </w:rPr>
        <w:t>N.S</w:t>
      </w:r>
      <w:r w:rsidR="002848B1" w:rsidRPr="005A4F03">
        <w:rPr>
          <w:szCs w:val="24"/>
        </w:rPr>
        <w:t>.</w:t>
      </w:r>
      <w:r w:rsidR="00A97E61" w:rsidRPr="005A4F03">
        <w:rPr>
          <w:szCs w:val="24"/>
        </w:rPr>
        <w:t xml:space="preserve">) </w:t>
      </w:r>
      <w:r w:rsidR="00A97E61" w:rsidRPr="005A4F03">
        <w:t>(</w:t>
      </w:r>
      <w:hyperlink r:id="rId7" w:history="1">
        <w:r w:rsidR="002915B5" w:rsidRPr="005A4F03">
          <w:rPr>
            <w:rStyle w:val="Hyperlink"/>
          </w:rPr>
          <w:t>4</w:t>
        </w:r>
        <w:r w:rsidR="008E3E95" w:rsidRPr="005A4F03">
          <w:rPr>
            <w:rStyle w:val="Hyperlink"/>
          </w:rPr>
          <w:t>0</w:t>
        </w:r>
        <w:r w:rsidR="005A4F03" w:rsidRPr="005A4F03">
          <w:rPr>
            <w:rStyle w:val="Hyperlink"/>
          </w:rPr>
          <w:t>7</w:t>
        </w:r>
        <w:r w:rsidRPr="005A4F03">
          <w:rPr>
            <w:rStyle w:val="Hyperlink"/>
          </w:rPr>
          <w:t>4</w:t>
        </w:r>
        <w:r w:rsidR="005A4F03" w:rsidRPr="005A4F03">
          <w:rPr>
            <w:rStyle w:val="Hyperlink"/>
          </w:rPr>
          <w:t>9</w:t>
        </w:r>
      </w:hyperlink>
      <w:r w:rsidR="00A97E61" w:rsidRPr="005A4F03">
        <w:t>)</w:t>
      </w:r>
    </w:p>
    <w:p w:rsidR="00A97E61" w:rsidRPr="005A4F03" w:rsidRDefault="00A97E61" w:rsidP="00AC11A6">
      <w:pPr>
        <w:widowControl w:val="0"/>
        <w:jc w:val="both"/>
        <w:rPr>
          <w:sz w:val="20"/>
        </w:rPr>
      </w:pPr>
    </w:p>
    <w:bookmarkStart w:id="0" w:name="1"/>
    <w:bookmarkEnd w:id="0"/>
    <w:p w:rsidR="005A4F03" w:rsidRPr="005A4F03" w:rsidRDefault="005A4F03" w:rsidP="005A4F03">
      <w:pPr>
        <w:widowControl w:val="0"/>
        <w:ind w:left="851" w:hanging="851"/>
        <w:jc w:val="both"/>
        <w:rPr>
          <w:b/>
          <w:i/>
          <w:sz w:val="20"/>
          <w:lang w:val="en-CA"/>
        </w:rPr>
      </w:pPr>
      <w:r w:rsidRPr="005A4F03">
        <w:rPr>
          <w:b/>
          <w:sz w:val="20"/>
          <w:lang w:val="en-CA"/>
        </w:rPr>
        <w:fldChar w:fldCharType="begin"/>
      </w:r>
      <w:r w:rsidRPr="005A4F03">
        <w:rPr>
          <w:b/>
          <w:sz w:val="20"/>
        </w:rPr>
        <w:instrText xml:space="preserve"> SEQ CHAPTER \h \r 1</w:instrText>
      </w:r>
      <w:r w:rsidRPr="005A4F03">
        <w:rPr>
          <w:b/>
          <w:sz w:val="20"/>
        </w:rPr>
        <w:fldChar w:fldCharType="end"/>
      </w:r>
      <w:r w:rsidRPr="005A4F03">
        <w:rPr>
          <w:b/>
          <w:sz w:val="20"/>
          <w:lang w:val="en-CA"/>
        </w:rPr>
        <w:t>40749</w:t>
      </w:r>
      <w:r w:rsidRPr="005A4F03">
        <w:rPr>
          <w:b/>
          <w:sz w:val="20"/>
          <w:lang w:val="en-CA"/>
        </w:rPr>
        <w:tab/>
      </w:r>
      <w:r w:rsidRPr="005A4F03">
        <w:rPr>
          <w:b/>
          <w:i/>
          <w:sz w:val="20"/>
          <w:lang w:val="en-CA"/>
        </w:rPr>
        <w:t>His Majesty the King v. T.J.F.</w:t>
      </w:r>
    </w:p>
    <w:p w:rsidR="005A4F03" w:rsidRPr="005A4F03" w:rsidRDefault="005A4F03" w:rsidP="005A4F03">
      <w:pPr>
        <w:widowControl w:val="0"/>
        <w:ind w:left="851" w:hanging="851"/>
        <w:jc w:val="both"/>
        <w:rPr>
          <w:sz w:val="20"/>
          <w:lang w:val="en-CA"/>
        </w:rPr>
      </w:pPr>
      <w:r w:rsidRPr="005A4F03">
        <w:rPr>
          <w:sz w:val="20"/>
          <w:lang w:val="en-CA"/>
        </w:rPr>
        <w:tab/>
        <w:t>(N.S.) (Criminal) (As of Right)</w:t>
      </w:r>
    </w:p>
    <w:p w:rsidR="005A4F03" w:rsidRPr="005A4F03" w:rsidRDefault="005A4F03">
      <w:pPr>
        <w:widowControl w:val="0"/>
        <w:jc w:val="both"/>
        <w:rPr>
          <w:sz w:val="20"/>
          <w:lang w:val="en-CA"/>
        </w:rPr>
      </w:pPr>
    </w:p>
    <w:p w:rsidR="005A4F03" w:rsidRPr="005A4F03" w:rsidRDefault="005A4F03" w:rsidP="00434CC2">
      <w:pPr>
        <w:widowControl w:val="0"/>
        <w:tabs>
          <w:tab w:val="left" w:pos="720"/>
        </w:tabs>
        <w:ind w:left="1440" w:hanging="1440"/>
        <w:jc w:val="both"/>
        <w:rPr>
          <w:sz w:val="20"/>
          <w:lang w:val="en-CA"/>
        </w:rPr>
      </w:pPr>
      <w:r w:rsidRPr="005A4F03">
        <w:rPr>
          <w:sz w:val="20"/>
          <w:lang w:val="en-CA"/>
        </w:rPr>
        <w:t>(</w:t>
      </w:r>
      <w:r w:rsidRPr="005A4F03">
        <w:rPr>
          <w:smallCaps/>
          <w:sz w:val="20"/>
          <w:lang w:val="en-CA"/>
        </w:rPr>
        <w:t>Publication ban in case)</w:t>
      </w:r>
    </w:p>
    <w:p w:rsidR="005A4F03" w:rsidRPr="005A4F03" w:rsidRDefault="005A4F03" w:rsidP="00434CC2">
      <w:pPr>
        <w:widowControl w:val="0"/>
        <w:jc w:val="both"/>
        <w:rPr>
          <w:sz w:val="20"/>
          <w:lang w:val="en-CA"/>
        </w:rPr>
      </w:pPr>
    </w:p>
    <w:p w:rsidR="005A4F03" w:rsidRPr="005A4F03" w:rsidRDefault="005A4F03" w:rsidP="00430CEF">
      <w:pPr>
        <w:widowControl w:val="0"/>
        <w:jc w:val="both"/>
        <w:rPr>
          <w:sz w:val="20"/>
          <w:lang w:val="en-CA"/>
        </w:rPr>
      </w:pPr>
      <w:r w:rsidRPr="005A4F03">
        <w:rPr>
          <w:sz w:val="20"/>
          <w:lang w:val="en-CA"/>
        </w:rPr>
        <w:t xml:space="preserve">Criminal Law — Offences — Evidence — Trafficking and obtaining financial or material benefit from trafficking — Credibility — Whether the trial judge’s erroneous characterization of the respondent’s violent conduct as “past discreditable conduct” rather than part of the </w:t>
      </w:r>
      <w:r w:rsidRPr="005A4F03">
        <w:rPr>
          <w:i/>
          <w:sz w:val="20"/>
          <w:lang w:val="en-CA"/>
        </w:rPr>
        <w:t>actus reus</w:t>
      </w:r>
      <w:r w:rsidRPr="005A4F03">
        <w:rPr>
          <w:sz w:val="20"/>
          <w:lang w:val="en-CA"/>
        </w:rPr>
        <w:t xml:space="preserve"> raised a reasonable certainty that the verdict would not have been the same but for the error — </w:t>
      </w:r>
      <w:r w:rsidRPr="005A4F03">
        <w:rPr>
          <w:i/>
          <w:sz w:val="20"/>
          <w:lang w:val="en-CA"/>
        </w:rPr>
        <w:t>Criminal Code</w:t>
      </w:r>
      <w:r w:rsidRPr="005A4F03">
        <w:rPr>
          <w:sz w:val="20"/>
          <w:lang w:val="en-CA"/>
        </w:rPr>
        <w:t>, R.S.C. 1985, c. C-46, ss. 279.01, 279.02, 279.04.</w:t>
      </w:r>
    </w:p>
    <w:p w:rsidR="005A4F03" w:rsidRPr="005A4F03" w:rsidRDefault="005A4F03" w:rsidP="00434CC2">
      <w:pPr>
        <w:widowControl w:val="0"/>
        <w:jc w:val="both"/>
        <w:rPr>
          <w:sz w:val="20"/>
          <w:lang w:val="en-CA"/>
        </w:rPr>
      </w:pPr>
    </w:p>
    <w:p w:rsidR="005A4F03" w:rsidRPr="005A4F03" w:rsidRDefault="005A4F03">
      <w:pPr>
        <w:widowControl w:val="0"/>
        <w:jc w:val="both"/>
        <w:rPr>
          <w:sz w:val="20"/>
          <w:lang w:val="en-CA"/>
        </w:rPr>
      </w:pPr>
      <w:r w:rsidRPr="005A4F03">
        <w:rPr>
          <w:sz w:val="20"/>
          <w:lang w:val="en-CA"/>
        </w:rPr>
        <w:t xml:space="preserve">The respondent, T.J.F., was charged with human trafficking and obtaining a financial or material benefit from human trafficking during a period from 2006 through 2011. The trial judge accepted that the respondent had engaged in threats, intimidation and injury towards the complainant; he characterized this as “past discreditable conduct” but not part of the </w:t>
      </w:r>
      <w:r w:rsidRPr="005A4F03">
        <w:rPr>
          <w:i/>
          <w:sz w:val="20"/>
          <w:lang w:val="en-CA"/>
        </w:rPr>
        <w:t xml:space="preserve">actus </w:t>
      </w:r>
      <w:proofErr w:type="gramStart"/>
      <w:r w:rsidRPr="005A4F03">
        <w:rPr>
          <w:i/>
          <w:sz w:val="20"/>
          <w:lang w:val="en-CA"/>
        </w:rPr>
        <w:t>reus</w:t>
      </w:r>
      <w:proofErr w:type="gramEnd"/>
      <w:r w:rsidRPr="005A4F03">
        <w:rPr>
          <w:i/>
          <w:sz w:val="20"/>
          <w:lang w:val="en-CA"/>
        </w:rPr>
        <w:t xml:space="preserve"> </w:t>
      </w:r>
      <w:r w:rsidRPr="005A4F03">
        <w:rPr>
          <w:sz w:val="20"/>
          <w:lang w:val="en-CA"/>
        </w:rPr>
        <w:t>of the offences alleged. The complainant testimony included evidence of exploitation and attempted exploitation, but the trial judge did not accept the complainant’s evidence due to issues with her credibility. The respondent was acquitted. On appeal by the Crown, a majority of the Nova Scotia Court of Appeal agreed that the trial judge erred in treating the respondent’s violent conduct as “past discreditable conduct,” but it held that the error had no impact on the acquittal because exploitation and attempted exploitation depended upon the complainant’s testimony which the judge did not accept. The appeal was therefore dismissed.</w:t>
      </w:r>
    </w:p>
    <w:p w:rsidR="005A4F03" w:rsidRPr="005A4F03" w:rsidRDefault="005A4F03">
      <w:pPr>
        <w:widowControl w:val="0"/>
        <w:jc w:val="both"/>
        <w:rPr>
          <w:sz w:val="20"/>
          <w:lang w:val="en-CA"/>
        </w:rPr>
      </w:pPr>
    </w:p>
    <w:p w:rsidR="005A4F03" w:rsidRPr="005A4F03" w:rsidRDefault="005A4F03">
      <w:pPr>
        <w:widowControl w:val="0"/>
        <w:jc w:val="both"/>
        <w:rPr>
          <w:sz w:val="20"/>
          <w:lang w:val="en-CA"/>
        </w:rPr>
      </w:pPr>
      <w:r w:rsidRPr="005A4F03">
        <w:rPr>
          <w:sz w:val="20"/>
          <w:lang w:val="en-CA"/>
        </w:rPr>
        <w:t>The dissenting judge would have held that the trial judge erred in law by misapprehending critical evidence. The dissenting judge concluded that there is a reasonable degree of certainty the verdict would not have been the same but for the judge’s error. She would have allowed the appeal, set aside the acquittals and ordered a new trial.</w:t>
      </w:r>
    </w:p>
    <w:p w:rsidR="004874F7" w:rsidRPr="005A4F03" w:rsidRDefault="004874F7" w:rsidP="001C4415">
      <w:pPr>
        <w:widowControl w:val="0"/>
        <w:rPr>
          <w:szCs w:val="24"/>
        </w:rPr>
      </w:pPr>
    </w:p>
    <w:p w:rsidR="004874F7" w:rsidRPr="005A4F03" w:rsidRDefault="004874F7" w:rsidP="001C4415">
      <w:pPr>
        <w:widowControl w:val="0"/>
        <w:rPr>
          <w:szCs w:val="24"/>
        </w:rPr>
      </w:pPr>
    </w:p>
    <w:p w:rsidR="00A97E61" w:rsidRPr="005A4F03" w:rsidRDefault="005A4F03" w:rsidP="001C4415">
      <w:pPr>
        <w:widowControl w:val="0"/>
        <w:rPr>
          <w:szCs w:val="24"/>
          <w:lang w:val="fr-CA"/>
        </w:rPr>
      </w:pPr>
      <w:r w:rsidRPr="005A4F03">
        <w:rPr>
          <w:sz w:val="18"/>
          <w:szCs w:val="18"/>
        </w:rPr>
        <w:pict>
          <v:rect id="_x0000_i1025" style="width:272.25pt;height:1.5pt" o:hrpct="0" o:hralign="center" o:hrstd="t" o:hrnoshade="t" o:hr="t" fillcolor="black [3213]" stroked="f"/>
        </w:pict>
      </w:r>
    </w:p>
    <w:p w:rsidR="00A97E61" w:rsidRPr="005A4F03" w:rsidRDefault="00A97E61" w:rsidP="001C4415">
      <w:pPr>
        <w:widowControl w:val="0"/>
        <w:rPr>
          <w:szCs w:val="24"/>
          <w:lang w:val="fr-CA"/>
        </w:rPr>
      </w:pPr>
    </w:p>
    <w:p w:rsidR="001C4415" w:rsidRPr="005A4F03" w:rsidRDefault="001C4415" w:rsidP="001C4415">
      <w:pPr>
        <w:widowControl w:val="0"/>
        <w:rPr>
          <w:lang w:val="fr-CA"/>
        </w:rPr>
      </w:pPr>
    </w:p>
    <w:p w:rsidR="001335A1" w:rsidRPr="005A4F03" w:rsidRDefault="001335A1" w:rsidP="001335A1">
      <w:pPr>
        <w:widowControl w:val="0"/>
        <w:jc w:val="center"/>
        <w:rPr>
          <w:b/>
          <w:lang w:val="fr-CA"/>
        </w:rPr>
      </w:pPr>
      <w:r w:rsidRPr="005A4F03">
        <w:rPr>
          <w:b/>
          <w:lang w:val="fr-CA"/>
        </w:rPr>
        <w:t>PROCHAIN JUGEMENT</w:t>
      </w:r>
      <w:r w:rsidR="00455BB9" w:rsidRPr="005A4F03">
        <w:rPr>
          <w:b/>
          <w:lang w:val="fr-CA"/>
        </w:rPr>
        <w:t xml:space="preserve"> SUR APPEL</w:t>
      </w:r>
    </w:p>
    <w:p w:rsidR="001335A1" w:rsidRPr="005A4F03" w:rsidRDefault="001335A1" w:rsidP="001335A1">
      <w:pPr>
        <w:widowControl w:val="0"/>
        <w:rPr>
          <w:lang w:val="fr-CA"/>
        </w:rPr>
      </w:pPr>
    </w:p>
    <w:p w:rsidR="00EC79B0" w:rsidRPr="005A4F03" w:rsidRDefault="00EC79B0" w:rsidP="00EC79B0">
      <w:pPr>
        <w:widowControl w:val="0"/>
        <w:rPr>
          <w:lang w:val="fr-CA"/>
        </w:rPr>
      </w:pPr>
      <w:r w:rsidRPr="005A4F03">
        <w:rPr>
          <w:b/>
          <w:lang w:val="fr-CA"/>
        </w:rPr>
        <w:t xml:space="preserve">Le </w:t>
      </w:r>
      <w:r w:rsidR="002D0B9A" w:rsidRPr="005A4F03">
        <w:rPr>
          <w:b/>
          <w:lang w:val="fr-CA"/>
        </w:rPr>
        <w:t>8</w:t>
      </w:r>
      <w:r w:rsidR="00935B44" w:rsidRPr="005A4F03">
        <w:rPr>
          <w:b/>
          <w:lang w:val="fr-CA"/>
        </w:rPr>
        <w:t xml:space="preserve"> </w:t>
      </w:r>
      <w:r w:rsidR="00501215" w:rsidRPr="005A4F03">
        <w:rPr>
          <w:b/>
          <w:lang w:val="fr-CA"/>
        </w:rPr>
        <w:t>novem</w:t>
      </w:r>
      <w:r w:rsidR="00D27D6F" w:rsidRPr="005A4F03">
        <w:rPr>
          <w:b/>
          <w:lang w:val="fr-CA"/>
        </w:rPr>
        <w:t>bre</w:t>
      </w:r>
      <w:r w:rsidR="00C86395" w:rsidRPr="005A4F03">
        <w:rPr>
          <w:b/>
          <w:lang w:val="fr-CA"/>
        </w:rPr>
        <w:t xml:space="preserve"> </w:t>
      </w:r>
      <w:r w:rsidR="0086609D" w:rsidRPr="005A4F03">
        <w:rPr>
          <w:b/>
          <w:lang w:val="fr-CA"/>
        </w:rPr>
        <w:t>20</w:t>
      </w:r>
      <w:r w:rsidR="009544E9" w:rsidRPr="005A4F03">
        <w:rPr>
          <w:b/>
          <w:lang w:val="fr-CA"/>
        </w:rPr>
        <w:t>2</w:t>
      </w:r>
      <w:r w:rsidR="0049454A" w:rsidRPr="005A4F03">
        <w:rPr>
          <w:b/>
          <w:lang w:val="fr-CA"/>
        </w:rPr>
        <w:t>4</w:t>
      </w:r>
    </w:p>
    <w:p w:rsidR="00EC79B0" w:rsidRPr="005A4F03" w:rsidRDefault="00EC79B0" w:rsidP="00EC79B0">
      <w:pPr>
        <w:widowControl w:val="0"/>
        <w:rPr>
          <w:lang w:val="fr-CA"/>
        </w:rPr>
      </w:pPr>
    </w:p>
    <w:p w:rsidR="00EC79B0" w:rsidRPr="005A4F03" w:rsidRDefault="00EC79B0" w:rsidP="00EC79B0">
      <w:pPr>
        <w:widowControl w:val="0"/>
        <w:rPr>
          <w:lang w:val="fr-CA"/>
        </w:rPr>
      </w:pPr>
      <w:r w:rsidRPr="005A4F03">
        <w:rPr>
          <w:b/>
          <w:lang w:val="fr-CA"/>
        </w:rPr>
        <w:t>OTTAWA</w:t>
      </w:r>
      <w:r w:rsidRPr="005A4F03">
        <w:rPr>
          <w:lang w:val="fr-CA"/>
        </w:rPr>
        <w:t xml:space="preserve"> – </w:t>
      </w:r>
      <w:r w:rsidR="0095505F" w:rsidRPr="005A4F03">
        <w:rPr>
          <w:lang w:val="fr-CA"/>
        </w:rPr>
        <w:t xml:space="preserve">La Cour suprême du Canada rendra jugement dans l’appel suivant le </w:t>
      </w:r>
      <w:r w:rsidR="00D27D6F" w:rsidRPr="005A4F03">
        <w:rPr>
          <w:lang w:val="fr-CA"/>
        </w:rPr>
        <w:t>vendredi</w:t>
      </w:r>
      <w:r w:rsidR="0095505F" w:rsidRPr="005A4F03">
        <w:rPr>
          <w:lang w:val="fr-CA"/>
        </w:rPr>
        <w:t xml:space="preserve"> </w:t>
      </w:r>
      <w:r w:rsidR="00D27D6F" w:rsidRPr="005A4F03">
        <w:rPr>
          <w:lang w:val="fr-CA"/>
        </w:rPr>
        <w:t>1</w:t>
      </w:r>
      <w:r w:rsidR="00501215" w:rsidRPr="005A4F03">
        <w:rPr>
          <w:lang w:val="fr-CA"/>
        </w:rPr>
        <w:t>5</w:t>
      </w:r>
      <w:r w:rsidR="0095505F" w:rsidRPr="005A4F03">
        <w:rPr>
          <w:lang w:val="fr-CA"/>
        </w:rPr>
        <w:t xml:space="preserve"> </w:t>
      </w:r>
      <w:r w:rsidR="002D0B9A" w:rsidRPr="005A4F03">
        <w:rPr>
          <w:lang w:val="fr-CA"/>
        </w:rPr>
        <w:t>novembre</w:t>
      </w:r>
      <w:r w:rsidR="0095505F" w:rsidRPr="005A4F03">
        <w:rPr>
          <w:lang w:val="fr-CA"/>
        </w:rPr>
        <w:t xml:space="preserve"> 202</w:t>
      </w:r>
      <w:r w:rsidR="0049454A" w:rsidRPr="005A4F03">
        <w:rPr>
          <w:lang w:val="fr-CA"/>
        </w:rPr>
        <w:t>4</w:t>
      </w:r>
      <w:r w:rsidR="0095505F" w:rsidRPr="005A4F03">
        <w:rPr>
          <w:lang w:val="fr-CA"/>
        </w:rPr>
        <w:t>, à 9 h 45 HE.</w:t>
      </w:r>
    </w:p>
    <w:p w:rsidR="001F76DD" w:rsidRPr="005A4F03" w:rsidRDefault="001F76DD" w:rsidP="00E92006">
      <w:pPr>
        <w:widowControl w:val="0"/>
        <w:jc w:val="both"/>
        <w:rPr>
          <w:szCs w:val="24"/>
          <w:lang w:val="fr-CA"/>
        </w:rPr>
      </w:pPr>
    </w:p>
    <w:p w:rsidR="001335A1" w:rsidRPr="005A4F03" w:rsidRDefault="001335A1" w:rsidP="001335A1">
      <w:pPr>
        <w:widowControl w:val="0"/>
        <w:rPr>
          <w:szCs w:val="24"/>
          <w:lang w:val="fr-CA"/>
        </w:rPr>
      </w:pPr>
    </w:p>
    <w:p w:rsidR="00772636" w:rsidRPr="005A4F03" w:rsidRDefault="002D0B9A" w:rsidP="00772636">
      <w:pPr>
        <w:jc w:val="both"/>
        <w:rPr>
          <w:szCs w:val="24"/>
          <w:lang w:val="fr-CA"/>
        </w:rPr>
      </w:pPr>
      <w:r w:rsidRPr="005A4F03">
        <w:rPr>
          <w:i/>
          <w:szCs w:val="24"/>
          <w:lang w:val="fr-CA"/>
        </w:rPr>
        <w:t xml:space="preserve">Sa Majesté le Roi c. </w:t>
      </w:r>
      <w:r w:rsidR="005A4F03" w:rsidRPr="005A4F03">
        <w:rPr>
          <w:i/>
          <w:szCs w:val="24"/>
          <w:lang w:val="fr-CA"/>
        </w:rPr>
        <w:t>T.J.F.</w:t>
      </w:r>
      <w:r w:rsidR="009764B0" w:rsidRPr="005A4F03">
        <w:rPr>
          <w:i/>
          <w:szCs w:val="24"/>
          <w:lang w:val="fr-CA"/>
        </w:rPr>
        <w:t xml:space="preserve"> </w:t>
      </w:r>
      <w:r w:rsidR="00772636" w:rsidRPr="005A4F03">
        <w:rPr>
          <w:szCs w:val="24"/>
          <w:lang w:val="fr-CA"/>
        </w:rPr>
        <w:t>(</w:t>
      </w:r>
      <w:r w:rsidR="005A4F03" w:rsidRPr="005A4F03">
        <w:rPr>
          <w:szCs w:val="24"/>
          <w:lang w:val="fr-CA"/>
        </w:rPr>
        <w:t>N.-É.</w:t>
      </w:r>
      <w:r w:rsidR="00772636" w:rsidRPr="005A4F03">
        <w:rPr>
          <w:szCs w:val="24"/>
          <w:lang w:val="fr-CA"/>
        </w:rPr>
        <w:t xml:space="preserve">) </w:t>
      </w:r>
      <w:r w:rsidR="00772636" w:rsidRPr="005A4F03">
        <w:rPr>
          <w:lang w:val="fr-CA"/>
        </w:rPr>
        <w:t>(</w:t>
      </w:r>
      <w:hyperlink r:id="rId8" w:history="1">
        <w:r w:rsidR="002915B5" w:rsidRPr="005A4F03">
          <w:rPr>
            <w:rStyle w:val="Hyperlink"/>
            <w:lang w:val="fr-CA"/>
          </w:rPr>
          <w:t>40</w:t>
        </w:r>
        <w:r w:rsidR="005A4F03" w:rsidRPr="005A4F03">
          <w:rPr>
            <w:rStyle w:val="Hyperlink"/>
            <w:lang w:val="fr-CA"/>
          </w:rPr>
          <w:t>7</w:t>
        </w:r>
        <w:r w:rsidRPr="005A4F03">
          <w:rPr>
            <w:rStyle w:val="Hyperlink"/>
            <w:lang w:val="fr-CA"/>
          </w:rPr>
          <w:t>4</w:t>
        </w:r>
        <w:r w:rsidR="005A4F03" w:rsidRPr="005A4F03">
          <w:rPr>
            <w:rStyle w:val="Hyperlink"/>
            <w:lang w:val="fr-CA"/>
          </w:rPr>
          <w:t>9</w:t>
        </w:r>
      </w:hyperlink>
      <w:r w:rsidR="00772636" w:rsidRPr="005A4F03">
        <w:rPr>
          <w:lang w:val="fr-CA"/>
        </w:rPr>
        <w:t>)</w:t>
      </w:r>
    </w:p>
    <w:p w:rsidR="003B3C19" w:rsidRPr="005A4F03" w:rsidRDefault="003B3C19" w:rsidP="00AE14EC">
      <w:pPr>
        <w:widowControl w:val="0"/>
        <w:jc w:val="both"/>
        <w:rPr>
          <w:sz w:val="20"/>
          <w:lang w:val="fr-CA"/>
        </w:rPr>
      </w:pPr>
      <w:bookmarkStart w:id="1" w:name="QuickMark_1"/>
      <w:bookmarkEnd w:id="1"/>
    </w:p>
    <w:p w:rsidR="005A4F03" w:rsidRPr="005A4F03" w:rsidRDefault="005A4F03" w:rsidP="007E5DF1">
      <w:pPr>
        <w:widowControl w:val="0"/>
        <w:tabs>
          <w:tab w:val="left" w:pos="720"/>
        </w:tabs>
        <w:ind w:left="1440" w:hanging="1440"/>
        <w:jc w:val="both"/>
        <w:rPr>
          <w:b/>
          <w:i/>
          <w:sz w:val="20"/>
          <w:lang w:val="fr-CA"/>
        </w:rPr>
      </w:pPr>
      <w:r w:rsidRPr="005A4F03">
        <w:rPr>
          <w:b/>
          <w:sz w:val="20"/>
          <w:lang w:val="fr-CA"/>
        </w:rPr>
        <w:lastRenderedPageBreak/>
        <w:fldChar w:fldCharType="begin"/>
      </w:r>
      <w:r w:rsidRPr="005A4F03">
        <w:rPr>
          <w:b/>
          <w:sz w:val="20"/>
          <w:lang w:val="fr-CA"/>
        </w:rPr>
        <w:instrText xml:space="preserve"> SEQ CHAPTER \h \r 1</w:instrText>
      </w:r>
      <w:r w:rsidRPr="005A4F03">
        <w:rPr>
          <w:b/>
          <w:sz w:val="20"/>
          <w:lang w:val="fr-CA"/>
        </w:rPr>
        <w:fldChar w:fldCharType="end"/>
      </w:r>
      <w:r w:rsidRPr="005A4F03">
        <w:rPr>
          <w:b/>
          <w:sz w:val="20"/>
          <w:lang w:val="fr-CA"/>
        </w:rPr>
        <w:t>40749</w:t>
      </w:r>
      <w:r w:rsidRPr="005A4F03">
        <w:rPr>
          <w:sz w:val="20"/>
          <w:lang w:val="fr-CA"/>
        </w:rPr>
        <w:tab/>
      </w:r>
      <w:r w:rsidRPr="005A4F03">
        <w:rPr>
          <w:b/>
          <w:i/>
          <w:sz w:val="20"/>
          <w:lang w:val="fr-CA"/>
        </w:rPr>
        <w:t>Sa Majesté le Roi c. T.J.F.</w:t>
      </w:r>
    </w:p>
    <w:p w:rsidR="005A4F03" w:rsidRPr="005A4F03" w:rsidRDefault="005A4F03" w:rsidP="007E5DF1">
      <w:pPr>
        <w:widowControl w:val="0"/>
        <w:tabs>
          <w:tab w:val="left" w:pos="720"/>
        </w:tabs>
        <w:ind w:left="1440" w:hanging="1440"/>
        <w:jc w:val="both"/>
        <w:rPr>
          <w:sz w:val="20"/>
          <w:lang w:val="fr-CA"/>
        </w:rPr>
      </w:pPr>
      <w:r w:rsidRPr="005A4F03">
        <w:rPr>
          <w:sz w:val="20"/>
          <w:lang w:val="fr-CA"/>
        </w:rPr>
        <w:tab/>
        <w:t>(N.-É.) (Criminelle) (De plein droit)</w:t>
      </w:r>
    </w:p>
    <w:p w:rsidR="005A4F03" w:rsidRPr="005A4F03" w:rsidRDefault="005A4F03">
      <w:pPr>
        <w:widowControl w:val="0"/>
        <w:jc w:val="both"/>
        <w:rPr>
          <w:sz w:val="20"/>
          <w:lang w:val="fr-CA"/>
        </w:rPr>
      </w:pPr>
    </w:p>
    <w:p w:rsidR="005A4F03" w:rsidRPr="005A4F03" w:rsidRDefault="005A4F03" w:rsidP="002C2E22">
      <w:pPr>
        <w:pStyle w:val="SCCBanSummary"/>
        <w:rPr>
          <w:sz w:val="20"/>
          <w:szCs w:val="20"/>
          <w:lang w:val="fr-CA"/>
        </w:rPr>
      </w:pPr>
      <w:r w:rsidRPr="005A4F03">
        <w:rPr>
          <w:sz w:val="20"/>
          <w:szCs w:val="20"/>
          <w:lang w:val="fr-CA"/>
        </w:rPr>
        <w:t>(Ordonnance de non-publication au dossier)</w:t>
      </w:r>
    </w:p>
    <w:p w:rsidR="005A4F03" w:rsidRPr="005A4F03" w:rsidRDefault="005A4F03" w:rsidP="00434CC2">
      <w:pPr>
        <w:widowControl w:val="0"/>
        <w:jc w:val="both"/>
        <w:rPr>
          <w:sz w:val="20"/>
          <w:lang w:val="fr-CA"/>
        </w:rPr>
      </w:pPr>
    </w:p>
    <w:p w:rsidR="005A4F03" w:rsidRPr="005A4F03" w:rsidRDefault="005A4F03" w:rsidP="00434CC2">
      <w:pPr>
        <w:widowControl w:val="0"/>
        <w:jc w:val="both"/>
        <w:rPr>
          <w:sz w:val="20"/>
          <w:lang w:val="fr-CA"/>
        </w:rPr>
      </w:pPr>
      <w:r w:rsidRPr="005A4F03">
        <w:rPr>
          <w:sz w:val="20"/>
          <w:lang w:val="fr-CA"/>
        </w:rPr>
        <w:t>Droit criminel — Infractions — Preuve — Traite de personnes et obtention d’un avantage matériel ou pécuniaire pour cet acte — Crédibilité — La qualification erronée par le juge du procès de la conduite violente de l’appelant comme étant une « </w:t>
      </w:r>
      <w:r w:rsidRPr="005A4F03">
        <w:rPr>
          <w:color w:val="000000"/>
          <w:sz w:val="20"/>
          <w:lang w:val="fr-CA"/>
        </w:rPr>
        <w:t>conduite antérieure indigne » plutôt qu’un élément de l’</w:t>
      </w:r>
      <w:r w:rsidRPr="005A4F03">
        <w:rPr>
          <w:i/>
          <w:color w:val="000000"/>
          <w:sz w:val="20"/>
          <w:lang w:val="fr-CA"/>
        </w:rPr>
        <w:t xml:space="preserve">actus reus </w:t>
      </w:r>
      <w:r w:rsidRPr="005A4F03">
        <w:rPr>
          <w:color w:val="000000"/>
          <w:sz w:val="20"/>
          <w:lang w:val="fr-CA"/>
        </w:rPr>
        <w:t>de l’infraction a-t-elle eu pour effet de soulever</w:t>
      </w:r>
      <w:r w:rsidRPr="005A4F03">
        <w:rPr>
          <w:sz w:val="20"/>
          <w:lang w:val="fr-CA"/>
        </w:rPr>
        <w:t xml:space="preserve"> un degré de certitude raisonnable à savoir que le verdict n’aurait pas été le même, n’eût été l’erreur ? — </w:t>
      </w:r>
      <w:r w:rsidRPr="005A4F03">
        <w:rPr>
          <w:i/>
          <w:sz w:val="20"/>
          <w:lang w:val="fr-CA"/>
        </w:rPr>
        <w:t>Code criminel</w:t>
      </w:r>
      <w:r w:rsidRPr="005A4F03">
        <w:rPr>
          <w:sz w:val="20"/>
          <w:lang w:val="fr-CA"/>
        </w:rPr>
        <w:t>, L.R.C. 1985, ch. C-46, art. 279.01, 279.02, 279.04</w:t>
      </w:r>
    </w:p>
    <w:p w:rsidR="005A4F03" w:rsidRPr="005A4F03" w:rsidRDefault="005A4F03" w:rsidP="00434CC2">
      <w:pPr>
        <w:widowControl w:val="0"/>
        <w:jc w:val="both"/>
        <w:rPr>
          <w:sz w:val="20"/>
          <w:lang w:val="fr-CA"/>
        </w:rPr>
      </w:pPr>
    </w:p>
    <w:p w:rsidR="005A4F03" w:rsidRPr="005A4F03" w:rsidRDefault="005A4F03">
      <w:pPr>
        <w:widowControl w:val="0"/>
        <w:jc w:val="both"/>
        <w:rPr>
          <w:sz w:val="20"/>
          <w:lang w:val="fr-CA"/>
        </w:rPr>
      </w:pPr>
      <w:r w:rsidRPr="005A4F03">
        <w:rPr>
          <w:sz w:val="20"/>
          <w:lang w:val="fr-CA"/>
        </w:rPr>
        <w:t>L’intimé, T.J.F., a été accusé de traite de personnes et d’avoir obtenu un avantage matériel ou pécuniaire pour cet acte, pendant une période allant de 2006 à 2011. Le juge du procès a reconnu que l’appelant s’était livré à des menaces et à de l’intimidation envers la plaignante et qu'il lui avait causé un préjudice; ce que le juge a qualifié de « </w:t>
      </w:r>
      <w:r w:rsidRPr="005A4F03">
        <w:rPr>
          <w:color w:val="000000"/>
          <w:sz w:val="20"/>
          <w:lang w:val="fr-CA"/>
        </w:rPr>
        <w:t xml:space="preserve">conduite antérieure indigne » et non d’élément de </w:t>
      </w:r>
      <w:proofErr w:type="gramStart"/>
      <w:r w:rsidRPr="005A4F03">
        <w:rPr>
          <w:color w:val="000000"/>
          <w:sz w:val="20"/>
          <w:lang w:val="fr-CA"/>
        </w:rPr>
        <w:t>l’</w:t>
      </w:r>
      <w:r w:rsidRPr="005A4F03">
        <w:rPr>
          <w:i/>
          <w:color w:val="000000"/>
          <w:sz w:val="20"/>
          <w:lang w:val="fr-CA"/>
        </w:rPr>
        <w:t>actus</w:t>
      </w:r>
      <w:proofErr w:type="gramEnd"/>
      <w:r w:rsidRPr="005A4F03">
        <w:rPr>
          <w:i/>
          <w:color w:val="000000"/>
          <w:sz w:val="20"/>
          <w:lang w:val="fr-CA"/>
        </w:rPr>
        <w:t xml:space="preserve"> reus </w:t>
      </w:r>
      <w:r w:rsidRPr="005A4F03">
        <w:rPr>
          <w:sz w:val="20"/>
          <w:lang w:val="fr-CA"/>
        </w:rPr>
        <w:t>des infractions alléguées. Le témoignage de la plaignante comprenait des éléments de preuve relatifs aux infractions d’exploitation et de tentative d’exploitation, mais le juge du procès n’a pas accepté son témoignage en raison de questions concernant sa crédibilité. L’intimé a été acquitté. Dans le cadre de l’appel interjeté par la Couronne, les juges majoritaires de la Cour d’appel de la Nouvelle-Écosse ont convenu que le juge du procès avait fait erreur en qualifiant la conduite violente de l’appelant de « </w:t>
      </w:r>
      <w:r w:rsidRPr="005A4F03">
        <w:rPr>
          <w:color w:val="000000"/>
          <w:sz w:val="20"/>
          <w:lang w:val="fr-CA"/>
        </w:rPr>
        <w:t>conduite antérieure indigne », mais ils ont conclu que cette erreur n’avait aucune incidence sur l’</w:t>
      </w:r>
      <w:r w:rsidRPr="005A4F03">
        <w:rPr>
          <w:sz w:val="20"/>
          <w:lang w:val="fr-CA"/>
        </w:rPr>
        <w:t xml:space="preserve">acquittement prononcé puisque les infractions d’exploitation et de tentative d’exploitation dépendaient du témoignage de la plaignante que le juge n’avait pas accepté. L’appel a donc été rejeté. </w:t>
      </w:r>
    </w:p>
    <w:p w:rsidR="005A4F03" w:rsidRPr="005A4F03" w:rsidRDefault="005A4F03">
      <w:pPr>
        <w:widowControl w:val="0"/>
        <w:jc w:val="both"/>
        <w:rPr>
          <w:sz w:val="20"/>
          <w:lang w:val="fr-CA"/>
        </w:rPr>
      </w:pPr>
    </w:p>
    <w:p w:rsidR="005A4F03" w:rsidRPr="005A4F03" w:rsidRDefault="005A4F03">
      <w:pPr>
        <w:widowControl w:val="0"/>
        <w:jc w:val="both"/>
        <w:rPr>
          <w:sz w:val="20"/>
          <w:lang w:val="fr-CA"/>
        </w:rPr>
      </w:pPr>
      <w:r w:rsidRPr="005A4F03">
        <w:rPr>
          <w:sz w:val="20"/>
          <w:lang w:val="fr-CA"/>
        </w:rPr>
        <w:t>La juge dissidente aurait statué que le juge du procès a commis une erreur de droit en se livrant à une interprétation erronée d’éléments de preuve essentiels. La juge dissidente a conclu qu’il existe un degré de certitude raisonnable que le verdict n’aurait pas été le même n’eût été l’erreur du juge du procès. Elle aurait accueilli l’appel, annulé les acquittements et ordonné la tenue d’un nouveau procès.</w:t>
      </w:r>
    </w:p>
    <w:p w:rsidR="00046AF2" w:rsidRPr="005A4F03" w:rsidRDefault="00046AF2" w:rsidP="003B3C19">
      <w:pPr>
        <w:widowControl w:val="0"/>
        <w:jc w:val="both"/>
        <w:rPr>
          <w:sz w:val="20"/>
          <w:lang w:val="fr-CA"/>
        </w:rPr>
      </w:pPr>
    </w:p>
    <w:p w:rsidR="00EF4622" w:rsidRPr="005A4F03" w:rsidRDefault="005A4F03" w:rsidP="00CD14BB">
      <w:pPr>
        <w:pStyle w:val="aparanumbering1"/>
        <w:shd w:val="clear" w:color="auto" w:fill="FFFFFF"/>
        <w:spacing w:before="0" w:after="0"/>
        <w:ind w:left="0"/>
        <w:rPr>
          <w:rFonts w:ascii="Times New Roman" w:hAnsi="Times New Roman" w:cs="Times New Roman"/>
          <w:sz w:val="20"/>
          <w:szCs w:val="20"/>
          <w:lang w:val="fr-CA"/>
        </w:rPr>
      </w:pPr>
      <w:r w:rsidRPr="005A4F03">
        <w:rPr>
          <w:sz w:val="20"/>
        </w:rPr>
        <w:pict>
          <v:rect id="_x0000_i1026" style="width:2in;height:1pt" o:hrpct="0" o:hralign="center" o:hrstd="t" o:hrnoshade="t" o:hr="t" fillcolor="black [3213]" stroked="f"/>
        </w:pict>
      </w:r>
    </w:p>
    <w:p w:rsidR="00E92006" w:rsidRPr="005A4F03" w:rsidRDefault="00E92006" w:rsidP="00340C6D">
      <w:pPr>
        <w:jc w:val="both"/>
        <w:rPr>
          <w:sz w:val="20"/>
          <w:lang w:val="fr-CA"/>
        </w:rPr>
      </w:pPr>
    </w:p>
    <w:p w:rsidR="00E92006" w:rsidRPr="005A4F03" w:rsidRDefault="00E92006" w:rsidP="00340C6D">
      <w:pPr>
        <w:jc w:val="both"/>
        <w:rPr>
          <w:sz w:val="20"/>
          <w:lang w:val="fr-CA"/>
        </w:rPr>
      </w:pPr>
    </w:p>
    <w:p w:rsidR="00072A63" w:rsidRPr="005A4F03" w:rsidRDefault="00072A63" w:rsidP="00EC79B0">
      <w:pPr>
        <w:jc w:val="both"/>
        <w:rPr>
          <w:sz w:val="20"/>
          <w:lang w:val="fr-CA"/>
        </w:rPr>
      </w:pPr>
    </w:p>
    <w:p w:rsidR="001C4415" w:rsidRPr="005A4F03" w:rsidRDefault="001C4415" w:rsidP="001C4415">
      <w:pPr>
        <w:widowControl w:val="0"/>
        <w:outlineLvl w:val="0"/>
      </w:pPr>
      <w:r w:rsidRPr="005A4F03">
        <w:t xml:space="preserve">Supreme Court of Canada / Cour suprême du </w:t>
      </w:r>
      <w:proofErr w:type="gramStart"/>
      <w:r w:rsidRPr="005A4F03">
        <w:t>Canada :</w:t>
      </w:r>
      <w:proofErr w:type="gramEnd"/>
      <w:r w:rsidRPr="005A4F03">
        <w:t xml:space="preserve"> </w:t>
      </w:r>
    </w:p>
    <w:p w:rsidR="004F410B" w:rsidRPr="005A4F03" w:rsidRDefault="005A4F03" w:rsidP="004F410B">
      <w:pPr>
        <w:widowControl w:val="0"/>
        <w:outlineLvl w:val="0"/>
      </w:pPr>
      <w:hyperlink r:id="rId9" w:history="1">
        <w:r w:rsidR="004F410B" w:rsidRPr="005A4F03">
          <w:rPr>
            <w:rStyle w:val="Hyperlink"/>
          </w:rPr>
          <w:t>Registry-greffe@scc-csc.ca</w:t>
        </w:r>
      </w:hyperlink>
    </w:p>
    <w:p w:rsidR="001C4415" w:rsidRDefault="004F410B" w:rsidP="004F410B">
      <w:pPr>
        <w:widowControl w:val="0"/>
        <w:outlineLvl w:val="0"/>
      </w:pPr>
      <w:r w:rsidRPr="005A4F03">
        <w:t>1-844-365-9662</w:t>
      </w:r>
      <w:bookmarkStart w:id="2" w:name="_GoBack"/>
      <w:bookmarkEnd w:id="2"/>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0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0714"/>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65E"/>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0B9A"/>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1215"/>
    <w:rsid w:val="00504582"/>
    <w:rsid w:val="00506DD4"/>
    <w:rsid w:val="00512FB2"/>
    <w:rsid w:val="0051320D"/>
    <w:rsid w:val="005132EC"/>
    <w:rsid w:val="00517F18"/>
    <w:rsid w:val="00520525"/>
    <w:rsid w:val="00520A3C"/>
    <w:rsid w:val="00525362"/>
    <w:rsid w:val="00525B8E"/>
    <w:rsid w:val="005271AD"/>
    <w:rsid w:val="00531567"/>
    <w:rsid w:val="00532999"/>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4F03"/>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3DAC"/>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27D6F"/>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0A34"/>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0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74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74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5077</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2024-10-21T17:41:00Z</dcterms:modified>
</cp:coreProperties>
</file>