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5" w:rsidRPr="0040588B" w:rsidRDefault="001C4415" w:rsidP="001C4415">
      <w:pPr>
        <w:pStyle w:val="Header"/>
        <w:jc w:val="center"/>
        <w:rPr>
          <w:b/>
          <w:sz w:val="32"/>
        </w:rPr>
      </w:pPr>
      <w:r w:rsidRPr="0040588B">
        <w:rPr>
          <w:b/>
          <w:sz w:val="32"/>
        </w:rPr>
        <w:t>Supreme Court of Canada / Cour suprême du Canada</w:t>
      </w:r>
    </w:p>
    <w:p w:rsidR="001C4415" w:rsidRPr="0040588B" w:rsidRDefault="001C4415" w:rsidP="001C4415">
      <w:pPr>
        <w:widowControl w:val="0"/>
        <w:rPr>
          <w:i/>
        </w:rPr>
      </w:pPr>
    </w:p>
    <w:p w:rsidR="001C4415" w:rsidRPr="0040588B" w:rsidRDefault="001C4415" w:rsidP="001C4415">
      <w:pPr>
        <w:widowControl w:val="0"/>
        <w:rPr>
          <w:i/>
        </w:rPr>
      </w:pPr>
    </w:p>
    <w:p w:rsidR="001C4415" w:rsidRPr="0040588B" w:rsidRDefault="001C4415" w:rsidP="001C4415">
      <w:pPr>
        <w:widowControl w:val="0"/>
        <w:rPr>
          <w:i/>
        </w:rPr>
      </w:pPr>
      <w:r w:rsidRPr="0040588B">
        <w:rPr>
          <w:i/>
        </w:rPr>
        <w:t>(le français suit)</w:t>
      </w:r>
    </w:p>
    <w:p w:rsidR="001C4415" w:rsidRPr="0040588B" w:rsidRDefault="001C4415" w:rsidP="001C4415">
      <w:pPr>
        <w:widowControl w:val="0"/>
      </w:pPr>
    </w:p>
    <w:p w:rsidR="001C4415" w:rsidRPr="0040588B" w:rsidRDefault="000347C1" w:rsidP="00214729">
      <w:pPr>
        <w:widowControl w:val="0"/>
        <w:jc w:val="center"/>
        <w:rPr>
          <w:b/>
        </w:rPr>
      </w:pPr>
      <w:r w:rsidRPr="0040588B">
        <w:fldChar w:fldCharType="begin"/>
      </w:r>
      <w:r w:rsidR="00FA7412" w:rsidRPr="0040588B">
        <w:instrText xml:space="preserve"> SEQ CHAPTER \h \r 1</w:instrText>
      </w:r>
      <w:r w:rsidRPr="0040588B">
        <w:fldChar w:fldCharType="end"/>
      </w:r>
      <w:r w:rsidR="006545ED" w:rsidRPr="0040588B">
        <w:rPr>
          <w:b/>
        </w:rPr>
        <w:t>REASONS FOR J</w:t>
      </w:r>
      <w:r w:rsidR="00455BB9" w:rsidRPr="0040588B">
        <w:rPr>
          <w:b/>
        </w:rPr>
        <w:t>UDGMENT</w:t>
      </w:r>
      <w:r w:rsidR="00F821F9" w:rsidRPr="0040588B">
        <w:rPr>
          <w:b/>
        </w:rPr>
        <w:t xml:space="preserve"> TO BE RENDERED O</w:t>
      </w:r>
      <w:r w:rsidR="00FA7412" w:rsidRPr="0040588B">
        <w:rPr>
          <w:b/>
        </w:rPr>
        <w:t>N APPEA</w:t>
      </w:r>
      <w:r w:rsidR="00342E49" w:rsidRPr="0040588B">
        <w:rPr>
          <w:b/>
        </w:rPr>
        <w:t>L</w:t>
      </w:r>
    </w:p>
    <w:p w:rsidR="005A7C1B" w:rsidRPr="0040588B" w:rsidRDefault="005A7C1B" w:rsidP="005A7C1B">
      <w:pPr>
        <w:widowControl w:val="0"/>
      </w:pPr>
    </w:p>
    <w:p w:rsidR="00EC79B0" w:rsidRPr="0040588B" w:rsidRDefault="00DF79DA" w:rsidP="00EC79B0">
      <w:pPr>
        <w:widowControl w:val="0"/>
        <w:rPr>
          <w:b/>
        </w:rPr>
      </w:pPr>
      <w:r w:rsidRPr="0040588B">
        <w:rPr>
          <w:b/>
        </w:rPr>
        <w:t>November</w:t>
      </w:r>
      <w:r w:rsidR="00C86395" w:rsidRPr="0040588B">
        <w:rPr>
          <w:b/>
        </w:rPr>
        <w:t xml:space="preserve"> </w:t>
      </w:r>
      <w:r w:rsidRPr="0040588B">
        <w:rPr>
          <w:b/>
        </w:rPr>
        <w:t>29</w:t>
      </w:r>
      <w:r w:rsidR="00EC79B0" w:rsidRPr="0040588B">
        <w:rPr>
          <w:b/>
        </w:rPr>
        <w:t>, 20</w:t>
      </w:r>
      <w:r w:rsidR="00690520" w:rsidRPr="0040588B">
        <w:rPr>
          <w:b/>
        </w:rPr>
        <w:t>2</w:t>
      </w:r>
      <w:r w:rsidR="00D17434" w:rsidRPr="0040588B">
        <w:rPr>
          <w:b/>
        </w:rPr>
        <w:t>4</w:t>
      </w:r>
    </w:p>
    <w:p w:rsidR="00EC79B0" w:rsidRPr="0040588B" w:rsidRDefault="00EC79B0" w:rsidP="00EC79B0">
      <w:pPr>
        <w:widowControl w:val="0"/>
      </w:pPr>
    </w:p>
    <w:p w:rsidR="00EC79B0" w:rsidRPr="0040588B" w:rsidRDefault="00EC79B0" w:rsidP="00EC79B0">
      <w:pPr>
        <w:widowControl w:val="0"/>
      </w:pPr>
      <w:r w:rsidRPr="0040588B">
        <w:rPr>
          <w:b/>
        </w:rPr>
        <w:t>OTTAWA</w:t>
      </w:r>
      <w:r w:rsidRPr="0040588B">
        <w:t xml:space="preserve"> –</w:t>
      </w:r>
      <w:r w:rsidR="00C73BB2" w:rsidRPr="0040588B">
        <w:t xml:space="preserve"> On </w:t>
      </w:r>
      <w:r w:rsidR="008956F4" w:rsidRPr="0040588B">
        <w:t>November</w:t>
      </w:r>
      <w:r w:rsidR="00C73BB2" w:rsidRPr="0040588B">
        <w:t xml:space="preserve"> </w:t>
      </w:r>
      <w:r w:rsidR="008956F4" w:rsidRPr="0040588B">
        <w:t>8</w:t>
      </w:r>
      <w:r w:rsidR="00C73BB2" w:rsidRPr="0040588B">
        <w:t>, 20</w:t>
      </w:r>
      <w:r w:rsidR="002674CC" w:rsidRPr="0040588B">
        <w:t>2</w:t>
      </w:r>
      <w:r w:rsidR="00970A7B" w:rsidRPr="0040588B">
        <w:t>4</w:t>
      </w:r>
      <w:r w:rsidR="00C73BB2" w:rsidRPr="0040588B">
        <w:t xml:space="preserve">, the Supreme Court of Canada </w:t>
      </w:r>
      <w:r w:rsidR="008956F4" w:rsidRPr="0040588B">
        <w:t>dismissed</w:t>
      </w:r>
      <w:r w:rsidR="00C73BB2" w:rsidRPr="0040588B">
        <w:t xml:space="preserve"> the appeal</w:t>
      </w:r>
      <w:r w:rsidR="00F821F9" w:rsidRPr="0040588B">
        <w:t xml:space="preserve"> set out below</w:t>
      </w:r>
      <w:r w:rsidR="00AE3866" w:rsidRPr="0040588B">
        <w:t xml:space="preserve"> </w:t>
      </w:r>
      <w:r w:rsidR="00C73BB2" w:rsidRPr="0040588B">
        <w:t xml:space="preserve">with reasons </w:t>
      </w:r>
      <w:r w:rsidR="00F821F9" w:rsidRPr="0040588B">
        <w:t xml:space="preserve">for judgment </w:t>
      </w:r>
      <w:r w:rsidR="00C73BB2" w:rsidRPr="0040588B">
        <w:t>t</w:t>
      </w:r>
      <w:r w:rsidR="00F821F9" w:rsidRPr="0040588B">
        <w:t>o follow</w:t>
      </w:r>
      <w:r w:rsidR="00C73BB2" w:rsidRPr="0040588B">
        <w:t>. The</w:t>
      </w:r>
      <w:r w:rsidR="00E004F0" w:rsidRPr="0040588B">
        <w:t xml:space="preserve">se reasons </w:t>
      </w:r>
      <w:r w:rsidR="00C73BB2" w:rsidRPr="0040588B">
        <w:t xml:space="preserve">will be delivered at 9:45 a.m. ET on </w:t>
      </w:r>
      <w:r w:rsidR="00DF79DA" w:rsidRPr="0040588B">
        <w:t>Thursday</w:t>
      </w:r>
      <w:r w:rsidR="00C73BB2" w:rsidRPr="0040588B">
        <w:t xml:space="preserve">, </w:t>
      </w:r>
      <w:r w:rsidR="00DF79DA" w:rsidRPr="0040588B">
        <w:t>December</w:t>
      </w:r>
      <w:r w:rsidR="00C73BB2" w:rsidRPr="0040588B">
        <w:t xml:space="preserve"> </w:t>
      </w:r>
      <w:r w:rsidR="00DF79DA" w:rsidRPr="0040588B">
        <w:t>5</w:t>
      </w:r>
      <w:r w:rsidR="00C73BB2" w:rsidRPr="0040588B">
        <w:t>, 20</w:t>
      </w:r>
      <w:r w:rsidR="00690520" w:rsidRPr="0040588B">
        <w:t>2</w:t>
      </w:r>
      <w:r w:rsidR="00D17434" w:rsidRPr="0040588B">
        <w:t>4</w:t>
      </w:r>
      <w:r w:rsidR="001C5ACC" w:rsidRPr="0040588B">
        <w:t>.</w:t>
      </w:r>
    </w:p>
    <w:p w:rsidR="001C4415" w:rsidRPr="0040588B" w:rsidRDefault="001C4415" w:rsidP="001C4415">
      <w:pPr>
        <w:widowControl w:val="0"/>
        <w:rPr>
          <w:sz w:val="20"/>
        </w:rPr>
      </w:pPr>
    </w:p>
    <w:p w:rsidR="001C5ACC" w:rsidRPr="0040588B" w:rsidRDefault="001C5ACC" w:rsidP="001C4415">
      <w:pPr>
        <w:widowControl w:val="0"/>
        <w:rPr>
          <w:sz w:val="20"/>
        </w:rPr>
      </w:pPr>
    </w:p>
    <w:p w:rsidR="001C5ACC" w:rsidRPr="0040588B" w:rsidRDefault="008956F4" w:rsidP="001C5ACC">
      <w:pPr>
        <w:widowControl w:val="0"/>
        <w:rPr>
          <w:szCs w:val="24"/>
        </w:rPr>
      </w:pPr>
      <w:r w:rsidRPr="0040588B">
        <w:rPr>
          <w:i/>
          <w:iCs/>
          <w:szCs w:val="24"/>
        </w:rPr>
        <w:t xml:space="preserve">Thomas Stevenson v. His Majesty the King </w:t>
      </w:r>
      <w:r w:rsidR="001C5ACC" w:rsidRPr="0040588B">
        <w:rPr>
          <w:szCs w:val="24"/>
        </w:rPr>
        <w:t>(</w:t>
      </w:r>
      <w:r w:rsidRPr="0040588B">
        <w:rPr>
          <w:szCs w:val="24"/>
        </w:rPr>
        <w:t>Sask.</w:t>
      </w:r>
      <w:r w:rsidR="001C5ACC" w:rsidRPr="0040588B">
        <w:rPr>
          <w:szCs w:val="24"/>
        </w:rPr>
        <w:t>) (</w:t>
      </w:r>
      <w:hyperlink r:id="rId7" w:history="1">
        <w:r w:rsidR="00970A7B" w:rsidRPr="0040588B">
          <w:rPr>
            <w:rStyle w:val="Hyperlink"/>
            <w:szCs w:val="24"/>
          </w:rPr>
          <w:t>4</w:t>
        </w:r>
        <w:r w:rsidRPr="0040588B">
          <w:rPr>
            <w:rStyle w:val="Hyperlink"/>
            <w:szCs w:val="24"/>
          </w:rPr>
          <w:t>1269</w:t>
        </w:r>
      </w:hyperlink>
      <w:r w:rsidR="001C5ACC" w:rsidRPr="0040588B">
        <w:rPr>
          <w:szCs w:val="24"/>
        </w:rPr>
        <w:t>)</w:t>
      </w:r>
    </w:p>
    <w:p w:rsidR="001C5ACC" w:rsidRPr="0040588B" w:rsidRDefault="001C5ACC" w:rsidP="001C5ACC">
      <w:pPr>
        <w:jc w:val="both"/>
        <w:rPr>
          <w:sz w:val="20"/>
        </w:rPr>
      </w:pPr>
    </w:p>
    <w:p w:rsidR="008956F4" w:rsidRPr="0040588B" w:rsidRDefault="008956F4" w:rsidP="00074E84">
      <w:pPr>
        <w:widowControl w:val="0"/>
        <w:tabs>
          <w:tab w:val="left" w:pos="720"/>
        </w:tabs>
        <w:ind w:left="1440" w:hanging="1440"/>
        <w:jc w:val="both"/>
        <w:rPr>
          <w:b/>
          <w:i/>
          <w:sz w:val="20"/>
          <w:lang w:val="en-CA"/>
        </w:rPr>
      </w:pPr>
      <w:r w:rsidRPr="0040588B">
        <w:rPr>
          <w:b/>
          <w:sz w:val="20"/>
          <w:lang w:val="en-CA"/>
        </w:rPr>
        <w:fldChar w:fldCharType="begin"/>
      </w:r>
      <w:r w:rsidRPr="0040588B">
        <w:rPr>
          <w:b/>
          <w:sz w:val="20"/>
        </w:rPr>
        <w:instrText xml:space="preserve"> SEQ CHAPTER \h \r 1</w:instrText>
      </w:r>
      <w:r w:rsidRPr="0040588B">
        <w:rPr>
          <w:b/>
          <w:sz w:val="20"/>
        </w:rPr>
        <w:fldChar w:fldCharType="end"/>
      </w:r>
      <w:r w:rsidRPr="0040588B">
        <w:rPr>
          <w:b/>
          <w:sz w:val="20"/>
          <w:lang w:val="en-CA"/>
        </w:rPr>
        <w:t>41269</w:t>
      </w:r>
      <w:r w:rsidRPr="0040588B">
        <w:rPr>
          <w:sz w:val="20"/>
          <w:lang w:val="en-CA"/>
        </w:rPr>
        <w:tab/>
      </w:r>
      <w:r w:rsidRPr="0040588B">
        <w:rPr>
          <w:b/>
          <w:i/>
          <w:sz w:val="20"/>
          <w:lang w:val="en-CA"/>
        </w:rPr>
        <w:t>Thomas Stevenson v. His Majesty the King</w:t>
      </w:r>
    </w:p>
    <w:p w:rsidR="008956F4" w:rsidRPr="0040588B" w:rsidRDefault="008956F4" w:rsidP="00074E84">
      <w:pPr>
        <w:widowControl w:val="0"/>
        <w:tabs>
          <w:tab w:val="left" w:pos="720"/>
        </w:tabs>
        <w:ind w:left="1440" w:hanging="1440"/>
        <w:jc w:val="both"/>
        <w:rPr>
          <w:sz w:val="20"/>
          <w:lang w:val="en-CA"/>
        </w:rPr>
      </w:pPr>
      <w:r w:rsidRPr="0040588B">
        <w:rPr>
          <w:sz w:val="20"/>
          <w:lang w:val="en-CA"/>
        </w:rPr>
        <w:tab/>
        <w:t>(Sask.) (Criminal) (As of Right)</w:t>
      </w:r>
    </w:p>
    <w:p w:rsidR="008956F4" w:rsidRPr="0040588B" w:rsidRDefault="008956F4">
      <w:pPr>
        <w:widowControl w:val="0"/>
        <w:jc w:val="both"/>
        <w:rPr>
          <w:sz w:val="20"/>
          <w:lang w:val="en-CA"/>
        </w:rPr>
      </w:pPr>
    </w:p>
    <w:p w:rsidR="008956F4" w:rsidRPr="0040588B" w:rsidRDefault="008956F4">
      <w:pPr>
        <w:widowControl w:val="0"/>
        <w:jc w:val="both"/>
        <w:rPr>
          <w:sz w:val="20"/>
          <w:lang w:val="en-CA"/>
        </w:rPr>
      </w:pPr>
      <w:r w:rsidRPr="0040588B">
        <w:rPr>
          <w:sz w:val="20"/>
          <w:lang w:val="en-CA"/>
        </w:rPr>
        <w:t xml:space="preserve">Criminal Law — Evidence — Assessment —Unsavoury Crown witnesses — Sufficiency of Vetrovec scrutiny — Whether the Court of Appeal erred in law by affirming the trial judge’s reliance on the identification evidence of the Crown’s unsavoury witness — Whether the Court of Appeal erred in law by affirming the trial judge’s application of the principles set out in </w:t>
      </w:r>
      <w:r w:rsidRPr="0040588B">
        <w:rPr>
          <w:i/>
          <w:sz w:val="20"/>
          <w:lang w:val="en-CA"/>
        </w:rPr>
        <w:t>Vetrovec v. The Queen</w:t>
      </w:r>
      <w:r w:rsidRPr="0040588B">
        <w:rPr>
          <w:sz w:val="20"/>
          <w:lang w:val="en-CA"/>
        </w:rPr>
        <w:t>, [1982] 1 S.C.R. 811.</w:t>
      </w:r>
    </w:p>
    <w:p w:rsidR="008956F4" w:rsidRPr="0040588B" w:rsidRDefault="008956F4">
      <w:pPr>
        <w:widowControl w:val="0"/>
        <w:jc w:val="both"/>
        <w:rPr>
          <w:sz w:val="20"/>
          <w:lang w:val="en-CA"/>
        </w:rPr>
      </w:pPr>
    </w:p>
    <w:p w:rsidR="008956F4" w:rsidRPr="0040588B" w:rsidRDefault="008956F4" w:rsidP="00CF33C9">
      <w:pPr>
        <w:widowControl w:val="0"/>
        <w:jc w:val="both"/>
        <w:rPr>
          <w:sz w:val="20"/>
          <w:lang w:val="en-CA"/>
        </w:rPr>
      </w:pPr>
      <w:r w:rsidRPr="0040588B">
        <w:rPr>
          <w:sz w:val="20"/>
          <w:lang w:val="en-CA"/>
        </w:rPr>
        <w:t xml:space="preserve">Two people robbed a restaurant with their faces completely covered. The incident was captured on security cameras. The crime remained unsolved for several years until an unsavoury third-party witness implicated the appellant as one of the robbers. The appellant was charged with robbery and disguise with intent to commit an indictable offence under the </w:t>
      </w:r>
      <w:r w:rsidRPr="0040588B">
        <w:rPr>
          <w:i/>
          <w:sz w:val="20"/>
          <w:lang w:val="en-CA"/>
        </w:rPr>
        <w:t>Criminal Code</w:t>
      </w:r>
      <w:r w:rsidRPr="0040588B">
        <w:rPr>
          <w:sz w:val="20"/>
          <w:lang w:val="en-CA"/>
        </w:rPr>
        <w:t>. The appellant elected to be tried by a provincial court judge.</w:t>
      </w:r>
    </w:p>
    <w:p w:rsidR="008956F4" w:rsidRPr="0040588B" w:rsidRDefault="008956F4" w:rsidP="00CF33C9">
      <w:pPr>
        <w:widowControl w:val="0"/>
        <w:jc w:val="both"/>
        <w:rPr>
          <w:sz w:val="20"/>
          <w:lang w:val="en-CA"/>
        </w:rPr>
      </w:pPr>
    </w:p>
    <w:p w:rsidR="008956F4" w:rsidRPr="0040588B" w:rsidRDefault="008956F4" w:rsidP="00CF33C9">
      <w:pPr>
        <w:widowControl w:val="0"/>
        <w:jc w:val="both"/>
        <w:rPr>
          <w:sz w:val="20"/>
          <w:lang w:val="en-CA"/>
        </w:rPr>
      </w:pPr>
      <w:r w:rsidRPr="0040588B">
        <w:rPr>
          <w:sz w:val="20"/>
          <w:lang w:val="en-CA"/>
        </w:rPr>
        <w:t>The sole issue at trial was the appellant’s identity, and the Crown’s evidence on that element was limited to evidence of the unsavoury witness. The trial judge determined that the witness was able to provide recognition evidence. The witness then testified to multiple ways he was able to identify the appellant in the video despite his face being covered. The trial judge accepted the witness’s evidence and concluded that some of the evidence at trial corroborated his testimony. The trial judge convicted the appellant of robbery and having his face masked while committing an indictable offence.</w:t>
      </w:r>
    </w:p>
    <w:p w:rsidR="008956F4" w:rsidRPr="0040588B" w:rsidRDefault="008956F4" w:rsidP="00CF33C9">
      <w:pPr>
        <w:widowControl w:val="0"/>
        <w:jc w:val="both"/>
        <w:rPr>
          <w:sz w:val="20"/>
          <w:lang w:val="en-CA"/>
        </w:rPr>
      </w:pPr>
    </w:p>
    <w:p w:rsidR="008956F4" w:rsidRPr="0040588B" w:rsidRDefault="008956F4">
      <w:pPr>
        <w:widowControl w:val="0"/>
        <w:jc w:val="both"/>
        <w:rPr>
          <w:sz w:val="20"/>
          <w:lang w:val="en-CA"/>
        </w:rPr>
      </w:pPr>
      <w:r w:rsidRPr="0040588B">
        <w:rPr>
          <w:sz w:val="20"/>
          <w:lang w:val="en-CA"/>
        </w:rPr>
        <w:t>The Court of Appeal dismissed the appellant’s appeal from his conviction and affirmed the conviction. A majority of the Court of Appeal held that there was no error in the trial judge’s application of Vetrovec. The trial judge recognized the dangers of relying on the unsavoury witness’s evidence and provided reasons that explained how those challenges were resolved. The dissenting justice would have allowed the appeal and ordered a new trial. She concluded that the trial judge had erred in the treatment of the evidence of the Crown’s unsavoury witness. The trial judge’s Vetrovec errors were errors of law that warranted appellate intervention.</w:t>
      </w:r>
    </w:p>
    <w:p w:rsidR="001C5ACC" w:rsidRPr="0040588B" w:rsidRDefault="001C5ACC" w:rsidP="001C4415">
      <w:pPr>
        <w:widowControl w:val="0"/>
      </w:pPr>
    </w:p>
    <w:p w:rsidR="00C871EF" w:rsidRPr="0040588B" w:rsidRDefault="00C871EF" w:rsidP="001C4415">
      <w:pPr>
        <w:widowControl w:val="0"/>
      </w:pPr>
    </w:p>
    <w:p w:rsidR="001C5ACC" w:rsidRPr="0040588B" w:rsidRDefault="00045A43" w:rsidP="001C4415">
      <w:pPr>
        <w:widowControl w:val="0"/>
      </w:pPr>
      <w:r>
        <w:rPr>
          <w:sz w:val="18"/>
          <w:szCs w:val="18"/>
        </w:rPr>
        <w:pict>
          <v:rect id="_x0000_i1025" style="width:272.25pt;height:1.5pt" o:hrpct="0" o:hralign="center" o:hrstd="t" o:hrnoshade="t" o:hr="t" fillcolor="black [3213]" stroked="f"/>
        </w:pict>
      </w:r>
    </w:p>
    <w:p w:rsidR="001C5ACC" w:rsidRPr="0040588B" w:rsidRDefault="001C5ACC" w:rsidP="001C4415">
      <w:pPr>
        <w:widowControl w:val="0"/>
      </w:pPr>
    </w:p>
    <w:p w:rsidR="001C5ACC" w:rsidRPr="0040588B" w:rsidRDefault="001C5ACC" w:rsidP="001C4415">
      <w:pPr>
        <w:widowControl w:val="0"/>
      </w:pPr>
    </w:p>
    <w:p w:rsidR="001335A1" w:rsidRPr="0040588B" w:rsidRDefault="001335A1" w:rsidP="001335A1">
      <w:pPr>
        <w:widowControl w:val="0"/>
        <w:jc w:val="center"/>
        <w:rPr>
          <w:b/>
          <w:lang w:val="fr-CA"/>
        </w:rPr>
      </w:pPr>
      <w:r w:rsidRPr="0040588B">
        <w:rPr>
          <w:b/>
          <w:lang w:val="fr-CA"/>
        </w:rPr>
        <w:t>PROCHAIN</w:t>
      </w:r>
      <w:r w:rsidR="006545ED" w:rsidRPr="0040588B">
        <w:rPr>
          <w:b/>
          <w:lang w:val="fr-CA"/>
        </w:rPr>
        <w:t>S MOTIFS DE</w:t>
      </w:r>
      <w:r w:rsidRPr="0040588B">
        <w:rPr>
          <w:b/>
          <w:lang w:val="fr-CA"/>
        </w:rPr>
        <w:t xml:space="preserve"> JUGEMENT</w:t>
      </w:r>
      <w:r w:rsidR="00455BB9" w:rsidRPr="0040588B">
        <w:rPr>
          <w:b/>
          <w:lang w:val="fr-CA"/>
        </w:rPr>
        <w:t xml:space="preserve"> SUR APPEL</w:t>
      </w:r>
    </w:p>
    <w:p w:rsidR="001335A1" w:rsidRPr="0040588B" w:rsidRDefault="001335A1" w:rsidP="001335A1">
      <w:pPr>
        <w:widowControl w:val="0"/>
        <w:rPr>
          <w:lang w:val="fr-CA"/>
        </w:rPr>
      </w:pPr>
    </w:p>
    <w:p w:rsidR="00EC79B0" w:rsidRPr="0040588B" w:rsidRDefault="00EC79B0" w:rsidP="00EC79B0">
      <w:pPr>
        <w:widowControl w:val="0"/>
        <w:rPr>
          <w:b/>
          <w:lang w:val="fr-CA"/>
        </w:rPr>
      </w:pPr>
      <w:r w:rsidRPr="0040588B">
        <w:rPr>
          <w:b/>
          <w:lang w:val="fr-CA"/>
        </w:rPr>
        <w:t xml:space="preserve">Le </w:t>
      </w:r>
      <w:r w:rsidR="00DF79DA" w:rsidRPr="0040588B">
        <w:rPr>
          <w:b/>
          <w:lang w:val="fr-CA"/>
        </w:rPr>
        <w:t>29</w:t>
      </w:r>
      <w:r w:rsidR="002674CC" w:rsidRPr="0040588B">
        <w:rPr>
          <w:b/>
          <w:lang w:val="fr-CA"/>
        </w:rPr>
        <w:t xml:space="preserve"> </w:t>
      </w:r>
      <w:r w:rsidR="00DF79DA" w:rsidRPr="0040588B">
        <w:rPr>
          <w:b/>
          <w:lang w:val="fr-CA"/>
        </w:rPr>
        <w:t>novembre</w:t>
      </w:r>
      <w:r w:rsidR="00B1627A" w:rsidRPr="0040588B">
        <w:rPr>
          <w:b/>
          <w:lang w:val="fr-CA"/>
        </w:rPr>
        <w:t xml:space="preserve"> </w:t>
      </w:r>
      <w:r w:rsidR="0086609D" w:rsidRPr="0040588B">
        <w:rPr>
          <w:b/>
          <w:lang w:val="fr-CA"/>
        </w:rPr>
        <w:t>20</w:t>
      </w:r>
      <w:r w:rsidR="00690520" w:rsidRPr="0040588B">
        <w:rPr>
          <w:b/>
          <w:lang w:val="fr-CA"/>
        </w:rPr>
        <w:t>2</w:t>
      </w:r>
      <w:r w:rsidR="00D17434" w:rsidRPr="0040588B">
        <w:rPr>
          <w:b/>
          <w:lang w:val="fr-CA"/>
        </w:rPr>
        <w:t>4</w:t>
      </w:r>
    </w:p>
    <w:p w:rsidR="00EC79B0" w:rsidRPr="0040588B" w:rsidRDefault="00EC79B0" w:rsidP="00EC79B0">
      <w:pPr>
        <w:widowControl w:val="0"/>
        <w:rPr>
          <w:lang w:val="fr-CA"/>
        </w:rPr>
      </w:pPr>
    </w:p>
    <w:p w:rsidR="00EC79B0" w:rsidRPr="0040588B" w:rsidRDefault="00EC79B0" w:rsidP="00EC79B0">
      <w:pPr>
        <w:widowControl w:val="0"/>
        <w:rPr>
          <w:lang w:val="fr-CA"/>
        </w:rPr>
      </w:pPr>
      <w:r w:rsidRPr="0040588B">
        <w:rPr>
          <w:b/>
          <w:lang w:val="fr-CA"/>
        </w:rPr>
        <w:t>OTTAWA</w:t>
      </w:r>
      <w:r w:rsidR="00C73BB2" w:rsidRPr="0040588B">
        <w:rPr>
          <w:lang w:val="fr-CA"/>
        </w:rPr>
        <w:t xml:space="preserve"> – Le </w:t>
      </w:r>
      <w:r w:rsidR="00EB3E66" w:rsidRPr="0040588B">
        <w:rPr>
          <w:lang w:val="fr-CA"/>
        </w:rPr>
        <w:t>8</w:t>
      </w:r>
      <w:r w:rsidR="00C73BB2" w:rsidRPr="0040588B">
        <w:rPr>
          <w:lang w:val="fr-CA"/>
        </w:rPr>
        <w:t xml:space="preserve"> </w:t>
      </w:r>
      <w:r w:rsidR="00EB3E66" w:rsidRPr="0040588B">
        <w:rPr>
          <w:lang w:val="fr-CA"/>
        </w:rPr>
        <w:t>novembre</w:t>
      </w:r>
      <w:r w:rsidR="00C73BB2" w:rsidRPr="0040588B">
        <w:rPr>
          <w:lang w:val="fr-CA"/>
        </w:rPr>
        <w:t xml:space="preserve"> 20</w:t>
      </w:r>
      <w:r w:rsidR="002674CC" w:rsidRPr="0040588B">
        <w:rPr>
          <w:lang w:val="fr-CA"/>
        </w:rPr>
        <w:t>2</w:t>
      </w:r>
      <w:r w:rsidR="00970A7B" w:rsidRPr="0040588B">
        <w:rPr>
          <w:lang w:val="fr-CA"/>
        </w:rPr>
        <w:t>4</w:t>
      </w:r>
      <w:r w:rsidR="00C73BB2" w:rsidRPr="0040588B">
        <w:rPr>
          <w:lang w:val="fr-CA"/>
        </w:rPr>
        <w:t xml:space="preserve">, la Cour suprême du Canada a </w:t>
      </w:r>
      <w:r w:rsidR="00EB3E66" w:rsidRPr="0040588B">
        <w:rPr>
          <w:lang w:val="fr-CA"/>
        </w:rPr>
        <w:t>rejeté</w:t>
      </w:r>
      <w:r w:rsidR="00782B59" w:rsidRPr="0040588B">
        <w:rPr>
          <w:lang w:val="fr-CA"/>
        </w:rPr>
        <w:t xml:space="preserve"> </w:t>
      </w:r>
      <w:r w:rsidR="00C73BB2" w:rsidRPr="0040588B">
        <w:rPr>
          <w:lang w:val="fr-CA"/>
        </w:rPr>
        <w:t>l</w:t>
      </w:r>
      <w:r w:rsidR="00A463BE" w:rsidRPr="0040588B">
        <w:rPr>
          <w:lang w:val="fr-CA"/>
        </w:rPr>
        <w:t>’</w:t>
      </w:r>
      <w:r w:rsidR="00C73BB2" w:rsidRPr="0040588B">
        <w:rPr>
          <w:lang w:val="fr-CA"/>
        </w:rPr>
        <w:t>appel</w:t>
      </w:r>
      <w:r w:rsidR="00E004F0" w:rsidRPr="0040588B">
        <w:rPr>
          <w:lang w:val="fr-CA"/>
        </w:rPr>
        <w:t xml:space="preserve"> ci-dessous</w:t>
      </w:r>
      <w:r w:rsidR="00AE3866" w:rsidRPr="0040588B">
        <w:rPr>
          <w:lang w:val="fr-CA"/>
        </w:rPr>
        <w:t xml:space="preserve">, </w:t>
      </w:r>
      <w:r w:rsidR="00DB5074" w:rsidRPr="0040588B">
        <w:rPr>
          <w:lang w:val="fr-CA"/>
        </w:rPr>
        <w:t>avec</w:t>
      </w:r>
      <w:r w:rsidR="00C73BB2" w:rsidRPr="0040588B">
        <w:rPr>
          <w:lang w:val="fr-CA"/>
        </w:rPr>
        <w:t xml:space="preserve"> motifs </w:t>
      </w:r>
      <w:r w:rsidR="00E004F0" w:rsidRPr="0040588B">
        <w:rPr>
          <w:lang w:val="fr-CA"/>
        </w:rPr>
        <w:t xml:space="preserve">de jugement </w:t>
      </w:r>
      <w:r w:rsidR="00C73BB2" w:rsidRPr="0040588B">
        <w:rPr>
          <w:lang w:val="fr-CA"/>
        </w:rPr>
        <w:t>à suivre</w:t>
      </w:r>
      <w:r w:rsidR="00E004F0" w:rsidRPr="0040588B">
        <w:rPr>
          <w:lang w:val="fr-CA"/>
        </w:rPr>
        <w:t>. C</w:t>
      </w:r>
      <w:r w:rsidR="00C73BB2" w:rsidRPr="0040588B">
        <w:rPr>
          <w:lang w:val="fr-CA"/>
        </w:rPr>
        <w:t>es motifs</w:t>
      </w:r>
      <w:r w:rsidR="006F57A6" w:rsidRPr="0040588B">
        <w:rPr>
          <w:lang w:val="fr-CA"/>
        </w:rPr>
        <w:t xml:space="preserve"> seront déposés le </w:t>
      </w:r>
      <w:r w:rsidR="00DF79DA" w:rsidRPr="0040588B">
        <w:rPr>
          <w:lang w:val="fr-CA"/>
        </w:rPr>
        <w:t>jeudi</w:t>
      </w:r>
      <w:r w:rsidR="00C73BB2" w:rsidRPr="0040588B">
        <w:rPr>
          <w:lang w:val="fr-CA"/>
        </w:rPr>
        <w:t xml:space="preserve"> </w:t>
      </w:r>
      <w:r w:rsidR="00DF79DA" w:rsidRPr="0040588B">
        <w:rPr>
          <w:lang w:val="fr-CA"/>
        </w:rPr>
        <w:t>5</w:t>
      </w:r>
      <w:r w:rsidR="00C73BB2" w:rsidRPr="0040588B">
        <w:rPr>
          <w:lang w:val="fr-CA"/>
        </w:rPr>
        <w:t xml:space="preserve"> </w:t>
      </w:r>
      <w:r w:rsidR="00DF79DA" w:rsidRPr="0040588B">
        <w:rPr>
          <w:lang w:val="fr-CA"/>
        </w:rPr>
        <w:t>décembre</w:t>
      </w:r>
      <w:r w:rsidR="00C73BB2" w:rsidRPr="0040588B">
        <w:rPr>
          <w:lang w:val="fr-CA"/>
        </w:rPr>
        <w:t xml:space="preserve"> 20</w:t>
      </w:r>
      <w:r w:rsidR="00690520" w:rsidRPr="0040588B">
        <w:rPr>
          <w:lang w:val="fr-CA"/>
        </w:rPr>
        <w:t>2</w:t>
      </w:r>
      <w:r w:rsidR="00D17434" w:rsidRPr="0040588B">
        <w:rPr>
          <w:lang w:val="fr-CA"/>
        </w:rPr>
        <w:t>4</w:t>
      </w:r>
      <w:r w:rsidR="00C73BB2" w:rsidRPr="0040588B">
        <w:rPr>
          <w:lang w:val="fr-CA"/>
        </w:rPr>
        <w:t>, à 9 h 45 H</w:t>
      </w:r>
      <w:r w:rsidR="001C5ACC" w:rsidRPr="0040588B">
        <w:rPr>
          <w:lang w:val="fr-CA"/>
        </w:rPr>
        <w:t>E.</w:t>
      </w:r>
    </w:p>
    <w:p w:rsidR="0069183C" w:rsidRPr="0040588B" w:rsidRDefault="0069183C" w:rsidP="00A36EBE">
      <w:pPr>
        <w:widowControl w:val="0"/>
        <w:jc w:val="both"/>
        <w:rPr>
          <w:iCs/>
          <w:sz w:val="20"/>
          <w:lang w:val="fr-CA" w:eastAsia="en-CA"/>
        </w:rPr>
      </w:pPr>
    </w:p>
    <w:p w:rsidR="00385E20" w:rsidRPr="0040588B" w:rsidRDefault="00385E20" w:rsidP="00A36EBE">
      <w:pPr>
        <w:widowControl w:val="0"/>
        <w:jc w:val="both"/>
        <w:rPr>
          <w:iCs/>
          <w:sz w:val="20"/>
          <w:lang w:val="fr-CA" w:eastAsia="en-CA"/>
        </w:rPr>
      </w:pPr>
    </w:p>
    <w:p w:rsidR="003E64A6" w:rsidRPr="0040588B" w:rsidRDefault="00EB3E66" w:rsidP="003E64A6">
      <w:pPr>
        <w:widowControl w:val="0"/>
        <w:rPr>
          <w:szCs w:val="24"/>
          <w:lang w:val="fr-CA"/>
        </w:rPr>
      </w:pPr>
      <w:r w:rsidRPr="0040588B">
        <w:rPr>
          <w:i/>
          <w:iCs/>
          <w:szCs w:val="24"/>
          <w:lang w:val="fr-CA"/>
        </w:rPr>
        <w:t xml:space="preserve">Thomas Stevenson c. Sa Majesté le Roi </w:t>
      </w:r>
      <w:r w:rsidR="003E64A6" w:rsidRPr="0040588B">
        <w:rPr>
          <w:szCs w:val="24"/>
          <w:lang w:val="fr-CA"/>
        </w:rPr>
        <w:t>(</w:t>
      </w:r>
      <w:r w:rsidRPr="0040588B">
        <w:rPr>
          <w:szCs w:val="24"/>
          <w:lang w:val="fr-CA"/>
        </w:rPr>
        <w:t>Sask</w:t>
      </w:r>
      <w:r w:rsidR="003E64A6" w:rsidRPr="0040588B">
        <w:rPr>
          <w:szCs w:val="24"/>
          <w:lang w:val="fr-CA"/>
        </w:rPr>
        <w:t>.) (</w:t>
      </w:r>
      <w:hyperlink r:id="rId8" w:history="1">
        <w:r w:rsidR="00970A7B" w:rsidRPr="0040588B">
          <w:rPr>
            <w:rStyle w:val="Hyperlink"/>
            <w:szCs w:val="24"/>
            <w:lang w:val="fr-CA"/>
          </w:rPr>
          <w:t>4</w:t>
        </w:r>
        <w:r w:rsidRPr="0040588B">
          <w:rPr>
            <w:rStyle w:val="Hyperlink"/>
            <w:szCs w:val="24"/>
            <w:lang w:val="fr-CA"/>
          </w:rPr>
          <w:t>1269</w:t>
        </w:r>
      </w:hyperlink>
      <w:r w:rsidR="003E64A6" w:rsidRPr="0040588B">
        <w:rPr>
          <w:szCs w:val="24"/>
          <w:lang w:val="fr-CA"/>
        </w:rPr>
        <w:t>)</w:t>
      </w:r>
    </w:p>
    <w:p w:rsidR="00385E20" w:rsidRPr="0040588B" w:rsidRDefault="00385E20" w:rsidP="00A36EBE">
      <w:pPr>
        <w:widowControl w:val="0"/>
        <w:jc w:val="both"/>
        <w:rPr>
          <w:iCs/>
          <w:sz w:val="20"/>
          <w:lang w:val="fr-CA" w:eastAsia="en-CA"/>
        </w:rPr>
      </w:pPr>
    </w:p>
    <w:p w:rsidR="00EB3E66" w:rsidRPr="0040588B" w:rsidRDefault="00EB3E66" w:rsidP="00074E84">
      <w:pPr>
        <w:widowControl w:val="0"/>
        <w:tabs>
          <w:tab w:val="left" w:pos="720"/>
        </w:tabs>
        <w:ind w:left="1440" w:hanging="1440"/>
        <w:jc w:val="both"/>
        <w:rPr>
          <w:b/>
          <w:i/>
          <w:sz w:val="20"/>
          <w:lang w:val="fr-CA"/>
        </w:rPr>
      </w:pPr>
      <w:r w:rsidRPr="0040588B">
        <w:rPr>
          <w:b/>
          <w:sz w:val="20"/>
          <w:lang w:val="en-CA"/>
        </w:rPr>
        <w:fldChar w:fldCharType="begin"/>
      </w:r>
      <w:r w:rsidRPr="0040588B">
        <w:rPr>
          <w:b/>
          <w:sz w:val="20"/>
          <w:lang w:val="fr-CA"/>
        </w:rPr>
        <w:instrText xml:space="preserve"> SEQ CHAPTER \h \r 1</w:instrText>
      </w:r>
      <w:r w:rsidRPr="0040588B">
        <w:rPr>
          <w:b/>
          <w:sz w:val="20"/>
        </w:rPr>
        <w:fldChar w:fldCharType="end"/>
      </w:r>
      <w:r w:rsidRPr="0040588B">
        <w:rPr>
          <w:b/>
          <w:sz w:val="20"/>
          <w:lang w:val="fr-CA"/>
        </w:rPr>
        <w:t>41269</w:t>
      </w:r>
      <w:r w:rsidRPr="0040588B">
        <w:rPr>
          <w:sz w:val="20"/>
          <w:lang w:val="fr-CA"/>
        </w:rPr>
        <w:tab/>
      </w:r>
      <w:r w:rsidRPr="0040588B">
        <w:rPr>
          <w:b/>
          <w:i/>
          <w:sz w:val="20"/>
          <w:lang w:val="fr-CA"/>
        </w:rPr>
        <w:t>Thomas Stevenson c. Sa Majesté le Roi</w:t>
      </w:r>
    </w:p>
    <w:p w:rsidR="00EB3E66" w:rsidRPr="0040588B" w:rsidRDefault="00EB3E66" w:rsidP="00074E84">
      <w:pPr>
        <w:widowControl w:val="0"/>
        <w:tabs>
          <w:tab w:val="left" w:pos="720"/>
        </w:tabs>
        <w:ind w:left="1440" w:hanging="1440"/>
        <w:jc w:val="both"/>
        <w:rPr>
          <w:sz w:val="20"/>
          <w:lang w:val="fr-CA"/>
        </w:rPr>
      </w:pPr>
      <w:r w:rsidRPr="0040588B">
        <w:rPr>
          <w:sz w:val="20"/>
          <w:lang w:val="fr-CA"/>
        </w:rPr>
        <w:tab/>
        <w:t>(Sask.) (Criminelle) (De plein droit)</w:t>
      </w:r>
    </w:p>
    <w:p w:rsidR="00EB3E66" w:rsidRPr="0040588B" w:rsidRDefault="00EB3E66">
      <w:pPr>
        <w:widowControl w:val="0"/>
        <w:jc w:val="both"/>
        <w:rPr>
          <w:sz w:val="20"/>
          <w:lang w:val="fr-CA"/>
        </w:rPr>
      </w:pPr>
    </w:p>
    <w:p w:rsidR="00EB3E66" w:rsidRPr="0040588B" w:rsidRDefault="00EB3E66">
      <w:pPr>
        <w:widowControl w:val="0"/>
        <w:jc w:val="both"/>
        <w:rPr>
          <w:sz w:val="20"/>
          <w:lang w:val="fr-CA"/>
        </w:rPr>
      </w:pPr>
      <w:r w:rsidRPr="0040588B">
        <w:rPr>
          <w:sz w:val="20"/>
          <w:lang w:val="fr-CA"/>
        </w:rPr>
        <w:t xml:space="preserve">Droit criminel — Preuve — Appréciation — Témoins de la Couronne douteux — Suffisance de l’examen de type Vetrovec — La Cour d’appel a-t-elle commis une erreur de droit, en confirmant que le juge du procès s’était fondé sur la preuve d’identification du témoin douteux de la Couronne? — La Cour d’appel a-t-elle commis une erreur de droit en confirmant l’application faite par le juge du procès des principes énoncés dans l’arrêt </w:t>
      </w:r>
      <w:r w:rsidRPr="0040588B">
        <w:rPr>
          <w:i/>
          <w:sz w:val="20"/>
          <w:lang w:val="fr-CA"/>
        </w:rPr>
        <w:t>Vetrovec c. La Reine</w:t>
      </w:r>
      <w:r w:rsidRPr="0040588B">
        <w:rPr>
          <w:sz w:val="20"/>
          <w:lang w:val="fr-CA"/>
        </w:rPr>
        <w:t>, [1982] 1 R.C.S. 811?</w:t>
      </w:r>
    </w:p>
    <w:p w:rsidR="00EB3E66" w:rsidRPr="0040588B" w:rsidRDefault="00EB3E66">
      <w:pPr>
        <w:widowControl w:val="0"/>
        <w:jc w:val="both"/>
        <w:rPr>
          <w:sz w:val="20"/>
          <w:lang w:val="fr-CA"/>
        </w:rPr>
      </w:pPr>
    </w:p>
    <w:p w:rsidR="00EB3E66" w:rsidRPr="0040588B" w:rsidRDefault="00EB3E66" w:rsidP="00CF33C9">
      <w:pPr>
        <w:widowControl w:val="0"/>
        <w:jc w:val="both"/>
        <w:rPr>
          <w:sz w:val="20"/>
          <w:lang w:val="fr-CA"/>
        </w:rPr>
      </w:pPr>
      <w:r w:rsidRPr="0040588B">
        <w:rPr>
          <w:sz w:val="20"/>
          <w:lang w:val="fr-CA"/>
        </w:rPr>
        <w:t xml:space="preserve">Deux personnes ont commis un vol qualifié dans un restaurant alors que leurs visages </w:t>
      </w:r>
      <w:r w:rsidR="00045A43" w:rsidRPr="00045A43">
        <w:rPr>
          <w:sz w:val="20"/>
          <w:lang w:val="fr-CA"/>
        </w:rPr>
        <w:t xml:space="preserve">étaient </w:t>
      </w:r>
      <w:bookmarkStart w:id="0" w:name="_GoBack"/>
      <w:bookmarkEnd w:id="0"/>
      <w:r w:rsidRPr="0040588B">
        <w:rPr>
          <w:sz w:val="20"/>
          <w:lang w:val="fr-CA"/>
        </w:rPr>
        <w:t xml:space="preserve">entièrement couverts. L’incident a été filmé par des caméras de sécurité. Le crime est demeuré non résolu pendant plusieurs années, jusqu’à ce qu’un témoin tiers douteux implique l’appelant comme étant l’un des voleurs. L’appelant a été accusé de vol qualifié et de déguisement dans l’intention de commettre un acte criminel, aux termes du </w:t>
      </w:r>
      <w:r w:rsidRPr="0040588B">
        <w:rPr>
          <w:i/>
          <w:sz w:val="20"/>
          <w:lang w:val="fr-CA"/>
        </w:rPr>
        <w:t>Code criminel</w:t>
      </w:r>
      <w:r w:rsidRPr="0040588B">
        <w:rPr>
          <w:sz w:val="20"/>
          <w:lang w:val="fr-CA"/>
        </w:rPr>
        <w:t>. L’appelant a choisi de subir un procès devant un juge de la Cour provinciale.</w:t>
      </w:r>
    </w:p>
    <w:p w:rsidR="00EB3E66" w:rsidRPr="0040588B" w:rsidRDefault="00EB3E66" w:rsidP="00CF33C9">
      <w:pPr>
        <w:widowControl w:val="0"/>
        <w:jc w:val="both"/>
        <w:rPr>
          <w:sz w:val="20"/>
          <w:lang w:val="fr-CA"/>
        </w:rPr>
      </w:pPr>
    </w:p>
    <w:p w:rsidR="00EB3E66" w:rsidRPr="0040588B" w:rsidRDefault="00EB3E66" w:rsidP="00CF33C9">
      <w:pPr>
        <w:widowControl w:val="0"/>
        <w:jc w:val="both"/>
        <w:rPr>
          <w:sz w:val="20"/>
          <w:lang w:val="fr-CA"/>
        </w:rPr>
      </w:pPr>
      <w:r w:rsidRPr="0040588B">
        <w:rPr>
          <w:sz w:val="20"/>
          <w:lang w:val="fr-CA"/>
        </w:rPr>
        <w:t>La seule question à trancher durant le procès était l’identité de l’appelant, et la preuve de la Couronne sur cet élément était limitée au témoignage donné par un témoin douteux. Le juge du procès a décidé que le témoin était en mesure de donner une preuve de reconnaissance. Le témoin a ensuite témoigné sur les nombreuses manières selon lesquelles il a été en mesure d’identifier l’appelant sur la vidéo, même si sa figure était couverte. Le juge du procès a accepté le témoignage du témoin et conclu que certains des éléments de preuve présentés au procès corroboraient son témoignage. Le juge du procès a déclaré l’appelant coupable de vol qualifié et d’avoir la figure couverte pendant la perpétration de l’acte criminel.</w:t>
      </w:r>
    </w:p>
    <w:p w:rsidR="00EB3E66" w:rsidRPr="0040588B" w:rsidRDefault="00EB3E66" w:rsidP="00CF33C9">
      <w:pPr>
        <w:widowControl w:val="0"/>
        <w:jc w:val="both"/>
        <w:rPr>
          <w:sz w:val="20"/>
          <w:lang w:val="fr-CA"/>
        </w:rPr>
      </w:pPr>
    </w:p>
    <w:p w:rsidR="00EB3E66" w:rsidRPr="0040588B" w:rsidRDefault="00EB3E66" w:rsidP="00CF33C9">
      <w:pPr>
        <w:widowControl w:val="0"/>
        <w:jc w:val="both"/>
        <w:rPr>
          <w:sz w:val="20"/>
          <w:lang w:val="fr-CA"/>
        </w:rPr>
      </w:pPr>
      <w:r w:rsidRPr="0040588B">
        <w:rPr>
          <w:sz w:val="20"/>
          <w:lang w:val="fr-CA"/>
        </w:rPr>
        <w:t>La Cour d’appel a rejeté l’appel interjeté par l’appelant contre sa déclaration de culpabilité et confirmé celle-ci. Les juges majoritaires de la Cour d’appel ont décidé qu’il n’y avait pas d’erreur dans la manière dont le juge du procès a appliqué la directive de type Vetrovec. Le juge du procès a reconnu les risques de se fonder sur la preuve du témoin douteux et a rendu des motifs qui expliquaient comment ces difficultés avaient été résolues. La juge dissidente aurait accueilli l’appel et ordonné la tenue d’un nouveau procès. Elle a conclu que le juge du procès avait commis une erreur dans la manière dont il a traité la preuve du témoin douteux de la Couronne. Les erreurs de type Vetrovec commises par le juge du procès étaient des erreurs de droit qui justifiaient l’intervention en appel.</w:t>
      </w:r>
    </w:p>
    <w:p w:rsidR="009F5887" w:rsidRPr="0040588B" w:rsidRDefault="009F5887" w:rsidP="00340C6D">
      <w:pPr>
        <w:jc w:val="both"/>
        <w:rPr>
          <w:sz w:val="20"/>
          <w:lang w:val="fr-CA"/>
        </w:rPr>
      </w:pPr>
    </w:p>
    <w:p w:rsidR="009F5887" w:rsidRPr="0040588B" w:rsidRDefault="00045A43" w:rsidP="00340C6D">
      <w:pPr>
        <w:jc w:val="both"/>
        <w:rPr>
          <w:sz w:val="20"/>
          <w:lang w:val="fr-CA"/>
        </w:rPr>
      </w:pPr>
      <w:r>
        <w:rPr>
          <w:sz w:val="20"/>
        </w:rPr>
        <w:pict>
          <v:rect id="_x0000_i1026" style="width:2in;height:1pt" o:hrpct="0" o:hralign="center" o:hrstd="t" o:hrnoshade="t" o:hr="t" fillcolor="black [3213]" stroked="f"/>
        </w:pict>
      </w:r>
    </w:p>
    <w:p w:rsidR="00782B59" w:rsidRPr="0040588B" w:rsidRDefault="00782B59" w:rsidP="00340C6D">
      <w:pPr>
        <w:jc w:val="both"/>
        <w:rPr>
          <w:szCs w:val="24"/>
          <w:lang w:val="fr-CA"/>
        </w:rPr>
      </w:pPr>
    </w:p>
    <w:p w:rsidR="00ED67FB" w:rsidRPr="0040588B" w:rsidRDefault="00ED67FB" w:rsidP="00340C6D">
      <w:pPr>
        <w:jc w:val="both"/>
        <w:rPr>
          <w:szCs w:val="24"/>
          <w:lang w:val="fr-CA"/>
        </w:rPr>
      </w:pPr>
    </w:p>
    <w:p w:rsidR="00072A63" w:rsidRPr="0040588B" w:rsidRDefault="00072A63" w:rsidP="00EC79B0">
      <w:pPr>
        <w:jc w:val="both"/>
        <w:rPr>
          <w:szCs w:val="24"/>
          <w:lang w:val="fr-CA"/>
        </w:rPr>
      </w:pPr>
    </w:p>
    <w:p w:rsidR="001C5ACC" w:rsidRPr="0040588B" w:rsidRDefault="001C5ACC" w:rsidP="001C5ACC">
      <w:pPr>
        <w:widowControl w:val="0"/>
        <w:outlineLvl w:val="0"/>
      </w:pPr>
      <w:r w:rsidRPr="0040588B">
        <w:t xml:space="preserve">Supreme Court of Canada / Cour suprême du </w:t>
      </w:r>
      <w:proofErr w:type="gramStart"/>
      <w:r w:rsidRPr="0040588B">
        <w:t>Canada :</w:t>
      </w:r>
      <w:proofErr w:type="gramEnd"/>
      <w:r w:rsidRPr="0040588B">
        <w:t xml:space="preserve"> </w:t>
      </w:r>
    </w:p>
    <w:p w:rsidR="001C5ACC" w:rsidRPr="0040588B" w:rsidRDefault="00045A43" w:rsidP="001C5ACC">
      <w:pPr>
        <w:widowControl w:val="0"/>
        <w:outlineLvl w:val="0"/>
      </w:pPr>
      <w:hyperlink r:id="rId9" w:history="1">
        <w:r w:rsidR="001C5ACC" w:rsidRPr="0040588B">
          <w:rPr>
            <w:rStyle w:val="Hyperlink"/>
          </w:rPr>
          <w:t>Registry-greffe@scc-csc.ca</w:t>
        </w:r>
      </w:hyperlink>
    </w:p>
    <w:p w:rsidR="001C5ACC" w:rsidRPr="00614699" w:rsidRDefault="001C5ACC" w:rsidP="001C5ACC">
      <w:pPr>
        <w:widowControl w:val="0"/>
        <w:outlineLvl w:val="0"/>
      </w:pPr>
      <w:r w:rsidRPr="0040588B">
        <w:t>1-844-365-9662</w:t>
      </w:r>
    </w:p>
    <w:p w:rsidR="001C4415" w:rsidRPr="0069183C" w:rsidRDefault="001C4415" w:rsidP="001C4415">
      <w:pPr>
        <w:widowControl w:val="0"/>
        <w:rPr>
          <w:sz w:val="20"/>
        </w:rPr>
      </w:pPr>
    </w:p>
    <w:sectPr w:rsidR="001C4415" w:rsidRPr="0069183C"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3052E"/>
    <w:multiLevelType w:val="hybridMultilevel"/>
    <w:tmpl w:val="487E6972"/>
    <w:lvl w:ilvl="0" w:tplc="030067C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100BA"/>
    <w:rsid w:val="00010D78"/>
    <w:rsid w:val="0001212E"/>
    <w:rsid w:val="0001605B"/>
    <w:rsid w:val="0001634B"/>
    <w:rsid w:val="0002161B"/>
    <w:rsid w:val="00021901"/>
    <w:rsid w:val="0003222E"/>
    <w:rsid w:val="0003356F"/>
    <w:rsid w:val="000347C1"/>
    <w:rsid w:val="00035555"/>
    <w:rsid w:val="00035B99"/>
    <w:rsid w:val="0003611D"/>
    <w:rsid w:val="0003620E"/>
    <w:rsid w:val="00037405"/>
    <w:rsid w:val="00042B21"/>
    <w:rsid w:val="000446D3"/>
    <w:rsid w:val="000454BF"/>
    <w:rsid w:val="00045A43"/>
    <w:rsid w:val="00053111"/>
    <w:rsid w:val="00060140"/>
    <w:rsid w:val="00060B39"/>
    <w:rsid w:val="00061A14"/>
    <w:rsid w:val="00072A63"/>
    <w:rsid w:val="0008116D"/>
    <w:rsid w:val="000855FD"/>
    <w:rsid w:val="00087122"/>
    <w:rsid w:val="0009615F"/>
    <w:rsid w:val="000A063C"/>
    <w:rsid w:val="000A21DA"/>
    <w:rsid w:val="000A30BB"/>
    <w:rsid w:val="000A33B2"/>
    <w:rsid w:val="000A401F"/>
    <w:rsid w:val="000A7900"/>
    <w:rsid w:val="000B0E38"/>
    <w:rsid w:val="000B216A"/>
    <w:rsid w:val="000B6CE0"/>
    <w:rsid w:val="000C1225"/>
    <w:rsid w:val="000C466B"/>
    <w:rsid w:val="000C7C9D"/>
    <w:rsid w:val="000D17A5"/>
    <w:rsid w:val="000D25C5"/>
    <w:rsid w:val="000D4096"/>
    <w:rsid w:val="000D413D"/>
    <w:rsid w:val="000D682D"/>
    <w:rsid w:val="000E1FA5"/>
    <w:rsid w:val="000E33A8"/>
    <w:rsid w:val="000E457A"/>
    <w:rsid w:val="000F2225"/>
    <w:rsid w:val="000F2F73"/>
    <w:rsid w:val="000F5730"/>
    <w:rsid w:val="000F7714"/>
    <w:rsid w:val="000F7999"/>
    <w:rsid w:val="001002A7"/>
    <w:rsid w:val="00100BC4"/>
    <w:rsid w:val="00103400"/>
    <w:rsid w:val="00105085"/>
    <w:rsid w:val="001065AF"/>
    <w:rsid w:val="00114B52"/>
    <w:rsid w:val="00114D6F"/>
    <w:rsid w:val="00116CE5"/>
    <w:rsid w:val="001170D1"/>
    <w:rsid w:val="00127E76"/>
    <w:rsid w:val="00131418"/>
    <w:rsid w:val="001335A1"/>
    <w:rsid w:val="001364D9"/>
    <w:rsid w:val="0013792F"/>
    <w:rsid w:val="00141A4B"/>
    <w:rsid w:val="001439C6"/>
    <w:rsid w:val="00143A58"/>
    <w:rsid w:val="001448DF"/>
    <w:rsid w:val="00145925"/>
    <w:rsid w:val="00145B0A"/>
    <w:rsid w:val="001476BD"/>
    <w:rsid w:val="001503AF"/>
    <w:rsid w:val="00150BC6"/>
    <w:rsid w:val="001563FF"/>
    <w:rsid w:val="001642A1"/>
    <w:rsid w:val="00165E2A"/>
    <w:rsid w:val="00167E17"/>
    <w:rsid w:val="001710E4"/>
    <w:rsid w:val="001714EA"/>
    <w:rsid w:val="00172FC0"/>
    <w:rsid w:val="0017395A"/>
    <w:rsid w:val="00175566"/>
    <w:rsid w:val="00177C9B"/>
    <w:rsid w:val="001801D4"/>
    <w:rsid w:val="0018124A"/>
    <w:rsid w:val="00191F98"/>
    <w:rsid w:val="001936BC"/>
    <w:rsid w:val="00194B53"/>
    <w:rsid w:val="001A02D9"/>
    <w:rsid w:val="001A1632"/>
    <w:rsid w:val="001A24F4"/>
    <w:rsid w:val="001A29BA"/>
    <w:rsid w:val="001A4A73"/>
    <w:rsid w:val="001B092D"/>
    <w:rsid w:val="001B0D7E"/>
    <w:rsid w:val="001B4934"/>
    <w:rsid w:val="001B599A"/>
    <w:rsid w:val="001B71AA"/>
    <w:rsid w:val="001C0462"/>
    <w:rsid w:val="001C149E"/>
    <w:rsid w:val="001C3E08"/>
    <w:rsid w:val="001C4415"/>
    <w:rsid w:val="001C5ACC"/>
    <w:rsid w:val="001C6FEC"/>
    <w:rsid w:val="001D75ED"/>
    <w:rsid w:val="001E4A60"/>
    <w:rsid w:val="001E5E23"/>
    <w:rsid w:val="001E70CD"/>
    <w:rsid w:val="001F0D49"/>
    <w:rsid w:val="001F1643"/>
    <w:rsid w:val="001F1B2F"/>
    <w:rsid w:val="001F27D7"/>
    <w:rsid w:val="001F37AC"/>
    <w:rsid w:val="001F57C9"/>
    <w:rsid w:val="001F5973"/>
    <w:rsid w:val="001F7F62"/>
    <w:rsid w:val="002029F5"/>
    <w:rsid w:val="00204BED"/>
    <w:rsid w:val="00205278"/>
    <w:rsid w:val="00207BC4"/>
    <w:rsid w:val="00211F62"/>
    <w:rsid w:val="00214729"/>
    <w:rsid w:val="002160B0"/>
    <w:rsid w:val="00221703"/>
    <w:rsid w:val="002257CF"/>
    <w:rsid w:val="00226AE8"/>
    <w:rsid w:val="00234845"/>
    <w:rsid w:val="00234B46"/>
    <w:rsid w:val="00234BAD"/>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27D7"/>
    <w:rsid w:val="00253698"/>
    <w:rsid w:val="0025452B"/>
    <w:rsid w:val="002617BB"/>
    <w:rsid w:val="0026289A"/>
    <w:rsid w:val="00264AA1"/>
    <w:rsid w:val="002667BA"/>
    <w:rsid w:val="002667ED"/>
    <w:rsid w:val="00266A8B"/>
    <w:rsid w:val="002674CC"/>
    <w:rsid w:val="002723AE"/>
    <w:rsid w:val="00272EAB"/>
    <w:rsid w:val="002768F6"/>
    <w:rsid w:val="00282563"/>
    <w:rsid w:val="0028630C"/>
    <w:rsid w:val="00290F21"/>
    <w:rsid w:val="00291F84"/>
    <w:rsid w:val="00297E1D"/>
    <w:rsid w:val="002A23AD"/>
    <w:rsid w:val="002A2F5A"/>
    <w:rsid w:val="002A3DD8"/>
    <w:rsid w:val="002A4252"/>
    <w:rsid w:val="002A44BE"/>
    <w:rsid w:val="002A5496"/>
    <w:rsid w:val="002A6BD5"/>
    <w:rsid w:val="002A7752"/>
    <w:rsid w:val="002B06A9"/>
    <w:rsid w:val="002B23EF"/>
    <w:rsid w:val="002B4219"/>
    <w:rsid w:val="002B4D23"/>
    <w:rsid w:val="002B4F4E"/>
    <w:rsid w:val="002C23CB"/>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49"/>
    <w:rsid w:val="00346B6F"/>
    <w:rsid w:val="00346F0D"/>
    <w:rsid w:val="00350C6A"/>
    <w:rsid w:val="00350CE0"/>
    <w:rsid w:val="00352B94"/>
    <w:rsid w:val="00353AB0"/>
    <w:rsid w:val="00357919"/>
    <w:rsid w:val="00362484"/>
    <w:rsid w:val="0036476C"/>
    <w:rsid w:val="00365867"/>
    <w:rsid w:val="0037261F"/>
    <w:rsid w:val="00374148"/>
    <w:rsid w:val="0037569E"/>
    <w:rsid w:val="00380CC3"/>
    <w:rsid w:val="003835A6"/>
    <w:rsid w:val="00385E20"/>
    <w:rsid w:val="00387EA2"/>
    <w:rsid w:val="0039248C"/>
    <w:rsid w:val="003932EE"/>
    <w:rsid w:val="00393419"/>
    <w:rsid w:val="003959D2"/>
    <w:rsid w:val="0039607F"/>
    <w:rsid w:val="003A1FB4"/>
    <w:rsid w:val="003A2267"/>
    <w:rsid w:val="003B018B"/>
    <w:rsid w:val="003B038F"/>
    <w:rsid w:val="003B10C6"/>
    <w:rsid w:val="003B3AD5"/>
    <w:rsid w:val="003B4E7E"/>
    <w:rsid w:val="003B6ECB"/>
    <w:rsid w:val="003B7075"/>
    <w:rsid w:val="003C1B6E"/>
    <w:rsid w:val="003C381F"/>
    <w:rsid w:val="003D4D2A"/>
    <w:rsid w:val="003D74E7"/>
    <w:rsid w:val="003E0326"/>
    <w:rsid w:val="003E101F"/>
    <w:rsid w:val="003E1BBF"/>
    <w:rsid w:val="003E222C"/>
    <w:rsid w:val="003E31F8"/>
    <w:rsid w:val="003E5C8D"/>
    <w:rsid w:val="003E64A6"/>
    <w:rsid w:val="003F127B"/>
    <w:rsid w:val="003F2710"/>
    <w:rsid w:val="003F7920"/>
    <w:rsid w:val="004005FE"/>
    <w:rsid w:val="004016BB"/>
    <w:rsid w:val="004019D4"/>
    <w:rsid w:val="0040345E"/>
    <w:rsid w:val="0040588B"/>
    <w:rsid w:val="00405F0F"/>
    <w:rsid w:val="004066AC"/>
    <w:rsid w:val="00406D7D"/>
    <w:rsid w:val="004102D0"/>
    <w:rsid w:val="004115B2"/>
    <w:rsid w:val="0041533E"/>
    <w:rsid w:val="00421CC7"/>
    <w:rsid w:val="0042330C"/>
    <w:rsid w:val="00423876"/>
    <w:rsid w:val="00424E50"/>
    <w:rsid w:val="00425FF3"/>
    <w:rsid w:val="00426675"/>
    <w:rsid w:val="00426798"/>
    <w:rsid w:val="00426F87"/>
    <w:rsid w:val="00427239"/>
    <w:rsid w:val="00432DE1"/>
    <w:rsid w:val="00433466"/>
    <w:rsid w:val="0043481E"/>
    <w:rsid w:val="00440ACC"/>
    <w:rsid w:val="00442F1A"/>
    <w:rsid w:val="0045070D"/>
    <w:rsid w:val="00452E96"/>
    <w:rsid w:val="0045409A"/>
    <w:rsid w:val="00455BB9"/>
    <w:rsid w:val="00460580"/>
    <w:rsid w:val="00464E71"/>
    <w:rsid w:val="0046531B"/>
    <w:rsid w:val="00467AE4"/>
    <w:rsid w:val="0047787E"/>
    <w:rsid w:val="004824D8"/>
    <w:rsid w:val="00486701"/>
    <w:rsid w:val="0048671C"/>
    <w:rsid w:val="0048741E"/>
    <w:rsid w:val="00491284"/>
    <w:rsid w:val="004927D1"/>
    <w:rsid w:val="004A017B"/>
    <w:rsid w:val="004A2228"/>
    <w:rsid w:val="004A40E1"/>
    <w:rsid w:val="004A4570"/>
    <w:rsid w:val="004A56AC"/>
    <w:rsid w:val="004A6F06"/>
    <w:rsid w:val="004B22B5"/>
    <w:rsid w:val="004B4821"/>
    <w:rsid w:val="004B6E20"/>
    <w:rsid w:val="004B6F3A"/>
    <w:rsid w:val="004C070B"/>
    <w:rsid w:val="004C076F"/>
    <w:rsid w:val="004C1A5A"/>
    <w:rsid w:val="004D033B"/>
    <w:rsid w:val="004D2539"/>
    <w:rsid w:val="004D4322"/>
    <w:rsid w:val="004D465A"/>
    <w:rsid w:val="004D488A"/>
    <w:rsid w:val="004E5455"/>
    <w:rsid w:val="004E605A"/>
    <w:rsid w:val="004E7227"/>
    <w:rsid w:val="004F0A44"/>
    <w:rsid w:val="004F215A"/>
    <w:rsid w:val="004F22F6"/>
    <w:rsid w:val="004F3FB9"/>
    <w:rsid w:val="004F76A1"/>
    <w:rsid w:val="00504582"/>
    <w:rsid w:val="0051320D"/>
    <w:rsid w:val="005132EC"/>
    <w:rsid w:val="00520A3C"/>
    <w:rsid w:val="00525362"/>
    <w:rsid w:val="00525B8E"/>
    <w:rsid w:val="005273F5"/>
    <w:rsid w:val="00531567"/>
    <w:rsid w:val="00532A0E"/>
    <w:rsid w:val="00534E1E"/>
    <w:rsid w:val="00537187"/>
    <w:rsid w:val="00537545"/>
    <w:rsid w:val="005400BA"/>
    <w:rsid w:val="0054378D"/>
    <w:rsid w:val="00545B3E"/>
    <w:rsid w:val="005511F1"/>
    <w:rsid w:val="00551845"/>
    <w:rsid w:val="00552278"/>
    <w:rsid w:val="0055520C"/>
    <w:rsid w:val="00560D32"/>
    <w:rsid w:val="005631B8"/>
    <w:rsid w:val="00563EF8"/>
    <w:rsid w:val="005717F4"/>
    <w:rsid w:val="00572E24"/>
    <w:rsid w:val="00575FA2"/>
    <w:rsid w:val="00580897"/>
    <w:rsid w:val="00580EBF"/>
    <w:rsid w:val="00581503"/>
    <w:rsid w:val="00591F70"/>
    <w:rsid w:val="005932DF"/>
    <w:rsid w:val="00594A5F"/>
    <w:rsid w:val="00595150"/>
    <w:rsid w:val="00595922"/>
    <w:rsid w:val="005973D8"/>
    <w:rsid w:val="005A0FB1"/>
    <w:rsid w:val="005A5B16"/>
    <w:rsid w:val="005A5D20"/>
    <w:rsid w:val="005A7C1B"/>
    <w:rsid w:val="005B10FA"/>
    <w:rsid w:val="005B4F58"/>
    <w:rsid w:val="005B7E1A"/>
    <w:rsid w:val="005C258D"/>
    <w:rsid w:val="005C2979"/>
    <w:rsid w:val="005C3F3D"/>
    <w:rsid w:val="005C571B"/>
    <w:rsid w:val="005C7767"/>
    <w:rsid w:val="005C7A4F"/>
    <w:rsid w:val="005D1FAA"/>
    <w:rsid w:val="005D4151"/>
    <w:rsid w:val="005E1617"/>
    <w:rsid w:val="005E1FA2"/>
    <w:rsid w:val="005E3E02"/>
    <w:rsid w:val="005E696E"/>
    <w:rsid w:val="005E74B7"/>
    <w:rsid w:val="005F3B17"/>
    <w:rsid w:val="005F6821"/>
    <w:rsid w:val="005F6E1A"/>
    <w:rsid w:val="006004E2"/>
    <w:rsid w:val="00600C43"/>
    <w:rsid w:val="00615DA3"/>
    <w:rsid w:val="006219EE"/>
    <w:rsid w:val="00622F54"/>
    <w:rsid w:val="006244B6"/>
    <w:rsid w:val="006256B4"/>
    <w:rsid w:val="006268A3"/>
    <w:rsid w:val="006269C3"/>
    <w:rsid w:val="006306BF"/>
    <w:rsid w:val="0063116A"/>
    <w:rsid w:val="0063254B"/>
    <w:rsid w:val="00632844"/>
    <w:rsid w:val="006334F5"/>
    <w:rsid w:val="0063679E"/>
    <w:rsid w:val="0063766F"/>
    <w:rsid w:val="00640A4E"/>
    <w:rsid w:val="006429EF"/>
    <w:rsid w:val="00650518"/>
    <w:rsid w:val="00651F3A"/>
    <w:rsid w:val="006545ED"/>
    <w:rsid w:val="006630E5"/>
    <w:rsid w:val="00666E0D"/>
    <w:rsid w:val="0067017D"/>
    <w:rsid w:val="00676709"/>
    <w:rsid w:val="00680968"/>
    <w:rsid w:val="00682A71"/>
    <w:rsid w:val="006847C4"/>
    <w:rsid w:val="00685A30"/>
    <w:rsid w:val="00690520"/>
    <w:rsid w:val="0069183C"/>
    <w:rsid w:val="006942C4"/>
    <w:rsid w:val="006A3523"/>
    <w:rsid w:val="006A58E0"/>
    <w:rsid w:val="006A6C0C"/>
    <w:rsid w:val="006B4B4E"/>
    <w:rsid w:val="006B5529"/>
    <w:rsid w:val="006C4A8F"/>
    <w:rsid w:val="006C5AA6"/>
    <w:rsid w:val="006C7633"/>
    <w:rsid w:val="006D2CD6"/>
    <w:rsid w:val="006D2DF8"/>
    <w:rsid w:val="006D69C4"/>
    <w:rsid w:val="006E1781"/>
    <w:rsid w:val="006E3A6A"/>
    <w:rsid w:val="006E416A"/>
    <w:rsid w:val="006E5414"/>
    <w:rsid w:val="006E6156"/>
    <w:rsid w:val="006E7CC3"/>
    <w:rsid w:val="006E7FD1"/>
    <w:rsid w:val="006F1899"/>
    <w:rsid w:val="006F1A6D"/>
    <w:rsid w:val="006F202E"/>
    <w:rsid w:val="006F3B04"/>
    <w:rsid w:val="006F57A6"/>
    <w:rsid w:val="006F6171"/>
    <w:rsid w:val="006F636B"/>
    <w:rsid w:val="006F73CC"/>
    <w:rsid w:val="006F7FC8"/>
    <w:rsid w:val="00711DBC"/>
    <w:rsid w:val="0071224C"/>
    <w:rsid w:val="0071392B"/>
    <w:rsid w:val="00716381"/>
    <w:rsid w:val="00724998"/>
    <w:rsid w:val="00727681"/>
    <w:rsid w:val="00731F00"/>
    <w:rsid w:val="00732616"/>
    <w:rsid w:val="00732764"/>
    <w:rsid w:val="007364BD"/>
    <w:rsid w:val="00743AB2"/>
    <w:rsid w:val="00743CD0"/>
    <w:rsid w:val="007464AD"/>
    <w:rsid w:val="007505FE"/>
    <w:rsid w:val="00753E0D"/>
    <w:rsid w:val="00753FDD"/>
    <w:rsid w:val="00755A54"/>
    <w:rsid w:val="00762239"/>
    <w:rsid w:val="00766CBA"/>
    <w:rsid w:val="00767B87"/>
    <w:rsid w:val="00772636"/>
    <w:rsid w:val="00777C18"/>
    <w:rsid w:val="007805CD"/>
    <w:rsid w:val="00780B16"/>
    <w:rsid w:val="00782B59"/>
    <w:rsid w:val="0078318A"/>
    <w:rsid w:val="00785CE8"/>
    <w:rsid w:val="00791AA4"/>
    <w:rsid w:val="00793134"/>
    <w:rsid w:val="0079370B"/>
    <w:rsid w:val="00794A43"/>
    <w:rsid w:val="00794D8B"/>
    <w:rsid w:val="0079562F"/>
    <w:rsid w:val="00795926"/>
    <w:rsid w:val="007A0A44"/>
    <w:rsid w:val="007A2100"/>
    <w:rsid w:val="007A4A45"/>
    <w:rsid w:val="007A6290"/>
    <w:rsid w:val="007A6330"/>
    <w:rsid w:val="007A71C4"/>
    <w:rsid w:val="007A7383"/>
    <w:rsid w:val="007B1B40"/>
    <w:rsid w:val="007B20D2"/>
    <w:rsid w:val="007B2E91"/>
    <w:rsid w:val="007B47FB"/>
    <w:rsid w:val="007C288F"/>
    <w:rsid w:val="007C30F2"/>
    <w:rsid w:val="007D1B42"/>
    <w:rsid w:val="007D20F6"/>
    <w:rsid w:val="007D4862"/>
    <w:rsid w:val="007D5D5B"/>
    <w:rsid w:val="007D6B10"/>
    <w:rsid w:val="007E7DF1"/>
    <w:rsid w:val="007F29FE"/>
    <w:rsid w:val="007F3D16"/>
    <w:rsid w:val="007F45A9"/>
    <w:rsid w:val="00800066"/>
    <w:rsid w:val="00803329"/>
    <w:rsid w:val="00807EAE"/>
    <w:rsid w:val="00811E14"/>
    <w:rsid w:val="00815249"/>
    <w:rsid w:val="00815E69"/>
    <w:rsid w:val="00815F42"/>
    <w:rsid w:val="008203B9"/>
    <w:rsid w:val="00820A00"/>
    <w:rsid w:val="008227A7"/>
    <w:rsid w:val="0083044B"/>
    <w:rsid w:val="008313A9"/>
    <w:rsid w:val="00831AFC"/>
    <w:rsid w:val="00833C4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93647"/>
    <w:rsid w:val="008956F4"/>
    <w:rsid w:val="008B0841"/>
    <w:rsid w:val="008B1C40"/>
    <w:rsid w:val="008B305D"/>
    <w:rsid w:val="008B5FA3"/>
    <w:rsid w:val="008B5FDB"/>
    <w:rsid w:val="008B6308"/>
    <w:rsid w:val="008C2F61"/>
    <w:rsid w:val="008C333C"/>
    <w:rsid w:val="008C5D03"/>
    <w:rsid w:val="008D2829"/>
    <w:rsid w:val="008D3DE1"/>
    <w:rsid w:val="008D557C"/>
    <w:rsid w:val="008D5B1F"/>
    <w:rsid w:val="008D6BC4"/>
    <w:rsid w:val="008E0CF4"/>
    <w:rsid w:val="008E5108"/>
    <w:rsid w:val="008E5D30"/>
    <w:rsid w:val="008E7015"/>
    <w:rsid w:val="008F15CD"/>
    <w:rsid w:val="008F246A"/>
    <w:rsid w:val="008F6C55"/>
    <w:rsid w:val="0090380F"/>
    <w:rsid w:val="009062BF"/>
    <w:rsid w:val="009079AF"/>
    <w:rsid w:val="00911071"/>
    <w:rsid w:val="00916404"/>
    <w:rsid w:val="00916B9F"/>
    <w:rsid w:val="009202FD"/>
    <w:rsid w:val="00921102"/>
    <w:rsid w:val="009214B3"/>
    <w:rsid w:val="0092264F"/>
    <w:rsid w:val="009234CE"/>
    <w:rsid w:val="009246D2"/>
    <w:rsid w:val="00931A3C"/>
    <w:rsid w:val="009408A3"/>
    <w:rsid w:val="009421D0"/>
    <w:rsid w:val="009448B0"/>
    <w:rsid w:val="00945199"/>
    <w:rsid w:val="00945849"/>
    <w:rsid w:val="00946EC7"/>
    <w:rsid w:val="00955BCE"/>
    <w:rsid w:val="009603A2"/>
    <w:rsid w:val="00962301"/>
    <w:rsid w:val="00970A7B"/>
    <w:rsid w:val="00970CA2"/>
    <w:rsid w:val="00970EDF"/>
    <w:rsid w:val="00972F05"/>
    <w:rsid w:val="00972F9B"/>
    <w:rsid w:val="00975F1B"/>
    <w:rsid w:val="0097705F"/>
    <w:rsid w:val="009773EE"/>
    <w:rsid w:val="009813C5"/>
    <w:rsid w:val="009907CD"/>
    <w:rsid w:val="0099092D"/>
    <w:rsid w:val="009927A8"/>
    <w:rsid w:val="00992E03"/>
    <w:rsid w:val="00993EF1"/>
    <w:rsid w:val="00995BAC"/>
    <w:rsid w:val="009A229C"/>
    <w:rsid w:val="009A7FCE"/>
    <w:rsid w:val="009B06DD"/>
    <w:rsid w:val="009B603F"/>
    <w:rsid w:val="009B68EF"/>
    <w:rsid w:val="009B72F4"/>
    <w:rsid w:val="009C0D0F"/>
    <w:rsid w:val="009C2A17"/>
    <w:rsid w:val="009C3750"/>
    <w:rsid w:val="009C643F"/>
    <w:rsid w:val="009C7B0C"/>
    <w:rsid w:val="009C7B71"/>
    <w:rsid w:val="009D109B"/>
    <w:rsid w:val="009D30BC"/>
    <w:rsid w:val="009E15E2"/>
    <w:rsid w:val="009E23BF"/>
    <w:rsid w:val="009E478A"/>
    <w:rsid w:val="009E6E2B"/>
    <w:rsid w:val="009E7F8F"/>
    <w:rsid w:val="009F18D7"/>
    <w:rsid w:val="009F1E2B"/>
    <w:rsid w:val="009F5005"/>
    <w:rsid w:val="009F5887"/>
    <w:rsid w:val="009F5F96"/>
    <w:rsid w:val="009F74D0"/>
    <w:rsid w:val="00A06BFF"/>
    <w:rsid w:val="00A129AE"/>
    <w:rsid w:val="00A12B84"/>
    <w:rsid w:val="00A13112"/>
    <w:rsid w:val="00A13327"/>
    <w:rsid w:val="00A17FF7"/>
    <w:rsid w:val="00A20D09"/>
    <w:rsid w:val="00A21A0F"/>
    <w:rsid w:val="00A253E7"/>
    <w:rsid w:val="00A2764E"/>
    <w:rsid w:val="00A300C0"/>
    <w:rsid w:val="00A40505"/>
    <w:rsid w:val="00A409CF"/>
    <w:rsid w:val="00A42C03"/>
    <w:rsid w:val="00A45E77"/>
    <w:rsid w:val="00A463BE"/>
    <w:rsid w:val="00A47417"/>
    <w:rsid w:val="00A52FC3"/>
    <w:rsid w:val="00A539FF"/>
    <w:rsid w:val="00A60F48"/>
    <w:rsid w:val="00A63227"/>
    <w:rsid w:val="00A64DFD"/>
    <w:rsid w:val="00A709E8"/>
    <w:rsid w:val="00A8420B"/>
    <w:rsid w:val="00A8502B"/>
    <w:rsid w:val="00A86226"/>
    <w:rsid w:val="00A86D9C"/>
    <w:rsid w:val="00A920FB"/>
    <w:rsid w:val="00A9462E"/>
    <w:rsid w:val="00A96F68"/>
    <w:rsid w:val="00A97C36"/>
    <w:rsid w:val="00AA6478"/>
    <w:rsid w:val="00AB491A"/>
    <w:rsid w:val="00AB4EFD"/>
    <w:rsid w:val="00AB6E49"/>
    <w:rsid w:val="00AB7298"/>
    <w:rsid w:val="00AB76F5"/>
    <w:rsid w:val="00AC0E55"/>
    <w:rsid w:val="00AC1EBB"/>
    <w:rsid w:val="00AC29C3"/>
    <w:rsid w:val="00AC3DA6"/>
    <w:rsid w:val="00AD28E3"/>
    <w:rsid w:val="00AE3866"/>
    <w:rsid w:val="00AE57A4"/>
    <w:rsid w:val="00AE77AE"/>
    <w:rsid w:val="00AF291D"/>
    <w:rsid w:val="00AF51A0"/>
    <w:rsid w:val="00AF5D67"/>
    <w:rsid w:val="00B00765"/>
    <w:rsid w:val="00B0211B"/>
    <w:rsid w:val="00B0252F"/>
    <w:rsid w:val="00B02858"/>
    <w:rsid w:val="00B10539"/>
    <w:rsid w:val="00B108B3"/>
    <w:rsid w:val="00B10F2E"/>
    <w:rsid w:val="00B11D20"/>
    <w:rsid w:val="00B11D74"/>
    <w:rsid w:val="00B122CA"/>
    <w:rsid w:val="00B14DCE"/>
    <w:rsid w:val="00B15276"/>
    <w:rsid w:val="00B1627A"/>
    <w:rsid w:val="00B17303"/>
    <w:rsid w:val="00B26A2D"/>
    <w:rsid w:val="00B348B0"/>
    <w:rsid w:val="00B435C2"/>
    <w:rsid w:val="00B46027"/>
    <w:rsid w:val="00B46448"/>
    <w:rsid w:val="00B46917"/>
    <w:rsid w:val="00B50803"/>
    <w:rsid w:val="00B57CEE"/>
    <w:rsid w:val="00B622BC"/>
    <w:rsid w:val="00B67B8C"/>
    <w:rsid w:val="00B7734D"/>
    <w:rsid w:val="00B80672"/>
    <w:rsid w:val="00B8086C"/>
    <w:rsid w:val="00B809D3"/>
    <w:rsid w:val="00B80A40"/>
    <w:rsid w:val="00B81F9B"/>
    <w:rsid w:val="00B84353"/>
    <w:rsid w:val="00B87097"/>
    <w:rsid w:val="00B90B28"/>
    <w:rsid w:val="00B92053"/>
    <w:rsid w:val="00BA5D3E"/>
    <w:rsid w:val="00BB4305"/>
    <w:rsid w:val="00BB4CC8"/>
    <w:rsid w:val="00BB5F43"/>
    <w:rsid w:val="00BC097C"/>
    <w:rsid w:val="00BC4F13"/>
    <w:rsid w:val="00BD0BD6"/>
    <w:rsid w:val="00BD2EF8"/>
    <w:rsid w:val="00BD4D56"/>
    <w:rsid w:val="00BD762D"/>
    <w:rsid w:val="00BE1594"/>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4970"/>
    <w:rsid w:val="00C173E2"/>
    <w:rsid w:val="00C210C3"/>
    <w:rsid w:val="00C23058"/>
    <w:rsid w:val="00C23E02"/>
    <w:rsid w:val="00C26855"/>
    <w:rsid w:val="00C26ED7"/>
    <w:rsid w:val="00C309BB"/>
    <w:rsid w:val="00C30AEA"/>
    <w:rsid w:val="00C343BF"/>
    <w:rsid w:val="00C34DBC"/>
    <w:rsid w:val="00C3754A"/>
    <w:rsid w:val="00C40A6D"/>
    <w:rsid w:val="00C443AF"/>
    <w:rsid w:val="00C51144"/>
    <w:rsid w:val="00C54C7F"/>
    <w:rsid w:val="00C55365"/>
    <w:rsid w:val="00C56B06"/>
    <w:rsid w:val="00C65E58"/>
    <w:rsid w:val="00C724D2"/>
    <w:rsid w:val="00C72BFA"/>
    <w:rsid w:val="00C73BB2"/>
    <w:rsid w:val="00C7692E"/>
    <w:rsid w:val="00C76C3D"/>
    <w:rsid w:val="00C77D60"/>
    <w:rsid w:val="00C80CEE"/>
    <w:rsid w:val="00C86395"/>
    <w:rsid w:val="00C871EF"/>
    <w:rsid w:val="00C87AA9"/>
    <w:rsid w:val="00C92D07"/>
    <w:rsid w:val="00C9499A"/>
    <w:rsid w:val="00C96187"/>
    <w:rsid w:val="00C96700"/>
    <w:rsid w:val="00CA0D0B"/>
    <w:rsid w:val="00CA4014"/>
    <w:rsid w:val="00CA425B"/>
    <w:rsid w:val="00CA4B10"/>
    <w:rsid w:val="00CB05B1"/>
    <w:rsid w:val="00CB0F26"/>
    <w:rsid w:val="00CB3AE2"/>
    <w:rsid w:val="00CB3FBB"/>
    <w:rsid w:val="00CB5906"/>
    <w:rsid w:val="00CB65F1"/>
    <w:rsid w:val="00CC2CF7"/>
    <w:rsid w:val="00CC59ED"/>
    <w:rsid w:val="00CD00F0"/>
    <w:rsid w:val="00CD2A1C"/>
    <w:rsid w:val="00CD2EFD"/>
    <w:rsid w:val="00CD4BC4"/>
    <w:rsid w:val="00CD75D2"/>
    <w:rsid w:val="00CD77BC"/>
    <w:rsid w:val="00CE1B9F"/>
    <w:rsid w:val="00CE6F80"/>
    <w:rsid w:val="00CF18AB"/>
    <w:rsid w:val="00D00632"/>
    <w:rsid w:val="00D01F37"/>
    <w:rsid w:val="00D03A26"/>
    <w:rsid w:val="00D05D59"/>
    <w:rsid w:val="00D14F2F"/>
    <w:rsid w:val="00D17434"/>
    <w:rsid w:val="00D17D39"/>
    <w:rsid w:val="00D17D8F"/>
    <w:rsid w:val="00D22031"/>
    <w:rsid w:val="00D303D6"/>
    <w:rsid w:val="00D32687"/>
    <w:rsid w:val="00D3314A"/>
    <w:rsid w:val="00D362A2"/>
    <w:rsid w:val="00D37B27"/>
    <w:rsid w:val="00D424D2"/>
    <w:rsid w:val="00D51791"/>
    <w:rsid w:val="00D53AE7"/>
    <w:rsid w:val="00D5468E"/>
    <w:rsid w:val="00D61701"/>
    <w:rsid w:val="00D63A7D"/>
    <w:rsid w:val="00D641AC"/>
    <w:rsid w:val="00D64BC8"/>
    <w:rsid w:val="00D65268"/>
    <w:rsid w:val="00D70C1C"/>
    <w:rsid w:val="00D710A9"/>
    <w:rsid w:val="00D715E9"/>
    <w:rsid w:val="00D73A55"/>
    <w:rsid w:val="00D74667"/>
    <w:rsid w:val="00D75A2B"/>
    <w:rsid w:val="00D8474E"/>
    <w:rsid w:val="00D86814"/>
    <w:rsid w:val="00D8701B"/>
    <w:rsid w:val="00D93AE3"/>
    <w:rsid w:val="00D94FA0"/>
    <w:rsid w:val="00DA1A84"/>
    <w:rsid w:val="00DA2EAA"/>
    <w:rsid w:val="00DA6A86"/>
    <w:rsid w:val="00DB2F91"/>
    <w:rsid w:val="00DB406B"/>
    <w:rsid w:val="00DB5074"/>
    <w:rsid w:val="00DB531C"/>
    <w:rsid w:val="00DC32EB"/>
    <w:rsid w:val="00DC42B7"/>
    <w:rsid w:val="00DC4589"/>
    <w:rsid w:val="00DC4734"/>
    <w:rsid w:val="00DC4E25"/>
    <w:rsid w:val="00DC6C1E"/>
    <w:rsid w:val="00DD4383"/>
    <w:rsid w:val="00DD78FE"/>
    <w:rsid w:val="00DE04BB"/>
    <w:rsid w:val="00DE3506"/>
    <w:rsid w:val="00DE746A"/>
    <w:rsid w:val="00DF349B"/>
    <w:rsid w:val="00DF42A7"/>
    <w:rsid w:val="00DF44C2"/>
    <w:rsid w:val="00DF4A3F"/>
    <w:rsid w:val="00DF54E7"/>
    <w:rsid w:val="00DF614F"/>
    <w:rsid w:val="00DF79DA"/>
    <w:rsid w:val="00E004F0"/>
    <w:rsid w:val="00E02404"/>
    <w:rsid w:val="00E046A3"/>
    <w:rsid w:val="00E07FAA"/>
    <w:rsid w:val="00E128DB"/>
    <w:rsid w:val="00E12E0B"/>
    <w:rsid w:val="00E14E68"/>
    <w:rsid w:val="00E16926"/>
    <w:rsid w:val="00E21239"/>
    <w:rsid w:val="00E228C8"/>
    <w:rsid w:val="00E363C5"/>
    <w:rsid w:val="00E36DE8"/>
    <w:rsid w:val="00E40153"/>
    <w:rsid w:val="00E41DF4"/>
    <w:rsid w:val="00E44A3B"/>
    <w:rsid w:val="00E450FF"/>
    <w:rsid w:val="00E47A93"/>
    <w:rsid w:val="00E51DCC"/>
    <w:rsid w:val="00E575D4"/>
    <w:rsid w:val="00E602CC"/>
    <w:rsid w:val="00E60BCF"/>
    <w:rsid w:val="00E63199"/>
    <w:rsid w:val="00E631BB"/>
    <w:rsid w:val="00E66FC2"/>
    <w:rsid w:val="00E701AC"/>
    <w:rsid w:val="00E71B6C"/>
    <w:rsid w:val="00E71F47"/>
    <w:rsid w:val="00E7552C"/>
    <w:rsid w:val="00E75EDC"/>
    <w:rsid w:val="00E76E6A"/>
    <w:rsid w:val="00E76F19"/>
    <w:rsid w:val="00E77CD4"/>
    <w:rsid w:val="00E77DF7"/>
    <w:rsid w:val="00E802FE"/>
    <w:rsid w:val="00E823D3"/>
    <w:rsid w:val="00E828F0"/>
    <w:rsid w:val="00E82DB5"/>
    <w:rsid w:val="00E8450A"/>
    <w:rsid w:val="00E857F1"/>
    <w:rsid w:val="00E93DBE"/>
    <w:rsid w:val="00E9584F"/>
    <w:rsid w:val="00EA2FA7"/>
    <w:rsid w:val="00EA389B"/>
    <w:rsid w:val="00EB1B1D"/>
    <w:rsid w:val="00EB3E66"/>
    <w:rsid w:val="00EB5BC7"/>
    <w:rsid w:val="00EB6CB3"/>
    <w:rsid w:val="00EC0B90"/>
    <w:rsid w:val="00EC103C"/>
    <w:rsid w:val="00EC79B0"/>
    <w:rsid w:val="00ED1C3A"/>
    <w:rsid w:val="00ED2D18"/>
    <w:rsid w:val="00ED4D5F"/>
    <w:rsid w:val="00ED67B7"/>
    <w:rsid w:val="00ED67FB"/>
    <w:rsid w:val="00EE1079"/>
    <w:rsid w:val="00EE1311"/>
    <w:rsid w:val="00EE1D6B"/>
    <w:rsid w:val="00EE642E"/>
    <w:rsid w:val="00EE677E"/>
    <w:rsid w:val="00EE77E0"/>
    <w:rsid w:val="00EF0BD7"/>
    <w:rsid w:val="00EF778F"/>
    <w:rsid w:val="00EF7999"/>
    <w:rsid w:val="00F006DA"/>
    <w:rsid w:val="00F020DF"/>
    <w:rsid w:val="00F03BFD"/>
    <w:rsid w:val="00F118D3"/>
    <w:rsid w:val="00F1242C"/>
    <w:rsid w:val="00F128C3"/>
    <w:rsid w:val="00F1711D"/>
    <w:rsid w:val="00F223F4"/>
    <w:rsid w:val="00F23EAF"/>
    <w:rsid w:val="00F25C3E"/>
    <w:rsid w:val="00F269BB"/>
    <w:rsid w:val="00F277B7"/>
    <w:rsid w:val="00F317F9"/>
    <w:rsid w:val="00F33A4A"/>
    <w:rsid w:val="00F353AE"/>
    <w:rsid w:val="00F36D46"/>
    <w:rsid w:val="00F43DC9"/>
    <w:rsid w:val="00F441EF"/>
    <w:rsid w:val="00F443E2"/>
    <w:rsid w:val="00F52595"/>
    <w:rsid w:val="00F530EE"/>
    <w:rsid w:val="00F54B30"/>
    <w:rsid w:val="00F57324"/>
    <w:rsid w:val="00F63FCE"/>
    <w:rsid w:val="00F64A4F"/>
    <w:rsid w:val="00F67027"/>
    <w:rsid w:val="00F71933"/>
    <w:rsid w:val="00F74DE7"/>
    <w:rsid w:val="00F7795B"/>
    <w:rsid w:val="00F803D9"/>
    <w:rsid w:val="00F821F9"/>
    <w:rsid w:val="00F823B0"/>
    <w:rsid w:val="00F82D1B"/>
    <w:rsid w:val="00F85483"/>
    <w:rsid w:val="00F950E6"/>
    <w:rsid w:val="00F960F5"/>
    <w:rsid w:val="00F97939"/>
    <w:rsid w:val="00FA0ED7"/>
    <w:rsid w:val="00FA3210"/>
    <w:rsid w:val="00FA62A2"/>
    <w:rsid w:val="00FA7412"/>
    <w:rsid w:val="00FB0F59"/>
    <w:rsid w:val="00FB3BF9"/>
    <w:rsid w:val="00FB55B6"/>
    <w:rsid w:val="00FB56B2"/>
    <w:rsid w:val="00FB5B7E"/>
    <w:rsid w:val="00FB709E"/>
    <w:rsid w:val="00FB7966"/>
    <w:rsid w:val="00FC3E5C"/>
    <w:rsid w:val="00FC57AE"/>
    <w:rsid w:val="00FC6C27"/>
    <w:rsid w:val="00FE3585"/>
    <w:rsid w:val="00FF16A1"/>
    <w:rsid w:val="00FF330A"/>
    <w:rsid w:val="00FF3CAD"/>
    <w:rsid w:val="00FF483D"/>
    <w:rsid w:val="00FF49A5"/>
    <w:rsid w:val="00FF6B2B"/>
    <w:rsid w:val="00FF6CAF"/>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customStyle="1" w:styleId="SCCCaseDescriptor">
    <w:name w:val="SCC.CaseDescriptor"/>
    <w:basedOn w:val="Normal"/>
    <w:link w:val="SCCCaseDescriptorChar"/>
    <w:qFormat/>
    <w:rsid w:val="00ED67FB"/>
    <w:rPr>
      <w:b/>
      <w:lang w:val="fr-CA" w:eastAsia="en-CA"/>
    </w:rPr>
  </w:style>
  <w:style w:type="character" w:customStyle="1" w:styleId="SCCCaseDescriptorChar">
    <w:name w:val="SCC.CaseDescriptor Char"/>
    <w:basedOn w:val="DefaultParagraphFont"/>
    <w:link w:val="SCCCaseDescriptor"/>
    <w:rsid w:val="00ED67FB"/>
    <w:rPr>
      <w:b/>
      <w:sz w:val="24"/>
      <w:lang w:val="fr-CA" w:eastAsia="en-CA"/>
    </w:rPr>
  </w:style>
  <w:style w:type="paragraph" w:customStyle="1" w:styleId="SCCBanSummary">
    <w:name w:val="SCC.BanSummary"/>
    <w:basedOn w:val="Normal"/>
    <w:next w:val="Normal"/>
    <w:link w:val="SCCBanSummaryChar"/>
    <w:rsid w:val="00782B59"/>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782B59"/>
    <w:rPr>
      <w:rFonts w:eastAsiaTheme="minorHAnsi" w:cstheme="minorBidi"/>
      <w:smallCaps/>
      <w:sz w:val="24"/>
      <w:szCs w:val="22"/>
      <w:lang w:val="en-CA"/>
    </w:rPr>
  </w:style>
  <w:style w:type="paragraph" w:customStyle="1" w:styleId="SCCFileNumber">
    <w:name w:val="SCC.FileNumber"/>
    <w:basedOn w:val="Normal"/>
    <w:next w:val="Normal"/>
    <w:link w:val="SCCFileNumberChar"/>
    <w:rsid w:val="00782B59"/>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782B59"/>
    <w:rPr>
      <w:rFonts w:eastAsiaTheme="minorHAnsi" w:cstheme="minorBidi"/>
      <w:b/>
      <w:sz w:val="24"/>
      <w:szCs w:val="22"/>
      <w:lang w:val="en-CA"/>
    </w:rPr>
  </w:style>
  <w:style w:type="paragraph" w:customStyle="1" w:styleId="SCCLsocOtherPartySeparator">
    <w:name w:val="SCC.Lsoc.OtherPartySeparator"/>
    <w:basedOn w:val="Normal"/>
    <w:next w:val="Normal"/>
    <w:link w:val="SCCLsocOtherPartySeparatorChar"/>
    <w:rsid w:val="002B4219"/>
    <w:pPr>
      <w:jc w:val="both"/>
    </w:pPr>
    <w:rPr>
      <w:rFonts w:eastAsiaTheme="minorHAnsi" w:cstheme="minorBidi"/>
      <w:b/>
      <w:szCs w:val="22"/>
      <w:lang w:val="en-CA"/>
    </w:rPr>
  </w:style>
  <w:style w:type="character" w:customStyle="1" w:styleId="SCCLsocOtherPartySeparatorChar">
    <w:name w:val="SCC.Lsoc.OtherPartySeparator Char"/>
    <w:basedOn w:val="DefaultParagraphFont"/>
    <w:link w:val="SCCLsocOtherPartySeparator"/>
    <w:rsid w:val="002B4219"/>
    <w:rPr>
      <w:rFonts w:eastAsiaTheme="minorHAnsi" w:cstheme="minorBidi"/>
      <w:b/>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fra.aspx?cas=4126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c-csc.ca/case-dossier/info/sum-som-eng.aspx?cas=4126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5874</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2023-10-27T14:47:00Z</dcterms:created>
  <dcterms:modified xsi:type="dcterms:W3CDTF">2024-11-29T19:27:00Z</dcterms:modified>
</cp:coreProperties>
</file>