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456983" w:rsidRDefault="002A192B" w:rsidP="002A192B">
      <w:pPr>
        <w:pStyle w:val="Header"/>
        <w:jc w:val="center"/>
        <w:rPr>
          <w:b/>
          <w:sz w:val="32"/>
        </w:rPr>
      </w:pPr>
      <w:r w:rsidRPr="00456983">
        <w:rPr>
          <w:b/>
          <w:sz w:val="32"/>
        </w:rPr>
        <w:t>Supreme Court of Canada / Cour suprême du Canada</w:t>
      </w:r>
    </w:p>
    <w:p w:rsidR="002A192B" w:rsidRPr="00456983" w:rsidRDefault="002A192B" w:rsidP="002A192B">
      <w:pPr>
        <w:widowControl w:val="0"/>
        <w:rPr>
          <w:i/>
        </w:rPr>
      </w:pPr>
    </w:p>
    <w:p w:rsidR="002A192B" w:rsidRPr="00456983" w:rsidRDefault="002A192B" w:rsidP="002A192B">
      <w:pPr>
        <w:widowControl w:val="0"/>
        <w:rPr>
          <w:i/>
        </w:rPr>
      </w:pPr>
    </w:p>
    <w:p w:rsidR="001C4415" w:rsidRPr="00456983" w:rsidRDefault="001C4415" w:rsidP="001C4415">
      <w:pPr>
        <w:widowControl w:val="0"/>
        <w:rPr>
          <w:i/>
          <w:sz w:val="20"/>
        </w:rPr>
      </w:pPr>
      <w:r w:rsidRPr="00456983">
        <w:rPr>
          <w:i/>
          <w:sz w:val="20"/>
        </w:rPr>
        <w:t>(</w:t>
      </w:r>
      <w:r w:rsidR="003C50BF" w:rsidRPr="00456983">
        <w:rPr>
          <w:i/>
          <w:sz w:val="20"/>
        </w:rPr>
        <w:t>Le</w:t>
      </w:r>
      <w:r w:rsidRPr="00456983">
        <w:rPr>
          <w:i/>
          <w:sz w:val="20"/>
        </w:rPr>
        <w:t xml:space="preserve"> français suit)</w:t>
      </w:r>
    </w:p>
    <w:p w:rsidR="001C4415" w:rsidRPr="00456983" w:rsidRDefault="001C4415" w:rsidP="001C4415">
      <w:pPr>
        <w:widowControl w:val="0"/>
      </w:pPr>
    </w:p>
    <w:p w:rsidR="001C4415" w:rsidRPr="00456983" w:rsidRDefault="000347C1" w:rsidP="00214729">
      <w:pPr>
        <w:widowControl w:val="0"/>
        <w:jc w:val="center"/>
        <w:rPr>
          <w:b/>
        </w:rPr>
      </w:pPr>
      <w:r w:rsidRPr="00456983">
        <w:fldChar w:fldCharType="begin"/>
      </w:r>
      <w:r w:rsidR="00FA7412" w:rsidRPr="00456983">
        <w:instrText xml:space="preserve"> SEQ CHAPTER \h \r 1</w:instrText>
      </w:r>
      <w:r w:rsidRPr="00456983">
        <w:fldChar w:fldCharType="end"/>
      </w:r>
      <w:r w:rsidR="00455BB9" w:rsidRPr="00456983">
        <w:rPr>
          <w:b/>
        </w:rPr>
        <w:t>JUDGMENT</w:t>
      </w:r>
      <w:r w:rsidR="00FA7412" w:rsidRPr="00456983">
        <w:rPr>
          <w:b/>
        </w:rPr>
        <w:t xml:space="preserve"> TO BE RENDERED </w:t>
      </w:r>
      <w:r w:rsidR="00E43F22" w:rsidRPr="00456983">
        <w:rPr>
          <w:b/>
        </w:rPr>
        <w:t>O</w:t>
      </w:r>
      <w:r w:rsidR="00FA7412" w:rsidRPr="00456983">
        <w:rPr>
          <w:b/>
        </w:rPr>
        <w:t>N APPEA</w:t>
      </w:r>
      <w:r w:rsidR="00CC2799" w:rsidRPr="00456983">
        <w:rPr>
          <w:b/>
        </w:rPr>
        <w:t>L</w:t>
      </w:r>
    </w:p>
    <w:p w:rsidR="005A7C1B" w:rsidRPr="00456983" w:rsidRDefault="005A7C1B" w:rsidP="005A7C1B">
      <w:pPr>
        <w:widowControl w:val="0"/>
      </w:pPr>
    </w:p>
    <w:p w:rsidR="00EC79B0" w:rsidRPr="00456983" w:rsidRDefault="001B172B" w:rsidP="00EC79B0">
      <w:pPr>
        <w:widowControl w:val="0"/>
      </w:pPr>
      <w:r w:rsidRPr="00456983">
        <w:rPr>
          <w:b/>
        </w:rPr>
        <w:t>Dec</w:t>
      </w:r>
      <w:r w:rsidR="00501215" w:rsidRPr="00456983">
        <w:rPr>
          <w:b/>
        </w:rPr>
        <w:t>ember</w:t>
      </w:r>
      <w:r w:rsidR="00C86395" w:rsidRPr="00456983">
        <w:rPr>
          <w:b/>
        </w:rPr>
        <w:t xml:space="preserve"> </w:t>
      </w:r>
      <w:r w:rsidR="008A0395" w:rsidRPr="00456983">
        <w:rPr>
          <w:b/>
        </w:rPr>
        <w:t>1</w:t>
      </w:r>
      <w:r w:rsidR="00AC5E9B" w:rsidRPr="00456983">
        <w:rPr>
          <w:b/>
        </w:rPr>
        <w:t>6</w:t>
      </w:r>
      <w:r w:rsidR="00EC79B0" w:rsidRPr="00456983">
        <w:rPr>
          <w:b/>
        </w:rPr>
        <w:t>, 2</w:t>
      </w:r>
      <w:r w:rsidR="00E6600C" w:rsidRPr="00456983">
        <w:rPr>
          <w:b/>
        </w:rPr>
        <w:t>0</w:t>
      </w:r>
      <w:r w:rsidR="009544E9" w:rsidRPr="00456983">
        <w:rPr>
          <w:b/>
        </w:rPr>
        <w:t>2</w:t>
      </w:r>
      <w:r w:rsidR="0049454A" w:rsidRPr="00456983">
        <w:rPr>
          <w:b/>
        </w:rPr>
        <w:t>4</w:t>
      </w:r>
    </w:p>
    <w:p w:rsidR="00EC79B0" w:rsidRPr="00456983" w:rsidRDefault="00EC79B0" w:rsidP="00EC79B0">
      <w:pPr>
        <w:widowControl w:val="0"/>
      </w:pPr>
    </w:p>
    <w:p w:rsidR="00EC79B0" w:rsidRPr="00456983" w:rsidRDefault="00EC79B0" w:rsidP="00EC79B0">
      <w:pPr>
        <w:widowControl w:val="0"/>
      </w:pPr>
      <w:r w:rsidRPr="00456983">
        <w:rPr>
          <w:b/>
        </w:rPr>
        <w:t>OTTAWA</w:t>
      </w:r>
      <w:r w:rsidRPr="00456983">
        <w:t xml:space="preserve"> – </w:t>
      </w:r>
      <w:r w:rsidR="0095505F" w:rsidRPr="00456983">
        <w:t xml:space="preserve">The Supreme Court of Canada will deliver its judgment on the following appeal at 9:45 a.m. ET on </w:t>
      </w:r>
      <w:r w:rsidR="00D27D6F" w:rsidRPr="00456983">
        <w:t>Friday</w:t>
      </w:r>
      <w:r w:rsidR="0095505F" w:rsidRPr="00456983">
        <w:t xml:space="preserve">, </w:t>
      </w:r>
      <w:r w:rsidR="001B172B" w:rsidRPr="00456983">
        <w:t>Dece</w:t>
      </w:r>
      <w:r w:rsidR="002D0B9A" w:rsidRPr="00456983">
        <w:t>mber</w:t>
      </w:r>
      <w:r w:rsidR="0095505F" w:rsidRPr="00456983">
        <w:t xml:space="preserve"> </w:t>
      </w:r>
      <w:r w:rsidR="008A0395" w:rsidRPr="00456983">
        <w:t>20</w:t>
      </w:r>
      <w:r w:rsidR="0095505F" w:rsidRPr="00456983">
        <w:t>, 202</w:t>
      </w:r>
      <w:r w:rsidR="0049454A" w:rsidRPr="00456983">
        <w:t>4</w:t>
      </w:r>
      <w:r w:rsidR="0095505F" w:rsidRPr="00456983">
        <w:t>.</w:t>
      </w:r>
    </w:p>
    <w:p w:rsidR="001F76DD" w:rsidRPr="00456983" w:rsidRDefault="001F76DD" w:rsidP="001C4415">
      <w:pPr>
        <w:widowControl w:val="0"/>
        <w:rPr>
          <w:szCs w:val="24"/>
        </w:rPr>
      </w:pPr>
    </w:p>
    <w:p w:rsidR="00A97E61" w:rsidRPr="00456983" w:rsidRDefault="00A97E61" w:rsidP="001C4415">
      <w:pPr>
        <w:widowControl w:val="0"/>
        <w:rPr>
          <w:szCs w:val="24"/>
        </w:rPr>
      </w:pPr>
    </w:p>
    <w:p w:rsidR="00A97E61" w:rsidRPr="00456983" w:rsidRDefault="00B00D94" w:rsidP="00A97E61">
      <w:pPr>
        <w:jc w:val="both"/>
        <w:rPr>
          <w:szCs w:val="24"/>
          <w:lang w:val="fr-CA"/>
        </w:rPr>
      </w:pPr>
      <w:r w:rsidRPr="00456983">
        <w:rPr>
          <w:i/>
          <w:szCs w:val="24"/>
          <w:lang w:val="fr-CA"/>
        </w:rPr>
        <w:t xml:space="preserve">Commission des droits de la personne et des droits de la jeunesse v. Directrice de la protection de la jeunesse du CISSS </w:t>
      </w:r>
      <w:r w:rsidR="00456983" w:rsidRPr="00456983">
        <w:rPr>
          <w:i/>
          <w:szCs w:val="24"/>
          <w:lang w:val="fr-CA"/>
        </w:rPr>
        <w:t>A</w:t>
      </w:r>
      <w:r w:rsidR="00D8214B" w:rsidRPr="00456983">
        <w:rPr>
          <w:i/>
          <w:szCs w:val="24"/>
          <w:lang w:val="fr-CA"/>
        </w:rPr>
        <w:t xml:space="preserve"> </w:t>
      </w:r>
      <w:r w:rsidR="00A97E61" w:rsidRPr="00456983">
        <w:rPr>
          <w:szCs w:val="24"/>
          <w:lang w:val="fr-CA"/>
        </w:rPr>
        <w:t>(</w:t>
      </w:r>
      <w:r w:rsidRPr="00456983">
        <w:rPr>
          <w:szCs w:val="24"/>
          <w:lang w:val="fr-CA"/>
        </w:rPr>
        <w:t>Que</w:t>
      </w:r>
      <w:r w:rsidR="002848B1" w:rsidRPr="00456983">
        <w:rPr>
          <w:szCs w:val="24"/>
          <w:lang w:val="fr-CA"/>
        </w:rPr>
        <w:t>.</w:t>
      </w:r>
      <w:r w:rsidR="00A97E61" w:rsidRPr="00456983">
        <w:rPr>
          <w:szCs w:val="24"/>
          <w:lang w:val="fr-CA"/>
        </w:rPr>
        <w:t xml:space="preserve">) </w:t>
      </w:r>
      <w:r w:rsidR="00A97E61" w:rsidRPr="00456983">
        <w:rPr>
          <w:lang w:val="fr-CA"/>
        </w:rPr>
        <w:t>(</w:t>
      </w:r>
      <w:hyperlink r:id="rId7" w:history="1">
        <w:r w:rsidR="002915B5" w:rsidRPr="00456983">
          <w:rPr>
            <w:rStyle w:val="Hyperlink"/>
            <w:lang w:val="fr-CA"/>
          </w:rPr>
          <w:t>4</w:t>
        </w:r>
        <w:r w:rsidR="008E3E95" w:rsidRPr="00456983">
          <w:rPr>
            <w:rStyle w:val="Hyperlink"/>
            <w:lang w:val="fr-CA"/>
          </w:rPr>
          <w:t>0</w:t>
        </w:r>
        <w:r w:rsidRPr="00456983">
          <w:rPr>
            <w:rStyle w:val="Hyperlink"/>
            <w:lang w:val="fr-CA"/>
          </w:rPr>
          <w:t>602</w:t>
        </w:r>
      </w:hyperlink>
      <w:r w:rsidR="00A97E61" w:rsidRPr="00456983">
        <w:rPr>
          <w:lang w:val="fr-CA"/>
        </w:rPr>
        <w:t>)</w:t>
      </w:r>
    </w:p>
    <w:p w:rsidR="00A97E61" w:rsidRPr="00456983" w:rsidRDefault="00A97E61" w:rsidP="00B00D94">
      <w:pPr>
        <w:widowControl w:val="0"/>
        <w:jc w:val="both"/>
        <w:rPr>
          <w:sz w:val="20"/>
          <w:lang w:val="fr-CA"/>
        </w:rPr>
      </w:pPr>
    </w:p>
    <w:p w:rsidR="00456983" w:rsidRPr="00456983" w:rsidRDefault="00456983" w:rsidP="00456983">
      <w:pPr>
        <w:ind w:left="720" w:hanging="720"/>
        <w:jc w:val="both"/>
        <w:rPr>
          <w:sz w:val="20"/>
          <w:lang w:val="fr-CA"/>
        </w:rPr>
      </w:pPr>
      <w:r w:rsidRPr="00456983">
        <w:rPr>
          <w:rStyle w:val="SCCFileNumberChar"/>
          <w:sz w:val="20"/>
          <w:szCs w:val="20"/>
          <w:lang w:val="fr-CA"/>
        </w:rPr>
        <w:t>40602</w:t>
      </w:r>
      <w:r w:rsidRPr="00456983">
        <w:rPr>
          <w:rStyle w:val="SCCFileNumberChar"/>
          <w:sz w:val="20"/>
          <w:szCs w:val="20"/>
          <w:lang w:val="fr-CA"/>
        </w:rPr>
        <w:tab/>
      </w:r>
      <w:r w:rsidRPr="00456983">
        <w:rPr>
          <w:b/>
          <w:i/>
          <w:sz w:val="20"/>
          <w:lang w:val="fr-CA"/>
        </w:rPr>
        <w:t>Commission des droits de la personne et des droits de la jeunesse v. Directrice de la protection de la jeunesse du CISSS A</w:t>
      </w:r>
    </w:p>
    <w:p w:rsidR="00456983" w:rsidRPr="00456983" w:rsidRDefault="00456983" w:rsidP="00456983">
      <w:pPr>
        <w:widowControl w:val="0"/>
        <w:ind w:left="360" w:firstLine="360"/>
        <w:jc w:val="both"/>
        <w:rPr>
          <w:sz w:val="20"/>
          <w:lang w:val="fr-CA"/>
        </w:rPr>
      </w:pPr>
      <w:r w:rsidRPr="00456983">
        <w:rPr>
          <w:sz w:val="20"/>
          <w:lang w:val="en-CA"/>
        </w:rPr>
        <w:t>(Que.) (Civil) (By Leave)</w:t>
      </w:r>
    </w:p>
    <w:p w:rsidR="00456983" w:rsidRPr="00456983" w:rsidRDefault="00456983" w:rsidP="00456983">
      <w:pPr>
        <w:pStyle w:val="SCCBanSummary"/>
        <w:rPr>
          <w:sz w:val="20"/>
          <w:szCs w:val="20"/>
        </w:rPr>
      </w:pPr>
    </w:p>
    <w:p w:rsidR="00456983" w:rsidRPr="00456983" w:rsidRDefault="00456983" w:rsidP="00456983">
      <w:pPr>
        <w:pStyle w:val="SCCBanSummary"/>
        <w:rPr>
          <w:b/>
          <w:sz w:val="20"/>
          <w:szCs w:val="20"/>
        </w:rPr>
      </w:pPr>
      <w:r w:rsidRPr="00456983">
        <w:rPr>
          <w:b/>
          <w:sz w:val="20"/>
          <w:szCs w:val="20"/>
        </w:rPr>
        <w:t>(Publication ban in case) (Publication ban on party) (Certain information not available to the public)</w:t>
      </w:r>
    </w:p>
    <w:p w:rsidR="00456983" w:rsidRPr="00456983" w:rsidRDefault="00456983" w:rsidP="00456983">
      <w:pPr>
        <w:jc w:val="both"/>
        <w:rPr>
          <w:sz w:val="20"/>
          <w:lang w:val="en-CA"/>
        </w:rPr>
      </w:pPr>
    </w:p>
    <w:p w:rsidR="00456983" w:rsidRPr="00456983" w:rsidRDefault="00456983" w:rsidP="00456983">
      <w:pPr>
        <w:widowControl w:val="0"/>
        <w:jc w:val="both"/>
        <w:rPr>
          <w:sz w:val="20"/>
          <w:lang w:val="en-CA"/>
        </w:rPr>
      </w:pPr>
      <w:r w:rsidRPr="00456983">
        <w:rPr>
          <w:sz w:val="20"/>
          <w:lang w:val="en-CA"/>
        </w:rPr>
        <w:t xml:space="preserve">Status of persons </w:t>
      </w:r>
      <w:r w:rsidRPr="00456983">
        <w:rPr>
          <w:i/>
          <w:iCs/>
          <w:color w:val="000000"/>
          <w:sz w:val="20"/>
          <w:lang w:val="en-CA"/>
        </w:rPr>
        <w:t>—</w:t>
      </w:r>
      <w:r w:rsidRPr="00456983">
        <w:rPr>
          <w:sz w:val="20"/>
          <w:lang w:val="en-CA"/>
        </w:rPr>
        <w:t xml:space="preserve"> Youth protection </w:t>
      </w:r>
      <w:r w:rsidRPr="00456983">
        <w:rPr>
          <w:i/>
          <w:iCs/>
          <w:color w:val="000000"/>
          <w:sz w:val="20"/>
          <w:lang w:val="en-CA"/>
        </w:rPr>
        <w:t>—</w:t>
      </w:r>
      <w:r w:rsidRPr="00456983">
        <w:rPr>
          <w:sz w:val="20"/>
          <w:lang w:val="en-CA"/>
        </w:rPr>
        <w:t xml:space="preserve"> Applications raising encroachment of rights </w:t>
      </w:r>
      <w:r w:rsidRPr="00456983">
        <w:rPr>
          <w:i/>
          <w:iCs/>
          <w:color w:val="000000"/>
          <w:sz w:val="20"/>
          <w:lang w:val="en-CA"/>
        </w:rPr>
        <w:t>—</w:t>
      </w:r>
      <w:r w:rsidRPr="00456983">
        <w:rPr>
          <w:sz w:val="20"/>
          <w:lang w:val="en-CA"/>
        </w:rPr>
        <w:t xml:space="preserve"> Court-ordered corrective measures going beyond situation of young person covered by applications </w:t>
      </w:r>
      <w:r w:rsidRPr="00456983">
        <w:rPr>
          <w:i/>
          <w:iCs/>
          <w:color w:val="000000"/>
          <w:sz w:val="20"/>
          <w:lang w:val="en-CA"/>
        </w:rPr>
        <w:t>—</w:t>
      </w:r>
      <w:r w:rsidRPr="00456983">
        <w:rPr>
          <w:sz w:val="20"/>
          <w:lang w:val="en-CA"/>
        </w:rPr>
        <w:t xml:space="preserve"> Jurisdiction of Court of Québec to order remedial measures that are systemic in nature </w:t>
      </w:r>
      <w:r w:rsidRPr="00456983">
        <w:rPr>
          <w:i/>
          <w:iCs/>
          <w:color w:val="000000"/>
          <w:sz w:val="20"/>
          <w:lang w:val="en-CA"/>
        </w:rPr>
        <w:t>—</w:t>
      </w:r>
      <w:r w:rsidRPr="00456983">
        <w:rPr>
          <w:iCs/>
          <w:color w:val="000000"/>
          <w:sz w:val="20"/>
          <w:lang w:val="en-CA"/>
        </w:rPr>
        <w:t xml:space="preserve"> Scope of powers conferred by s. 91 </w:t>
      </w:r>
      <w:r w:rsidRPr="00456983">
        <w:rPr>
          <w:i/>
          <w:iCs/>
          <w:color w:val="000000"/>
          <w:sz w:val="20"/>
          <w:lang w:val="en-CA"/>
        </w:rPr>
        <w:t>in fine</w:t>
      </w:r>
      <w:r w:rsidRPr="00456983">
        <w:rPr>
          <w:iCs/>
          <w:color w:val="000000"/>
          <w:sz w:val="20"/>
          <w:lang w:val="en-CA"/>
        </w:rPr>
        <w:t xml:space="preserve"> of </w:t>
      </w:r>
      <w:r w:rsidRPr="00456983">
        <w:rPr>
          <w:i/>
          <w:sz w:val="20"/>
          <w:lang w:val="en-CA"/>
        </w:rPr>
        <w:t>Youth Protection Act</w:t>
      </w:r>
      <w:r w:rsidRPr="00456983">
        <w:rPr>
          <w:sz w:val="20"/>
          <w:lang w:val="en-CA"/>
        </w:rPr>
        <w:t xml:space="preserve"> where Court of Québec judge makes order imposing corrective measures after declaring that rights have been encroached upon as result of systemic or institutional shortcomings </w:t>
      </w:r>
      <w:r w:rsidRPr="00456983">
        <w:rPr>
          <w:i/>
          <w:iCs/>
          <w:color w:val="000000"/>
          <w:sz w:val="20"/>
          <w:lang w:val="en-CA"/>
        </w:rPr>
        <w:t>—</w:t>
      </w:r>
      <w:r w:rsidRPr="00456983">
        <w:rPr>
          <w:iCs/>
          <w:color w:val="000000"/>
          <w:sz w:val="20"/>
          <w:lang w:val="en-CA"/>
        </w:rPr>
        <w:t xml:space="preserve"> Extent to which financial considerations may defeat functional considerations that weigh in favour of useful and effective systemic remedy following declaration of encroachment of rights by court specialized in matter</w:t>
      </w:r>
      <w:r w:rsidRPr="00456983">
        <w:rPr>
          <w:sz w:val="20"/>
          <w:lang w:val="en-CA"/>
        </w:rPr>
        <w:t xml:space="preserve"> </w:t>
      </w:r>
      <w:r w:rsidRPr="00456983">
        <w:rPr>
          <w:i/>
          <w:iCs/>
          <w:color w:val="000000"/>
          <w:sz w:val="20"/>
          <w:lang w:val="en-CA"/>
        </w:rPr>
        <w:t>—</w:t>
      </w:r>
      <w:r w:rsidRPr="00456983">
        <w:rPr>
          <w:sz w:val="20"/>
          <w:lang w:val="en-CA"/>
        </w:rPr>
        <w:t xml:space="preserve"> Whether Court of Québec had jurisdiction to order corrective measures relating to CISSS A even though institution was not named as party in case </w:t>
      </w:r>
      <w:r w:rsidRPr="00456983">
        <w:rPr>
          <w:i/>
          <w:iCs/>
          <w:color w:val="000000"/>
          <w:sz w:val="20"/>
          <w:lang w:val="en-CA"/>
        </w:rPr>
        <w:t>— Youth Protection Act</w:t>
      </w:r>
      <w:r w:rsidRPr="00456983">
        <w:rPr>
          <w:iCs/>
          <w:color w:val="000000"/>
          <w:sz w:val="20"/>
          <w:lang w:val="en-CA"/>
        </w:rPr>
        <w:t>, CQLR, c. P-34.1, s. 91.</w:t>
      </w:r>
    </w:p>
    <w:p w:rsidR="00456983" w:rsidRPr="00456983" w:rsidRDefault="00456983" w:rsidP="00456983">
      <w:pPr>
        <w:jc w:val="both"/>
        <w:rPr>
          <w:sz w:val="20"/>
          <w:lang w:val="en-CA"/>
        </w:rPr>
      </w:pPr>
    </w:p>
    <w:p w:rsidR="00456983" w:rsidRPr="00456983" w:rsidRDefault="00456983" w:rsidP="00456983">
      <w:pPr>
        <w:widowControl w:val="0"/>
        <w:jc w:val="both"/>
        <w:rPr>
          <w:sz w:val="20"/>
          <w:lang w:val="en-CA"/>
        </w:rPr>
      </w:pPr>
      <w:r w:rsidRPr="00456983">
        <w:rPr>
          <w:sz w:val="20"/>
          <w:lang w:val="en-CA"/>
        </w:rPr>
        <w:t xml:space="preserve">In December 2018, applications raising an encroachment of rights under s. 91 </w:t>
      </w:r>
      <w:r w:rsidRPr="00456983">
        <w:rPr>
          <w:i/>
          <w:sz w:val="20"/>
          <w:lang w:val="en-CA"/>
        </w:rPr>
        <w:t>in fine</w:t>
      </w:r>
      <w:r w:rsidRPr="00456983">
        <w:rPr>
          <w:sz w:val="20"/>
          <w:lang w:val="en-CA"/>
        </w:rPr>
        <w:t xml:space="preserve"> of the </w:t>
      </w:r>
      <w:r w:rsidRPr="00456983">
        <w:rPr>
          <w:i/>
          <w:sz w:val="20"/>
          <w:lang w:val="en-CA"/>
        </w:rPr>
        <w:t>Youth Protection Act</w:t>
      </w:r>
      <w:r w:rsidRPr="00456983">
        <w:rPr>
          <w:sz w:val="20"/>
          <w:lang w:val="en-CA"/>
        </w:rPr>
        <w:t xml:space="preserve">, CQLR, c. P-34.1, were filed in the Court of Québec, Youth Division, by the interveners X, A and B — a young person under the protection of the respondent Director of Youth Protection (“DYP”) and her parents. The applications concerned the young person’s treatment during stays in treatment and supervision units, where she had been subject to multiple isolation and restraint measures. The Court of Québec declared that the young person’s rights had been encroached upon and ordered corrective measures, some of which were systemic in nature. The DYP appealed those measures to the Superior Court, successfully arguing that the Court of Québec’s orders were overbroad. </w:t>
      </w:r>
      <w:r w:rsidRPr="00456983">
        <w:rPr>
          <w:sz w:val="20"/>
          <w:lang w:val="fr-CA"/>
        </w:rPr>
        <w:t xml:space="preserve">The appellant, the Commission des droits de la personne et des droits de la jeunesse, then appealed that judgment to the Court of Appeal. </w:t>
      </w:r>
      <w:r w:rsidRPr="00456983">
        <w:rPr>
          <w:sz w:val="20"/>
          <w:lang w:val="en-CA"/>
        </w:rPr>
        <w:t>The Court of Appeal essentially accepted the Superior Court’s conclusions: the initial orders went beyond the young person’s situation and therefore exceeded the Court of Québec’s powers.</w:t>
      </w:r>
    </w:p>
    <w:p w:rsidR="004874F7" w:rsidRPr="00456983" w:rsidRDefault="004874F7" w:rsidP="001C4415">
      <w:pPr>
        <w:widowControl w:val="0"/>
        <w:rPr>
          <w:szCs w:val="24"/>
        </w:rPr>
      </w:pPr>
    </w:p>
    <w:p w:rsidR="004874F7" w:rsidRPr="00456983" w:rsidRDefault="004874F7" w:rsidP="001C4415">
      <w:pPr>
        <w:widowControl w:val="0"/>
        <w:rPr>
          <w:szCs w:val="24"/>
        </w:rPr>
      </w:pPr>
    </w:p>
    <w:p w:rsidR="00A97E61" w:rsidRPr="00456983" w:rsidRDefault="00456983" w:rsidP="001C4415">
      <w:pPr>
        <w:widowControl w:val="0"/>
        <w:rPr>
          <w:szCs w:val="24"/>
          <w:lang w:val="fr-CA"/>
        </w:rPr>
      </w:pPr>
      <w:r w:rsidRPr="00456983">
        <w:rPr>
          <w:sz w:val="18"/>
          <w:szCs w:val="18"/>
        </w:rPr>
        <w:pict>
          <v:rect id="_x0000_i1025" style="width:272.25pt;height:1.5pt" o:hrpct="0" o:hralign="center" o:hrstd="t" o:hrnoshade="t" o:hr="t" fillcolor="black [3213]" stroked="f"/>
        </w:pict>
      </w:r>
    </w:p>
    <w:p w:rsidR="00A97E61" w:rsidRPr="00456983" w:rsidRDefault="00A97E61" w:rsidP="001C4415">
      <w:pPr>
        <w:widowControl w:val="0"/>
        <w:rPr>
          <w:szCs w:val="24"/>
          <w:lang w:val="fr-CA"/>
        </w:rPr>
      </w:pPr>
    </w:p>
    <w:p w:rsidR="001C4415" w:rsidRPr="00456983" w:rsidRDefault="001C4415" w:rsidP="001C4415">
      <w:pPr>
        <w:widowControl w:val="0"/>
        <w:rPr>
          <w:lang w:val="fr-CA"/>
        </w:rPr>
      </w:pPr>
    </w:p>
    <w:p w:rsidR="001335A1" w:rsidRPr="00456983" w:rsidRDefault="001335A1" w:rsidP="001335A1">
      <w:pPr>
        <w:widowControl w:val="0"/>
        <w:jc w:val="center"/>
        <w:rPr>
          <w:b/>
          <w:lang w:val="fr-CA"/>
        </w:rPr>
      </w:pPr>
      <w:r w:rsidRPr="00456983">
        <w:rPr>
          <w:b/>
          <w:lang w:val="fr-CA"/>
        </w:rPr>
        <w:t>PROCHAIN JUGEMENT</w:t>
      </w:r>
      <w:r w:rsidR="00455BB9" w:rsidRPr="00456983">
        <w:rPr>
          <w:b/>
          <w:lang w:val="fr-CA"/>
        </w:rPr>
        <w:t xml:space="preserve"> SUR APPEL</w:t>
      </w:r>
    </w:p>
    <w:p w:rsidR="001335A1" w:rsidRPr="00456983" w:rsidRDefault="001335A1" w:rsidP="001335A1">
      <w:pPr>
        <w:widowControl w:val="0"/>
        <w:rPr>
          <w:lang w:val="fr-CA"/>
        </w:rPr>
      </w:pPr>
    </w:p>
    <w:p w:rsidR="00EC79B0" w:rsidRPr="00456983" w:rsidRDefault="00EC79B0" w:rsidP="00EC79B0">
      <w:pPr>
        <w:widowControl w:val="0"/>
        <w:rPr>
          <w:lang w:val="fr-CA"/>
        </w:rPr>
      </w:pPr>
      <w:r w:rsidRPr="00456983">
        <w:rPr>
          <w:b/>
          <w:lang w:val="fr-CA"/>
        </w:rPr>
        <w:t xml:space="preserve">Le </w:t>
      </w:r>
      <w:r w:rsidR="00EB7B82" w:rsidRPr="00456983">
        <w:rPr>
          <w:b/>
          <w:lang w:val="fr-CA"/>
        </w:rPr>
        <w:t>1</w:t>
      </w:r>
      <w:r w:rsidR="00AC5E9B" w:rsidRPr="00456983">
        <w:rPr>
          <w:b/>
          <w:lang w:val="fr-CA"/>
        </w:rPr>
        <w:t>6</w:t>
      </w:r>
      <w:r w:rsidR="00935B44" w:rsidRPr="00456983">
        <w:rPr>
          <w:b/>
          <w:lang w:val="fr-CA"/>
        </w:rPr>
        <w:t xml:space="preserve"> </w:t>
      </w:r>
      <w:r w:rsidR="001B172B" w:rsidRPr="00456983">
        <w:rPr>
          <w:b/>
          <w:lang w:val="fr-CA"/>
        </w:rPr>
        <w:t>déc</w:t>
      </w:r>
      <w:r w:rsidR="00501215" w:rsidRPr="00456983">
        <w:rPr>
          <w:b/>
          <w:lang w:val="fr-CA"/>
        </w:rPr>
        <w:t>em</w:t>
      </w:r>
      <w:r w:rsidR="00D27D6F" w:rsidRPr="00456983">
        <w:rPr>
          <w:b/>
          <w:lang w:val="fr-CA"/>
        </w:rPr>
        <w:t>bre</w:t>
      </w:r>
      <w:r w:rsidR="00C86395" w:rsidRPr="00456983">
        <w:rPr>
          <w:b/>
          <w:lang w:val="fr-CA"/>
        </w:rPr>
        <w:t xml:space="preserve"> </w:t>
      </w:r>
      <w:r w:rsidR="0086609D" w:rsidRPr="00456983">
        <w:rPr>
          <w:b/>
          <w:lang w:val="fr-CA"/>
        </w:rPr>
        <w:t>20</w:t>
      </w:r>
      <w:r w:rsidR="009544E9" w:rsidRPr="00456983">
        <w:rPr>
          <w:b/>
          <w:lang w:val="fr-CA"/>
        </w:rPr>
        <w:t>2</w:t>
      </w:r>
      <w:r w:rsidR="0049454A" w:rsidRPr="00456983">
        <w:rPr>
          <w:b/>
          <w:lang w:val="fr-CA"/>
        </w:rPr>
        <w:t>4</w:t>
      </w:r>
    </w:p>
    <w:p w:rsidR="00EC79B0" w:rsidRPr="00456983" w:rsidRDefault="00EC79B0" w:rsidP="00EC79B0">
      <w:pPr>
        <w:widowControl w:val="0"/>
        <w:rPr>
          <w:lang w:val="fr-CA"/>
        </w:rPr>
      </w:pPr>
    </w:p>
    <w:p w:rsidR="00EC79B0" w:rsidRPr="00456983" w:rsidRDefault="00EC79B0" w:rsidP="00EC79B0">
      <w:pPr>
        <w:widowControl w:val="0"/>
        <w:rPr>
          <w:lang w:val="fr-CA"/>
        </w:rPr>
      </w:pPr>
      <w:r w:rsidRPr="00456983">
        <w:rPr>
          <w:b/>
          <w:lang w:val="fr-CA"/>
        </w:rPr>
        <w:t>OTTAWA</w:t>
      </w:r>
      <w:r w:rsidRPr="00456983">
        <w:rPr>
          <w:lang w:val="fr-CA"/>
        </w:rPr>
        <w:t xml:space="preserve"> – </w:t>
      </w:r>
      <w:r w:rsidR="0095505F" w:rsidRPr="00456983">
        <w:rPr>
          <w:lang w:val="fr-CA"/>
        </w:rPr>
        <w:t xml:space="preserve">La Cour suprême du Canada rendra jugement dans l’appel suivant le </w:t>
      </w:r>
      <w:r w:rsidR="00D27D6F" w:rsidRPr="00456983">
        <w:rPr>
          <w:lang w:val="fr-CA"/>
        </w:rPr>
        <w:t>vendredi</w:t>
      </w:r>
      <w:r w:rsidR="0095505F" w:rsidRPr="00456983">
        <w:rPr>
          <w:lang w:val="fr-CA"/>
        </w:rPr>
        <w:t xml:space="preserve"> </w:t>
      </w:r>
      <w:r w:rsidR="00EB7B82" w:rsidRPr="00456983">
        <w:rPr>
          <w:lang w:val="fr-CA"/>
        </w:rPr>
        <w:t>20</w:t>
      </w:r>
      <w:r w:rsidR="001B172B" w:rsidRPr="00456983">
        <w:rPr>
          <w:lang w:val="fr-CA"/>
        </w:rPr>
        <w:t xml:space="preserve"> déc</w:t>
      </w:r>
      <w:r w:rsidR="002D0B9A" w:rsidRPr="00456983">
        <w:rPr>
          <w:lang w:val="fr-CA"/>
        </w:rPr>
        <w:t>embre</w:t>
      </w:r>
      <w:r w:rsidR="0095505F" w:rsidRPr="00456983">
        <w:rPr>
          <w:lang w:val="fr-CA"/>
        </w:rPr>
        <w:t xml:space="preserve"> 202</w:t>
      </w:r>
      <w:r w:rsidR="0049454A" w:rsidRPr="00456983">
        <w:rPr>
          <w:lang w:val="fr-CA"/>
        </w:rPr>
        <w:t>4</w:t>
      </w:r>
      <w:r w:rsidR="0095505F" w:rsidRPr="00456983">
        <w:rPr>
          <w:lang w:val="fr-CA"/>
        </w:rPr>
        <w:t>, à 9 h 45 HE.</w:t>
      </w:r>
    </w:p>
    <w:p w:rsidR="001F76DD" w:rsidRPr="00456983" w:rsidRDefault="001F76DD" w:rsidP="00E92006">
      <w:pPr>
        <w:widowControl w:val="0"/>
        <w:jc w:val="both"/>
        <w:rPr>
          <w:szCs w:val="24"/>
          <w:lang w:val="fr-CA"/>
        </w:rPr>
      </w:pPr>
    </w:p>
    <w:p w:rsidR="001335A1" w:rsidRPr="00456983" w:rsidRDefault="001335A1" w:rsidP="001335A1">
      <w:pPr>
        <w:widowControl w:val="0"/>
        <w:rPr>
          <w:szCs w:val="24"/>
          <w:lang w:val="fr-CA"/>
        </w:rPr>
      </w:pPr>
    </w:p>
    <w:p w:rsidR="00772636" w:rsidRPr="00456983" w:rsidRDefault="00161615" w:rsidP="00772636">
      <w:pPr>
        <w:jc w:val="both"/>
        <w:rPr>
          <w:szCs w:val="24"/>
          <w:lang w:val="fr-CA"/>
        </w:rPr>
      </w:pPr>
      <w:r w:rsidRPr="00456983">
        <w:rPr>
          <w:i/>
          <w:szCs w:val="24"/>
          <w:lang w:val="fr-CA"/>
        </w:rPr>
        <w:t xml:space="preserve">Commission des droits de la personne et des droits de la jeunesse c. Directrice de la protection de la jeunesse du CISSS </w:t>
      </w:r>
      <w:r w:rsidR="00456983" w:rsidRPr="00456983">
        <w:rPr>
          <w:i/>
          <w:szCs w:val="24"/>
          <w:lang w:val="fr-CA"/>
        </w:rPr>
        <w:t>A</w:t>
      </w:r>
      <w:r w:rsidR="00281F68" w:rsidRPr="00456983">
        <w:rPr>
          <w:i/>
          <w:szCs w:val="24"/>
          <w:lang w:val="fr-CA"/>
        </w:rPr>
        <w:t xml:space="preserve"> </w:t>
      </w:r>
      <w:r w:rsidR="00772636" w:rsidRPr="00456983">
        <w:rPr>
          <w:szCs w:val="24"/>
          <w:lang w:val="fr-CA"/>
        </w:rPr>
        <w:t>(</w:t>
      </w:r>
      <w:r w:rsidRPr="00456983">
        <w:rPr>
          <w:szCs w:val="24"/>
          <w:lang w:val="fr-CA"/>
        </w:rPr>
        <w:t>Qc</w:t>
      </w:r>
      <w:r w:rsidR="00772636" w:rsidRPr="00456983">
        <w:rPr>
          <w:szCs w:val="24"/>
          <w:lang w:val="fr-CA"/>
        </w:rPr>
        <w:t xml:space="preserve">) </w:t>
      </w:r>
      <w:r w:rsidR="00772636" w:rsidRPr="00456983">
        <w:rPr>
          <w:lang w:val="fr-CA"/>
        </w:rPr>
        <w:t>(</w:t>
      </w:r>
      <w:hyperlink r:id="rId8" w:history="1">
        <w:r w:rsidR="002915B5" w:rsidRPr="00456983">
          <w:rPr>
            <w:rStyle w:val="Hyperlink"/>
            <w:lang w:val="fr-CA"/>
          </w:rPr>
          <w:t>40</w:t>
        </w:r>
        <w:r w:rsidR="00B00D94" w:rsidRPr="00456983">
          <w:rPr>
            <w:rStyle w:val="Hyperlink"/>
            <w:lang w:val="fr-CA"/>
          </w:rPr>
          <w:t>602</w:t>
        </w:r>
      </w:hyperlink>
      <w:r w:rsidR="00772636" w:rsidRPr="00456983">
        <w:rPr>
          <w:lang w:val="fr-CA"/>
        </w:rPr>
        <w:t>)</w:t>
      </w:r>
    </w:p>
    <w:p w:rsidR="003B3C19" w:rsidRPr="00456983" w:rsidRDefault="003B3C19" w:rsidP="004C3C67">
      <w:pPr>
        <w:widowControl w:val="0"/>
        <w:jc w:val="both"/>
        <w:rPr>
          <w:sz w:val="20"/>
          <w:lang w:val="fr-CA"/>
        </w:rPr>
      </w:pPr>
      <w:bookmarkStart w:id="0" w:name="QuickMark_1"/>
      <w:bookmarkEnd w:id="0"/>
    </w:p>
    <w:p w:rsidR="00456983" w:rsidRPr="00456983" w:rsidRDefault="00456983" w:rsidP="00456983">
      <w:pPr>
        <w:widowControl w:val="0"/>
        <w:ind w:left="709" w:hanging="709"/>
        <w:jc w:val="both"/>
        <w:rPr>
          <w:b/>
          <w:i/>
          <w:sz w:val="20"/>
          <w:lang w:val="fr-CA"/>
        </w:rPr>
      </w:pPr>
      <w:r w:rsidRPr="00456983">
        <w:rPr>
          <w:b/>
          <w:sz w:val="20"/>
          <w:lang w:val="fr-CA"/>
        </w:rPr>
        <w:fldChar w:fldCharType="begin"/>
      </w:r>
      <w:r w:rsidRPr="00456983">
        <w:rPr>
          <w:b/>
          <w:sz w:val="20"/>
          <w:lang w:val="fr-CA"/>
        </w:rPr>
        <w:instrText xml:space="preserve"> SEQ CHAPTER \h \r 1</w:instrText>
      </w:r>
      <w:r w:rsidRPr="00456983">
        <w:rPr>
          <w:b/>
          <w:sz w:val="20"/>
        </w:rPr>
        <w:fldChar w:fldCharType="end"/>
      </w:r>
      <w:r w:rsidRPr="00456983">
        <w:rPr>
          <w:b/>
          <w:sz w:val="20"/>
          <w:lang w:val="fr-CA"/>
        </w:rPr>
        <w:t>40602</w:t>
      </w:r>
      <w:r w:rsidRPr="00456983">
        <w:rPr>
          <w:sz w:val="20"/>
          <w:lang w:val="fr-CA"/>
        </w:rPr>
        <w:tab/>
      </w:r>
      <w:r w:rsidRPr="00456983">
        <w:rPr>
          <w:b/>
          <w:i/>
          <w:sz w:val="20"/>
          <w:lang w:val="fr-CA"/>
        </w:rPr>
        <w:t>Commission des droits de la personne et des droits de la jeunesse c. Directrice de la protection de la jeunesse du CISSS A</w:t>
      </w:r>
    </w:p>
    <w:p w:rsidR="00456983" w:rsidRPr="00456983" w:rsidRDefault="00456983" w:rsidP="00456983">
      <w:pPr>
        <w:widowControl w:val="0"/>
        <w:ind w:left="709" w:hanging="709"/>
        <w:jc w:val="both"/>
        <w:rPr>
          <w:sz w:val="20"/>
          <w:lang w:val="fr-CA"/>
        </w:rPr>
      </w:pPr>
      <w:r w:rsidRPr="00456983">
        <w:rPr>
          <w:b/>
          <w:i/>
          <w:sz w:val="20"/>
          <w:lang w:val="fr-CA"/>
        </w:rPr>
        <w:tab/>
      </w:r>
      <w:r w:rsidRPr="00456983">
        <w:rPr>
          <w:sz w:val="20"/>
          <w:lang w:val="fr-CA"/>
        </w:rPr>
        <w:t>(Qc) (Civile) (Autorisation)</w:t>
      </w:r>
    </w:p>
    <w:p w:rsidR="00456983" w:rsidRPr="00456983" w:rsidRDefault="00456983" w:rsidP="00456983">
      <w:pPr>
        <w:widowControl w:val="0"/>
        <w:ind w:left="2160" w:hanging="2160"/>
        <w:jc w:val="both"/>
        <w:rPr>
          <w:sz w:val="20"/>
          <w:lang w:val="fr-CA"/>
        </w:rPr>
      </w:pPr>
    </w:p>
    <w:p w:rsidR="00456983" w:rsidRPr="00456983" w:rsidRDefault="00456983" w:rsidP="00456983">
      <w:pPr>
        <w:pStyle w:val="SCCBanSummary"/>
        <w:rPr>
          <w:b/>
          <w:sz w:val="20"/>
          <w:szCs w:val="20"/>
          <w:lang w:val="fr-CA"/>
        </w:rPr>
      </w:pPr>
      <w:r w:rsidRPr="00456983">
        <w:rPr>
          <w:b/>
          <w:sz w:val="20"/>
          <w:szCs w:val="20"/>
          <w:lang w:val="fr-CA"/>
        </w:rPr>
        <w:t>(Ordonnance de non-publication dans le dossier) (Ordonnance de non-publication visant une partie) (Certaines informations non disponibles pour le public)</w:t>
      </w:r>
    </w:p>
    <w:p w:rsidR="00456983" w:rsidRPr="00456983" w:rsidRDefault="00456983" w:rsidP="00456983">
      <w:pPr>
        <w:jc w:val="both"/>
        <w:rPr>
          <w:sz w:val="20"/>
          <w:lang w:val="fr-CA"/>
        </w:rPr>
      </w:pPr>
    </w:p>
    <w:p w:rsidR="00456983" w:rsidRPr="00456983" w:rsidRDefault="00456983" w:rsidP="00456983">
      <w:pPr>
        <w:jc w:val="both"/>
        <w:rPr>
          <w:sz w:val="20"/>
          <w:lang w:val="fr-CA"/>
        </w:rPr>
      </w:pPr>
      <w:r w:rsidRPr="00456983">
        <w:rPr>
          <w:sz w:val="20"/>
          <w:lang w:val="fr-CA"/>
        </w:rPr>
        <w:t xml:space="preserve">Droits des personnes </w:t>
      </w:r>
      <w:r w:rsidRPr="00456983">
        <w:rPr>
          <w:i/>
          <w:iCs/>
          <w:color w:val="000000"/>
          <w:sz w:val="20"/>
          <w:lang w:val="fr-CA"/>
        </w:rPr>
        <w:t>—</w:t>
      </w:r>
      <w:r w:rsidRPr="00456983">
        <w:rPr>
          <w:sz w:val="20"/>
          <w:lang w:val="fr-CA"/>
        </w:rPr>
        <w:t xml:space="preserve"> Protection de la jeunesse </w:t>
      </w:r>
      <w:r w:rsidRPr="00456983">
        <w:rPr>
          <w:i/>
          <w:iCs/>
          <w:color w:val="000000"/>
          <w:sz w:val="20"/>
          <w:lang w:val="fr-CA"/>
        </w:rPr>
        <w:t>—</w:t>
      </w:r>
      <w:r w:rsidRPr="00456983">
        <w:rPr>
          <w:sz w:val="20"/>
          <w:lang w:val="fr-CA"/>
        </w:rPr>
        <w:t xml:space="preserve"> Demandes en lésion de droits </w:t>
      </w:r>
      <w:r w:rsidRPr="00456983">
        <w:rPr>
          <w:i/>
          <w:iCs/>
          <w:color w:val="000000"/>
          <w:sz w:val="20"/>
          <w:lang w:val="fr-CA"/>
        </w:rPr>
        <w:t>—</w:t>
      </w:r>
      <w:r w:rsidRPr="00456983">
        <w:rPr>
          <w:sz w:val="20"/>
          <w:lang w:val="fr-CA"/>
        </w:rPr>
        <w:t xml:space="preserve"> Mesures correctrices ordonnées par tribunal allant au-delà de la situation de l’adolescente visée par les demandes </w:t>
      </w:r>
      <w:r w:rsidRPr="00456983">
        <w:rPr>
          <w:i/>
          <w:iCs/>
          <w:color w:val="000000"/>
          <w:sz w:val="20"/>
          <w:lang w:val="fr-CA"/>
        </w:rPr>
        <w:t>—</w:t>
      </w:r>
      <w:r w:rsidRPr="00456983">
        <w:rPr>
          <w:sz w:val="20"/>
          <w:lang w:val="fr-CA"/>
        </w:rPr>
        <w:t xml:space="preserve"> Compétence de la Cour du Québec d’ordonner mesures réparatrices de nature systémique </w:t>
      </w:r>
      <w:r w:rsidRPr="00456983">
        <w:rPr>
          <w:i/>
          <w:iCs/>
          <w:color w:val="000000"/>
          <w:sz w:val="20"/>
          <w:lang w:val="fr-CA"/>
        </w:rPr>
        <w:t xml:space="preserve">— </w:t>
      </w:r>
      <w:r w:rsidRPr="00456983">
        <w:rPr>
          <w:sz w:val="20"/>
          <w:lang w:val="fr-CA"/>
        </w:rPr>
        <w:t xml:space="preserve">Quelle est l’étendue des pouvoirs dévolus par l’article 91 </w:t>
      </w:r>
      <w:r w:rsidRPr="00456983">
        <w:rPr>
          <w:i/>
          <w:sz w:val="20"/>
          <w:lang w:val="fr-CA"/>
        </w:rPr>
        <w:t>in fine</w:t>
      </w:r>
      <w:r w:rsidRPr="00456983">
        <w:rPr>
          <w:sz w:val="20"/>
          <w:lang w:val="fr-CA"/>
        </w:rPr>
        <w:t xml:space="preserve"> de la </w:t>
      </w:r>
      <w:r w:rsidRPr="00456983">
        <w:rPr>
          <w:i/>
          <w:sz w:val="20"/>
          <w:lang w:val="fr-CA"/>
        </w:rPr>
        <w:t>Loi sur la protection de la jeunesse</w:t>
      </w:r>
      <w:r w:rsidRPr="00456983">
        <w:rPr>
          <w:sz w:val="20"/>
          <w:lang w:val="fr-CA"/>
        </w:rPr>
        <w:t xml:space="preserve">, lorsqu’un juge de la Cour du Québec rend une ordonnance de mesures correctrices à la suite d’une déclaration de lésion de droits découlant de lacunes systémiques ou institutionnelles? </w:t>
      </w:r>
      <w:r w:rsidRPr="00456983">
        <w:rPr>
          <w:i/>
          <w:iCs/>
          <w:color w:val="000000"/>
          <w:sz w:val="20"/>
          <w:lang w:val="fr-CA"/>
        </w:rPr>
        <w:t xml:space="preserve">— </w:t>
      </w:r>
      <w:r w:rsidRPr="00456983">
        <w:rPr>
          <w:sz w:val="20"/>
          <w:lang w:val="fr-CA"/>
        </w:rPr>
        <w:t xml:space="preserve">Dans quelle mesure des considérations de nature financière peuvent-elles faire obstacle aux considérations fonctionnelles favorables à une réparation utile et efficace de nature systémique à la suite d’une déclaration de lésion de droits par le tribunal spécialisé en la matière? </w:t>
      </w:r>
      <w:r w:rsidRPr="00456983">
        <w:rPr>
          <w:i/>
          <w:iCs/>
          <w:color w:val="000000"/>
          <w:sz w:val="20"/>
          <w:lang w:val="fr-CA"/>
        </w:rPr>
        <w:t>—</w:t>
      </w:r>
      <w:r w:rsidRPr="00456983">
        <w:rPr>
          <w:sz w:val="20"/>
          <w:lang w:val="fr-CA"/>
        </w:rPr>
        <w:t xml:space="preserve"> Est-ce que la Cour du Québec avait la compétence d’ordonner des mesures correctrices visant le CISSS A, alors que l’établissement n’était pas désigné comme partie au dossier? </w:t>
      </w:r>
      <w:r w:rsidRPr="00456983">
        <w:rPr>
          <w:i/>
          <w:iCs/>
          <w:color w:val="000000"/>
          <w:sz w:val="20"/>
          <w:lang w:val="fr-CA"/>
        </w:rPr>
        <w:t>— Loi sur la protection de la jeunesse</w:t>
      </w:r>
      <w:r w:rsidRPr="00456983">
        <w:rPr>
          <w:iCs/>
          <w:color w:val="000000"/>
          <w:sz w:val="20"/>
          <w:lang w:val="fr-CA"/>
        </w:rPr>
        <w:t>, R.L.R.Q. c. P-34.1, art. 91.</w:t>
      </w:r>
    </w:p>
    <w:p w:rsidR="00456983" w:rsidRPr="00456983" w:rsidRDefault="00456983" w:rsidP="00456983">
      <w:pPr>
        <w:widowControl w:val="0"/>
        <w:jc w:val="both"/>
        <w:rPr>
          <w:sz w:val="20"/>
          <w:lang w:val="fr-CA"/>
        </w:rPr>
      </w:pPr>
    </w:p>
    <w:p w:rsidR="00456983" w:rsidRPr="00456983" w:rsidRDefault="00456983" w:rsidP="00456983">
      <w:pPr>
        <w:widowControl w:val="0"/>
        <w:jc w:val="both"/>
        <w:rPr>
          <w:sz w:val="20"/>
          <w:lang w:val="fr-CA"/>
        </w:rPr>
      </w:pPr>
      <w:r w:rsidRPr="00456983">
        <w:rPr>
          <w:sz w:val="20"/>
          <w:lang w:val="fr-CA"/>
        </w:rPr>
        <w:t xml:space="preserve">En décembre 2018, des demandes en lésion de droits en vertu de l’article 91 </w:t>
      </w:r>
      <w:r w:rsidRPr="00456983">
        <w:rPr>
          <w:i/>
          <w:sz w:val="20"/>
          <w:lang w:val="fr-CA"/>
        </w:rPr>
        <w:t>in fine</w:t>
      </w:r>
      <w:r w:rsidRPr="00456983">
        <w:rPr>
          <w:sz w:val="20"/>
          <w:lang w:val="fr-CA"/>
        </w:rPr>
        <w:t xml:space="preserve"> de la </w:t>
      </w:r>
      <w:r w:rsidRPr="00456983">
        <w:rPr>
          <w:i/>
          <w:sz w:val="20"/>
          <w:lang w:val="fr-CA"/>
        </w:rPr>
        <w:t>Loi sur la protection de la jeunesse</w:t>
      </w:r>
      <w:r w:rsidRPr="00456983">
        <w:rPr>
          <w:sz w:val="20"/>
          <w:lang w:val="fr-CA"/>
        </w:rPr>
        <w:t xml:space="preserve">, R.L.R.Q. c. P-34.1, ont été déposées à la Cour du Québec, Chambre de la jeunesse, par les intervenants X, A et B, soit une adolescente se trouvant sous la protection de l’intimée, la Directrice de la protection de la jeunesse (« DPJ »), ainsi que ses parents. Les demandes visaient le traitement de l’adolescente lors de séjours à des unités de traitement et d’encadrement, où elle avait fait l’objet de multiples mesures d’isolement et de contention. La Cour du Québec a déclaré que les droits de l’adolescente avaient été lésés, et a ordonné des mesures correctrices, dont certaines étaient de nature systémique. La DPJ a porté appel de ces mesures devant la Cour supérieure, soumettant avec succès que les ordonnances de la Cour du Québec étaient de portée trop large. Ensuite, l’appelante, la Commission des droits de la personne et des droits de la jeunesse, a porté appel de ce jugement devant la Cour d’appel. La Cour d’appel s’est rangée pour l’essentiel aux conclusions de la Cour supérieure : les ordonnances initiales allaient au-delà de la situation de l’adolescente et, en ce sens, dépassaient le cadre des pouvoirs de la Cour du Québec.  </w:t>
      </w:r>
    </w:p>
    <w:p w:rsidR="00046AF2" w:rsidRPr="00456983" w:rsidRDefault="00046AF2" w:rsidP="003B3C19">
      <w:pPr>
        <w:widowControl w:val="0"/>
        <w:jc w:val="both"/>
        <w:rPr>
          <w:sz w:val="20"/>
          <w:lang w:val="fr-CA"/>
        </w:rPr>
      </w:pPr>
    </w:p>
    <w:p w:rsidR="00EF4622" w:rsidRPr="00456983" w:rsidRDefault="00456983" w:rsidP="00CD14BB">
      <w:pPr>
        <w:pStyle w:val="aparanumbering1"/>
        <w:shd w:val="clear" w:color="auto" w:fill="FFFFFF"/>
        <w:spacing w:before="0" w:after="0"/>
        <w:ind w:left="0"/>
        <w:rPr>
          <w:rFonts w:ascii="Times New Roman" w:hAnsi="Times New Roman" w:cs="Times New Roman"/>
          <w:sz w:val="20"/>
          <w:szCs w:val="20"/>
          <w:lang w:val="fr-CA"/>
        </w:rPr>
      </w:pPr>
      <w:r w:rsidRPr="00456983">
        <w:rPr>
          <w:sz w:val="20"/>
        </w:rPr>
        <w:pict>
          <v:rect id="_x0000_i1026" style="width:2in;height:1pt" o:hrpct="0" o:hralign="center" o:hrstd="t" o:hrnoshade="t" o:hr="t" fillcolor="black [3213]" stroked="f"/>
        </w:pict>
      </w:r>
    </w:p>
    <w:p w:rsidR="00E92006" w:rsidRPr="00456983" w:rsidRDefault="00E92006" w:rsidP="00340C6D">
      <w:pPr>
        <w:jc w:val="both"/>
        <w:rPr>
          <w:sz w:val="20"/>
          <w:lang w:val="fr-CA"/>
        </w:rPr>
      </w:pPr>
    </w:p>
    <w:p w:rsidR="00E92006" w:rsidRPr="00456983" w:rsidRDefault="00E92006" w:rsidP="00340C6D">
      <w:pPr>
        <w:jc w:val="both"/>
        <w:rPr>
          <w:sz w:val="20"/>
          <w:lang w:val="fr-CA"/>
        </w:rPr>
      </w:pPr>
    </w:p>
    <w:p w:rsidR="00072A63" w:rsidRPr="00456983" w:rsidRDefault="00072A63" w:rsidP="00EC79B0">
      <w:pPr>
        <w:jc w:val="both"/>
        <w:rPr>
          <w:sz w:val="20"/>
          <w:lang w:val="fr-CA"/>
        </w:rPr>
      </w:pPr>
    </w:p>
    <w:p w:rsidR="001C4415" w:rsidRPr="00456983" w:rsidRDefault="001C4415" w:rsidP="001C4415">
      <w:pPr>
        <w:widowControl w:val="0"/>
        <w:outlineLvl w:val="0"/>
      </w:pPr>
      <w:r w:rsidRPr="00456983">
        <w:t xml:space="preserve">Supreme Court of Canada / Cour suprême du </w:t>
      </w:r>
      <w:proofErr w:type="gramStart"/>
      <w:r w:rsidRPr="00456983">
        <w:t>Canada :</w:t>
      </w:r>
      <w:proofErr w:type="gramEnd"/>
      <w:r w:rsidRPr="00456983">
        <w:t xml:space="preserve"> </w:t>
      </w:r>
    </w:p>
    <w:p w:rsidR="004F410B" w:rsidRPr="00456983" w:rsidRDefault="00456983" w:rsidP="004F410B">
      <w:pPr>
        <w:widowControl w:val="0"/>
        <w:outlineLvl w:val="0"/>
      </w:pPr>
      <w:hyperlink r:id="rId9" w:history="1">
        <w:r w:rsidR="004F410B" w:rsidRPr="00456983">
          <w:rPr>
            <w:rStyle w:val="Hyperlink"/>
          </w:rPr>
          <w:t>Registry-greffe@scc-csc.ca</w:t>
        </w:r>
      </w:hyperlink>
    </w:p>
    <w:p w:rsidR="001C4415" w:rsidRDefault="004F410B" w:rsidP="004F410B">
      <w:pPr>
        <w:widowControl w:val="0"/>
        <w:outlineLvl w:val="0"/>
      </w:pPr>
      <w:r w:rsidRPr="00456983">
        <w:t>1-844-365-9662</w:t>
      </w:r>
      <w:bookmarkStart w:id="1" w:name="_GoBack"/>
      <w:bookmarkEnd w:id="1"/>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08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0714"/>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65E"/>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1615"/>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172B"/>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1F68"/>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0B9A"/>
    <w:rsid w:val="002D62BE"/>
    <w:rsid w:val="002D631B"/>
    <w:rsid w:val="002D6424"/>
    <w:rsid w:val="002D6539"/>
    <w:rsid w:val="002D68ED"/>
    <w:rsid w:val="002E3F05"/>
    <w:rsid w:val="002E5644"/>
    <w:rsid w:val="002F28E0"/>
    <w:rsid w:val="002F2E89"/>
    <w:rsid w:val="002F4212"/>
    <w:rsid w:val="003023B2"/>
    <w:rsid w:val="00303433"/>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57E3"/>
    <w:rsid w:val="00356312"/>
    <w:rsid w:val="00357919"/>
    <w:rsid w:val="00362484"/>
    <w:rsid w:val="003640FE"/>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56983"/>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2228"/>
    <w:rsid w:val="004A40E1"/>
    <w:rsid w:val="004A4570"/>
    <w:rsid w:val="004A56AC"/>
    <w:rsid w:val="004A6F06"/>
    <w:rsid w:val="004B22B5"/>
    <w:rsid w:val="004B4821"/>
    <w:rsid w:val="004B4CDE"/>
    <w:rsid w:val="004B6E20"/>
    <w:rsid w:val="004B6F3A"/>
    <w:rsid w:val="004C070B"/>
    <w:rsid w:val="004C3C67"/>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1215"/>
    <w:rsid w:val="00504582"/>
    <w:rsid w:val="00506DD4"/>
    <w:rsid w:val="00512FB2"/>
    <w:rsid w:val="0051320D"/>
    <w:rsid w:val="005132EC"/>
    <w:rsid w:val="00517F18"/>
    <w:rsid w:val="00520525"/>
    <w:rsid w:val="00520A3C"/>
    <w:rsid w:val="00525362"/>
    <w:rsid w:val="00525B8E"/>
    <w:rsid w:val="005271AD"/>
    <w:rsid w:val="00531567"/>
    <w:rsid w:val="00532999"/>
    <w:rsid w:val="00534E1E"/>
    <w:rsid w:val="00537187"/>
    <w:rsid w:val="005400BA"/>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4F03"/>
    <w:rsid w:val="005A5B16"/>
    <w:rsid w:val="005A5D20"/>
    <w:rsid w:val="005A7C1B"/>
    <w:rsid w:val="005B10FA"/>
    <w:rsid w:val="005B11A1"/>
    <w:rsid w:val="005B4F58"/>
    <w:rsid w:val="005B7E1A"/>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25A2"/>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13E6"/>
    <w:rsid w:val="006429EF"/>
    <w:rsid w:val="00645E6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A4F"/>
    <w:rsid w:val="00700C57"/>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7F5184"/>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A0395"/>
    <w:rsid w:val="008B0841"/>
    <w:rsid w:val="008B305D"/>
    <w:rsid w:val="008B5FA3"/>
    <w:rsid w:val="008B5FDB"/>
    <w:rsid w:val="008B6308"/>
    <w:rsid w:val="008C2F61"/>
    <w:rsid w:val="008C5ACC"/>
    <w:rsid w:val="008C5D03"/>
    <w:rsid w:val="008D2829"/>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06F0"/>
    <w:rsid w:val="00921102"/>
    <w:rsid w:val="009214B3"/>
    <w:rsid w:val="0092264F"/>
    <w:rsid w:val="009234CE"/>
    <w:rsid w:val="009243AC"/>
    <w:rsid w:val="009246D2"/>
    <w:rsid w:val="00925384"/>
    <w:rsid w:val="00931A3C"/>
    <w:rsid w:val="0093468B"/>
    <w:rsid w:val="00935B44"/>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64B0"/>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299A"/>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C5E9B"/>
    <w:rsid w:val="00AD271C"/>
    <w:rsid w:val="00AD28E3"/>
    <w:rsid w:val="00AD4D8B"/>
    <w:rsid w:val="00AE14EC"/>
    <w:rsid w:val="00AE57A4"/>
    <w:rsid w:val="00AE77AE"/>
    <w:rsid w:val="00AF291D"/>
    <w:rsid w:val="00AF51A0"/>
    <w:rsid w:val="00AF5D67"/>
    <w:rsid w:val="00B00765"/>
    <w:rsid w:val="00B00D94"/>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930CF"/>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3DAC"/>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27D6F"/>
    <w:rsid w:val="00D303D6"/>
    <w:rsid w:val="00D32687"/>
    <w:rsid w:val="00D32D6E"/>
    <w:rsid w:val="00D3314A"/>
    <w:rsid w:val="00D362A2"/>
    <w:rsid w:val="00D37B27"/>
    <w:rsid w:val="00D424D2"/>
    <w:rsid w:val="00D465B3"/>
    <w:rsid w:val="00D51791"/>
    <w:rsid w:val="00D5468E"/>
    <w:rsid w:val="00D55F42"/>
    <w:rsid w:val="00D61701"/>
    <w:rsid w:val="00D63A7D"/>
    <w:rsid w:val="00D641AC"/>
    <w:rsid w:val="00D64BC8"/>
    <w:rsid w:val="00D65268"/>
    <w:rsid w:val="00D70C1C"/>
    <w:rsid w:val="00D710A9"/>
    <w:rsid w:val="00D715E9"/>
    <w:rsid w:val="00D73A55"/>
    <w:rsid w:val="00D74667"/>
    <w:rsid w:val="00D75A2B"/>
    <w:rsid w:val="00D8214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472E"/>
    <w:rsid w:val="00DD78FE"/>
    <w:rsid w:val="00DE04BB"/>
    <w:rsid w:val="00DE0A34"/>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6E7C"/>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B82"/>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8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60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c-csc.ca/case-dossier/info/sum-som-eng.aspx?cas=4060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6067</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2024-02-21T16:35:00Z</dcterms:created>
  <dcterms:modified xsi:type="dcterms:W3CDTF">2024-12-10T13:10:00Z</dcterms:modified>
</cp:coreProperties>
</file>