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A8" w:rsidRPr="00BF0508" w:rsidRDefault="004438A8" w:rsidP="004438A8">
      <w:pPr>
        <w:tabs>
          <w:tab w:val="center" w:pos="4680"/>
          <w:tab w:val="right" w:pos="9360"/>
        </w:tabs>
        <w:jc w:val="center"/>
        <w:rPr>
          <w:rFonts w:eastAsiaTheme="minorHAnsi" w:cstheme="minorBidi"/>
          <w:szCs w:val="24"/>
          <w:lang w:eastAsia="en-US"/>
        </w:rPr>
      </w:pPr>
      <w:r w:rsidRPr="00BF050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1375991" r:id="rId9"/>
        </w:object>
      </w:r>
    </w:p>
    <w:p w:rsidR="004438A8" w:rsidRPr="00BF0508" w:rsidRDefault="004438A8" w:rsidP="004438A8">
      <w:pPr>
        <w:tabs>
          <w:tab w:val="center" w:pos="4680"/>
          <w:tab w:val="right" w:pos="9360"/>
        </w:tabs>
        <w:rPr>
          <w:rFonts w:eastAsiaTheme="minorHAnsi" w:cstheme="minorBidi"/>
          <w:szCs w:val="24"/>
          <w:lang w:eastAsia="en-US"/>
        </w:rPr>
      </w:pP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SUPREME COURT OF CANADA</w:t>
      </w:r>
    </w:p>
    <w:p w:rsidR="004438A8" w:rsidRPr="00BF0508" w:rsidRDefault="004438A8" w:rsidP="004438A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438A8" w:rsidRPr="00BF0508" w:rsidTr="006D7515">
        <w:trPr>
          <w:cantSplit/>
        </w:trPr>
        <w:tc>
          <w:tcPr>
            <w:tcW w:w="6768" w:type="dxa"/>
          </w:tcPr>
          <w:p w:rsidR="004438A8" w:rsidRPr="00BF0508" w:rsidRDefault="004438A8" w:rsidP="006D7515">
            <w:r w:rsidRPr="00BF0508">
              <w:rPr>
                <w:b/>
                <w:smallCaps/>
              </w:rPr>
              <w:t>Citation:</w:t>
            </w:r>
            <w:r w:rsidRPr="00BF0508">
              <w:t xml:space="preserve">  Quebec (Attorney General) </w:t>
            </w:r>
            <w:r w:rsidRPr="00BF0508">
              <w:rPr>
                <w:i/>
              </w:rPr>
              <w:t>v.</w:t>
            </w:r>
            <w:r w:rsidRPr="00BF0508">
              <w:t xml:space="preserve"> A, </w:t>
            </w:r>
            <w:r>
              <w:t>2013 SCC 5, [2013] 1 S.C.R. 61</w:t>
            </w:r>
          </w:p>
        </w:tc>
        <w:tc>
          <w:tcPr>
            <w:tcW w:w="2808" w:type="dxa"/>
          </w:tcPr>
          <w:p w:rsidR="004438A8" w:rsidRPr="00BF0508" w:rsidRDefault="004438A8" w:rsidP="006D7515">
            <w:r w:rsidRPr="00BF0508">
              <w:rPr>
                <w:b/>
                <w:smallCaps/>
              </w:rPr>
              <w:t>Date:</w:t>
            </w:r>
            <w:r w:rsidRPr="00BF0508">
              <w:t xml:space="preserve"> 20130125</w:t>
            </w:r>
          </w:p>
          <w:p w:rsidR="004438A8" w:rsidRPr="00BF0508" w:rsidRDefault="004438A8" w:rsidP="006D7515">
            <w:r w:rsidRPr="00BF0508">
              <w:rPr>
                <w:b/>
                <w:smallCaps/>
              </w:rPr>
              <w:t>Docket:</w:t>
            </w:r>
            <w:r w:rsidRPr="00BF0508">
              <w:t xml:space="preserve"> 33990</w:t>
            </w:r>
          </w:p>
        </w:tc>
      </w:tr>
    </w:tbl>
    <w:p w:rsidR="004438A8" w:rsidRPr="00BF0508" w:rsidRDefault="004438A8" w:rsidP="004438A8">
      <w:pPr>
        <w:rPr>
          <w:rFonts w:eastAsiaTheme="minorHAnsi" w:cstheme="minorBidi"/>
          <w:szCs w:val="24"/>
          <w:lang w:eastAsia="en-US"/>
        </w:rPr>
      </w:pPr>
    </w:p>
    <w:p w:rsidR="004438A8" w:rsidRPr="00BF0508" w:rsidRDefault="004438A8" w:rsidP="004438A8">
      <w:pPr>
        <w:rPr>
          <w:rFonts w:eastAsiaTheme="minorHAnsi" w:cstheme="minorBidi"/>
          <w:b/>
          <w:smallCaps/>
          <w:szCs w:val="24"/>
          <w:lang w:eastAsia="en-US"/>
        </w:rPr>
      </w:pPr>
      <w:r w:rsidRPr="00BF0508">
        <w:rPr>
          <w:rFonts w:eastAsiaTheme="minorHAnsi" w:cstheme="minorBidi"/>
          <w:b/>
          <w:smallCaps/>
          <w:szCs w:val="24"/>
          <w:lang w:eastAsia="en-US"/>
        </w:rPr>
        <w:t>Between:</w:t>
      </w: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Attorney General of Quebec</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Appellant</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and</w:t>
      </w: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A</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Respondent</w:t>
      </w:r>
    </w:p>
    <w:p w:rsidR="004438A8" w:rsidRPr="00BF0508" w:rsidRDefault="004438A8" w:rsidP="004438A8">
      <w:pPr>
        <w:rPr>
          <w:rFonts w:eastAsiaTheme="minorHAnsi" w:cstheme="minorBidi"/>
          <w:b/>
          <w:smallCaps/>
          <w:szCs w:val="24"/>
          <w:lang w:eastAsia="en-US"/>
        </w:rPr>
      </w:pPr>
      <w:r w:rsidRPr="00BF0508">
        <w:rPr>
          <w:rFonts w:eastAsiaTheme="minorHAnsi" w:cstheme="minorBidi"/>
          <w:b/>
          <w:smallCaps/>
          <w:szCs w:val="24"/>
          <w:lang w:eastAsia="en-US"/>
        </w:rPr>
        <w:t>And Between:</w:t>
      </w: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B</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Appellant</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and</w:t>
      </w: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A</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Respondent</w:t>
      </w:r>
    </w:p>
    <w:p w:rsidR="004438A8" w:rsidRPr="00BF0508" w:rsidRDefault="004438A8" w:rsidP="004438A8">
      <w:pPr>
        <w:rPr>
          <w:rFonts w:eastAsiaTheme="minorHAnsi" w:cstheme="minorBidi"/>
          <w:b/>
          <w:smallCaps/>
          <w:szCs w:val="24"/>
          <w:lang w:eastAsia="en-US"/>
        </w:rPr>
      </w:pPr>
      <w:r w:rsidRPr="00BF0508">
        <w:rPr>
          <w:rFonts w:eastAsiaTheme="minorHAnsi" w:cstheme="minorBidi"/>
          <w:b/>
          <w:smallCaps/>
          <w:szCs w:val="24"/>
          <w:lang w:eastAsia="en-US"/>
        </w:rPr>
        <w:t>And Between:</w:t>
      </w: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A</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Appellant</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and</w:t>
      </w: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B and Attorney General of Quebec</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Respondents</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 and -</w:t>
      </w: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 xml:space="preserve">Attorney General of New Brunswick, Attorney General of Alberta, </w:t>
      </w:r>
    </w:p>
    <w:p w:rsidR="004438A8" w:rsidRPr="00BF0508" w:rsidRDefault="004438A8" w:rsidP="004438A8">
      <w:pPr>
        <w:jc w:val="center"/>
        <w:rPr>
          <w:rFonts w:eastAsiaTheme="minorHAnsi" w:cstheme="minorBidi"/>
          <w:b/>
          <w:szCs w:val="24"/>
          <w:lang w:val="fr-CA" w:eastAsia="en-US"/>
        </w:rPr>
      </w:pPr>
      <w:r w:rsidRPr="00BF0508">
        <w:rPr>
          <w:rFonts w:eastAsiaTheme="minorHAnsi" w:cstheme="minorBidi"/>
          <w:b/>
          <w:szCs w:val="24"/>
          <w:lang w:val="fr-CA" w:eastAsia="en-US"/>
        </w:rPr>
        <w:t xml:space="preserve">Fédération des associations de familles monoparentales et recomposées du Québec and </w:t>
      </w:r>
    </w:p>
    <w:p w:rsidR="004438A8" w:rsidRPr="00BF0508" w:rsidRDefault="004438A8" w:rsidP="004438A8">
      <w:pPr>
        <w:jc w:val="center"/>
        <w:rPr>
          <w:rFonts w:eastAsiaTheme="minorHAnsi" w:cstheme="minorBidi"/>
          <w:b/>
          <w:szCs w:val="24"/>
          <w:lang w:eastAsia="en-US"/>
        </w:rPr>
      </w:pPr>
      <w:r w:rsidRPr="00BF0508">
        <w:rPr>
          <w:rFonts w:eastAsiaTheme="minorHAnsi" w:cstheme="minorBidi"/>
          <w:b/>
          <w:szCs w:val="24"/>
          <w:lang w:eastAsia="en-US"/>
        </w:rPr>
        <w:t>Women’s Legal Education and Action Fund</w:t>
      </w:r>
    </w:p>
    <w:p w:rsidR="004438A8" w:rsidRPr="00BF0508" w:rsidRDefault="004438A8" w:rsidP="004438A8">
      <w:pPr>
        <w:jc w:val="center"/>
        <w:rPr>
          <w:rFonts w:eastAsiaTheme="minorHAnsi" w:cstheme="minorBidi"/>
          <w:szCs w:val="24"/>
          <w:lang w:eastAsia="en-US"/>
        </w:rPr>
      </w:pPr>
      <w:r w:rsidRPr="00BF0508">
        <w:rPr>
          <w:rFonts w:eastAsiaTheme="minorHAnsi" w:cstheme="minorBidi"/>
          <w:szCs w:val="24"/>
          <w:lang w:eastAsia="en-US"/>
        </w:rPr>
        <w:t>Interveners</w:t>
      </w:r>
    </w:p>
    <w:p w:rsidR="004438A8" w:rsidRPr="00BF0508" w:rsidRDefault="004438A8" w:rsidP="004438A8">
      <w:pPr>
        <w:rPr>
          <w:rFonts w:eastAsiaTheme="minorHAnsi" w:cstheme="minorBidi"/>
          <w:szCs w:val="24"/>
          <w:lang w:eastAsia="en-US"/>
        </w:rPr>
      </w:pPr>
    </w:p>
    <w:p w:rsidR="004438A8" w:rsidRPr="00BF0508" w:rsidRDefault="004438A8" w:rsidP="004438A8">
      <w:pPr>
        <w:rPr>
          <w:rFonts w:eastAsiaTheme="minorHAnsi" w:cstheme="minorBidi"/>
          <w:szCs w:val="24"/>
          <w:lang w:eastAsia="en-US"/>
        </w:rPr>
      </w:pPr>
      <w:r w:rsidRPr="00BF0508">
        <w:rPr>
          <w:rFonts w:eastAsiaTheme="minorHAnsi" w:cstheme="minorBidi"/>
          <w:b/>
          <w:smallCaps/>
          <w:szCs w:val="24"/>
          <w:lang w:eastAsia="en-US"/>
        </w:rPr>
        <w:t>Official English Translation</w:t>
      </w:r>
      <w:r w:rsidRPr="00BF0508">
        <w:rPr>
          <w:rFonts w:eastAsiaTheme="minorHAnsi" w:cstheme="minorBidi"/>
          <w:szCs w:val="24"/>
          <w:lang w:eastAsia="en-US"/>
        </w:rPr>
        <w:t>:  Reasons of LeBel J. and Deschamps J.</w:t>
      </w:r>
    </w:p>
    <w:p w:rsidR="004438A8" w:rsidRPr="00BF0508" w:rsidRDefault="004438A8" w:rsidP="004438A8">
      <w:pPr>
        <w:rPr>
          <w:rFonts w:eastAsiaTheme="minorHAnsi" w:cstheme="minorBidi"/>
          <w:szCs w:val="24"/>
          <w:lang w:eastAsia="en-US"/>
        </w:rPr>
      </w:pPr>
    </w:p>
    <w:p w:rsidR="004438A8" w:rsidRPr="00BF0508" w:rsidRDefault="004438A8" w:rsidP="004438A8">
      <w:pPr>
        <w:rPr>
          <w:rFonts w:eastAsiaTheme="minorHAnsi" w:cstheme="minorBidi"/>
          <w:szCs w:val="24"/>
          <w:lang w:eastAsia="en-US"/>
        </w:rPr>
      </w:pPr>
      <w:r w:rsidRPr="00BF0508">
        <w:rPr>
          <w:rFonts w:eastAsiaTheme="minorHAnsi" w:cstheme="minorBidi"/>
          <w:b/>
          <w:smallCaps/>
          <w:szCs w:val="24"/>
          <w:lang w:eastAsia="en-US"/>
        </w:rPr>
        <w:t>Coram:</w:t>
      </w:r>
      <w:r w:rsidRPr="00BF0508">
        <w:rPr>
          <w:rFonts w:eastAsiaTheme="minorHAnsi" w:cstheme="minorBidi"/>
          <w:szCs w:val="24"/>
          <w:lang w:eastAsia="en-US"/>
        </w:rPr>
        <w:t xml:space="preserve"> McLachlin C.J. and LeBel, Deschamps, Fish, Abella, Rothstein, Cromwell, Moldaver and Karakatsanis JJ.</w:t>
      </w:r>
    </w:p>
    <w:p w:rsidR="004438A8" w:rsidRPr="00BF0508" w:rsidRDefault="004438A8" w:rsidP="004438A8">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438A8" w:rsidRPr="00BF0508" w:rsidTr="006D7515">
        <w:trPr>
          <w:cantSplit/>
        </w:trPr>
        <w:tc>
          <w:tcPr>
            <w:tcW w:w="3618" w:type="dxa"/>
          </w:tcPr>
          <w:p w:rsidR="004438A8" w:rsidRPr="00BF0508" w:rsidRDefault="004438A8" w:rsidP="006D7515">
            <w:pPr>
              <w:rPr>
                <w:smallCaps/>
              </w:rPr>
            </w:pPr>
            <w:r w:rsidRPr="00BF0508">
              <w:rPr>
                <w:b/>
                <w:smallCaps/>
              </w:rPr>
              <w:lastRenderedPageBreak/>
              <w:t>Reasons for Judgment:</w:t>
            </w:r>
          </w:p>
          <w:p w:rsidR="004438A8" w:rsidRPr="00BF0508" w:rsidRDefault="004438A8" w:rsidP="006D7515">
            <w:r w:rsidRPr="00BF0508">
              <w:t>(paras. 1 to 282)</w:t>
            </w:r>
          </w:p>
          <w:p w:rsidR="004438A8" w:rsidRPr="00BF0508" w:rsidRDefault="004438A8" w:rsidP="006D7515">
            <w:pPr>
              <w:rPr>
                <w:smallCaps/>
              </w:rPr>
            </w:pPr>
          </w:p>
          <w:p w:rsidR="004438A8" w:rsidRPr="00BF0508" w:rsidRDefault="004438A8" w:rsidP="006D7515">
            <w:pPr>
              <w:rPr>
                <w:smallCaps/>
              </w:rPr>
            </w:pPr>
            <w:r w:rsidRPr="00BF0508">
              <w:rPr>
                <w:b/>
                <w:smallCaps/>
              </w:rPr>
              <w:t>Reasons Dissenting in Result:</w:t>
            </w:r>
          </w:p>
          <w:p w:rsidR="004438A8" w:rsidRPr="00BF0508" w:rsidRDefault="004438A8" w:rsidP="006D7515">
            <w:pPr>
              <w:rPr>
                <w:smallCaps/>
              </w:rPr>
            </w:pPr>
            <w:r w:rsidRPr="00BF0508">
              <w:t>(paras. 283 to 381)</w:t>
            </w:r>
          </w:p>
          <w:p w:rsidR="004438A8" w:rsidRPr="00BF0508" w:rsidRDefault="004438A8" w:rsidP="006D7515">
            <w:pPr>
              <w:rPr>
                <w:smallCaps/>
              </w:rPr>
            </w:pPr>
          </w:p>
          <w:p w:rsidR="004438A8" w:rsidRPr="00BF0508" w:rsidRDefault="004438A8" w:rsidP="006D7515">
            <w:pPr>
              <w:rPr>
                <w:smallCaps/>
              </w:rPr>
            </w:pPr>
            <w:r w:rsidRPr="00BF0508">
              <w:rPr>
                <w:b/>
                <w:smallCaps/>
              </w:rPr>
              <w:t>Reasons Dissenting in Part in Result:</w:t>
            </w:r>
          </w:p>
          <w:p w:rsidR="004438A8" w:rsidRPr="00BF0508" w:rsidRDefault="004438A8" w:rsidP="006D7515">
            <w:r w:rsidRPr="00BF0508">
              <w:t>(paras. 382 to 409)</w:t>
            </w:r>
          </w:p>
          <w:p w:rsidR="004438A8" w:rsidRPr="00BF0508" w:rsidRDefault="004438A8" w:rsidP="006D7515"/>
          <w:p w:rsidR="004438A8" w:rsidRPr="00BF0508" w:rsidRDefault="004438A8" w:rsidP="006D7515">
            <w:pPr>
              <w:rPr>
                <w:smallCaps/>
              </w:rPr>
            </w:pPr>
            <w:r w:rsidRPr="00BF0508">
              <w:rPr>
                <w:b/>
                <w:smallCaps/>
              </w:rPr>
              <w:t>Reasons Concurring in Result:</w:t>
            </w:r>
          </w:p>
          <w:p w:rsidR="004438A8" w:rsidRPr="00BF0508" w:rsidRDefault="004438A8" w:rsidP="006D7515">
            <w:r w:rsidRPr="00BF0508">
              <w:t>(paras. 410 to 450)</w:t>
            </w:r>
          </w:p>
          <w:p w:rsidR="004438A8" w:rsidRPr="00BF0508" w:rsidRDefault="004438A8" w:rsidP="006D7515"/>
        </w:tc>
        <w:tc>
          <w:tcPr>
            <w:tcW w:w="5958" w:type="dxa"/>
          </w:tcPr>
          <w:p w:rsidR="004438A8" w:rsidRPr="00BF0508" w:rsidRDefault="004438A8" w:rsidP="006D7515">
            <w:r w:rsidRPr="00BF0508">
              <w:t>LeBel J. (Fish, Rothstein and Moldaver JJ. concurring)</w:t>
            </w:r>
          </w:p>
          <w:p w:rsidR="004438A8" w:rsidRPr="00BF0508" w:rsidRDefault="004438A8" w:rsidP="006D7515"/>
          <w:p w:rsidR="004438A8" w:rsidRPr="00BF0508" w:rsidRDefault="004438A8" w:rsidP="006D7515"/>
          <w:p w:rsidR="004438A8" w:rsidRPr="00BF0508" w:rsidRDefault="004438A8" w:rsidP="006D7515">
            <w:r w:rsidRPr="00BF0508">
              <w:t>Abella J.</w:t>
            </w:r>
          </w:p>
          <w:p w:rsidR="004438A8" w:rsidRPr="00BF0508" w:rsidRDefault="004438A8" w:rsidP="006D7515"/>
          <w:p w:rsidR="004438A8" w:rsidRPr="00BF0508" w:rsidRDefault="004438A8" w:rsidP="006D7515"/>
          <w:p w:rsidR="004438A8" w:rsidRPr="00BF0508" w:rsidRDefault="004438A8" w:rsidP="006D7515">
            <w:r w:rsidRPr="00BF0508">
              <w:t>Deschamps J. (Cromwell and Karakatsanis JJ. concurring)</w:t>
            </w:r>
          </w:p>
          <w:p w:rsidR="004438A8" w:rsidRPr="00BF0508" w:rsidRDefault="004438A8" w:rsidP="006D7515"/>
          <w:p w:rsidR="004438A8" w:rsidRPr="00BF0508" w:rsidRDefault="004438A8" w:rsidP="006D7515"/>
          <w:p w:rsidR="004438A8" w:rsidRPr="00BF0508" w:rsidRDefault="004438A8" w:rsidP="006D7515"/>
          <w:p w:rsidR="004438A8" w:rsidRPr="00BF0508" w:rsidRDefault="004438A8" w:rsidP="006D7515">
            <w:r w:rsidRPr="00BF0508">
              <w:t>McLachlin C.J.</w:t>
            </w:r>
          </w:p>
          <w:p w:rsidR="004438A8" w:rsidRPr="00BF0508" w:rsidRDefault="004438A8" w:rsidP="006D7515"/>
          <w:p w:rsidR="004438A8" w:rsidRPr="00BF0508" w:rsidRDefault="004438A8" w:rsidP="006D7515"/>
        </w:tc>
      </w:tr>
    </w:tbl>
    <w:p w:rsidR="004438A8" w:rsidRPr="00BF0508" w:rsidRDefault="004438A8" w:rsidP="004438A8">
      <w:pPr>
        <w:rPr>
          <w:rFonts w:eastAsiaTheme="minorHAnsi" w:cstheme="minorBidi"/>
          <w:szCs w:val="24"/>
          <w:lang w:eastAsia="en-US"/>
        </w:rPr>
      </w:pPr>
    </w:p>
    <w:p w:rsidR="004438A8" w:rsidRPr="00BF0508" w:rsidRDefault="00F50C3A" w:rsidP="004438A8">
      <w:pPr>
        <w:rPr>
          <w:rFonts w:eastAsiaTheme="minorHAnsi" w:cstheme="minorBidi"/>
          <w:szCs w:val="24"/>
          <w:lang w:eastAsia="en-US"/>
        </w:rPr>
      </w:pPr>
      <w:r w:rsidRPr="00F50C3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438A8" w:rsidRPr="00BF0508" w:rsidRDefault="004438A8" w:rsidP="004438A8">
      <w:pPr>
        <w:rPr>
          <w:smallCaps/>
          <w:szCs w:val="24"/>
        </w:rPr>
      </w:pPr>
      <w:r w:rsidRPr="00BF0508">
        <w:rPr>
          <w:smallCaps/>
          <w:szCs w:val="24"/>
        </w:rPr>
        <w:br w:type="page"/>
      </w:r>
    </w:p>
    <w:p w:rsidR="008322BD" w:rsidRPr="008040E2" w:rsidRDefault="008040E2" w:rsidP="00D62FE6">
      <w:pPr>
        <w:spacing w:after="720"/>
        <w:jc w:val="both"/>
        <w:rPr>
          <w:szCs w:val="24"/>
        </w:rPr>
      </w:pPr>
      <w:r>
        <w:rPr>
          <w:szCs w:val="24"/>
        </w:rPr>
        <w:lastRenderedPageBreak/>
        <w:t>Q</w:t>
      </w:r>
      <w:r w:rsidR="008F78E9" w:rsidRPr="008040E2">
        <w:rPr>
          <w:szCs w:val="24"/>
        </w:rPr>
        <w:t xml:space="preserve">uebec </w:t>
      </w:r>
      <w:r w:rsidR="00567431" w:rsidRPr="008040E2">
        <w:rPr>
          <w:szCs w:val="24"/>
        </w:rPr>
        <w:t>(</w:t>
      </w:r>
      <w:r>
        <w:rPr>
          <w:szCs w:val="24"/>
        </w:rPr>
        <w:t>A</w:t>
      </w:r>
      <w:r w:rsidR="00567431" w:rsidRPr="008040E2">
        <w:rPr>
          <w:szCs w:val="24"/>
        </w:rPr>
        <w:t xml:space="preserve">ttorney </w:t>
      </w:r>
      <w:r>
        <w:rPr>
          <w:szCs w:val="24"/>
        </w:rPr>
        <w:t>G</w:t>
      </w:r>
      <w:r w:rsidR="00567431" w:rsidRPr="008040E2">
        <w:rPr>
          <w:szCs w:val="24"/>
        </w:rPr>
        <w:t xml:space="preserve">eneral) </w:t>
      </w:r>
      <w:r w:rsidR="009B57B3" w:rsidRPr="008040E2">
        <w:rPr>
          <w:i/>
          <w:szCs w:val="24"/>
        </w:rPr>
        <w:t>v.</w:t>
      </w:r>
      <w:r w:rsidR="00B000D8" w:rsidRPr="008040E2">
        <w:rPr>
          <w:szCs w:val="24"/>
        </w:rPr>
        <w:t xml:space="preserve"> </w:t>
      </w:r>
      <w:r>
        <w:rPr>
          <w:szCs w:val="24"/>
        </w:rPr>
        <w:t>A, 2013 SCC 5, [2013] 1 S.C.R. 61</w:t>
      </w:r>
    </w:p>
    <w:p w:rsidR="009608C6" w:rsidRPr="00B26E25" w:rsidRDefault="00FE5BFF" w:rsidP="005A6A41">
      <w:pPr>
        <w:pStyle w:val="SCCLsocLastPartyInRole"/>
        <w:rPr>
          <w:szCs w:val="24"/>
        </w:rPr>
      </w:pPr>
      <w:r w:rsidRPr="00B26E25">
        <w:rPr>
          <w:szCs w:val="24"/>
        </w:rPr>
        <w:t>Attorney General of Quebec</w:t>
      </w:r>
      <w:r w:rsidRPr="00B26E25">
        <w:rPr>
          <w:rStyle w:val="SCCLsocPartyRole"/>
          <w:szCs w:val="24"/>
        </w:rPr>
        <w:tab/>
        <w:t>Appellant</w:t>
      </w:r>
    </w:p>
    <w:p w:rsidR="009608C6" w:rsidRPr="00B26E25" w:rsidRDefault="00FE5BFF" w:rsidP="005A6A41">
      <w:pPr>
        <w:pStyle w:val="SCCLsocVersus"/>
        <w:rPr>
          <w:szCs w:val="24"/>
        </w:rPr>
      </w:pPr>
      <w:r w:rsidRPr="00B26E25">
        <w:rPr>
          <w:szCs w:val="24"/>
        </w:rPr>
        <w:t>v.</w:t>
      </w:r>
    </w:p>
    <w:p w:rsidR="009608C6" w:rsidRPr="00B26E25" w:rsidRDefault="00FE5BFF" w:rsidP="005A6A41">
      <w:pPr>
        <w:pStyle w:val="SCCLsocLastPartyInRole"/>
        <w:rPr>
          <w:szCs w:val="24"/>
        </w:rPr>
      </w:pPr>
      <w:r w:rsidRPr="00B26E25">
        <w:rPr>
          <w:szCs w:val="24"/>
        </w:rPr>
        <w:t>A</w:t>
      </w:r>
      <w:r w:rsidRPr="00B26E25">
        <w:rPr>
          <w:rStyle w:val="SCCLsocPartyRole"/>
          <w:szCs w:val="24"/>
        </w:rPr>
        <w:tab/>
        <w:t>Respondent</w:t>
      </w:r>
    </w:p>
    <w:p w:rsidR="009608C6" w:rsidRPr="00B26E25" w:rsidRDefault="00C7175C" w:rsidP="005A6A41">
      <w:pPr>
        <w:pStyle w:val="SCCLsocSubfileSeparator"/>
        <w:rPr>
          <w:szCs w:val="24"/>
        </w:rPr>
      </w:pPr>
      <w:r w:rsidRPr="00B26E25">
        <w:rPr>
          <w:szCs w:val="24"/>
        </w:rPr>
        <w:noBreakHyphen/>
      </w:r>
      <w:r w:rsidR="00FE5BFF" w:rsidRPr="00B26E25">
        <w:rPr>
          <w:szCs w:val="24"/>
        </w:rPr>
        <w:t xml:space="preserve"> and </w:t>
      </w:r>
      <w:r w:rsidRPr="00B26E25">
        <w:rPr>
          <w:szCs w:val="24"/>
        </w:rPr>
        <w:noBreakHyphen/>
      </w:r>
    </w:p>
    <w:p w:rsidR="009608C6" w:rsidRPr="00B26E25" w:rsidRDefault="00FE5BFF" w:rsidP="005A6A41">
      <w:pPr>
        <w:pStyle w:val="SCCLsocLastPartyInRole"/>
        <w:rPr>
          <w:szCs w:val="24"/>
          <w:lang w:val="en-US"/>
        </w:rPr>
      </w:pPr>
      <w:r w:rsidRPr="00B26E25">
        <w:rPr>
          <w:szCs w:val="24"/>
          <w:lang w:val="en-US"/>
        </w:rPr>
        <w:t>B</w:t>
      </w:r>
      <w:r w:rsidRPr="00B26E25">
        <w:rPr>
          <w:rStyle w:val="SCCLsocPartyRole"/>
          <w:szCs w:val="24"/>
          <w:lang w:val="en-US"/>
        </w:rPr>
        <w:tab/>
        <w:t>Appellant</w:t>
      </w:r>
    </w:p>
    <w:p w:rsidR="009608C6" w:rsidRPr="00B26E25" w:rsidRDefault="00FE5BFF" w:rsidP="005A6A41">
      <w:pPr>
        <w:pStyle w:val="SCCLsocVersus"/>
        <w:rPr>
          <w:szCs w:val="24"/>
          <w:lang w:val="en-US"/>
        </w:rPr>
      </w:pPr>
      <w:r w:rsidRPr="00B26E25">
        <w:rPr>
          <w:szCs w:val="24"/>
          <w:lang w:val="en-US"/>
        </w:rPr>
        <w:t>v.</w:t>
      </w:r>
    </w:p>
    <w:p w:rsidR="009608C6" w:rsidRPr="00B26E25" w:rsidRDefault="00FE5BFF" w:rsidP="005A6A41">
      <w:pPr>
        <w:pStyle w:val="SCCLsocLastPartyInRole"/>
        <w:rPr>
          <w:szCs w:val="24"/>
        </w:rPr>
      </w:pPr>
      <w:r w:rsidRPr="00B26E25">
        <w:rPr>
          <w:szCs w:val="24"/>
        </w:rPr>
        <w:t>A</w:t>
      </w:r>
      <w:r w:rsidRPr="00B26E25">
        <w:rPr>
          <w:rStyle w:val="SCCLsocPartyRole"/>
          <w:szCs w:val="24"/>
        </w:rPr>
        <w:tab/>
        <w:t>Respondent</w:t>
      </w:r>
    </w:p>
    <w:p w:rsidR="009608C6" w:rsidRPr="00B26E25" w:rsidRDefault="00C7175C" w:rsidP="005A6A41">
      <w:pPr>
        <w:pStyle w:val="SCCLsocSubfileSeparator"/>
        <w:rPr>
          <w:szCs w:val="24"/>
        </w:rPr>
      </w:pPr>
      <w:r w:rsidRPr="00B26E25">
        <w:rPr>
          <w:szCs w:val="24"/>
        </w:rPr>
        <w:noBreakHyphen/>
      </w:r>
      <w:r w:rsidR="00FE5BFF" w:rsidRPr="00B26E25">
        <w:rPr>
          <w:szCs w:val="24"/>
        </w:rPr>
        <w:t xml:space="preserve"> and </w:t>
      </w:r>
      <w:r w:rsidRPr="00B26E25">
        <w:rPr>
          <w:szCs w:val="24"/>
        </w:rPr>
        <w:noBreakHyphen/>
      </w:r>
    </w:p>
    <w:p w:rsidR="009608C6" w:rsidRPr="00B26E25" w:rsidRDefault="00FE5BFF" w:rsidP="005A6A41">
      <w:pPr>
        <w:pStyle w:val="SCCLsocLastPartyInRole"/>
        <w:rPr>
          <w:szCs w:val="24"/>
          <w:lang w:val="en-US"/>
        </w:rPr>
      </w:pPr>
      <w:r w:rsidRPr="00B26E25">
        <w:rPr>
          <w:szCs w:val="24"/>
          <w:lang w:val="en-US"/>
        </w:rPr>
        <w:t>A</w:t>
      </w:r>
      <w:r w:rsidRPr="00B26E25">
        <w:rPr>
          <w:rStyle w:val="SCCLsocPartyRole"/>
          <w:szCs w:val="24"/>
          <w:lang w:val="en-US"/>
        </w:rPr>
        <w:tab/>
        <w:t>Appellant</w:t>
      </w:r>
    </w:p>
    <w:p w:rsidR="00D62FE6" w:rsidRPr="00B26E25" w:rsidRDefault="00FE5BFF" w:rsidP="00D62FE6">
      <w:pPr>
        <w:pStyle w:val="SCCLsocVersus"/>
        <w:rPr>
          <w:szCs w:val="24"/>
          <w:lang w:val="en-US"/>
        </w:rPr>
      </w:pPr>
      <w:r w:rsidRPr="00B26E25">
        <w:rPr>
          <w:szCs w:val="24"/>
          <w:lang w:val="en-US"/>
        </w:rPr>
        <w:t>v.</w:t>
      </w:r>
    </w:p>
    <w:p w:rsidR="009608C6" w:rsidRPr="00B26E25" w:rsidRDefault="00FE5BFF" w:rsidP="00CF2094">
      <w:pPr>
        <w:pStyle w:val="SCCLsocLastPartyInRole"/>
        <w:rPr>
          <w:szCs w:val="24"/>
        </w:rPr>
      </w:pPr>
      <w:r w:rsidRPr="00B26E25">
        <w:rPr>
          <w:szCs w:val="24"/>
          <w:lang w:val="en-US"/>
        </w:rPr>
        <w:t>B</w:t>
      </w:r>
      <w:r w:rsidR="00CF2094" w:rsidRPr="00B26E25">
        <w:rPr>
          <w:szCs w:val="24"/>
          <w:lang w:val="en-US"/>
        </w:rPr>
        <w:t xml:space="preserve"> and </w:t>
      </w:r>
      <w:r w:rsidRPr="00B26E25">
        <w:rPr>
          <w:szCs w:val="24"/>
        </w:rPr>
        <w:t>Attorney General of Quebec</w:t>
      </w:r>
      <w:r w:rsidRPr="00B26E25">
        <w:rPr>
          <w:rStyle w:val="SCCLsocPartyRole"/>
          <w:szCs w:val="24"/>
        </w:rPr>
        <w:tab/>
        <w:t>Respondents</w:t>
      </w:r>
    </w:p>
    <w:p w:rsidR="009608C6" w:rsidRPr="00B26E25" w:rsidRDefault="00FE5BFF" w:rsidP="005A6A41">
      <w:pPr>
        <w:pStyle w:val="SCCLsocOtherPartySeparator"/>
        <w:rPr>
          <w:szCs w:val="24"/>
        </w:rPr>
      </w:pPr>
      <w:r w:rsidRPr="00B26E25">
        <w:rPr>
          <w:szCs w:val="24"/>
        </w:rPr>
        <w:t>and</w:t>
      </w:r>
    </w:p>
    <w:p w:rsidR="005A6A41" w:rsidRPr="00B26E25" w:rsidRDefault="00FE5BFF" w:rsidP="005A6A41">
      <w:pPr>
        <w:pStyle w:val="SCCLsocParty"/>
        <w:spacing w:after="720"/>
        <w:contextualSpacing/>
        <w:rPr>
          <w:szCs w:val="24"/>
        </w:rPr>
      </w:pPr>
      <w:r w:rsidRPr="00B26E25">
        <w:rPr>
          <w:szCs w:val="24"/>
        </w:rPr>
        <w:t>Attorney General of New Brunswick,</w:t>
      </w:r>
    </w:p>
    <w:p w:rsidR="00CF2094" w:rsidRPr="00B26E25" w:rsidRDefault="00FE5BFF" w:rsidP="00CF2094">
      <w:pPr>
        <w:pStyle w:val="SCCLsocParty"/>
        <w:spacing w:after="720"/>
        <w:contextualSpacing/>
        <w:rPr>
          <w:szCs w:val="24"/>
          <w:lang w:val="fr-CA"/>
        </w:rPr>
      </w:pPr>
      <w:r w:rsidRPr="00B26E25">
        <w:rPr>
          <w:szCs w:val="24"/>
          <w:lang w:val="fr-CA"/>
        </w:rPr>
        <w:t>Attorney General of Alberta,</w:t>
      </w:r>
      <w:r w:rsidR="00CF2094" w:rsidRPr="00B26E25">
        <w:rPr>
          <w:szCs w:val="24"/>
          <w:lang w:val="fr-CA"/>
        </w:rPr>
        <w:t xml:space="preserve"> </w:t>
      </w:r>
    </w:p>
    <w:p w:rsidR="00502C47" w:rsidRPr="00B26E25" w:rsidRDefault="00FE5BFF" w:rsidP="00502C47">
      <w:pPr>
        <w:pStyle w:val="SCCLsocParty"/>
        <w:rPr>
          <w:szCs w:val="24"/>
          <w:lang w:val="fr-CA"/>
        </w:rPr>
      </w:pPr>
      <w:r w:rsidRPr="00B26E25">
        <w:rPr>
          <w:szCs w:val="24"/>
          <w:lang w:val="fr-CA"/>
        </w:rPr>
        <w:t>Fédération des associations de familles monopare</w:t>
      </w:r>
      <w:r w:rsidR="00CF2094" w:rsidRPr="00B26E25">
        <w:rPr>
          <w:szCs w:val="24"/>
          <w:lang w:val="fr-CA"/>
        </w:rPr>
        <w:t>ntales et</w:t>
      </w:r>
    </w:p>
    <w:p w:rsidR="00502C47" w:rsidRPr="00B26E25" w:rsidRDefault="00CF2094" w:rsidP="00502C47">
      <w:pPr>
        <w:pStyle w:val="SCCLsocParty"/>
        <w:rPr>
          <w:szCs w:val="24"/>
        </w:rPr>
      </w:pPr>
      <w:r w:rsidRPr="00B26E25">
        <w:rPr>
          <w:szCs w:val="24"/>
        </w:rPr>
        <w:t xml:space="preserve">recomposées du Québec and </w:t>
      </w:r>
      <w:r w:rsidR="00FE5BFF" w:rsidRPr="00B26E25">
        <w:rPr>
          <w:szCs w:val="24"/>
        </w:rPr>
        <w:t>Women</w:t>
      </w:r>
      <w:r w:rsidR="00C7175C" w:rsidRPr="00B26E25">
        <w:rPr>
          <w:szCs w:val="24"/>
        </w:rPr>
        <w:t>’</w:t>
      </w:r>
      <w:r w:rsidR="00FE5BFF" w:rsidRPr="00B26E25">
        <w:rPr>
          <w:szCs w:val="24"/>
        </w:rPr>
        <w:t>s Legal Education</w:t>
      </w:r>
    </w:p>
    <w:p w:rsidR="009608C6" w:rsidRPr="00B26E25" w:rsidRDefault="00FE5BFF" w:rsidP="002E737F">
      <w:pPr>
        <w:pStyle w:val="SCCLsocParty"/>
        <w:spacing w:after="720"/>
        <w:rPr>
          <w:szCs w:val="24"/>
        </w:rPr>
      </w:pPr>
      <w:r w:rsidRPr="00B26E25">
        <w:rPr>
          <w:szCs w:val="24"/>
        </w:rPr>
        <w:t>and Action Fund</w:t>
      </w:r>
      <w:r w:rsidRPr="00B26E25">
        <w:rPr>
          <w:rStyle w:val="SCCLsocPartyRole"/>
          <w:szCs w:val="24"/>
        </w:rPr>
        <w:tab/>
        <w:t>Interveners</w:t>
      </w:r>
    </w:p>
    <w:p w:rsidR="00A149DF" w:rsidRPr="00B26E25" w:rsidRDefault="00426659" w:rsidP="002E737F">
      <w:pPr>
        <w:spacing w:after="720"/>
        <w:jc w:val="both"/>
        <w:rPr>
          <w:b/>
          <w:szCs w:val="24"/>
        </w:rPr>
      </w:pPr>
      <w:r w:rsidRPr="00B26E25">
        <w:rPr>
          <w:b/>
          <w:szCs w:val="24"/>
        </w:rPr>
        <w:t xml:space="preserve">Indexed as:  </w:t>
      </w:r>
      <w:r w:rsidR="00567431" w:rsidRPr="00B26E25">
        <w:rPr>
          <w:b/>
          <w:szCs w:val="24"/>
        </w:rPr>
        <w:t>Quebec (</w:t>
      </w:r>
      <w:r w:rsidRPr="00B26E25">
        <w:rPr>
          <w:b/>
          <w:szCs w:val="24"/>
        </w:rPr>
        <w:t>Attorney General</w:t>
      </w:r>
      <w:r w:rsidR="00567431" w:rsidRPr="00B26E25">
        <w:rPr>
          <w:b/>
          <w:szCs w:val="24"/>
        </w:rPr>
        <w:t>)</w:t>
      </w:r>
      <w:r w:rsidRPr="00B26E25">
        <w:rPr>
          <w:b/>
          <w:szCs w:val="24"/>
        </w:rPr>
        <w:t xml:space="preserve"> </w:t>
      </w:r>
      <w:r w:rsidRPr="00B26E25">
        <w:rPr>
          <w:b/>
          <w:i/>
          <w:szCs w:val="24"/>
        </w:rPr>
        <w:t>v.</w:t>
      </w:r>
      <w:r w:rsidRPr="00B26E25">
        <w:rPr>
          <w:b/>
          <w:szCs w:val="24"/>
        </w:rPr>
        <w:t xml:space="preserve"> </w:t>
      </w:r>
      <w:r w:rsidR="00CF2094" w:rsidRPr="00B26E25">
        <w:rPr>
          <w:b/>
          <w:szCs w:val="24"/>
        </w:rPr>
        <w:t>A</w:t>
      </w:r>
    </w:p>
    <w:p w:rsidR="00426659" w:rsidRPr="00B26E25" w:rsidRDefault="004F36FF" w:rsidP="002E737F">
      <w:pPr>
        <w:pStyle w:val="SCCSystemYear"/>
        <w:spacing w:after="720"/>
        <w:jc w:val="both"/>
        <w:rPr>
          <w:szCs w:val="24"/>
        </w:rPr>
      </w:pPr>
      <w:r w:rsidRPr="00B26E25">
        <w:rPr>
          <w:szCs w:val="24"/>
        </w:rPr>
        <w:t>201</w:t>
      </w:r>
      <w:r w:rsidR="00F05C29" w:rsidRPr="00B26E25">
        <w:rPr>
          <w:szCs w:val="24"/>
        </w:rPr>
        <w:t>3</w:t>
      </w:r>
      <w:r w:rsidR="003D0399" w:rsidRPr="00B26E25">
        <w:rPr>
          <w:szCs w:val="24"/>
        </w:rPr>
        <w:t xml:space="preserve"> </w:t>
      </w:r>
      <w:r w:rsidR="00E62177" w:rsidRPr="00B26E25">
        <w:rPr>
          <w:szCs w:val="24"/>
        </w:rPr>
        <w:t>SCC 5</w:t>
      </w:r>
    </w:p>
    <w:p w:rsidR="008322BD" w:rsidRPr="00B26E25" w:rsidRDefault="009B57B3" w:rsidP="002E737F">
      <w:pPr>
        <w:spacing w:after="720"/>
        <w:jc w:val="both"/>
        <w:rPr>
          <w:szCs w:val="24"/>
        </w:rPr>
      </w:pPr>
      <w:r w:rsidRPr="00B26E25">
        <w:rPr>
          <w:szCs w:val="24"/>
        </w:rPr>
        <w:t>File No.:  33990.</w:t>
      </w:r>
    </w:p>
    <w:p w:rsidR="008322BD" w:rsidRPr="00B26E25" w:rsidRDefault="00EF7B59" w:rsidP="002E737F">
      <w:pPr>
        <w:spacing w:after="720"/>
        <w:jc w:val="both"/>
        <w:rPr>
          <w:szCs w:val="24"/>
        </w:rPr>
      </w:pPr>
      <w:r w:rsidRPr="00B26E25">
        <w:rPr>
          <w:szCs w:val="24"/>
        </w:rPr>
        <w:t>2012:  January </w:t>
      </w:r>
      <w:r w:rsidR="004F36FF" w:rsidRPr="00B26E25">
        <w:rPr>
          <w:szCs w:val="24"/>
        </w:rPr>
        <w:t>18</w:t>
      </w:r>
      <w:r w:rsidR="009B57B3" w:rsidRPr="00B26E25">
        <w:rPr>
          <w:szCs w:val="24"/>
        </w:rPr>
        <w:t xml:space="preserve">; </w:t>
      </w:r>
      <w:r w:rsidRPr="00B26E25">
        <w:rPr>
          <w:szCs w:val="24"/>
        </w:rPr>
        <w:t>2013:  January </w:t>
      </w:r>
      <w:r w:rsidR="009067E5" w:rsidRPr="00B26E25">
        <w:rPr>
          <w:szCs w:val="24"/>
        </w:rPr>
        <w:t>25</w:t>
      </w:r>
      <w:r w:rsidR="009B57B3" w:rsidRPr="00B26E25">
        <w:rPr>
          <w:szCs w:val="24"/>
        </w:rPr>
        <w:t>.</w:t>
      </w:r>
    </w:p>
    <w:p w:rsidR="008322BD" w:rsidRPr="00B26E25" w:rsidRDefault="009B57B3" w:rsidP="002E737F">
      <w:pPr>
        <w:spacing w:after="720"/>
        <w:jc w:val="both"/>
        <w:rPr>
          <w:szCs w:val="24"/>
        </w:rPr>
      </w:pPr>
      <w:r w:rsidRPr="00B26E25">
        <w:rPr>
          <w:szCs w:val="24"/>
        </w:rPr>
        <w:t>Present:  McLachlin C.J. and LeBel, Deschamps, Fish, Abella, Rothstein, Cromwell, Moldaver and Karakatsanis JJ.</w:t>
      </w:r>
    </w:p>
    <w:p w:rsidR="008322BD" w:rsidRPr="00B26E25" w:rsidRDefault="00656313" w:rsidP="00EF7B59">
      <w:pPr>
        <w:pStyle w:val="SCCLowerCourtNameLowercase"/>
        <w:spacing w:after="480"/>
        <w:rPr>
          <w:szCs w:val="24"/>
        </w:rPr>
      </w:pPr>
      <w:r w:rsidRPr="00B26E25">
        <w:rPr>
          <w:szCs w:val="24"/>
        </w:rPr>
        <w:t>o</w:t>
      </w:r>
      <w:r w:rsidR="00170592" w:rsidRPr="00B26E25">
        <w:rPr>
          <w:szCs w:val="24"/>
        </w:rPr>
        <w:t>n</w:t>
      </w:r>
      <w:r w:rsidR="00224FC0" w:rsidRPr="00B26E25">
        <w:rPr>
          <w:szCs w:val="24"/>
        </w:rPr>
        <w:t xml:space="preserve"> </w:t>
      </w:r>
      <w:r w:rsidRPr="00B26E25">
        <w:rPr>
          <w:szCs w:val="24"/>
        </w:rPr>
        <w:t>a</w:t>
      </w:r>
      <w:r w:rsidR="00170592" w:rsidRPr="00B26E25">
        <w:rPr>
          <w:szCs w:val="24"/>
        </w:rPr>
        <w:t>ppeal</w:t>
      </w:r>
      <w:r w:rsidR="00224FC0" w:rsidRPr="00B26E25">
        <w:rPr>
          <w:szCs w:val="24"/>
        </w:rPr>
        <w:t xml:space="preserve"> </w:t>
      </w:r>
      <w:r w:rsidR="00170592" w:rsidRPr="00B26E25">
        <w:rPr>
          <w:szCs w:val="24"/>
        </w:rPr>
        <w:t>from</w:t>
      </w:r>
      <w:r w:rsidR="009567AA" w:rsidRPr="00B26E25">
        <w:rPr>
          <w:szCs w:val="24"/>
        </w:rPr>
        <w:t xml:space="preserve"> the</w:t>
      </w:r>
      <w:r w:rsidR="00224FC0" w:rsidRPr="00B26E25">
        <w:rPr>
          <w:szCs w:val="24"/>
        </w:rPr>
        <w:t xml:space="preserve"> </w:t>
      </w:r>
      <w:r w:rsidR="009B57B3" w:rsidRPr="00B26E25">
        <w:rPr>
          <w:szCs w:val="24"/>
        </w:rPr>
        <w:t>court of appeal f</w:t>
      </w:r>
      <w:r w:rsidR="00CF2094" w:rsidRPr="00B26E25">
        <w:rPr>
          <w:szCs w:val="24"/>
        </w:rPr>
        <w:t>or quebec</w:t>
      </w:r>
    </w:p>
    <w:p w:rsidR="00262F1A" w:rsidRPr="00B26E25" w:rsidRDefault="00262F1A" w:rsidP="00C7175C">
      <w:pPr>
        <w:pStyle w:val="SCCNormalDoubleSpacing"/>
        <w:spacing w:after="480"/>
        <w:rPr>
          <w:i/>
          <w:szCs w:val="24"/>
        </w:rPr>
      </w:pPr>
      <w:r w:rsidRPr="00B26E25">
        <w:rPr>
          <w:szCs w:val="24"/>
        </w:rPr>
        <w:tab/>
      </w:r>
      <w:r w:rsidRPr="00B26E25">
        <w:rPr>
          <w:i/>
          <w:szCs w:val="24"/>
        </w:rPr>
        <w:t>Constitutional law — Charter of rights — Right to equality — Discrimination based on marital status — De facto spouses — Whether provisions of Civil Code of Québec dealing with family residence, family patrimony, compensatory allowance, partnership of acquests and obligation of spousal support infringe guaranteed right to equality because their application is limited to private legal relationships between married spouses and civil union spouses</w:t>
      </w:r>
      <w:r w:rsidRPr="00B26E25">
        <w:rPr>
          <w:szCs w:val="24"/>
        </w:rPr>
        <w:t xml:space="preserve"> </w:t>
      </w:r>
      <w:r w:rsidRPr="00B26E25">
        <w:rPr>
          <w:i/>
          <w:szCs w:val="24"/>
        </w:rPr>
        <w:t>— If so, whether infringement justified — Civi</w:t>
      </w:r>
      <w:r w:rsidR="00C7175C" w:rsidRPr="00B26E25">
        <w:rPr>
          <w:i/>
          <w:szCs w:val="24"/>
        </w:rPr>
        <w:t>l Code of Québec, S.Q. 1991, c. </w:t>
      </w:r>
      <w:r w:rsidRPr="00B26E25">
        <w:rPr>
          <w:i/>
          <w:szCs w:val="24"/>
        </w:rPr>
        <w:t>64, arts.</w:t>
      </w:r>
      <w:r w:rsidR="00C7175C" w:rsidRPr="00B26E25">
        <w:rPr>
          <w:szCs w:val="24"/>
        </w:rPr>
        <w:t> </w:t>
      </w:r>
      <w:r w:rsidRPr="00B26E25">
        <w:rPr>
          <w:i/>
          <w:szCs w:val="24"/>
        </w:rPr>
        <w:t xml:space="preserve">401 to 430, 432, 433, 448 to 484, 585 — Canadian Charter of Rights and Freedoms, </w:t>
      </w:r>
      <w:r w:rsidR="00C7175C" w:rsidRPr="00B26E25">
        <w:rPr>
          <w:i/>
          <w:szCs w:val="24"/>
        </w:rPr>
        <w:t>ss. </w:t>
      </w:r>
      <w:r w:rsidRPr="00B26E25">
        <w:rPr>
          <w:i/>
          <w:szCs w:val="24"/>
        </w:rPr>
        <w:t>1, 15(1).</w:t>
      </w:r>
    </w:p>
    <w:p w:rsidR="00262F1A" w:rsidRPr="00B26E25" w:rsidRDefault="00262F1A" w:rsidP="00C7175C">
      <w:pPr>
        <w:pStyle w:val="SCCNormalDoubleSpacing"/>
        <w:spacing w:after="480"/>
        <w:rPr>
          <w:i/>
          <w:szCs w:val="24"/>
        </w:rPr>
      </w:pPr>
      <w:r w:rsidRPr="00B26E25">
        <w:rPr>
          <w:i/>
          <w:szCs w:val="24"/>
        </w:rPr>
        <w:tab/>
        <w:t>Constitutional law — Charter of rights — Right to equality — Analytical framework applicable to claim under s.</w:t>
      </w:r>
      <w:r w:rsidR="006C427A" w:rsidRPr="00B26E25">
        <w:rPr>
          <w:i/>
          <w:szCs w:val="24"/>
        </w:rPr>
        <w:t> </w:t>
      </w:r>
      <w:r w:rsidRPr="00B26E25">
        <w:rPr>
          <w:i/>
          <w:szCs w:val="24"/>
        </w:rPr>
        <w:t>15(1) of Canadian Charter of Rights and Freedoms — Whether prejudice and stereotyping are separate elements into which claim of discrimination must fit —</w:t>
      </w:r>
      <w:r w:rsidRPr="00B26E25">
        <w:rPr>
          <w:szCs w:val="24"/>
        </w:rPr>
        <w:t xml:space="preserve"> </w:t>
      </w:r>
      <w:r w:rsidRPr="00B26E25">
        <w:rPr>
          <w:i/>
          <w:szCs w:val="24"/>
        </w:rPr>
        <w:t xml:space="preserve">Distinction between two stages of analysis on right to equality, </w:t>
      </w:r>
      <w:r w:rsidR="006C427A" w:rsidRPr="00B26E25">
        <w:rPr>
          <w:i/>
          <w:szCs w:val="24"/>
        </w:rPr>
        <w:t>namely stage of review under s. </w:t>
      </w:r>
      <w:r w:rsidRPr="00B26E25">
        <w:rPr>
          <w:i/>
          <w:szCs w:val="24"/>
        </w:rPr>
        <w:t>15 and</w:t>
      </w:r>
      <w:r w:rsidR="006C427A" w:rsidRPr="00B26E25">
        <w:rPr>
          <w:i/>
          <w:szCs w:val="24"/>
        </w:rPr>
        <w:t xml:space="preserve"> that of justification under s. </w:t>
      </w:r>
      <w:r w:rsidRPr="00B26E25">
        <w:rPr>
          <w:i/>
          <w:szCs w:val="24"/>
        </w:rPr>
        <w:t>1 — Stage of analysis at which freedom of choice and autonomy of spouses should be considered in relation to partition of property and support.</w:t>
      </w:r>
    </w:p>
    <w:p w:rsidR="00262F1A" w:rsidRPr="00B26E25" w:rsidRDefault="00262F1A" w:rsidP="00C7175C">
      <w:pPr>
        <w:pStyle w:val="SCCNormalDoubleSpacing"/>
        <w:spacing w:after="480"/>
        <w:rPr>
          <w:i/>
          <w:szCs w:val="24"/>
        </w:rPr>
      </w:pPr>
      <w:r w:rsidRPr="00B26E25">
        <w:rPr>
          <w:szCs w:val="24"/>
        </w:rPr>
        <w:tab/>
      </w:r>
      <w:r w:rsidRPr="00B26E25">
        <w:rPr>
          <w:i/>
          <w:szCs w:val="24"/>
        </w:rPr>
        <w:t xml:space="preserve">Family law — De facto spouses — Separation — Support — Spousal support — Family assets — De facto spouses not being covered by protections granted in Civil Code of Québec to married and civil union spouses in relation to support and partition of property — Whether failure to grant same rights to de facto spouses infringes right to equality guaranteed by </w:t>
      </w:r>
      <w:r w:rsidR="009512B2">
        <w:rPr>
          <w:i/>
          <w:szCs w:val="24"/>
        </w:rPr>
        <w:t xml:space="preserve">s. 15(1) of </w:t>
      </w:r>
      <w:r w:rsidRPr="00B26E25">
        <w:rPr>
          <w:i/>
          <w:szCs w:val="24"/>
        </w:rPr>
        <w:t>Canadian Charter of Rights and Freedoms — Civi</w:t>
      </w:r>
      <w:r w:rsidR="00E90981" w:rsidRPr="00B26E25">
        <w:rPr>
          <w:i/>
          <w:szCs w:val="24"/>
        </w:rPr>
        <w:t>l Code of Québec, S.Q. 1991, c. </w:t>
      </w:r>
      <w:r w:rsidRPr="00B26E25">
        <w:rPr>
          <w:i/>
          <w:szCs w:val="24"/>
        </w:rPr>
        <w:t>64, arts.</w:t>
      </w:r>
      <w:r w:rsidR="00E90981" w:rsidRPr="00B26E25">
        <w:rPr>
          <w:szCs w:val="24"/>
        </w:rPr>
        <w:t> </w:t>
      </w:r>
      <w:r w:rsidRPr="00B26E25">
        <w:rPr>
          <w:i/>
          <w:szCs w:val="24"/>
        </w:rPr>
        <w:t xml:space="preserve">401 to 430, 432, 433, 448 to 484, 585.  </w:t>
      </w:r>
    </w:p>
    <w:p w:rsidR="00262F1A" w:rsidRPr="00B26E25" w:rsidRDefault="00262F1A" w:rsidP="00C7175C">
      <w:pPr>
        <w:pStyle w:val="SCCNormalDoubleSpacing"/>
        <w:spacing w:after="480"/>
        <w:rPr>
          <w:szCs w:val="24"/>
        </w:rPr>
      </w:pPr>
      <w:r w:rsidRPr="00B26E25">
        <w:rPr>
          <w:szCs w:val="24"/>
        </w:rPr>
        <w:tab/>
        <w:t>A and B met in A</w:t>
      </w:r>
      <w:r w:rsidR="00C7175C" w:rsidRPr="00B26E25">
        <w:rPr>
          <w:szCs w:val="24"/>
        </w:rPr>
        <w:t>’</w:t>
      </w:r>
      <w:r w:rsidRPr="00B26E25">
        <w:rPr>
          <w:szCs w:val="24"/>
        </w:rPr>
        <w:t>s home country in 1992.  A, who was 17 years old at the time, was living with her parents and attending school.  B, who was 32, was the owner of a lucrative busine</w:t>
      </w:r>
      <w:r w:rsidR="00C7175C" w:rsidRPr="00B26E25">
        <w:rPr>
          <w:szCs w:val="24"/>
        </w:rPr>
        <w:t>ss</w:t>
      </w:r>
      <w:r w:rsidR="00E90981" w:rsidRPr="00B26E25">
        <w:rPr>
          <w:szCs w:val="24"/>
        </w:rPr>
        <w:t xml:space="preserve">. </w:t>
      </w:r>
      <w:r w:rsidRPr="00B26E25">
        <w:rPr>
          <w:szCs w:val="24"/>
        </w:rPr>
        <w:t xml:space="preserve"> From 1992 to 1994, they travelled the world together several times a year.  B provided A with financial support so that she could continue her schooling.  In early 1995, the couple agreed that A would come to live in Quebec, where B lived.  They broke up soon after, but saw each other during the holiday season and in early 1996.  A then became pregnant with their first child.  She gave birth to two other children with B, in 1999 and 2001.  During the time they lived together, A attempted to start a career as a model, but she largely did not work outside of the home and often accompanied B on his travels.  B provided for all </w:t>
      </w:r>
      <w:r w:rsidR="009E3809">
        <w:rPr>
          <w:szCs w:val="24"/>
        </w:rPr>
        <w:t xml:space="preserve">of </w:t>
      </w:r>
      <w:r w:rsidRPr="00B26E25">
        <w:rPr>
          <w:szCs w:val="24"/>
        </w:rPr>
        <w:t>A</w:t>
      </w:r>
      <w:r w:rsidR="00C7175C" w:rsidRPr="00B26E25">
        <w:rPr>
          <w:szCs w:val="24"/>
        </w:rPr>
        <w:t>’</w:t>
      </w:r>
      <w:r w:rsidRPr="00B26E25">
        <w:rPr>
          <w:szCs w:val="24"/>
        </w:rPr>
        <w:t>s needs and for those of the children.  A wanted to get married, but B told her that he did not believe in the institution of marriage.  He said that he could possibly envision getting married someday, but only to make a long</w:t>
      </w:r>
      <w:r w:rsidR="00C7175C" w:rsidRPr="00B26E25">
        <w:rPr>
          <w:szCs w:val="24"/>
        </w:rPr>
        <w:noBreakHyphen/>
      </w:r>
      <w:r w:rsidRPr="00B26E25">
        <w:rPr>
          <w:szCs w:val="24"/>
        </w:rPr>
        <w:t>standing relationship offici</w:t>
      </w:r>
      <w:r w:rsidR="00C7175C" w:rsidRPr="00B26E25">
        <w:rPr>
          <w:szCs w:val="24"/>
        </w:rPr>
        <w:t xml:space="preserve">al. </w:t>
      </w:r>
      <w:r w:rsidRPr="00B26E25">
        <w:rPr>
          <w:szCs w:val="24"/>
        </w:rPr>
        <w:t xml:space="preserve"> The parties separated in 2002 after living together for seven years.</w:t>
      </w:r>
    </w:p>
    <w:p w:rsidR="00262F1A" w:rsidRPr="00B26E25" w:rsidRDefault="00262F1A" w:rsidP="00C7175C">
      <w:pPr>
        <w:pStyle w:val="SCCNormalDoubleSpacing"/>
        <w:spacing w:after="480"/>
        <w:rPr>
          <w:szCs w:val="24"/>
        </w:rPr>
      </w:pPr>
      <w:r w:rsidRPr="00B26E25">
        <w:rPr>
          <w:szCs w:val="24"/>
        </w:rPr>
        <w:tab/>
        <w:t xml:space="preserve">In February 2002, A filed a motion in court seeking custody of the children.  The motion was accompanied by a notice to the Attorney General of Quebec stating that A intended to challenge the constitutionality of several provisions of the </w:t>
      </w:r>
      <w:r w:rsidRPr="00B26E25">
        <w:rPr>
          <w:i/>
          <w:szCs w:val="24"/>
        </w:rPr>
        <w:t>Civil Code of Québec</w:t>
      </w:r>
      <w:r w:rsidRPr="00B26E25">
        <w:rPr>
          <w:szCs w:val="24"/>
        </w:rPr>
        <w:t xml:space="preserve"> (“</w:t>
      </w:r>
      <w:r w:rsidRPr="00B26E25">
        <w:rPr>
          <w:i/>
          <w:szCs w:val="24"/>
        </w:rPr>
        <w:t>C.C.Q.</w:t>
      </w:r>
      <w:r w:rsidRPr="00B26E25">
        <w:rPr>
          <w:szCs w:val="24"/>
        </w:rPr>
        <w:t xml:space="preserve">”) in order to obtain the same legal regime for </w:t>
      </w:r>
      <w:r w:rsidRPr="00B26E25">
        <w:rPr>
          <w:i/>
          <w:szCs w:val="24"/>
        </w:rPr>
        <w:t>de facto</w:t>
      </w:r>
      <w:r w:rsidRPr="00B26E25">
        <w:rPr>
          <w:szCs w:val="24"/>
        </w:rPr>
        <w:t xml:space="preserve"> spouses that existed for married spouses.  A thus claimed support for herself, a lump sum, partition of the family patrimony and the legal matrimonial regime of partnership of acquests.  She also sought to reserve her right to claim a compensatory allowance.  A</w:t>
      </w:r>
      <w:r w:rsidR="00D10A58">
        <w:rPr>
          <w:szCs w:val="24"/>
        </w:rPr>
        <w:t>’s</w:t>
      </w:r>
      <w:r w:rsidRPr="00B26E25">
        <w:rPr>
          <w:szCs w:val="24"/>
        </w:rPr>
        <w:t xml:space="preserve"> claim concerning the use of the family residence was settled in an agreement between A and B.  These appeals relate solely to the constitutional aspect of the case.  The Quebec Superior Court rejected A</w:t>
      </w:r>
      <w:r w:rsidR="00C7175C" w:rsidRPr="00B26E25">
        <w:rPr>
          <w:szCs w:val="24"/>
        </w:rPr>
        <w:t>’</w:t>
      </w:r>
      <w:r w:rsidRPr="00B26E25">
        <w:rPr>
          <w:szCs w:val="24"/>
        </w:rPr>
        <w:t>s constitutional arguments and found that the impugned provisions did not violate the right to equality</w:t>
      </w:r>
      <w:r w:rsidR="006D1763">
        <w:rPr>
          <w:szCs w:val="24"/>
        </w:rPr>
        <w:t xml:space="preserve"> guaranteed by s. 15 of the </w:t>
      </w:r>
      <w:r w:rsidR="006D1763" w:rsidRPr="006D1763">
        <w:rPr>
          <w:i/>
          <w:szCs w:val="24"/>
        </w:rPr>
        <w:t>Charter</w:t>
      </w:r>
      <w:r w:rsidRPr="00B26E25">
        <w:rPr>
          <w:szCs w:val="24"/>
        </w:rPr>
        <w:t>.  A appealed to the Quebec Court of Appeal, which allowed A</w:t>
      </w:r>
      <w:r w:rsidR="00C7175C" w:rsidRPr="00B26E25">
        <w:rPr>
          <w:szCs w:val="24"/>
        </w:rPr>
        <w:t>’</w:t>
      </w:r>
      <w:r w:rsidRPr="00B26E25">
        <w:rPr>
          <w:szCs w:val="24"/>
        </w:rPr>
        <w:t>s appeal in part and declared the provision that provides for the obligation of spousal support to be of no force or effect.  However, the Court of Appeal upheld the Superior Court</w:t>
      </w:r>
      <w:r w:rsidR="00C7175C" w:rsidRPr="00B26E25">
        <w:rPr>
          <w:szCs w:val="24"/>
        </w:rPr>
        <w:t>’</w:t>
      </w:r>
      <w:r w:rsidRPr="00B26E25">
        <w:rPr>
          <w:szCs w:val="24"/>
        </w:rPr>
        <w:t xml:space="preserve">s decision as regards the constitutionality of the provisions concerning the family residence, the family patrimony, the compensatory allowance and the partnership of acquests.  The majority of the court suspended the declaration of constitutional invalidity of </w:t>
      </w:r>
      <w:r w:rsidR="00C7175C" w:rsidRPr="00B26E25">
        <w:rPr>
          <w:szCs w:val="24"/>
        </w:rPr>
        <w:t>art. </w:t>
      </w:r>
      <w:r w:rsidRPr="00B26E25">
        <w:rPr>
          <w:szCs w:val="24"/>
        </w:rPr>
        <w:t xml:space="preserve">585 </w:t>
      </w:r>
      <w:r w:rsidRPr="00B26E25">
        <w:rPr>
          <w:i/>
          <w:szCs w:val="24"/>
        </w:rPr>
        <w:t>C.C.Q.</w:t>
      </w:r>
      <w:r w:rsidRPr="00B26E25">
        <w:rPr>
          <w:szCs w:val="24"/>
        </w:rPr>
        <w:t xml:space="preserve"> for 12 months.  B and the Attorney General of Quebec are appealing the Court of Appeal</w:t>
      </w:r>
      <w:r w:rsidR="00C7175C" w:rsidRPr="00B26E25">
        <w:rPr>
          <w:szCs w:val="24"/>
        </w:rPr>
        <w:t>’</w:t>
      </w:r>
      <w:r w:rsidRPr="00B26E25">
        <w:rPr>
          <w:szCs w:val="24"/>
        </w:rPr>
        <w:t xml:space="preserve">s decision to strike down </w:t>
      </w:r>
      <w:r w:rsidR="00C7175C" w:rsidRPr="00B26E25">
        <w:rPr>
          <w:szCs w:val="24"/>
        </w:rPr>
        <w:t>art. </w:t>
      </w:r>
      <w:r w:rsidRPr="00B26E25">
        <w:rPr>
          <w:szCs w:val="24"/>
        </w:rPr>
        <w:t>585.  A appeals the conclusion that the provisions concerning the partition of property are constitutionally valid.</w:t>
      </w:r>
    </w:p>
    <w:p w:rsidR="00262F1A" w:rsidRPr="00B26E25" w:rsidRDefault="00262F1A" w:rsidP="00C7175C">
      <w:pPr>
        <w:pStyle w:val="SCCNormalDoubleSpacing"/>
        <w:spacing w:after="480"/>
        <w:rPr>
          <w:szCs w:val="24"/>
        </w:rPr>
      </w:pPr>
      <w:r w:rsidRPr="00B26E25">
        <w:rPr>
          <w:szCs w:val="24"/>
        </w:rPr>
        <w:tab/>
      </w:r>
      <w:r w:rsidRPr="00B26E25">
        <w:rPr>
          <w:i/>
          <w:szCs w:val="24"/>
        </w:rPr>
        <w:t>Held</w:t>
      </w:r>
      <w:r w:rsidRPr="00B26E25">
        <w:rPr>
          <w:szCs w:val="24"/>
        </w:rPr>
        <w:t xml:space="preserve"> (Deschamps, Cromwell and </w:t>
      </w:r>
      <w:r w:rsidR="00C7175C" w:rsidRPr="00B26E25">
        <w:rPr>
          <w:szCs w:val="24"/>
        </w:rPr>
        <w:t>Karakatsanis </w:t>
      </w:r>
      <w:r w:rsidRPr="00B26E25">
        <w:rPr>
          <w:szCs w:val="24"/>
        </w:rPr>
        <w:t xml:space="preserve">JJ. dissenting in part in the result and </w:t>
      </w:r>
      <w:r w:rsidR="00C7175C" w:rsidRPr="00B26E25">
        <w:rPr>
          <w:szCs w:val="24"/>
        </w:rPr>
        <w:t>Abella </w:t>
      </w:r>
      <w:r w:rsidRPr="00B26E25">
        <w:rPr>
          <w:szCs w:val="24"/>
        </w:rPr>
        <w:t>J. dissenting in the result)</w:t>
      </w:r>
      <w:r w:rsidRPr="00B26E25">
        <w:rPr>
          <w:i/>
          <w:szCs w:val="24"/>
        </w:rPr>
        <w:t>:</w:t>
      </w:r>
      <w:r w:rsidRPr="00B26E25">
        <w:rPr>
          <w:szCs w:val="24"/>
        </w:rPr>
        <w:t xml:space="preserve">  The appeals of the Attorney General of Quebec and B should be allowed, and the appeal of A should be dismissed.  Articles 401 to 430, 432, 433, 448 to 484 and 585 of the </w:t>
      </w:r>
      <w:r w:rsidRPr="00B26E25">
        <w:rPr>
          <w:i/>
          <w:szCs w:val="24"/>
        </w:rPr>
        <w:t>Civil Code of Québec</w:t>
      </w:r>
      <w:r w:rsidRPr="00B26E25">
        <w:rPr>
          <w:szCs w:val="24"/>
        </w:rPr>
        <w:t xml:space="preserve"> are constitutional.</w:t>
      </w:r>
    </w:p>
    <w:p w:rsidR="00262F1A" w:rsidRPr="00B26E25" w:rsidRDefault="00262F1A" w:rsidP="00C7175C">
      <w:pPr>
        <w:pStyle w:val="SCCNormalDoubleSpacing"/>
        <w:spacing w:after="480"/>
        <w:rPr>
          <w:szCs w:val="24"/>
        </w:rPr>
      </w:pPr>
      <w:r w:rsidRPr="00B26E25">
        <w:rPr>
          <w:szCs w:val="24"/>
        </w:rPr>
        <w:tab/>
        <w:t>The constitutional questions should be answered as follows:</w:t>
      </w:r>
    </w:p>
    <w:p w:rsidR="00262F1A" w:rsidRPr="00B26E25" w:rsidRDefault="00262F1A" w:rsidP="000841F0">
      <w:pPr>
        <w:pStyle w:val="SCCNormalDoubleSpacing"/>
        <w:numPr>
          <w:ilvl w:val="0"/>
          <w:numId w:val="2"/>
        </w:numPr>
        <w:tabs>
          <w:tab w:val="clear" w:pos="1168"/>
          <w:tab w:val="left" w:pos="1134"/>
        </w:tabs>
        <w:spacing w:after="480"/>
        <w:ind w:left="1134" w:hanging="1134"/>
        <w:rPr>
          <w:szCs w:val="24"/>
        </w:rPr>
      </w:pPr>
      <w:r w:rsidRPr="00B26E25">
        <w:rPr>
          <w:szCs w:val="24"/>
        </w:rPr>
        <w:t xml:space="preserve">Do arts. 401 to 430, 432, 433, 448 to 484 and 585 of the </w:t>
      </w:r>
      <w:r w:rsidRPr="00B26E25">
        <w:rPr>
          <w:i/>
          <w:szCs w:val="24"/>
        </w:rPr>
        <w:t>Civil Code of Québec</w:t>
      </w:r>
      <w:r w:rsidRPr="00B26E25">
        <w:rPr>
          <w:szCs w:val="24"/>
        </w:rPr>
        <w:t xml:space="preserve">, S.Q. 1991, c. 64, infringe s. 15(1) of the </w:t>
      </w:r>
      <w:r w:rsidRPr="00B26E25">
        <w:rPr>
          <w:i/>
          <w:szCs w:val="24"/>
        </w:rPr>
        <w:t>Canadian Charter of Rights and Freedoms</w:t>
      </w:r>
      <w:r w:rsidRPr="00B26E25">
        <w:rPr>
          <w:szCs w:val="24"/>
        </w:rPr>
        <w:t>?</w:t>
      </w:r>
    </w:p>
    <w:p w:rsidR="00262F1A" w:rsidRPr="00B26E25" w:rsidRDefault="000841F0" w:rsidP="000841F0">
      <w:pPr>
        <w:pStyle w:val="SCCNormalDoubleSpacing"/>
        <w:tabs>
          <w:tab w:val="clear" w:pos="1168"/>
          <w:tab w:val="left" w:pos="1134"/>
        </w:tabs>
        <w:spacing w:after="480"/>
        <w:ind w:left="1128" w:hanging="1128"/>
        <w:rPr>
          <w:szCs w:val="24"/>
        </w:rPr>
      </w:pPr>
      <w:r>
        <w:rPr>
          <w:szCs w:val="24"/>
        </w:rPr>
        <w:t>Answers:</w:t>
      </w:r>
      <w:r>
        <w:rPr>
          <w:szCs w:val="24"/>
        </w:rPr>
        <w:tab/>
      </w:r>
      <w:r w:rsidR="00262F1A" w:rsidRPr="00B26E25">
        <w:rPr>
          <w:szCs w:val="24"/>
        </w:rPr>
        <w:t>McLachlin</w:t>
      </w:r>
      <w:r w:rsidR="00C7175C" w:rsidRPr="00B26E25">
        <w:rPr>
          <w:szCs w:val="24"/>
        </w:rPr>
        <w:t> </w:t>
      </w:r>
      <w:r w:rsidR="00262F1A" w:rsidRPr="00B26E25">
        <w:rPr>
          <w:szCs w:val="24"/>
        </w:rPr>
        <w:t xml:space="preserve">C.J. and Deschamps, </w:t>
      </w:r>
      <w:r w:rsidR="00262F1A" w:rsidRPr="007D557C">
        <w:rPr>
          <w:szCs w:val="24"/>
        </w:rPr>
        <w:t>Abella</w:t>
      </w:r>
      <w:r w:rsidR="00262F1A" w:rsidRPr="00B26E25">
        <w:rPr>
          <w:szCs w:val="24"/>
        </w:rPr>
        <w:t>, Cromwell and Karakatsanis</w:t>
      </w:r>
      <w:r w:rsidR="00C7175C" w:rsidRPr="00B26E25">
        <w:rPr>
          <w:szCs w:val="24"/>
        </w:rPr>
        <w:t> </w:t>
      </w:r>
      <w:r w:rsidR="00262F1A" w:rsidRPr="00B26E25">
        <w:rPr>
          <w:szCs w:val="24"/>
        </w:rPr>
        <w:t xml:space="preserve">JJ. would answer yes.  </w:t>
      </w:r>
      <w:r w:rsidR="00262F1A" w:rsidRPr="007D557C">
        <w:rPr>
          <w:szCs w:val="24"/>
        </w:rPr>
        <w:t>LeBel</w:t>
      </w:r>
      <w:r w:rsidR="00262F1A" w:rsidRPr="00B26E25">
        <w:rPr>
          <w:szCs w:val="24"/>
        </w:rPr>
        <w:t>, Fish, Rothstein and Moldaver</w:t>
      </w:r>
      <w:r w:rsidR="00C7175C" w:rsidRPr="00B26E25">
        <w:rPr>
          <w:szCs w:val="24"/>
        </w:rPr>
        <w:t> </w:t>
      </w:r>
      <w:r w:rsidR="00262F1A" w:rsidRPr="00B26E25">
        <w:rPr>
          <w:szCs w:val="24"/>
        </w:rPr>
        <w:t>JJ. would answer no.</w:t>
      </w:r>
    </w:p>
    <w:p w:rsidR="00262F1A" w:rsidRPr="00B26E25" w:rsidRDefault="00262F1A" w:rsidP="000841F0">
      <w:pPr>
        <w:pStyle w:val="SCCNormalDoubleSpacing"/>
        <w:numPr>
          <w:ilvl w:val="0"/>
          <w:numId w:val="2"/>
        </w:numPr>
        <w:tabs>
          <w:tab w:val="clear" w:pos="1168"/>
          <w:tab w:val="left" w:pos="1134"/>
        </w:tabs>
        <w:spacing w:after="480"/>
        <w:ind w:left="1134" w:hanging="1134"/>
        <w:rPr>
          <w:szCs w:val="24"/>
        </w:rPr>
      </w:pPr>
      <w:r w:rsidRPr="00B26E25">
        <w:rPr>
          <w:szCs w:val="24"/>
        </w:rPr>
        <w:t xml:space="preserve">If so, is the infringement a reasonable limit prescribed by law that can be demonstrably justified in a free and democratic society under s. 1 of the </w:t>
      </w:r>
      <w:r w:rsidRPr="00B26E25">
        <w:rPr>
          <w:i/>
          <w:szCs w:val="24"/>
        </w:rPr>
        <w:t>Canadian Charter of Rights and Freedoms</w:t>
      </w:r>
      <w:r w:rsidRPr="00B26E25">
        <w:rPr>
          <w:szCs w:val="24"/>
        </w:rPr>
        <w:t>?</w:t>
      </w:r>
    </w:p>
    <w:p w:rsidR="00262F1A" w:rsidRPr="00B26E25" w:rsidRDefault="000841F0" w:rsidP="000841F0">
      <w:pPr>
        <w:pStyle w:val="SCCNormalDoubleSpacing"/>
        <w:tabs>
          <w:tab w:val="clear" w:pos="1168"/>
          <w:tab w:val="left" w:pos="1134"/>
        </w:tabs>
        <w:spacing w:after="480"/>
        <w:ind w:left="1128" w:hanging="1128"/>
        <w:rPr>
          <w:szCs w:val="24"/>
        </w:rPr>
      </w:pPr>
      <w:r>
        <w:rPr>
          <w:szCs w:val="24"/>
        </w:rPr>
        <w:t>Answers:</w:t>
      </w:r>
      <w:r>
        <w:rPr>
          <w:szCs w:val="24"/>
        </w:rPr>
        <w:tab/>
      </w:r>
      <w:r w:rsidR="00262F1A" w:rsidRPr="00B26E25">
        <w:rPr>
          <w:szCs w:val="24"/>
        </w:rPr>
        <w:t>LeBel, Fish, Rothstein and</w:t>
      </w:r>
      <w:r w:rsidR="00C7175C" w:rsidRPr="00B26E25">
        <w:rPr>
          <w:szCs w:val="24"/>
        </w:rPr>
        <w:t xml:space="preserve"> Moldaver </w:t>
      </w:r>
      <w:r w:rsidR="00262F1A" w:rsidRPr="00B26E25">
        <w:rPr>
          <w:szCs w:val="24"/>
        </w:rPr>
        <w:t xml:space="preserve">JJ. would answer that it is not necessary to answer this question.  </w:t>
      </w:r>
      <w:r w:rsidR="00C7175C" w:rsidRPr="00B26E25">
        <w:rPr>
          <w:szCs w:val="24"/>
        </w:rPr>
        <w:t>McLachlin </w:t>
      </w:r>
      <w:r w:rsidR="00262F1A" w:rsidRPr="00B26E25">
        <w:rPr>
          <w:szCs w:val="24"/>
        </w:rPr>
        <w:t>C.J. would answer yes.  Deschamps, Cromwell and Karakatsanis</w:t>
      </w:r>
      <w:r w:rsidR="00C7175C" w:rsidRPr="00B26E25">
        <w:rPr>
          <w:szCs w:val="24"/>
        </w:rPr>
        <w:t> </w:t>
      </w:r>
      <w:r w:rsidR="00262F1A" w:rsidRPr="00B26E25">
        <w:rPr>
          <w:szCs w:val="24"/>
        </w:rPr>
        <w:t xml:space="preserve">JJ. would answer that only </w:t>
      </w:r>
      <w:r w:rsidR="00C7175C" w:rsidRPr="00B26E25">
        <w:rPr>
          <w:szCs w:val="24"/>
        </w:rPr>
        <w:t>art. </w:t>
      </w:r>
      <w:r w:rsidR="00262F1A" w:rsidRPr="00B26E25">
        <w:rPr>
          <w:szCs w:val="24"/>
        </w:rPr>
        <w:t>585 is not justifi</w:t>
      </w:r>
      <w:r w:rsidR="00C7175C" w:rsidRPr="00B26E25">
        <w:rPr>
          <w:szCs w:val="24"/>
        </w:rPr>
        <w:t>ed under s. </w:t>
      </w:r>
      <w:r w:rsidR="00262F1A" w:rsidRPr="00B26E25">
        <w:rPr>
          <w:szCs w:val="24"/>
        </w:rPr>
        <w:t>1.  Abella</w:t>
      </w:r>
      <w:r w:rsidR="00C7175C" w:rsidRPr="00B26E25">
        <w:rPr>
          <w:szCs w:val="24"/>
        </w:rPr>
        <w:t> </w:t>
      </w:r>
      <w:r w:rsidR="00262F1A" w:rsidRPr="00B26E25">
        <w:rPr>
          <w:szCs w:val="24"/>
        </w:rPr>
        <w:t>J. would answer no.</w:t>
      </w:r>
    </w:p>
    <w:p w:rsidR="00262F1A" w:rsidRPr="00B26E25" w:rsidRDefault="00262F1A" w:rsidP="00F763E0">
      <w:pPr>
        <w:pStyle w:val="SCCNormalDoubleSpacing"/>
        <w:spacing w:after="480"/>
        <w:jc w:val="center"/>
        <w:rPr>
          <w:szCs w:val="24"/>
        </w:rPr>
      </w:pPr>
      <w:r w:rsidRPr="00B26E25">
        <w:rPr>
          <w:szCs w:val="24"/>
        </w:rPr>
        <w:t>____________________________</w:t>
      </w:r>
    </w:p>
    <w:p w:rsidR="00262F1A" w:rsidRPr="006D1763" w:rsidRDefault="00C7175C" w:rsidP="00F763E0">
      <w:pPr>
        <w:pStyle w:val="SCCNormalDoubleSpacing"/>
        <w:spacing w:after="480"/>
        <w:rPr>
          <w:i/>
          <w:szCs w:val="24"/>
          <w:u w:val="single"/>
        </w:rPr>
      </w:pPr>
      <w:r w:rsidRPr="006B05C9">
        <w:rPr>
          <w:szCs w:val="24"/>
        </w:rPr>
        <w:t>(1)</w:t>
      </w:r>
      <w:r w:rsidRPr="006B05C9">
        <w:rPr>
          <w:i/>
          <w:szCs w:val="24"/>
        </w:rPr>
        <w:t>  </w:t>
      </w:r>
      <w:r w:rsidR="00262F1A" w:rsidRPr="006B05C9">
        <w:rPr>
          <w:i/>
          <w:szCs w:val="24"/>
          <w:u w:val="single"/>
        </w:rPr>
        <w:t>Section</w:t>
      </w:r>
      <w:r w:rsidRPr="006B05C9">
        <w:rPr>
          <w:i/>
          <w:szCs w:val="24"/>
          <w:u w:val="single"/>
        </w:rPr>
        <w:t> </w:t>
      </w:r>
      <w:r w:rsidR="00262F1A" w:rsidRPr="006B05C9">
        <w:rPr>
          <w:i/>
          <w:szCs w:val="24"/>
          <w:u w:val="single"/>
        </w:rPr>
        <w:t>15(1) of the Charter</w:t>
      </w:r>
    </w:p>
    <w:p w:rsidR="00262F1A" w:rsidRPr="00B26E25" w:rsidRDefault="00262F1A" w:rsidP="00F763E0">
      <w:pPr>
        <w:pStyle w:val="SCCNormalDoubleSpacing"/>
        <w:spacing w:after="480"/>
        <w:rPr>
          <w:szCs w:val="24"/>
        </w:rPr>
      </w:pPr>
      <w:r w:rsidRPr="00B26E25">
        <w:rPr>
          <w:szCs w:val="24"/>
        </w:rPr>
        <w:tab/>
      </w:r>
      <w:r w:rsidRPr="00B26E25">
        <w:rPr>
          <w:i/>
          <w:szCs w:val="24"/>
        </w:rPr>
        <w:t>Per</w:t>
      </w:r>
      <w:r w:rsidRPr="00B26E25">
        <w:rPr>
          <w:szCs w:val="24"/>
        </w:rPr>
        <w:t xml:space="preserve"> </w:t>
      </w:r>
      <w:r w:rsidRPr="007D557C">
        <w:rPr>
          <w:szCs w:val="24"/>
        </w:rPr>
        <w:t>LeBel</w:t>
      </w:r>
      <w:r w:rsidRPr="00B26E25">
        <w:rPr>
          <w:szCs w:val="24"/>
        </w:rPr>
        <w:t>, Fish, Rothstein and Moldaver</w:t>
      </w:r>
      <w:r w:rsidR="00C7175C" w:rsidRPr="00B26E25">
        <w:rPr>
          <w:szCs w:val="24"/>
        </w:rPr>
        <w:t> </w:t>
      </w:r>
      <w:r w:rsidRPr="00B26E25">
        <w:rPr>
          <w:szCs w:val="24"/>
        </w:rPr>
        <w:t>JJ. (minority on s.</w:t>
      </w:r>
      <w:r w:rsidR="00C7175C" w:rsidRPr="00B26E25">
        <w:rPr>
          <w:szCs w:val="24"/>
        </w:rPr>
        <w:t> </w:t>
      </w:r>
      <w:r w:rsidRPr="00B26E25">
        <w:rPr>
          <w:szCs w:val="24"/>
        </w:rPr>
        <w:t xml:space="preserve">15(1)):  The </w:t>
      </w:r>
      <w:r w:rsidRPr="00B26E25">
        <w:rPr>
          <w:i/>
          <w:szCs w:val="24"/>
        </w:rPr>
        <w:t>Civil Code of Québec</w:t>
      </w:r>
      <w:r w:rsidRPr="00B26E25">
        <w:rPr>
          <w:szCs w:val="24"/>
        </w:rPr>
        <w:t xml:space="preserve"> establishes a mandatory primary regime in a chapter that defines the fundamental effects of marriage.  This regime creates mutual rights, duties and obligations and radically alters each spouse</w:t>
      </w:r>
      <w:r w:rsidR="00C7175C" w:rsidRPr="00B26E25">
        <w:rPr>
          <w:szCs w:val="24"/>
        </w:rPr>
        <w:t>’</w:t>
      </w:r>
      <w:r w:rsidRPr="00B26E25">
        <w:rPr>
          <w:szCs w:val="24"/>
        </w:rPr>
        <w:t xml:space="preserve">s patrimonial rights.  More specifically, the primary regime results in the formation of a partial economic union between the spouses.  Aside from the primary regime, where there is no marriage contract providing for separation as to property or for changes to the legal regime, the legal matrimonial regime of partnership of acquests applies to the spouses as a result of their marriage.  Like the primary regime, the regime of partnership of acquests significantly changes the rights of both spouses in relation to their patrimony.  The Quebec legislature has imposed these regimes only on those who, by agreement with another person, have demonstrated that they wish to adhere to them.  Their consent must be explicit, and must take the form of marriage or a civil union.  The </w:t>
      </w:r>
      <w:r w:rsidRPr="00B26E25">
        <w:rPr>
          <w:i/>
          <w:szCs w:val="24"/>
        </w:rPr>
        <w:t>Civil Code of Québec</w:t>
      </w:r>
      <w:r w:rsidRPr="00B26E25">
        <w:rPr>
          <w:szCs w:val="24"/>
        </w:rPr>
        <w:t xml:space="preserve"> does not lay down the terms of the union of </w:t>
      </w:r>
      <w:r w:rsidRPr="00B26E25">
        <w:rPr>
          <w:i/>
          <w:szCs w:val="24"/>
        </w:rPr>
        <w:t>de facto</w:t>
      </w:r>
      <w:r w:rsidRPr="00B26E25">
        <w:rPr>
          <w:szCs w:val="24"/>
        </w:rPr>
        <w:t xml:space="preserve"> spouses.  Since the </w:t>
      </w:r>
      <w:r w:rsidRPr="00B26E25">
        <w:rPr>
          <w:i/>
          <w:szCs w:val="24"/>
        </w:rPr>
        <w:t>de facto</w:t>
      </w:r>
      <w:r w:rsidRPr="00B26E25">
        <w:rPr>
          <w:szCs w:val="24"/>
        </w:rPr>
        <w:t xml:space="preserve"> union is not subject to the mandatory legislative framework that applies to marriage and the civil union, </w:t>
      </w:r>
      <w:r w:rsidRPr="00B26E25">
        <w:rPr>
          <w:i/>
          <w:szCs w:val="24"/>
        </w:rPr>
        <w:t>de facto</w:t>
      </w:r>
      <w:r w:rsidRPr="00B26E25">
        <w:rPr>
          <w:szCs w:val="24"/>
        </w:rPr>
        <w:t xml:space="preserve"> spouses are free to shape their relationships as they wish, having proper regard for public order.  They can enter into agreements to organize their patrimonial relationships while they live together and to provide for the consequences of a possible breakdown.</w:t>
      </w:r>
    </w:p>
    <w:p w:rsidR="00262F1A" w:rsidRPr="00B26E25" w:rsidRDefault="00262F1A" w:rsidP="00F763E0">
      <w:pPr>
        <w:pStyle w:val="SCCNormalDoubleSpacing"/>
        <w:spacing w:after="480"/>
        <w:rPr>
          <w:szCs w:val="24"/>
        </w:rPr>
      </w:pPr>
      <w:r w:rsidRPr="00B26E25">
        <w:rPr>
          <w:szCs w:val="24"/>
        </w:rPr>
        <w:tab/>
        <w:t xml:space="preserve">By arguing that arts. 401 to 430, 432, 433, 448 to 484 and 585 of the </w:t>
      </w:r>
      <w:r w:rsidRPr="00B26E25">
        <w:rPr>
          <w:i/>
          <w:szCs w:val="24"/>
        </w:rPr>
        <w:t>Civil Code of Québec</w:t>
      </w:r>
      <w:r w:rsidRPr="00B26E25">
        <w:rPr>
          <w:szCs w:val="24"/>
        </w:rPr>
        <w:t xml:space="preserve"> are contrary to s. 15(1) of the </w:t>
      </w:r>
      <w:r w:rsidRPr="00B26E25">
        <w:rPr>
          <w:i/>
          <w:szCs w:val="24"/>
        </w:rPr>
        <w:t>Charter</w:t>
      </w:r>
      <w:r w:rsidRPr="00B26E25">
        <w:rPr>
          <w:szCs w:val="24"/>
        </w:rPr>
        <w:t xml:space="preserve"> and not justified under s. 1, A is claiming the benefit of certain aspects of the primary regime that applies in cases of separation from bed and board, divorce, or dissolution of a civil union.  She is also seeking the automatic and mandatory application of the legal matrimonial regime of partnership of acquests.  In </w:t>
      </w:r>
      <w:r w:rsidRPr="00B26E25">
        <w:rPr>
          <w:i/>
          <w:szCs w:val="24"/>
        </w:rPr>
        <w:t>R. v. Kapp</w:t>
      </w:r>
      <w:r w:rsidRPr="00B26E25">
        <w:rPr>
          <w:szCs w:val="24"/>
        </w:rPr>
        <w:t xml:space="preserve">, 2008 SCC 41, [2008] 2 S.C.R. 483, and </w:t>
      </w:r>
      <w:r w:rsidRPr="00B26E25">
        <w:rPr>
          <w:i/>
          <w:szCs w:val="24"/>
        </w:rPr>
        <w:t>Withler v. Canada (Attorney General)</w:t>
      </w:r>
      <w:r w:rsidRPr="00B26E25">
        <w:rPr>
          <w:szCs w:val="24"/>
        </w:rPr>
        <w:t xml:space="preserve">, 2011 SCC 12, [2011] 1 S.C.R. 396, the Court reworked and provided important clarifications to the analytical framework for applying the equality guarantee provided for in s. 15(1) of the </w:t>
      </w:r>
      <w:r w:rsidRPr="00B26E25">
        <w:rPr>
          <w:i/>
          <w:szCs w:val="24"/>
        </w:rPr>
        <w:t>Charter</w:t>
      </w:r>
      <w:r w:rsidRPr="00B26E25">
        <w:rPr>
          <w:szCs w:val="24"/>
        </w:rPr>
        <w:t>.  As can be seen from this framework, a discriminatory distinction is as a general rule an adverse distinction that perpetuates prejudice or that stereotypes.  The existence of a pre</w:t>
      </w:r>
      <w:r w:rsidR="00C7175C" w:rsidRPr="00B26E25">
        <w:rPr>
          <w:szCs w:val="24"/>
        </w:rPr>
        <w:noBreakHyphen/>
      </w:r>
      <w:r w:rsidRPr="00B26E25">
        <w:rPr>
          <w:szCs w:val="24"/>
        </w:rPr>
        <w:t xml:space="preserve">existing or historical disadvantage will make it easier to prove prejudice or a stereotype.  However, the existence or perpetuation of a disadvantage cannot in itself make a distinction discriminatory.  Substantive equality is not denied solely because a disadvantage is imposed.  Rather, it is denied by the imposition of a disadvantage that is unfair or objectionable, which is most often the case if the disadvantage perpetuates prejudice or stereotypes.   Thus, according to the established analytical framework, a court analyzing the validity of an allegation that s. 15(1) has been infringed must address the following questions:  </w:t>
      </w:r>
      <w:r w:rsidRPr="00B26E25">
        <w:rPr>
          <w:iCs/>
          <w:szCs w:val="24"/>
        </w:rPr>
        <w:t xml:space="preserve">(1) Does the law create a distinction based on an enumerated or analogous ground?  </w:t>
      </w:r>
      <w:r w:rsidRPr="00B26E25">
        <w:rPr>
          <w:szCs w:val="24"/>
        </w:rPr>
        <w:t>(2) Does the distinction create a disadvantage by perpetuating prejudice or stereotyping?  The claimant can show that the impugned law creates a distinction expressly or that it creates one indirectly.</w:t>
      </w:r>
    </w:p>
    <w:p w:rsidR="00262F1A" w:rsidRPr="00B26E25" w:rsidRDefault="00262F1A" w:rsidP="00F763E0">
      <w:pPr>
        <w:pStyle w:val="SCCNormalDoubleSpacing"/>
        <w:spacing w:after="480"/>
        <w:rPr>
          <w:szCs w:val="24"/>
        </w:rPr>
      </w:pPr>
      <w:r w:rsidRPr="00B26E25">
        <w:rPr>
          <w:szCs w:val="24"/>
        </w:rPr>
        <w:tab/>
        <w:t xml:space="preserve">The majority of the Court would have reached the same conclusion in </w:t>
      </w:r>
      <w:r w:rsidRPr="00B26E25">
        <w:rPr>
          <w:i/>
          <w:szCs w:val="24"/>
        </w:rPr>
        <w:t>Nova Scotia (Attorney General) v. Walsh</w:t>
      </w:r>
      <w:r w:rsidRPr="00B26E25">
        <w:rPr>
          <w:szCs w:val="24"/>
        </w:rPr>
        <w:t xml:space="preserve">, 2002 SCC 83, [2002] 4 S.C.R. 325, if its analysis had been based on the reworked analytical framework from </w:t>
      </w:r>
      <w:r w:rsidRPr="00B26E25">
        <w:rPr>
          <w:i/>
          <w:szCs w:val="24"/>
        </w:rPr>
        <w:t>Kapp</w:t>
      </w:r>
      <w:r w:rsidRPr="00B26E25">
        <w:rPr>
          <w:szCs w:val="24"/>
        </w:rPr>
        <w:t xml:space="preserve"> and </w:t>
      </w:r>
      <w:r w:rsidRPr="00B26E25">
        <w:rPr>
          <w:i/>
          <w:szCs w:val="24"/>
        </w:rPr>
        <w:t>Withler</w:t>
      </w:r>
      <w:r w:rsidRPr="00B26E25">
        <w:rPr>
          <w:szCs w:val="24"/>
        </w:rPr>
        <w:t xml:space="preserve">.  Although the statute at issue in </w:t>
      </w:r>
      <w:r w:rsidRPr="00B26E25">
        <w:rPr>
          <w:i/>
          <w:szCs w:val="24"/>
        </w:rPr>
        <w:t>Walsh</w:t>
      </w:r>
      <w:r w:rsidRPr="00B26E25">
        <w:rPr>
          <w:szCs w:val="24"/>
        </w:rPr>
        <w:t xml:space="preserve"> imposed differential treatment based on marital status by limiting the presumption of equal division of matrimonial property to married couples and </w:t>
      </w:r>
      <w:r w:rsidRPr="00B26E25">
        <w:rPr>
          <w:iCs/>
          <w:szCs w:val="24"/>
        </w:rPr>
        <w:t>excluding persons in common law relationships</w:t>
      </w:r>
      <w:r w:rsidRPr="00B26E25">
        <w:rPr>
          <w:szCs w:val="24"/>
        </w:rPr>
        <w:t>, that distinction did not create a disadvantage by perpetuating prejudice or stereotyping</w:t>
      </w:r>
      <w:r w:rsidRPr="00B26E25">
        <w:rPr>
          <w:iCs/>
          <w:szCs w:val="24"/>
        </w:rPr>
        <w:t>.  The majority</w:t>
      </w:r>
      <w:r w:rsidR="00C7175C" w:rsidRPr="00B26E25">
        <w:rPr>
          <w:iCs/>
          <w:szCs w:val="24"/>
        </w:rPr>
        <w:t>’</w:t>
      </w:r>
      <w:r w:rsidRPr="00B26E25">
        <w:rPr>
          <w:iCs/>
          <w:szCs w:val="24"/>
        </w:rPr>
        <w:t>s analysis was thus based on the wish to promote substantive equality</w:t>
      </w:r>
      <w:r w:rsidRPr="00B26E25">
        <w:rPr>
          <w:szCs w:val="24"/>
        </w:rPr>
        <w:t xml:space="preserve">.  </w:t>
      </w:r>
      <w:r w:rsidRPr="00B26E25">
        <w:rPr>
          <w:i/>
          <w:szCs w:val="24"/>
        </w:rPr>
        <w:t>Walsh</w:t>
      </w:r>
      <w:r w:rsidRPr="00B26E25">
        <w:rPr>
          <w:szCs w:val="24"/>
        </w:rPr>
        <w:t xml:space="preserve"> was based on a principle of freedom to choose between different marital statuses that had different consequences for spouses, and that principle did not in that context infringe the constitutional equality guarantee.  The principle in question continues to be valid in the circumstances of the case at bar despite the subsequent developments in the case law.  Although </w:t>
      </w:r>
      <w:r w:rsidRPr="00B26E25">
        <w:rPr>
          <w:i/>
          <w:szCs w:val="24"/>
        </w:rPr>
        <w:t>Walsh</w:t>
      </w:r>
      <w:r w:rsidRPr="00B26E25">
        <w:rPr>
          <w:szCs w:val="24"/>
        </w:rPr>
        <w:t xml:space="preserve"> </w:t>
      </w:r>
      <w:r w:rsidRPr="00B26E25">
        <w:rPr>
          <w:iCs/>
          <w:szCs w:val="24"/>
        </w:rPr>
        <w:t>concerned not the obligation of support, but the equal division of family assets, the majority</w:t>
      </w:r>
      <w:r w:rsidR="00C7175C" w:rsidRPr="00B26E25">
        <w:rPr>
          <w:iCs/>
          <w:szCs w:val="24"/>
        </w:rPr>
        <w:t>’</w:t>
      </w:r>
      <w:r w:rsidRPr="00B26E25">
        <w:rPr>
          <w:iCs/>
          <w:szCs w:val="24"/>
        </w:rPr>
        <w:t>s comments on the sources of the distinctions between the various forms of relationships and the consequences of those distinctions remain relevant</w:t>
      </w:r>
      <w:r w:rsidRPr="00B26E25">
        <w:rPr>
          <w:szCs w:val="24"/>
        </w:rPr>
        <w:t>.</w:t>
      </w:r>
    </w:p>
    <w:p w:rsidR="00262F1A" w:rsidRPr="00B26E25" w:rsidRDefault="00262F1A" w:rsidP="00F763E0">
      <w:pPr>
        <w:pStyle w:val="SCCNormalDoubleSpacing"/>
        <w:spacing w:after="480"/>
        <w:rPr>
          <w:szCs w:val="24"/>
        </w:rPr>
      </w:pPr>
      <w:r w:rsidRPr="00B26E25">
        <w:rPr>
          <w:szCs w:val="24"/>
        </w:rPr>
        <w:tab/>
        <w:t>To dispose of these appeals, it would be inappropriate to distinguish the partition of property from the obligation of support.  Such a distinction disregards the character of an “economic partnership” that the Quebec legislature has established for marriage and the civil union.  It also disregards the fact that this partnership is structured around a mandatory primary regime that has both patrimonial and extrapatrimonial aspects and that the primary regime establishes the obligation of support as an effect of marriage and of the civil union.  In this sense, the obligation of support is tied to the other effects of marriage and of the civil union, such as the obligation to contribute to household expenses, rights and obligations with respect to the family residence, and the creation of a family patrimony.  It forms an integral and indissociable part of the set of measures that constitute Quebec</w:t>
      </w:r>
      <w:r w:rsidR="00C7175C" w:rsidRPr="00B26E25">
        <w:rPr>
          <w:szCs w:val="24"/>
        </w:rPr>
        <w:t>’</w:t>
      </w:r>
      <w:r w:rsidRPr="00B26E25">
        <w:rPr>
          <w:szCs w:val="24"/>
        </w:rPr>
        <w:t xml:space="preserve">s primary regime.  What must therefore be determined in these appeals is not whether the exclusion of </w:t>
      </w:r>
      <w:r w:rsidRPr="00B26E25">
        <w:rPr>
          <w:i/>
          <w:szCs w:val="24"/>
        </w:rPr>
        <w:t>de facto</w:t>
      </w:r>
      <w:r w:rsidRPr="00B26E25">
        <w:rPr>
          <w:szCs w:val="24"/>
        </w:rPr>
        <w:t xml:space="preserve"> spouses from the obligation of support is discriminatory, but whether their exclusion from the entire statutory framework imposed on married and civil union spouses is discriminatory under s. 15(1) of the </w:t>
      </w:r>
      <w:r w:rsidRPr="00B26E25">
        <w:rPr>
          <w:i/>
          <w:szCs w:val="24"/>
        </w:rPr>
        <w:t>Charter</w:t>
      </w:r>
      <w:r w:rsidRPr="00B26E25">
        <w:rPr>
          <w:szCs w:val="24"/>
        </w:rPr>
        <w:t>.</w:t>
      </w:r>
    </w:p>
    <w:p w:rsidR="00262F1A" w:rsidRPr="00B26E25" w:rsidRDefault="00262F1A" w:rsidP="00F763E0">
      <w:pPr>
        <w:pStyle w:val="SCCNormalDoubleSpacing"/>
        <w:spacing w:after="480"/>
        <w:rPr>
          <w:szCs w:val="24"/>
        </w:rPr>
      </w:pPr>
      <w:r w:rsidRPr="00B26E25">
        <w:rPr>
          <w:szCs w:val="24"/>
        </w:rPr>
        <w:tab/>
        <w:t xml:space="preserve">To prove that she has been discriminated against, A must show on a balance of probabilities that the provisions of the </w:t>
      </w:r>
      <w:r w:rsidRPr="00B26E25">
        <w:rPr>
          <w:i/>
          <w:szCs w:val="24"/>
        </w:rPr>
        <w:t>Civil Code of Québec</w:t>
      </w:r>
      <w:r w:rsidRPr="00B26E25">
        <w:rPr>
          <w:szCs w:val="24"/>
        </w:rPr>
        <w:t xml:space="preserve"> at issue create an adverse distinction based on an enumerated or analogous ground and that the disadvantage is discriminatory because it perpetuates prejudice or stereotypes.  The provisions relating to the family patrimony, the family residence, the compensatory allowance, the partnership of acquests and the obligation of support apply only to persons who are married or in a civil union, and do not apply to </w:t>
      </w:r>
      <w:r w:rsidRPr="00B26E25">
        <w:rPr>
          <w:i/>
          <w:szCs w:val="24"/>
        </w:rPr>
        <w:t>de facto</w:t>
      </w:r>
      <w:r w:rsidRPr="00B26E25">
        <w:rPr>
          <w:szCs w:val="24"/>
        </w:rPr>
        <w:t xml:space="preserve"> spouses.  These provisions therefore have the effect of creating a distinction based on the analogous ground of marital status.  That distinction may result in disadvantages for those who are excluded from the statutory framework applicable to a marriage or a civil union.  Generally speaking, when </w:t>
      </w:r>
      <w:r w:rsidRPr="00B26E25">
        <w:rPr>
          <w:i/>
          <w:szCs w:val="24"/>
        </w:rPr>
        <w:t>de facto</w:t>
      </w:r>
      <w:r w:rsidRPr="00B26E25">
        <w:rPr>
          <w:szCs w:val="24"/>
        </w:rPr>
        <w:t xml:space="preserve"> spouses separate, one of them will likely end up in a more precarious patrimonial situation than if the couple had been married or in a civil union.  As a result, unless these </w:t>
      </w:r>
      <w:r w:rsidRPr="00B26E25">
        <w:rPr>
          <w:i/>
          <w:szCs w:val="24"/>
        </w:rPr>
        <w:t>de facto</w:t>
      </w:r>
      <w:r w:rsidRPr="00B26E25">
        <w:rPr>
          <w:szCs w:val="24"/>
        </w:rPr>
        <w:t xml:space="preserve"> spouses have exactly the same earning capacity and exactly the same patrimony, one of them will be in a worse position after the relationship ends than would a married or civil union spouse in a similar patrimonial situation.</w:t>
      </w:r>
    </w:p>
    <w:p w:rsidR="00262F1A" w:rsidRPr="00B26E25" w:rsidRDefault="00262F1A" w:rsidP="00F763E0">
      <w:pPr>
        <w:pStyle w:val="SCCNormalDoubleSpacing"/>
        <w:spacing w:after="480"/>
        <w:rPr>
          <w:szCs w:val="24"/>
        </w:rPr>
      </w:pPr>
      <w:r w:rsidRPr="00B26E25">
        <w:rPr>
          <w:szCs w:val="24"/>
        </w:rPr>
        <w:tab/>
        <w:t xml:space="preserve">However, the distinction is not discriminatory, because it does not create a disadvantage by expressing or perpetuating prejudice or by stereotyping.  Although there was a period of Quebec history during which </w:t>
      </w:r>
      <w:r w:rsidRPr="00B26E25">
        <w:rPr>
          <w:i/>
          <w:szCs w:val="24"/>
        </w:rPr>
        <w:t>de facto</w:t>
      </w:r>
      <w:r w:rsidRPr="00B26E25">
        <w:rPr>
          <w:szCs w:val="24"/>
        </w:rPr>
        <w:t xml:space="preserve"> spouses were subjected to both legislative hostility and social ostracism, nothing in the evidence suggests that </w:t>
      </w:r>
      <w:r w:rsidRPr="00B26E25">
        <w:rPr>
          <w:i/>
          <w:szCs w:val="24"/>
        </w:rPr>
        <w:t>de facto</w:t>
      </w:r>
      <w:r w:rsidRPr="00B26E25">
        <w:rPr>
          <w:szCs w:val="24"/>
        </w:rPr>
        <w:t xml:space="preserve"> spouses are now subject to public opprobrium.  The expert reports filed by the parties tend to show the contrary.  According to them, the </w:t>
      </w:r>
      <w:r w:rsidRPr="00B26E25">
        <w:rPr>
          <w:i/>
          <w:szCs w:val="24"/>
        </w:rPr>
        <w:t>de facto</w:t>
      </w:r>
      <w:r w:rsidRPr="00B26E25">
        <w:rPr>
          <w:szCs w:val="24"/>
        </w:rPr>
        <w:t xml:space="preserve"> union has become a respected type of conjugality and is not judged unfavourably by Quebec society as a whole.  Likewise, the legislature</w:t>
      </w:r>
      <w:r w:rsidR="00C7175C" w:rsidRPr="00B26E25">
        <w:rPr>
          <w:szCs w:val="24"/>
        </w:rPr>
        <w:t>’</w:t>
      </w:r>
      <w:r w:rsidRPr="00B26E25">
        <w:rPr>
          <w:szCs w:val="24"/>
        </w:rPr>
        <w:t xml:space="preserve">s traditional hostility generally seems to have changed into acceptance of the </w:t>
      </w:r>
      <w:r w:rsidRPr="00B26E25">
        <w:rPr>
          <w:i/>
          <w:szCs w:val="24"/>
        </w:rPr>
        <w:t>de facto</w:t>
      </w:r>
      <w:r w:rsidRPr="00B26E25">
        <w:rPr>
          <w:szCs w:val="24"/>
        </w:rPr>
        <w:t xml:space="preserve"> union.  In this regard, Quebec social legislation no longer draws distinctions between the various types of conjugality either in granting benefits to or imposing obligations on spouses where their relations with government institutions are concerned.  The distinction continues to exist in the context of relations between the spouses themselves, within their conjugal relationship, where there is still a will to preserve the possibility of choosing between various types of conjugality.</w:t>
      </w:r>
    </w:p>
    <w:p w:rsidR="00262F1A" w:rsidRPr="00B26E25" w:rsidRDefault="00262F1A" w:rsidP="00F763E0">
      <w:pPr>
        <w:pStyle w:val="SCCNormalDoubleSpacing"/>
        <w:spacing w:after="480"/>
        <w:rPr>
          <w:szCs w:val="24"/>
        </w:rPr>
      </w:pPr>
      <w:r w:rsidRPr="00B26E25">
        <w:rPr>
          <w:szCs w:val="24"/>
        </w:rPr>
        <w:tab/>
        <w:t xml:space="preserve">Nor is the exclusion of </w:t>
      </w:r>
      <w:r w:rsidRPr="00B26E25">
        <w:rPr>
          <w:i/>
          <w:szCs w:val="24"/>
        </w:rPr>
        <w:t xml:space="preserve">de facto </w:t>
      </w:r>
      <w:r w:rsidRPr="00B26E25">
        <w:rPr>
          <w:szCs w:val="24"/>
        </w:rPr>
        <w:t xml:space="preserve">spouses from the application of the impugned provisions discriminatory on the basis of an expression of prejudice.  The legislature has not established a hierarchy between the various forms of conjugality, nor has it expressed a preference for marriage and the civil union at the expense of the </w:t>
      </w:r>
      <w:r w:rsidRPr="00B26E25">
        <w:rPr>
          <w:i/>
          <w:szCs w:val="24"/>
        </w:rPr>
        <w:t>de facto</w:t>
      </w:r>
      <w:r w:rsidRPr="00B26E25">
        <w:rPr>
          <w:szCs w:val="24"/>
        </w:rPr>
        <w:t xml:space="preserve"> union.  It has merely defined the legal content of the different forms of conjugal relationships.  It has made consent the key to changing the spouses</w:t>
      </w:r>
      <w:r w:rsidR="00C7175C" w:rsidRPr="00B26E25">
        <w:rPr>
          <w:szCs w:val="24"/>
        </w:rPr>
        <w:t>’</w:t>
      </w:r>
      <w:r w:rsidRPr="00B26E25">
        <w:rPr>
          <w:szCs w:val="24"/>
        </w:rPr>
        <w:t xml:space="preserve"> mutual patrimonial relationshi</w:t>
      </w:r>
      <w:r w:rsidR="00C7175C" w:rsidRPr="00B26E25">
        <w:rPr>
          <w:szCs w:val="24"/>
        </w:rPr>
        <w:t xml:space="preserve">p. </w:t>
      </w:r>
      <w:r w:rsidRPr="00B26E25">
        <w:rPr>
          <w:szCs w:val="24"/>
        </w:rPr>
        <w:t xml:space="preserve"> In this way, it has preserved the freedom of those who wish to organize their patrimonial relationships outside the mandatory statutory framework.  Express, and not deemed, consent is the source of the obligation of support and of that of partition of spouses</w:t>
      </w:r>
      <w:r w:rsidR="00C7175C" w:rsidRPr="00B26E25">
        <w:rPr>
          <w:szCs w:val="24"/>
        </w:rPr>
        <w:t>’</w:t>
      </w:r>
      <w:r w:rsidRPr="00B26E25">
        <w:rPr>
          <w:szCs w:val="24"/>
        </w:rPr>
        <w:t xml:space="preserve"> patrimonial interests.  This consent is given in Quebec law by contracting marriage or a civil union, or entering into a cohabitation agreement.  Participation in the protective regimes provided for by law depends necessarily on mutual consent.  In this regard, the conclusion of a cohabitation agreement enables </w:t>
      </w:r>
      <w:r w:rsidRPr="00B26E25">
        <w:rPr>
          <w:i/>
          <w:szCs w:val="24"/>
        </w:rPr>
        <w:t>de facto</w:t>
      </w:r>
      <w:r w:rsidRPr="00B26E25">
        <w:rPr>
          <w:szCs w:val="24"/>
        </w:rPr>
        <w:t xml:space="preserve"> spouses to create for themselves the legal relationship they consider necessary without having to modify the form of conjugality they have chosen for their life together.  In this context in which the existence of a set of rights and obligations depends on mutual consent in one of a variety of forms, it is hard to speak of discrimination against </w:t>
      </w:r>
      <w:r w:rsidRPr="00B26E25">
        <w:rPr>
          <w:i/>
          <w:szCs w:val="24"/>
        </w:rPr>
        <w:t>de facto</w:t>
      </w:r>
      <w:r w:rsidRPr="00B26E25">
        <w:rPr>
          <w:szCs w:val="24"/>
        </w:rPr>
        <w:t xml:space="preserve"> spouses.  The resulting choice has become a key factor in the determination of the scope of the right at issue, and not only in the justification of a limit on that right.  It is not imperative that there be an identical framework for each form of union in order to remain true to the purpose of s. 15(1).  In the instant case, the fact that there are different frameworks for private relationships between spouses does not indicate that prejudice is being expressed or perpetuated, but, rather, connotes respect for the various conceptions of conjugality.  Thus, no hierarchy of worth is established between the different types of couples.</w:t>
      </w:r>
    </w:p>
    <w:p w:rsidR="00262F1A" w:rsidRPr="00B26E25" w:rsidRDefault="00262F1A" w:rsidP="00F763E0">
      <w:pPr>
        <w:pStyle w:val="SCCNormalDoubleSpacing"/>
        <w:spacing w:after="480"/>
        <w:rPr>
          <w:szCs w:val="24"/>
        </w:rPr>
      </w:pPr>
      <w:r w:rsidRPr="00B26E25">
        <w:rPr>
          <w:szCs w:val="24"/>
        </w:rPr>
        <w:tab/>
        <w:t xml:space="preserve">The articles of the </w:t>
      </w:r>
      <w:r w:rsidRPr="00B26E25">
        <w:rPr>
          <w:i/>
          <w:szCs w:val="24"/>
        </w:rPr>
        <w:t>Civil Code of Québec</w:t>
      </w:r>
      <w:r w:rsidRPr="00B26E25">
        <w:rPr>
          <w:szCs w:val="24"/>
        </w:rPr>
        <w:t xml:space="preserve"> whose constitutional validity is being challenged by A therefore do not express or perpetuate prejudice against </w:t>
      </w:r>
      <w:r w:rsidRPr="00B26E25">
        <w:rPr>
          <w:i/>
          <w:szCs w:val="24"/>
        </w:rPr>
        <w:t>de facto</w:t>
      </w:r>
      <w:r w:rsidRPr="00B26E25">
        <w:rPr>
          <w:szCs w:val="24"/>
        </w:rPr>
        <w:t xml:space="preserve"> spouses.  On the contrary, it appears that, by respecting personal autonomy and the freedom of </w:t>
      </w:r>
      <w:r w:rsidRPr="00B26E25">
        <w:rPr>
          <w:i/>
          <w:szCs w:val="24"/>
        </w:rPr>
        <w:t>de facto</w:t>
      </w:r>
      <w:r w:rsidRPr="00B26E25">
        <w:rPr>
          <w:szCs w:val="24"/>
        </w:rPr>
        <w:t xml:space="preserve"> spouses to organize their relationships on the basis of their needs, those provisions are consistent with two of the values underlying s. 15(1) of the </w:t>
      </w:r>
      <w:r w:rsidRPr="00B26E25">
        <w:rPr>
          <w:i/>
          <w:szCs w:val="24"/>
        </w:rPr>
        <w:t>Charter</w:t>
      </w:r>
      <w:r w:rsidRPr="00B26E25">
        <w:rPr>
          <w:szCs w:val="24"/>
        </w:rPr>
        <w:t>.  They were enacted as part of a long and complex legislative process during which the Quebec National Assembly was concerned about keeping step with changes in society and about adapting family law to new types of conjugal relationships in a manner compatible with the freedom of spouses.</w:t>
      </w:r>
    </w:p>
    <w:p w:rsidR="00262F1A" w:rsidRPr="00B26E25" w:rsidRDefault="00262F1A" w:rsidP="00F763E0">
      <w:pPr>
        <w:pStyle w:val="SCCNormalDoubleSpacing"/>
        <w:spacing w:after="480"/>
        <w:rPr>
          <w:szCs w:val="24"/>
        </w:rPr>
      </w:pPr>
      <w:r w:rsidRPr="00B26E25">
        <w:rPr>
          <w:szCs w:val="24"/>
        </w:rPr>
        <w:tab/>
        <w:t>Furthermore, there is no evidence in the Court</w:t>
      </w:r>
      <w:r w:rsidR="00C7175C" w:rsidRPr="00B26E25">
        <w:rPr>
          <w:szCs w:val="24"/>
        </w:rPr>
        <w:t>’</w:t>
      </w:r>
      <w:r w:rsidRPr="00B26E25">
        <w:rPr>
          <w:szCs w:val="24"/>
        </w:rPr>
        <w:t xml:space="preserve">s record that would justify finding that the exclusion of </w:t>
      </w:r>
      <w:r w:rsidRPr="00B26E25">
        <w:rPr>
          <w:i/>
          <w:szCs w:val="24"/>
        </w:rPr>
        <w:t>de facto</w:t>
      </w:r>
      <w:r w:rsidRPr="00B26E25">
        <w:rPr>
          <w:szCs w:val="24"/>
        </w:rPr>
        <w:t xml:space="preserve"> spouses from the primary regime and the regime of partnership of acquests is based on a stereotypical characterization of the actual circumstances of such spouses.  More specifically, none of A</w:t>
      </w:r>
      <w:r w:rsidR="00C7175C" w:rsidRPr="00B26E25">
        <w:rPr>
          <w:szCs w:val="24"/>
        </w:rPr>
        <w:t>’</w:t>
      </w:r>
      <w:r w:rsidRPr="00B26E25">
        <w:rPr>
          <w:szCs w:val="24"/>
        </w:rPr>
        <w:t>s evidence tends to show that the policy of freedom of choice, consensualism and autonomy of the will does not correspond to the reality of the persons in question.  Nor can judicial notice be taken of the fact that the choice of type of conjugality is not a deliberate and genuine choice that should have patrimonial consequences but necessarily results from the spouses</w:t>
      </w:r>
      <w:r w:rsidR="00C7175C" w:rsidRPr="00B26E25">
        <w:rPr>
          <w:szCs w:val="24"/>
        </w:rPr>
        <w:t>’</w:t>
      </w:r>
      <w:r w:rsidRPr="00B26E25">
        <w:rPr>
          <w:szCs w:val="24"/>
        </w:rPr>
        <w:t xml:space="preserve"> ignorance of the consequences of their status.  Such a fact is clearly controversial and not beyond reasonable dispute.  It is not unreasonable to believe that, in theory, individuals sometimes make uninformed choices and that some individuals may be unaware of the consequences of their choice of conjugal lifestyle.  Nevertheless, to take judicial notice of the fact that the voluntary choice not to marry does not reflect an autonomous decision to avoid the legal regimes would be to exceed the limits of legitimate judicial notice, especially in relation to an issue at the centre of the controversy.  In this case, A has not established that it is stereotypical to believe that couples in a </w:t>
      </w:r>
      <w:r w:rsidRPr="00B26E25">
        <w:rPr>
          <w:i/>
          <w:szCs w:val="24"/>
        </w:rPr>
        <w:t>de facto</w:t>
      </w:r>
      <w:r w:rsidRPr="00B26E25">
        <w:rPr>
          <w:szCs w:val="24"/>
        </w:rPr>
        <w:t xml:space="preserve"> union have chosen not to be bound by the regimes applicable to marriage and civil unions.  The Quebec scheme, the effect of which is to respect each person</w:t>
      </w:r>
      <w:r w:rsidR="00C7175C" w:rsidRPr="00B26E25">
        <w:rPr>
          <w:szCs w:val="24"/>
        </w:rPr>
        <w:t>’</w:t>
      </w:r>
      <w:r w:rsidRPr="00B26E25">
        <w:rPr>
          <w:szCs w:val="24"/>
        </w:rPr>
        <w:t xml:space="preserve">s freedom of choice to establish his or her own form of conjugality, and thus to participate or not to participate in the legislative regime of marriage or civil union with its distinct legal consequences, is not based on a stereotype.  In this sense, recognition of the principle of autonomy of the will, which is one of the values underlying the equality guarantee in s. 15 of the </w:t>
      </w:r>
      <w:r w:rsidRPr="00B26E25">
        <w:rPr>
          <w:i/>
          <w:szCs w:val="24"/>
        </w:rPr>
        <w:t>Charter</w:t>
      </w:r>
      <w:r w:rsidRPr="00B26E25">
        <w:rPr>
          <w:szCs w:val="24"/>
        </w:rPr>
        <w:t>, means that the courts must respect choices made by individuals in the exercise of that autonomy.  In this context, it will be up to the legislature to intervene if it believes that the consequences of such autonomous choices give rise to social problems that need to be remedied.</w:t>
      </w:r>
    </w:p>
    <w:p w:rsidR="00262F1A" w:rsidRPr="00B26E25" w:rsidRDefault="00262F1A" w:rsidP="00262F1A">
      <w:pPr>
        <w:pStyle w:val="SCCNormalDoubleSpacing"/>
        <w:spacing w:after="480"/>
        <w:rPr>
          <w:szCs w:val="24"/>
        </w:rPr>
      </w:pPr>
      <w:r w:rsidRPr="00B26E25">
        <w:rPr>
          <w:szCs w:val="24"/>
        </w:rPr>
        <w:tab/>
        <w:t xml:space="preserve">In conclusion, although arts. 401 to 430, 432, 433, 448 to 484 and 585 of the </w:t>
      </w:r>
      <w:r w:rsidRPr="00B26E25">
        <w:rPr>
          <w:i/>
          <w:szCs w:val="24"/>
        </w:rPr>
        <w:t>Civil Code of Québec</w:t>
      </w:r>
      <w:r w:rsidRPr="00B26E25">
        <w:rPr>
          <w:szCs w:val="24"/>
        </w:rPr>
        <w:t xml:space="preserve"> draw a distinction based on marital status between </w:t>
      </w:r>
      <w:r w:rsidRPr="00B26E25">
        <w:rPr>
          <w:i/>
          <w:szCs w:val="24"/>
        </w:rPr>
        <w:t>de facto</w:t>
      </w:r>
      <w:r w:rsidRPr="00B26E25">
        <w:rPr>
          <w:szCs w:val="24"/>
        </w:rPr>
        <w:t xml:space="preserve"> spouses and married or civil union spouses, they do not create a disadvantage by expressing or perpetuating prejudice or by stereotyping.  These provisions accordingly do not violate the right to equality guaranteed by s. 15 of the </w:t>
      </w:r>
      <w:r w:rsidRPr="00B26E25">
        <w:rPr>
          <w:i/>
          <w:szCs w:val="24"/>
        </w:rPr>
        <w:t>Charter</w:t>
      </w:r>
      <w:r w:rsidRPr="00B26E25">
        <w:rPr>
          <w:szCs w:val="24"/>
        </w:rPr>
        <w:t>.</w:t>
      </w:r>
    </w:p>
    <w:p w:rsidR="00165D29" w:rsidRPr="00B26E25" w:rsidRDefault="00165D29" w:rsidP="0019189B">
      <w:pPr>
        <w:pStyle w:val="SCCNormalDoubleSpacing"/>
        <w:spacing w:after="480"/>
        <w:rPr>
          <w:szCs w:val="24"/>
        </w:rPr>
      </w:pPr>
      <w:r w:rsidRPr="00B26E25">
        <w:rPr>
          <w:i/>
          <w:szCs w:val="24"/>
        </w:rPr>
        <w:tab/>
        <w:t xml:space="preserve">Per </w:t>
      </w:r>
      <w:r w:rsidR="0019189B" w:rsidRPr="007D557C">
        <w:rPr>
          <w:szCs w:val="24"/>
        </w:rPr>
        <w:t>Abella J.</w:t>
      </w:r>
      <w:r w:rsidR="0019189B" w:rsidRPr="00B26E25">
        <w:rPr>
          <w:szCs w:val="24"/>
        </w:rPr>
        <w:t xml:space="preserve"> (majority on s. </w:t>
      </w:r>
      <w:r w:rsidRPr="00B26E25">
        <w:rPr>
          <w:szCs w:val="24"/>
        </w:rPr>
        <w:t xml:space="preserve">15(1)): </w:t>
      </w:r>
      <w:r w:rsidR="0019189B" w:rsidRPr="00B26E25">
        <w:rPr>
          <w:szCs w:val="24"/>
        </w:rPr>
        <w:t xml:space="preserve"> </w:t>
      </w:r>
      <w:r w:rsidRPr="00B26E25">
        <w:rPr>
          <w:szCs w:val="24"/>
        </w:rPr>
        <w:t xml:space="preserve">The total exclusion of </w:t>
      </w:r>
      <w:r w:rsidRPr="00B26E25">
        <w:rPr>
          <w:i/>
          <w:szCs w:val="24"/>
        </w:rPr>
        <w:t>de facto</w:t>
      </w:r>
      <w:r w:rsidR="00C06558" w:rsidRPr="00B26E25">
        <w:rPr>
          <w:szCs w:val="24"/>
        </w:rPr>
        <w:t xml:space="preserve"> spouses —</w:t>
      </w:r>
      <w:r w:rsidRPr="00B26E25">
        <w:rPr>
          <w:szCs w:val="24"/>
        </w:rPr>
        <w:t xml:space="preserve"> the term used in Quebec for those who are neither ma</w:t>
      </w:r>
      <w:r w:rsidR="00C06558" w:rsidRPr="00B26E25">
        <w:rPr>
          <w:szCs w:val="24"/>
        </w:rPr>
        <w:t>rried nor in a civil union —</w:t>
      </w:r>
      <w:r w:rsidRPr="00B26E25">
        <w:rPr>
          <w:szCs w:val="24"/>
        </w:rPr>
        <w:t xml:space="preserve"> from the legal protections for both support and property gi</w:t>
      </w:r>
      <w:r w:rsidR="007D557C">
        <w:rPr>
          <w:szCs w:val="24"/>
        </w:rPr>
        <w:t>ven to spouses in formal unions</w:t>
      </w:r>
      <w:r w:rsidRPr="00B26E25">
        <w:rPr>
          <w:szCs w:val="24"/>
        </w:rPr>
        <w:t xml:space="preserve"> is a violation of s.</w:t>
      </w:r>
      <w:r w:rsidR="0019189B" w:rsidRPr="00B26E25">
        <w:rPr>
          <w:szCs w:val="24"/>
        </w:rPr>
        <w:t> </w:t>
      </w:r>
      <w:r w:rsidR="002B6941">
        <w:rPr>
          <w:szCs w:val="24"/>
        </w:rPr>
        <w:t>15</w:t>
      </w:r>
      <w:r w:rsidRPr="00B26E25">
        <w:rPr>
          <w:szCs w:val="24"/>
        </w:rPr>
        <w:t xml:space="preserve">(1) of the </w:t>
      </w:r>
      <w:r w:rsidRPr="00B26E25">
        <w:rPr>
          <w:i/>
          <w:szCs w:val="24"/>
        </w:rPr>
        <w:t>Canadian</w:t>
      </w:r>
      <w:r w:rsidRPr="00B26E25">
        <w:rPr>
          <w:szCs w:val="24"/>
        </w:rPr>
        <w:t xml:space="preserve"> </w:t>
      </w:r>
      <w:r w:rsidRPr="00B26E25">
        <w:rPr>
          <w:i/>
          <w:szCs w:val="24"/>
        </w:rPr>
        <w:t>Charter of Rights and Freedoms</w:t>
      </w:r>
      <w:r w:rsidR="00952226" w:rsidRPr="00B26E25">
        <w:rPr>
          <w:szCs w:val="24"/>
        </w:rPr>
        <w:t>.</w:t>
      </w:r>
      <w:r w:rsidRPr="00B26E25">
        <w:rPr>
          <w:szCs w:val="24"/>
        </w:rPr>
        <w:t xml:space="preserve">  When spouses who are married or in civil unions separate or divorce in Quebec, they are guaranteed certain legal protections.  They have the right to claim support from each other and an equal divi</w:t>
      </w:r>
      <w:r w:rsidR="00C06558" w:rsidRPr="00B26E25">
        <w:rPr>
          <w:szCs w:val="24"/>
        </w:rPr>
        <w:t xml:space="preserve">sion of the family property. </w:t>
      </w:r>
      <w:r w:rsidR="0019189B" w:rsidRPr="00B26E25">
        <w:rPr>
          <w:szCs w:val="24"/>
        </w:rPr>
        <w:t xml:space="preserve"> </w:t>
      </w:r>
      <w:r w:rsidRPr="00B26E25">
        <w:rPr>
          <w:szCs w:val="24"/>
        </w:rPr>
        <w:t>The spousal support and family property provisions in Quebec are aimed a</w:t>
      </w:r>
      <w:r w:rsidR="00C06558" w:rsidRPr="00B26E25">
        <w:rPr>
          <w:szCs w:val="24"/>
        </w:rPr>
        <w:t>t recognizing and compensating spouses</w:t>
      </w:r>
      <w:r w:rsidRPr="00B26E25">
        <w:rPr>
          <w:szCs w:val="24"/>
        </w:rPr>
        <w:t xml:space="preserve"> fo</w:t>
      </w:r>
      <w:r w:rsidR="00C06558" w:rsidRPr="00B26E25">
        <w:rPr>
          <w:szCs w:val="24"/>
        </w:rPr>
        <w:t xml:space="preserve">r the roles assumed within the </w:t>
      </w:r>
      <w:r w:rsidRPr="00B26E25">
        <w:rPr>
          <w:szCs w:val="24"/>
        </w:rPr>
        <w:t>rel</w:t>
      </w:r>
      <w:r w:rsidR="00C06558" w:rsidRPr="00B26E25">
        <w:rPr>
          <w:szCs w:val="24"/>
        </w:rPr>
        <w:t>ationship</w:t>
      </w:r>
      <w:r w:rsidRPr="00B26E25">
        <w:rPr>
          <w:szCs w:val="24"/>
        </w:rPr>
        <w:t xml:space="preserve"> and any resulting interdependence and vulnerability on its dissolution.  Many </w:t>
      </w:r>
      <w:r w:rsidRPr="00B26E25">
        <w:rPr>
          <w:i/>
          <w:szCs w:val="24"/>
        </w:rPr>
        <w:t>de facto</w:t>
      </w:r>
      <w:r w:rsidRPr="00B26E25">
        <w:rPr>
          <w:szCs w:val="24"/>
        </w:rPr>
        <w:t xml:space="preserve"> spouses share the characteristi</w:t>
      </w:r>
      <w:r w:rsidR="00C06558" w:rsidRPr="00B26E25">
        <w:rPr>
          <w:szCs w:val="24"/>
        </w:rPr>
        <w:t xml:space="preserve">cs that led to the protections </w:t>
      </w:r>
      <w:r w:rsidRPr="00B26E25">
        <w:rPr>
          <w:szCs w:val="24"/>
        </w:rPr>
        <w:t xml:space="preserve">for </w:t>
      </w:r>
      <w:r w:rsidR="00C06558" w:rsidRPr="00B26E25">
        <w:rPr>
          <w:szCs w:val="24"/>
        </w:rPr>
        <w:t>spouses in formal relationships</w:t>
      </w:r>
      <w:r w:rsidRPr="00B26E25">
        <w:rPr>
          <w:szCs w:val="24"/>
        </w:rPr>
        <w:t>.  They form long</w:t>
      </w:r>
      <w:r w:rsidR="00C7175C" w:rsidRPr="00B26E25">
        <w:rPr>
          <w:szCs w:val="24"/>
        </w:rPr>
        <w:noBreakHyphen/>
      </w:r>
      <w:r w:rsidRPr="00B26E25">
        <w:rPr>
          <w:szCs w:val="24"/>
        </w:rPr>
        <w:t>standing unions; they divide household responsibilities and develop a high degree of interdependence; and, critically, the economically dependent</w:t>
      </w:r>
      <w:r w:rsidR="00C06558" w:rsidRPr="00B26E25">
        <w:rPr>
          <w:szCs w:val="24"/>
        </w:rPr>
        <w:t>, and therefore vulnerable, spouse</w:t>
      </w:r>
      <w:r w:rsidRPr="00B26E25">
        <w:rPr>
          <w:szCs w:val="24"/>
        </w:rPr>
        <w:t xml:space="preserve"> is faced with t</w:t>
      </w:r>
      <w:r w:rsidR="00C06558" w:rsidRPr="00B26E25">
        <w:rPr>
          <w:szCs w:val="24"/>
        </w:rPr>
        <w:t>he same disadvantages when the relationship</w:t>
      </w:r>
      <w:r w:rsidRPr="00B26E25">
        <w:rPr>
          <w:szCs w:val="24"/>
        </w:rPr>
        <w:t xml:space="preserve"> is dissolved.  Yet </w:t>
      </w:r>
      <w:r w:rsidRPr="00B26E25">
        <w:rPr>
          <w:i/>
          <w:szCs w:val="24"/>
        </w:rPr>
        <w:t>de facto</w:t>
      </w:r>
      <w:r w:rsidRPr="00B26E25">
        <w:rPr>
          <w:szCs w:val="24"/>
        </w:rPr>
        <w:t xml:space="preserve"> dependent spouses</w:t>
      </w:r>
      <w:r w:rsidR="00C06558" w:rsidRPr="00B26E25">
        <w:rPr>
          <w:szCs w:val="24"/>
        </w:rPr>
        <w:t xml:space="preserve"> in Quebec</w:t>
      </w:r>
      <w:r w:rsidRPr="00B26E25">
        <w:rPr>
          <w:szCs w:val="24"/>
        </w:rPr>
        <w:t xml:space="preserve"> have no right to claim support, no right to divide the family patrimony, and are not governed by any matrimonial regime.</w:t>
      </w:r>
    </w:p>
    <w:p w:rsidR="00165D29" w:rsidRPr="00B26E25" w:rsidRDefault="00165D29" w:rsidP="0019189B">
      <w:pPr>
        <w:pStyle w:val="SCCNormalDoubleSpacing"/>
        <w:spacing w:after="480"/>
        <w:rPr>
          <w:szCs w:val="24"/>
        </w:rPr>
      </w:pPr>
      <w:r w:rsidRPr="00B26E25">
        <w:rPr>
          <w:szCs w:val="24"/>
        </w:rPr>
        <w:tab/>
      </w:r>
      <w:r w:rsidR="00952226" w:rsidRPr="00B26E25">
        <w:rPr>
          <w:szCs w:val="24"/>
        </w:rPr>
        <w:t>As the history of modern family law demonstrates, fairness requires that we look at the content of the relationship</w:t>
      </w:r>
      <w:r w:rsidR="00C7175C" w:rsidRPr="00B26E25">
        <w:rPr>
          <w:szCs w:val="24"/>
        </w:rPr>
        <w:t>’</w:t>
      </w:r>
      <w:r w:rsidR="00952226" w:rsidRPr="00B26E25">
        <w:rPr>
          <w:szCs w:val="24"/>
        </w:rPr>
        <w:t>s social package, not at how it is wrapped.</w:t>
      </w:r>
      <w:r w:rsidR="00C7175C" w:rsidRPr="00B26E25">
        <w:rPr>
          <w:szCs w:val="24"/>
        </w:rPr>
        <w:t xml:space="preserve"> </w:t>
      </w:r>
      <w:r w:rsidR="00952226" w:rsidRPr="00B26E25">
        <w:rPr>
          <w:szCs w:val="24"/>
        </w:rPr>
        <w:t xml:space="preserve"> </w:t>
      </w:r>
      <w:r w:rsidRPr="00B26E25">
        <w:rPr>
          <w:szCs w:val="24"/>
        </w:rPr>
        <w:t>In Quebec and t</w:t>
      </w:r>
      <w:r w:rsidR="00C06558" w:rsidRPr="00B26E25">
        <w:rPr>
          <w:szCs w:val="24"/>
        </w:rPr>
        <w:t>hroughout the rest of Canada, the right to support does</w:t>
      </w:r>
      <w:r w:rsidRPr="00B26E25">
        <w:rPr>
          <w:szCs w:val="24"/>
        </w:rPr>
        <w:t xml:space="preserve"> not rest on the legal status of either husband or wife, but on the reality of the dependence or vulnerability that the spousal relations</w:t>
      </w:r>
      <w:r w:rsidR="00C06558" w:rsidRPr="00B26E25">
        <w:rPr>
          <w:szCs w:val="24"/>
        </w:rPr>
        <w:t xml:space="preserve">hip creates. </w:t>
      </w:r>
      <w:r w:rsidRPr="00B26E25">
        <w:rPr>
          <w:szCs w:val="24"/>
        </w:rPr>
        <w:t xml:space="preserve"> The law dealing with division of family property also rests on a protective basis rather than a contractual one.</w:t>
      </w:r>
      <w:r w:rsidR="0019189B" w:rsidRPr="00B26E25">
        <w:rPr>
          <w:szCs w:val="24"/>
        </w:rPr>
        <w:t xml:space="preserve"> </w:t>
      </w:r>
      <w:r w:rsidRPr="00B26E25">
        <w:rPr>
          <w:szCs w:val="24"/>
        </w:rPr>
        <w:t xml:space="preserve"> The provisions in Quebec on compensatory allowance and the family patrimony regime are part of public order, applying mandatorily to all married spouses and those in civil unions.  The mandatory nature of both the compensatory allowance and family patrimony regimes highlights the preeminent significance Quebec has given to concerns for the protection of vulnerable spouses over other values such as contractual freedom or choice.</w:t>
      </w:r>
    </w:p>
    <w:p w:rsidR="00165D29" w:rsidRPr="00B26E25" w:rsidRDefault="00165D29" w:rsidP="0019189B">
      <w:pPr>
        <w:pStyle w:val="SCCNormalDoubleSpacing"/>
        <w:spacing w:after="480"/>
        <w:rPr>
          <w:szCs w:val="24"/>
        </w:rPr>
      </w:pPr>
      <w:r w:rsidRPr="00B26E25">
        <w:rPr>
          <w:szCs w:val="24"/>
        </w:rPr>
        <w:tab/>
        <w:t xml:space="preserve">Historically, unmarried spouses in Canada were stigmatized; but as social attitudes changed, so did the approaches of legislatures and courts, which came to accept conjugal relationships outside a formal marital framework.  This change reflected an enhanced understanding of what constitutes a “family”.  As attitudes shifted and the functional similarity between many unmarried relationships and marriages was accepted, this Court expanded protection for unmarried spouses.  In </w:t>
      </w:r>
      <w:r w:rsidRPr="00B26E25">
        <w:rPr>
          <w:i/>
          <w:szCs w:val="24"/>
        </w:rPr>
        <w:t>Miron v. Trudel</w:t>
      </w:r>
      <w:r w:rsidRPr="00B26E25">
        <w:rPr>
          <w:szCs w:val="24"/>
        </w:rPr>
        <w:t xml:space="preserve">, </w:t>
      </w:r>
      <w:r w:rsidR="0014107B">
        <w:rPr>
          <w:szCs w:val="24"/>
        </w:rPr>
        <w:t xml:space="preserve">[1995] 2 S.C.R. 418, </w:t>
      </w:r>
      <w:r w:rsidRPr="00B26E25">
        <w:rPr>
          <w:szCs w:val="24"/>
        </w:rPr>
        <w:t>for example, the Court found that “marital status</w:t>
      </w:r>
      <w:r w:rsidR="00A34B12" w:rsidRPr="00B26E25">
        <w:rPr>
          <w:szCs w:val="24"/>
        </w:rPr>
        <w:t>”</w:t>
      </w:r>
      <w:r w:rsidRPr="00B26E25">
        <w:rPr>
          <w:szCs w:val="24"/>
        </w:rPr>
        <w:t xml:space="preserve"> w</w:t>
      </w:r>
      <w:r w:rsidR="0019189B" w:rsidRPr="00B26E25">
        <w:rPr>
          <w:szCs w:val="24"/>
        </w:rPr>
        <w:t>as an analogous ground under s. </w:t>
      </w:r>
      <w:r w:rsidRPr="00B26E25">
        <w:rPr>
          <w:szCs w:val="24"/>
        </w:rPr>
        <w:t xml:space="preserve">15(1) of the </w:t>
      </w:r>
      <w:r w:rsidRPr="00B26E25">
        <w:rPr>
          <w:i/>
          <w:szCs w:val="24"/>
        </w:rPr>
        <w:t>Charter</w:t>
      </w:r>
      <w:r w:rsidRPr="00B26E25">
        <w:rPr>
          <w:szCs w:val="24"/>
        </w:rPr>
        <w:t xml:space="preserve"> because of the historic disadvantage of unmarried spouses. </w:t>
      </w:r>
      <w:r w:rsidR="0019189B" w:rsidRPr="00B26E25">
        <w:rPr>
          <w:szCs w:val="24"/>
        </w:rPr>
        <w:t xml:space="preserve"> </w:t>
      </w:r>
      <w:r w:rsidRPr="00B26E25">
        <w:rPr>
          <w:szCs w:val="24"/>
        </w:rPr>
        <w:t>Notably too, the Court observed that while in theory an individual is free to choose whether to marry, there are, in reality, a number of factors that may place the decision beyond his or her effective control.  This was a recognition of the complex and mutual nature of the decision to marry and the myriad factors at play in that decision.  It was also an acknowledgment that the decision to live together as unmarried spouses may, for some</w:t>
      </w:r>
      <w:r w:rsidR="006C427A" w:rsidRPr="00B26E25">
        <w:rPr>
          <w:szCs w:val="24"/>
        </w:rPr>
        <w:t>, n</w:t>
      </w:r>
      <w:r w:rsidRPr="00B26E25">
        <w:rPr>
          <w:szCs w:val="24"/>
        </w:rPr>
        <w:t>ot in fact be a choice at all.</w:t>
      </w:r>
    </w:p>
    <w:p w:rsidR="00165D29" w:rsidRPr="00B26E25" w:rsidRDefault="00165D29" w:rsidP="0019189B">
      <w:pPr>
        <w:pStyle w:val="SCCNormalDoubleSpacing"/>
        <w:spacing w:after="480"/>
        <w:rPr>
          <w:szCs w:val="24"/>
        </w:rPr>
      </w:pPr>
      <w:r w:rsidRPr="00B26E25">
        <w:rPr>
          <w:szCs w:val="24"/>
        </w:rPr>
        <w:tab/>
        <w:t>The purpose of the s.</w:t>
      </w:r>
      <w:r w:rsidR="00C7175C" w:rsidRPr="00B26E25">
        <w:rPr>
          <w:szCs w:val="24"/>
        </w:rPr>
        <w:t> </w:t>
      </w:r>
      <w:r w:rsidRPr="00B26E25">
        <w:rPr>
          <w:szCs w:val="24"/>
        </w:rPr>
        <w:t>15 equality provision is to eliminate the exclusionary barriers faced by individuals in the enumerated or analogous groups in gaining meaningful access to what is generally available.</w:t>
      </w:r>
      <w:r w:rsidR="0019189B" w:rsidRPr="00B26E25">
        <w:rPr>
          <w:szCs w:val="24"/>
        </w:rPr>
        <w:t xml:space="preserve"> </w:t>
      </w:r>
      <w:r w:rsidRPr="00B26E25">
        <w:rPr>
          <w:szCs w:val="24"/>
          <w:lang w:val="en-US"/>
        </w:rPr>
        <w:t xml:space="preserve"> In </w:t>
      </w:r>
      <w:r w:rsidRPr="00B26E25">
        <w:rPr>
          <w:i/>
          <w:szCs w:val="24"/>
        </w:rPr>
        <w:t>Kapp</w:t>
      </w:r>
      <w:r w:rsidR="006C427A" w:rsidRPr="00B26E25">
        <w:rPr>
          <w:szCs w:val="24"/>
        </w:rPr>
        <w:t xml:space="preserve">, </w:t>
      </w:r>
      <w:r w:rsidR="006C427A" w:rsidRPr="00B26E25">
        <w:rPr>
          <w:szCs w:val="24"/>
          <w:lang w:val="en-US"/>
        </w:rPr>
        <w:t>t</w:t>
      </w:r>
      <w:r w:rsidRPr="00B26E25">
        <w:rPr>
          <w:szCs w:val="24"/>
          <w:lang w:val="en-US"/>
        </w:rPr>
        <w:t xml:space="preserve">his </w:t>
      </w:r>
      <w:r w:rsidRPr="00B26E25">
        <w:rPr>
          <w:szCs w:val="24"/>
        </w:rPr>
        <w:t xml:space="preserve">Court reaffirmed its commitment to the test that was set out in </w:t>
      </w:r>
      <w:r w:rsidRPr="00B26E25">
        <w:rPr>
          <w:i/>
          <w:szCs w:val="24"/>
        </w:rPr>
        <w:t>Andrews v.</w:t>
      </w:r>
      <w:r w:rsidRPr="00B26E25">
        <w:rPr>
          <w:szCs w:val="24"/>
        </w:rPr>
        <w:t xml:space="preserve"> </w:t>
      </w:r>
      <w:r w:rsidRPr="00B26E25">
        <w:rPr>
          <w:i/>
          <w:szCs w:val="24"/>
          <w:lang w:val="en-US"/>
        </w:rPr>
        <w:t>Law Society of British Columbia</w:t>
      </w:r>
      <w:r w:rsidRPr="00B26E25">
        <w:rPr>
          <w:szCs w:val="24"/>
          <w:lang w:val="en-US"/>
        </w:rPr>
        <w:t xml:space="preserve">, </w:t>
      </w:r>
      <w:r w:rsidR="00931ECC">
        <w:rPr>
          <w:szCs w:val="24"/>
          <w:lang w:val="en-US"/>
        </w:rPr>
        <w:t>[1989] 1 S.C.R. 143</w:t>
      </w:r>
      <w:r w:rsidR="00842086">
        <w:rPr>
          <w:szCs w:val="24"/>
          <w:lang w:val="en-US"/>
        </w:rPr>
        <w:t>,</w:t>
      </w:r>
      <w:r w:rsidR="00931ECC">
        <w:rPr>
          <w:szCs w:val="24"/>
          <w:lang w:val="en-US"/>
        </w:rPr>
        <w:t xml:space="preserve"> </w:t>
      </w:r>
      <w:r w:rsidR="0019189B" w:rsidRPr="00B26E25">
        <w:rPr>
          <w:szCs w:val="24"/>
          <w:lang w:val="en-US"/>
        </w:rPr>
        <w:t>whereby s. </w:t>
      </w:r>
      <w:r w:rsidRPr="00B26E25">
        <w:rPr>
          <w:szCs w:val="24"/>
          <w:lang w:val="en-US"/>
        </w:rPr>
        <w:t>15 was seen as an anti</w:t>
      </w:r>
      <w:r w:rsidR="00C7175C" w:rsidRPr="00B26E25">
        <w:rPr>
          <w:szCs w:val="24"/>
          <w:lang w:val="en-US"/>
        </w:rPr>
        <w:noBreakHyphen/>
      </w:r>
      <w:r w:rsidRPr="00B26E25">
        <w:rPr>
          <w:szCs w:val="24"/>
          <w:lang w:val="en-US"/>
        </w:rPr>
        <w:t>discrimination provision.  The claimant</w:t>
      </w:r>
      <w:r w:rsidR="00C7175C" w:rsidRPr="00B26E25">
        <w:rPr>
          <w:szCs w:val="24"/>
          <w:lang w:val="en-US"/>
        </w:rPr>
        <w:t>’</w:t>
      </w:r>
      <w:r w:rsidRPr="00B26E25">
        <w:rPr>
          <w:szCs w:val="24"/>
          <w:lang w:val="en-US"/>
        </w:rPr>
        <w:t xml:space="preserve">s burden under the </w:t>
      </w:r>
      <w:r w:rsidRPr="00B26E25">
        <w:rPr>
          <w:i/>
          <w:szCs w:val="24"/>
          <w:lang w:val="en-US"/>
        </w:rPr>
        <w:t xml:space="preserve">Andrews </w:t>
      </w:r>
      <w:r w:rsidRPr="00B26E25">
        <w:rPr>
          <w:szCs w:val="24"/>
          <w:lang w:val="en-US"/>
        </w:rPr>
        <w:t>test is to show that the government has made a distinction based on an enumerated or analogous ground and that the distinction</w:t>
      </w:r>
      <w:r w:rsidR="00C7175C" w:rsidRPr="00B26E25">
        <w:rPr>
          <w:szCs w:val="24"/>
          <w:lang w:val="en-US"/>
        </w:rPr>
        <w:t>’</w:t>
      </w:r>
      <w:r w:rsidRPr="00B26E25">
        <w:rPr>
          <w:szCs w:val="24"/>
          <w:lang w:val="en-US"/>
        </w:rPr>
        <w:t>s impact on the individual or group perpetuates disadvantage.  If this</w:t>
      </w:r>
      <w:r w:rsidRPr="00B26E25">
        <w:rPr>
          <w:b/>
          <w:szCs w:val="24"/>
          <w:lang w:val="en-US"/>
        </w:rPr>
        <w:t xml:space="preserve"> </w:t>
      </w:r>
      <w:r w:rsidRPr="00B26E25">
        <w:rPr>
          <w:szCs w:val="24"/>
          <w:lang w:val="en-US"/>
        </w:rPr>
        <w:t>has been demonstrated, the burden shifts to the government to justify the reasonablen</w:t>
      </w:r>
      <w:r w:rsidR="0019189B" w:rsidRPr="00B26E25">
        <w:rPr>
          <w:szCs w:val="24"/>
          <w:lang w:val="en-US"/>
        </w:rPr>
        <w:t>ess of the distinction under s. </w:t>
      </w:r>
      <w:r w:rsidRPr="00B26E25">
        <w:rPr>
          <w:szCs w:val="24"/>
          <w:lang w:val="en-US"/>
        </w:rPr>
        <w:t xml:space="preserve">1. </w:t>
      </w:r>
      <w:r w:rsidRPr="00B26E25">
        <w:rPr>
          <w:i/>
          <w:szCs w:val="24"/>
          <w:lang w:val="en-US"/>
        </w:rPr>
        <w:t>Kapp</w:t>
      </w:r>
      <w:r w:rsidRPr="00B26E25">
        <w:rPr>
          <w:szCs w:val="24"/>
          <w:lang w:val="en-US"/>
        </w:rPr>
        <w:t xml:space="preserve">, and later </w:t>
      </w:r>
      <w:r w:rsidRPr="00B26E25">
        <w:rPr>
          <w:i/>
          <w:szCs w:val="24"/>
          <w:lang w:val="en-US"/>
        </w:rPr>
        <w:t>Withler</w:t>
      </w:r>
      <w:r w:rsidRPr="00830804">
        <w:rPr>
          <w:szCs w:val="24"/>
          <w:lang w:val="en-US"/>
        </w:rPr>
        <w:t xml:space="preserve"> </w:t>
      </w:r>
      <w:r w:rsidRPr="00B26E25">
        <w:rPr>
          <w:szCs w:val="24"/>
          <w:lang w:val="en-US"/>
        </w:rPr>
        <w:t xml:space="preserve">restated these principles as follows: </w:t>
      </w:r>
      <w:r w:rsidR="00C7175C" w:rsidRPr="00B26E25">
        <w:rPr>
          <w:szCs w:val="24"/>
        </w:rPr>
        <w:t>(1) </w:t>
      </w:r>
      <w:r w:rsidRPr="00B26E25">
        <w:rPr>
          <w:szCs w:val="24"/>
        </w:rPr>
        <w:t>Does the law create a distinction based on an enume</w:t>
      </w:r>
      <w:r w:rsidR="00C7175C" w:rsidRPr="00B26E25">
        <w:rPr>
          <w:szCs w:val="24"/>
        </w:rPr>
        <w:t>rated or analogous ground?  (2) </w:t>
      </w:r>
      <w:r w:rsidRPr="00B26E25">
        <w:rPr>
          <w:szCs w:val="24"/>
        </w:rPr>
        <w:t xml:space="preserve">Does the distinction create a disadvantage by perpetuating prejudice or stereotyping? </w:t>
      </w:r>
    </w:p>
    <w:p w:rsidR="00165D29" w:rsidRPr="00B26E25" w:rsidRDefault="00165D29" w:rsidP="0019189B">
      <w:pPr>
        <w:pStyle w:val="SCCNormalDoubleSpacing"/>
        <w:spacing w:after="480"/>
        <w:rPr>
          <w:szCs w:val="24"/>
          <w:lang w:val="en-US" w:bidi="en-US"/>
        </w:rPr>
      </w:pPr>
      <w:r w:rsidRPr="00B26E25">
        <w:rPr>
          <w:szCs w:val="24"/>
        </w:rPr>
        <w:tab/>
      </w:r>
      <w:r w:rsidRPr="00B26E25">
        <w:rPr>
          <w:szCs w:val="24"/>
          <w:lang w:val="en-US" w:bidi="en-US"/>
        </w:rPr>
        <w:t xml:space="preserve">In referring to prejudice and stereotyping in the second step of the </w:t>
      </w:r>
      <w:r w:rsidRPr="00B26E25">
        <w:rPr>
          <w:i/>
          <w:szCs w:val="24"/>
          <w:lang w:val="en-US" w:bidi="en-US"/>
        </w:rPr>
        <w:t xml:space="preserve">Kapp </w:t>
      </w:r>
      <w:r w:rsidRPr="00B26E25">
        <w:rPr>
          <w:szCs w:val="24"/>
          <w:lang w:val="en-US" w:bidi="en-US"/>
        </w:rPr>
        <w:t xml:space="preserve">reformulation of the </w:t>
      </w:r>
      <w:r w:rsidRPr="00B26E25">
        <w:rPr>
          <w:i/>
          <w:szCs w:val="24"/>
          <w:lang w:val="en-US" w:bidi="en-US"/>
        </w:rPr>
        <w:t>Andrews</w:t>
      </w:r>
      <w:r w:rsidRPr="00B26E25">
        <w:rPr>
          <w:szCs w:val="24"/>
          <w:lang w:val="en-US" w:bidi="en-US"/>
        </w:rPr>
        <w:t xml:space="preserve"> test, the Court was no</w:t>
      </w:r>
      <w:r w:rsidR="0019189B" w:rsidRPr="00B26E25">
        <w:rPr>
          <w:szCs w:val="24"/>
          <w:lang w:val="en-US" w:bidi="en-US"/>
        </w:rPr>
        <w:t>t purporting to create a new s. </w:t>
      </w:r>
      <w:r w:rsidRPr="00B26E25">
        <w:rPr>
          <w:szCs w:val="24"/>
          <w:lang w:val="en-US" w:bidi="en-US"/>
        </w:rPr>
        <w:t xml:space="preserve">15 test. </w:t>
      </w:r>
      <w:r w:rsidRPr="00B26E25">
        <w:rPr>
          <w:szCs w:val="24"/>
        </w:rPr>
        <w:t>Prejudice and stereotyping are not discrete elements of the test which a claimant is obliged to demonstrate.</w:t>
      </w:r>
      <w:r w:rsidR="0019189B" w:rsidRPr="00B26E25">
        <w:rPr>
          <w:szCs w:val="24"/>
        </w:rPr>
        <w:t xml:space="preserve"> </w:t>
      </w:r>
      <w:r w:rsidRPr="00B26E25">
        <w:rPr>
          <w:szCs w:val="24"/>
          <w:lang w:val="en-US" w:bidi="en-US"/>
        </w:rPr>
        <w:t xml:space="preserve"> </w:t>
      </w:r>
      <w:r w:rsidRPr="00B26E25">
        <w:rPr>
          <w:szCs w:val="24"/>
          <w:lang w:val="en-US"/>
        </w:rPr>
        <w:t xml:space="preserve">Prejudice is the holding of pejorative attitudes based on strongly held views about the appropriate capacities or limits of individuals or the groups of which they are a member.  </w:t>
      </w:r>
      <w:r w:rsidRPr="00B26E25">
        <w:rPr>
          <w:szCs w:val="24"/>
        </w:rPr>
        <w:t xml:space="preserve">Stereotyping, like prejudice, is a disadvantaging attitude, but one that attributes characteristics to members of a group regardless of their actual capacities. </w:t>
      </w:r>
      <w:r w:rsidR="0019189B" w:rsidRPr="00B26E25">
        <w:rPr>
          <w:szCs w:val="24"/>
        </w:rPr>
        <w:t xml:space="preserve"> </w:t>
      </w:r>
      <w:r w:rsidRPr="00B26E25">
        <w:rPr>
          <w:szCs w:val="24"/>
        </w:rPr>
        <w:t>Attitudes of prejudice</w:t>
      </w:r>
      <w:r w:rsidRPr="00B26E25">
        <w:rPr>
          <w:szCs w:val="24"/>
          <w:lang w:val="en-US" w:bidi="en-US"/>
        </w:rPr>
        <w:t xml:space="preserve"> and stereotyping can undoubtedly lead to discriminatory conduct, and </w:t>
      </w:r>
      <w:r w:rsidRPr="00B26E25">
        <w:rPr>
          <w:szCs w:val="24"/>
        </w:rPr>
        <w:t xml:space="preserve">discriminatory conduct in turn can reinforce these negative attitudes.  But </w:t>
      </w:r>
      <w:r w:rsidRPr="00B26E25">
        <w:rPr>
          <w:i/>
          <w:szCs w:val="24"/>
        </w:rPr>
        <w:t>Kapp</w:t>
      </w:r>
      <w:r w:rsidRPr="00B26E25">
        <w:rPr>
          <w:szCs w:val="24"/>
        </w:rPr>
        <w:t xml:space="preserve"> and </w:t>
      </w:r>
      <w:r w:rsidRPr="00B26E25">
        <w:rPr>
          <w:i/>
          <w:szCs w:val="24"/>
        </w:rPr>
        <w:t xml:space="preserve">Withler </w:t>
      </w:r>
      <w:r w:rsidRPr="00B26E25">
        <w:rPr>
          <w:szCs w:val="24"/>
        </w:rPr>
        <w:t xml:space="preserve">should not be seen as establishing </w:t>
      </w:r>
      <w:r w:rsidR="0019189B" w:rsidRPr="00B26E25">
        <w:rPr>
          <w:szCs w:val="24"/>
        </w:rPr>
        <w:t>an additional requirement on s. </w:t>
      </w:r>
      <w:r w:rsidRPr="00B26E25">
        <w:rPr>
          <w:szCs w:val="24"/>
        </w:rPr>
        <w:t xml:space="preserve">15 claimants to prove that a distinction will perpetuate prejudicial or stereotypical </w:t>
      </w:r>
      <w:r w:rsidRPr="00B26E25">
        <w:rPr>
          <w:iCs/>
          <w:szCs w:val="24"/>
        </w:rPr>
        <w:t>attitudes</w:t>
      </w:r>
      <w:r w:rsidRPr="00B26E25">
        <w:rPr>
          <w:szCs w:val="24"/>
        </w:rPr>
        <w:t xml:space="preserve"> towards them.  Such an approach improperly focuses attention on whether a discriminatory attitude exists, not a discriminatory impact, contrary to </w:t>
      </w:r>
      <w:r w:rsidRPr="00B26E25">
        <w:rPr>
          <w:i/>
          <w:szCs w:val="24"/>
        </w:rPr>
        <w:t>Andrews</w:t>
      </w:r>
      <w:r w:rsidRPr="00B26E25">
        <w:rPr>
          <w:szCs w:val="24"/>
        </w:rPr>
        <w:t xml:space="preserve">, </w:t>
      </w:r>
      <w:r w:rsidRPr="00B26E25">
        <w:rPr>
          <w:i/>
          <w:szCs w:val="24"/>
        </w:rPr>
        <w:t>Kapp</w:t>
      </w:r>
      <w:r w:rsidRPr="00B26E25">
        <w:rPr>
          <w:szCs w:val="24"/>
        </w:rPr>
        <w:t xml:space="preserve"> and </w:t>
      </w:r>
      <w:r w:rsidRPr="00B26E25">
        <w:rPr>
          <w:i/>
          <w:szCs w:val="24"/>
        </w:rPr>
        <w:t>Withler</w:t>
      </w:r>
      <w:r w:rsidRPr="00B26E25">
        <w:rPr>
          <w:szCs w:val="24"/>
        </w:rPr>
        <w:t>.  I</w:t>
      </w:r>
      <w:r w:rsidRPr="00B26E25">
        <w:rPr>
          <w:szCs w:val="24"/>
          <w:lang w:bidi="en-US"/>
        </w:rPr>
        <w:t>t is the</w:t>
      </w:r>
      <w:r w:rsidR="00C7175C" w:rsidRPr="00B26E25">
        <w:rPr>
          <w:szCs w:val="24"/>
          <w:lang w:bidi="en-US"/>
        </w:rPr>
        <w:t xml:space="preserve"> discriminatory conduct that s. </w:t>
      </w:r>
      <w:r w:rsidRPr="00B26E25">
        <w:rPr>
          <w:szCs w:val="24"/>
          <w:lang w:bidi="en-US"/>
        </w:rPr>
        <w:t xml:space="preserve">15 seeks to prevent, not the underlying attitude or motive.  </w:t>
      </w:r>
      <w:r w:rsidRPr="00B26E25">
        <w:rPr>
          <w:szCs w:val="24"/>
        </w:rPr>
        <w:t>Requiring claimants, therefore, to prove that a distinction perpetuates negative attitudes about them imposes a largely irrelevant, not to mention ineffable burden.</w:t>
      </w:r>
      <w:r w:rsidRPr="00B26E25">
        <w:rPr>
          <w:szCs w:val="24"/>
          <w:lang w:bidi="en-US"/>
        </w:rPr>
        <w:t xml:space="preserve"> </w:t>
      </w:r>
      <w:r w:rsidRPr="00B26E25">
        <w:rPr>
          <w:szCs w:val="24"/>
          <w:lang w:val="en-US" w:bidi="en-US"/>
        </w:rPr>
        <w:t xml:space="preserve"> </w:t>
      </w:r>
    </w:p>
    <w:p w:rsidR="00165D29" w:rsidRPr="00B26E25" w:rsidRDefault="00165D29" w:rsidP="0019189B">
      <w:pPr>
        <w:pStyle w:val="SCCNormalDoubleSpacing"/>
        <w:spacing w:after="480"/>
        <w:rPr>
          <w:szCs w:val="24"/>
          <w:lang w:val="en-US"/>
        </w:rPr>
      </w:pPr>
      <w:r w:rsidRPr="00B26E25">
        <w:rPr>
          <w:szCs w:val="24"/>
        </w:rPr>
        <w:tab/>
      </w:r>
      <w:r w:rsidR="0019189B" w:rsidRPr="00B26E25">
        <w:rPr>
          <w:szCs w:val="24"/>
          <w:lang w:val="en-US"/>
        </w:rPr>
        <w:t>The root of s. </w:t>
      </w:r>
      <w:r w:rsidRPr="00B26E25">
        <w:rPr>
          <w:szCs w:val="24"/>
          <w:lang w:val="en-US"/>
        </w:rPr>
        <w:t xml:space="preserve">15 is our awareness that certain groups have been historically discriminated against, and that the perpetuation of such discrimination should be curtailed.  </w:t>
      </w:r>
      <w:r w:rsidRPr="00B26E25">
        <w:rPr>
          <w:szCs w:val="24"/>
        </w:rPr>
        <w:t>The key is whether a distinction has the effect of perpetuating</w:t>
      </w:r>
      <w:r w:rsidRPr="00B26E25">
        <w:rPr>
          <w:b/>
          <w:szCs w:val="24"/>
        </w:rPr>
        <w:t xml:space="preserve"> </w:t>
      </w:r>
      <w:r w:rsidRPr="00B26E25">
        <w:rPr>
          <w:szCs w:val="24"/>
        </w:rPr>
        <w:t>arbitrary disadvantage on the claimant because of his or her membership in an enumerated or analogous grou</w:t>
      </w:r>
      <w:r w:rsidR="00C7175C" w:rsidRPr="00B26E25">
        <w:rPr>
          <w:szCs w:val="24"/>
        </w:rPr>
        <w:t xml:space="preserve">p. </w:t>
      </w:r>
      <w:r w:rsidR="0019189B" w:rsidRPr="00B26E25">
        <w:rPr>
          <w:szCs w:val="24"/>
        </w:rPr>
        <w:t xml:space="preserve"> </w:t>
      </w:r>
      <w:r w:rsidRPr="00B26E25">
        <w:rPr>
          <w:szCs w:val="24"/>
          <w:lang w:val="en-US"/>
        </w:rPr>
        <w:t xml:space="preserve">If the state conduct widens the gap between the historically disadvantaged group and the rest of society rather than narrowing it, then it is discriminatory.  </w:t>
      </w:r>
    </w:p>
    <w:p w:rsidR="00165D29" w:rsidRPr="00B26E25" w:rsidRDefault="00165D29" w:rsidP="0019189B">
      <w:pPr>
        <w:pStyle w:val="SCCNormalDoubleSpacing"/>
        <w:spacing w:after="480"/>
        <w:rPr>
          <w:szCs w:val="24"/>
        </w:rPr>
      </w:pPr>
      <w:r w:rsidRPr="00B26E25">
        <w:rPr>
          <w:szCs w:val="24"/>
          <w:lang w:val="en-US"/>
        </w:rPr>
        <w:tab/>
      </w:r>
      <w:r w:rsidRPr="00B26E25">
        <w:rPr>
          <w:szCs w:val="24"/>
        </w:rPr>
        <w:t xml:space="preserve">Assessment of legislative purpose is an important part of a </w:t>
      </w:r>
      <w:r w:rsidRPr="00B26E25">
        <w:rPr>
          <w:i/>
          <w:szCs w:val="24"/>
        </w:rPr>
        <w:t>Charter</w:t>
      </w:r>
      <w:r w:rsidRPr="00B26E25">
        <w:rPr>
          <w:szCs w:val="24"/>
        </w:rPr>
        <w:t xml:space="preserve"> analysi</w:t>
      </w:r>
      <w:r w:rsidR="0019189B" w:rsidRPr="00B26E25">
        <w:rPr>
          <w:szCs w:val="24"/>
        </w:rPr>
        <w:t>s, but it is conducted under s. </w:t>
      </w:r>
      <w:r w:rsidRPr="00B26E25">
        <w:rPr>
          <w:szCs w:val="24"/>
        </w:rPr>
        <w:t xml:space="preserve">1 once the burden has shifted to the state to justify the reasonableness of the infringement. </w:t>
      </w:r>
      <w:r w:rsidR="0019189B" w:rsidRPr="00B26E25">
        <w:rPr>
          <w:szCs w:val="24"/>
        </w:rPr>
        <w:t xml:space="preserve"> </w:t>
      </w:r>
      <w:r w:rsidRPr="00B26E25">
        <w:rPr>
          <w:szCs w:val="24"/>
        </w:rPr>
        <w:t xml:space="preserve">To focus on </w:t>
      </w:r>
      <w:r w:rsidR="0019189B" w:rsidRPr="00B26E25">
        <w:rPr>
          <w:szCs w:val="24"/>
        </w:rPr>
        <w:t>the</w:t>
      </w:r>
      <w:r w:rsidR="00952226" w:rsidRPr="00B26E25">
        <w:rPr>
          <w:szCs w:val="24"/>
        </w:rPr>
        <w:t xml:space="preserve"> legislative purpose </w:t>
      </w:r>
      <w:r w:rsidR="00A860B0" w:rsidRPr="00B26E25">
        <w:rPr>
          <w:szCs w:val="24"/>
        </w:rPr>
        <w:t>—</w:t>
      </w:r>
      <w:r w:rsidR="0019189B" w:rsidRPr="00B26E25">
        <w:rPr>
          <w:szCs w:val="24"/>
        </w:rPr>
        <w:t xml:space="preserve"> </w:t>
      </w:r>
      <w:r w:rsidR="00952226" w:rsidRPr="00B26E25">
        <w:rPr>
          <w:szCs w:val="24"/>
        </w:rPr>
        <w:t xml:space="preserve">freedom of choice </w:t>
      </w:r>
      <w:r w:rsidR="00A860B0" w:rsidRPr="00B26E25">
        <w:rPr>
          <w:szCs w:val="24"/>
        </w:rPr>
        <w:t xml:space="preserve">— </w:t>
      </w:r>
      <w:r w:rsidR="0019189B" w:rsidRPr="00B26E25">
        <w:rPr>
          <w:szCs w:val="24"/>
        </w:rPr>
        <w:t>at the s. </w:t>
      </w:r>
      <w:r w:rsidRPr="00B26E25">
        <w:rPr>
          <w:szCs w:val="24"/>
        </w:rPr>
        <w:t xml:space="preserve">15(1) stage is not only contrary to the approach in </w:t>
      </w:r>
      <w:r w:rsidRPr="00B26E25">
        <w:rPr>
          <w:i/>
          <w:szCs w:val="24"/>
        </w:rPr>
        <w:t>Andrews</w:t>
      </w:r>
      <w:r w:rsidRPr="00B26E25">
        <w:rPr>
          <w:szCs w:val="24"/>
        </w:rPr>
        <w:t>,</w:t>
      </w:r>
      <w:r w:rsidRPr="00B26E25">
        <w:rPr>
          <w:i/>
          <w:szCs w:val="24"/>
        </w:rPr>
        <w:t xml:space="preserve"> </w:t>
      </w:r>
      <w:r w:rsidRPr="00B26E25">
        <w:rPr>
          <w:szCs w:val="24"/>
        </w:rPr>
        <w:t xml:space="preserve">it is </w:t>
      </w:r>
      <w:r w:rsidR="00952226" w:rsidRPr="00B26E25">
        <w:rPr>
          <w:szCs w:val="24"/>
        </w:rPr>
        <w:t xml:space="preserve">also </w:t>
      </w:r>
      <w:r w:rsidRPr="00B26E25">
        <w:rPr>
          <w:szCs w:val="24"/>
        </w:rPr>
        <w:t xml:space="preserve">completely inconsistent with </w:t>
      </w:r>
      <w:r w:rsidRPr="00B26E25">
        <w:rPr>
          <w:i/>
          <w:szCs w:val="24"/>
        </w:rPr>
        <w:t xml:space="preserve">Miron </w:t>
      </w:r>
      <w:r w:rsidRPr="00B26E25">
        <w:rPr>
          <w:szCs w:val="24"/>
        </w:rPr>
        <w:t>and undermines the recognition of marital status as an analogous ground</w:t>
      </w:r>
      <w:r w:rsidRPr="00B26E25">
        <w:rPr>
          <w:i/>
          <w:szCs w:val="24"/>
        </w:rPr>
        <w:t xml:space="preserve">.  </w:t>
      </w:r>
      <w:r w:rsidRPr="00B26E25">
        <w:rPr>
          <w:szCs w:val="24"/>
        </w:rPr>
        <w:t>Having accepted marital status as an analogous ground, it</w:t>
      </w:r>
      <w:r w:rsidRPr="00B26E25">
        <w:rPr>
          <w:i/>
          <w:szCs w:val="24"/>
        </w:rPr>
        <w:t xml:space="preserve"> </w:t>
      </w:r>
      <w:r w:rsidRPr="00B26E25">
        <w:rPr>
          <w:szCs w:val="24"/>
        </w:rPr>
        <w:t xml:space="preserve">is contradictory to find not only that </w:t>
      </w:r>
      <w:r w:rsidRPr="00B26E25">
        <w:rPr>
          <w:i/>
          <w:szCs w:val="24"/>
        </w:rPr>
        <w:t>de facto</w:t>
      </w:r>
      <w:r w:rsidRPr="00B26E25">
        <w:rPr>
          <w:szCs w:val="24"/>
        </w:rPr>
        <w:t xml:space="preserve"> spouses have</w:t>
      </w:r>
      <w:r w:rsidRPr="00B26E25">
        <w:rPr>
          <w:i/>
          <w:szCs w:val="24"/>
        </w:rPr>
        <w:t xml:space="preserve"> </w:t>
      </w:r>
      <w:r w:rsidRPr="00B26E25">
        <w:rPr>
          <w:szCs w:val="24"/>
        </w:rPr>
        <w:t>a choice about their marital status, but that it is that very choice that excludes them from t</w:t>
      </w:r>
      <w:r w:rsidR="0019189B" w:rsidRPr="00B26E25">
        <w:rPr>
          <w:szCs w:val="24"/>
        </w:rPr>
        <w:t>he protection of s. </w:t>
      </w:r>
      <w:r w:rsidRPr="00B26E25">
        <w:rPr>
          <w:szCs w:val="24"/>
        </w:rPr>
        <w:t xml:space="preserve">15(1) to which </w:t>
      </w:r>
      <w:r w:rsidRPr="00B26E25">
        <w:rPr>
          <w:i/>
          <w:szCs w:val="24"/>
        </w:rPr>
        <w:t xml:space="preserve">Miron </w:t>
      </w:r>
      <w:r w:rsidRPr="00B26E25">
        <w:rPr>
          <w:szCs w:val="24"/>
        </w:rPr>
        <w:t xml:space="preserve">said they were entitled.  Moreover, this Court has repeatedly rejected arguments that choice protects a distinction from a finding of discrimination.  </w:t>
      </w:r>
    </w:p>
    <w:p w:rsidR="00165D29" w:rsidRPr="00B26E25" w:rsidRDefault="00165D29" w:rsidP="0019189B">
      <w:pPr>
        <w:pStyle w:val="SCCNormalDoubleSpacing"/>
        <w:spacing w:after="480"/>
        <w:rPr>
          <w:szCs w:val="24"/>
        </w:rPr>
      </w:pPr>
      <w:r w:rsidRPr="00B26E25">
        <w:rPr>
          <w:szCs w:val="24"/>
        </w:rPr>
        <w:tab/>
        <w:t>Because</w:t>
      </w:r>
      <w:r w:rsidR="0019189B" w:rsidRPr="00B26E25">
        <w:rPr>
          <w:szCs w:val="24"/>
        </w:rPr>
        <w:t xml:space="preserve"> the equality analysis under s. </w:t>
      </w:r>
      <w:r w:rsidRPr="00B26E25">
        <w:rPr>
          <w:szCs w:val="24"/>
        </w:rPr>
        <w:t xml:space="preserve">15(1) of the </w:t>
      </w:r>
      <w:r w:rsidRPr="00B26E25">
        <w:rPr>
          <w:i/>
          <w:szCs w:val="24"/>
        </w:rPr>
        <w:t>Charter</w:t>
      </w:r>
      <w:r w:rsidRPr="00B26E25">
        <w:rPr>
          <w:szCs w:val="24"/>
        </w:rPr>
        <w:t xml:space="preserve"> has evolved substantially in the decade since </w:t>
      </w:r>
      <w:r w:rsidRPr="00B26E25">
        <w:rPr>
          <w:i/>
          <w:szCs w:val="24"/>
        </w:rPr>
        <w:t xml:space="preserve">Walsh </w:t>
      </w:r>
      <w:r w:rsidRPr="00B26E25">
        <w:rPr>
          <w:szCs w:val="24"/>
        </w:rPr>
        <w:t xml:space="preserve">was decided, </w:t>
      </w:r>
      <w:r w:rsidRPr="00B26E25">
        <w:rPr>
          <w:i/>
          <w:szCs w:val="24"/>
        </w:rPr>
        <w:t>Walsh</w:t>
      </w:r>
      <w:r w:rsidRPr="00B26E25">
        <w:rPr>
          <w:szCs w:val="24"/>
        </w:rPr>
        <w:t xml:space="preserve"> need not be followed.  In particular, the majority in </w:t>
      </w:r>
      <w:r w:rsidRPr="00B26E25">
        <w:rPr>
          <w:i/>
          <w:szCs w:val="24"/>
        </w:rPr>
        <w:t>Walsh</w:t>
      </w:r>
      <w:r w:rsidRPr="00B26E25">
        <w:rPr>
          <w:szCs w:val="24"/>
        </w:rPr>
        <w:t xml:space="preserve"> relied on the dignity test and on comparator groups, neither of which is any longer required as part of the s.</w:t>
      </w:r>
      <w:r w:rsidR="0019189B" w:rsidRPr="00B26E25">
        <w:rPr>
          <w:szCs w:val="24"/>
        </w:rPr>
        <w:t> </w:t>
      </w:r>
      <w:r w:rsidRPr="00B26E25">
        <w:rPr>
          <w:szCs w:val="24"/>
        </w:rPr>
        <w:t>15(1) analysis.</w:t>
      </w:r>
    </w:p>
    <w:p w:rsidR="00165D29" w:rsidRPr="00B26E25" w:rsidRDefault="00165D29" w:rsidP="0019189B">
      <w:pPr>
        <w:pStyle w:val="SCCNormalDoubleSpacing"/>
        <w:spacing w:after="480"/>
        <w:rPr>
          <w:szCs w:val="24"/>
        </w:rPr>
      </w:pPr>
      <w:r w:rsidRPr="00B26E25">
        <w:rPr>
          <w:szCs w:val="24"/>
        </w:rPr>
        <w:tab/>
        <w:t xml:space="preserve">The exclusion of </w:t>
      </w:r>
      <w:r w:rsidRPr="00B26E25">
        <w:rPr>
          <w:i/>
          <w:szCs w:val="24"/>
        </w:rPr>
        <w:t>de facto</w:t>
      </w:r>
      <w:r w:rsidRPr="00B26E25">
        <w:rPr>
          <w:szCs w:val="24"/>
        </w:rPr>
        <w:t xml:space="preserve"> spouses from the economic protections available to formal spousal relationships is a distinction based on marital status, an analogous ground.  That it imposes a disadvantage is clear:  the law excludes vulnerable and economically dependent </w:t>
      </w:r>
      <w:r w:rsidRPr="00B26E25">
        <w:rPr>
          <w:i/>
          <w:szCs w:val="24"/>
        </w:rPr>
        <w:t xml:space="preserve">de facto </w:t>
      </w:r>
      <w:r w:rsidRPr="00B26E25">
        <w:rPr>
          <w:szCs w:val="24"/>
        </w:rPr>
        <w:t xml:space="preserve">spouses from protections considered so fundamental to the welfare of vulnerable married or civil union spouses that one of those protections is presumptive, and the rest are of public order, explicitly overriding freedom of contract or choice for those spouses.  The disadvantage this exclusion perpetuates is an historic one: it continues to deny </w:t>
      </w:r>
      <w:r w:rsidRPr="00B26E25">
        <w:rPr>
          <w:i/>
          <w:szCs w:val="24"/>
        </w:rPr>
        <w:t xml:space="preserve">de facto </w:t>
      </w:r>
      <w:r w:rsidRPr="00B26E25">
        <w:rPr>
          <w:szCs w:val="24"/>
        </w:rPr>
        <w:t xml:space="preserve">spouses access to economic remedies of which they have always been deprived, remedies Quebec considered indispensable for the protection of married and civil union spouses. </w:t>
      </w:r>
      <w:r w:rsidR="009C32C2" w:rsidRPr="00B26E25">
        <w:rPr>
          <w:szCs w:val="24"/>
        </w:rPr>
        <w:t xml:space="preserve"> </w:t>
      </w:r>
      <w:r w:rsidRPr="00B26E25">
        <w:rPr>
          <w:szCs w:val="24"/>
        </w:rPr>
        <w:t>There is little doubt that some</w:t>
      </w:r>
      <w:r w:rsidRPr="00B26E25">
        <w:rPr>
          <w:i/>
          <w:szCs w:val="24"/>
        </w:rPr>
        <w:t xml:space="preserve"> de facto</w:t>
      </w:r>
      <w:r w:rsidRPr="00B26E25">
        <w:rPr>
          <w:szCs w:val="24"/>
        </w:rPr>
        <w:t xml:space="preserve"> couples are in relationships that are functionally similar to formally recognized spousal relationships.</w:t>
      </w:r>
      <w:r w:rsidR="009C32C2" w:rsidRPr="00B26E25">
        <w:rPr>
          <w:szCs w:val="24"/>
        </w:rPr>
        <w:t xml:space="preserve"> </w:t>
      </w:r>
      <w:r w:rsidRPr="00B26E25">
        <w:rPr>
          <w:szCs w:val="24"/>
        </w:rPr>
        <w:t xml:space="preserve"> Since many spouses in </w:t>
      </w:r>
      <w:r w:rsidRPr="00B26E25">
        <w:rPr>
          <w:i/>
          <w:szCs w:val="24"/>
        </w:rPr>
        <w:t>de facto</w:t>
      </w:r>
      <w:r w:rsidRPr="00B26E25">
        <w:rPr>
          <w:szCs w:val="24"/>
        </w:rPr>
        <w:t xml:space="preserve"> couples exhibit the same functional characteristics as spouses in formal unions, with the same potential for one partner to be left economically vulnerable or disadvantaged when the relationship ends, their exclusion from similar protections perpetuates historic</w:t>
      </w:r>
      <w:r w:rsidRPr="00B26E25">
        <w:rPr>
          <w:b/>
          <w:szCs w:val="24"/>
        </w:rPr>
        <w:t xml:space="preserve"> </w:t>
      </w:r>
      <w:r w:rsidRPr="00B26E25">
        <w:rPr>
          <w:szCs w:val="24"/>
        </w:rPr>
        <w:t>disadvantage against them based on their</w:t>
      </w:r>
      <w:r w:rsidRPr="00B26E25">
        <w:rPr>
          <w:b/>
          <w:szCs w:val="24"/>
        </w:rPr>
        <w:t xml:space="preserve"> </w:t>
      </w:r>
      <w:r w:rsidRPr="00B26E25">
        <w:rPr>
          <w:szCs w:val="24"/>
        </w:rPr>
        <w:t xml:space="preserve">marital status.  There is no need to look for an attitude of prejudice motivating or created by the exclusion of </w:t>
      </w:r>
      <w:r w:rsidRPr="00B26E25">
        <w:rPr>
          <w:i/>
          <w:szCs w:val="24"/>
        </w:rPr>
        <w:t xml:space="preserve">de facto </w:t>
      </w:r>
      <w:r w:rsidRPr="00B26E25">
        <w:rPr>
          <w:szCs w:val="24"/>
        </w:rPr>
        <w:t xml:space="preserve">couples from the presumptive statutory protections.  There is no doubt that attitudes have changed towards </w:t>
      </w:r>
      <w:r w:rsidRPr="00B26E25">
        <w:rPr>
          <w:i/>
          <w:szCs w:val="24"/>
        </w:rPr>
        <w:t xml:space="preserve">de facto </w:t>
      </w:r>
      <w:r w:rsidRPr="00B26E25">
        <w:rPr>
          <w:szCs w:val="24"/>
        </w:rPr>
        <w:t xml:space="preserve">unions in Quebec, but what is relevant is not the attitudinal progress towards them, but the continuation of their discriminatory treatment.  </w:t>
      </w:r>
    </w:p>
    <w:p w:rsidR="00262F1A" w:rsidRPr="00B26E25" w:rsidRDefault="00262F1A" w:rsidP="00C7175C">
      <w:pPr>
        <w:pStyle w:val="SCCNormalDoubleSpacing"/>
        <w:spacing w:after="480"/>
        <w:rPr>
          <w:szCs w:val="24"/>
        </w:rPr>
      </w:pPr>
      <w:r w:rsidRPr="00B26E25">
        <w:rPr>
          <w:szCs w:val="24"/>
        </w:rPr>
        <w:tab/>
      </w:r>
      <w:r w:rsidRPr="00B26E25">
        <w:rPr>
          <w:i/>
          <w:szCs w:val="24"/>
        </w:rPr>
        <w:t>Per</w:t>
      </w:r>
      <w:r w:rsidRPr="00B26E25">
        <w:rPr>
          <w:szCs w:val="24"/>
        </w:rPr>
        <w:t xml:space="preserve"> </w:t>
      </w:r>
      <w:r w:rsidRPr="00830804">
        <w:rPr>
          <w:szCs w:val="24"/>
        </w:rPr>
        <w:t>Deschamps</w:t>
      </w:r>
      <w:r w:rsidRPr="00B26E25">
        <w:rPr>
          <w:szCs w:val="24"/>
        </w:rPr>
        <w:t xml:space="preserve">, Cromwell and </w:t>
      </w:r>
      <w:r w:rsidR="00C7175C" w:rsidRPr="00B26E25">
        <w:rPr>
          <w:szCs w:val="24"/>
        </w:rPr>
        <w:t>Karakatsanis </w:t>
      </w:r>
      <w:r w:rsidRPr="00B26E25">
        <w:rPr>
          <w:szCs w:val="24"/>
        </w:rPr>
        <w:t>JJ. (</w:t>
      </w:r>
      <w:r w:rsidR="003B1635" w:rsidRPr="00B26E25">
        <w:rPr>
          <w:szCs w:val="24"/>
        </w:rPr>
        <w:t>concurring with Abella J. on s. 15(1)</w:t>
      </w:r>
      <w:r w:rsidRPr="00B26E25">
        <w:rPr>
          <w:szCs w:val="24"/>
        </w:rPr>
        <w:t>):  There is agreement with Abella J.</w:t>
      </w:r>
      <w:r w:rsidR="00C7175C" w:rsidRPr="00B26E25">
        <w:rPr>
          <w:szCs w:val="24"/>
        </w:rPr>
        <w:t>’</w:t>
      </w:r>
      <w:r w:rsidRPr="00B26E25">
        <w:rPr>
          <w:szCs w:val="24"/>
        </w:rPr>
        <w:t xml:space="preserve">s analysis of s. 15 of the </w:t>
      </w:r>
      <w:r w:rsidRPr="00B26E25">
        <w:rPr>
          <w:i/>
          <w:szCs w:val="24"/>
        </w:rPr>
        <w:t>Charter</w:t>
      </w:r>
      <w:r w:rsidRPr="00B26E25">
        <w:rPr>
          <w:szCs w:val="24"/>
        </w:rPr>
        <w:t xml:space="preserve"> and with her conclusion that the right protected by that section has been infringed.  The Quebec legislature has infringed the guaranteed right to equality by excluding </w:t>
      </w:r>
      <w:r w:rsidRPr="00B26E25">
        <w:rPr>
          <w:i/>
          <w:szCs w:val="24"/>
        </w:rPr>
        <w:t>de facto</w:t>
      </w:r>
      <w:r w:rsidRPr="00B26E25">
        <w:rPr>
          <w:szCs w:val="24"/>
        </w:rPr>
        <w:t xml:space="preserve"> spouses from all the measures adopted to protect persons who are married or in civil unions should their family relationships break down.  The Court has recognized the fact of being unmarried as an analogous ground because, historically, unmarried persons were considered to have adopted a lifestyle less worthy of respect than that of married persons.  For this reason, they were excluded from the social protections.  Even though society</w:t>
      </w:r>
      <w:r w:rsidR="00C7175C" w:rsidRPr="00B26E25">
        <w:rPr>
          <w:szCs w:val="24"/>
        </w:rPr>
        <w:t>’</w:t>
      </w:r>
      <w:r w:rsidRPr="00B26E25">
        <w:rPr>
          <w:szCs w:val="24"/>
        </w:rPr>
        <w:t xml:space="preserve">s perception of </w:t>
      </w:r>
      <w:r w:rsidRPr="00B26E25">
        <w:rPr>
          <w:i/>
          <w:szCs w:val="24"/>
        </w:rPr>
        <w:t>de facto</w:t>
      </w:r>
      <w:r w:rsidRPr="00B26E25">
        <w:rPr>
          <w:szCs w:val="24"/>
        </w:rPr>
        <w:t xml:space="preserve"> spouses has changed in recent decades and there is no indication that the Quebec legislature intended to stigmatize them, the denial of the benefits in question perpetuates the disadvantage such people have historically experienced.  The Attorney General of Quebec therefore had to justify this distinction.</w:t>
      </w:r>
    </w:p>
    <w:p w:rsidR="00931304" w:rsidRPr="00B26E25" w:rsidRDefault="00931304" w:rsidP="0019189B">
      <w:pPr>
        <w:pStyle w:val="SCCNormalDoubleSpacing"/>
        <w:spacing w:after="480"/>
        <w:rPr>
          <w:szCs w:val="24"/>
        </w:rPr>
      </w:pPr>
      <w:r w:rsidRPr="00B26E25">
        <w:rPr>
          <w:szCs w:val="24"/>
        </w:rPr>
        <w:tab/>
      </w:r>
      <w:r w:rsidRPr="00B26E25">
        <w:rPr>
          <w:i/>
          <w:szCs w:val="24"/>
        </w:rPr>
        <w:t>Per</w:t>
      </w:r>
      <w:r w:rsidRPr="00B26E25">
        <w:rPr>
          <w:szCs w:val="24"/>
        </w:rPr>
        <w:t xml:space="preserve"> </w:t>
      </w:r>
      <w:r w:rsidRPr="00830804">
        <w:rPr>
          <w:szCs w:val="24"/>
        </w:rPr>
        <w:t>McLachlin</w:t>
      </w:r>
      <w:r w:rsidR="009C32C2" w:rsidRPr="00830804">
        <w:rPr>
          <w:szCs w:val="24"/>
        </w:rPr>
        <w:t> </w:t>
      </w:r>
      <w:r w:rsidRPr="00830804">
        <w:rPr>
          <w:szCs w:val="24"/>
        </w:rPr>
        <w:t>C.J.</w:t>
      </w:r>
      <w:r w:rsidR="00575B5F" w:rsidRPr="00B26E25">
        <w:rPr>
          <w:szCs w:val="24"/>
        </w:rPr>
        <w:t xml:space="preserve"> (concurring with Abella</w:t>
      </w:r>
      <w:r w:rsidR="009C32C2" w:rsidRPr="00B26E25">
        <w:rPr>
          <w:szCs w:val="24"/>
        </w:rPr>
        <w:t> </w:t>
      </w:r>
      <w:r w:rsidR="00575B5F" w:rsidRPr="00B26E25">
        <w:rPr>
          <w:szCs w:val="24"/>
        </w:rPr>
        <w:t>J. on s.</w:t>
      </w:r>
      <w:r w:rsidR="009C32C2" w:rsidRPr="00B26E25">
        <w:rPr>
          <w:szCs w:val="24"/>
        </w:rPr>
        <w:t> </w:t>
      </w:r>
      <w:r w:rsidR="00575B5F" w:rsidRPr="00B26E25">
        <w:rPr>
          <w:szCs w:val="24"/>
        </w:rPr>
        <w:t>15(1))</w:t>
      </w:r>
      <w:r w:rsidRPr="00B26E25">
        <w:rPr>
          <w:szCs w:val="24"/>
        </w:rPr>
        <w:t xml:space="preserve">: </w:t>
      </w:r>
      <w:r w:rsidR="009C32C2" w:rsidRPr="00B26E25">
        <w:rPr>
          <w:szCs w:val="24"/>
        </w:rPr>
        <w:t xml:space="preserve"> The s. 15 analysis set out in Abella </w:t>
      </w:r>
      <w:r w:rsidRPr="00B26E25">
        <w:rPr>
          <w:szCs w:val="24"/>
        </w:rPr>
        <w:t>J.</w:t>
      </w:r>
      <w:r w:rsidR="00C7175C" w:rsidRPr="00B26E25">
        <w:rPr>
          <w:szCs w:val="24"/>
        </w:rPr>
        <w:t>’</w:t>
      </w:r>
      <w:r w:rsidRPr="00B26E25">
        <w:rPr>
          <w:szCs w:val="24"/>
        </w:rPr>
        <w:t>s reasons is agreed with, as</w:t>
      </w:r>
      <w:r w:rsidR="007E2C1B" w:rsidRPr="00B26E25">
        <w:rPr>
          <w:szCs w:val="24"/>
        </w:rPr>
        <w:t xml:space="preserve"> is her conclusion that there is a brea</w:t>
      </w:r>
      <w:r w:rsidR="00C7175C" w:rsidRPr="00B26E25">
        <w:rPr>
          <w:szCs w:val="24"/>
        </w:rPr>
        <w:t xml:space="preserve">ch.  </w:t>
      </w:r>
      <w:r w:rsidRPr="00B26E25">
        <w:rPr>
          <w:szCs w:val="24"/>
        </w:rPr>
        <w:t>While the promotion or the perpetuation of prejudice, on the one hand, and false stereotyping, on the other, are useful guides, what constitutes discrimination requires a contextual analysis, taking into account matters such as pre</w:t>
      </w:r>
      <w:r w:rsidR="00C7175C" w:rsidRPr="00B26E25">
        <w:rPr>
          <w:szCs w:val="24"/>
        </w:rPr>
        <w:noBreakHyphen/>
      </w:r>
      <w:r w:rsidRPr="00B26E25">
        <w:rPr>
          <w:szCs w:val="24"/>
        </w:rPr>
        <w:t>existing disadvantage of the claimant group, the degree of correspondence between the differential treatment and the claimant group</w:t>
      </w:r>
      <w:r w:rsidR="00C7175C" w:rsidRPr="00B26E25">
        <w:rPr>
          <w:szCs w:val="24"/>
        </w:rPr>
        <w:t>’</w:t>
      </w:r>
      <w:r w:rsidRPr="00B26E25">
        <w:rPr>
          <w:szCs w:val="24"/>
        </w:rPr>
        <w:t xml:space="preserve">s reality, the ameliorative impact or purpose of the law, and the nature of the interests affected. </w:t>
      </w:r>
      <w:r w:rsidR="009C32C2" w:rsidRPr="00B26E25">
        <w:rPr>
          <w:szCs w:val="24"/>
        </w:rPr>
        <w:t xml:space="preserve"> </w:t>
      </w:r>
      <w:r w:rsidRPr="00B26E25">
        <w:rPr>
          <w:szCs w:val="24"/>
        </w:rPr>
        <w:t>The issue of whether the law is discriminatory must be considered from the point of view of the reasonable person, dispassionate and fully apprised of the circumstances, possessed of similar attributes to, and under similar circumstances as, the claimant.</w:t>
      </w:r>
    </w:p>
    <w:p w:rsidR="00931304" w:rsidRPr="00B26E25" w:rsidRDefault="00931304" w:rsidP="0019189B">
      <w:pPr>
        <w:pStyle w:val="SCCNormalDoubleSpacing"/>
        <w:spacing w:after="480"/>
        <w:rPr>
          <w:szCs w:val="24"/>
        </w:rPr>
      </w:pPr>
      <w:r w:rsidRPr="00B26E25">
        <w:rPr>
          <w:szCs w:val="24"/>
        </w:rPr>
        <w:tab/>
        <w:t>It is important to maintain the analytical d</w:t>
      </w:r>
      <w:r w:rsidR="009C32C2" w:rsidRPr="00B26E25">
        <w:rPr>
          <w:szCs w:val="24"/>
        </w:rPr>
        <w:t>istinction between s. 15 and s. </w:t>
      </w:r>
      <w:r w:rsidRPr="00B26E25">
        <w:rPr>
          <w:szCs w:val="24"/>
        </w:rPr>
        <w:t xml:space="preserve">1. </w:t>
      </w:r>
      <w:r w:rsidR="006931DC">
        <w:rPr>
          <w:szCs w:val="24"/>
        </w:rPr>
        <w:t xml:space="preserve"> </w:t>
      </w:r>
      <w:r w:rsidRPr="00B26E25">
        <w:rPr>
          <w:i/>
          <w:szCs w:val="24"/>
        </w:rPr>
        <w:t xml:space="preserve">Walsh </w:t>
      </w:r>
      <w:r w:rsidRPr="00B26E25">
        <w:rPr>
          <w:szCs w:val="24"/>
        </w:rPr>
        <w:t>does not bind the Court in the present case</w:t>
      </w:r>
      <w:r w:rsidR="00C7175C" w:rsidRPr="00B26E25">
        <w:rPr>
          <w:szCs w:val="24"/>
        </w:rPr>
        <w:t xml:space="preserve">.  </w:t>
      </w:r>
      <w:r w:rsidRPr="00B26E25">
        <w:rPr>
          <w:szCs w:val="24"/>
        </w:rPr>
        <w:t xml:space="preserve">Public policy considerations such as freedom of choice and individual autonomy, which were held in </w:t>
      </w:r>
      <w:r w:rsidRPr="00B26E25">
        <w:rPr>
          <w:i/>
          <w:szCs w:val="24"/>
        </w:rPr>
        <w:t>Walsh</w:t>
      </w:r>
      <w:r w:rsidR="009C32C2" w:rsidRPr="00B26E25">
        <w:rPr>
          <w:szCs w:val="24"/>
        </w:rPr>
        <w:t xml:space="preserve"> to negate a breach of s. </w:t>
      </w:r>
      <w:r w:rsidRPr="00B26E25">
        <w:rPr>
          <w:szCs w:val="24"/>
        </w:rPr>
        <w:t xml:space="preserve">15, </w:t>
      </w:r>
      <w:r w:rsidR="009C32C2" w:rsidRPr="00B26E25">
        <w:rPr>
          <w:szCs w:val="24"/>
        </w:rPr>
        <w:t>are better considered at the s. </w:t>
      </w:r>
      <w:r w:rsidRPr="00B26E25">
        <w:rPr>
          <w:szCs w:val="24"/>
        </w:rPr>
        <w:t>1 stage of the analysis.</w:t>
      </w:r>
    </w:p>
    <w:p w:rsidR="00931304" w:rsidRPr="00B26E25" w:rsidRDefault="00931304" w:rsidP="0019189B">
      <w:pPr>
        <w:pStyle w:val="SCCNormalDoubleSpacing"/>
        <w:spacing w:after="480"/>
        <w:rPr>
          <w:szCs w:val="24"/>
        </w:rPr>
      </w:pPr>
      <w:r w:rsidRPr="00B26E25">
        <w:rPr>
          <w:szCs w:val="24"/>
        </w:rPr>
        <w:tab/>
        <w:t>Here, the Quebec approach of applying mandatory protections only to married and ci</w:t>
      </w:r>
      <w:r w:rsidR="009C32C2" w:rsidRPr="00B26E25">
        <w:rPr>
          <w:szCs w:val="24"/>
        </w:rPr>
        <w:t>vil union spouses limits the s. </w:t>
      </w:r>
      <w:r w:rsidRPr="00B26E25">
        <w:rPr>
          <w:szCs w:val="24"/>
        </w:rPr>
        <w:t xml:space="preserve">15 equality right of </w:t>
      </w:r>
      <w:r w:rsidRPr="00B26E25">
        <w:rPr>
          <w:i/>
          <w:szCs w:val="24"/>
        </w:rPr>
        <w:t xml:space="preserve">de facto </w:t>
      </w:r>
      <w:r w:rsidRPr="00B26E25">
        <w:rPr>
          <w:szCs w:val="24"/>
        </w:rPr>
        <w:t xml:space="preserve">spouses. </w:t>
      </w:r>
      <w:r w:rsidR="009C32C2" w:rsidRPr="00B26E25">
        <w:rPr>
          <w:szCs w:val="24"/>
        </w:rPr>
        <w:t xml:space="preserve"> </w:t>
      </w:r>
      <w:r w:rsidRPr="00B26E25">
        <w:rPr>
          <w:szCs w:val="24"/>
        </w:rPr>
        <w:t>A reasonable person in A</w:t>
      </w:r>
      <w:r w:rsidR="00C7175C" w:rsidRPr="00B26E25">
        <w:rPr>
          <w:szCs w:val="24"/>
        </w:rPr>
        <w:t>’</w:t>
      </w:r>
      <w:r w:rsidRPr="00B26E25">
        <w:rPr>
          <w:szCs w:val="24"/>
        </w:rPr>
        <w:t>s position would conclude that the law in fact shows less concern for people in A</w:t>
      </w:r>
      <w:r w:rsidR="00C7175C" w:rsidRPr="00B26E25">
        <w:rPr>
          <w:szCs w:val="24"/>
        </w:rPr>
        <w:t>’</w:t>
      </w:r>
      <w:r w:rsidRPr="00B26E25">
        <w:rPr>
          <w:szCs w:val="24"/>
        </w:rPr>
        <w:t>s position than for married and civil union spouses on break</w:t>
      </w:r>
      <w:r w:rsidR="00C7175C" w:rsidRPr="00B26E25">
        <w:rPr>
          <w:szCs w:val="24"/>
        </w:rPr>
        <w:noBreakHyphen/>
      </w:r>
      <w:r w:rsidRPr="00B26E25">
        <w:rPr>
          <w:szCs w:val="24"/>
        </w:rPr>
        <w:t>up of a relationshi</w:t>
      </w:r>
      <w:r w:rsidR="00C7175C" w:rsidRPr="00B26E25">
        <w:rPr>
          <w:szCs w:val="24"/>
        </w:rPr>
        <w:t xml:space="preserve">p. </w:t>
      </w:r>
      <w:r w:rsidR="009C32C2" w:rsidRPr="00B26E25">
        <w:rPr>
          <w:szCs w:val="24"/>
        </w:rPr>
        <w:t xml:space="preserve"> </w:t>
      </w:r>
      <w:r w:rsidRPr="00B26E25">
        <w:rPr>
          <w:szCs w:val="24"/>
        </w:rPr>
        <w:t>As it applies to people in A</w:t>
      </w:r>
      <w:r w:rsidR="00C7175C" w:rsidRPr="00B26E25">
        <w:rPr>
          <w:szCs w:val="24"/>
        </w:rPr>
        <w:t>’</w:t>
      </w:r>
      <w:r w:rsidRPr="00B26E25">
        <w:rPr>
          <w:szCs w:val="24"/>
        </w:rPr>
        <w:t xml:space="preserve">s situation, the law perpetuates the effects of historical disadvantage rooted in prejudice </w:t>
      </w:r>
      <w:r w:rsidRPr="00B26E25">
        <w:rPr>
          <w:i/>
          <w:szCs w:val="24"/>
        </w:rPr>
        <w:t xml:space="preserve">and </w:t>
      </w:r>
      <w:r w:rsidRPr="00B26E25">
        <w:rPr>
          <w:szCs w:val="24"/>
        </w:rPr>
        <w:t xml:space="preserve">rests on a false stereotype of choice rather than on the </w:t>
      </w:r>
      <w:r w:rsidR="007E2C1B" w:rsidRPr="00B26E25">
        <w:rPr>
          <w:szCs w:val="24"/>
        </w:rPr>
        <w:t xml:space="preserve">reality of the </w:t>
      </w:r>
      <w:r w:rsidRPr="00B26E25">
        <w:rPr>
          <w:szCs w:val="24"/>
        </w:rPr>
        <w:t>claimant</w:t>
      </w:r>
      <w:r w:rsidR="00C7175C" w:rsidRPr="00B26E25">
        <w:rPr>
          <w:szCs w:val="24"/>
        </w:rPr>
        <w:t>’</w:t>
      </w:r>
      <w:r w:rsidRPr="00B26E25">
        <w:rPr>
          <w:szCs w:val="24"/>
        </w:rPr>
        <w:t xml:space="preserve">s situation. </w:t>
      </w:r>
      <w:r w:rsidR="009C32C2" w:rsidRPr="00B26E25">
        <w:rPr>
          <w:szCs w:val="24"/>
        </w:rPr>
        <w:t xml:space="preserve"> </w:t>
      </w:r>
      <w:r w:rsidRPr="00B26E25">
        <w:rPr>
          <w:szCs w:val="24"/>
        </w:rPr>
        <w:t xml:space="preserve">While the legislative animus against </w:t>
      </w:r>
      <w:r w:rsidRPr="00B26E25">
        <w:rPr>
          <w:i/>
          <w:szCs w:val="24"/>
        </w:rPr>
        <w:t xml:space="preserve">de facto </w:t>
      </w:r>
      <w:r w:rsidRPr="00B26E25">
        <w:rPr>
          <w:szCs w:val="24"/>
        </w:rPr>
        <w:t xml:space="preserve">spouses in Quebec has disappeared, the present law continues to exclude </w:t>
      </w:r>
      <w:r w:rsidRPr="00B26E25">
        <w:rPr>
          <w:i/>
          <w:szCs w:val="24"/>
        </w:rPr>
        <w:t xml:space="preserve">de facto </w:t>
      </w:r>
      <w:r w:rsidRPr="00B26E25">
        <w:rPr>
          <w:szCs w:val="24"/>
        </w:rPr>
        <w:t xml:space="preserve">spouses from the protective schemes of Quebec family law. </w:t>
      </w:r>
      <w:r w:rsidR="009C32C2" w:rsidRPr="00B26E25">
        <w:rPr>
          <w:szCs w:val="24"/>
        </w:rPr>
        <w:t xml:space="preserve"> </w:t>
      </w:r>
      <w:r w:rsidRPr="00B26E25">
        <w:rPr>
          <w:szCs w:val="24"/>
        </w:rPr>
        <w:t xml:space="preserve">Moreover, the law assumes that </w:t>
      </w:r>
      <w:r w:rsidRPr="00B26E25">
        <w:rPr>
          <w:i/>
          <w:szCs w:val="24"/>
        </w:rPr>
        <w:t xml:space="preserve">de facto </w:t>
      </w:r>
      <w:r w:rsidRPr="00B26E25">
        <w:rPr>
          <w:szCs w:val="24"/>
        </w:rPr>
        <w:t xml:space="preserve">partners choose to forgo the protections it offers to married and civil union partners. </w:t>
      </w:r>
      <w:r w:rsidR="009C32C2" w:rsidRPr="00B26E25">
        <w:rPr>
          <w:szCs w:val="24"/>
        </w:rPr>
        <w:t xml:space="preserve"> </w:t>
      </w:r>
      <w:r w:rsidRPr="00B26E25">
        <w:rPr>
          <w:szCs w:val="24"/>
        </w:rPr>
        <w:t xml:space="preserve">This assumption fails to accord to the reality of the situation of </w:t>
      </w:r>
      <w:r w:rsidRPr="00B26E25">
        <w:rPr>
          <w:i/>
          <w:szCs w:val="24"/>
        </w:rPr>
        <w:t xml:space="preserve">de facto </w:t>
      </w:r>
      <w:r w:rsidRPr="00B26E25">
        <w:rPr>
          <w:szCs w:val="24"/>
        </w:rPr>
        <w:t xml:space="preserve">spouses such as A. </w:t>
      </w:r>
    </w:p>
    <w:p w:rsidR="00262F1A" w:rsidRPr="006B05C9" w:rsidRDefault="00262F1A" w:rsidP="00C7175C">
      <w:pPr>
        <w:pStyle w:val="SCCNormalDoubleSpacing"/>
        <w:spacing w:after="480"/>
        <w:rPr>
          <w:szCs w:val="24"/>
        </w:rPr>
      </w:pPr>
      <w:r w:rsidRPr="006B05C9">
        <w:rPr>
          <w:szCs w:val="24"/>
        </w:rPr>
        <w:t xml:space="preserve">(2) </w:t>
      </w:r>
      <w:r w:rsidRPr="006B05C9">
        <w:rPr>
          <w:i/>
          <w:szCs w:val="24"/>
          <w:u w:val="single"/>
        </w:rPr>
        <w:t>Section 1 of the Charter</w:t>
      </w:r>
    </w:p>
    <w:p w:rsidR="00262F1A" w:rsidRDefault="00262F1A" w:rsidP="00262F1A">
      <w:pPr>
        <w:pStyle w:val="SCCNormalDoubleSpacing"/>
        <w:spacing w:after="480"/>
        <w:rPr>
          <w:szCs w:val="24"/>
        </w:rPr>
      </w:pPr>
      <w:r w:rsidRPr="00B26E25">
        <w:rPr>
          <w:i/>
          <w:szCs w:val="24"/>
        </w:rPr>
        <w:tab/>
        <w:t>Per</w:t>
      </w:r>
      <w:r w:rsidRPr="00B26E25">
        <w:rPr>
          <w:szCs w:val="24"/>
        </w:rPr>
        <w:t xml:space="preserve"> </w:t>
      </w:r>
      <w:r w:rsidRPr="00830804">
        <w:rPr>
          <w:szCs w:val="24"/>
        </w:rPr>
        <w:t>LeBel</w:t>
      </w:r>
      <w:r w:rsidRPr="00B26E25">
        <w:rPr>
          <w:szCs w:val="24"/>
        </w:rPr>
        <w:t xml:space="preserve">, Fish, Rothstein and Moldaver JJ.: Since the exclusion of </w:t>
      </w:r>
      <w:r w:rsidRPr="00B26E25">
        <w:rPr>
          <w:i/>
          <w:szCs w:val="24"/>
        </w:rPr>
        <w:t>de facto</w:t>
      </w:r>
      <w:r w:rsidRPr="00B26E25">
        <w:rPr>
          <w:szCs w:val="24"/>
        </w:rPr>
        <w:t xml:space="preserve"> spouses from the scope of the provisions of the </w:t>
      </w:r>
      <w:r w:rsidRPr="00B26E25">
        <w:rPr>
          <w:i/>
          <w:szCs w:val="24"/>
        </w:rPr>
        <w:t>Civil Code of Québec</w:t>
      </w:r>
      <w:r w:rsidRPr="00B26E25">
        <w:rPr>
          <w:szCs w:val="24"/>
        </w:rPr>
        <w:t xml:space="preserve"> at issue is not discriminatory within the meaning of s. 15(1) of the </w:t>
      </w:r>
      <w:r w:rsidRPr="00B26E25">
        <w:rPr>
          <w:i/>
          <w:szCs w:val="24"/>
        </w:rPr>
        <w:t>Charter</w:t>
      </w:r>
      <w:r w:rsidRPr="00B26E25">
        <w:rPr>
          <w:szCs w:val="24"/>
        </w:rPr>
        <w:t xml:space="preserve"> and does not violate the constitutional right to equality, it is not necessary to proceed to the s. 1 stage of the </w:t>
      </w:r>
      <w:r w:rsidRPr="00B26E25">
        <w:rPr>
          <w:i/>
          <w:szCs w:val="24"/>
        </w:rPr>
        <w:t>Charter</w:t>
      </w:r>
      <w:r w:rsidRPr="00B26E25">
        <w:rPr>
          <w:szCs w:val="24"/>
        </w:rPr>
        <w:t xml:space="preserve"> analysis.</w:t>
      </w:r>
    </w:p>
    <w:p w:rsidR="00163A94" w:rsidRPr="00B26E25" w:rsidRDefault="00163A94" w:rsidP="00163A94">
      <w:pPr>
        <w:pStyle w:val="SCCNormalDoubleSpacing"/>
        <w:spacing w:after="480"/>
        <w:rPr>
          <w:szCs w:val="24"/>
        </w:rPr>
      </w:pPr>
      <w:r>
        <w:rPr>
          <w:i/>
          <w:szCs w:val="24"/>
        </w:rPr>
        <w:tab/>
      </w:r>
      <w:r w:rsidRPr="00B26E25">
        <w:rPr>
          <w:i/>
          <w:szCs w:val="24"/>
        </w:rPr>
        <w:t>Per</w:t>
      </w:r>
      <w:r w:rsidRPr="00B26E25">
        <w:rPr>
          <w:szCs w:val="24"/>
        </w:rPr>
        <w:t xml:space="preserve"> </w:t>
      </w:r>
      <w:r w:rsidRPr="00830804">
        <w:rPr>
          <w:szCs w:val="24"/>
        </w:rPr>
        <w:t>McLachlin C.J.</w:t>
      </w:r>
      <w:r w:rsidRPr="00B26E25">
        <w:rPr>
          <w:szCs w:val="24"/>
        </w:rPr>
        <w:t xml:space="preserve">:  The limit on the equality right of </w:t>
      </w:r>
      <w:r w:rsidRPr="00B26E25">
        <w:rPr>
          <w:i/>
          <w:szCs w:val="24"/>
        </w:rPr>
        <w:t xml:space="preserve">de facto </w:t>
      </w:r>
      <w:r w:rsidRPr="00B26E25">
        <w:rPr>
          <w:szCs w:val="24"/>
        </w:rPr>
        <w:t xml:space="preserve">spouses is justified under s. 1 of the </w:t>
      </w:r>
      <w:r w:rsidRPr="00B26E25">
        <w:rPr>
          <w:i/>
          <w:szCs w:val="24"/>
        </w:rPr>
        <w:t>Charter</w:t>
      </w:r>
      <w:r w:rsidRPr="00B26E25">
        <w:rPr>
          <w:szCs w:val="24"/>
        </w:rPr>
        <w:t>.  The objective of the Quebec legislature, which is to promote choice and autonomy for all Quebec spouses with respect to property division and support, was pursued in response to rapidly changing attitudes in Quebec with respect to marriage and is sufficiently important to justify an infringement to the right to equality.  The distinction made by the law is rationally connected to the state objective:  the Quebec approach only imposes state</w:t>
      </w:r>
      <w:r w:rsidRPr="00B26E25">
        <w:rPr>
          <w:szCs w:val="24"/>
        </w:rPr>
        <w:noBreakHyphen/>
        <w:t xml:space="preserve">mandated obligations on spouses who have made a conscious and active choice to accept those obligations.  The law falls within a range of reasonable alternatives for maximizing choice and autonomy in the matter of family assets and support.  While schemes adopted in other Canadian provinces impair the equality right of </w:t>
      </w:r>
      <w:r w:rsidRPr="00B26E25">
        <w:rPr>
          <w:i/>
          <w:szCs w:val="24"/>
        </w:rPr>
        <w:t xml:space="preserve">de facto </w:t>
      </w:r>
      <w:r w:rsidRPr="00B26E25">
        <w:rPr>
          <w:szCs w:val="24"/>
        </w:rPr>
        <w:t xml:space="preserve">spouses to a lesser degree, such approaches would be less effective in promoting Quebec’s goals of maximizing choice and autonomy for couples in Quebec.  The question at the minimum impairment stage is whether the legislative goal could be achieved in a way that impacts the right less, not whether the goal should be altered.  Finally, the effects of the Quebec scheme on the equality rights of </w:t>
      </w:r>
      <w:r w:rsidRPr="00B26E25">
        <w:rPr>
          <w:i/>
          <w:szCs w:val="24"/>
        </w:rPr>
        <w:t xml:space="preserve">de facto </w:t>
      </w:r>
      <w:r w:rsidRPr="00B26E25">
        <w:rPr>
          <w:szCs w:val="24"/>
        </w:rPr>
        <w:t xml:space="preserve">spouses are proportionate to the scheme’s overall benefits for the group.  The scheme enhances the freedom of choice and autonomy of many spouses as well as their ability to give personal meaning to their relationship.  Having regard to the need to allow legislatures a margin of appreciation on difficult social issues and the need to be sensitive to the constitutional responsibility of each province to legislate for its population, the unfortunate dilemma faced by women such as A is not disproportionate to the benefits of the scheme to an extent that warrants a finding of unconstitutionality. </w:t>
      </w:r>
    </w:p>
    <w:p w:rsidR="00262F1A" w:rsidRPr="00B26E25" w:rsidRDefault="00262F1A" w:rsidP="00262F1A">
      <w:pPr>
        <w:pStyle w:val="SCCNormalDoubleSpacing"/>
        <w:spacing w:after="480"/>
        <w:rPr>
          <w:szCs w:val="24"/>
        </w:rPr>
      </w:pPr>
      <w:r w:rsidRPr="00B26E25">
        <w:rPr>
          <w:i/>
          <w:szCs w:val="24"/>
        </w:rPr>
        <w:tab/>
        <w:t>Per</w:t>
      </w:r>
      <w:r w:rsidRPr="00B26E25">
        <w:rPr>
          <w:szCs w:val="24"/>
        </w:rPr>
        <w:t xml:space="preserve"> </w:t>
      </w:r>
      <w:r w:rsidRPr="00830804">
        <w:rPr>
          <w:szCs w:val="24"/>
        </w:rPr>
        <w:t>Deschamps</w:t>
      </w:r>
      <w:r w:rsidRPr="00B26E25">
        <w:rPr>
          <w:szCs w:val="24"/>
        </w:rPr>
        <w:t xml:space="preserve">, Cromwell and </w:t>
      </w:r>
      <w:r w:rsidR="00C7175C" w:rsidRPr="00B26E25">
        <w:rPr>
          <w:szCs w:val="24"/>
        </w:rPr>
        <w:t>Karakatsanis </w:t>
      </w:r>
      <w:r w:rsidR="00923434">
        <w:rPr>
          <w:szCs w:val="24"/>
        </w:rPr>
        <w:t>JJ.</w:t>
      </w:r>
      <w:r w:rsidRPr="00B26E25">
        <w:rPr>
          <w:szCs w:val="24"/>
        </w:rPr>
        <w:t>:  Although support and the measures relating to patrimonial property have some of the same functions and objectives, they cannot and must not be confused with one another.  The needs they address and how the legislature has dealt with them in the past warrant their being considered separately.  The measures that protect the patrimony of spouses are not, like support, focused on the basic needs of the vulnerable spouse.  Their purpose is to ensure autonomy and fairness for couples who have been able to, or wanted to, accumulate property.  The process that leads to the acquisition of a right of ownership is different from the one that causes a spouse to become economically dependent.  Whereas a plan to live together takes shape gradually and can result in the creation of a relationship of interdependence over which one of the parties has little or no control, property can be acquired only as a result of a conscious act.</w:t>
      </w:r>
    </w:p>
    <w:p w:rsidR="00262F1A" w:rsidRPr="00B26E25" w:rsidRDefault="00262F1A" w:rsidP="00262F1A">
      <w:pPr>
        <w:pStyle w:val="SCCNormalDoubleSpacing"/>
        <w:spacing w:after="480"/>
        <w:rPr>
          <w:szCs w:val="24"/>
        </w:rPr>
      </w:pPr>
      <w:r w:rsidRPr="00B26E25">
        <w:rPr>
          <w:szCs w:val="24"/>
        </w:rPr>
        <w:tab/>
        <w:t xml:space="preserve">This analysis leads to the conclusion that only the exclusion of </w:t>
      </w:r>
      <w:r w:rsidRPr="00B26E25">
        <w:rPr>
          <w:i/>
          <w:szCs w:val="24"/>
        </w:rPr>
        <w:t>de facto</w:t>
      </w:r>
      <w:r w:rsidRPr="00B26E25">
        <w:rPr>
          <w:szCs w:val="24"/>
        </w:rPr>
        <w:t xml:space="preserve"> spouses from support is not justified under s. 1 of the </w:t>
      </w:r>
      <w:r w:rsidRPr="00B26E25">
        <w:rPr>
          <w:i/>
          <w:szCs w:val="24"/>
        </w:rPr>
        <w:t>Charter</w:t>
      </w:r>
      <w:r w:rsidRPr="00B26E25">
        <w:rPr>
          <w:szCs w:val="24"/>
        </w:rPr>
        <w:t>.  The objective of promoting the autonomy of the parties is pressing and substanti</w:t>
      </w:r>
      <w:r w:rsidR="00C7175C" w:rsidRPr="00B26E25">
        <w:rPr>
          <w:szCs w:val="24"/>
        </w:rPr>
        <w:t xml:space="preserve">al. </w:t>
      </w:r>
      <w:r w:rsidRPr="00B26E25">
        <w:rPr>
          <w:szCs w:val="24"/>
        </w:rPr>
        <w:t xml:space="preserve"> There is also a rational connection.  However, the minimal impairment test is not met.  The affected interest is vital to persons who have been in a relationship of interdependence.  The rationale for awarding support on a non</w:t>
      </w:r>
      <w:r w:rsidR="00C7175C" w:rsidRPr="00B26E25">
        <w:rPr>
          <w:szCs w:val="24"/>
        </w:rPr>
        <w:noBreakHyphen/>
      </w:r>
      <w:r w:rsidRPr="00B26E25">
        <w:rPr>
          <w:szCs w:val="24"/>
        </w:rPr>
        <w:t xml:space="preserve">compensatory basis applies equally to persons who are married or in a civil union and to </w:t>
      </w:r>
      <w:r w:rsidRPr="00B26E25">
        <w:rPr>
          <w:i/>
          <w:szCs w:val="24"/>
        </w:rPr>
        <w:t>de facto</w:t>
      </w:r>
      <w:r w:rsidRPr="00B26E25">
        <w:rPr>
          <w:szCs w:val="24"/>
        </w:rPr>
        <w:t xml:space="preserve"> spouses.  If the legal justification for support is based on, among other things, the satisfaction of needs resulting from the breakdown of a relationship of interdependence created while the spouses lived together, it is difficult to see why a </w:t>
      </w:r>
      <w:r w:rsidRPr="00B26E25">
        <w:rPr>
          <w:i/>
          <w:szCs w:val="24"/>
        </w:rPr>
        <w:t>de facto</w:t>
      </w:r>
      <w:r w:rsidRPr="00B26E25">
        <w:rPr>
          <w:szCs w:val="24"/>
        </w:rPr>
        <w:t xml:space="preserve"> spouse who may not have been free to choose to have the relationship with his or her spouse made official through marriage or a civil union, but who otherwise lives with the latter in a “family unit”, would not be entitled to support.  For someone in such a position, the possibility the parties have, according to the Attorney General, of choosing to marry or to enter into a civil union does not really exist.  The concept of “mutual obligation” as the non</w:t>
      </w:r>
      <w:r w:rsidR="00C7175C" w:rsidRPr="00B26E25">
        <w:rPr>
          <w:szCs w:val="24"/>
        </w:rPr>
        <w:noBreakHyphen/>
      </w:r>
      <w:r w:rsidRPr="00B26E25">
        <w:rPr>
          <w:szCs w:val="24"/>
        </w:rPr>
        <w:t xml:space="preserve">compensatory basis for the obligation of support must guide legislators in seeking ways to promote the autonomy of the parties while interfering as little as reasonably possible with the right to support itself.  A total exclusion from the right to support benefits only </w:t>
      </w:r>
      <w:r w:rsidRPr="00B26E25">
        <w:rPr>
          <w:i/>
          <w:szCs w:val="24"/>
        </w:rPr>
        <w:t>de facto</w:t>
      </w:r>
      <w:r w:rsidRPr="00B26E25">
        <w:rPr>
          <w:szCs w:val="24"/>
        </w:rPr>
        <w:t xml:space="preserve"> spouses who want to avoid the obligation of support, and it impairs the interests of dependent and vulnerable former spouses to a disproportionate extent.</w:t>
      </w:r>
    </w:p>
    <w:p w:rsidR="00165D29" w:rsidRPr="00B26E25" w:rsidRDefault="00931304" w:rsidP="0019189B">
      <w:pPr>
        <w:pStyle w:val="SCCNormalDoubleSpacing"/>
        <w:spacing w:after="480"/>
        <w:rPr>
          <w:szCs w:val="24"/>
        </w:rPr>
      </w:pPr>
      <w:r w:rsidRPr="00B26E25">
        <w:rPr>
          <w:szCs w:val="24"/>
        </w:rPr>
        <w:tab/>
      </w:r>
      <w:r w:rsidR="00165D29" w:rsidRPr="00B26E25">
        <w:rPr>
          <w:i/>
          <w:szCs w:val="24"/>
          <w:lang w:bidi="en-US"/>
        </w:rPr>
        <w:t>Per</w:t>
      </w:r>
      <w:r w:rsidR="00CD568D" w:rsidRPr="00B26E25">
        <w:rPr>
          <w:szCs w:val="24"/>
          <w:lang w:bidi="en-US"/>
        </w:rPr>
        <w:t xml:space="preserve"> </w:t>
      </w:r>
      <w:r w:rsidR="00CD568D" w:rsidRPr="00830804">
        <w:rPr>
          <w:szCs w:val="24"/>
          <w:lang w:bidi="en-US"/>
        </w:rPr>
        <w:t>Abella </w:t>
      </w:r>
      <w:r w:rsidR="00165D29" w:rsidRPr="00830804">
        <w:rPr>
          <w:szCs w:val="24"/>
          <w:lang w:bidi="en-US"/>
        </w:rPr>
        <w:t>J.:</w:t>
      </w:r>
      <w:r w:rsidR="00165D29" w:rsidRPr="00B26E25">
        <w:rPr>
          <w:szCs w:val="24"/>
          <w:lang w:bidi="en-US"/>
        </w:rPr>
        <w:t xml:space="preserve"> </w:t>
      </w:r>
      <w:r w:rsidR="00CD568D" w:rsidRPr="00B26E25">
        <w:rPr>
          <w:szCs w:val="24"/>
          <w:lang w:bidi="en-US"/>
        </w:rPr>
        <w:t xml:space="preserve"> </w:t>
      </w:r>
      <w:r w:rsidR="00165D29" w:rsidRPr="00B26E25">
        <w:rPr>
          <w:szCs w:val="24"/>
          <w:lang w:bidi="en-US"/>
        </w:rPr>
        <w:t>The breach of s.</w:t>
      </w:r>
      <w:r w:rsidR="00C7175C" w:rsidRPr="00B26E25">
        <w:rPr>
          <w:szCs w:val="24"/>
          <w:lang w:bidi="en-US"/>
        </w:rPr>
        <w:t> </w:t>
      </w:r>
      <w:r w:rsidR="00165D29" w:rsidRPr="00B26E25">
        <w:rPr>
          <w:szCs w:val="24"/>
          <w:lang w:bidi="en-US"/>
        </w:rPr>
        <w:t>15(1) is not saved under s.</w:t>
      </w:r>
      <w:r w:rsidR="00C7175C" w:rsidRPr="00B26E25">
        <w:rPr>
          <w:szCs w:val="24"/>
          <w:lang w:bidi="en-US"/>
        </w:rPr>
        <w:t> </w:t>
      </w:r>
      <w:r w:rsidR="00165D29" w:rsidRPr="00B26E25">
        <w:rPr>
          <w:szCs w:val="24"/>
          <w:lang w:bidi="en-US"/>
        </w:rPr>
        <w:t>1</w:t>
      </w:r>
      <w:r w:rsidR="009E222C" w:rsidRPr="00B26E25">
        <w:rPr>
          <w:szCs w:val="24"/>
          <w:lang w:bidi="en-US"/>
        </w:rPr>
        <w:t xml:space="preserve">, failing the minimal impairment and proportionality steps of the </w:t>
      </w:r>
      <w:r w:rsidR="009E222C" w:rsidRPr="00B26E25">
        <w:rPr>
          <w:i/>
          <w:szCs w:val="24"/>
          <w:lang w:bidi="en-US"/>
        </w:rPr>
        <w:t>Oakes</w:t>
      </w:r>
      <w:r w:rsidR="009E222C" w:rsidRPr="00B26E25">
        <w:rPr>
          <w:szCs w:val="24"/>
          <w:lang w:bidi="en-US"/>
        </w:rPr>
        <w:t xml:space="preserve"> test</w:t>
      </w:r>
      <w:r w:rsidR="00C7175C" w:rsidRPr="00B26E25">
        <w:rPr>
          <w:szCs w:val="24"/>
          <w:lang w:bidi="en-US"/>
        </w:rPr>
        <w:t xml:space="preserve">.  </w:t>
      </w:r>
      <w:r w:rsidR="00C06558" w:rsidRPr="00B26E25">
        <w:rPr>
          <w:szCs w:val="24"/>
          <w:lang w:bidi="en-US"/>
        </w:rPr>
        <w:t>Th</w:t>
      </w:r>
      <w:r w:rsidR="00165D29" w:rsidRPr="00B26E25">
        <w:rPr>
          <w:szCs w:val="24"/>
        </w:rPr>
        <w:t xml:space="preserve">e exclusion of </w:t>
      </w:r>
      <w:r w:rsidR="00165D29" w:rsidRPr="00B26E25">
        <w:rPr>
          <w:i/>
          <w:szCs w:val="24"/>
        </w:rPr>
        <w:t>de facto</w:t>
      </w:r>
      <w:r w:rsidR="00165D29" w:rsidRPr="00B26E25">
        <w:rPr>
          <w:szCs w:val="24"/>
        </w:rPr>
        <w:t xml:space="preserve"> spouses from spousal support and property regimes in Quebec was a carefully considered policy choice.  It was discussed and reaffirmed during successive family law reforms from 1980 onwards.  But the degree of legislative time, consultation and effort cannot act as a justificatory shield to guard against constitutional scrutiny.  What is of utmost relevance is the resulting legislative choice.  Neither the deliberative policy route nor the popularity of its outcome is a sufficient answer to the requirement of constitutional compliance.</w:t>
      </w:r>
    </w:p>
    <w:p w:rsidR="00165D29" w:rsidRPr="00B26E25" w:rsidRDefault="00165D29" w:rsidP="0019189B">
      <w:pPr>
        <w:pStyle w:val="SCCNormalDoubleSpacing"/>
        <w:spacing w:after="480"/>
        <w:rPr>
          <w:szCs w:val="24"/>
        </w:rPr>
      </w:pPr>
      <w:r w:rsidRPr="00B26E25">
        <w:rPr>
          <w:szCs w:val="24"/>
          <w:lang w:bidi="en-US"/>
        </w:rPr>
        <w:tab/>
        <w:t>A</w:t>
      </w:r>
      <w:r w:rsidRPr="00B26E25">
        <w:rPr>
          <w:iCs/>
          <w:szCs w:val="24"/>
          <w:lang w:bidi="en-US"/>
        </w:rPr>
        <w:t xml:space="preserve">n outright exclusion of </w:t>
      </w:r>
      <w:r w:rsidRPr="00B26E25">
        <w:rPr>
          <w:i/>
          <w:iCs/>
          <w:szCs w:val="24"/>
          <w:lang w:bidi="en-US"/>
        </w:rPr>
        <w:t xml:space="preserve">de facto </w:t>
      </w:r>
      <w:r w:rsidRPr="00B26E25">
        <w:rPr>
          <w:iCs/>
          <w:szCs w:val="24"/>
          <w:lang w:bidi="en-US"/>
        </w:rPr>
        <w:t xml:space="preserve">spouses cannot be said to be minimally impairing of their equality rights.  </w:t>
      </w:r>
      <w:r w:rsidRPr="00B26E25">
        <w:rPr>
          <w:szCs w:val="24"/>
        </w:rPr>
        <w:t xml:space="preserve">This Court has generally been reluctant to defer to the legislature in the context of total exclusions from a legislative scheme.  The antipathy towards complete exclusions is not surprising, since the </w:t>
      </w:r>
      <w:r w:rsidR="00CD568D" w:rsidRPr="00B26E25">
        <w:rPr>
          <w:szCs w:val="24"/>
        </w:rPr>
        <w:t>government is required under s. </w:t>
      </w:r>
      <w:r w:rsidRPr="00B26E25">
        <w:rPr>
          <w:szCs w:val="24"/>
        </w:rPr>
        <w:t xml:space="preserve">1 </w:t>
      </w:r>
      <w:r w:rsidRPr="00B26E25">
        <w:rPr>
          <w:szCs w:val="24"/>
          <w:lang w:bidi="en-US"/>
        </w:rPr>
        <w:t>to explain why a significantly less intrusive and equally effective measure was not chosen</w:t>
      </w:r>
      <w:r w:rsidRPr="00B26E25">
        <w:rPr>
          <w:szCs w:val="24"/>
        </w:rPr>
        <w:t>.  This will be a difficult burden to meet when, as in this case, a group has been entirely left out of access to a remedial scheme.  The current opt</w:t>
      </w:r>
      <w:r w:rsidR="00830804">
        <w:rPr>
          <w:szCs w:val="24"/>
        </w:rPr>
        <w:t>-</w:t>
      </w:r>
      <w:r w:rsidRPr="00B26E25">
        <w:rPr>
          <w:i/>
          <w:szCs w:val="24"/>
        </w:rPr>
        <w:t>in</w:t>
      </w:r>
      <w:r w:rsidRPr="00B26E25">
        <w:rPr>
          <w:szCs w:val="24"/>
        </w:rPr>
        <w:t xml:space="preserve"> protections may well be adequate for some </w:t>
      </w:r>
      <w:r w:rsidRPr="00B26E25">
        <w:rPr>
          <w:i/>
          <w:szCs w:val="24"/>
        </w:rPr>
        <w:t xml:space="preserve">de facto </w:t>
      </w:r>
      <w:r w:rsidRPr="00B26E25">
        <w:rPr>
          <w:szCs w:val="24"/>
        </w:rPr>
        <w:t>spouses who enter their</w:t>
      </w:r>
      <w:r w:rsidRPr="00B26E25">
        <w:rPr>
          <w:i/>
          <w:szCs w:val="24"/>
        </w:rPr>
        <w:t xml:space="preserve"> </w:t>
      </w:r>
      <w:r w:rsidRPr="00B26E25">
        <w:rPr>
          <w:szCs w:val="24"/>
        </w:rPr>
        <w:t>unions with sufficient financial security, legal information, and the intent to avoid the consequences of a more formal union.  But their ability to exercise freedom of choice can be equally prote</w:t>
      </w:r>
      <w:r w:rsidR="00830804">
        <w:rPr>
          <w:szCs w:val="24"/>
        </w:rPr>
        <w:t>cted under a regime with an opt-</w:t>
      </w:r>
      <w:r w:rsidRPr="00B26E25">
        <w:rPr>
          <w:i/>
          <w:szCs w:val="24"/>
        </w:rPr>
        <w:t>out</w:t>
      </w:r>
      <w:r w:rsidRPr="00B26E25">
        <w:rPr>
          <w:szCs w:val="24"/>
        </w:rPr>
        <w:t xml:space="preserve"> mechanism.  The needs of the economically vulnerable, however, require presumptive protection no less in </w:t>
      </w:r>
      <w:r w:rsidRPr="00B26E25">
        <w:rPr>
          <w:i/>
          <w:szCs w:val="24"/>
        </w:rPr>
        <w:t xml:space="preserve">de facto </w:t>
      </w:r>
      <w:r w:rsidRPr="00B26E25">
        <w:rPr>
          <w:szCs w:val="24"/>
        </w:rPr>
        <w:t>unions than in more formal ones.</w:t>
      </w:r>
      <w:r w:rsidR="00CD568D" w:rsidRPr="00B26E25">
        <w:rPr>
          <w:szCs w:val="24"/>
        </w:rPr>
        <w:t xml:space="preserve"> </w:t>
      </w:r>
      <w:r w:rsidRPr="00B26E25">
        <w:rPr>
          <w:szCs w:val="24"/>
          <w:lang w:bidi="en-US"/>
        </w:rPr>
        <w:t xml:space="preserve"> The evidence discloses that many </w:t>
      </w:r>
      <w:r w:rsidRPr="00B26E25">
        <w:rPr>
          <w:i/>
          <w:szCs w:val="24"/>
          <w:lang w:bidi="en-US"/>
        </w:rPr>
        <w:t xml:space="preserve">de facto </w:t>
      </w:r>
      <w:r w:rsidRPr="00B26E25">
        <w:rPr>
          <w:szCs w:val="24"/>
          <w:lang w:bidi="en-US"/>
        </w:rPr>
        <w:t>spouses</w:t>
      </w:r>
      <w:r w:rsidRPr="00B26E25">
        <w:rPr>
          <w:szCs w:val="24"/>
        </w:rPr>
        <w:t xml:space="preserve"> simply do not turn their minds to the eventuality of separation. </w:t>
      </w:r>
      <w:r w:rsidR="00CD568D" w:rsidRPr="00B26E25">
        <w:rPr>
          <w:szCs w:val="24"/>
        </w:rPr>
        <w:t xml:space="preserve"> </w:t>
      </w:r>
      <w:r w:rsidRPr="00B26E25">
        <w:rPr>
          <w:szCs w:val="24"/>
        </w:rPr>
        <w:t xml:space="preserve">This lack of awareness speaks to the relative merit of a system of presumptive protection, under which they would be protected whether aware of their legal rights or not, while leaving </w:t>
      </w:r>
      <w:r w:rsidRPr="00B26E25">
        <w:rPr>
          <w:i/>
          <w:szCs w:val="24"/>
        </w:rPr>
        <w:t xml:space="preserve">de facto </w:t>
      </w:r>
      <w:r w:rsidR="003C4038">
        <w:rPr>
          <w:szCs w:val="24"/>
        </w:rPr>
        <w:t>spouses who wish to do so</w:t>
      </w:r>
      <w:r w:rsidRPr="00B26E25">
        <w:rPr>
          <w:szCs w:val="24"/>
        </w:rPr>
        <w:t xml:space="preserve"> the freedom to choose not to be protected.</w:t>
      </w:r>
      <w:r w:rsidR="00CD568D" w:rsidRPr="00B26E25">
        <w:rPr>
          <w:szCs w:val="24"/>
        </w:rPr>
        <w:t xml:space="preserve"> </w:t>
      </w:r>
      <w:r w:rsidRPr="00B26E25">
        <w:rPr>
          <w:szCs w:val="24"/>
        </w:rPr>
        <w:t xml:space="preserve"> A further weakness of the current opt</w:t>
      </w:r>
      <w:r w:rsidR="00C7175C" w:rsidRPr="00B26E25">
        <w:rPr>
          <w:szCs w:val="24"/>
        </w:rPr>
        <w:noBreakHyphen/>
      </w:r>
      <w:r w:rsidRPr="00B26E25">
        <w:rPr>
          <w:szCs w:val="24"/>
        </w:rPr>
        <w:t xml:space="preserve">in system is its failure to recognize that the choice to formally marry is a mutual and complex decision, as </w:t>
      </w:r>
      <w:r w:rsidRPr="00B26E25">
        <w:rPr>
          <w:i/>
          <w:szCs w:val="24"/>
        </w:rPr>
        <w:t>Miron</w:t>
      </w:r>
      <w:r w:rsidRPr="00B26E25">
        <w:rPr>
          <w:szCs w:val="24"/>
        </w:rPr>
        <w:t xml:space="preserve"> pointed out.  Where one member of a couple refuses to marry or enter </w:t>
      </w:r>
      <w:r w:rsidR="00921BF3">
        <w:rPr>
          <w:szCs w:val="24"/>
        </w:rPr>
        <w:t xml:space="preserve">into </w:t>
      </w:r>
      <w:r w:rsidRPr="00B26E25">
        <w:rPr>
          <w:szCs w:val="24"/>
        </w:rPr>
        <w:t>a civil union, he or she thereby deprives the other of the benefit of needed economic support when the relationship ends.</w:t>
      </w:r>
    </w:p>
    <w:p w:rsidR="00165D29" w:rsidRPr="00B26E25" w:rsidRDefault="00165D29" w:rsidP="0019189B">
      <w:pPr>
        <w:pStyle w:val="SCCNormalDoubleSpacing"/>
        <w:spacing w:after="480"/>
        <w:rPr>
          <w:szCs w:val="24"/>
        </w:rPr>
      </w:pPr>
      <w:r w:rsidRPr="00B26E25">
        <w:rPr>
          <w:szCs w:val="24"/>
        </w:rPr>
        <w:tab/>
        <w:t>Every other province has extended spousal support to unmarried spouses.  They have set minimum periods of cohabitation before couples are subject to their regimes, and have preserved freedom of choice by allowing couples to opt out.  Some have also extended statutory division of property to unmarried spouses.</w:t>
      </w:r>
      <w:r w:rsidRPr="00B26E25">
        <w:rPr>
          <w:szCs w:val="24"/>
          <w:lang w:bidi="en-US"/>
        </w:rPr>
        <w:t xml:space="preserve">  </w:t>
      </w:r>
      <w:r w:rsidRPr="00B26E25">
        <w:rPr>
          <w:iCs/>
          <w:szCs w:val="24"/>
          <w:lang w:bidi="en-US"/>
        </w:rPr>
        <w:t xml:space="preserve">These presumptively protective schemes with a right on the part of </w:t>
      </w:r>
      <w:r w:rsidRPr="00B26E25">
        <w:rPr>
          <w:i/>
          <w:iCs/>
          <w:szCs w:val="24"/>
          <w:lang w:bidi="en-US"/>
        </w:rPr>
        <w:t>de facto</w:t>
      </w:r>
      <w:r w:rsidRPr="00B26E25">
        <w:rPr>
          <w:iCs/>
          <w:szCs w:val="24"/>
          <w:lang w:bidi="en-US"/>
        </w:rPr>
        <w:t xml:space="preserve"> spouses to opt </w:t>
      </w:r>
      <w:r w:rsidRPr="00B26E25">
        <w:rPr>
          <w:i/>
          <w:iCs/>
          <w:szCs w:val="24"/>
          <w:lang w:bidi="en-US"/>
        </w:rPr>
        <w:t>out</w:t>
      </w:r>
      <w:r w:rsidR="006C427A" w:rsidRPr="00B26E25">
        <w:rPr>
          <w:iCs/>
          <w:szCs w:val="24"/>
          <w:lang w:bidi="en-US"/>
        </w:rPr>
        <w:t xml:space="preserve"> a</w:t>
      </w:r>
      <w:r w:rsidRPr="00B26E25">
        <w:rPr>
          <w:iCs/>
          <w:szCs w:val="24"/>
          <w:lang w:bidi="en-US"/>
        </w:rPr>
        <w:t xml:space="preserve">re examples of alternatives that would provide economically vulnerable spouses with the protection they need, without in any way interfering with the legislative objective of giving freedom of choice to those </w:t>
      </w:r>
      <w:r w:rsidRPr="00B26E25">
        <w:rPr>
          <w:i/>
          <w:iCs/>
          <w:szCs w:val="24"/>
          <w:lang w:bidi="en-US"/>
        </w:rPr>
        <w:t>de facto</w:t>
      </w:r>
      <w:r w:rsidRPr="00B26E25">
        <w:rPr>
          <w:iCs/>
          <w:szCs w:val="24"/>
          <w:lang w:bidi="en-US"/>
        </w:rPr>
        <w:t xml:space="preserve"> spouses who want to exercise it.  </w:t>
      </w:r>
      <w:r w:rsidRPr="00B26E25">
        <w:rPr>
          <w:szCs w:val="24"/>
        </w:rPr>
        <w:t>At the end of the day, the m</w:t>
      </w:r>
      <w:r w:rsidR="00C7175C" w:rsidRPr="00B26E25">
        <w:rPr>
          <w:szCs w:val="24"/>
        </w:rPr>
        <w:t>ethodology for remedying the s. </w:t>
      </w:r>
      <w:r w:rsidRPr="00B26E25">
        <w:rPr>
          <w:szCs w:val="24"/>
        </w:rPr>
        <w:t>15 breach lies with the Quebec legislature, and</w:t>
      </w:r>
      <w:r w:rsidRPr="00B26E25">
        <w:rPr>
          <w:szCs w:val="24"/>
          <w:lang w:bidi="en-US"/>
        </w:rPr>
        <w:t xml:space="preserve"> Quebec is in no way obliged to mimic any other province</w:t>
      </w:r>
      <w:r w:rsidR="00C7175C" w:rsidRPr="00B26E25">
        <w:rPr>
          <w:szCs w:val="24"/>
          <w:lang w:bidi="en-US"/>
        </w:rPr>
        <w:t>’</w:t>
      </w:r>
      <w:r w:rsidRPr="00B26E25">
        <w:rPr>
          <w:szCs w:val="24"/>
          <w:lang w:bidi="en-US"/>
        </w:rPr>
        <w:t>s</w:t>
      </w:r>
      <w:r w:rsidRPr="00B26E25">
        <w:rPr>
          <w:b/>
          <w:szCs w:val="24"/>
          <w:lang w:bidi="en-US"/>
        </w:rPr>
        <w:t xml:space="preserve"> </w:t>
      </w:r>
      <w:r w:rsidRPr="00B26E25">
        <w:rPr>
          <w:szCs w:val="24"/>
          <w:lang w:bidi="en-US"/>
        </w:rPr>
        <w:t xml:space="preserve">treatment of </w:t>
      </w:r>
      <w:r w:rsidRPr="00B26E25">
        <w:rPr>
          <w:i/>
          <w:szCs w:val="24"/>
          <w:lang w:bidi="en-US"/>
        </w:rPr>
        <w:t xml:space="preserve">de facto </w:t>
      </w:r>
      <w:r w:rsidRPr="00B26E25">
        <w:rPr>
          <w:szCs w:val="24"/>
          <w:lang w:bidi="en-US"/>
        </w:rPr>
        <w:t>spouses.</w:t>
      </w:r>
      <w:r w:rsidRPr="00B26E25">
        <w:rPr>
          <w:szCs w:val="24"/>
        </w:rPr>
        <w:t xml:space="preserve">  But t</w:t>
      </w:r>
      <w:r w:rsidRPr="00B26E25">
        <w:rPr>
          <w:szCs w:val="24"/>
          <w:lang w:bidi="en-US"/>
        </w:rPr>
        <w:t xml:space="preserve">he fact of these other regimes can be helpful in determining that there </w:t>
      </w:r>
      <w:r w:rsidRPr="00B26E25">
        <w:rPr>
          <w:i/>
          <w:szCs w:val="24"/>
          <w:lang w:bidi="en-US"/>
        </w:rPr>
        <w:t>is</w:t>
      </w:r>
      <w:r w:rsidRPr="00B26E25">
        <w:rPr>
          <w:szCs w:val="24"/>
          <w:lang w:bidi="en-US"/>
        </w:rPr>
        <w:t xml:space="preserve"> a</w:t>
      </w:r>
      <w:r w:rsidRPr="00B26E25">
        <w:rPr>
          <w:i/>
          <w:szCs w:val="24"/>
          <w:lang w:bidi="en-US"/>
        </w:rPr>
        <w:t xml:space="preserve"> </w:t>
      </w:r>
      <w:r w:rsidRPr="00B26E25">
        <w:rPr>
          <w:szCs w:val="24"/>
          <w:lang w:bidi="en-US"/>
        </w:rPr>
        <w:t xml:space="preserve">less impairing way to fulfill the objective of preserving freedom of choice without infringing the equality rights of </w:t>
      </w:r>
      <w:r w:rsidRPr="00B26E25">
        <w:rPr>
          <w:i/>
          <w:szCs w:val="24"/>
          <w:lang w:bidi="en-US"/>
        </w:rPr>
        <w:t>de facto</w:t>
      </w:r>
      <w:r w:rsidRPr="00B26E25">
        <w:rPr>
          <w:szCs w:val="24"/>
          <w:lang w:bidi="en-US"/>
        </w:rPr>
        <w:t xml:space="preserve"> </w:t>
      </w:r>
      <w:r w:rsidR="00CD568D" w:rsidRPr="00B26E25">
        <w:rPr>
          <w:szCs w:val="24"/>
        </w:rPr>
        <w:t>spouses.</w:t>
      </w:r>
    </w:p>
    <w:p w:rsidR="00165D29" w:rsidRPr="00B26E25" w:rsidRDefault="00165D29" w:rsidP="0019189B">
      <w:pPr>
        <w:pStyle w:val="SCCNormalDoubleSpacing"/>
        <w:spacing w:after="480"/>
        <w:rPr>
          <w:szCs w:val="24"/>
        </w:rPr>
      </w:pPr>
      <w:r w:rsidRPr="00B26E25">
        <w:rPr>
          <w:szCs w:val="24"/>
        </w:rPr>
        <w:tab/>
        <w:t xml:space="preserve">The choices for </w:t>
      </w:r>
      <w:r w:rsidRPr="00B26E25">
        <w:rPr>
          <w:i/>
          <w:szCs w:val="24"/>
        </w:rPr>
        <w:t xml:space="preserve">de facto </w:t>
      </w:r>
      <w:r w:rsidRPr="00B26E25">
        <w:rPr>
          <w:szCs w:val="24"/>
        </w:rPr>
        <w:t>spouses in Quebec are to enter into a contract to enshrine certain protections, to marry and receive all the protections provided by law, or to remain unbound by any mutual rights or obligations.  It is entirely possible for Quebec to design a regime that retains all of these choices</w:t>
      </w:r>
      <w:r w:rsidR="00CD568D" w:rsidRPr="00B26E25">
        <w:rPr>
          <w:szCs w:val="24"/>
        </w:rPr>
        <w:t xml:space="preserve"> without violating s. </w:t>
      </w:r>
      <w:r w:rsidRPr="00B26E25">
        <w:rPr>
          <w:szCs w:val="24"/>
        </w:rPr>
        <w:t>15.  Spouses who are aware of their legal rights, and choose not to marry so they can avoid Quebec</w:t>
      </w:r>
      <w:r w:rsidR="00C7175C" w:rsidRPr="00B26E25">
        <w:rPr>
          <w:szCs w:val="24"/>
        </w:rPr>
        <w:t>’</w:t>
      </w:r>
      <w:r w:rsidRPr="00B26E25">
        <w:rPr>
          <w:szCs w:val="24"/>
        </w:rPr>
        <w:t xml:space="preserve">s support and property regimes, would be free to choose to remove themselves from a presumptively protective regime.  Changing the </w:t>
      </w:r>
      <w:r w:rsidRPr="00B26E25">
        <w:rPr>
          <w:i/>
          <w:szCs w:val="24"/>
        </w:rPr>
        <w:t>default</w:t>
      </w:r>
      <w:r w:rsidRPr="00B26E25">
        <w:rPr>
          <w:szCs w:val="24"/>
        </w:rPr>
        <w:t xml:space="preserve"> situation of the couple, however, so that spousal support and division of property protection of some kind applies to them, would protect those spouses for whom the choices are illusory and who are left economically vulnerable at the end of the relationshi</w:t>
      </w:r>
      <w:r w:rsidR="0019189B" w:rsidRPr="00B26E25">
        <w:rPr>
          <w:szCs w:val="24"/>
        </w:rPr>
        <w:t>p.</w:t>
      </w:r>
    </w:p>
    <w:p w:rsidR="00165D29" w:rsidRPr="00B26E25" w:rsidRDefault="00165D29" w:rsidP="0019189B">
      <w:pPr>
        <w:pStyle w:val="SCCNormalDoubleSpacing"/>
        <w:spacing w:after="480"/>
        <w:rPr>
          <w:szCs w:val="24"/>
        </w:rPr>
      </w:pPr>
      <w:r w:rsidRPr="00B26E25">
        <w:rPr>
          <w:szCs w:val="24"/>
          <w:lang w:bidi="en-US"/>
        </w:rPr>
        <w:tab/>
        <w:t xml:space="preserve">The deleterious effect of excluding all </w:t>
      </w:r>
      <w:r w:rsidRPr="00B26E25">
        <w:rPr>
          <w:i/>
          <w:szCs w:val="24"/>
          <w:lang w:bidi="en-US"/>
        </w:rPr>
        <w:t>de facto</w:t>
      </w:r>
      <w:r w:rsidRPr="00B26E25">
        <w:rPr>
          <w:szCs w:val="24"/>
          <w:lang w:bidi="en-US"/>
        </w:rPr>
        <w:t xml:space="preserve"> spouses, who represent over a third of Quebec couples, from the protection of the family support and division of property regimes is profound.  Being excluded requires potentially vulnerable </w:t>
      </w:r>
      <w:r w:rsidRPr="00B26E25">
        <w:rPr>
          <w:i/>
          <w:szCs w:val="24"/>
          <w:lang w:bidi="en-US"/>
        </w:rPr>
        <w:t>de facto</w:t>
      </w:r>
      <w:r w:rsidRPr="00B26E25">
        <w:rPr>
          <w:szCs w:val="24"/>
        </w:rPr>
        <w:t xml:space="preserve"> spouses, unlike potentially vulnerable spouses in formal unions, to expend time, effort and money to try to obtain some financial assistance.  If the vulnerable spouse fails to take these steps, either through a lack of knowledge or resources, or because of the limits on his or her options imposed by an uncooperative partner, he or she will remain unprotected.  The outcome for such a spouse in the event of a separation can be, as it is for economically dependent spouses in formal unions, catastrophic.  The difference is that economically dependent spouses in formal unions have automatic access to the possibility of financial remedies.  </w:t>
      </w:r>
      <w:r w:rsidRPr="00B26E25">
        <w:rPr>
          <w:i/>
          <w:szCs w:val="24"/>
        </w:rPr>
        <w:t>De facto</w:t>
      </w:r>
      <w:r w:rsidRPr="00B26E25">
        <w:rPr>
          <w:szCs w:val="24"/>
        </w:rPr>
        <w:t xml:space="preserve"> spouses have no such acce</w:t>
      </w:r>
      <w:r w:rsidR="00C7175C" w:rsidRPr="00B26E25">
        <w:rPr>
          <w:szCs w:val="24"/>
        </w:rPr>
        <w:t xml:space="preserve">ss.  </w:t>
      </w:r>
      <w:r w:rsidRPr="00B26E25">
        <w:rPr>
          <w:szCs w:val="24"/>
        </w:rPr>
        <w:t xml:space="preserve">The salutary </w:t>
      </w:r>
      <w:r w:rsidR="00DF2B74" w:rsidRPr="00B26E25">
        <w:rPr>
          <w:szCs w:val="24"/>
        </w:rPr>
        <w:t>impact</w:t>
      </w:r>
      <w:r w:rsidRPr="00B26E25">
        <w:rPr>
          <w:szCs w:val="24"/>
        </w:rPr>
        <w:t xml:space="preserve"> of the exclusion, on the other hand, </w:t>
      </w:r>
      <w:r w:rsidR="00DF2B74" w:rsidRPr="00B26E25">
        <w:rPr>
          <w:szCs w:val="24"/>
        </w:rPr>
        <w:t>is</w:t>
      </w:r>
      <w:r w:rsidRPr="00B26E25">
        <w:rPr>
          <w:szCs w:val="24"/>
        </w:rPr>
        <w:t xml:space="preserve"> the preservation of </w:t>
      </w:r>
      <w:r w:rsidRPr="00B26E25">
        <w:rPr>
          <w:i/>
          <w:szCs w:val="24"/>
        </w:rPr>
        <w:t>de facto</w:t>
      </w:r>
      <w:r w:rsidRPr="00B26E25">
        <w:rPr>
          <w:szCs w:val="24"/>
        </w:rPr>
        <w:t xml:space="preserve"> spouses</w:t>
      </w:r>
      <w:r w:rsidR="00C7175C" w:rsidRPr="00B26E25">
        <w:rPr>
          <w:szCs w:val="24"/>
        </w:rPr>
        <w:t>’</w:t>
      </w:r>
      <w:r w:rsidRPr="00B26E25">
        <w:rPr>
          <w:szCs w:val="24"/>
        </w:rPr>
        <w:t xml:space="preserve"> freedom to choose not to be in a formal union.  Those for whom a </w:t>
      </w:r>
      <w:r w:rsidRPr="00B26E25">
        <w:rPr>
          <w:i/>
          <w:szCs w:val="24"/>
        </w:rPr>
        <w:t>de facto</w:t>
      </w:r>
      <w:r w:rsidRPr="00B26E25">
        <w:rPr>
          <w:szCs w:val="24"/>
        </w:rPr>
        <w:t xml:space="preserve"> union is truly a chosen means to preserve economic independence would still be able to achieve this re</w:t>
      </w:r>
      <w:r w:rsidR="00DF2B74" w:rsidRPr="00B26E25">
        <w:rPr>
          <w:szCs w:val="24"/>
        </w:rPr>
        <w:t>sult by opting out.  Since the salutary effect</w:t>
      </w:r>
      <w:r w:rsidRPr="00B26E25">
        <w:rPr>
          <w:szCs w:val="24"/>
        </w:rPr>
        <w:t xml:space="preserve"> can be achieved without in any way compromising a </w:t>
      </w:r>
      <w:r w:rsidRPr="00B26E25">
        <w:rPr>
          <w:i/>
          <w:szCs w:val="24"/>
        </w:rPr>
        <w:t xml:space="preserve">de facto </w:t>
      </w:r>
      <w:r w:rsidRPr="00B26E25">
        <w:rPr>
          <w:szCs w:val="24"/>
        </w:rPr>
        <w:t>spou</w:t>
      </w:r>
      <w:r w:rsidR="00DF2B74" w:rsidRPr="00B26E25">
        <w:rPr>
          <w:szCs w:val="24"/>
        </w:rPr>
        <w:t>se</w:t>
      </w:r>
      <w:r w:rsidR="00C7175C" w:rsidRPr="00B26E25">
        <w:rPr>
          <w:szCs w:val="24"/>
        </w:rPr>
        <w:t>’</w:t>
      </w:r>
      <w:r w:rsidR="00DF2B74" w:rsidRPr="00B26E25">
        <w:rPr>
          <w:szCs w:val="24"/>
        </w:rPr>
        <w:t>s freedom of choice, it</w:t>
      </w:r>
      <w:r w:rsidRPr="00B26E25">
        <w:rPr>
          <w:szCs w:val="24"/>
        </w:rPr>
        <w:t xml:space="preserve"> cannot be said to outweigh the serious harm for economically vulnerable </w:t>
      </w:r>
      <w:r w:rsidRPr="00B26E25">
        <w:rPr>
          <w:i/>
          <w:szCs w:val="24"/>
        </w:rPr>
        <w:t>de facto</w:t>
      </w:r>
      <w:r w:rsidRPr="00B26E25">
        <w:rPr>
          <w:szCs w:val="24"/>
        </w:rPr>
        <w:t xml:space="preserve"> spouses that results from their exclusion from the family support and property regimes.</w:t>
      </w:r>
    </w:p>
    <w:p w:rsidR="007E1C47" w:rsidRPr="00B26E25" w:rsidRDefault="002E6705" w:rsidP="00EF7B59">
      <w:pPr>
        <w:pStyle w:val="SCCNormalDoubleSpacing"/>
        <w:keepNext/>
        <w:spacing w:after="720" w:line="240" w:lineRule="auto"/>
        <w:rPr>
          <w:b/>
          <w:szCs w:val="24"/>
        </w:rPr>
      </w:pPr>
      <w:r w:rsidRPr="00B26E25">
        <w:rPr>
          <w:b/>
          <w:szCs w:val="24"/>
        </w:rPr>
        <w:t>Cases Cited</w:t>
      </w:r>
    </w:p>
    <w:p w:rsidR="00A149DF" w:rsidRPr="00B26E25" w:rsidRDefault="00C941C3" w:rsidP="00EF7B59">
      <w:pPr>
        <w:pStyle w:val="SCCNormalDoubleSpacing"/>
        <w:keepNext/>
        <w:spacing w:after="720" w:line="240" w:lineRule="auto"/>
        <w:rPr>
          <w:szCs w:val="24"/>
        </w:rPr>
      </w:pPr>
      <w:r w:rsidRPr="00B26E25">
        <w:rPr>
          <w:szCs w:val="24"/>
        </w:rPr>
        <w:t>By LeBel</w:t>
      </w:r>
      <w:r w:rsidR="0096062C" w:rsidRPr="00B26E25">
        <w:rPr>
          <w:szCs w:val="24"/>
        </w:rPr>
        <w:t> </w:t>
      </w:r>
      <w:r w:rsidRPr="00B26E25">
        <w:rPr>
          <w:szCs w:val="24"/>
        </w:rPr>
        <w:t>J.</w:t>
      </w:r>
    </w:p>
    <w:p w:rsidR="00441E80" w:rsidRPr="00B26E25" w:rsidRDefault="002E6705" w:rsidP="00B03F5F">
      <w:pPr>
        <w:pStyle w:val="SCCNormalDoubleSpacing"/>
        <w:spacing w:after="480"/>
        <w:rPr>
          <w:szCs w:val="24"/>
          <w:lang w:val="en-US"/>
        </w:rPr>
      </w:pPr>
      <w:r w:rsidRPr="00B26E25">
        <w:rPr>
          <w:szCs w:val="24"/>
        </w:rPr>
        <w:tab/>
      </w:r>
      <w:r w:rsidR="003D4E4E">
        <w:rPr>
          <w:b/>
          <w:szCs w:val="24"/>
        </w:rPr>
        <w:t>Applied</w:t>
      </w:r>
      <w:r w:rsidRPr="00B26E25">
        <w:rPr>
          <w:b/>
          <w:szCs w:val="24"/>
        </w:rPr>
        <w:t>:</w:t>
      </w:r>
      <w:r w:rsidR="00BD0E9E" w:rsidRPr="00B26E25">
        <w:rPr>
          <w:szCs w:val="24"/>
        </w:rPr>
        <w:t xml:space="preserve"> </w:t>
      </w:r>
      <w:r w:rsidR="00CF2094" w:rsidRPr="00B26E25">
        <w:rPr>
          <w:szCs w:val="24"/>
        </w:rPr>
        <w:t xml:space="preserve"> </w:t>
      </w:r>
      <w:r w:rsidR="008A7A10" w:rsidRPr="00B26E25">
        <w:rPr>
          <w:i/>
          <w:szCs w:val="24"/>
        </w:rPr>
        <w:t>R. v. Kapp</w:t>
      </w:r>
      <w:r w:rsidR="008A7A10" w:rsidRPr="00B26E25">
        <w:rPr>
          <w:szCs w:val="24"/>
        </w:rPr>
        <w:t xml:space="preserve">, 2008 SCC 41, [2008] 2 S.C.R. 483; </w:t>
      </w:r>
      <w:r w:rsidR="003D4E4E" w:rsidRPr="00B26E25">
        <w:rPr>
          <w:i/>
          <w:szCs w:val="24"/>
          <w:lang w:val="en-US"/>
        </w:rPr>
        <w:t>Withler v. Canada (Attorney General)</w:t>
      </w:r>
      <w:r w:rsidR="003D4E4E" w:rsidRPr="00B26E25">
        <w:rPr>
          <w:szCs w:val="24"/>
          <w:lang w:val="en-US"/>
        </w:rPr>
        <w:t xml:space="preserve">, 2011 SCC 12, [2011] 1 S.C.R. 396; </w:t>
      </w:r>
      <w:r w:rsidR="00C82271" w:rsidRPr="00B26E25">
        <w:rPr>
          <w:i/>
          <w:szCs w:val="24"/>
        </w:rPr>
        <w:t>Nova Scotia (Attorney General) v. Walsh</w:t>
      </w:r>
      <w:r w:rsidR="00C82271" w:rsidRPr="00B26E25">
        <w:rPr>
          <w:szCs w:val="24"/>
        </w:rPr>
        <w:t xml:space="preserve">, 2002 SCC 83, [2002] 4 S.C.R. 325; </w:t>
      </w:r>
      <w:r w:rsidR="003D4E4E">
        <w:rPr>
          <w:b/>
          <w:szCs w:val="24"/>
        </w:rPr>
        <w:t xml:space="preserve">distinguished: </w:t>
      </w:r>
      <w:r w:rsidR="003D4E4E" w:rsidRPr="00B26E25">
        <w:rPr>
          <w:i/>
          <w:szCs w:val="24"/>
        </w:rPr>
        <w:t>M. v. H.</w:t>
      </w:r>
      <w:r w:rsidR="003D4E4E" w:rsidRPr="00B26E25">
        <w:rPr>
          <w:szCs w:val="24"/>
        </w:rPr>
        <w:t xml:space="preserve">, [1999] 2 S.C.R. 3; </w:t>
      </w:r>
      <w:r w:rsidR="003D4E4E">
        <w:rPr>
          <w:b/>
          <w:szCs w:val="24"/>
        </w:rPr>
        <w:t xml:space="preserve">discussed: </w:t>
      </w:r>
      <w:r w:rsidR="003D4E4E" w:rsidRPr="00B26E25">
        <w:rPr>
          <w:i/>
          <w:szCs w:val="24"/>
        </w:rPr>
        <w:t>Law v. Canada (Minister of Employment and Immigration)</w:t>
      </w:r>
      <w:r w:rsidR="003D4E4E" w:rsidRPr="00B26E25">
        <w:rPr>
          <w:szCs w:val="24"/>
        </w:rPr>
        <w:t xml:space="preserve">, [1999] 1 S.C.R. 497; </w:t>
      </w:r>
      <w:r w:rsidR="003D4E4E" w:rsidRPr="00B26E25">
        <w:rPr>
          <w:i/>
          <w:szCs w:val="24"/>
          <w:lang w:val="en-US"/>
        </w:rPr>
        <w:t>Andrews v. Law Society of British Columbia</w:t>
      </w:r>
      <w:r w:rsidR="003D4E4E" w:rsidRPr="00B26E25">
        <w:rPr>
          <w:szCs w:val="24"/>
          <w:lang w:val="en-US"/>
        </w:rPr>
        <w:t xml:space="preserve">, [1989] 1 S.C.R. 143; </w:t>
      </w:r>
      <w:r w:rsidR="003D4E4E">
        <w:rPr>
          <w:b/>
          <w:szCs w:val="24"/>
          <w:lang w:val="en-US"/>
        </w:rPr>
        <w:t xml:space="preserve">referred to: </w:t>
      </w:r>
      <w:r w:rsidR="00C82271" w:rsidRPr="00B26E25">
        <w:rPr>
          <w:i/>
          <w:szCs w:val="24"/>
        </w:rPr>
        <w:t>Miron v. Trudel</w:t>
      </w:r>
      <w:r w:rsidR="00C82271" w:rsidRPr="00B26E25">
        <w:rPr>
          <w:szCs w:val="24"/>
        </w:rPr>
        <w:t xml:space="preserve">, [1995] 2 S.C.R. 418; </w:t>
      </w:r>
      <w:r w:rsidR="003F5EE6" w:rsidRPr="00B26E25">
        <w:rPr>
          <w:i/>
          <w:szCs w:val="24"/>
          <w:lang w:val="en-US"/>
        </w:rPr>
        <w:t>M.T. v. J.</w:t>
      </w:r>
      <w:r w:rsidR="00C7175C" w:rsidRPr="00B26E25">
        <w:rPr>
          <w:i/>
          <w:szCs w:val="24"/>
          <w:lang w:val="en-US"/>
        </w:rPr>
        <w:noBreakHyphen/>
      </w:r>
      <w:r w:rsidR="003F5EE6" w:rsidRPr="00B26E25">
        <w:rPr>
          <w:i/>
          <w:szCs w:val="24"/>
          <w:lang w:val="en-US"/>
        </w:rPr>
        <w:t>Y.T.</w:t>
      </w:r>
      <w:r w:rsidR="003F5EE6" w:rsidRPr="00B26E25">
        <w:rPr>
          <w:szCs w:val="24"/>
          <w:lang w:val="en-US"/>
        </w:rPr>
        <w:t xml:space="preserve">, 2008 SCC 50, [2008] 2 S.C.R. 781; </w:t>
      </w:r>
      <w:r w:rsidR="005572C3" w:rsidRPr="00B26E25">
        <w:rPr>
          <w:i/>
          <w:szCs w:val="24"/>
          <w:lang w:val="en-US"/>
        </w:rPr>
        <w:t xml:space="preserve">Droit de la famille </w:t>
      </w:r>
      <w:r w:rsidR="00F74EE8" w:rsidRPr="00B26E25">
        <w:rPr>
          <w:i/>
          <w:szCs w:val="24"/>
          <w:lang w:val="en-US"/>
        </w:rPr>
        <w:t>—</w:t>
      </w:r>
      <w:r w:rsidR="005572C3" w:rsidRPr="00B26E25">
        <w:rPr>
          <w:i/>
          <w:szCs w:val="24"/>
          <w:lang w:val="en-US"/>
        </w:rPr>
        <w:t xml:space="preserve"> 977</w:t>
      </w:r>
      <w:r w:rsidR="005572C3" w:rsidRPr="00B26E25">
        <w:rPr>
          <w:szCs w:val="24"/>
          <w:lang w:val="en-US"/>
        </w:rPr>
        <w:t xml:space="preserve">, [1991] R.J.Q. 904; </w:t>
      </w:r>
      <w:r w:rsidR="005572C3" w:rsidRPr="00B26E25">
        <w:rPr>
          <w:i/>
          <w:szCs w:val="24"/>
          <w:lang w:val="en-US"/>
        </w:rPr>
        <w:t>Bracklow v. Bracklow</w:t>
      </w:r>
      <w:r w:rsidR="005572C3" w:rsidRPr="00B26E25">
        <w:rPr>
          <w:szCs w:val="24"/>
          <w:lang w:val="en-US"/>
        </w:rPr>
        <w:t xml:space="preserve">, [1999] 1 S.C.R. 420; </w:t>
      </w:r>
      <w:r w:rsidR="005572C3" w:rsidRPr="00B26E25">
        <w:rPr>
          <w:i/>
          <w:szCs w:val="24"/>
          <w:lang w:val="en-US"/>
        </w:rPr>
        <w:t>G.B. v. C.C.</w:t>
      </w:r>
      <w:r w:rsidR="005572C3" w:rsidRPr="00B26E25">
        <w:rPr>
          <w:szCs w:val="24"/>
          <w:lang w:val="en-US"/>
        </w:rPr>
        <w:t xml:space="preserve">, [2001] R.J.Q. 1435; </w:t>
      </w:r>
      <w:r w:rsidR="005572C3" w:rsidRPr="00B26E25">
        <w:rPr>
          <w:i/>
          <w:szCs w:val="24"/>
          <w:lang w:val="en-US"/>
        </w:rPr>
        <w:t>Couture v. Gagnon</w:t>
      </w:r>
      <w:r w:rsidR="005572C3" w:rsidRPr="00B26E25">
        <w:rPr>
          <w:szCs w:val="24"/>
          <w:lang w:val="en-US"/>
        </w:rPr>
        <w:t xml:space="preserve">, [2001] R.J.Q. 2047, leave to appeal refused, [2002] 3 S.C.R. vii; </w:t>
      </w:r>
      <w:r w:rsidR="005572C3" w:rsidRPr="00B26E25">
        <w:rPr>
          <w:i/>
          <w:szCs w:val="24"/>
          <w:lang w:val="en-US"/>
        </w:rPr>
        <w:t>Ponton v. Dubé</w:t>
      </w:r>
      <w:r w:rsidR="005572C3" w:rsidRPr="00B26E25">
        <w:rPr>
          <w:szCs w:val="24"/>
          <w:lang w:val="en-US"/>
        </w:rPr>
        <w:t xml:space="preserve">, 2005 QCCA 413 (CanLII); </w:t>
      </w:r>
      <w:r w:rsidR="00CB5745" w:rsidRPr="00B26E25">
        <w:rPr>
          <w:i/>
          <w:szCs w:val="24"/>
          <w:lang w:val="en-US"/>
        </w:rPr>
        <w:t>Bourbonnais v. Pratt</w:t>
      </w:r>
      <w:r w:rsidR="00CB5745" w:rsidRPr="00B26E25">
        <w:rPr>
          <w:szCs w:val="24"/>
          <w:lang w:val="en-US"/>
        </w:rPr>
        <w:t xml:space="preserve">, 2006 QCCS 5611, [2007] R.D.F. 124; </w:t>
      </w:r>
      <w:r w:rsidR="00CB5745" w:rsidRPr="00B26E25">
        <w:rPr>
          <w:i/>
          <w:szCs w:val="24"/>
          <w:lang w:val="en-US"/>
        </w:rPr>
        <w:t>M.B. v. L.L.</w:t>
      </w:r>
      <w:r w:rsidR="00CB5745" w:rsidRPr="00B26E25">
        <w:rPr>
          <w:szCs w:val="24"/>
          <w:lang w:val="en-US"/>
        </w:rPr>
        <w:t xml:space="preserve">, [2003] R.D.F. 539; </w:t>
      </w:r>
      <w:r w:rsidR="004A22B4" w:rsidRPr="00B26E25">
        <w:rPr>
          <w:i/>
          <w:szCs w:val="24"/>
          <w:lang w:val="en-US"/>
        </w:rPr>
        <w:t>Peter v. Beblow</w:t>
      </w:r>
      <w:r w:rsidR="004A22B4" w:rsidRPr="00B26E25">
        <w:rPr>
          <w:szCs w:val="24"/>
          <w:lang w:val="en-US"/>
        </w:rPr>
        <w:t xml:space="preserve">, [1993] 1 S.C.R. 980; </w:t>
      </w:r>
      <w:r w:rsidR="00A82184" w:rsidRPr="00B26E25">
        <w:rPr>
          <w:i/>
          <w:szCs w:val="24"/>
          <w:lang w:val="en-US"/>
        </w:rPr>
        <w:t>Cie Immobilière Viger Ltée v. Lauréat Giguère Inc.</w:t>
      </w:r>
      <w:r w:rsidR="00A82184" w:rsidRPr="00B26E25">
        <w:rPr>
          <w:szCs w:val="24"/>
          <w:lang w:val="en-US"/>
        </w:rPr>
        <w:t xml:space="preserve">, [1977] 2 S.C.R. 67; </w:t>
      </w:r>
      <w:r w:rsidR="00C04FFB" w:rsidRPr="00B26E25">
        <w:rPr>
          <w:i/>
          <w:szCs w:val="24"/>
          <w:lang w:val="en-US"/>
        </w:rPr>
        <w:t>Benzina v. Le</w:t>
      </w:r>
      <w:r w:rsidR="00C04FFB" w:rsidRPr="00B26E25">
        <w:rPr>
          <w:szCs w:val="24"/>
          <w:lang w:val="en-US"/>
        </w:rPr>
        <w:t xml:space="preserve">, 2008 QCCA 803 (CanLII); </w:t>
      </w:r>
      <w:r w:rsidR="00C04FFB" w:rsidRPr="00B26E25">
        <w:rPr>
          <w:i/>
          <w:szCs w:val="24"/>
          <w:lang w:val="en-US"/>
        </w:rPr>
        <w:t>Barrette v. Falardeau</w:t>
      </w:r>
      <w:r w:rsidR="00C04FFB" w:rsidRPr="00B26E25">
        <w:rPr>
          <w:szCs w:val="24"/>
          <w:lang w:val="en-US"/>
        </w:rPr>
        <w:t xml:space="preserve">, 2010 QCCA 989 (CanLII); </w:t>
      </w:r>
      <w:r w:rsidR="00C04FFB" w:rsidRPr="00B26E25">
        <w:rPr>
          <w:i/>
          <w:szCs w:val="24"/>
          <w:lang w:val="en-US"/>
        </w:rPr>
        <w:t>C.L. v. J.Le.</w:t>
      </w:r>
      <w:r w:rsidR="00C04FFB" w:rsidRPr="00B26E25">
        <w:rPr>
          <w:szCs w:val="24"/>
          <w:lang w:val="en-US"/>
        </w:rPr>
        <w:t xml:space="preserve">, 2010 QCCA 2370 (CanLII); </w:t>
      </w:r>
      <w:r w:rsidR="00C04FFB" w:rsidRPr="00B26E25">
        <w:rPr>
          <w:i/>
          <w:szCs w:val="24"/>
          <w:lang w:val="en-US"/>
        </w:rPr>
        <w:t>Droit de la famille — 121120</w:t>
      </w:r>
      <w:r w:rsidR="00C04FFB" w:rsidRPr="00B26E25">
        <w:rPr>
          <w:szCs w:val="24"/>
          <w:lang w:val="en-US"/>
        </w:rPr>
        <w:t xml:space="preserve">, 2012 QCCA 909 (CanLII); </w:t>
      </w:r>
      <w:r w:rsidR="00C04FFB" w:rsidRPr="00B26E25">
        <w:rPr>
          <w:i/>
          <w:szCs w:val="24"/>
          <w:lang w:val="en-US"/>
        </w:rPr>
        <w:t>Blencoe v.</w:t>
      </w:r>
      <w:r w:rsidR="001B0404" w:rsidRPr="00B26E25">
        <w:rPr>
          <w:i/>
          <w:szCs w:val="24"/>
          <w:lang w:val="en-US"/>
        </w:rPr>
        <w:t xml:space="preserve"> British Columbia</w:t>
      </w:r>
      <w:r w:rsidR="00C04FFB" w:rsidRPr="00B26E25">
        <w:rPr>
          <w:i/>
          <w:szCs w:val="24"/>
          <w:lang w:val="en-US"/>
        </w:rPr>
        <w:t xml:space="preserve"> (Human Rights Commission)</w:t>
      </w:r>
      <w:r w:rsidR="00C04FFB" w:rsidRPr="00B26E25">
        <w:rPr>
          <w:szCs w:val="24"/>
          <w:lang w:val="en-US"/>
        </w:rPr>
        <w:t>, 2000 S</w:t>
      </w:r>
      <w:r w:rsidR="001B0404" w:rsidRPr="00B26E25">
        <w:rPr>
          <w:szCs w:val="24"/>
          <w:lang w:val="en-US"/>
        </w:rPr>
        <w:t>C</w:t>
      </w:r>
      <w:r w:rsidR="00C04FFB" w:rsidRPr="00B26E25">
        <w:rPr>
          <w:szCs w:val="24"/>
          <w:lang w:val="en-US"/>
        </w:rPr>
        <w:t xml:space="preserve">C 44, [2000] 2 </w:t>
      </w:r>
      <w:r w:rsidR="001B0404" w:rsidRPr="00B26E25">
        <w:rPr>
          <w:szCs w:val="24"/>
          <w:lang w:val="en-US"/>
        </w:rPr>
        <w:t>S.C.</w:t>
      </w:r>
      <w:r w:rsidR="00C04FFB" w:rsidRPr="00B26E25">
        <w:rPr>
          <w:szCs w:val="24"/>
          <w:lang w:val="en-US"/>
        </w:rPr>
        <w:t xml:space="preserve">R. 307; </w:t>
      </w:r>
      <w:r w:rsidR="00C04FFB" w:rsidRPr="00B26E25">
        <w:rPr>
          <w:i/>
          <w:szCs w:val="24"/>
          <w:lang w:val="en-US"/>
        </w:rPr>
        <w:t xml:space="preserve">Gosselin </w:t>
      </w:r>
      <w:r w:rsidR="001B0404" w:rsidRPr="00B26E25">
        <w:rPr>
          <w:i/>
          <w:szCs w:val="24"/>
          <w:lang w:val="en-US"/>
        </w:rPr>
        <w:t>v</w:t>
      </w:r>
      <w:r w:rsidR="00C04FFB" w:rsidRPr="00B26E25">
        <w:rPr>
          <w:i/>
          <w:szCs w:val="24"/>
          <w:lang w:val="en-US"/>
        </w:rPr>
        <w:t>. Qu</w:t>
      </w:r>
      <w:r w:rsidR="001B0404" w:rsidRPr="00B26E25">
        <w:rPr>
          <w:i/>
          <w:szCs w:val="24"/>
          <w:lang w:val="en-US"/>
        </w:rPr>
        <w:t>e</w:t>
      </w:r>
      <w:r w:rsidR="00C04FFB" w:rsidRPr="00B26E25">
        <w:rPr>
          <w:i/>
          <w:szCs w:val="24"/>
          <w:lang w:val="en-US"/>
        </w:rPr>
        <w:t>bec (</w:t>
      </w:r>
      <w:r w:rsidR="001B0404" w:rsidRPr="00B26E25">
        <w:rPr>
          <w:i/>
          <w:szCs w:val="24"/>
          <w:lang w:val="en-US"/>
        </w:rPr>
        <w:t>Attorney General</w:t>
      </w:r>
      <w:r w:rsidR="00C04FFB" w:rsidRPr="00B26E25">
        <w:rPr>
          <w:i/>
          <w:szCs w:val="24"/>
          <w:lang w:val="en-US"/>
        </w:rPr>
        <w:t>)</w:t>
      </w:r>
      <w:r w:rsidR="00C04FFB" w:rsidRPr="00B26E25">
        <w:rPr>
          <w:szCs w:val="24"/>
          <w:lang w:val="en-US"/>
        </w:rPr>
        <w:t>, 2002 S</w:t>
      </w:r>
      <w:r w:rsidR="001B0404" w:rsidRPr="00B26E25">
        <w:rPr>
          <w:szCs w:val="24"/>
          <w:lang w:val="en-US"/>
        </w:rPr>
        <w:t>C</w:t>
      </w:r>
      <w:r w:rsidR="00C04FFB" w:rsidRPr="00B26E25">
        <w:rPr>
          <w:szCs w:val="24"/>
          <w:lang w:val="en-US"/>
        </w:rPr>
        <w:t xml:space="preserve">C 84, [2002] 4 </w:t>
      </w:r>
      <w:r w:rsidR="001B0404" w:rsidRPr="00B26E25">
        <w:rPr>
          <w:szCs w:val="24"/>
          <w:lang w:val="en-US"/>
        </w:rPr>
        <w:t>S.C.</w:t>
      </w:r>
      <w:r w:rsidR="00C04FFB" w:rsidRPr="00B26E25">
        <w:rPr>
          <w:szCs w:val="24"/>
          <w:lang w:val="en-US"/>
        </w:rPr>
        <w:t>R. 429;</w:t>
      </w:r>
      <w:r w:rsidR="001B0404" w:rsidRPr="00B26E25">
        <w:rPr>
          <w:szCs w:val="24"/>
          <w:lang w:val="en-US"/>
        </w:rPr>
        <w:t xml:space="preserve"> </w:t>
      </w:r>
      <w:r w:rsidR="006F23D4" w:rsidRPr="00B26E25">
        <w:rPr>
          <w:i/>
          <w:szCs w:val="24"/>
          <w:lang w:val="en-US"/>
        </w:rPr>
        <w:t>R. v. Big M Drug Mart Ltd.</w:t>
      </w:r>
      <w:r w:rsidR="006F23D4" w:rsidRPr="00B26E25">
        <w:rPr>
          <w:szCs w:val="24"/>
          <w:lang w:val="en-US"/>
        </w:rPr>
        <w:t xml:space="preserve">, [1985] 1 S.C.R. 295; </w:t>
      </w:r>
      <w:r w:rsidR="006F23D4" w:rsidRPr="00B26E25">
        <w:rPr>
          <w:i/>
          <w:szCs w:val="24"/>
          <w:lang w:val="en-US"/>
        </w:rPr>
        <w:t>R. v. Morgentaler</w:t>
      </w:r>
      <w:r w:rsidR="006F23D4" w:rsidRPr="00B26E25">
        <w:rPr>
          <w:szCs w:val="24"/>
          <w:lang w:val="en-US"/>
        </w:rPr>
        <w:t xml:space="preserve">, [1988] 1 S.C.R. 30; </w:t>
      </w:r>
      <w:r w:rsidR="006F23D4" w:rsidRPr="00B26E25">
        <w:rPr>
          <w:i/>
          <w:szCs w:val="24"/>
          <w:lang w:val="en-US"/>
        </w:rPr>
        <w:t>Rodriguez v. British Columbia (Attorney General)</w:t>
      </w:r>
      <w:r w:rsidR="006F23D4" w:rsidRPr="00B26E25">
        <w:rPr>
          <w:szCs w:val="24"/>
          <w:lang w:val="en-US"/>
        </w:rPr>
        <w:t xml:space="preserve">, [1993] 3 S.C.R. 519; </w:t>
      </w:r>
      <w:r w:rsidR="006F23D4" w:rsidRPr="00B26E25">
        <w:rPr>
          <w:i/>
          <w:szCs w:val="24"/>
          <w:lang w:val="en-US"/>
        </w:rPr>
        <w:t>Eldridge v. British Columbia (Attorney General)</w:t>
      </w:r>
      <w:r w:rsidR="006F23D4" w:rsidRPr="00B26E25">
        <w:rPr>
          <w:szCs w:val="24"/>
          <w:lang w:val="en-US"/>
        </w:rPr>
        <w:t xml:space="preserve">, [1997] 3 S.C.R. 624; </w:t>
      </w:r>
      <w:r w:rsidR="006F23D4" w:rsidRPr="00B26E25">
        <w:rPr>
          <w:i/>
          <w:szCs w:val="24"/>
          <w:lang w:val="en-US"/>
        </w:rPr>
        <w:t>Hodge v. Canada (Minister of Human Resources Development)</w:t>
      </w:r>
      <w:r w:rsidR="006F23D4" w:rsidRPr="00B26E25">
        <w:rPr>
          <w:szCs w:val="24"/>
          <w:lang w:val="en-US"/>
        </w:rPr>
        <w:t xml:space="preserve">, 2004 SCC 65, [2004] 3 S.C.R. 357; </w:t>
      </w:r>
      <w:r w:rsidR="006F23D4" w:rsidRPr="00B26E25">
        <w:rPr>
          <w:i/>
          <w:szCs w:val="24"/>
          <w:lang w:val="en-US"/>
        </w:rPr>
        <w:t>Egan v. Canada</w:t>
      </w:r>
      <w:r w:rsidR="006F23D4" w:rsidRPr="00B26E25">
        <w:rPr>
          <w:szCs w:val="24"/>
          <w:lang w:val="en-US"/>
        </w:rPr>
        <w:t xml:space="preserve">, [1995] 2 S.C.R. 513; </w:t>
      </w:r>
      <w:r w:rsidR="006F23D4" w:rsidRPr="00B26E25">
        <w:rPr>
          <w:i/>
          <w:szCs w:val="24"/>
          <w:lang w:val="en-US"/>
        </w:rPr>
        <w:t>Corbiere v. Canada (Minister of Indian and Northern Affairs)</w:t>
      </w:r>
      <w:r w:rsidR="006F23D4" w:rsidRPr="00B26E25">
        <w:rPr>
          <w:szCs w:val="24"/>
          <w:lang w:val="en-US"/>
        </w:rPr>
        <w:t xml:space="preserve">, [1999] 2 S.C.R. 203; </w:t>
      </w:r>
      <w:r w:rsidR="006F23D4" w:rsidRPr="00B26E25">
        <w:rPr>
          <w:i/>
          <w:szCs w:val="24"/>
          <w:lang w:val="en-US"/>
        </w:rPr>
        <w:t>Thibaudeau v. Canada</w:t>
      </w:r>
      <w:r w:rsidR="006F23D4" w:rsidRPr="00B26E25">
        <w:rPr>
          <w:szCs w:val="24"/>
          <w:lang w:val="en-US"/>
        </w:rPr>
        <w:t xml:space="preserve">, [1995] 2 S.C.R. 627; </w:t>
      </w:r>
      <w:r w:rsidR="00C8549A" w:rsidRPr="00B26E25">
        <w:rPr>
          <w:i/>
          <w:szCs w:val="24"/>
          <w:lang w:val="en-US"/>
        </w:rPr>
        <w:t>R. v. Oakes</w:t>
      </w:r>
      <w:r w:rsidR="00C8549A" w:rsidRPr="00B26E25">
        <w:rPr>
          <w:szCs w:val="24"/>
          <w:lang w:val="en-US"/>
        </w:rPr>
        <w:t xml:space="preserve">, [1986] 1 S.C.R. 103; </w:t>
      </w:r>
      <w:r w:rsidR="00C8549A" w:rsidRPr="00B26E25">
        <w:rPr>
          <w:i/>
          <w:szCs w:val="24"/>
          <w:lang w:val="en-US"/>
        </w:rPr>
        <w:t>Alberta v. Hutterian Brethren of Wilson Colony</w:t>
      </w:r>
      <w:r w:rsidR="00C8549A" w:rsidRPr="00B26E25">
        <w:rPr>
          <w:szCs w:val="24"/>
          <w:lang w:val="en-US"/>
        </w:rPr>
        <w:t xml:space="preserve">, 2009 SCC 37, [2009] 2 S.C.R. 567; </w:t>
      </w:r>
      <w:r w:rsidR="00C8549A" w:rsidRPr="00B26E25">
        <w:rPr>
          <w:i/>
          <w:szCs w:val="24"/>
          <w:lang w:val="en-US"/>
        </w:rPr>
        <w:t>Ermineskin</w:t>
      </w:r>
      <w:r w:rsidR="002618B6" w:rsidRPr="00B26E25">
        <w:rPr>
          <w:i/>
          <w:szCs w:val="24"/>
          <w:lang w:val="en-US"/>
        </w:rPr>
        <w:t xml:space="preserve"> Indian Band and Nation</w:t>
      </w:r>
      <w:r w:rsidR="00C8549A" w:rsidRPr="00B26E25">
        <w:rPr>
          <w:i/>
          <w:szCs w:val="24"/>
          <w:lang w:val="en-US"/>
        </w:rPr>
        <w:t xml:space="preserve"> </w:t>
      </w:r>
      <w:r w:rsidR="002618B6" w:rsidRPr="00B26E25">
        <w:rPr>
          <w:i/>
          <w:szCs w:val="24"/>
          <w:lang w:val="en-US"/>
        </w:rPr>
        <w:t>v</w:t>
      </w:r>
      <w:r w:rsidR="00C8549A" w:rsidRPr="00B26E25">
        <w:rPr>
          <w:i/>
          <w:szCs w:val="24"/>
          <w:lang w:val="en-US"/>
        </w:rPr>
        <w:t>. Canada</w:t>
      </w:r>
      <w:r w:rsidR="00C8549A" w:rsidRPr="00B26E25">
        <w:rPr>
          <w:szCs w:val="24"/>
          <w:lang w:val="en-US"/>
        </w:rPr>
        <w:t>, 2009 S</w:t>
      </w:r>
      <w:r w:rsidR="002618B6" w:rsidRPr="00B26E25">
        <w:rPr>
          <w:szCs w:val="24"/>
          <w:lang w:val="en-US"/>
        </w:rPr>
        <w:t>C</w:t>
      </w:r>
      <w:r w:rsidR="00C8549A" w:rsidRPr="00B26E25">
        <w:rPr>
          <w:szCs w:val="24"/>
          <w:lang w:val="en-US"/>
        </w:rPr>
        <w:t xml:space="preserve">C 9, [2009] 1 </w:t>
      </w:r>
      <w:r w:rsidR="002618B6" w:rsidRPr="00B26E25">
        <w:rPr>
          <w:szCs w:val="24"/>
          <w:lang w:val="en-US"/>
        </w:rPr>
        <w:t>S.C.</w:t>
      </w:r>
      <w:r w:rsidR="00C8549A" w:rsidRPr="00B26E25">
        <w:rPr>
          <w:szCs w:val="24"/>
          <w:lang w:val="en-US"/>
        </w:rPr>
        <w:t xml:space="preserve">R. 222; </w:t>
      </w:r>
      <w:r w:rsidR="00C8549A" w:rsidRPr="00B26E25">
        <w:rPr>
          <w:i/>
          <w:szCs w:val="24"/>
          <w:lang w:val="en-US"/>
        </w:rPr>
        <w:t xml:space="preserve">A.C. </w:t>
      </w:r>
      <w:r w:rsidR="002618B6" w:rsidRPr="00B26E25">
        <w:rPr>
          <w:i/>
          <w:szCs w:val="24"/>
          <w:lang w:val="en-US"/>
        </w:rPr>
        <w:t>v</w:t>
      </w:r>
      <w:r w:rsidR="00C8549A" w:rsidRPr="00B26E25">
        <w:rPr>
          <w:i/>
          <w:szCs w:val="24"/>
          <w:lang w:val="en-US"/>
        </w:rPr>
        <w:t>. Manitoba (Direct</w:t>
      </w:r>
      <w:r w:rsidR="002618B6" w:rsidRPr="00B26E25">
        <w:rPr>
          <w:i/>
          <w:szCs w:val="24"/>
          <w:lang w:val="en-US"/>
        </w:rPr>
        <w:t>o</w:t>
      </w:r>
      <w:r w:rsidR="00C8549A" w:rsidRPr="00B26E25">
        <w:rPr>
          <w:i/>
          <w:szCs w:val="24"/>
          <w:lang w:val="en-US"/>
        </w:rPr>
        <w:t>r</w:t>
      </w:r>
      <w:r w:rsidR="002618B6" w:rsidRPr="00B26E25">
        <w:rPr>
          <w:i/>
          <w:szCs w:val="24"/>
          <w:lang w:val="en-US"/>
        </w:rPr>
        <w:t xml:space="preserve"> of Child and Family Services</w:t>
      </w:r>
      <w:r w:rsidR="00C8549A" w:rsidRPr="00B26E25">
        <w:rPr>
          <w:i/>
          <w:szCs w:val="24"/>
          <w:lang w:val="en-US"/>
        </w:rPr>
        <w:t>)</w:t>
      </w:r>
      <w:r w:rsidR="00C8549A" w:rsidRPr="00B26E25">
        <w:rPr>
          <w:szCs w:val="24"/>
          <w:lang w:val="en-US"/>
        </w:rPr>
        <w:t>, 2009 S</w:t>
      </w:r>
      <w:r w:rsidR="002618B6" w:rsidRPr="00B26E25">
        <w:rPr>
          <w:szCs w:val="24"/>
          <w:lang w:val="en-US"/>
        </w:rPr>
        <w:t>C</w:t>
      </w:r>
      <w:r w:rsidR="00C8549A" w:rsidRPr="00B26E25">
        <w:rPr>
          <w:szCs w:val="24"/>
          <w:lang w:val="en-US"/>
        </w:rPr>
        <w:t xml:space="preserve">C 30, [2009] 2 </w:t>
      </w:r>
      <w:r w:rsidR="002618B6" w:rsidRPr="00B26E25">
        <w:rPr>
          <w:szCs w:val="24"/>
          <w:lang w:val="en-US"/>
        </w:rPr>
        <w:t>S.C.</w:t>
      </w:r>
      <w:r w:rsidR="00C8549A" w:rsidRPr="00B26E25">
        <w:rPr>
          <w:szCs w:val="24"/>
          <w:lang w:val="en-US"/>
        </w:rPr>
        <w:t xml:space="preserve">R. 181; </w:t>
      </w:r>
      <w:r w:rsidR="00C8549A" w:rsidRPr="00B26E25">
        <w:rPr>
          <w:i/>
          <w:szCs w:val="24"/>
          <w:lang w:val="en-US"/>
        </w:rPr>
        <w:t>Alberta (</w:t>
      </w:r>
      <w:r w:rsidR="002618B6" w:rsidRPr="00B26E25">
        <w:rPr>
          <w:i/>
          <w:szCs w:val="24"/>
          <w:lang w:val="en-US"/>
        </w:rPr>
        <w:t xml:space="preserve">Aboriginal </w:t>
      </w:r>
      <w:r w:rsidR="00C8549A" w:rsidRPr="00B26E25">
        <w:rPr>
          <w:i/>
          <w:szCs w:val="24"/>
          <w:lang w:val="en-US"/>
        </w:rPr>
        <w:t>Affairs</w:t>
      </w:r>
      <w:r w:rsidR="002618B6" w:rsidRPr="00B26E25">
        <w:rPr>
          <w:i/>
          <w:szCs w:val="24"/>
          <w:lang w:val="en-US"/>
        </w:rPr>
        <w:t xml:space="preserve"> and Northern Development</w:t>
      </w:r>
      <w:r w:rsidR="00C8549A" w:rsidRPr="00B26E25">
        <w:rPr>
          <w:i/>
          <w:szCs w:val="24"/>
          <w:lang w:val="en-US"/>
        </w:rPr>
        <w:t xml:space="preserve">) </w:t>
      </w:r>
      <w:r w:rsidR="002618B6" w:rsidRPr="00B26E25">
        <w:rPr>
          <w:i/>
          <w:szCs w:val="24"/>
          <w:lang w:val="en-US"/>
        </w:rPr>
        <w:t>v</w:t>
      </w:r>
      <w:r w:rsidR="00C8549A" w:rsidRPr="00B26E25">
        <w:rPr>
          <w:i/>
          <w:szCs w:val="24"/>
          <w:lang w:val="en-US"/>
        </w:rPr>
        <w:t>. Cunningham</w:t>
      </w:r>
      <w:r w:rsidR="00C8549A" w:rsidRPr="00B26E25">
        <w:rPr>
          <w:szCs w:val="24"/>
          <w:lang w:val="en-US"/>
        </w:rPr>
        <w:t>, 2011 S</w:t>
      </w:r>
      <w:r w:rsidR="002618B6" w:rsidRPr="00B26E25">
        <w:rPr>
          <w:szCs w:val="24"/>
          <w:lang w:val="en-US"/>
        </w:rPr>
        <w:t>C</w:t>
      </w:r>
      <w:r w:rsidR="00C8549A" w:rsidRPr="00B26E25">
        <w:rPr>
          <w:szCs w:val="24"/>
          <w:lang w:val="en-US"/>
        </w:rPr>
        <w:t xml:space="preserve">C 37, [2011] 2 </w:t>
      </w:r>
      <w:r w:rsidR="002618B6" w:rsidRPr="00B26E25">
        <w:rPr>
          <w:szCs w:val="24"/>
          <w:lang w:val="en-US"/>
        </w:rPr>
        <w:t>S.C.</w:t>
      </w:r>
      <w:r w:rsidR="00C8549A" w:rsidRPr="00B26E25">
        <w:rPr>
          <w:szCs w:val="24"/>
          <w:lang w:val="en-US"/>
        </w:rPr>
        <w:t xml:space="preserve">R. 670; </w:t>
      </w:r>
      <w:bookmarkStart w:id="0" w:name="OLE_LINK1"/>
      <w:bookmarkStart w:id="1" w:name="OLE_LINK2"/>
      <w:r w:rsidR="005733A3" w:rsidRPr="00B26E25">
        <w:rPr>
          <w:i/>
          <w:szCs w:val="24"/>
          <w:lang w:val="en-US"/>
        </w:rPr>
        <w:t>R. v. Turpin</w:t>
      </w:r>
      <w:r w:rsidR="005733A3" w:rsidRPr="00B26E25">
        <w:rPr>
          <w:szCs w:val="24"/>
          <w:lang w:val="en-US"/>
        </w:rPr>
        <w:t xml:space="preserve">, [1989] 1 S.C.R. 1296; </w:t>
      </w:r>
      <w:r w:rsidR="00C8549A" w:rsidRPr="00B26E25">
        <w:rPr>
          <w:i/>
          <w:szCs w:val="24"/>
          <w:lang w:val="en-US"/>
        </w:rPr>
        <w:t xml:space="preserve">Lavoie </w:t>
      </w:r>
      <w:r w:rsidR="002618B6" w:rsidRPr="00B26E25">
        <w:rPr>
          <w:i/>
          <w:szCs w:val="24"/>
          <w:lang w:val="en-US"/>
        </w:rPr>
        <w:t>v</w:t>
      </w:r>
      <w:r w:rsidR="00C8549A" w:rsidRPr="00B26E25">
        <w:rPr>
          <w:i/>
          <w:szCs w:val="24"/>
          <w:lang w:val="en-US"/>
        </w:rPr>
        <w:t>. Canada</w:t>
      </w:r>
      <w:r w:rsidR="00C8549A" w:rsidRPr="00B26E25">
        <w:rPr>
          <w:szCs w:val="24"/>
          <w:lang w:val="en-US"/>
        </w:rPr>
        <w:t>, 2002 S</w:t>
      </w:r>
      <w:r w:rsidR="002618B6" w:rsidRPr="00B26E25">
        <w:rPr>
          <w:szCs w:val="24"/>
          <w:lang w:val="en-US"/>
        </w:rPr>
        <w:t>C</w:t>
      </w:r>
      <w:r w:rsidR="00C8549A" w:rsidRPr="00B26E25">
        <w:rPr>
          <w:szCs w:val="24"/>
          <w:lang w:val="en-US"/>
        </w:rPr>
        <w:t xml:space="preserve">C 23, [2002] 1 </w:t>
      </w:r>
      <w:r w:rsidR="002618B6" w:rsidRPr="00B26E25">
        <w:rPr>
          <w:szCs w:val="24"/>
          <w:lang w:val="en-US"/>
        </w:rPr>
        <w:t>S.C.</w:t>
      </w:r>
      <w:r w:rsidR="00C8549A" w:rsidRPr="00B26E25">
        <w:rPr>
          <w:szCs w:val="24"/>
          <w:lang w:val="en-US"/>
        </w:rPr>
        <w:t>R. 769</w:t>
      </w:r>
      <w:bookmarkEnd w:id="0"/>
      <w:bookmarkEnd w:id="1"/>
      <w:r w:rsidR="00C8549A" w:rsidRPr="00B26E25">
        <w:rPr>
          <w:szCs w:val="24"/>
          <w:lang w:val="en-US"/>
        </w:rPr>
        <w:t xml:space="preserve">; </w:t>
      </w:r>
      <w:r w:rsidR="00C8549A" w:rsidRPr="00B26E25">
        <w:rPr>
          <w:i/>
          <w:szCs w:val="24"/>
          <w:lang w:val="en-US"/>
        </w:rPr>
        <w:t xml:space="preserve">Trociuk </w:t>
      </w:r>
      <w:r w:rsidR="002618B6" w:rsidRPr="00B26E25">
        <w:rPr>
          <w:i/>
          <w:szCs w:val="24"/>
          <w:lang w:val="en-US"/>
        </w:rPr>
        <w:t>v</w:t>
      </w:r>
      <w:r w:rsidR="00C8549A" w:rsidRPr="00B26E25">
        <w:rPr>
          <w:i/>
          <w:szCs w:val="24"/>
          <w:lang w:val="en-US"/>
        </w:rPr>
        <w:t xml:space="preserve">. </w:t>
      </w:r>
      <w:r w:rsidR="002618B6" w:rsidRPr="00B26E25">
        <w:rPr>
          <w:i/>
          <w:szCs w:val="24"/>
          <w:lang w:val="en-US"/>
        </w:rPr>
        <w:t>British Columbia</w:t>
      </w:r>
      <w:r w:rsidR="00C8549A" w:rsidRPr="00B26E25">
        <w:rPr>
          <w:i/>
          <w:szCs w:val="24"/>
          <w:lang w:val="en-US"/>
        </w:rPr>
        <w:t xml:space="preserve"> (</w:t>
      </w:r>
      <w:r w:rsidR="002618B6" w:rsidRPr="00B26E25">
        <w:rPr>
          <w:i/>
          <w:szCs w:val="24"/>
          <w:lang w:val="en-US"/>
        </w:rPr>
        <w:t>Attorney General</w:t>
      </w:r>
      <w:r w:rsidR="00C8549A" w:rsidRPr="00B26E25">
        <w:rPr>
          <w:i/>
          <w:szCs w:val="24"/>
          <w:lang w:val="en-US"/>
        </w:rPr>
        <w:t>)</w:t>
      </w:r>
      <w:r w:rsidR="00C8549A" w:rsidRPr="00B26E25">
        <w:rPr>
          <w:szCs w:val="24"/>
          <w:lang w:val="en-US"/>
        </w:rPr>
        <w:t>, 2003 S</w:t>
      </w:r>
      <w:r w:rsidR="002618B6" w:rsidRPr="00B26E25">
        <w:rPr>
          <w:szCs w:val="24"/>
          <w:lang w:val="en-US"/>
        </w:rPr>
        <w:t>C</w:t>
      </w:r>
      <w:r w:rsidR="00C8549A" w:rsidRPr="00B26E25">
        <w:rPr>
          <w:szCs w:val="24"/>
          <w:lang w:val="en-US"/>
        </w:rPr>
        <w:t xml:space="preserve">C 34, [2003] 1 </w:t>
      </w:r>
      <w:r w:rsidR="002618B6" w:rsidRPr="00B26E25">
        <w:rPr>
          <w:szCs w:val="24"/>
          <w:lang w:val="en-US"/>
        </w:rPr>
        <w:t>S.C.</w:t>
      </w:r>
      <w:r w:rsidR="00C8549A" w:rsidRPr="00B26E25">
        <w:rPr>
          <w:szCs w:val="24"/>
          <w:lang w:val="en-US"/>
        </w:rPr>
        <w:t xml:space="preserve">R. 835; </w:t>
      </w:r>
      <w:r w:rsidR="004D142C" w:rsidRPr="00B26E25">
        <w:rPr>
          <w:i/>
          <w:szCs w:val="24"/>
          <w:lang w:val="en-US"/>
        </w:rPr>
        <w:t>Eaton v. Brant County Board of Education</w:t>
      </w:r>
      <w:r w:rsidR="004D142C" w:rsidRPr="00B26E25">
        <w:rPr>
          <w:szCs w:val="24"/>
          <w:lang w:val="en-US"/>
        </w:rPr>
        <w:t xml:space="preserve">, [1997] 1 S.C.R. 241; </w:t>
      </w:r>
      <w:r w:rsidR="00C8549A" w:rsidRPr="00B26E25">
        <w:rPr>
          <w:i/>
          <w:szCs w:val="24"/>
          <w:lang w:val="en-US"/>
        </w:rPr>
        <w:t xml:space="preserve">R. </w:t>
      </w:r>
      <w:r w:rsidR="002618B6" w:rsidRPr="00B26E25">
        <w:rPr>
          <w:i/>
          <w:szCs w:val="24"/>
          <w:lang w:val="en-US"/>
        </w:rPr>
        <w:t>v</w:t>
      </w:r>
      <w:r w:rsidR="00C8549A" w:rsidRPr="00B26E25">
        <w:rPr>
          <w:i/>
          <w:szCs w:val="24"/>
          <w:lang w:val="en-US"/>
        </w:rPr>
        <w:t>. Williams</w:t>
      </w:r>
      <w:r w:rsidR="00C8549A" w:rsidRPr="00B26E25">
        <w:rPr>
          <w:szCs w:val="24"/>
          <w:lang w:val="en-US"/>
        </w:rPr>
        <w:t xml:space="preserve">, [1998] 1 </w:t>
      </w:r>
      <w:r w:rsidR="002618B6" w:rsidRPr="00B26E25">
        <w:rPr>
          <w:szCs w:val="24"/>
          <w:lang w:val="en-US"/>
        </w:rPr>
        <w:t>S.C.</w:t>
      </w:r>
      <w:r w:rsidR="00C8549A" w:rsidRPr="00B26E25">
        <w:rPr>
          <w:szCs w:val="24"/>
          <w:lang w:val="en-US"/>
        </w:rPr>
        <w:t xml:space="preserve">R. 1128; </w:t>
      </w:r>
      <w:r w:rsidR="00C8549A" w:rsidRPr="00B26E25">
        <w:rPr>
          <w:i/>
          <w:szCs w:val="24"/>
          <w:lang w:val="en-US"/>
        </w:rPr>
        <w:t xml:space="preserve">R. </w:t>
      </w:r>
      <w:r w:rsidR="002618B6" w:rsidRPr="00B26E25">
        <w:rPr>
          <w:i/>
          <w:szCs w:val="24"/>
          <w:lang w:val="en-US"/>
        </w:rPr>
        <w:t>v</w:t>
      </w:r>
      <w:r w:rsidR="00C8549A" w:rsidRPr="00B26E25">
        <w:rPr>
          <w:i/>
          <w:szCs w:val="24"/>
          <w:lang w:val="en-US"/>
        </w:rPr>
        <w:t>. Find</w:t>
      </w:r>
      <w:r w:rsidR="00C8549A" w:rsidRPr="00B26E25">
        <w:rPr>
          <w:szCs w:val="24"/>
          <w:lang w:val="en-US"/>
        </w:rPr>
        <w:t>, 2001 S</w:t>
      </w:r>
      <w:r w:rsidR="002618B6" w:rsidRPr="00B26E25">
        <w:rPr>
          <w:szCs w:val="24"/>
          <w:lang w:val="en-US"/>
        </w:rPr>
        <w:t>C</w:t>
      </w:r>
      <w:r w:rsidR="00C8549A" w:rsidRPr="00B26E25">
        <w:rPr>
          <w:szCs w:val="24"/>
          <w:lang w:val="en-US"/>
        </w:rPr>
        <w:t xml:space="preserve">C 32, [2001] 1 </w:t>
      </w:r>
      <w:r w:rsidR="002618B6" w:rsidRPr="00B26E25">
        <w:rPr>
          <w:szCs w:val="24"/>
          <w:lang w:val="en-US"/>
        </w:rPr>
        <w:t>S.C.</w:t>
      </w:r>
      <w:r w:rsidR="00C8549A" w:rsidRPr="00B26E25">
        <w:rPr>
          <w:szCs w:val="24"/>
          <w:lang w:val="en-US"/>
        </w:rPr>
        <w:t>R. 863</w:t>
      </w:r>
      <w:r w:rsidR="009329B8" w:rsidRPr="00B26E25">
        <w:rPr>
          <w:szCs w:val="24"/>
          <w:lang w:val="en-US"/>
        </w:rPr>
        <w:t xml:space="preserve">; </w:t>
      </w:r>
      <w:r w:rsidR="009329B8" w:rsidRPr="00B26E25">
        <w:rPr>
          <w:i/>
          <w:szCs w:val="24"/>
          <w:lang w:val="en-US"/>
        </w:rPr>
        <w:t>R. v. Spence</w:t>
      </w:r>
      <w:r w:rsidR="009329B8" w:rsidRPr="00B26E25">
        <w:rPr>
          <w:szCs w:val="24"/>
          <w:lang w:val="en-US"/>
        </w:rPr>
        <w:t>, 2005 SCC 71, [2005] 3 S.C.R. 458</w:t>
      </w:r>
      <w:r w:rsidR="00C8549A" w:rsidRPr="00B26E25">
        <w:rPr>
          <w:szCs w:val="24"/>
          <w:lang w:val="en-US"/>
        </w:rPr>
        <w:t>.</w:t>
      </w:r>
    </w:p>
    <w:p w:rsidR="009A41EC" w:rsidRPr="00B26E25" w:rsidRDefault="00EF7B59" w:rsidP="00B03F5F">
      <w:pPr>
        <w:pStyle w:val="SCCNormalDoubleSpacing"/>
        <w:spacing w:after="480"/>
        <w:rPr>
          <w:szCs w:val="24"/>
          <w:lang w:val="en-US" w:eastAsia="en-US"/>
        </w:rPr>
      </w:pPr>
      <w:r w:rsidRPr="00B26E25">
        <w:rPr>
          <w:szCs w:val="24"/>
          <w:lang w:val="en-US" w:eastAsia="en-US"/>
        </w:rPr>
        <w:t>By Abella </w:t>
      </w:r>
      <w:r w:rsidR="007F3C59" w:rsidRPr="00B26E25">
        <w:rPr>
          <w:szCs w:val="24"/>
          <w:lang w:val="en-US" w:eastAsia="en-US"/>
        </w:rPr>
        <w:t>J.</w:t>
      </w:r>
    </w:p>
    <w:p w:rsidR="009A41EC" w:rsidRPr="00B26E25" w:rsidRDefault="009A41EC" w:rsidP="00B03F5F">
      <w:pPr>
        <w:pStyle w:val="SCCNormalDoubleSpacing"/>
        <w:spacing w:after="480"/>
        <w:rPr>
          <w:szCs w:val="24"/>
          <w:lang w:val="en-US" w:eastAsia="en-US"/>
        </w:rPr>
      </w:pPr>
      <w:r w:rsidRPr="00B26E25">
        <w:rPr>
          <w:szCs w:val="24"/>
          <w:lang w:val="en-US" w:eastAsia="en-US"/>
        </w:rPr>
        <w:tab/>
      </w:r>
      <w:r w:rsidR="002F477B" w:rsidRPr="00B26E25">
        <w:rPr>
          <w:b/>
          <w:szCs w:val="24"/>
          <w:lang w:val="en-US" w:eastAsia="en-US"/>
        </w:rPr>
        <w:t>Applied:</w:t>
      </w:r>
      <w:r w:rsidR="002F477B" w:rsidRPr="00B26E25">
        <w:rPr>
          <w:szCs w:val="24"/>
          <w:lang w:val="en-US" w:eastAsia="en-US"/>
        </w:rPr>
        <w:t xml:space="preserve">  </w:t>
      </w:r>
      <w:r w:rsidR="002F477B" w:rsidRPr="00B26E25">
        <w:rPr>
          <w:i/>
          <w:szCs w:val="24"/>
        </w:rPr>
        <w:t>R. v. Kapp</w:t>
      </w:r>
      <w:r w:rsidR="002F477B" w:rsidRPr="00B26E25">
        <w:rPr>
          <w:szCs w:val="24"/>
        </w:rPr>
        <w:t>, 2008 SCC 41, [2008] 2 S.C.R. 483</w:t>
      </w:r>
      <w:r w:rsidR="002F477B" w:rsidRPr="00B26E25">
        <w:rPr>
          <w:szCs w:val="24"/>
          <w:lang w:val="en-US" w:eastAsia="en-US"/>
        </w:rPr>
        <w:t xml:space="preserve">; </w:t>
      </w:r>
      <w:r w:rsidR="002F477B" w:rsidRPr="00B26E25">
        <w:rPr>
          <w:i/>
          <w:szCs w:val="24"/>
          <w:lang w:val="en-US"/>
        </w:rPr>
        <w:t>Andrews v. Law Society of British Columbia</w:t>
      </w:r>
      <w:r w:rsidR="002F477B" w:rsidRPr="00B26E25">
        <w:rPr>
          <w:szCs w:val="24"/>
          <w:lang w:val="en-US"/>
        </w:rPr>
        <w:t>, [1989] 1 S.C.R. 143</w:t>
      </w:r>
      <w:r w:rsidR="002F477B" w:rsidRPr="00B26E25">
        <w:rPr>
          <w:szCs w:val="24"/>
          <w:lang w:val="en-US" w:eastAsia="en-US"/>
        </w:rPr>
        <w:t xml:space="preserve">; </w:t>
      </w:r>
      <w:r w:rsidR="002F477B" w:rsidRPr="00B26E25">
        <w:rPr>
          <w:i/>
          <w:szCs w:val="24"/>
          <w:lang w:val="en-US"/>
        </w:rPr>
        <w:t>Withler v. Canada (Attorney General)</w:t>
      </w:r>
      <w:r w:rsidR="002F477B" w:rsidRPr="00B26E25">
        <w:rPr>
          <w:szCs w:val="24"/>
          <w:lang w:val="en-US"/>
        </w:rPr>
        <w:t>, 2011 SCC 12, [2011] 1 S.C.R. 396</w:t>
      </w:r>
      <w:r w:rsidR="002F477B" w:rsidRPr="00B26E25">
        <w:rPr>
          <w:szCs w:val="24"/>
          <w:lang w:val="en-US" w:eastAsia="en-US"/>
        </w:rPr>
        <w:t xml:space="preserve">; </w:t>
      </w:r>
      <w:r w:rsidR="002F477B" w:rsidRPr="00B26E25">
        <w:rPr>
          <w:b/>
          <w:szCs w:val="24"/>
          <w:lang w:val="en-US" w:eastAsia="en-US"/>
        </w:rPr>
        <w:t>not followed:</w:t>
      </w:r>
      <w:r w:rsidR="002F477B" w:rsidRPr="00B26E25">
        <w:rPr>
          <w:szCs w:val="24"/>
          <w:lang w:val="en-US" w:eastAsia="en-US"/>
        </w:rPr>
        <w:t xml:space="preserve">  </w:t>
      </w:r>
      <w:r w:rsidR="007F140A" w:rsidRPr="00B26E25">
        <w:rPr>
          <w:i/>
          <w:szCs w:val="24"/>
        </w:rPr>
        <w:t>Nova Scotia (Attorney General) v. Walsh</w:t>
      </w:r>
      <w:r w:rsidR="007F140A" w:rsidRPr="00B26E25">
        <w:rPr>
          <w:szCs w:val="24"/>
        </w:rPr>
        <w:t>, 2002 SCC 83, [2002] 4 S.C.R. 325</w:t>
      </w:r>
      <w:r w:rsidR="007F140A" w:rsidRPr="00B26E25">
        <w:rPr>
          <w:szCs w:val="24"/>
          <w:lang w:val="en-US" w:eastAsia="en-US"/>
        </w:rPr>
        <w:t xml:space="preserve">; </w:t>
      </w:r>
      <w:r w:rsidR="002F477B" w:rsidRPr="00B26E25">
        <w:rPr>
          <w:b/>
          <w:szCs w:val="24"/>
          <w:lang w:val="en-US" w:eastAsia="en-US"/>
        </w:rPr>
        <w:t>discussed:</w:t>
      </w:r>
      <w:r w:rsidR="002F477B" w:rsidRPr="00B26E25">
        <w:rPr>
          <w:szCs w:val="24"/>
          <w:lang w:val="en-US" w:eastAsia="en-US"/>
        </w:rPr>
        <w:t xml:space="preserve">  </w:t>
      </w:r>
      <w:r w:rsidR="002F477B" w:rsidRPr="00B26E25">
        <w:rPr>
          <w:i/>
          <w:szCs w:val="24"/>
        </w:rPr>
        <w:t>Miron v. Trudel</w:t>
      </w:r>
      <w:r w:rsidR="002F477B" w:rsidRPr="00B26E25">
        <w:rPr>
          <w:szCs w:val="24"/>
        </w:rPr>
        <w:t>, [1995] 2 S.C.R. 418</w:t>
      </w:r>
      <w:r w:rsidR="002F477B" w:rsidRPr="00B26E25">
        <w:rPr>
          <w:szCs w:val="24"/>
          <w:lang w:val="en-US" w:eastAsia="en-US"/>
        </w:rPr>
        <w:t xml:space="preserve">; </w:t>
      </w:r>
      <w:r w:rsidR="002F477B" w:rsidRPr="00B26E25">
        <w:rPr>
          <w:b/>
          <w:szCs w:val="24"/>
          <w:lang w:val="en-US" w:eastAsia="en-US"/>
        </w:rPr>
        <w:t xml:space="preserve">referred to: </w:t>
      </w:r>
      <w:r w:rsidR="002F477B" w:rsidRPr="00B26E25">
        <w:rPr>
          <w:szCs w:val="24"/>
          <w:lang w:val="en-US" w:eastAsia="en-US"/>
        </w:rPr>
        <w:t xml:space="preserve"> </w:t>
      </w:r>
      <w:r w:rsidRPr="00B26E25">
        <w:rPr>
          <w:i/>
          <w:szCs w:val="24"/>
          <w:lang w:val="en-US" w:eastAsia="en-US"/>
        </w:rPr>
        <w:t>Québec (Procureure générale) v. B.T.</w:t>
      </w:r>
      <w:r w:rsidRPr="00B26E25">
        <w:rPr>
          <w:szCs w:val="24"/>
          <w:lang w:val="en-US" w:eastAsia="en-US"/>
        </w:rPr>
        <w:t xml:space="preserve">, 2005 QCCA 748, [2005] R.D.F. 709; </w:t>
      </w:r>
      <w:r w:rsidRPr="00B26E25">
        <w:rPr>
          <w:i/>
          <w:szCs w:val="24"/>
          <w:lang w:val="en-US" w:eastAsia="en-US"/>
        </w:rPr>
        <w:t>Moge v. Moge</w:t>
      </w:r>
      <w:r w:rsidRPr="00B26E25">
        <w:rPr>
          <w:szCs w:val="24"/>
          <w:lang w:val="en-US" w:eastAsia="en-US"/>
        </w:rPr>
        <w:t xml:space="preserve">, [1992] 3 S.C.R. 813; </w:t>
      </w:r>
      <w:r w:rsidRPr="00B26E25">
        <w:rPr>
          <w:i/>
          <w:szCs w:val="24"/>
          <w:lang w:val="en-US"/>
        </w:rPr>
        <w:t>Bracklow v. Bracklow</w:t>
      </w:r>
      <w:r w:rsidRPr="00B26E25">
        <w:rPr>
          <w:szCs w:val="24"/>
          <w:lang w:val="en-US"/>
        </w:rPr>
        <w:t>, [1999] 1 S.C.R. 420</w:t>
      </w:r>
      <w:r w:rsidRPr="00B26E25">
        <w:rPr>
          <w:szCs w:val="24"/>
          <w:lang w:val="en-US" w:eastAsia="en-US"/>
        </w:rPr>
        <w:t xml:space="preserve">; </w:t>
      </w:r>
      <w:r w:rsidRPr="00B26E25">
        <w:rPr>
          <w:i/>
          <w:szCs w:val="24"/>
          <w:lang w:val="en-US" w:eastAsia="en-US"/>
        </w:rPr>
        <w:t>M. (M.E.) v. L. (P.)</w:t>
      </w:r>
      <w:r w:rsidRPr="00B26E25">
        <w:rPr>
          <w:szCs w:val="24"/>
          <w:lang w:val="en-US" w:eastAsia="en-US"/>
        </w:rPr>
        <w:t xml:space="preserve">, [1992] 1 S.C.R. 183; </w:t>
      </w:r>
      <w:r w:rsidRPr="00B26E25">
        <w:rPr>
          <w:i/>
          <w:szCs w:val="24"/>
          <w:lang w:val="en-US"/>
        </w:rPr>
        <w:t>Droit de la famille — 977</w:t>
      </w:r>
      <w:r w:rsidRPr="00B26E25">
        <w:rPr>
          <w:szCs w:val="24"/>
          <w:lang w:val="en-US"/>
        </w:rPr>
        <w:t>, [1991] R.J.Q. 904</w:t>
      </w:r>
      <w:r w:rsidRPr="00B26E25">
        <w:rPr>
          <w:szCs w:val="24"/>
          <w:lang w:val="en-US" w:eastAsia="en-US"/>
        </w:rPr>
        <w:t xml:space="preserve">; </w:t>
      </w:r>
      <w:r w:rsidRPr="00B26E25">
        <w:rPr>
          <w:i/>
          <w:szCs w:val="24"/>
          <w:lang w:val="en-US" w:eastAsia="en-US"/>
        </w:rPr>
        <w:t>Rathwell v. Rathwell</w:t>
      </w:r>
      <w:r w:rsidRPr="00B26E25">
        <w:rPr>
          <w:szCs w:val="24"/>
          <w:lang w:val="en-US" w:eastAsia="en-US"/>
        </w:rPr>
        <w:t xml:space="preserve">, [1978] 2 S.C.R. 436; </w:t>
      </w:r>
      <w:r w:rsidRPr="00B26E25">
        <w:rPr>
          <w:i/>
          <w:szCs w:val="24"/>
          <w:lang w:val="en-US" w:eastAsia="en-US"/>
        </w:rPr>
        <w:t>Murdoch v. Murdoch</w:t>
      </w:r>
      <w:r w:rsidRPr="00B26E25">
        <w:rPr>
          <w:szCs w:val="24"/>
          <w:lang w:val="en-US" w:eastAsia="en-US"/>
        </w:rPr>
        <w:t xml:space="preserve">, [1975] 1 S.C.R. 423; </w:t>
      </w:r>
      <w:r w:rsidRPr="00B26E25">
        <w:rPr>
          <w:i/>
          <w:szCs w:val="24"/>
          <w:lang w:val="en-US" w:eastAsia="en-US"/>
        </w:rPr>
        <w:t>Pettkus v. Becker</w:t>
      </w:r>
      <w:r w:rsidRPr="00B26E25">
        <w:rPr>
          <w:szCs w:val="24"/>
          <w:lang w:val="en-US" w:eastAsia="en-US"/>
        </w:rPr>
        <w:t xml:space="preserve">, [1980] 2 S.C.R. 834; </w:t>
      </w:r>
      <w:r w:rsidRPr="00B26E25">
        <w:rPr>
          <w:i/>
          <w:szCs w:val="24"/>
        </w:rPr>
        <w:t>M. v. H.</w:t>
      </w:r>
      <w:r w:rsidRPr="00B26E25">
        <w:rPr>
          <w:szCs w:val="24"/>
        </w:rPr>
        <w:t>, [1999] 2 S.C.R. 3</w:t>
      </w:r>
      <w:r w:rsidRPr="00B26E25">
        <w:rPr>
          <w:szCs w:val="24"/>
          <w:lang w:val="en-US" w:eastAsia="en-US"/>
        </w:rPr>
        <w:t xml:space="preserve">; </w:t>
      </w:r>
      <w:r w:rsidRPr="00B26E25">
        <w:rPr>
          <w:i/>
          <w:szCs w:val="24"/>
          <w:lang w:val="en-US" w:eastAsia="en-US"/>
        </w:rPr>
        <w:t>Ontario Human Rights Commission v. Simpsons</w:t>
      </w:r>
      <w:r w:rsidR="00C7175C" w:rsidRPr="00B26E25">
        <w:rPr>
          <w:i/>
          <w:szCs w:val="24"/>
          <w:lang w:val="en-US" w:eastAsia="en-US"/>
        </w:rPr>
        <w:noBreakHyphen/>
      </w:r>
      <w:r w:rsidRPr="00B26E25">
        <w:rPr>
          <w:i/>
          <w:szCs w:val="24"/>
          <w:lang w:val="en-US" w:eastAsia="en-US"/>
        </w:rPr>
        <w:t>Sears Ltd.</w:t>
      </w:r>
      <w:r w:rsidRPr="00B26E25">
        <w:rPr>
          <w:szCs w:val="24"/>
          <w:lang w:val="en-US" w:eastAsia="en-US"/>
        </w:rPr>
        <w:t xml:space="preserve">, [1985] 2 S.C.R. 536; </w:t>
      </w:r>
      <w:r w:rsidRPr="00B26E25">
        <w:rPr>
          <w:i/>
          <w:szCs w:val="24"/>
          <w:lang w:val="en-US" w:eastAsia="en-US"/>
        </w:rPr>
        <w:t>Canadian National Railway Co. v. Canada (Canadian Human Rights Commission)</w:t>
      </w:r>
      <w:r w:rsidRPr="00B26E25">
        <w:rPr>
          <w:szCs w:val="24"/>
          <w:lang w:val="en-US" w:eastAsia="en-US"/>
        </w:rPr>
        <w:t xml:space="preserve">, [1987] 1 S.C.R. 1114; </w:t>
      </w:r>
      <w:r w:rsidRPr="00B26E25">
        <w:rPr>
          <w:i/>
          <w:szCs w:val="24"/>
        </w:rPr>
        <w:t>Law v. Canada (Minister of Employment and Immigration)</w:t>
      </w:r>
      <w:r w:rsidRPr="00B26E25">
        <w:rPr>
          <w:szCs w:val="24"/>
        </w:rPr>
        <w:t>, [1999] 1 S.C.R. 497</w:t>
      </w:r>
      <w:r w:rsidRPr="00B26E25">
        <w:rPr>
          <w:szCs w:val="24"/>
          <w:lang w:val="en-US" w:eastAsia="en-US"/>
        </w:rPr>
        <w:t xml:space="preserve">; </w:t>
      </w:r>
      <w:r w:rsidR="0040156D" w:rsidRPr="00B26E25">
        <w:rPr>
          <w:i/>
          <w:szCs w:val="24"/>
          <w:lang w:val="en-US" w:eastAsia="en-US"/>
        </w:rPr>
        <w:t>Griggs v. Duke Power Co.</w:t>
      </w:r>
      <w:r w:rsidR="0040156D" w:rsidRPr="00B26E25">
        <w:rPr>
          <w:szCs w:val="24"/>
          <w:lang w:val="en-US" w:eastAsia="en-US"/>
        </w:rPr>
        <w:t xml:space="preserve">, 401 U.S. 424 (1971); </w:t>
      </w:r>
      <w:r w:rsidRPr="00B26E25">
        <w:rPr>
          <w:i/>
          <w:szCs w:val="24"/>
          <w:lang w:val="en-US"/>
        </w:rPr>
        <w:t>Corbiere v. Canada (Minister of Indian and Northern Affairs)</w:t>
      </w:r>
      <w:r w:rsidRPr="00B26E25">
        <w:rPr>
          <w:szCs w:val="24"/>
          <w:lang w:val="en-US"/>
        </w:rPr>
        <w:t>, [1999] 2 S.C.R. 203</w:t>
      </w:r>
      <w:r w:rsidRPr="00B26E25">
        <w:rPr>
          <w:szCs w:val="24"/>
          <w:lang w:val="en-US" w:eastAsia="en-US"/>
        </w:rPr>
        <w:t xml:space="preserve">; </w:t>
      </w:r>
      <w:r w:rsidRPr="00B26E25">
        <w:rPr>
          <w:i/>
          <w:szCs w:val="24"/>
          <w:lang w:val="en-US" w:eastAsia="en-US"/>
        </w:rPr>
        <w:t>Brooks v. Canada Safeway Ltd.</w:t>
      </w:r>
      <w:r w:rsidRPr="00B26E25">
        <w:rPr>
          <w:szCs w:val="24"/>
          <w:lang w:val="en-US" w:eastAsia="en-US"/>
        </w:rPr>
        <w:t xml:space="preserve">, [1989] 1 S.C.R. 1219; </w:t>
      </w:r>
      <w:r w:rsidRPr="00B26E25">
        <w:rPr>
          <w:i/>
          <w:szCs w:val="24"/>
          <w:lang w:val="en-US"/>
        </w:rPr>
        <w:t>Lavoie v. Canada</w:t>
      </w:r>
      <w:r w:rsidRPr="00B26E25">
        <w:rPr>
          <w:szCs w:val="24"/>
          <w:lang w:val="en-US"/>
        </w:rPr>
        <w:t>, 2002 SCC 23, [2002] 1 S.C.R. 769</w:t>
      </w:r>
      <w:r w:rsidRPr="00B26E25">
        <w:rPr>
          <w:szCs w:val="24"/>
          <w:lang w:val="en-US" w:eastAsia="en-US"/>
        </w:rPr>
        <w:t xml:space="preserve">; </w:t>
      </w:r>
      <w:r w:rsidRPr="00B26E25">
        <w:rPr>
          <w:i/>
          <w:szCs w:val="24"/>
          <w:lang w:val="en-US" w:eastAsia="en-US"/>
        </w:rPr>
        <w:t>Janzen v. Platy Enterprises Ltd.</w:t>
      </w:r>
      <w:r w:rsidRPr="00B26E25">
        <w:rPr>
          <w:szCs w:val="24"/>
          <w:lang w:val="en-US" w:eastAsia="en-US"/>
        </w:rPr>
        <w:t xml:space="preserve">, [1989] 1 S.C.R. 1252; </w:t>
      </w:r>
      <w:r w:rsidRPr="00B26E25">
        <w:rPr>
          <w:i/>
          <w:szCs w:val="24"/>
          <w:lang w:val="en-US" w:eastAsia="en-US"/>
        </w:rPr>
        <w:t>Nova Scotia (Workers</w:t>
      </w:r>
      <w:r w:rsidR="00C7175C" w:rsidRPr="00B26E25">
        <w:rPr>
          <w:i/>
          <w:szCs w:val="24"/>
          <w:lang w:val="en-US" w:eastAsia="en-US"/>
        </w:rPr>
        <w:t>’</w:t>
      </w:r>
      <w:r w:rsidRPr="00B26E25">
        <w:rPr>
          <w:i/>
          <w:szCs w:val="24"/>
          <w:lang w:val="en-US" w:eastAsia="en-US"/>
        </w:rPr>
        <w:t xml:space="preserve"> Compensation Board) v. Martin</w:t>
      </w:r>
      <w:r w:rsidRPr="00B26E25">
        <w:rPr>
          <w:szCs w:val="24"/>
          <w:lang w:val="en-US" w:eastAsia="en-US"/>
        </w:rPr>
        <w:t xml:space="preserve">, 2003 SCC 54, [2003] 2 S.C.R. 504; </w:t>
      </w:r>
      <w:r w:rsidRPr="00B26E25">
        <w:rPr>
          <w:i/>
          <w:szCs w:val="24"/>
          <w:lang w:val="en-US"/>
        </w:rPr>
        <w:t>Alberta v. Hutterian Brethren of Wilson Colony</w:t>
      </w:r>
      <w:r w:rsidRPr="00B26E25">
        <w:rPr>
          <w:szCs w:val="24"/>
          <w:lang w:val="en-US"/>
        </w:rPr>
        <w:t>, 2009 SCC 37, [2009] 2 S.C.R. 567</w:t>
      </w:r>
      <w:r w:rsidRPr="00B26E25">
        <w:rPr>
          <w:szCs w:val="24"/>
          <w:lang w:val="en-US" w:eastAsia="en-US"/>
        </w:rPr>
        <w:t xml:space="preserve">; </w:t>
      </w:r>
      <w:r w:rsidRPr="00B26E25">
        <w:rPr>
          <w:i/>
          <w:szCs w:val="24"/>
          <w:lang w:val="en-US" w:eastAsia="en-US"/>
        </w:rPr>
        <w:t>RJR</w:t>
      </w:r>
      <w:r w:rsidR="00C7175C" w:rsidRPr="00B26E25">
        <w:rPr>
          <w:i/>
          <w:szCs w:val="24"/>
          <w:lang w:val="en-US" w:eastAsia="en-US"/>
        </w:rPr>
        <w:noBreakHyphen/>
      </w:r>
      <w:r w:rsidRPr="00B26E25">
        <w:rPr>
          <w:i/>
          <w:szCs w:val="24"/>
          <w:lang w:val="en-US" w:eastAsia="en-US"/>
        </w:rPr>
        <w:t>MacDonald Inc. v. Canada (Attorney General)</w:t>
      </w:r>
      <w:r w:rsidRPr="00B26E25">
        <w:rPr>
          <w:szCs w:val="24"/>
          <w:lang w:val="en-US" w:eastAsia="en-US"/>
        </w:rPr>
        <w:t xml:space="preserve">, [1995] 3 S.C.R. 199; </w:t>
      </w:r>
      <w:r w:rsidRPr="00B26E25">
        <w:rPr>
          <w:i/>
          <w:szCs w:val="24"/>
          <w:lang w:val="en-US"/>
        </w:rPr>
        <w:t>Eldridge v. British Columbia (Attorney General)</w:t>
      </w:r>
      <w:r w:rsidRPr="00B26E25">
        <w:rPr>
          <w:szCs w:val="24"/>
          <w:lang w:val="en-US"/>
        </w:rPr>
        <w:t>, [1997] 3 S.C.R. 624</w:t>
      </w:r>
      <w:r w:rsidRPr="00B26E25">
        <w:rPr>
          <w:szCs w:val="24"/>
          <w:lang w:val="en-US" w:eastAsia="en-US"/>
        </w:rPr>
        <w:t xml:space="preserve">; </w:t>
      </w:r>
      <w:r w:rsidR="00C54A89" w:rsidRPr="00B26E25">
        <w:rPr>
          <w:i/>
          <w:szCs w:val="24"/>
          <w:lang w:val="en-US" w:eastAsia="en-US"/>
        </w:rPr>
        <w:t>McKinney v. University of Guelph</w:t>
      </w:r>
      <w:r w:rsidR="00C54A89" w:rsidRPr="00B26E25">
        <w:rPr>
          <w:szCs w:val="24"/>
          <w:lang w:val="en-US" w:eastAsia="en-US"/>
        </w:rPr>
        <w:t xml:space="preserve">, [1990] 3 S.C.R. 229; </w:t>
      </w:r>
      <w:r w:rsidRPr="00B26E25">
        <w:rPr>
          <w:i/>
          <w:szCs w:val="24"/>
          <w:lang w:val="en-US" w:eastAsia="en-US"/>
        </w:rPr>
        <w:t>Tétreault</w:t>
      </w:r>
      <w:r w:rsidR="00C7175C" w:rsidRPr="00B26E25">
        <w:rPr>
          <w:i/>
          <w:szCs w:val="24"/>
          <w:lang w:val="en-US" w:eastAsia="en-US"/>
        </w:rPr>
        <w:noBreakHyphen/>
      </w:r>
      <w:r w:rsidRPr="00B26E25">
        <w:rPr>
          <w:i/>
          <w:szCs w:val="24"/>
          <w:lang w:val="en-US" w:eastAsia="en-US"/>
        </w:rPr>
        <w:t>Gadoury v. Canada (Employment and Immigration Commission)</w:t>
      </w:r>
      <w:r w:rsidRPr="00B26E25">
        <w:rPr>
          <w:szCs w:val="24"/>
          <w:lang w:val="en-US" w:eastAsia="en-US"/>
        </w:rPr>
        <w:t xml:space="preserve">, [1991] 2 S.C.R. 22; </w:t>
      </w:r>
      <w:r w:rsidRPr="00B26E25">
        <w:rPr>
          <w:i/>
          <w:szCs w:val="24"/>
          <w:lang w:val="en-US" w:eastAsia="en-US"/>
        </w:rPr>
        <w:t>Vriend v. Alberta</w:t>
      </w:r>
      <w:r w:rsidRPr="00B26E25">
        <w:rPr>
          <w:szCs w:val="24"/>
          <w:lang w:val="en-US" w:eastAsia="en-US"/>
        </w:rPr>
        <w:t>, [1998] 1 S.C.R. 493.</w:t>
      </w:r>
    </w:p>
    <w:p w:rsidR="0061414F" w:rsidRPr="00B26E25" w:rsidRDefault="0061414F" w:rsidP="00EF7B59">
      <w:pPr>
        <w:pStyle w:val="SCCNormalDoubleSpacing"/>
        <w:spacing w:after="480"/>
        <w:rPr>
          <w:szCs w:val="24"/>
          <w:lang w:val="en-US" w:eastAsia="en-US"/>
        </w:rPr>
      </w:pPr>
      <w:r w:rsidRPr="00B26E25">
        <w:rPr>
          <w:szCs w:val="24"/>
          <w:lang w:val="en-US" w:eastAsia="en-US"/>
        </w:rPr>
        <w:t>By Deschamps</w:t>
      </w:r>
      <w:r w:rsidR="00EF7B59" w:rsidRPr="00B26E25">
        <w:rPr>
          <w:szCs w:val="24"/>
          <w:lang w:val="en-US" w:eastAsia="en-US"/>
        </w:rPr>
        <w:t> </w:t>
      </w:r>
      <w:r w:rsidR="002F477B" w:rsidRPr="00B26E25">
        <w:rPr>
          <w:szCs w:val="24"/>
          <w:lang w:val="en-US" w:eastAsia="en-US"/>
        </w:rPr>
        <w:t>J.</w:t>
      </w:r>
    </w:p>
    <w:p w:rsidR="0061414F" w:rsidRPr="00B26E25" w:rsidRDefault="0061414F" w:rsidP="00EF7B59">
      <w:pPr>
        <w:pStyle w:val="SCCNormalDoubleSpacing"/>
        <w:spacing w:after="480"/>
        <w:rPr>
          <w:szCs w:val="24"/>
          <w:lang w:val="en-US" w:eastAsia="en-US"/>
        </w:rPr>
      </w:pPr>
      <w:r w:rsidRPr="00B26E25">
        <w:rPr>
          <w:szCs w:val="24"/>
          <w:lang w:val="en-US" w:eastAsia="en-US"/>
        </w:rPr>
        <w:tab/>
      </w:r>
      <w:r w:rsidR="003B230A" w:rsidRPr="00B26E25">
        <w:rPr>
          <w:b/>
          <w:szCs w:val="24"/>
          <w:lang w:val="en-US" w:eastAsia="en-US"/>
        </w:rPr>
        <w:t>Not followed:</w:t>
      </w:r>
      <w:r w:rsidR="003B230A" w:rsidRPr="00B26E25">
        <w:rPr>
          <w:szCs w:val="24"/>
          <w:lang w:val="en-US" w:eastAsia="en-US"/>
        </w:rPr>
        <w:t xml:space="preserve">  </w:t>
      </w:r>
      <w:r w:rsidRPr="00B26E25">
        <w:rPr>
          <w:i/>
          <w:szCs w:val="24"/>
        </w:rPr>
        <w:t>Nova Scotia (Attorney General) v. Walsh</w:t>
      </w:r>
      <w:r w:rsidRPr="00B26E25">
        <w:rPr>
          <w:szCs w:val="24"/>
        </w:rPr>
        <w:t>, 2002 SCC 83, [2002] 4 S.C.R. 325</w:t>
      </w:r>
      <w:r w:rsidRPr="00B26E25">
        <w:rPr>
          <w:szCs w:val="24"/>
          <w:lang w:val="en-US" w:eastAsia="en-US"/>
        </w:rPr>
        <w:t xml:space="preserve">; </w:t>
      </w:r>
      <w:r w:rsidR="003B230A" w:rsidRPr="00B26E25">
        <w:rPr>
          <w:b/>
          <w:szCs w:val="24"/>
          <w:lang w:val="en-US" w:eastAsia="en-US"/>
        </w:rPr>
        <w:t>referred to:</w:t>
      </w:r>
      <w:r w:rsidR="003B230A" w:rsidRPr="00B26E25">
        <w:rPr>
          <w:szCs w:val="24"/>
          <w:lang w:val="en-US" w:eastAsia="en-US"/>
        </w:rPr>
        <w:t xml:space="preserve">  </w:t>
      </w:r>
      <w:r w:rsidRPr="00B26E25">
        <w:rPr>
          <w:i/>
          <w:szCs w:val="24"/>
        </w:rPr>
        <w:t>R. v. Kapp</w:t>
      </w:r>
      <w:r w:rsidRPr="00B26E25">
        <w:rPr>
          <w:szCs w:val="24"/>
        </w:rPr>
        <w:t xml:space="preserve">, 2008 SCC 41, [2008] 2 </w:t>
      </w:r>
      <w:r w:rsidRPr="00B26E25">
        <w:rPr>
          <w:szCs w:val="24"/>
          <w:lang w:val="en-US" w:eastAsia="en-US"/>
        </w:rPr>
        <w:t>S.C.R.</w:t>
      </w:r>
      <w:r w:rsidRPr="00B26E25">
        <w:rPr>
          <w:szCs w:val="24"/>
        </w:rPr>
        <w:t xml:space="preserve"> 483</w:t>
      </w:r>
      <w:r w:rsidRPr="00B26E25">
        <w:rPr>
          <w:szCs w:val="24"/>
          <w:lang w:val="en-US" w:eastAsia="en-US"/>
        </w:rPr>
        <w:t xml:space="preserve">; </w:t>
      </w:r>
      <w:r w:rsidRPr="00B26E25">
        <w:rPr>
          <w:i/>
          <w:szCs w:val="24"/>
          <w:lang w:val="en-US"/>
        </w:rPr>
        <w:t>Withler v. Canada (Attorney General)</w:t>
      </w:r>
      <w:r w:rsidRPr="00B26E25">
        <w:rPr>
          <w:szCs w:val="24"/>
          <w:lang w:val="en-US"/>
        </w:rPr>
        <w:t>, 2011 SCC 12, [2011] 1 S.C.R. 396</w:t>
      </w:r>
      <w:r w:rsidRPr="00B26E25">
        <w:rPr>
          <w:szCs w:val="24"/>
          <w:lang w:val="en-US" w:eastAsia="en-US"/>
        </w:rPr>
        <w:t xml:space="preserve">; </w:t>
      </w:r>
      <w:r w:rsidRPr="00B26E25">
        <w:rPr>
          <w:i/>
          <w:szCs w:val="24"/>
        </w:rPr>
        <w:t>Law v. Canada (Minister of Employment and Immigration)</w:t>
      </w:r>
      <w:r w:rsidRPr="00B26E25">
        <w:rPr>
          <w:szCs w:val="24"/>
        </w:rPr>
        <w:t>, [1999] 1 S.C.R. 497</w:t>
      </w:r>
      <w:r w:rsidRPr="00B26E25">
        <w:rPr>
          <w:szCs w:val="24"/>
          <w:lang w:val="en-US" w:eastAsia="en-US"/>
        </w:rPr>
        <w:t xml:space="preserve">; </w:t>
      </w:r>
      <w:r w:rsidRPr="00B26E25">
        <w:rPr>
          <w:i/>
          <w:szCs w:val="24"/>
        </w:rPr>
        <w:t>Miron v. Trudel</w:t>
      </w:r>
      <w:r w:rsidRPr="00B26E25">
        <w:rPr>
          <w:szCs w:val="24"/>
        </w:rPr>
        <w:t xml:space="preserve">, [1995] 2 </w:t>
      </w:r>
      <w:r w:rsidRPr="00B26E25">
        <w:rPr>
          <w:szCs w:val="24"/>
          <w:lang w:val="en-US" w:eastAsia="en-US"/>
        </w:rPr>
        <w:t>S.C.R.</w:t>
      </w:r>
      <w:r w:rsidRPr="00B26E25">
        <w:rPr>
          <w:szCs w:val="24"/>
        </w:rPr>
        <w:t xml:space="preserve"> 418</w:t>
      </w:r>
      <w:r w:rsidRPr="00B26E25">
        <w:rPr>
          <w:szCs w:val="24"/>
          <w:lang w:val="en-US" w:eastAsia="en-US"/>
        </w:rPr>
        <w:t xml:space="preserve">; </w:t>
      </w:r>
      <w:r w:rsidRPr="00B26E25">
        <w:rPr>
          <w:i/>
          <w:szCs w:val="24"/>
          <w:lang w:val="en-US"/>
        </w:rPr>
        <w:t>Bracklow v. Bracklow</w:t>
      </w:r>
      <w:r w:rsidRPr="00B26E25">
        <w:rPr>
          <w:szCs w:val="24"/>
          <w:lang w:val="en-US"/>
        </w:rPr>
        <w:t>, [1999] 1 S.C.</w:t>
      </w:r>
      <w:r w:rsidRPr="00B26E25">
        <w:rPr>
          <w:szCs w:val="24"/>
          <w:lang w:val="en-US" w:eastAsia="en-US"/>
        </w:rPr>
        <w:t>R.</w:t>
      </w:r>
      <w:r w:rsidRPr="00B26E25">
        <w:rPr>
          <w:szCs w:val="24"/>
          <w:lang w:val="en-US"/>
        </w:rPr>
        <w:t xml:space="preserve"> 420</w:t>
      </w:r>
      <w:r w:rsidRPr="00B26E25">
        <w:rPr>
          <w:szCs w:val="24"/>
          <w:lang w:val="en-US" w:eastAsia="en-US"/>
        </w:rPr>
        <w:t xml:space="preserve">; </w:t>
      </w:r>
      <w:r w:rsidRPr="00B26E25">
        <w:rPr>
          <w:i/>
          <w:szCs w:val="24"/>
          <w:lang w:val="en-US" w:eastAsia="en-US"/>
        </w:rPr>
        <w:t>Moge v. Moge</w:t>
      </w:r>
      <w:r w:rsidRPr="00B26E25">
        <w:rPr>
          <w:szCs w:val="24"/>
          <w:lang w:val="en-US" w:eastAsia="en-US"/>
        </w:rPr>
        <w:t xml:space="preserve">, [1992] 3 S.C.R. 813; </w:t>
      </w:r>
      <w:r w:rsidRPr="00B26E25">
        <w:rPr>
          <w:i/>
          <w:szCs w:val="24"/>
        </w:rPr>
        <w:t>M. v. H.</w:t>
      </w:r>
      <w:r w:rsidRPr="00B26E25">
        <w:rPr>
          <w:szCs w:val="24"/>
        </w:rPr>
        <w:t>, [1999] 2 S.C.</w:t>
      </w:r>
      <w:r w:rsidRPr="00B26E25">
        <w:rPr>
          <w:szCs w:val="24"/>
          <w:lang w:val="en-US" w:eastAsia="en-US"/>
        </w:rPr>
        <w:t>R.</w:t>
      </w:r>
      <w:r w:rsidRPr="00B26E25">
        <w:rPr>
          <w:szCs w:val="24"/>
        </w:rPr>
        <w:t xml:space="preserve"> 3</w:t>
      </w:r>
      <w:r w:rsidRPr="00B26E25">
        <w:rPr>
          <w:szCs w:val="24"/>
          <w:lang w:val="en-US" w:eastAsia="en-US"/>
        </w:rPr>
        <w:t>.</w:t>
      </w:r>
    </w:p>
    <w:p w:rsidR="0061414F" w:rsidRPr="00B26E25" w:rsidRDefault="0061414F" w:rsidP="00B03F5F">
      <w:pPr>
        <w:pStyle w:val="SCCNormalDoubleSpacing"/>
        <w:spacing w:after="480"/>
        <w:rPr>
          <w:szCs w:val="24"/>
          <w:lang w:val="en-US"/>
        </w:rPr>
      </w:pPr>
      <w:r w:rsidRPr="00B26E25">
        <w:rPr>
          <w:szCs w:val="24"/>
          <w:lang w:val="en-US"/>
        </w:rPr>
        <w:t xml:space="preserve">By </w:t>
      </w:r>
      <w:r w:rsidRPr="00B26E25">
        <w:rPr>
          <w:szCs w:val="24"/>
        </w:rPr>
        <w:t>McLachlin</w:t>
      </w:r>
      <w:r w:rsidR="00EF7B59" w:rsidRPr="00B26E25">
        <w:rPr>
          <w:szCs w:val="24"/>
          <w:lang w:val="en-US"/>
        </w:rPr>
        <w:t> </w:t>
      </w:r>
      <w:r w:rsidRPr="00B26E25">
        <w:rPr>
          <w:szCs w:val="24"/>
          <w:lang w:val="en-US"/>
        </w:rPr>
        <w:t>C.J.</w:t>
      </w:r>
    </w:p>
    <w:p w:rsidR="0061414F" w:rsidRPr="00B26E25" w:rsidRDefault="0061414F" w:rsidP="00B03F5F">
      <w:pPr>
        <w:pStyle w:val="SCCNormalDoubleSpacing"/>
        <w:spacing w:after="480"/>
        <w:rPr>
          <w:szCs w:val="24"/>
          <w:lang w:val="en-US" w:eastAsia="en-US"/>
        </w:rPr>
      </w:pPr>
      <w:r w:rsidRPr="00B26E25">
        <w:rPr>
          <w:szCs w:val="24"/>
          <w:lang w:val="en-US"/>
        </w:rPr>
        <w:tab/>
      </w:r>
      <w:r w:rsidR="002F477B" w:rsidRPr="00B26E25">
        <w:rPr>
          <w:b/>
          <w:szCs w:val="24"/>
          <w:lang w:val="en-US"/>
        </w:rPr>
        <w:t>Not followed:</w:t>
      </w:r>
      <w:r w:rsidR="002F477B" w:rsidRPr="00B26E25">
        <w:rPr>
          <w:szCs w:val="24"/>
          <w:lang w:val="en-US"/>
        </w:rPr>
        <w:t xml:space="preserve">  </w:t>
      </w:r>
      <w:r w:rsidR="002F477B" w:rsidRPr="00B26E25">
        <w:rPr>
          <w:i/>
          <w:szCs w:val="24"/>
        </w:rPr>
        <w:t>Nova Scotia (Attorney General) v. Walsh</w:t>
      </w:r>
      <w:r w:rsidR="002F477B" w:rsidRPr="00B26E25">
        <w:rPr>
          <w:szCs w:val="24"/>
        </w:rPr>
        <w:t xml:space="preserve">, 2002 SCC 83, [2002] 4 S.C.R. 325; </w:t>
      </w:r>
      <w:r w:rsidR="002F477B" w:rsidRPr="00B26E25">
        <w:rPr>
          <w:b/>
          <w:szCs w:val="24"/>
        </w:rPr>
        <w:t>r</w:t>
      </w:r>
      <w:r w:rsidRPr="00B26E25">
        <w:rPr>
          <w:b/>
          <w:szCs w:val="24"/>
        </w:rPr>
        <w:t>eferred to:</w:t>
      </w:r>
      <w:r w:rsidRPr="00B26E25">
        <w:rPr>
          <w:szCs w:val="24"/>
        </w:rPr>
        <w:t xml:space="preserve">  </w:t>
      </w:r>
      <w:r w:rsidR="00B35019" w:rsidRPr="00B26E25">
        <w:rPr>
          <w:i/>
          <w:szCs w:val="24"/>
        </w:rPr>
        <w:t>Miron v. Trudel</w:t>
      </w:r>
      <w:r w:rsidR="00B35019" w:rsidRPr="00B26E25">
        <w:rPr>
          <w:szCs w:val="24"/>
        </w:rPr>
        <w:t xml:space="preserve">, [1995] 2 S.C.R. 418; </w:t>
      </w:r>
      <w:r w:rsidRPr="00B26E25">
        <w:rPr>
          <w:i/>
          <w:szCs w:val="24"/>
        </w:rPr>
        <w:t>R. v. Kapp</w:t>
      </w:r>
      <w:r w:rsidRPr="00B26E25">
        <w:rPr>
          <w:szCs w:val="24"/>
        </w:rPr>
        <w:t xml:space="preserve">, 2008 SCC 41, [2008] 2 </w:t>
      </w:r>
      <w:r w:rsidRPr="00B26E25">
        <w:rPr>
          <w:szCs w:val="24"/>
          <w:lang w:val="en-US" w:eastAsia="en-US"/>
        </w:rPr>
        <w:t>S.C.R.</w:t>
      </w:r>
      <w:r w:rsidRPr="00B26E25">
        <w:rPr>
          <w:szCs w:val="24"/>
        </w:rPr>
        <w:t xml:space="preserve"> 483</w:t>
      </w:r>
      <w:r w:rsidRPr="00B26E25">
        <w:rPr>
          <w:szCs w:val="24"/>
          <w:lang w:val="en-US" w:eastAsia="en-US"/>
        </w:rPr>
        <w:t xml:space="preserve">; </w:t>
      </w:r>
      <w:r w:rsidRPr="00B26E25">
        <w:rPr>
          <w:i/>
          <w:szCs w:val="24"/>
          <w:lang w:val="en-US"/>
        </w:rPr>
        <w:t>Withler v. Canada (Attorney General)</w:t>
      </w:r>
      <w:r w:rsidRPr="00B26E25">
        <w:rPr>
          <w:szCs w:val="24"/>
          <w:lang w:val="en-US"/>
        </w:rPr>
        <w:t>, 2011 SCC 12, [2011] 1 S.C.R. 396</w:t>
      </w:r>
      <w:r w:rsidRPr="00B26E25">
        <w:rPr>
          <w:szCs w:val="24"/>
          <w:lang w:val="en-US" w:eastAsia="en-US"/>
        </w:rPr>
        <w:t xml:space="preserve">; </w:t>
      </w:r>
      <w:r w:rsidRPr="00B26E25">
        <w:rPr>
          <w:i/>
          <w:szCs w:val="24"/>
        </w:rPr>
        <w:t>Law v. Canada (Minister of Employment and Immigration)</w:t>
      </w:r>
      <w:r w:rsidRPr="00B26E25">
        <w:rPr>
          <w:szCs w:val="24"/>
        </w:rPr>
        <w:t xml:space="preserve">, [1999] 1 S.C.R. 497; </w:t>
      </w:r>
      <w:r w:rsidRPr="00B26E25">
        <w:rPr>
          <w:i/>
          <w:szCs w:val="24"/>
          <w:lang w:val="en-US"/>
        </w:rPr>
        <w:t>Andrews v. Law Society of British Columbia</w:t>
      </w:r>
      <w:r w:rsidRPr="00B26E25">
        <w:rPr>
          <w:szCs w:val="24"/>
          <w:lang w:val="en-US"/>
        </w:rPr>
        <w:t>, [1989] 1 S.C.R. 143</w:t>
      </w:r>
      <w:r w:rsidRPr="00B26E25">
        <w:rPr>
          <w:szCs w:val="24"/>
          <w:lang w:val="en-US" w:eastAsia="en-US"/>
        </w:rPr>
        <w:t xml:space="preserve">; </w:t>
      </w:r>
      <w:r w:rsidRPr="00B26E25">
        <w:rPr>
          <w:i/>
          <w:szCs w:val="24"/>
          <w:lang w:val="en-US"/>
        </w:rPr>
        <w:t>R. v. Oakes</w:t>
      </w:r>
      <w:r w:rsidRPr="00B26E25">
        <w:rPr>
          <w:szCs w:val="24"/>
          <w:lang w:val="en-US"/>
        </w:rPr>
        <w:t xml:space="preserve">, [1986] 1 S.C.R. 103; </w:t>
      </w:r>
      <w:r w:rsidRPr="00B26E25">
        <w:rPr>
          <w:i/>
          <w:szCs w:val="24"/>
          <w:lang w:val="en-US"/>
        </w:rPr>
        <w:t>R. v. Edwards Books and Art Ltd.</w:t>
      </w:r>
      <w:r w:rsidRPr="00B26E25">
        <w:rPr>
          <w:szCs w:val="24"/>
          <w:lang w:val="en-US"/>
        </w:rPr>
        <w:t xml:space="preserve">, [1986] 2 S.C.R. 713; </w:t>
      </w:r>
      <w:r w:rsidRPr="00B26E25">
        <w:rPr>
          <w:i/>
          <w:szCs w:val="24"/>
          <w:lang w:val="en-US"/>
        </w:rPr>
        <w:t>Irwin Toy Ltd. v. Quebec (Attorney General)</w:t>
      </w:r>
      <w:r w:rsidRPr="00B26E25">
        <w:rPr>
          <w:szCs w:val="24"/>
          <w:lang w:val="en-US"/>
        </w:rPr>
        <w:t xml:space="preserve">, [1989] 1 S.C.R. 927; </w:t>
      </w:r>
      <w:r w:rsidRPr="00B26E25">
        <w:rPr>
          <w:i/>
          <w:szCs w:val="24"/>
          <w:lang w:val="en-US"/>
        </w:rPr>
        <w:t>Alberta v. Hutterian Brethren of Wilson Colony</w:t>
      </w:r>
      <w:r w:rsidRPr="00B26E25">
        <w:rPr>
          <w:szCs w:val="24"/>
          <w:lang w:val="en-US"/>
        </w:rPr>
        <w:t xml:space="preserve">, 2009 SCC 37, [2009] 2 S.C.R. 567; </w:t>
      </w:r>
      <w:r w:rsidRPr="00B26E25">
        <w:rPr>
          <w:i/>
          <w:szCs w:val="24"/>
          <w:lang w:val="en-US"/>
        </w:rPr>
        <w:t>Lavoie v. Canada</w:t>
      </w:r>
      <w:r w:rsidRPr="00B26E25">
        <w:rPr>
          <w:szCs w:val="24"/>
          <w:lang w:val="en-US"/>
        </w:rPr>
        <w:t xml:space="preserve">, 2002 SCC 23, [2002] 1 S.C.R. 769; </w:t>
      </w:r>
      <w:r w:rsidRPr="00B26E25">
        <w:rPr>
          <w:i/>
          <w:szCs w:val="24"/>
          <w:lang w:val="en-US" w:eastAsia="en-US"/>
        </w:rPr>
        <w:t>RJR</w:t>
      </w:r>
      <w:r w:rsidR="00C7175C" w:rsidRPr="00B26E25">
        <w:rPr>
          <w:i/>
          <w:szCs w:val="24"/>
          <w:lang w:val="en-US" w:eastAsia="en-US"/>
        </w:rPr>
        <w:noBreakHyphen/>
      </w:r>
      <w:r w:rsidRPr="00B26E25">
        <w:rPr>
          <w:i/>
          <w:szCs w:val="24"/>
          <w:lang w:val="en-US" w:eastAsia="en-US"/>
        </w:rPr>
        <w:t>MacDonald Inc. v. Canada (Attorney General)</w:t>
      </w:r>
      <w:r w:rsidRPr="00B26E25">
        <w:rPr>
          <w:szCs w:val="24"/>
          <w:lang w:val="en-US" w:eastAsia="en-US"/>
        </w:rPr>
        <w:t xml:space="preserve">, [1995] 3 S.C.R. 199; </w:t>
      </w:r>
      <w:r w:rsidRPr="00B26E25">
        <w:rPr>
          <w:i/>
          <w:szCs w:val="24"/>
          <w:lang w:val="en-US" w:eastAsia="en-US"/>
        </w:rPr>
        <w:t>McKinney v. University of Guelph</w:t>
      </w:r>
      <w:r w:rsidRPr="00B26E25">
        <w:rPr>
          <w:szCs w:val="24"/>
          <w:lang w:val="en-US" w:eastAsia="en-US"/>
        </w:rPr>
        <w:t xml:space="preserve">, [1990] 3 S.C.R. 229; </w:t>
      </w:r>
      <w:r w:rsidRPr="00B26E25">
        <w:rPr>
          <w:i/>
          <w:szCs w:val="24"/>
          <w:lang w:val="en-US" w:eastAsia="en-US"/>
        </w:rPr>
        <w:t>R. v. Advance Cutting &amp; Coring Ltd.</w:t>
      </w:r>
      <w:r w:rsidRPr="00B26E25">
        <w:rPr>
          <w:szCs w:val="24"/>
          <w:lang w:val="en-US" w:eastAsia="en-US"/>
        </w:rPr>
        <w:t>, 2001 SCC 70, [2001] 3 S.C.R. 209.</w:t>
      </w:r>
    </w:p>
    <w:p w:rsidR="003B215F" w:rsidRPr="00B26E25" w:rsidRDefault="002E6705" w:rsidP="007A2491">
      <w:pPr>
        <w:pStyle w:val="SCCNormalDoubleSpacing"/>
        <w:keepNext/>
        <w:spacing w:after="720" w:line="240" w:lineRule="auto"/>
        <w:rPr>
          <w:b/>
          <w:szCs w:val="24"/>
        </w:rPr>
      </w:pPr>
      <w:r w:rsidRPr="00B26E25">
        <w:rPr>
          <w:b/>
          <w:szCs w:val="24"/>
        </w:rPr>
        <w:t>Statutes and Regulations Cite</w:t>
      </w:r>
      <w:r w:rsidR="00A41805" w:rsidRPr="00B26E25">
        <w:rPr>
          <w:b/>
          <w:szCs w:val="24"/>
        </w:rPr>
        <w:t>d</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instituting civil unions and establishing new rules of filiation</w:t>
      </w:r>
      <w:r w:rsidR="007A2491" w:rsidRPr="00B26E25">
        <w:rPr>
          <w:szCs w:val="24"/>
          <w:lang w:val="en-US"/>
        </w:rPr>
        <w:t>, S.Q. 2002, c. </w:t>
      </w:r>
      <w:r w:rsidRPr="00B26E25">
        <w:rPr>
          <w:szCs w:val="24"/>
          <w:lang w:val="en-US"/>
        </w:rPr>
        <w:t>6</w:t>
      </w:r>
      <w:r w:rsidR="00C4738A" w:rsidRPr="00B26E25">
        <w:rPr>
          <w:szCs w:val="24"/>
          <w:lang w:val="en-US"/>
        </w:rPr>
        <w:t xml:space="preserve">, </w:t>
      </w:r>
      <w:r w:rsidR="00994D71">
        <w:rPr>
          <w:szCs w:val="24"/>
          <w:lang w:val="en-US"/>
        </w:rPr>
        <w:t>s. </w:t>
      </w:r>
      <w:r w:rsidR="00C4738A" w:rsidRPr="00B26E25">
        <w:rPr>
          <w:szCs w:val="24"/>
          <w:lang w:val="en-US"/>
        </w:rPr>
        <w:t>143</w:t>
      </w:r>
      <w:r w:rsidRPr="00B26E25">
        <w:rPr>
          <w:szCs w:val="24"/>
          <w:lang w:val="en-US"/>
        </w:rPr>
        <w:t>.</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duties on transfers of immovables</w:t>
      </w:r>
      <w:r w:rsidR="007A2491" w:rsidRPr="00B26E25">
        <w:rPr>
          <w:szCs w:val="24"/>
          <w:lang w:val="en-US"/>
        </w:rPr>
        <w:t>, R.S.Q., c. </w:t>
      </w:r>
      <w:r w:rsidRPr="00B26E25">
        <w:rPr>
          <w:szCs w:val="24"/>
          <w:lang w:val="en-US"/>
        </w:rPr>
        <w:t>D</w:t>
      </w:r>
      <w:r w:rsidR="00C7175C" w:rsidRPr="00B26E25">
        <w:rPr>
          <w:szCs w:val="24"/>
          <w:lang w:val="en-US"/>
        </w:rPr>
        <w:noBreakHyphen/>
      </w:r>
      <w:r w:rsidRPr="00B26E25">
        <w:rPr>
          <w:szCs w:val="24"/>
          <w:lang w:val="en-US"/>
        </w:rPr>
        <w:t>15.1.</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financial assistance for education expenses</w:t>
      </w:r>
      <w:r w:rsidR="007A2491" w:rsidRPr="00B26E25">
        <w:rPr>
          <w:szCs w:val="24"/>
          <w:lang w:val="en-US"/>
        </w:rPr>
        <w:t>, R.S.Q., c. </w:t>
      </w:r>
      <w:r w:rsidRPr="00B26E25">
        <w:rPr>
          <w:szCs w:val="24"/>
          <w:lang w:val="en-US"/>
        </w:rPr>
        <w:t>A</w:t>
      </w:r>
      <w:r w:rsidR="00C7175C" w:rsidRPr="00B26E25">
        <w:rPr>
          <w:szCs w:val="24"/>
          <w:lang w:val="en-US"/>
        </w:rPr>
        <w:noBreakHyphen/>
      </w:r>
      <w:r w:rsidRPr="00B26E25">
        <w:rPr>
          <w:szCs w:val="24"/>
          <w:lang w:val="en-US"/>
        </w:rPr>
        <w:t>13.3.</w:t>
      </w:r>
    </w:p>
    <w:p w:rsidR="00D17E33" w:rsidRPr="00B26E25" w:rsidRDefault="00D17E33" w:rsidP="003E013D">
      <w:pPr>
        <w:pStyle w:val="SCCNormalDoubleSpacing"/>
        <w:spacing w:after="240" w:line="240" w:lineRule="auto"/>
        <w:ind w:left="547" w:hanging="547"/>
        <w:rPr>
          <w:szCs w:val="24"/>
          <w:lang w:val="en-US"/>
        </w:rPr>
      </w:pPr>
      <w:r w:rsidRPr="00B26E25">
        <w:rPr>
          <w:i/>
          <w:szCs w:val="24"/>
          <w:lang w:val="en-US"/>
        </w:rPr>
        <w:t>Act respecting financial services cooperatives</w:t>
      </w:r>
      <w:r w:rsidR="007A2491" w:rsidRPr="00B26E25">
        <w:rPr>
          <w:szCs w:val="24"/>
          <w:lang w:val="en-US"/>
        </w:rPr>
        <w:t>, R.S.Q., c. </w:t>
      </w:r>
      <w:r w:rsidRPr="00B26E25">
        <w:rPr>
          <w:szCs w:val="24"/>
          <w:lang w:val="en-US"/>
        </w:rPr>
        <w:t>C</w:t>
      </w:r>
      <w:r w:rsidR="00C7175C" w:rsidRPr="00B26E25">
        <w:rPr>
          <w:szCs w:val="24"/>
          <w:lang w:val="en-US"/>
        </w:rPr>
        <w:noBreakHyphen/>
      </w:r>
      <w:r w:rsidRPr="00B26E25">
        <w:rPr>
          <w:szCs w:val="24"/>
          <w:lang w:val="en-US"/>
        </w:rPr>
        <w:t>67.3.</w:t>
      </w:r>
    </w:p>
    <w:p w:rsidR="00FE3BA5" w:rsidRPr="00B26E25" w:rsidRDefault="00FE3BA5" w:rsidP="00FE3BA5">
      <w:pPr>
        <w:pStyle w:val="SCCNormalDoubleSpacing"/>
        <w:spacing w:after="240" w:line="240" w:lineRule="auto"/>
        <w:ind w:left="547" w:hanging="547"/>
        <w:rPr>
          <w:szCs w:val="24"/>
          <w:lang w:val="en-US"/>
        </w:rPr>
      </w:pPr>
      <w:r w:rsidRPr="00B26E25">
        <w:rPr>
          <w:i/>
          <w:szCs w:val="24"/>
          <w:lang w:val="en-US"/>
        </w:rPr>
        <w:t>Act respecting industrial accidents and occupational diseases</w:t>
      </w:r>
      <w:r w:rsidR="007A2491" w:rsidRPr="00B26E25">
        <w:rPr>
          <w:szCs w:val="24"/>
          <w:lang w:val="en-US"/>
        </w:rPr>
        <w:t>, R.S.Q., c. </w:t>
      </w:r>
      <w:r w:rsidRPr="00B26E25">
        <w:rPr>
          <w:szCs w:val="24"/>
          <w:lang w:val="en-US"/>
        </w:rPr>
        <w:t>A</w:t>
      </w:r>
      <w:r w:rsidR="00C7175C" w:rsidRPr="00B26E25">
        <w:rPr>
          <w:szCs w:val="24"/>
          <w:lang w:val="en-US"/>
        </w:rPr>
        <w:noBreakHyphen/>
      </w:r>
      <w:r w:rsidRPr="00B26E25">
        <w:rPr>
          <w:szCs w:val="24"/>
          <w:lang w:val="en-US"/>
        </w:rPr>
        <w:t>3.001.</w:t>
      </w:r>
    </w:p>
    <w:p w:rsidR="00FE3BA5" w:rsidRPr="00B26E25" w:rsidRDefault="00FE3BA5" w:rsidP="00FE3BA5">
      <w:pPr>
        <w:pStyle w:val="SCCNormalDoubleSpacing"/>
        <w:spacing w:after="240" w:line="240" w:lineRule="auto"/>
        <w:ind w:left="547" w:hanging="547"/>
        <w:rPr>
          <w:szCs w:val="24"/>
          <w:lang w:val="en-US"/>
        </w:rPr>
      </w:pPr>
      <w:r w:rsidRPr="00B26E25">
        <w:rPr>
          <w:i/>
          <w:szCs w:val="24"/>
          <w:lang w:val="en-US"/>
        </w:rPr>
        <w:t>Act respecting insurance</w:t>
      </w:r>
      <w:r w:rsidR="007A2491" w:rsidRPr="00B26E25">
        <w:rPr>
          <w:szCs w:val="24"/>
          <w:lang w:val="en-US"/>
        </w:rPr>
        <w:t>, R.S.Q., c. </w:t>
      </w:r>
      <w:r w:rsidRPr="00B26E25">
        <w:rPr>
          <w:szCs w:val="24"/>
          <w:lang w:val="en-US"/>
        </w:rPr>
        <w:t>A</w:t>
      </w:r>
      <w:r w:rsidR="00C7175C" w:rsidRPr="00B26E25">
        <w:rPr>
          <w:szCs w:val="24"/>
          <w:lang w:val="en-US"/>
        </w:rPr>
        <w:noBreakHyphen/>
      </w:r>
      <w:r w:rsidRPr="00B26E25">
        <w:rPr>
          <w:szCs w:val="24"/>
          <w:lang w:val="en-US"/>
        </w:rPr>
        <w:t>32.</w:t>
      </w:r>
    </w:p>
    <w:p w:rsidR="00FE3BA5" w:rsidRPr="00B26E25" w:rsidRDefault="00FE3BA5" w:rsidP="00FE3BA5">
      <w:pPr>
        <w:pStyle w:val="SCCNormalDoubleSpacing"/>
        <w:spacing w:after="240" w:line="240" w:lineRule="auto"/>
        <w:ind w:left="547" w:hanging="547"/>
        <w:rPr>
          <w:szCs w:val="24"/>
          <w:lang w:val="en-US"/>
        </w:rPr>
      </w:pPr>
      <w:r w:rsidRPr="00B26E25">
        <w:rPr>
          <w:i/>
          <w:szCs w:val="24"/>
          <w:lang w:val="en-US"/>
        </w:rPr>
        <w:t>Act respecting labour standards</w:t>
      </w:r>
      <w:r w:rsidR="007A2491" w:rsidRPr="00B26E25">
        <w:rPr>
          <w:szCs w:val="24"/>
          <w:lang w:val="en-US"/>
        </w:rPr>
        <w:t>, R.S.Q., c. </w:t>
      </w:r>
      <w:r w:rsidRPr="00B26E25">
        <w:rPr>
          <w:szCs w:val="24"/>
          <w:lang w:val="en-US"/>
        </w:rPr>
        <w:t>N</w:t>
      </w:r>
      <w:r w:rsidR="00C7175C" w:rsidRPr="00B26E25">
        <w:rPr>
          <w:szCs w:val="24"/>
          <w:lang w:val="en-US"/>
        </w:rPr>
        <w:noBreakHyphen/>
      </w:r>
      <w:r w:rsidRPr="00B26E25">
        <w:rPr>
          <w:szCs w:val="24"/>
          <w:lang w:val="en-US"/>
        </w:rPr>
        <w:t>1.1.</w:t>
      </w:r>
    </w:p>
    <w:p w:rsidR="0019130B" w:rsidRPr="00B26E25" w:rsidRDefault="0019130B" w:rsidP="0019130B">
      <w:pPr>
        <w:pStyle w:val="SCCNormalDoubleSpacing"/>
        <w:spacing w:after="240" w:line="240" w:lineRule="auto"/>
        <w:ind w:left="547" w:hanging="547"/>
        <w:rPr>
          <w:szCs w:val="24"/>
          <w:lang w:val="en-US"/>
        </w:rPr>
      </w:pPr>
      <w:r w:rsidRPr="00B26E25">
        <w:rPr>
          <w:i/>
          <w:szCs w:val="24"/>
          <w:lang w:val="en-US"/>
        </w:rPr>
        <w:t>Act respecting legal aid and the provision of certain other legal services</w:t>
      </w:r>
      <w:r w:rsidRPr="00B26E25">
        <w:rPr>
          <w:szCs w:val="24"/>
          <w:lang w:val="en-US"/>
        </w:rPr>
        <w:t xml:space="preserve">, </w:t>
      </w:r>
      <w:r w:rsidR="007A2491" w:rsidRPr="00B26E25">
        <w:rPr>
          <w:szCs w:val="24"/>
          <w:lang w:val="en-US"/>
        </w:rPr>
        <w:t>R.S.Q., c. </w:t>
      </w:r>
      <w:r w:rsidRPr="00B26E25">
        <w:rPr>
          <w:szCs w:val="24"/>
          <w:lang w:val="en-US"/>
        </w:rPr>
        <w:t>A</w:t>
      </w:r>
      <w:r w:rsidR="00C7175C" w:rsidRPr="00B26E25">
        <w:rPr>
          <w:szCs w:val="24"/>
          <w:lang w:val="en-US"/>
        </w:rPr>
        <w:noBreakHyphen/>
      </w:r>
      <w:r w:rsidRPr="00B26E25">
        <w:rPr>
          <w:szCs w:val="24"/>
          <w:lang w:val="en-US"/>
        </w:rPr>
        <w:t>14.</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matrimonial regimes</w:t>
      </w:r>
      <w:r w:rsidR="007A2491" w:rsidRPr="00B26E25">
        <w:rPr>
          <w:szCs w:val="24"/>
          <w:lang w:val="en-US"/>
        </w:rPr>
        <w:t>, S.Q. 1969, c. </w:t>
      </w:r>
      <w:r w:rsidRPr="00B26E25">
        <w:rPr>
          <w:szCs w:val="24"/>
          <w:lang w:val="en-US"/>
        </w:rPr>
        <w:t>77.</w:t>
      </w:r>
    </w:p>
    <w:p w:rsidR="00FE3BA5" w:rsidRPr="00B26E25" w:rsidRDefault="00FE3BA5" w:rsidP="00FE3BA5">
      <w:pPr>
        <w:pStyle w:val="SCCNormalDoubleSpacing"/>
        <w:spacing w:after="240" w:line="240" w:lineRule="auto"/>
        <w:ind w:left="547" w:hanging="547"/>
        <w:rPr>
          <w:szCs w:val="24"/>
          <w:lang w:val="en-US"/>
        </w:rPr>
      </w:pPr>
      <w:r w:rsidRPr="00B26E25">
        <w:rPr>
          <w:i/>
          <w:szCs w:val="24"/>
          <w:lang w:val="en-US"/>
        </w:rPr>
        <w:t>Act respecting school elections</w:t>
      </w:r>
      <w:r w:rsidR="007A2491" w:rsidRPr="00B26E25">
        <w:rPr>
          <w:szCs w:val="24"/>
          <w:lang w:val="en-US"/>
        </w:rPr>
        <w:t>, R.S.Q., c. </w:t>
      </w:r>
      <w:r w:rsidRPr="00B26E25">
        <w:rPr>
          <w:szCs w:val="24"/>
          <w:lang w:val="en-US"/>
        </w:rPr>
        <w:t>E</w:t>
      </w:r>
      <w:r w:rsidR="00C7175C" w:rsidRPr="00B26E25">
        <w:rPr>
          <w:szCs w:val="24"/>
          <w:lang w:val="en-US"/>
        </w:rPr>
        <w:noBreakHyphen/>
      </w:r>
      <w:r w:rsidRPr="00B26E25">
        <w:rPr>
          <w:szCs w:val="24"/>
          <w:lang w:val="en-US"/>
        </w:rPr>
        <w:t>2.3.</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Civil Service Superannuation Plan</w:t>
      </w:r>
      <w:r w:rsidR="007A2491" w:rsidRPr="00B26E25">
        <w:rPr>
          <w:szCs w:val="24"/>
          <w:lang w:val="en-US"/>
        </w:rPr>
        <w:t>, R.S.Q., c. </w:t>
      </w:r>
      <w:r w:rsidRPr="00B26E25">
        <w:rPr>
          <w:szCs w:val="24"/>
          <w:lang w:val="en-US"/>
        </w:rPr>
        <w:t>R</w:t>
      </w:r>
      <w:r w:rsidR="00C7175C" w:rsidRPr="00B26E25">
        <w:rPr>
          <w:szCs w:val="24"/>
          <w:lang w:val="en-US"/>
        </w:rPr>
        <w:noBreakHyphen/>
      </w:r>
      <w:r w:rsidRPr="00B26E25">
        <w:rPr>
          <w:szCs w:val="24"/>
          <w:lang w:val="en-US"/>
        </w:rPr>
        <w:t>12.</w:t>
      </w:r>
    </w:p>
    <w:p w:rsidR="00FE3BA5" w:rsidRPr="00B26E25" w:rsidRDefault="00FE3BA5" w:rsidP="00FE3BA5">
      <w:pPr>
        <w:pStyle w:val="SCCNormalDoubleSpacing"/>
        <w:spacing w:after="240" w:line="240" w:lineRule="auto"/>
        <w:ind w:left="547" w:hanging="547"/>
        <w:rPr>
          <w:szCs w:val="24"/>
          <w:lang w:val="en-US"/>
        </w:rPr>
      </w:pPr>
      <w:r w:rsidRPr="00B26E25">
        <w:rPr>
          <w:i/>
          <w:szCs w:val="24"/>
          <w:lang w:val="en-US"/>
        </w:rPr>
        <w:t>Act respecting the conditions of employment and the pension plan of the Members of the National Assembly</w:t>
      </w:r>
      <w:r w:rsidR="007A2491" w:rsidRPr="00B26E25">
        <w:rPr>
          <w:szCs w:val="24"/>
          <w:lang w:val="en-US"/>
        </w:rPr>
        <w:t>, R.S.Q., c. </w:t>
      </w:r>
      <w:r w:rsidRPr="00B26E25">
        <w:rPr>
          <w:szCs w:val="24"/>
          <w:lang w:val="en-US"/>
        </w:rPr>
        <w:t>C</w:t>
      </w:r>
      <w:r w:rsidR="00C7175C" w:rsidRPr="00B26E25">
        <w:rPr>
          <w:szCs w:val="24"/>
          <w:lang w:val="en-US"/>
        </w:rPr>
        <w:noBreakHyphen/>
      </w:r>
      <w:r w:rsidRPr="00B26E25">
        <w:rPr>
          <w:szCs w:val="24"/>
          <w:lang w:val="en-US"/>
        </w:rPr>
        <w:t>52.1.</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Government and Public Employees Retirement Plan</w:t>
      </w:r>
      <w:r w:rsidR="007A2491" w:rsidRPr="00B26E25">
        <w:rPr>
          <w:szCs w:val="24"/>
          <w:lang w:val="en-US"/>
        </w:rPr>
        <w:t>, R.S.Q., c. </w:t>
      </w:r>
      <w:r w:rsidRPr="00B26E25">
        <w:rPr>
          <w:szCs w:val="24"/>
          <w:lang w:val="en-US"/>
        </w:rPr>
        <w:t>R</w:t>
      </w:r>
      <w:r w:rsidR="00C7175C" w:rsidRPr="00B26E25">
        <w:rPr>
          <w:szCs w:val="24"/>
          <w:lang w:val="en-US"/>
        </w:rPr>
        <w:noBreakHyphen/>
      </w:r>
      <w:r w:rsidRPr="00B26E25">
        <w:rPr>
          <w:szCs w:val="24"/>
          <w:lang w:val="en-US"/>
        </w:rPr>
        <w:t>10.</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legal capacity of married women</w:t>
      </w:r>
      <w:r w:rsidR="007A2491" w:rsidRPr="00B26E25">
        <w:rPr>
          <w:szCs w:val="24"/>
          <w:lang w:val="en-US"/>
        </w:rPr>
        <w:t>, S.Q. 1964, c. </w:t>
      </w:r>
      <w:r w:rsidRPr="00B26E25">
        <w:rPr>
          <w:szCs w:val="24"/>
          <w:lang w:val="en-US"/>
        </w:rPr>
        <w:t>66.</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Pension Plan of Certain Teachers</w:t>
      </w:r>
      <w:r w:rsidR="007A2491" w:rsidRPr="00B26E25">
        <w:rPr>
          <w:szCs w:val="24"/>
          <w:lang w:val="en-US"/>
        </w:rPr>
        <w:t>, R.S.Q., c. </w:t>
      </w:r>
      <w:r w:rsidRPr="00B26E25">
        <w:rPr>
          <w:szCs w:val="24"/>
          <w:lang w:val="en-US"/>
        </w:rPr>
        <w:t>R</w:t>
      </w:r>
      <w:r w:rsidR="00C7175C" w:rsidRPr="00B26E25">
        <w:rPr>
          <w:szCs w:val="24"/>
          <w:lang w:val="en-US"/>
        </w:rPr>
        <w:noBreakHyphen/>
      </w:r>
      <w:r w:rsidRPr="00B26E25">
        <w:rPr>
          <w:szCs w:val="24"/>
          <w:lang w:val="en-US"/>
        </w:rPr>
        <w:t>9.1.</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Pension Plan of Elected Municipal Officers</w:t>
      </w:r>
      <w:r w:rsidR="007A2491" w:rsidRPr="00B26E25">
        <w:rPr>
          <w:szCs w:val="24"/>
          <w:lang w:val="en-US"/>
        </w:rPr>
        <w:t>, R.S.Q., c. </w:t>
      </w:r>
      <w:r w:rsidRPr="00B26E25">
        <w:rPr>
          <w:szCs w:val="24"/>
          <w:lang w:val="en-US"/>
        </w:rPr>
        <w:t>R</w:t>
      </w:r>
      <w:r w:rsidR="00C7175C" w:rsidRPr="00B26E25">
        <w:rPr>
          <w:szCs w:val="24"/>
          <w:lang w:val="en-US"/>
        </w:rPr>
        <w:noBreakHyphen/>
      </w:r>
      <w:r w:rsidRPr="00B26E25">
        <w:rPr>
          <w:szCs w:val="24"/>
          <w:lang w:val="en-US"/>
        </w:rPr>
        <w:t>9.3.</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Pension Plan of Peace Officers in Correctional Services</w:t>
      </w:r>
      <w:r w:rsidR="007A2491" w:rsidRPr="00B26E25">
        <w:rPr>
          <w:szCs w:val="24"/>
          <w:lang w:val="en-US"/>
        </w:rPr>
        <w:t>, R.S.Q., c. </w:t>
      </w:r>
      <w:r w:rsidRPr="00B26E25">
        <w:rPr>
          <w:szCs w:val="24"/>
          <w:lang w:val="en-US"/>
        </w:rPr>
        <w:t>R</w:t>
      </w:r>
      <w:r w:rsidR="00C7175C" w:rsidRPr="00B26E25">
        <w:rPr>
          <w:szCs w:val="24"/>
          <w:lang w:val="en-US"/>
        </w:rPr>
        <w:noBreakHyphen/>
      </w:r>
      <w:r w:rsidRPr="00B26E25">
        <w:rPr>
          <w:szCs w:val="24"/>
          <w:lang w:val="en-US"/>
        </w:rPr>
        <w:t>9.2.</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Québec Pension Plan</w:t>
      </w:r>
      <w:r w:rsidRPr="00B26E25">
        <w:rPr>
          <w:szCs w:val="24"/>
          <w:lang w:val="en-US"/>
        </w:rPr>
        <w:t xml:space="preserve">, </w:t>
      </w:r>
      <w:r w:rsidR="007A2491" w:rsidRPr="00B26E25">
        <w:rPr>
          <w:szCs w:val="24"/>
          <w:lang w:val="en-US"/>
        </w:rPr>
        <w:t>R.S.Q., c. </w:t>
      </w:r>
      <w:r w:rsidRPr="00B26E25">
        <w:rPr>
          <w:szCs w:val="24"/>
          <w:lang w:val="en-US"/>
        </w:rPr>
        <w:t>R</w:t>
      </w:r>
      <w:r w:rsidR="00C7175C" w:rsidRPr="00B26E25">
        <w:rPr>
          <w:szCs w:val="24"/>
          <w:lang w:val="en-US"/>
        </w:rPr>
        <w:noBreakHyphen/>
      </w:r>
      <w:r w:rsidRPr="00B26E25">
        <w:rPr>
          <w:szCs w:val="24"/>
          <w:lang w:val="en-US"/>
        </w:rPr>
        <w:t>9.</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Québec sales tax</w:t>
      </w:r>
      <w:r w:rsidR="007A2491" w:rsidRPr="00B26E25">
        <w:rPr>
          <w:szCs w:val="24"/>
          <w:lang w:val="en-US"/>
        </w:rPr>
        <w:t>, R.S.Q., c. </w:t>
      </w:r>
      <w:r w:rsidRPr="00B26E25">
        <w:rPr>
          <w:szCs w:val="24"/>
          <w:lang w:val="en-US"/>
        </w:rPr>
        <w:t>T</w:t>
      </w:r>
      <w:r w:rsidR="00C7175C" w:rsidRPr="00B26E25">
        <w:rPr>
          <w:szCs w:val="24"/>
          <w:lang w:val="en-US"/>
        </w:rPr>
        <w:noBreakHyphen/>
      </w:r>
      <w:r w:rsidRPr="00B26E25">
        <w:rPr>
          <w:szCs w:val="24"/>
          <w:lang w:val="en-US"/>
        </w:rPr>
        <w:t>0.1.</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the Teachers Pension Plan</w:t>
      </w:r>
      <w:r w:rsidR="007A2491" w:rsidRPr="00B26E25">
        <w:rPr>
          <w:szCs w:val="24"/>
          <w:lang w:val="en-US"/>
        </w:rPr>
        <w:t>, R.S.Q., c. </w:t>
      </w:r>
      <w:r w:rsidRPr="00B26E25">
        <w:rPr>
          <w:szCs w:val="24"/>
          <w:lang w:val="en-US"/>
        </w:rPr>
        <w:t>R</w:t>
      </w:r>
      <w:r w:rsidR="00C7175C" w:rsidRPr="00B26E25">
        <w:rPr>
          <w:szCs w:val="24"/>
          <w:lang w:val="en-US"/>
        </w:rPr>
        <w:noBreakHyphen/>
      </w:r>
      <w:r w:rsidRPr="00B26E25">
        <w:rPr>
          <w:szCs w:val="24"/>
          <w:lang w:val="en-US"/>
        </w:rPr>
        <w:t>11.</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respecting trust companies and savings companies</w:t>
      </w:r>
      <w:r w:rsidR="007A2491" w:rsidRPr="00B26E25">
        <w:rPr>
          <w:szCs w:val="24"/>
          <w:lang w:val="en-US"/>
        </w:rPr>
        <w:t>, R.S.Q., c. </w:t>
      </w:r>
      <w:r w:rsidRPr="00B26E25">
        <w:rPr>
          <w:szCs w:val="24"/>
          <w:lang w:val="en-US"/>
        </w:rPr>
        <w:t>S</w:t>
      </w:r>
      <w:r w:rsidR="00C7175C" w:rsidRPr="00B26E25">
        <w:rPr>
          <w:szCs w:val="24"/>
          <w:lang w:val="en-US"/>
        </w:rPr>
        <w:noBreakHyphen/>
      </w:r>
      <w:r w:rsidRPr="00B26E25">
        <w:rPr>
          <w:szCs w:val="24"/>
          <w:lang w:val="en-US"/>
        </w:rPr>
        <w:t>29.01.</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to amend the Civil Code and the Code of Civil Procedure respecting the civil rights of women</w:t>
      </w:r>
      <w:r w:rsidR="007A2491" w:rsidRPr="00B26E25">
        <w:rPr>
          <w:szCs w:val="24"/>
          <w:lang w:val="en-US"/>
        </w:rPr>
        <w:t>, S.Q. 1931, c. 101, s. </w:t>
      </w:r>
      <w:r w:rsidRPr="00B26E25">
        <w:rPr>
          <w:szCs w:val="24"/>
          <w:lang w:val="en-US"/>
        </w:rPr>
        <w:t>27.</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to amend the Civil Code as regards marriage</w:t>
      </w:r>
      <w:r w:rsidR="007A2491" w:rsidRPr="00B26E25">
        <w:rPr>
          <w:szCs w:val="24"/>
          <w:lang w:val="en-US"/>
        </w:rPr>
        <w:t>, S.Q. 2004, c. </w:t>
      </w:r>
      <w:r w:rsidRPr="00B26E25">
        <w:rPr>
          <w:szCs w:val="24"/>
          <w:lang w:val="en-US"/>
        </w:rPr>
        <w:t>23</w:t>
      </w:r>
      <w:r w:rsidR="007A2491" w:rsidRPr="00B26E25">
        <w:rPr>
          <w:szCs w:val="24"/>
          <w:lang w:val="en-US"/>
        </w:rPr>
        <w:t>, s. </w:t>
      </w:r>
      <w:r w:rsidR="00CE1637" w:rsidRPr="00B26E25">
        <w:rPr>
          <w:szCs w:val="24"/>
          <w:lang w:val="en-US"/>
        </w:rPr>
        <w:t>7</w:t>
      </w:r>
      <w:r w:rsidRPr="00B26E25">
        <w:rPr>
          <w:szCs w:val="24"/>
          <w:lang w:val="en-US"/>
        </w:rPr>
        <w:t>.</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to amend the Civil Code of Québec and other legislation in order to favour economic equality between spouses</w:t>
      </w:r>
      <w:r w:rsidR="007A2491" w:rsidRPr="00B26E25">
        <w:rPr>
          <w:szCs w:val="24"/>
          <w:lang w:val="en-US"/>
        </w:rPr>
        <w:t>, S.Q. 1989, c. </w:t>
      </w:r>
      <w:r w:rsidRPr="00B26E25">
        <w:rPr>
          <w:szCs w:val="24"/>
          <w:lang w:val="en-US"/>
        </w:rPr>
        <w:t>55.</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to amend various legislative provisions concerning de facto spouses</w:t>
      </w:r>
      <w:r w:rsidR="007A2491" w:rsidRPr="00B26E25">
        <w:rPr>
          <w:szCs w:val="24"/>
          <w:lang w:val="en-US"/>
        </w:rPr>
        <w:t>, S.Q. 1999, c. </w:t>
      </w:r>
      <w:r w:rsidRPr="00B26E25">
        <w:rPr>
          <w:szCs w:val="24"/>
          <w:lang w:val="en-US"/>
        </w:rPr>
        <w:t>14.</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Act to establish a new Civil Code and to reform family law</w:t>
      </w:r>
      <w:r w:rsidR="007A2491" w:rsidRPr="00B26E25">
        <w:rPr>
          <w:szCs w:val="24"/>
          <w:lang w:val="en-US"/>
        </w:rPr>
        <w:t>, S.Q. 1980, c. </w:t>
      </w:r>
      <w:r w:rsidRPr="00B26E25">
        <w:rPr>
          <w:szCs w:val="24"/>
          <w:lang w:val="en-US"/>
        </w:rPr>
        <w:t>39.</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Automobile Insurance Act</w:t>
      </w:r>
      <w:r w:rsidR="007A2491" w:rsidRPr="00B26E25">
        <w:rPr>
          <w:szCs w:val="24"/>
          <w:lang w:val="en-US"/>
        </w:rPr>
        <w:t>, R.S.Q., c. </w:t>
      </w:r>
      <w:r w:rsidRPr="00B26E25">
        <w:rPr>
          <w:szCs w:val="24"/>
          <w:lang w:val="en-US"/>
        </w:rPr>
        <w:t>A</w:t>
      </w:r>
      <w:r w:rsidR="00C7175C" w:rsidRPr="00B26E25">
        <w:rPr>
          <w:szCs w:val="24"/>
          <w:lang w:val="en-US"/>
        </w:rPr>
        <w:noBreakHyphen/>
      </w:r>
      <w:r w:rsidRPr="00B26E25">
        <w:rPr>
          <w:szCs w:val="24"/>
          <w:lang w:val="en-US"/>
        </w:rPr>
        <w:t>25.</w:t>
      </w:r>
    </w:p>
    <w:p w:rsidR="00A41805" w:rsidRPr="00B26E25" w:rsidRDefault="008D78F9" w:rsidP="00FE3BA5">
      <w:pPr>
        <w:pStyle w:val="SCCNormalDoubleSpacing"/>
        <w:spacing w:after="240" w:line="240" w:lineRule="auto"/>
        <w:ind w:left="547" w:hanging="547"/>
        <w:rPr>
          <w:szCs w:val="24"/>
          <w:lang w:val="en-US"/>
        </w:rPr>
      </w:pPr>
      <w:r w:rsidRPr="00B26E25">
        <w:rPr>
          <w:i/>
          <w:szCs w:val="24"/>
          <w:lang w:val="en-US"/>
        </w:rPr>
        <w:t>Canadian Charter of Rights and Freedoms</w:t>
      </w:r>
      <w:r w:rsidRPr="00B26E25">
        <w:rPr>
          <w:szCs w:val="24"/>
          <w:lang w:val="en-US"/>
        </w:rPr>
        <w:t xml:space="preserve">, </w:t>
      </w:r>
      <w:r w:rsidR="00C7175C" w:rsidRPr="00B26E25">
        <w:rPr>
          <w:szCs w:val="24"/>
          <w:lang w:val="en-US"/>
        </w:rPr>
        <w:t>ss. </w:t>
      </w:r>
      <w:r w:rsidR="00CB73C2" w:rsidRPr="00B26E25">
        <w:rPr>
          <w:szCs w:val="24"/>
          <w:lang w:val="en-US"/>
        </w:rPr>
        <w:t xml:space="preserve">1, </w:t>
      </w:r>
      <w:r w:rsidRPr="00B26E25">
        <w:rPr>
          <w:szCs w:val="24"/>
          <w:lang w:val="en-US"/>
        </w:rPr>
        <w:t>15.</w:t>
      </w:r>
    </w:p>
    <w:p w:rsidR="00984FA4" w:rsidRPr="00B26E25" w:rsidRDefault="00984FA4" w:rsidP="00FE3BA5">
      <w:pPr>
        <w:pStyle w:val="SCCNormalDoubleSpacing"/>
        <w:spacing w:after="240" w:line="240" w:lineRule="auto"/>
        <w:ind w:left="547" w:hanging="547"/>
        <w:rPr>
          <w:szCs w:val="24"/>
          <w:lang w:val="fr-CA"/>
        </w:rPr>
      </w:pPr>
      <w:r w:rsidRPr="00B26E25">
        <w:rPr>
          <w:i/>
          <w:szCs w:val="24"/>
          <w:lang w:val="en-US"/>
        </w:rPr>
        <w:t>Civil Code of Lower Canada</w:t>
      </w:r>
      <w:r w:rsidR="0084587C" w:rsidRPr="00B26E25">
        <w:rPr>
          <w:szCs w:val="24"/>
          <w:lang w:val="en-US"/>
        </w:rPr>
        <w:t xml:space="preserve">, </w:t>
      </w:r>
      <w:r w:rsidR="004603C7" w:rsidRPr="00B26E25">
        <w:rPr>
          <w:szCs w:val="24"/>
          <w:lang w:val="en-US"/>
        </w:rPr>
        <w:t>arts.</w:t>
      </w:r>
      <w:r w:rsidR="007A2491" w:rsidRPr="00B26E25">
        <w:rPr>
          <w:szCs w:val="24"/>
          <w:lang w:val="en-US"/>
        </w:rPr>
        <w:t> </w:t>
      </w:r>
      <w:r w:rsidR="007328F6" w:rsidRPr="00B26E25">
        <w:rPr>
          <w:szCs w:val="24"/>
          <w:lang w:val="fr-CA"/>
        </w:rPr>
        <w:t xml:space="preserve">173, </w:t>
      </w:r>
      <w:r w:rsidR="0084587C" w:rsidRPr="00B26E25">
        <w:rPr>
          <w:szCs w:val="24"/>
          <w:lang w:val="fr-CA"/>
        </w:rPr>
        <w:t>768, 1056</w:t>
      </w:r>
      <w:r w:rsidRPr="00B26E25">
        <w:rPr>
          <w:szCs w:val="24"/>
          <w:lang w:val="fr-CA"/>
        </w:rPr>
        <w:t>.</w:t>
      </w:r>
    </w:p>
    <w:p w:rsidR="007328F6" w:rsidRPr="00B26E25" w:rsidRDefault="007328F6" w:rsidP="007328F6">
      <w:pPr>
        <w:pStyle w:val="SCCNormalDoubleSpacing"/>
        <w:spacing w:after="240" w:line="240" w:lineRule="auto"/>
        <w:ind w:left="547" w:hanging="547"/>
        <w:rPr>
          <w:szCs w:val="24"/>
          <w:lang w:val="fr-CA"/>
        </w:rPr>
      </w:pPr>
      <w:r w:rsidRPr="00B26E25">
        <w:rPr>
          <w:i/>
          <w:szCs w:val="24"/>
          <w:lang w:val="fr-CA"/>
        </w:rPr>
        <w:t>Civil Code of Québec</w:t>
      </w:r>
      <w:r w:rsidRPr="00B26E25">
        <w:rPr>
          <w:szCs w:val="24"/>
          <w:lang w:val="fr-CA"/>
        </w:rPr>
        <w:t xml:space="preserve"> </w:t>
      </w:r>
      <w:r w:rsidR="00975C3B" w:rsidRPr="00B26E25">
        <w:rPr>
          <w:szCs w:val="24"/>
          <w:lang w:val="fr-CA"/>
        </w:rPr>
        <w:t>[en. S</w:t>
      </w:r>
      <w:r w:rsidR="007A2491" w:rsidRPr="00B26E25">
        <w:rPr>
          <w:szCs w:val="24"/>
          <w:lang w:val="fr-CA"/>
        </w:rPr>
        <w:t>.Q. 1980, c. </w:t>
      </w:r>
      <w:r w:rsidR="00975C3B" w:rsidRPr="00B26E25">
        <w:rPr>
          <w:szCs w:val="24"/>
          <w:lang w:val="fr-CA"/>
        </w:rPr>
        <w:t>39, s</w:t>
      </w:r>
      <w:r w:rsidR="007A2491" w:rsidRPr="00B26E25">
        <w:rPr>
          <w:szCs w:val="24"/>
          <w:lang w:val="fr-CA"/>
        </w:rPr>
        <w:t>. </w:t>
      </w:r>
      <w:r w:rsidR="00975C3B" w:rsidRPr="00B26E25">
        <w:rPr>
          <w:szCs w:val="24"/>
          <w:lang w:val="fr-CA"/>
        </w:rPr>
        <w:t xml:space="preserve">1], </w:t>
      </w:r>
      <w:r w:rsidR="00C7175C" w:rsidRPr="00B26E25">
        <w:rPr>
          <w:szCs w:val="24"/>
          <w:lang w:val="fr-CA"/>
        </w:rPr>
        <w:t>art. </w:t>
      </w:r>
      <w:r w:rsidR="00975C3B" w:rsidRPr="00B26E25">
        <w:rPr>
          <w:szCs w:val="24"/>
          <w:lang w:val="fr-CA"/>
        </w:rPr>
        <w:t>633.</w:t>
      </w:r>
    </w:p>
    <w:p w:rsidR="00935218" w:rsidRPr="00B26E25" w:rsidRDefault="00900EE0" w:rsidP="00FE3BA5">
      <w:pPr>
        <w:pStyle w:val="SCCNormalDoubleSpacing"/>
        <w:spacing w:after="240" w:line="240" w:lineRule="auto"/>
        <w:ind w:left="547" w:hanging="547"/>
        <w:rPr>
          <w:szCs w:val="24"/>
          <w:lang w:val="fr-CA"/>
        </w:rPr>
      </w:pPr>
      <w:r w:rsidRPr="00B26E25">
        <w:rPr>
          <w:i/>
          <w:szCs w:val="24"/>
          <w:lang w:val="fr-CA"/>
        </w:rPr>
        <w:t>Civil Code of Qu</w:t>
      </w:r>
      <w:r w:rsidR="00CF2094" w:rsidRPr="00B26E25">
        <w:rPr>
          <w:i/>
          <w:szCs w:val="24"/>
          <w:lang w:val="fr-CA"/>
        </w:rPr>
        <w:t>é</w:t>
      </w:r>
      <w:r w:rsidRPr="00B26E25">
        <w:rPr>
          <w:i/>
          <w:szCs w:val="24"/>
          <w:lang w:val="fr-CA"/>
        </w:rPr>
        <w:t>bec</w:t>
      </w:r>
      <w:r w:rsidRPr="00B26E25">
        <w:rPr>
          <w:szCs w:val="24"/>
          <w:lang w:val="fr-CA"/>
        </w:rPr>
        <w:t xml:space="preserve">, </w:t>
      </w:r>
      <w:r w:rsidR="007A2491" w:rsidRPr="00B26E25">
        <w:rPr>
          <w:szCs w:val="24"/>
          <w:lang w:val="fr-CA"/>
        </w:rPr>
        <w:t>S.Q. 1991, c. </w:t>
      </w:r>
      <w:r w:rsidR="00EF5B49" w:rsidRPr="00B26E25">
        <w:rPr>
          <w:szCs w:val="24"/>
          <w:lang w:val="fr-CA"/>
        </w:rPr>
        <w:t xml:space="preserve">64, </w:t>
      </w:r>
      <w:r w:rsidRPr="00B26E25">
        <w:rPr>
          <w:szCs w:val="24"/>
          <w:lang w:val="fr-CA"/>
        </w:rPr>
        <w:t>art</w:t>
      </w:r>
      <w:r w:rsidR="00765933" w:rsidRPr="00B26E25">
        <w:rPr>
          <w:szCs w:val="24"/>
          <w:lang w:val="fr-CA"/>
        </w:rPr>
        <w:t>s</w:t>
      </w:r>
      <w:r w:rsidRPr="00B26E25">
        <w:rPr>
          <w:szCs w:val="24"/>
          <w:lang w:val="fr-CA"/>
        </w:rPr>
        <w:t>. </w:t>
      </w:r>
      <w:r w:rsidR="003E013D" w:rsidRPr="00B26E25">
        <w:rPr>
          <w:szCs w:val="24"/>
          <w:lang w:val="fr-CA"/>
        </w:rPr>
        <w:t xml:space="preserve">15, </w:t>
      </w:r>
      <w:r w:rsidRPr="00B26E25">
        <w:rPr>
          <w:iCs/>
          <w:szCs w:val="24"/>
          <w:lang w:val="fr-CA"/>
        </w:rPr>
        <w:t>264</w:t>
      </w:r>
      <w:r w:rsidRPr="00B26E25">
        <w:rPr>
          <w:szCs w:val="24"/>
          <w:lang w:val="fr-CA"/>
        </w:rPr>
        <w:t xml:space="preserve">, </w:t>
      </w:r>
      <w:r w:rsidRPr="00B26E25">
        <w:rPr>
          <w:iCs/>
          <w:szCs w:val="24"/>
          <w:lang w:val="fr-CA"/>
        </w:rPr>
        <w:t>266</w:t>
      </w:r>
      <w:r w:rsidRPr="00B26E25">
        <w:rPr>
          <w:szCs w:val="24"/>
          <w:lang w:val="fr-CA"/>
        </w:rPr>
        <w:t xml:space="preserve">, </w:t>
      </w:r>
      <w:r w:rsidRPr="00B26E25">
        <w:rPr>
          <w:iCs/>
          <w:szCs w:val="24"/>
          <w:lang w:val="fr-CA"/>
        </w:rPr>
        <w:t>269,</w:t>
      </w:r>
      <w:r w:rsidRPr="00B26E25">
        <w:rPr>
          <w:szCs w:val="24"/>
          <w:lang w:val="fr-CA"/>
        </w:rPr>
        <w:t xml:space="preserve"> </w:t>
      </w:r>
      <w:r w:rsidR="005F704E" w:rsidRPr="00B26E25">
        <w:rPr>
          <w:szCs w:val="24"/>
          <w:lang w:val="fr-CA"/>
        </w:rPr>
        <w:t xml:space="preserve">391, </w:t>
      </w:r>
      <w:r w:rsidR="003E013D" w:rsidRPr="00B26E25">
        <w:rPr>
          <w:szCs w:val="24"/>
          <w:lang w:val="fr-CA"/>
        </w:rPr>
        <w:t xml:space="preserve">392, 394, 395, 396, </w:t>
      </w:r>
      <w:r w:rsidRPr="00B26E25">
        <w:rPr>
          <w:szCs w:val="24"/>
          <w:lang w:val="fr-CA"/>
        </w:rPr>
        <w:t xml:space="preserve">401 </w:t>
      </w:r>
      <w:r w:rsidR="003E013D" w:rsidRPr="00B26E25">
        <w:rPr>
          <w:szCs w:val="24"/>
          <w:lang w:val="fr-CA"/>
        </w:rPr>
        <w:t>to 430</w:t>
      </w:r>
      <w:r w:rsidRPr="00B26E25">
        <w:rPr>
          <w:szCs w:val="24"/>
          <w:lang w:val="fr-CA"/>
        </w:rPr>
        <w:t xml:space="preserve">, </w:t>
      </w:r>
      <w:r w:rsidR="003E013D" w:rsidRPr="00B26E25">
        <w:rPr>
          <w:szCs w:val="24"/>
          <w:lang w:val="fr-CA"/>
        </w:rPr>
        <w:t xml:space="preserve">404, 409, 410, </w:t>
      </w:r>
      <w:r w:rsidRPr="00B26E25">
        <w:rPr>
          <w:szCs w:val="24"/>
          <w:lang w:val="fr-CA"/>
        </w:rPr>
        <w:t xml:space="preserve">414 </w:t>
      </w:r>
      <w:r w:rsidRPr="00B26E25">
        <w:rPr>
          <w:i/>
          <w:szCs w:val="24"/>
          <w:lang w:val="fr-CA"/>
        </w:rPr>
        <w:t>et seq.</w:t>
      </w:r>
      <w:r w:rsidR="00D57596" w:rsidRPr="00B26E25">
        <w:rPr>
          <w:szCs w:val="24"/>
          <w:lang w:val="fr-CA"/>
        </w:rPr>
        <w:t xml:space="preserve">, </w:t>
      </w:r>
      <w:r w:rsidR="003E013D" w:rsidRPr="00B26E25">
        <w:rPr>
          <w:szCs w:val="24"/>
          <w:lang w:val="fr-CA"/>
        </w:rPr>
        <w:t xml:space="preserve">416, 419, 423, </w:t>
      </w:r>
      <w:r w:rsidRPr="00B26E25">
        <w:rPr>
          <w:szCs w:val="24"/>
          <w:lang w:val="fr-CA"/>
        </w:rPr>
        <w:t xml:space="preserve">427 </w:t>
      </w:r>
      <w:r w:rsidRPr="00B26E25">
        <w:rPr>
          <w:i/>
          <w:szCs w:val="24"/>
          <w:lang w:val="fr-CA"/>
        </w:rPr>
        <w:t>et seq.</w:t>
      </w:r>
      <w:r w:rsidR="00D57596" w:rsidRPr="00B26E25">
        <w:rPr>
          <w:szCs w:val="24"/>
          <w:lang w:val="fr-CA"/>
        </w:rPr>
        <w:t xml:space="preserve">, </w:t>
      </w:r>
      <w:r w:rsidR="003E013D" w:rsidRPr="00B26E25">
        <w:rPr>
          <w:szCs w:val="24"/>
          <w:lang w:val="fr-CA"/>
        </w:rPr>
        <w:t xml:space="preserve">431, </w:t>
      </w:r>
      <w:r w:rsidRPr="00B26E25">
        <w:rPr>
          <w:szCs w:val="24"/>
          <w:lang w:val="fr-CA"/>
        </w:rPr>
        <w:t xml:space="preserve">432 </w:t>
      </w:r>
      <w:r w:rsidRPr="00B26E25">
        <w:rPr>
          <w:i/>
          <w:szCs w:val="24"/>
          <w:lang w:val="fr-CA"/>
        </w:rPr>
        <w:t>et seq.</w:t>
      </w:r>
      <w:r w:rsidRPr="00B26E25">
        <w:rPr>
          <w:szCs w:val="24"/>
          <w:lang w:val="fr-CA"/>
        </w:rPr>
        <w:t xml:space="preserve">, </w:t>
      </w:r>
      <w:r w:rsidR="003E013D" w:rsidRPr="00B26E25">
        <w:rPr>
          <w:szCs w:val="24"/>
          <w:lang w:val="fr-CA"/>
        </w:rPr>
        <w:t xml:space="preserve">433, 438, 448 </w:t>
      </w:r>
      <w:r w:rsidR="00072972" w:rsidRPr="00B26E25">
        <w:rPr>
          <w:szCs w:val="24"/>
          <w:lang w:val="fr-CA"/>
        </w:rPr>
        <w:t>to</w:t>
      </w:r>
      <w:r w:rsidR="003E013D" w:rsidRPr="00B26E25">
        <w:rPr>
          <w:szCs w:val="24"/>
          <w:lang w:val="fr-CA"/>
        </w:rPr>
        <w:t xml:space="preserve"> 484, </w:t>
      </w:r>
      <w:r w:rsidR="007734D5" w:rsidRPr="00B26E25">
        <w:rPr>
          <w:szCs w:val="24"/>
          <w:lang w:val="fr-CA"/>
        </w:rPr>
        <w:t xml:space="preserve">461, 467, </w:t>
      </w:r>
      <w:r w:rsidR="003E013D" w:rsidRPr="00B26E25">
        <w:rPr>
          <w:szCs w:val="24"/>
          <w:lang w:val="fr-CA"/>
        </w:rPr>
        <w:t xml:space="preserve">485, 486, 487, </w:t>
      </w:r>
      <w:r w:rsidR="00B35019" w:rsidRPr="00B26E25">
        <w:rPr>
          <w:szCs w:val="24"/>
          <w:lang w:val="fr-CA"/>
        </w:rPr>
        <w:t xml:space="preserve">492, </w:t>
      </w:r>
      <w:r w:rsidR="003E013D" w:rsidRPr="00B26E25">
        <w:rPr>
          <w:szCs w:val="24"/>
          <w:lang w:val="fr-CA"/>
        </w:rPr>
        <w:t xml:space="preserve">507, </w:t>
      </w:r>
      <w:r w:rsidR="00CB73C2" w:rsidRPr="00B26E25">
        <w:rPr>
          <w:szCs w:val="24"/>
          <w:lang w:val="fr-CA"/>
        </w:rPr>
        <w:t xml:space="preserve">511, </w:t>
      </w:r>
      <w:r w:rsidR="003E013D" w:rsidRPr="00B26E25">
        <w:rPr>
          <w:szCs w:val="24"/>
          <w:lang w:val="fr-CA"/>
        </w:rPr>
        <w:t xml:space="preserve">512, 516, 521.1, </w:t>
      </w:r>
      <w:r w:rsidRPr="00B26E25">
        <w:rPr>
          <w:iCs/>
          <w:szCs w:val="24"/>
          <w:lang w:val="fr-CA"/>
        </w:rPr>
        <w:t>521.6</w:t>
      </w:r>
      <w:r w:rsidRPr="00B26E25">
        <w:rPr>
          <w:szCs w:val="24"/>
          <w:lang w:val="fr-CA"/>
        </w:rPr>
        <w:t xml:space="preserve">, </w:t>
      </w:r>
      <w:r w:rsidRPr="00B26E25">
        <w:rPr>
          <w:iCs/>
          <w:szCs w:val="24"/>
          <w:lang w:val="fr-CA"/>
        </w:rPr>
        <w:t xml:space="preserve">521.8, </w:t>
      </w:r>
      <w:r w:rsidR="003E013D" w:rsidRPr="00B26E25">
        <w:rPr>
          <w:szCs w:val="24"/>
          <w:lang w:val="fr-CA"/>
        </w:rPr>
        <w:t xml:space="preserve">521.12, 521.13, 521.17, 522, </w:t>
      </w:r>
      <w:r w:rsidRPr="00B26E25">
        <w:rPr>
          <w:szCs w:val="24"/>
          <w:lang w:val="fr-CA"/>
        </w:rPr>
        <w:t>585</w:t>
      </w:r>
      <w:r w:rsidR="003E013D" w:rsidRPr="00B26E25">
        <w:rPr>
          <w:szCs w:val="24"/>
          <w:lang w:val="fr-CA"/>
        </w:rPr>
        <w:t xml:space="preserve"> to 596.1</w:t>
      </w:r>
      <w:r w:rsidRPr="00B26E25">
        <w:rPr>
          <w:szCs w:val="24"/>
          <w:lang w:val="fr-CA"/>
        </w:rPr>
        <w:t xml:space="preserve">, </w:t>
      </w:r>
      <w:r w:rsidR="003E013D" w:rsidRPr="00B26E25">
        <w:rPr>
          <w:szCs w:val="24"/>
          <w:lang w:val="fr-CA"/>
        </w:rPr>
        <w:t xml:space="preserve">587, 597 </w:t>
      </w:r>
      <w:r w:rsidR="003E013D" w:rsidRPr="00B26E25">
        <w:rPr>
          <w:i/>
          <w:szCs w:val="24"/>
          <w:lang w:val="fr-CA"/>
        </w:rPr>
        <w:t>et seq.</w:t>
      </w:r>
      <w:r w:rsidR="003E013D" w:rsidRPr="00B26E25">
        <w:rPr>
          <w:szCs w:val="24"/>
          <w:lang w:val="fr-CA"/>
        </w:rPr>
        <w:t xml:space="preserve">, 604, </w:t>
      </w:r>
      <w:r w:rsidR="0061414F" w:rsidRPr="00B26E25">
        <w:rPr>
          <w:szCs w:val="24"/>
          <w:lang w:val="fr-CA"/>
        </w:rPr>
        <w:t xml:space="preserve">653 </w:t>
      </w:r>
      <w:r w:rsidR="0061414F" w:rsidRPr="00B26E25">
        <w:rPr>
          <w:i/>
          <w:szCs w:val="24"/>
          <w:lang w:val="fr-CA"/>
        </w:rPr>
        <w:t>et seq.</w:t>
      </w:r>
      <w:r w:rsidR="0061414F" w:rsidRPr="00B26E25">
        <w:rPr>
          <w:szCs w:val="24"/>
          <w:lang w:val="fr-CA"/>
        </w:rPr>
        <w:t xml:space="preserve">, </w:t>
      </w:r>
      <w:r w:rsidR="003E013D" w:rsidRPr="00B26E25">
        <w:rPr>
          <w:szCs w:val="24"/>
          <w:lang w:val="fr-CA"/>
        </w:rPr>
        <w:t xml:space="preserve">655, </w:t>
      </w:r>
      <w:r w:rsidR="00C4738A" w:rsidRPr="00B26E25">
        <w:rPr>
          <w:szCs w:val="24"/>
          <w:lang w:val="fr-CA"/>
        </w:rPr>
        <w:t xml:space="preserve">1030, </w:t>
      </w:r>
      <w:r w:rsidR="003E013D" w:rsidRPr="00B26E25">
        <w:rPr>
          <w:szCs w:val="24"/>
          <w:lang w:val="fr-CA"/>
        </w:rPr>
        <w:t xml:space="preserve">1493 </w:t>
      </w:r>
      <w:r w:rsidR="00EE1F0D" w:rsidRPr="00B26E25">
        <w:rPr>
          <w:szCs w:val="24"/>
          <w:lang w:val="fr-CA"/>
        </w:rPr>
        <w:t>to</w:t>
      </w:r>
      <w:r w:rsidR="003E013D" w:rsidRPr="00B26E25">
        <w:rPr>
          <w:szCs w:val="24"/>
          <w:lang w:val="fr-CA"/>
        </w:rPr>
        <w:t xml:space="preserve"> 1496, </w:t>
      </w:r>
      <w:r w:rsidR="00CB73C2" w:rsidRPr="00B26E25">
        <w:rPr>
          <w:szCs w:val="24"/>
          <w:lang w:val="fr-CA"/>
        </w:rPr>
        <w:t xml:space="preserve">1818, 1819, </w:t>
      </w:r>
      <w:r w:rsidR="003E013D" w:rsidRPr="00B26E25">
        <w:rPr>
          <w:szCs w:val="24"/>
          <w:lang w:val="fr-CA"/>
        </w:rPr>
        <w:t xml:space="preserve">1938, 1958, </w:t>
      </w:r>
      <w:r w:rsidRPr="00B26E25">
        <w:rPr>
          <w:szCs w:val="24"/>
          <w:lang w:val="fr-CA"/>
        </w:rPr>
        <w:t>2380, 2419.</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Civil Marriage Act</w:t>
      </w:r>
      <w:r w:rsidR="007A2491" w:rsidRPr="00B26E25">
        <w:rPr>
          <w:szCs w:val="24"/>
          <w:lang w:val="en-US"/>
        </w:rPr>
        <w:t>, S.C. 2005, c. </w:t>
      </w:r>
      <w:r w:rsidRPr="00B26E25">
        <w:rPr>
          <w:szCs w:val="24"/>
          <w:lang w:val="en-US"/>
        </w:rPr>
        <w:t>33.</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Code of Civil Procedure</w:t>
      </w:r>
      <w:r w:rsidRPr="00B26E25">
        <w:rPr>
          <w:szCs w:val="24"/>
          <w:lang w:val="en-US"/>
        </w:rPr>
        <w:t xml:space="preserve">, R.S.Q., </w:t>
      </w:r>
      <w:r w:rsidR="007A2491" w:rsidRPr="00B26E25">
        <w:rPr>
          <w:szCs w:val="24"/>
          <w:lang w:val="en-US"/>
        </w:rPr>
        <w:t>c. </w:t>
      </w:r>
      <w:r w:rsidRPr="00B26E25">
        <w:rPr>
          <w:szCs w:val="24"/>
          <w:lang w:val="en-US"/>
        </w:rPr>
        <w:t>C</w:t>
      </w:r>
      <w:r w:rsidR="00C7175C" w:rsidRPr="00B26E25">
        <w:rPr>
          <w:szCs w:val="24"/>
          <w:lang w:val="en-US"/>
        </w:rPr>
        <w:noBreakHyphen/>
      </w:r>
      <w:r w:rsidRPr="00B26E25">
        <w:rPr>
          <w:szCs w:val="24"/>
          <w:lang w:val="en-US"/>
        </w:rPr>
        <w:t xml:space="preserve">25, </w:t>
      </w:r>
      <w:r w:rsidR="00C7175C" w:rsidRPr="00B26E25">
        <w:rPr>
          <w:szCs w:val="24"/>
          <w:lang w:val="en-US"/>
        </w:rPr>
        <w:t>art. </w:t>
      </w:r>
      <w:r w:rsidRPr="00B26E25">
        <w:rPr>
          <w:szCs w:val="24"/>
          <w:lang w:val="en-US"/>
        </w:rPr>
        <w:t>553.</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Common</w:t>
      </w:r>
      <w:r w:rsidR="00C7175C" w:rsidRPr="00B26E25">
        <w:rPr>
          <w:i/>
          <w:szCs w:val="24"/>
          <w:lang w:val="en-US"/>
        </w:rPr>
        <w:noBreakHyphen/>
      </w:r>
      <w:r w:rsidRPr="00B26E25">
        <w:rPr>
          <w:i/>
          <w:szCs w:val="24"/>
          <w:lang w:val="en-US"/>
        </w:rPr>
        <w:t>Law Partners</w:t>
      </w:r>
      <w:r w:rsidR="00C7175C" w:rsidRPr="00B26E25">
        <w:rPr>
          <w:i/>
          <w:szCs w:val="24"/>
          <w:lang w:val="en-US"/>
        </w:rPr>
        <w:t>’</w:t>
      </w:r>
      <w:r w:rsidRPr="00B26E25">
        <w:rPr>
          <w:i/>
          <w:szCs w:val="24"/>
          <w:lang w:val="en-US"/>
        </w:rPr>
        <w:t xml:space="preserve"> Property and Related Amendments Act</w:t>
      </w:r>
      <w:r w:rsidRPr="00B26E25">
        <w:rPr>
          <w:szCs w:val="24"/>
          <w:lang w:val="en-US"/>
        </w:rPr>
        <w:t>, S.M. 2002, c. 48.</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Cooperatives Act</w:t>
      </w:r>
      <w:r w:rsidRPr="00B26E25">
        <w:rPr>
          <w:szCs w:val="24"/>
          <w:lang w:val="en-US"/>
        </w:rPr>
        <w:t xml:space="preserve">, R.S.Q., </w:t>
      </w:r>
      <w:r w:rsidR="007A2491" w:rsidRPr="00B26E25">
        <w:rPr>
          <w:szCs w:val="24"/>
          <w:lang w:val="en-US"/>
        </w:rPr>
        <w:t>c. </w:t>
      </w:r>
      <w:r w:rsidRPr="00B26E25">
        <w:rPr>
          <w:szCs w:val="24"/>
          <w:lang w:val="en-US"/>
        </w:rPr>
        <w:t>C</w:t>
      </w:r>
      <w:r w:rsidR="00C7175C" w:rsidRPr="00B26E25">
        <w:rPr>
          <w:szCs w:val="24"/>
          <w:lang w:val="en-US"/>
        </w:rPr>
        <w:noBreakHyphen/>
      </w:r>
      <w:r w:rsidRPr="00B26E25">
        <w:rPr>
          <w:szCs w:val="24"/>
          <w:lang w:val="en-US"/>
        </w:rPr>
        <w:t>67.2.</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Courts of Justice Act</w:t>
      </w:r>
      <w:r w:rsidRPr="00B26E25">
        <w:rPr>
          <w:szCs w:val="24"/>
          <w:lang w:val="en-US"/>
        </w:rPr>
        <w:t xml:space="preserve">, R.S.Q., </w:t>
      </w:r>
      <w:r w:rsidR="007A2491" w:rsidRPr="00B26E25">
        <w:rPr>
          <w:szCs w:val="24"/>
          <w:lang w:val="en-US"/>
        </w:rPr>
        <w:t>c. </w:t>
      </w:r>
      <w:r w:rsidRPr="00B26E25">
        <w:rPr>
          <w:szCs w:val="24"/>
          <w:lang w:val="en-US"/>
        </w:rPr>
        <w:t>T</w:t>
      </w:r>
      <w:r w:rsidR="00C7175C" w:rsidRPr="00B26E25">
        <w:rPr>
          <w:szCs w:val="24"/>
          <w:lang w:val="en-US"/>
        </w:rPr>
        <w:noBreakHyphen/>
      </w:r>
      <w:r w:rsidRPr="00B26E25">
        <w:rPr>
          <w:szCs w:val="24"/>
          <w:lang w:val="en-US"/>
        </w:rPr>
        <w:t>16.</w:t>
      </w:r>
    </w:p>
    <w:p w:rsidR="007C7C7A" w:rsidRPr="00B26E25" w:rsidRDefault="007C7C7A" w:rsidP="00FE3BA5">
      <w:pPr>
        <w:pStyle w:val="SCCNormalDoubleSpacing"/>
        <w:spacing w:after="240" w:line="240" w:lineRule="auto"/>
        <w:ind w:left="547" w:hanging="547"/>
        <w:rPr>
          <w:szCs w:val="24"/>
          <w:lang w:val="en-US"/>
        </w:rPr>
      </w:pPr>
      <w:r w:rsidRPr="00B26E25">
        <w:rPr>
          <w:i/>
          <w:szCs w:val="24"/>
          <w:lang w:val="en-US"/>
        </w:rPr>
        <w:t>Divorce Act</w:t>
      </w:r>
      <w:r w:rsidRPr="00B26E25">
        <w:rPr>
          <w:szCs w:val="24"/>
          <w:lang w:val="en-US"/>
        </w:rPr>
        <w:t>, R.S.C.</w:t>
      </w:r>
      <w:r w:rsidR="007931D8" w:rsidRPr="00B26E25">
        <w:rPr>
          <w:szCs w:val="24"/>
          <w:lang w:val="en-US"/>
        </w:rPr>
        <w:t xml:space="preserve"> 1985, c. </w:t>
      </w:r>
      <w:r w:rsidRPr="00B26E25">
        <w:rPr>
          <w:szCs w:val="24"/>
          <w:lang w:val="en-US"/>
        </w:rPr>
        <w:t>3</w:t>
      </w:r>
      <w:r w:rsidR="00E773E3" w:rsidRPr="00B26E25">
        <w:rPr>
          <w:szCs w:val="24"/>
          <w:lang w:val="en-US"/>
        </w:rPr>
        <w:t xml:space="preserve"> (2nd Supp.)</w:t>
      </w:r>
      <w:r w:rsidR="00ED1872" w:rsidRPr="00B26E25">
        <w:rPr>
          <w:szCs w:val="24"/>
          <w:lang w:val="en-US"/>
        </w:rPr>
        <w:t>, s.</w:t>
      </w:r>
      <w:r w:rsidR="0096062C" w:rsidRPr="00B26E25">
        <w:rPr>
          <w:szCs w:val="24"/>
          <w:lang w:val="en-US"/>
        </w:rPr>
        <w:t> </w:t>
      </w:r>
      <w:r w:rsidR="00ED1872" w:rsidRPr="00B26E25">
        <w:rPr>
          <w:szCs w:val="24"/>
          <w:lang w:val="en-US"/>
        </w:rPr>
        <w:t>15.2</w:t>
      </w:r>
      <w:r w:rsidRPr="00B26E25">
        <w:rPr>
          <w:szCs w:val="24"/>
          <w:lang w:val="en-US"/>
        </w:rPr>
        <w:t>.</w:t>
      </w:r>
    </w:p>
    <w:p w:rsidR="001A51D5" w:rsidRPr="00B26E25" w:rsidRDefault="001A51D5" w:rsidP="00FE3BA5">
      <w:pPr>
        <w:pStyle w:val="SCCNormalDoubleSpacing"/>
        <w:spacing w:after="240" w:line="240" w:lineRule="auto"/>
        <w:ind w:left="547" w:hanging="547"/>
        <w:rPr>
          <w:szCs w:val="24"/>
          <w:lang w:val="en-US"/>
        </w:rPr>
      </w:pPr>
      <w:r w:rsidRPr="00B26E25">
        <w:rPr>
          <w:i/>
          <w:szCs w:val="24"/>
          <w:lang w:val="en-US"/>
        </w:rPr>
        <w:t>Divorce Act</w:t>
      </w:r>
      <w:r w:rsidRPr="00B26E25">
        <w:rPr>
          <w:szCs w:val="24"/>
          <w:lang w:val="en-US"/>
        </w:rPr>
        <w:t>, S.C. 1967</w:t>
      </w:r>
      <w:r w:rsidR="00C7175C" w:rsidRPr="00B26E25">
        <w:rPr>
          <w:szCs w:val="24"/>
          <w:lang w:val="en-US"/>
        </w:rPr>
        <w:noBreakHyphen/>
      </w:r>
      <w:r w:rsidRPr="00B26E25">
        <w:rPr>
          <w:szCs w:val="24"/>
          <w:lang w:val="en-US"/>
        </w:rPr>
        <w:t xml:space="preserve">68, </w:t>
      </w:r>
      <w:r w:rsidR="007A2491" w:rsidRPr="00B26E25">
        <w:rPr>
          <w:szCs w:val="24"/>
          <w:lang w:val="en-US"/>
        </w:rPr>
        <w:t>c. </w:t>
      </w:r>
      <w:r w:rsidRPr="00B26E25">
        <w:rPr>
          <w:szCs w:val="24"/>
          <w:lang w:val="en-US"/>
        </w:rPr>
        <w:t>24.</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Domestic Relations Act</w:t>
      </w:r>
      <w:r w:rsidRPr="00B26E25">
        <w:rPr>
          <w:szCs w:val="24"/>
          <w:lang w:val="en-US"/>
        </w:rPr>
        <w:t xml:space="preserve">, R.S.A. 2000, </w:t>
      </w:r>
      <w:r w:rsidR="007A2491" w:rsidRPr="00B26E25">
        <w:rPr>
          <w:szCs w:val="24"/>
          <w:lang w:val="en-US"/>
        </w:rPr>
        <w:t>c. </w:t>
      </w:r>
      <w:r w:rsidRPr="00B26E25">
        <w:rPr>
          <w:szCs w:val="24"/>
          <w:lang w:val="en-US"/>
        </w:rPr>
        <w:t>D</w:t>
      </w:r>
      <w:r w:rsidR="00C7175C" w:rsidRPr="00B26E25">
        <w:rPr>
          <w:szCs w:val="24"/>
          <w:lang w:val="en-US"/>
        </w:rPr>
        <w:noBreakHyphen/>
      </w:r>
      <w:r w:rsidRPr="00B26E25">
        <w:rPr>
          <w:szCs w:val="24"/>
          <w:lang w:val="en-US"/>
        </w:rPr>
        <w:t>14.</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Family Law Act</w:t>
      </w:r>
      <w:r w:rsidRPr="00B26E25">
        <w:rPr>
          <w:szCs w:val="24"/>
          <w:lang w:val="en-US"/>
        </w:rPr>
        <w:t xml:space="preserve">, R.S.N.L. 1990, </w:t>
      </w:r>
      <w:r w:rsidR="007A2491" w:rsidRPr="00B26E25">
        <w:rPr>
          <w:szCs w:val="24"/>
          <w:lang w:val="en-US"/>
        </w:rPr>
        <w:t>c. </w:t>
      </w:r>
      <w:r w:rsidRPr="00B26E25">
        <w:rPr>
          <w:szCs w:val="24"/>
          <w:lang w:val="en-US"/>
        </w:rPr>
        <w:t>F</w:t>
      </w:r>
      <w:r w:rsidR="00C7175C" w:rsidRPr="00B26E25">
        <w:rPr>
          <w:szCs w:val="24"/>
          <w:lang w:val="en-US"/>
        </w:rPr>
        <w:noBreakHyphen/>
      </w:r>
      <w:r w:rsidRPr="00B26E25">
        <w:rPr>
          <w:szCs w:val="24"/>
          <w:lang w:val="en-US"/>
        </w:rPr>
        <w:t>2.</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Family Law Act</w:t>
      </w:r>
      <w:r w:rsidRPr="00B26E25">
        <w:rPr>
          <w:szCs w:val="24"/>
          <w:lang w:val="en-US"/>
        </w:rPr>
        <w:t xml:space="preserve">, R.S.O. 1990, </w:t>
      </w:r>
      <w:r w:rsidR="007A2491" w:rsidRPr="00B26E25">
        <w:rPr>
          <w:szCs w:val="24"/>
          <w:lang w:val="en-US"/>
        </w:rPr>
        <w:t>c. </w:t>
      </w:r>
      <w:r w:rsidRPr="00B26E25">
        <w:rPr>
          <w:szCs w:val="24"/>
          <w:lang w:val="en-US"/>
        </w:rPr>
        <w:t>F.3.</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Family Law Act</w:t>
      </w:r>
      <w:r w:rsidRPr="00B26E25">
        <w:rPr>
          <w:szCs w:val="24"/>
          <w:lang w:val="en-US"/>
        </w:rPr>
        <w:t xml:space="preserve">, </w:t>
      </w:r>
      <w:r w:rsidR="00955487" w:rsidRPr="00B26E25">
        <w:rPr>
          <w:szCs w:val="24"/>
          <w:lang w:val="en-US"/>
        </w:rPr>
        <w:t>R.</w:t>
      </w:r>
      <w:r w:rsidRPr="00B26E25">
        <w:rPr>
          <w:szCs w:val="24"/>
          <w:lang w:val="en-US"/>
        </w:rPr>
        <w:t>S.P.E.I. 19</w:t>
      </w:r>
      <w:r w:rsidR="00955487" w:rsidRPr="00B26E25">
        <w:rPr>
          <w:szCs w:val="24"/>
          <w:lang w:val="en-US"/>
        </w:rPr>
        <w:t>88</w:t>
      </w:r>
      <w:r w:rsidRPr="00B26E25">
        <w:rPr>
          <w:szCs w:val="24"/>
          <w:lang w:val="en-US"/>
        </w:rPr>
        <w:t xml:space="preserve">, </w:t>
      </w:r>
      <w:r w:rsidR="007A2491" w:rsidRPr="00B26E25">
        <w:rPr>
          <w:szCs w:val="24"/>
          <w:lang w:val="en-US"/>
        </w:rPr>
        <w:t>c. </w:t>
      </w:r>
      <w:r w:rsidR="00955487" w:rsidRPr="00B26E25">
        <w:rPr>
          <w:szCs w:val="24"/>
          <w:lang w:val="en-US"/>
        </w:rPr>
        <w:t>F</w:t>
      </w:r>
      <w:r w:rsidR="00C7175C" w:rsidRPr="00B26E25">
        <w:rPr>
          <w:szCs w:val="24"/>
          <w:lang w:val="en-US"/>
        </w:rPr>
        <w:noBreakHyphen/>
      </w:r>
      <w:r w:rsidR="00955487" w:rsidRPr="00B26E25">
        <w:rPr>
          <w:szCs w:val="24"/>
          <w:lang w:val="en-US"/>
        </w:rPr>
        <w:t>2.1</w:t>
      </w:r>
      <w:r w:rsidRPr="00B26E25">
        <w:rPr>
          <w:szCs w:val="24"/>
          <w:lang w:val="en-US"/>
        </w:rPr>
        <w:t>.</w:t>
      </w:r>
    </w:p>
    <w:p w:rsidR="0014107B" w:rsidRPr="00B26E25" w:rsidRDefault="0014107B" w:rsidP="0014107B">
      <w:pPr>
        <w:pStyle w:val="SCCNormalDoubleSpacing"/>
        <w:spacing w:after="240" w:line="240" w:lineRule="auto"/>
        <w:ind w:left="547" w:hanging="547"/>
        <w:rPr>
          <w:szCs w:val="24"/>
          <w:lang w:val="en-US"/>
        </w:rPr>
      </w:pPr>
      <w:r w:rsidRPr="00B26E25">
        <w:rPr>
          <w:i/>
          <w:szCs w:val="24"/>
          <w:lang w:val="en-US"/>
        </w:rPr>
        <w:t>Family Law Act</w:t>
      </w:r>
      <w:r w:rsidRPr="00B26E25">
        <w:rPr>
          <w:szCs w:val="24"/>
          <w:lang w:val="en-US"/>
        </w:rPr>
        <w:t>, S.N.W.T. 1997, c. 18.</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Family Maintenance Act</w:t>
      </w:r>
      <w:r w:rsidRPr="00B26E25">
        <w:rPr>
          <w:szCs w:val="24"/>
          <w:lang w:val="en-US"/>
        </w:rPr>
        <w:t xml:space="preserve">, R.S.M. 1987, </w:t>
      </w:r>
      <w:r w:rsidR="007A2491" w:rsidRPr="00B26E25">
        <w:rPr>
          <w:szCs w:val="24"/>
          <w:lang w:val="en-US"/>
        </w:rPr>
        <w:t>c. </w:t>
      </w:r>
      <w:r w:rsidRPr="00B26E25">
        <w:rPr>
          <w:szCs w:val="24"/>
          <w:lang w:val="en-US"/>
        </w:rPr>
        <w:t>F20.</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Family Maintenance Act</w:t>
      </w:r>
      <w:r w:rsidR="0084587C" w:rsidRPr="00B26E25">
        <w:rPr>
          <w:i/>
          <w:szCs w:val="24"/>
          <w:lang w:val="en-US"/>
        </w:rPr>
        <w:t>, 1997</w:t>
      </w:r>
      <w:r w:rsidRPr="00B26E25">
        <w:rPr>
          <w:szCs w:val="24"/>
          <w:lang w:val="en-US"/>
        </w:rPr>
        <w:t xml:space="preserve">, S.S. </w:t>
      </w:r>
      <w:r w:rsidR="007D6C52" w:rsidRPr="00B26E25">
        <w:rPr>
          <w:szCs w:val="24"/>
          <w:lang w:val="en-US"/>
        </w:rPr>
        <w:t xml:space="preserve">1997, </w:t>
      </w:r>
      <w:r w:rsidR="007A2491" w:rsidRPr="00B26E25">
        <w:rPr>
          <w:szCs w:val="24"/>
          <w:lang w:val="en-US"/>
        </w:rPr>
        <w:t>c. </w:t>
      </w:r>
      <w:r w:rsidR="007D6C52" w:rsidRPr="00B26E25">
        <w:rPr>
          <w:szCs w:val="24"/>
          <w:lang w:val="en-US"/>
        </w:rPr>
        <w:t>F</w:t>
      </w:r>
      <w:r w:rsidR="00C7175C" w:rsidRPr="00B26E25">
        <w:rPr>
          <w:szCs w:val="24"/>
          <w:lang w:val="en-US"/>
        </w:rPr>
        <w:noBreakHyphen/>
      </w:r>
      <w:r w:rsidR="007D6C52" w:rsidRPr="00B26E25">
        <w:rPr>
          <w:szCs w:val="24"/>
          <w:lang w:val="en-US"/>
        </w:rPr>
        <w:t>6.2</w:t>
      </w:r>
      <w:r w:rsidRPr="00B26E25">
        <w:rPr>
          <w:szCs w:val="24"/>
          <w:lang w:val="en-US"/>
        </w:rPr>
        <w:t>.</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Family Relations Act</w:t>
      </w:r>
      <w:r w:rsidRPr="00B26E25">
        <w:rPr>
          <w:szCs w:val="24"/>
          <w:lang w:val="en-US"/>
        </w:rPr>
        <w:t>, R.S.B.C.</w:t>
      </w:r>
      <w:r w:rsidR="0084587C" w:rsidRPr="00B26E25">
        <w:rPr>
          <w:szCs w:val="24"/>
          <w:lang w:val="en-US"/>
        </w:rPr>
        <w:t xml:space="preserve"> 1996</w:t>
      </w:r>
      <w:r w:rsidRPr="00B26E25">
        <w:rPr>
          <w:szCs w:val="24"/>
          <w:lang w:val="en-US"/>
        </w:rPr>
        <w:t xml:space="preserve">, </w:t>
      </w:r>
      <w:r w:rsidR="007A2491" w:rsidRPr="00B26E25">
        <w:rPr>
          <w:szCs w:val="24"/>
          <w:lang w:val="en-US"/>
        </w:rPr>
        <w:t>c. </w:t>
      </w:r>
      <w:r w:rsidRPr="00B26E25">
        <w:rPr>
          <w:szCs w:val="24"/>
          <w:lang w:val="en-US"/>
        </w:rPr>
        <w:t>128.</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Family Services Act</w:t>
      </w:r>
      <w:r w:rsidRPr="00B26E25">
        <w:rPr>
          <w:szCs w:val="24"/>
          <w:lang w:val="en-US"/>
        </w:rPr>
        <w:t>, S.N.B.</w:t>
      </w:r>
      <w:r w:rsidR="0084587C" w:rsidRPr="00B26E25">
        <w:rPr>
          <w:szCs w:val="24"/>
          <w:lang w:val="en-US"/>
        </w:rPr>
        <w:t xml:space="preserve"> 1980</w:t>
      </w:r>
      <w:r w:rsidRPr="00B26E25">
        <w:rPr>
          <w:szCs w:val="24"/>
          <w:lang w:val="en-US"/>
        </w:rPr>
        <w:t xml:space="preserve">, </w:t>
      </w:r>
      <w:r w:rsidR="007A2491" w:rsidRPr="00B26E25">
        <w:rPr>
          <w:szCs w:val="24"/>
          <w:lang w:val="en-US"/>
        </w:rPr>
        <w:t>c. </w:t>
      </w:r>
      <w:r w:rsidRPr="00B26E25">
        <w:rPr>
          <w:szCs w:val="24"/>
          <w:lang w:val="en-US"/>
        </w:rPr>
        <w:t>F</w:t>
      </w:r>
      <w:r w:rsidR="00C7175C" w:rsidRPr="00B26E25">
        <w:rPr>
          <w:szCs w:val="24"/>
          <w:lang w:val="en-US"/>
        </w:rPr>
        <w:noBreakHyphen/>
      </w:r>
      <w:r w:rsidRPr="00B26E25">
        <w:rPr>
          <w:szCs w:val="24"/>
          <w:lang w:val="en-US"/>
        </w:rPr>
        <w:t>2.2.</w:t>
      </w:r>
    </w:p>
    <w:p w:rsidR="00D17E33" w:rsidRPr="00B26E25" w:rsidRDefault="00D17E33" w:rsidP="00160488">
      <w:pPr>
        <w:pStyle w:val="SCCNormalDoubleSpacing"/>
        <w:spacing w:after="240" w:line="240" w:lineRule="auto"/>
        <w:ind w:left="547" w:hanging="547"/>
        <w:rPr>
          <w:szCs w:val="24"/>
          <w:lang w:val="en-US"/>
        </w:rPr>
      </w:pPr>
      <w:r w:rsidRPr="00B26E25">
        <w:rPr>
          <w:i/>
          <w:szCs w:val="24"/>
          <w:lang w:val="en-US"/>
        </w:rPr>
        <w:t>Individual and Family Assistance Act</w:t>
      </w:r>
      <w:r w:rsidRPr="00B26E25">
        <w:rPr>
          <w:szCs w:val="24"/>
          <w:lang w:val="en-US"/>
        </w:rPr>
        <w:t>, R.S.Q., c. A</w:t>
      </w:r>
      <w:r w:rsidR="00C7175C" w:rsidRPr="00B26E25">
        <w:rPr>
          <w:szCs w:val="24"/>
          <w:lang w:val="en-US"/>
        </w:rPr>
        <w:noBreakHyphen/>
      </w:r>
      <w:r w:rsidRPr="00B26E25">
        <w:rPr>
          <w:szCs w:val="24"/>
          <w:lang w:val="en-US"/>
        </w:rPr>
        <w:t>13.1.1.</w:t>
      </w:r>
    </w:p>
    <w:p w:rsidR="005A14D2" w:rsidRPr="00B26E25" w:rsidRDefault="005A14D2" w:rsidP="00160488">
      <w:pPr>
        <w:pStyle w:val="SCCNormalDoubleSpacing"/>
        <w:spacing w:after="240" w:line="240" w:lineRule="auto"/>
        <w:ind w:left="547" w:hanging="547"/>
        <w:rPr>
          <w:szCs w:val="24"/>
          <w:lang w:val="en-US"/>
        </w:rPr>
      </w:pPr>
      <w:r w:rsidRPr="00B26E25">
        <w:rPr>
          <w:i/>
          <w:szCs w:val="24"/>
          <w:lang w:val="en-US"/>
        </w:rPr>
        <w:t>Insurance Act</w:t>
      </w:r>
      <w:r w:rsidRPr="00B26E25">
        <w:rPr>
          <w:szCs w:val="24"/>
          <w:lang w:val="en-US"/>
        </w:rPr>
        <w:t xml:space="preserve">, R.S.O. 1980, </w:t>
      </w:r>
      <w:r w:rsidR="007A2491" w:rsidRPr="00B26E25">
        <w:rPr>
          <w:szCs w:val="24"/>
          <w:lang w:val="en-US"/>
        </w:rPr>
        <w:t>c. </w:t>
      </w:r>
      <w:r w:rsidRPr="00B26E25">
        <w:rPr>
          <w:szCs w:val="24"/>
          <w:lang w:val="en-US"/>
        </w:rPr>
        <w:t>218.</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Interpretation Act</w:t>
      </w:r>
      <w:r w:rsidRPr="00B26E25">
        <w:rPr>
          <w:szCs w:val="24"/>
          <w:lang w:val="en-US"/>
        </w:rPr>
        <w:t xml:space="preserve">, R.S.Q., </w:t>
      </w:r>
      <w:r w:rsidR="007A2491" w:rsidRPr="00B26E25">
        <w:rPr>
          <w:szCs w:val="24"/>
          <w:lang w:val="en-US"/>
        </w:rPr>
        <w:t>c. </w:t>
      </w:r>
      <w:r w:rsidRPr="00B26E25">
        <w:rPr>
          <w:szCs w:val="24"/>
          <w:lang w:val="en-US"/>
        </w:rPr>
        <w:t>I</w:t>
      </w:r>
      <w:r w:rsidR="00C7175C" w:rsidRPr="00B26E25">
        <w:rPr>
          <w:szCs w:val="24"/>
          <w:lang w:val="en-US"/>
        </w:rPr>
        <w:noBreakHyphen/>
      </w:r>
      <w:r w:rsidRPr="00B26E25">
        <w:rPr>
          <w:szCs w:val="24"/>
          <w:lang w:val="en-US"/>
        </w:rPr>
        <w:t>16</w:t>
      </w:r>
      <w:r w:rsidR="0096062C" w:rsidRPr="00B26E25">
        <w:rPr>
          <w:szCs w:val="24"/>
          <w:lang w:val="en-US"/>
        </w:rPr>
        <w:t>, s. </w:t>
      </w:r>
      <w:r w:rsidR="00A139F6" w:rsidRPr="00B26E25">
        <w:rPr>
          <w:szCs w:val="24"/>
          <w:lang w:val="en-US"/>
        </w:rPr>
        <w:t>61.1</w:t>
      </w:r>
      <w:r w:rsidRPr="00B26E25">
        <w:rPr>
          <w:szCs w:val="24"/>
          <w:lang w:val="en-US"/>
        </w:rPr>
        <w:t>.</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Law Reform (2000) Act</w:t>
      </w:r>
      <w:r w:rsidRPr="00B26E25">
        <w:rPr>
          <w:szCs w:val="24"/>
          <w:lang w:val="en-US"/>
        </w:rPr>
        <w:t xml:space="preserve">, S.N.S. 2000, </w:t>
      </w:r>
      <w:r w:rsidR="007A2491" w:rsidRPr="00B26E25">
        <w:rPr>
          <w:szCs w:val="24"/>
          <w:lang w:val="en-US"/>
        </w:rPr>
        <w:t>c. </w:t>
      </w:r>
      <w:r w:rsidRPr="00B26E25">
        <w:rPr>
          <w:szCs w:val="24"/>
          <w:lang w:val="en-US"/>
        </w:rPr>
        <w:t>29.</w:t>
      </w:r>
    </w:p>
    <w:p w:rsidR="00160488" w:rsidRPr="00B26E25" w:rsidRDefault="00160488" w:rsidP="00160488">
      <w:pPr>
        <w:pStyle w:val="SCCNormalDoubleSpacing"/>
        <w:spacing w:after="240" w:line="240" w:lineRule="auto"/>
        <w:ind w:left="547" w:hanging="547"/>
        <w:rPr>
          <w:szCs w:val="24"/>
          <w:lang w:val="en-US"/>
        </w:rPr>
      </w:pPr>
      <w:r w:rsidRPr="00B26E25">
        <w:rPr>
          <w:i/>
          <w:szCs w:val="24"/>
          <w:lang w:val="en-US"/>
        </w:rPr>
        <w:t>Maintenance and Custody Act</w:t>
      </w:r>
      <w:r w:rsidRPr="00B26E25">
        <w:rPr>
          <w:szCs w:val="24"/>
          <w:lang w:val="en-US"/>
        </w:rPr>
        <w:t>, R.S.N.S.</w:t>
      </w:r>
      <w:r w:rsidR="004946FB" w:rsidRPr="00B26E25">
        <w:rPr>
          <w:szCs w:val="24"/>
          <w:lang w:val="en-US"/>
        </w:rPr>
        <w:t xml:space="preserve"> 1989</w:t>
      </w:r>
      <w:r w:rsidRPr="00B26E25">
        <w:rPr>
          <w:szCs w:val="24"/>
          <w:lang w:val="en-US"/>
        </w:rPr>
        <w:t xml:space="preserve">, </w:t>
      </w:r>
      <w:r w:rsidR="007A2491" w:rsidRPr="00B26E25">
        <w:rPr>
          <w:szCs w:val="24"/>
          <w:lang w:val="en-US"/>
        </w:rPr>
        <w:t>c. </w:t>
      </w:r>
      <w:r w:rsidRPr="00B26E25">
        <w:rPr>
          <w:szCs w:val="24"/>
          <w:lang w:val="en-US"/>
        </w:rPr>
        <w:t>160</w:t>
      </w:r>
      <w:r w:rsidR="0096062C" w:rsidRPr="00B26E25">
        <w:rPr>
          <w:szCs w:val="24"/>
          <w:lang w:val="en-US"/>
        </w:rPr>
        <w:t>, s. </w:t>
      </w:r>
      <w:r w:rsidR="00DD1166" w:rsidRPr="00B26E25">
        <w:rPr>
          <w:szCs w:val="24"/>
          <w:lang w:val="en-US"/>
        </w:rPr>
        <w:t>52(1)</w:t>
      </w:r>
      <w:r w:rsidRPr="00B26E25">
        <w:rPr>
          <w:szCs w:val="24"/>
          <w:lang w:val="en-US"/>
        </w:rPr>
        <w:t>.</w:t>
      </w:r>
    </w:p>
    <w:p w:rsidR="00DD1166" w:rsidRPr="00B26E25" w:rsidRDefault="00DD1166" w:rsidP="00DD1166">
      <w:pPr>
        <w:pStyle w:val="SCCNormalDoubleSpacing"/>
        <w:spacing w:after="240" w:line="240" w:lineRule="auto"/>
        <w:ind w:left="547" w:hanging="547"/>
        <w:rPr>
          <w:szCs w:val="24"/>
          <w:lang w:val="en-US"/>
        </w:rPr>
      </w:pPr>
      <w:r w:rsidRPr="00B26E25">
        <w:rPr>
          <w:i/>
          <w:szCs w:val="24"/>
          <w:lang w:val="en-US"/>
        </w:rPr>
        <w:t>Maintenance Enforcement Act</w:t>
      </w:r>
      <w:r w:rsidRPr="00B26E25">
        <w:rPr>
          <w:szCs w:val="24"/>
          <w:lang w:val="en-US"/>
        </w:rPr>
        <w:t>, S.N.S. 1994</w:t>
      </w:r>
      <w:r w:rsidR="00C7175C" w:rsidRPr="00B26E25">
        <w:rPr>
          <w:szCs w:val="24"/>
          <w:lang w:val="en-US"/>
        </w:rPr>
        <w:noBreakHyphen/>
      </w:r>
      <w:r w:rsidRPr="00B26E25">
        <w:rPr>
          <w:szCs w:val="24"/>
          <w:lang w:val="en-US"/>
        </w:rPr>
        <w:t xml:space="preserve">95, </w:t>
      </w:r>
      <w:r w:rsidR="007A2491" w:rsidRPr="00B26E25">
        <w:rPr>
          <w:szCs w:val="24"/>
          <w:lang w:val="en-US"/>
        </w:rPr>
        <w:t>c. </w:t>
      </w:r>
      <w:r w:rsidR="0096062C" w:rsidRPr="00B26E25">
        <w:rPr>
          <w:szCs w:val="24"/>
          <w:lang w:val="en-US"/>
        </w:rPr>
        <w:t>6, s. </w:t>
      </w:r>
      <w:r w:rsidRPr="00B26E25">
        <w:rPr>
          <w:szCs w:val="24"/>
          <w:lang w:val="en-US"/>
        </w:rPr>
        <w:t>2(e).</w:t>
      </w:r>
    </w:p>
    <w:p w:rsidR="00160488" w:rsidRPr="00B26E25" w:rsidRDefault="00160488" w:rsidP="00160488">
      <w:pPr>
        <w:pStyle w:val="SCCNormalDoubleSpacing"/>
        <w:spacing w:after="240" w:line="240" w:lineRule="auto"/>
        <w:ind w:left="547" w:hanging="547"/>
        <w:rPr>
          <w:szCs w:val="24"/>
        </w:rPr>
      </w:pPr>
      <w:r w:rsidRPr="00B26E25">
        <w:rPr>
          <w:i/>
          <w:szCs w:val="24"/>
        </w:rPr>
        <w:t>Matrimonial Property Act</w:t>
      </w:r>
      <w:r w:rsidRPr="00B26E25">
        <w:rPr>
          <w:szCs w:val="24"/>
        </w:rPr>
        <w:t xml:space="preserve">, R.S.N.S. 1989, </w:t>
      </w:r>
      <w:r w:rsidR="007A2491" w:rsidRPr="00B26E25">
        <w:rPr>
          <w:szCs w:val="24"/>
        </w:rPr>
        <w:t>c. </w:t>
      </w:r>
      <w:r w:rsidRPr="00B26E25">
        <w:rPr>
          <w:szCs w:val="24"/>
        </w:rPr>
        <w:t xml:space="preserve">275, </w:t>
      </w:r>
      <w:r w:rsidR="00DD1166" w:rsidRPr="00B26E25">
        <w:rPr>
          <w:szCs w:val="24"/>
        </w:rPr>
        <w:t>s</w:t>
      </w:r>
      <w:r w:rsidR="0096062C" w:rsidRPr="00B26E25">
        <w:rPr>
          <w:szCs w:val="24"/>
        </w:rPr>
        <w:t>. </w:t>
      </w:r>
      <w:r w:rsidRPr="00B26E25">
        <w:rPr>
          <w:szCs w:val="24"/>
        </w:rPr>
        <w:t>2</w:t>
      </w:r>
      <w:r w:rsidR="00DD1166" w:rsidRPr="00B26E25">
        <w:rPr>
          <w:szCs w:val="24"/>
        </w:rPr>
        <w:t>(g), “</w:t>
      </w:r>
      <w:r w:rsidRPr="0014107B">
        <w:rPr>
          <w:szCs w:val="24"/>
        </w:rPr>
        <w:t>spouse</w:t>
      </w:r>
      <w:r w:rsidR="00DD1166" w:rsidRPr="00B26E25">
        <w:rPr>
          <w:szCs w:val="24"/>
        </w:rPr>
        <w:t>”</w:t>
      </w:r>
      <w:r w:rsidRPr="00B26E25">
        <w:rPr>
          <w:szCs w:val="24"/>
        </w:rPr>
        <w:t>.</w:t>
      </w:r>
    </w:p>
    <w:p w:rsidR="00160488" w:rsidRPr="00B26E25" w:rsidRDefault="004946FB" w:rsidP="00160488">
      <w:pPr>
        <w:pStyle w:val="SCCNormalDoubleSpacing"/>
        <w:spacing w:after="240" w:line="240" w:lineRule="auto"/>
        <w:ind w:left="547" w:hanging="547"/>
        <w:rPr>
          <w:szCs w:val="24"/>
          <w:lang w:val="en-US"/>
        </w:rPr>
      </w:pPr>
      <w:r w:rsidRPr="00B26E25">
        <w:rPr>
          <w:i/>
          <w:szCs w:val="24"/>
          <w:lang w:val="en-US"/>
        </w:rPr>
        <w:t>Miscellaneous Statutes (Domestic Relations) Amendment Act, 2001 (</w:t>
      </w:r>
      <w:r w:rsidR="00C7175C" w:rsidRPr="00B26E25">
        <w:rPr>
          <w:i/>
          <w:szCs w:val="24"/>
          <w:lang w:val="en-US"/>
        </w:rPr>
        <w:t>No. </w:t>
      </w:r>
      <w:r w:rsidRPr="00B26E25">
        <w:rPr>
          <w:i/>
          <w:szCs w:val="24"/>
          <w:lang w:val="en-US"/>
        </w:rPr>
        <w:t>2)</w:t>
      </w:r>
      <w:r w:rsidR="00160488" w:rsidRPr="00B26E25">
        <w:rPr>
          <w:szCs w:val="24"/>
          <w:lang w:val="en-US"/>
        </w:rPr>
        <w:t xml:space="preserve">, S.S. 2001, </w:t>
      </w:r>
      <w:r w:rsidR="007A2491" w:rsidRPr="00B26E25">
        <w:rPr>
          <w:szCs w:val="24"/>
          <w:lang w:val="en-US"/>
        </w:rPr>
        <w:t>c. </w:t>
      </w:r>
      <w:r w:rsidR="00160488" w:rsidRPr="00B26E25">
        <w:rPr>
          <w:szCs w:val="24"/>
          <w:lang w:val="en-US"/>
        </w:rPr>
        <w:t>51.</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Supplemental Pension Plans Act</w:t>
      </w:r>
      <w:r w:rsidRPr="00B26E25">
        <w:rPr>
          <w:szCs w:val="24"/>
          <w:lang w:val="en-US"/>
        </w:rPr>
        <w:t xml:space="preserve">, R.S.Q., </w:t>
      </w:r>
      <w:r w:rsidR="007A2491" w:rsidRPr="00B26E25">
        <w:rPr>
          <w:szCs w:val="24"/>
          <w:lang w:val="en-US"/>
        </w:rPr>
        <w:t>c. </w:t>
      </w:r>
      <w:r w:rsidRPr="00B26E25">
        <w:rPr>
          <w:szCs w:val="24"/>
          <w:lang w:val="en-US"/>
        </w:rPr>
        <w:t>R</w:t>
      </w:r>
      <w:r w:rsidR="00C7175C" w:rsidRPr="00B26E25">
        <w:rPr>
          <w:szCs w:val="24"/>
          <w:lang w:val="en-US"/>
        </w:rPr>
        <w:noBreakHyphen/>
      </w:r>
      <w:r w:rsidRPr="00B26E25">
        <w:rPr>
          <w:szCs w:val="24"/>
          <w:lang w:val="en-US"/>
        </w:rPr>
        <w:t>15.1.</w:t>
      </w:r>
    </w:p>
    <w:p w:rsidR="003E013D" w:rsidRPr="00B26E25" w:rsidRDefault="003E013D" w:rsidP="003E013D">
      <w:pPr>
        <w:pStyle w:val="SCCNormalDoubleSpacing"/>
        <w:spacing w:after="240" w:line="240" w:lineRule="auto"/>
        <w:ind w:left="547" w:hanging="547"/>
        <w:rPr>
          <w:szCs w:val="24"/>
          <w:lang w:val="en-US"/>
        </w:rPr>
      </w:pPr>
      <w:r w:rsidRPr="00B26E25">
        <w:rPr>
          <w:i/>
          <w:szCs w:val="24"/>
          <w:lang w:val="en-US"/>
        </w:rPr>
        <w:t>Taxation Act</w:t>
      </w:r>
      <w:r w:rsidRPr="00B26E25">
        <w:rPr>
          <w:szCs w:val="24"/>
          <w:lang w:val="en-US"/>
        </w:rPr>
        <w:t xml:space="preserve">, R.S.Q., </w:t>
      </w:r>
      <w:r w:rsidR="007A2491" w:rsidRPr="00B26E25">
        <w:rPr>
          <w:szCs w:val="24"/>
          <w:lang w:val="en-US"/>
        </w:rPr>
        <w:t>c. </w:t>
      </w:r>
      <w:r w:rsidRPr="00B26E25">
        <w:rPr>
          <w:szCs w:val="24"/>
          <w:lang w:val="en-US"/>
        </w:rPr>
        <w:t>I</w:t>
      </w:r>
      <w:r w:rsidR="00C7175C" w:rsidRPr="00B26E25">
        <w:rPr>
          <w:szCs w:val="24"/>
          <w:lang w:val="en-US"/>
        </w:rPr>
        <w:noBreakHyphen/>
      </w:r>
      <w:r w:rsidRPr="00B26E25">
        <w:rPr>
          <w:szCs w:val="24"/>
          <w:lang w:val="en-US"/>
        </w:rPr>
        <w:t>3.</w:t>
      </w:r>
    </w:p>
    <w:p w:rsidR="00546B59" w:rsidRPr="00B26E25" w:rsidRDefault="00546B59" w:rsidP="00546B59">
      <w:pPr>
        <w:pStyle w:val="SCCNormalDoubleSpacing"/>
        <w:spacing w:after="240" w:line="240" w:lineRule="auto"/>
        <w:ind w:left="547" w:hanging="547"/>
        <w:rPr>
          <w:szCs w:val="24"/>
          <w:lang w:val="en-US"/>
        </w:rPr>
      </w:pPr>
      <w:r w:rsidRPr="00B26E25">
        <w:rPr>
          <w:i/>
          <w:szCs w:val="24"/>
          <w:lang w:val="en-US"/>
        </w:rPr>
        <w:t>Vital Statistics Act</w:t>
      </w:r>
      <w:r w:rsidRPr="00B26E25">
        <w:rPr>
          <w:szCs w:val="24"/>
          <w:lang w:val="en-US"/>
        </w:rPr>
        <w:t xml:space="preserve">, R.S.N.S. 1989, </w:t>
      </w:r>
      <w:r w:rsidR="007A2491" w:rsidRPr="00B26E25">
        <w:rPr>
          <w:szCs w:val="24"/>
          <w:lang w:val="en-US"/>
        </w:rPr>
        <w:t>c. </w:t>
      </w:r>
      <w:r w:rsidRPr="00B26E25">
        <w:rPr>
          <w:szCs w:val="24"/>
          <w:lang w:val="en-US"/>
        </w:rPr>
        <w:t>494.</w:t>
      </w:r>
    </w:p>
    <w:p w:rsidR="003E013D" w:rsidRPr="00B26E25" w:rsidRDefault="003E013D" w:rsidP="0096062C">
      <w:pPr>
        <w:pStyle w:val="SCCNormalDoubleSpacing"/>
        <w:spacing w:after="720" w:line="240" w:lineRule="auto"/>
        <w:ind w:left="544" w:hanging="544"/>
        <w:rPr>
          <w:szCs w:val="24"/>
          <w:lang w:val="en-US"/>
        </w:rPr>
      </w:pPr>
      <w:r w:rsidRPr="00B26E25">
        <w:rPr>
          <w:i/>
          <w:szCs w:val="24"/>
          <w:lang w:val="en-US"/>
        </w:rPr>
        <w:t>Workers</w:t>
      </w:r>
      <w:r w:rsidR="00C7175C" w:rsidRPr="00B26E25">
        <w:rPr>
          <w:i/>
          <w:szCs w:val="24"/>
          <w:lang w:val="en-US"/>
        </w:rPr>
        <w:t>’</w:t>
      </w:r>
      <w:r w:rsidRPr="00B26E25">
        <w:rPr>
          <w:i/>
          <w:szCs w:val="24"/>
          <w:lang w:val="en-US"/>
        </w:rPr>
        <w:t xml:space="preserve"> Compensation Act</w:t>
      </w:r>
      <w:r w:rsidRPr="00B26E25">
        <w:rPr>
          <w:szCs w:val="24"/>
          <w:lang w:val="en-US"/>
        </w:rPr>
        <w:t xml:space="preserve">, R.S.Q., </w:t>
      </w:r>
      <w:r w:rsidR="007A2491" w:rsidRPr="00B26E25">
        <w:rPr>
          <w:szCs w:val="24"/>
          <w:lang w:val="en-US"/>
        </w:rPr>
        <w:t>c. </w:t>
      </w:r>
      <w:r w:rsidRPr="00B26E25">
        <w:rPr>
          <w:szCs w:val="24"/>
          <w:lang w:val="en-US"/>
        </w:rPr>
        <w:t>A</w:t>
      </w:r>
      <w:r w:rsidR="00C7175C" w:rsidRPr="00B26E25">
        <w:rPr>
          <w:szCs w:val="24"/>
          <w:lang w:val="en-US"/>
        </w:rPr>
        <w:noBreakHyphen/>
      </w:r>
      <w:r w:rsidRPr="00B26E25">
        <w:rPr>
          <w:szCs w:val="24"/>
          <w:lang w:val="en-US"/>
        </w:rPr>
        <w:t>3.</w:t>
      </w:r>
    </w:p>
    <w:p w:rsidR="002E6705" w:rsidRPr="00B26E25" w:rsidRDefault="002E6705" w:rsidP="0096062C">
      <w:pPr>
        <w:pStyle w:val="SCCNormalDoubleSpacing"/>
        <w:keepNext/>
        <w:spacing w:after="720" w:line="240" w:lineRule="auto"/>
        <w:rPr>
          <w:b/>
          <w:szCs w:val="24"/>
          <w:lang w:val="en-US"/>
        </w:rPr>
      </w:pPr>
      <w:r w:rsidRPr="00B26E25">
        <w:rPr>
          <w:b/>
          <w:szCs w:val="24"/>
          <w:lang w:val="en-US"/>
        </w:rPr>
        <w:t>Authors Cited</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Bala, Nicholas.  </w:t>
      </w:r>
      <w:r w:rsidR="00A07248" w:rsidRPr="00B26E25">
        <w:rPr>
          <w:szCs w:val="24"/>
          <w:lang w:val="en-US"/>
        </w:rPr>
        <w:t>“</w:t>
      </w:r>
      <w:r w:rsidRPr="00B26E25">
        <w:rPr>
          <w:szCs w:val="24"/>
          <w:lang w:val="en-US"/>
        </w:rPr>
        <w:t>Controversy Over Couples in Canada: The Evolution of Marriage and Other Adult Interdependent Relationships</w:t>
      </w:r>
      <w:r w:rsidR="00A07248" w:rsidRPr="00B26E25">
        <w:rPr>
          <w:szCs w:val="24"/>
          <w:lang w:val="en-US"/>
        </w:rPr>
        <w:t>”</w:t>
      </w:r>
      <w:r w:rsidRPr="00B26E25">
        <w:rPr>
          <w:szCs w:val="24"/>
          <w:lang w:val="en-US"/>
        </w:rPr>
        <w:t xml:space="preserve"> (2003), 29 </w:t>
      </w:r>
      <w:r w:rsidRPr="00B26E25">
        <w:rPr>
          <w:i/>
          <w:szCs w:val="24"/>
          <w:lang w:val="en-US"/>
        </w:rPr>
        <w:t>Queen</w:t>
      </w:r>
      <w:r w:rsidR="00C7175C" w:rsidRPr="00B26E25">
        <w:rPr>
          <w:i/>
          <w:szCs w:val="24"/>
          <w:lang w:val="en-US"/>
        </w:rPr>
        <w:t>’</w:t>
      </w:r>
      <w:r w:rsidRPr="00B26E25">
        <w:rPr>
          <w:i/>
          <w:szCs w:val="24"/>
          <w:lang w:val="en-US"/>
        </w:rPr>
        <w:t>s L.J.</w:t>
      </w:r>
      <w:r w:rsidRPr="00B26E25">
        <w:rPr>
          <w:szCs w:val="24"/>
          <w:lang w:val="en-US"/>
        </w:rPr>
        <w:t xml:space="preserve"> 41.</w:t>
      </w:r>
    </w:p>
    <w:p w:rsidR="00526181" w:rsidRPr="00B26E25" w:rsidRDefault="00526181" w:rsidP="002E737F">
      <w:pPr>
        <w:pStyle w:val="SCCNormalDoubleSpacing"/>
        <w:spacing w:after="240" w:line="240" w:lineRule="auto"/>
        <w:ind w:left="540" w:hanging="540"/>
        <w:rPr>
          <w:szCs w:val="24"/>
          <w:lang w:val="fr-CA"/>
        </w:rPr>
      </w:pPr>
      <w:r w:rsidRPr="00B26E25">
        <w:rPr>
          <w:szCs w:val="24"/>
          <w:lang w:val="en-US"/>
        </w:rPr>
        <w:t xml:space="preserve">Barak, </w:t>
      </w:r>
      <w:r w:rsidR="00222C08" w:rsidRPr="00B26E25">
        <w:rPr>
          <w:szCs w:val="24"/>
          <w:lang w:val="en-US"/>
        </w:rPr>
        <w:t xml:space="preserve">Aharon.  </w:t>
      </w:r>
      <w:r w:rsidRPr="00B26E25">
        <w:rPr>
          <w:i/>
          <w:szCs w:val="24"/>
          <w:lang w:val="en-US"/>
        </w:rPr>
        <w:t>Proportionality</w:t>
      </w:r>
      <w:r w:rsidR="00222C08" w:rsidRPr="00B26E25">
        <w:rPr>
          <w:i/>
          <w:szCs w:val="24"/>
          <w:lang w:val="en-US"/>
        </w:rPr>
        <w:t xml:space="preserve">: </w:t>
      </w:r>
      <w:r w:rsidRPr="00B26E25">
        <w:rPr>
          <w:i/>
          <w:szCs w:val="24"/>
          <w:lang w:val="en-US"/>
        </w:rPr>
        <w:t xml:space="preserve"> Constitutional Rights and their Limitations</w:t>
      </w:r>
      <w:r w:rsidR="00222C08" w:rsidRPr="00B26E25">
        <w:rPr>
          <w:szCs w:val="24"/>
          <w:lang w:val="en-US"/>
        </w:rPr>
        <w:t xml:space="preserve">, trans. by Doron Kalir.  </w:t>
      </w:r>
      <w:r w:rsidR="00222C08" w:rsidRPr="00B26E25">
        <w:rPr>
          <w:szCs w:val="24"/>
          <w:lang w:val="fr-CA"/>
        </w:rPr>
        <w:t xml:space="preserve">Cambridge:  Cambridge University Press, </w:t>
      </w:r>
      <w:r w:rsidRPr="00B26E25">
        <w:rPr>
          <w:szCs w:val="24"/>
          <w:lang w:val="fr-CA"/>
        </w:rPr>
        <w:t>2012.</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Baudouin, Jean</w:t>
      </w:r>
      <w:r w:rsidR="00C7175C" w:rsidRPr="00B26E25">
        <w:rPr>
          <w:szCs w:val="24"/>
          <w:lang w:val="fr-CA"/>
        </w:rPr>
        <w:noBreakHyphen/>
      </w:r>
      <w:r w:rsidRPr="00B26E25">
        <w:rPr>
          <w:szCs w:val="24"/>
          <w:lang w:val="fr-CA"/>
        </w:rPr>
        <w:t xml:space="preserve">Louis. </w:t>
      </w:r>
      <w:r w:rsidR="00A07248" w:rsidRPr="00B26E25">
        <w:rPr>
          <w:szCs w:val="24"/>
          <w:lang w:val="fr-CA"/>
        </w:rPr>
        <w:t xml:space="preserve"> “</w:t>
      </w:r>
      <w:r w:rsidRPr="00B26E25">
        <w:rPr>
          <w:szCs w:val="24"/>
          <w:lang w:val="fr-CA"/>
        </w:rPr>
        <w:t>Examen critique de la situation juridique de l</w:t>
      </w:r>
      <w:r w:rsidR="00C7175C" w:rsidRPr="00B26E25">
        <w:rPr>
          <w:szCs w:val="24"/>
          <w:lang w:val="fr-CA"/>
        </w:rPr>
        <w:t>’</w:t>
      </w:r>
      <w:r w:rsidRPr="00B26E25">
        <w:rPr>
          <w:szCs w:val="24"/>
          <w:lang w:val="fr-CA"/>
        </w:rPr>
        <w:t>enfant naturel</w:t>
      </w:r>
      <w:r w:rsidR="00A07248" w:rsidRPr="00B26E25">
        <w:rPr>
          <w:szCs w:val="24"/>
          <w:lang w:val="fr-CA"/>
        </w:rPr>
        <w:t>”</w:t>
      </w:r>
      <w:r w:rsidRPr="00B26E25">
        <w:rPr>
          <w:szCs w:val="24"/>
          <w:lang w:val="fr-CA"/>
        </w:rPr>
        <w:t xml:space="preserve"> (1966), 12 </w:t>
      </w:r>
      <w:r w:rsidRPr="00B26E25">
        <w:rPr>
          <w:i/>
          <w:szCs w:val="24"/>
          <w:lang w:val="fr-CA"/>
        </w:rPr>
        <w:t>McGill</w:t>
      </w:r>
      <w:r w:rsidR="00A07248" w:rsidRPr="00B26E25">
        <w:rPr>
          <w:i/>
          <w:szCs w:val="24"/>
          <w:lang w:val="fr-CA"/>
        </w:rPr>
        <w:t xml:space="preserve"> L.J.</w:t>
      </w:r>
      <w:r w:rsidRPr="00B26E25">
        <w:rPr>
          <w:szCs w:val="24"/>
          <w:lang w:val="fr-CA"/>
        </w:rPr>
        <w:t xml:space="preserve"> 157.</w:t>
      </w:r>
    </w:p>
    <w:p w:rsidR="001364FB" w:rsidRPr="00B26E25" w:rsidRDefault="00774463" w:rsidP="002E737F">
      <w:pPr>
        <w:pStyle w:val="SCCNormalDoubleSpacing"/>
        <w:spacing w:after="240" w:line="240" w:lineRule="auto"/>
        <w:ind w:left="540" w:hanging="540"/>
        <w:rPr>
          <w:szCs w:val="24"/>
          <w:lang w:val="en-US"/>
        </w:rPr>
      </w:pPr>
      <w:r w:rsidRPr="00B26E25">
        <w:rPr>
          <w:szCs w:val="24"/>
          <w:lang w:val="fr-CA"/>
        </w:rPr>
        <w:t>Baudouin, Jean</w:t>
      </w:r>
      <w:r w:rsidR="00C7175C" w:rsidRPr="00B26E25">
        <w:rPr>
          <w:szCs w:val="24"/>
          <w:lang w:val="fr-CA"/>
        </w:rPr>
        <w:noBreakHyphen/>
      </w:r>
      <w:r w:rsidRPr="00B26E25">
        <w:rPr>
          <w:szCs w:val="24"/>
          <w:lang w:val="fr-CA"/>
        </w:rPr>
        <w:t>Louis, et Pierre</w:t>
      </w:r>
      <w:r w:rsidR="00C7175C" w:rsidRPr="00B26E25">
        <w:rPr>
          <w:szCs w:val="24"/>
          <w:lang w:val="fr-CA"/>
        </w:rPr>
        <w:noBreakHyphen/>
      </w:r>
      <w:r w:rsidRPr="00B26E25">
        <w:rPr>
          <w:szCs w:val="24"/>
          <w:lang w:val="fr-CA"/>
        </w:rPr>
        <w:t xml:space="preserve">Gabriel Jobin.  </w:t>
      </w:r>
      <w:r w:rsidRPr="00B26E25">
        <w:rPr>
          <w:i/>
          <w:szCs w:val="24"/>
          <w:lang w:val="fr-CA"/>
        </w:rPr>
        <w:t>Les obligations</w:t>
      </w:r>
      <w:r w:rsidRPr="00B26E25">
        <w:rPr>
          <w:szCs w:val="24"/>
          <w:lang w:val="fr-CA"/>
        </w:rPr>
        <w:t>, 6</w:t>
      </w:r>
      <w:r w:rsidRPr="00B26E25">
        <w:rPr>
          <w:szCs w:val="24"/>
          <w:vertAlign w:val="superscript"/>
          <w:lang w:val="fr-CA"/>
        </w:rPr>
        <w:t>e</w:t>
      </w:r>
      <w:r w:rsidRPr="00B26E25">
        <w:rPr>
          <w:szCs w:val="24"/>
          <w:lang w:val="fr-CA"/>
        </w:rPr>
        <w:t xml:space="preserve"> éd. par Pierre</w:t>
      </w:r>
      <w:r w:rsidR="00C7175C" w:rsidRPr="00B26E25">
        <w:rPr>
          <w:szCs w:val="24"/>
          <w:lang w:val="fr-CA"/>
        </w:rPr>
        <w:noBreakHyphen/>
      </w:r>
      <w:r w:rsidRPr="00B26E25">
        <w:rPr>
          <w:szCs w:val="24"/>
          <w:lang w:val="fr-CA"/>
        </w:rPr>
        <w:t>Gabriel Jobin avec la collaboration de Nathalie Vézina</w:t>
      </w:r>
      <w:r w:rsidR="001364FB" w:rsidRPr="00B26E25">
        <w:rPr>
          <w:szCs w:val="24"/>
          <w:lang w:val="fr-CA"/>
        </w:rPr>
        <w:t xml:space="preserve">.  </w:t>
      </w:r>
      <w:r w:rsidR="001364FB" w:rsidRPr="00B26E25">
        <w:rPr>
          <w:szCs w:val="24"/>
          <w:lang w:val="en-US"/>
        </w:rPr>
        <w:t>Cowansville, Qué.:</w:t>
      </w:r>
      <w:r w:rsidR="00A07248" w:rsidRPr="00B26E25">
        <w:rPr>
          <w:szCs w:val="24"/>
          <w:lang w:val="en-US"/>
        </w:rPr>
        <w:t xml:space="preserve"> </w:t>
      </w:r>
      <w:r w:rsidR="001364FB" w:rsidRPr="00B26E25">
        <w:rPr>
          <w:szCs w:val="24"/>
          <w:lang w:val="en-US"/>
        </w:rPr>
        <w:t xml:space="preserve"> Yvon Blais, 2005.</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Bredt, Christopher D., and Adam M. Dodek.  </w:t>
      </w:r>
      <w:r w:rsidR="00A07248" w:rsidRPr="00B26E25">
        <w:rPr>
          <w:szCs w:val="24"/>
          <w:lang w:val="en-US"/>
        </w:rPr>
        <w:t>“</w:t>
      </w:r>
      <w:r w:rsidRPr="00B26E25">
        <w:rPr>
          <w:szCs w:val="24"/>
          <w:lang w:val="en-US"/>
        </w:rPr>
        <w:t xml:space="preserve">Breaking the </w:t>
      </w:r>
      <w:r w:rsidRPr="00B26E25">
        <w:rPr>
          <w:i/>
          <w:szCs w:val="24"/>
          <w:lang w:val="en-US"/>
        </w:rPr>
        <w:t>Law</w:t>
      </w:r>
      <w:r w:rsidR="00C7175C" w:rsidRPr="00B26E25">
        <w:rPr>
          <w:szCs w:val="24"/>
          <w:lang w:val="en-US"/>
        </w:rPr>
        <w:t>’</w:t>
      </w:r>
      <w:r w:rsidRPr="00B26E25">
        <w:rPr>
          <w:szCs w:val="24"/>
          <w:lang w:val="en-US"/>
        </w:rPr>
        <w:t>s Grip on Equality: A New Paradigm for Section 15</w:t>
      </w:r>
      <w:r w:rsidR="00A07248" w:rsidRPr="00B26E25">
        <w:rPr>
          <w:szCs w:val="24"/>
          <w:lang w:val="en-US"/>
        </w:rPr>
        <w:t>”</w:t>
      </w:r>
      <w:r w:rsidRPr="00B26E25">
        <w:rPr>
          <w:szCs w:val="24"/>
          <w:lang w:val="en-US"/>
        </w:rPr>
        <w:t xml:space="preserve"> (2003), 20 </w:t>
      </w:r>
      <w:r w:rsidRPr="00B26E25">
        <w:rPr>
          <w:i/>
          <w:szCs w:val="24"/>
          <w:lang w:val="en-US"/>
        </w:rPr>
        <w:t>S.C.L.R.</w:t>
      </w:r>
      <w:r w:rsidRPr="00B26E25">
        <w:rPr>
          <w:szCs w:val="24"/>
          <w:lang w:val="en-US"/>
        </w:rPr>
        <w:t xml:space="preserve"> (2d) 33.</w:t>
      </w:r>
    </w:p>
    <w:p w:rsidR="00EA7841" w:rsidRPr="00B26E25" w:rsidRDefault="00EA7841" w:rsidP="002E737F">
      <w:pPr>
        <w:pStyle w:val="SCCNormalDoubleSpacing"/>
        <w:spacing w:after="240" w:line="240" w:lineRule="auto"/>
        <w:ind w:left="540" w:hanging="540"/>
        <w:rPr>
          <w:szCs w:val="24"/>
          <w:lang w:val="en-US"/>
        </w:rPr>
      </w:pPr>
      <w:r w:rsidRPr="00B26E25">
        <w:rPr>
          <w:szCs w:val="24"/>
          <w:lang w:val="en-US"/>
        </w:rPr>
        <w:t>British Columbia.  Royal Commission on Family and Children</w:t>
      </w:r>
      <w:r w:rsidR="00C7175C" w:rsidRPr="00B26E25">
        <w:rPr>
          <w:szCs w:val="24"/>
          <w:lang w:val="en-US"/>
        </w:rPr>
        <w:t>’</w:t>
      </w:r>
      <w:r w:rsidRPr="00B26E25">
        <w:rPr>
          <w:szCs w:val="24"/>
          <w:lang w:val="en-US"/>
        </w:rPr>
        <w:t xml:space="preserve">s Law.  </w:t>
      </w:r>
      <w:r w:rsidRPr="00B26E25">
        <w:rPr>
          <w:i/>
          <w:szCs w:val="24"/>
          <w:lang w:val="en-US"/>
        </w:rPr>
        <w:t>Family Maintenance</w:t>
      </w:r>
      <w:r w:rsidRPr="00B26E25">
        <w:rPr>
          <w:szCs w:val="24"/>
          <w:lang w:val="en-US"/>
        </w:rPr>
        <w:t>.  Vancouver:  The Commission, 1975.</w:t>
      </w:r>
    </w:p>
    <w:p w:rsidR="00EA7841" w:rsidRPr="00B26E25" w:rsidRDefault="00EA7841" w:rsidP="002E737F">
      <w:pPr>
        <w:pStyle w:val="SCCNormalDoubleSpacing"/>
        <w:spacing w:after="240" w:line="240" w:lineRule="auto"/>
        <w:ind w:left="540" w:hanging="540"/>
        <w:rPr>
          <w:szCs w:val="24"/>
          <w:lang w:val="en-US"/>
        </w:rPr>
      </w:pPr>
      <w:r w:rsidRPr="00B26E25">
        <w:rPr>
          <w:szCs w:val="24"/>
          <w:lang w:val="en-US"/>
        </w:rPr>
        <w:t xml:space="preserve">British Columbia Law Institute.  </w:t>
      </w:r>
      <w:r w:rsidRPr="00B26E25">
        <w:rPr>
          <w:i/>
          <w:szCs w:val="24"/>
          <w:lang w:val="en-US"/>
        </w:rPr>
        <w:t>Report on Recognition of Spousal and Family Status</w:t>
      </w:r>
      <w:r w:rsidRPr="00B26E25">
        <w:rPr>
          <w:szCs w:val="24"/>
          <w:lang w:val="en-US"/>
        </w:rPr>
        <w:t>.  Vancouver:  The Institute, 1998.</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Brodsky, Gwen.  </w:t>
      </w:r>
      <w:r w:rsidR="00A07248" w:rsidRPr="00B26E25">
        <w:rPr>
          <w:szCs w:val="24"/>
          <w:lang w:val="en-US"/>
        </w:rPr>
        <w:t>“</w:t>
      </w:r>
      <w:r w:rsidR="00994D71">
        <w:rPr>
          <w:szCs w:val="24"/>
          <w:lang w:val="en-US"/>
        </w:rPr>
        <w:t xml:space="preserve">Case Comment: </w:t>
      </w:r>
      <w:r w:rsidRPr="00B26E25">
        <w:rPr>
          <w:i/>
          <w:szCs w:val="24"/>
          <w:lang w:val="en-US"/>
        </w:rPr>
        <w:t>Gosselin</w:t>
      </w:r>
      <w:r w:rsidRPr="00B26E25">
        <w:rPr>
          <w:szCs w:val="24"/>
          <w:lang w:val="en-US"/>
        </w:rPr>
        <w:t xml:space="preserve"> v. </w:t>
      </w:r>
      <w:r w:rsidRPr="00B26E25">
        <w:rPr>
          <w:i/>
          <w:szCs w:val="24"/>
          <w:lang w:val="en-US"/>
        </w:rPr>
        <w:t>Quebec (Attorney General)</w:t>
      </w:r>
      <w:r w:rsidRPr="00B26E25">
        <w:rPr>
          <w:szCs w:val="24"/>
          <w:lang w:val="en-US"/>
        </w:rPr>
        <w:t>:</w:t>
      </w:r>
      <w:r w:rsidR="00A07248" w:rsidRPr="00B26E25">
        <w:rPr>
          <w:szCs w:val="24"/>
          <w:lang w:val="en-US"/>
        </w:rPr>
        <w:t xml:space="preserve"> </w:t>
      </w:r>
      <w:r w:rsidRPr="00B26E25">
        <w:rPr>
          <w:szCs w:val="24"/>
          <w:lang w:val="en-US"/>
        </w:rPr>
        <w:t xml:space="preserve"> Autonomy with a Vengeance</w:t>
      </w:r>
      <w:r w:rsidR="00A07248" w:rsidRPr="00B26E25">
        <w:rPr>
          <w:szCs w:val="24"/>
          <w:lang w:val="en-US"/>
        </w:rPr>
        <w:t>”</w:t>
      </w:r>
      <w:r w:rsidRPr="00B26E25">
        <w:rPr>
          <w:szCs w:val="24"/>
          <w:lang w:val="en-US"/>
        </w:rPr>
        <w:t xml:space="preserve"> (2003), 15 </w:t>
      </w:r>
      <w:r w:rsidR="00A07248" w:rsidRPr="00B26E25">
        <w:rPr>
          <w:i/>
          <w:szCs w:val="24"/>
          <w:lang w:val="en-US"/>
        </w:rPr>
        <w:t>C.J.W.L.</w:t>
      </w:r>
      <w:r w:rsidRPr="00B26E25">
        <w:rPr>
          <w:szCs w:val="24"/>
          <w:lang w:val="en-US"/>
        </w:rPr>
        <w:t xml:space="preserve"> 194.</w:t>
      </w:r>
    </w:p>
    <w:p w:rsidR="001364FB" w:rsidRPr="00B26E25" w:rsidRDefault="001364FB" w:rsidP="002E737F">
      <w:pPr>
        <w:pStyle w:val="SCCNormalDoubleSpacing"/>
        <w:spacing w:after="240" w:line="240" w:lineRule="auto"/>
        <w:ind w:left="540" w:hanging="540"/>
        <w:rPr>
          <w:szCs w:val="24"/>
          <w:lang w:val="fr-FR"/>
        </w:rPr>
      </w:pPr>
      <w:r w:rsidRPr="00B26E25">
        <w:rPr>
          <w:szCs w:val="24"/>
          <w:lang w:val="fr-FR"/>
        </w:rPr>
        <w:t xml:space="preserve">Burman, Danielle.  </w:t>
      </w:r>
      <w:r w:rsidRPr="00B26E25">
        <w:rPr>
          <w:szCs w:val="24"/>
          <w:lang w:val="fr-CA"/>
        </w:rPr>
        <w:t>“</w:t>
      </w:r>
      <w:r w:rsidRPr="00B26E25">
        <w:rPr>
          <w:szCs w:val="24"/>
          <w:lang w:val="fr-FR"/>
        </w:rPr>
        <w:t>Politiques législatives québécoises dans l</w:t>
      </w:r>
      <w:r w:rsidR="00C7175C" w:rsidRPr="00B26E25">
        <w:rPr>
          <w:szCs w:val="24"/>
          <w:lang w:val="fr-FR"/>
        </w:rPr>
        <w:t>’</w:t>
      </w:r>
      <w:r w:rsidRPr="00B26E25">
        <w:rPr>
          <w:szCs w:val="24"/>
          <w:lang w:val="fr-FR"/>
        </w:rPr>
        <w:t>aménagement des rapports pécuniaires entre époux:  d</w:t>
      </w:r>
      <w:r w:rsidR="00C7175C" w:rsidRPr="00B26E25">
        <w:rPr>
          <w:szCs w:val="24"/>
          <w:lang w:val="fr-FR"/>
        </w:rPr>
        <w:t>’</w:t>
      </w:r>
      <w:r w:rsidRPr="00B26E25">
        <w:rPr>
          <w:szCs w:val="24"/>
          <w:lang w:val="fr-FR"/>
        </w:rPr>
        <w:t>une justice bien pensée à un semblant de justice</w:t>
      </w:r>
      <w:r w:rsidR="000A1B95" w:rsidRPr="00B26E25">
        <w:rPr>
          <w:szCs w:val="24"/>
          <w:lang w:val="fr-FR"/>
        </w:rPr>
        <w:t xml:space="preserve"> </w:t>
      </w:r>
      <w:r w:rsidR="000A1B95" w:rsidRPr="00B26E25">
        <w:rPr>
          <w:szCs w:val="24"/>
          <w:lang w:val="fr-CA"/>
        </w:rPr>
        <w:t>— un juste sujet de s</w:t>
      </w:r>
      <w:r w:rsidR="00C7175C" w:rsidRPr="00B26E25">
        <w:rPr>
          <w:szCs w:val="24"/>
          <w:lang w:val="fr-CA"/>
        </w:rPr>
        <w:t>’</w:t>
      </w:r>
      <w:r w:rsidR="000A1B95" w:rsidRPr="00B26E25">
        <w:rPr>
          <w:szCs w:val="24"/>
          <w:lang w:val="fr-CA"/>
        </w:rPr>
        <w:t>alarmer</w:t>
      </w:r>
      <w:r w:rsidRPr="00B26E25">
        <w:rPr>
          <w:szCs w:val="24"/>
          <w:lang w:val="fr-CA"/>
        </w:rPr>
        <w:t>”</w:t>
      </w:r>
      <w:r w:rsidRPr="00B26E25">
        <w:rPr>
          <w:szCs w:val="24"/>
          <w:lang w:val="fr-FR"/>
        </w:rPr>
        <w:t xml:space="preserve"> (1988), 22 </w:t>
      </w:r>
      <w:r w:rsidRPr="00B26E25">
        <w:rPr>
          <w:i/>
          <w:szCs w:val="24"/>
          <w:lang w:val="fr-FR"/>
        </w:rPr>
        <w:t>R.J.T.</w:t>
      </w:r>
      <w:r w:rsidRPr="00B26E25">
        <w:rPr>
          <w:szCs w:val="24"/>
          <w:lang w:val="fr-FR"/>
        </w:rPr>
        <w:t xml:space="preserve"> 149.</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Cameron, B. Jamie.  </w:t>
      </w:r>
      <w:r w:rsidR="00A07248" w:rsidRPr="00B26E25">
        <w:rPr>
          <w:szCs w:val="24"/>
          <w:lang w:val="en-US"/>
        </w:rPr>
        <w:t>“</w:t>
      </w:r>
      <w:r w:rsidRPr="00B26E25">
        <w:rPr>
          <w:szCs w:val="24"/>
          <w:lang w:val="en-US"/>
        </w:rPr>
        <w:t>A Work in Progress:</w:t>
      </w:r>
      <w:r w:rsidR="00A07248" w:rsidRPr="00B26E25">
        <w:rPr>
          <w:szCs w:val="24"/>
          <w:lang w:val="en-US"/>
        </w:rPr>
        <w:t xml:space="preserve"> </w:t>
      </w:r>
      <w:r w:rsidRPr="00B26E25">
        <w:rPr>
          <w:szCs w:val="24"/>
          <w:lang w:val="en-US"/>
        </w:rPr>
        <w:t xml:space="preserve"> The Supreme Court and the </w:t>
      </w:r>
      <w:r w:rsidRPr="00B26E25">
        <w:rPr>
          <w:i/>
          <w:szCs w:val="24"/>
          <w:lang w:val="en-US"/>
        </w:rPr>
        <w:t>Charter</w:t>
      </w:r>
      <w:r w:rsidR="00C7175C" w:rsidRPr="00B26E25">
        <w:rPr>
          <w:szCs w:val="24"/>
          <w:lang w:val="en-US"/>
        </w:rPr>
        <w:t>’</w:t>
      </w:r>
      <w:r w:rsidRPr="00B26E25">
        <w:rPr>
          <w:szCs w:val="24"/>
          <w:lang w:val="en-US"/>
        </w:rPr>
        <w:t>s Equation of Rights and Limits</w:t>
      </w:r>
      <w:r w:rsidR="00A07248" w:rsidRPr="00B26E25">
        <w:rPr>
          <w:szCs w:val="24"/>
          <w:lang w:val="en-US"/>
        </w:rPr>
        <w:t>”</w:t>
      </w:r>
      <w:r w:rsidRPr="00B26E25">
        <w:rPr>
          <w:szCs w:val="24"/>
          <w:lang w:val="en-US"/>
        </w:rPr>
        <w:t xml:space="preserve">, in Debra M. McAllister and Adam M. Dodek, eds., </w:t>
      </w:r>
      <w:r w:rsidRPr="00B26E25">
        <w:rPr>
          <w:i/>
          <w:szCs w:val="24"/>
          <w:lang w:val="en-US"/>
        </w:rPr>
        <w:t>The Charter at Twenty:</w:t>
      </w:r>
      <w:r w:rsidR="00A07248" w:rsidRPr="00B26E25">
        <w:rPr>
          <w:i/>
          <w:szCs w:val="24"/>
          <w:lang w:val="en-US"/>
        </w:rPr>
        <w:t xml:space="preserve"> </w:t>
      </w:r>
      <w:r w:rsidRPr="00B26E25">
        <w:rPr>
          <w:i/>
          <w:szCs w:val="24"/>
          <w:lang w:val="en-US"/>
        </w:rPr>
        <w:t xml:space="preserve"> Law and Practice 2002</w:t>
      </w:r>
      <w:r w:rsidRPr="00B26E25">
        <w:rPr>
          <w:szCs w:val="24"/>
          <w:lang w:val="en-US"/>
        </w:rPr>
        <w:t>.  Toronto:</w:t>
      </w:r>
      <w:r w:rsidR="00A07248" w:rsidRPr="00B26E25">
        <w:rPr>
          <w:szCs w:val="24"/>
          <w:lang w:val="en-US"/>
        </w:rPr>
        <w:t xml:space="preserve"> </w:t>
      </w:r>
      <w:r w:rsidRPr="00B26E25">
        <w:rPr>
          <w:szCs w:val="24"/>
          <w:lang w:val="en-US"/>
        </w:rPr>
        <w:t xml:space="preserve"> Ontario Bar Association, 2002, 31.</w:t>
      </w:r>
    </w:p>
    <w:p w:rsidR="00EA7841" w:rsidRPr="00B26E25" w:rsidRDefault="00EA7841" w:rsidP="002E737F">
      <w:pPr>
        <w:pStyle w:val="SCCNormalDoubleSpacing"/>
        <w:spacing w:after="240" w:line="240" w:lineRule="auto"/>
        <w:ind w:left="540" w:hanging="540"/>
        <w:rPr>
          <w:szCs w:val="24"/>
          <w:lang w:val="en-US"/>
        </w:rPr>
      </w:pPr>
      <w:r w:rsidRPr="00B26E25">
        <w:rPr>
          <w:szCs w:val="24"/>
          <w:lang w:val="en-US"/>
        </w:rPr>
        <w:t xml:space="preserve">Canada.  Law Reform Commission.  </w:t>
      </w:r>
      <w:r w:rsidRPr="00B26E25">
        <w:rPr>
          <w:i/>
          <w:szCs w:val="24"/>
          <w:lang w:val="en-US"/>
        </w:rPr>
        <w:t>Studies on Family Property Law</w:t>
      </w:r>
      <w:r w:rsidRPr="00B26E25">
        <w:rPr>
          <w:szCs w:val="24"/>
          <w:lang w:val="en-US"/>
        </w:rPr>
        <w:t>.  Ottawa:  Information Canada, 1975.</w:t>
      </w:r>
    </w:p>
    <w:p w:rsidR="00EA7841" w:rsidRPr="00B26E25" w:rsidRDefault="00EA7841" w:rsidP="002E737F">
      <w:pPr>
        <w:pStyle w:val="SCCNormalDoubleSpacing"/>
        <w:spacing w:after="240" w:line="240" w:lineRule="auto"/>
        <w:ind w:left="540" w:hanging="540"/>
        <w:rPr>
          <w:szCs w:val="24"/>
          <w:lang w:val="fr-CA"/>
        </w:rPr>
      </w:pPr>
      <w:r w:rsidRPr="00B26E25">
        <w:rPr>
          <w:szCs w:val="24"/>
          <w:lang w:val="en-US"/>
        </w:rPr>
        <w:t xml:space="preserve">Canada.  Law Reform Commission.  Working Paper 12.  </w:t>
      </w:r>
      <w:r w:rsidRPr="004438A8">
        <w:rPr>
          <w:i/>
          <w:szCs w:val="24"/>
          <w:lang w:val="en-US"/>
        </w:rPr>
        <w:t>Maintenance on Divorce</w:t>
      </w:r>
      <w:r w:rsidRPr="004438A8">
        <w:rPr>
          <w:szCs w:val="24"/>
          <w:lang w:val="en-US"/>
        </w:rPr>
        <w:t xml:space="preserve">.  </w:t>
      </w:r>
      <w:r w:rsidRPr="00B26E25">
        <w:rPr>
          <w:szCs w:val="24"/>
          <w:lang w:val="fr-CA"/>
        </w:rPr>
        <w:t>Ottawa:  Information Canada, 1975.</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Caparros, Ernest. </w:t>
      </w:r>
      <w:r w:rsidR="00A07248" w:rsidRPr="00B26E25">
        <w:rPr>
          <w:szCs w:val="24"/>
          <w:lang w:val="fr-CA"/>
        </w:rPr>
        <w:t xml:space="preserve"> “</w:t>
      </w:r>
      <w:r w:rsidRPr="00B26E25">
        <w:rPr>
          <w:szCs w:val="24"/>
          <w:lang w:val="fr-CA"/>
        </w:rPr>
        <w:t>Le patrimoine familial:</w:t>
      </w:r>
      <w:r w:rsidR="00A07248" w:rsidRPr="00B26E25">
        <w:rPr>
          <w:szCs w:val="24"/>
          <w:lang w:val="fr-CA"/>
        </w:rPr>
        <w:t xml:space="preserve"> </w:t>
      </w:r>
      <w:r w:rsidRPr="00B26E25">
        <w:rPr>
          <w:szCs w:val="24"/>
          <w:lang w:val="fr-CA"/>
        </w:rPr>
        <w:t xml:space="preserve"> une qualification difficile</w:t>
      </w:r>
      <w:r w:rsidR="00A07248" w:rsidRPr="00B26E25">
        <w:rPr>
          <w:szCs w:val="24"/>
          <w:lang w:val="fr-CA"/>
        </w:rPr>
        <w:t>”</w:t>
      </w:r>
      <w:r w:rsidRPr="00B26E25">
        <w:rPr>
          <w:szCs w:val="24"/>
          <w:lang w:val="fr-CA"/>
        </w:rPr>
        <w:t xml:space="preserve"> (1994), 25 </w:t>
      </w:r>
      <w:r w:rsidRPr="00B26E25">
        <w:rPr>
          <w:i/>
          <w:szCs w:val="24"/>
          <w:lang w:val="fr-CA"/>
        </w:rPr>
        <w:t>R.G.D.</w:t>
      </w:r>
      <w:r w:rsidRPr="00B26E25">
        <w:rPr>
          <w:szCs w:val="24"/>
          <w:lang w:val="fr-CA"/>
        </w:rPr>
        <w:t xml:space="preserve"> 251.</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Caparros, Ernest.  </w:t>
      </w:r>
      <w:r w:rsidRPr="00B26E25">
        <w:rPr>
          <w:i/>
          <w:szCs w:val="24"/>
          <w:lang w:val="fr-CA"/>
        </w:rPr>
        <w:t>Les régimes matrimoniaux au Québec</w:t>
      </w:r>
      <w:r w:rsidRPr="00B26E25">
        <w:rPr>
          <w:szCs w:val="24"/>
          <w:lang w:val="fr-CA"/>
        </w:rPr>
        <w:t>, 3</w:t>
      </w:r>
      <w:r w:rsidRPr="00B26E25">
        <w:rPr>
          <w:szCs w:val="24"/>
          <w:vertAlign w:val="superscript"/>
          <w:lang w:val="fr-CA"/>
        </w:rPr>
        <w:t>e</w:t>
      </w:r>
      <w:r w:rsidRPr="00B26E25">
        <w:rPr>
          <w:szCs w:val="24"/>
          <w:lang w:val="fr-CA"/>
        </w:rPr>
        <w:t xml:space="preserve"> éd.  Montréal:</w:t>
      </w:r>
      <w:r w:rsidR="00A07248" w:rsidRPr="00B26E25">
        <w:rPr>
          <w:szCs w:val="24"/>
          <w:lang w:val="fr-CA"/>
        </w:rPr>
        <w:t xml:space="preserve"> </w:t>
      </w:r>
      <w:r w:rsidRPr="00B26E25">
        <w:rPr>
          <w:szCs w:val="24"/>
          <w:lang w:val="fr-CA"/>
        </w:rPr>
        <w:t xml:space="preserve"> Wilson &amp; Lafleur, 1988.</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Comtois, Roger.  </w:t>
      </w:r>
      <w:r w:rsidRPr="00B26E25">
        <w:rPr>
          <w:i/>
          <w:szCs w:val="24"/>
          <w:lang w:val="fr-CA"/>
        </w:rPr>
        <w:t>Traité théorique et pratique de la communauté de biens</w:t>
      </w:r>
      <w:r w:rsidRPr="00B26E25">
        <w:rPr>
          <w:szCs w:val="24"/>
          <w:lang w:val="fr-CA"/>
        </w:rPr>
        <w:t>.  Montréal: Recueil de droit et de jurisprudence, 1964.</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Cossette, André. </w:t>
      </w:r>
      <w:r w:rsidR="00A07248" w:rsidRPr="00B26E25">
        <w:rPr>
          <w:szCs w:val="24"/>
          <w:lang w:val="fr-CA"/>
        </w:rPr>
        <w:t xml:space="preserve"> “</w:t>
      </w:r>
      <w:r w:rsidRPr="00B26E25">
        <w:rPr>
          <w:szCs w:val="24"/>
          <w:lang w:val="fr-CA"/>
        </w:rPr>
        <w:t>Le concubinage au Québec</w:t>
      </w:r>
      <w:r w:rsidR="00A07248" w:rsidRPr="00B26E25">
        <w:rPr>
          <w:szCs w:val="24"/>
          <w:lang w:val="fr-CA"/>
        </w:rPr>
        <w:t>”</w:t>
      </w:r>
      <w:r w:rsidRPr="00B26E25">
        <w:rPr>
          <w:szCs w:val="24"/>
          <w:lang w:val="fr-CA"/>
        </w:rPr>
        <w:t xml:space="preserve"> (1985), 88 </w:t>
      </w:r>
      <w:r w:rsidRPr="00B26E25">
        <w:rPr>
          <w:i/>
          <w:szCs w:val="24"/>
          <w:lang w:val="fr-CA"/>
        </w:rPr>
        <w:t>R. du N.</w:t>
      </w:r>
      <w:r w:rsidRPr="00B26E25">
        <w:rPr>
          <w:szCs w:val="24"/>
          <w:lang w:val="fr-CA"/>
        </w:rPr>
        <w:t xml:space="preserve"> 42.</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D.</w:t>
      </w:r>
      <w:r w:rsidR="00C7175C" w:rsidRPr="00B26E25">
        <w:rPr>
          <w:szCs w:val="24"/>
          <w:lang w:val="fr-CA"/>
        </w:rPr>
        <w:noBreakHyphen/>
      </w:r>
      <w:r w:rsidRPr="00B26E25">
        <w:rPr>
          <w:szCs w:val="24"/>
          <w:lang w:val="fr-CA"/>
        </w:rPr>
        <w:t xml:space="preserve">Castelli, Mireille, et Dominique Goubau.  </w:t>
      </w:r>
      <w:r w:rsidRPr="00B26E25">
        <w:rPr>
          <w:i/>
          <w:szCs w:val="24"/>
          <w:lang w:val="fr-CA"/>
        </w:rPr>
        <w:t>Le droit de la famille au Québec</w:t>
      </w:r>
      <w:r w:rsidRPr="00B26E25">
        <w:rPr>
          <w:szCs w:val="24"/>
          <w:lang w:val="fr-CA"/>
        </w:rPr>
        <w:t>, 5</w:t>
      </w:r>
      <w:r w:rsidRPr="00B26E25">
        <w:rPr>
          <w:szCs w:val="24"/>
          <w:vertAlign w:val="superscript"/>
          <w:lang w:val="fr-CA"/>
        </w:rPr>
        <w:t>e</w:t>
      </w:r>
      <w:r w:rsidRPr="00B26E25">
        <w:rPr>
          <w:szCs w:val="24"/>
          <w:lang w:val="fr-CA"/>
        </w:rPr>
        <w:t xml:space="preserve"> éd. Saint</w:t>
      </w:r>
      <w:r w:rsidR="00C7175C" w:rsidRPr="00B26E25">
        <w:rPr>
          <w:szCs w:val="24"/>
          <w:lang w:val="fr-CA"/>
        </w:rPr>
        <w:noBreakHyphen/>
      </w:r>
      <w:r w:rsidRPr="00B26E25">
        <w:rPr>
          <w:szCs w:val="24"/>
          <w:lang w:val="fr-CA"/>
        </w:rPr>
        <w:t>Nicholas, Qué.:</w:t>
      </w:r>
      <w:r w:rsidR="00A07248" w:rsidRPr="00B26E25">
        <w:rPr>
          <w:szCs w:val="24"/>
          <w:lang w:val="fr-CA"/>
        </w:rPr>
        <w:t xml:space="preserve"> </w:t>
      </w:r>
      <w:r w:rsidRPr="00B26E25">
        <w:rPr>
          <w:szCs w:val="24"/>
          <w:lang w:val="fr-CA"/>
        </w:rPr>
        <w:t xml:space="preserve"> Presses de l</w:t>
      </w:r>
      <w:r w:rsidR="00C7175C" w:rsidRPr="00B26E25">
        <w:rPr>
          <w:szCs w:val="24"/>
          <w:lang w:val="fr-CA"/>
        </w:rPr>
        <w:t>’</w:t>
      </w:r>
      <w:r w:rsidRPr="00B26E25">
        <w:rPr>
          <w:szCs w:val="24"/>
          <w:lang w:val="fr-CA"/>
        </w:rPr>
        <w:t>Université Laval, 2005.</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fr-CA"/>
        </w:rPr>
        <w:t>Deleury, Edith, et Marlène Ca</w:t>
      </w:r>
      <w:r w:rsidR="00C7175C" w:rsidRPr="00B26E25">
        <w:rPr>
          <w:szCs w:val="24"/>
          <w:lang w:val="fr-CA"/>
        </w:rPr>
        <w:t>no. </w:t>
      </w:r>
      <w:r w:rsidR="00A07248" w:rsidRPr="00B26E25">
        <w:rPr>
          <w:szCs w:val="24"/>
          <w:lang w:val="fr-CA"/>
        </w:rPr>
        <w:t xml:space="preserve"> “</w:t>
      </w:r>
      <w:r w:rsidRPr="00B26E25">
        <w:rPr>
          <w:szCs w:val="24"/>
          <w:lang w:val="fr-CA"/>
        </w:rPr>
        <w:t>Le concubinage au Québec et dans l</w:t>
      </w:r>
      <w:r w:rsidR="00C7175C" w:rsidRPr="00B26E25">
        <w:rPr>
          <w:szCs w:val="24"/>
          <w:lang w:val="fr-CA"/>
        </w:rPr>
        <w:t>’</w:t>
      </w:r>
      <w:r w:rsidRPr="00B26E25">
        <w:rPr>
          <w:szCs w:val="24"/>
          <w:lang w:val="fr-CA"/>
        </w:rPr>
        <w:t>ensemble du Canada:</w:t>
      </w:r>
      <w:r w:rsidR="00A07248" w:rsidRPr="00B26E25">
        <w:rPr>
          <w:szCs w:val="24"/>
          <w:lang w:val="fr-CA"/>
        </w:rPr>
        <w:t xml:space="preserve"> </w:t>
      </w:r>
      <w:r w:rsidRPr="00B26E25">
        <w:rPr>
          <w:szCs w:val="24"/>
          <w:lang w:val="fr-CA"/>
        </w:rPr>
        <w:t xml:space="preserve"> Deux systèmes juridiques, deux approches</w:t>
      </w:r>
      <w:r w:rsidR="00A07248" w:rsidRPr="00B26E25">
        <w:rPr>
          <w:szCs w:val="24"/>
          <w:lang w:val="fr-CA"/>
        </w:rPr>
        <w:t>”</w:t>
      </w:r>
      <w:r w:rsidRPr="00B26E25">
        <w:rPr>
          <w:szCs w:val="24"/>
          <w:lang w:val="fr-CA"/>
        </w:rPr>
        <w:t>, dans Jacqueline Rubellin</w:t>
      </w:r>
      <w:r w:rsidR="00C7175C" w:rsidRPr="00B26E25">
        <w:rPr>
          <w:szCs w:val="24"/>
          <w:lang w:val="fr-CA"/>
        </w:rPr>
        <w:noBreakHyphen/>
      </w:r>
      <w:r w:rsidRPr="00B26E25">
        <w:rPr>
          <w:szCs w:val="24"/>
          <w:lang w:val="fr-CA"/>
        </w:rPr>
        <w:t xml:space="preserve">Devichi, dir., </w:t>
      </w:r>
      <w:r w:rsidRPr="00B26E25">
        <w:rPr>
          <w:i/>
          <w:szCs w:val="24"/>
          <w:lang w:val="fr-CA"/>
        </w:rPr>
        <w:t>Des concubinages dans le monde</w:t>
      </w:r>
      <w:r w:rsidRPr="00B26E25">
        <w:rPr>
          <w:szCs w:val="24"/>
          <w:lang w:val="fr-CA"/>
        </w:rPr>
        <w:t xml:space="preserve">.  </w:t>
      </w:r>
      <w:r w:rsidRPr="00B26E25">
        <w:rPr>
          <w:szCs w:val="24"/>
          <w:lang w:val="en-US"/>
        </w:rPr>
        <w:t>Paris:</w:t>
      </w:r>
      <w:r w:rsidR="00A07248" w:rsidRPr="00B26E25">
        <w:rPr>
          <w:szCs w:val="24"/>
          <w:lang w:val="en-US"/>
        </w:rPr>
        <w:t xml:space="preserve"> </w:t>
      </w:r>
      <w:r w:rsidRPr="00B26E25">
        <w:rPr>
          <w:szCs w:val="24"/>
          <w:lang w:val="en-US"/>
        </w:rPr>
        <w:t xml:space="preserve"> Centre national de la recherche scientifique, 1990, 85.</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Dworkin, Ronald.  </w:t>
      </w:r>
      <w:r w:rsidRPr="00B26E25">
        <w:rPr>
          <w:i/>
          <w:szCs w:val="24"/>
          <w:lang w:val="en-US"/>
        </w:rPr>
        <w:t>Taking Rights Seriously</w:t>
      </w:r>
      <w:r w:rsidRPr="00B26E25">
        <w:rPr>
          <w:szCs w:val="24"/>
          <w:lang w:val="en-US"/>
        </w:rPr>
        <w:t>. Cambridge, Mass.:</w:t>
      </w:r>
      <w:r w:rsidR="00A07248" w:rsidRPr="00B26E25">
        <w:rPr>
          <w:szCs w:val="24"/>
          <w:lang w:val="en-US"/>
        </w:rPr>
        <w:t xml:space="preserve"> </w:t>
      </w:r>
      <w:r w:rsidRPr="00B26E25">
        <w:rPr>
          <w:szCs w:val="24"/>
          <w:lang w:val="en-US"/>
        </w:rPr>
        <w:t xml:space="preserve"> Harvard University Press, 1977.</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Goubau, Dominique. </w:t>
      </w:r>
      <w:r w:rsidR="00A07248" w:rsidRPr="00B26E25">
        <w:rPr>
          <w:szCs w:val="24"/>
          <w:lang w:val="fr-CA"/>
        </w:rPr>
        <w:t xml:space="preserve"> “</w:t>
      </w:r>
      <w:r w:rsidRPr="00B26E25">
        <w:rPr>
          <w:szCs w:val="24"/>
          <w:lang w:val="fr-CA"/>
        </w:rPr>
        <w:t>La conjugalité en droit privé:</w:t>
      </w:r>
      <w:r w:rsidR="00A07248" w:rsidRPr="00B26E25">
        <w:rPr>
          <w:szCs w:val="24"/>
          <w:lang w:val="fr-CA"/>
        </w:rPr>
        <w:t xml:space="preserve"> </w:t>
      </w:r>
      <w:r w:rsidRPr="00B26E25">
        <w:rPr>
          <w:szCs w:val="24"/>
          <w:lang w:val="fr-CA"/>
        </w:rPr>
        <w:t xml:space="preserve"> comment concilier </w:t>
      </w:r>
      <w:r w:rsidR="00C7175C" w:rsidRPr="00B26E25">
        <w:rPr>
          <w:szCs w:val="24"/>
          <w:lang w:val="fr-CA"/>
        </w:rPr>
        <w:t>‘</w:t>
      </w:r>
      <w:r w:rsidRPr="00B26E25">
        <w:rPr>
          <w:szCs w:val="24"/>
          <w:lang w:val="fr-CA"/>
        </w:rPr>
        <w:t>autonomie</w:t>
      </w:r>
      <w:r w:rsidR="00C7175C" w:rsidRPr="00B26E25">
        <w:rPr>
          <w:szCs w:val="24"/>
          <w:lang w:val="fr-CA"/>
        </w:rPr>
        <w:t>’</w:t>
      </w:r>
      <w:r w:rsidRPr="00B26E25">
        <w:rPr>
          <w:szCs w:val="24"/>
          <w:lang w:val="fr-CA"/>
        </w:rPr>
        <w:t xml:space="preserve"> et </w:t>
      </w:r>
      <w:r w:rsidR="00C7175C" w:rsidRPr="00B26E25">
        <w:rPr>
          <w:szCs w:val="24"/>
          <w:lang w:val="fr-CA"/>
        </w:rPr>
        <w:t>‘</w:t>
      </w:r>
      <w:r w:rsidRPr="00B26E25">
        <w:rPr>
          <w:szCs w:val="24"/>
          <w:lang w:val="fr-CA"/>
        </w:rPr>
        <w:t>protection</w:t>
      </w:r>
      <w:r w:rsidR="00C7175C" w:rsidRPr="00B26E25">
        <w:rPr>
          <w:szCs w:val="24"/>
          <w:lang w:val="fr-CA"/>
        </w:rPr>
        <w:t>’</w:t>
      </w:r>
      <w:r w:rsidRPr="00B26E25">
        <w:rPr>
          <w:szCs w:val="24"/>
          <w:lang w:val="fr-CA"/>
        </w:rPr>
        <w:t>?</w:t>
      </w:r>
      <w:r w:rsidR="00A07248" w:rsidRPr="00B26E25">
        <w:rPr>
          <w:szCs w:val="24"/>
          <w:lang w:val="fr-CA"/>
        </w:rPr>
        <w:t>”</w:t>
      </w:r>
      <w:r w:rsidRPr="00B26E25">
        <w:rPr>
          <w:szCs w:val="24"/>
          <w:lang w:val="fr-CA"/>
        </w:rPr>
        <w:t>, dans Pierre</w:t>
      </w:r>
      <w:r w:rsidR="00C7175C" w:rsidRPr="00B26E25">
        <w:rPr>
          <w:szCs w:val="24"/>
          <w:lang w:val="fr-CA"/>
        </w:rPr>
        <w:noBreakHyphen/>
      </w:r>
      <w:r w:rsidRPr="00B26E25">
        <w:rPr>
          <w:szCs w:val="24"/>
          <w:lang w:val="fr-CA"/>
        </w:rPr>
        <w:t xml:space="preserve">Claude Lafond et Brigitte Lefebvre, dir., </w:t>
      </w:r>
      <w:r w:rsidRPr="00B26E25">
        <w:rPr>
          <w:i/>
          <w:szCs w:val="24"/>
          <w:lang w:val="fr-CA"/>
        </w:rPr>
        <w:t>L</w:t>
      </w:r>
      <w:r w:rsidR="00C7175C" w:rsidRPr="00B26E25">
        <w:rPr>
          <w:i/>
          <w:szCs w:val="24"/>
          <w:lang w:val="fr-CA"/>
        </w:rPr>
        <w:t>’</w:t>
      </w:r>
      <w:r w:rsidRPr="00B26E25">
        <w:rPr>
          <w:i/>
          <w:szCs w:val="24"/>
          <w:lang w:val="fr-CA"/>
        </w:rPr>
        <w:t>union civile:</w:t>
      </w:r>
      <w:r w:rsidR="00A07248" w:rsidRPr="00B26E25">
        <w:rPr>
          <w:i/>
          <w:szCs w:val="24"/>
          <w:lang w:val="fr-CA"/>
        </w:rPr>
        <w:t xml:space="preserve"> </w:t>
      </w:r>
      <w:r w:rsidRPr="00B26E25">
        <w:rPr>
          <w:i/>
          <w:szCs w:val="24"/>
          <w:lang w:val="fr-CA"/>
        </w:rPr>
        <w:t xml:space="preserve"> nouveaux modèles de conjugalité et de parentalité au 21</w:t>
      </w:r>
      <w:r w:rsidRPr="00B26E25">
        <w:rPr>
          <w:i/>
          <w:szCs w:val="24"/>
          <w:vertAlign w:val="superscript"/>
          <w:lang w:val="fr-CA"/>
        </w:rPr>
        <w:t>e</w:t>
      </w:r>
      <w:r w:rsidRPr="00B26E25">
        <w:rPr>
          <w:i/>
          <w:szCs w:val="24"/>
          <w:lang w:val="fr-CA"/>
        </w:rPr>
        <w:t xml:space="preserve"> siècle</w:t>
      </w:r>
      <w:r w:rsidRPr="00B26E25">
        <w:rPr>
          <w:szCs w:val="24"/>
          <w:lang w:val="fr-CA"/>
        </w:rPr>
        <w:t>.  Cowansville, Qué.:</w:t>
      </w:r>
      <w:r w:rsidR="00A07248" w:rsidRPr="00B26E25">
        <w:rPr>
          <w:szCs w:val="24"/>
          <w:lang w:val="fr-CA"/>
        </w:rPr>
        <w:t xml:space="preserve"> </w:t>
      </w:r>
      <w:r w:rsidRPr="00B26E25">
        <w:rPr>
          <w:szCs w:val="24"/>
          <w:lang w:val="fr-CA"/>
        </w:rPr>
        <w:t xml:space="preserve"> Yvon Blais, 2003, 153.</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Goubau, Dominique, Ghislain Otis et David Robitaille. </w:t>
      </w:r>
      <w:r w:rsidR="00710441" w:rsidRPr="00B26E25">
        <w:rPr>
          <w:szCs w:val="24"/>
          <w:lang w:val="fr-CA"/>
        </w:rPr>
        <w:t xml:space="preserve"> “</w:t>
      </w:r>
      <w:r w:rsidRPr="00B26E25">
        <w:rPr>
          <w:szCs w:val="24"/>
          <w:lang w:val="fr-CA"/>
        </w:rPr>
        <w:t>La spécificité patrimoniale de l</w:t>
      </w:r>
      <w:r w:rsidR="00C7175C" w:rsidRPr="00B26E25">
        <w:rPr>
          <w:szCs w:val="24"/>
          <w:lang w:val="fr-CA"/>
        </w:rPr>
        <w:t>’</w:t>
      </w:r>
      <w:r w:rsidRPr="00B26E25">
        <w:rPr>
          <w:szCs w:val="24"/>
          <w:lang w:val="fr-CA"/>
        </w:rPr>
        <w:t>union de fait:</w:t>
      </w:r>
      <w:r w:rsidR="00710441" w:rsidRPr="00B26E25">
        <w:rPr>
          <w:szCs w:val="24"/>
          <w:lang w:val="fr-CA"/>
        </w:rPr>
        <w:t xml:space="preserve"> </w:t>
      </w:r>
      <w:r w:rsidRPr="00B26E25">
        <w:rPr>
          <w:szCs w:val="24"/>
          <w:lang w:val="fr-CA"/>
        </w:rPr>
        <w:t xml:space="preserve"> le libre choix et ses </w:t>
      </w:r>
      <w:r w:rsidR="00C7175C" w:rsidRPr="00B26E25">
        <w:rPr>
          <w:szCs w:val="24"/>
          <w:lang w:val="fr-CA"/>
        </w:rPr>
        <w:t>‘</w:t>
      </w:r>
      <w:r w:rsidRPr="00B26E25">
        <w:rPr>
          <w:szCs w:val="24"/>
          <w:lang w:val="fr-CA"/>
        </w:rPr>
        <w:t>dommages collatéraux</w:t>
      </w:r>
      <w:r w:rsidR="00C7175C" w:rsidRPr="00B26E25">
        <w:rPr>
          <w:szCs w:val="24"/>
          <w:lang w:val="fr-CA"/>
        </w:rPr>
        <w:t>’</w:t>
      </w:r>
      <w:r w:rsidR="00710441" w:rsidRPr="00B26E25">
        <w:rPr>
          <w:szCs w:val="24"/>
          <w:lang w:val="fr-CA"/>
        </w:rPr>
        <w:t>”</w:t>
      </w:r>
      <w:r w:rsidRPr="00B26E25">
        <w:rPr>
          <w:szCs w:val="24"/>
          <w:lang w:val="fr-CA"/>
        </w:rPr>
        <w:t xml:space="preserve"> (2003), 44 </w:t>
      </w:r>
      <w:r w:rsidRPr="00B26E25">
        <w:rPr>
          <w:i/>
          <w:szCs w:val="24"/>
          <w:lang w:val="fr-CA"/>
        </w:rPr>
        <w:t>C. de D.</w:t>
      </w:r>
      <w:r w:rsidRPr="00B26E25">
        <w:rPr>
          <w:szCs w:val="24"/>
          <w:lang w:val="fr-CA"/>
        </w:rPr>
        <w:t xml:space="preserve"> 3.</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Greschner, Donna. </w:t>
      </w:r>
      <w:r w:rsidR="00E324A9" w:rsidRPr="00B26E25">
        <w:rPr>
          <w:szCs w:val="24"/>
          <w:lang w:val="en-US"/>
        </w:rPr>
        <w:t xml:space="preserve"> “</w:t>
      </w:r>
      <w:r w:rsidRPr="00B26E25">
        <w:rPr>
          <w:szCs w:val="24"/>
          <w:lang w:val="en-US"/>
        </w:rPr>
        <w:t>The Purpose of Canadian Equality Rights</w:t>
      </w:r>
      <w:r w:rsidR="00E324A9" w:rsidRPr="00B26E25">
        <w:rPr>
          <w:szCs w:val="24"/>
          <w:lang w:val="en-US"/>
        </w:rPr>
        <w:t>”</w:t>
      </w:r>
      <w:r w:rsidRPr="00B26E25">
        <w:rPr>
          <w:szCs w:val="24"/>
          <w:lang w:val="en-US"/>
        </w:rPr>
        <w:t xml:space="preserve"> (2002), 6 </w:t>
      </w:r>
      <w:r w:rsidRPr="00B26E25">
        <w:rPr>
          <w:i/>
          <w:szCs w:val="24"/>
          <w:lang w:val="en-US"/>
        </w:rPr>
        <w:t>R</w:t>
      </w:r>
      <w:r w:rsidR="00E324A9" w:rsidRPr="00B26E25">
        <w:rPr>
          <w:i/>
          <w:szCs w:val="24"/>
          <w:lang w:val="en-US"/>
        </w:rPr>
        <w:t>ev</w:t>
      </w:r>
      <w:r w:rsidRPr="00B26E25">
        <w:rPr>
          <w:i/>
          <w:szCs w:val="24"/>
          <w:lang w:val="en-US"/>
        </w:rPr>
        <w:t xml:space="preserve">. </w:t>
      </w:r>
      <w:r w:rsidR="00E324A9" w:rsidRPr="00B26E25">
        <w:rPr>
          <w:i/>
          <w:szCs w:val="24"/>
          <w:lang w:val="en-US"/>
        </w:rPr>
        <w:t>Const. Stud.</w:t>
      </w:r>
      <w:r w:rsidRPr="00B26E25">
        <w:rPr>
          <w:szCs w:val="24"/>
          <w:lang w:val="en-US"/>
        </w:rPr>
        <w:t xml:space="preserve"> 291.</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Hogg, Peter W.  </w:t>
      </w:r>
      <w:r w:rsidRPr="00B26E25">
        <w:rPr>
          <w:i/>
          <w:szCs w:val="24"/>
          <w:lang w:val="en-US"/>
        </w:rPr>
        <w:t>Constitutional Law of Canada</w:t>
      </w:r>
      <w:r w:rsidRPr="00B26E25">
        <w:rPr>
          <w:szCs w:val="24"/>
          <w:lang w:val="en-US"/>
        </w:rPr>
        <w:t xml:space="preserve">, 5th ed. Supp., </w:t>
      </w:r>
      <w:r w:rsidR="00C7175C" w:rsidRPr="00B26E25">
        <w:rPr>
          <w:szCs w:val="24"/>
          <w:lang w:val="en-US"/>
        </w:rPr>
        <w:t>vol. </w:t>
      </w:r>
      <w:r w:rsidRPr="00B26E25">
        <w:rPr>
          <w:szCs w:val="24"/>
          <w:lang w:val="en-US"/>
        </w:rPr>
        <w:t>2.  Toronto: Thomson/Cars</w:t>
      </w:r>
      <w:r w:rsidR="00570023" w:rsidRPr="00B26E25">
        <w:rPr>
          <w:szCs w:val="24"/>
          <w:lang w:val="en-US"/>
        </w:rPr>
        <w:t>well, 2007 (</w:t>
      </w:r>
      <w:r w:rsidR="006D127C">
        <w:rPr>
          <w:szCs w:val="24"/>
          <w:lang w:val="en-US"/>
        </w:rPr>
        <w:t xml:space="preserve">loose-leaf </w:t>
      </w:r>
      <w:r w:rsidRPr="00B26E25">
        <w:rPr>
          <w:szCs w:val="24"/>
          <w:lang w:val="en-US"/>
        </w:rPr>
        <w:t>updated 201</w:t>
      </w:r>
      <w:r w:rsidR="00A12A62" w:rsidRPr="00B26E25">
        <w:rPr>
          <w:szCs w:val="24"/>
          <w:lang w:val="en-US"/>
        </w:rPr>
        <w:t>2</w:t>
      </w:r>
      <w:r w:rsidRPr="00B26E25">
        <w:rPr>
          <w:szCs w:val="24"/>
          <w:lang w:val="en-US"/>
        </w:rPr>
        <w:t>, release 1).</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en-US"/>
        </w:rPr>
        <w:t xml:space="preserve">Holland, Winifred.  </w:t>
      </w:r>
      <w:r w:rsidR="00E324A9" w:rsidRPr="00B26E25">
        <w:rPr>
          <w:szCs w:val="24"/>
          <w:lang w:val="en-US"/>
        </w:rPr>
        <w:t>“</w:t>
      </w:r>
      <w:r w:rsidRPr="00B26E25">
        <w:rPr>
          <w:szCs w:val="24"/>
          <w:lang w:val="en-US"/>
        </w:rPr>
        <w:t>Intimate Relationships in the New Millennium:</w:t>
      </w:r>
      <w:r w:rsidR="00E324A9" w:rsidRPr="00B26E25">
        <w:rPr>
          <w:szCs w:val="24"/>
          <w:lang w:val="en-US"/>
        </w:rPr>
        <w:t xml:space="preserve"> </w:t>
      </w:r>
      <w:r w:rsidRPr="00B26E25">
        <w:rPr>
          <w:szCs w:val="24"/>
          <w:lang w:val="en-US"/>
        </w:rPr>
        <w:t xml:space="preserve"> The Assimilation of Marriage and Cohabitation?</w:t>
      </w:r>
      <w:r w:rsidR="00E324A9" w:rsidRPr="00B26E25">
        <w:rPr>
          <w:szCs w:val="24"/>
          <w:lang w:val="en-US"/>
        </w:rPr>
        <w:t>”</w:t>
      </w:r>
      <w:r w:rsidRPr="00B26E25">
        <w:rPr>
          <w:szCs w:val="24"/>
          <w:lang w:val="en-US"/>
        </w:rPr>
        <w:t xml:space="preserve"> </w:t>
      </w:r>
      <w:r w:rsidRPr="00B26E25">
        <w:rPr>
          <w:szCs w:val="24"/>
          <w:lang w:val="fr-CA"/>
        </w:rPr>
        <w:t xml:space="preserve">(2000), 17 </w:t>
      </w:r>
      <w:r w:rsidRPr="00B26E25">
        <w:rPr>
          <w:i/>
          <w:szCs w:val="24"/>
          <w:lang w:val="fr-CA"/>
        </w:rPr>
        <w:t>Can. J. Fam. L.</w:t>
      </w:r>
      <w:r w:rsidRPr="00B26E25">
        <w:rPr>
          <w:szCs w:val="24"/>
          <w:lang w:val="fr-CA"/>
        </w:rPr>
        <w:t xml:space="preserve"> 114.</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fr-FR"/>
        </w:rPr>
        <w:t xml:space="preserve">Jarry, Jocelyne.  </w:t>
      </w:r>
      <w:r w:rsidRPr="00B26E25">
        <w:rPr>
          <w:i/>
          <w:szCs w:val="24"/>
          <w:lang w:val="fr-FR"/>
        </w:rPr>
        <w:t>Les conjoints de fait au Québec:  vers un encadrement lég</w:t>
      </w:r>
      <w:r w:rsidR="00C7175C" w:rsidRPr="00B26E25">
        <w:rPr>
          <w:i/>
          <w:szCs w:val="24"/>
          <w:lang w:val="fr-FR"/>
        </w:rPr>
        <w:t>al. </w:t>
      </w:r>
      <w:r w:rsidRPr="00B26E25">
        <w:rPr>
          <w:szCs w:val="24"/>
          <w:lang w:val="en-US"/>
        </w:rPr>
        <w:t>Cowansville, Qué.:  Yvon Blais, 2008.</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en-US"/>
        </w:rPr>
        <w:t xml:space="preserve">Koshan, Jennifer, and Jonnette Watson Hamilton.  </w:t>
      </w:r>
      <w:r w:rsidR="00E324A9" w:rsidRPr="00B26E25">
        <w:rPr>
          <w:szCs w:val="24"/>
          <w:lang w:val="en-US"/>
        </w:rPr>
        <w:t>“</w:t>
      </w:r>
      <w:r w:rsidRPr="00B26E25">
        <w:rPr>
          <w:szCs w:val="24"/>
          <w:lang w:val="en-US"/>
        </w:rPr>
        <w:t>Meaningless Mantra:</w:t>
      </w:r>
      <w:r w:rsidR="00E324A9" w:rsidRPr="00B26E25">
        <w:rPr>
          <w:szCs w:val="24"/>
          <w:lang w:val="en-US"/>
        </w:rPr>
        <w:t xml:space="preserve"> </w:t>
      </w:r>
      <w:r w:rsidRPr="00B26E25">
        <w:rPr>
          <w:szCs w:val="24"/>
          <w:lang w:val="en-US"/>
        </w:rPr>
        <w:t xml:space="preserve"> Substantive Equality after </w:t>
      </w:r>
      <w:r w:rsidRPr="00B26E25">
        <w:rPr>
          <w:i/>
          <w:szCs w:val="24"/>
          <w:lang w:val="en-US"/>
        </w:rPr>
        <w:t>Withler</w:t>
      </w:r>
      <w:r w:rsidR="00E324A9" w:rsidRPr="00B26E25">
        <w:rPr>
          <w:szCs w:val="24"/>
          <w:lang w:val="en-US"/>
        </w:rPr>
        <w:t>”</w:t>
      </w:r>
      <w:r w:rsidRPr="00B26E25">
        <w:rPr>
          <w:szCs w:val="24"/>
          <w:lang w:val="en-US"/>
        </w:rPr>
        <w:t xml:space="preserve"> (2011), 16 </w:t>
      </w:r>
      <w:r w:rsidR="00E324A9" w:rsidRPr="00B26E25">
        <w:rPr>
          <w:i/>
          <w:szCs w:val="24"/>
          <w:lang w:val="en-US"/>
        </w:rPr>
        <w:t xml:space="preserve">Rev. Const. </w:t>
      </w:r>
      <w:r w:rsidR="00E324A9" w:rsidRPr="00B26E25">
        <w:rPr>
          <w:i/>
          <w:szCs w:val="24"/>
          <w:lang w:val="fr-CA"/>
        </w:rPr>
        <w:t>Stud</w:t>
      </w:r>
      <w:r w:rsidRPr="00B26E25">
        <w:rPr>
          <w:i/>
          <w:szCs w:val="24"/>
          <w:lang w:val="fr-CA"/>
        </w:rPr>
        <w:t>.</w:t>
      </w:r>
      <w:r w:rsidRPr="00B26E25">
        <w:rPr>
          <w:szCs w:val="24"/>
          <w:lang w:val="fr-CA"/>
        </w:rPr>
        <w:t xml:space="preserve"> 31.</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Langevin, Louise.  </w:t>
      </w:r>
      <w:r w:rsidR="00E324A9" w:rsidRPr="00B26E25">
        <w:rPr>
          <w:szCs w:val="24"/>
          <w:lang w:val="fr-CA"/>
        </w:rPr>
        <w:t>“</w:t>
      </w:r>
      <w:r w:rsidRPr="00B26E25">
        <w:rPr>
          <w:szCs w:val="24"/>
          <w:lang w:val="fr-CA"/>
        </w:rPr>
        <w:t>Liberté de choix et protection juridique des conjoints de fait en cas de rupture:</w:t>
      </w:r>
      <w:r w:rsidR="00E324A9" w:rsidRPr="00B26E25">
        <w:rPr>
          <w:szCs w:val="24"/>
          <w:lang w:val="fr-CA"/>
        </w:rPr>
        <w:t xml:space="preserve"> </w:t>
      </w:r>
      <w:r w:rsidRPr="00B26E25">
        <w:rPr>
          <w:szCs w:val="24"/>
          <w:lang w:val="fr-CA"/>
        </w:rPr>
        <w:t xml:space="preserve"> difficile exercice de jonglerie</w:t>
      </w:r>
      <w:r w:rsidR="00E324A9" w:rsidRPr="00B26E25">
        <w:rPr>
          <w:szCs w:val="24"/>
          <w:lang w:val="fr-CA"/>
        </w:rPr>
        <w:t>”</w:t>
      </w:r>
      <w:r w:rsidRPr="00B26E25">
        <w:rPr>
          <w:szCs w:val="24"/>
          <w:lang w:val="fr-CA"/>
        </w:rPr>
        <w:t xml:space="preserve"> (2009), 54 </w:t>
      </w:r>
      <w:r w:rsidRPr="00B26E25">
        <w:rPr>
          <w:i/>
          <w:szCs w:val="24"/>
          <w:lang w:val="fr-CA"/>
        </w:rPr>
        <w:t>McGill</w:t>
      </w:r>
      <w:r w:rsidR="00E324A9" w:rsidRPr="00B26E25">
        <w:rPr>
          <w:i/>
          <w:szCs w:val="24"/>
          <w:lang w:val="fr-CA"/>
        </w:rPr>
        <w:t xml:space="preserve"> L.J.</w:t>
      </w:r>
      <w:r w:rsidRPr="00B26E25">
        <w:rPr>
          <w:szCs w:val="24"/>
          <w:lang w:val="fr-CA"/>
        </w:rPr>
        <w:t xml:space="preserve"> 697.</w:t>
      </w:r>
    </w:p>
    <w:p w:rsidR="00EF22D0" w:rsidRPr="00B26E25" w:rsidRDefault="00EF22D0" w:rsidP="002E737F">
      <w:pPr>
        <w:pStyle w:val="SCCNormalDoubleSpacing"/>
        <w:spacing w:after="240" w:line="240" w:lineRule="auto"/>
        <w:ind w:left="540" w:hanging="540"/>
        <w:rPr>
          <w:szCs w:val="24"/>
          <w:lang w:val="fr-CA"/>
        </w:rPr>
      </w:pPr>
      <w:r w:rsidRPr="00B26E25">
        <w:rPr>
          <w:szCs w:val="24"/>
          <w:lang w:val="fr-CA"/>
        </w:rPr>
        <w:t xml:space="preserve">Leckey, </w:t>
      </w:r>
      <w:r w:rsidR="00222C08" w:rsidRPr="00B26E25">
        <w:rPr>
          <w:szCs w:val="24"/>
          <w:lang w:val="fr-CA"/>
        </w:rPr>
        <w:t xml:space="preserve">Robert.  </w:t>
      </w:r>
      <w:r w:rsidRPr="00B26E25">
        <w:rPr>
          <w:szCs w:val="24"/>
          <w:lang w:val="fr-CA"/>
        </w:rPr>
        <w:t xml:space="preserve">“Chosen Discrimination” (2002), 18 </w:t>
      </w:r>
      <w:r w:rsidRPr="00B26E25">
        <w:rPr>
          <w:i/>
          <w:szCs w:val="24"/>
          <w:lang w:val="fr-CA"/>
        </w:rPr>
        <w:t>S.C.L.R.</w:t>
      </w:r>
      <w:r w:rsidRPr="00B26E25">
        <w:rPr>
          <w:szCs w:val="24"/>
          <w:lang w:val="fr-CA"/>
        </w:rPr>
        <w:t xml:space="preserve"> (2d) 445.</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fr-CA"/>
        </w:rPr>
        <w:t>Lefebvre, Brigitte.  “L</w:t>
      </w:r>
      <w:r w:rsidR="00C7175C" w:rsidRPr="00B26E25">
        <w:rPr>
          <w:szCs w:val="24"/>
          <w:lang w:val="fr-CA"/>
        </w:rPr>
        <w:t>’</w:t>
      </w:r>
      <w:r w:rsidRPr="00B26E25">
        <w:rPr>
          <w:szCs w:val="24"/>
          <w:lang w:val="fr-CA"/>
        </w:rPr>
        <w:t>évolution de la notion de conjoint en droit québécois”, dans Pierre</w:t>
      </w:r>
      <w:r w:rsidR="00C7175C" w:rsidRPr="00B26E25">
        <w:rPr>
          <w:szCs w:val="24"/>
          <w:lang w:val="fr-CA"/>
        </w:rPr>
        <w:noBreakHyphen/>
      </w:r>
      <w:r w:rsidRPr="00B26E25">
        <w:rPr>
          <w:szCs w:val="24"/>
          <w:lang w:val="fr-CA"/>
        </w:rPr>
        <w:t xml:space="preserve">Claude Lafond et Brigitte Lefebvre, dir., </w:t>
      </w:r>
      <w:r w:rsidRPr="00B26E25">
        <w:rPr>
          <w:i/>
          <w:szCs w:val="24"/>
          <w:lang w:val="fr-CA"/>
        </w:rPr>
        <w:t>L</w:t>
      </w:r>
      <w:r w:rsidR="00C7175C" w:rsidRPr="00B26E25">
        <w:rPr>
          <w:i/>
          <w:szCs w:val="24"/>
          <w:lang w:val="fr-CA"/>
        </w:rPr>
        <w:t>’</w:t>
      </w:r>
      <w:r w:rsidRPr="00B26E25">
        <w:rPr>
          <w:i/>
          <w:szCs w:val="24"/>
          <w:lang w:val="fr-CA"/>
        </w:rPr>
        <w:t>union civile:  nouveaux modèles de conjugalité et de parentalité au 21</w:t>
      </w:r>
      <w:r w:rsidRPr="00B26E25">
        <w:rPr>
          <w:i/>
          <w:szCs w:val="24"/>
          <w:vertAlign w:val="superscript"/>
          <w:lang w:val="fr-CA"/>
        </w:rPr>
        <w:t>e</w:t>
      </w:r>
      <w:r w:rsidRPr="00B26E25">
        <w:rPr>
          <w:i/>
          <w:szCs w:val="24"/>
          <w:lang w:val="fr-CA"/>
        </w:rPr>
        <w:t xml:space="preserve"> siècle</w:t>
      </w:r>
      <w:r w:rsidRPr="00B26E25">
        <w:rPr>
          <w:szCs w:val="24"/>
          <w:lang w:val="fr-CA"/>
        </w:rPr>
        <w:t xml:space="preserve">.  </w:t>
      </w:r>
      <w:r w:rsidRPr="00B26E25">
        <w:rPr>
          <w:szCs w:val="24"/>
          <w:lang w:val="en-US"/>
        </w:rPr>
        <w:t>Cowansville, Qué.:  Yvon Blais, 2003, 3.</w:t>
      </w:r>
    </w:p>
    <w:p w:rsidR="00EA7841" w:rsidRPr="00B26E25" w:rsidRDefault="00EA7841" w:rsidP="002E737F">
      <w:pPr>
        <w:pStyle w:val="SCCNormalDoubleSpacing"/>
        <w:spacing w:after="240" w:line="240" w:lineRule="auto"/>
        <w:ind w:left="540" w:hanging="540"/>
        <w:rPr>
          <w:szCs w:val="24"/>
          <w:lang w:val="fr-CA"/>
        </w:rPr>
      </w:pPr>
      <w:r w:rsidRPr="00B26E25">
        <w:rPr>
          <w:szCs w:val="24"/>
          <w:lang w:val="en-US"/>
        </w:rPr>
        <w:t xml:space="preserve">Manitoba.  Law Reform Commission.  </w:t>
      </w:r>
      <w:r w:rsidRPr="00B26E25">
        <w:rPr>
          <w:i/>
          <w:szCs w:val="24"/>
          <w:lang w:val="en-US"/>
        </w:rPr>
        <w:t>Reports on Family Law</w:t>
      </w:r>
      <w:r w:rsidRPr="00B26E25">
        <w:rPr>
          <w:szCs w:val="24"/>
          <w:lang w:val="en-US"/>
        </w:rPr>
        <w:t xml:space="preserve">, Part I </w:t>
      </w:r>
      <w:r w:rsidR="00E62177" w:rsidRPr="00B26E25">
        <w:rPr>
          <w:szCs w:val="24"/>
          <w:lang w:val="en-US"/>
        </w:rPr>
        <w:t>—</w:t>
      </w:r>
      <w:r w:rsidRPr="00B26E25">
        <w:rPr>
          <w:szCs w:val="24"/>
          <w:lang w:val="en-US"/>
        </w:rPr>
        <w:t xml:space="preserve"> </w:t>
      </w:r>
      <w:r w:rsidRPr="00B26E25">
        <w:rPr>
          <w:i/>
          <w:szCs w:val="24"/>
          <w:lang w:val="en-US"/>
        </w:rPr>
        <w:t>The Support Obligation</w:t>
      </w:r>
      <w:r w:rsidRPr="00B26E25">
        <w:rPr>
          <w:szCs w:val="24"/>
          <w:lang w:val="en-US"/>
        </w:rPr>
        <w:t xml:space="preserve">, Report #23.  </w:t>
      </w:r>
      <w:r w:rsidRPr="00B26E25">
        <w:rPr>
          <w:szCs w:val="24"/>
          <w:lang w:val="fr-CA"/>
        </w:rPr>
        <w:t>Winnipeg:  The Commission, 1976.</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Massé, Sylvie.  </w:t>
      </w:r>
      <w:r w:rsidR="00E324A9" w:rsidRPr="00B26E25">
        <w:rPr>
          <w:szCs w:val="24"/>
          <w:lang w:val="fr-CA"/>
        </w:rPr>
        <w:t>“</w:t>
      </w:r>
      <w:r w:rsidRPr="00B26E25">
        <w:rPr>
          <w:szCs w:val="24"/>
          <w:lang w:val="fr-CA"/>
        </w:rPr>
        <w:t>Les régimes matrimoniaux au Canada — Analyse comparative des législations provinciales</w:t>
      </w:r>
      <w:r w:rsidR="00E324A9" w:rsidRPr="00B26E25">
        <w:rPr>
          <w:szCs w:val="24"/>
          <w:lang w:val="fr-CA"/>
        </w:rPr>
        <w:t>”</w:t>
      </w:r>
      <w:r w:rsidRPr="00B26E25">
        <w:rPr>
          <w:szCs w:val="24"/>
          <w:lang w:val="fr-CA"/>
        </w:rPr>
        <w:t xml:space="preserve"> (1985), 88 </w:t>
      </w:r>
      <w:r w:rsidRPr="00B26E25">
        <w:rPr>
          <w:i/>
          <w:szCs w:val="24"/>
          <w:lang w:val="fr-CA"/>
        </w:rPr>
        <w:t>R. du N.</w:t>
      </w:r>
      <w:r w:rsidRPr="00B26E25">
        <w:rPr>
          <w:szCs w:val="24"/>
          <w:lang w:val="fr-CA"/>
        </w:rPr>
        <w:t xml:space="preserve"> 103.</w:t>
      </w:r>
    </w:p>
    <w:p w:rsidR="001364FB" w:rsidRPr="00B26E25" w:rsidRDefault="00E324A9" w:rsidP="002E737F">
      <w:pPr>
        <w:pStyle w:val="SCCNormalDoubleSpacing"/>
        <w:spacing w:after="240" w:line="240" w:lineRule="auto"/>
        <w:ind w:left="540" w:hanging="540"/>
        <w:rPr>
          <w:szCs w:val="24"/>
          <w:lang w:val="fr-CA"/>
        </w:rPr>
      </w:pPr>
      <w:r w:rsidRPr="00B26E25">
        <w:rPr>
          <w:szCs w:val="24"/>
          <w:lang w:val="en-US"/>
        </w:rPr>
        <w:t>McIntyre, Sheila.  “Deference and Dominance</w:t>
      </w:r>
      <w:r w:rsidR="001364FB" w:rsidRPr="00B26E25">
        <w:rPr>
          <w:szCs w:val="24"/>
          <w:lang w:val="en-US"/>
        </w:rPr>
        <w:t>:</w:t>
      </w:r>
      <w:r w:rsidRPr="00B26E25">
        <w:rPr>
          <w:szCs w:val="24"/>
          <w:lang w:val="en-US"/>
        </w:rPr>
        <w:t xml:space="preserve"> </w:t>
      </w:r>
      <w:r w:rsidR="001364FB" w:rsidRPr="00B26E25">
        <w:rPr>
          <w:szCs w:val="24"/>
          <w:lang w:val="en-US"/>
        </w:rPr>
        <w:t xml:space="preserve"> Equality Without Substance</w:t>
      </w:r>
      <w:r w:rsidRPr="00B26E25">
        <w:rPr>
          <w:szCs w:val="24"/>
          <w:lang w:val="en-US"/>
        </w:rPr>
        <w:t>”,</w:t>
      </w:r>
      <w:r w:rsidR="001364FB" w:rsidRPr="00B26E25">
        <w:rPr>
          <w:szCs w:val="24"/>
          <w:lang w:val="en-US"/>
        </w:rPr>
        <w:t xml:space="preserve"> in Sheila McIntyre and Sanda Rodgers, </w:t>
      </w:r>
      <w:r w:rsidR="00282024" w:rsidRPr="00B26E25">
        <w:rPr>
          <w:szCs w:val="24"/>
          <w:lang w:val="en-US"/>
        </w:rPr>
        <w:t xml:space="preserve">eds., </w:t>
      </w:r>
      <w:r w:rsidR="001364FB" w:rsidRPr="00B26E25">
        <w:rPr>
          <w:i/>
          <w:szCs w:val="24"/>
          <w:lang w:val="en-US"/>
        </w:rPr>
        <w:t>Diminishing Returns</w:t>
      </w:r>
      <w:r w:rsidR="00282024" w:rsidRPr="00B26E25">
        <w:rPr>
          <w:i/>
          <w:szCs w:val="24"/>
          <w:lang w:val="en-US"/>
        </w:rPr>
        <w:t>:  Inequality and the Canadian Charter of Rights and Freedoms</w:t>
      </w:r>
      <w:r w:rsidR="00282024" w:rsidRPr="00B26E25">
        <w:rPr>
          <w:szCs w:val="24"/>
          <w:lang w:val="en-US"/>
        </w:rPr>
        <w:t xml:space="preserve">. </w:t>
      </w:r>
      <w:r w:rsidR="001364FB" w:rsidRPr="00B26E25">
        <w:rPr>
          <w:szCs w:val="24"/>
          <w:lang w:val="en-US"/>
        </w:rPr>
        <w:t xml:space="preserve"> </w:t>
      </w:r>
      <w:r w:rsidR="00282024" w:rsidRPr="00B26E25">
        <w:rPr>
          <w:szCs w:val="24"/>
          <w:lang w:val="fr-CA"/>
        </w:rPr>
        <w:t>Markham, Ont.:  LexisNexis Canada, 2006, 95</w:t>
      </w:r>
      <w:r w:rsidR="001364FB" w:rsidRPr="00B26E25">
        <w:rPr>
          <w:szCs w:val="24"/>
          <w:lang w:val="fr-CA"/>
        </w:rPr>
        <w:t>.</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Mignault, Pierre</w:t>
      </w:r>
      <w:r w:rsidR="00C7175C" w:rsidRPr="00B26E25">
        <w:rPr>
          <w:szCs w:val="24"/>
          <w:lang w:val="fr-CA"/>
        </w:rPr>
        <w:noBreakHyphen/>
      </w:r>
      <w:r w:rsidRPr="00B26E25">
        <w:rPr>
          <w:szCs w:val="24"/>
          <w:lang w:val="fr-CA"/>
        </w:rPr>
        <w:t xml:space="preserve">Basile.  </w:t>
      </w:r>
      <w:r w:rsidRPr="00B26E25">
        <w:rPr>
          <w:i/>
          <w:szCs w:val="24"/>
          <w:lang w:val="fr-CA"/>
        </w:rPr>
        <w:t>Le droit civil canadien</w:t>
      </w:r>
      <w:r w:rsidRPr="00B26E25">
        <w:rPr>
          <w:szCs w:val="24"/>
          <w:lang w:val="fr-CA"/>
        </w:rPr>
        <w:t>, t. 6.  Montréal:</w:t>
      </w:r>
      <w:r w:rsidR="00E324A9" w:rsidRPr="00B26E25">
        <w:rPr>
          <w:szCs w:val="24"/>
          <w:lang w:val="fr-CA"/>
        </w:rPr>
        <w:t xml:space="preserve"> </w:t>
      </w:r>
      <w:r w:rsidRPr="00B26E25">
        <w:rPr>
          <w:szCs w:val="24"/>
          <w:lang w:val="fr-CA"/>
        </w:rPr>
        <w:t xml:space="preserve"> </w:t>
      </w:r>
      <w:r w:rsidR="00FA3C42" w:rsidRPr="00B26E25">
        <w:rPr>
          <w:szCs w:val="24"/>
          <w:lang w:val="fr-CA"/>
        </w:rPr>
        <w:t>C. </w:t>
      </w:r>
      <w:r w:rsidRPr="00B26E25">
        <w:rPr>
          <w:szCs w:val="24"/>
          <w:lang w:val="fr-CA"/>
        </w:rPr>
        <w:t>Théoret, 1902.</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Moore, Benoît.  </w:t>
      </w:r>
      <w:r w:rsidR="00E324A9" w:rsidRPr="00B26E25">
        <w:rPr>
          <w:szCs w:val="24"/>
          <w:lang w:val="fr-CA"/>
        </w:rPr>
        <w:t>“</w:t>
      </w:r>
      <w:r w:rsidRPr="00B26E25">
        <w:rPr>
          <w:szCs w:val="24"/>
          <w:lang w:val="fr-CA"/>
        </w:rPr>
        <w:t>Culture et droit de la famille:</w:t>
      </w:r>
      <w:r w:rsidR="00E324A9" w:rsidRPr="00B26E25">
        <w:rPr>
          <w:szCs w:val="24"/>
          <w:lang w:val="fr-CA"/>
        </w:rPr>
        <w:t xml:space="preserve"> </w:t>
      </w:r>
      <w:r w:rsidRPr="00B26E25">
        <w:rPr>
          <w:szCs w:val="24"/>
          <w:lang w:val="fr-CA"/>
        </w:rPr>
        <w:t xml:space="preserve"> de l</w:t>
      </w:r>
      <w:r w:rsidR="00C7175C" w:rsidRPr="00B26E25">
        <w:rPr>
          <w:szCs w:val="24"/>
          <w:lang w:val="fr-CA"/>
        </w:rPr>
        <w:t>’</w:t>
      </w:r>
      <w:r w:rsidRPr="00B26E25">
        <w:rPr>
          <w:szCs w:val="24"/>
          <w:lang w:val="fr-CA"/>
        </w:rPr>
        <w:t>institution à l</w:t>
      </w:r>
      <w:r w:rsidR="00C7175C" w:rsidRPr="00B26E25">
        <w:rPr>
          <w:szCs w:val="24"/>
          <w:lang w:val="fr-CA"/>
        </w:rPr>
        <w:t>’</w:t>
      </w:r>
      <w:r w:rsidRPr="00B26E25">
        <w:rPr>
          <w:szCs w:val="24"/>
          <w:lang w:val="fr-CA"/>
        </w:rPr>
        <w:t>autonomie individuelle</w:t>
      </w:r>
      <w:r w:rsidR="00E324A9" w:rsidRPr="00B26E25">
        <w:rPr>
          <w:szCs w:val="24"/>
          <w:lang w:val="fr-CA"/>
        </w:rPr>
        <w:t>”</w:t>
      </w:r>
      <w:r w:rsidRPr="00B26E25">
        <w:rPr>
          <w:szCs w:val="24"/>
          <w:lang w:val="fr-CA"/>
        </w:rPr>
        <w:t xml:space="preserve"> (2009), 54 </w:t>
      </w:r>
      <w:r w:rsidRPr="00B26E25">
        <w:rPr>
          <w:i/>
          <w:szCs w:val="24"/>
          <w:lang w:val="fr-CA"/>
        </w:rPr>
        <w:t>McGill</w:t>
      </w:r>
      <w:r w:rsidR="00E324A9" w:rsidRPr="00B26E25">
        <w:rPr>
          <w:i/>
          <w:szCs w:val="24"/>
          <w:lang w:val="fr-CA"/>
        </w:rPr>
        <w:t xml:space="preserve"> L.J.</w:t>
      </w:r>
      <w:r w:rsidRPr="00B26E25">
        <w:rPr>
          <w:szCs w:val="24"/>
          <w:lang w:val="fr-CA"/>
        </w:rPr>
        <w:t xml:space="preserve"> 257.</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Moreau, Sophia.  </w:t>
      </w:r>
      <w:r w:rsidR="00E324A9" w:rsidRPr="00B26E25">
        <w:rPr>
          <w:szCs w:val="24"/>
          <w:lang w:val="en-US"/>
        </w:rPr>
        <w:t>“</w:t>
      </w:r>
      <w:r w:rsidRPr="00B26E25">
        <w:rPr>
          <w:i/>
          <w:szCs w:val="24"/>
          <w:lang w:val="en-US"/>
        </w:rPr>
        <w:t>R. v. Kapp</w:t>
      </w:r>
      <w:r w:rsidRPr="00B26E25">
        <w:rPr>
          <w:szCs w:val="24"/>
          <w:lang w:val="en-US"/>
        </w:rPr>
        <w:t>:</w:t>
      </w:r>
      <w:r w:rsidR="00E324A9" w:rsidRPr="00B26E25">
        <w:rPr>
          <w:szCs w:val="24"/>
          <w:lang w:val="en-US"/>
        </w:rPr>
        <w:t xml:space="preserve"> </w:t>
      </w:r>
      <w:r w:rsidRPr="00B26E25">
        <w:rPr>
          <w:szCs w:val="24"/>
          <w:lang w:val="en-US"/>
        </w:rPr>
        <w:t xml:space="preserve"> New Directions for Section 15</w:t>
      </w:r>
      <w:r w:rsidR="00E324A9" w:rsidRPr="00B26E25">
        <w:rPr>
          <w:szCs w:val="24"/>
          <w:lang w:val="en-US"/>
        </w:rPr>
        <w:t>”</w:t>
      </w:r>
      <w:r w:rsidRPr="00B26E25">
        <w:rPr>
          <w:szCs w:val="24"/>
          <w:lang w:val="en-US"/>
        </w:rPr>
        <w:t xml:space="preserve"> (2008</w:t>
      </w:r>
      <w:r w:rsidR="00C7175C" w:rsidRPr="00B26E25">
        <w:rPr>
          <w:szCs w:val="24"/>
          <w:lang w:val="en-US"/>
        </w:rPr>
        <w:noBreakHyphen/>
      </w:r>
      <w:r w:rsidRPr="00B26E25">
        <w:rPr>
          <w:szCs w:val="24"/>
          <w:lang w:val="en-US"/>
        </w:rPr>
        <w:t xml:space="preserve">2009), 40 </w:t>
      </w:r>
      <w:r w:rsidRPr="00B26E25">
        <w:rPr>
          <w:i/>
          <w:szCs w:val="24"/>
          <w:lang w:val="en-US"/>
        </w:rPr>
        <w:t>Ottawa</w:t>
      </w:r>
      <w:r w:rsidR="00E324A9" w:rsidRPr="00B26E25">
        <w:rPr>
          <w:i/>
          <w:szCs w:val="24"/>
          <w:lang w:val="en-US"/>
        </w:rPr>
        <w:t xml:space="preserve"> L. Rev.</w:t>
      </w:r>
      <w:r w:rsidRPr="00B26E25">
        <w:rPr>
          <w:szCs w:val="24"/>
          <w:lang w:val="en-US"/>
        </w:rPr>
        <w:t xml:space="preserve"> 283.</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Moreau, Sophia.  </w:t>
      </w:r>
      <w:r w:rsidR="00E324A9" w:rsidRPr="00B26E25">
        <w:rPr>
          <w:szCs w:val="24"/>
          <w:lang w:val="en-US"/>
        </w:rPr>
        <w:t>“</w:t>
      </w:r>
      <w:r w:rsidRPr="00B26E25">
        <w:rPr>
          <w:szCs w:val="24"/>
          <w:lang w:val="en-US"/>
        </w:rPr>
        <w:t xml:space="preserve">The Promise of </w:t>
      </w:r>
      <w:r w:rsidRPr="00B26E25">
        <w:rPr>
          <w:i/>
          <w:szCs w:val="24"/>
          <w:lang w:val="en-US"/>
        </w:rPr>
        <w:t>Law v. Canada</w:t>
      </w:r>
      <w:r w:rsidR="00E324A9" w:rsidRPr="00B26E25">
        <w:rPr>
          <w:szCs w:val="24"/>
          <w:lang w:val="en-US"/>
        </w:rPr>
        <w:t>”</w:t>
      </w:r>
      <w:r w:rsidRPr="00B26E25">
        <w:rPr>
          <w:szCs w:val="24"/>
          <w:lang w:val="en-US"/>
        </w:rPr>
        <w:t xml:space="preserve"> (2007), 57 </w:t>
      </w:r>
      <w:r w:rsidRPr="00B26E25">
        <w:rPr>
          <w:i/>
          <w:szCs w:val="24"/>
          <w:lang w:val="en-US"/>
        </w:rPr>
        <w:t>U.T.L.J.</w:t>
      </w:r>
      <w:r w:rsidRPr="00B26E25">
        <w:rPr>
          <w:szCs w:val="24"/>
          <w:lang w:val="en-US"/>
        </w:rPr>
        <w:t xml:space="preserve"> 415.</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Moreau, Sophia R.  </w:t>
      </w:r>
      <w:r w:rsidR="00E324A9" w:rsidRPr="00B26E25">
        <w:rPr>
          <w:szCs w:val="24"/>
          <w:lang w:val="en-US"/>
        </w:rPr>
        <w:t>“</w:t>
      </w:r>
      <w:r w:rsidRPr="00B26E25">
        <w:rPr>
          <w:szCs w:val="24"/>
          <w:lang w:val="en-US"/>
        </w:rPr>
        <w:t>The Wrongs of Unequal Treatment</w:t>
      </w:r>
      <w:r w:rsidR="00E324A9" w:rsidRPr="00B26E25">
        <w:rPr>
          <w:szCs w:val="24"/>
          <w:lang w:val="en-US"/>
        </w:rPr>
        <w:t>”</w:t>
      </w:r>
      <w:r w:rsidRPr="00B26E25">
        <w:rPr>
          <w:szCs w:val="24"/>
          <w:lang w:val="en-US"/>
        </w:rPr>
        <w:t xml:space="preserve"> (2004), 54 </w:t>
      </w:r>
      <w:r w:rsidRPr="00B26E25">
        <w:rPr>
          <w:i/>
          <w:szCs w:val="24"/>
          <w:lang w:val="en-US"/>
        </w:rPr>
        <w:t>U.T.L.J.</w:t>
      </w:r>
      <w:r w:rsidRPr="00B26E25">
        <w:rPr>
          <w:szCs w:val="24"/>
          <w:lang w:val="en-US"/>
        </w:rPr>
        <w:t xml:space="preserve"> 291.</w:t>
      </w:r>
    </w:p>
    <w:p w:rsidR="00EA7841" w:rsidRPr="00B26E25" w:rsidRDefault="00EA7841" w:rsidP="002E737F">
      <w:pPr>
        <w:pStyle w:val="SCCNormalDoubleSpacing"/>
        <w:spacing w:after="240" w:line="240" w:lineRule="auto"/>
        <w:ind w:left="540" w:hanging="540"/>
        <w:rPr>
          <w:szCs w:val="24"/>
          <w:lang w:val="en-US"/>
        </w:rPr>
      </w:pPr>
      <w:r w:rsidRPr="00B26E25">
        <w:rPr>
          <w:szCs w:val="24"/>
          <w:lang w:val="en-US"/>
        </w:rPr>
        <w:t xml:space="preserve">Nova Scotia.  Law Reform Commission.  </w:t>
      </w:r>
      <w:r w:rsidRPr="00B26E25">
        <w:rPr>
          <w:i/>
          <w:szCs w:val="24"/>
          <w:lang w:val="en-US"/>
        </w:rPr>
        <w:t>Final Report:  Reform of the Law Dealing with Matrimonial Property in Nova Scotia</w:t>
      </w:r>
      <w:r w:rsidRPr="00B26E25">
        <w:rPr>
          <w:szCs w:val="24"/>
          <w:lang w:val="en-US"/>
        </w:rPr>
        <w:t>.  Halifax:  The Commission, 1997.</w:t>
      </w:r>
    </w:p>
    <w:p w:rsidR="00EA7841" w:rsidRPr="00B26E25" w:rsidRDefault="00EA7841" w:rsidP="002E737F">
      <w:pPr>
        <w:pStyle w:val="SCCNormalDoubleSpacing"/>
        <w:spacing w:after="240" w:line="240" w:lineRule="auto"/>
        <w:ind w:left="540" w:hanging="540"/>
        <w:rPr>
          <w:szCs w:val="24"/>
          <w:lang w:val="en-US"/>
        </w:rPr>
      </w:pPr>
      <w:r w:rsidRPr="00B26E25">
        <w:rPr>
          <w:szCs w:val="24"/>
          <w:lang w:val="en-US"/>
        </w:rPr>
        <w:t xml:space="preserve">Ontario.  Law Reform Commission.  </w:t>
      </w:r>
      <w:r w:rsidRPr="00B26E25">
        <w:rPr>
          <w:i/>
          <w:szCs w:val="24"/>
          <w:lang w:val="en-US"/>
        </w:rPr>
        <w:t>Report on the Rights and Responsibilities of Cohabitants under the Family Law Act</w:t>
      </w:r>
      <w:r w:rsidRPr="00B26E25">
        <w:rPr>
          <w:szCs w:val="24"/>
          <w:lang w:val="en-US"/>
        </w:rPr>
        <w:t>.  Toronto:  The Commission, 1993.</w:t>
      </w:r>
    </w:p>
    <w:p w:rsidR="00EA7841" w:rsidRPr="004438A8" w:rsidRDefault="00EA7841" w:rsidP="002E737F">
      <w:pPr>
        <w:pStyle w:val="SCCNormalDoubleSpacing"/>
        <w:spacing w:after="240" w:line="240" w:lineRule="auto"/>
        <w:ind w:left="540" w:hanging="540"/>
        <w:rPr>
          <w:szCs w:val="24"/>
          <w:lang w:val="fr-CA"/>
        </w:rPr>
      </w:pPr>
      <w:r w:rsidRPr="00B26E25">
        <w:rPr>
          <w:szCs w:val="24"/>
          <w:lang w:val="en-US"/>
        </w:rPr>
        <w:t>Ontario.  Ministry of the Attorney Gener</w:t>
      </w:r>
      <w:r w:rsidR="00C7175C" w:rsidRPr="00B26E25">
        <w:rPr>
          <w:szCs w:val="24"/>
          <w:lang w:val="en-US"/>
        </w:rPr>
        <w:t>al. </w:t>
      </w:r>
      <w:r w:rsidRPr="00B26E25">
        <w:rPr>
          <w:szCs w:val="24"/>
          <w:lang w:val="en-US"/>
        </w:rPr>
        <w:t xml:space="preserve"> </w:t>
      </w:r>
      <w:r w:rsidRPr="00B26E25">
        <w:rPr>
          <w:i/>
          <w:szCs w:val="24"/>
          <w:lang w:val="en-US"/>
        </w:rPr>
        <w:t>Family Law Reform</w:t>
      </w:r>
      <w:r w:rsidRPr="00B26E25">
        <w:rPr>
          <w:szCs w:val="24"/>
          <w:lang w:val="en-US"/>
        </w:rPr>
        <w:t xml:space="preserve">.  </w:t>
      </w:r>
      <w:r w:rsidRPr="004438A8">
        <w:rPr>
          <w:szCs w:val="24"/>
          <w:lang w:val="fr-CA"/>
        </w:rPr>
        <w:t>Toronto:  The Ministry, 1976.</w:t>
      </w:r>
    </w:p>
    <w:p w:rsidR="00A07248" w:rsidRPr="00B26E25" w:rsidRDefault="00A07248" w:rsidP="002E737F">
      <w:pPr>
        <w:pStyle w:val="SCCNormalDoubleSpacing"/>
        <w:spacing w:after="240" w:line="240" w:lineRule="auto"/>
        <w:ind w:left="540" w:hanging="540"/>
        <w:rPr>
          <w:szCs w:val="24"/>
          <w:lang w:val="fr-FR"/>
        </w:rPr>
      </w:pPr>
      <w:r w:rsidRPr="00B26E25">
        <w:rPr>
          <w:szCs w:val="24"/>
          <w:lang w:val="fr-FR"/>
        </w:rPr>
        <w:t xml:space="preserve">Pineau, Jean, et Danielle Burman.  </w:t>
      </w:r>
      <w:r w:rsidRPr="00B26E25">
        <w:rPr>
          <w:i/>
          <w:szCs w:val="24"/>
          <w:lang w:val="fr-FR"/>
        </w:rPr>
        <w:t>Effets du mariage et régimes matrimoniaux</w:t>
      </w:r>
      <w:r w:rsidRPr="00B26E25">
        <w:rPr>
          <w:szCs w:val="24"/>
          <w:lang w:val="fr-FR"/>
        </w:rPr>
        <w:t>. Montréal:  Thémis, 1984.</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Pineau, Jean, et Marie Pratte.  </w:t>
      </w:r>
      <w:r w:rsidRPr="00B26E25">
        <w:rPr>
          <w:i/>
          <w:szCs w:val="24"/>
          <w:lang w:val="fr-CA"/>
        </w:rPr>
        <w:t>La famille</w:t>
      </w:r>
      <w:r w:rsidRPr="00B26E25">
        <w:rPr>
          <w:szCs w:val="24"/>
          <w:lang w:val="fr-CA"/>
        </w:rPr>
        <w:t>.  Montréal:</w:t>
      </w:r>
      <w:r w:rsidR="00E324A9" w:rsidRPr="00B26E25">
        <w:rPr>
          <w:szCs w:val="24"/>
          <w:lang w:val="fr-CA"/>
        </w:rPr>
        <w:t xml:space="preserve"> </w:t>
      </w:r>
      <w:r w:rsidRPr="00B26E25">
        <w:rPr>
          <w:szCs w:val="24"/>
          <w:lang w:val="fr-CA"/>
        </w:rPr>
        <w:t xml:space="preserve"> Thémis, 2006.</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Proulx, Daniel.  </w:t>
      </w:r>
      <w:r w:rsidR="00E324A9" w:rsidRPr="00B26E25">
        <w:rPr>
          <w:szCs w:val="24"/>
          <w:lang w:val="fr-CA"/>
        </w:rPr>
        <w:t>“</w:t>
      </w:r>
      <w:r w:rsidRPr="00B26E25">
        <w:rPr>
          <w:szCs w:val="24"/>
          <w:lang w:val="fr-CA"/>
        </w:rPr>
        <w:t>Le concept de dignité et son usage en contexte de discrimination: deux Chartes, deux modèles</w:t>
      </w:r>
      <w:r w:rsidR="00E324A9" w:rsidRPr="00B26E25">
        <w:rPr>
          <w:szCs w:val="24"/>
          <w:lang w:val="fr-CA"/>
        </w:rPr>
        <w:t>”</w:t>
      </w:r>
      <w:r w:rsidRPr="00B26E25">
        <w:rPr>
          <w:szCs w:val="24"/>
          <w:lang w:val="fr-CA"/>
        </w:rPr>
        <w:t xml:space="preserve">, [2003] </w:t>
      </w:r>
      <w:r w:rsidRPr="00B26E25">
        <w:rPr>
          <w:i/>
          <w:szCs w:val="24"/>
          <w:lang w:val="fr-CA"/>
        </w:rPr>
        <w:t>R. du B.</w:t>
      </w:r>
      <w:r w:rsidRPr="00B26E25">
        <w:rPr>
          <w:szCs w:val="24"/>
          <w:lang w:val="fr-CA"/>
        </w:rPr>
        <w:t xml:space="preserve"> (numéro spécial) 485.</w:t>
      </w:r>
    </w:p>
    <w:p w:rsidR="00FB069D" w:rsidRPr="00B26E25" w:rsidRDefault="00FB069D"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 xml:space="preserve">bec.  Assemblée nationale.  Commission permanente des institutions.  </w:t>
      </w:r>
      <w:r w:rsidRPr="00B26E25">
        <w:rPr>
          <w:i/>
          <w:szCs w:val="24"/>
          <w:lang w:val="fr-CA"/>
        </w:rPr>
        <w:t>Journal des débats</w:t>
      </w:r>
      <w:r w:rsidRPr="00B26E25">
        <w:rPr>
          <w:szCs w:val="24"/>
          <w:lang w:val="fr-CA"/>
        </w:rPr>
        <w:t xml:space="preserve">, </w:t>
      </w:r>
      <w:r w:rsidR="00C7175C" w:rsidRPr="00B26E25">
        <w:rPr>
          <w:szCs w:val="24"/>
          <w:lang w:val="fr-CA"/>
        </w:rPr>
        <w:t>vol. </w:t>
      </w:r>
      <w:r w:rsidRPr="00B26E25">
        <w:rPr>
          <w:szCs w:val="24"/>
          <w:lang w:val="fr-CA"/>
        </w:rPr>
        <w:t>37, n</w:t>
      </w:r>
      <w:r w:rsidRPr="00B26E25">
        <w:rPr>
          <w:szCs w:val="24"/>
          <w:vertAlign w:val="superscript"/>
          <w:lang w:val="fr-CA"/>
        </w:rPr>
        <w:t>o</w:t>
      </w:r>
      <w:r w:rsidRPr="00B26E25">
        <w:rPr>
          <w:szCs w:val="24"/>
          <w:lang w:val="fr-CA"/>
        </w:rPr>
        <w:t xml:space="preserve"> 46, 2</w:t>
      </w:r>
      <w:r w:rsidRPr="00B26E25">
        <w:rPr>
          <w:szCs w:val="24"/>
          <w:vertAlign w:val="superscript"/>
          <w:lang w:val="fr-CA"/>
        </w:rPr>
        <w:t>e</w:t>
      </w:r>
      <w:r w:rsidRPr="00B26E25">
        <w:rPr>
          <w:szCs w:val="24"/>
          <w:lang w:val="fr-CA"/>
        </w:rPr>
        <w:t xml:space="preserve"> sess., 36</w:t>
      </w:r>
      <w:r w:rsidRPr="00B26E25">
        <w:rPr>
          <w:szCs w:val="24"/>
          <w:vertAlign w:val="superscript"/>
          <w:lang w:val="fr-CA"/>
        </w:rPr>
        <w:t>e</w:t>
      </w:r>
      <w:r w:rsidRPr="00B26E25">
        <w:rPr>
          <w:szCs w:val="24"/>
          <w:lang w:val="fr-CA"/>
        </w:rPr>
        <w:t xml:space="preserve"> lég., 12 février 2002, </w:t>
      </w:r>
      <w:r w:rsidR="00C7175C" w:rsidRPr="00B26E25">
        <w:rPr>
          <w:szCs w:val="24"/>
          <w:lang w:val="fr-CA"/>
        </w:rPr>
        <w:t>p. </w:t>
      </w:r>
      <w:r w:rsidRPr="00B26E25">
        <w:rPr>
          <w:szCs w:val="24"/>
          <w:lang w:val="fr-CA"/>
        </w:rPr>
        <w:t>4</w:t>
      </w:r>
      <w:r w:rsidR="00C7175C" w:rsidRPr="00B26E25">
        <w:rPr>
          <w:szCs w:val="24"/>
          <w:lang w:val="fr-CA"/>
        </w:rPr>
        <w:noBreakHyphen/>
      </w:r>
      <w:r w:rsidRPr="00B26E25">
        <w:rPr>
          <w:szCs w:val="24"/>
          <w:lang w:val="fr-CA"/>
        </w:rPr>
        <w:t>5.</w:t>
      </w:r>
    </w:p>
    <w:p w:rsidR="00FB069D" w:rsidRPr="00B26E25" w:rsidRDefault="00FB069D"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 xml:space="preserve">bec.  Assemblée nationale.  </w:t>
      </w:r>
      <w:r w:rsidRPr="00B26E25">
        <w:rPr>
          <w:i/>
          <w:szCs w:val="24"/>
          <w:lang w:val="fr-CA"/>
        </w:rPr>
        <w:t>Journal des débats</w:t>
      </w:r>
      <w:r w:rsidRPr="00B26E25">
        <w:rPr>
          <w:szCs w:val="24"/>
          <w:lang w:val="fr-CA"/>
        </w:rPr>
        <w:t xml:space="preserve">, </w:t>
      </w:r>
      <w:r w:rsidR="00C7175C" w:rsidRPr="00B26E25">
        <w:rPr>
          <w:szCs w:val="24"/>
          <w:lang w:val="fr-CA"/>
        </w:rPr>
        <w:t>vol. </w:t>
      </w:r>
      <w:r w:rsidRPr="00B26E25">
        <w:rPr>
          <w:szCs w:val="24"/>
          <w:lang w:val="fr-CA"/>
        </w:rPr>
        <w:t>23, n</w:t>
      </w:r>
      <w:r w:rsidRPr="00B26E25">
        <w:rPr>
          <w:szCs w:val="24"/>
          <w:vertAlign w:val="superscript"/>
          <w:lang w:val="fr-CA"/>
        </w:rPr>
        <w:t>o</w:t>
      </w:r>
      <w:r w:rsidR="00B94630" w:rsidRPr="00B26E25">
        <w:rPr>
          <w:szCs w:val="24"/>
          <w:lang w:val="fr-CA"/>
        </w:rPr>
        <w:t> </w:t>
      </w:r>
      <w:r w:rsidRPr="00B26E25">
        <w:rPr>
          <w:szCs w:val="24"/>
          <w:lang w:val="fr-CA"/>
        </w:rPr>
        <w:t>15, 6</w:t>
      </w:r>
      <w:r w:rsidRPr="00B26E25">
        <w:rPr>
          <w:szCs w:val="24"/>
          <w:vertAlign w:val="superscript"/>
          <w:lang w:val="fr-CA"/>
        </w:rPr>
        <w:t>e</w:t>
      </w:r>
      <w:r w:rsidRPr="00B26E25">
        <w:rPr>
          <w:szCs w:val="24"/>
          <w:lang w:val="fr-CA"/>
        </w:rPr>
        <w:t xml:space="preserve"> sess., 31</w:t>
      </w:r>
      <w:r w:rsidRPr="00B26E25">
        <w:rPr>
          <w:szCs w:val="24"/>
          <w:vertAlign w:val="superscript"/>
          <w:lang w:val="fr-CA"/>
        </w:rPr>
        <w:t>e</w:t>
      </w:r>
      <w:r w:rsidRPr="00B26E25">
        <w:rPr>
          <w:szCs w:val="24"/>
          <w:lang w:val="fr-CA"/>
        </w:rPr>
        <w:t xml:space="preserve"> lég., 4 décembre 1980, </w:t>
      </w:r>
      <w:r w:rsidR="00C7175C" w:rsidRPr="00B26E25">
        <w:rPr>
          <w:szCs w:val="24"/>
          <w:lang w:val="fr-CA"/>
        </w:rPr>
        <w:t>p. </w:t>
      </w:r>
      <w:r w:rsidRPr="00B26E25">
        <w:rPr>
          <w:szCs w:val="24"/>
          <w:lang w:val="fr-CA"/>
        </w:rPr>
        <w:t>608 et 663.</w:t>
      </w:r>
    </w:p>
    <w:p w:rsidR="00FB069D" w:rsidRPr="00B26E25" w:rsidRDefault="00FB069D"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 xml:space="preserve">bec.  Assemblée nationale.  </w:t>
      </w:r>
      <w:r w:rsidRPr="00B26E25">
        <w:rPr>
          <w:i/>
          <w:szCs w:val="24"/>
          <w:lang w:val="fr-CA"/>
        </w:rPr>
        <w:t>Journal des débats</w:t>
      </w:r>
      <w:r w:rsidRPr="00B26E25">
        <w:rPr>
          <w:szCs w:val="24"/>
          <w:lang w:val="fr-CA"/>
        </w:rPr>
        <w:t xml:space="preserve">, </w:t>
      </w:r>
      <w:r w:rsidR="00C7175C" w:rsidRPr="00B26E25">
        <w:rPr>
          <w:szCs w:val="24"/>
          <w:lang w:val="fr-CA"/>
        </w:rPr>
        <w:t>vol. </w:t>
      </w:r>
      <w:r w:rsidRPr="00B26E25">
        <w:rPr>
          <w:szCs w:val="24"/>
          <w:lang w:val="fr-CA"/>
        </w:rPr>
        <w:t>30, n</w:t>
      </w:r>
      <w:r w:rsidRPr="00B26E25">
        <w:rPr>
          <w:szCs w:val="24"/>
          <w:vertAlign w:val="superscript"/>
          <w:lang w:val="fr-CA"/>
        </w:rPr>
        <w:t>o</w:t>
      </w:r>
      <w:r w:rsidR="00B94630" w:rsidRPr="00B26E25">
        <w:rPr>
          <w:szCs w:val="24"/>
          <w:lang w:val="fr-CA"/>
        </w:rPr>
        <w:t> </w:t>
      </w:r>
      <w:r w:rsidRPr="00B26E25">
        <w:rPr>
          <w:szCs w:val="24"/>
          <w:lang w:val="fr-CA"/>
        </w:rPr>
        <w:t>125, 2</w:t>
      </w:r>
      <w:r w:rsidRPr="00B26E25">
        <w:rPr>
          <w:szCs w:val="24"/>
          <w:vertAlign w:val="superscript"/>
          <w:lang w:val="fr-CA"/>
        </w:rPr>
        <w:t>e</w:t>
      </w:r>
      <w:r w:rsidRPr="00B26E25">
        <w:rPr>
          <w:szCs w:val="24"/>
          <w:lang w:val="fr-CA"/>
        </w:rPr>
        <w:t xml:space="preserve"> sess., 33</w:t>
      </w:r>
      <w:r w:rsidRPr="00B26E25">
        <w:rPr>
          <w:szCs w:val="24"/>
          <w:vertAlign w:val="superscript"/>
          <w:lang w:val="fr-CA"/>
        </w:rPr>
        <w:t>e</w:t>
      </w:r>
      <w:r w:rsidRPr="00B26E25">
        <w:rPr>
          <w:szCs w:val="24"/>
          <w:lang w:val="fr-CA"/>
        </w:rPr>
        <w:t xml:space="preserve"> lég., 8 juin 1989, </w:t>
      </w:r>
      <w:r w:rsidR="00C7175C" w:rsidRPr="00B26E25">
        <w:rPr>
          <w:szCs w:val="24"/>
          <w:lang w:val="fr-CA"/>
        </w:rPr>
        <w:t>p. </w:t>
      </w:r>
      <w:r w:rsidRPr="00B26E25">
        <w:rPr>
          <w:szCs w:val="24"/>
          <w:lang w:val="fr-CA"/>
        </w:rPr>
        <w:t>6487, 6489 et 6497.</w:t>
      </w:r>
    </w:p>
    <w:p w:rsidR="00FB069D" w:rsidRPr="00B26E25" w:rsidRDefault="00FB069D"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 xml:space="preserve">bec.  Assemblée nationale.  </w:t>
      </w:r>
      <w:r w:rsidRPr="00B26E25">
        <w:rPr>
          <w:i/>
          <w:szCs w:val="24"/>
          <w:lang w:val="fr-CA"/>
        </w:rPr>
        <w:t>Journal des débats</w:t>
      </w:r>
      <w:r w:rsidRPr="00B26E25">
        <w:rPr>
          <w:szCs w:val="24"/>
          <w:lang w:val="fr-CA"/>
        </w:rPr>
        <w:t>, n</w:t>
      </w:r>
      <w:r w:rsidRPr="00B26E25">
        <w:rPr>
          <w:szCs w:val="24"/>
          <w:vertAlign w:val="superscript"/>
          <w:lang w:val="fr-CA"/>
        </w:rPr>
        <w:t>o</w:t>
      </w:r>
      <w:r w:rsidR="00B94630" w:rsidRPr="00B26E25">
        <w:rPr>
          <w:szCs w:val="24"/>
          <w:lang w:val="fr-CA"/>
        </w:rPr>
        <w:t> </w:t>
      </w:r>
      <w:r w:rsidRPr="00B26E25">
        <w:rPr>
          <w:szCs w:val="24"/>
          <w:lang w:val="fr-CA"/>
        </w:rPr>
        <w:t>197, 2</w:t>
      </w:r>
      <w:r w:rsidRPr="00B26E25">
        <w:rPr>
          <w:szCs w:val="24"/>
          <w:vertAlign w:val="superscript"/>
          <w:lang w:val="fr-CA"/>
        </w:rPr>
        <w:t>e</w:t>
      </w:r>
      <w:r w:rsidRPr="00B26E25">
        <w:rPr>
          <w:szCs w:val="24"/>
          <w:lang w:val="fr-CA"/>
        </w:rPr>
        <w:t xml:space="preserve"> sess., 35</w:t>
      </w:r>
      <w:r w:rsidRPr="00B26E25">
        <w:rPr>
          <w:szCs w:val="24"/>
          <w:vertAlign w:val="superscript"/>
          <w:lang w:val="fr-CA"/>
        </w:rPr>
        <w:t>e</w:t>
      </w:r>
      <w:r w:rsidR="00B94630" w:rsidRPr="00B26E25">
        <w:rPr>
          <w:szCs w:val="24"/>
          <w:lang w:val="fr-CA"/>
        </w:rPr>
        <w:t xml:space="preserve"> lég., 18 </w:t>
      </w:r>
      <w:r w:rsidRPr="00B26E25">
        <w:rPr>
          <w:szCs w:val="24"/>
          <w:lang w:val="fr-CA"/>
        </w:rPr>
        <w:t xml:space="preserve">juin 1998, </w:t>
      </w:r>
      <w:r w:rsidR="00C7175C" w:rsidRPr="00B26E25">
        <w:rPr>
          <w:szCs w:val="24"/>
          <w:lang w:val="fr-CA"/>
        </w:rPr>
        <w:t>p. </w:t>
      </w:r>
      <w:r w:rsidRPr="00B26E25">
        <w:rPr>
          <w:szCs w:val="24"/>
          <w:lang w:val="fr-CA"/>
        </w:rPr>
        <w:t>12069</w:t>
      </w:r>
      <w:r w:rsidR="00C7175C" w:rsidRPr="00B26E25">
        <w:rPr>
          <w:szCs w:val="24"/>
          <w:lang w:val="fr-CA"/>
        </w:rPr>
        <w:noBreakHyphen/>
      </w:r>
      <w:r w:rsidRPr="00B26E25">
        <w:rPr>
          <w:szCs w:val="24"/>
          <w:lang w:val="fr-CA"/>
        </w:rPr>
        <w:t>12070.</w:t>
      </w:r>
    </w:p>
    <w:p w:rsidR="00FB069D" w:rsidRPr="00B26E25" w:rsidRDefault="00FB069D"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 xml:space="preserve">bec.  Assemblée nationale.  </w:t>
      </w:r>
      <w:r w:rsidRPr="00B26E25">
        <w:rPr>
          <w:i/>
          <w:szCs w:val="24"/>
          <w:lang w:val="fr-CA"/>
        </w:rPr>
        <w:t>Journal des débats</w:t>
      </w:r>
      <w:r w:rsidRPr="00B26E25">
        <w:rPr>
          <w:szCs w:val="24"/>
          <w:lang w:val="fr-CA"/>
        </w:rPr>
        <w:t xml:space="preserve">, </w:t>
      </w:r>
      <w:r w:rsidR="00C7175C" w:rsidRPr="00B26E25">
        <w:rPr>
          <w:szCs w:val="24"/>
          <w:lang w:val="fr-CA"/>
        </w:rPr>
        <w:t>vol. </w:t>
      </w:r>
      <w:r w:rsidRPr="00B26E25">
        <w:rPr>
          <w:szCs w:val="24"/>
          <w:lang w:val="fr-CA"/>
        </w:rPr>
        <w:t>37, n</w:t>
      </w:r>
      <w:r w:rsidRPr="00B26E25">
        <w:rPr>
          <w:szCs w:val="24"/>
          <w:vertAlign w:val="superscript"/>
          <w:lang w:val="fr-CA"/>
        </w:rPr>
        <w:t>o</w:t>
      </w:r>
      <w:r w:rsidRPr="00B26E25">
        <w:rPr>
          <w:szCs w:val="24"/>
          <w:lang w:val="fr-CA"/>
        </w:rPr>
        <w:t xml:space="preserve"> 96, 2</w:t>
      </w:r>
      <w:r w:rsidRPr="00B26E25">
        <w:rPr>
          <w:szCs w:val="24"/>
          <w:vertAlign w:val="superscript"/>
          <w:lang w:val="fr-CA"/>
        </w:rPr>
        <w:t>e</w:t>
      </w:r>
      <w:r w:rsidRPr="00B26E25">
        <w:rPr>
          <w:szCs w:val="24"/>
          <w:lang w:val="fr-CA"/>
        </w:rPr>
        <w:t xml:space="preserve"> sess., 36</w:t>
      </w:r>
      <w:r w:rsidRPr="00B26E25">
        <w:rPr>
          <w:szCs w:val="24"/>
          <w:vertAlign w:val="superscript"/>
          <w:lang w:val="fr-CA"/>
        </w:rPr>
        <w:t>e</w:t>
      </w:r>
      <w:r w:rsidRPr="00B26E25">
        <w:rPr>
          <w:szCs w:val="24"/>
          <w:lang w:val="fr-CA"/>
        </w:rPr>
        <w:t xml:space="preserve"> lég., </w:t>
      </w:r>
      <w:r w:rsidR="00B94630" w:rsidRPr="00B26E25">
        <w:rPr>
          <w:szCs w:val="24"/>
          <w:lang w:val="fr-CA"/>
        </w:rPr>
        <w:t>7 </w:t>
      </w:r>
      <w:r w:rsidRPr="00B26E25">
        <w:rPr>
          <w:szCs w:val="24"/>
          <w:lang w:val="fr-CA"/>
        </w:rPr>
        <w:t xml:space="preserve">mai 2002, </w:t>
      </w:r>
      <w:r w:rsidR="00C7175C" w:rsidRPr="00B26E25">
        <w:rPr>
          <w:szCs w:val="24"/>
          <w:lang w:val="fr-CA"/>
        </w:rPr>
        <w:t>p. </w:t>
      </w:r>
      <w:r w:rsidRPr="00B26E25">
        <w:rPr>
          <w:szCs w:val="24"/>
          <w:lang w:val="fr-CA"/>
        </w:rPr>
        <w:t>5816.</w:t>
      </w:r>
    </w:p>
    <w:p w:rsidR="00FB069D" w:rsidRPr="00B26E25" w:rsidRDefault="00FB069D"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bec.  Assemblée nationale.  Sous</w:t>
      </w:r>
      <w:r w:rsidR="00C7175C" w:rsidRPr="00B26E25">
        <w:rPr>
          <w:szCs w:val="24"/>
          <w:lang w:val="fr-CA"/>
        </w:rPr>
        <w:noBreakHyphen/>
      </w:r>
      <w:r w:rsidRPr="00B26E25">
        <w:rPr>
          <w:szCs w:val="24"/>
          <w:lang w:val="fr-CA"/>
        </w:rPr>
        <w:t xml:space="preserve">commission des institutions.  </w:t>
      </w:r>
      <w:r w:rsidRPr="00B26E25">
        <w:rPr>
          <w:i/>
          <w:szCs w:val="24"/>
          <w:lang w:val="fr-CA"/>
        </w:rPr>
        <w:t>Journal des débats</w:t>
      </w:r>
      <w:r w:rsidRPr="00B26E25">
        <w:rPr>
          <w:szCs w:val="24"/>
          <w:lang w:val="fr-CA"/>
        </w:rPr>
        <w:t>, n</w:t>
      </w:r>
      <w:r w:rsidRPr="00B26E25">
        <w:rPr>
          <w:szCs w:val="24"/>
          <w:vertAlign w:val="superscript"/>
          <w:lang w:val="fr-CA"/>
        </w:rPr>
        <w:t>o</w:t>
      </w:r>
      <w:r w:rsidR="00B94630" w:rsidRPr="00B26E25">
        <w:rPr>
          <w:szCs w:val="24"/>
          <w:lang w:val="fr-CA"/>
        </w:rPr>
        <w:t> </w:t>
      </w:r>
      <w:r w:rsidRPr="00B26E25">
        <w:rPr>
          <w:szCs w:val="24"/>
          <w:lang w:val="fr-CA"/>
        </w:rPr>
        <w:t>22, 1</w:t>
      </w:r>
      <w:r w:rsidRPr="00B26E25">
        <w:rPr>
          <w:szCs w:val="24"/>
          <w:vertAlign w:val="superscript"/>
          <w:lang w:val="fr-CA"/>
        </w:rPr>
        <w:t>re</w:t>
      </w:r>
      <w:r w:rsidRPr="00B26E25">
        <w:rPr>
          <w:szCs w:val="24"/>
          <w:lang w:val="fr-CA"/>
        </w:rPr>
        <w:t xml:space="preserve"> sess., 34</w:t>
      </w:r>
      <w:r w:rsidRPr="00B26E25">
        <w:rPr>
          <w:szCs w:val="24"/>
          <w:vertAlign w:val="superscript"/>
          <w:lang w:val="fr-CA"/>
        </w:rPr>
        <w:t>e</w:t>
      </w:r>
      <w:r w:rsidR="00B94630" w:rsidRPr="00B26E25">
        <w:rPr>
          <w:szCs w:val="24"/>
          <w:lang w:val="fr-CA"/>
        </w:rPr>
        <w:t xml:space="preserve"> lég., 19 </w:t>
      </w:r>
      <w:r w:rsidRPr="00B26E25">
        <w:rPr>
          <w:szCs w:val="24"/>
          <w:lang w:val="fr-CA"/>
        </w:rPr>
        <w:t xml:space="preserve">novembre 1991, </w:t>
      </w:r>
      <w:r w:rsidR="00C7175C" w:rsidRPr="00B26E25">
        <w:rPr>
          <w:szCs w:val="24"/>
          <w:lang w:val="fr-CA"/>
        </w:rPr>
        <w:t>p. </w:t>
      </w:r>
      <w:r w:rsidR="00977A98" w:rsidRPr="00B26E25">
        <w:rPr>
          <w:szCs w:val="24"/>
          <w:lang w:val="fr-CA"/>
        </w:rPr>
        <w:t xml:space="preserve"> </w:t>
      </w:r>
      <w:r w:rsidRPr="00B26E25">
        <w:rPr>
          <w:szCs w:val="24"/>
          <w:lang w:val="fr-CA"/>
        </w:rPr>
        <w:t>859.</w:t>
      </w:r>
    </w:p>
    <w:p w:rsidR="00DE03C0" w:rsidRPr="00B26E25" w:rsidRDefault="00DE03C0" w:rsidP="002E737F">
      <w:pPr>
        <w:pStyle w:val="SCCNormalDoubleSpacing"/>
        <w:spacing w:after="240" w:line="240" w:lineRule="auto"/>
        <w:ind w:left="540" w:hanging="540"/>
        <w:rPr>
          <w:szCs w:val="24"/>
          <w:lang w:val="fr-CA"/>
        </w:rPr>
      </w:pPr>
      <w:r w:rsidRPr="00B26E25">
        <w:rPr>
          <w:szCs w:val="24"/>
          <w:lang w:val="fr-CA"/>
        </w:rPr>
        <w:t xml:space="preserve">Quebec. </w:t>
      </w:r>
      <w:r w:rsidR="00393A1C" w:rsidRPr="00B26E25">
        <w:rPr>
          <w:szCs w:val="24"/>
          <w:lang w:val="fr-CA"/>
        </w:rPr>
        <w:t xml:space="preserve"> </w:t>
      </w:r>
      <w:r w:rsidRPr="00B26E25">
        <w:rPr>
          <w:szCs w:val="24"/>
          <w:lang w:val="fr-CA"/>
        </w:rPr>
        <w:t xml:space="preserve">Civil Code Revision Office.  </w:t>
      </w:r>
      <w:r w:rsidRPr="00B26E25">
        <w:rPr>
          <w:i/>
          <w:szCs w:val="24"/>
          <w:lang w:val="fr-CA"/>
        </w:rPr>
        <w:t>Report on Matrimonial Regimes</w:t>
      </w:r>
      <w:r w:rsidR="00FB069D" w:rsidRPr="00B26E25">
        <w:rPr>
          <w:szCs w:val="24"/>
          <w:lang w:val="fr-CA"/>
        </w:rPr>
        <w:t xml:space="preserve">. </w:t>
      </w:r>
      <w:r w:rsidRPr="00B26E25">
        <w:rPr>
          <w:szCs w:val="24"/>
          <w:lang w:val="fr-CA"/>
        </w:rPr>
        <w:t xml:space="preserve"> Montr</w:t>
      </w:r>
      <w:r w:rsidR="00393A1C" w:rsidRPr="00B26E25">
        <w:rPr>
          <w:szCs w:val="24"/>
          <w:lang w:val="fr-CA"/>
        </w:rPr>
        <w:t>é</w:t>
      </w:r>
      <w:r w:rsidRPr="00B26E25">
        <w:rPr>
          <w:szCs w:val="24"/>
          <w:lang w:val="fr-CA"/>
        </w:rPr>
        <w:t>al</w:t>
      </w:r>
      <w:r w:rsidR="00FB069D" w:rsidRPr="00B26E25">
        <w:rPr>
          <w:szCs w:val="24"/>
          <w:lang w:val="fr-CA"/>
        </w:rPr>
        <w:t xml:space="preserve">:  </w:t>
      </w:r>
      <w:r w:rsidR="00393A1C" w:rsidRPr="00B26E25">
        <w:rPr>
          <w:szCs w:val="24"/>
          <w:lang w:val="fr-CA"/>
        </w:rPr>
        <w:t>Official Publisher</w:t>
      </w:r>
      <w:r w:rsidR="00FB069D" w:rsidRPr="00B26E25">
        <w:rPr>
          <w:szCs w:val="24"/>
          <w:lang w:val="fr-CA"/>
        </w:rPr>
        <w:t>,</w:t>
      </w:r>
      <w:r w:rsidRPr="00B26E25">
        <w:rPr>
          <w:szCs w:val="24"/>
          <w:lang w:val="fr-CA"/>
        </w:rPr>
        <w:t xml:space="preserve"> 1968.</w:t>
      </w:r>
    </w:p>
    <w:p w:rsidR="00EB7C66" w:rsidRPr="00B26E25" w:rsidRDefault="00EB7C66" w:rsidP="002E737F">
      <w:pPr>
        <w:pStyle w:val="SCCNormalDoubleSpacing"/>
        <w:spacing w:after="240" w:line="240" w:lineRule="auto"/>
        <w:ind w:left="540" w:hanging="540"/>
        <w:rPr>
          <w:szCs w:val="24"/>
          <w:lang w:val="fr-CA"/>
        </w:rPr>
      </w:pPr>
      <w:r w:rsidRPr="00B26E25">
        <w:rPr>
          <w:szCs w:val="24"/>
          <w:lang w:val="fr-CA"/>
        </w:rPr>
        <w:t xml:space="preserve">Quebec.  Civil Code Revision Office.  </w:t>
      </w:r>
      <w:r w:rsidRPr="00B26E25">
        <w:rPr>
          <w:i/>
          <w:szCs w:val="24"/>
          <w:lang w:val="fr-CA"/>
        </w:rPr>
        <w:t>Report on the Québec Civil Code</w:t>
      </w:r>
      <w:r w:rsidR="005D7EF3" w:rsidRPr="00B26E25">
        <w:rPr>
          <w:szCs w:val="24"/>
          <w:lang w:val="fr-CA"/>
        </w:rPr>
        <w:t xml:space="preserve">, </w:t>
      </w:r>
      <w:r w:rsidR="00C7175C" w:rsidRPr="00B26E25">
        <w:rPr>
          <w:szCs w:val="24"/>
          <w:lang w:val="fr-CA"/>
        </w:rPr>
        <w:t>vol. </w:t>
      </w:r>
      <w:r w:rsidRPr="00B26E25">
        <w:rPr>
          <w:szCs w:val="24"/>
          <w:lang w:val="fr-CA"/>
        </w:rPr>
        <w:t xml:space="preserve">I — </w:t>
      </w:r>
      <w:r w:rsidRPr="00B26E25">
        <w:rPr>
          <w:i/>
          <w:szCs w:val="24"/>
          <w:lang w:val="fr-CA"/>
        </w:rPr>
        <w:t>Draft Civil Code</w:t>
      </w:r>
      <w:r w:rsidRPr="00B26E25">
        <w:rPr>
          <w:szCs w:val="24"/>
          <w:lang w:val="fr-CA"/>
        </w:rPr>
        <w:t>.  Québec:</w:t>
      </w:r>
      <w:r w:rsidR="00674C82" w:rsidRPr="00B26E25">
        <w:rPr>
          <w:szCs w:val="24"/>
          <w:lang w:val="fr-CA"/>
        </w:rPr>
        <w:t xml:space="preserve"> </w:t>
      </w:r>
      <w:r w:rsidRPr="00B26E25">
        <w:rPr>
          <w:szCs w:val="24"/>
          <w:lang w:val="fr-CA"/>
        </w:rPr>
        <w:t xml:space="preserve"> Éditeur officiel, 1978.</w:t>
      </w:r>
    </w:p>
    <w:p w:rsidR="00EB7C66" w:rsidRPr="00B26E25" w:rsidRDefault="009041C7" w:rsidP="002E737F">
      <w:pPr>
        <w:pStyle w:val="SCCNormalDoubleSpacing"/>
        <w:spacing w:after="240" w:line="240" w:lineRule="auto"/>
        <w:ind w:left="540" w:hanging="540"/>
        <w:rPr>
          <w:szCs w:val="24"/>
          <w:lang w:val="fr-CA"/>
        </w:rPr>
      </w:pPr>
      <w:r w:rsidRPr="00B26E25">
        <w:rPr>
          <w:szCs w:val="24"/>
          <w:lang w:val="fr-CA"/>
        </w:rPr>
        <w:t xml:space="preserve">Quebec.  Civil Code Revision Office.  </w:t>
      </w:r>
      <w:r w:rsidRPr="00B26E25">
        <w:rPr>
          <w:i/>
          <w:szCs w:val="24"/>
          <w:lang w:val="fr-CA"/>
        </w:rPr>
        <w:t>Report on the Québec Civil Code</w:t>
      </w:r>
      <w:r w:rsidR="00EB7C66" w:rsidRPr="00B26E25">
        <w:rPr>
          <w:szCs w:val="24"/>
          <w:lang w:val="fr-CA"/>
        </w:rPr>
        <w:t xml:space="preserve">, </w:t>
      </w:r>
      <w:r w:rsidR="00C7175C" w:rsidRPr="00B26E25">
        <w:rPr>
          <w:szCs w:val="24"/>
          <w:lang w:val="fr-CA"/>
        </w:rPr>
        <w:t>vol. </w:t>
      </w:r>
      <w:r w:rsidR="00EB7C66" w:rsidRPr="00B26E25">
        <w:rPr>
          <w:szCs w:val="24"/>
          <w:lang w:val="fr-CA"/>
        </w:rPr>
        <w:t xml:space="preserve">II — </w:t>
      </w:r>
      <w:r w:rsidR="00EB7C66" w:rsidRPr="00B26E25">
        <w:rPr>
          <w:i/>
          <w:szCs w:val="24"/>
          <w:lang w:val="fr-CA"/>
        </w:rPr>
        <w:t>Commentar</w:t>
      </w:r>
      <w:r w:rsidRPr="00B26E25">
        <w:rPr>
          <w:i/>
          <w:szCs w:val="24"/>
          <w:lang w:val="fr-CA"/>
        </w:rPr>
        <w:t>i</w:t>
      </w:r>
      <w:r w:rsidR="00EB7C66" w:rsidRPr="00B26E25">
        <w:rPr>
          <w:i/>
          <w:szCs w:val="24"/>
          <w:lang w:val="fr-CA"/>
        </w:rPr>
        <w:t>es</w:t>
      </w:r>
      <w:r w:rsidR="00B94630" w:rsidRPr="00B26E25">
        <w:rPr>
          <w:szCs w:val="24"/>
          <w:lang w:val="fr-CA"/>
        </w:rPr>
        <w:t>, t. </w:t>
      </w:r>
      <w:r w:rsidR="00EB7C66" w:rsidRPr="00B26E25">
        <w:rPr>
          <w:szCs w:val="24"/>
          <w:lang w:val="fr-CA"/>
        </w:rPr>
        <w:t>1.  Québec:  Éditeur officiel, 1978.</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 xml:space="preserve">bec.  Conseil du statut de la femme.  </w:t>
      </w:r>
      <w:r w:rsidRPr="00B26E25">
        <w:rPr>
          <w:i/>
          <w:szCs w:val="24"/>
          <w:lang w:val="fr-CA"/>
        </w:rPr>
        <w:t>Mémoire du Conseil du statut de la femme présenté lors de la consultation générale sur les droits économiques des conjoints</w:t>
      </w:r>
      <w:r w:rsidRPr="00B26E25">
        <w:rPr>
          <w:szCs w:val="24"/>
          <w:lang w:val="fr-CA"/>
        </w:rPr>
        <w:t>.  Québec:</w:t>
      </w:r>
      <w:r w:rsidR="00E324A9" w:rsidRPr="00B26E25">
        <w:rPr>
          <w:szCs w:val="24"/>
          <w:lang w:val="fr-CA"/>
        </w:rPr>
        <w:t xml:space="preserve"> </w:t>
      </w:r>
      <w:r w:rsidRPr="00B26E25">
        <w:rPr>
          <w:szCs w:val="24"/>
          <w:lang w:val="fr-CA"/>
        </w:rPr>
        <w:t xml:space="preserve"> Le Conseil, 1988.</w:t>
      </w:r>
    </w:p>
    <w:p w:rsidR="001364FB" w:rsidRPr="00B26E25" w:rsidRDefault="00304478"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 xml:space="preserve">bec.  Conseil du statut de la femme.  </w:t>
      </w:r>
      <w:r w:rsidRPr="00B26E25">
        <w:rPr>
          <w:i/>
          <w:szCs w:val="24"/>
          <w:lang w:val="fr-CA"/>
        </w:rPr>
        <w:t>Mémoire présenté à la Commission parlementaire sur la réforme du droit de la famille</w:t>
      </w:r>
      <w:r w:rsidRPr="00B26E25">
        <w:rPr>
          <w:szCs w:val="24"/>
          <w:lang w:val="fr-CA"/>
        </w:rPr>
        <w:t>.  Québec:  Le Conseil, 1979.</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Qu</w:t>
      </w:r>
      <w:r w:rsidR="00E62177" w:rsidRPr="00B26E25">
        <w:rPr>
          <w:szCs w:val="24"/>
          <w:lang w:val="fr-CA"/>
        </w:rPr>
        <w:t>e</w:t>
      </w:r>
      <w:r w:rsidRPr="00B26E25">
        <w:rPr>
          <w:szCs w:val="24"/>
          <w:lang w:val="fr-CA"/>
        </w:rPr>
        <w:t xml:space="preserve">bec.  </w:t>
      </w:r>
      <w:r w:rsidR="004E5920" w:rsidRPr="00B26E25">
        <w:rPr>
          <w:i/>
          <w:szCs w:val="24"/>
          <w:lang w:val="fr-CA"/>
        </w:rPr>
        <w:t>Les droits économiques des conjoints</w:t>
      </w:r>
      <w:r w:rsidR="004E5920" w:rsidRPr="00B26E25">
        <w:rPr>
          <w:szCs w:val="24"/>
          <w:lang w:val="fr-CA"/>
        </w:rPr>
        <w:t>, par Herbert Marx et Monique Gagnon Tremblay</w:t>
      </w:r>
      <w:r w:rsidR="00304478" w:rsidRPr="00B26E25">
        <w:rPr>
          <w:szCs w:val="24"/>
          <w:lang w:val="fr-CA"/>
        </w:rPr>
        <w:t>.  Sainte</w:t>
      </w:r>
      <w:r w:rsidR="00C7175C" w:rsidRPr="00B26E25">
        <w:rPr>
          <w:szCs w:val="24"/>
          <w:lang w:val="fr-CA"/>
        </w:rPr>
        <w:noBreakHyphen/>
      </w:r>
      <w:r w:rsidR="00304478" w:rsidRPr="00B26E25">
        <w:rPr>
          <w:szCs w:val="24"/>
          <w:lang w:val="fr-CA"/>
        </w:rPr>
        <w:t>Foy, Qué.:  Ministère de la Justice, 1988</w:t>
      </w:r>
      <w:r w:rsidR="004E5920" w:rsidRPr="00B26E25">
        <w:rPr>
          <w:szCs w:val="24"/>
          <w:lang w:val="fr-CA"/>
        </w:rPr>
        <w:t>.</w:t>
      </w:r>
    </w:p>
    <w:p w:rsidR="001364FB" w:rsidRPr="00B26E25" w:rsidRDefault="00B94630" w:rsidP="002E737F">
      <w:pPr>
        <w:pStyle w:val="SCCNormalDoubleSpacing"/>
        <w:spacing w:after="240" w:line="240" w:lineRule="auto"/>
        <w:ind w:left="540" w:hanging="540"/>
        <w:rPr>
          <w:szCs w:val="24"/>
          <w:lang w:val="en-US"/>
        </w:rPr>
      </w:pPr>
      <w:r w:rsidRPr="00B26E25">
        <w:rPr>
          <w:szCs w:val="24"/>
          <w:lang w:val="fr-CA"/>
        </w:rPr>
        <w:t>Réaume, Denise </w:t>
      </w:r>
      <w:r w:rsidR="001364FB" w:rsidRPr="00B26E25">
        <w:rPr>
          <w:szCs w:val="24"/>
          <w:lang w:val="fr-CA"/>
        </w:rPr>
        <w:t xml:space="preserve">G.  </w:t>
      </w:r>
      <w:r w:rsidR="00E324A9" w:rsidRPr="00B26E25">
        <w:rPr>
          <w:szCs w:val="24"/>
          <w:lang w:val="en-US"/>
        </w:rPr>
        <w:t>“</w:t>
      </w:r>
      <w:r w:rsidR="001364FB" w:rsidRPr="00B26E25">
        <w:rPr>
          <w:szCs w:val="24"/>
          <w:lang w:val="en-US"/>
        </w:rPr>
        <w:t>Discrimination and Dignity</w:t>
      </w:r>
      <w:r w:rsidR="00E324A9" w:rsidRPr="00B26E25">
        <w:rPr>
          <w:szCs w:val="24"/>
          <w:lang w:val="en-US"/>
        </w:rPr>
        <w:t>”</w:t>
      </w:r>
      <w:r w:rsidR="001364FB" w:rsidRPr="00B26E25">
        <w:rPr>
          <w:szCs w:val="24"/>
          <w:lang w:val="en-US"/>
        </w:rPr>
        <w:t xml:space="preserve"> (2003), 63 </w:t>
      </w:r>
      <w:r w:rsidR="001364FB" w:rsidRPr="00B26E25">
        <w:rPr>
          <w:i/>
          <w:szCs w:val="24"/>
          <w:lang w:val="en-US"/>
        </w:rPr>
        <w:t>La. L. Rev.</w:t>
      </w:r>
      <w:r w:rsidR="001364FB" w:rsidRPr="00B26E25">
        <w:rPr>
          <w:szCs w:val="24"/>
          <w:lang w:val="en-US"/>
        </w:rPr>
        <w:t xml:space="preserve"> 645.</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Roy, Alain.  </w:t>
      </w:r>
      <w:r w:rsidR="00E324A9" w:rsidRPr="00B26E25">
        <w:rPr>
          <w:szCs w:val="24"/>
          <w:lang w:val="fr-CA"/>
        </w:rPr>
        <w:t>“</w:t>
      </w:r>
      <w:r w:rsidRPr="00B26E25">
        <w:rPr>
          <w:szCs w:val="24"/>
          <w:lang w:val="fr-CA"/>
        </w:rPr>
        <w:t>La charte de vie commune ou l</w:t>
      </w:r>
      <w:r w:rsidR="00C7175C" w:rsidRPr="00B26E25">
        <w:rPr>
          <w:szCs w:val="24"/>
          <w:lang w:val="fr-CA"/>
        </w:rPr>
        <w:t>’</w:t>
      </w:r>
      <w:r w:rsidRPr="00B26E25">
        <w:rPr>
          <w:szCs w:val="24"/>
          <w:lang w:val="fr-CA"/>
        </w:rPr>
        <w:t>émergence d</w:t>
      </w:r>
      <w:r w:rsidR="00C7175C" w:rsidRPr="00B26E25">
        <w:rPr>
          <w:szCs w:val="24"/>
          <w:lang w:val="fr-CA"/>
        </w:rPr>
        <w:t>’</w:t>
      </w:r>
      <w:r w:rsidRPr="00B26E25">
        <w:rPr>
          <w:szCs w:val="24"/>
          <w:lang w:val="fr-CA"/>
        </w:rPr>
        <w:t>une pratique réflexive du contrat conjugal</w:t>
      </w:r>
      <w:r w:rsidR="00E324A9" w:rsidRPr="00B26E25">
        <w:rPr>
          <w:szCs w:val="24"/>
          <w:lang w:val="fr-CA"/>
        </w:rPr>
        <w:t>”</w:t>
      </w:r>
      <w:r w:rsidRPr="00B26E25">
        <w:rPr>
          <w:szCs w:val="24"/>
          <w:lang w:val="fr-CA"/>
        </w:rPr>
        <w:t xml:space="preserve"> (2007), 41 </w:t>
      </w:r>
      <w:r w:rsidRPr="00B26E25">
        <w:rPr>
          <w:i/>
          <w:szCs w:val="24"/>
          <w:lang w:val="fr-CA"/>
        </w:rPr>
        <w:t>R.J.T.</w:t>
      </w:r>
      <w:r w:rsidRPr="00B26E25">
        <w:rPr>
          <w:szCs w:val="24"/>
          <w:lang w:val="fr-CA"/>
        </w:rPr>
        <w:t xml:space="preserve"> 399.</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Roy, Alain.  </w:t>
      </w:r>
      <w:r w:rsidR="00E324A9" w:rsidRPr="00B26E25">
        <w:rPr>
          <w:szCs w:val="24"/>
          <w:lang w:val="fr-CA"/>
        </w:rPr>
        <w:t>“</w:t>
      </w:r>
      <w:r w:rsidRPr="00B26E25">
        <w:rPr>
          <w:szCs w:val="24"/>
          <w:lang w:val="fr-CA"/>
        </w:rPr>
        <w:t>Le contrat de mariage en droit québécois:</w:t>
      </w:r>
      <w:r w:rsidR="00E324A9" w:rsidRPr="00B26E25">
        <w:rPr>
          <w:szCs w:val="24"/>
          <w:lang w:val="fr-CA"/>
        </w:rPr>
        <w:t xml:space="preserve"> </w:t>
      </w:r>
      <w:r w:rsidRPr="00B26E25">
        <w:rPr>
          <w:szCs w:val="24"/>
          <w:lang w:val="fr-CA"/>
        </w:rPr>
        <w:t xml:space="preserve"> un destin marqué du sceau du paradoxe</w:t>
      </w:r>
      <w:r w:rsidR="00E324A9" w:rsidRPr="00B26E25">
        <w:rPr>
          <w:szCs w:val="24"/>
          <w:lang w:val="fr-CA"/>
        </w:rPr>
        <w:t>”</w:t>
      </w:r>
      <w:r w:rsidRPr="00B26E25">
        <w:rPr>
          <w:szCs w:val="24"/>
          <w:lang w:val="fr-CA"/>
        </w:rPr>
        <w:t xml:space="preserve"> (2006), 51 </w:t>
      </w:r>
      <w:r w:rsidRPr="00B26E25">
        <w:rPr>
          <w:i/>
          <w:szCs w:val="24"/>
          <w:lang w:val="fr-CA"/>
        </w:rPr>
        <w:t>McGill</w:t>
      </w:r>
      <w:r w:rsidR="00E324A9" w:rsidRPr="00B26E25">
        <w:rPr>
          <w:i/>
          <w:szCs w:val="24"/>
          <w:lang w:val="fr-CA"/>
        </w:rPr>
        <w:t xml:space="preserve"> L.J.</w:t>
      </w:r>
      <w:r w:rsidRPr="00B26E25">
        <w:rPr>
          <w:szCs w:val="24"/>
          <w:lang w:val="fr-CA"/>
        </w:rPr>
        <w:t xml:space="preserve"> 665.</w:t>
      </w:r>
    </w:p>
    <w:p w:rsidR="00A07248" w:rsidRPr="00B26E25" w:rsidRDefault="00A07248" w:rsidP="002E737F">
      <w:pPr>
        <w:pStyle w:val="SCCNormalDoubleSpacing"/>
        <w:spacing w:after="240" w:line="240" w:lineRule="auto"/>
        <w:ind w:left="540" w:hanging="540"/>
        <w:rPr>
          <w:szCs w:val="24"/>
          <w:lang w:val="fr-FR"/>
        </w:rPr>
      </w:pPr>
      <w:r w:rsidRPr="00B26E25">
        <w:rPr>
          <w:szCs w:val="24"/>
          <w:lang w:val="fr-FR"/>
        </w:rPr>
        <w:t xml:space="preserve">Roy, Alain.  </w:t>
      </w:r>
      <w:r w:rsidRPr="00B26E25">
        <w:rPr>
          <w:i/>
          <w:szCs w:val="24"/>
          <w:lang w:val="fr-FR"/>
        </w:rPr>
        <w:t xml:space="preserve">Le </w:t>
      </w:r>
      <w:r w:rsidR="005743B2">
        <w:rPr>
          <w:i/>
          <w:szCs w:val="24"/>
          <w:lang w:val="fr-FR"/>
        </w:rPr>
        <w:t>contrat de mariage réinventé:  P</w:t>
      </w:r>
      <w:r w:rsidRPr="00B26E25">
        <w:rPr>
          <w:i/>
          <w:szCs w:val="24"/>
          <w:lang w:val="fr-FR"/>
        </w:rPr>
        <w:t>erspectives socio</w:t>
      </w:r>
      <w:r w:rsidR="00C7175C" w:rsidRPr="00B26E25">
        <w:rPr>
          <w:i/>
          <w:szCs w:val="24"/>
          <w:lang w:val="fr-FR"/>
        </w:rPr>
        <w:noBreakHyphen/>
      </w:r>
      <w:r w:rsidRPr="00B26E25">
        <w:rPr>
          <w:i/>
          <w:szCs w:val="24"/>
          <w:lang w:val="fr-FR"/>
        </w:rPr>
        <w:t>juridiques pour une réforme</w:t>
      </w:r>
      <w:r w:rsidRPr="00B26E25">
        <w:rPr>
          <w:szCs w:val="24"/>
          <w:lang w:val="fr-FR"/>
        </w:rPr>
        <w:t>.  Montréal:  Thémis, 2002.</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fr-CA"/>
        </w:rPr>
        <w:t xml:space="preserve">Roy, Alain.  </w:t>
      </w:r>
      <w:r w:rsidR="00E324A9" w:rsidRPr="00B26E25">
        <w:rPr>
          <w:szCs w:val="24"/>
          <w:lang w:val="fr-CA"/>
        </w:rPr>
        <w:t>“</w:t>
      </w:r>
      <w:r w:rsidRPr="00B26E25">
        <w:rPr>
          <w:szCs w:val="24"/>
          <w:lang w:val="fr-CA"/>
        </w:rPr>
        <w:t>Le régime juridique de l</w:t>
      </w:r>
      <w:r w:rsidR="00C7175C" w:rsidRPr="00B26E25">
        <w:rPr>
          <w:szCs w:val="24"/>
          <w:lang w:val="fr-CA"/>
        </w:rPr>
        <w:t>’</w:t>
      </w:r>
      <w:r w:rsidRPr="00B26E25">
        <w:rPr>
          <w:szCs w:val="24"/>
          <w:lang w:val="fr-CA"/>
        </w:rPr>
        <w:t>union civile:</w:t>
      </w:r>
      <w:r w:rsidR="00E324A9" w:rsidRPr="00B26E25">
        <w:rPr>
          <w:szCs w:val="24"/>
          <w:lang w:val="fr-CA"/>
        </w:rPr>
        <w:t xml:space="preserve"> </w:t>
      </w:r>
      <w:r w:rsidRPr="00B26E25">
        <w:rPr>
          <w:szCs w:val="24"/>
          <w:lang w:val="fr-CA"/>
        </w:rPr>
        <w:t xml:space="preserve"> entre symbolisme et anachronisme</w:t>
      </w:r>
      <w:r w:rsidR="00E324A9" w:rsidRPr="00B26E25">
        <w:rPr>
          <w:szCs w:val="24"/>
          <w:lang w:val="fr-CA"/>
        </w:rPr>
        <w:t>”</w:t>
      </w:r>
      <w:r w:rsidRPr="00B26E25">
        <w:rPr>
          <w:szCs w:val="24"/>
          <w:lang w:val="fr-CA"/>
        </w:rPr>
        <w:t>, dans Pierre</w:t>
      </w:r>
      <w:r w:rsidR="00C7175C" w:rsidRPr="00B26E25">
        <w:rPr>
          <w:szCs w:val="24"/>
          <w:lang w:val="fr-CA"/>
        </w:rPr>
        <w:noBreakHyphen/>
      </w:r>
      <w:r w:rsidRPr="00B26E25">
        <w:rPr>
          <w:szCs w:val="24"/>
          <w:lang w:val="fr-CA"/>
        </w:rPr>
        <w:t xml:space="preserve">Claude Lafond et Brigitte Lefebvre, dir., </w:t>
      </w:r>
      <w:r w:rsidRPr="00B26E25">
        <w:rPr>
          <w:i/>
          <w:szCs w:val="24"/>
          <w:lang w:val="fr-CA"/>
        </w:rPr>
        <w:t>L</w:t>
      </w:r>
      <w:r w:rsidR="00C7175C" w:rsidRPr="00B26E25">
        <w:rPr>
          <w:i/>
          <w:szCs w:val="24"/>
          <w:lang w:val="fr-CA"/>
        </w:rPr>
        <w:t>’</w:t>
      </w:r>
      <w:r w:rsidRPr="00B26E25">
        <w:rPr>
          <w:i/>
          <w:szCs w:val="24"/>
          <w:lang w:val="fr-CA"/>
        </w:rPr>
        <w:t>union civile:</w:t>
      </w:r>
      <w:r w:rsidR="00E324A9" w:rsidRPr="00B26E25">
        <w:rPr>
          <w:i/>
          <w:szCs w:val="24"/>
          <w:lang w:val="fr-CA"/>
        </w:rPr>
        <w:t xml:space="preserve"> </w:t>
      </w:r>
      <w:r w:rsidRPr="00B26E25">
        <w:rPr>
          <w:i/>
          <w:szCs w:val="24"/>
          <w:lang w:val="fr-CA"/>
        </w:rPr>
        <w:t xml:space="preserve"> nouveaux modèles de conjugalité et de parentalité au 21</w:t>
      </w:r>
      <w:r w:rsidRPr="00B26E25">
        <w:rPr>
          <w:i/>
          <w:szCs w:val="24"/>
          <w:vertAlign w:val="superscript"/>
          <w:lang w:val="fr-CA"/>
        </w:rPr>
        <w:t>e</w:t>
      </w:r>
      <w:r w:rsidRPr="00B26E25">
        <w:rPr>
          <w:i/>
          <w:szCs w:val="24"/>
          <w:lang w:val="fr-CA"/>
        </w:rPr>
        <w:t xml:space="preserve"> siècle</w:t>
      </w:r>
      <w:r w:rsidRPr="00B26E25">
        <w:rPr>
          <w:szCs w:val="24"/>
          <w:lang w:val="fr-CA"/>
        </w:rPr>
        <w:t xml:space="preserve">.  </w:t>
      </w:r>
      <w:r w:rsidRPr="00B26E25">
        <w:rPr>
          <w:szCs w:val="24"/>
          <w:lang w:val="en-US"/>
        </w:rPr>
        <w:t>Cowansville, Qué.:</w:t>
      </w:r>
      <w:r w:rsidR="00E324A9" w:rsidRPr="00B26E25">
        <w:rPr>
          <w:szCs w:val="24"/>
          <w:lang w:val="en-US"/>
        </w:rPr>
        <w:t xml:space="preserve"> </w:t>
      </w:r>
      <w:r w:rsidRPr="00B26E25">
        <w:rPr>
          <w:szCs w:val="24"/>
          <w:lang w:val="en-US"/>
        </w:rPr>
        <w:t xml:space="preserve"> Yvon Blais, 2003, 165.</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Ryder, Bruce,</w:t>
      </w:r>
      <w:r w:rsidR="00B94630" w:rsidRPr="00B26E25">
        <w:rPr>
          <w:szCs w:val="24"/>
          <w:lang w:val="en-US"/>
        </w:rPr>
        <w:t xml:space="preserve"> Cidalia </w:t>
      </w:r>
      <w:r w:rsidRPr="00B26E25">
        <w:rPr>
          <w:szCs w:val="24"/>
          <w:lang w:val="en-US"/>
        </w:rPr>
        <w:t xml:space="preserve">C. Faria and Emily Lawrence.  </w:t>
      </w:r>
      <w:r w:rsidR="00E324A9" w:rsidRPr="00B26E25">
        <w:rPr>
          <w:szCs w:val="24"/>
          <w:lang w:val="en-US"/>
        </w:rPr>
        <w:t>“</w:t>
      </w:r>
      <w:r w:rsidRPr="00B26E25">
        <w:rPr>
          <w:szCs w:val="24"/>
          <w:lang w:val="en-US"/>
        </w:rPr>
        <w:t>What</w:t>
      </w:r>
      <w:r w:rsidR="00C7175C" w:rsidRPr="00B26E25">
        <w:rPr>
          <w:szCs w:val="24"/>
          <w:lang w:val="en-US"/>
        </w:rPr>
        <w:t>’</w:t>
      </w:r>
      <w:r w:rsidRPr="00B26E25">
        <w:rPr>
          <w:szCs w:val="24"/>
          <w:lang w:val="en-US"/>
        </w:rPr>
        <w:t xml:space="preserve">s </w:t>
      </w:r>
      <w:r w:rsidRPr="00B26E25">
        <w:rPr>
          <w:i/>
          <w:szCs w:val="24"/>
          <w:lang w:val="en-US"/>
        </w:rPr>
        <w:t>Law</w:t>
      </w:r>
      <w:r w:rsidRPr="00B26E25">
        <w:rPr>
          <w:szCs w:val="24"/>
          <w:lang w:val="en-US"/>
        </w:rPr>
        <w:t xml:space="preserve"> Good For?  An Empirical Overview of Charter Equality Rights Decisions</w:t>
      </w:r>
      <w:r w:rsidR="00E324A9" w:rsidRPr="00B26E25">
        <w:rPr>
          <w:szCs w:val="24"/>
          <w:lang w:val="en-US"/>
        </w:rPr>
        <w:t>”</w:t>
      </w:r>
      <w:r w:rsidRPr="00B26E25">
        <w:rPr>
          <w:szCs w:val="24"/>
          <w:lang w:val="en-US"/>
        </w:rPr>
        <w:t xml:space="preserve"> (2004), 24 </w:t>
      </w:r>
      <w:r w:rsidRPr="00B26E25">
        <w:rPr>
          <w:i/>
          <w:szCs w:val="24"/>
          <w:lang w:val="en-US"/>
        </w:rPr>
        <w:t>S.C.L.R.</w:t>
      </w:r>
      <w:r w:rsidRPr="00B26E25">
        <w:rPr>
          <w:szCs w:val="24"/>
          <w:lang w:val="en-US"/>
        </w:rPr>
        <w:t xml:space="preserve"> (2d) 103.</w:t>
      </w:r>
    </w:p>
    <w:p w:rsidR="00EA7841" w:rsidRPr="00B26E25" w:rsidRDefault="00EA7841" w:rsidP="002E737F">
      <w:pPr>
        <w:pStyle w:val="SCCNormalDoubleSpacing"/>
        <w:spacing w:after="240" w:line="240" w:lineRule="auto"/>
        <w:ind w:left="540" w:hanging="540"/>
        <w:rPr>
          <w:szCs w:val="24"/>
          <w:lang w:val="en-US"/>
        </w:rPr>
      </w:pPr>
      <w:r w:rsidRPr="00B26E25">
        <w:rPr>
          <w:szCs w:val="24"/>
          <w:lang w:val="en-US"/>
        </w:rPr>
        <w:t>Saskatchewan.  Law Reform Commission.  “Common Law Relationships Under the Matrimonial Property Act”, discussion paper, July 1997 (online:  http://www.lawreformcommission.sk.ca/Commonlaw.pdf).</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Senécal, Jean</w:t>
      </w:r>
      <w:r w:rsidR="00C7175C" w:rsidRPr="00B26E25">
        <w:rPr>
          <w:szCs w:val="24"/>
          <w:lang w:val="fr-CA"/>
        </w:rPr>
        <w:noBreakHyphen/>
      </w:r>
      <w:r w:rsidRPr="00B26E25">
        <w:rPr>
          <w:szCs w:val="24"/>
          <w:lang w:val="fr-CA"/>
        </w:rPr>
        <w:t xml:space="preserve">Pierre.  </w:t>
      </w:r>
      <w:r w:rsidRPr="00B26E25">
        <w:rPr>
          <w:i/>
          <w:szCs w:val="24"/>
          <w:lang w:val="fr-CA"/>
        </w:rPr>
        <w:t>Droit de la famille québécois</w:t>
      </w:r>
      <w:r w:rsidRPr="00B26E25">
        <w:rPr>
          <w:szCs w:val="24"/>
          <w:lang w:val="fr-CA"/>
        </w:rPr>
        <w:t xml:space="preserve">, </w:t>
      </w:r>
      <w:r w:rsidR="00C7175C" w:rsidRPr="00B26E25">
        <w:rPr>
          <w:szCs w:val="24"/>
          <w:lang w:val="fr-CA"/>
        </w:rPr>
        <w:t>vol. </w:t>
      </w:r>
      <w:r w:rsidRPr="00B26E25">
        <w:rPr>
          <w:szCs w:val="24"/>
          <w:lang w:val="fr-CA"/>
        </w:rPr>
        <w:t>1 et 2.  Brossard, Qué.: Publications CCH, 1985 (feuilles mobiles mises à jour septembre 2012, envoi n</w:t>
      </w:r>
      <w:r w:rsidRPr="00B26E25">
        <w:rPr>
          <w:szCs w:val="24"/>
          <w:vertAlign w:val="superscript"/>
          <w:lang w:val="fr-CA"/>
        </w:rPr>
        <w:t>o</w:t>
      </w:r>
      <w:r w:rsidRPr="00B26E25">
        <w:rPr>
          <w:szCs w:val="24"/>
          <w:lang w:val="fr-CA"/>
        </w:rPr>
        <w:t xml:space="preserve"> 374).</w:t>
      </w:r>
    </w:p>
    <w:p w:rsidR="001364FB" w:rsidRPr="00B26E25" w:rsidRDefault="001364FB" w:rsidP="002E737F">
      <w:pPr>
        <w:pStyle w:val="SCCNormalDoubleSpacing"/>
        <w:spacing w:after="240" w:line="240" w:lineRule="auto"/>
        <w:ind w:left="540" w:hanging="540"/>
        <w:rPr>
          <w:szCs w:val="24"/>
          <w:lang w:val="fr-CA"/>
        </w:rPr>
      </w:pPr>
      <w:r w:rsidRPr="00B26E25">
        <w:rPr>
          <w:szCs w:val="24"/>
          <w:lang w:val="fr-CA"/>
        </w:rPr>
        <w:t xml:space="preserve">Sylvestre, Jean.  </w:t>
      </w:r>
      <w:r w:rsidR="00E324A9" w:rsidRPr="00B26E25">
        <w:rPr>
          <w:szCs w:val="24"/>
          <w:lang w:val="fr-CA"/>
        </w:rPr>
        <w:t>“</w:t>
      </w:r>
      <w:r w:rsidRPr="00B26E25">
        <w:rPr>
          <w:szCs w:val="24"/>
          <w:lang w:val="fr-CA"/>
        </w:rPr>
        <w:t>Les accords entre concubins</w:t>
      </w:r>
      <w:r w:rsidR="00E324A9" w:rsidRPr="00B26E25">
        <w:rPr>
          <w:szCs w:val="24"/>
          <w:lang w:val="fr-CA"/>
        </w:rPr>
        <w:t>”</w:t>
      </w:r>
      <w:r w:rsidRPr="00B26E25">
        <w:rPr>
          <w:szCs w:val="24"/>
          <w:lang w:val="fr-CA"/>
        </w:rPr>
        <w:t xml:space="preserve">, [1981] 1 </w:t>
      </w:r>
      <w:r w:rsidRPr="00B26E25">
        <w:rPr>
          <w:i/>
          <w:szCs w:val="24"/>
          <w:lang w:val="fr-CA"/>
        </w:rPr>
        <w:t>C.</w:t>
      </w:r>
      <w:r w:rsidR="00C7175C" w:rsidRPr="00B26E25">
        <w:rPr>
          <w:i/>
          <w:szCs w:val="24"/>
          <w:lang w:val="fr-CA"/>
        </w:rPr>
        <w:t>P. </w:t>
      </w:r>
      <w:r w:rsidRPr="00B26E25">
        <w:rPr>
          <w:i/>
          <w:szCs w:val="24"/>
          <w:lang w:val="fr-CA"/>
        </w:rPr>
        <w:t>du N.</w:t>
      </w:r>
      <w:r w:rsidRPr="00B26E25">
        <w:rPr>
          <w:szCs w:val="24"/>
          <w:lang w:val="fr-CA"/>
        </w:rPr>
        <w:t xml:space="preserve"> 195.</w:t>
      </w:r>
    </w:p>
    <w:p w:rsidR="00912079" w:rsidRPr="00B26E25" w:rsidRDefault="00912079" w:rsidP="002E737F">
      <w:pPr>
        <w:pStyle w:val="SCCNormalDoubleSpacing"/>
        <w:spacing w:after="240" w:line="240" w:lineRule="auto"/>
        <w:ind w:left="540" w:hanging="540"/>
        <w:rPr>
          <w:szCs w:val="24"/>
          <w:lang w:val="fr-CA"/>
        </w:rPr>
      </w:pPr>
      <w:r w:rsidRPr="00B26E25">
        <w:rPr>
          <w:szCs w:val="24"/>
        </w:rPr>
        <w:t xml:space="preserve">Tarnopolsky, Walter Surma.  </w:t>
      </w:r>
      <w:r w:rsidRPr="00B26E25">
        <w:rPr>
          <w:i/>
          <w:szCs w:val="24"/>
        </w:rPr>
        <w:t>Discrimination and The Law in Canada</w:t>
      </w:r>
      <w:r w:rsidRPr="00B26E25">
        <w:rPr>
          <w:szCs w:val="24"/>
        </w:rPr>
        <w:t xml:space="preserve">.  </w:t>
      </w:r>
      <w:r w:rsidRPr="00B26E25">
        <w:rPr>
          <w:szCs w:val="24"/>
          <w:lang w:val="fr-CA"/>
        </w:rPr>
        <w:t>Toronto:  Richard De Boo, 1982.</w:t>
      </w:r>
    </w:p>
    <w:p w:rsidR="00A07248" w:rsidRPr="00B26E25" w:rsidRDefault="00A07248" w:rsidP="002E737F">
      <w:pPr>
        <w:pStyle w:val="SCCNormalDoubleSpacing"/>
        <w:spacing w:after="240" w:line="240" w:lineRule="auto"/>
        <w:ind w:left="540" w:hanging="540"/>
        <w:rPr>
          <w:szCs w:val="24"/>
          <w:lang w:val="fr-CA"/>
        </w:rPr>
      </w:pPr>
      <w:r w:rsidRPr="00B26E25">
        <w:rPr>
          <w:szCs w:val="24"/>
          <w:lang w:val="fr-CA"/>
        </w:rPr>
        <w:t xml:space="preserve">Tétrault, Michel.  </w:t>
      </w:r>
      <w:r w:rsidRPr="00B26E25">
        <w:rPr>
          <w:i/>
          <w:szCs w:val="24"/>
          <w:lang w:val="fr-CA"/>
        </w:rPr>
        <w:t>Droit de la famille</w:t>
      </w:r>
      <w:r w:rsidRPr="00B26E25">
        <w:rPr>
          <w:szCs w:val="24"/>
          <w:lang w:val="fr-CA"/>
        </w:rPr>
        <w:t xml:space="preserve">, </w:t>
      </w:r>
      <w:r w:rsidR="00C7175C" w:rsidRPr="00B26E25">
        <w:rPr>
          <w:szCs w:val="24"/>
          <w:lang w:val="fr-CA"/>
        </w:rPr>
        <w:t>vol. </w:t>
      </w:r>
      <w:r w:rsidRPr="00B26E25">
        <w:rPr>
          <w:szCs w:val="24"/>
          <w:lang w:val="fr-CA"/>
        </w:rPr>
        <w:t>1, 4</w:t>
      </w:r>
      <w:r w:rsidRPr="00B26E25">
        <w:rPr>
          <w:szCs w:val="24"/>
          <w:vertAlign w:val="superscript"/>
          <w:lang w:val="fr-CA"/>
        </w:rPr>
        <w:t>e</w:t>
      </w:r>
      <w:r w:rsidRPr="00B26E25">
        <w:rPr>
          <w:szCs w:val="24"/>
          <w:lang w:val="fr-CA"/>
        </w:rPr>
        <w:t> éd.  Cowansville, Qué.:  Yvon Blais, 2010.</w:t>
      </w:r>
    </w:p>
    <w:p w:rsidR="001364FB" w:rsidRPr="00120C3F" w:rsidRDefault="001364FB" w:rsidP="002E737F">
      <w:pPr>
        <w:pStyle w:val="SCCNormalDoubleSpacing"/>
        <w:spacing w:after="240" w:line="240" w:lineRule="auto"/>
        <w:ind w:left="540" w:hanging="540"/>
        <w:rPr>
          <w:szCs w:val="24"/>
          <w:lang w:val="fr-CA"/>
        </w:rPr>
      </w:pPr>
      <w:r w:rsidRPr="00B26E25">
        <w:rPr>
          <w:szCs w:val="24"/>
          <w:lang w:val="fr-CA"/>
        </w:rPr>
        <w:t xml:space="preserve">Tétrault, Michel.  </w:t>
      </w:r>
      <w:r w:rsidR="008617B7" w:rsidRPr="00B26E25">
        <w:rPr>
          <w:szCs w:val="24"/>
          <w:lang w:val="fr-CA"/>
        </w:rPr>
        <w:t>“</w:t>
      </w:r>
      <w:r w:rsidRPr="00B26E25">
        <w:rPr>
          <w:szCs w:val="24"/>
          <w:lang w:val="fr-CA"/>
        </w:rPr>
        <w:t>L</w:t>
      </w:r>
      <w:r w:rsidR="00C7175C" w:rsidRPr="00B26E25">
        <w:rPr>
          <w:szCs w:val="24"/>
          <w:lang w:val="fr-CA"/>
        </w:rPr>
        <w:t>’</w:t>
      </w:r>
      <w:r w:rsidRPr="00B26E25">
        <w:rPr>
          <w:szCs w:val="24"/>
          <w:lang w:val="fr-CA"/>
        </w:rPr>
        <w:t>union civile:</w:t>
      </w:r>
      <w:r w:rsidR="008617B7" w:rsidRPr="00B26E25">
        <w:rPr>
          <w:szCs w:val="24"/>
          <w:lang w:val="fr-CA"/>
        </w:rPr>
        <w:t xml:space="preserve"> </w:t>
      </w:r>
      <w:r w:rsidRPr="00B26E25">
        <w:rPr>
          <w:szCs w:val="24"/>
          <w:lang w:val="fr-CA"/>
        </w:rPr>
        <w:t xml:space="preserve"> j</w:t>
      </w:r>
      <w:r w:rsidR="00C7175C" w:rsidRPr="00B26E25">
        <w:rPr>
          <w:szCs w:val="24"/>
          <w:lang w:val="fr-CA"/>
        </w:rPr>
        <w:t>’</w:t>
      </w:r>
      <w:r w:rsidRPr="00B26E25">
        <w:rPr>
          <w:szCs w:val="24"/>
          <w:lang w:val="fr-CA"/>
        </w:rPr>
        <w:t>me marie, j</w:t>
      </w:r>
      <w:r w:rsidR="00C7175C" w:rsidRPr="00B26E25">
        <w:rPr>
          <w:szCs w:val="24"/>
          <w:lang w:val="fr-CA"/>
        </w:rPr>
        <w:t>’</w:t>
      </w:r>
      <w:r w:rsidRPr="00B26E25">
        <w:rPr>
          <w:szCs w:val="24"/>
          <w:lang w:val="fr-CA"/>
        </w:rPr>
        <w:t>me marie pas</w:t>
      </w:r>
      <w:r w:rsidR="008617B7" w:rsidRPr="00B26E25">
        <w:rPr>
          <w:szCs w:val="24"/>
          <w:lang w:val="fr-CA"/>
        </w:rPr>
        <w:t>”</w:t>
      </w:r>
      <w:r w:rsidRPr="00B26E25">
        <w:rPr>
          <w:szCs w:val="24"/>
          <w:lang w:val="fr-CA"/>
        </w:rPr>
        <w:t>, dans Pierre</w:t>
      </w:r>
      <w:r w:rsidR="00C7175C" w:rsidRPr="00B26E25">
        <w:rPr>
          <w:szCs w:val="24"/>
          <w:lang w:val="fr-CA"/>
        </w:rPr>
        <w:noBreakHyphen/>
      </w:r>
      <w:r w:rsidRPr="00B26E25">
        <w:rPr>
          <w:szCs w:val="24"/>
          <w:lang w:val="fr-CA"/>
        </w:rPr>
        <w:t xml:space="preserve">Claude Lafond et Brigitte Lefebvre, dir., </w:t>
      </w:r>
      <w:r w:rsidRPr="00B26E25">
        <w:rPr>
          <w:i/>
          <w:szCs w:val="24"/>
          <w:lang w:val="fr-CA"/>
        </w:rPr>
        <w:t>L</w:t>
      </w:r>
      <w:r w:rsidR="00C7175C" w:rsidRPr="00B26E25">
        <w:rPr>
          <w:i/>
          <w:szCs w:val="24"/>
          <w:lang w:val="fr-CA"/>
        </w:rPr>
        <w:t>’</w:t>
      </w:r>
      <w:r w:rsidRPr="00B26E25">
        <w:rPr>
          <w:i/>
          <w:szCs w:val="24"/>
          <w:lang w:val="fr-CA"/>
        </w:rPr>
        <w:t>union civile:</w:t>
      </w:r>
      <w:r w:rsidR="008617B7" w:rsidRPr="00B26E25">
        <w:rPr>
          <w:i/>
          <w:szCs w:val="24"/>
          <w:lang w:val="fr-CA"/>
        </w:rPr>
        <w:t xml:space="preserve"> </w:t>
      </w:r>
      <w:r w:rsidRPr="00B26E25">
        <w:rPr>
          <w:i/>
          <w:szCs w:val="24"/>
          <w:lang w:val="fr-CA"/>
        </w:rPr>
        <w:t xml:space="preserve"> nouveaux modèles de conjugalité et de parentalité au 21</w:t>
      </w:r>
      <w:r w:rsidRPr="00B26E25">
        <w:rPr>
          <w:i/>
          <w:szCs w:val="24"/>
          <w:vertAlign w:val="superscript"/>
          <w:lang w:val="fr-CA"/>
        </w:rPr>
        <w:t>e</w:t>
      </w:r>
      <w:r w:rsidRPr="00B26E25">
        <w:rPr>
          <w:i/>
          <w:szCs w:val="24"/>
          <w:lang w:val="fr-CA"/>
        </w:rPr>
        <w:t xml:space="preserve"> siècle</w:t>
      </w:r>
      <w:r w:rsidRPr="00B26E25">
        <w:rPr>
          <w:szCs w:val="24"/>
          <w:lang w:val="fr-CA"/>
        </w:rPr>
        <w:t xml:space="preserve">.  </w:t>
      </w:r>
      <w:r w:rsidRPr="00120C3F">
        <w:rPr>
          <w:szCs w:val="24"/>
          <w:lang w:val="fr-CA"/>
        </w:rPr>
        <w:t>Cowansville, Qué.:</w:t>
      </w:r>
      <w:r w:rsidR="008617B7" w:rsidRPr="00120C3F">
        <w:rPr>
          <w:szCs w:val="24"/>
          <w:lang w:val="fr-CA"/>
        </w:rPr>
        <w:t xml:space="preserve"> </w:t>
      </w:r>
      <w:r w:rsidRPr="00120C3F">
        <w:rPr>
          <w:szCs w:val="24"/>
          <w:lang w:val="fr-CA"/>
        </w:rPr>
        <w:t xml:space="preserve"> Yvon Blais, 2003, 101.</w:t>
      </w:r>
    </w:p>
    <w:p w:rsidR="006D127C" w:rsidRPr="00B26E25" w:rsidRDefault="006D127C" w:rsidP="006D127C">
      <w:pPr>
        <w:pStyle w:val="SCCNormalDoubleSpacing"/>
        <w:spacing w:after="240" w:line="240" w:lineRule="auto"/>
        <w:ind w:left="540" w:hanging="540"/>
        <w:rPr>
          <w:szCs w:val="24"/>
          <w:lang w:val="fr-CA"/>
        </w:rPr>
      </w:pPr>
      <w:r w:rsidRPr="00B26E25">
        <w:rPr>
          <w:i/>
          <w:szCs w:val="24"/>
          <w:lang w:val="fr-CA"/>
        </w:rPr>
        <w:t>Traité de droit civil du Québec</w:t>
      </w:r>
      <w:r w:rsidRPr="00B26E25">
        <w:rPr>
          <w:szCs w:val="24"/>
          <w:lang w:val="fr-CA"/>
        </w:rPr>
        <w:t>, t. 10</w:t>
      </w:r>
      <w:r>
        <w:rPr>
          <w:szCs w:val="24"/>
          <w:lang w:val="fr-CA"/>
        </w:rPr>
        <w:t>,</w:t>
      </w:r>
      <w:r w:rsidRPr="006D127C">
        <w:rPr>
          <w:szCs w:val="24"/>
          <w:lang w:val="fr-CA"/>
        </w:rPr>
        <w:t xml:space="preserve"> </w:t>
      </w:r>
      <w:r>
        <w:rPr>
          <w:szCs w:val="24"/>
          <w:lang w:val="fr-CA"/>
        </w:rPr>
        <w:t>par Léon Faribault.</w:t>
      </w:r>
      <w:r w:rsidRPr="00B26E25">
        <w:rPr>
          <w:szCs w:val="24"/>
          <w:lang w:val="fr-CA"/>
        </w:rPr>
        <w:t xml:space="preserve">  Montréal:  Wilson et Lafleur, 1952.</w:t>
      </w:r>
    </w:p>
    <w:p w:rsidR="001364FB" w:rsidRPr="00B26E25" w:rsidRDefault="001364FB" w:rsidP="002E737F">
      <w:pPr>
        <w:pStyle w:val="SCCNormalDoubleSpacing"/>
        <w:spacing w:after="240" w:line="240" w:lineRule="auto"/>
        <w:ind w:left="540" w:hanging="540"/>
        <w:rPr>
          <w:szCs w:val="24"/>
          <w:lang w:val="en-US"/>
        </w:rPr>
      </w:pPr>
      <w:r w:rsidRPr="006D127C">
        <w:rPr>
          <w:szCs w:val="24"/>
          <w:lang w:val="fr-CA"/>
        </w:rPr>
        <w:t xml:space="preserve">Tremblay, Luc B.  </w:t>
      </w:r>
      <w:r w:rsidR="008617B7" w:rsidRPr="00B26E25">
        <w:rPr>
          <w:szCs w:val="24"/>
          <w:lang w:val="en-US"/>
        </w:rPr>
        <w:t>“</w:t>
      </w:r>
      <w:r w:rsidRPr="00B26E25">
        <w:rPr>
          <w:szCs w:val="24"/>
          <w:lang w:val="en-US"/>
        </w:rPr>
        <w:t>Promoting Equality and Combating Discrimination Through Affirmative Action:</w:t>
      </w:r>
      <w:r w:rsidR="008617B7" w:rsidRPr="00B26E25">
        <w:rPr>
          <w:szCs w:val="24"/>
          <w:lang w:val="en-US"/>
        </w:rPr>
        <w:t xml:space="preserve"> </w:t>
      </w:r>
      <w:r w:rsidRPr="00B26E25">
        <w:rPr>
          <w:szCs w:val="24"/>
          <w:lang w:val="en-US"/>
        </w:rPr>
        <w:t xml:space="preserve"> The Same Challenge?  Questioning the Canadian Substantive Equality Paradigm</w:t>
      </w:r>
      <w:r w:rsidR="008617B7" w:rsidRPr="00B26E25">
        <w:rPr>
          <w:szCs w:val="24"/>
          <w:lang w:val="en-US"/>
        </w:rPr>
        <w:t>”</w:t>
      </w:r>
      <w:r w:rsidRPr="00B26E25">
        <w:rPr>
          <w:szCs w:val="24"/>
          <w:lang w:val="en-US"/>
        </w:rPr>
        <w:t xml:space="preserve"> (2012), 60 </w:t>
      </w:r>
      <w:r w:rsidRPr="00B26E25">
        <w:rPr>
          <w:i/>
          <w:szCs w:val="24"/>
          <w:lang w:val="en-US"/>
        </w:rPr>
        <w:t>Am. J. Com</w:t>
      </w:r>
      <w:r w:rsidR="00C7175C" w:rsidRPr="00B26E25">
        <w:rPr>
          <w:i/>
          <w:szCs w:val="24"/>
          <w:lang w:val="en-US"/>
        </w:rPr>
        <w:t>p. </w:t>
      </w:r>
      <w:r w:rsidRPr="00B26E25">
        <w:rPr>
          <w:i/>
          <w:szCs w:val="24"/>
          <w:lang w:val="en-US"/>
        </w:rPr>
        <w:t>L.</w:t>
      </w:r>
      <w:r w:rsidRPr="00B26E25">
        <w:rPr>
          <w:szCs w:val="24"/>
          <w:lang w:val="en-US"/>
        </w:rPr>
        <w:t xml:space="preserve"> 181.</w:t>
      </w:r>
    </w:p>
    <w:p w:rsidR="001364FB" w:rsidRPr="00B26E25" w:rsidRDefault="001364FB" w:rsidP="002E737F">
      <w:pPr>
        <w:pStyle w:val="SCCNormalDoubleSpacing"/>
        <w:spacing w:after="240" w:line="240" w:lineRule="auto"/>
        <w:ind w:left="540" w:hanging="540"/>
        <w:rPr>
          <w:szCs w:val="24"/>
          <w:lang w:val="en-US"/>
        </w:rPr>
      </w:pPr>
      <w:r w:rsidRPr="00B26E25">
        <w:rPr>
          <w:szCs w:val="24"/>
          <w:lang w:val="en-US"/>
        </w:rPr>
        <w:t xml:space="preserve">Young, Margot.  </w:t>
      </w:r>
      <w:r w:rsidR="008617B7" w:rsidRPr="00B26E25">
        <w:rPr>
          <w:szCs w:val="24"/>
          <w:lang w:val="en-US"/>
        </w:rPr>
        <w:t>“</w:t>
      </w:r>
      <w:r w:rsidRPr="00B26E25">
        <w:rPr>
          <w:szCs w:val="24"/>
          <w:lang w:val="en-US"/>
        </w:rPr>
        <w:t>Blissed Out:</w:t>
      </w:r>
      <w:r w:rsidR="008617B7" w:rsidRPr="00B26E25">
        <w:rPr>
          <w:szCs w:val="24"/>
          <w:lang w:val="en-US"/>
        </w:rPr>
        <w:t xml:space="preserve"> </w:t>
      </w:r>
      <w:r w:rsidRPr="00B26E25">
        <w:rPr>
          <w:szCs w:val="24"/>
          <w:lang w:val="en-US"/>
        </w:rPr>
        <w:t xml:space="preserve"> Section 15 at Twenty</w:t>
      </w:r>
      <w:r w:rsidR="008617B7" w:rsidRPr="00B26E25">
        <w:rPr>
          <w:szCs w:val="24"/>
          <w:lang w:val="en-US"/>
        </w:rPr>
        <w:t>”</w:t>
      </w:r>
      <w:r w:rsidRPr="00B26E25">
        <w:rPr>
          <w:szCs w:val="24"/>
          <w:lang w:val="en-US"/>
        </w:rPr>
        <w:t xml:space="preserve">, in Sheila McIntyre and Sanda Rodgers, eds., </w:t>
      </w:r>
      <w:r w:rsidRPr="00B26E25">
        <w:rPr>
          <w:i/>
          <w:szCs w:val="24"/>
          <w:lang w:val="en-US"/>
        </w:rPr>
        <w:t>Diminishing Returns:</w:t>
      </w:r>
      <w:r w:rsidR="008617B7" w:rsidRPr="00B26E25">
        <w:rPr>
          <w:i/>
          <w:szCs w:val="24"/>
          <w:lang w:val="en-US"/>
        </w:rPr>
        <w:t xml:space="preserve"> </w:t>
      </w:r>
      <w:r w:rsidRPr="00B26E25">
        <w:rPr>
          <w:i/>
          <w:szCs w:val="24"/>
          <w:lang w:val="en-US"/>
        </w:rPr>
        <w:t xml:space="preserve"> Inequality and the Canadian Charter of Rights and Freedoms</w:t>
      </w:r>
      <w:r w:rsidRPr="00B26E25">
        <w:rPr>
          <w:szCs w:val="24"/>
          <w:lang w:val="en-US"/>
        </w:rPr>
        <w:t>.  Markham, Ont.:</w:t>
      </w:r>
      <w:r w:rsidR="008617B7" w:rsidRPr="00B26E25">
        <w:rPr>
          <w:szCs w:val="24"/>
          <w:lang w:val="en-US"/>
        </w:rPr>
        <w:t xml:space="preserve"> </w:t>
      </w:r>
      <w:r w:rsidRPr="00B26E25">
        <w:rPr>
          <w:szCs w:val="24"/>
          <w:lang w:val="en-US"/>
        </w:rPr>
        <w:t xml:space="preserve"> LexisNexis </w:t>
      </w:r>
      <w:r w:rsidR="00E62177" w:rsidRPr="00B26E25">
        <w:rPr>
          <w:szCs w:val="24"/>
          <w:lang w:val="en-US"/>
        </w:rPr>
        <w:t>Canada</w:t>
      </w:r>
      <w:r w:rsidRPr="00B26E25">
        <w:rPr>
          <w:szCs w:val="24"/>
          <w:lang w:val="en-US"/>
        </w:rPr>
        <w:t>, 2006, 45.</w:t>
      </w:r>
    </w:p>
    <w:p w:rsidR="001364FB" w:rsidRPr="00B26E25" w:rsidRDefault="001364FB" w:rsidP="002E737F">
      <w:pPr>
        <w:pStyle w:val="SCCNormalDoubleSpacing"/>
        <w:spacing w:after="720" w:line="240" w:lineRule="auto"/>
        <w:ind w:left="539" w:hanging="539"/>
        <w:rPr>
          <w:szCs w:val="24"/>
          <w:lang w:val="en-US"/>
        </w:rPr>
      </w:pPr>
      <w:r w:rsidRPr="00B26E25">
        <w:rPr>
          <w:szCs w:val="24"/>
          <w:lang w:val="en-US"/>
        </w:rPr>
        <w:t xml:space="preserve">Young, Margot.  </w:t>
      </w:r>
      <w:r w:rsidR="008617B7" w:rsidRPr="00B26E25">
        <w:rPr>
          <w:szCs w:val="24"/>
          <w:lang w:val="en-US"/>
        </w:rPr>
        <w:t>“</w:t>
      </w:r>
      <w:r w:rsidRPr="00B26E25">
        <w:rPr>
          <w:szCs w:val="24"/>
          <w:lang w:val="en-US"/>
        </w:rPr>
        <w:t>Unequal to the Task:</w:t>
      </w:r>
      <w:r w:rsidR="008617B7" w:rsidRPr="00B26E25">
        <w:rPr>
          <w:szCs w:val="24"/>
          <w:lang w:val="en-US"/>
        </w:rPr>
        <w:t xml:space="preserve"> </w:t>
      </w:r>
      <w:r w:rsidRPr="00B26E25">
        <w:rPr>
          <w:szCs w:val="24"/>
          <w:lang w:val="en-US"/>
        </w:rPr>
        <w:t xml:space="preserve"> </w:t>
      </w:r>
      <w:r w:rsidR="00C7175C" w:rsidRPr="00B26E25">
        <w:rPr>
          <w:szCs w:val="24"/>
          <w:lang w:val="en-US"/>
        </w:rPr>
        <w:t>‘</w:t>
      </w:r>
      <w:r w:rsidRPr="00B26E25">
        <w:rPr>
          <w:szCs w:val="24"/>
          <w:lang w:val="en-US"/>
        </w:rPr>
        <w:t>Kapp</w:t>
      </w:r>
      <w:r w:rsidR="00C7175C" w:rsidRPr="00B26E25">
        <w:rPr>
          <w:szCs w:val="24"/>
          <w:lang w:val="en-US"/>
        </w:rPr>
        <w:t>’</w:t>
      </w:r>
      <w:r w:rsidRPr="00B26E25">
        <w:rPr>
          <w:szCs w:val="24"/>
          <w:lang w:val="en-US"/>
        </w:rPr>
        <w:t>ing the Substantive Potential of Section 15</w:t>
      </w:r>
      <w:r w:rsidR="008617B7" w:rsidRPr="00B26E25">
        <w:rPr>
          <w:szCs w:val="24"/>
          <w:lang w:val="en-US"/>
        </w:rPr>
        <w:t>”</w:t>
      </w:r>
      <w:r w:rsidRPr="00B26E25">
        <w:rPr>
          <w:szCs w:val="24"/>
          <w:lang w:val="en-US"/>
        </w:rPr>
        <w:t xml:space="preserve">, in Sanda Rodgers and Sheila McIntyre, eds., </w:t>
      </w:r>
      <w:r w:rsidRPr="00B26E25">
        <w:rPr>
          <w:i/>
          <w:szCs w:val="24"/>
          <w:lang w:val="en-US"/>
        </w:rPr>
        <w:t>The Supreme Court of Canada and Social Justice:</w:t>
      </w:r>
      <w:r w:rsidR="008617B7" w:rsidRPr="00B26E25">
        <w:rPr>
          <w:i/>
          <w:szCs w:val="24"/>
          <w:lang w:val="en-US"/>
        </w:rPr>
        <w:t xml:space="preserve"> </w:t>
      </w:r>
      <w:r w:rsidRPr="00B26E25">
        <w:rPr>
          <w:i/>
          <w:szCs w:val="24"/>
          <w:lang w:val="en-US"/>
        </w:rPr>
        <w:t xml:space="preserve"> Commitment, Retrenchment or Retreat</w:t>
      </w:r>
      <w:r w:rsidRPr="00B26E25">
        <w:rPr>
          <w:szCs w:val="24"/>
          <w:lang w:val="en-US"/>
        </w:rPr>
        <w:t>.  Markham, Ont.:</w:t>
      </w:r>
      <w:r w:rsidR="008617B7" w:rsidRPr="00B26E25">
        <w:rPr>
          <w:szCs w:val="24"/>
          <w:lang w:val="en-US"/>
        </w:rPr>
        <w:t xml:space="preserve"> </w:t>
      </w:r>
      <w:r w:rsidRPr="00B26E25">
        <w:rPr>
          <w:szCs w:val="24"/>
          <w:lang w:val="en-US"/>
        </w:rPr>
        <w:t xml:space="preserve"> LexisNexis, 2010, 183.</w:t>
      </w:r>
    </w:p>
    <w:p w:rsidR="00656313" w:rsidRPr="00B26E25" w:rsidRDefault="009B57B3" w:rsidP="006F13D5">
      <w:pPr>
        <w:pStyle w:val="SCCNormalDoubleSpacing"/>
        <w:spacing w:after="480"/>
        <w:rPr>
          <w:szCs w:val="24"/>
          <w:lang w:val="en-US"/>
        </w:rPr>
      </w:pPr>
      <w:r w:rsidRPr="00B26E25">
        <w:rPr>
          <w:szCs w:val="24"/>
          <w:lang w:val="en-US"/>
        </w:rPr>
        <w:tab/>
      </w:r>
      <w:r w:rsidRPr="00B26E25">
        <w:rPr>
          <w:szCs w:val="24"/>
        </w:rPr>
        <w:t>APPEAL</w:t>
      </w:r>
      <w:r w:rsidR="00792AD3" w:rsidRPr="00B26E25">
        <w:rPr>
          <w:szCs w:val="24"/>
        </w:rPr>
        <w:t>S</w:t>
      </w:r>
      <w:r w:rsidRPr="00B26E25">
        <w:rPr>
          <w:szCs w:val="24"/>
        </w:rPr>
        <w:t xml:space="preserve"> from a judgment of the </w:t>
      </w:r>
      <w:r w:rsidR="00E40231" w:rsidRPr="00B26E25">
        <w:rPr>
          <w:szCs w:val="24"/>
        </w:rPr>
        <w:t xml:space="preserve">Quebec </w:t>
      </w:r>
      <w:r w:rsidRPr="00B26E25">
        <w:rPr>
          <w:szCs w:val="24"/>
        </w:rPr>
        <w:t xml:space="preserve">Court of Appeal </w:t>
      </w:r>
      <w:r w:rsidR="006B14EA" w:rsidRPr="00B26E25">
        <w:rPr>
          <w:szCs w:val="24"/>
        </w:rPr>
        <w:t>(Beauregard, Dutil and Giroux</w:t>
      </w:r>
      <w:r w:rsidR="00B03F5F" w:rsidRPr="00B26E25">
        <w:rPr>
          <w:szCs w:val="24"/>
        </w:rPr>
        <w:t> </w:t>
      </w:r>
      <w:r w:rsidR="006B14EA" w:rsidRPr="00B26E25">
        <w:rPr>
          <w:szCs w:val="24"/>
        </w:rPr>
        <w:t xml:space="preserve">JJ.A.), 2010 QCCA 1978, </w:t>
      </w:r>
      <w:r w:rsidR="00935B26" w:rsidRPr="00B26E25">
        <w:rPr>
          <w:szCs w:val="24"/>
        </w:rPr>
        <w:t xml:space="preserve">[2010] R.J.Q. 2259, [2010] R.D.F. 659, </w:t>
      </w:r>
      <w:r w:rsidR="00A3108E" w:rsidRPr="00B26E25">
        <w:rPr>
          <w:szCs w:val="24"/>
        </w:rPr>
        <w:t xml:space="preserve">89 R.F.L. (6th) 1, </w:t>
      </w:r>
      <w:r w:rsidR="00935B26" w:rsidRPr="00B26E25">
        <w:rPr>
          <w:szCs w:val="24"/>
        </w:rPr>
        <w:t xml:space="preserve">[2010] Q.J. </w:t>
      </w:r>
      <w:r w:rsidR="00C7175C" w:rsidRPr="00B26E25">
        <w:rPr>
          <w:szCs w:val="24"/>
        </w:rPr>
        <w:t>No. </w:t>
      </w:r>
      <w:r w:rsidR="00935B26" w:rsidRPr="00B26E25">
        <w:rPr>
          <w:szCs w:val="24"/>
        </w:rPr>
        <w:t xml:space="preserve">11091 (QL), 2010 CarswellQue </w:t>
      </w:r>
      <w:r w:rsidR="00B273F5" w:rsidRPr="00B26E25">
        <w:rPr>
          <w:szCs w:val="24"/>
        </w:rPr>
        <w:t>15654</w:t>
      </w:r>
      <w:r w:rsidR="00935B26" w:rsidRPr="00B26E25">
        <w:rPr>
          <w:szCs w:val="24"/>
        </w:rPr>
        <w:t xml:space="preserve">, </w:t>
      </w:r>
      <w:r w:rsidR="0086759C" w:rsidRPr="00B26E25">
        <w:rPr>
          <w:szCs w:val="24"/>
          <w:lang w:val="en-US"/>
        </w:rPr>
        <w:t>SOQUIJ AZ</w:t>
      </w:r>
      <w:r w:rsidR="00C7175C" w:rsidRPr="00B26E25">
        <w:rPr>
          <w:szCs w:val="24"/>
          <w:lang w:val="en-US"/>
        </w:rPr>
        <w:noBreakHyphen/>
      </w:r>
      <w:r w:rsidR="0086759C" w:rsidRPr="00B26E25">
        <w:rPr>
          <w:szCs w:val="24"/>
          <w:lang w:val="en-US"/>
        </w:rPr>
        <w:t xml:space="preserve">50685017, </w:t>
      </w:r>
      <w:r w:rsidR="00A3108E" w:rsidRPr="00B26E25">
        <w:rPr>
          <w:szCs w:val="24"/>
          <w:lang w:val="en-US"/>
        </w:rPr>
        <w:t xml:space="preserve">affirming </w:t>
      </w:r>
      <w:r w:rsidR="00A860B0" w:rsidRPr="00B26E25">
        <w:rPr>
          <w:szCs w:val="24"/>
          <w:lang w:val="en-US"/>
        </w:rPr>
        <w:t xml:space="preserve">in part </w:t>
      </w:r>
      <w:r w:rsidR="00A3108E" w:rsidRPr="00B26E25">
        <w:rPr>
          <w:szCs w:val="24"/>
          <w:lang w:val="en-US"/>
        </w:rPr>
        <w:t>a decision of Hall</w:t>
      </w:r>
      <w:r w:rsidR="007931D8" w:rsidRPr="00B26E25">
        <w:rPr>
          <w:szCs w:val="24"/>
          <w:lang w:val="en-US"/>
        </w:rPr>
        <w:t>é</w:t>
      </w:r>
      <w:r w:rsidR="00A3108E" w:rsidRPr="00B26E25">
        <w:rPr>
          <w:szCs w:val="24"/>
          <w:lang w:val="en-US"/>
        </w:rPr>
        <w:t>e J., 2009 QCCS 3210, [2009] R.J.Q.</w:t>
      </w:r>
      <w:r w:rsidR="007B56D0">
        <w:rPr>
          <w:szCs w:val="24"/>
          <w:lang w:val="en-US"/>
        </w:rPr>
        <w:t xml:space="preserve"> 2070</w:t>
      </w:r>
      <w:r w:rsidR="00A3108E" w:rsidRPr="007B56D0">
        <w:rPr>
          <w:szCs w:val="24"/>
          <w:lang w:val="en-US"/>
        </w:rPr>
        <w:t>, [2009] R.D.F. 545, 67 R.F.L. (6th) 315,</w:t>
      </w:r>
      <w:r w:rsidR="00622033" w:rsidRPr="007B56D0">
        <w:rPr>
          <w:szCs w:val="24"/>
          <w:lang w:val="en-US"/>
        </w:rPr>
        <w:t xml:space="preserve"> </w:t>
      </w:r>
      <w:r w:rsidR="009872E9" w:rsidRPr="007B56D0">
        <w:rPr>
          <w:szCs w:val="24"/>
          <w:lang w:val="en-US"/>
        </w:rPr>
        <w:t xml:space="preserve">[2009] Q.J. </w:t>
      </w:r>
      <w:r w:rsidR="00C7175C" w:rsidRPr="007B56D0">
        <w:rPr>
          <w:szCs w:val="24"/>
          <w:lang w:val="en-US"/>
        </w:rPr>
        <w:t>No. </w:t>
      </w:r>
      <w:r w:rsidR="009872E9" w:rsidRPr="007B56D0">
        <w:rPr>
          <w:szCs w:val="24"/>
          <w:lang w:val="en-US"/>
        </w:rPr>
        <w:t>7153 (QL), 2009 CarswellQue 14051</w:t>
      </w:r>
      <w:r w:rsidR="0086759C" w:rsidRPr="007B56D0">
        <w:rPr>
          <w:szCs w:val="24"/>
          <w:lang w:val="en-US"/>
        </w:rPr>
        <w:t>, SOQUIJ AZ</w:t>
      </w:r>
      <w:r w:rsidR="00C7175C" w:rsidRPr="007B56D0">
        <w:rPr>
          <w:szCs w:val="24"/>
          <w:lang w:val="en-US"/>
        </w:rPr>
        <w:noBreakHyphen/>
      </w:r>
      <w:r w:rsidR="0086759C" w:rsidRPr="007B56D0">
        <w:rPr>
          <w:szCs w:val="24"/>
          <w:lang w:val="en-US"/>
        </w:rPr>
        <w:t>50566038</w:t>
      </w:r>
      <w:r w:rsidR="009872E9" w:rsidRPr="007B56D0">
        <w:rPr>
          <w:szCs w:val="24"/>
          <w:lang w:val="en-US"/>
        </w:rPr>
        <w:t xml:space="preserve">.  </w:t>
      </w:r>
      <w:r w:rsidR="009872E9" w:rsidRPr="00B26E25">
        <w:rPr>
          <w:szCs w:val="24"/>
          <w:lang w:val="en-US"/>
        </w:rPr>
        <w:t>Appeal</w:t>
      </w:r>
      <w:r w:rsidR="00792AD3" w:rsidRPr="00B26E25">
        <w:rPr>
          <w:szCs w:val="24"/>
          <w:lang w:val="en-US"/>
        </w:rPr>
        <w:t>s</w:t>
      </w:r>
      <w:r w:rsidR="009872E9" w:rsidRPr="00B26E25">
        <w:rPr>
          <w:szCs w:val="24"/>
          <w:lang w:val="en-US"/>
        </w:rPr>
        <w:t xml:space="preserve"> </w:t>
      </w:r>
      <w:r w:rsidR="00A860B0" w:rsidRPr="00B26E25">
        <w:rPr>
          <w:szCs w:val="24"/>
          <w:lang w:val="en-US"/>
        </w:rPr>
        <w:t>of the Attorney General of Quebec and B allowed, appeal of A dismissed</w:t>
      </w:r>
      <w:r w:rsidR="000F4F22" w:rsidRPr="00B26E25">
        <w:rPr>
          <w:szCs w:val="24"/>
          <w:lang w:val="en-US"/>
        </w:rPr>
        <w:t xml:space="preserve">, </w:t>
      </w:r>
      <w:r w:rsidR="009A41EC" w:rsidRPr="00B26E25">
        <w:rPr>
          <w:szCs w:val="24"/>
          <w:lang w:val="en-US"/>
        </w:rPr>
        <w:t>Deschamps, Cromwell and Karakatsanis</w:t>
      </w:r>
      <w:r w:rsidR="00F74EE8" w:rsidRPr="00B26E25">
        <w:rPr>
          <w:szCs w:val="24"/>
          <w:lang w:val="en-US"/>
        </w:rPr>
        <w:t> </w:t>
      </w:r>
      <w:r w:rsidR="009A41EC" w:rsidRPr="00B26E25">
        <w:rPr>
          <w:szCs w:val="24"/>
          <w:lang w:val="en-US"/>
        </w:rPr>
        <w:t>J</w:t>
      </w:r>
      <w:r w:rsidR="000F4F22" w:rsidRPr="00B26E25">
        <w:rPr>
          <w:szCs w:val="24"/>
          <w:lang w:val="en-US"/>
        </w:rPr>
        <w:t>J. dissenting</w:t>
      </w:r>
      <w:r w:rsidR="009A41EC" w:rsidRPr="00B26E25">
        <w:rPr>
          <w:szCs w:val="24"/>
          <w:lang w:val="en-US"/>
        </w:rPr>
        <w:t xml:space="preserve"> in part</w:t>
      </w:r>
      <w:r w:rsidR="00A860B0" w:rsidRPr="00B26E25">
        <w:rPr>
          <w:szCs w:val="24"/>
          <w:lang w:val="en-US"/>
        </w:rPr>
        <w:t xml:space="preserve"> in the result and</w:t>
      </w:r>
      <w:r w:rsidR="00DA62B3" w:rsidRPr="00B26E25">
        <w:rPr>
          <w:szCs w:val="24"/>
          <w:lang w:val="en-US"/>
        </w:rPr>
        <w:t xml:space="preserve"> Abella</w:t>
      </w:r>
      <w:r w:rsidR="00F74EE8" w:rsidRPr="00B26E25">
        <w:rPr>
          <w:szCs w:val="24"/>
          <w:lang w:val="en-US"/>
        </w:rPr>
        <w:t> </w:t>
      </w:r>
      <w:r w:rsidR="00DA62B3" w:rsidRPr="00B26E25">
        <w:rPr>
          <w:szCs w:val="24"/>
          <w:lang w:val="en-US"/>
        </w:rPr>
        <w:t>J. dissenting</w:t>
      </w:r>
      <w:r w:rsidR="00A860B0" w:rsidRPr="00B26E25">
        <w:rPr>
          <w:szCs w:val="24"/>
          <w:lang w:val="en-US"/>
        </w:rPr>
        <w:t xml:space="preserve"> in the result</w:t>
      </w:r>
      <w:r w:rsidR="009872E9" w:rsidRPr="00B26E25">
        <w:rPr>
          <w:szCs w:val="24"/>
          <w:lang w:val="en-US"/>
        </w:rPr>
        <w:t>.</w:t>
      </w:r>
    </w:p>
    <w:p w:rsidR="009608C6" w:rsidRPr="00B26E25" w:rsidRDefault="00FE5BFF" w:rsidP="00F74EE8">
      <w:pPr>
        <w:pStyle w:val="SCCNormalDoubleSpacing"/>
        <w:spacing w:after="480"/>
        <w:rPr>
          <w:szCs w:val="24"/>
        </w:rPr>
      </w:pPr>
      <w:r w:rsidRPr="00B26E25">
        <w:rPr>
          <w:i/>
          <w:szCs w:val="24"/>
        </w:rPr>
        <w:tab/>
      </w:r>
      <w:r w:rsidR="00D01071" w:rsidRPr="00B26E25">
        <w:rPr>
          <w:i/>
          <w:szCs w:val="24"/>
          <w:lang w:val="en-US"/>
        </w:rPr>
        <w:t xml:space="preserve">Benoît </w:t>
      </w:r>
      <w:r w:rsidRPr="00B26E25">
        <w:rPr>
          <w:i/>
          <w:szCs w:val="24"/>
        </w:rPr>
        <w:t>Belleau</w:t>
      </w:r>
      <w:r w:rsidRPr="00B26E25">
        <w:rPr>
          <w:szCs w:val="24"/>
        </w:rPr>
        <w:t xml:space="preserve"> and </w:t>
      </w:r>
      <w:r w:rsidRPr="00B26E25">
        <w:rPr>
          <w:i/>
          <w:szCs w:val="24"/>
        </w:rPr>
        <w:t>Hugo Jean</w:t>
      </w:r>
      <w:r w:rsidRPr="00B26E25">
        <w:rPr>
          <w:szCs w:val="24"/>
        </w:rPr>
        <w:t>, for the appellant</w:t>
      </w:r>
      <w:r w:rsidR="002A5E9F" w:rsidRPr="00B26E25">
        <w:rPr>
          <w:szCs w:val="24"/>
        </w:rPr>
        <w:t>/respondent</w:t>
      </w:r>
      <w:r w:rsidR="00681DA8" w:rsidRPr="00B26E25">
        <w:rPr>
          <w:szCs w:val="24"/>
        </w:rPr>
        <w:t xml:space="preserve"> </w:t>
      </w:r>
      <w:r w:rsidR="00BE2DDA" w:rsidRPr="00B26E25">
        <w:rPr>
          <w:szCs w:val="24"/>
        </w:rPr>
        <w:t xml:space="preserve">the </w:t>
      </w:r>
      <w:r w:rsidR="00681DA8" w:rsidRPr="00B26E25">
        <w:rPr>
          <w:szCs w:val="24"/>
        </w:rPr>
        <w:t>Attorney General of Quebec.</w:t>
      </w:r>
    </w:p>
    <w:p w:rsidR="009608C6" w:rsidRPr="00B26E25" w:rsidRDefault="001F03FB" w:rsidP="00F74EE8">
      <w:pPr>
        <w:pStyle w:val="SCCNormalDoubleSpacing"/>
        <w:spacing w:after="480"/>
        <w:rPr>
          <w:szCs w:val="24"/>
        </w:rPr>
      </w:pPr>
      <w:r w:rsidRPr="00B26E25">
        <w:rPr>
          <w:i/>
          <w:szCs w:val="24"/>
        </w:rPr>
        <w:tab/>
        <w:t>Guy </w:t>
      </w:r>
      <w:r w:rsidR="00FE5BFF" w:rsidRPr="00B26E25">
        <w:rPr>
          <w:i/>
          <w:szCs w:val="24"/>
        </w:rPr>
        <w:t>J. Pratte</w:t>
      </w:r>
      <w:r w:rsidR="00FE5BFF" w:rsidRPr="00B26E25">
        <w:rPr>
          <w:szCs w:val="24"/>
        </w:rPr>
        <w:t xml:space="preserve"> and </w:t>
      </w:r>
      <w:r w:rsidR="00FE5BFF" w:rsidRPr="00B26E25">
        <w:rPr>
          <w:i/>
          <w:szCs w:val="24"/>
        </w:rPr>
        <w:t>Mark Phillips</w:t>
      </w:r>
      <w:r w:rsidR="00FE5BFF" w:rsidRPr="00B26E25">
        <w:rPr>
          <w:szCs w:val="24"/>
        </w:rPr>
        <w:t xml:space="preserve">, for the </w:t>
      </w:r>
      <w:r w:rsidR="00DA70CC" w:rsidRPr="00B26E25">
        <w:rPr>
          <w:szCs w:val="24"/>
        </w:rPr>
        <w:t>appellant</w:t>
      </w:r>
      <w:r w:rsidR="00DA70CC">
        <w:rPr>
          <w:szCs w:val="24"/>
        </w:rPr>
        <w:t>/respondent</w:t>
      </w:r>
      <w:r w:rsidR="00681DA8" w:rsidRPr="00B26E25">
        <w:rPr>
          <w:szCs w:val="24"/>
        </w:rPr>
        <w:t xml:space="preserve"> A</w:t>
      </w:r>
      <w:r w:rsidR="00FE5BFF" w:rsidRPr="00B26E25">
        <w:rPr>
          <w:szCs w:val="24"/>
        </w:rPr>
        <w:t>.</w:t>
      </w:r>
    </w:p>
    <w:p w:rsidR="009608C6" w:rsidRPr="00B26E25" w:rsidRDefault="00FE5BFF" w:rsidP="00F74EE8">
      <w:pPr>
        <w:pStyle w:val="SCCNormalDoubleSpacing"/>
        <w:spacing w:after="480"/>
        <w:rPr>
          <w:szCs w:val="24"/>
        </w:rPr>
      </w:pPr>
      <w:r w:rsidRPr="00B26E25">
        <w:rPr>
          <w:i/>
          <w:szCs w:val="24"/>
        </w:rPr>
        <w:tab/>
      </w:r>
      <w:r w:rsidR="00D01071" w:rsidRPr="00B26E25">
        <w:rPr>
          <w:i/>
          <w:szCs w:val="24"/>
          <w:lang w:val="en-US"/>
        </w:rPr>
        <w:t>Pierre Bienvenu</w:t>
      </w:r>
      <w:r w:rsidR="00D01071" w:rsidRPr="00B26E25">
        <w:rPr>
          <w:szCs w:val="24"/>
          <w:lang w:val="en-US"/>
        </w:rPr>
        <w:t xml:space="preserve">, </w:t>
      </w:r>
      <w:r w:rsidR="001F03FB" w:rsidRPr="00B26E25">
        <w:rPr>
          <w:i/>
          <w:szCs w:val="24"/>
          <w:lang w:val="en-US"/>
        </w:rPr>
        <w:t>Suzanne </w:t>
      </w:r>
      <w:r w:rsidR="00D01071" w:rsidRPr="00B26E25">
        <w:rPr>
          <w:i/>
          <w:szCs w:val="24"/>
          <w:lang w:val="en-US"/>
        </w:rPr>
        <w:t>H. Pringle</w:t>
      </w:r>
      <w:r w:rsidR="00D01071" w:rsidRPr="00B26E25">
        <w:rPr>
          <w:szCs w:val="24"/>
          <w:lang w:val="en-US"/>
        </w:rPr>
        <w:t xml:space="preserve">, </w:t>
      </w:r>
      <w:r w:rsidR="00D01071" w:rsidRPr="00B26E25">
        <w:rPr>
          <w:i/>
          <w:szCs w:val="24"/>
          <w:lang w:val="en-US"/>
        </w:rPr>
        <w:t>Catherine Martel</w:t>
      </w:r>
      <w:r w:rsidR="00D01071" w:rsidRPr="00B26E25">
        <w:rPr>
          <w:szCs w:val="24"/>
          <w:lang w:val="en-US"/>
        </w:rPr>
        <w:t xml:space="preserve"> and </w:t>
      </w:r>
      <w:r w:rsidR="00D01071" w:rsidRPr="00B26E25">
        <w:rPr>
          <w:i/>
          <w:szCs w:val="24"/>
          <w:lang w:val="en-US"/>
        </w:rPr>
        <w:t>Azim Hussain</w:t>
      </w:r>
      <w:r w:rsidRPr="00B26E25">
        <w:rPr>
          <w:szCs w:val="24"/>
        </w:rPr>
        <w:t xml:space="preserve">, for the </w:t>
      </w:r>
      <w:r w:rsidR="00BE2DDA" w:rsidRPr="00B26E25">
        <w:rPr>
          <w:szCs w:val="24"/>
        </w:rPr>
        <w:t>appellant/responden</w:t>
      </w:r>
      <w:r w:rsidRPr="00B26E25">
        <w:rPr>
          <w:szCs w:val="24"/>
        </w:rPr>
        <w:t>t</w:t>
      </w:r>
      <w:r w:rsidR="00BE2DDA" w:rsidRPr="00B26E25">
        <w:rPr>
          <w:szCs w:val="24"/>
        </w:rPr>
        <w:t xml:space="preserve"> B</w:t>
      </w:r>
      <w:r w:rsidRPr="00B26E25">
        <w:rPr>
          <w:szCs w:val="24"/>
        </w:rPr>
        <w:t>.</w:t>
      </w:r>
    </w:p>
    <w:p w:rsidR="009608C6" w:rsidRPr="00B26E25" w:rsidRDefault="00FE5BFF" w:rsidP="00F74EE8">
      <w:pPr>
        <w:pStyle w:val="SCCNormalDoubleSpacing"/>
        <w:spacing w:after="480"/>
        <w:rPr>
          <w:szCs w:val="24"/>
        </w:rPr>
      </w:pPr>
      <w:r w:rsidRPr="00B26E25">
        <w:rPr>
          <w:i/>
          <w:szCs w:val="24"/>
          <w:lang w:val="en-US"/>
        </w:rPr>
        <w:tab/>
      </w:r>
      <w:r w:rsidRPr="00B26E25">
        <w:rPr>
          <w:i/>
          <w:szCs w:val="24"/>
        </w:rPr>
        <w:t>Gaétan Migneault</w:t>
      </w:r>
      <w:r w:rsidRPr="00B26E25">
        <w:rPr>
          <w:szCs w:val="24"/>
        </w:rPr>
        <w:t xml:space="preserve">, for the intervener </w:t>
      </w:r>
      <w:r w:rsidR="002A5E9F" w:rsidRPr="00B26E25">
        <w:rPr>
          <w:szCs w:val="24"/>
        </w:rPr>
        <w:t xml:space="preserve">the </w:t>
      </w:r>
      <w:r w:rsidRPr="00B26E25">
        <w:rPr>
          <w:szCs w:val="24"/>
        </w:rPr>
        <w:t>Attorney General of New Brunswick.</w:t>
      </w:r>
    </w:p>
    <w:p w:rsidR="009608C6" w:rsidRPr="00B26E25" w:rsidRDefault="001F03FB" w:rsidP="00F74EE8">
      <w:pPr>
        <w:pStyle w:val="SCCNormalDoubleSpacing"/>
        <w:spacing w:after="480"/>
        <w:rPr>
          <w:szCs w:val="24"/>
        </w:rPr>
      </w:pPr>
      <w:r w:rsidRPr="00B26E25">
        <w:rPr>
          <w:i/>
          <w:szCs w:val="24"/>
        </w:rPr>
        <w:tab/>
        <w:t>Robert </w:t>
      </w:r>
      <w:r w:rsidR="00FE5BFF" w:rsidRPr="00B26E25">
        <w:rPr>
          <w:i/>
          <w:szCs w:val="24"/>
        </w:rPr>
        <w:t>J. Normey</w:t>
      </w:r>
      <w:r w:rsidR="00FE5BFF" w:rsidRPr="00B26E25">
        <w:rPr>
          <w:szCs w:val="24"/>
        </w:rPr>
        <w:t xml:space="preserve">, for the intervener </w:t>
      </w:r>
      <w:r w:rsidR="00D57596" w:rsidRPr="00B26E25">
        <w:rPr>
          <w:szCs w:val="24"/>
        </w:rPr>
        <w:t xml:space="preserve">the </w:t>
      </w:r>
      <w:r w:rsidR="00FE5BFF" w:rsidRPr="00B26E25">
        <w:rPr>
          <w:szCs w:val="24"/>
        </w:rPr>
        <w:t>Attorney General of Alberta.</w:t>
      </w:r>
    </w:p>
    <w:p w:rsidR="00D57596" w:rsidRPr="00B26E25" w:rsidRDefault="00D57596" w:rsidP="00F74EE8">
      <w:pPr>
        <w:pStyle w:val="SCCNormalDoubleSpacing"/>
        <w:spacing w:after="480"/>
        <w:rPr>
          <w:szCs w:val="24"/>
          <w:lang w:val="fr-CA"/>
        </w:rPr>
      </w:pPr>
      <w:r w:rsidRPr="00B26E25">
        <w:rPr>
          <w:i/>
          <w:szCs w:val="24"/>
        </w:rPr>
        <w:tab/>
      </w:r>
      <w:r w:rsidR="00D01071" w:rsidRPr="00B26E25">
        <w:rPr>
          <w:i/>
          <w:szCs w:val="24"/>
          <w:lang w:val="fr-CA"/>
        </w:rPr>
        <w:t>Jocelyn Verdon</w:t>
      </w:r>
      <w:r w:rsidR="00D01071" w:rsidRPr="00B26E25">
        <w:rPr>
          <w:szCs w:val="24"/>
          <w:lang w:val="fr-CA"/>
        </w:rPr>
        <w:t xml:space="preserve">, </w:t>
      </w:r>
      <w:r w:rsidR="00D01071" w:rsidRPr="00B26E25">
        <w:rPr>
          <w:i/>
          <w:szCs w:val="24"/>
          <w:lang w:val="fr-CA"/>
        </w:rPr>
        <w:t xml:space="preserve">Dominique Goubau </w:t>
      </w:r>
      <w:r w:rsidR="00D01071" w:rsidRPr="002B6941">
        <w:rPr>
          <w:szCs w:val="24"/>
          <w:lang w:val="fr-CA"/>
        </w:rPr>
        <w:t>and</w:t>
      </w:r>
      <w:r w:rsidR="00D01071" w:rsidRPr="00B26E25">
        <w:rPr>
          <w:i/>
          <w:szCs w:val="24"/>
          <w:lang w:val="fr-CA"/>
        </w:rPr>
        <w:t xml:space="preserve"> Mireille Pélissier</w:t>
      </w:r>
      <w:r w:rsidR="00C7175C" w:rsidRPr="00B26E25">
        <w:rPr>
          <w:i/>
          <w:szCs w:val="24"/>
          <w:lang w:val="fr-CA"/>
        </w:rPr>
        <w:noBreakHyphen/>
      </w:r>
      <w:r w:rsidR="00D01071" w:rsidRPr="00B26E25">
        <w:rPr>
          <w:i/>
          <w:szCs w:val="24"/>
          <w:lang w:val="fr-CA"/>
        </w:rPr>
        <w:t>Simard</w:t>
      </w:r>
      <w:r w:rsidRPr="00B26E25">
        <w:rPr>
          <w:szCs w:val="24"/>
          <w:lang w:val="fr-CA"/>
        </w:rPr>
        <w:t>, for the intervener Fédération des associations de familles monoparentales et recomposées du Québec.</w:t>
      </w:r>
    </w:p>
    <w:p w:rsidR="009608C6" w:rsidRPr="00B26E25" w:rsidRDefault="00FE5BFF" w:rsidP="00F74EE8">
      <w:pPr>
        <w:pStyle w:val="SCCNormalDoubleSpacing"/>
        <w:spacing w:after="480"/>
        <w:rPr>
          <w:szCs w:val="24"/>
        </w:rPr>
      </w:pPr>
      <w:r w:rsidRPr="00B26E25">
        <w:rPr>
          <w:i/>
          <w:szCs w:val="24"/>
          <w:lang w:val="fr-CA"/>
        </w:rPr>
        <w:tab/>
      </w:r>
      <w:r w:rsidR="00D01071" w:rsidRPr="00B26E25">
        <w:rPr>
          <w:i/>
          <w:szCs w:val="24"/>
          <w:lang w:val="en-US"/>
        </w:rPr>
        <w:t xml:space="preserve">Martha McCarthy </w:t>
      </w:r>
      <w:r w:rsidR="00D01071" w:rsidRPr="002B6941">
        <w:rPr>
          <w:szCs w:val="24"/>
          <w:lang w:val="en-US"/>
        </w:rPr>
        <w:t>and</w:t>
      </w:r>
      <w:r w:rsidR="00D01071" w:rsidRPr="00B26E25">
        <w:rPr>
          <w:i/>
          <w:szCs w:val="24"/>
          <w:lang w:val="en-US"/>
        </w:rPr>
        <w:t xml:space="preserve"> Johanne Elizabeth O</w:t>
      </w:r>
      <w:r w:rsidR="00C7175C" w:rsidRPr="00B26E25">
        <w:rPr>
          <w:i/>
          <w:szCs w:val="24"/>
          <w:lang w:val="en-US"/>
        </w:rPr>
        <w:t>’</w:t>
      </w:r>
      <w:r w:rsidR="00D01071" w:rsidRPr="00B26E25">
        <w:rPr>
          <w:i/>
          <w:szCs w:val="24"/>
          <w:lang w:val="en-US"/>
        </w:rPr>
        <w:t>Hanlon</w:t>
      </w:r>
      <w:r w:rsidRPr="00B26E25">
        <w:rPr>
          <w:szCs w:val="24"/>
        </w:rPr>
        <w:t xml:space="preserve">, for the intervener </w:t>
      </w:r>
      <w:r w:rsidR="00936DA2" w:rsidRPr="00B26E25">
        <w:rPr>
          <w:szCs w:val="24"/>
        </w:rPr>
        <w:t xml:space="preserve">the </w:t>
      </w:r>
      <w:r w:rsidRPr="00B26E25">
        <w:rPr>
          <w:szCs w:val="24"/>
        </w:rPr>
        <w:t>Women</w:t>
      </w:r>
      <w:r w:rsidR="00C7175C" w:rsidRPr="00B26E25">
        <w:rPr>
          <w:szCs w:val="24"/>
        </w:rPr>
        <w:t>’</w:t>
      </w:r>
      <w:r w:rsidRPr="00B26E25">
        <w:rPr>
          <w:szCs w:val="24"/>
        </w:rPr>
        <w:t>s Legal Education and Action Fund.</w:t>
      </w:r>
    </w:p>
    <w:p w:rsidR="00F12D71" w:rsidRPr="006C2702" w:rsidRDefault="006C2702" w:rsidP="001D274F">
      <w:pPr>
        <w:pStyle w:val="JudgeJuge"/>
        <w:spacing w:before="480" w:after="720"/>
        <w:jc w:val="both"/>
        <w:rPr>
          <w:szCs w:val="24"/>
          <w:lang w:val="en-CA"/>
        </w:rPr>
      </w:pPr>
      <w:r>
        <w:rPr>
          <w:szCs w:val="24"/>
          <w:lang w:val="en-CA"/>
        </w:rPr>
        <w:tab/>
      </w:r>
      <w:r w:rsidRPr="006C2702">
        <w:rPr>
          <w:rFonts w:eastAsiaTheme="minorEastAsia"/>
          <w:smallCaps w:val="0"/>
          <w:szCs w:val="24"/>
          <w:lang w:val="en-CA" w:eastAsia="en-US"/>
        </w:rPr>
        <w:t>English version of the judgment of LeBel, Fish, Rothstein and Moldaver JJ. delivered by</w:t>
      </w:r>
    </w:p>
    <w:p w:rsidR="004862B9" w:rsidRPr="00FA5D7E" w:rsidRDefault="00F12D71" w:rsidP="004862B9">
      <w:pPr>
        <w:pStyle w:val="JudgeJuge"/>
        <w:spacing w:before="480" w:after="720" w:line="240" w:lineRule="auto"/>
        <w:rPr>
          <w:szCs w:val="24"/>
          <w:lang w:val="en-CA"/>
        </w:rPr>
      </w:pPr>
      <w:r>
        <w:rPr>
          <w:szCs w:val="24"/>
          <w:lang w:val="en-CA"/>
        </w:rPr>
        <w:tab/>
      </w:r>
      <w:r w:rsidR="004862B9" w:rsidRPr="00FA5D7E">
        <w:rPr>
          <w:szCs w:val="24"/>
          <w:lang w:val="en-CA"/>
        </w:rPr>
        <w:t xml:space="preserve">LeBel J. — </w:t>
      </w:r>
    </w:p>
    <w:p w:rsidR="004862B9" w:rsidRPr="00FA5D7E" w:rsidRDefault="004862B9" w:rsidP="004862B9">
      <w:pPr>
        <w:pStyle w:val="TitleTitre-AltT"/>
        <w:rPr>
          <w:rFonts w:cs="Times New Roman"/>
          <w:szCs w:val="24"/>
          <w:lang w:val="en-CA"/>
        </w:rPr>
      </w:pPr>
      <w:r w:rsidRPr="00FA5D7E">
        <w:rPr>
          <w:rFonts w:cs="Times New Roman"/>
          <w:szCs w:val="24"/>
          <w:lang w:val="en-CA"/>
        </w:rPr>
        <w:t>I.</w:t>
      </w:r>
      <w:r w:rsidRPr="00FA5D7E">
        <w:rPr>
          <w:rFonts w:cs="Times New Roman"/>
          <w:szCs w:val="24"/>
          <w:lang w:val="en-CA"/>
        </w:rPr>
        <w:tab/>
      </w:r>
      <w:r w:rsidRPr="00FA5D7E">
        <w:rPr>
          <w:rFonts w:cs="Times New Roman"/>
          <w:szCs w:val="24"/>
          <w:u w:val="single"/>
          <w:lang w:val="en-CA"/>
        </w:rPr>
        <w:t>Introduction</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The issue raised by the parties in these appeals is whether it is valid to exclude </w:t>
      </w:r>
      <w:r w:rsidRPr="00FA5D7E">
        <w:rPr>
          <w:rFonts w:cs="Times New Roman"/>
          <w:i/>
          <w:szCs w:val="24"/>
        </w:rPr>
        <w:t>de facto</w:t>
      </w:r>
      <w:r w:rsidRPr="00FA5D7E">
        <w:rPr>
          <w:rFonts w:cs="Times New Roman"/>
          <w:szCs w:val="24"/>
        </w:rPr>
        <w:t xml:space="preserve"> spouses from the patrimonial and support rights granted to married and civil union spouses.  Does this exclusion violate the right to equality guaranteed by s. 15 of the </w:t>
      </w:r>
      <w:r w:rsidRPr="00FA5D7E">
        <w:rPr>
          <w:rFonts w:cs="Times New Roman"/>
          <w:i/>
          <w:szCs w:val="24"/>
        </w:rPr>
        <w:t>Canadian Charter of Rights and Freedoms</w:t>
      </w:r>
      <w:r w:rsidRPr="00FA5D7E">
        <w:rPr>
          <w:rFonts w:cs="Times New Roman"/>
          <w:szCs w:val="24"/>
        </w:rPr>
        <w:t xml:space="preserve"> (“</w:t>
      </w:r>
      <w:r w:rsidRPr="00FA5D7E">
        <w:rPr>
          <w:rFonts w:cs="Times New Roman"/>
          <w:i/>
          <w:szCs w:val="24"/>
        </w:rPr>
        <w:t>Charter</w:t>
      </w:r>
      <w:r w:rsidRPr="00FA5D7E">
        <w:rPr>
          <w:rFonts w:cs="Times New Roman"/>
          <w:szCs w:val="24"/>
        </w:rPr>
        <w:t xml:space="preserve">”)? </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The Court must determine whether the provisions of the </w:t>
      </w:r>
      <w:r w:rsidRPr="00FA5D7E">
        <w:rPr>
          <w:rFonts w:cs="Times New Roman"/>
          <w:i/>
          <w:szCs w:val="24"/>
        </w:rPr>
        <w:t>Civil Code of Québec</w:t>
      </w:r>
      <w:r w:rsidRPr="00FA5D7E">
        <w:rPr>
          <w:rFonts w:cs="Times New Roman"/>
          <w:szCs w:val="24"/>
        </w:rPr>
        <w:t>, S.Q. 1991, c. 64 (“</w:t>
      </w:r>
      <w:r w:rsidRPr="00FA5D7E">
        <w:rPr>
          <w:rFonts w:cs="Times New Roman"/>
          <w:i/>
          <w:szCs w:val="24"/>
        </w:rPr>
        <w:t>C.C.Q.</w:t>
      </w:r>
      <w:r w:rsidRPr="00FA5D7E">
        <w:rPr>
          <w:rFonts w:cs="Times New Roman"/>
          <w:szCs w:val="24"/>
        </w:rPr>
        <w:t xml:space="preserve">”), dealing with the family residence (arts. 401 </w:t>
      </w:r>
      <w:r w:rsidRPr="00FA5D7E">
        <w:rPr>
          <w:rFonts w:cs="Times New Roman"/>
          <w:i/>
          <w:szCs w:val="24"/>
        </w:rPr>
        <w:t>et seq.</w:t>
      </w:r>
      <w:r w:rsidRPr="00FA5D7E">
        <w:rPr>
          <w:rFonts w:cs="Times New Roman"/>
          <w:szCs w:val="24"/>
        </w:rPr>
        <w:t xml:space="preserve">), the family patrimony (arts. 414 </w:t>
      </w:r>
      <w:r w:rsidRPr="00FA5D7E">
        <w:rPr>
          <w:rFonts w:cs="Times New Roman"/>
          <w:i/>
          <w:szCs w:val="24"/>
        </w:rPr>
        <w:t>et seq.</w:t>
      </w:r>
      <w:r w:rsidRPr="00FA5D7E">
        <w:rPr>
          <w:rFonts w:cs="Times New Roman"/>
          <w:szCs w:val="24"/>
        </w:rPr>
        <w:t xml:space="preserve">), the compensatory allowance (arts. 427 </w:t>
      </w:r>
      <w:r w:rsidRPr="00FA5D7E">
        <w:rPr>
          <w:rFonts w:cs="Times New Roman"/>
          <w:i/>
          <w:szCs w:val="24"/>
        </w:rPr>
        <w:t>et seq.</w:t>
      </w:r>
      <w:r w:rsidRPr="00FA5D7E">
        <w:rPr>
          <w:rFonts w:cs="Times New Roman"/>
          <w:szCs w:val="24"/>
        </w:rPr>
        <w:t xml:space="preserve">), the partnership of acquests (arts. 432 </w:t>
      </w:r>
      <w:r w:rsidRPr="00FA5D7E">
        <w:rPr>
          <w:rFonts w:cs="Times New Roman"/>
          <w:i/>
          <w:szCs w:val="24"/>
        </w:rPr>
        <w:t>et seq.</w:t>
      </w:r>
      <w:r w:rsidRPr="00FA5D7E">
        <w:rPr>
          <w:rFonts w:cs="Times New Roman"/>
          <w:szCs w:val="24"/>
        </w:rPr>
        <w:t xml:space="preserve">) and the obligation of spousal support (art. 585) infringe s. 15(1) of the </w:t>
      </w:r>
      <w:r w:rsidRPr="00FA5D7E">
        <w:rPr>
          <w:rFonts w:cs="Times New Roman"/>
          <w:i/>
          <w:szCs w:val="24"/>
        </w:rPr>
        <w:t>Charter</w:t>
      </w:r>
      <w:r w:rsidRPr="00FA5D7E">
        <w:rPr>
          <w:rFonts w:cs="Times New Roman"/>
          <w:szCs w:val="24"/>
        </w:rPr>
        <w:t xml:space="preserve"> because their application is limited to private legal relationships between married spouses and civil union spouses (see </w:t>
      </w:r>
      <w:r w:rsidRPr="00FA5D7E">
        <w:rPr>
          <w:rFonts w:cs="Times New Roman"/>
          <w:iCs/>
          <w:szCs w:val="24"/>
        </w:rPr>
        <w:t>arts. 521.6</w:t>
      </w:r>
      <w:r w:rsidRPr="00FA5D7E">
        <w:rPr>
          <w:rFonts w:cs="Times New Roman"/>
          <w:szCs w:val="24"/>
        </w:rPr>
        <w:t xml:space="preserve"> and </w:t>
      </w:r>
      <w:r w:rsidRPr="00FA5D7E">
        <w:rPr>
          <w:rFonts w:cs="Times New Roman"/>
          <w:iCs/>
          <w:szCs w:val="24"/>
        </w:rPr>
        <w:t>521.8</w:t>
      </w:r>
      <w:r w:rsidRPr="00FA5D7E">
        <w:rPr>
          <w:rFonts w:cs="Times New Roman"/>
          <w:szCs w:val="24"/>
        </w:rPr>
        <w:t xml:space="preserve"> </w:t>
      </w:r>
      <w:r w:rsidRPr="00FA5D7E">
        <w:rPr>
          <w:rFonts w:cs="Times New Roman"/>
          <w:i/>
          <w:szCs w:val="24"/>
        </w:rPr>
        <w:t>C.C.Q.</w:t>
      </w:r>
      <w:r w:rsidRPr="00FA5D7E">
        <w:rPr>
          <w:rFonts w:cs="Times New Roman"/>
          <w:szCs w:val="24"/>
        </w:rPr>
        <w:t>).</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The Court must therefore decide whether the exclusion of </w:t>
      </w:r>
      <w:r w:rsidRPr="00FA5D7E">
        <w:rPr>
          <w:rFonts w:cs="Times New Roman"/>
          <w:i/>
          <w:szCs w:val="24"/>
        </w:rPr>
        <w:t>de facto</w:t>
      </w:r>
      <w:r w:rsidRPr="00FA5D7E">
        <w:rPr>
          <w:rFonts w:cs="Times New Roman"/>
          <w:szCs w:val="24"/>
        </w:rPr>
        <w:t xml:space="preserve"> spouses from the scope of these provisions is discriminatory within the meaning of s. 15(1).  For the reasons that follow, I am of the opinion that the exclusion is not discriminatory within the meaning of s. 15(1) and accordingly does not violate the right to equality guaranteed by s. 15 of the </w:t>
      </w:r>
      <w:r w:rsidRPr="00FA5D7E">
        <w:rPr>
          <w:rFonts w:cs="Times New Roman"/>
          <w:i/>
          <w:szCs w:val="24"/>
        </w:rPr>
        <w:t>Charter</w:t>
      </w:r>
      <w:r w:rsidRPr="00FA5D7E">
        <w:rPr>
          <w:rFonts w:cs="Times New Roman"/>
          <w:szCs w:val="24"/>
        </w:rPr>
        <w:t xml:space="preserve">. </w:t>
      </w:r>
    </w:p>
    <w:p w:rsidR="004862B9" w:rsidRPr="00FA5D7E" w:rsidRDefault="004862B9" w:rsidP="00826734">
      <w:pPr>
        <w:pStyle w:val="TitleTitre-AltT"/>
        <w:tabs>
          <w:tab w:val="clear" w:pos="360"/>
          <w:tab w:val="left" w:pos="540"/>
        </w:tabs>
        <w:ind w:left="540" w:hanging="540"/>
        <w:rPr>
          <w:rFonts w:cs="Times New Roman"/>
          <w:szCs w:val="24"/>
          <w:lang w:val="en-CA"/>
        </w:rPr>
      </w:pPr>
      <w:r w:rsidRPr="00FA5D7E">
        <w:rPr>
          <w:rFonts w:cs="Times New Roman"/>
          <w:szCs w:val="24"/>
          <w:lang w:val="en-CA"/>
        </w:rPr>
        <w:t>II.</w:t>
      </w:r>
      <w:r w:rsidRPr="00FA5D7E">
        <w:rPr>
          <w:rFonts w:cs="Times New Roman"/>
          <w:szCs w:val="24"/>
          <w:lang w:val="en-CA"/>
        </w:rPr>
        <w:tab/>
      </w:r>
      <w:r w:rsidRPr="00FA5D7E">
        <w:rPr>
          <w:rFonts w:cs="Times New Roman"/>
          <w:szCs w:val="24"/>
          <w:u w:val="single"/>
          <w:lang w:val="en-CA"/>
        </w:rPr>
        <w:t>The Dispute</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Parties Ms. A and Mr. B met in 1992 in A’s native country.  A, who was 17 years old at the time, was living with her parents and attending secondary school.  B, who was 32 years old, was running a large international business.  From 1992 to 1994, the parties travelled the world together several times a year.  B provided A with financial support so that she could continue her schooling.  In early 1995, the parties agreed that A would come to live in Quebec, where B lived.</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The parties broke up for the first time in late July 1995.  They saw each other again during the holiday season, and then again in February 1996.  A then became pregnant with her first child.  The couple had three children together, born in 1996, 1999 and 2001.  During the time they lived together, A did not hold employment.  She regularly accompanied B on his trips, and he provided for all her needs and for the children’s needs.  A wanted to get married, but B told her that he did not believe in the institution of marriage and that he might consider getting married after living with her for 25 years.  The parties separated in 2002.  They had lived together for a total of seven years.</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In February 2002, A filed a motion in the Quebec Superior Court seeking custody of the children, support, a lump sum, use of the family residence, a provision for costs and an interim order.  The motion was accompanied by a notice to the Attorney General of Quebec stating that A intended to challenge the constitutionality of several provisions of the </w:t>
      </w:r>
      <w:r w:rsidR="00321105">
        <w:rPr>
          <w:rFonts w:cs="Times New Roman"/>
          <w:i/>
          <w:szCs w:val="24"/>
        </w:rPr>
        <w:t>Civil Code of Québec</w:t>
      </w:r>
      <w:r w:rsidRPr="00FA5D7E">
        <w:rPr>
          <w:rFonts w:cs="Times New Roman"/>
          <w:szCs w:val="24"/>
        </w:rPr>
        <w:t xml:space="preserve"> in order to obtain the same legal regime for </w:t>
      </w:r>
      <w:r w:rsidRPr="00FA5D7E">
        <w:rPr>
          <w:rFonts w:cs="Times New Roman"/>
          <w:i/>
          <w:szCs w:val="24"/>
        </w:rPr>
        <w:t>de facto</w:t>
      </w:r>
      <w:r w:rsidRPr="00FA5D7E">
        <w:rPr>
          <w:rFonts w:cs="Times New Roman"/>
          <w:szCs w:val="24"/>
        </w:rPr>
        <w:t xml:space="preserve"> spouses that existed for married spouses.  More specifically, A claimed support for herself, a lump sum, partition of the family patrimony and the legal matrimonial regime of partnership of acquests.  She also sought to reserve her right to claim a compensatory allowance.  A claim concerning the use of the family residence was settled in an agreement between A and B.</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Since the constitutionality of the provisions relating to child custody and the child support obligation had not been challenged, the Superior Court awarded the parties joint custody of the children and awarded A $34,260.24 a month in child support and a provision for costs on May 16, 2006.  The court also made a series of orders requiring B to pay certain specific expenses, including the children’s tuition fees, expenses related to their extracurricular activities, the salaries of two nannies and the salary of a cook working for A.  As well, the court ordered B to continue paying all costs, school and municipal taxes, home insurance premiums and general maintenance and renovation costs required for the residence where the parties had agreed that A and the children would live.  B remained the owner of that residence.</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The appeals relate solely to the constitutional aspect of the case and concern only the provisions of the </w:t>
      </w:r>
      <w:r w:rsidRPr="00FA5D7E">
        <w:rPr>
          <w:rFonts w:cs="Times New Roman"/>
          <w:i/>
          <w:szCs w:val="24"/>
        </w:rPr>
        <w:t>Civil Code of Québec</w:t>
      </w:r>
      <w:r w:rsidRPr="00FA5D7E">
        <w:rPr>
          <w:rFonts w:cs="Times New Roman"/>
          <w:szCs w:val="24"/>
        </w:rPr>
        <w:t xml:space="preserve"> alleged by A to be invalid under s. 15 of the </w:t>
      </w:r>
      <w:r w:rsidRPr="00FA5D7E">
        <w:rPr>
          <w:rFonts w:cs="Times New Roman"/>
          <w:i/>
          <w:szCs w:val="24"/>
        </w:rPr>
        <w:t>Charter</w:t>
      </w:r>
      <w:r w:rsidRPr="00FA5D7E">
        <w:rPr>
          <w:rFonts w:cs="Times New Roman"/>
          <w:szCs w:val="24"/>
        </w:rPr>
        <w:t>.  Hallée J. of the Superior Court ruled on the constitutional issues on July 16, 2009.  She found that the impugned provisions did not violate the right to equality guaranteed by s. 15(1), and she denied A’s requests for a declaration of constitutional invalidity, which had been opposed by B and the Attorney General of Quebec.  A then appealed to the Quebec Court of Appeal.</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On November 3, 2010, the Quebec Court of Appeal allowed A’s appeal in part.  Dutil J.A., with whom Giroux J.A. concurred, declared art. 585 </w:t>
      </w:r>
      <w:r w:rsidRPr="00FA5D7E">
        <w:rPr>
          <w:rFonts w:cs="Times New Roman"/>
          <w:i/>
          <w:szCs w:val="24"/>
        </w:rPr>
        <w:t>C.C.Q.</w:t>
      </w:r>
      <w:r w:rsidRPr="00FA5D7E">
        <w:rPr>
          <w:rFonts w:cs="Times New Roman"/>
          <w:szCs w:val="24"/>
        </w:rPr>
        <w:t xml:space="preserve">, which provides for the obligation of spousal support, to be of no force or effect on the basis of an unjustified infringement of the right to equality set out in s. 15(1) of the </w:t>
      </w:r>
      <w:r w:rsidRPr="00FA5D7E">
        <w:rPr>
          <w:rFonts w:cs="Times New Roman"/>
          <w:i/>
          <w:szCs w:val="24"/>
        </w:rPr>
        <w:t>Charter</w:t>
      </w:r>
      <w:r w:rsidRPr="00FA5D7E">
        <w:rPr>
          <w:rFonts w:cs="Times New Roman"/>
          <w:szCs w:val="24"/>
        </w:rPr>
        <w:t xml:space="preserve">.  However, Dutil J.A. upheld the Superior Court’s decision as regards the constitutionality of the provisions concerning the family residence, the family patrimony, the compensatory allowance and the partnership of acquests.  In her opinion, those provisions are not discriminatory and therefore do not infringe s. 15(1).  Dutil J.A. also suspended the declaration of constitutional invalidity of art. 585 for 12 months to give the Quebec legislature time to amend the provision in order to make it consistent with the </w:t>
      </w:r>
      <w:r w:rsidRPr="00FA5D7E">
        <w:rPr>
          <w:rFonts w:cs="Times New Roman"/>
          <w:i/>
          <w:szCs w:val="24"/>
        </w:rPr>
        <w:t>Charter</w:t>
      </w:r>
      <w:r w:rsidRPr="00FA5D7E">
        <w:rPr>
          <w:rFonts w:cs="Times New Roman"/>
          <w:szCs w:val="24"/>
        </w:rPr>
        <w:t xml:space="preserve">.  Beauregard J.A. dissented on the issue of the appropriate remedy.  He concluded that the declaration of constitutional invalidity of arts. 511 and 585 </w:t>
      </w:r>
      <w:r w:rsidRPr="00FA5D7E">
        <w:rPr>
          <w:rFonts w:cs="Times New Roman"/>
          <w:i/>
          <w:szCs w:val="24"/>
        </w:rPr>
        <w:t>C.C.Q.</w:t>
      </w:r>
      <w:r w:rsidRPr="00FA5D7E">
        <w:rPr>
          <w:rFonts w:cs="Times New Roman"/>
          <w:szCs w:val="24"/>
        </w:rPr>
        <w:t xml:space="preserve"> should apply immediately so that A could benefit from the obligation of spousal support without delay.</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In this Court, B and the Attorney General of Quebec are appealing the Court of Appeal’s decision to strike down art. 585 on the obligation of spousal support.  A is also appealing that decision.  She takes issue with the conclusion that the </w:t>
      </w:r>
      <w:r w:rsidRPr="00FA5D7E">
        <w:rPr>
          <w:rFonts w:cs="Times New Roman"/>
          <w:i/>
          <w:szCs w:val="24"/>
        </w:rPr>
        <w:t>Civil Code</w:t>
      </w:r>
      <w:r w:rsidRPr="00FA5D7E">
        <w:rPr>
          <w:rFonts w:cs="Times New Roman"/>
          <w:szCs w:val="24"/>
        </w:rPr>
        <w:t>’s provisions concerning the family residence, the family patrimony, the compensatory allowance and the partnership of acquests are constitutionally valid.  To ensure that the issues in these appeals are fully understood, I will begin by reviewing the proceedings in the Superior Court and the Court of Appeal in greater detail.</w:t>
      </w:r>
    </w:p>
    <w:p w:rsidR="004862B9" w:rsidRPr="00FA5D7E" w:rsidRDefault="004862B9" w:rsidP="00222BB5">
      <w:pPr>
        <w:pStyle w:val="TitleTitre-AltT"/>
        <w:tabs>
          <w:tab w:val="clear" w:pos="360"/>
          <w:tab w:val="left" w:pos="540"/>
        </w:tabs>
        <w:ind w:left="540" w:hanging="540"/>
        <w:rPr>
          <w:rFonts w:cs="Times New Roman"/>
          <w:szCs w:val="24"/>
          <w:lang w:val="en-CA"/>
        </w:rPr>
      </w:pPr>
      <w:r w:rsidRPr="00FA5D7E">
        <w:rPr>
          <w:rFonts w:cs="Times New Roman"/>
          <w:szCs w:val="24"/>
          <w:lang w:val="en-CA"/>
        </w:rPr>
        <w:t>III.</w:t>
      </w:r>
      <w:r w:rsidRPr="00FA5D7E">
        <w:rPr>
          <w:rFonts w:cs="Times New Roman"/>
          <w:szCs w:val="24"/>
          <w:lang w:val="en-CA"/>
        </w:rPr>
        <w:tab/>
      </w:r>
      <w:r w:rsidRPr="00FA5D7E">
        <w:rPr>
          <w:rFonts w:cs="Times New Roman"/>
          <w:szCs w:val="24"/>
          <w:u w:val="single"/>
          <w:lang w:val="en-CA"/>
        </w:rPr>
        <w:t>Judicial History</w:t>
      </w:r>
    </w:p>
    <w:p w:rsidR="004862B9" w:rsidRPr="00FA5D7E" w:rsidRDefault="004862B9" w:rsidP="00222BB5">
      <w:pPr>
        <w:pStyle w:val="TitleTitre-AltT"/>
        <w:tabs>
          <w:tab w:val="clear" w:pos="360"/>
          <w:tab w:val="left" w:pos="540"/>
        </w:tabs>
        <w:ind w:left="540" w:hanging="540"/>
        <w:rPr>
          <w:rFonts w:cs="Times New Roman"/>
          <w:szCs w:val="24"/>
          <w:lang w:val="en-CA"/>
        </w:rPr>
      </w:pPr>
      <w:r w:rsidRPr="00FA5D7E">
        <w:rPr>
          <w:rFonts w:cs="Times New Roman"/>
          <w:szCs w:val="24"/>
          <w:lang w:val="en-CA"/>
        </w:rPr>
        <w:t>A.</w:t>
      </w:r>
      <w:r w:rsidRPr="00FA5D7E">
        <w:rPr>
          <w:rFonts w:cs="Times New Roman"/>
          <w:szCs w:val="24"/>
          <w:lang w:val="en-CA"/>
        </w:rPr>
        <w:tab/>
      </w:r>
      <w:r w:rsidRPr="00FA5D7E">
        <w:rPr>
          <w:rFonts w:cs="Times New Roman"/>
          <w:i/>
          <w:szCs w:val="24"/>
          <w:lang w:val="en-CA"/>
        </w:rPr>
        <w:t>Quebec Superior Court, 2009 QCCS 3210, [2009] R.J.Q. 2070</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This case came before Hallée J. by way of a </w:t>
      </w:r>
      <w:r w:rsidRPr="00FA5D7E">
        <w:rPr>
          <w:rFonts w:cs="Times New Roman"/>
          <w:i/>
          <w:szCs w:val="24"/>
        </w:rPr>
        <w:t>Charter</w:t>
      </w:r>
      <w:r w:rsidRPr="00FA5D7E">
        <w:rPr>
          <w:rFonts w:cs="Times New Roman"/>
          <w:szCs w:val="24"/>
        </w:rPr>
        <w:t xml:space="preserve"> motion.  In addition to her claims based on s. 15 of the </w:t>
      </w:r>
      <w:r w:rsidRPr="00FA5D7E">
        <w:rPr>
          <w:rFonts w:cs="Times New Roman"/>
          <w:i/>
          <w:szCs w:val="24"/>
        </w:rPr>
        <w:t>Charter</w:t>
      </w:r>
      <w:r w:rsidRPr="00FA5D7E">
        <w:rPr>
          <w:rFonts w:cs="Times New Roman"/>
          <w:szCs w:val="24"/>
        </w:rPr>
        <w:t xml:space="preserve">, A originally made certain arguments concerning the division of constitutional powers between Parliament and the provincial legislatures as regards the definition of marriage.  Hallée J. rejected all those arguments, and A abandoned them on appeal.  In this Court, the only remaining issues have to do with the equality guarantee set out in the </w:t>
      </w:r>
      <w:r w:rsidRPr="00FA5D7E">
        <w:rPr>
          <w:rFonts w:cs="Times New Roman"/>
          <w:i/>
          <w:szCs w:val="24"/>
        </w:rPr>
        <w:t>Charter</w:t>
      </w:r>
      <w:r w:rsidRPr="00FA5D7E">
        <w:rPr>
          <w:rFonts w:cs="Times New Roman"/>
          <w:szCs w:val="24"/>
        </w:rPr>
        <w:t>.</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Hallée J. began with an overview of the legal situation of </w:t>
      </w:r>
      <w:r w:rsidRPr="00FA5D7E">
        <w:rPr>
          <w:rFonts w:cs="Times New Roman"/>
          <w:i/>
          <w:szCs w:val="24"/>
        </w:rPr>
        <w:t>de facto</w:t>
      </w:r>
      <w:r w:rsidRPr="00FA5D7E">
        <w:rPr>
          <w:rFonts w:cs="Times New Roman"/>
          <w:szCs w:val="24"/>
        </w:rPr>
        <w:t xml:space="preserve"> spouses in Quebec.  She noted that they cannot bring support proceedings against one another or partition the family patrimony, and that they are not governed by a legal matrimonial regime.  However, they are treated in the same way as married spouses for the purposes of life insurance (</w:t>
      </w:r>
      <w:r w:rsidRPr="00FA5D7E">
        <w:rPr>
          <w:rFonts w:cs="Times New Roman"/>
          <w:iCs/>
          <w:szCs w:val="24"/>
        </w:rPr>
        <w:t>art. 2419</w:t>
      </w:r>
      <w:r w:rsidRPr="00FA5D7E">
        <w:rPr>
          <w:rFonts w:cs="Times New Roman"/>
          <w:szCs w:val="24"/>
        </w:rPr>
        <w:t xml:space="preserve"> </w:t>
      </w:r>
      <w:r w:rsidRPr="00FA5D7E">
        <w:rPr>
          <w:rFonts w:cs="Times New Roman"/>
          <w:i/>
          <w:szCs w:val="24"/>
        </w:rPr>
        <w:t>C.C.Q.</w:t>
      </w:r>
      <w:r w:rsidRPr="00FA5D7E">
        <w:rPr>
          <w:rFonts w:cs="Times New Roman"/>
          <w:szCs w:val="24"/>
        </w:rPr>
        <w:t>), annuities (</w:t>
      </w:r>
      <w:r w:rsidRPr="00FA5D7E">
        <w:rPr>
          <w:rFonts w:cs="Times New Roman"/>
          <w:iCs/>
          <w:szCs w:val="24"/>
        </w:rPr>
        <w:t>art. 2380</w:t>
      </w:r>
      <w:r w:rsidRPr="00FA5D7E">
        <w:rPr>
          <w:rFonts w:cs="Times New Roman"/>
          <w:szCs w:val="24"/>
        </w:rPr>
        <w:t xml:space="preserve"> </w:t>
      </w:r>
      <w:r w:rsidRPr="00FA5D7E">
        <w:rPr>
          <w:rFonts w:cs="Times New Roman"/>
          <w:i/>
          <w:szCs w:val="24"/>
        </w:rPr>
        <w:t>C.C.Q.</w:t>
      </w:r>
      <w:r w:rsidRPr="00FA5D7E">
        <w:rPr>
          <w:rFonts w:cs="Times New Roman"/>
          <w:szCs w:val="24"/>
        </w:rPr>
        <w:t>) and the protective supervision of incapable or vulnerable persons (</w:t>
      </w:r>
      <w:r w:rsidRPr="00FA5D7E">
        <w:rPr>
          <w:rFonts w:cs="Times New Roman"/>
          <w:iCs/>
          <w:szCs w:val="24"/>
        </w:rPr>
        <w:t>arts. 264</w:t>
      </w:r>
      <w:r w:rsidRPr="00FA5D7E">
        <w:rPr>
          <w:rFonts w:cs="Times New Roman"/>
          <w:szCs w:val="24"/>
        </w:rPr>
        <w:t xml:space="preserve">, </w:t>
      </w:r>
      <w:r w:rsidRPr="00FA5D7E">
        <w:rPr>
          <w:rFonts w:cs="Times New Roman"/>
          <w:iCs/>
          <w:szCs w:val="24"/>
        </w:rPr>
        <w:t>266</w:t>
      </w:r>
      <w:r w:rsidRPr="00FA5D7E">
        <w:rPr>
          <w:rFonts w:cs="Times New Roman"/>
          <w:szCs w:val="24"/>
        </w:rPr>
        <w:t xml:space="preserve"> and </w:t>
      </w:r>
      <w:r w:rsidRPr="00FA5D7E">
        <w:rPr>
          <w:rFonts w:cs="Times New Roman"/>
          <w:iCs/>
          <w:szCs w:val="24"/>
        </w:rPr>
        <w:t>269</w:t>
      </w:r>
      <w:r w:rsidRPr="00FA5D7E">
        <w:rPr>
          <w:rFonts w:cs="Times New Roman"/>
          <w:szCs w:val="24"/>
        </w:rPr>
        <w:t xml:space="preserve"> </w:t>
      </w:r>
      <w:r w:rsidRPr="00FA5D7E">
        <w:rPr>
          <w:rFonts w:cs="Times New Roman"/>
          <w:i/>
          <w:szCs w:val="24"/>
        </w:rPr>
        <w:t>C.C.Q.</w:t>
      </w:r>
      <w:r w:rsidRPr="00FA5D7E">
        <w:rPr>
          <w:rFonts w:cs="Times New Roman"/>
          <w:szCs w:val="24"/>
        </w:rPr>
        <w:t>).  Moreover, they are authorized by art. </w:t>
      </w:r>
      <w:r w:rsidRPr="00FA5D7E">
        <w:rPr>
          <w:rFonts w:cs="Times New Roman"/>
          <w:iCs/>
          <w:szCs w:val="24"/>
        </w:rPr>
        <w:t>15</w:t>
      </w:r>
      <w:r w:rsidRPr="00FA5D7E">
        <w:rPr>
          <w:rFonts w:cs="Times New Roman"/>
          <w:szCs w:val="24"/>
        </w:rPr>
        <w:t xml:space="preserve"> </w:t>
      </w:r>
      <w:r w:rsidRPr="00FA5D7E">
        <w:rPr>
          <w:rFonts w:cs="Times New Roman"/>
          <w:i/>
          <w:szCs w:val="24"/>
        </w:rPr>
        <w:t>C.C.Q.</w:t>
      </w:r>
      <w:r w:rsidRPr="00FA5D7E">
        <w:rPr>
          <w:rFonts w:cs="Times New Roman"/>
          <w:szCs w:val="24"/>
        </w:rPr>
        <w:t xml:space="preserve"> to consent to care for a person of full age who is incapable of giving consent.  Hallée J. added that the Quebec legislature has enacted a number of social or tax laws (including the </w:t>
      </w:r>
      <w:r w:rsidRPr="00FA5D7E">
        <w:rPr>
          <w:rFonts w:cs="Times New Roman"/>
          <w:i/>
          <w:iCs/>
          <w:szCs w:val="24"/>
        </w:rPr>
        <w:t>Act respecting the Québec Pension Plan</w:t>
      </w:r>
      <w:r w:rsidRPr="00FA5D7E">
        <w:rPr>
          <w:rFonts w:cs="Times New Roman"/>
          <w:iCs/>
          <w:szCs w:val="24"/>
        </w:rPr>
        <w:t>, R.S.Q., c. R</w:t>
      </w:r>
      <w:r w:rsidRPr="00FA5D7E">
        <w:rPr>
          <w:rFonts w:cs="Times New Roman"/>
          <w:iCs/>
          <w:szCs w:val="24"/>
        </w:rPr>
        <w:noBreakHyphen/>
        <w:t xml:space="preserve">9, and the </w:t>
      </w:r>
      <w:r w:rsidRPr="00FA5D7E">
        <w:rPr>
          <w:rFonts w:cs="Times New Roman"/>
          <w:i/>
          <w:iCs/>
          <w:szCs w:val="24"/>
        </w:rPr>
        <w:t>Taxation Act</w:t>
      </w:r>
      <w:r w:rsidRPr="00FA5D7E">
        <w:rPr>
          <w:rFonts w:cs="Times New Roman"/>
          <w:iCs/>
          <w:szCs w:val="24"/>
        </w:rPr>
        <w:t>, R.S.Q., c. I</w:t>
      </w:r>
      <w:r w:rsidRPr="00FA5D7E">
        <w:rPr>
          <w:rFonts w:cs="Times New Roman"/>
          <w:iCs/>
          <w:szCs w:val="24"/>
        </w:rPr>
        <w:noBreakHyphen/>
        <w:t>3</w:t>
      </w:r>
      <w:r w:rsidRPr="00FA5D7E">
        <w:rPr>
          <w:rFonts w:cs="Times New Roman"/>
          <w:szCs w:val="24"/>
        </w:rPr>
        <w:t xml:space="preserve">) that grant </w:t>
      </w:r>
      <w:r w:rsidRPr="00FA5D7E">
        <w:rPr>
          <w:rFonts w:cs="Times New Roman"/>
          <w:i/>
          <w:szCs w:val="24"/>
        </w:rPr>
        <w:t>de facto</w:t>
      </w:r>
      <w:r w:rsidRPr="00FA5D7E">
        <w:rPr>
          <w:rFonts w:cs="Times New Roman"/>
          <w:szCs w:val="24"/>
        </w:rPr>
        <w:t xml:space="preserve"> spouses benefits similar to the ones already available to married spouses.  With these exceptions, only a cohabitation agreement can govern the rights of </w:t>
      </w:r>
      <w:r w:rsidRPr="00FA5D7E">
        <w:rPr>
          <w:rFonts w:cs="Times New Roman"/>
          <w:i/>
          <w:szCs w:val="24"/>
        </w:rPr>
        <w:t>de facto</w:t>
      </w:r>
      <w:r w:rsidRPr="00FA5D7E">
        <w:rPr>
          <w:rFonts w:cs="Times New Roman"/>
          <w:szCs w:val="24"/>
        </w:rPr>
        <w:t xml:space="preserve"> spouses.  In such an agreement, </w:t>
      </w:r>
      <w:r w:rsidRPr="00FA5D7E">
        <w:rPr>
          <w:rFonts w:cs="Times New Roman"/>
          <w:i/>
          <w:szCs w:val="24"/>
        </w:rPr>
        <w:t>de facto</w:t>
      </w:r>
      <w:r w:rsidRPr="00FA5D7E">
        <w:rPr>
          <w:rFonts w:cs="Times New Roman"/>
          <w:szCs w:val="24"/>
        </w:rPr>
        <w:t xml:space="preserve"> spouses can provide for, among other things, an obligation of support in the event of a breakdown.</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Hallée J. then summarized the most relevant points from the expert reports filed by the parties.  Although none of the experts had been heard during the trial, some of them had been examined out of court.  Hallée J. found on the basis of these reports that </w:t>
      </w:r>
      <w:r w:rsidRPr="00FA5D7E">
        <w:rPr>
          <w:rFonts w:cs="Times New Roman"/>
          <w:i/>
          <w:szCs w:val="24"/>
        </w:rPr>
        <w:t>de facto</w:t>
      </w:r>
      <w:r w:rsidRPr="00FA5D7E">
        <w:rPr>
          <w:rFonts w:cs="Times New Roman"/>
          <w:szCs w:val="24"/>
        </w:rPr>
        <w:t xml:space="preserve"> unions were a growing phenomenon in contemporary Quebec society:</w:t>
      </w:r>
    </w:p>
    <w:p w:rsidR="004862B9" w:rsidRPr="00FA5D7E" w:rsidRDefault="004862B9" w:rsidP="004862B9">
      <w:pPr>
        <w:pStyle w:val="Citation-AltC"/>
        <w:tabs>
          <w:tab w:val="left" w:pos="1530"/>
        </w:tabs>
        <w:spacing w:after="240"/>
        <w:ind w:left="1168" w:hanging="1168"/>
        <w:contextualSpacing w:val="0"/>
        <w:rPr>
          <w:szCs w:val="24"/>
          <w:lang w:val="en-CA"/>
        </w:rPr>
      </w:pPr>
      <w:r w:rsidRPr="00FA5D7E">
        <w:rPr>
          <w:szCs w:val="24"/>
          <w:lang w:val="en-CA"/>
        </w:rPr>
        <w:tab/>
      </w:r>
      <w:r w:rsidRPr="00FA5D7E">
        <w:rPr>
          <w:szCs w:val="24"/>
          <w:lang w:val="en-CA"/>
        </w:rPr>
        <w:tab/>
        <w:t>[</w:t>
      </w:r>
      <w:r w:rsidRPr="00FA5D7E">
        <w:rPr>
          <w:smallCaps/>
          <w:szCs w:val="24"/>
          <w:lang w:val="en-CA"/>
        </w:rPr>
        <w:t>translation</w:t>
      </w:r>
      <w:r w:rsidRPr="00FA5D7E">
        <w:rPr>
          <w:szCs w:val="24"/>
          <w:lang w:val="en-CA"/>
        </w:rPr>
        <w:t xml:space="preserve">]  After having read the expert reports attentively, the Court finds that the phenomenon of </w:t>
      </w:r>
      <w:r w:rsidRPr="00FA5D7E">
        <w:rPr>
          <w:i/>
          <w:iCs/>
          <w:szCs w:val="24"/>
          <w:lang w:val="en-CA"/>
        </w:rPr>
        <w:t>de facto</w:t>
      </w:r>
      <w:r w:rsidRPr="00FA5D7E">
        <w:rPr>
          <w:szCs w:val="24"/>
          <w:lang w:val="en-CA"/>
        </w:rPr>
        <w:t xml:space="preserve"> unions is growing in Quebec.  From 1981 to 2006, the proportion of couples living in a </w:t>
      </w:r>
      <w:r w:rsidRPr="00FA5D7E">
        <w:rPr>
          <w:i/>
          <w:iCs/>
          <w:szCs w:val="24"/>
          <w:lang w:val="en-CA"/>
        </w:rPr>
        <w:t>de facto</w:t>
      </w:r>
      <w:r w:rsidRPr="00FA5D7E">
        <w:rPr>
          <w:szCs w:val="24"/>
          <w:lang w:val="en-CA"/>
        </w:rPr>
        <w:t xml:space="preserve"> union grew from 7.9% to 34.6%.</w:t>
      </w:r>
    </w:p>
    <w:p w:rsidR="004862B9" w:rsidRPr="00FA5D7E" w:rsidRDefault="004862B9" w:rsidP="004862B9">
      <w:pPr>
        <w:pStyle w:val="Citation-AltC"/>
        <w:tabs>
          <w:tab w:val="left" w:pos="1530"/>
        </w:tabs>
        <w:spacing w:after="240"/>
        <w:ind w:left="1168" w:hanging="1168"/>
        <w:contextualSpacing w:val="0"/>
        <w:rPr>
          <w:szCs w:val="24"/>
          <w:lang w:val="en-CA"/>
        </w:rPr>
      </w:pPr>
      <w:r w:rsidRPr="00FA5D7E">
        <w:rPr>
          <w:szCs w:val="24"/>
          <w:lang w:val="en-CA"/>
        </w:rPr>
        <w:tab/>
      </w:r>
      <w:r w:rsidRPr="00FA5D7E">
        <w:rPr>
          <w:szCs w:val="24"/>
          <w:lang w:val="en-CA"/>
        </w:rPr>
        <w:tab/>
        <w:t>The 2006 Statistics Canada census indicates that 34.6% of Quebec</w:t>
      </w:r>
      <w:r w:rsidR="0014107B">
        <w:rPr>
          <w:szCs w:val="24"/>
          <w:lang w:val="en-CA"/>
        </w:rPr>
        <w:t>k</w:t>
      </w:r>
      <w:r w:rsidRPr="00FA5D7E">
        <w:rPr>
          <w:szCs w:val="24"/>
          <w:lang w:val="en-CA"/>
        </w:rPr>
        <w:t xml:space="preserve">ers live in a </w:t>
      </w:r>
      <w:r w:rsidRPr="00FA5D7E">
        <w:rPr>
          <w:i/>
          <w:iCs/>
          <w:szCs w:val="24"/>
          <w:lang w:val="en-CA"/>
        </w:rPr>
        <w:t>de facto</w:t>
      </w:r>
      <w:r w:rsidRPr="00FA5D7E">
        <w:rPr>
          <w:szCs w:val="24"/>
          <w:lang w:val="en-CA"/>
        </w:rPr>
        <w:t xml:space="preserve"> union, while an average of 18.4% of couples throughout Canada choose to live in this type of relationship.  Thus, Quebec is far in the lead in terms of the number of couples living in a </w:t>
      </w:r>
      <w:r w:rsidRPr="00FA5D7E">
        <w:rPr>
          <w:i/>
          <w:iCs/>
          <w:szCs w:val="24"/>
          <w:lang w:val="en-CA"/>
        </w:rPr>
        <w:t>de facto</w:t>
      </w:r>
      <w:r w:rsidRPr="00FA5D7E">
        <w:rPr>
          <w:szCs w:val="24"/>
          <w:lang w:val="en-CA"/>
        </w:rPr>
        <w:t xml:space="preserve"> union.  Moreover, according to the Institut de la statistique du Québec, 60% of children in Quebec are born out of wedlock.</w:t>
      </w:r>
    </w:p>
    <w:p w:rsidR="004862B9" w:rsidRPr="00FA5D7E" w:rsidRDefault="004862B9" w:rsidP="004862B9">
      <w:pPr>
        <w:pStyle w:val="Citation-AltC"/>
        <w:tabs>
          <w:tab w:val="left" w:pos="1530"/>
        </w:tabs>
        <w:ind w:hanging="1166"/>
        <w:rPr>
          <w:szCs w:val="24"/>
          <w:lang w:val="en-CA"/>
        </w:rPr>
      </w:pPr>
      <w:r w:rsidRPr="00FA5D7E">
        <w:rPr>
          <w:szCs w:val="24"/>
          <w:lang w:val="en-CA"/>
        </w:rPr>
        <w:tab/>
      </w:r>
      <w:r w:rsidRPr="00FA5D7E">
        <w:rPr>
          <w:szCs w:val="24"/>
          <w:lang w:val="en-CA"/>
        </w:rPr>
        <w:tab/>
        <w:t xml:space="preserve">Some experts would therefore like to see the legislature intervene to regulate these unions, while others believe that further study is </w:t>
      </w:r>
      <w:r w:rsidR="00321105">
        <w:rPr>
          <w:szCs w:val="24"/>
          <w:lang w:val="en-CA"/>
        </w:rPr>
        <w:t xml:space="preserve">required before drawing </w:t>
      </w:r>
      <w:r w:rsidR="007B56D0">
        <w:rPr>
          <w:szCs w:val="24"/>
          <w:lang w:val="en-CA"/>
        </w:rPr>
        <w:t>[</w:t>
      </w:r>
      <w:r w:rsidR="00321105">
        <w:rPr>
          <w:szCs w:val="24"/>
          <w:lang w:val="en-CA"/>
        </w:rPr>
        <w:t>actual</w:t>
      </w:r>
      <w:r w:rsidR="007B56D0">
        <w:rPr>
          <w:szCs w:val="24"/>
          <w:lang w:val="en-CA"/>
        </w:rPr>
        <w:t>]</w:t>
      </w:r>
      <w:r w:rsidRPr="00FA5D7E">
        <w:rPr>
          <w:szCs w:val="24"/>
          <w:lang w:val="en-CA"/>
        </w:rPr>
        <w:t xml:space="preserve"> conclusions about this phenomenon.  [paras. 59</w:t>
      </w:r>
      <w:r w:rsidRPr="00FA5D7E">
        <w:rPr>
          <w:szCs w:val="24"/>
          <w:lang w:val="en-CA"/>
        </w:rPr>
        <w:noBreakHyphen/>
        <w:t>61]</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Hallée J. then noted that, in </w:t>
      </w:r>
      <w:r w:rsidRPr="00FA5D7E">
        <w:rPr>
          <w:rFonts w:cs="Times New Roman"/>
          <w:i/>
          <w:szCs w:val="24"/>
        </w:rPr>
        <w:t>R. v.</w:t>
      </w:r>
      <w:r w:rsidRPr="00FA5D7E">
        <w:rPr>
          <w:rFonts w:cs="Times New Roman"/>
          <w:szCs w:val="24"/>
        </w:rPr>
        <w:t xml:space="preserve"> </w:t>
      </w:r>
      <w:r w:rsidRPr="00FA5D7E">
        <w:rPr>
          <w:rFonts w:cs="Times New Roman"/>
          <w:i/>
          <w:szCs w:val="24"/>
        </w:rPr>
        <w:t>Kapp</w:t>
      </w:r>
      <w:r w:rsidRPr="00FA5D7E">
        <w:rPr>
          <w:rFonts w:cs="Times New Roman"/>
          <w:szCs w:val="24"/>
        </w:rPr>
        <w:t>, 2008 SCC 41, [2008] 2 S.C.R. 483, this Court had adopted a two</w:t>
      </w:r>
      <w:r w:rsidRPr="00FA5D7E">
        <w:rPr>
          <w:rFonts w:cs="Times New Roman"/>
          <w:szCs w:val="24"/>
        </w:rPr>
        <w:noBreakHyphen/>
        <w:t>part test for finding that a distinction is discriminatory in the constitutional sense:  (1) Does the law create a distinction based on an enumerated or analogous ground?  (2) Does the distinction create a disadvantage by perpetuating prejudice or stereotyping?</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Hallée J. added that marital status has been recognized as a ground analogous to the grounds of discrimination enumerated in s. 15(1).  She also noted that, to find that s. 15(1) has been infringed, it is not enough to establish the existence of a legislative distinction based on an analogous ground.  According to the case law, the claimant must prove that the differential treatment has a purpose or effect that discriminates in a substantive sense.</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In this case, Hallée J. concluded that A had not shown that the distinction between </w:t>
      </w:r>
      <w:r w:rsidRPr="00FA5D7E">
        <w:rPr>
          <w:rFonts w:cs="Times New Roman"/>
          <w:i/>
          <w:szCs w:val="24"/>
        </w:rPr>
        <w:t>de facto</w:t>
      </w:r>
      <w:r w:rsidRPr="00FA5D7E">
        <w:rPr>
          <w:rFonts w:cs="Times New Roman"/>
          <w:szCs w:val="24"/>
        </w:rPr>
        <w:t xml:space="preserve"> spouses and married spouses resulting from the impugned provisions had substantively discriminatory effects and added that the lack of evidence in this regard was fatal to A’s action.  Hallée J. stressed the limitations of the expert reports filed by the parties.  Those reports indicated that living conditions were by and large better for intact married families than for the new forms of family, but they did not assess the impact of the impugned provisions, particularly in the event of a breakdown.  Hallée J. found on the basis of this evidence that </w:t>
      </w:r>
      <w:r w:rsidRPr="00FA5D7E">
        <w:rPr>
          <w:rFonts w:cs="Times New Roman"/>
          <w:i/>
          <w:szCs w:val="24"/>
        </w:rPr>
        <w:t>de facto</w:t>
      </w:r>
      <w:r w:rsidRPr="00FA5D7E">
        <w:rPr>
          <w:rFonts w:cs="Times New Roman"/>
          <w:szCs w:val="24"/>
        </w:rPr>
        <w:t xml:space="preserve"> spouses in Quebec are not subject to [</w:t>
      </w:r>
      <w:r w:rsidRPr="00FA5D7E">
        <w:rPr>
          <w:rFonts w:cs="Times New Roman"/>
          <w:smallCaps/>
          <w:szCs w:val="24"/>
        </w:rPr>
        <w:t>translation</w:t>
      </w:r>
      <w:r w:rsidRPr="00FA5D7E">
        <w:rPr>
          <w:rFonts w:cs="Times New Roman"/>
          <w:szCs w:val="24"/>
        </w:rPr>
        <w:t>] “any stereotypical disadvantages or p</w:t>
      </w:r>
      <w:r w:rsidR="00321105">
        <w:rPr>
          <w:rFonts w:cs="Times New Roman"/>
          <w:szCs w:val="24"/>
        </w:rPr>
        <w:t>rejudice”.  In her opinion, “t</w:t>
      </w:r>
      <w:r w:rsidRPr="00FA5D7E">
        <w:rPr>
          <w:rFonts w:cs="Times New Roman"/>
          <w:szCs w:val="24"/>
        </w:rPr>
        <w:t xml:space="preserve">he legislature’s purpose in preserving a distinction between marriage and </w:t>
      </w:r>
      <w:r w:rsidRPr="00FA5D7E">
        <w:rPr>
          <w:rFonts w:cs="Times New Roman"/>
          <w:i/>
          <w:szCs w:val="24"/>
        </w:rPr>
        <w:t>de facto</w:t>
      </w:r>
      <w:r w:rsidRPr="00FA5D7E">
        <w:rPr>
          <w:rFonts w:cs="Times New Roman"/>
          <w:szCs w:val="24"/>
        </w:rPr>
        <w:t xml:space="preserve"> union is to safeguard freedom of choice and to respect the dignity and autonomy of </w:t>
      </w:r>
      <w:r w:rsidRPr="00FA5D7E">
        <w:rPr>
          <w:rFonts w:cs="Times New Roman"/>
          <w:i/>
          <w:szCs w:val="24"/>
        </w:rPr>
        <w:t>de facto</w:t>
      </w:r>
      <w:r w:rsidRPr="00FA5D7E">
        <w:rPr>
          <w:rFonts w:cs="Times New Roman"/>
          <w:szCs w:val="24"/>
        </w:rPr>
        <w:t xml:space="preserve"> spouses” (para. 222).  Finally, she concluded that A had not established concrete effects of the distinctions between </w:t>
      </w:r>
      <w:r w:rsidRPr="00FA5D7E">
        <w:rPr>
          <w:rFonts w:cs="Times New Roman"/>
          <w:i/>
          <w:szCs w:val="24"/>
        </w:rPr>
        <w:t>de facto</w:t>
      </w:r>
      <w:r w:rsidRPr="00FA5D7E">
        <w:rPr>
          <w:rFonts w:cs="Times New Roman"/>
          <w:szCs w:val="24"/>
        </w:rPr>
        <w:t xml:space="preserve"> and married spouses either during the conjugal relationship or upon its breakdown.</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However, Hallée J. did not stop there.  She also took the precedential value of </w:t>
      </w:r>
      <w:r w:rsidRPr="00FA5D7E">
        <w:rPr>
          <w:rFonts w:cs="Times New Roman"/>
          <w:i/>
          <w:szCs w:val="24"/>
        </w:rPr>
        <w:t>Nova Scotia (Attorney General) v. Walsh</w:t>
      </w:r>
      <w:r w:rsidRPr="00FA5D7E">
        <w:rPr>
          <w:rFonts w:cs="Times New Roman"/>
          <w:szCs w:val="24"/>
        </w:rPr>
        <w:t xml:space="preserve">, 2002 SCC 83, [2002] 4 S.C.R. 325, into account.  In that case, this Court had held that, when the rights and obligations of common law spouses </w:t>
      </w:r>
      <w:r w:rsidRPr="00FA5D7E">
        <w:rPr>
          <w:rFonts w:cs="Times New Roman"/>
          <w:i/>
          <w:szCs w:val="24"/>
        </w:rPr>
        <w:t>vis</w:t>
      </w:r>
      <w:r w:rsidRPr="00FA5D7E">
        <w:rPr>
          <w:rFonts w:cs="Times New Roman"/>
          <w:i/>
          <w:szCs w:val="24"/>
        </w:rPr>
        <w:noBreakHyphen/>
        <w:t>à</w:t>
      </w:r>
      <w:r w:rsidRPr="00FA5D7E">
        <w:rPr>
          <w:rFonts w:cs="Times New Roman"/>
          <w:i/>
          <w:szCs w:val="24"/>
        </w:rPr>
        <w:noBreakHyphen/>
        <w:t>vis each other</w:t>
      </w:r>
      <w:r w:rsidRPr="00FA5D7E">
        <w:rPr>
          <w:rFonts w:cs="Times New Roman"/>
          <w:szCs w:val="24"/>
        </w:rPr>
        <w:t xml:space="preserve"> are in issue, the spouses’ choice to marry or not to marry becomes the most important factor for the purposes of s. 15(1) of the </w:t>
      </w:r>
      <w:r w:rsidRPr="00FA5D7E">
        <w:rPr>
          <w:rFonts w:cs="Times New Roman"/>
          <w:i/>
          <w:szCs w:val="24"/>
        </w:rPr>
        <w:t>Charter</w:t>
      </w:r>
      <w:r w:rsidRPr="00FA5D7E">
        <w:rPr>
          <w:rFonts w:cs="Times New Roman"/>
          <w:szCs w:val="24"/>
        </w:rPr>
        <w:t xml:space="preserve">.  Since the distinctions between the rights and obligations of married spouses and those of common law spouses reflect choices made by those individuals, the consequences of the choices do not infringe s. 15.  In short, Hallée J. found that </w:t>
      </w:r>
      <w:r w:rsidRPr="00FA5D7E">
        <w:rPr>
          <w:rFonts w:cs="Times New Roman"/>
          <w:i/>
          <w:szCs w:val="24"/>
        </w:rPr>
        <w:t>Walsh</w:t>
      </w:r>
      <w:r w:rsidRPr="00FA5D7E">
        <w:rPr>
          <w:rFonts w:cs="Times New Roman"/>
          <w:szCs w:val="24"/>
        </w:rPr>
        <w:t xml:space="preserve"> fully disposed of A’s </w:t>
      </w:r>
      <w:r w:rsidRPr="00FA5D7E">
        <w:rPr>
          <w:rFonts w:cs="Times New Roman"/>
          <w:i/>
          <w:szCs w:val="24"/>
        </w:rPr>
        <w:t>Charter</w:t>
      </w:r>
      <w:r w:rsidRPr="00FA5D7E">
        <w:rPr>
          <w:rFonts w:cs="Times New Roman"/>
          <w:szCs w:val="24"/>
        </w:rPr>
        <w:noBreakHyphen/>
        <w:t xml:space="preserve">based constitutional arguments.  In her view, </w:t>
      </w:r>
      <w:r w:rsidRPr="00FA5D7E">
        <w:rPr>
          <w:rFonts w:cs="Times New Roman"/>
          <w:i/>
          <w:szCs w:val="24"/>
        </w:rPr>
        <w:t>Walsh</w:t>
      </w:r>
      <w:r w:rsidRPr="00FA5D7E">
        <w:rPr>
          <w:rFonts w:cs="Times New Roman"/>
          <w:szCs w:val="24"/>
        </w:rPr>
        <w:t xml:space="preserve"> showed that the possibility for </w:t>
      </w:r>
      <w:r w:rsidRPr="00FA5D7E">
        <w:rPr>
          <w:rFonts w:cs="Times New Roman"/>
          <w:i/>
          <w:szCs w:val="24"/>
        </w:rPr>
        <w:t>de facto</w:t>
      </w:r>
      <w:r w:rsidRPr="00FA5D7E">
        <w:rPr>
          <w:rFonts w:cs="Times New Roman"/>
          <w:szCs w:val="24"/>
        </w:rPr>
        <w:t xml:space="preserve"> spouses to make such choices is consistent with the fundamental purpose of s. 15 of the </w:t>
      </w:r>
      <w:r w:rsidRPr="00FA5D7E">
        <w:rPr>
          <w:rFonts w:cs="Times New Roman"/>
          <w:i/>
          <w:szCs w:val="24"/>
        </w:rPr>
        <w:t>Charter</w:t>
      </w:r>
      <w:r w:rsidRPr="00FA5D7E">
        <w:rPr>
          <w:rFonts w:cs="Times New Roman"/>
          <w:szCs w:val="24"/>
        </w:rPr>
        <w:t>:</w:t>
      </w:r>
    </w:p>
    <w:p w:rsidR="004862B9" w:rsidRPr="00FA5D7E" w:rsidRDefault="004862B9" w:rsidP="004862B9">
      <w:pPr>
        <w:pStyle w:val="Citation-AltC"/>
        <w:tabs>
          <w:tab w:val="left" w:pos="1530"/>
        </w:tabs>
        <w:ind w:hanging="1166"/>
        <w:rPr>
          <w:szCs w:val="24"/>
          <w:lang w:val="en-CA"/>
        </w:rPr>
      </w:pPr>
      <w:r w:rsidRPr="00FA5D7E">
        <w:rPr>
          <w:szCs w:val="24"/>
          <w:lang w:val="en-CA"/>
        </w:rPr>
        <w:tab/>
      </w:r>
      <w:r w:rsidRPr="00FA5D7E">
        <w:rPr>
          <w:szCs w:val="24"/>
          <w:lang w:val="en-CA"/>
        </w:rPr>
        <w:tab/>
        <w:t>[</w:t>
      </w:r>
      <w:r w:rsidRPr="00FA5D7E">
        <w:rPr>
          <w:smallCaps/>
          <w:szCs w:val="24"/>
          <w:lang w:val="en-CA"/>
        </w:rPr>
        <w:t>translation</w:t>
      </w:r>
      <w:r w:rsidRPr="00FA5D7E">
        <w:rPr>
          <w:szCs w:val="24"/>
          <w:lang w:val="en-CA"/>
        </w:rPr>
        <w:t xml:space="preserve">]  In the view of this Court, this is the fundamental point in </w:t>
      </w:r>
      <w:r w:rsidRPr="00FA5D7E">
        <w:rPr>
          <w:i/>
          <w:szCs w:val="24"/>
          <w:lang w:val="en-CA"/>
        </w:rPr>
        <w:t>Walsh</w:t>
      </w:r>
      <w:r w:rsidRPr="00FA5D7E">
        <w:rPr>
          <w:szCs w:val="24"/>
          <w:lang w:val="en-CA"/>
        </w:rPr>
        <w:t xml:space="preserve">.  Whether to establish an identical protective regime, regardless of the choice made regarding marital status, is not a decision that falls within the purview of the courts, provided the choices made by the legislature are not discriminatory.  It is the legislature’s task to determine whether it is necessary to impose, in whole or in part, a universal and standardized protective regime that does not take into account the matrimonial status of the </w:t>
      </w:r>
      <w:r w:rsidRPr="00FA5D7E">
        <w:rPr>
          <w:i/>
          <w:szCs w:val="24"/>
          <w:lang w:val="en-CA"/>
        </w:rPr>
        <w:t>de facto</w:t>
      </w:r>
      <w:r w:rsidRPr="00FA5D7E">
        <w:rPr>
          <w:szCs w:val="24"/>
          <w:lang w:val="en-CA"/>
        </w:rPr>
        <w:t xml:space="preserve"> spouses.  [para. 249]</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Hallée J. then rejected A’s argument that </w:t>
      </w:r>
      <w:r w:rsidRPr="00FA5D7E">
        <w:rPr>
          <w:rFonts w:cs="Times New Roman"/>
          <w:i/>
          <w:szCs w:val="24"/>
        </w:rPr>
        <w:t>Walsh</w:t>
      </w:r>
      <w:r w:rsidRPr="00FA5D7E">
        <w:rPr>
          <w:rFonts w:cs="Times New Roman"/>
          <w:szCs w:val="24"/>
        </w:rPr>
        <w:t xml:space="preserve"> could be distinguished from the case at bar because there was an obligation of support between common law spouses in Nova Scotia that does not exist in Quebec law.  In her opinion, the majority’s reasons in </w:t>
      </w:r>
      <w:r w:rsidRPr="00FA5D7E">
        <w:rPr>
          <w:rFonts w:cs="Times New Roman"/>
          <w:i/>
          <w:szCs w:val="24"/>
        </w:rPr>
        <w:t>Walsh</w:t>
      </w:r>
      <w:r w:rsidRPr="00FA5D7E">
        <w:rPr>
          <w:rFonts w:cs="Times New Roman"/>
          <w:szCs w:val="24"/>
        </w:rPr>
        <w:t xml:space="preserve"> were not based on the existence of such an obligation in Nova Scotia.  Hallée J. found that </w:t>
      </w:r>
      <w:r w:rsidRPr="00FA5D7E">
        <w:rPr>
          <w:rFonts w:cs="Times New Roman"/>
          <w:i/>
          <w:szCs w:val="24"/>
        </w:rPr>
        <w:t>Walsh</w:t>
      </w:r>
      <w:r w:rsidRPr="00FA5D7E">
        <w:rPr>
          <w:rFonts w:cs="Times New Roman"/>
          <w:szCs w:val="24"/>
        </w:rPr>
        <w:t xml:space="preserve"> instead reflected the fundamental importance of freedom of choice and that this factor is just as applicable in Quebec as in Nova Scotia.  The rights of married couples are not denied to </w:t>
      </w:r>
      <w:r w:rsidRPr="00FA5D7E">
        <w:rPr>
          <w:rFonts w:cs="Times New Roman"/>
          <w:i/>
          <w:szCs w:val="24"/>
        </w:rPr>
        <w:t>de facto</w:t>
      </w:r>
      <w:r w:rsidRPr="00FA5D7E">
        <w:rPr>
          <w:rFonts w:cs="Times New Roman"/>
          <w:szCs w:val="24"/>
        </w:rPr>
        <w:t xml:space="preserve"> spouses, who can choose to benefit from them in different ways, by, for example, contracting a civil union or entering into an agreement.  In addition to freedom of choice, Hallée J. stated, other contextual factors supported the finding that there was no discrimination in the instant case.  As in </w:t>
      </w:r>
      <w:r w:rsidRPr="00FA5D7E">
        <w:rPr>
          <w:rFonts w:cs="Times New Roman"/>
          <w:i/>
          <w:szCs w:val="24"/>
        </w:rPr>
        <w:t>Walsh</w:t>
      </w:r>
      <w:r w:rsidRPr="00FA5D7E">
        <w:rPr>
          <w:rFonts w:cs="Times New Roman"/>
          <w:szCs w:val="24"/>
        </w:rPr>
        <w:t xml:space="preserve">, the evidence showed that distinctions exist between married and </w:t>
      </w:r>
      <w:r w:rsidRPr="00FA5D7E">
        <w:rPr>
          <w:rFonts w:cs="Times New Roman"/>
          <w:i/>
          <w:szCs w:val="24"/>
        </w:rPr>
        <w:t>de facto</w:t>
      </w:r>
      <w:r w:rsidRPr="00FA5D7E">
        <w:rPr>
          <w:rFonts w:cs="Times New Roman"/>
          <w:szCs w:val="24"/>
        </w:rPr>
        <w:t xml:space="preserve"> couples, and that there is significant heterogeneity within the group consisting of </w:t>
      </w:r>
      <w:r w:rsidRPr="00FA5D7E">
        <w:rPr>
          <w:rFonts w:cs="Times New Roman"/>
          <w:i/>
          <w:szCs w:val="24"/>
        </w:rPr>
        <w:t>de facto</w:t>
      </w:r>
      <w:r w:rsidRPr="00FA5D7E">
        <w:rPr>
          <w:rFonts w:cs="Times New Roman"/>
          <w:szCs w:val="24"/>
        </w:rPr>
        <w:t xml:space="preserve"> spouses.  Moreover, the legislative history of the </w:t>
      </w:r>
      <w:r w:rsidRPr="00FA5D7E">
        <w:rPr>
          <w:rFonts w:cs="Times New Roman"/>
          <w:i/>
          <w:szCs w:val="24"/>
        </w:rPr>
        <w:t>Civil Code</w:t>
      </w:r>
      <w:r w:rsidRPr="00FA5D7E">
        <w:rPr>
          <w:rFonts w:cs="Times New Roman"/>
          <w:szCs w:val="24"/>
        </w:rPr>
        <w:t xml:space="preserve">, like that of the legislation at issue in </w:t>
      </w:r>
      <w:r w:rsidRPr="00FA5D7E">
        <w:rPr>
          <w:rFonts w:cs="Times New Roman"/>
          <w:i/>
          <w:szCs w:val="24"/>
        </w:rPr>
        <w:t>Walsh</w:t>
      </w:r>
      <w:r w:rsidRPr="00FA5D7E">
        <w:rPr>
          <w:rFonts w:cs="Times New Roman"/>
          <w:szCs w:val="24"/>
        </w:rPr>
        <w:t xml:space="preserve">, shows that the legislature’s consistent and considered purpose for the past 30 years has been to respect the freedom of every individual to choose whether or not to marry.  As a result, Hallée J. found that the differential treatment of </w:t>
      </w:r>
      <w:r w:rsidRPr="00FA5D7E">
        <w:rPr>
          <w:rFonts w:cs="Times New Roman"/>
          <w:i/>
          <w:szCs w:val="24"/>
        </w:rPr>
        <w:t>de facto</w:t>
      </w:r>
      <w:r w:rsidRPr="00FA5D7E">
        <w:rPr>
          <w:rFonts w:cs="Times New Roman"/>
          <w:szCs w:val="24"/>
        </w:rPr>
        <w:t xml:space="preserve"> spouses and married persons with respect to the obligation of support and the partition of property does not perpetuate prejudice or result from stereotyping.</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For all these reasons, Hallée J. denied the constitutional conclusions sought by A and found that the provisions of the </w:t>
      </w:r>
      <w:r w:rsidRPr="00FA5D7E">
        <w:rPr>
          <w:rFonts w:cs="Times New Roman"/>
          <w:i/>
          <w:szCs w:val="24"/>
        </w:rPr>
        <w:t>Civil Code of Québec</w:t>
      </w:r>
      <w:r w:rsidRPr="00FA5D7E">
        <w:rPr>
          <w:rFonts w:cs="Times New Roman"/>
          <w:szCs w:val="24"/>
        </w:rPr>
        <w:t xml:space="preserve"> A challenges are constitutional.</w:t>
      </w:r>
    </w:p>
    <w:p w:rsidR="004862B9" w:rsidRPr="00FA5D7E" w:rsidRDefault="004862B9" w:rsidP="00222BB5">
      <w:pPr>
        <w:pStyle w:val="TitleTitre-AltT"/>
        <w:tabs>
          <w:tab w:val="clear" w:pos="360"/>
          <w:tab w:val="left" w:pos="540"/>
        </w:tabs>
        <w:ind w:left="540" w:hanging="540"/>
        <w:rPr>
          <w:rFonts w:cs="Times New Roman"/>
          <w:szCs w:val="24"/>
          <w:lang w:val="en-CA"/>
        </w:rPr>
      </w:pPr>
      <w:r w:rsidRPr="00FA5D7E">
        <w:rPr>
          <w:rFonts w:cs="Times New Roman"/>
          <w:szCs w:val="24"/>
          <w:lang w:val="en-CA"/>
        </w:rPr>
        <w:t>B.</w:t>
      </w:r>
      <w:r w:rsidRPr="00FA5D7E">
        <w:rPr>
          <w:rFonts w:cs="Times New Roman"/>
          <w:szCs w:val="24"/>
          <w:lang w:val="en-CA"/>
        </w:rPr>
        <w:tab/>
      </w:r>
      <w:r w:rsidRPr="00FA5D7E">
        <w:rPr>
          <w:rFonts w:cs="Times New Roman"/>
          <w:i/>
          <w:szCs w:val="24"/>
          <w:lang w:val="en-CA"/>
        </w:rPr>
        <w:t>Quebec Court of Appeal, 2010 QCCA 1978, [2010] R.J.Q. 2259</w:t>
      </w:r>
    </w:p>
    <w:p w:rsidR="004862B9" w:rsidRPr="00FA5D7E" w:rsidRDefault="004862B9" w:rsidP="00222BB5">
      <w:pPr>
        <w:pStyle w:val="TitleTitre-AltT"/>
        <w:tabs>
          <w:tab w:val="clear" w:pos="360"/>
          <w:tab w:val="left" w:pos="1710"/>
        </w:tabs>
        <w:ind w:left="1170" w:hanging="1170"/>
        <w:rPr>
          <w:rFonts w:cs="Times New Roman"/>
          <w:szCs w:val="24"/>
          <w:lang w:val="en-CA"/>
        </w:rPr>
      </w:pPr>
      <w:r w:rsidRPr="00FA5D7E">
        <w:rPr>
          <w:rFonts w:cs="Times New Roman"/>
          <w:szCs w:val="24"/>
          <w:lang w:val="en-CA"/>
        </w:rPr>
        <w:tab/>
        <w:t>(1)</w:t>
      </w:r>
      <w:r w:rsidRPr="00FA5D7E">
        <w:rPr>
          <w:rFonts w:cs="Times New Roman"/>
          <w:szCs w:val="24"/>
          <w:lang w:val="en-CA"/>
        </w:rPr>
        <w:tab/>
      </w:r>
      <w:r w:rsidRPr="00FA5D7E">
        <w:rPr>
          <w:rFonts w:cs="Times New Roman"/>
          <w:szCs w:val="24"/>
          <w:u w:val="single"/>
          <w:lang w:val="en-CA"/>
        </w:rPr>
        <w:t>Reasons of Dutil J.A.</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Dutil J.A. considered A’s appeal in reasons concurred in by Giroux J.A.  She found first that the main issues raised by the appeal concerned, on the one hand, the obligation of support of </w:t>
      </w:r>
      <w:r w:rsidRPr="00FA5D7E">
        <w:rPr>
          <w:rFonts w:cs="Times New Roman"/>
          <w:i/>
          <w:szCs w:val="24"/>
        </w:rPr>
        <w:t>de facto</w:t>
      </w:r>
      <w:r w:rsidRPr="00FA5D7E">
        <w:rPr>
          <w:rFonts w:cs="Times New Roman"/>
          <w:szCs w:val="24"/>
        </w:rPr>
        <w:t xml:space="preserve"> spouses and, on the other hand, the partition of property upon separation, that is, the right to partition of the family patrimony, protection of the family residence, the partnership of acquests and the compensatory allowance.</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According to Dutil J.A., the trial judge had been correct in concluding that this Court’s decision in </w:t>
      </w:r>
      <w:r w:rsidRPr="00FA5D7E">
        <w:rPr>
          <w:rFonts w:cs="Times New Roman"/>
          <w:i/>
          <w:szCs w:val="24"/>
        </w:rPr>
        <w:t>Walsh</w:t>
      </w:r>
      <w:r w:rsidRPr="00FA5D7E">
        <w:rPr>
          <w:rFonts w:cs="Times New Roman"/>
          <w:szCs w:val="24"/>
        </w:rPr>
        <w:t xml:space="preserve"> is binding on the Quebec courts with respect to the partition of property between </w:t>
      </w:r>
      <w:r w:rsidRPr="00FA5D7E">
        <w:rPr>
          <w:rFonts w:cs="Times New Roman"/>
          <w:i/>
          <w:szCs w:val="24"/>
        </w:rPr>
        <w:t>de facto</w:t>
      </w:r>
      <w:r w:rsidRPr="00FA5D7E">
        <w:rPr>
          <w:rFonts w:cs="Times New Roman"/>
          <w:szCs w:val="24"/>
        </w:rPr>
        <w:t xml:space="preserve"> spouses upon separation. She explained this as follows:</w:t>
      </w:r>
    </w:p>
    <w:p w:rsidR="004862B9" w:rsidRPr="00FA5D7E" w:rsidRDefault="004862B9" w:rsidP="004862B9">
      <w:pPr>
        <w:pStyle w:val="Citation-AltC"/>
        <w:tabs>
          <w:tab w:val="left" w:pos="1530"/>
        </w:tabs>
        <w:spacing w:after="240"/>
        <w:ind w:left="1168" w:hanging="1168"/>
        <w:contextualSpacing w:val="0"/>
        <w:rPr>
          <w:szCs w:val="24"/>
          <w:lang w:val="en-CA"/>
        </w:rPr>
      </w:pPr>
      <w:r w:rsidRPr="00FA5D7E">
        <w:rPr>
          <w:szCs w:val="24"/>
          <w:lang w:val="en-CA"/>
        </w:rPr>
        <w:tab/>
      </w:r>
      <w:r w:rsidRPr="00FA5D7E">
        <w:rPr>
          <w:szCs w:val="24"/>
          <w:lang w:val="en-CA"/>
        </w:rPr>
        <w:tab/>
        <w:t>[</w:t>
      </w:r>
      <w:r w:rsidRPr="00FA5D7E">
        <w:rPr>
          <w:smallCaps/>
          <w:szCs w:val="24"/>
          <w:lang w:val="en-CA"/>
        </w:rPr>
        <w:t xml:space="preserve">translation]  </w:t>
      </w:r>
      <w:r w:rsidRPr="00FA5D7E">
        <w:rPr>
          <w:szCs w:val="24"/>
          <w:lang w:val="en-CA"/>
        </w:rPr>
        <w:t xml:space="preserve">In the case before us, the impugned </w:t>
      </w:r>
      <w:r w:rsidRPr="00321105">
        <w:rPr>
          <w:szCs w:val="24"/>
          <w:lang w:val="en-CA"/>
        </w:rPr>
        <w:t>C.C.Q.</w:t>
      </w:r>
      <w:r w:rsidRPr="00FA5D7E">
        <w:rPr>
          <w:szCs w:val="24"/>
          <w:lang w:val="en-CA"/>
        </w:rPr>
        <w:t xml:space="preserve"> provisions pertaining to the division of property govern patrimonial relations between married spouses.  On this issue, the Supreme Court has spoken clearly, stating that the freedom to choose whether to marry or not is paramount.  Although in Quebec the legislature has stipulated that the </w:t>
      </w:r>
      <w:r w:rsidRPr="00321105">
        <w:rPr>
          <w:szCs w:val="24"/>
          <w:lang w:val="en-CA"/>
        </w:rPr>
        <w:t>C.C.Q.</w:t>
      </w:r>
      <w:r w:rsidRPr="00FA5D7E">
        <w:rPr>
          <w:szCs w:val="24"/>
          <w:lang w:val="en-CA"/>
        </w:rPr>
        <w:t xml:space="preserve"> provisions governing the effects of marriage are of public order (article 391 </w:t>
      </w:r>
      <w:r w:rsidRPr="001F6C2D">
        <w:rPr>
          <w:szCs w:val="24"/>
          <w:lang w:val="en-CA"/>
        </w:rPr>
        <w:t>C.C.Q.</w:t>
      </w:r>
      <w:r w:rsidRPr="00FA5D7E">
        <w:rPr>
          <w:szCs w:val="24"/>
          <w:lang w:val="en-CA"/>
        </w:rPr>
        <w:t xml:space="preserve">), while in Nova Scotia married spouses can choose not to be subject to the </w:t>
      </w:r>
      <w:r w:rsidRPr="00FA5D7E">
        <w:rPr>
          <w:i/>
          <w:szCs w:val="24"/>
          <w:lang w:val="en-CA"/>
        </w:rPr>
        <w:t>MPA</w:t>
      </w:r>
      <w:r w:rsidRPr="00FA5D7E">
        <w:rPr>
          <w:szCs w:val="24"/>
          <w:lang w:val="en-CA"/>
        </w:rPr>
        <w:t xml:space="preserve"> [</w:t>
      </w:r>
      <w:r w:rsidRPr="00FA5D7E">
        <w:rPr>
          <w:i/>
          <w:szCs w:val="24"/>
          <w:lang w:val="en-CA"/>
        </w:rPr>
        <w:t>Matrimonial Property Act</w:t>
      </w:r>
      <w:r w:rsidRPr="00FA5D7E">
        <w:rPr>
          <w:szCs w:val="24"/>
          <w:lang w:val="en-CA"/>
        </w:rPr>
        <w:t xml:space="preserve">], this does not in my opinion permit </w:t>
      </w:r>
      <w:r w:rsidRPr="00FA5D7E">
        <w:rPr>
          <w:i/>
          <w:szCs w:val="24"/>
          <w:lang w:val="en-CA"/>
        </w:rPr>
        <w:t>Walsh</w:t>
      </w:r>
      <w:r w:rsidRPr="00FA5D7E">
        <w:rPr>
          <w:szCs w:val="24"/>
          <w:lang w:val="en-CA"/>
        </w:rPr>
        <w:t xml:space="preserve"> to be distinguished from the present case on this point.</w:t>
      </w:r>
    </w:p>
    <w:p w:rsidR="004862B9" w:rsidRPr="00FA5D7E" w:rsidRDefault="004862B9" w:rsidP="004862B9">
      <w:pPr>
        <w:pStyle w:val="Citation-AltC"/>
        <w:tabs>
          <w:tab w:val="left" w:pos="1530"/>
        </w:tabs>
        <w:ind w:hanging="1166"/>
        <w:rPr>
          <w:szCs w:val="24"/>
          <w:lang w:val="en-CA"/>
        </w:rPr>
      </w:pPr>
      <w:r w:rsidRPr="00FA5D7E">
        <w:rPr>
          <w:szCs w:val="24"/>
          <w:lang w:val="en-CA"/>
        </w:rPr>
        <w:tab/>
      </w:r>
      <w:r w:rsidRPr="00FA5D7E">
        <w:rPr>
          <w:szCs w:val="24"/>
          <w:lang w:val="en-CA"/>
        </w:rPr>
        <w:tab/>
        <w:t xml:space="preserve">The Quebec legislature has addressed the issue of conjugal status and </w:t>
      </w:r>
      <w:r w:rsidRPr="00FA5D7E">
        <w:rPr>
          <w:i/>
          <w:szCs w:val="24"/>
          <w:lang w:val="en-CA"/>
        </w:rPr>
        <w:t>de facto</w:t>
      </w:r>
      <w:r w:rsidRPr="00FA5D7E">
        <w:rPr>
          <w:szCs w:val="24"/>
          <w:lang w:val="en-CA"/>
        </w:rPr>
        <w:t xml:space="preserve"> unions on a number of occasions (1980, 1989, 1991, 1999, 2002) and has deliberately decided to allow spouses the freedom to choose the type of relationship they wish.  If the issue is to be revisited from the perspective of the division of assets, this should be done by the legislature in light of the changes that have taken place in society, since the Supreme Court has determined that the legislative choice already made on this issue does not contravene section 15 of the </w:t>
      </w:r>
      <w:r w:rsidRPr="00321105">
        <w:rPr>
          <w:szCs w:val="24"/>
          <w:lang w:val="en-CA"/>
        </w:rPr>
        <w:t>Charter</w:t>
      </w:r>
      <w:r w:rsidRPr="00FA5D7E">
        <w:rPr>
          <w:szCs w:val="24"/>
          <w:lang w:val="en-CA"/>
        </w:rPr>
        <w:t>.  [paras. 59</w:t>
      </w:r>
      <w:r w:rsidRPr="00FA5D7E">
        <w:rPr>
          <w:szCs w:val="24"/>
          <w:lang w:val="en-CA"/>
        </w:rPr>
        <w:noBreakHyphen/>
        <w:t>60]</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Dutil J.A. then considered the obligation of support provided for in art. 585 </w:t>
      </w:r>
      <w:r w:rsidRPr="00FA5D7E">
        <w:rPr>
          <w:rFonts w:cs="Times New Roman"/>
          <w:i/>
          <w:szCs w:val="24"/>
        </w:rPr>
        <w:t>C.C.Q.</w:t>
      </w:r>
      <w:r w:rsidRPr="00FA5D7E">
        <w:rPr>
          <w:rFonts w:cs="Times New Roman"/>
          <w:szCs w:val="24"/>
        </w:rPr>
        <w:t xml:space="preserve">  She disagreed with the trial judge on this point, finding that </w:t>
      </w:r>
      <w:r w:rsidRPr="00FA5D7E">
        <w:rPr>
          <w:rFonts w:cs="Times New Roman"/>
          <w:i/>
          <w:szCs w:val="24"/>
        </w:rPr>
        <w:t>Walsh</w:t>
      </w:r>
      <w:r w:rsidRPr="00FA5D7E">
        <w:rPr>
          <w:rFonts w:cs="Times New Roman"/>
          <w:szCs w:val="24"/>
        </w:rPr>
        <w:t xml:space="preserve"> does not have precedential value with respect to the obligation of spousal support.  On the one hand, she noted that common law spouses already had an obligation of support under the Nova Scotia legislation considered by this Court in </w:t>
      </w:r>
      <w:r w:rsidRPr="00FA5D7E">
        <w:rPr>
          <w:rFonts w:cs="Times New Roman"/>
          <w:i/>
          <w:szCs w:val="24"/>
        </w:rPr>
        <w:t>Walsh</w:t>
      </w:r>
      <w:r w:rsidRPr="00FA5D7E">
        <w:rPr>
          <w:rFonts w:cs="Times New Roman"/>
          <w:szCs w:val="24"/>
        </w:rPr>
        <w:t>.  On the other hand, she found that there is an important distinction between the obligation of support and the provisions on partition of property.  In her view, [</w:t>
      </w:r>
      <w:r w:rsidRPr="00FA5D7E">
        <w:rPr>
          <w:rFonts w:cs="Times New Roman"/>
          <w:smallCaps/>
          <w:szCs w:val="24"/>
        </w:rPr>
        <w:t>translation</w:t>
      </w:r>
      <w:r w:rsidR="00321105">
        <w:rPr>
          <w:rFonts w:cs="Times New Roman"/>
          <w:szCs w:val="24"/>
        </w:rPr>
        <w:t>] “s</w:t>
      </w:r>
      <w:r w:rsidRPr="00FA5D7E">
        <w:rPr>
          <w:rFonts w:cs="Times New Roman"/>
          <w:szCs w:val="24"/>
        </w:rPr>
        <w:t>upport payments exist to meet basic needs and represent an aspect of social solidarity, whereas the division of property is contractual in origin” (para. 68).</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Dutil J.A. therefore considered whether art. 585 </w:t>
      </w:r>
      <w:r w:rsidRPr="00FA5D7E">
        <w:rPr>
          <w:rFonts w:cs="Times New Roman"/>
          <w:i/>
          <w:szCs w:val="24"/>
        </w:rPr>
        <w:t>C.C.Q.</w:t>
      </w:r>
      <w:r w:rsidRPr="00FA5D7E">
        <w:rPr>
          <w:rFonts w:cs="Times New Roman"/>
          <w:szCs w:val="24"/>
        </w:rPr>
        <w:t xml:space="preserve"> infringes s. 15(1) of the </w:t>
      </w:r>
      <w:r w:rsidRPr="00FA5D7E">
        <w:rPr>
          <w:rFonts w:cs="Times New Roman"/>
          <w:i/>
          <w:szCs w:val="24"/>
        </w:rPr>
        <w:t>Charter</w:t>
      </w:r>
      <w:r w:rsidRPr="00FA5D7E">
        <w:rPr>
          <w:rFonts w:cs="Times New Roman"/>
          <w:szCs w:val="24"/>
        </w:rPr>
        <w:t xml:space="preserve">.  Applying the test established by this Court in </w:t>
      </w:r>
      <w:r w:rsidRPr="00FA5D7E">
        <w:rPr>
          <w:rFonts w:cs="Times New Roman"/>
          <w:i/>
          <w:szCs w:val="24"/>
        </w:rPr>
        <w:t>Kapp</w:t>
      </w:r>
      <w:r w:rsidRPr="00FA5D7E">
        <w:rPr>
          <w:rFonts w:cs="Times New Roman"/>
          <w:szCs w:val="24"/>
        </w:rPr>
        <w:t xml:space="preserve">, she concluded that the first stage of the analysis was not problematic, since marital status had already been held to be a ground of discrimination analogous to the ones enumerated in s. 15(1).  The case therefore turned on the second stage of the analysis, namely whether the distinction created a disadvantage by perpetuating prejudice or stereotyping.  She concluded that by failing to mention </w:t>
      </w:r>
      <w:r w:rsidRPr="00FA5D7E">
        <w:rPr>
          <w:rFonts w:cs="Times New Roman"/>
          <w:i/>
          <w:szCs w:val="24"/>
        </w:rPr>
        <w:t>de facto</w:t>
      </w:r>
      <w:r w:rsidRPr="00FA5D7E">
        <w:rPr>
          <w:rFonts w:cs="Times New Roman"/>
          <w:szCs w:val="24"/>
        </w:rPr>
        <w:t xml:space="preserve"> spouses in art. 585 </w:t>
      </w:r>
      <w:r w:rsidRPr="00FA5D7E">
        <w:rPr>
          <w:rFonts w:cs="Times New Roman"/>
          <w:i/>
          <w:szCs w:val="24"/>
        </w:rPr>
        <w:t>C.C.Q.</w:t>
      </w:r>
      <w:r w:rsidRPr="00FA5D7E">
        <w:rPr>
          <w:rFonts w:cs="Times New Roman"/>
          <w:szCs w:val="24"/>
        </w:rPr>
        <w:t>, the legislature had created a disadvantage by stereotyping and by expressing a prejudice.</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Although she acknowledged that the legislative disadvantages that once existed for </w:t>
      </w:r>
      <w:r w:rsidRPr="00FA5D7E">
        <w:rPr>
          <w:rFonts w:cs="Times New Roman"/>
          <w:i/>
          <w:szCs w:val="24"/>
        </w:rPr>
        <w:t>de facto</w:t>
      </w:r>
      <w:r w:rsidRPr="00FA5D7E">
        <w:rPr>
          <w:rFonts w:cs="Times New Roman"/>
          <w:szCs w:val="24"/>
        </w:rPr>
        <w:t xml:space="preserve"> spouses have become less significant and that the </w:t>
      </w:r>
      <w:r w:rsidRPr="00FA5D7E">
        <w:rPr>
          <w:rFonts w:cs="Times New Roman"/>
          <w:i/>
          <w:szCs w:val="24"/>
        </w:rPr>
        <w:t>de facto</w:t>
      </w:r>
      <w:r w:rsidRPr="00FA5D7E">
        <w:rPr>
          <w:rFonts w:cs="Times New Roman"/>
          <w:szCs w:val="24"/>
        </w:rPr>
        <w:t xml:space="preserve"> union is now socially acceptable, Dutil J.A. concluded that [</w:t>
      </w:r>
      <w:r w:rsidRPr="00FA5D7E">
        <w:rPr>
          <w:rFonts w:cs="Times New Roman"/>
          <w:smallCaps/>
          <w:szCs w:val="24"/>
        </w:rPr>
        <w:t>translation</w:t>
      </w:r>
      <w:r w:rsidRPr="00FA5D7E">
        <w:rPr>
          <w:rFonts w:cs="Times New Roman"/>
          <w:szCs w:val="24"/>
        </w:rPr>
        <w:t xml:space="preserve">] “the fact remains that the legislature’s failure to include them within the protection afforded by article 585 </w:t>
      </w:r>
      <w:r w:rsidRPr="00321105">
        <w:rPr>
          <w:rFonts w:cs="Times New Roman"/>
          <w:szCs w:val="24"/>
        </w:rPr>
        <w:t>C.C.Q.</w:t>
      </w:r>
      <w:r w:rsidRPr="00FA5D7E">
        <w:rPr>
          <w:rFonts w:cs="Times New Roman"/>
          <w:szCs w:val="24"/>
        </w:rPr>
        <w:t xml:space="preserve"> perpetuates the stereotype that these types of unions are less durable and serious than marriage and civil unions, which are recognized by means of a formal act” (para. 98).  She stated that her conclusion concerning the existence of such a stereotype was based on the opinion expressed by McLachlin J. in </w:t>
      </w:r>
      <w:r w:rsidRPr="00FA5D7E">
        <w:rPr>
          <w:rFonts w:cs="Times New Roman"/>
          <w:i/>
          <w:szCs w:val="24"/>
        </w:rPr>
        <w:t>Miron v. Trudel</w:t>
      </w:r>
      <w:r w:rsidRPr="00FA5D7E">
        <w:rPr>
          <w:rFonts w:cs="Times New Roman"/>
          <w:szCs w:val="24"/>
        </w:rPr>
        <w:t xml:space="preserve">, [1995] 2 S.C.R. 418, which Bastarache J. had reproduced in </w:t>
      </w:r>
      <w:r w:rsidRPr="00FA5D7E">
        <w:rPr>
          <w:rFonts w:cs="Times New Roman"/>
          <w:i/>
          <w:szCs w:val="24"/>
        </w:rPr>
        <w:t>Walsh</w:t>
      </w:r>
      <w:r w:rsidRPr="00FA5D7E">
        <w:rPr>
          <w:rFonts w:cs="Times New Roman"/>
          <w:szCs w:val="24"/>
        </w:rPr>
        <w:t xml:space="preserve">, about the historical disadvantage suffered by </w:t>
      </w:r>
      <w:r w:rsidRPr="00FA5D7E">
        <w:rPr>
          <w:rFonts w:cs="Times New Roman"/>
          <w:i/>
          <w:szCs w:val="24"/>
        </w:rPr>
        <w:t>de facto</w:t>
      </w:r>
      <w:r w:rsidRPr="00FA5D7E">
        <w:rPr>
          <w:rFonts w:cs="Times New Roman"/>
          <w:szCs w:val="24"/>
        </w:rPr>
        <w:t xml:space="preserve"> spouses.  She also relied on the fact that “concubinage” had been considered a reprehensible lifestyle choice before the 1980 family law reform.  She added that, in enacting the new </w:t>
      </w:r>
      <w:r w:rsidRPr="00FA5D7E">
        <w:rPr>
          <w:rFonts w:cs="Times New Roman"/>
          <w:i/>
          <w:szCs w:val="24"/>
        </w:rPr>
        <w:t>Civil Code</w:t>
      </w:r>
      <w:r w:rsidRPr="00FA5D7E">
        <w:rPr>
          <w:rFonts w:cs="Times New Roman"/>
          <w:szCs w:val="24"/>
        </w:rPr>
        <w:t xml:space="preserve">, the legislature had deliberately refrained from including the </w:t>
      </w:r>
      <w:r w:rsidRPr="00FA5D7E">
        <w:rPr>
          <w:rFonts w:cs="Times New Roman"/>
          <w:i/>
          <w:szCs w:val="24"/>
        </w:rPr>
        <w:t>de facto</w:t>
      </w:r>
      <w:r w:rsidRPr="00FA5D7E">
        <w:rPr>
          <w:rFonts w:cs="Times New Roman"/>
          <w:szCs w:val="24"/>
        </w:rPr>
        <w:t xml:space="preserve"> union in the provisions on the family because it considered such unions to be less stable than marriage.  She relied in this regard on certain remarks made by the Quebec Minister of Justice in September and November 1991 in the course of the study of Bill 125 on the </w:t>
      </w:r>
      <w:r w:rsidR="00321105">
        <w:rPr>
          <w:rFonts w:cs="Times New Roman"/>
          <w:i/>
          <w:szCs w:val="24"/>
        </w:rPr>
        <w:t>C</w:t>
      </w:r>
      <w:r w:rsidR="007B56D0">
        <w:rPr>
          <w:rFonts w:cs="Times New Roman"/>
          <w:i/>
          <w:szCs w:val="24"/>
        </w:rPr>
        <w:t xml:space="preserve">.C.Q. </w:t>
      </w:r>
      <w:r w:rsidRPr="00FA5D7E">
        <w:rPr>
          <w:rFonts w:cs="Times New Roman"/>
          <w:szCs w:val="24"/>
        </w:rPr>
        <w:t xml:space="preserve">by a parliamentary committee.  Finally, although many recommendations had been made by an interdepartmental committee that considered the situation of </w:t>
      </w:r>
      <w:r w:rsidRPr="00FA5D7E">
        <w:rPr>
          <w:rFonts w:cs="Times New Roman"/>
          <w:i/>
          <w:szCs w:val="24"/>
        </w:rPr>
        <w:t>de facto</w:t>
      </w:r>
      <w:r w:rsidRPr="00FA5D7E">
        <w:rPr>
          <w:rFonts w:cs="Times New Roman"/>
          <w:szCs w:val="24"/>
        </w:rPr>
        <w:t xml:space="preserve"> spouses in 1996, the Quebec legislature had not passed a bill to structure their mutual relationships.</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According to Dutil J.A., other signs of the disadvantages suffered by </w:t>
      </w:r>
      <w:r w:rsidRPr="00FA5D7E">
        <w:rPr>
          <w:rFonts w:cs="Times New Roman"/>
          <w:i/>
          <w:szCs w:val="24"/>
        </w:rPr>
        <w:t>de facto</w:t>
      </w:r>
      <w:r w:rsidRPr="00FA5D7E">
        <w:rPr>
          <w:rFonts w:cs="Times New Roman"/>
          <w:szCs w:val="24"/>
        </w:rPr>
        <w:t xml:space="preserve"> spouses are still present in the </w:t>
      </w:r>
      <w:r w:rsidRPr="00FA5D7E">
        <w:rPr>
          <w:rFonts w:cs="Times New Roman"/>
          <w:i/>
          <w:szCs w:val="24"/>
        </w:rPr>
        <w:t>Civil Code</w:t>
      </w:r>
      <w:r w:rsidRPr="00FA5D7E">
        <w:rPr>
          <w:rFonts w:cs="Times New Roman"/>
          <w:szCs w:val="24"/>
        </w:rPr>
        <w:t xml:space="preserve">.  For example, a </w:t>
      </w:r>
      <w:r w:rsidRPr="00FA5D7E">
        <w:rPr>
          <w:rFonts w:cs="Times New Roman"/>
          <w:i/>
          <w:szCs w:val="24"/>
        </w:rPr>
        <w:t>de facto</w:t>
      </w:r>
      <w:r w:rsidRPr="00FA5D7E">
        <w:rPr>
          <w:rFonts w:cs="Times New Roman"/>
          <w:szCs w:val="24"/>
        </w:rPr>
        <w:t xml:space="preserve"> spouse can inherit from his or her spouse only by will (arts. 653 </w:t>
      </w:r>
      <w:r w:rsidR="00321105" w:rsidRPr="00FA5D7E">
        <w:rPr>
          <w:rFonts w:cs="Times New Roman"/>
          <w:i/>
          <w:szCs w:val="24"/>
        </w:rPr>
        <w:t>C.C.Q.</w:t>
      </w:r>
      <w:r w:rsidR="00321105">
        <w:rPr>
          <w:rFonts w:cs="Times New Roman"/>
          <w:i/>
          <w:szCs w:val="24"/>
        </w:rPr>
        <w:t xml:space="preserve"> </w:t>
      </w:r>
      <w:r w:rsidRPr="00FA5D7E">
        <w:rPr>
          <w:rFonts w:cs="Times New Roman"/>
          <w:i/>
          <w:szCs w:val="24"/>
        </w:rPr>
        <w:t>et seq.</w:t>
      </w:r>
      <w:r w:rsidRPr="00FA5D7E">
        <w:rPr>
          <w:rFonts w:cs="Times New Roman"/>
          <w:szCs w:val="24"/>
        </w:rPr>
        <w:t xml:space="preserve">) and cannot make gifts of future property (arts. 1818 and 1819 </w:t>
      </w:r>
      <w:r w:rsidRPr="00FA5D7E">
        <w:rPr>
          <w:rFonts w:cs="Times New Roman"/>
          <w:i/>
          <w:szCs w:val="24"/>
        </w:rPr>
        <w:t>C.C.Q.</w:t>
      </w:r>
      <w:r w:rsidRPr="00FA5D7E">
        <w:rPr>
          <w:rFonts w:cs="Times New Roman"/>
          <w:szCs w:val="24"/>
        </w:rPr>
        <w:t xml:space="preserve">).  Finally, referring to </w:t>
      </w:r>
      <w:r w:rsidRPr="00FA5D7E">
        <w:rPr>
          <w:rFonts w:cs="Times New Roman"/>
          <w:i/>
          <w:szCs w:val="24"/>
        </w:rPr>
        <w:t>M. v. H.</w:t>
      </w:r>
      <w:r w:rsidRPr="00FA5D7E">
        <w:rPr>
          <w:rFonts w:cs="Times New Roman"/>
          <w:szCs w:val="24"/>
        </w:rPr>
        <w:t xml:space="preserve">, [1999] 2 S.C.R. 3, in which this Court explained that one factor which may demonstrate that a distinction violates a person’s dignity is the vulnerability of the group in question, Dutil J.A. stated that </w:t>
      </w:r>
      <w:r w:rsidRPr="00FA5D7E">
        <w:rPr>
          <w:rFonts w:cs="Times New Roman"/>
          <w:i/>
          <w:szCs w:val="24"/>
        </w:rPr>
        <w:t>de facto</w:t>
      </w:r>
      <w:r w:rsidRPr="00FA5D7E">
        <w:rPr>
          <w:rFonts w:cs="Times New Roman"/>
          <w:szCs w:val="24"/>
        </w:rPr>
        <w:t xml:space="preserve"> spouses are vulnerable just as same</w:t>
      </w:r>
      <w:r w:rsidRPr="00FA5D7E">
        <w:rPr>
          <w:rFonts w:cs="Times New Roman"/>
          <w:szCs w:val="24"/>
        </w:rPr>
        <w:noBreakHyphen/>
        <w:t xml:space="preserve">sex spouses were.  In her opinion, since the legislature had not made the obligation of support provided for in art. 585 applicable to </w:t>
      </w:r>
      <w:r w:rsidRPr="00FA5D7E">
        <w:rPr>
          <w:rFonts w:cs="Times New Roman"/>
          <w:i/>
          <w:szCs w:val="24"/>
        </w:rPr>
        <w:t>de facto</w:t>
      </w:r>
      <w:r w:rsidRPr="00FA5D7E">
        <w:rPr>
          <w:rFonts w:cs="Times New Roman"/>
          <w:szCs w:val="24"/>
        </w:rPr>
        <w:t xml:space="preserve"> spouses, it deemed them less worthy of the protection afforded to married spouses even though </w:t>
      </w:r>
      <w:r w:rsidRPr="00FA5D7E">
        <w:rPr>
          <w:rFonts w:cs="Times New Roman"/>
          <w:i/>
          <w:szCs w:val="24"/>
        </w:rPr>
        <w:t>de facto</w:t>
      </w:r>
      <w:r w:rsidRPr="00FA5D7E">
        <w:rPr>
          <w:rFonts w:cs="Times New Roman"/>
          <w:szCs w:val="24"/>
        </w:rPr>
        <w:t xml:space="preserve"> unions may be similar in several respects to the other types of conjugal relationships.</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Dutil J.A. referred to Gonthier J.’s comment in </w:t>
      </w:r>
      <w:r w:rsidRPr="00FA5D7E">
        <w:rPr>
          <w:rFonts w:cs="Times New Roman"/>
          <w:i/>
          <w:szCs w:val="24"/>
        </w:rPr>
        <w:t>Walsh</w:t>
      </w:r>
      <w:r w:rsidRPr="00FA5D7E">
        <w:rPr>
          <w:rFonts w:cs="Times New Roman"/>
          <w:szCs w:val="24"/>
        </w:rPr>
        <w:t xml:space="preserve"> that the obligation of support has an important social objective that differs from the objective of the division of property.  By providing in art. 585 </w:t>
      </w:r>
      <w:r w:rsidRPr="00FA5D7E">
        <w:rPr>
          <w:rFonts w:cs="Times New Roman"/>
          <w:i/>
          <w:szCs w:val="24"/>
        </w:rPr>
        <w:t>C.C.Q.</w:t>
      </w:r>
      <w:r w:rsidRPr="00FA5D7E">
        <w:rPr>
          <w:rFonts w:cs="Times New Roman"/>
          <w:szCs w:val="24"/>
        </w:rPr>
        <w:t xml:space="preserve"> that spouses and relatives in the direct line in the first degree owe each other support, the Quebec legislature also recognized that the obligation of support is different.  According to Dutil J.A., it [</w:t>
      </w:r>
      <w:r w:rsidRPr="00FA5D7E">
        <w:rPr>
          <w:rFonts w:cs="Times New Roman"/>
          <w:smallCaps/>
          <w:szCs w:val="24"/>
        </w:rPr>
        <w:t>translation</w:t>
      </w:r>
      <w:r w:rsidRPr="00FA5D7E">
        <w:rPr>
          <w:rFonts w:cs="Times New Roman"/>
          <w:szCs w:val="24"/>
        </w:rPr>
        <w:t xml:space="preserve">] “is not solely the consequence of a contractual agreement; rather, it is a social obligation toward members of the immediate family unit” (para. 101).  In Quebec, the family unit concept now also includes families formed by </w:t>
      </w:r>
      <w:r w:rsidRPr="00FA5D7E">
        <w:rPr>
          <w:rFonts w:cs="Times New Roman"/>
          <w:i/>
          <w:szCs w:val="24"/>
        </w:rPr>
        <w:t>de facto</w:t>
      </w:r>
      <w:r w:rsidRPr="00FA5D7E">
        <w:rPr>
          <w:rFonts w:cs="Times New Roman"/>
          <w:szCs w:val="24"/>
        </w:rPr>
        <w:t xml:space="preserve"> spouses.  In ignoring such families, the Quebec legislature excluded more than a third of Quebec couples from the application of a measure that exists precisely to protect the family unit.  Dutil J.A. also found that, by requiring marriage or civil union as a precondition for the right to support, the legislature had failed to consider social realities.  The purpose of an obligation of support of former spouses is to enable an economically dependent person to obtain support, following the breakdown of a conjugal relationship, from a former spouse who is capable of paying it.  The nature of the couple’s relationship, be it a </w:t>
      </w:r>
      <w:r w:rsidRPr="00FA5D7E">
        <w:rPr>
          <w:rFonts w:cs="Times New Roman"/>
          <w:i/>
          <w:szCs w:val="24"/>
        </w:rPr>
        <w:t>de facto</w:t>
      </w:r>
      <w:r w:rsidRPr="00FA5D7E">
        <w:rPr>
          <w:rFonts w:cs="Times New Roman"/>
          <w:szCs w:val="24"/>
        </w:rPr>
        <w:t xml:space="preserve"> union, civil union or marriage, does not alter the extent to which one of the former spouses needs support after they separate.</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Rather, Dutil J.A. noted that a </w:t>
      </w:r>
      <w:r w:rsidRPr="00FA5D7E">
        <w:rPr>
          <w:rFonts w:cs="Times New Roman"/>
          <w:i/>
          <w:szCs w:val="24"/>
        </w:rPr>
        <w:t>de facto</w:t>
      </w:r>
      <w:r w:rsidRPr="00FA5D7E">
        <w:rPr>
          <w:rFonts w:cs="Times New Roman"/>
          <w:szCs w:val="24"/>
        </w:rPr>
        <w:t xml:space="preserve"> union that lasts a certain length of time and produces children is very similar to marriage.  Finally, she disagreed with the trial judge that the lack of evidence about the concrete effects of the distinction between </w:t>
      </w:r>
      <w:r w:rsidRPr="00FA5D7E">
        <w:rPr>
          <w:rFonts w:cs="Times New Roman"/>
          <w:i/>
          <w:szCs w:val="24"/>
        </w:rPr>
        <w:t>de facto</w:t>
      </w:r>
      <w:r w:rsidRPr="00FA5D7E">
        <w:rPr>
          <w:rFonts w:cs="Times New Roman"/>
          <w:szCs w:val="24"/>
        </w:rPr>
        <w:t xml:space="preserve"> spouses and married spouses was fatal to A’s action.  She referred in this regard to </w:t>
      </w:r>
      <w:r w:rsidRPr="00FA5D7E">
        <w:rPr>
          <w:rFonts w:cs="Times New Roman"/>
          <w:i/>
          <w:szCs w:val="24"/>
        </w:rPr>
        <w:t>Law v. Canada (Minister of Employment and Immigration)</w:t>
      </w:r>
      <w:r w:rsidRPr="00FA5D7E">
        <w:rPr>
          <w:rFonts w:cs="Times New Roman"/>
          <w:szCs w:val="24"/>
        </w:rPr>
        <w:t xml:space="preserve">, [1999] 1 S.C.R. 497, in which this Court had stated that it will often be evident on the basis of facts of which judicial notice is taken and logical reasoning that a distinction is discriminatory within the meaning of s. 15(1) of the </w:t>
      </w:r>
      <w:r w:rsidRPr="00FA5D7E">
        <w:rPr>
          <w:rFonts w:cs="Times New Roman"/>
          <w:i/>
          <w:szCs w:val="24"/>
        </w:rPr>
        <w:t>Charter</w:t>
      </w:r>
      <w:r w:rsidRPr="00FA5D7E">
        <w:rPr>
          <w:rFonts w:cs="Times New Roman"/>
          <w:szCs w:val="24"/>
        </w:rPr>
        <w:t xml:space="preserve">.  In her opinion, Hallée J. should therefore have taken judicial notice of the concrete effects of the distinction made by the legislature between </w:t>
      </w:r>
      <w:r w:rsidRPr="00FA5D7E">
        <w:rPr>
          <w:rFonts w:cs="Times New Roman"/>
          <w:i/>
          <w:szCs w:val="24"/>
        </w:rPr>
        <w:t>de facto</w:t>
      </w:r>
      <w:r w:rsidRPr="00FA5D7E">
        <w:rPr>
          <w:rFonts w:cs="Times New Roman"/>
          <w:szCs w:val="24"/>
        </w:rPr>
        <w:t xml:space="preserve"> spouses and married spouses.  She concluded that the Quebec legislature’s differential treatment of </w:t>
      </w:r>
      <w:r w:rsidRPr="00FA5D7E">
        <w:rPr>
          <w:rFonts w:cs="Times New Roman"/>
          <w:i/>
          <w:szCs w:val="24"/>
        </w:rPr>
        <w:t>de facto</w:t>
      </w:r>
      <w:r w:rsidRPr="00FA5D7E">
        <w:rPr>
          <w:rFonts w:cs="Times New Roman"/>
          <w:szCs w:val="24"/>
        </w:rPr>
        <w:t xml:space="preserve"> spouses and married or civil union spouses with respect to the obligation of support has a substantive impact on </w:t>
      </w:r>
      <w:r w:rsidRPr="00FA5D7E">
        <w:rPr>
          <w:rFonts w:cs="Times New Roman"/>
          <w:i/>
          <w:szCs w:val="24"/>
        </w:rPr>
        <w:t>de facto</w:t>
      </w:r>
      <w:r w:rsidRPr="00FA5D7E">
        <w:rPr>
          <w:rFonts w:cs="Times New Roman"/>
          <w:szCs w:val="24"/>
        </w:rPr>
        <w:t xml:space="preserve"> spouses.  More specifically, in her view, art. 585 </w:t>
      </w:r>
      <w:r w:rsidRPr="00FA5D7E">
        <w:rPr>
          <w:rFonts w:cs="Times New Roman"/>
          <w:i/>
          <w:szCs w:val="24"/>
        </w:rPr>
        <w:t>C.C.Q.</w:t>
      </w:r>
      <w:r w:rsidRPr="00FA5D7E">
        <w:rPr>
          <w:rFonts w:cs="Times New Roman"/>
          <w:szCs w:val="24"/>
        </w:rPr>
        <w:t xml:space="preserve"> deprives certain individuals of a right — the ability to meet basic financial needs following the breakdown of a relationship — however fundamental it may be, since they cannot claim support from a former spouse following separation.  This exclusion exists regardless of the length of the union, the birth of children or the creation of a situation of economic dependence.</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Having concluded, in light of certain contextual factors, that the exclusion of </w:t>
      </w:r>
      <w:r w:rsidRPr="00FA5D7E">
        <w:rPr>
          <w:rFonts w:cs="Times New Roman"/>
          <w:i/>
          <w:szCs w:val="24"/>
        </w:rPr>
        <w:t>de facto</w:t>
      </w:r>
      <w:r w:rsidRPr="00FA5D7E">
        <w:rPr>
          <w:rFonts w:cs="Times New Roman"/>
          <w:szCs w:val="24"/>
        </w:rPr>
        <w:t xml:space="preserve"> spouses from art. 585 </w:t>
      </w:r>
      <w:r w:rsidRPr="00FA5D7E">
        <w:rPr>
          <w:rFonts w:cs="Times New Roman"/>
          <w:i/>
          <w:szCs w:val="24"/>
        </w:rPr>
        <w:t>C.C.Q.</w:t>
      </w:r>
      <w:r w:rsidRPr="00FA5D7E">
        <w:rPr>
          <w:rFonts w:cs="Times New Roman"/>
          <w:szCs w:val="24"/>
        </w:rPr>
        <w:t xml:space="preserve"> is discriminatory, Dutil J.A. held that this legislative provision is not justified under s. 1 of the </w:t>
      </w:r>
      <w:r w:rsidRPr="00FA5D7E">
        <w:rPr>
          <w:rFonts w:cs="Times New Roman"/>
          <w:i/>
          <w:szCs w:val="24"/>
        </w:rPr>
        <w:t>Charter</w:t>
      </w:r>
      <w:r w:rsidRPr="00FA5D7E">
        <w:rPr>
          <w:rFonts w:cs="Times New Roman"/>
          <w:szCs w:val="24"/>
        </w:rPr>
        <w:t xml:space="preserve">.  As a result, she decided that the appropriate constitutional remedy in this case would be a declaration that art. 585 </w:t>
      </w:r>
      <w:r w:rsidRPr="00FA5D7E">
        <w:rPr>
          <w:rFonts w:cs="Times New Roman"/>
          <w:i/>
          <w:szCs w:val="24"/>
        </w:rPr>
        <w:t>C.C.Q.</w:t>
      </w:r>
      <w:r w:rsidRPr="00FA5D7E">
        <w:rPr>
          <w:rFonts w:cs="Times New Roman"/>
          <w:szCs w:val="24"/>
        </w:rPr>
        <w:t xml:space="preserve"> is invalid; this declaration was to be suspended for 12 months without any exemption for A.</w:t>
      </w:r>
    </w:p>
    <w:p w:rsidR="004862B9" w:rsidRPr="00FA5D7E" w:rsidRDefault="004862B9" w:rsidP="004862B9">
      <w:pPr>
        <w:pStyle w:val="TitleTitre-AltT"/>
        <w:tabs>
          <w:tab w:val="clear" w:pos="360"/>
          <w:tab w:val="left" w:pos="1620"/>
        </w:tabs>
        <w:ind w:left="1170" w:hanging="1170"/>
        <w:rPr>
          <w:rFonts w:cs="Times New Roman"/>
          <w:szCs w:val="24"/>
          <w:lang w:val="en-CA"/>
        </w:rPr>
      </w:pPr>
      <w:r w:rsidRPr="00FA5D7E">
        <w:rPr>
          <w:rFonts w:cs="Times New Roman"/>
          <w:szCs w:val="24"/>
          <w:lang w:val="en-CA"/>
        </w:rPr>
        <w:tab/>
        <w:t>(2)</w:t>
      </w:r>
      <w:r w:rsidRPr="00FA5D7E">
        <w:rPr>
          <w:rFonts w:cs="Times New Roman"/>
          <w:szCs w:val="24"/>
          <w:lang w:val="en-CA"/>
        </w:rPr>
        <w:tab/>
      </w:r>
      <w:r w:rsidRPr="00FA5D7E">
        <w:rPr>
          <w:rFonts w:cs="Times New Roman"/>
          <w:szCs w:val="24"/>
          <w:u w:val="single"/>
          <w:lang w:val="en-CA"/>
        </w:rPr>
        <w:t>Reasons of Beauregard J.A.</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Beauregard J.A. agreed that, because </w:t>
      </w:r>
      <w:r w:rsidRPr="00FA5D7E">
        <w:rPr>
          <w:rFonts w:cs="Times New Roman"/>
          <w:i/>
          <w:szCs w:val="24"/>
        </w:rPr>
        <w:t>de facto</w:t>
      </w:r>
      <w:r w:rsidRPr="00FA5D7E">
        <w:rPr>
          <w:rFonts w:cs="Times New Roman"/>
          <w:szCs w:val="24"/>
        </w:rPr>
        <w:t xml:space="preserve"> spouses in Quebec are excluded from the right to support after separation, they are discriminated against in violation of s. 15(1) of the </w:t>
      </w:r>
      <w:r w:rsidRPr="00FA5D7E">
        <w:rPr>
          <w:rFonts w:cs="Times New Roman"/>
          <w:i/>
          <w:szCs w:val="24"/>
        </w:rPr>
        <w:t>Charter</w:t>
      </w:r>
      <w:r w:rsidRPr="00FA5D7E">
        <w:rPr>
          <w:rFonts w:cs="Times New Roman"/>
          <w:szCs w:val="24"/>
        </w:rPr>
        <w:t xml:space="preserve"> and that this discrimination cannot be justified under s. 1. </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However, Beauregard J.A. disagreed with Dutil J.A. about the appropriate remedy, since many </w:t>
      </w:r>
      <w:r w:rsidRPr="00FA5D7E">
        <w:rPr>
          <w:rFonts w:cs="Times New Roman"/>
          <w:i/>
          <w:szCs w:val="24"/>
        </w:rPr>
        <w:t>de facto</w:t>
      </w:r>
      <w:r w:rsidRPr="00FA5D7E">
        <w:rPr>
          <w:rFonts w:cs="Times New Roman"/>
          <w:szCs w:val="24"/>
        </w:rPr>
        <w:t xml:space="preserve"> spouses would be deprived of support during the period in which the declaration of invalidity of art. 585 </w:t>
      </w:r>
      <w:r w:rsidRPr="00FA5D7E">
        <w:rPr>
          <w:rFonts w:cs="Times New Roman"/>
          <w:i/>
          <w:szCs w:val="24"/>
        </w:rPr>
        <w:t>C.C.Q.</w:t>
      </w:r>
      <w:r w:rsidRPr="00FA5D7E">
        <w:rPr>
          <w:rFonts w:cs="Times New Roman"/>
          <w:szCs w:val="24"/>
        </w:rPr>
        <w:t xml:space="preserve"> was to be suspended.  To avoid this result, he would have ordered that art. 585 </w:t>
      </w:r>
      <w:r w:rsidRPr="00FA5D7E">
        <w:rPr>
          <w:rFonts w:cs="Times New Roman"/>
          <w:i/>
          <w:szCs w:val="24"/>
        </w:rPr>
        <w:t>C.C.Q.</w:t>
      </w:r>
      <w:r w:rsidRPr="00FA5D7E">
        <w:rPr>
          <w:rFonts w:cs="Times New Roman"/>
          <w:szCs w:val="24"/>
        </w:rPr>
        <w:t xml:space="preserve">, which provides for the obligation of support, and art. 511 </w:t>
      </w:r>
      <w:r w:rsidRPr="00FA5D7E">
        <w:rPr>
          <w:rFonts w:cs="Times New Roman"/>
          <w:i/>
          <w:szCs w:val="24"/>
        </w:rPr>
        <w:t>C.C.Q.</w:t>
      </w:r>
      <w:r w:rsidRPr="00FA5D7E">
        <w:rPr>
          <w:rFonts w:cs="Times New Roman"/>
          <w:szCs w:val="24"/>
        </w:rPr>
        <w:t xml:space="preserve">, which allows a court to order the payment of support at the time of separation from bed and board, be immediately interpreted as applying to </w:t>
      </w:r>
      <w:r w:rsidRPr="00FA5D7E">
        <w:rPr>
          <w:rFonts w:cs="Times New Roman"/>
          <w:i/>
          <w:szCs w:val="24"/>
        </w:rPr>
        <w:t>de facto</w:t>
      </w:r>
      <w:r w:rsidRPr="00FA5D7E">
        <w:rPr>
          <w:rFonts w:cs="Times New Roman"/>
          <w:szCs w:val="24"/>
        </w:rPr>
        <w:t xml:space="preserve"> spouses.</w:t>
      </w:r>
    </w:p>
    <w:p w:rsidR="004862B9" w:rsidRPr="00FA5D7E" w:rsidRDefault="004862B9" w:rsidP="00222BB5">
      <w:pPr>
        <w:pStyle w:val="TitleTitre-AltT"/>
        <w:tabs>
          <w:tab w:val="clear" w:pos="360"/>
          <w:tab w:val="left" w:pos="540"/>
        </w:tabs>
        <w:ind w:left="540" w:hanging="540"/>
        <w:rPr>
          <w:rFonts w:cs="Times New Roman"/>
          <w:szCs w:val="24"/>
          <w:lang w:val="en-CA"/>
        </w:rPr>
      </w:pPr>
      <w:r w:rsidRPr="00FA5D7E">
        <w:rPr>
          <w:rFonts w:cs="Times New Roman"/>
          <w:szCs w:val="24"/>
          <w:lang w:val="en-CA"/>
        </w:rPr>
        <w:t>IV.</w:t>
      </w:r>
      <w:r w:rsidRPr="00FA5D7E">
        <w:rPr>
          <w:rFonts w:cs="Times New Roman"/>
          <w:szCs w:val="24"/>
          <w:lang w:val="en-CA"/>
        </w:rPr>
        <w:tab/>
      </w:r>
      <w:r w:rsidRPr="00FA5D7E">
        <w:rPr>
          <w:rFonts w:cs="Times New Roman"/>
          <w:szCs w:val="24"/>
          <w:u w:val="single"/>
          <w:lang w:val="en-CA"/>
        </w:rPr>
        <w:t>Analysis</w:t>
      </w:r>
    </w:p>
    <w:p w:rsidR="004862B9" w:rsidRPr="00FA5D7E" w:rsidRDefault="004862B9" w:rsidP="00222BB5">
      <w:pPr>
        <w:pStyle w:val="TitleTitre-AltT"/>
        <w:tabs>
          <w:tab w:val="clear" w:pos="360"/>
          <w:tab w:val="left" w:pos="540"/>
        </w:tabs>
        <w:ind w:left="540" w:hanging="540"/>
        <w:rPr>
          <w:rFonts w:cs="Times New Roman"/>
          <w:szCs w:val="24"/>
          <w:lang w:val="en-CA"/>
        </w:rPr>
      </w:pPr>
      <w:r w:rsidRPr="00FA5D7E">
        <w:rPr>
          <w:rFonts w:cs="Times New Roman"/>
          <w:szCs w:val="24"/>
          <w:lang w:val="en-CA"/>
        </w:rPr>
        <w:t>A.</w:t>
      </w:r>
      <w:r w:rsidRPr="00FA5D7E">
        <w:rPr>
          <w:rFonts w:cs="Times New Roman"/>
          <w:szCs w:val="24"/>
          <w:lang w:val="en-CA"/>
        </w:rPr>
        <w:tab/>
      </w:r>
      <w:r w:rsidRPr="00FA5D7E">
        <w:rPr>
          <w:rFonts w:cs="Times New Roman"/>
          <w:i/>
          <w:szCs w:val="24"/>
          <w:lang w:val="en-CA"/>
        </w:rPr>
        <w:t>Issues</w:t>
      </w:r>
    </w:p>
    <w:p w:rsidR="004862B9" w:rsidRPr="00FA5D7E" w:rsidRDefault="004862B9" w:rsidP="000841F0">
      <w:pPr>
        <w:pStyle w:val="ParaNoNdepar-AltN"/>
        <w:tabs>
          <w:tab w:val="clear" w:pos="1166"/>
          <w:tab w:val="clear" w:pos="1602"/>
          <w:tab w:val="num" w:pos="1152"/>
        </w:tabs>
        <w:ind w:left="0"/>
        <w:rPr>
          <w:rFonts w:cs="Times New Roman"/>
          <w:szCs w:val="24"/>
        </w:rPr>
      </w:pPr>
      <w:r w:rsidRPr="00FA5D7E">
        <w:rPr>
          <w:rFonts w:cs="Times New Roman"/>
          <w:szCs w:val="24"/>
        </w:rPr>
        <w:t>After the parties appealed to this Court, the Chief Justice stated the following constitutional questions:</w:t>
      </w:r>
    </w:p>
    <w:p w:rsidR="004862B9" w:rsidRPr="00FA5D7E" w:rsidRDefault="000841F0" w:rsidP="00222BB5">
      <w:pPr>
        <w:pStyle w:val="Citation-AltC"/>
        <w:tabs>
          <w:tab w:val="left" w:pos="1134"/>
        </w:tabs>
        <w:spacing w:after="240"/>
        <w:ind w:left="1620" w:hanging="1620"/>
        <w:contextualSpacing w:val="0"/>
        <w:rPr>
          <w:szCs w:val="24"/>
          <w:lang w:val="en-CA"/>
        </w:rPr>
      </w:pPr>
      <w:r>
        <w:rPr>
          <w:szCs w:val="24"/>
          <w:lang w:val="en-CA"/>
        </w:rPr>
        <w:tab/>
        <w:t>1.</w:t>
      </w:r>
      <w:r>
        <w:rPr>
          <w:szCs w:val="24"/>
          <w:lang w:val="en-CA"/>
        </w:rPr>
        <w:tab/>
      </w:r>
      <w:r w:rsidR="004862B9" w:rsidRPr="00FA5D7E">
        <w:rPr>
          <w:szCs w:val="24"/>
          <w:lang w:val="en-CA"/>
        </w:rPr>
        <w:t xml:space="preserve">Do arts. 401 to 430, 432, 433, 448 to 484 and 585 of the </w:t>
      </w:r>
      <w:r w:rsidR="004862B9" w:rsidRPr="00FA5D7E">
        <w:rPr>
          <w:i/>
          <w:szCs w:val="24"/>
          <w:lang w:val="en-CA"/>
        </w:rPr>
        <w:t>Civil Code of Québec</w:t>
      </w:r>
      <w:r w:rsidR="004862B9" w:rsidRPr="00FA5D7E">
        <w:rPr>
          <w:szCs w:val="24"/>
          <w:lang w:val="en-CA"/>
        </w:rPr>
        <w:t xml:space="preserve">, S.Q. 1991, c. 64, infringe s. 15(1) of the </w:t>
      </w:r>
      <w:r w:rsidR="004862B9" w:rsidRPr="00FA5D7E">
        <w:rPr>
          <w:i/>
          <w:szCs w:val="24"/>
          <w:lang w:val="en-CA"/>
        </w:rPr>
        <w:t>Canadian Charter of Rights and Freedoms</w:t>
      </w:r>
      <w:r w:rsidR="004862B9" w:rsidRPr="00FA5D7E">
        <w:rPr>
          <w:szCs w:val="24"/>
          <w:lang w:val="en-CA"/>
        </w:rPr>
        <w:t>?</w:t>
      </w:r>
    </w:p>
    <w:p w:rsidR="004862B9" w:rsidRPr="00FA5D7E" w:rsidRDefault="000841F0" w:rsidP="00222BB5">
      <w:pPr>
        <w:pStyle w:val="Citation-AltC"/>
        <w:tabs>
          <w:tab w:val="left" w:pos="1134"/>
        </w:tabs>
        <w:spacing w:after="240"/>
        <w:ind w:left="1620" w:hanging="1620"/>
        <w:contextualSpacing w:val="0"/>
        <w:rPr>
          <w:szCs w:val="24"/>
          <w:lang w:val="en-CA"/>
        </w:rPr>
      </w:pPr>
      <w:r>
        <w:rPr>
          <w:szCs w:val="24"/>
          <w:lang w:val="en-CA"/>
        </w:rPr>
        <w:tab/>
        <w:t>2.</w:t>
      </w:r>
      <w:r>
        <w:rPr>
          <w:szCs w:val="24"/>
          <w:lang w:val="en-CA"/>
        </w:rPr>
        <w:tab/>
      </w:r>
      <w:r w:rsidR="004862B9" w:rsidRPr="00FA5D7E">
        <w:rPr>
          <w:szCs w:val="24"/>
          <w:lang w:val="en-CA"/>
        </w:rPr>
        <w:t xml:space="preserve">If so, is the infringement a reasonable limit prescribed by law that can be demonstrably justified in a free and democratic society under s. 1 of the </w:t>
      </w:r>
      <w:r w:rsidR="004862B9" w:rsidRPr="00FA5D7E">
        <w:rPr>
          <w:i/>
          <w:szCs w:val="24"/>
          <w:lang w:val="en-CA"/>
        </w:rPr>
        <w:t>Canadian Charter of Rights and Freedoms</w:t>
      </w:r>
      <w:r w:rsidR="004862B9" w:rsidRPr="00FA5D7E">
        <w:rPr>
          <w:szCs w:val="24"/>
          <w:lang w:val="en-CA"/>
        </w:rPr>
        <w:t>?</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A added the following question concerning the immediate application of a declaration of constitutional invalidity:</w:t>
      </w:r>
    </w:p>
    <w:p w:rsidR="004862B9" w:rsidRPr="00FA5D7E" w:rsidRDefault="0014107B" w:rsidP="0014107B">
      <w:pPr>
        <w:pStyle w:val="Citation-AltC"/>
        <w:tabs>
          <w:tab w:val="left" w:pos="1134"/>
        </w:tabs>
        <w:spacing w:after="240"/>
        <w:ind w:left="1620" w:hanging="1620"/>
        <w:contextualSpacing w:val="0"/>
        <w:rPr>
          <w:szCs w:val="24"/>
          <w:lang w:val="en-CA"/>
        </w:rPr>
      </w:pPr>
      <w:r>
        <w:rPr>
          <w:szCs w:val="24"/>
          <w:lang w:val="en-CA"/>
        </w:rPr>
        <w:tab/>
        <w:t>3.</w:t>
      </w:r>
      <w:r>
        <w:rPr>
          <w:szCs w:val="24"/>
          <w:lang w:val="en-CA"/>
        </w:rPr>
        <w:tab/>
      </w:r>
      <w:r w:rsidRPr="00FA5D7E">
        <w:rPr>
          <w:szCs w:val="24"/>
          <w:lang w:val="en-CA"/>
        </w:rPr>
        <w:t>[</w:t>
      </w:r>
      <w:r w:rsidRPr="00FA5D7E">
        <w:rPr>
          <w:smallCaps/>
          <w:szCs w:val="24"/>
          <w:lang w:val="en-CA"/>
        </w:rPr>
        <w:t>translation</w:t>
      </w:r>
      <w:r w:rsidRPr="00FA5D7E">
        <w:rPr>
          <w:szCs w:val="24"/>
          <w:lang w:val="en-CA"/>
        </w:rPr>
        <w:t xml:space="preserve">]  </w:t>
      </w:r>
      <w:r w:rsidR="004862B9" w:rsidRPr="00FA5D7E">
        <w:rPr>
          <w:szCs w:val="24"/>
          <w:lang w:val="en-CA"/>
        </w:rPr>
        <w:t>Did the majority of the Court of Appeal err in the choice of remedy, in particular by failing to immediately enable all Quebeckers to benefit from a remedy rectifying the constitutional invalidity in issue, and also with respect to the question of an individual remedy for the claimant?</w:t>
      </w:r>
    </w:p>
    <w:p w:rsidR="004862B9" w:rsidRPr="00FA5D7E" w:rsidRDefault="004862B9" w:rsidP="000841F0">
      <w:pPr>
        <w:pStyle w:val="ParaNoNdepar-AltN"/>
        <w:tabs>
          <w:tab w:val="clear" w:pos="1166"/>
          <w:tab w:val="num" w:pos="1152"/>
        </w:tabs>
        <w:ind w:left="0"/>
        <w:rPr>
          <w:rFonts w:cs="Times New Roman"/>
          <w:szCs w:val="24"/>
        </w:rPr>
      </w:pPr>
      <w:r w:rsidRPr="00FA5D7E">
        <w:rPr>
          <w:rFonts w:cs="Times New Roman"/>
          <w:szCs w:val="24"/>
        </w:rPr>
        <w:t xml:space="preserve">In determining whether the </w:t>
      </w:r>
      <w:r w:rsidRPr="00FA5D7E">
        <w:rPr>
          <w:rFonts w:cs="Times New Roman"/>
          <w:i/>
          <w:szCs w:val="24"/>
        </w:rPr>
        <w:t>Civil Code</w:t>
      </w:r>
      <w:r w:rsidRPr="00FA5D7E">
        <w:rPr>
          <w:rFonts w:cs="Times New Roman"/>
          <w:szCs w:val="24"/>
        </w:rPr>
        <w:t xml:space="preserve">’s provisions on the relationship between spouses are consistent with the equality guarantee of s. 15(1) of the </w:t>
      </w:r>
      <w:r w:rsidRPr="00FA5D7E">
        <w:rPr>
          <w:rFonts w:cs="Times New Roman"/>
          <w:i/>
          <w:szCs w:val="24"/>
        </w:rPr>
        <w:t>Charter</w:t>
      </w:r>
      <w:r w:rsidRPr="00FA5D7E">
        <w:rPr>
          <w:rFonts w:cs="Times New Roman"/>
          <w:szCs w:val="24"/>
        </w:rPr>
        <w:t xml:space="preserve">, it will be necessary to consider certain questions related to this main issue.  First, I will review the development of the framework for the legal relationship between spouses in Quebec, Quebec’s legislative policy as regards the distinction between married or civil union spouses and </w:t>
      </w:r>
      <w:r w:rsidRPr="00FA5D7E">
        <w:rPr>
          <w:rFonts w:cs="Times New Roman"/>
          <w:i/>
          <w:szCs w:val="24"/>
        </w:rPr>
        <w:t>de facto</w:t>
      </w:r>
      <w:r w:rsidRPr="00FA5D7E">
        <w:rPr>
          <w:rFonts w:cs="Times New Roman"/>
          <w:szCs w:val="24"/>
        </w:rPr>
        <w:t xml:space="preserve"> spouses, and the development of the </w:t>
      </w:r>
      <w:r w:rsidRPr="00FA5D7E">
        <w:rPr>
          <w:rFonts w:cs="Times New Roman"/>
          <w:i/>
          <w:szCs w:val="24"/>
        </w:rPr>
        <w:t>de facto</w:t>
      </w:r>
      <w:r w:rsidRPr="00FA5D7E">
        <w:rPr>
          <w:rFonts w:cs="Times New Roman"/>
          <w:szCs w:val="24"/>
        </w:rPr>
        <w:t xml:space="preserve"> union in Quebec society.  Second, I will discuss the nature and application of the right to equality.  Third, I will consider the nature and precedential value of </w:t>
      </w:r>
      <w:r w:rsidRPr="00FA5D7E">
        <w:rPr>
          <w:rFonts w:cs="Times New Roman"/>
          <w:i/>
          <w:szCs w:val="24"/>
        </w:rPr>
        <w:t>Walsh</w:t>
      </w:r>
      <w:r w:rsidRPr="00FA5D7E">
        <w:rPr>
          <w:rFonts w:cs="Times New Roman"/>
          <w:szCs w:val="24"/>
        </w:rPr>
        <w:t>.  Lastly, I will go on to discuss the constitutional issues raised by the parties.</w:t>
      </w:r>
    </w:p>
    <w:p w:rsidR="004862B9" w:rsidRPr="00FA5D7E" w:rsidRDefault="004862B9" w:rsidP="00222BB5">
      <w:pPr>
        <w:pStyle w:val="TitleTitre-AltT"/>
        <w:tabs>
          <w:tab w:val="clear" w:pos="360"/>
          <w:tab w:val="left" w:pos="540"/>
        </w:tabs>
        <w:ind w:left="540" w:hanging="540"/>
        <w:rPr>
          <w:rFonts w:cs="Times New Roman"/>
          <w:szCs w:val="24"/>
          <w:lang w:val="en-CA"/>
        </w:rPr>
      </w:pPr>
      <w:r w:rsidRPr="00FA5D7E">
        <w:rPr>
          <w:rFonts w:cs="Times New Roman"/>
          <w:szCs w:val="24"/>
          <w:lang w:val="en-CA"/>
        </w:rPr>
        <w:t>B.</w:t>
      </w:r>
      <w:r w:rsidRPr="00FA5D7E">
        <w:rPr>
          <w:rFonts w:cs="Times New Roman"/>
          <w:szCs w:val="24"/>
          <w:lang w:val="en-CA"/>
        </w:rPr>
        <w:tab/>
      </w:r>
      <w:r w:rsidRPr="00FA5D7E">
        <w:rPr>
          <w:rFonts w:cs="Times New Roman"/>
          <w:i/>
          <w:szCs w:val="24"/>
          <w:lang w:val="en-CA"/>
        </w:rPr>
        <w:t>Positions of the Parties</w:t>
      </w:r>
    </w:p>
    <w:p w:rsidR="004862B9" w:rsidRPr="00FA5D7E" w:rsidRDefault="004862B9" w:rsidP="004862B9">
      <w:pPr>
        <w:pStyle w:val="TitleTitre-AltT"/>
        <w:tabs>
          <w:tab w:val="clear" w:pos="360"/>
          <w:tab w:val="left" w:pos="1620"/>
        </w:tabs>
        <w:ind w:left="1170" w:hanging="1170"/>
        <w:rPr>
          <w:rFonts w:cs="Times New Roman"/>
          <w:szCs w:val="24"/>
          <w:lang w:val="en-CA"/>
        </w:rPr>
      </w:pPr>
      <w:r w:rsidRPr="00FA5D7E">
        <w:rPr>
          <w:rFonts w:cs="Times New Roman"/>
          <w:szCs w:val="24"/>
          <w:lang w:val="en-CA"/>
        </w:rPr>
        <w:tab/>
        <w:t>(1)</w:t>
      </w:r>
      <w:r w:rsidRPr="00FA5D7E">
        <w:rPr>
          <w:rFonts w:cs="Times New Roman"/>
          <w:szCs w:val="24"/>
          <w:lang w:val="en-CA"/>
        </w:rPr>
        <w:tab/>
      </w:r>
      <w:r w:rsidRPr="00FA5D7E">
        <w:rPr>
          <w:rFonts w:cs="Times New Roman"/>
          <w:szCs w:val="24"/>
          <w:u w:val="single"/>
          <w:lang w:val="en-CA"/>
        </w:rPr>
        <w:t>A</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A submits that the Court of Appeal properly struck down art. 585 </w:t>
      </w:r>
      <w:r w:rsidRPr="00FA5D7E">
        <w:rPr>
          <w:rFonts w:cs="Times New Roman"/>
          <w:i/>
          <w:szCs w:val="24"/>
        </w:rPr>
        <w:t>C.C.Q.</w:t>
      </w:r>
      <w:r w:rsidRPr="00FA5D7E">
        <w:rPr>
          <w:rFonts w:cs="Times New Roman"/>
          <w:szCs w:val="24"/>
        </w:rPr>
        <w:t xml:space="preserve">, which provides for the obligation of spouses to support one another, on the ground that it unjustifiably infringes s. 15(1) of the </w:t>
      </w:r>
      <w:r w:rsidRPr="00FA5D7E">
        <w:rPr>
          <w:rFonts w:cs="Times New Roman"/>
          <w:i/>
          <w:szCs w:val="24"/>
        </w:rPr>
        <w:t>Charter</w:t>
      </w:r>
      <w:r w:rsidRPr="00FA5D7E">
        <w:rPr>
          <w:rFonts w:cs="Times New Roman"/>
          <w:szCs w:val="24"/>
        </w:rPr>
        <w:t>.  She also argues that the Court of Appeal erred in finding that the provisions on partition of property are not inconsistent with s. 15(1).  In her opinion, both the provisions on partition of property and the provision concerning the obligation of spousal support unjustifiably infringe the right to equality guaranteed by s. 15(1).</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A adds that it was an error to apply this Court’s reasoning in </w:t>
      </w:r>
      <w:r w:rsidRPr="00FA5D7E">
        <w:rPr>
          <w:rFonts w:cs="Times New Roman"/>
          <w:i/>
          <w:szCs w:val="24"/>
        </w:rPr>
        <w:t>Walsh</w:t>
      </w:r>
      <w:r w:rsidRPr="00FA5D7E">
        <w:rPr>
          <w:rFonts w:cs="Times New Roman"/>
          <w:szCs w:val="24"/>
        </w:rPr>
        <w:t xml:space="preserve"> to the provisions on partition of property.  She submits that the Quebec scheme differs from the Nova Scotia scheme considered by this Court in </w:t>
      </w:r>
      <w:r w:rsidRPr="00FA5D7E">
        <w:rPr>
          <w:rFonts w:cs="Times New Roman"/>
          <w:i/>
          <w:szCs w:val="24"/>
        </w:rPr>
        <w:t>Walsh</w:t>
      </w:r>
      <w:r w:rsidRPr="00FA5D7E">
        <w:rPr>
          <w:rFonts w:cs="Times New Roman"/>
          <w:szCs w:val="24"/>
        </w:rPr>
        <w:t xml:space="preserve"> and that </w:t>
      </w:r>
      <w:r w:rsidRPr="00FA5D7E">
        <w:rPr>
          <w:rFonts w:cs="Times New Roman"/>
          <w:i/>
          <w:szCs w:val="24"/>
        </w:rPr>
        <w:t>Walsh</w:t>
      </w:r>
      <w:r w:rsidRPr="00FA5D7E">
        <w:rPr>
          <w:rFonts w:cs="Times New Roman"/>
          <w:szCs w:val="24"/>
        </w:rPr>
        <w:t xml:space="preserve"> did not resolve the issues in the case at bar.  She also challenges its precedential value. </w:t>
      </w:r>
    </w:p>
    <w:p w:rsidR="004862B9" w:rsidRPr="00FA5D7E" w:rsidRDefault="004862B9" w:rsidP="00F12D71">
      <w:pPr>
        <w:pStyle w:val="ParaNoNdepar-AltN"/>
        <w:tabs>
          <w:tab w:val="clear" w:pos="1166"/>
          <w:tab w:val="num" w:pos="1152"/>
        </w:tabs>
        <w:ind w:left="0"/>
        <w:rPr>
          <w:rFonts w:cs="Times New Roman"/>
          <w:szCs w:val="24"/>
        </w:rPr>
      </w:pPr>
      <w:r w:rsidRPr="00FA5D7E">
        <w:rPr>
          <w:rFonts w:cs="Times New Roman"/>
          <w:szCs w:val="24"/>
        </w:rPr>
        <w:t xml:space="preserve">A further argues that the theory of freedom of choice, consensualism or autonomy of the will relied on by the Attorney General and B to support the constitutional validity of the </w:t>
      </w:r>
      <w:r w:rsidRPr="00FA5D7E">
        <w:rPr>
          <w:rFonts w:cs="Times New Roman"/>
          <w:i/>
          <w:szCs w:val="24"/>
        </w:rPr>
        <w:t>Civil Code</w:t>
      </w:r>
      <w:r w:rsidRPr="00FA5D7E">
        <w:rPr>
          <w:rFonts w:cs="Times New Roman"/>
          <w:szCs w:val="24"/>
        </w:rPr>
        <w:t xml:space="preserve"> provisions she is challenging does not correspond to reality.  This Court cannot permit a legislature to justify discriminatory treatment by relying on a theory that has no connection with the reality of the persons being discriminated against.  Such an approach would favour the recognition of distinctions based on prejudice and exempt the legislature from the obligation to ensure the substantive equality promised by s. 15 of the </w:t>
      </w:r>
      <w:r w:rsidRPr="00FA5D7E">
        <w:rPr>
          <w:rFonts w:cs="Times New Roman"/>
          <w:i/>
          <w:szCs w:val="24"/>
        </w:rPr>
        <w:t>Charter</w:t>
      </w:r>
      <w:r w:rsidRPr="00FA5D7E">
        <w:rPr>
          <w:rFonts w:cs="Times New Roman"/>
          <w:szCs w:val="24"/>
        </w:rPr>
        <w:t xml:space="preserve">.  A argues that the exclusion of </w:t>
      </w:r>
      <w:r w:rsidRPr="00FA5D7E">
        <w:rPr>
          <w:rFonts w:cs="Times New Roman"/>
          <w:i/>
          <w:szCs w:val="24"/>
        </w:rPr>
        <w:t>de facto</w:t>
      </w:r>
      <w:r w:rsidRPr="00FA5D7E">
        <w:rPr>
          <w:rFonts w:cs="Times New Roman"/>
          <w:szCs w:val="24"/>
        </w:rPr>
        <w:t xml:space="preserve"> spouses from the protection the </w:t>
      </w:r>
      <w:r w:rsidRPr="00FA5D7E">
        <w:rPr>
          <w:rFonts w:cs="Times New Roman"/>
          <w:i/>
          <w:szCs w:val="24"/>
        </w:rPr>
        <w:t xml:space="preserve">Civil Code </w:t>
      </w:r>
      <w:r w:rsidRPr="00FA5D7E">
        <w:rPr>
          <w:rFonts w:cs="Times New Roman"/>
          <w:szCs w:val="24"/>
        </w:rPr>
        <w:t xml:space="preserve">affords the family in relation to both the partition of property and the obligation of support disregards their actual situation and their needs.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In short, A argues that it was up to the Attorney General to defend the legislation by showing that it is not based on prejudice or stereotypes.  In her opinion, far from combatting stereotypes, the Attorney General and B are relying on them and basing their arguments on them.</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According to A, the appropriate remedy in this case would be for this Court to read </w:t>
      </w:r>
      <w:r w:rsidRPr="00FA5D7E">
        <w:rPr>
          <w:rFonts w:cs="Times New Roman"/>
          <w:i/>
          <w:szCs w:val="24"/>
        </w:rPr>
        <w:t>de facto</w:t>
      </w:r>
      <w:r w:rsidRPr="00FA5D7E">
        <w:rPr>
          <w:rFonts w:cs="Times New Roman"/>
          <w:szCs w:val="24"/>
        </w:rPr>
        <w:t xml:space="preserve"> spouses into the impugned provisions.  Her case would then have to be remitted to the Superior Court to determine the amount and duration of the support owed to her and partition the parties’ property.</w:t>
      </w:r>
    </w:p>
    <w:p w:rsidR="004862B9" w:rsidRPr="00FA5D7E" w:rsidRDefault="004862B9" w:rsidP="004862B9">
      <w:pPr>
        <w:pStyle w:val="TitleTitre-AltT"/>
        <w:tabs>
          <w:tab w:val="clear" w:pos="360"/>
          <w:tab w:val="left" w:pos="1620"/>
        </w:tabs>
        <w:ind w:left="1170" w:hanging="1170"/>
        <w:rPr>
          <w:rFonts w:cs="Times New Roman"/>
          <w:szCs w:val="24"/>
          <w:lang w:val="en-CA"/>
        </w:rPr>
      </w:pPr>
      <w:r w:rsidRPr="00FA5D7E">
        <w:rPr>
          <w:rFonts w:cs="Times New Roman"/>
          <w:szCs w:val="24"/>
          <w:lang w:val="en-CA"/>
        </w:rPr>
        <w:tab/>
        <w:t>(2)</w:t>
      </w:r>
      <w:r w:rsidRPr="00FA5D7E">
        <w:rPr>
          <w:rFonts w:cs="Times New Roman"/>
          <w:szCs w:val="24"/>
          <w:lang w:val="en-CA"/>
        </w:rPr>
        <w:tab/>
      </w:r>
      <w:r w:rsidRPr="00FA5D7E">
        <w:rPr>
          <w:rFonts w:cs="Times New Roman"/>
          <w:szCs w:val="24"/>
          <w:u w:val="single"/>
          <w:lang w:val="en-CA"/>
        </w:rPr>
        <w:t>Attorney General of Quebec</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Attorney General of Quebec submits that the Court of Appeal did not err in finding that the provisions on partition of property are not inconsistent with s. 15(1) of the </w:t>
      </w:r>
      <w:r w:rsidRPr="00FA5D7E">
        <w:rPr>
          <w:rFonts w:cs="Times New Roman"/>
          <w:i/>
          <w:szCs w:val="24"/>
        </w:rPr>
        <w:t>Charter</w:t>
      </w:r>
      <w:r w:rsidRPr="00FA5D7E">
        <w:rPr>
          <w:rFonts w:cs="Times New Roman"/>
          <w:szCs w:val="24"/>
        </w:rPr>
        <w:t xml:space="preserve">.  However, he argues that the Court of Appeal erred in striking down art. 585 </w:t>
      </w:r>
      <w:r w:rsidRPr="00FA5D7E">
        <w:rPr>
          <w:rFonts w:cs="Times New Roman"/>
          <w:i/>
          <w:szCs w:val="24"/>
        </w:rPr>
        <w:t>C.C.Q.</w:t>
      </w:r>
      <w:r w:rsidRPr="00FA5D7E">
        <w:rPr>
          <w:rFonts w:cs="Times New Roman"/>
          <w:szCs w:val="24"/>
        </w:rPr>
        <w:t>, which provides for the obligation of spousal support, on the ground that it unjustifiably infringes s. 15(1).  In his opinion, the right to equality guaranteed by s. 15(1) is violated by neither the provisions on partition of property nor the provision concerning the obligation of spousal support.</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Attorney General submits that, in light of the evidence and in accordance with this Court’s reasons in </w:t>
      </w:r>
      <w:r w:rsidRPr="00FA5D7E">
        <w:rPr>
          <w:rFonts w:cs="Times New Roman"/>
          <w:i/>
          <w:iCs/>
          <w:szCs w:val="24"/>
        </w:rPr>
        <w:t>Walsh</w:t>
      </w:r>
      <w:r w:rsidRPr="00FA5D7E">
        <w:rPr>
          <w:rFonts w:cs="Times New Roman"/>
          <w:szCs w:val="24"/>
        </w:rPr>
        <w:t xml:space="preserve">, the exclusion of </w:t>
      </w:r>
      <w:r w:rsidRPr="00FA5D7E">
        <w:rPr>
          <w:rFonts w:cs="Times New Roman"/>
          <w:i/>
          <w:szCs w:val="24"/>
        </w:rPr>
        <w:t>de facto</w:t>
      </w:r>
      <w:r w:rsidRPr="00FA5D7E">
        <w:rPr>
          <w:rFonts w:cs="Times New Roman"/>
          <w:szCs w:val="24"/>
        </w:rPr>
        <w:t xml:space="preserve"> spouses from the impugned provisions of the </w:t>
      </w:r>
      <w:r w:rsidRPr="00FA5D7E">
        <w:rPr>
          <w:rFonts w:cs="Times New Roman"/>
          <w:i/>
          <w:szCs w:val="24"/>
        </w:rPr>
        <w:t>Civil Code</w:t>
      </w:r>
      <w:r w:rsidRPr="00FA5D7E">
        <w:rPr>
          <w:rFonts w:cs="Times New Roman"/>
          <w:szCs w:val="24"/>
        </w:rPr>
        <w:t xml:space="preserve"> is not discriminatory.  In his view, it does not create a disadvantage by perpetuating prejudice or stereotyping.  According to the Attorney General, the reasons and principles stated by the majority in </w:t>
      </w:r>
      <w:r w:rsidRPr="00FA5D7E">
        <w:rPr>
          <w:rFonts w:cs="Times New Roman"/>
          <w:i/>
          <w:szCs w:val="24"/>
        </w:rPr>
        <w:t>Walsh</w:t>
      </w:r>
      <w:r w:rsidRPr="00FA5D7E">
        <w:rPr>
          <w:rFonts w:cs="Times New Roman"/>
          <w:szCs w:val="24"/>
        </w:rPr>
        <w:t xml:space="preserve"> apply to all the impugned statutory provisions, including the one on the obligation of spousal support.  He argues that any other conclusion would be illogical and contradictory.  Otherwise, the respect shown by the legislature in the </w:t>
      </w:r>
      <w:r w:rsidRPr="00FA5D7E">
        <w:rPr>
          <w:rFonts w:cs="Times New Roman"/>
          <w:i/>
          <w:szCs w:val="24"/>
        </w:rPr>
        <w:t>Civil Code</w:t>
      </w:r>
      <w:r w:rsidRPr="00FA5D7E">
        <w:rPr>
          <w:rFonts w:cs="Times New Roman"/>
          <w:szCs w:val="24"/>
        </w:rPr>
        <w:t xml:space="preserve"> for the freedom of choice of partners to marry or not to marry would on the one hand be interpreted as a legislative choice that is not based on stereotyping of or prejudice against the </w:t>
      </w:r>
      <w:r w:rsidRPr="00FA5D7E">
        <w:rPr>
          <w:rFonts w:cs="Times New Roman"/>
          <w:i/>
          <w:szCs w:val="24"/>
        </w:rPr>
        <w:t>de facto</w:t>
      </w:r>
      <w:r w:rsidRPr="00FA5D7E">
        <w:rPr>
          <w:rFonts w:cs="Times New Roman"/>
          <w:szCs w:val="24"/>
        </w:rPr>
        <w:t xml:space="preserve"> union in the case of the matrimonial regime and the partition of property, whereas on the other hand, the same legislative choice would be considered to be tainted by stereotyping of or prejudice against the </w:t>
      </w:r>
      <w:r w:rsidRPr="00FA5D7E">
        <w:rPr>
          <w:rFonts w:cs="Times New Roman"/>
          <w:i/>
          <w:szCs w:val="24"/>
        </w:rPr>
        <w:t>de facto</w:t>
      </w:r>
      <w:r w:rsidRPr="00FA5D7E">
        <w:rPr>
          <w:rFonts w:cs="Times New Roman"/>
          <w:szCs w:val="24"/>
        </w:rPr>
        <w:t xml:space="preserve"> union in the case of the obligation of support.</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Attorney General submits that, with regard to both the obligation of support and the patrimony of the spouses, the Quebec legislature’s objective is the same one the Nova Scotia legislature was pursuing in </w:t>
      </w:r>
      <w:r w:rsidRPr="00FA5D7E">
        <w:rPr>
          <w:rFonts w:cs="Times New Roman"/>
          <w:i/>
          <w:szCs w:val="24"/>
        </w:rPr>
        <w:t>Walsh</w:t>
      </w:r>
      <w:r w:rsidRPr="00FA5D7E">
        <w:rPr>
          <w:rFonts w:cs="Times New Roman"/>
          <w:szCs w:val="24"/>
        </w:rPr>
        <w:t xml:space="preserve">:  to respect individual autonomy.  In other words, both for the obligation of spousal support and for patrimonial property, the exclusion of </w:t>
      </w:r>
      <w:r w:rsidRPr="00FA5D7E">
        <w:rPr>
          <w:rFonts w:cs="Times New Roman"/>
          <w:i/>
          <w:szCs w:val="24"/>
        </w:rPr>
        <w:t>de facto</w:t>
      </w:r>
      <w:r w:rsidRPr="00FA5D7E">
        <w:rPr>
          <w:rFonts w:cs="Times New Roman"/>
          <w:szCs w:val="24"/>
        </w:rPr>
        <w:t xml:space="preserve"> spouses is intended to respect the freedom of every individual to choose whether to marry and thus whether to participate in the statutory scheme applicable to marriage and accept the specific legal consequences flowing from that scheme.  According to the Attorney General, the distinction between married or civil union spouses and </w:t>
      </w:r>
      <w:r w:rsidRPr="00FA5D7E">
        <w:rPr>
          <w:rFonts w:cs="Times New Roman"/>
          <w:i/>
          <w:szCs w:val="24"/>
        </w:rPr>
        <w:t>de facto</w:t>
      </w:r>
      <w:r w:rsidRPr="00FA5D7E">
        <w:rPr>
          <w:rFonts w:cs="Times New Roman"/>
          <w:szCs w:val="24"/>
        </w:rPr>
        <w:t xml:space="preserve"> spouses can be explained by the fact that the former have chosen to make a commitment the nature of which legally entails a certain number of rights and obligations, while the latter have not done so.  Under the Quebec scheme, a decision to live together is not enough to show an intention to make such a commitment.</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In short, the Attorney General argues that to extend the </w:t>
      </w:r>
      <w:r w:rsidRPr="00FA5D7E">
        <w:rPr>
          <w:rFonts w:cs="Times New Roman"/>
          <w:i/>
          <w:szCs w:val="24"/>
        </w:rPr>
        <w:t>Civil Code</w:t>
      </w:r>
      <w:r w:rsidRPr="00FA5D7E">
        <w:rPr>
          <w:rFonts w:cs="Times New Roman"/>
          <w:szCs w:val="24"/>
        </w:rPr>
        <w:t xml:space="preserve">’s provisions on the rights and obligations of marriage, including the obligation of support, to persons in </w:t>
      </w:r>
      <w:r w:rsidRPr="00FA5D7E">
        <w:rPr>
          <w:rFonts w:cs="Times New Roman"/>
          <w:i/>
          <w:szCs w:val="24"/>
        </w:rPr>
        <w:t>de facto</w:t>
      </w:r>
      <w:r w:rsidRPr="00FA5D7E">
        <w:rPr>
          <w:rFonts w:cs="Times New Roman"/>
          <w:szCs w:val="24"/>
        </w:rPr>
        <w:t xml:space="preserve"> unions is a societal choice that falls within the political and not the judicial realm.  However, if the Court were to conclude that some of the impugned provisions unjustifiably infringe s. 15, the Attorney General is opposed to reading in as a solution and prefers to have the declaration of invalidity suspended to enable the legislature to correct the constitutional defect.  The Attorney General is also opposed to granting A an individual remedy during any period in which the declaration of invalidity is suspended.</w:t>
      </w:r>
    </w:p>
    <w:p w:rsidR="004862B9" w:rsidRPr="00FA5D7E" w:rsidRDefault="004862B9" w:rsidP="00E820D7">
      <w:pPr>
        <w:pStyle w:val="TitleTitre-AltT"/>
        <w:tabs>
          <w:tab w:val="clear" w:pos="360"/>
          <w:tab w:val="left" w:pos="1710"/>
        </w:tabs>
        <w:ind w:left="1170" w:hanging="1170"/>
        <w:rPr>
          <w:rFonts w:cs="Times New Roman"/>
          <w:szCs w:val="24"/>
          <w:lang w:val="en-CA"/>
        </w:rPr>
      </w:pPr>
      <w:r w:rsidRPr="00FA5D7E">
        <w:rPr>
          <w:rFonts w:cs="Times New Roman"/>
          <w:szCs w:val="24"/>
          <w:lang w:val="en-CA"/>
        </w:rPr>
        <w:tab/>
        <w:t>(3)</w:t>
      </w:r>
      <w:r w:rsidRPr="00FA5D7E">
        <w:rPr>
          <w:rFonts w:cs="Times New Roman"/>
          <w:szCs w:val="24"/>
          <w:lang w:val="en-CA"/>
        </w:rPr>
        <w:tab/>
      </w:r>
      <w:r w:rsidRPr="00FA5D7E">
        <w:rPr>
          <w:rFonts w:cs="Times New Roman"/>
          <w:szCs w:val="24"/>
          <w:u w:val="single"/>
          <w:lang w:val="en-CA"/>
        </w:rPr>
        <w:t>B</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B adopts the Attorney General’s positions on the validity of the Quebec legislative scheme and on the remedy the Court should grant if it reaches the conclusion proposed by A on the constitutional questions.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B also argues that the evidence adduced in the Superior Court, this Court’s determinative case law on discrimination based on marital status, and an analysis of the relevant contextual factors lead necessarily to the conclusion that the impugned distinctions under Quebec law between </w:t>
      </w:r>
      <w:r w:rsidRPr="00FA5D7E">
        <w:rPr>
          <w:rFonts w:cs="Times New Roman"/>
          <w:i/>
          <w:szCs w:val="24"/>
        </w:rPr>
        <w:t>de facto</w:t>
      </w:r>
      <w:r w:rsidRPr="00FA5D7E">
        <w:rPr>
          <w:rFonts w:cs="Times New Roman"/>
          <w:szCs w:val="24"/>
        </w:rPr>
        <w:t xml:space="preserve"> unions and marriage or civil unions are not discriminatory, as they do not perpetuate prejudice and do not result from stereotyping.  Moreover, according to B, the principles from </w:t>
      </w:r>
      <w:r w:rsidRPr="00FA5D7E">
        <w:rPr>
          <w:rFonts w:cs="Times New Roman"/>
          <w:i/>
          <w:szCs w:val="24"/>
        </w:rPr>
        <w:t>Walsh</w:t>
      </w:r>
      <w:r w:rsidRPr="00FA5D7E">
        <w:rPr>
          <w:rFonts w:cs="Times New Roman"/>
          <w:szCs w:val="24"/>
        </w:rPr>
        <w:t xml:space="preserve"> are directly applicable in the instant case, and the Court of Appeal erred in holding that they do not apply to the obligation of support.</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B points out that he and A, in their own way and for their own reasons, chose to live together outside the institution of marriage.  For deeply personal reasons, he never wanted to participate in that institution.  As for A, she chose to live with B in a conjugal relationship without making marriage a precondition to their cohabitation.</w:t>
      </w:r>
    </w:p>
    <w:p w:rsidR="004862B9" w:rsidRPr="00FA5D7E" w:rsidRDefault="004862B9" w:rsidP="00E820D7">
      <w:pPr>
        <w:pStyle w:val="TitleTitre-AltT"/>
        <w:tabs>
          <w:tab w:val="clear" w:pos="360"/>
          <w:tab w:val="left" w:pos="1710"/>
        </w:tabs>
        <w:ind w:left="1170" w:hanging="1170"/>
        <w:rPr>
          <w:rFonts w:cs="Times New Roman"/>
          <w:szCs w:val="24"/>
          <w:lang w:val="en-CA"/>
        </w:rPr>
      </w:pPr>
      <w:r w:rsidRPr="00FA5D7E">
        <w:rPr>
          <w:rFonts w:cs="Times New Roman"/>
          <w:szCs w:val="24"/>
          <w:lang w:val="en-CA"/>
        </w:rPr>
        <w:tab/>
        <w:t>(4)</w:t>
      </w:r>
      <w:r w:rsidRPr="00FA5D7E">
        <w:rPr>
          <w:rFonts w:cs="Times New Roman"/>
          <w:szCs w:val="24"/>
          <w:lang w:val="en-CA"/>
        </w:rPr>
        <w:tab/>
      </w:r>
      <w:r w:rsidRPr="00FA5D7E">
        <w:rPr>
          <w:rFonts w:cs="Times New Roman"/>
          <w:szCs w:val="24"/>
          <w:u w:val="single"/>
          <w:lang w:val="en-CA"/>
        </w:rPr>
        <w:t>Interveners</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In this Court, four interveners stated their positions on the constitutional challenge.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Although New Brunswick has established a support remedy for common law spouses, the Attorney General of that province submits that the respect for freedom of choice shown by the Court in </w:t>
      </w:r>
      <w:r w:rsidRPr="00FA5D7E">
        <w:rPr>
          <w:rFonts w:cs="Times New Roman"/>
          <w:i/>
          <w:szCs w:val="24"/>
        </w:rPr>
        <w:t>Walsh</w:t>
      </w:r>
      <w:r w:rsidRPr="00FA5D7E">
        <w:rPr>
          <w:rFonts w:cs="Times New Roman"/>
          <w:szCs w:val="24"/>
        </w:rPr>
        <w:t xml:space="preserve"> must apply in relation to both the provisions on partition of property and those on spousal support.  In her view, freedom of choice characterizes the type of union contracted by the spouses, so there is no reason to distinguish the obligation of support from obligations with respect to the partition of property in the case of </w:t>
      </w:r>
      <w:r w:rsidRPr="00FA5D7E">
        <w:rPr>
          <w:rFonts w:cs="Times New Roman"/>
          <w:i/>
          <w:szCs w:val="24"/>
        </w:rPr>
        <w:t>de facto</w:t>
      </w:r>
      <w:r w:rsidRPr="00FA5D7E">
        <w:rPr>
          <w:rFonts w:cs="Times New Roman"/>
          <w:szCs w:val="24"/>
        </w:rPr>
        <w:t xml:space="preserve"> unions.</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Attorney General of Alberta, whose province also imposes an obligation of support on common law spouses, intervened only with respect to the provisions on partition of property.  In his view, the Court disposed of the issue adequately in </w:t>
      </w:r>
      <w:r w:rsidRPr="00FA5D7E">
        <w:rPr>
          <w:rFonts w:cs="Times New Roman"/>
          <w:i/>
          <w:szCs w:val="24"/>
        </w:rPr>
        <w:t>Walsh</w:t>
      </w:r>
      <w:r w:rsidRPr="00FA5D7E">
        <w:rPr>
          <w:rFonts w:cs="Times New Roman"/>
          <w:szCs w:val="24"/>
        </w:rPr>
        <w:t xml:space="preserve"> by stressing the importance of the factor of freedom of choice in the analysis under s. 15 of the </w:t>
      </w:r>
      <w:r w:rsidRPr="00FA5D7E">
        <w:rPr>
          <w:rFonts w:cs="Times New Roman"/>
          <w:i/>
          <w:szCs w:val="24"/>
        </w:rPr>
        <w:t>Charter</w:t>
      </w:r>
      <w:r w:rsidRPr="00FA5D7E">
        <w:rPr>
          <w:rFonts w:cs="Times New Roman"/>
          <w:szCs w:val="24"/>
        </w:rPr>
        <w:t>.</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Women’s Legal Education and Action Fund, adopting some of A’s arguments, contends that spousal relationships are marked by gender inequality and that the Court should take that inequality into account in determining whether the impugned statutory provisions are discriminatory.  Finally, this intervener asks that the </w:t>
      </w:r>
      <w:r w:rsidRPr="00FA5D7E">
        <w:rPr>
          <w:rFonts w:cs="Times New Roman"/>
          <w:i/>
          <w:szCs w:val="24"/>
        </w:rPr>
        <w:t>Civil Code</w:t>
      </w:r>
      <w:r w:rsidRPr="00FA5D7E">
        <w:rPr>
          <w:rFonts w:cs="Times New Roman"/>
          <w:szCs w:val="24"/>
        </w:rPr>
        <w:t xml:space="preserve"> provisions relating to the obligation of support and the partition of property be applied to </w:t>
      </w:r>
      <w:r w:rsidRPr="00FA5D7E">
        <w:rPr>
          <w:rFonts w:cs="Times New Roman"/>
          <w:i/>
          <w:szCs w:val="24"/>
        </w:rPr>
        <w:t>de facto</w:t>
      </w:r>
      <w:r w:rsidRPr="00FA5D7E">
        <w:rPr>
          <w:rFonts w:cs="Times New Roman"/>
          <w:szCs w:val="24"/>
        </w:rPr>
        <w:t xml:space="preserve"> spouses.</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Similarly, the Fédération des associations de familles monoparentales et recomposées du Québec</w:t>
      </w:r>
      <w:r w:rsidRPr="00FA5D7E">
        <w:rPr>
          <w:rFonts w:eastAsiaTheme="majorEastAsia" w:cs="Times New Roman"/>
          <w:szCs w:val="24"/>
        </w:rPr>
        <w:t xml:space="preserve"> supports A’s arguments concerning the infringement of the right to equality that results from the exclusion of </w:t>
      </w:r>
      <w:r w:rsidRPr="00FA5D7E">
        <w:rPr>
          <w:rFonts w:eastAsiaTheme="majorEastAsia" w:cs="Times New Roman"/>
          <w:i/>
          <w:szCs w:val="24"/>
        </w:rPr>
        <w:t>de facto</w:t>
      </w:r>
      <w:r w:rsidRPr="00FA5D7E">
        <w:rPr>
          <w:rFonts w:eastAsiaTheme="majorEastAsia" w:cs="Times New Roman"/>
          <w:szCs w:val="24"/>
        </w:rPr>
        <w:t xml:space="preserve"> spouses from art. 585 on the obligation of support.  Disagreeing with the weight attached to freedom of choice by the Attorney General and B, it disputes the validity of this factor.  Moreover, as with the obligation of support, the Fédération submits that the exclusion of </w:t>
      </w:r>
      <w:r w:rsidRPr="00FA5D7E">
        <w:rPr>
          <w:rFonts w:eastAsiaTheme="majorEastAsia" w:cs="Times New Roman"/>
          <w:i/>
          <w:szCs w:val="24"/>
        </w:rPr>
        <w:t>de facto</w:t>
      </w:r>
      <w:r w:rsidRPr="00FA5D7E">
        <w:rPr>
          <w:rFonts w:eastAsiaTheme="majorEastAsia" w:cs="Times New Roman"/>
          <w:szCs w:val="24"/>
        </w:rPr>
        <w:t xml:space="preserve"> spouses from the provisions on protection of the family residence discriminates against them and cannot be justified under s. 1 of the </w:t>
      </w:r>
      <w:r w:rsidRPr="00FA5D7E">
        <w:rPr>
          <w:rFonts w:eastAsiaTheme="majorEastAsia" w:cs="Times New Roman"/>
          <w:i/>
          <w:szCs w:val="24"/>
        </w:rPr>
        <w:t>Charter</w:t>
      </w:r>
      <w:r w:rsidRPr="00FA5D7E">
        <w:rPr>
          <w:rFonts w:eastAsiaTheme="majorEastAsia" w:cs="Times New Roman"/>
          <w:szCs w:val="24"/>
        </w:rPr>
        <w:t>.  The Fédération also argues that this Court should consider the impact on children of the discrimination against their parents.</w:t>
      </w:r>
    </w:p>
    <w:p w:rsidR="004862B9" w:rsidRPr="00FA5D7E" w:rsidRDefault="004862B9" w:rsidP="00E820D7">
      <w:pPr>
        <w:pStyle w:val="TitleTitre-AltT"/>
        <w:tabs>
          <w:tab w:val="clear" w:pos="360"/>
          <w:tab w:val="left" w:pos="540"/>
        </w:tabs>
        <w:ind w:left="540" w:hanging="540"/>
        <w:rPr>
          <w:rFonts w:cs="Times New Roman"/>
          <w:szCs w:val="24"/>
          <w:lang w:val="en-CA"/>
        </w:rPr>
      </w:pPr>
      <w:r w:rsidRPr="00FA5D7E">
        <w:rPr>
          <w:rFonts w:cs="Times New Roman"/>
          <w:szCs w:val="24"/>
          <w:lang w:val="en-CA"/>
        </w:rPr>
        <w:t>C.</w:t>
      </w:r>
      <w:r w:rsidRPr="00FA5D7E">
        <w:rPr>
          <w:rFonts w:cs="Times New Roman"/>
          <w:szCs w:val="24"/>
          <w:lang w:val="en-CA"/>
        </w:rPr>
        <w:tab/>
      </w:r>
      <w:r w:rsidRPr="00FA5D7E">
        <w:rPr>
          <w:rFonts w:cs="Times New Roman"/>
          <w:i/>
          <w:szCs w:val="24"/>
          <w:lang w:val="en-CA"/>
        </w:rPr>
        <w:t>Changes in the Framework for Legal Relationships Between Spouses in Quebec Since 1980</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This case centres on the exclusion of </w:t>
      </w:r>
      <w:r w:rsidRPr="00FA5D7E">
        <w:rPr>
          <w:rFonts w:cs="Times New Roman"/>
          <w:i/>
          <w:szCs w:val="24"/>
        </w:rPr>
        <w:t>de facto</w:t>
      </w:r>
      <w:r w:rsidRPr="00FA5D7E">
        <w:rPr>
          <w:rFonts w:cs="Times New Roman"/>
          <w:szCs w:val="24"/>
        </w:rPr>
        <w:t xml:space="preserve"> spouses from the scope of certain provisions of the </w:t>
      </w:r>
      <w:r w:rsidRPr="00FA5D7E">
        <w:rPr>
          <w:rFonts w:cs="Times New Roman"/>
          <w:i/>
          <w:szCs w:val="24"/>
        </w:rPr>
        <w:t>Civil Code of Québec</w:t>
      </w:r>
      <w:r w:rsidRPr="00FA5D7E">
        <w:rPr>
          <w:rFonts w:cs="Times New Roman"/>
          <w:szCs w:val="24"/>
        </w:rPr>
        <w:t xml:space="preserve"> that shape legal relationships between spouses.  To determine whether the provisions in question are discriminatory, it will be necessary to consider them in the relevant historical and legislative context.  For this purpose, I will discuss the framework applicable to legal relationships between spouses in Quebec, Quebec legislative policy with respect to the distinction between </w:t>
      </w:r>
      <w:r w:rsidRPr="00FA5D7E">
        <w:rPr>
          <w:rFonts w:cs="Times New Roman"/>
          <w:i/>
          <w:szCs w:val="24"/>
        </w:rPr>
        <w:t>de facto</w:t>
      </w:r>
      <w:r w:rsidRPr="00FA5D7E">
        <w:rPr>
          <w:rFonts w:cs="Times New Roman"/>
          <w:szCs w:val="24"/>
        </w:rPr>
        <w:t xml:space="preserve"> spouses and married or civil union spouses, and the development of the </w:t>
      </w:r>
      <w:r w:rsidRPr="00FA5D7E">
        <w:rPr>
          <w:rFonts w:cs="Times New Roman"/>
          <w:i/>
          <w:szCs w:val="24"/>
        </w:rPr>
        <w:t>de facto</w:t>
      </w:r>
      <w:r w:rsidRPr="00FA5D7E">
        <w:rPr>
          <w:rFonts w:cs="Times New Roman"/>
          <w:szCs w:val="24"/>
        </w:rPr>
        <w:t xml:space="preserve"> union in Quebec society.</w:t>
      </w:r>
    </w:p>
    <w:p w:rsidR="004862B9" w:rsidRPr="00FA5D7E" w:rsidRDefault="004862B9" w:rsidP="00E820D7">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(1)</w:t>
      </w:r>
      <w:r w:rsidRPr="00FA5D7E">
        <w:rPr>
          <w:rFonts w:cs="Times New Roman"/>
          <w:szCs w:val="24"/>
          <w:lang w:val="en-CA"/>
        </w:rPr>
        <w:tab/>
      </w:r>
      <w:r w:rsidRPr="00FA5D7E">
        <w:rPr>
          <w:rFonts w:cs="Times New Roman"/>
          <w:szCs w:val="24"/>
          <w:u w:val="single"/>
          <w:lang w:val="en-CA"/>
        </w:rPr>
        <w:t>Married Spouses</w:t>
      </w:r>
    </w:p>
    <w:p w:rsidR="004862B9" w:rsidRPr="00FA5D7E" w:rsidRDefault="004862B9" w:rsidP="00E820D7">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(a)</w:t>
      </w:r>
      <w:r w:rsidRPr="00FA5D7E">
        <w:rPr>
          <w:rFonts w:cs="Times New Roman"/>
          <w:szCs w:val="24"/>
          <w:lang w:val="en-CA"/>
        </w:rPr>
        <w:tab/>
      </w:r>
      <w:r w:rsidRPr="00FA5D7E">
        <w:rPr>
          <w:rFonts w:cs="Times New Roman"/>
          <w:i/>
          <w:szCs w:val="24"/>
          <w:lang w:val="en-CA"/>
        </w:rPr>
        <w:t>Historical Review of the Situation of Married Spouses and Development of the Legal Framework for Their Relationships</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Before discussing the situation of </w:t>
      </w:r>
      <w:r w:rsidRPr="00FA5D7E">
        <w:rPr>
          <w:rFonts w:cs="Times New Roman"/>
          <w:i/>
          <w:szCs w:val="24"/>
        </w:rPr>
        <w:t>de facto</w:t>
      </w:r>
      <w:r w:rsidRPr="00FA5D7E">
        <w:rPr>
          <w:rFonts w:cs="Times New Roman"/>
          <w:szCs w:val="24"/>
        </w:rPr>
        <w:t xml:space="preserve"> spouses, I must review the civil law’s matrimonial regimes for legally married spouses.  On enacting the </w:t>
      </w:r>
      <w:r w:rsidRPr="00FA5D7E">
        <w:rPr>
          <w:rFonts w:cs="Times New Roman"/>
          <w:i/>
          <w:szCs w:val="24"/>
        </w:rPr>
        <w:t>Civil Code of Lower Canada</w:t>
      </w:r>
      <w:r w:rsidRPr="00FA5D7E">
        <w:rPr>
          <w:rFonts w:cs="Times New Roman"/>
          <w:szCs w:val="24"/>
        </w:rPr>
        <w:t xml:space="preserve"> (“</w:t>
      </w:r>
      <w:r w:rsidRPr="00FA5D7E">
        <w:rPr>
          <w:rFonts w:cs="Times New Roman"/>
          <w:i/>
          <w:szCs w:val="24"/>
        </w:rPr>
        <w:t>C.C.L.C.</w:t>
      </w:r>
      <w:r w:rsidRPr="00FA5D7E">
        <w:rPr>
          <w:rFonts w:cs="Times New Roman"/>
          <w:szCs w:val="24"/>
        </w:rPr>
        <w:t xml:space="preserve">”) in 1866, the legislature gave spouses a choice, at the time of their marriage, between two principal matrimonial regimes: community of property and separation of property.  Originally, under the 1866 </w:t>
      </w:r>
      <w:r w:rsidRPr="00FA5D7E">
        <w:rPr>
          <w:rFonts w:cs="Times New Roman"/>
          <w:i/>
          <w:szCs w:val="24"/>
        </w:rPr>
        <w:t>Code</w:t>
      </w:r>
      <w:r w:rsidRPr="00FA5D7E">
        <w:rPr>
          <w:rFonts w:cs="Times New Roman"/>
          <w:szCs w:val="24"/>
        </w:rPr>
        <w:t>, the choice made at the time of marriage was irrevocable for the duration of the marriage.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The legal matrimonial regime, that is, the regime that applied where the spouses did not enter into a marriage contract choosing another regime, was that of “community of moveables and acquests” (“community of property”).  The community of property was administered by the husband.  [</w:t>
      </w:r>
      <w:r w:rsidRPr="00FA5D7E">
        <w:rPr>
          <w:rFonts w:cs="Times New Roman"/>
          <w:smallCaps/>
          <w:szCs w:val="24"/>
        </w:rPr>
        <w:t>translation</w:t>
      </w:r>
      <w:r w:rsidRPr="00FA5D7E">
        <w:rPr>
          <w:rFonts w:cs="Times New Roman"/>
          <w:szCs w:val="24"/>
        </w:rPr>
        <w:t>] “</w:t>
      </w:r>
      <w:r w:rsidR="00321105">
        <w:rPr>
          <w:rFonts w:cs="Times New Roman"/>
          <w:szCs w:val="24"/>
        </w:rPr>
        <w:t>[</w:t>
      </w:r>
      <w:r w:rsidRPr="00FA5D7E">
        <w:rPr>
          <w:rFonts w:cs="Times New Roman"/>
          <w:szCs w:val="24"/>
        </w:rPr>
        <w:t>T</w:t>
      </w:r>
      <w:r w:rsidR="00321105">
        <w:rPr>
          <w:rFonts w:cs="Times New Roman"/>
          <w:szCs w:val="24"/>
        </w:rPr>
        <w:t>]</w:t>
      </w:r>
      <w:r w:rsidRPr="00FA5D7E">
        <w:rPr>
          <w:rFonts w:cs="Times New Roman"/>
          <w:szCs w:val="24"/>
        </w:rPr>
        <w:t>he regime was organized arou</w:t>
      </w:r>
      <w:r w:rsidR="00F207AB">
        <w:rPr>
          <w:rFonts w:cs="Times New Roman"/>
          <w:szCs w:val="24"/>
        </w:rPr>
        <w:t>nd the supremacy of the husband . . .</w:t>
      </w:r>
      <w:r w:rsidR="00321105">
        <w:rPr>
          <w:rFonts w:cs="Times New Roman"/>
          <w:szCs w:val="24"/>
        </w:rPr>
        <w:t>,</w:t>
      </w:r>
      <w:r w:rsidRPr="00FA5D7E">
        <w:rPr>
          <w:rFonts w:cs="Times New Roman"/>
          <w:szCs w:val="24"/>
        </w:rPr>
        <w:t xml:space="preserve"> the head of the community”:  B. Lefebvre, “L’évolution de la notion de conjoint en droit québécois”, in P.</w:t>
      </w:r>
      <w:r w:rsidRPr="00FA5D7E">
        <w:rPr>
          <w:rFonts w:cs="Times New Roman"/>
          <w:szCs w:val="24"/>
        </w:rPr>
        <w:noBreakHyphen/>
        <w:t xml:space="preserve">C. Lafond and B. Lefebvre, eds., </w:t>
      </w:r>
      <w:r w:rsidRPr="00FA5D7E">
        <w:rPr>
          <w:rFonts w:cs="Times New Roman"/>
          <w:i/>
          <w:szCs w:val="24"/>
        </w:rPr>
        <w:t>L’union civile: nouveaux modèles de conjugalité et de parentalité au 21</w:t>
      </w:r>
      <w:r w:rsidRPr="00FA5D7E">
        <w:rPr>
          <w:rFonts w:cs="Times New Roman"/>
          <w:i/>
          <w:szCs w:val="24"/>
          <w:vertAlign w:val="superscript"/>
        </w:rPr>
        <w:t>e</w:t>
      </w:r>
      <w:r w:rsidRPr="00FA5D7E">
        <w:rPr>
          <w:rFonts w:cs="Times New Roman"/>
          <w:i/>
          <w:szCs w:val="24"/>
        </w:rPr>
        <w:t xml:space="preserve"> siècle</w:t>
      </w:r>
      <w:r w:rsidRPr="00FA5D7E">
        <w:rPr>
          <w:rFonts w:cs="Times New Roman"/>
          <w:szCs w:val="24"/>
        </w:rPr>
        <w:t xml:space="preserve"> (2003), 3, at p. 11.  In 1931, to give the wife some autonomy in relation to her husband, the legislature created the category of “reserved property” of the wife.  Reserved property was property the wife acquired by working outside the household and over which she had certain powers of administration:  </w:t>
      </w:r>
      <w:r w:rsidRPr="00FA5D7E">
        <w:rPr>
          <w:rFonts w:cs="Times New Roman"/>
          <w:i/>
          <w:szCs w:val="24"/>
        </w:rPr>
        <w:t>An Act to amend the Civil Code and the Code of Civil Procedure respecting the civil rights of women</w:t>
      </w:r>
      <w:r w:rsidRPr="00FA5D7E">
        <w:rPr>
          <w:rFonts w:cs="Times New Roman"/>
          <w:szCs w:val="24"/>
        </w:rPr>
        <w:t xml:space="preserve">, S.Q. 1931, c. 101, s. 27.  After that, the </w:t>
      </w:r>
      <w:r w:rsidRPr="00FA5D7E">
        <w:rPr>
          <w:rFonts w:cs="Times New Roman"/>
          <w:i/>
          <w:szCs w:val="24"/>
        </w:rPr>
        <w:t>Civil Code of Lower Canada</w:t>
      </w:r>
      <w:r w:rsidRPr="00FA5D7E">
        <w:rPr>
          <w:rFonts w:cs="Times New Roman"/>
          <w:szCs w:val="24"/>
        </w:rPr>
        <w:t xml:space="preserve"> provided that upon being dissolved, the community, including the wife’s reserved property, was partitioned equally between the spouses.  If the wife renounced the partition, she kept only her reserved property.</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Alternatively, the spouses could enter into a marriage contract before a notary to establish a regime of separation of property.  Under this regime, the spouses’ assets did not constitute a mass of community created during the marriage.  Thus, for spouses who opted out of the regime of community of property, there was no partition upon dissolution; they therefore kept their respective patrimonies.  In addition, the </w:t>
      </w:r>
      <w:r w:rsidRPr="00FA5D7E">
        <w:rPr>
          <w:rFonts w:cs="Times New Roman"/>
          <w:i/>
          <w:szCs w:val="24"/>
        </w:rPr>
        <w:t>Civil Code of Lower Canada</w:t>
      </w:r>
      <w:r w:rsidRPr="00FA5D7E">
        <w:rPr>
          <w:rFonts w:cs="Times New Roman"/>
          <w:szCs w:val="24"/>
        </w:rPr>
        <w:t xml:space="preserve"> authorized a variety of stipulations that might change the scope of the regimes.  The basic choice was nevertheless between separation of property and community of property.</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New trends in the implementation of matrimonial regimes began emerging in the 1930s.  Wives increasingly adopted the conventional regime of separation of property even though the vast majority of them did not have paid employment outside the home through which they could accumulate property.  </w:t>
      </w:r>
      <w:r w:rsidR="00C32B2A">
        <w:rPr>
          <w:rFonts w:cs="Times New Roman"/>
          <w:szCs w:val="24"/>
          <w:lang w:val="fr-CA"/>
        </w:rPr>
        <w:t>In 1932, 43</w:t>
      </w:r>
      <w:r w:rsidR="007C7C0C">
        <w:rPr>
          <w:rFonts w:cs="Times New Roman"/>
          <w:szCs w:val="24"/>
          <w:lang w:val="fr-CA"/>
        </w:rPr>
        <w:t>%</w:t>
      </w:r>
      <w:r w:rsidRPr="00851923">
        <w:rPr>
          <w:rFonts w:cs="Times New Roman"/>
          <w:szCs w:val="24"/>
          <w:lang w:val="fr-CA"/>
        </w:rPr>
        <w:t xml:space="preserve"> of couples chose separati</w:t>
      </w:r>
      <w:r w:rsidR="00C32B2A">
        <w:rPr>
          <w:rFonts w:cs="Times New Roman"/>
          <w:szCs w:val="24"/>
          <w:lang w:val="fr-CA"/>
        </w:rPr>
        <w:t>on of property; this rose to 70</w:t>
      </w:r>
      <w:r w:rsidR="007C7C0C">
        <w:rPr>
          <w:rFonts w:cs="Times New Roman"/>
          <w:szCs w:val="24"/>
          <w:lang w:val="fr-CA"/>
        </w:rPr>
        <w:t>%</w:t>
      </w:r>
      <w:r w:rsidRPr="00851923">
        <w:rPr>
          <w:rFonts w:cs="Times New Roman"/>
          <w:szCs w:val="24"/>
          <w:lang w:val="fr-CA"/>
        </w:rPr>
        <w:t xml:space="preserve"> by 1970:  A. Roy, </w:t>
      </w:r>
      <w:r w:rsidRPr="00851923">
        <w:rPr>
          <w:rFonts w:cs="Times New Roman"/>
          <w:i/>
          <w:szCs w:val="24"/>
          <w:lang w:val="fr-CA"/>
        </w:rPr>
        <w:t>Le contrat de mariage réinventé:  Perspectives socio</w:t>
      </w:r>
      <w:r w:rsidRPr="00851923">
        <w:rPr>
          <w:rFonts w:cs="Times New Roman"/>
          <w:i/>
          <w:szCs w:val="24"/>
          <w:lang w:val="fr-CA"/>
        </w:rPr>
        <w:noBreakHyphen/>
        <w:t>juridiques pour une réforme</w:t>
      </w:r>
      <w:r w:rsidRPr="00851923">
        <w:rPr>
          <w:rFonts w:cs="Times New Roman"/>
          <w:szCs w:val="24"/>
          <w:lang w:val="fr-CA"/>
        </w:rPr>
        <w:t xml:space="preserve"> (2002), at pp. 58</w:t>
      </w:r>
      <w:r w:rsidRPr="00851923">
        <w:rPr>
          <w:rFonts w:cs="Times New Roman"/>
          <w:szCs w:val="24"/>
          <w:lang w:val="fr-CA"/>
        </w:rPr>
        <w:noBreakHyphen/>
        <w:t xml:space="preserve">62; J. Pineau and D. Burman, </w:t>
      </w:r>
      <w:r w:rsidRPr="00851923">
        <w:rPr>
          <w:rFonts w:cs="Times New Roman"/>
          <w:i/>
          <w:szCs w:val="24"/>
          <w:lang w:val="fr-CA"/>
        </w:rPr>
        <w:t>Effets du mariage et régimes matrimoniaux</w:t>
      </w:r>
      <w:r w:rsidRPr="00851923">
        <w:rPr>
          <w:rFonts w:cs="Times New Roman"/>
          <w:szCs w:val="24"/>
          <w:lang w:val="fr-CA"/>
        </w:rPr>
        <w:t xml:space="preserve"> (1984), at p. 123.  </w:t>
      </w:r>
      <w:r w:rsidRPr="00FA5D7E">
        <w:rPr>
          <w:rFonts w:cs="Times New Roman"/>
          <w:szCs w:val="24"/>
        </w:rPr>
        <w:t>As a result, in the event of separation from bed and board or, more rarely, of divorce, wives who had chosen the regime of separation of property, and who had probably not accumulated patrimonies because they did not work outside the home, were not entitled to partition of the property owned by their husbands.</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Several explanations have been advanced for this trend, at first glance surprising, in favour of the regime of separation of property during that period.  They include rejection of the patriarchal nature of the regime of community of property, the incompatibility of this regime with women’s newly acquired legal capacity, the risk represented by the community of property in the event of bankruptcy and, more generally, the fact that an effective divorce procedure was not accessible.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According to many commentators, this change could be explained as a reaction to the fact that wives had no power under the regime of community of property.  Since the regime of separation of property gave wives some powers of administration over their patrimonies, it seemed to guarantee them more autonomy than that of community of property:  see, </w:t>
      </w:r>
      <w:r w:rsidRPr="00FA5D7E">
        <w:rPr>
          <w:rFonts w:cs="Times New Roman"/>
          <w:i/>
          <w:szCs w:val="24"/>
        </w:rPr>
        <w:t>inter alia</w:t>
      </w:r>
      <w:r w:rsidRPr="00FA5D7E">
        <w:rPr>
          <w:rFonts w:cs="Times New Roman"/>
          <w:szCs w:val="24"/>
        </w:rPr>
        <w:t xml:space="preserve">, M. Tétrault, </w:t>
      </w:r>
      <w:r w:rsidRPr="00FA5D7E">
        <w:rPr>
          <w:rFonts w:cs="Times New Roman"/>
          <w:i/>
          <w:szCs w:val="24"/>
        </w:rPr>
        <w:t>Droit de la famille</w:t>
      </w:r>
      <w:r w:rsidR="00C32B2A">
        <w:rPr>
          <w:rFonts w:cs="Times New Roman"/>
          <w:i/>
          <w:szCs w:val="24"/>
        </w:rPr>
        <w:t xml:space="preserve"> </w:t>
      </w:r>
      <w:r w:rsidR="00C32B2A" w:rsidRPr="00FA5D7E">
        <w:rPr>
          <w:rFonts w:cs="Times New Roman"/>
          <w:szCs w:val="24"/>
        </w:rPr>
        <w:t>(4th ed. 2010</w:t>
      </w:r>
      <w:r w:rsidR="00C32B2A">
        <w:rPr>
          <w:rFonts w:cs="Times New Roman"/>
          <w:szCs w:val="24"/>
        </w:rPr>
        <w:t>), vol. 1</w:t>
      </w:r>
      <w:r w:rsidRPr="00FA5D7E">
        <w:rPr>
          <w:rFonts w:cs="Times New Roman"/>
          <w:szCs w:val="24"/>
        </w:rPr>
        <w:t xml:space="preserve">, at p. 562; D. Burman, “Politiques législatives québécoises dans l’aménagement des rapports pécuniaires entre époux: d’une justice bien pensée à un semblant de justice — un juste sujet de s’alarmer” (1988), 22 </w:t>
      </w:r>
      <w:r w:rsidRPr="00FA5D7E">
        <w:rPr>
          <w:rFonts w:cs="Times New Roman"/>
          <w:i/>
          <w:szCs w:val="24"/>
        </w:rPr>
        <w:t>R.J.T.</w:t>
      </w:r>
      <w:r w:rsidRPr="00FA5D7E">
        <w:rPr>
          <w:rFonts w:cs="Times New Roman"/>
          <w:szCs w:val="24"/>
        </w:rPr>
        <w:t xml:space="preserve"> 149, at pp. 151</w:t>
      </w:r>
      <w:r w:rsidRPr="00FA5D7E">
        <w:rPr>
          <w:rFonts w:cs="Times New Roman"/>
          <w:szCs w:val="24"/>
        </w:rPr>
        <w:noBreakHyphen/>
        <w:t xml:space="preserve">52 and 155.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Moreover, when the </w:t>
      </w:r>
      <w:r w:rsidRPr="00FA5D7E">
        <w:rPr>
          <w:rFonts w:cs="Times New Roman"/>
          <w:i/>
          <w:szCs w:val="24"/>
        </w:rPr>
        <w:t>Act respecting the legal capacity of married women</w:t>
      </w:r>
      <w:r w:rsidRPr="00FA5D7E">
        <w:rPr>
          <w:rFonts w:cs="Times New Roman"/>
          <w:szCs w:val="24"/>
        </w:rPr>
        <w:t xml:space="preserve">, S.Q. 1964, c. 66, came into force, wives obtained the legal capacity to freely dispose of their property and to perform the same acts in relation to it as a person of full age.  The concept of “authority of the husband”, which was based on the obedience owed by wives to their husbands, also disappeared from the </w:t>
      </w:r>
      <w:r w:rsidRPr="00FA5D7E">
        <w:rPr>
          <w:rFonts w:cs="Times New Roman"/>
          <w:i/>
          <w:szCs w:val="24"/>
        </w:rPr>
        <w:t>Civil Code</w:t>
      </w:r>
      <w:r w:rsidRPr="00FA5D7E">
        <w:rPr>
          <w:rFonts w:cs="Times New Roman"/>
          <w:szCs w:val="24"/>
        </w:rPr>
        <w:t xml:space="preserve"> at that time.  [</w:t>
      </w:r>
      <w:r w:rsidRPr="00FA5D7E">
        <w:rPr>
          <w:rFonts w:cs="Times New Roman"/>
          <w:smallCaps/>
          <w:szCs w:val="24"/>
        </w:rPr>
        <w:t>translation</w:t>
      </w:r>
      <w:r w:rsidRPr="00FA5D7E">
        <w:rPr>
          <w:rFonts w:cs="Times New Roman"/>
          <w:szCs w:val="24"/>
        </w:rPr>
        <w:t>] “As a result, there was a clear dichotomy between the legal regime — community of property, which was administered by the husband — and this new legal capacity”</w:t>
      </w:r>
      <w:r w:rsidR="0014107B">
        <w:rPr>
          <w:rFonts w:cs="Times New Roman"/>
          <w:szCs w:val="24"/>
        </w:rPr>
        <w:t>:</w:t>
      </w:r>
      <w:r w:rsidRPr="00FA5D7E">
        <w:rPr>
          <w:rFonts w:cs="Times New Roman"/>
          <w:szCs w:val="24"/>
        </w:rPr>
        <w:t xml:space="preserve"> Lefebvre, at p. 12.  The regime of community of property, which failed to reflect this new reality, was therefore abandoned in favour of that of separation of property.</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Another explanation is that, as pointed out by a number of notaries at the time, the regime of separation of property protected a wife if her husband went bankrupt after going into business:  see, </w:t>
      </w:r>
      <w:r w:rsidRPr="00FA5D7E">
        <w:rPr>
          <w:rFonts w:cs="Times New Roman"/>
          <w:i/>
          <w:szCs w:val="24"/>
        </w:rPr>
        <w:t>inter alia</w:t>
      </w:r>
      <w:r w:rsidRPr="00FA5D7E">
        <w:rPr>
          <w:rFonts w:cs="Times New Roman"/>
          <w:szCs w:val="24"/>
        </w:rPr>
        <w:t xml:space="preserve">, Burman, at p. 151; Tétrault, </w:t>
      </w:r>
      <w:r w:rsidRPr="00FA5D7E">
        <w:rPr>
          <w:rFonts w:cs="Times New Roman"/>
          <w:i/>
          <w:szCs w:val="24"/>
        </w:rPr>
        <w:t>Droit de la famille</w:t>
      </w:r>
      <w:r w:rsidRPr="00FA5D7E">
        <w:rPr>
          <w:rFonts w:cs="Times New Roman"/>
          <w:szCs w:val="24"/>
        </w:rPr>
        <w:t>, at p. 562.  It may therefore have seemed prudent in such situations to opt for the regime of separation rather than that of community of property.</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Finally, the </w:t>
      </w:r>
      <w:r w:rsidRPr="00FA5D7E">
        <w:rPr>
          <w:rFonts w:cs="Times New Roman"/>
          <w:i/>
          <w:szCs w:val="24"/>
        </w:rPr>
        <w:t>Divorce Act</w:t>
      </w:r>
      <w:r w:rsidRPr="00FA5D7E">
        <w:rPr>
          <w:rFonts w:cs="Times New Roman"/>
          <w:szCs w:val="24"/>
        </w:rPr>
        <w:t>, S.C. 1967</w:t>
      </w:r>
      <w:r w:rsidRPr="00FA5D7E">
        <w:rPr>
          <w:rFonts w:cs="Times New Roman"/>
          <w:szCs w:val="24"/>
        </w:rPr>
        <w:noBreakHyphen/>
        <w:t xml:space="preserve">68, c. 24, did not come into force in Canada until 1968.  Before then, divorce was not accessible to the vast majority of the population, since it could be obtained only through a private Act.  Some authors assume that many wives viewed separation or the possible dissolution of their union as an unrealistic prospect:  see, </w:t>
      </w:r>
      <w:r w:rsidRPr="00FA5D7E">
        <w:rPr>
          <w:rFonts w:cs="Times New Roman"/>
          <w:i/>
          <w:szCs w:val="24"/>
        </w:rPr>
        <w:t>inter alia</w:t>
      </w:r>
      <w:r w:rsidRPr="00FA5D7E">
        <w:rPr>
          <w:rFonts w:cs="Times New Roman"/>
          <w:szCs w:val="24"/>
        </w:rPr>
        <w:t xml:space="preserve">, J. Jarry, </w:t>
      </w:r>
      <w:r w:rsidRPr="00FA5D7E">
        <w:rPr>
          <w:rFonts w:cs="Times New Roman"/>
          <w:i/>
          <w:szCs w:val="24"/>
        </w:rPr>
        <w:t xml:space="preserve">Les conjoints de fait au Québec:  vers un encadrement légal </w:t>
      </w:r>
      <w:r w:rsidRPr="00FA5D7E">
        <w:rPr>
          <w:rFonts w:cs="Times New Roman"/>
          <w:szCs w:val="24"/>
        </w:rPr>
        <w:t>(2008), at p. 87.  In such circumstances, the choice of a particular matrimonial regime could have seemed to be of no practical consequence.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Whatever the reasons for the choice of the regime of separation of property and for its growing popularity, the fact remains that, in a context in which wives were not engaged in remunerative activities outside the matrimonial home, the consequences of this regime could be devastating in the event of separation or divorce.  The effects of this choice of regime became clear after the </w:t>
      </w:r>
      <w:r w:rsidRPr="00FA5D7E">
        <w:rPr>
          <w:rFonts w:cs="Times New Roman"/>
          <w:i/>
          <w:szCs w:val="24"/>
        </w:rPr>
        <w:t>Divorce Act</w:t>
      </w:r>
      <w:r w:rsidRPr="00FA5D7E">
        <w:rPr>
          <w:rFonts w:cs="Times New Roman"/>
          <w:szCs w:val="24"/>
        </w:rPr>
        <w:t xml:space="preserve"> came into force.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To try to reverse this “separatist” trend that often caused serious problems for married women when their unions were dissolved, the Quebec legislature “modernized” the legal regime of community of property [</w:t>
      </w:r>
      <w:r w:rsidRPr="00FA5D7E">
        <w:rPr>
          <w:rFonts w:cs="Times New Roman"/>
          <w:smallCaps/>
          <w:szCs w:val="24"/>
        </w:rPr>
        <w:t>translation</w:t>
      </w:r>
      <w:r w:rsidRPr="00FA5D7E">
        <w:rPr>
          <w:rFonts w:cs="Times New Roman"/>
          <w:szCs w:val="24"/>
        </w:rPr>
        <w:t>] “to make it more attractive”</w:t>
      </w:r>
      <w:r w:rsidR="0014107B">
        <w:rPr>
          <w:rFonts w:cs="Times New Roman"/>
          <w:szCs w:val="24"/>
        </w:rPr>
        <w:t>:</w:t>
      </w:r>
      <w:r w:rsidRPr="00FA5D7E">
        <w:rPr>
          <w:rFonts w:cs="Times New Roman"/>
          <w:szCs w:val="24"/>
        </w:rPr>
        <w:t xml:space="preserve"> A. Roy, “Le régime juridique de l’union civile: entre symbolisme et anachronisme”, in Lafond and Lefebvre, 165, at p. 184; see also S. Massé, “Les régimes matrimoniaux au Canada — Analyse comparative des législations provinciales” (1985), 88 </w:t>
      </w:r>
      <w:r w:rsidRPr="00FA5D7E">
        <w:rPr>
          <w:rFonts w:cs="Times New Roman"/>
          <w:i/>
          <w:szCs w:val="24"/>
        </w:rPr>
        <w:t>R. du N.</w:t>
      </w:r>
      <w:r w:rsidRPr="00FA5D7E">
        <w:rPr>
          <w:rFonts w:cs="Times New Roman"/>
          <w:szCs w:val="24"/>
        </w:rPr>
        <w:t xml:space="preserve"> 103, at p. 148.  Thus, the legal matrimonial regime of partnership of acquests came into existence on July 1, 1970 with the coming into force of the </w:t>
      </w:r>
      <w:r w:rsidRPr="00FA5D7E">
        <w:rPr>
          <w:rFonts w:cs="Times New Roman"/>
          <w:i/>
          <w:szCs w:val="24"/>
        </w:rPr>
        <w:t>Act respecting matrimonial regimes</w:t>
      </w:r>
      <w:r w:rsidRPr="00FA5D7E">
        <w:rPr>
          <w:rFonts w:cs="Times New Roman"/>
          <w:szCs w:val="24"/>
        </w:rPr>
        <w:t>, S.Q. 1969, c. 77.  From then on, the community consisted only of property acquired by the spouses during the marriage.  Professor Tétrault explains this change as follows:</w:t>
      </w:r>
    </w:p>
    <w:p w:rsidR="004862B9" w:rsidRPr="00FA5D7E" w:rsidRDefault="004862B9" w:rsidP="004862B9">
      <w:pPr>
        <w:pStyle w:val="Citation-AltC"/>
        <w:tabs>
          <w:tab w:val="left" w:pos="1530"/>
        </w:tabs>
        <w:spacing w:after="240"/>
        <w:ind w:left="1168" w:hanging="1168"/>
        <w:contextualSpacing w:val="0"/>
        <w:rPr>
          <w:szCs w:val="24"/>
          <w:lang w:val="en-CA"/>
        </w:rPr>
      </w:pPr>
      <w:r w:rsidRPr="00FA5D7E">
        <w:rPr>
          <w:szCs w:val="24"/>
          <w:lang w:val="en-CA"/>
        </w:rPr>
        <w:tab/>
      </w:r>
      <w:r w:rsidRPr="00FA5D7E">
        <w:rPr>
          <w:szCs w:val="24"/>
          <w:lang w:val="en-CA"/>
        </w:rPr>
        <w:tab/>
        <w:t>[</w:t>
      </w:r>
      <w:r w:rsidRPr="00FA5D7E">
        <w:rPr>
          <w:smallCaps/>
          <w:szCs w:val="24"/>
          <w:lang w:val="en-CA"/>
        </w:rPr>
        <w:t>translation</w:t>
      </w:r>
      <w:r w:rsidRPr="00FA5D7E">
        <w:rPr>
          <w:szCs w:val="24"/>
          <w:lang w:val="en-CA"/>
        </w:rPr>
        <w:t>]  The change of legal regime from community of property to partnership of acquests is easily explained by the main characteristic of the regime of community of property, which concentrated the administration of the regime in the husband’s hands.  This approach was difficult to reconcile with the goals of feminist movements and the granting of full legal capacity to women.</w:t>
      </w:r>
    </w:p>
    <w:p w:rsidR="004862B9" w:rsidRPr="00FA5D7E" w:rsidRDefault="004862B9" w:rsidP="004862B9">
      <w:pPr>
        <w:pStyle w:val="Citation-AltC"/>
        <w:ind w:hanging="1166"/>
        <w:rPr>
          <w:szCs w:val="24"/>
        </w:rPr>
      </w:pPr>
      <w:r w:rsidRPr="00FA5D7E">
        <w:rPr>
          <w:szCs w:val="24"/>
        </w:rPr>
        <w:t>(</w:t>
      </w:r>
      <w:r w:rsidRPr="00FA5D7E">
        <w:rPr>
          <w:i/>
          <w:szCs w:val="24"/>
        </w:rPr>
        <w:t>Droit de la famille</w:t>
      </w:r>
      <w:r w:rsidRPr="00FA5D7E">
        <w:rPr>
          <w:szCs w:val="24"/>
        </w:rPr>
        <w:t>, at p. 511)</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Under the new legal regime, each spouse had the full administration of his or her property during the union, and most of the property acquired during the marriage could be partitioned upon dissolution.  This regime distinguished two categories of property:  acquests, which could be partitioned upon dissolution of the regime, and private property, of which the legislature provided an exhaustive list and which could not be partitioned.  Acquests were property acquired during the marriage by either spouse, while private property was property owned before the marriage or property acquired after the marriage that was intrinsically personal, such as clothing or work tools.</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creation of this legal matrimonial regime was accompanied by the repudiation of the principle of immutability of marriage agreements.  Until 1970, once a marriage had been solemnized, the matrimonial regime could not be modified, even by mutual agreement of the spouses.  Only one type of change was permitted by the legislature at that time: a wife to whom the regime of community of property applied could, subject to certain conditions, ask a court for permission to opt for the regime of separation of property:  see E. Caparros, </w:t>
      </w:r>
      <w:r w:rsidRPr="00FA5D7E">
        <w:rPr>
          <w:rFonts w:cs="Times New Roman"/>
          <w:i/>
          <w:szCs w:val="24"/>
        </w:rPr>
        <w:t>Les régimes matrimoniaux au Québec</w:t>
      </w:r>
      <w:r w:rsidRPr="00FA5D7E">
        <w:rPr>
          <w:rFonts w:cs="Times New Roman"/>
          <w:szCs w:val="24"/>
        </w:rPr>
        <w:t xml:space="preserve"> (3rd ed. 1988), at p. 97.</w:t>
      </w:r>
    </w:p>
    <w:p w:rsidR="004862B9" w:rsidRPr="006931DC" w:rsidRDefault="004862B9" w:rsidP="00815D04">
      <w:pPr>
        <w:pStyle w:val="ParaNoNdepar-AltN"/>
        <w:tabs>
          <w:tab w:val="clear" w:pos="1166"/>
          <w:tab w:val="num" w:pos="1152"/>
        </w:tabs>
        <w:ind w:left="0"/>
        <w:rPr>
          <w:rFonts w:cs="Times New Roman"/>
          <w:szCs w:val="24"/>
          <w:lang w:val="fr-CA"/>
        </w:rPr>
      </w:pPr>
      <w:r w:rsidRPr="00FA5D7E">
        <w:rPr>
          <w:rFonts w:cs="Times New Roman"/>
          <w:szCs w:val="24"/>
        </w:rPr>
        <w:t xml:space="preserve">The reason why spouses had been prohibited from amending their marriage agreements while married lay, in part, in the idea that only contracts entered into before marriage were entered into by independent persons capable of making the agreements they wished to make.  Once the couple were married, since the wife fell legally under her husband’s power, her interests could not be validly defended if she entered into contracts with him.  </w:t>
      </w:r>
      <w:r w:rsidRPr="006931DC">
        <w:rPr>
          <w:rFonts w:cs="Times New Roman"/>
          <w:szCs w:val="24"/>
          <w:lang w:val="fr-CA"/>
        </w:rPr>
        <w:t xml:space="preserve">This was why spouses were prohibited from amending agreements entered into before marriage:  see Roy, </w:t>
      </w:r>
      <w:r w:rsidRPr="006931DC">
        <w:rPr>
          <w:rFonts w:cs="Times New Roman"/>
          <w:i/>
          <w:szCs w:val="24"/>
          <w:lang w:val="fr-CA"/>
        </w:rPr>
        <w:t>Le contrat de mariage réinventé</w:t>
      </w:r>
      <w:r w:rsidRPr="006931DC">
        <w:rPr>
          <w:rFonts w:cs="Times New Roman"/>
          <w:szCs w:val="24"/>
          <w:lang w:val="fr-CA"/>
        </w:rPr>
        <w:t>, at pp. 99</w:t>
      </w:r>
      <w:r w:rsidRPr="006931DC">
        <w:rPr>
          <w:rFonts w:cs="Times New Roman"/>
          <w:szCs w:val="24"/>
          <w:lang w:val="fr-CA"/>
        </w:rPr>
        <w:noBreakHyphen/>
        <w:t>100; P.</w:t>
      </w:r>
      <w:r w:rsidRPr="006931DC">
        <w:rPr>
          <w:rFonts w:cs="Times New Roman"/>
          <w:szCs w:val="24"/>
          <w:lang w:val="fr-CA"/>
        </w:rPr>
        <w:noBreakHyphen/>
        <w:t xml:space="preserve">B. Mignault, </w:t>
      </w:r>
      <w:r w:rsidRPr="006931DC">
        <w:rPr>
          <w:rFonts w:cs="Times New Roman"/>
          <w:i/>
          <w:szCs w:val="24"/>
          <w:lang w:val="fr-CA"/>
        </w:rPr>
        <w:t>Le droit civil canadien</w:t>
      </w:r>
      <w:r w:rsidRPr="006931DC">
        <w:rPr>
          <w:rFonts w:cs="Times New Roman"/>
          <w:szCs w:val="24"/>
          <w:lang w:val="fr-CA"/>
        </w:rPr>
        <w:t>, vol. 6 (1902), at pp. 128</w:t>
      </w:r>
      <w:r w:rsidRPr="006931DC">
        <w:rPr>
          <w:rFonts w:cs="Times New Roman"/>
          <w:szCs w:val="24"/>
          <w:lang w:val="fr-CA"/>
        </w:rPr>
        <w:noBreakHyphen/>
        <w:t xml:space="preserve">29; L. Faribault, </w:t>
      </w:r>
      <w:r w:rsidRPr="006931DC">
        <w:rPr>
          <w:rFonts w:cs="Times New Roman"/>
          <w:i/>
          <w:szCs w:val="24"/>
          <w:lang w:val="fr-CA"/>
        </w:rPr>
        <w:t>Traité de droit civil du Québec</w:t>
      </w:r>
      <w:r w:rsidRPr="006931DC">
        <w:rPr>
          <w:rFonts w:cs="Times New Roman"/>
          <w:szCs w:val="24"/>
          <w:lang w:val="fr-CA"/>
        </w:rPr>
        <w:t>, vol. 10 (1952), at pp. 44</w:t>
      </w:r>
      <w:r w:rsidRPr="006931DC">
        <w:rPr>
          <w:rFonts w:cs="Times New Roman"/>
          <w:szCs w:val="24"/>
          <w:lang w:val="fr-CA"/>
        </w:rPr>
        <w:noBreakHyphen/>
        <w:t xml:space="preserve">45; R. Comtois, </w:t>
      </w:r>
      <w:r w:rsidRPr="006931DC">
        <w:rPr>
          <w:rFonts w:cs="Times New Roman"/>
          <w:i/>
          <w:szCs w:val="24"/>
          <w:lang w:val="fr-CA"/>
        </w:rPr>
        <w:t xml:space="preserve">Traité théorique et pratique de la communauté de biens </w:t>
      </w:r>
      <w:r w:rsidRPr="006931DC">
        <w:rPr>
          <w:rFonts w:cs="Times New Roman"/>
          <w:szCs w:val="24"/>
          <w:lang w:val="fr-CA"/>
        </w:rPr>
        <w:t>(1964), at p. 195.</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Like the rules under which the husband was responsible for the administration of the property of the community of property, the principle of immutability was hard to reconcile with the full legal capacity of married women and the end of the “authority of the husband”, according to which wives had been required to obey their husbands:  see Roy, </w:t>
      </w:r>
      <w:r w:rsidRPr="00FA5D7E">
        <w:rPr>
          <w:rFonts w:cs="Times New Roman"/>
          <w:i/>
          <w:szCs w:val="24"/>
        </w:rPr>
        <w:t>Le contrat de mariage réinventé</w:t>
      </w:r>
      <w:r w:rsidRPr="00FA5D7E">
        <w:rPr>
          <w:rFonts w:cs="Times New Roman"/>
          <w:szCs w:val="24"/>
        </w:rPr>
        <w:t xml:space="preserve">, at p. 125.  The creation of the regime of partnership of acquests was therefore accompanied by the introduction of a principle of mutability of matrimonial agreements, which allowed spouses to change their regime in whole or in part during their marriage:  see Caparros, </w:t>
      </w:r>
      <w:r w:rsidRPr="00FA5D7E">
        <w:rPr>
          <w:rFonts w:cs="Times New Roman"/>
          <w:i/>
          <w:szCs w:val="24"/>
        </w:rPr>
        <w:t>Les régimes matrimoniaux au Québec</w:t>
      </w:r>
      <w:r w:rsidRPr="00FA5D7E">
        <w:rPr>
          <w:rFonts w:cs="Times New Roman"/>
          <w:szCs w:val="24"/>
        </w:rPr>
        <w:t>, at p. 97.</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However, as Professor Burman points out, [</w:t>
      </w:r>
      <w:r w:rsidRPr="00FA5D7E">
        <w:rPr>
          <w:rFonts w:cs="Times New Roman"/>
          <w:smallCaps/>
          <w:szCs w:val="24"/>
        </w:rPr>
        <w:t>translation</w:t>
      </w:r>
      <w:r w:rsidRPr="00FA5D7E">
        <w:rPr>
          <w:rFonts w:cs="Times New Roman"/>
          <w:szCs w:val="24"/>
        </w:rPr>
        <w:t xml:space="preserve">] “[a]t the time of the reform of matrimonial regimes, the new legal regime of partnership of acquests was given a very chilly reception, with spouses continuing to prefer that of separation of property” (p. 156).  </w:t>
      </w:r>
      <w:r w:rsidR="00C32B2A">
        <w:rPr>
          <w:rFonts w:cs="Times New Roman"/>
          <w:szCs w:val="24"/>
        </w:rPr>
        <w:t>Thus, between 1971 and 1980, 48</w:t>
      </w:r>
      <w:r w:rsidR="00875BB9">
        <w:rPr>
          <w:rFonts w:cs="Times New Roman"/>
          <w:szCs w:val="24"/>
        </w:rPr>
        <w:t>%</w:t>
      </w:r>
      <w:r w:rsidRPr="00FA5D7E">
        <w:rPr>
          <w:rFonts w:cs="Times New Roman"/>
          <w:szCs w:val="24"/>
        </w:rPr>
        <w:t xml:space="preserve"> of couples chose the legal regime of pa</w:t>
      </w:r>
      <w:r w:rsidR="00C32B2A">
        <w:rPr>
          <w:rFonts w:cs="Times New Roman"/>
          <w:szCs w:val="24"/>
        </w:rPr>
        <w:t>rtnership of acquests, while 52</w:t>
      </w:r>
      <w:r w:rsidR="00875BB9">
        <w:rPr>
          <w:rFonts w:cs="Times New Roman"/>
          <w:szCs w:val="24"/>
        </w:rPr>
        <w:t>%</w:t>
      </w:r>
      <w:r w:rsidRPr="00FA5D7E">
        <w:rPr>
          <w:rFonts w:cs="Times New Roman"/>
          <w:szCs w:val="24"/>
        </w:rPr>
        <w:t xml:space="preserve"> chose the regime of separation of property:  Roy, </w:t>
      </w:r>
      <w:r w:rsidRPr="00FA5D7E">
        <w:rPr>
          <w:rFonts w:cs="Times New Roman"/>
          <w:i/>
          <w:szCs w:val="24"/>
        </w:rPr>
        <w:t>Le contrat de mariage réinventé</w:t>
      </w:r>
      <w:r w:rsidRPr="00FA5D7E">
        <w:rPr>
          <w:rFonts w:cs="Times New Roman"/>
          <w:szCs w:val="24"/>
        </w:rPr>
        <w:t>, at pp. 63</w:t>
      </w:r>
      <w:r w:rsidRPr="00FA5D7E">
        <w:rPr>
          <w:rFonts w:cs="Times New Roman"/>
          <w:szCs w:val="24"/>
        </w:rPr>
        <w:noBreakHyphen/>
        <w:t>64.  However, this trend gradually reversed itself during the 1980s, wi</w:t>
      </w:r>
      <w:r w:rsidR="00C32B2A">
        <w:rPr>
          <w:rFonts w:cs="Times New Roman"/>
          <w:szCs w:val="24"/>
        </w:rPr>
        <w:t>th the result that fewer than 1</w:t>
      </w:r>
      <w:r w:rsidR="00875BB9">
        <w:rPr>
          <w:rFonts w:cs="Times New Roman"/>
          <w:szCs w:val="24"/>
        </w:rPr>
        <w:t>%</w:t>
      </w:r>
      <w:r w:rsidRPr="00FA5D7E">
        <w:rPr>
          <w:rFonts w:cs="Times New Roman"/>
          <w:szCs w:val="24"/>
        </w:rPr>
        <w:t xml:space="preserve"> of couples chose the regime of separation as to property between 1995 and 2005:  A. Roy, “Le contrat de mariage en droit québécois: un destin marqué du sceau du paradoxe” (2006), 51 </w:t>
      </w:r>
      <w:r w:rsidRPr="00FA5D7E">
        <w:rPr>
          <w:rFonts w:cs="Times New Roman"/>
          <w:i/>
          <w:szCs w:val="24"/>
        </w:rPr>
        <w:t>McGill L.J.</w:t>
      </w:r>
      <w:r w:rsidRPr="00FA5D7E">
        <w:rPr>
          <w:rFonts w:cs="Times New Roman"/>
          <w:szCs w:val="24"/>
        </w:rPr>
        <w:t xml:space="preserve"> 665, at p. 668.</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Since the regime of partnership of acquests was neither retroactive nor mandatory, its introduction did not change the situation of wives who had chosen the regime of separation of property either before or after 1970.  It should be borne in mind that, at the time, married women had not yet joined the labour market in large numbers.  As the </w:t>
      </w:r>
      <w:r w:rsidR="00517A9E">
        <w:rPr>
          <w:rFonts w:cs="Times New Roman"/>
          <w:szCs w:val="24"/>
        </w:rPr>
        <w:t xml:space="preserve">Committee on </w:t>
      </w:r>
      <w:r w:rsidRPr="00FA5D7E">
        <w:rPr>
          <w:rFonts w:cs="Times New Roman"/>
          <w:szCs w:val="24"/>
        </w:rPr>
        <w:t>Matrimonial Regimes Committee of the Civil Code Revision Office pointed out in its report of May 20, 1968, “[i]t is still usual in Quebec households for the wife to devote all her time to the care of the family and for the husband to be the only one able to amass an estate by his work”</w:t>
      </w:r>
      <w:r w:rsidR="00AD7B9F">
        <w:rPr>
          <w:rFonts w:cs="Times New Roman"/>
          <w:szCs w:val="24"/>
        </w:rPr>
        <w:t>:</w:t>
      </w:r>
      <w:r w:rsidRPr="00FA5D7E">
        <w:rPr>
          <w:rFonts w:cs="Times New Roman"/>
          <w:szCs w:val="24"/>
        </w:rPr>
        <w:t xml:space="preserve"> </w:t>
      </w:r>
      <w:r w:rsidRPr="00FA5D7E">
        <w:rPr>
          <w:rFonts w:cs="Times New Roman"/>
          <w:i/>
          <w:szCs w:val="24"/>
        </w:rPr>
        <w:t xml:space="preserve">Report on Matrimonial Regimes </w:t>
      </w:r>
      <w:r w:rsidRPr="00FA5D7E">
        <w:rPr>
          <w:rFonts w:cs="Times New Roman"/>
          <w:szCs w:val="24"/>
        </w:rPr>
        <w:t xml:space="preserve">(1968), at p. 9.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In 1981, the legislature undertook a major new reform of family law.  The </w:t>
      </w:r>
      <w:r w:rsidRPr="00FA5D7E">
        <w:rPr>
          <w:rFonts w:cs="Times New Roman"/>
          <w:i/>
          <w:iCs/>
          <w:szCs w:val="24"/>
        </w:rPr>
        <w:t>Act to establish a new Civil Code and to reform family law</w:t>
      </w:r>
      <w:r w:rsidRPr="00FA5D7E">
        <w:rPr>
          <w:rFonts w:cs="Times New Roman"/>
          <w:iCs/>
          <w:szCs w:val="24"/>
        </w:rPr>
        <w:t>, S</w:t>
      </w:r>
      <w:r w:rsidRPr="00FA5D7E">
        <w:rPr>
          <w:rFonts w:cs="Times New Roman"/>
          <w:szCs w:val="24"/>
        </w:rPr>
        <w:t xml:space="preserve">.Q. 1980, c. 39, established a primary regime of public order and provided for certain effects of marriage for spouses.  This regime applied to all future marriages and to marriages already entered into regardless of the matrimonial regime that had previously been chosen.  The reform introduced the principle that spouses had equal rights and obligations in marriage.  This principle of equality was reflected in, among other things, the spouses’ obligation to take in hand the moral and material direction of the family together and to choose the family residence together.  Other new measures were adopted to ensure adherence to the principle of joint direction by requiring the consent of both spouses for certain acts, such as alienation of the family residence by the spouse who owned it.  To the obligations arising out of marriage before the reform, namely fidelity, cohabitation, assistance and succour, the legislature added an obligation for each spouse to contribute toward the expenses of the marriage in proportion to his or her means, including through activities within the home.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The legislature also dealt directly with the situation of women who had married under the regime of separation of property rather than that of community of property or partnership of acquests during the preceding decades.  To remedy their vulnerability, it created the compensatory allowance mechanism, which entitled each spouse to claim compensation for his or her contribution, in property or services, to the enrichment of the other spouse’s patrimony.  Payment of such compensation could be ordered by a court in the course of proceedings leading to the spouses’ separation.  However, this measure proved ineffective after a few years, as the Minister of Justice and the Minister for the Status of Women explained in 1988:</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w:t>
      </w:r>
      <w:r w:rsidRPr="00FA5D7E">
        <w:rPr>
          <w:smallCaps/>
          <w:szCs w:val="24"/>
          <w:lang w:val="en-CA"/>
        </w:rPr>
        <w:t>translation</w:t>
      </w:r>
      <w:r w:rsidRPr="00FA5D7E">
        <w:rPr>
          <w:szCs w:val="24"/>
          <w:lang w:val="en-CA"/>
        </w:rPr>
        <w:t>]  As for the compensatory allowance, it has not proved effective enough to fully remedy the problems experienced by certain married spouses, particularly those who have chosen separation of property as their matrimonial regime.  Thus, according to the majority of the jurisprudence, the work performed by a spouse within the home does not entitle that spouse to a compensatory allowance if the spouse was merely fulfilling his or her obligation to contribute towards the expenses of the marriage; in asserting his or her right, the co</w:t>
      </w:r>
      <w:r w:rsidRPr="00FA5D7E">
        <w:rPr>
          <w:szCs w:val="24"/>
          <w:lang w:val="en-CA"/>
        </w:rPr>
        <w:noBreakHyphen/>
        <w:t>operating spouse encounters major evidentiary difficulties that, in some cases, render the remedy illusory . . . .</w:t>
      </w:r>
    </w:p>
    <w:p w:rsidR="004862B9" w:rsidRPr="00FA5D7E" w:rsidRDefault="004862B9" w:rsidP="00DB01CE">
      <w:pPr>
        <w:pStyle w:val="Citation-AltC"/>
        <w:ind w:left="0"/>
        <w:rPr>
          <w:szCs w:val="24"/>
        </w:rPr>
      </w:pPr>
      <w:r w:rsidRPr="00FA5D7E">
        <w:rPr>
          <w:szCs w:val="24"/>
        </w:rPr>
        <w:t xml:space="preserve">(H. Marx and M. Gagnon Tremblay, </w:t>
      </w:r>
      <w:r w:rsidRPr="00FA5D7E">
        <w:rPr>
          <w:i/>
          <w:szCs w:val="24"/>
        </w:rPr>
        <w:t>Les droits économiques des conjoints</w:t>
      </w:r>
      <w:r w:rsidR="00517A9E">
        <w:rPr>
          <w:i/>
          <w:szCs w:val="24"/>
        </w:rPr>
        <w:t xml:space="preserve"> </w:t>
      </w:r>
      <w:r w:rsidR="00517A9E" w:rsidRPr="00FA5D7E">
        <w:rPr>
          <w:szCs w:val="24"/>
        </w:rPr>
        <w:t>(1988)</w:t>
      </w:r>
      <w:r w:rsidRPr="00FA5D7E">
        <w:rPr>
          <w:szCs w:val="24"/>
        </w:rPr>
        <w:t>, document tabled for consultation, at p. 10</w:t>
      </w:r>
      <w:r w:rsidR="00AD7B9F">
        <w:rPr>
          <w:szCs w:val="24"/>
        </w:rPr>
        <w:t>.</w:t>
      </w:r>
      <w:r w:rsidRPr="00FA5D7E">
        <w:rPr>
          <w:szCs w:val="24"/>
        </w:rPr>
        <w:t>)</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In 1989, because the compensatory allowance had not had the intended effect, the Quebec National Assembly passed the </w:t>
      </w:r>
      <w:r w:rsidRPr="00FA5D7E">
        <w:rPr>
          <w:rFonts w:cs="Times New Roman"/>
          <w:i/>
          <w:szCs w:val="24"/>
        </w:rPr>
        <w:t>Act to amend the Civil Code of Québec and other legislation in order to favour economic equality between spouses</w:t>
      </w:r>
      <w:r w:rsidRPr="00FA5D7E">
        <w:rPr>
          <w:rFonts w:cs="Times New Roman"/>
          <w:szCs w:val="24"/>
        </w:rPr>
        <w:t xml:space="preserve">, S.Q. 1989, c. 55, which introduced the concept of family patrimony into the </w:t>
      </w:r>
      <w:r w:rsidRPr="00FA5D7E">
        <w:rPr>
          <w:rFonts w:cs="Times New Roman"/>
          <w:i/>
          <w:szCs w:val="24"/>
        </w:rPr>
        <w:t>Civil Code</w:t>
      </w:r>
      <w:r w:rsidRPr="00FA5D7E">
        <w:rPr>
          <w:rFonts w:cs="Times New Roman"/>
          <w:szCs w:val="24"/>
        </w:rPr>
        <w:t xml:space="preserve">.  As a result, “a marriage has the </w:t>
      </w:r>
      <w:r w:rsidRPr="00FA5D7E">
        <w:rPr>
          <w:rFonts w:cs="Times New Roman"/>
          <w:szCs w:val="24"/>
          <w:u w:val="single"/>
        </w:rPr>
        <w:t>immediate effect</w:t>
      </w:r>
      <w:r w:rsidRPr="00FA5D7E">
        <w:rPr>
          <w:rFonts w:cs="Times New Roman"/>
          <w:szCs w:val="24"/>
        </w:rPr>
        <w:t xml:space="preserve"> . . . of establishing a family patrimony, and it creates a </w:t>
      </w:r>
      <w:r w:rsidRPr="00FA5D7E">
        <w:rPr>
          <w:rFonts w:cs="Times New Roman"/>
          <w:szCs w:val="24"/>
          <w:u w:val="single"/>
        </w:rPr>
        <w:t>claim</w:t>
      </w:r>
      <w:r w:rsidRPr="00FA5D7E">
        <w:rPr>
          <w:rFonts w:cs="Times New Roman"/>
          <w:szCs w:val="24"/>
        </w:rPr>
        <w:t xml:space="preserve"> that can be asserted upon separation from bed and board or upon dissolution of the marriage”:  </w:t>
      </w:r>
      <w:r w:rsidRPr="00FA5D7E">
        <w:rPr>
          <w:rFonts w:cs="Times New Roman"/>
          <w:i/>
          <w:szCs w:val="24"/>
        </w:rPr>
        <w:t>M.T. v</w:t>
      </w:r>
      <w:r w:rsidRPr="00FA5D7E">
        <w:rPr>
          <w:rFonts w:cs="Times New Roman"/>
          <w:i/>
          <w:iCs/>
          <w:szCs w:val="24"/>
        </w:rPr>
        <w:t>.</w:t>
      </w:r>
      <w:r w:rsidRPr="00FA5D7E">
        <w:rPr>
          <w:rFonts w:cs="Times New Roman"/>
          <w:i/>
          <w:szCs w:val="24"/>
        </w:rPr>
        <w:t xml:space="preserve"> J.</w:t>
      </w:r>
      <w:r w:rsidRPr="00FA5D7E">
        <w:rPr>
          <w:rFonts w:cs="Times New Roman"/>
          <w:i/>
          <w:szCs w:val="24"/>
        </w:rPr>
        <w:noBreakHyphen/>
        <w:t>Y.T.</w:t>
      </w:r>
      <w:r w:rsidRPr="00FA5D7E">
        <w:rPr>
          <w:rFonts w:cs="Times New Roman"/>
          <w:szCs w:val="24"/>
        </w:rPr>
        <w:t>, 2008 SCC 50, [2008] 2 S.C.R. 781, at para. 14 (emphasis added).  Like all the other effects of marriage, such as the obligation to provide assistance and succour, the family patrimony was of public order and applied regardless of the legal or conventional matrimonial regime chosen by the parties to govern their patrimonial relationship.</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The claim so created provided a basis for equal partition of the net value of certain property, such as the family’s residences, the household furniture used by the family, the vehicles used by the family and rights under retirement plans, regardless of which spouse had a right of ownership in that property.  Residences, furniture and vehicles were included in the family patrimony regardless of whether they were acquired before or during the marriage, but in the case of rights under a retirement plan, only those accrued during the marriage were part of that patrimony.</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The transitional provisions enacted by the legislature indicated that the articles concerning the family patrimony applied to spouses who had married before the Act came into force.  However, the legislature allowed such spouses to opt out of the family patrimony provisions by mutual agreement.  They had 18 months after the Act came into force to make that choice and record it in an agreement.</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There were three objectives underlying this further reform of the rights and obligations of spouses </w:t>
      </w:r>
      <w:r w:rsidRPr="00FA5D7E">
        <w:rPr>
          <w:rFonts w:cs="Times New Roman"/>
          <w:i/>
          <w:szCs w:val="24"/>
        </w:rPr>
        <w:t>vis</w:t>
      </w:r>
      <w:r w:rsidRPr="00FA5D7E">
        <w:rPr>
          <w:rFonts w:cs="Times New Roman"/>
          <w:i/>
          <w:szCs w:val="24"/>
        </w:rPr>
        <w:noBreakHyphen/>
        <w:t>à</w:t>
      </w:r>
      <w:r w:rsidRPr="00FA5D7E">
        <w:rPr>
          <w:rFonts w:cs="Times New Roman"/>
          <w:i/>
          <w:szCs w:val="24"/>
        </w:rPr>
        <w:noBreakHyphen/>
        <w:t>vis</w:t>
      </w:r>
      <w:r w:rsidRPr="00FA5D7E">
        <w:rPr>
          <w:rFonts w:cs="Times New Roman"/>
          <w:szCs w:val="24"/>
        </w:rPr>
        <w:t xml:space="preserve"> one another.  The legislature wanted to remedy the problems encountered by women who had married under the regime of separation of property, make up for the ineffectiveness of the compensatory allowance and redefine marriage.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First, as Baudouin J.A. of the Quebec Court of Appeal explained in a decision rendered shortly after the creation of the family patrimony,</w:t>
      </w:r>
    </w:p>
    <w:p w:rsidR="004862B9" w:rsidRDefault="004862B9" w:rsidP="00835399">
      <w:pPr>
        <w:pStyle w:val="Citation-AltC"/>
        <w:tabs>
          <w:tab w:val="left" w:pos="1440"/>
        </w:tabs>
        <w:ind w:hanging="1166"/>
        <w:rPr>
          <w:szCs w:val="24"/>
          <w:lang w:val="en-CA"/>
        </w:rPr>
      </w:pPr>
      <w:r w:rsidRPr="00FA5D7E">
        <w:rPr>
          <w:szCs w:val="24"/>
          <w:lang w:val="en-CA"/>
        </w:rPr>
        <w:tab/>
      </w:r>
      <w:r w:rsidRPr="00FA5D7E">
        <w:rPr>
          <w:szCs w:val="24"/>
          <w:lang w:val="en-CA"/>
        </w:rPr>
        <w:tab/>
        <w:t>[</w:t>
      </w:r>
      <w:r w:rsidRPr="00FA5D7E">
        <w:rPr>
          <w:smallCaps/>
          <w:szCs w:val="24"/>
          <w:lang w:val="en-CA"/>
        </w:rPr>
        <w:t>translation</w:t>
      </w:r>
      <w:r w:rsidRPr="00FA5D7E">
        <w:rPr>
          <w:szCs w:val="24"/>
          <w:lang w:val="en-CA"/>
        </w:rPr>
        <w:t xml:space="preserve">]  [b]y </w:t>
      </w:r>
      <w:r w:rsidRPr="00835399">
        <w:rPr>
          <w:lang w:val="en-US"/>
        </w:rPr>
        <w:t>introducing</w:t>
      </w:r>
      <w:r w:rsidRPr="00FA5D7E">
        <w:rPr>
          <w:szCs w:val="24"/>
          <w:lang w:val="en-CA"/>
        </w:rPr>
        <w:t xml:space="preserve"> into our law the partition of the family patrimony (</w:t>
      </w:r>
      <w:r w:rsidRPr="00FA5D7E">
        <w:rPr>
          <w:i/>
          <w:szCs w:val="24"/>
          <w:lang w:val="en-CA"/>
        </w:rPr>
        <w:t>An Act to amend the Civil Code of Québec and other legislation in order to favour economic equality between spouses</w:t>
      </w:r>
      <w:r w:rsidR="00517A9E">
        <w:rPr>
          <w:szCs w:val="24"/>
          <w:lang w:val="en-CA"/>
        </w:rPr>
        <w:t xml:space="preserve"> [S.Q. 1989, c. 55]</w:t>
      </w:r>
      <w:r w:rsidR="00E30E7B">
        <w:rPr>
          <w:szCs w:val="24"/>
          <w:lang w:val="en-CA"/>
        </w:rPr>
        <w:t>)</w:t>
      </w:r>
      <w:r w:rsidRPr="00FA5D7E">
        <w:rPr>
          <w:szCs w:val="24"/>
          <w:lang w:val="en-CA"/>
        </w:rPr>
        <w:t xml:space="preserve">, the legislature intended to remedy injustices that could be suffered by a certain category of married women and to recognize the value of work done in the home.  Upon divorce or separation from bed and board, women who were married under the regime of separation of property were sometimes severely disadvantaged from an economic standpoint when the time came to liquidate the patrimony accumulated while the spouses were living together. </w:t>
      </w:r>
    </w:p>
    <w:p w:rsidR="00835399" w:rsidRPr="00FA5D7E" w:rsidRDefault="00835399" w:rsidP="00835399">
      <w:pPr>
        <w:pStyle w:val="Citation-AltC"/>
        <w:tabs>
          <w:tab w:val="left" w:pos="1440"/>
        </w:tabs>
        <w:ind w:hanging="1166"/>
        <w:rPr>
          <w:szCs w:val="24"/>
          <w:lang w:val="en-CA"/>
        </w:rPr>
      </w:pPr>
    </w:p>
    <w:p w:rsidR="004862B9" w:rsidRDefault="004862B9" w:rsidP="00835399">
      <w:pPr>
        <w:pStyle w:val="Citation-AltC"/>
        <w:tabs>
          <w:tab w:val="left" w:pos="1440"/>
        </w:tabs>
        <w:ind w:hanging="1166"/>
        <w:rPr>
          <w:szCs w:val="24"/>
          <w:lang w:val="en-CA"/>
        </w:rPr>
      </w:pPr>
      <w:r w:rsidRPr="00FA5D7E">
        <w:rPr>
          <w:szCs w:val="24"/>
          <w:lang w:val="en-CA"/>
        </w:rPr>
        <w:tab/>
      </w:r>
      <w:r w:rsidRPr="00FA5D7E">
        <w:rPr>
          <w:szCs w:val="24"/>
          <w:lang w:val="en-CA"/>
        </w:rPr>
        <w:tab/>
        <w:t xml:space="preserve">Through Bill 146, </w:t>
      </w:r>
      <w:r w:rsidRPr="002214BE">
        <w:rPr>
          <w:lang w:val="en-US"/>
        </w:rPr>
        <w:t>the</w:t>
      </w:r>
      <w:r w:rsidRPr="00FA5D7E">
        <w:rPr>
          <w:szCs w:val="24"/>
          <w:lang w:val="en-CA"/>
        </w:rPr>
        <w:t xml:space="preserve"> legislature wanted to correct the sometimes </w:t>
      </w:r>
      <w:r w:rsidRPr="002214BE">
        <w:rPr>
          <w:lang w:val="en-US"/>
        </w:rPr>
        <w:t>perverse</w:t>
      </w:r>
      <w:r w:rsidRPr="00FA5D7E">
        <w:rPr>
          <w:szCs w:val="24"/>
          <w:lang w:val="en-CA"/>
        </w:rPr>
        <w:t xml:space="preserve"> effects of choosing the regime of separation of property . . . .</w:t>
      </w:r>
    </w:p>
    <w:p w:rsidR="00835399" w:rsidRPr="00FA5D7E" w:rsidRDefault="00835399" w:rsidP="00835399">
      <w:pPr>
        <w:pStyle w:val="Citation-AltC"/>
        <w:tabs>
          <w:tab w:val="left" w:pos="1440"/>
        </w:tabs>
        <w:ind w:hanging="1166"/>
        <w:rPr>
          <w:szCs w:val="24"/>
          <w:lang w:val="en-CA"/>
        </w:rPr>
      </w:pPr>
    </w:p>
    <w:p w:rsidR="004862B9" w:rsidRDefault="004862B9" w:rsidP="00835399">
      <w:pPr>
        <w:pStyle w:val="Citation-AltC"/>
        <w:tabs>
          <w:tab w:val="left" w:pos="1440"/>
        </w:tabs>
        <w:ind w:hanging="1166"/>
        <w:rPr>
          <w:szCs w:val="24"/>
          <w:lang w:val="en-CA"/>
        </w:rPr>
      </w:pPr>
      <w:r w:rsidRPr="00FA5D7E">
        <w:rPr>
          <w:szCs w:val="24"/>
          <w:lang w:val="en-CA"/>
        </w:rPr>
        <w:tab/>
      </w:r>
      <w:r w:rsidRPr="00FA5D7E">
        <w:rPr>
          <w:szCs w:val="24"/>
          <w:lang w:val="en-CA"/>
        </w:rPr>
        <w:tab/>
        <w:t>Indeed, these injustices had sometimes</w:t>
      </w:r>
      <w:r w:rsidR="00517A9E">
        <w:rPr>
          <w:szCs w:val="24"/>
          <w:lang w:val="en-CA"/>
        </w:rPr>
        <w:t xml:space="preserve"> been pointed out by this </w:t>
      </w:r>
      <w:r w:rsidR="00517A9E" w:rsidRPr="00835399">
        <w:rPr>
          <w:lang w:val="en-US"/>
        </w:rPr>
        <w:t>Court</w:t>
      </w:r>
      <w:r w:rsidRPr="00FA5D7E">
        <w:rPr>
          <w:szCs w:val="24"/>
          <w:lang w:val="en-CA"/>
        </w:rPr>
        <w:t xml:space="preserve"> </w:t>
      </w:r>
      <w:r w:rsidR="00517A9E">
        <w:rPr>
          <w:szCs w:val="24"/>
          <w:lang w:val="en-CA"/>
        </w:rPr>
        <w:t>[</w:t>
      </w:r>
      <w:r w:rsidRPr="00FA5D7E">
        <w:rPr>
          <w:i/>
          <w:szCs w:val="24"/>
          <w:lang w:val="en-CA"/>
        </w:rPr>
        <w:t>Droit de la famille — 67</w:t>
      </w:r>
      <w:r w:rsidRPr="00FA5D7E">
        <w:rPr>
          <w:szCs w:val="24"/>
          <w:lang w:val="en-CA"/>
        </w:rPr>
        <w:t>, [1985] C.A. 135], which had always found that, in the absence of specific provisions on this point, the courts had no power to change the freely chosen matrimonial regime to alleviate such inequities.</w:t>
      </w:r>
    </w:p>
    <w:p w:rsidR="00835399" w:rsidRPr="00FA5D7E" w:rsidRDefault="00835399" w:rsidP="00835399">
      <w:pPr>
        <w:pStyle w:val="Citation-AltC"/>
        <w:tabs>
          <w:tab w:val="left" w:pos="1440"/>
        </w:tabs>
        <w:ind w:hanging="1166"/>
        <w:rPr>
          <w:szCs w:val="24"/>
          <w:lang w:val="en-CA"/>
        </w:rPr>
      </w:pPr>
    </w:p>
    <w:p w:rsidR="004862B9" w:rsidRPr="00FA5D7E" w:rsidRDefault="004862B9" w:rsidP="00835399">
      <w:pPr>
        <w:pStyle w:val="Citation-AltC"/>
        <w:ind w:left="0"/>
        <w:rPr>
          <w:szCs w:val="24"/>
        </w:rPr>
      </w:pPr>
      <w:r w:rsidRPr="00FA5D7E">
        <w:rPr>
          <w:szCs w:val="24"/>
        </w:rPr>
        <w:t>(</w:t>
      </w:r>
      <w:r w:rsidRPr="00FA5D7E">
        <w:rPr>
          <w:i/>
          <w:szCs w:val="24"/>
        </w:rPr>
        <w:t>Droit de la famille — 977</w:t>
      </w:r>
      <w:r w:rsidRPr="00FA5D7E">
        <w:rPr>
          <w:szCs w:val="24"/>
        </w:rPr>
        <w:t>, [1991] R.J.Q. 904, at pp. 907</w:t>
      </w:r>
      <w:r w:rsidRPr="00FA5D7E">
        <w:rPr>
          <w:szCs w:val="24"/>
        </w:rPr>
        <w:noBreakHyphen/>
        <w:t xml:space="preserve">8; see also Tétrault, </w:t>
      </w:r>
      <w:r w:rsidRPr="00FA5D7E">
        <w:rPr>
          <w:i/>
          <w:szCs w:val="24"/>
        </w:rPr>
        <w:t>Droit de la famille</w:t>
      </w:r>
      <w:r w:rsidRPr="00FA5D7E">
        <w:rPr>
          <w:szCs w:val="24"/>
        </w:rPr>
        <w:t>, at pp. 152</w:t>
      </w:r>
      <w:r w:rsidRPr="00FA5D7E">
        <w:rPr>
          <w:szCs w:val="24"/>
        </w:rPr>
        <w:noBreakHyphen/>
        <w:t>53; Roy, “Le contrat de mariage en droit québécois:  un destin marqué du sceau du paradoxe”, at pp. 668</w:t>
      </w:r>
      <w:r w:rsidRPr="00FA5D7E">
        <w:rPr>
          <w:szCs w:val="24"/>
        </w:rPr>
        <w:noBreakHyphen/>
        <w:t xml:space="preserve">69; Roy, “Le régime juridique de l’union civile:  entre symbolisme et anachronisme”, at p. 180; E. Caparros, “Le patrimoine familial: une qualification difficile” (1994), 25 </w:t>
      </w:r>
      <w:r w:rsidRPr="00FA5D7E">
        <w:rPr>
          <w:i/>
          <w:szCs w:val="24"/>
        </w:rPr>
        <w:t>R.G.D.</w:t>
      </w:r>
      <w:r w:rsidRPr="00FA5D7E">
        <w:rPr>
          <w:szCs w:val="24"/>
        </w:rPr>
        <w:t xml:space="preserve"> 251, at p. 253.)</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As well, spouses who had previously chosen the regime of separation of property now had a claim on the value of the family patrimony.  The legislature was, in a sense, giving wives an opportunity to change the impact of the choice of matrimonial regime they had made in the past by making the regime of separation of property inapplicable to a large portion of the family patrimony, which now became subject to a form of partition.  However, this change was not irrevocable, since a wife could choose to renounce her rights in the family patrimony upon the dissolution of their union (art. 423 </w:t>
      </w:r>
      <w:r w:rsidRPr="00FA5D7E">
        <w:rPr>
          <w:rFonts w:cs="Times New Roman"/>
          <w:i/>
          <w:szCs w:val="24"/>
        </w:rPr>
        <w:t>C.C.Q.</w:t>
      </w:r>
      <w:r w:rsidRPr="00FA5D7E">
        <w:rPr>
          <w:rFonts w:cs="Times New Roman"/>
          <w:szCs w:val="24"/>
        </w:rPr>
        <w:t>).</w:t>
      </w:r>
    </w:p>
    <w:p w:rsidR="004862B9" w:rsidRPr="00851923" w:rsidRDefault="004862B9" w:rsidP="00815D04">
      <w:pPr>
        <w:pStyle w:val="ParaNoNdepar-AltN"/>
        <w:tabs>
          <w:tab w:val="clear" w:pos="1166"/>
          <w:tab w:val="num" w:pos="1152"/>
        </w:tabs>
        <w:ind w:left="0"/>
        <w:rPr>
          <w:rFonts w:cs="Times New Roman"/>
          <w:szCs w:val="24"/>
          <w:lang w:val="fr-CA"/>
        </w:rPr>
      </w:pPr>
      <w:r w:rsidRPr="00FA5D7E">
        <w:rPr>
          <w:rFonts w:cs="Times New Roman"/>
          <w:szCs w:val="24"/>
        </w:rPr>
        <w:t xml:space="preserve">Second, “[t]hat Act represented a partial response to the disappointment and difficulties that had resulted from the implementation of the compensatory allowance in the years prior to its enactment”:  </w:t>
      </w:r>
      <w:r w:rsidRPr="00FA5D7E">
        <w:rPr>
          <w:rFonts w:cs="Times New Roman"/>
          <w:i/>
          <w:szCs w:val="24"/>
        </w:rPr>
        <w:t>M.T. v</w:t>
      </w:r>
      <w:r w:rsidRPr="00FA5D7E">
        <w:rPr>
          <w:rFonts w:cs="Times New Roman"/>
          <w:i/>
          <w:iCs/>
          <w:szCs w:val="24"/>
        </w:rPr>
        <w:t>.</w:t>
      </w:r>
      <w:r w:rsidRPr="00FA5D7E">
        <w:rPr>
          <w:rFonts w:cs="Times New Roman"/>
          <w:i/>
          <w:szCs w:val="24"/>
        </w:rPr>
        <w:t xml:space="preserve"> J.</w:t>
      </w:r>
      <w:r w:rsidRPr="00FA5D7E">
        <w:rPr>
          <w:rFonts w:cs="Times New Roman"/>
          <w:i/>
          <w:szCs w:val="24"/>
        </w:rPr>
        <w:noBreakHyphen/>
        <w:t>Y.T.</w:t>
      </w:r>
      <w:r w:rsidRPr="00FA5D7E">
        <w:rPr>
          <w:rFonts w:cs="Times New Roman"/>
          <w:szCs w:val="24"/>
        </w:rPr>
        <w:t>, at para. </w:t>
      </w:r>
      <w:r w:rsidRPr="00851923">
        <w:rPr>
          <w:rFonts w:cs="Times New Roman"/>
          <w:szCs w:val="24"/>
          <w:lang w:val="fr-CA"/>
        </w:rPr>
        <w:t>17; see also L. Langevin, “Liberté de choix et protection juridique des conjoints de fait en cas de rupture:  difficile exercice de jonglerie” (2009), 54 </w:t>
      </w:r>
      <w:r w:rsidRPr="00851923">
        <w:rPr>
          <w:rFonts w:cs="Times New Roman"/>
          <w:i/>
          <w:szCs w:val="24"/>
          <w:lang w:val="fr-CA"/>
        </w:rPr>
        <w:t>McGill L.J.</w:t>
      </w:r>
      <w:r w:rsidRPr="00851923">
        <w:rPr>
          <w:rFonts w:cs="Times New Roman"/>
          <w:szCs w:val="24"/>
          <w:lang w:val="fr-CA"/>
        </w:rPr>
        <w:t xml:space="preserve"> 697, at p. 714; Lefebvre, at p. 17.</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Third, the legislature redefined marriage by means of the Act.  From the time the Act came into force, marriage became not only a union of persons, but also an egalitarian economic union with a number of patrimonial consequences.  In </w:t>
      </w:r>
      <w:r w:rsidRPr="00FA5D7E">
        <w:rPr>
          <w:rFonts w:cs="Times New Roman"/>
          <w:i/>
          <w:szCs w:val="24"/>
        </w:rPr>
        <w:t>M.T. v</w:t>
      </w:r>
      <w:r w:rsidRPr="00FA5D7E">
        <w:rPr>
          <w:rFonts w:cs="Times New Roman"/>
          <w:i/>
          <w:iCs/>
          <w:szCs w:val="24"/>
        </w:rPr>
        <w:t>.</w:t>
      </w:r>
      <w:r w:rsidRPr="00FA5D7E">
        <w:rPr>
          <w:rFonts w:cs="Times New Roman"/>
          <w:i/>
          <w:szCs w:val="24"/>
        </w:rPr>
        <w:t xml:space="preserve"> J.</w:t>
      </w:r>
      <w:r w:rsidRPr="00FA5D7E">
        <w:rPr>
          <w:rFonts w:cs="Times New Roman"/>
          <w:i/>
          <w:szCs w:val="24"/>
        </w:rPr>
        <w:noBreakHyphen/>
        <w:t>Y.T.</w:t>
      </w:r>
      <w:r w:rsidRPr="00FA5D7E">
        <w:rPr>
          <w:rFonts w:cs="Times New Roman"/>
          <w:szCs w:val="24"/>
        </w:rPr>
        <w:t>, I elaborated on the basis for the legislature’s objective in introducing the family patrimony:</w:t>
      </w:r>
    </w:p>
    <w:p w:rsidR="004862B9" w:rsidRDefault="004862B9" w:rsidP="001F4CC7">
      <w:pPr>
        <w:pStyle w:val="Citation-AltC"/>
        <w:tabs>
          <w:tab w:val="left" w:pos="1620"/>
        </w:tabs>
        <w:ind w:hanging="1166"/>
        <w:rPr>
          <w:szCs w:val="24"/>
          <w:lang w:val="en-CA"/>
        </w:rPr>
      </w:pPr>
      <w:r w:rsidRPr="00FA5D7E">
        <w:rPr>
          <w:szCs w:val="24"/>
          <w:lang w:val="en-CA"/>
        </w:rPr>
        <w:tab/>
        <w:t xml:space="preserve">Marriage represents, first and foremost, a union of persons.  However, the legislature also wanted it to be </w:t>
      </w:r>
      <w:r w:rsidRPr="00FA5D7E">
        <w:rPr>
          <w:szCs w:val="24"/>
          <w:u w:val="single"/>
          <w:lang w:val="en-CA"/>
        </w:rPr>
        <w:t>a partial economic union</w:t>
      </w:r>
      <w:r w:rsidRPr="00FA5D7E">
        <w:rPr>
          <w:szCs w:val="24"/>
          <w:lang w:val="en-CA"/>
        </w:rPr>
        <w:t xml:space="preserve"> or </w:t>
      </w:r>
      <w:r w:rsidRPr="00FA5D7E">
        <w:rPr>
          <w:szCs w:val="24"/>
          <w:u w:val="single"/>
          <w:lang w:val="en-CA"/>
        </w:rPr>
        <w:t>an association of interests</w:t>
      </w:r>
      <w:r w:rsidRPr="00FA5D7E">
        <w:rPr>
          <w:szCs w:val="24"/>
          <w:lang w:val="en-CA"/>
        </w:rPr>
        <w:t xml:space="preserve"> (D. Burman and J. Pineau, </w:t>
      </w:r>
      <w:r w:rsidRPr="00FA5D7E">
        <w:rPr>
          <w:i/>
          <w:szCs w:val="24"/>
          <w:lang w:val="en-CA"/>
        </w:rPr>
        <w:t>Le “patrimoine familial” (projet de loi 146)</w:t>
      </w:r>
      <w:r w:rsidRPr="00FA5D7E">
        <w:rPr>
          <w:szCs w:val="24"/>
          <w:lang w:val="en-CA"/>
        </w:rPr>
        <w:t xml:space="preserve"> (1991), No. 31).  The adoption of the partnership of acquests as the suppletive matrimonial regime that is to apply unless the spouses make another choice shows that this is what the legislature intended.  The creation of the family patrimony confirms that intention even more clearly.</w:t>
      </w:r>
    </w:p>
    <w:p w:rsidR="00835399" w:rsidRPr="00FA5D7E" w:rsidRDefault="00835399" w:rsidP="00835399">
      <w:pPr>
        <w:pStyle w:val="Citation-AltC"/>
        <w:tabs>
          <w:tab w:val="left" w:pos="1440"/>
        </w:tabs>
        <w:ind w:hanging="1166"/>
        <w:rPr>
          <w:szCs w:val="24"/>
          <w:lang w:val="en-CA"/>
        </w:rPr>
      </w:pPr>
    </w:p>
    <w:p w:rsidR="004862B9" w:rsidRPr="00FA5D7E" w:rsidRDefault="004862B9" w:rsidP="001F4CC7">
      <w:pPr>
        <w:pStyle w:val="Citation-AltC"/>
        <w:tabs>
          <w:tab w:val="left" w:pos="1620"/>
        </w:tabs>
        <w:ind w:hanging="1166"/>
        <w:rPr>
          <w:szCs w:val="24"/>
          <w:lang w:val="en-CA"/>
        </w:rPr>
      </w:pPr>
      <w:r w:rsidRPr="00FA5D7E">
        <w:rPr>
          <w:szCs w:val="24"/>
          <w:lang w:val="en-CA"/>
        </w:rPr>
        <w:tab/>
      </w:r>
      <w:r w:rsidRPr="00FA5D7E">
        <w:rPr>
          <w:szCs w:val="24"/>
          <w:lang w:val="en-CA"/>
        </w:rPr>
        <w:tab/>
      </w:r>
      <w:r w:rsidRPr="00FA5D7E">
        <w:rPr>
          <w:szCs w:val="24"/>
          <w:u w:val="single"/>
          <w:lang w:val="en-CA"/>
        </w:rPr>
        <w:t>Marriage results in the establishment of a form of economic union</w:t>
      </w:r>
      <w:r w:rsidRPr="00FA5D7E">
        <w:rPr>
          <w:szCs w:val="24"/>
          <w:lang w:val="en-CA"/>
        </w:rPr>
        <w:t xml:space="preserve"> to which both spouses must contribute as best they can (Kasirer, at p. 572).  Article 396 </w:t>
      </w:r>
      <w:r w:rsidRPr="00FA5D7E">
        <w:rPr>
          <w:i/>
          <w:szCs w:val="24"/>
          <w:lang w:val="en-CA"/>
        </w:rPr>
        <w:t>C.C.Q.</w:t>
      </w:r>
      <w:r w:rsidRPr="00FA5D7E">
        <w:rPr>
          <w:szCs w:val="24"/>
          <w:lang w:val="en-CA"/>
        </w:rPr>
        <w:t xml:space="preserve"> clearly imposes on the spouses a legal obligation to contribute toward the expenses of the marriage “in proportion to their respective means”.  It also provides that “[t]he spouses may make their respective contributions by their activities within the home.”  The law is not really concerned with the size or nature of the contributions, and in fact presumes them to be equal (</w:t>
      </w:r>
      <w:r w:rsidRPr="00FA5D7E">
        <w:rPr>
          <w:i/>
          <w:szCs w:val="24"/>
          <w:lang w:val="en-CA"/>
        </w:rPr>
        <w:t>Droit de la famille — 1893</w:t>
      </w:r>
      <w:r w:rsidRPr="00FA5D7E">
        <w:rPr>
          <w:szCs w:val="24"/>
          <w:lang w:val="en-CA"/>
        </w:rPr>
        <w:t>, [1993] R.J.Q. 2806 (C.A.), at p. 2809).  [Emphasis added; paras. 21</w:t>
      </w:r>
      <w:r w:rsidRPr="00FA5D7E">
        <w:rPr>
          <w:szCs w:val="24"/>
          <w:lang w:val="en-CA"/>
        </w:rPr>
        <w:noBreakHyphen/>
        <w:t>22.]</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As a result of this reform, spouses who decided to marry were required to accept [</w:t>
      </w:r>
      <w:r w:rsidRPr="00FA5D7E">
        <w:rPr>
          <w:rFonts w:cs="Times New Roman"/>
          <w:smallCaps/>
          <w:szCs w:val="24"/>
        </w:rPr>
        <w:t>translation</w:t>
      </w:r>
      <w:r w:rsidRPr="00FA5D7E">
        <w:rPr>
          <w:rFonts w:cs="Times New Roman"/>
          <w:szCs w:val="24"/>
        </w:rPr>
        <w:t xml:space="preserve">] “a partnership model” (B. Moore, “Culture et droit de la famille: de l’institution à l’autonomie individuelle” (2009), 54 </w:t>
      </w:r>
      <w:r w:rsidRPr="00FA5D7E">
        <w:rPr>
          <w:rFonts w:cs="Times New Roman"/>
          <w:i/>
          <w:szCs w:val="24"/>
        </w:rPr>
        <w:t>McGill L.J.</w:t>
      </w:r>
      <w:r w:rsidRPr="00FA5D7E">
        <w:rPr>
          <w:rFonts w:cs="Times New Roman"/>
          <w:szCs w:val="24"/>
        </w:rPr>
        <w:t xml:space="preserve"> 257, at p. 268) that involved a willingness to partition: </w:t>
      </w:r>
      <w:r w:rsidRPr="00FA5D7E">
        <w:rPr>
          <w:rFonts w:cs="Times New Roman"/>
          <w:i/>
          <w:szCs w:val="24"/>
        </w:rPr>
        <w:t>Droit de la famille — 977</w:t>
      </w:r>
      <w:r w:rsidRPr="00FA5D7E">
        <w:rPr>
          <w:rFonts w:cs="Times New Roman"/>
          <w:szCs w:val="24"/>
        </w:rPr>
        <w:t>, at p. 908.  It can therefore be concluded that [</w:t>
      </w:r>
      <w:r w:rsidRPr="00FA5D7E">
        <w:rPr>
          <w:rFonts w:cs="Times New Roman"/>
          <w:smallCaps/>
          <w:szCs w:val="24"/>
        </w:rPr>
        <w:t>translation</w:t>
      </w:r>
      <w:r w:rsidRPr="00FA5D7E">
        <w:rPr>
          <w:rFonts w:cs="Times New Roman"/>
          <w:szCs w:val="24"/>
        </w:rPr>
        <w:t xml:space="preserve">] “[i]n 1989, [the legislature] transformed marriage into a primarily economic partnership by creating a family patrimony”:  M. Tétrault, “L’union civile: j’me marie, j’me marie pas”, in Lafond and Lefebvre, 101, at p. 111.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In Quebec, marriage thus became not only a union, but also, “as this Court held in </w:t>
      </w:r>
      <w:r w:rsidRPr="00FA5D7E">
        <w:rPr>
          <w:rFonts w:cs="Times New Roman"/>
          <w:i/>
          <w:szCs w:val="24"/>
        </w:rPr>
        <w:t xml:space="preserve">Moge </w:t>
      </w:r>
      <w:r w:rsidRPr="00FA5D7E">
        <w:rPr>
          <w:rFonts w:cs="Times New Roman"/>
          <w:szCs w:val="24"/>
        </w:rPr>
        <w:t>(at p. 870), . . . a ‘joint endeavour’, a socio</w:t>
      </w:r>
      <w:r w:rsidRPr="00FA5D7E">
        <w:rPr>
          <w:rFonts w:cs="Times New Roman"/>
          <w:szCs w:val="24"/>
        </w:rPr>
        <w:noBreakHyphen/>
        <w:t xml:space="preserve">economic partnership”:  </w:t>
      </w:r>
      <w:r w:rsidRPr="00FA5D7E">
        <w:rPr>
          <w:rFonts w:cs="Times New Roman"/>
          <w:i/>
          <w:szCs w:val="24"/>
        </w:rPr>
        <w:t>Bracklow v. Bracklow</w:t>
      </w:r>
      <w:r w:rsidRPr="00FA5D7E">
        <w:rPr>
          <w:rFonts w:cs="Times New Roman"/>
          <w:szCs w:val="24"/>
        </w:rPr>
        <w:t>, [1999] 1 S.C.R. 420, at para. 49.  From the time of the legislative reform in which the family patrimony was created, any person who chose to marry was deemed to want to create this socio</w:t>
      </w:r>
      <w:r w:rsidRPr="00FA5D7E">
        <w:rPr>
          <w:rFonts w:cs="Times New Roman"/>
          <w:szCs w:val="24"/>
        </w:rPr>
        <w:noBreakHyphen/>
        <w:t xml:space="preserve">economic partnership on the basis of a number of provisions of public order that established the effects of marriage, such as those governing acts involving the family residence and the spouses’ proportional contributions to the expenses of the marriage.  In return for this obligation to form an economic partnership, the new definition of marriage provided for mechanisms of public order to apportion the patrimonial consequences of dissolution of the partnership, such as the partition of the family patrimony and the awarding of support following the breakdown of the marriage.  Conversely, persons who did not wish to be subject to these effects or to create a joint endeavour or economic union with a partially predetermined content could choose to remain in a </w:t>
      </w:r>
      <w:r w:rsidRPr="00FA5D7E">
        <w:rPr>
          <w:rFonts w:cs="Times New Roman"/>
          <w:i/>
          <w:szCs w:val="24"/>
        </w:rPr>
        <w:t>de facto</w:t>
      </w:r>
      <w:r w:rsidRPr="00FA5D7E">
        <w:rPr>
          <w:rFonts w:cs="Times New Roman"/>
          <w:szCs w:val="24"/>
        </w:rPr>
        <w:t xml:space="preserve"> union outside marriage.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In sum, whereas the legislature’s first two objectives in introducing the family patrimony related to the existing economic context, its third objective was decidedly forward</w:t>
      </w:r>
      <w:r w:rsidRPr="00FA5D7E">
        <w:rPr>
          <w:rFonts w:cs="Times New Roman"/>
          <w:szCs w:val="24"/>
        </w:rPr>
        <w:noBreakHyphen/>
        <w:t>looking, as it proposed a new definition of marriage, which now included an economic union or partnership. </w:t>
      </w:r>
    </w:p>
    <w:p w:rsidR="004862B9" w:rsidRPr="00FA5D7E" w:rsidRDefault="004862B9" w:rsidP="00835399">
      <w:pPr>
        <w:pStyle w:val="TitleTitre-AltT"/>
        <w:tabs>
          <w:tab w:val="clear" w:pos="360"/>
          <w:tab w:val="left" w:pos="1170"/>
          <w:tab w:val="left" w:pos="1800"/>
        </w:tabs>
        <w:ind w:left="1800" w:hanging="1620"/>
        <w:rPr>
          <w:rFonts w:cs="Times New Roman"/>
          <w:szCs w:val="24"/>
          <w:lang w:val="en-CA"/>
        </w:rPr>
      </w:pPr>
      <w:r w:rsidRPr="00FA5D7E">
        <w:rPr>
          <w:rFonts w:cs="Times New Roman"/>
          <w:szCs w:val="24"/>
          <w:lang w:val="en-CA"/>
        </w:rPr>
        <w:tab/>
        <w:t>(b)</w:t>
      </w:r>
      <w:r w:rsidRPr="00FA5D7E">
        <w:rPr>
          <w:rFonts w:cs="Times New Roman"/>
          <w:szCs w:val="24"/>
          <w:lang w:val="en-CA"/>
        </w:rPr>
        <w:tab/>
      </w:r>
      <w:r w:rsidRPr="00FA5D7E">
        <w:rPr>
          <w:rFonts w:cs="Times New Roman"/>
          <w:i/>
          <w:szCs w:val="24"/>
          <w:lang w:val="en-CA"/>
        </w:rPr>
        <w:t>Legal Framework for Marriage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As a result of the reforms outlined above, marriage is now subject to a legal framework that governs the mutual relationships of spouses.  This framework is made up of a primary regime and a legal or conventional matrimonial regime the effects of which are felt both during the marriage and when it ends.  However, before looking at the effects of each of these regimes during and after marriage, I note that, aside from the death of a spouse, marriage can end as a result of separation from bed and board under the </w:t>
      </w:r>
      <w:r w:rsidRPr="00FA5D7E">
        <w:rPr>
          <w:rFonts w:cs="Times New Roman"/>
          <w:i/>
          <w:szCs w:val="24"/>
        </w:rPr>
        <w:t>Civil Code of Québec</w:t>
      </w:r>
      <w:r w:rsidRPr="00FA5D7E">
        <w:rPr>
          <w:rFonts w:cs="Times New Roman"/>
          <w:szCs w:val="24"/>
        </w:rPr>
        <w:t xml:space="preserve"> or divorce under the </w:t>
      </w:r>
      <w:r w:rsidRPr="00FA5D7E">
        <w:rPr>
          <w:rFonts w:cs="Times New Roman"/>
          <w:i/>
          <w:szCs w:val="24"/>
        </w:rPr>
        <w:t>Divorce Act</w:t>
      </w:r>
      <w:r w:rsidRPr="00FA5D7E">
        <w:rPr>
          <w:rFonts w:cs="Times New Roman"/>
          <w:szCs w:val="24"/>
        </w:rPr>
        <w:t>, R.S.C. 1985, c. 3 (2nd Supp.).</w:t>
      </w:r>
    </w:p>
    <w:p w:rsidR="004862B9" w:rsidRPr="00FA5D7E" w:rsidRDefault="004862B9" w:rsidP="00835399">
      <w:pPr>
        <w:pStyle w:val="TitleTitre-AltT"/>
        <w:tabs>
          <w:tab w:val="clear" w:pos="360"/>
          <w:tab w:val="left" w:pos="1170"/>
          <w:tab w:val="left" w:pos="1800"/>
        </w:tabs>
        <w:ind w:left="1800" w:hanging="1800"/>
        <w:rPr>
          <w:rFonts w:cs="Times New Roman"/>
          <w:szCs w:val="24"/>
          <w:lang w:val="en-CA"/>
        </w:rPr>
      </w:pPr>
      <w:r w:rsidRPr="00FA5D7E">
        <w:rPr>
          <w:rFonts w:cs="Times New Roman"/>
          <w:szCs w:val="24"/>
          <w:lang w:val="en-CA"/>
        </w:rPr>
        <w:tab/>
        <w:t>(i)</w:t>
      </w:r>
      <w:r w:rsidRPr="00FA5D7E">
        <w:rPr>
          <w:rFonts w:cs="Times New Roman"/>
          <w:szCs w:val="24"/>
          <w:lang w:val="en-CA"/>
        </w:rPr>
        <w:tab/>
      </w:r>
      <w:r w:rsidRPr="00FA5D7E">
        <w:rPr>
          <w:rFonts w:cs="Times New Roman"/>
          <w:szCs w:val="24"/>
          <w:u w:val="single"/>
          <w:lang w:val="en-CA"/>
        </w:rPr>
        <w:t>Primary Regime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w:t>
      </w:r>
      <w:r w:rsidRPr="00FA5D7E">
        <w:rPr>
          <w:rFonts w:cs="Times New Roman"/>
          <w:i/>
          <w:szCs w:val="24"/>
        </w:rPr>
        <w:t>Civil Code of Québec</w:t>
      </w:r>
      <w:r w:rsidRPr="00FA5D7E">
        <w:rPr>
          <w:rFonts w:cs="Times New Roman"/>
          <w:szCs w:val="24"/>
        </w:rPr>
        <w:t xml:space="preserve"> establishes a primary regime in a chapter that defines the fundamental effects of marriage.  The provisions setting out these effects are mandatory, since the spouses may not derogate from or renounce them in a marriage contract:</w:t>
      </w:r>
    </w:p>
    <w:p w:rsidR="004862B9" w:rsidRPr="00FA5D7E" w:rsidRDefault="00835399" w:rsidP="00835399">
      <w:pPr>
        <w:pStyle w:val="Citation-AltC"/>
        <w:tabs>
          <w:tab w:val="left" w:pos="1620"/>
        </w:tabs>
        <w:ind w:left="1170" w:hanging="1170"/>
        <w:rPr>
          <w:szCs w:val="24"/>
          <w:lang w:val="en-CA"/>
        </w:rPr>
      </w:pPr>
      <w:r>
        <w:rPr>
          <w:b/>
          <w:szCs w:val="24"/>
          <w:lang w:val="en-CA"/>
        </w:rPr>
        <w:tab/>
      </w:r>
      <w:r>
        <w:rPr>
          <w:b/>
          <w:szCs w:val="24"/>
          <w:lang w:val="en-CA"/>
        </w:rPr>
        <w:tab/>
      </w:r>
      <w:r w:rsidR="004862B9" w:rsidRPr="00FA5D7E">
        <w:rPr>
          <w:b/>
          <w:szCs w:val="24"/>
          <w:lang w:val="en-CA"/>
        </w:rPr>
        <w:t>391.</w:t>
      </w:r>
      <w:r w:rsidR="004862B9" w:rsidRPr="00FA5D7E">
        <w:rPr>
          <w:szCs w:val="24"/>
          <w:lang w:val="en-CA"/>
        </w:rPr>
        <w:t>  In no case may spouses derogate from the provisions of this chapter, whatever their matrimonial regime.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primary regime thus governs certain aspects of the spouses’ relationship with one another and creates mutual rights, duties and obligations for the spouses.  During the marriage, the spouses “owe each other respect, fidelity, succour and assistance” and “are bound to live together” (art. 392, paras. 2 and 3 </w:t>
      </w:r>
      <w:r w:rsidRPr="00FA5D7E">
        <w:rPr>
          <w:rFonts w:cs="Times New Roman"/>
          <w:i/>
          <w:szCs w:val="24"/>
        </w:rPr>
        <w:t>C.C.Q.</w:t>
      </w:r>
      <w:r w:rsidRPr="00FA5D7E">
        <w:rPr>
          <w:rFonts w:cs="Times New Roman"/>
          <w:szCs w:val="24"/>
        </w:rPr>
        <w:t xml:space="preserve">).  “[They] together take in hand the moral and material direction of the family” (art. 394 </w:t>
      </w:r>
      <w:r w:rsidRPr="00FA5D7E">
        <w:rPr>
          <w:rFonts w:cs="Times New Roman"/>
          <w:i/>
          <w:szCs w:val="24"/>
        </w:rPr>
        <w:t>C.C.Q.</w:t>
      </w:r>
      <w:r w:rsidRPr="00FA5D7E">
        <w:rPr>
          <w:rFonts w:cs="Times New Roman"/>
          <w:szCs w:val="24"/>
        </w:rPr>
        <w:t xml:space="preserve">), they “choose the family residence together” (art. 395, para. 1 </w:t>
      </w:r>
      <w:r w:rsidRPr="00FA5D7E">
        <w:rPr>
          <w:rFonts w:cs="Times New Roman"/>
          <w:i/>
          <w:szCs w:val="24"/>
        </w:rPr>
        <w:t>C.C.Q.</w:t>
      </w:r>
      <w:r w:rsidRPr="00FA5D7E">
        <w:rPr>
          <w:rFonts w:cs="Times New Roman"/>
          <w:szCs w:val="24"/>
        </w:rPr>
        <w:t xml:space="preserve">) and they “contribute towards the expenses of the marriage in proportion to their respective means” (art. 396, para. 1 </w:t>
      </w:r>
      <w:r w:rsidRPr="00FA5D7E">
        <w:rPr>
          <w:rFonts w:cs="Times New Roman"/>
          <w:i/>
          <w:szCs w:val="24"/>
        </w:rPr>
        <w:t>C.C.Q.</w:t>
      </w:r>
      <w:r w:rsidRPr="00FA5D7E">
        <w:rPr>
          <w:rFonts w:cs="Times New Roman"/>
          <w:szCs w:val="24"/>
        </w:rPr>
        <w:t xml:space="preserve">).  And arts. 401 to 408 </w:t>
      </w:r>
      <w:r w:rsidRPr="00FA5D7E">
        <w:rPr>
          <w:rFonts w:cs="Times New Roman"/>
          <w:i/>
          <w:szCs w:val="24"/>
        </w:rPr>
        <w:t>C.C.Q.</w:t>
      </w:r>
      <w:r w:rsidRPr="00FA5D7E">
        <w:rPr>
          <w:rFonts w:cs="Times New Roman"/>
          <w:szCs w:val="24"/>
        </w:rPr>
        <w:t xml:space="preserve"> limit the exercise of each spouse’s right of ownership in the family residence and the movable property serving for the use of the household during the marriage.  Certain acts of alienation, hypothec and lease may not be performed by one spouse without the other spouse’s consent.  In addition, as we have seen, “[m]arriage entails the establishment of a family patrimony consisting of certain property of the spouses regardless of which of them holds a right of ownership in that property” (art. 414 </w:t>
      </w:r>
      <w:r w:rsidRPr="00FA5D7E">
        <w:rPr>
          <w:rFonts w:cs="Times New Roman"/>
          <w:i/>
          <w:szCs w:val="24"/>
        </w:rPr>
        <w:t>C.C.Q.</w:t>
      </w:r>
      <w:r w:rsidRPr="00FA5D7E">
        <w:rPr>
          <w:rFonts w:cs="Times New Roman"/>
          <w:szCs w:val="24"/>
        </w:rPr>
        <w:t>).</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Some of these duties are moral or extrapatrimonial in nature.  For example, the duty of assistance concerns a person’s obligation to support his or her spouse through affection, help, care and devotion:  M. D.</w:t>
      </w:r>
      <w:r w:rsidRPr="00FA5D7E">
        <w:rPr>
          <w:rFonts w:cs="Times New Roman"/>
          <w:szCs w:val="24"/>
        </w:rPr>
        <w:noBreakHyphen/>
        <w:t xml:space="preserve">Castelli and D. Goubau, </w:t>
      </w:r>
      <w:r w:rsidRPr="00FA5D7E">
        <w:rPr>
          <w:rFonts w:cs="Times New Roman"/>
          <w:i/>
          <w:szCs w:val="24"/>
        </w:rPr>
        <w:t>Le droit de la famille au Québec</w:t>
      </w:r>
      <w:r w:rsidRPr="00FA5D7E">
        <w:rPr>
          <w:rFonts w:cs="Times New Roman"/>
          <w:szCs w:val="24"/>
        </w:rPr>
        <w:t xml:space="preserve"> (5th ed. 2005), at pp. 98</w:t>
      </w:r>
      <w:r w:rsidRPr="00FA5D7E">
        <w:rPr>
          <w:rFonts w:cs="Times New Roman"/>
          <w:szCs w:val="24"/>
        </w:rPr>
        <w:noBreakHyphen/>
        <w:t xml:space="preserve">99; J. Pineau and M. Pratte, </w:t>
      </w:r>
      <w:r w:rsidRPr="00FA5D7E">
        <w:rPr>
          <w:rFonts w:cs="Times New Roman"/>
          <w:i/>
          <w:szCs w:val="24"/>
        </w:rPr>
        <w:t>La famille</w:t>
      </w:r>
      <w:r w:rsidRPr="00FA5D7E">
        <w:rPr>
          <w:rFonts w:cs="Times New Roman"/>
          <w:szCs w:val="24"/>
        </w:rPr>
        <w:t xml:space="preserve"> (2006), at p. 132; Tétrault, </w:t>
      </w:r>
      <w:r w:rsidRPr="00FA5D7E">
        <w:rPr>
          <w:rFonts w:cs="Times New Roman"/>
          <w:i/>
          <w:szCs w:val="24"/>
        </w:rPr>
        <w:t>Droit de la famille</w:t>
      </w:r>
      <w:r w:rsidRPr="00FA5D7E">
        <w:rPr>
          <w:rFonts w:cs="Times New Roman"/>
          <w:szCs w:val="24"/>
        </w:rPr>
        <w:t>, at pp. 134</w:t>
      </w:r>
      <w:r w:rsidRPr="00FA5D7E">
        <w:rPr>
          <w:rFonts w:cs="Times New Roman"/>
          <w:szCs w:val="24"/>
        </w:rPr>
        <w:noBreakHyphen/>
        <w:t>35; J.</w:t>
      </w:r>
      <w:r w:rsidRPr="00FA5D7E">
        <w:rPr>
          <w:rFonts w:cs="Times New Roman"/>
          <w:szCs w:val="24"/>
        </w:rPr>
        <w:noBreakHyphen/>
        <w:t xml:space="preserve">P. Senécal, </w:t>
      </w:r>
      <w:r w:rsidRPr="00FA5D7E">
        <w:rPr>
          <w:rFonts w:cs="Times New Roman"/>
          <w:i/>
          <w:szCs w:val="24"/>
        </w:rPr>
        <w:t>Droit de la famille québécois</w:t>
      </w:r>
      <w:r w:rsidRPr="00FA5D7E">
        <w:rPr>
          <w:rFonts w:cs="Times New Roman"/>
          <w:szCs w:val="24"/>
        </w:rPr>
        <w:t>, vol. 1 (loose</w:t>
      </w:r>
      <w:r w:rsidRPr="00FA5D7E">
        <w:rPr>
          <w:rFonts w:cs="Times New Roman"/>
          <w:szCs w:val="24"/>
        </w:rPr>
        <w:noBreakHyphen/>
        <w:t>leaf), ¶ 11</w:t>
      </w:r>
      <w:r w:rsidRPr="00FA5D7E">
        <w:rPr>
          <w:rFonts w:cs="Times New Roman"/>
          <w:szCs w:val="24"/>
        </w:rPr>
        <w:noBreakHyphen/>
        <w:t>615.</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The duty of succour is economic in nature and involves providing the other spouse with the resources or support required for subsistence on the basis of his or her needs:  Senécal, vol. 1, ¶ 11</w:t>
      </w:r>
      <w:r w:rsidRPr="00FA5D7E">
        <w:rPr>
          <w:rFonts w:cs="Times New Roman"/>
          <w:szCs w:val="24"/>
        </w:rPr>
        <w:noBreakHyphen/>
        <w:t>625; Pineau and Pratte, at pp. 132</w:t>
      </w:r>
      <w:r w:rsidRPr="00FA5D7E">
        <w:rPr>
          <w:rFonts w:cs="Times New Roman"/>
          <w:szCs w:val="24"/>
        </w:rPr>
        <w:noBreakHyphen/>
        <w:t>33 and 156</w:t>
      </w:r>
      <w:r w:rsidRPr="00FA5D7E">
        <w:rPr>
          <w:rFonts w:cs="Times New Roman"/>
          <w:szCs w:val="24"/>
        </w:rPr>
        <w:noBreakHyphen/>
        <w:t>57; D.</w:t>
      </w:r>
      <w:r w:rsidRPr="00FA5D7E">
        <w:rPr>
          <w:rFonts w:cs="Times New Roman"/>
          <w:szCs w:val="24"/>
        </w:rPr>
        <w:noBreakHyphen/>
        <w:t xml:space="preserve">Castelli and Goubau, at p. 99.  More specifically, it relates to the spouses’ </w:t>
      </w:r>
      <w:r w:rsidRPr="00FA5D7E">
        <w:rPr>
          <w:rFonts w:cs="Times New Roman"/>
          <w:i/>
          <w:szCs w:val="24"/>
        </w:rPr>
        <w:t>obligation of support</w:t>
      </w:r>
      <w:r w:rsidRPr="00FA5D7E">
        <w:rPr>
          <w:rFonts w:cs="Times New Roman"/>
          <w:szCs w:val="24"/>
        </w:rPr>
        <w:t xml:space="preserve"> to one another:  arts. 392 and 585 to 596.1 </w:t>
      </w:r>
      <w:r w:rsidRPr="00FA5D7E">
        <w:rPr>
          <w:rFonts w:cs="Times New Roman"/>
          <w:i/>
          <w:szCs w:val="24"/>
        </w:rPr>
        <w:t>C.C.Q.</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duty of succour lasts until the marriage is dissolved.  Since separation from bed and board — although it loosens the marital bond by releasing the spouses from the obligation to live together — does not terminate the marriage, it does not terminate the other effects of marriage, including the duty of succour: art. 507 </w:t>
      </w:r>
      <w:r w:rsidRPr="00FA5D7E">
        <w:rPr>
          <w:rFonts w:cs="Times New Roman"/>
          <w:i/>
          <w:szCs w:val="24"/>
        </w:rPr>
        <w:t>C.C.Q.</w:t>
      </w:r>
      <w:r w:rsidRPr="00FA5D7E">
        <w:rPr>
          <w:rFonts w:cs="Times New Roman"/>
          <w:szCs w:val="24"/>
        </w:rPr>
        <w:t xml:space="preserve">  This explains why a court granting a separation from bed and board may order either spouse to pay support to the other: art. 511 </w:t>
      </w:r>
      <w:r w:rsidRPr="00FA5D7E">
        <w:rPr>
          <w:rFonts w:cs="Times New Roman"/>
          <w:i/>
          <w:szCs w:val="24"/>
        </w:rPr>
        <w:t>C.C.Q.</w:t>
      </w:r>
      <w:r w:rsidRPr="00FA5D7E">
        <w:rPr>
          <w:rFonts w:cs="Times New Roman"/>
          <w:szCs w:val="24"/>
        </w:rPr>
        <w:t xml:space="preserve">  Since the duty of succour is based solely on the respective needs of the spouses, an award of support is never automatic but depends on each spouse’s needs and ability to pay:  arts. 512 and 587 </w:t>
      </w:r>
      <w:r w:rsidRPr="00FA5D7E">
        <w:rPr>
          <w:rFonts w:cs="Times New Roman"/>
          <w:i/>
          <w:szCs w:val="24"/>
        </w:rPr>
        <w:t>C.C.Q.</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Unlike separation from bed and board, divorce dissolves marriage: art. 516 </w:t>
      </w:r>
      <w:r w:rsidRPr="00FA5D7E">
        <w:rPr>
          <w:rFonts w:cs="Times New Roman"/>
          <w:i/>
          <w:szCs w:val="24"/>
        </w:rPr>
        <w:t>C.C.Q.</w:t>
      </w:r>
      <w:r w:rsidRPr="00FA5D7E">
        <w:rPr>
          <w:rFonts w:cs="Times New Roman"/>
          <w:szCs w:val="24"/>
        </w:rPr>
        <w:t xml:space="preserve">  This is why [</w:t>
      </w:r>
      <w:r w:rsidRPr="00FA5D7E">
        <w:rPr>
          <w:rFonts w:cs="Times New Roman"/>
          <w:smallCaps/>
          <w:szCs w:val="24"/>
        </w:rPr>
        <w:t>translation</w:t>
      </w:r>
      <w:r w:rsidRPr="00FA5D7E">
        <w:rPr>
          <w:rFonts w:cs="Times New Roman"/>
          <w:szCs w:val="24"/>
        </w:rPr>
        <w:t xml:space="preserve">] “in the context of a divorce . . . the right to support is no longer based on the duty of succour, which is an effect of marriage, but derives from ss. 15.2 and 17 [of the </w:t>
      </w:r>
      <w:r w:rsidRPr="00FA5D7E">
        <w:rPr>
          <w:rFonts w:cs="Times New Roman"/>
          <w:i/>
          <w:szCs w:val="24"/>
        </w:rPr>
        <w:t>Divorce Act</w:t>
      </w:r>
      <w:r w:rsidRPr="00FA5D7E">
        <w:rPr>
          <w:rFonts w:cs="Times New Roman"/>
          <w:szCs w:val="24"/>
        </w:rPr>
        <w:t>]”:  Senécal, vol. 2, ¶ 65</w:t>
      </w:r>
      <w:r w:rsidRPr="00FA5D7E">
        <w:rPr>
          <w:rFonts w:cs="Times New Roman"/>
          <w:szCs w:val="24"/>
        </w:rPr>
        <w:noBreakHyphen/>
        <w:t>770; see also Pineau and Pratte, at pp. 132</w:t>
      </w:r>
      <w:r w:rsidRPr="00FA5D7E">
        <w:rPr>
          <w:rFonts w:cs="Times New Roman"/>
          <w:szCs w:val="24"/>
        </w:rPr>
        <w:noBreakHyphen/>
        <w:t xml:space="preserve">33; </w:t>
      </w:r>
      <w:r w:rsidRPr="00FA5D7E">
        <w:rPr>
          <w:rFonts w:cs="Times New Roman"/>
          <w:i/>
          <w:szCs w:val="24"/>
        </w:rPr>
        <w:t>Bracklow</w:t>
      </w:r>
      <w:r w:rsidRPr="00FA5D7E">
        <w:rPr>
          <w:rFonts w:cs="Times New Roman"/>
          <w:szCs w:val="24"/>
        </w:rPr>
        <w:t>, at paras. 20</w:t>
      </w:r>
      <w:r w:rsidRPr="00FA5D7E">
        <w:rPr>
          <w:rFonts w:cs="Times New Roman"/>
          <w:szCs w:val="24"/>
        </w:rPr>
        <w:noBreakHyphen/>
        <w:t>21.  At this stage, a support award will depend on the condition, means, needs and other circumstances of each spouse, including the length of time the spouses cohabited and the functions performed by each spouse during cohabitation.</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In the event of separation from bed and board or of divorce, the primary regime has consequences other than a possible support award.  First, the value of the family patrimony is divided equally between the spouses: art. 416 </w:t>
      </w:r>
      <w:r w:rsidRPr="00FA5D7E">
        <w:rPr>
          <w:rFonts w:cs="Times New Roman"/>
          <w:i/>
          <w:szCs w:val="24"/>
        </w:rPr>
        <w:t>C.C.Q.</w:t>
      </w:r>
      <w:r w:rsidRPr="00FA5D7E">
        <w:rPr>
          <w:rFonts w:cs="Times New Roman"/>
          <w:szCs w:val="24"/>
        </w:rPr>
        <w:t xml:space="preserve">  Second, a compensatory allowance may be awarded by a court on the application of either spouse: art. 427 </w:t>
      </w:r>
      <w:r w:rsidRPr="00FA5D7E">
        <w:rPr>
          <w:rFonts w:cs="Times New Roman"/>
          <w:i/>
          <w:szCs w:val="24"/>
        </w:rPr>
        <w:t>C.C.Q.</w:t>
      </w:r>
      <w:r w:rsidRPr="00FA5D7E">
        <w:rPr>
          <w:rFonts w:cs="Times New Roman"/>
          <w:szCs w:val="24"/>
        </w:rPr>
        <w:t xml:space="preserve">  Third, where applicable, a court may award to either spouse the lease of the family residence (art. 409 </w:t>
      </w:r>
      <w:r w:rsidRPr="00FA5D7E">
        <w:rPr>
          <w:rFonts w:cs="Times New Roman"/>
          <w:i/>
          <w:szCs w:val="24"/>
        </w:rPr>
        <w:t>C.C.Q.</w:t>
      </w:r>
      <w:r w:rsidRPr="00FA5D7E">
        <w:rPr>
          <w:rFonts w:cs="Times New Roman"/>
          <w:szCs w:val="24"/>
        </w:rPr>
        <w:t xml:space="preserve">) and the ownership or use of certain movable property (art. 410 para. 1 </w:t>
      </w:r>
      <w:r w:rsidRPr="00FA5D7E">
        <w:rPr>
          <w:rFonts w:cs="Times New Roman"/>
          <w:i/>
          <w:szCs w:val="24"/>
        </w:rPr>
        <w:t>C.C.Q.</w:t>
      </w:r>
      <w:r w:rsidRPr="00FA5D7E">
        <w:rPr>
          <w:rFonts w:cs="Times New Roman"/>
          <w:szCs w:val="24"/>
        </w:rPr>
        <w:t>), or, to a spouse who has custody of the children, the use of the family residence</w:t>
      </w:r>
      <w:r w:rsidR="00AD7B9F">
        <w:rPr>
          <w:rFonts w:cs="Times New Roman"/>
          <w:szCs w:val="24"/>
        </w:rPr>
        <w:t xml:space="preserve"> (</w:t>
      </w:r>
      <w:r w:rsidRPr="00FA5D7E">
        <w:rPr>
          <w:rFonts w:cs="Times New Roman"/>
          <w:szCs w:val="24"/>
        </w:rPr>
        <w:t xml:space="preserve">art. 410, para. 2 </w:t>
      </w:r>
      <w:r w:rsidRPr="00FA5D7E">
        <w:rPr>
          <w:rFonts w:cs="Times New Roman"/>
          <w:i/>
          <w:szCs w:val="24"/>
        </w:rPr>
        <w:t>C.C.Q</w:t>
      </w:r>
      <w:r w:rsidR="00AD7B9F">
        <w:rPr>
          <w:rFonts w:cs="Times New Roman"/>
          <w:i/>
          <w:szCs w:val="24"/>
        </w:rPr>
        <w:t>.</w:t>
      </w:r>
      <w:r w:rsidR="00AD7B9F">
        <w:rPr>
          <w:rFonts w:cs="Times New Roman"/>
          <w:szCs w:val="24"/>
        </w:rPr>
        <w:t>)</w:t>
      </w:r>
      <w:r w:rsidRPr="00FA5D7E">
        <w:rPr>
          <w:rFonts w:cs="Times New Roman"/>
          <w:i/>
          <w:szCs w:val="24"/>
        </w:rPr>
        <w:t>.</w:t>
      </w:r>
    </w:p>
    <w:p w:rsidR="004862B9" w:rsidRPr="00FA5D7E" w:rsidRDefault="004862B9" w:rsidP="00835399">
      <w:pPr>
        <w:pStyle w:val="TitleTitre-AltT"/>
        <w:tabs>
          <w:tab w:val="clear" w:pos="360"/>
          <w:tab w:val="left" w:pos="1170"/>
          <w:tab w:val="left" w:pos="1710"/>
        </w:tabs>
        <w:ind w:left="1170" w:hanging="1170"/>
        <w:rPr>
          <w:rFonts w:cs="Times New Roman"/>
          <w:szCs w:val="24"/>
          <w:lang w:val="en-CA"/>
        </w:rPr>
      </w:pPr>
      <w:r w:rsidRPr="00FA5D7E">
        <w:rPr>
          <w:rFonts w:cs="Times New Roman"/>
          <w:szCs w:val="24"/>
          <w:lang w:val="en-CA"/>
        </w:rPr>
        <w:tab/>
        <w:t>(ii)</w:t>
      </w:r>
      <w:r w:rsidRPr="00FA5D7E">
        <w:rPr>
          <w:rFonts w:cs="Times New Roman"/>
          <w:szCs w:val="24"/>
          <w:lang w:val="en-CA"/>
        </w:rPr>
        <w:tab/>
      </w:r>
      <w:r w:rsidRPr="00FA5D7E">
        <w:rPr>
          <w:rFonts w:cs="Times New Roman"/>
          <w:szCs w:val="24"/>
          <w:u w:val="single"/>
          <w:lang w:val="en-CA"/>
        </w:rPr>
        <w:t>Matrimonial Regime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After deciding to marry and thus to be subject to the primary regime, spouses must choose a matrimonial regime to govern the rest of their financial relationship.  They are free to select the regime they consider the most appropriate.  As the Quebec Court of Appeal has pointed out, [</w:t>
      </w:r>
      <w:r w:rsidRPr="00FA5D7E">
        <w:rPr>
          <w:rFonts w:cs="Times New Roman"/>
          <w:smallCaps/>
          <w:szCs w:val="24"/>
        </w:rPr>
        <w:t>translation</w:t>
      </w:r>
      <w:r w:rsidRPr="00FA5D7E">
        <w:rPr>
          <w:rFonts w:cs="Times New Roman"/>
          <w:szCs w:val="24"/>
        </w:rPr>
        <w:t xml:space="preserve">] “the matrimonial regime concept [is] based on the spouses’ </w:t>
      </w:r>
      <w:r w:rsidRPr="00FA5D7E">
        <w:rPr>
          <w:rFonts w:cs="Times New Roman"/>
          <w:i/>
          <w:szCs w:val="24"/>
        </w:rPr>
        <w:t>freedom of choice</w:t>
      </w:r>
      <w:r w:rsidRPr="00FA5D7E">
        <w:rPr>
          <w:rFonts w:cs="Times New Roman"/>
          <w:szCs w:val="24"/>
        </w:rPr>
        <w:t xml:space="preserve"> of regime”:  </w:t>
      </w:r>
      <w:r w:rsidRPr="00FA5D7E">
        <w:rPr>
          <w:rFonts w:cs="Times New Roman"/>
          <w:i/>
          <w:szCs w:val="24"/>
        </w:rPr>
        <w:t>G.B. v. C.C.</w:t>
      </w:r>
      <w:r w:rsidRPr="00FA5D7E">
        <w:rPr>
          <w:rFonts w:cs="Times New Roman"/>
          <w:szCs w:val="24"/>
        </w:rPr>
        <w:t xml:space="preserve">, [2001] R.J.Q. 1435, at para. 22 (emphasis in original).  Spouses are also free to change their matrimonial regime by mutual agreement during their marriage: art. 438 </w:t>
      </w:r>
      <w:r w:rsidRPr="00FA5D7E">
        <w:rPr>
          <w:rFonts w:cs="Times New Roman"/>
          <w:i/>
          <w:szCs w:val="24"/>
        </w:rPr>
        <w:t>C.C.Q.</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w:t>
      </w:r>
      <w:r w:rsidRPr="00FA5D7E">
        <w:rPr>
          <w:rFonts w:cs="Times New Roman"/>
          <w:i/>
          <w:szCs w:val="24"/>
        </w:rPr>
        <w:t>Civil Code</w:t>
      </w:r>
      <w:r w:rsidRPr="00FA5D7E">
        <w:rPr>
          <w:rFonts w:cs="Times New Roman"/>
          <w:szCs w:val="24"/>
        </w:rPr>
        <w:t xml:space="preserve"> provides that spouses who, before the solemnization of their marriage, have not fixed their matrimonial regime in a marriage contract are subject by default to the legal regime of partnership of acquests, under which [</w:t>
      </w:r>
      <w:r w:rsidRPr="00FA5D7E">
        <w:rPr>
          <w:rFonts w:cs="Times New Roman"/>
          <w:smallCaps/>
          <w:szCs w:val="24"/>
        </w:rPr>
        <w:t>translation</w:t>
      </w:r>
      <w:r w:rsidRPr="00FA5D7E">
        <w:rPr>
          <w:rFonts w:cs="Times New Roman"/>
          <w:szCs w:val="24"/>
        </w:rPr>
        <w:t xml:space="preserve">] “each spouse has the administration and free disposal of all his or her property, both private property and acquests, while subject to the regime but is required to partition the value of his or her acquests equally with the other spouse on the date of separation or dissolution”:  Roy, “Le régime juridique de l’union civile: entre symbolisme et anachronisme”, at p. 183; arts. 432, 461 and 467 </w:t>
      </w:r>
      <w:r w:rsidRPr="00FA5D7E">
        <w:rPr>
          <w:rFonts w:cs="Times New Roman"/>
          <w:i/>
          <w:szCs w:val="24"/>
        </w:rPr>
        <w:t>C.C.Q.</w:t>
      </w:r>
    </w:p>
    <w:p w:rsidR="004862B9" w:rsidRPr="00FA5D7E" w:rsidRDefault="004862B9" w:rsidP="00815D04">
      <w:pPr>
        <w:pStyle w:val="ParaNoNdepar-AltN"/>
        <w:tabs>
          <w:tab w:val="clear" w:pos="1166"/>
          <w:tab w:val="num" w:pos="1152"/>
        </w:tabs>
        <w:ind w:left="0"/>
        <w:rPr>
          <w:rFonts w:cs="Times New Roman"/>
          <w:szCs w:val="24"/>
        </w:rPr>
      </w:pPr>
      <w:bookmarkStart w:id="2" w:name="D%467_Y"/>
      <w:bookmarkStart w:id="3" w:name="s467"/>
      <w:bookmarkEnd w:id="2"/>
      <w:bookmarkEnd w:id="3"/>
      <w:r w:rsidRPr="00FA5D7E">
        <w:rPr>
          <w:rFonts w:cs="Times New Roman"/>
          <w:szCs w:val="24"/>
        </w:rPr>
        <w:t xml:space="preserve">Alternatively, spouses who decide to enter into a marriage contract are free to organize their patrimonial relationship through “[a]ny kind of stipulation . . . subject to the imperative provisions of law and public order”:  art. 431 </w:t>
      </w:r>
      <w:r w:rsidRPr="00FA5D7E">
        <w:rPr>
          <w:rFonts w:cs="Times New Roman"/>
          <w:i/>
          <w:szCs w:val="24"/>
        </w:rPr>
        <w:t>C.C.Q.</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Spouses may also prefer the regime of conventional separation as to property to that of partnership of acquests, and can establish it by including a declaration to this effect in their marriage contract: art. 485 </w:t>
      </w:r>
      <w:r w:rsidRPr="00FA5D7E">
        <w:rPr>
          <w:rFonts w:cs="Times New Roman"/>
          <w:i/>
          <w:szCs w:val="24"/>
        </w:rPr>
        <w:t>C.C.Q.</w:t>
      </w:r>
      <w:r w:rsidRPr="00FA5D7E">
        <w:rPr>
          <w:rFonts w:cs="Times New Roman"/>
          <w:szCs w:val="24"/>
        </w:rPr>
        <w:t xml:space="preserve">  Under this regime, the spouses, individually, have the administration, enjoyment and free disposal of all their property both during marriage and upon its breakdown: art. 486 </w:t>
      </w:r>
      <w:r w:rsidRPr="00FA5D7E">
        <w:rPr>
          <w:rFonts w:cs="Times New Roman"/>
          <w:i/>
          <w:szCs w:val="24"/>
        </w:rPr>
        <w:t>C.C.Q.</w:t>
      </w:r>
      <w:r w:rsidRPr="00FA5D7E">
        <w:rPr>
          <w:rFonts w:cs="Times New Roman"/>
          <w:szCs w:val="24"/>
        </w:rPr>
        <w:t xml:space="preserve">  No distinction is drawn between private property and acquests, and no partition occurs at the time of separation or divorce, except in the case of property held in co</w:t>
      </w:r>
      <w:r w:rsidRPr="00FA5D7E">
        <w:rPr>
          <w:rFonts w:cs="Times New Roman"/>
          <w:szCs w:val="24"/>
        </w:rPr>
        <w:noBreakHyphen/>
        <w:t>ownership and property over which neither spouse is able to establish an exclusive right of ownership.  The latter type of property is presumed to be held by both spouses in undivided co</w:t>
      </w:r>
      <w:r w:rsidRPr="00FA5D7E">
        <w:rPr>
          <w:rFonts w:cs="Times New Roman"/>
          <w:szCs w:val="24"/>
        </w:rPr>
        <w:noBreakHyphen/>
        <w:t xml:space="preserve">ownership:  art. 487 </w:t>
      </w:r>
      <w:r w:rsidRPr="00FA5D7E">
        <w:rPr>
          <w:rFonts w:cs="Times New Roman"/>
          <w:i/>
          <w:szCs w:val="24"/>
        </w:rPr>
        <w:t>C.C.Q.</w:t>
      </w:r>
    </w:p>
    <w:p w:rsidR="004862B9" w:rsidRPr="00FA5D7E" w:rsidRDefault="004862B9" w:rsidP="00835399">
      <w:pPr>
        <w:pStyle w:val="TitleTitre-AltT"/>
        <w:tabs>
          <w:tab w:val="clear" w:pos="360"/>
          <w:tab w:val="left" w:pos="1170"/>
          <w:tab w:val="left" w:pos="1800"/>
        </w:tabs>
        <w:ind w:left="1800" w:hanging="1800"/>
        <w:rPr>
          <w:rFonts w:cs="Times New Roman"/>
          <w:szCs w:val="24"/>
          <w:lang w:val="en-CA"/>
        </w:rPr>
      </w:pPr>
      <w:r w:rsidRPr="00FA5D7E">
        <w:rPr>
          <w:rFonts w:cs="Times New Roman"/>
          <w:szCs w:val="24"/>
          <w:lang w:val="en-CA"/>
        </w:rPr>
        <w:tab/>
        <w:t>(2)</w:t>
      </w:r>
      <w:r w:rsidRPr="00FA5D7E">
        <w:rPr>
          <w:rFonts w:cs="Times New Roman"/>
          <w:szCs w:val="24"/>
          <w:lang w:val="en-CA"/>
        </w:rPr>
        <w:tab/>
      </w:r>
      <w:r w:rsidRPr="00FA5D7E">
        <w:rPr>
          <w:rFonts w:cs="Times New Roman"/>
          <w:szCs w:val="24"/>
          <w:u w:val="single"/>
          <w:lang w:val="en-CA"/>
        </w:rPr>
        <w:t>Civil Union Spouses</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On June 7, 2002, the Quebec legislature passed the </w:t>
      </w:r>
      <w:r w:rsidRPr="00FA5D7E">
        <w:rPr>
          <w:rFonts w:cs="Times New Roman"/>
          <w:i/>
          <w:szCs w:val="24"/>
        </w:rPr>
        <w:t>Act instituting civil unions and establishing new rules of filiation</w:t>
      </w:r>
      <w:r w:rsidRPr="00FA5D7E">
        <w:rPr>
          <w:rFonts w:cs="Times New Roman"/>
          <w:szCs w:val="24"/>
        </w:rPr>
        <w:t>, S.Q. 2002, c. 6.  This Act provided same</w:t>
      </w:r>
      <w:r w:rsidRPr="00FA5D7E">
        <w:rPr>
          <w:rFonts w:cs="Times New Roman"/>
          <w:szCs w:val="24"/>
        </w:rPr>
        <w:noBreakHyphen/>
        <w:t>sex couples, in particular, with a first mechanism for making their unions official, namely the civil union, which would also be available to opposite</w:t>
      </w:r>
      <w:r w:rsidRPr="00FA5D7E">
        <w:rPr>
          <w:rFonts w:cs="Times New Roman"/>
          <w:szCs w:val="24"/>
        </w:rPr>
        <w:noBreakHyphen/>
        <w:t>sex couples.  As Professor Tétrault notes, [</w:t>
      </w:r>
      <w:r w:rsidRPr="00FA5D7E">
        <w:rPr>
          <w:rFonts w:cs="Times New Roman"/>
          <w:smallCaps/>
          <w:szCs w:val="24"/>
        </w:rPr>
        <w:t>translation</w:t>
      </w:r>
      <w:r w:rsidRPr="00FA5D7E">
        <w:rPr>
          <w:rFonts w:cs="Times New Roman"/>
          <w:szCs w:val="24"/>
        </w:rPr>
        <w:t xml:space="preserve">] “[a]t the time of its enactment, the Quebec legislature was responding to the fact that Parliament did not recognize the right of persons of the same sex to marry”:  </w:t>
      </w:r>
      <w:r w:rsidRPr="00FA5D7E">
        <w:rPr>
          <w:rFonts w:cs="Times New Roman"/>
          <w:i/>
          <w:szCs w:val="24"/>
        </w:rPr>
        <w:t>Droit de la famille</w:t>
      </w:r>
      <w:r w:rsidRPr="00FA5D7E">
        <w:rPr>
          <w:rFonts w:cs="Times New Roman"/>
          <w:szCs w:val="24"/>
        </w:rPr>
        <w:t xml:space="preserve">, at p. 571.  That recognition would come three years later when Parliament enacted the </w:t>
      </w:r>
      <w:r w:rsidRPr="00FA5D7E">
        <w:rPr>
          <w:rFonts w:cs="Times New Roman"/>
          <w:i/>
          <w:szCs w:val="24"/>
        </w:rPr>
        <w:t>Civil Marriage Act</w:t>
      </w:r>
      <w:r w:rsidRPr="00FA5D7E">
        <w:rPr>
          <w:rFonts w:cs="Times New Roman"/>
          <w:szCs w:val="24"/>
        </w:rPr>
        <w:t>, S.C. 2005, c. 33.</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 civil union is defined as “a commitment by two persons 18 years of age or over who express their free and enlightened consent to live together and to uphold the rights and obligations that derive from that status”:  art. 521.1, para. 1 </w:t>
      </w:r>
      <w:r w:rsidRPr="00FA5D7E">
        <w:rPr>
          <w:rFonts w:cs="Times New Roman"/>
          <w:i/>
          <w:szCs w:val="24"/>
        </w:rPr>
        <w:t>C.C.Q.</w:t>
      </w:r>
      <w:r w:rsidRPr="00FA5D7E">
        <w:rPr>
          <w:rFonts w:cs="Times New Roman"/>
          <w:szCs w:val="24"/>
        </w:rPr>
        <w:t xml:space="preserve">  Unlike marriage, which must be dissolved judicially, a civil union may be dissolved by way of a notarized joint declaration, provided that the spouses consent to the dissolution and settle all the consequences of the dissolution in an agreement:  art. 521.13 </w:t>
      </w:r>
      <w:r w:rsidRPr="00FA5D7E">
        <w:rPr>
          <w:rFonts w:cs="Times New Roman"/>
          <w:i/>
          <w:szCs w:val="24"/>
        </w:rPr>
        <w:t>C.C.Q.</w:t>
      </w:r>
      <w:r w:rsidRPr="00FA5D7E">
        <w:rPr>
          <w:rFonts w:cs="Times New Roman"/>
          <w:szCs w:val="24"/>
        </w:rPr>
        <w:t xml:space="preserve">  However, “[i]n the absence of a joint declaration dissolving the civil union executed before a notary or where the interests of the common children of the spouses are at stake, the dissolution of the union must be pronounced by the court”:  art. 521.17, para. 1 </w:t>
      </w:r>
      <w:r w:rsidRPr="00FA5D7E">
        <w:rPr>
          <w:rFonts w:cs="Times New Roman"/>
          <w:i/>
          <w:szCs w:val="24"/>
        </w:rPr>
        <w:t>C.C.Q</w:t>
      </w:r>
      <w:r w:rsidRPr="00FA5D7E">
        <w:rPr>
          <w:rFonts w:cs="Times New Roman"/>
          <w:szCs w:val="24"/>
        </w:rPr>
        <w:t xml:space="preserve">.  It has also been possible, since the coming into force of the </w:t>
      </w:r>
      <w:r w:rsidRPr="00FA5D7E">
        <w:rPr>
          <w:rFonts w:cs="Times New Roman"/>
          <w:i/>
          <w:szCs w:val="24"/>
        </w:rPr>
        <w:t>Act to amend the Civil Code as regards marriage</w:t>
      </w:r>
      <w:r w:rsidRPr="00FA5D7E">
        <w:rPr>
          <w:rFonts w:cs="Times New Roman"/>
          <w:szCs w:val="24"/>
        </w:rPr>
        <w:t xml:space="preserve">, S.Q. 2004, c. 23, s. 7, for spouses to dissolve their civil union by getting married.  In such a case, the effects of the civil union are maintained and are considered to be effects of the marriage from the date of the civil union, and the spouses’ civil union regime becomes their marriage regime: art. 521.12, para. 2 </w:t>
      </w:r>
      <w:r w:rsidRPr="00FA5D7E">
        <w:rPr>
          <w:rFonts w:cs="Times New Roman"/>
          <w:i/>
          <w:szCs w:val="24"/>
        </w:rPr>
        <w:t>C.C.Q.</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Article 521.6 </w:t>
      </w:r>
      <w:r w:rsidRPr="00FA5D7E">
        <w:rPr>
          <w:rFonts w:cs="Times New Roman"/>
          <w:i/>
          <w:szCs w:val="24"/>
        </w:rPr>
        <w:t>C.C.Q.</w:t>
      </w:r>
      <w:r w:rsidRPr="00FA5D7E">
        <w:rPr>
          <w:rFonts w:cs="Times New Roman"/>
          <w:szCs w:val="24"/>
        </w:rPr>
        <w:t xml:space="preserve"> provides that civil union has significant mandatory effects and refers, for certain principles, to the </w:t>
      </w:r>
      <w:r w:rsidRPr="00FA5D7E">
        <w:rPr>
          <w:rFonts w:cs="Times New Roman"/>
          <w:i/>
          <w:szCs w:val="24"/>
        </w:rPr>
        <w:t>Civil Code</w:t>
      </w:r>
      <w:r w:rsidRPr="00FA5D7E">
        <w:rPr>
          <w:rFonts w:cs="Times New Roman"/>
          <w:szCs w:val="24"/>
        </w:rPr>
        <w:t>’s provisions on the effects of marriage:</w:t>
      </w:r>
    </w:p>
    <w:p w:rsidR="004862B9" w:rsidRPr="00FA5D7E" w:rsidRDefault="004862B9" w:rsidP="00835399">
      <w:pPr>
        <w:pStyle w:val="Citation-AltC"/>
        <w:tabs>
          <w:tab w:val="left" w:pos="1530"/>
        </w:tabs>
        <w:spacing w:after="240"/>
        <w:ind w:left="1170" w:hanging="1170"/>
        <w:contextualSpacing w:val="0"/>
        <w:rPr>
          <w:szCs w:val="24"/>
          <w:lang w:val="en-CA"/>
        </w:rPr>
      </w:pPr>
      <w:r w:rsidRPr="00FA5D7E">
        <w:rPr>
          <w:szCs w:val="24"/>
          <w:lang w:val="en-CA"/>
        </w:rPr>
        <w:tab/>
      </w:r>
      <w:r w:rsidRPr="00FA5D7E">
        <w:rPr>
          <w:szCs w:val="24"/>
          <w:lang w:val="en-CA"/>
        </w:rPr>
        <w:tab/>
      </w:r>
      <w:r w:rsidRPr="00FA5D7E">
        <w:rPr>
          <w:b/>
          <w:szCs w:val="24"/>
          <w:lang w:val="en-CA"/>
        </w:rPr>
        <w:t>521.6.</w:t>
      </w:r>
      <w:r w:rsidRPr="00FA5D7E">
        <w:rPr>
          <w:szCs w:val="24"/>
          <w:lang w:val="en-CA"/>
        </w:rPr>
        <w:t xml:space="preserve">  The spouses in a civil union have the same rights and obligations.</w:t>
      </w:r>
    </w:p>
    <w:p w:rsidR="004862B9" w:rsidRPr="00FA5D7E" w:rsidRDefault="004862B9" w:rsidP="00835399">
      <w:pPr>
        <w:pStyle w:val="Citation-AltC"/>
        <w:tabs>
          <w:tab w:val="left" w:pos="1530"/>
        </w:tabs>
        <w:spacing w:after="240"/>
        <w:ind w:left="1170" w:hanging="1170"/>
        <w:contextualSpacing w:val="0"/>
        <w:rPr>
          <w:szCs w:val="24"/>
          <w:lang w:val="en-CA"/>
        </w:rPr>
      </w:pPr>
      <w:r w:rsidRPr="00FA5D7E">
        <w:rPr>
          <w:szCs w:val="24"/>
          <w:lang w:val="en-CA"/>
        </w:rPr>
        <w:tab/>
      </w:r>
      <w:r w:rsidR="00835399">
        <w:rPr>
          <w:szCs w:val="24"/>
          <w:lang w:val="en-CA"/>
        </w:rPr>
        <w:tab/>
      </w:r>
      <w:r w:rsidRPr="00FA5D7E">
        <w:rPr>
          <w:szCs w:val="24"/>
          <w:lang w:val="en-CA"/>
        </w:rPr>
        <w:t>They owe each other respect, fidelity, succour and assistance.</w:t>
      </w:r>
    </w:p>
    <w:p w:rsidR="004862B9" w:rsidRPr="00FA5D7E" w:rsidRDefault="004862B9" w:rsidP="00835399">
      <w:pPr>
        <w:pStyle w:val="Citation-AltC"/>
        <w:tabs>
          <w:tab w:val="left" w:pos="1530"/>
        </w:tabs>
        <w:spacing w:after="240"/>
        <w:ind w:left="1170" w:hanging="1170"/>
        <w:contextualSpacing w:val="0"/>
        <w:rPr>
          <w:szCs w:val="24"/>
          <w:lang w:val="en-CA"/>
        </w:rPr>
      </w:pPr>
      <w:r w:rsidRPr="00FA5D7E">
        <w:rPr>
          <w:szCs w:val="24"/>
          <w:lang w:val="en-CA"/>
        </w:rPr>
        <w:tab/>
      </w:r>
      <w:r w:rsidR="00835399">
        <w:rPr>
          <w:szCs w:val="24"/>
          <w:lang w:val="en-CA"/>
        </w:rPr>
        <w:tab/>
      </w:r>
      <w:r w:rsidRPr="00FA5D7E">
        <w:rPr>
          <w:szCs w:val="24"/>
          <w:lang w:val="en-CA"/>
        </w:rPr>
        <w:t>They are bound to live together.</w:t>
      </w:r>
    </w:p>
    <w:p w:rsidR="004862B9" w:rsidRPr="00FA5D7E" w:rsidRDefault="004862B9" w:rsidP="00835399">
      <w:pPr>
        <w:pStyle w:val="Citation-AltC"/>
        <w:tabs>
          <w:tab w:val="left" w:pos="1530"/>
        </w:tabs>
        <w:spacing w:after="240"/>
        <w:ind w:left="1170" w:hanging="1170"/>
        <w:contextualSpacing w:val="0"/>
        <w:rPr>
          <w:szCs w:val="24"/>
          <w:lang w:val="en-CA"/>
        </w:rPr>
      </w:pPr>
      <w:r w:rsidRPr="00FA5D7E">
        <w:rPr>
          <w:szCs w:val="24"/>
          <w:lang w:val="en-CA"/>
        </w:rPr>
        <w:tab/>
      </w:r>
      <w:r w:rsidRPr="00FA5D7E">
        <w:rPr>
          <w:szCs w:val="24"/>
          <w:lang w:val="en-CA"/>
        </w:rPr>
        <w:tab/>
        <w:t>The effects of the civil union as regards the direction of the family, the exercise of parental authority, contribution towards expenses, the family residence, the family patrimony and the compensatory allowance are the same as the effects of marriage, with the necessary modifications.</w:t>
      </w:r>
    </w:p>
    <w:p w:rsidR="004862B9" w:rsidRPr="00FA5D7E" w:rsidRDefault="004862B9" w:rsidP="00835399">
      <w:pPr>
        <w:pStyle w:val="Citation-AltC"/>
        <w:tabs>
          <w:tab w:val="left" w:pos="1530"/>
        </w:tabs>
        <w:ind w:hanging="1166"/>
        <w:contextualSpacing w:val="0"/>
        <w:rPr>
          <w:szCs w:val="24"/>
          <w:lang w:val="en-CA"/>
        </w:rPr>
      </w:pPr>
      <w:r w:rsidRPr="00FA5D7E">
        <w:rPr>
          <w:szCs w:val="24"/>
          <w:lang w:val="en-CA"/>
        </w:rPr>
        <w:tab/>
      </w:r>
      <w:r w:rsidRPr="00FA5D7E">
        <w:rPr>
          <w:szCs w:val="24"/>
          <w:lang w:val="en-CA"/>
        </w:rPr>
        <w:tab/>
        <w:t>Whatever their civil union regime, the spouses may not derogate from the provisions of this article.</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While in their union, civil union spouses are subject to the duty of succour and therefore owe each other support.  The duty of succour ends with the dissolution of the union.  However, on application by either spouse, a court may, upon or after pronouncing the dissolution, order one of the spouses to pay support to the other: art. 521.17, para. 3 </w:t>
      </w:r>
      <w:r w:rsidRPr="00FA5D7E">
        <w:rPr>
          <w:rFonts w:cs="Times New Roman"/>
          <w:i/>
          <w:szCs w:val="24"/>
        </w:rPr>
        <w:t>C.C.Q.</w:t>
      </w:r>
      <w:r w:rsidRPr="00FA5D7E">
        <w:rPr>
          <w:rFonts w:cs="Times New Roman"/>
          <w:szCs w:val="24"/>
        </w:rPr>
        <w:t xml:space="preserve">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I note in passing that no factors specific to civil union spouses for determining the amount of support are set out in the </w:t>
      </w:r>
      <w:r w:rsidRPr="00FA5D7E">
        <w:rPr>
          <w:rFonts w:cs="Times New Roman"/>
          <w:i/>
          <w:szCs w:val="24"/>
        </w:rPr>
        <w:t>Civil Code</w:t>
      </w:r>
      <w:r w:rsidRPr="00FA5D7E">
        <w:rPr>
          <w:rFonts w:cs="Times New Roman"/>
          <w:szCs w:val="24"/>
        </w:rPr>
        <w:t xml:space="preserve">.  The courts must therefore refer to the general principles stated in art. 587 </w:t>
      </w:r>
      <w:r w:rsidRPr="00FA5D7E">
        <w:rPr>
          <w:rFonts w:cs="Times New Roman"/>
          <w:i/>
          <w:szCs w:val="24"/>
        </w:rPr>
        <w:t>C.C.Q.</w:t>
      </w:r>
      <w:r w:rsidRPr="00FA5D7E">
        <w:rPr>
          <w:rFonts w:cs="Times New Roman"/>
          <w:szCs w:val="24"/>
        </w:rPr>
        <w:t xml:space="preserve">:  see, </w:t>
      </w:r>
      <w:r w:rsidRPr="00FA5D7E">
        <w:rPr>
          <w:rFonts w:cs="Times New Roman"/>
          <w:i/>
          <w:szCs w:val="24"/>
        </w:rPr>
        <w:t>inter alia</w:t>
      </w:r>
      <w:r w:rsidRPr="00FA5D7E">
        <w:rPr>
          <w:rFonts w:cs="Times New Roman"/>
          <w:szCs w:val="24"/>
        </w:rPr>
        <w:t>, Senécal, vol. 2, ¶ 65</w:t>
      </w:r>
      <w:r w:rsidRPr="00FA5D7E">
        <w:rPr>
          <w:rFonts w:cs="Times New Roman"/>
          <w:szCs w:val="24"/>
        </w:rPr>
        <w:noBreakHyphen/>
        <w:t xml:space="preserve">815; Tétrault, </w:t>
      </w:r>
      <w:r w:rsidRPr="00FA5D7E">
        <w:rPr>
          <w:rFonts w:cs="Times New Roman"/>
          <w:i/>
          <w:szCs w:val="24"/>
        </w:rPr>
        <w:t>Droit de la famille</w:t>
      </w:r>
      <w:r w:rsidRPr="00FA5D7E">
        <w:rPr>
          <w:rFonts w:cs="Times New Roman"/>
          <w:szCs w:val="24"/>
        </w:rPr>
        <w:t xml:space="preserve">, at p. 587.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In addition to being subject on a mandatory basis to this primary regime, civil union spouses have a legal regime that is identical to the matrimonial regime of partnership of acquests that applies to married spouses.  Should they wish to do so, persons planning to enter into a civil union can also opt out of this legal regime by way of a contract prepared before the solemnization of their union and adopt a regime of separation as to property:</w:t>
      </w:r>
    </w:p>
    <w:p w:rsidR="004862B9" w:rsidRPr="00FA5D7E" w:rsidRDefault="004862B9" w:rsidP="00835399">
      <w:pPr>
        <w:pStyle w:val="Citation-AltC"/>
        <w:tabs>
          <w:tab w:val="left" w:pos="1530"/>
        </w:tabs>
        <w:spacing w:after="240"/>
        <w:ind w:left="1170" w:hanging="1170"/>
        <w:contextualSpacing w:val="0"/>
        <w:rPr>
          <w:szCs w:val="24"/>
          <w:lang w:val="en-CA"/>
        </w:rPr>
      </w:pPr>
      <w:r w:rsidRPr="00FA5D7E">
        <w:rPr>
          <w:szCs w:val="24"/>
          <w:lang w:val="en-CA"/>
        </w:rPr>
        <w:tab/>
      </w:r>
      <w:r w:rsidRPr="00FA5D7E">
        <w:rPr>
          <w:szCs w:val="24"/>
          <w:lang w:val="en-CA"/>
        </w:rPr>
        <w:tab/>
      </w:r>
      <w:r w:rsidRPr="00FA5D7E">
        <w:rPr>
          <w:b/>
          <w:szCs w:val="24"/>
          <w:lang w:val="en-CA"/>
        </w:rPr>
        <w:t>521.8.</w:t>
      </w:r>
      <w:r w:rsidRPr="00FA5D7E">
        <w:rPr>
          <w:szCs w:val="24"/>
          <w:lang w:val="en-CA"/>
        </w:rPr>
        <w:t>  A civil union regime may be created by and any kind of stipulation may be made in a civil union contract, subject to the imperative provisions of law and public order.</w:t>
      </w:r>
    </w:p>
    <w:p w:rsidR="004862B9" w:rsidRPr="00FA5D7E" w:rsidRDefault="004862B9" w:rsidP="00835399">
      <w:pPr>
        <w:pStyle w:val="Citation-AltC"/>
        <w:tabs>
          <w:tab w:val="left" w:pos="1530"/>
        </w:tabs>
        <w:spacing w:after="240"/>
        <w:ind w:left="1170" w:hanging="1170"/>
        <w:contextualSpacing w:val="0"/>
        <w:rPr>
          <w:szCs w:val="24"/>
          <w:lang w:val="en-CA"/>
        </w:rPr>
      </w:pPr>
      <w:r w:rsidRPr="00FA5D7E">
        <w:rPr>
          <w:szCs w:val="24"/>
          <w:lang w:val="en-CA"/>
        </w:rPr>
        <w:tab/>
      </w:r>
      <w:r w:rsidRPr="00FA5D7E">
        <w:rPr>
          <w:szCs w:val="24"/>
          <w:lang w:val="en-CA"/>
        </w:rPr>
        <w:tab/>
        <w:t>Spouses who, before the solemnization of their civil union, have not so fixed their civil union regime are subject to the regime of partnership of acquests.</w:t>
      </w:r>
    </w:p>
    <w:p w:rsidR="004862B9" w:rsidRPr="00FA5D7E" w:rsidRDefault="004862B9" w:rsidP="00A7390E">
      <w:pPr>
        <w:pStyle w:val="Citation-AltC"/>
        <w:tabs>
          <w:tab w:val="left" w:pos="1530"/>
        </w:tabs>
        <w:ind w:hanging="1166"/>
        <w:contextualSpacing w:val="0"/>
        <w:rPr>
          <w:szCs w:val="24"/>
          <w:lang w:val="en-CA"/>
        </w:rPr>
      </w:pPr>
      <w:r w:rsidRPr="00FA5D7E">
        <w:rPr>
          <w:szCs w:val="24"/>
          <w:lang w:val="en-CA"/>
        </w:rPr>
        <w:tab/>
      </w:r>
      <w:r w:rsidRPr="00FA5D7E">
        <w:rPr>
          <w:szCs w:val="24"/>
          <w:lang w:val="en-CA"/>
        </w:rPr>
        <w:tab/>
        <w:t>Civil union regimes, whether legal or conventional, and civil union contracts are subject to the same rules as are applicable to matrimonial regimes and marriage contracts, with the necessary modifications.</w:t>
      </w:r>
    </w:p>
    <w:p w:rsidR="004862B9" w:rsidRPr="00FA5D7E" w:rsidRDefault="004862B9" w:rsidP="00835399">
      <w:pPr>
        <w:pStyle w:val="TitleTitre-AltT"/>
        <w:tabs>
          <w:tab w:val="clear" w:pos="360"/>
          <w:tab w:val="left" w:pos="1170"/>
          <w:tab w:val="left" w:pos="1800"/>
        </w:tabs>
        <w:ind w:left="1170" w:hanging="1170"/>
        <w:rPr>
          <w:rFonts w:cs="Times New Roman"/>
          <w:szCs w:val="24"/>
          <w:lang w:val="en-CA"/>
        </w:rPr>
      </w:pPr>
      <w:r w:rsidRPr="00FA5D7E">
        <w:rPr>
          <w:rFonts w:cs="Times New Roman"/>
          <w:szCs w:val="24"/>
          <w:lang w:val="en-CA"/>
        </w:rPr>
        <w:tab/>
        <w:t>(3)</w:t>
      </w:r>
      <w:r w:rsidRPr="00FA5D7E">
        <w:rPr>
          <w:rFonts w:cs="Times New Roman"/>
          <w:szCs w:val="24"/>
          <w:lang w:val="en-CA"/>
        </w:rPr>
        <w:tab/>
      </w:r>
      <w:r w:rsidRPr="00FA5D7E">
        <w:rPr>
          <w:rFonts w:cs="Times New Roman"/>
          <w:i/>
          <w:szCs w:val="24"/>
          <w:u w:val="single"/>
          <w:lang w:val="en-CA"/>
        </w:rPr>
        <w:t>De Facto</w:t>
      </w:r>
      <w:r w:rsidRPr="00FA5D7E">
        <w:rPr>
          <w:rFonts w:cs="Times New Roman"/>
          <w:szCs w:val="24"/>
          <w:u w:val="single"/>
          <w:lang w:val="en-CA"/>
        </w:rPr>
        <w:t xml:space="preserve"> Spouses</w:t>
      </w:r>
    </w:p>
    <w:p w:rsidR="004862B9" w:rsidRPr="00FA5D7E" w:rsidRDefault="004862B9" w:rsidP="00835399">
      <w:pPr>
        <w:pStyle w:val="TitleTitre-AltT"/>
        <w:tabs>
          <w:tab w:val="clear" w:pos="360"/>
          <w:tab w:val="left" w:pos="1170"/>
          <w:tab w:val="left" w:pos="1800"/>
        </w:tabs>
        <w:ind w:left="1800" w:hanging="1800"/>
        <w:rPr>
          <w:rFonts w:cs="Times New Roman"/>
          <w:szCs w:val="24"/>
          <w:lang w:val="en-CA"/>
        </w:rPr>
      </w:pPr>
      <w:r w:rsidRPr="00FA5D7E">
        <w:rPr>
          <w:rFonts w:cs="Times New Roman"/>
          <w:szCs w:val="24"/>
          <w:lang w:val="en-CA"/>
        </w:rPr>
        <w:tab/>
        <w:t>(a)</w:t>
      </w:r>
      <w:r w:rsidRPr="00FA5D7E">
        <w:rPr>
          <w:rFonts w:cs="Times New Roman"/>
          <w:szCs w:val="24"/>
          <w:lang w:val="en-CA"/>
        </w:rPr>
        <w:tab/>
      </w:r>
      <w:r w:rsidRPr="00FA5D7E">
        <w:rPr>
          <w:rFonts w:cs="Times New Roman"/>
          <w:i/>
          <w:szCs w:val="24"/>
          <w:lang w:val="en-CA"/>
        </w:rPr>
        <w:t>Historical Review of the Situation of De Facto Spouses Under the Civil Code of Lower Canada Before the 1980 Reforms</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It should be noted at the outset that, until the family law reform and the coming into force of part of the draft </w:t>
      </w:r>
      <w:r w:rsidRPr="00FA5D7E">
        <w:rPr>
          <w:rFonts w:cs="Times New Roman"/>
          <w:i/>
          <w:szCs w:val="24"/>
        </w:rPr>
        <w:t>Civil Code of Québec</w:t>
      </w:r>
      <w:r w:rsidRPr="00FA5D7E">
        <w:rPr>
          <w:rFonts w:cs="Times New Roman"/>
          <w:szCs w:val="24"/>
        </w:rPr>
        <w:t xml:space="preserve"> in 1981, the legislative treatment of the </w:t>
      </w:r>
      <w:r w:rsidRPr="00FA5D7E">
        <w:rPr>
          <w:rFonts w:cs="Times New Roman"/>
          <w:i/>
          <w:szCs w:val="24"/>
        </w:rPr>
        <w:t>de facto</w:t>
      </w:r>
      <w:r w:rsidRPr="00FA5D7E">
        <w:rPr>
          <w:rFonts w:cs="Times New Roman"/>
          <w:szCs w:val="24"/>
        </w:rPr>
        <w:t xml:space="preserve"> union, then referred to as “concubinage”, was negative.  As several authors have pointed out, the </w:t>
      </w:r>
      <w:r w:rsidRPr="00FA5D7E">
        <w:rPr>
          <w:rFonts w:cs="Times New Roman"/>
          <w:i/>
          <w:szCs w:val="24"/>
        </w:rPr>
        <w:t>de facto</w:t>
      </w:r>
      <w:r w:rsidRPr="00FA5D7E">
        <w:rPr>
          <w:rFonts w:cs="Times New Roman"/>
          <w:szCs w:val="24"/>
        </w:rPr>
        <w:t xml:space="preserve"> union, as an [</w:t>
      </w:r>
      <w:r w:rsidRPr="00FA5D7E">
        <w:rPr>
          <w:rFonts w:cs="Times New Roman"/>
          <w:smallCaps/>
          <w:szCs w:val="24"/>
        </w:rPr>
        <w:t>translation</w:t>
      </w:r>
      <w:r w:rsidRPr="00FA5D7E">
        <w:rPr>
          <w:rFonts w:cs="Times New Roman"/>
          <w:szCs w:val="24"/>
        </w:rPr>
        <w:t xml:space="preserve">] “obstacle to family stability and peace”, was considered to be suspect and “contrary to public order and good morals”, and had an “unfavourable” if not “immoral” character that the government could not encourage: see, </w:t>
      </w:r>
      <w:r w:rsidRPr="00FA5D7E">
        <w:rPr>
          <w:rFonts w:cs="Times New Roman"/>
          <w:i/>
          <w:szCs w:val="24"/>
        </w:rPr>
        <w:t>inter alia</w:t>
      </w:r>
      <w:r w:rsidR="00517A9E">
        <w:rPr>
          <w:rFonts w:cs="Times New Roman"/>
          <w:szCs w:val="24"/>
        </w:rPr>
        <w:t>, E</w:t>
      </w:r>
      <w:r w:rsidRPr="00FA5D7E">
        <w:rPr>
          <w:rFonts w:cs="Times New Roman"/>
          <w:szCs w:val="24"/>
        </w:rPr>
        <w:t>. Deleury and M. Cano, “Le concubinage au Québec et dans l’ensemble du Canada:  Deux systèmes juridiques, deux approches”, in J. Rubellin</w:t>
      </w:r>
      <w:r w:rsidRPr="00FA5D7E">
        <w:rPr>
          <w:rFonts w:cs="Times New Roman"/>
          <w:szCs w:val="24"/>
        </w:rPr>
        <w:noBreakHyphen/>
        <w:t xml:space="preserve">Devichi, ed., </w:t>
      </w:r>
      <w:r w:rsidRPr="00FA5D7E">
        <w:rPr>
          <w:rFonts w:cs="Times New Roman"/>
          <w:i/>
          <w:szCs w:val="24"/>
        </w:rPr>
        <w:t>Des concubinages dans le monde</w:t>
      </w:r>
      <w:r w:rsidRPr="00FA5D7E">
        <w:rPr>
          <w:rFonts w:cs="Times New Roman"/>
          <w:szCs w:val="24"/>
        </w:rPr>
        <w:t xml:space="preserve"> (1990), 85, at p. 88; A. Cossette, “Le concubinage au Québec” (1985), 88 </w:t>
      </w:r>
      <w:r w:rsidRPr="00FA5D7E">
        <w:rPr>
          <w:rFonts w:cs="Times New Roman"/>
          <w:i/>
          <w:szCs w:val="24"/>
        </w:rPr>
        <w:t>R. du N.</w:t>
      </w:r>
      <w:r w:rsidRPr="00FA5D7E">
        <w:rPr>
          <w:rFonts w:cs="Times New Roman"/>
          <w:szCs w:val="24"/>
        </w:rPr>
        <w:t xml:space="preserve"> 42, at pp. 45 and 53; Tétrault, “L’union civile: j’me marie, j’me marie pas”, at p. 127; Lefebvre, at p. 11; Tétrault, </w:t>
      </w:r>
      <w:r w:rsidRPr="00FA5D7E">
        <w:rPr>
          <w:rFonts w:cs="Times New Roman"/>
          <w:i/>
          <w:szCs w:val="24"/>
        </w:rPr>
        <w:t>Droit de la famille</w:t>
      </w:r>
      <w:r w:rsidRPr="00FA5D7E">
        <w:rPr>
          <w:rFonts w:cs="Times New Roman"/>
          <w:szCs w:val="24"/>
        </w:rPr>
        <w:t>, at pp. 839</w:t>
      </w:r>
      <w:r w:rsidRPr="00FA5D7E">
        <w:rPr>
          <w:rFonts w:cs="Times New Roman"/>
          <w:szCs w:val="24"/>
        </w:rPr>
        <w:noBreakHyphen/>
        <w:t>49.</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This disapproval of the </w:t>
      </w:r>
      <w:r w:rsidRPr="00FA5D7E">
        <w:rPr>
          <w:rFonts w:cs="Times New Roman"/>
          <w:i/>
          <w:szCs w:val="24"/>
        </w:rPr>
        <w:t>de facto</w:t>
      </w:r>
      <w:r w:rsidRPr="00FA5D7E">
        <w:rPr>
          <w:rFonts w:cs="Times New Roman"/>
          <w:szCs w:val="24"/>
        </w:rPr>
        <w:t xml:space="preserve"> union was expressed in legislation in two ways:  one concerned the relationships of </w:t>
      </w:r>
      <w:r w:rsidRPr="00FA5D7E">
        <w:rPr>
          <w:rFonts w:cs="Times New Roman"/>
          <w:i/>
          <w:szCs w:val="24"/>
        </w:rPr>
        <w:t>de facto</w:t>
      </w:r>
      <w:r w:rsidRPr="00FA5D7E">
        <w:rPr>
          <w:rFonts w:cs="Times New Roman"/>
          <w:szCs w:val="24"/>
        </w:rPr>
        <w:t xml:space="preserve"> spouses, the other the treatment of the children born of such unions.  With regard to the former, art. 768 </w:t>
      </w:r>
      <w:r w:rsidRPr="00FA5D7E">
        <w:rPr>
          <w:rFonts w:cs="Times New Roman"/>
          <w:i/>
          <w:szCs w:val="24"/>
        </w:rPr>
        <w:t>C.C.L.C.</w:t>
      </w:r>
      <w:r w:rsidRPr="00FA5D7E">
        <w:rPr>
          <w:rFonts w:cs="Times New Roman"/>
          <w:szCs w:val="24"/>
        </w:rPr>
        <w:t xml:space="preserve"> limited “[g]ifts </w:t>
      </w:r>
      <w:r w:rsidRPr="00FA5D7E">
        <w:rPr>
          <w:rFonts w:cs="Times New Roman"/>
          <w:i/>
          <w:szCs w:val="24"/>
        </w:rPr>
        <w:t>inter vivos</w:t>
      </w:r>
      <w:r w:rsidRPr="00FA5D7E">
        <w:rPr>
          <w:rFonts w:cs="Times New Roman"/>
          <w:szCs w:val="24"/>
        </w:rPr>
        <w:t xml:space="preserve"> made in favor of the person with whom the donor has lived in concubinage . . .  to maintenance”.  In this way, the legislature prohibited </w:t>
      </w:r>
      <w:r w:rsidRPr="00FA5D7E">
        <w:rPr>
          <w:rFonts w:cs="Times New Roman"/>
          <w:i/>
          <w:szCs w:val="24"/>
        </w:rPr>
        <w:t>de facto</w:t>
      </w:r>
      <w:r w:rsidRPr="00FA5D7E">
        <w:rPr>
          <w:rFonts w:cs="Times New Roman"/>
          <w:szCs w:val="24"/>
        </w:rPr>
        <w:t xml:space="preserve"> spouses from organizing their patrimonial relationships.  The law denied them the possibility of establishing a legal framework for their cohabitation and limited their freedom of contract.  Notary Jean Sylvestre described the impact of this prohibition as follows:</w:t>
      </w:r>
    </w:p>
    <w:p w:rsidR="004862B9" w:rsidRPr="00FA5D7E" w:rsidRDefault="004862B9" w:rsidP="004E229D">
      <w:pPr>
        <w:pStyle w:val="Citation-AltC"/>
        <w:tabs>
          <w:tab w:val="left" w:pos="1170"/>
          <w:tab w:val="left" w:pos="1620"/>
        </w:tabs>
        <w:spacing w:after="240"/>
        <w:ind w:hanging="1166"/>
        <w:contextualSpacing w:val="0"/>
        <w:rPr>
          <w:szCs w:val="24"/>
          <w:lang w:val="en-CA"/>
        </w:rPr>
      </w:pPr>
      <w:r w:rsidRPr="00FA5D7E">
        <w:rPr>
          <w:szCs w:val="24"/>
          <w:lang w:val="en-CA"/>
        </w:rPr>
        <w:tab/>
      </w:r>
      <w:r w:rsidR="00AD7B9F">
        <w:rPr>
          <w:szCs w:val="24"/>
          <w:lang w:val="en-CA"/>
        </w:rPr>
        <w:tab/>
      </w:r>
      <w:r w:rsidRPr="00FA5D7E">
        <w:rPr>
          <w:szCs w:val="24"/>
          <w:lang w:val="en-CA"/>
        </w:rPr>
        <w:tab/>
        <w:t>[</w:t>
      </w:r>
      <w:r w:rsidRPr="00FA5D7E">
        <w:rPr>
          <w:smallCaps/>
          <w:szCs w:val="24"/>
          <w:lang w:val="en-CA"/>
        </w:rPr>
        <w:t>translation</w:t>
      </w:r>
      <w:r w:rsidRPr="00FA5D7E">
        <w:rPr>
          <w:szCs w:val="24"/>
          <w:lang w:val="en-CA"/>
        </w:rPr>
        <w:t>]  Agreements between concubinaries were, for all practical purposes, unthinkable until [1981].</w:t>
      </w:r>
    </w:p>
    <w:p w:rsidR="004862B9" w:rsidRPr="00FA5D7E" w:rsidRDefault="004862B9" w:rsidP="004E229D">
      <w:pPr>
        <w:pStyle w:val="Citation-AltC"/>
        <w:tabs>
          <w:tab w:val="left" w:pos="1170"/>
          <w:tab w:val="left" w:pos="1620"/>
        </w:tabs>
        <w:spacing w:after="240"/>
        <w:ind w:hanging="1166"/>
        <w:contextualSpacing w:val="0"/>
        <w:rPr>
          <w:szCs w:val="24"/>
          <w:lang w:val="en-CA"/>
        </w:rPr>
      </w:pPr>
      <w:r w:rsidRPr="00FA5D7E">
        <w:rPr>
          <w:szCs w:val="24"/>
          <w:lang w:val="en-CA"/>
        </w:rPr>
        <w:tab/>
      </w:r>
      <w:r w:rsidRPr="00FA5D7E">
        <w:rPr>
          <w:szCs w:val="24"/>
          <w:lang w:val="en-CA"/>
        </w:rPr>
        <w:tab/>
      </w:r>
      <w:r w:rsidR="00AD7B9F">
        <w:rPr>
          <w:szCs w:val="24"/>
          <w:lang w:val="en-CA"/>
        </w:rPr>
        <w:tab/>
      </w:r>
      <w:r w:rsidRPr="00FA5D7E">
        <w:rPr>
          <w:szCs w:val="24"/>
          <w:lang w:val="en-CA"/>
        </w:rPr>
        <w:t xml:space="preserve">By prohibiting all gifts </w:t>
      </w:r>
      <w:r w:rsidRPr="00FA5D7E">
        <w:rPr>
          <w:i/>
          <w:szCs w:val="24"/>
          <w:lang w:val="en-CA"/>
        </w:rPr>
        <w:t>inter vivos</w:t>
      </w:r>
      <w:r w:rsidRPr="00FA5D7E">
        <w:rPr>
          <w:szCs w:val="24"/>
          <w:lang w:val="en-CA"/>
        </w:rPr>
        <w:t xml:space="preserve"> between concubinaries and persons who had lived in concubinage, art. 768 C.C.L.C. closed the door on all financial arrangements between persons in a </w:t>
      </w:r>
      <w:r w:rsidRPr="00FA5D7E">
        <w:rPr>
          <w:i/>
          <w:szCs w:val="24"/>
          <w:lang w:val="en-CA"/>
        </w:rPr>
        <w:t>de facto</w:t>
      </w:r>
      <w:r w:rsidRPr="00FA5D7E">
        <w:rPr>
          <w:szCs w:val="24"/>
          <w:lang w:val="en-CA"/>
        </w:rPr>
        <w:t xml:space="preserve"> union that were gratuitous or in the nature of a liberality or gift.</w:t>
      </w:r>
    </w:p>
    <w:p w:rsidR="004862B9" w:rsidRPr="00FA5D7E" w:rsidRDefault="004862B9" w:rsidP="004E229D">
      <w:pPr>
        <w:pStyle w:val="Citation-AltC"/>
        <w:tabs>
          <w:tab w:val="left" w:pos="1170"/>
          <w:tab w:val="left" w:pos="1620"/>
        </w:tabs>
        <w:spacing w:after="240"/>
        <w:ind w:hanging="1166"/>
        <w:contextualSpacing w:val="0"/>
        <w:rPr>
          <w:szCs w:val="24"/>
          <w:lang w:val="en-CA"/>
        </w:rPr>
      </w:pPr>
      <w:r w:rsidRPr="00FA5D7E">
        <w:rPr>
          <w:szCs w:val="24"/>
          <w:lang w:val="en-CA"/>
        </w:rPr>
        <w:tab/>
      </w:r>
      <w:r w:rsidR="00AD7B9F">
        <w:rPr>
          <w:szCs w:val="24"/>
          <w:lang w:val="en-CA"/>
        </w:rPr>
        <w:tab/>
      </w:r>
      <w:r w:rsidRPr="00FA5D7E">
        <w:rPr>
          <w:szCs w:val="24"/>
          <w:lang w:val="en-CA"/>
        </w:rPr>
        <w:tab/>
        <w:t>Since one or more of these characteristics was almost always present in what were known as agreements between spouses or concubinaries, it was impossible to consider making such agreements between concubinaries.</w:t>
      </w:r>
    </w:p>
    <w:p w:rsidR="004862B9" w:rsidRPr="004E229D" w:rsidRDefault="004862B9" w:rsidP="00B44CBA">
      <w:pPr>
        <w:pStyle w:val="Citation-AltC"/>
        <w:tabs>
          <w:tab w:val="left" w:pos="1530"/>
        </w:tabs>
        <w:ind w:left="90"/>
        <w:rPr>
          <w:szCs w:val="24"/>
        </w:rPr>
      </w:pPr>
      <w:r w:rsidRPr="00FA5D7E">
        <w:rPr>
          <w:szCs w:val="24"/>
        </w:rPr>
        <w:t xml:space="preserve">(“Les accords entre concubins”, [1981] </w:t>
      </w:r>
      <w:r w:rsidRPr="00FA5D7E">
        <w:rPr>
          <w:i/>
          <w:szCs w:val="24"/>
        </w:rPr>
        <w:t>C.P. du N.</w:t>
      </w:r>
      <w:r w:rsidRPr="00FA5D7E">
        <w:rPr>
          <w:szCs w:val="24"/>
        </w:rPr>
        <w:t xml:space="preserve"> 195, at paras. </w:t>
      </w:r>
      <w:r w:rsidRPr="004E229D">
        <w:rPr>
          <w:szCs w:val="24"/>
        </w:rPr>
        <w:t>1</w:t>
      </w:r>
      <w:r w:rsidRPr="004E229D">
        <w:rPr>
          <w:szCs w:val="24"/>
        </w:rPr>
        <w:noBreakHyphen/>
        <w:t>3)</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Moreover, the children of </w:t>
      </w:r>
      <w:r w:rsidRPr="00FA5D7E">
        <w:rPr>
          <w:rFonts w:cs="Times New Roman"/>
          <w:i/>
          <w:szCs w:val="24"/>
        </w:rPr>
        <w:t>de facto</w:t>
      </w:r>
      <w:r w:rsidRPr="00FA5D7E">
        <w:rPr>
          <w:rFonts w:cs="Times New Roman"/>
          <w:szCs w:val="24"/>
        </w:rPr>
        <w:t xml:space="preserve"> spouses, or “natural” children, were denied a number of rights granted to “legitimate” children, those whose parents were married: see J.</w:t>
      </w:r>
      <w:r w:rsidRPr="00FA5D7E">
        <w:rPr>
          <w:rFonts w:cs="Times New Roman"/>
          <w:szCs w:val="24"/>
        </w:rPr>
        <w:noBreakHyphen/>
        <w:t>L. Baudouin, “Examen critique de la situation juridique de l’enfant naturel” (1966), 12 </w:t>
      </w:r>
      <w:r w:rsidRPr="00FA5D7E">
        <w:rPr>
          <w:rFonts w:cs="Times New Roman"/>
          <w:i/>
          <w:szCs w:val="24"/>
        </w:rPr>
        <w:t>McGill L.J.</w:t>
      </w:r>
      <w:r w:rsidRPr="00FA5D7E">
        <w:rPr>
          <w:rFonts w:cs="Times New Roman"/>
          <w:szCs w:val="24"/>
        </w:rPr>
        <w:t xml:space="preserve"> 157, at p. 158.  Historically, unless they were legitimated by their parents’ getting married, natural children could not inherit from their parents unless the latter had provided for them in a will.  Nor could they claim from their parents performance of the obligations of maintenance and education that married spouses had to their legitimate children.  The [</w:t>
      </w:r>
      <w:r w:rsidRPr="00FA5D7E">
        <w:rPr>
          <w:rFonts w:cs="Times New Roman"/>
          <w:smallCaps/>
          <w:szCs w:val="24"/>
        </w:rPr>
        <w:t>translation</w:t>
      </w:r>
      <w:r w:rsidRPr="00FA5D7E">
        <w:rPr>
          <w:rFonts w:cs="Times New Roman"/>
          <w:szCs w:val="24"/>
        </w:rPr>
        <w:t>] “</w:t>
      </w:r>
      <w:r w:rsidRPr="00FA5D7E">
        <w:rPr>
          <w:rFonts w:cs="Times New Roman"/>
          <w:i/>
          <w:szCs w:val="24"/>
        </w:rPr>
        <w:t>Civil Code of Lower Canada</w:t>
      </w:r>
      <w:r w:rsidRPr="00FA5D7E">
        <w:rPr>
          <w:rFonts w:cs="Times New Roman"/>
          <w:szCs w:val="24"/>
        </w:rPr>
        <w:t xml:space="preserve"> [thus] distinguished legitimate, natural, adulterine and incestuous children”: Moore, at p. 266.  Professor Jean</w:t>
      </w:r>
      <w:r w:rsidRPr="00FA5D7E">
        <w:rPr>
          <w:rFonts w:cs="Times New Roman"/>
          <w:szCs w:val="24"/>
        </w:rPr>
        <w:noBreakHyphen/>
        <w:t>Louis Baudouin, as he then was, explained the rationale for this distinction:</w:t>
      </w:r>
    </w:p>
    <w:p w:rsidR="004862B9" w:rsidRPr="00FA5D7E" w:rsidRDefault="004862B9" w:rsidP="00835399">
      <w:pPr>
        <w:pStyle w:val="Citation-AltC"/>
        <w:tabs>
          <w:tab w:val="left" w:pos="1170"/>
          <w:tab w:val="left" w:pos="1620"/>
        </w:tabs>
        <w:ind w:left="1170" w:hanging="1170"/>
        <w:contextualSpacing w:val="0"/>
        <w:rPr>
          <w:szCs w:val="24"/>
          <w:lang w:val="en-CA"/>
        </w:rPr>
      </w:pPr>
      <w:r w:rsidRPr="00FA5D7E">
        <w:rPr>
          <w:szCs w:val="24"/>
          <w:lang w:val="en-CA"/>
        </w:rPr>
        <w:tab/>
      </w:r>
      <w:r w:rsidRPr="00FA5D7E">
        <w:rPr>
          <w:szCs w:val="24"/>
          <w:lang w:val="en-CA"/>
        </w:rPr>
        <w:tab/>
        <w:t>[</w:t>
      </w:r>
      <w:r w:rsidRPr="00FA5D7E">
        <w:rPr>
          <w:smallCaps/>
          <w:szCs w:val="24"/>
          <w:lang w:val="en-CA"/>
        </w:rPr>
        <w:t>translation</w:t>
      </w:r>
      <w:r w:rsidRPr="00FA5D7E">
        <w:rPr>
          <w:szCs w:val="24"/>
          <w:lang w:val="en-CA"/>
        </w:rPr>
        <w:t xml:space="preserve">]  The legal reasons given to justify ignoring the natural family group can be seen clearly upon reading our Code . . .:  a desire to protect the rights of legitimate families, a refusal to condone conduct contrary to good morals, a refusal to encourage the proliferation of </w:t>
      </w:r>
      <w:r w:rsidRPr="00FA5D7E">
        <w:rPr>
          <w:i/>
          <w:szCs w:val="24"/>
          <w:lang w:val="en-CA"/>
        </w:rPr>
        <w:t>de facto</w:t>
      </w:r>
      <w:r w:rsidR="00517A9E">
        <w:rPr>
          <w:szCs w:val="24"/>
          <w:lang w:val="en-CA"/>
        </w:rPr>
        <w:t xml:space="preserve"> unions, etc.  [pp. 157</w:t>
      </w:r>
      <w:r w:rsidR="00517A9E">
        <w:rPr>
          <w:szCs w:val="24"/>
          <w:lang w:val="en-CA"/>
        </w:rPr>
        <w:noBreakHyphen/>
        <w:t>58</w:t>
      </w:r>
      <w:r w:rsidRPr="00FA5D7E">
        <w:rPr>
          <w:szCs w:val="24"/>
          <w:lang w:val="en-CA"/>
        </w:rPr>
        <w:t xml:space="preserve">] </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When it enacted the </w:t>
      </w:r>
      <w:r w:rsidRPr="00FA5D7E">
        <w:rPr>
          <w:rFonts w:cs="Times New Roman"/>
          <w:i/>
          <w:szCs w:val="24"/>
        </w:rPr>
        <w:t>Act to establish a new Civil Code and to reform family law</w:t>
      </w:r>
      <w:r w:rsidRPr="00FA5D7E">
        <w:rPr>
          <w:rFonts w:cs="Times New Roman"/>
          <w:szCs w:val="24"/>
        </w:rPr>
        <w:t xml:space="preserve">, the legislature moved away from this negative, even hostile, view of the </w:t>
      </w:r>
      <w:r w:rsidRPr="00FA5D7E">
        <w:rPr>
          <w:rFonts w:cs="Times New Roman"/>
          <w:i/>
          <w:szCs w:val="24"/>
        </w:rPr>
        <w:t>de facto</w:t>
      </w:r>
      <w:r w:rsidRPr="00FA5D7E">
        <w:rPr>
          <w:rFonts w:cs="Times New Roman"/>
          <w:szCs w:val="24"/>
        </w:rPr>
        <w:t xml:space="preserve"> union.  The prohibition against gifts </w:t>
      </w:r>
      <w:r w:rsidRPr="00FA5D7E">
        <w:rPr>
          <w:rFonts w:cs="Times New Roman"/>
          <w:i/>
          <w:szCs w:val="24"/>
        </w:rPr>
        <w:t>inter vivos</w:t>
      </w:r>
      <w:r w:rsidRPr="00FA5D7E">
        <w:rPr>
          <w:rFonts w:cs="Times New Roman"/>
          <w:szCs w:val="24"/>
        </w:rPr>
        <w:t xml:space="preserve"> was removed by repealing art. 768 </w:t>
      </w:r>
      <w:r w:rsidRPr="00FA5D7E">
        <w:rPr>
          <w:rFonts w:cs="Times New Roman"/>
          <w:i/>
          <w:szCs w:val="24"/>
        </w:rPr>
        <w:t>C.C.L.C.</w:t>
      </w:r>
      <w:r w:rsidRPr="00FA5D7E">
        <w:rPr>
          <w:rFonts w:cs="Times New Roman"/>
          <w:szCs w:val="24"/>
        </w:rPr>
        <w:t xml:space="preserve">  </w:t>
      </w:r>
      <w:r w:rsidRPr="00FA5D7E">
        <w:rPr>
          <w:rFonts w:cs="Times New Roman"/>
          <w:i/>
          <w:szCs w:val="24"/>
        </w:rPr>
        <w:t>De facto</w:t>
      </w:r>
      <w:r w:rsidRPr="00FA5D7E">
        <w:rPr>
          <w:rFonts w:cs="Times New Roman"/>
          <w:szCs w:val="24"/>
        </w:rPr>
        <w:t xml:space="preserve"> spouses became free to organize their relationships with one another through legally valid and binding agreements.  From that time on, it was open to them [</w:t>
      </w:r>
      <w:r w:rsidRPr="00FA5D7E">
        <w:rPr>
          <w:rFonts w:cs="Times New Roman"/>
          <w:smallCaps/>
          <w:szCs w:val="24"/>
        </w:rPr>
        <w:t>translation</w:t>
      </w:r>
      <w:r w:rsidRPr="00FA5D7E">
        <w:rPr>
          <w:rFonts w:cs="Times New Roman"/>
          <w:szCs w:val="24"/>
        </w:rPr>
        <w:t>] “to enter into agreements freely [in what was] virtually the equivalent of a matrimonial regime for them”</w:t>
      </w:r>
      <w:r w:rsidR="00921338">
        <w:rPr>
          <w:rFonts w:cs="Times New Roman"/>
          <w:szCs w:val="24"/>
        </w:rPr>
        <w:t>:</w:t>
      </w:r>
      <w:r w:rsidRPr="00FA5D7E">
        <w:rPr>
          <w:rFonts w:cs="Times New Roman"/>
          <w:szCs w:val="24"/>
        </w:rPr>
        <w:t xml:space="preserve"> Sylvestre, at para. 8.  According to Professor Benoît Moore, this change confirmed the disappearance of the legislature’s hostility toward the </w:t>
      </w:r>
      <w:r w:rsidRPr="00FA5D7E">
        <w:rPr>
          <w:rFonts w:cs="Times New Roman"/>
          <w:i/>
          <w:szCs w:val="24"/>
        </w:rPr>
        <w:t>de facto</w:t>
      </w:r>
      <w:r w:rsidRPr="00FA5D7E">
        <w:rPr>
          <w:rFonts w:cs="Times New Roman"/>
          <w:szCs w:val="24"/>
        </w:rPr>
        <w:t xml:space="preserve"> union:  p. 267.</w:t>
      </w:r>
    </w:p>
    <w:p w:rsidR="004862B9" w:rsidRPr="00FA5D7E" w:rsidRDefault="004862B9" w:rsidP="00815D04">
      <w:pPr>
        <w:pStyle w:val="ParaNoNdepar-AltN"/>
        <w:tabs>
          <w:tab w:val="clear" w:pos="1166"/>
          <w:tab w:val="num" w:pos="1152"/>
        </w:tabs>
        <w:ind w:left="0"/>
        <w:rPr>
          <w:rFonts w:cs="Times New Roman"/>
          <w:szCs w:val="24"/>
        </w:rPr>
      </w:pPr>
      <w:r w:rsidRPr="00FA5D7E">
        <w:rPr>
          <w:rFonts w:cs="Times New Roman"/>
          <w:szCs w:val="24"/>
        </w:rPr>
        <w:t xml:space="preserve">The legislature also eliminated the distinctions between legitimate, natural, adulterine and incestuous children.  It thus established the principle that children are equal regardless of the circumstances of their birth and the nature of their filiation.  Article 522 </w:t>
      </w:r>
      <w:r w:rsidRPr="00FA5D7E">
        <w:rPr>
          <w:rFonts w:cs="Times New Roman"/>
          <w:i/>
          <w:szCs w:val="24"/>
        </w:rPr>
        <w:t>C.C.Q.</w:t>
      </w:r>
      <w:r w:rsidRPr="00FA5D7E">
        <w:rPr>
          <w:rFonts w:cs="Times New Roman"/>
          <w:szCs w:val="24"/>
        </w:rPr>
        <w:t xml:space="preserve"> now codifies the principle that all children whose filiation is established have the same rights and obligations.  The rules on parental authority (arts. 597 </w:t>
      </w:r>
      <w:r w:rsidRPr="00FA5D7E">
        <w:rPr>
          <w:rFonts w:cs="Times New Roman"/>
          <w:i/>
          <w:szCs w:val="24"/>
        </w:rPr>
        <w:t>C.C.Q.</w:t>
      </w:r>
      <w:r w:rsidR="00517A9E" w:rsidRPr="00517A9E">
        <w:rPr>
          <w:rFonts w:cs="Times New Roman"/>
          <w:i/>
          <w:szCs w:val="24"/>
        </w:rPr>
        <w:t xml:space="preserve"> </w:t>
      </w:r>
      <w:r w:rsidR="00517A9E" w:rsidRPr="00FA5D7E">
        <w:rPr>
          <w:rFonts w:cs="Times New Roman"/>
          <w:i/>
          <w:szCs w:val="24"/>
        </w:rPr>
        <w:t>et seq.</w:t>
      </w:r>
      <w:r w:rsidRPr="00FA5D7E">
        <w:rPr>
          <w:rFonts w:cs="Times New Roman"/>
          <w:szCs w:val="24"/>
        </w:rPr>
        <w:t xml:space="preserve">), the obligation of support (art. 585 </w:t>
      </w:r>
      <w:r w:rsidRPr="00FA5D7E">
        <w:rPr>
          <w:rFonts w:cs="Times New Roman"/>
          <w:i/>
          <w:szCs w:val="24"/>
        </w:rPr>
        <w:t>C.C.Q.</w:t>
      </w:r>
      <w:r w:rsidRPr="00FA5D7E">
        <w:rPr>
          <w:rFonts w:cs="Times New Roman"/>
          <w:szCs w:val="24"/>
        </w:rPr>
        <w:t xml:space="preserve">) and intestate succession (art. 655 </w:t>
      </w:r>
      <w:r w:rsidRPr="00FA5D7E">
        <w:rPr>
          <w:rFonts w:cs="Times New Roman"/>
          <w:i/>
          <w:szCs w:val="24"/>
        </w:rPr>
        <w:t>C.C.Q.</w:t>
      </w:r>
      <w:r w:rsidRPr="00FA5D7E">
        <w:rPr>
          <w:rFonts w:cs="Times New Roman"/>
          <w:szCs w:val="24"/>
        </w:rPr>
        <w:t xml:space="preserve">) therefore apply to all children.  In addition, art. 604 </w:t>
      </w:r>
      <w:r w:rsidRPr="00FA5D7E">
        <w:rPr>
          <w:rFonts w:cs="Times New Roman"/>
          <w:i/>
          <w:szCs w:val="24"/>
        </w:rPr>
        <w:t>C.C.Q.</w:t>
      </w:r>
      <w:r w:rsidRPr="00FA5D7E">
        <w:rPr>
          <w:rFonts w:cs="Times New Roman"/>
          <w:szCs w:val="24"/>
        </w:rPr>
        <w:t xml:space="preserve"> provides that, “[i]n the case of difficulties relating to the exercise of parental authority, the person having parental authority may refer the matter to the court, which will decide in the interest of the child after fostering the conciliation of the parties”.  Thus, when </w:t>
      </w:r>
      <w:r w:rsidRPr="00FA5D7E">
        <w:rPr>
          <w:rFonts w:cs="Times New Roman"/>
          <w:i/>
          <w:szCs w:val="24"/>
        </w:rPr>
        <w:t>de facto</w:t>
      </w:r>
      <w:r w:rsidRPr="00FA5D7E">
        <w:rPr>
          <w:rFonts w:cs="Times New Roman"/>
          <w:szCs w:val="24"/>
        </w:rPr>
        <w:t xml:space="preserve"> spouses cease living together, a court can rule on child custody and access in the same way as it might in a case involving the separation of married spouses.  According to D. Goubau, G. Otis and D. Robitaille, [</w:t>
      </w:r>
      <w:r w:rsidRPr="00FA5D7E">
        <w:rPr>
          <w:rFonts w:cs="Times New Roman"/>
          <w:smallCaps/>
          <w:szCs w:val="24"/>
        </w:rPr>
        <w:t>translation</w:t>
      </w:r>
      <w:r w:rsidRPr="00FA5D7E">
        <w:rPr>
          <w:rFonts w:cs="Times New Roman"/>
          <w:szCs w:val="24"/>
        </w:rPr>
        <w:t>] “the Civil Code [thus] reflects the fact that marriage is no longer required as a framework for the family</w:t>
      </w:r>
      <w:r w:rsidR="00B60C7F">
        <w:rPr>
          <w:rFonts w:cs="Times New Roman"/>
          <w:szCs w:val="24"/>
        </w:rPr>
        <w:t>”</w:t>
      </w:r>
      <w:r w:rsidRPr="00FA5D7E">
        <w:rPr>
          <w:rFonts w:cs="Times New Roman"/>
          <w:szCs w:val="24"/>
        </w:rPr>
        <w:t>:  “La spécificité patrimoniale de l’union de fait: le libre choix et ses ‘dommages collatéraux’” (2003), 44 </w:t>
      </w:r>
      <w:r w:rsidRPr="00FA5D7E">
        <w:rPr>
          <w:rFonts w:cs="Times New Roman"/>
          <w:i/>
          <w:szCs w:val="24"/>
        </w:rPr>
        <w:t>C. de D.</w:t>
      </w:r>
      <w:r w:rsidRPr="00FA5D7E">
        <w:rPr>
          <w:rFonts w:cs="Times New Roman"/>
          <w:szCs w:val="24"/>
        </w:rPr>
        <w:t xml:space="preserve"> 3, at p. 13.</w:t>
      </w:r>
    </w:p>
    <w:p w:rsidR="004862B9" w:rsidRPr="00FA5D7E" w:rsidRDefault="004862B9" w:rsidP="00342A10">
      <w:pPr>
        <w:pStyle w:val="TitleTitre-AltT"/>
        <w:tabs>
          <w:tab w:val="clear" w:pos="360"/>
          <w:tab w:val="left" w:pos="1170"/>
        </w:tabs>
        <w:ind w:left="1710" w:hanging="1710"/>
        <w:rPr>
          <w:rFonts w:cs="Times New Roman"/>
          <w:i/>
          <w:szCs w:val="24"/>
          <w:lang w:val="en-CA"/>
        </w:rPr>
      </w:pPr>
      <w:r w:rsidRPr="00FA5D7E">
        <w:rPr>
          <w:rFonts w:cs="Times New Roman"/>
          <w:szCs w:val="24"/>
          <w:lang w:val="en-CA"/>
        </w:rPr>
        <w:tab/>
        <w:t>(b)</w:t>
      </w:r>
      <w:r w:rsidRPr="00FA5D7E">
        <w:rPr>
          <w:rFonts w:cs="Times New Roman"/>
          <w:szCs w:val="24"/>
          <w:lang w:val="en-CA"/>
        </w:rPr>
        <w:tab/>
      </w:r>
      <w:r w:rsidRPr="00FA5D7E">
        <w:rPr>
          <w:rFonts w:cs="Times New Roman"/>
          <w:i/>
          <w:szCs w:val="24"/>
          <w:lang w:val="en-CA"/>
        </w:rPr>
        <w:t>Legislative Policy Respecting the De Facto Union Following the 1980 Reform</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 1980 reform, the Quebec legislature established the rule of freedom of contract for </w:t>
      </w:r>
      <w:r w:rsidRPr="00FA5D7E">
        <w:rPr>
          <w:rFonts w:cs="Times New Roman"/>
          <w:i/>
          <w:szCs w:val="24"/>
        </w:rPr>
        <w:t>de facto</w:t>
      </w:r>
      <w:r w:rsidRPr="00FA5D7E">
        <w:rPr>
          <w:rFonts w:cs="Times New Roman"/>
          <w:szCs w:val="24"/>
        </w:rPr>
        <w:t xml:space="preserve"> spouses in organizing their relationships with one another.  At the same time, as I mentioned above, it redefined the mandatory content of marriage by introducing a primary regime that no spouse could opt out of.  Whether the </w:t>
      </w:r>
      <w:r w:rsidRPr="00FA5D7E">
        <w:rPr>
          <w:rFonts w:cs="Times New Roman"/>
          <w:i/>
          <w:szCs w:val="24"/>
        </w:rPr>
        <w:t>de facto</w:t>
      </w:r>
      <w:r w:rsidRPr="00FA5D7E">
        <w:rPr>
          <w:rFonts w:cs="Times New Roman"/>
          <w:szCs w:val="24"/>
        </w:rPr>
        <w:t xml:space="preserve"> union should be redefined by imposing a similar mandatory legislative framework on it was also discussed in the Quebec National Assembly at that time.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One proposal that had already been made by the Civil Code Revision Office was to require </w:t>
      </w:r>
      <w:r w:rsidRPr="00FA5D7E">
        <w:rPr>
          <w:rFonts w:cs="Times New Roman"/>
          <w:i/>
          <w:szCs w:val="24"/>
        </w:rPr>
        <w:t>de facto</w:t>
      </w:r>
      <w:r w:rsidRPr="00FA5D7E">
        <w:rPr>
          <w:rFonts w:cs="Times New Roman"/>
          <w:szCs w:val="24"/>
        </w:rPr>
        <w:t xml:space="preserve"> spouses to contribute proportionately toward household expenses:  </w:t>
      </w:r>
      <w:r w:rsidRPr="00FA5D7E">
        <w:rPr>
          <w:rFonts w:cs="Times New Roman"/>
          <w:i/>
          <w:szCs w:val="24"/>
        </w:rPr>
        <w:t>Report on the Québec Civil Code</w:t>
      </w:r>
      <w:r w:rsidR="00B60C7F">
        <w:rPr>
          <w:rFonts w:cs="Times New Roman"/>
          <w:i/>
          <w:szCs w:val="24"/>
        </w:rPr>
        <w:t xml:space="preserve"> </w:t>
      </w:r>
      <w:r w:rsidR="00B60C7F" w:rsidRPr="00FA5D7E">
        <w:rPr>
          <w:rFonts w:cs="Times New Roman"/>
          <w:szCs w:val="24"/>
        </w:rPr>
        <w:t>(1978)</w:t>
      </w:r>
      <w:r w:rsidRPr="00FA5D7E">
        <w:rPr>
          <w:rFonts w:cs="Times New Roman"/>
          <w:szCs w:val="24"/>
        </w:rPr>
        <w:t xml:space="preserve">, vol. II — </w:t>
      </w:r>
      <w:r w:rsidRPr="00FA5D7E">
        <w:rPr>
          <w:rFonts w:cs="Times New Roman"/>
          <w:i/>
          <w:szCs w:val="24"/>
        </w:rPr>
        <w:t>Commentaries</w:t>
      </w:r>
      <w:r w:rsidRPr="00FA5D7E">
        <w:rPr>
          <w:rFonts w:cs="Times New Roman"/>
          <w:szCs w:val="24"/>
        </w:rPr>
        <w:t xml:space="preserve">, t. 1, at pp. 113 and 206; see also Lefebvre, at p. 18.  With this in mind, the Office proposed art. 338 in its draft </w:t>
      </w:r>
      <w:r w:rsidRPr="00FA5D7E">
        <w:rPr>
          <w:rFonts w:cs="Times New Roman"/>
          <w:i/>
          <w:szCs w:val="24"/>
        </w:rPr>
        <w:t>Civil Code</w:t>
      </w:r>
      <w:r w:rsidRPr="00FA5D7E">
        <w:rPr>
          <w:rFonts w:cs="Times New Roman"/>
          <w:szCs w:val="24"/>
        </w:rPr>
        <w:t>:</w:t>
      </w:r>
    </w:p>
    <w:p w:rsidR="004862B9" w:rsidRPr="00FA5D7E" w:rsidRDefault="004862B9" w:rsidP="00B60C7F">
      <w:pPr>
        <w:pStyle w:val="Citation-AltC"/>
        <w:spacing w:after="240"/>
        <w:ind w:left="1134"/>
        <w:contextualSpacing w:val="0"/>
        <w:rPr>
          <w:szCs w:val="24"/>
          <w:lang w:val="en-CA"/>
        </w:rPr>
      </w:pPr>
      <w:r w:rsidRPr="00FA5D7E">
        <w:rPr>
          <w:b/>
          <w:szCs w:val="24"/>
          <w:lang w:val="en-CA"/>
        </w:rPr>
        <w:t>338.</w:t>
      </w:r>
      <w:r w:rsidRPr="00FA5D7E">
        <w:rPr>
          <w:szCs w:val="24"/>
          <w:lang w:val="en-CA"/>
        </w:rPr>
        <w:t>  </w:t>
      </w:r>
      <w:r w:rsidRPr="00FA5D7E">
        <w:rPr>
          <w:i/>
          <w:szCs w:val="24"/>
          <w:lang w:val="en-CA"/>
        </w:rPr>
        <w:t>De facto</w:t>
      </w:r>
      <w:r w:rsidRPr="00FA5D7E">
        <w:rPr>
          <w:szCs w:val="24"/>
          <w:lang w:val="en-CA"/>
        </w:rPr>
        <w:t xml:space="preserve"> consorts owe each other support as long as they live together.  </w:t>
      </w:r>
    </w:p>
    <w:p w:rsidR="004862B9" w:rsidRPr="00FA5D7E" w:rsidRDefault="004862B9" w:rsidP="00B60C7F">
      <w:pPr>
        <w:pStyle w:val="Citation-AltC"/>
        <w:spacing w:after="240"/>
        <w:ind w:left="1134" w:firstLine="272"/>
        <w:contextualSpacing w:val="0"/>
        <w:rPr>
          <w:szCs w:val="24"/>
          <w:lang w:val="en-CA"/>
        </w:rPr>
      </w:pPr>
      <w:r w:rsidRPr="00FA5D7E">
        <w:rPr>
          <w:szCs w:val="24"/>
          <w:lang w:val="en-CA"/>
        </w:rPr>
        <w:t xml:space="preserve">However, if exceptional circumstances justify it, the court may order a </w:t>
      </w:r>
      <w:r w:rsidRPr="00FA5D7E">
        <w:rPr>
          <w:i/>
          <w:szCs w:val="24"/>
          <w:lang w:val="en-CA"/>
        </w:rPr>
        <w:t>de facto</w:t>
      </w:r>
      <w:r w:rsidRPr="00FA5D7E">
        <w:rPr>
          <w:szCs w:val="24"/>
          <w:lang w:val="en-CA"/>
        </w:rPr>
        <w:t xml:space="preserve"> consort to pay support to his spouse once they no longer live together.</w:t>
      </w:r>
    </w:p>
    <w:p w:rsidR="004862B9" w:rsidRPr="00FA5D7E" w:rsidRDefault="004862B9" w:rsidP="00F57668">
      <w:pPr>
        <w:pStyle w:val="Citation-AltC"/>
        <w:ind w:left="0"/>
        <w:rPr>
          <w:szCs w:val="24"/>
          <w:lang w:val="en-CA"/>
        </w:rPr>
      </w:pPr>
      <w:r w:rsidRPr="00FA5D7E">
        <w:rPr>
          <w:szCs w:val="24"/>
          <w:lang w:val="en-CA"/>
        </w:rPr>
        <w:t>(</w:t>
      </w:r>
      <w:r w:rsidRPr="00FA5D7E">
        <w:rPr>
          <w:i/>
          <w:szCs w:val="24"/>
          <w:lang w:val="en-CA"/>
        </w:rPr>
        <w:t>Report on the Québec Civil Code</w:t>
      </w:r>
      <w:r w:rsidR="00B60C7F">
        <w:rPr>
          <w:i/>
          <w:szCs w:val="24"/>
          <w:lang w:val="en-CA"/>
        </w:rPr>
        <w:t xml:space="preserve"> </w:t>
      </w:r>
      <w:r w:rsidR="00B60C7F" w:rsidRPr="00FA5D7E">
        <w:rPr>
          <w:szCs w:val="24"/>
          <w:lang w:val="en-CA"/>
        </w:rPr>
        <w:t>(1978)</w:t>
      </w:r>
      <w:r w:rsidRPr="00FA5D7E">
        <w:rPr>
          <w:szCs w:val="24"/>
          <w:lang w:val="en-CA"/>
        </w:rPr>
        <w:t xml:space="preserve">, vol. I — </w:t>
      </w:r>
      <w:r w:rsidRPr="00FA5D7E">
        <w:rPr>
          <w:i/>
          <w:szCs w:val="24"/>
          <w:lang w:val="en-CA"/>
        </w:rPr>
        <w:t>Draft Civil Code</w:t>
      </w:r>
      <w:r w:rsidRPr="00FA5D7E">
        <w:rPr>
          <w:szCs w:val="24"/>
          <w:lang w:val="en-CA"/>
        </w:rPr>
        <w:t>, at p. 119)</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However, Quebec’s Conseil du statut de la femme, an independent agency created by the legislature in 1973 to advise the government on all matters relating to the status of women, was against imposing a mandatory legislative framework to govern relationships between </w:t>
      </w:r>
      <w:r w:rsidRPr="00FA5D7E">
        <w:rPr>
          <w:rFonts w:cs="Times New Roman"/>
          <w:i/>
          <w:szCs w:val="24"/>
        </w:rPr>
        <w:t>de facto</w:t>
      </w:r>
      <w:r w:rsidRPr="00FA5D7E">
        <w:rPr>
          <w:rFonts w:cs="Times New Roman"/>
          <w:szCs w:val="24"/>
        </w:rPr>
        <w:t xml:space="preserve"> spouses.  Criticizing the proposals of the Civil Code Revision Office on the basis that they limited the freedom of </w:t>
      </w:r>
      <w:r w:rsidRPr="00FA5D7E">
        <w:rPr>
          <w:rFonts w:cs="Times New Roman"/>
          <w:i/>
          <w:szCs w:val="24"/>
        </w:rPr>
        <w:t>de facto</w:t>
      </w:r>
      <w:r w:rsidRPr="00FA5D7E">
        <w:rPr>
          <w:rFonts w:cs="Times New Roman"/>
          <w:szCs w:val="24"/>
        </w:rPr>
        <w:t xml:space="preserve"> spouses, the Conseil stated that</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w:t>
      </w:r>
      <w:r w:rsidRPr="00FA5D7E">
        <w:rPr>
          <w:smallCaps/>
          <w:szCs w:val="24"/>
          <w:lang w:val="en-CA"/>
        </w:rPr>
        <w:t>translation</w:t>
      </w:r>
      <w:r w:rsidRPr="00FA5D7E">
        <w:rPr>
          <w:szCs w:val="24"/>
          <w:lang w:val="en-CA"/>
        </w:rPr>
        <w:t xml:space="preserve">] . . . this approach violates the animating principle of </w:t>
      </w:r>
      <w:r w:rsidRPr="00FA5D7E">
        <w:rPr>
          <w:i/>
          <w:szCs w:val="24"/>
          <w:lang w:val="en-CA"/>
        </w:rPr>
        <w:t>de facto</w:t>
      </w:r>
      <w:r w:rsidRPr="00FA5D7E">
        <w:rPr>
          <w:szCs w:val="24"/>
          <w:lang w:val="en-CA"/>
        </w:rPr>
        <w:t xml:space="preserve"> spouses, namely freedom of choice.  To respect the will of the parties involved, the [Conseil] recommends that no obligations result from a </w:t>
      </w:r>
      <w:r w:rsidRPr="00FA5D7E">
        <w:rPr>
          <w:i/>
          <w:szCs w:val="24"/>
          <w:lang w:val="en-CA"/>
        </w:rPr>
        <w:t>de facto</w:t>
      </w:r>
      <w:r w:rsidRPr="00FA5D7E">
        <w:rPr>
          <w:szCs w:val="24"/>
          <w:lang w:val="en-CA"/>
        </w:rPr>
        <w:t xml:space="preserve"> union.</w:t>
      </w:r>
    </w:p>
    <w:p w:rsidR="004862B9" w:rsidRPr="00FA5D7E" w:rsidRDefault="004862B9" w:rsidP="004862B9">
      <w:pPr>
        <w:pStyle w:val="Citation-AltC"/>
        <w:spacing w:after="240"/>
        <w:ind w:left="1168" w:hanging="1168"/>
        <w:contextualSpacing w:val="0"/>
        <w:jc w:val="center"/>
        <w:rPr>
          <w:szCs w:val="24"/>
          <w:lang w:val="en-CA"/>
        </w:rPr>
      </w:pPr>
      <w:r w:rsidRPr="00FA5D7E">
        <w:rPr>
          <w:szCs w:val="24"/>
          <w:lang w:val="en-CA"/>
        </w:rPr>
        <w:t>. . .</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r>
      <w:r w:rsidR="00921338">
        <w:rPr>
          <w:szCs w:val="24"/>
          <w:lang w:val="en-CA"/>
        </w:rPr>
        <w:tab/>
      </w:r>
      <w:r w:rsidRPr="00FA5D7E">
        <w:rPr>
          <w:szCs w:val="24"/>
          <w:lang w:val="en-CA"/>
        </w:rPr>
        <w:t xml:space="preserve">Our position on the </w:t>
      </w:r>
      <w:r w:rsidRPr="00FA5D7E">
        <w:rPr>
          <w:i/>
          <w:szCs w:val="24"/>
          <w:lang w:val="en-CA"/>
        </w:rPr>
        <w:t>de facto</w:t>
      </w:r>
      <w:r w:rsidRPr="00FA5D7E">
        <w:rPr>
          <w:szCs w:val="24"/>
          <w:lang w:val="en-CA"/>
        </w:rPr>
        <w:t xml:space="preserve"> union is based on true recognition of the equality and autonomy of individuals.  This is why we consider it essential to emphasize the non</w:t>
      </w:r>
      <w:r w:rsidRPr="00FA5D7E">
        <w:rPr>
          <w:szCs w:val="24"/>
          <w:lang w:val="en-CA"/>
        </w:rPr>
        <w:noBreakHyphen/>
        <w:t>institutionalization of this type of union and to respect the will of the parties involved.</w:t>
      </w:r>
    </w:p>
    <w:p w:rsidR="004862B9" w:rsidRPr="00FA5D7E" w:rsidRDefault="004862B9" w:rsidP="00F57668">
      <w:pPr>
        <w:pStyle w:val="Citation-AltC"/>
        <w:ind w:left="0"/>
        <w:rPr>
          <w:szCs w:val="24"/>
        </w:rPr>
      </w:pPr>
      <w:r w:rsidRPr="00FA5D7E">
        <w:rPr>
          <w:szCs w:val="24"/>
        </w:rPr>
        <w:t>(</w:t>
      </w:r>
      <w:r w:rsidRPr="00FA5D7E">
        <w:rPr>
          <w:i/>
          <w:szCs w:val="24"/>
        </w:rPr>
        <w:t xml:space="preserve">Mémoire présenté à la Commission parlementaire sur la réforme du droit de la famille </w:t>
      </w:r>
      <w:r w:rsidRPr="00FA5D7E">
        <w:rPr>
          <w:szCs w:val="24"/>
        </w:rPr>
        <w:t>(1979), at pp. 23</w:t>
      </w:r>
      <w:r w:rsidRPr="00FA5D7E">
        <w:rPr>
          <w:szCs w:val="24"/>
        </w:rPr>
        <w:noBreakHyphen/>
        <w:t xml:space="preserve">24; see also </w:t>
      </w:r>
      <w:r w:rsidRPr="00FA5D7E">
        <w:rPr>
          <w:i/>
          <w:szCs w:val="24"/>
        </w:rPr>
        <w:t>Mémoire du Conseil du statut de la femme présenté lors de la consultation générale sur les droits économiques des conjoints</w:t>
      </w:r>
      <w:r w:rsidRPr="00FA5D7E">
        <w:rPr>
          <w:szCs w:val="24"/>
        </w:rPr>
        <w:t xml:space="preserve"> (1988), at p. 40.)</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At the end of the parliamentary debate, the then Minister of Justice rejected the recommendation that a legislative framework be imposed on </w:t>
      </w:r>
      <w:r w:rsidRPr="00FA5D7E">
        <w:rPr>
          <w:rFonts w:cs="Times New Roman"/>
          <w:i/>
          <w:szCs w:val="24"/>
        </w:rPr>
        <w:t>de facto</w:t>
      </w:r>
      <w:r w:rsidRPr="00FA5D7E">
        <w:rPr>
          <w:rFonts w:cs="Times New Roman"/>
          <w:szCs w:val="24"/>
        </w:rPr>
        <w:t xml:space="preserve"> unions.  Instead, he decided to preserve the freedom of individuals to choose a form of union whose content was not predetermined.  He stated the following:</w:t>
      </w:r>
    </w:p>
    <w:p w:rsidR="004862B9" w:rsidRPr="00FA5D7E" w:rsidRDefault="004862B9" w:rsidP="004862B9">
      <w:pPr>
        <w:pStyle w:val="Citation-AltC"/>
        <w:tabs>
          <w:tab w:val="left" w:pos="1530"/>
        </w:tabs>
        <w:spacing w:after="240"/>
        <w:ind w:left="1168" w:hanging="1168"/>
        <w:contextualSpacing w:val="0"/>
        <w:rPr>
          <w:szCs w:val="24"/>
          <w:lang w:val="en-CA"/>
        </w:rPr>
      </w:pPr>
      <w:r w:rsidRPr="00FA5D7E">
        <w:rPr>
          <w:szCs w:val="24"/>
          <w:lang w:val="en-CA"/>
        </w:rPr>
        <w:tab/>
      </w:r>
      <w:r w:rsidRPr="00FA5D7E">
        <w:rPr>
          <w:szCs w:val="24"/>
          <w:lang w:val="en-CA"/>
        </w:rPr>
        <w:tab/>
        <w:t>[</w:t>
      </w:r>
      <w:r w:rsidRPr="00FA5D7E">
        <w:rPr>
          <w:smallCaps/>
          <w:szCs w:val="24"/>
          <w:lang w:val="en-CA"/>
        </w:rPr>
        <w:t>translation</w:t>
      </w:r>
      <w:r w:rsidRPr="00FA5D7E">
        <w:rPr>
          <w:szCs w:val="24"/>
          <w:lang w:val="en-CA"/>
        </w:rPr>
        <w:t xml:space="preserve">]  Another case requiring a concrete application of the principle that individuals should be free to choose how to organize their family unit is that of the </w:t>
      </w:r>
      <w:r w:rsidRPr="00FA5D7E">
        <w:rPr>
          <w:i/>
          <w:szCs w:val="24"/>
          <w:lang w:val="en-CA"/>
        </w:rPr>
        <w:t>de facto</w:t>
      </w:r>
      <w:r w:rsidRPr="00FA5D7E">
        <w:rPr>
          <w:szCs w:val="24"/>
          <w:lang w:val="en-CA"/>
        </w:rPr>
        <w:t xml:space="preserve"> union.  Most of the briefs submitted to the parliamentary justice committee on family law reform in March 1979 asked the legislature to respect the desire of unmarried couples to distinguish their choice of lifestyle from marriage.  We therefore considered it appropriate not to interfere with this freely chosen lifestyle; there is thus no need to institutionalize or regulate it.  </w:t>
      </w:r>
    </w:p>
    <w:p w:rsidR="004862B9" w:rsidRPr="00FA5D7E" w:rsidRDefault="004862B9" w:rsidP="004862B9">
      <w:pPr>
        <w:pStyle w:val="Citation-AltC"/>
        <w:tabs>
          <w:tab w:val="left" w:pos="1530"/>
        </w:tabs>
        <w:spacing w:after="240"/>
        <w:ind w:left="1168" w:hanging="1168"/>
        <w:contextualSpacing w:val="0"/>
        <w:rPr>
          <w:szCs w:val="24"/>
          <w:lang w:val="en-CA"/>
        </w:rPr>
      </w:pPr>
      <w:r w:rsidRPr="00FA5D7E">
        <w:rPr>
          <w:szCs w:val="24"/>
          <w:lang w:val="en-CA"/>
        </w:rPr>
        <w:tab/>
      </w:r>
      <w:r w:rsidRPr="00FA5D7E">
        <w:rPr>
          <w:szCs w:val="24"/>
          <w:lang w:val="en-CA"/>
        </w:rPr>
        <w:tab/>
        <w:t xml:space="preserve">Moreover, to fully respect this option, it seemed reasonable to put </w:t>
      </w:r>
      <w:r w:rsidRPr="00FA5D7E">
        <w:rPr>
          <w:i/>
          <w:szCs w:val="24"/>
          <w:lang w:val="en-CA"/>
        </w:rPr>
        <w:t>de facto</w:t>
      </w:r>
      <w:r w:rsidRPr="00FA5D7E">
        <w:rPr>
          <w:szCs w:val="24"/>
          <w:lang w:val="en-CA"/>
        </w:rPr>
        <w:t xml:space="preserve"> spouses on the same footing as other individuals by proposing the abolition of the restrictions that continue to apply to them today under article 768 of the Civil Code, which limits their right to make gifts to each other.</w:t>
      </w:r>
    </w:p>
    <w:p w:rsidR="004862B9" w:rsidRPr="00FA5D7E" w:rsidRDefault="004862B9" w:rsidP="00F57668">
      <w:pPr>
        <w:pStyle w:val="Citation-AltC"/>
        <w:ind w:left="0"/>
        <w:rPr>
          <w:szCs w:val="24"/>
          <w:lang w:val="en-CA"/>
        </w:rPr>
      </w:pPr>
      <w:r w:rsidRPr="00FA5D7E">
        <w:rPr>
          <w:szCs w:val="24"/>
          <w:lang w:val="en-CA"/>
        </w:rPr>
        <w:t xml:space="preserve">(National Assembly, </w:t>
      </w:r>
      <w:r w:rsidRPr="00FA5D7E">
        <w:rPr>
          <w:i/>
          <w:szCs w:val="24"/>
          <w:lang w:val="en-CA"/>
        </w:rPr>
        <w:t>Journal des débats</w:t>
      </w:r>
      <w:r w:rsidRPr="00FA5D7E">
        <w:rPr>
          <w:szCs w:val="24"/>
          <w:lang w:val="en-CA"/>
        </w:rPr>
        <w:t>, vol. 23, No. 15, 6th Sess., 31st Leg., December 4, 1980, at p. 608 (second reading of Bill 89).  This position was supported by the then leader of the official Opposition, who stated the following at p. 663:  [</w:t>
      </w:r>
      <w:r w:rsidRPr="00FA5D7E">
        <w:rPr>
          <w:smallCaps/>
          <w:szCs w:val="24"/>
          <w:lang w:val="en-CA"/>
        </w:rPr>
        <w:t>translation</w:t>
      </w:r>
      <w:r w:rsidRPr="00FA5D7E">
        <w:rPr>
          <w:szCs w:val="24"/>
          <w:lang w:val="en-CA"/>
        </w:rPr>
        <w:t xml:space="preserve">] “Regarding the </w:t>
      </w:r>
      <w:r w:rsidRPr="00FA5D7E">
        <w:rPr>
          <w:i/>
          <w:szCs w:val="24"/>
          <w:lang w:val="en-CA"/>
        </w:rPr>
        <w:t>de facto</w:t>
      </w:r>
      <w:r w:rsidRPr="00FA5D7E">
        <w:rPr>
          <w:szCs w:val="24"/>
          <w:lang w:val="en-CA"/>
        </w:rPr>
        <w:t xml:space="preserve"> union, therefore, I think we should proceed very carefully.  If people do not want to give their union a legal or statutory status themselves, such a status cannot be forced on them either.”)</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legislature would debate but reaffirm this position several times during the successive reforms that have modified Quebec family law since 1980.  On the occasion of each reform, the legislature reiterated its choice not to regulate the private relationships of </w:t>
      </w:r>
      <w:r w:rsidRPr="00FA5D7E">
        <w:rPr>
          <w:rFonts w:cs="Times New Roman"/>
          <w:i/>
          <w:szCs w:val="24"/>
        </w:rPr>
        <w:t>de facto</w:t>
      </w:r>
      <w:r w:rsidRPr="00FA5D7E">
        <w:rPr>
          <w:rFonts w:cs="Times New Roman"/>
          <w:szCs w:val="24"/>
        </w:rPr>
        <w:t xml:space="preserve"> spouses on the basis that their individual autonomy and freedom should be respected:  see, for example, the remarks of the Minister for the Status of Women at the time of the creation of the family patrimony (National Assembly, </w:t>
      </w:r>
      <w:r w:rsidRPr="00FA5D7E">
        <w:rPr>
          <w:rFonts w:cs="Times New Roman"/>
          <w:i/>
          <w:szCs w:val="24"/>
        </w:rPr>
        <w:t>Journal des débats</w:t>
      </w:r>
      <w:r w:rsidRPr="00FA5D7E">
        <w:rPr>
          <w:rFonts w:cs="Times New Roman"/>
          <w:szCs w:val="24"/>
        </w:rPr>
        <w:t xml:space="preserve">, </w:t>
      </w:r>
      <w:r w:rsidRPr="00FA5D7E">
        <w:rPr>
          <w:szCs w:val="24"/>
        </w:rPr>
        <w:t xml:space="preserve">vol. 30, No. 125, 2nd Sess., 33rd Leg., </w:t>
      </w:r>
      <w:r w:rsidRPr="00FA5D7E">
        <w:rPr>
          <w:rFonts w:cs="Times New Roman"/>
          <w:szCs w:val="24"/>
        </w:rPr>
        <w:t xml:space="preserve">June 8, 1989, at p. 6487), of the Minister of Justice two years later in the context of the reform of the </w:t>
      </w:r>
      <w:r w:rsidRPr="00FA5D7E">
        <w:rPr>
          <w:rFonts w:cs="Times New Roman"/>
          <w:i/>
          <w:szCs w:val="24"/>
        </w:rPr>
        <w:t>Civil Code</w:t>
      </w:r>
      <w:r w:rsidRPr="00FA5D7E">
        <w:rPr>
          <w:rFonts w:cs="Times New Roman"/>
          <w:szCs w:val="24"/>
        </w:rPr>
        <w:t xml:space="preserve"> (National Assembly, Subcommittee on Institutions, </w:t>
      </w:r>
      <w:r w:rsidRPr="00FA5D7E">
        <w:rPr>
          <w:rFonts w:cs="Times New Roman"/>
          <w:i/>
          <w:szCs w:val="24"/>
        </w:rPr>
        <w:t>Journal des débats</w:t>
      </w:r>
      <w:r w:rsidRPr="00FA5D7E">
        <w:rPr>
          <w:rFonts w:cs="Times New Roman"/>
          <w:szCs w:val="24"/>
        </w:rPr>
        <w:t xml:space="preserve">, </w:t>
      </w:r>
      <w:r w:rsidRPr="00FA5D7E">
        <w:rPr>
          <w:szCs w:val="24"/>
        </w:rPr>
        <w:t xml:space="preserve">No. 22, 1st Sess., 34th Leg., </w:t>
      </w:r>
      <w:r w:rsidR="00B60C7F">
        <w:rPr>
          <w:rFonts w:cs="Times New Roman"/>
          <w:szCs w:val="24"/>
        </w:rPr>
        <w:t>November 19, 1991, at p. </w:t>
      </w:r>
      <w:r w:rsidRPr="00FA5D7E">
        <w:rPr>
          <w:rFonts w:cs="Times New Roman"/>
          <w:szCs w:val="24"/>
        </w:rPr>
        <w:t>859), of the Minister of Justice at the time of the recognition of same</w:t>
      </w:r>
      <w:r w:rsidRPr="00FA5D7E">
        <w:rPr>
          <w:rFonts w:cs="Times New Roman"/>
          <w:szCs w:val="24"/>
        </w:rPr>
        <w:noBreakHyphen/>
        <w:t xml:space="preserve">sex </w:t>
      </w:r>
      <w:r w:rsidRPr="00FA5D7E">
        <w:rPr>
          <w:rFonts w:cs="Times New Roman"/>
          <w:i/>
          <w:szCs w:val="24"/>
        </w:rPr>
        <w:t>de facto</w:t>
      </w:r>
      <w:r w:rsidRPr="00FA5D7E">
        <w:rPr>
          <w:rFonts w:cs="Times New Roman"/>
          <w:szCs w:val="24"/>
        </w:rPr>
        <w:t xml:space="preserve"> spouses in social legislation (National Assembly, </w:t>
      </w:r>
      <w:r w:rsidRPr="00FA5D7E">
        <w:rPr>
          <w:rFonts w:cs="Times New Roman"/>
          <w:i/>
          <w:szCs w:val="24"/>
        </w:rPr>
        <w:t>Journal des débats</w:t>
      </w:r>
      <w:r w:rsidRPr="00FA5D7E">
        <w:rPr>
          <w:rFonts w:cs="Times New Roman"/>
          <w:szCs w:val="24"/>
        </w:rPr>
        <w:t xml:space="preserve">, </w:t>
      </w:r>
      <w:r w:rsidRPr="00FA5D7E">
        <w:rPr>
          <w:szCs w:val="24"/>
        </w:rPr>
        <w:t xml:space="preserve">No. 197, 2nd Sess., 35th Leg., </w:t>
      </w:r>
      <w:r w:rsidRPr="00FA5D7E">
        <w:rPr>
          <w:rFonts w:cs="Times New Roman"/>
          <w:szCs w:val="24"/>
        </w:rPr>
        <w:t>June 18, 1998, at pp. 12069</w:t>
      </w:r>
      <w:r w:rsidRPr="00FA5D7E">
        <w:rPr>
          <w:rFonts w:cs="Times New Roman"/>
          <w:szCs w:val="24"/>
        </w:rPr>
        <w:noBreakHyphen/>
        <w:t xml:space="preserve">70), and of the Minister of Justice at the time of the establishment of the civil union (National Assembly, Standing Committee on Institutions, </w:t>
      </w:r>
      <w:r w:rsidRPr="00FA5D7E">
        <w:rPr>
          <w:rFonts w:cs="Times New Roman"/>
          <w:i/>
          <w:szCs w:val="24"/>
        </w:rPr>
        <w:t>Journal des débats</w:t>
      </w:r>
      <w:r w:rsidRPr="00FA5D7E">
        <w:rPr>
          <w:rFonts w:cs="Times New Roman"/>
          <w:szCs w:val="24"/>
        </w:rPr>
        <w:t xml:space="preserve">, </w:t>
      </w:r>
      <w:r w:rsidRPr="00FA5D7E">
        <w:rPr>
          <w:szCs w:val="24"/>
        </w:rPr>
        <w:t xml:space="preserve">vol. 37, No. 46, 2nd Sess., 36th Leg., </w:t>
      </w:r>
      <w:r w:rsidRPr="00FA5D7E">
        <w:rPr>
          <w:rFonts w:cs="Times New Roman"/>
          <w:szCs w:val="24"/>
        </w:rPr>
        <w:t>February 12, 2002, at pp. 4</w:t>
      </w:r>
      <w:r w:rsidRPr="00FA5D7E">
        <w:rPr>
          <w:rFonts w:cs="Times New Roman"/>
          <w:szCs w:val="24"/>
        </w:rPr>
        <w:noBreakHyphen/>
        <w:t>5).</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At the time of the establishment of the civil union in 2002, the Minister of Justice clearly stated that Quebec law now [</w:t>
      </w:r>
      <w:r w:rsidRPr="00FA5D7E">
        <w:rPr>
          <w:rFonts w:cs="Times New Roman"/>
          <w:smallCaps/>
          <w:szCs w:val="24"/>
        </w:rPr>
        <w:t>translation</w:t>
      </w:r>
      <w:r w:rsidRPr="00FA5D7E">
        <w:rPr>
          <w:rFonts w:cs="Times New Roman"/>
          <w:szCs w:val="24"/>
        </w:rPr>
        <w:t xml:space="preserve">] “recognizes three types of conjugality: that of married spouses, that of civil union spouses and that of </w:t>
      </w:r>
      <w:r w:rsidRPr="00FA5D7E">
        <w:rPr>
          <w:rFonts w:cs="Times New Roman"/>
          <w:i/>
          <w:szCs w:val="24"/>
        </w:rPr>
        <w:t>de facto</w:t>
      </w:r>
      <w:r w:rsidRPr="00FA5D7E">
        <w:rPr>
          <w:rFonts w:cs="Times New Roman"/>
          <w:szCs w:val="24"/>
        </w:rPr>
        <w:t xml:space="preserve"> spouses”.  He also confirmed that the bill instituting the civil union [</w:t>
      </w:r>
      <w:r w:rsidRPr="00FA5D7E">
        <w:rPr>
          <w:rFonts w:cs="Times New Roman"/>
          <w:smallCaps/>
          <w:szCs w:val="24"/>
        </w:rPr>
        <w:t>translation</w:t>
      </w:r>
      <w:r w:rsidRPr="00FA5D7E">
        <w:rPr>
          <w:rFonts w:cs="Times New Roman"/>
          <w:szCs w:val="24"/>
        </w:rPr>
        <w:t xml:space="preserve">] “does not propose any amendments that affect the conditions under which </w:t>
      </w:r>
      <w:r w:rsidRPr="00FA5D7E">
        <w:rPr>
          <w:rFonts w:cs="Times New Roman"/>
          <w:i/>
          <w:szCs w:val="24"/>
        </w:rPr>
        <w:t>de facto</w:t>
      </w:r>
      <w:r w:rsidRPr="00FA5D7E">
        <w:rPr>
          <w:rFonts w:cs="Times New Roman"/>
          <w:szCs w:val="24"/>
        </w:rPr>
        <w:t xml:space="preserve"> spouses live together.  They remain free to establish the terms and conditions governing their relationships”:  National Assembly, </w:t>
      </w:r>
      <w:r w:rsidRPr="00FA5D7E">
        <w:rPr>
          <w:rFonts w:cs="Times New Roman"/>
          <w:i/>
          <w:szCs w:val="24"/>
        </w:rPr>
        <w:t>Journal des débats</w:t>
      </w:r>
      <w:r w:rsidRPr="00FA5D7E">
        <w:rPr>
          <w:rFonts w:cs="Times New Roman"/>
          <w:szCs w:val="24"/>
        </w:rPr>
        <w:t xml:space="preserve">, </w:t>
      </w:r>
      <w:r w:rsidRPr="00FA5D7E">
        <w:rPr>
          <w:szCs w:val="24"/>
        </w:rPr>
        <w:t xml:space="preserve">vol. 37, No. 96, 2nd Sess., 36th Leg., </w:t>
      </w:r>
      <w:r w:rsidRPr="00FA5D7E">
        <w:rPr>
          <w:rFonts w:cs="Times New Roman"/>
          <w:szCs w:val="24"/>
        </w:rPr>
        <w:t xml:space="preserve">May 7, 2002, at p. 5816. </w:t>
      </w:r>
    </w:p>
    <w:p w:rsidR="004862B9" w:rsidRPr="00FA5D7E" w:rsidRDefault="004862B9" w:rsidP="00342A10">
      <w:pPr>
        <w:pStyle w:val="TitleTitre-AltT"/>
        <w:tabs>
          <w:tab w:val="clear" w:pos="360"/>
          <w:tab w:val="left" w:pos="1170"/>
        </w:tabs>
        <w:ind w:left="1710" w:hanging="1710"/>
        <w:rPr>
          <w:rFonts w:cs="Times New Roman"/>
          <w:i/>
          <w:szCs w:val="24"/>
          <w:lang w:val="en-CA"/>
        </w:rPr>
      </w:pPr>
      <w:r w:rsidRPr="00FA5D7E">
        <w:rPr>
          <w:rFonts w:cs="Times New Roman"/>
          <w:szCs w:val="24"/>
          <w:lang w:val="en-CA"/>
        </w:rPr>
        <w:tab/>
        <w:t>(c)</w:t>
      </w:r>
      <w:r w:rsidRPr="00FA5D7E">
        <w:rPr>
          <w:rFonts w:cs="Times New Roman"/>
          <w:szCs w:val="24"/>
          <w:lang w:val="en-CA"/>
        </w:rPr>
        <w:tab/>
      </w:r>
      <w:r w:rsidRPr="00FA5D7E">
        <w:rPr>
          <w:rFonts w:cs="Times New Roman"/>
          <w:i/>
          <w:szCs w:val="24"/>
          <w:lang w:val="en-CA"/>
        </w:rPr>
        <w:t>Relationships Between De Facto Spouses: A Regime of Freedom of Contract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As we have seen, married and civil union spouses are, both during the marriage or union and upon its breakdown, subject to the mandatory application of the primary regime and the suppletive application of the regime of partnership of acquests.  The situation is very different for </w:t>
      </w:r>
      <w:r w:rsidRPr="00FA5D7E">
        <w:rPr>
          <w:rFonts w:cs="Times New Roman"/>
          <w:i/>
          <w:szCs w:val="24"/>
        </w:rPr>
        <w:t>de facto</w:t>
      </w:r>
      <w:r w:rsidRPr="00FA5D7E">
        <w:rPr>
          <w:rFonts w:cs="Times New Roman"/>
          <w:szCs w:val="24"/>
        </w:rPr>
        <w:t xml:space="preserve"> spouses.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As I mentioned above, the </w:t>
      </w:r>
      <w:r w:rsidRPr="00FA5D7E">
        <w:rPr>
          <w:rFonts w:cs="Times New Roman"/>
          <w:i/>
          <w:szCs w:val="24"/>
        </w:rPr>
        <w:t>Civil Code of Québec</w:t>
      </w:r>
      <w:r w:rsidRPr="00FA5D7E">
        <w:rPr>
          <w:rFonts w:cs="Times New Roman"/>
          <w:szCs w:val="24"/>
        </w:rPr>
        <w:t xml:space="preserve"> does not lay down the terms of the union of </w:t>
      </w:r>
      <w:r w:rsidRPr="00FA5D7E">
        <w:rPr>
          <w:rFonts w:cs="Times New Roman"/>
          <w:i/>
          <w:szCs w:val="24"/>
        </w:rPr>
        <w:t>de facto</w:t>
      </w:r>
      <w:r w:rsidRPr="00FA5D7E">
        <w:rPr>
          <w:rFonts w:cs="Times New Roman"/>
          <w:szCs w:val="24"/>
        </w:rPr>
        <w:t xml:space="preserve"> spouses.  The law imposes no duty of assistance and succour on them, and thus no obligation of support.  The sharing of household expenses is left to their discretion; they are not required to contribute toward those expenses in proportion to their respective means.  Nor are they required to choose the family residence together.  No mandatory provisions apply to limit the exercise of their rights of ownership in the family residence.  A </w:t>
      </w:r>
      <w:r w:rsidRPr="00FA5D7E">
        <w:rPr>
          <w:rFonts w:cs="Times New Roman"/>
          <w:i/>
          <w:szCs w:val="24"/>
        </w:rPr>
        <w:t>de facto</w:t>
      </w:r>
      <w:r w:rsidRPr="00FA5D7E">
        <w:rPr>
          <w:rFonts w:cs="Times New Roman"/>
          <w:szCs w:val="24"/>
        </w:rPr>
        <w:t xml:space="preserve"> spouse who is the sole owner of the residence can therefore sell it or lease it without the other spouse’s consent.  A </w:t>
      </w:r>
      <w:r w:rsidRPr="00FA5D7E">
        <w:rPr>
          <w:rFonts w:cs="Times New Roman"/>
          <w:i/>
          <w:szCs w:val="24"/>
        </w:rPr>
        <w:t>de facto</w:t>
      </w:r>
      <w:r w:rsidRPr="00FA5D7E">
        <w:rPr>
          <w:rFonts w:cs="Times New Roman"/>
          <w:szCs w:val="24"/>
        </w:rPr>
        <w:t xml:space="preserve"> union does not create a family patrimony, is not subject to the legal matrimonial regime of partnership of acquests and does not entitle a spouse to a compensatory allowance.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 </w:t>
      </w:r>
      <w:r w:rsidRPr="00FA5D7E">
        <w:rPr>
          <w:rFonts w:cs="Times New Roman"/>
          <w:i/>
          <w:szCs w:val="24"/>
        </w:rPr>
        <w:t>de facto</w:t>
      </w:r>
      <w:r w:rsidRPr="00FA5D7E">
        <w:rPr>
          <w:rFonts w:cs="Times New Roman"/>
          <w:szCs w:val="24"/>
        </w:rPr>
        <w:t xml:space="preserve"> spouse continues, both while living with the other spouse and after their relationship breaks down, to own any property he or she acquired before or during their union.  Any change in this situation must be consented to by the spouse whose rights are affected.  Thus, under the </w:t>
      </w:r>
      <w:r w:rsidRPr="00FA5D7E">
        <w:rPr>
          <w:rFonts w:cs="Times New Roman"/>
          <w:i/>
          <w:szCs w:val="24"/>
        </w:rPr>
        <w:t>Act respecting the Québec Pension Plan</w:t>
      </w:r>
      <w:r w:rsidR="00B60C7F">
        <w:rPr>
          <w:rFonts w:cs="Times New Roman"/>
          <w:szCs w:val="24"/>
        </w:rPr>
        <w:t>,</w:t>
      </w:r>
      <w:r w:rsidRPr="00FA5D7E">
        <w:rPr>
          <w:rFonts w:cs="Times New Roman"/>
          <w:szCs w:val="24"/>
        </w:rPr>
        <w:t xml:space="preserve"> an application for the partition of pensionable earnings accrued during the period in which </w:t>
      </w:r>
      <w:r w:rsidRPr="00FA5D7E">
        <w:rPr>
          <w:rFonts w:cs="Times New Roman"/>
          <w:i/>
          <w:szCs w:val="24"/>
        </w:rPr>
        <w:t>de facto</w:t>
      </w:r>
      <w:r w:rsidRPr="00FA5D7E">
        <w:rPr>
          <w:rFonts w:cs="Times New Roman"/>
          <w:szCs w:val="24"/>
        </w:rPr>
        <w:t xml:space="preserve"> spouses lived together requires the consent of both of them.  Similarly, the </w:t>
      </w:r>
      <w:r w:rsidRPr="00FA5D7E">
        <w:rPr>
          <w:rFonts w:cs="Times New Roman"/>
          <w:i/>
          <w:szCs w:val="24"/>
        </w:rPr>
        <w:t>Supplemental Pension Plans Act</w:t>
      </w:r>
      <w:r w:rsidRPr="00FA5D7E">
        <w:rPr>
          <w:rFonts w:cs="Times New Roman"/>
          <w:iCs/>
          <w:szCs w:val="24"/>
        </w:rPr>
        <w:t>, R.S.Q., c. R</w:t>
      </w:r>
      <w:r w:rsidRPr="00FA5D7E">
        <w:rPr>
          <w:rFonts w:cs="Times New Roman"/>
          <w:iCs/>
          <w:szCs w:val="24"/>
        </w:rPr>
        <w:noBreakHyphen/>
        <w:t>15.1, which establishes the legal framework for private pension plans</w:t>
      </w:r>
      <w:r w:rsidRPr="00FA5D7E">
        <w:rPr>
          <w:rFonts w:cs="Times New Roman"/>
          <w:szCs w:val="24"/>
        </w:rPr>
        <w:t xml:space="preserve">, permits former </w:t>
      </w:r>
      <w:r w:rsidRPr="00FA5D7E">
        <w:rPr>
          <w:rFonts w:cs="Times New Roman"/>
          <w:i/>
          <w:szCs w:val="24"/>
        </w:rPr>
        <w:t>de facto</w:t>
      </w:r>
      <w:r w:rsidRPr="00FA5D7E">
        <w:rPr>
          <w:rFonts w:cs="Times New Roman"/>
          <w:szCs w:val="24"/>
        </w:rPr>
        <w:t xml:space="preserve"> spouses to partition benefits accumulated under a member’s pension plan only if both of them consent.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Since the </w:t>
      </w:r>
      <w:r w:rsidRPr="00FA5D7E">
        <w:rPr>
          <w:rFonts w:cs="Times New Roman"/>
          <w:i/>
          <w:szCs w:val="24"/>
        </w:rPr>
        <w:t>de facto</w:t>
      </w:r>
      <w:r w:rsidRPr="00FA5D7E">
        <w:rPr>
          <w:rFonts w:cs="Times New Roman"/>
          <w:szCs w:val="24"/>
        </w:rPr>
        <w:t xml:space="preserve"> union is not subject to the mandatory legislative framework that applies to marriage and the civil union, </w:t>
      </w:r>
      <w:r w:rsidRPr="00FA5D7E">
        <w:rPr>
          <w:rFonts w:cs="Times New Roman"/>
          <w:i/>
          <w:szCs w:val="24"/>
        </w:rPr>
        <w:t>de facto</w:t>
      </w:r>
      <w:r w:rsidRPr="00FA5D7E">
        <w:rPr>
          <w:rFonts w:cs="Times New Roman"/>
          <w:szCs w:val="24"/>
        </w:rPr>
        <w:t xml:space="preserve"> spouses are free to shape their relationships as they wish, having proper regard for public order.  They can enter into agreements to organize their patrimonial relationships while they live together and to provide for the consequences of a possible breakdown:  on the possible content of such agreements, see Tétrault, “L’union civile:  j’me marie, j’me marie pas”, at pp. 133</w:t>
      </w:r>
      <w:r w:rsidRPr="00FA5D7E">
        <w:rPr>
          <w:rFonts w:cs="Times New Roman"/>
          <w:szCs w:val="24"/>
        </w:rPr>
        <w:noBreakHyphen/>
        <w:t xml:space="preserve">34; Tétrault, </w:t>
      </w:r>
      <w:r w:rsidRPr="00FA5D7E">
        <w:rPr>
          <w:rFonts w:cs="Times New Roman"/>
          <w:i/>
          <w:szCs w:val="24"/>
        </w:rPr>
        <w:t>Droit de la famille</w:t>
      </w:r>
      <w:r w:rsidRPr="00FA5D7E">
        <w:rPr>
          <w:rFonts w:cs="Times New Roman"/>
          <w:szCs w:val="24"/>
        </w:rPr>
        <w:t>, at pp. 870</w:t>
      </w:r>
      <w:r w:rsidRPr="00FA5D7E">
        <w:rPr>
          <w:rFonts w:cs="Times New Roman"/>
          <w:szCs w:val="24"/>
        </w:rPr>
        <w:noBreakHyphen/>
        <w:t xml:space="preserve">71; A. Roy, “La charte de vie commune ou l’émergence d’une pratique réflexive du contrat conjugal” (2007), 41 </w:t>
      </w:r>
      <w:r w:rsidRPr="00FA5D7E">
        <w:rPr>
          <w:rFonts w:cs="Times New Roman"/>
          <w:i/>
          <w:szCs w:val="24"/>
        </w:rPr>
        <w:t>R.J.T.</w:t>
      </w:r>
      <w:r w:rsidRPr="00FA5D7E">
        <w:rPr>
          <w:rFonts w:cs="Times New Roman"/>
          <w:szCs w:val="24"/>
        </w:rPr>
        <w:t xml:space="preserve"> 399.  Such agreements are commonly referred to as “cohabitation agreements”.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As some authors have noted, in light of the Quebec jurisprudence, [</w:t>
      </w:r>
      <w:r w:rsidRPr="00FA5D7E">
        <w:rPr>
          <w:rFonts w:cs="Times New Roman"/>
          <w:smallCaps/>
          <w:szCs w:val="24"/>
        </w:rPr>
        <w:t>translation</w:t>
      </w:r>
      <w:r w:rsidRPr="00FA5D7E">
        <w:rPr>
          <w:rFonts w:cs="Times New Roman"/>
          <w:szCs w:val="24"/>
        </w:rPr>
        <w:t xml:space="preserve">] “there is no longer any doubt that contracts between </w:t>
      </w:r>
      <w:r w:rsidRPr="00FA5D7E">
        <w:rPr>
          <w:rFonts w:cs="Times New Roman"/>
          <w:i/>
          <w:szCs w:val="24"/>
        </w:rPr>
        <w:t>de facto</w:t>
      </w:r>
      <w:r w:rsidRPr="00FA5D7E">
        <w:rPr>
          <w:rFonts w:cs="Times New Roman"/>
          <w:szCs w:val="24"/>
        </w:rPr>
        <w:t xml:space="preserve"> spouses are valid”:  Jarry, at p. 134.  The Quebec courts have held that </w:t>
      </w:r>
      <w:r w:rsidRPr="00FA5D7E">
        <w:rPr>
          <w:rFonts w:cs="Times New Roman"/>
          <w:i/>
          <w:szCs w:val="24"/>
        </w:rPr>
        <w:t>de facto</w:t>
      </w:r>
      <w:r w:rsidRPr="00FA5D7E">
        <w:rPr>
          <w:rFonts w:cs="Times New Roman"/>
          <w:szCs w:val="24"/>
        </w:rPr>
        <w:t xml:space="preserve"> spouses can validly enter into contracts that provide that the rules on partition of the family patrimony will apply should their relationships break down (</w:t>
      </w:r>
      <w:r w:rsidRPr="00FA5D7E">
        <w:rPr>
          <w:rFonts w:cs="Times New Roman"/>
          <w:i/>
          <w:szCs w:val="24"/>
        </w:rPr>
        <w:t>Couture v. Gagnon</w:t>
      </w:r>
      <w:r w:rsidRPr="00FA5D7E">
        <w:rPr>
          <w:rFonts w:cs="Times New Roman"/>
          <w:szCs w:val="24"/>
        </w:rPr>
        <w:t>, [2001] R.J.Q. 2047 (C.A.), leave to appeal refused, [2002] 3 S.C.R. vii), contracts that contemplate an obligation to pay spousal support should cohabitation cease (</w:t>
      </w:r>
      <w:r w:rsidRPr="00FA5D7E">
        <w:rPr>
          <w:rFonts w:cs="Times New Roman"/>
          <w:i/>
          <w:szCs w:val="24"/>
        </w:rPr>
        <w:t>Ponton v. Dubé</w:t>
      </w:r>
      <w:r w:rsidRPr="00FA5D7E">
        <w:rPr>
          <w:rFonts w:cs="Times New Roman"/>
          <w:szCs w:val="24"/>
        </w:rPr>
        <w:t>, 2005 QCCA 413 (CanLII)), and contracts that grant a right to exclusive use of the family residence after separation (</w:t>
      </w:r>
      <w:r w:rsidRPr="00FA5D7E">
        <w:rPr>
          <w:rFonts w:cs="Times New Roman"/>
          <w:i/>
          <w:szCs w:val="24"/>
        </w:rPr>
        <w:t>Bourbonnais v. Pratt</w:t>
      </w:r>
      <w:r w:rsidRPr="00FA5D7E">
        <w:rPr>
          <w:rFonts w:cs="Times New Roman"/>
          <w:szCs w:val="24"/>
        </w:rPr>
        <w:t>, 2006 QCCS 5611, [2007] R.D.F. 124).  According to the Quebec Court of Appeal, [</w:t>
      </w:r>
      <w:r w:rsidRPr="00FA5D7E">
        <w:rPr>
          <w:rFonts w:cs="Times New Roman"/>
          <w:smallCaps/>
          <w:szCs w:val="24"/>
        </w:rPr>
        <w:t>translation</w:t>
      </w:r>
      <w:r w:rsidRPr="00FA5D7E">
        <w:rPr>
          <w:rFonts w:cs="Times New Roman"/>
          <w:szCs w:val="24"/>
        </w:rPr>
        <w:t xml:space="preserve">] “[s]uch agreements can even provide for the equivalent of a compensatory allowance”:  </w:t>
      </w:r>
      <w:r w:rsidRPr="00FA5D7E">
        <w:rPr>
          <w:rFonts w:cs="Times New Roman"/>
          <w:i/>
          <w:szCs w:val="24"/>
        </w:rPr>
        <w:t>M.B. v. L.L.</w:t>
      </w:r>
      <w:r w:rsidRPr="00FA5D7E">
        <w:rPr>
          <w:rFonts w:cs="Times New Roman"/>
          <w:szCs w:val="24"/>
        </w:rPr>
        <w:t>, [2003] R.D.F. 539, at para. 30.</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 absence of such agreements, the general law applies to any patrimonial dispute that results from the end of the spouses’ cohabitation.  Since each of the </w:t>
      </w:r>
      <w:r w:rsidRPr="00FA5D7E">
        <w:rPr>
          <w:rFonts w:cs="Times New Roman"/>
          <w:i/>
          <w:szCs w:val="24"/>
        </w:rPr>
        <w:t>de facto</w:t>
      </w:r>
      <w:r w:rsidRPr="00FA5D7E">
        <w:rPr>
          <w:rFonts w:cs="Times New Roman"/>
          <w:szCs w:val="24"/>
        </w:rPr>
        <w:t xml:space="preserve"> spouses continues to own any property he or she acquired individually before or while they lived together, a spouse who proves his or her sole ownership of movable property can revendicate it.  Where property is owned in undivided co</w:t>
      </w:r>
      <w:r w:rsidRPr="00FA5D7E">
        <w:rPr>
          <w:rFonts w:cs="Times New Roman"/>
          <w:szCs w:val="24"/>
        </w:rPr>
        <w:noBreakHyphen/>
        <w:t xml:space="preserve">ownership, either spouse can force the other to proceed to the partition and licitation of the undivided property, since no one is bound to remain in indivision (art. 1030 </w:t>
      </w:r>
      <w:r w:rsidRPr="00FA5D7E">
        <w:rPr>
          <w:rFonts w:cs="Times New Roman"/>
          <w:i/>
          <w:szCs w:val="24"/>
        </w:rPr>
        <w:t>C.C.Q.</w:t>
      </w:r>
      <w:r w:rsidRPr="00FA5D7E">
        <w:rPr>
          <w:rFonts w:cs="Times New Roman"/>
          <w:szCs w:val="24"/>
        </w:rPr>
        <w:t>).</w:t>
      </w:r>
    </w:p>
    <w:p w:rsidR="004862B9" w:rsidRPr="00FA5D7E" w:rsidRDefault="004862B9" w:rsidP="004862B9">
      <w:pPr>
        <w:pStyle w:val="ParaNoNdepar-AltN"/>
        <w:tabs>
          <w:tab w:val="clear" w:pos="1166"/>
          <w:tab w:val="num" w:pos="1152"/>
        </w:tabs>
        <w:ind w:left="0"/>
        <w:rPr>
          <w:rFonts w:cs="Times New Roman"/>
          <w:iCs/>
          <w:szCs w:val="24"/>
        </w:rPr>
      </w:pPr>
      <w:r w:rsidRPr="00FA5D7E">
        <w:rPr>
          <w:rFonts w:cs="Times New Roman"/>
          <w:szCs w:val="24"/>
        </w:rPr>
        <w:t xml:space="preserve">Finally, </w:t>
      </w:r>
      <w:r w:rsidRPr="00FA5D7E">
        <w:rPr>
          <w:rFonts w:cs="Times New Roman"/>
          <w:i/>
          <w:szCs w:val="24"/>
        </w:rPr>
        <w:t>de facto</w:t>
      </w:r>
      <w:r w:rsidRPr="00FA5D7E">
        <w:rPr>
          <w:rFonts w:cs="Times New Roman"/>
          <w:szCs w:val="24"/>
        </w:rPr>
        <w:t xml:space="preserve"> spouses who believe that they were wronged when their union broke down can bring an action based on unjust enrichment, the rules for which have been codified in arts. 1493 to 1496 </w:t>
      </w:r>
      <w:r w:rsidRPr="00FA5D7E">
        <w:rPr>
          <w:rFonts w:cs="Times New Roman"/>
          <w:i/>
          <w:szCs w:val="24"/>
        </w:rPr>
        <w:t>C.C.Q.</w:t>
      </w:r>
      <w:r w:rsidRPr="00FA5D7E">
        <w:rPr>
          <w:rFonts w:cs="Times New Roman"/>
          <w:szCs w:val="24"/>
        </w:rPr>
        <w:t xml:space="preserve"> since 1994.  That unjust enrichment is applicable to relationships between </w:t>
      </w:r>
      <w:r w:rsidRPr="00FA5D7E">
        <w:rPr>
          <w:rFonts w:cs="Times New Roman"/>
          <w:i/>
          <w:szCs w:val="24"/>
        </w:rPr>
        <w:t>de facto</w:t>
      </w:r>
      <w:r w:rsidRPr="00FA5D7E">
        <w:rPr>
          <w:rFonts w:cs="Times New Roman"/>
          <w:szCs w:val="24"/>
        </w:rPr>
        <w:t xml:space="preserve"> spouses was confirmed by this Court in </w:t>
      </w:r>
      <w:r w:rsidRPr="00FA5D7E">
        <w:rPr>
          <w:rFonts w:cs="Times New Roman"/>
          <w:i/>
          <w:szCs w:val="24"/>
        </w:rPr>
        <w:t>Peter v. Beblow</w:t>
      </w:r>
      <w:r w:rsidRPr="00FA5D7E">
        <w:rPr>
          <w:rFonts w:cs="Times New Roman"/>
          <w:szCs w:val="24"/>
        </w:rPr>
        <w:t xml:space="preserve">, [1993] 1 S.C.R. 980.  The principle of unjust enrichment must be interpreted cautiously but generously, in a manner consistent with the conditions originally established by the Court in </w:t>
      </w:r>
      <w:r w:rsidRPr="00FA5D7E">
        <w:rPr>
          <w:rFonts w:cs="Times New Roman"/>
          <w:i/>
          <w:szCs w:val="24"/>
        </w:rPr>
        <w:t>Cie Immobilière Viger Ltée v. Lauréat Giguère Inc.</w:t>
      </w:r>
      <w:r w:rsidRPr="00FA5D7E">
        <w:rPr>
          <w:rFonts w:cs="Times New Roman"/>
          <w:szCs w:val="24"/>
        </w:rPr>
        <w:t xml:space="preserve">, [1977] 2 S.C.R. 67, which are now set out in art. 1493 </w:t>
      </w:r>
      <w:r w:rsidRPr="00FA5D7E">
        <w:rPr>
          <w:rFonts w:cs="Times New Roman"/>
          <w:i/>
          <w:szCs w:val="24"/>
        </w:rPr>
        <w:t>C.C.Q.</w:t>
      </w:r>
      <w:r w:rsidRPr="00FA5D7E">
        <w:rPr>
          <w:rFonts w:cs="Times New Roman"/>
          <w:szCs w:val="24"/>
        </w:rPr>
        <w:t xml:space="preserve">  As Dalphond J.A. of the Quebec Court of Appeal explained, it should be used [</w:t>
      </w:r>
      <w:r w:rsidRPr="00FA5D7E">
        <w:rPr>
          <w:rFonts w:cs="Times New Roman"/>
          <w:smallCaps/>
          <w:szCs w:val="24"/>
        </w:rPr>
        <w:t>translation</w:t>
      </w:r>
      <w:r w:rsidRPr="00FA5D7E">
        <w:rPr>
          <w:rFonts w:cs="Times New Roman"/>
          <w:szCs w:val="24"/>
        </w:rPr>
        <w:t xml:space="preserve">] “solely to compensate one party for a contribution, in property or services, that enabled the other party to be in a better position than he or she would have been in had the parties not lived together, in short, that enriched the other party”:  </w:t>
      </w:r>
      <w:r w:rsidRPr="00FA5D7E">
        <w:rPr>
          <w:rFonts w:cs="Times New Roman"/>
          <w:i/>
          <w:iCs/>
          <w:szCs w:val="24"/>
        </w:rPr>
        <w:t>M.B. v. L.L.</w:t>
      </w:r>
      <w:r w:rsidRPr="00FA5D7E">
        <w:rPr>
          <w:rFonts w:cs="Times New Roman"/>
          <w:iCs/>
          <w:szCs w:val="24"/>
        </w:rPr>
        <w:t>, at para. 39.</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To obtain compensation under arts. 1493 </w:t>
      </w:r>
      <w:r w:rsidRPr="00FA5D7E">
        <w:rPr>
          <w:rFonts w:cs="Times New Roman"/>
          <w:i/>
          <w:szCs w:val="24"/>
        </w:rPr>
        <w:t>C.C.Q.</w:t>
      </w:r>
      <w:r w:rsidR="00B60C7F" w:rsidRPr="00B60C7F">
        <w:rPr>
          <w:rFonts w:cs="Times New Roman"/>
          <w:i/>
          <w:szCs w:val="24"/>
        </w:rPr>
        <w:t xml:space="preserve"> </w:t>
      </w:r>
      <w:r w:rsidR="00B60C7F" w:rsidRPr="00FA5D7E">
        <w:rPr>
          <w:rFonts w:cs="Times New Roman"/>
          <w:i/>
          <w:szCs w:val="24"/>
        </w:rPr>
        <w:t>et seq.</w:t>
      </w:r>
      <w:r w:rsidRPr="00FA5D7E">
        <w:rPr>
          <w:rFonts w:cs="Times New Roman"/>
          <w:szCs w:val="24"/>
        </w:rPr>
        <w:t xml:space="preserve">, a </w:t>
      </w:r>
      <w:r w:rsidRPr="00FA5D7E">
        <w:rPr>
          <w:rFonts w:cs="Times New Roman"/>
          <w:i/>
          <w:szCs w:val="24"/>
        </w:rPr>
        <w:t>de facto</w:t>
      </w:r>
      <w:r w:rsidRPr="00FA5D7E">
        <w:rPr>
          <w:rFonts w:cs="Times New Roman"/>
          <w:szCs w:val="24"/>
        </w:rPr>
        <w:t xml:space="preserve"> spouse alleging unjust enrichment must therefore prove on a balance of probabilities that the following conditions are met: an enrichment, an impoverishment, a correlation between the enrichment and the impoverishment, and the absence of justification, of evasion of the law and of any other remedy:  </w:t>
      </w:r>
      <w:r w:rsidRPr="00FA5D7E">
        <w:rPr>
          <w:rFonts w:cs="Times New Roman"/>
          <w:i/>
          <w:szCs w:val="24"/>
        </w:rPr>
        <w:t>Cie Immobilière Viger</w:t>
      </w:r>
      <w:r w:rsidRPr="00FA5D7E">
        <w:rPr>
          <w:rFonts w:cs="Times New Roman"/>
          <w:szCs w:val="24"/>
        </w:rPr>
        <w:t xml:space="preserve">; </w:t>
      </w:r>
      <w:r w:rsidRPr="00FA5D7E">
        <w:rPr>
          <w:rFonts w:cs="Times New Roman"/>
          <w:i/>
          <w:szCs w:val="24"/>
        </w:rPr>
        <w:t>Peter v. Beblow</w:t>
      </w:r>
      <w:r w:rsidRPr="00FA5D7E">
        <w:rPr>
          <w:rFonts w:cs="Times New Roman"/>
          <w:szCs w:val="24"/>
        </w:rPr>
        <w:t xml:space="preserve">; </w:t>
      </w:r>
      <w:r w:rsidRPr="00FA5D7E">
        <w:rPr>
          <w:rFonts w:cs="Times New Roman"/>
          <w:i/>
          <w:szCs w:val="24"/>
        </w:rPr>
        <w:t>M.B. v. L.L.</w:t>
      </w:r>
      <w:r w:rsidRPr="00FA5D7E">
        <w:rPr>
          <w:rFonts w:cs="Times New Roman"/>
          <w:szCs w:val="24"/>
        </w:rPr>
        <w:t>, at para. 34; J.</w:t>
      </w:r>
      <w:r w:rsidRPr="00FA5D7E">
        <w:rPr>
          <w:rFonts w:cs="Times New Roman"/>
          <w:szCs w:val="24"/>
        </w:rPr>
        <w:noBreakHyphen/>
        <w:t>L. Baudouin and P.</w:t>
      </w:r>
      <w:r w:rsidRPr="00FA5D7E">
        <w:rPr>
          <w:rFonts w:cs="Times New Roman"/>
          <w:szCs w:val="24"/>
        </w:rPr>
        <w:noBreakHyphen/>
        <w:t xml:space="preserve">G. Jobin, </w:t>
      </w:r>
      <w:r w:rsidRPr="00FA5D7E">
        <w:rPr>
          <w:rFonts w:cs="Times New Roman"/>
          <w:i/>
          <w:szCs w:val="24"/>
        </w:rPr>
        <w:t>Les obligations</w:t>
      </w:r>
      <w:r w:rsidRPr="00FA5D7E">
        <w:rPr>
          <w:rFonts w:cs="Times New Roman"/>
          <w:szCs w:val="24"/>
        </w:rPr>
        <w:t xml:space="preserve"> (6th ed. 2005), by P.</w:t>
      </w:r>
      <w:r w:rsidRPr="00FA5D7E">
        <w:rPr>
          <w:rFonts w:cs="Times New Roman"/>
          <w:szCs w:val="24"/>
        </w:rPr>
        <w:noBreakHyphen/>
        <w:t xml:space="preserve">G. Jobin with N. Vézina, at paras. 566 </w:t>
      </w:r>
      <w:r w:rsidRPr="00FA5D7E">
        <w:rPr>
          <w:rFonts w:cs="Times New Roman"/>
          <w:i/>
          <w:szCs w:val="24"/>
        </w:rPr>
        <w:t>et seq.</w:t>
      </w:r>
      <w:r w:rsidRPr="00FA5D7E">
        <w:rPr>
          <w:rFonts w:cs="Times New Roman"/>
          <w:szCs w:val="24"/>
        </w:rPr>
        <w:t xml:space="preserve">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As this Court held in </w:t>
      </w:r>
      <w:r w:rsidRPr="00FA5D7E">
        <w:rPr>
          <w:rFonts w:cs="Times New Roman"/>
          <w:i/>
          <w:szCs w:val="24"/>
        </w:rPr>
        <w:t>Peter v. Beblow</w:t>
      </w:r>
      <w:r w:rsidRPr="00FA5D7E">
        <w:rPr>
          <w:rFonts w:cs="Times New Roman"/>
          <w:szCs w:val="24"/>
        </w:rPr>
        <w:t xml:space="preserve">, a </w:t>
      </w:r>
      <w:r w:rsidRPr="00FA5D7E">
        <w:rPr>
          <w:rFonts w:cs="Times New Roman"/>
          <w:i/>
          <w:szCs w:val="24"/>
        </w:rPr>
        <w:t>de facto</w:t>
      </w:r>
      <w:r w:rsidRPr="00FA5D7E">
        <w:rPr>
          <w:rFonts w:cs="Times New Roman"/>
          <w:szCs w:val="24"/>
        </w:rPr>
        <w:t xml:space="preserve"> spouse can benefit from certain rebuttable presumptions that make it easier to discharge his or her burden of proof.  For example, in the case of a long</w:t>
      </w:r>
      <w:r w:rsidRPr="00FA5D7E">
        <w:rPr>
          <w:rFonts w:cs="Times New Roman"/>
          <w:szCs w:val="24"/>
        </w:rPr>
        <w:noBreakHyphen/>
        <w:t xml:space="preserve">term </w:t>
      </w:r>
      <w:r w:rsidRPr="00FA5D7E">
        <w:rPr>
          <w:rFonts w:cs="Times New Roman"/>
          <w:i/>
          <w:szCs w:val="24"/>
        </w:rPr>
        <w:t>de facto</w:t>
      </w:r>
      <w:r w:rsidRPr="00FA5D7E">
        <w:rPr>
          <w:rFonts w:cs="Times New Roman"/>
          <w:szCs w:val="24"/>
        </w:rPr>
        <w:t xml:space="preserve"> union, a court can presume, on the one hand, that there is a correlation between the enrichment of one spouse and the impoverishment of the other and, on the other hand, that there was no reason for the enrichment:  </w:t>
      </w:r>
      <w:r w:rsidRPr="00FA5D7E">
        <w:rPr>
          <w:rFonts w:cs="Times New Roman"/>
          <w:i/>
          <w:szCs w:val="24"/>
        </w:rPr>
        <w:t>Peter v. Beblow</w:t>
      </w:r>
      <w:r w:rsidRPr="00FA5D7E">
        <w:rPr>
          <w:rFonts w:cs="Times New Roman"/>
          <w:szCs w:val="24"/>
        </w:rPr>
        <w:t xml:space="preserve">, at pp. 1013 and 1018; </w:t>
      </w:r>
      <w:r w:rsidRPr="00FA5D7E">
        <w:rPr>
          <w:rFonts w:cs="Times New Roman"/>
          <w:i/>
          <w:szCs w:val="24"/>
        </w:rPr>
        <w:t>M.B. v. L.L.</w:t>
      </w:r>
      <w:r w:rsidRPr="00FA5D7E">
        <w:rPr>
          <w:rFonts w:cs="Times New Roman"/>
          <w:szCs w:val="24"/>
        </w:rPr>
        <w:t>, at para. </w:t>
      </w:r>
      <w:r w:rsidRPr="006931DC">
        <w:rPr>
          <w:rFonts w:cs="Times New Roman"/>
          <w:szCs w:val="24"/>
          <w:lang w:val="fr-CA"/>
        </w:rPr>
        <w:t xml:space="preserve">37; </w:t>
      </w:r>
      <w:r w:rsidRPr="006931DC">
        <w:rPr>
          <w:rFonts w:cs="Times New Roman"/>
          <w:i/>
          <w:szCs w:val="24"/>
          <w:lang w:val="fr-CA"/>
        </w:rPr>
        <w:t>Benzina v. Le</w:t>
      </w:r>
      <w:r w:rsidRPr="006931DC">
        <w:rPr>
          <w:rFonts w:cs="Times New Roman"/>
          <w:szCs w:val="24"/>
          <w:lang w:val="fr-CA"/>
        </w:rPr>
        <w:t xml:space="preserve">, 2008 QCCA 803 (CanLII), at para. 7; </w:t>
      </w:r>
      <w:r w:rsidRPr="006931DC">
        <w:rPr>
          <w:rFonts w:cs="Times New Roman"/>
          <w:i/>
          <w:szCs w:val="24"/>
          <w:lang w:val="fr-CA"/>
        </w:rPr>
        <w:t>Barrette v. Falardeau</w:t>
      </w:r>
      <w:r w:rsidRPr="006931DC">
        <w:rPr>
          <w:rFonts w:cs="Times New Roman"/>
          <w:szCs w:val="24"/>
          <w:lang w:val="fr-CA"/>
        </w:rPr>
        <w:t>, 2010 QCCA 989 (CanLII), at paras. </w:t>
      </w:r>
      <w:r w:rsidRPr="00FA5D7E">
        <w:rPr>
          <w:rFonts w:cs="Times New Roman"/>
          <w:szCs w:val="24"/>
        </w:rPr>
        <w:t>26</w:t>
      </w:r>
      <w:r w:rsidRPr="00FA5D7E">
        <w:rPr>
          <w:rFonts w:cs="Times New Roman"/>
          <w:szCs w:val="24"/>
        </w:rPr>
        <w:noBreakHyphen/>
        <w:t xml:space="preserve">27.  Finally, when these conditions are met, the </w:t>
      </w:r>
      <w:r w:rsidRPr="00FA5D7E">
        <w:rPr>
          <w:rFonts w:cs="Times New Roman"/>
          <w:i/>
          <w:szCs w:val="24"/>
        </w:rPr>
        <w:t>de facto</w:t>
      </w:r>
      <w:r w:rsidRPr="00FA5D7E">
        <w:rPr>
          <w:rFonts w:cs="Times New Roman"/>
          <w:szCs w:val="24"/>
        </w:rPr>
        <w:t xml:space="preserve"> spouse’s action will be allowed in the lesser of the following two amounts:  that of the enrichment of his or her spouse and that of his or her own impoverishment (</w:t>
      </w:r>
      <w:r w:rsidRPr="00FA5D7E">
        <w:rPr>
          <w:rFonts w:cs="Times New Roman"/>
          <w:i/>
          <w:szCs w:val="24"/>
        </w:rPr>
        <w:t>Cie Immobilière Viger</w:t>
      </w:r>
      <w:r w:rsidRPr="00FA5D7E">
        <w:rPr>
          <w:rFonts w:cs="Times New Roman"/>
          <w:szCs w:val="24"/>
        </w:rPr>
        <w:t>, at p. 77).</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a recent decision written by Dalphond J.A. with the concurrence of Côté J.A., the Court of Appeal reiterated the principles of the doctrine of unjust enrichment with respect to </w:t>
      </w:r>
      <w:r w:rsidRPr="00FA5D7E">
        <w:rPr>
          <w:rFonts w:cs="Times New Roman"/>
          <w:i/>
          <w:szCs w:val="24"/>
        </w:rPr>
        <w:t>de facto</w:t>
      </w:r>
      <w:r w:rsidRPr="00FA5D7E">
        <w:rPr>
          <w:rFonts w:cs="Times New Roman"/>
          <w:szCs w:val="24"/>
        </w:rPr>
        <w:t xml:space="preserve"> spouses and the importance of the presumptions in the plaintiff’s favour: </w:t>
      </w:r>
      <w:r w:rsidRPr="00FA5D7E">
        <w:rPr>
          <w:rFonts w:cs="Times New Roman"/>
          <w:i/>
          <w:szCs w:val="24"/>
        </w:rPr>
        <w:t>C.L. v. J.Le.</w:t>
      </w:r>
      <w:r w:rsidRPr="00FA5D7E">
        <w:rPr>
          <w:rFonts w:cs="Times New Roman"/>
          <w:szCs w:val="24"/>
        </w:rPr>
        <w:t>, 2010 QCCA 2370 (CanLII), at paras. 10</w:t>
      </w:r>
      <w:r w:rsidRPr="00FA5D7E">
        <w:rPr>
          <w:rFonts w:cs="Times New Roman"/>
          <w:szCs w:val="24"/>
        </w:rPr>
        <w:noBreakHyphen/>
        <w:t xml:space="preserve">15, quoted in full in </w:t>
      </w:r>
      <w:r w:rsidRPr="00FA5D7E">
        <w:rPr>
          <w:rFonts w:cs="Times New Roman"/>
          <w:i/>
          <w:szCs w:val="24"/>
        </w:rPr>
        <w:t>Droit de la famille — 121120</w:t>
      </w:r>
      <w:r w:rsidRPr="00FA5D7E">
        <w:rPr>
          <w:rFonts w:cs="Times New Roman"/>
          <w:szCs w:val="24"/>
        </w:rPr>
        <w:t>, 2012 QCCA 909 (CanLII), at para. 65.  The Court of Appeal correctly noted that a court hearing [</w:t>
      </w:r>
      <w:r w:rsidRPr="00FA5D7E">
        <w:rPr>
          <w:rFonts w:cs="Times New Roman"/>
          <w:smallCaps/>
          <w:szCs w:val="24"/>
        </w:rPr>
        <w:t>translation</w:t>
      </w:r>
      <w:r w:rsidRPr="00FA5D7E">
        <w:rPr>
          <w:rFonts w:cs="Times New Roman"/>
          <w:szCs w:val="24"/>
        </w:rPr>
        <w:t xml:space="preserve">] “a claim by a </w:t>
      </w:r>
      <w:r w:rsidRPr="00FA5D7E">
        <w:rPr>
          <w:rFonts w:cs="Times New Roman"/>
          <w:i/>
          <w:szCs w:val="24"/>
        </w:rPr>
        <w:t>de facto</w:t>
      </w:r>
      <w:r w:rsidRPr="00FA5D7E">
        <w:rPr>
          <w:rFonts w:cs="Times New Roman"/>
          <w:szCs w:val="24"/>
        </w:rPr>
        <w:t xml:space="preserve"> spouse for compensation for unjust enrichment [must] undertake a </w:t>
      </w:r>
      <w:r w:rsidRPr="00FA5D7E">
        <w:rPr>
          <w:rFonts w:cs="Times New Roman"/>
          <w:szCs w:val="24"/>
          <w:u w:val="single"/>
        </w:rPr>
        <w:t>broad, overall analysis of the parties’ circumstances</w:t>
      </w:r>
      <w:r w:rsidRPr="00FA5D7E">
        <w:rPr>
          <w:rFonts w:cs="Times New Roman"/>
          <w:szCs w:val="24"/>
        </w:rPr>
        <w:t xml:space="preserve">, taking into account all contributions made by the spouses during the time they lived together”:  </w:t>
      </w:r>
      <w:r w:rsidRPr="00FA5D7E">
        <w:rPr>
          <w:rFonts w:cs="Times New Roman"/>
          <w:i/>
          <w:szCs w:val="24"/>
        </w:rPr>
        <w:t>C.L. v. J.Le.</w:t>
      </w:r>
      <w:r w:rsidRPr="00FA5D7E">
        <w:rPr>
          <w:rFonts w:cs="Times New Roman"/>
          <w:szCs w:val="24"/>
        </w:rPr>
        <w:t>, at para. 12 (emphasis added).  As well, rather than a simple accounting exercise, [</w:t>
      </w:r>
      <w:r w:rsidRPr="00FA5D7E">
        <w:rPr>
          <w:rFonts w:cs="Times New Roman"/>
          <w:smallCaps/>
          <w:szCs w:val="24"/>
        </w:rPr>
        <w:t>translation</w:t>
      </w:r>
      <w:r w:rsidRPr="00FA5D7E">
        <w:rPr>
          <w:rFonts w:cs="Times New Roman"/>
          <w:szCs w:val="24"/>
        </w:rPr>
        <w:t xml:space="preserve">] “the analysis of the factual and legal aspects requires a </w:t>
      </w:r>
      <w:r w:rsidRPr="00FA5D7E">
        <w:rPr>
          <w:rFonts w:cs="Times New Roman"/>
          <w:szCs w:val="24"/>
          <w:u w:val="single"/>
        </w:rPr>
        <w:t>particular flexibility</w:t>
      </w:r>
      <w:r w:rsidRPr="00FA5D7E">
        <w:rPr>
          <w:rFonts w:cs="Times New Roman"/>
          <w:szCs w:val="24"/>
        </w:rPr>
        <w:t xml:space="preserve"> adapted to the nature of relationships between spouses (</w:t>
      </w:r>
      <w:r w:rsidRPr="00FA5D7E">
        <w:rPr>
          <w:rFonts w:cs="Times New Roman"/>
          <w:i/>
          <w:szCs w:val="24"/>
        </w:rPr>
        <w:t>Lacroix v. Valois</w:t>
      </w:r>
      <w:r w:rsidRPr="00FA5D7E">
        <w:rPr>
          <w:rFonts w:cs="Times New Roman"/>
          <w:szCs w:val="24"/>
        </w:rPr>
        <w:t xml:space="preserve">, [1990] 2 S.C.R. 1259, at p. 1279)”:  </w:t>
      </w:r>
      <w:r w:rsidRPr="00FA5D7E">
        <w:rPr>
          <w:rFonts w:cs="Times New Roman"/>
          <w:i/>
          <w:szCs w:val="24"/>
        </w:rPr>
        <w:t>C.L. v. J.Le</w:t>
      </w:r>
      <w:r w:rsidRPr="00FA5D7E">
        <w:rPr>
          <w:rFonts w:cs="Times New Roman"/>
          <w:szCs w:val="24"/>
        </w:rPr>
        <w:t>,</w:t>
      </w:r>
      <w:r w:rsidRPr="00FA5D7E">
        <w:rPr>
          <w:rFonts w:cs="Times New Roman"/>
          <w:i/>
          <w:szCs w:val="24"/>
        </w:rPr>
        <w:t xml:space="preserve"> </w:t>
      </w:r>
      <w:r w:rsidRPr="00FA5D7E">
        <w:rPr>
          <w:rFonts w:cs="Times New Roman"/>
          <w:szCs w:val="24"/>
        </w:rPr>
        <w:t>at para. 13 (emphasis added).</w:t>
      </w:r>
    </w:p>
    <w:p w:rsidR="004862B9" w:rsidRPr="00FA5D7E" w:rsidRDefault="004862B9" w:rsidP="00342A10">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(d)</w:t>
      </w:r>
      <w:r w:rsidRPr="00FA5D7E">
        <w:rPr>
          <w:rFonts w:cs="Times New Roman"/>
          <w:szCs w:val="24"/>
          <w:lang w:val="en-CA"/>
        </w:rPr>
        <w:tab/>
      </w:r>
      <w:r w:rsidRPr="00FA5D7E">
        <w:rPr>
          <w:rFonts w:cs="Times New Roman"/>
          <w:i/>
          <w:szCs w:val="24"/>
          <w:lang w:val="en-CA"/>
        </w:rPr>
        <w:t>Treatment of De Facto Spouses in the Same Way as Married and Civil Union Spouses in Various Statutes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For the dealings that couples have with third parties, and more particularly with the government, there are a number of social statutes in which a distinction is no longer drawn between marriage, civil union and </w:t>
      </w:r>
      <w:r w:rsidRPr="00FA5D7E">
        <w:rPr>
          <w:rFonts w:cs="Times New Roman"/>
          <w:i/>
          <w:szCs w:val="24"/>
        </w:rPr>
        <w:t>de facto</w:t>
      </w:r>
      <w:r w:rsidRPr="00FA5D7E">
        <w:rPr>
          <w:rFonts w:cs="Times New Roman"/>
          <w:szCs w:val="24"/>
        </w:rPr>
        <w:t xml:space="preserve"> union:  see, </w:t>
      </w:r>
      <w:r w:rsidRPr="00FA5D7E">
        <w:rPr>
          <w:rFonts w:cs="Times New Roman"/>
          <w:i/>
          <w:szCs w:val="24"/>
        </w:rPr>
        <w:t>inter alia</w:t>
      </w:r>
      <w:r w:rsidRPr="00FA5D7E">
        <w:rPr>
          <w:rFonts w:cs="Times New Roman"/>
          <w:szCs w:val="24"/>
        </w:rPr>
        <w:t xml:space="preserve">, </w:t>
      </w:r>
      <w:r w:rsidRPr="00FA5D7E">
        <w:rPr>
          <w:rFonts w:cs="Times New Roman"/>
          <w:i/>
          <w:szCs w:val="24"/>
        </w:rPr>
        <w:t>Workers’ Compensation Act</w:t>
      </w:r>
      <w:r w:rsidRPr="00FA5D7E">
        <w:rPr>
          <w:rFonts w:cs="Times New Roman"/>
          <w:szCs w:val="24"/>
        </w:rPr>
        <w:t>, R.S.Q., c. A</w:t>
      </w:r>
      <w:r w:rsidRPr="00FA5D7E">
        <w:rPr>
          <w:rFonts w:cs="Times New Roman"/>
          <w:szCs w:val="24"/>
        </w:rPr>
        <w:noBreakHyphen/>
        <w:t xml:space="preserve">3; </w:t>
      </w:r>
      <w:r w:rsidRPr="00FA5D7E">
        <w:rPr>
          <w:rFonts w:cs="Times New Roman"/>
          <w:i/>
          <w:szCs w:val="24"/>
        </w:rPr>
        <w:t>An Act respecting industrial accidents and occupational diseases</w:t>
      </w:r>
      <w:r w:rsidRPr="00FA5D7E">
        <w:rPr>
          <w:rFonts w:cs="Times New Roman"/>
          <w:szCs w:val="24"/>
        </w:rPr>
        <w:t>, R.S.Q., c. A</w:t>
      </w:r>
      <w:r w:rsidRPr="00FA5D7E">
        <w:rPr>
          <w:rFonts w:cs="Times New Roman"/>
          <w:szCs w:val="24"/>
        </w:rPr>
        <w:noBreakHyphen/>
        <w:t xml:space="preserve">3.001; </w:t>
      </w:r>
      <w:r w:rsidRPr="00FA5D7E">
        <w:rPr>
          <w:rFonts w:cs="Times New Roman"/>
          <w:i/>
          <w:szCs w:val="24"/>
        </w:rPr>
        <w:t>An Act respecting financial assistance for education expenses</w:t>
      </w:r>
      <w:r w:rsidRPr="00FA5D7E">
        <w:rPr>
          <w:rFonts w:cs="Times New Roman"/>
          <w:szCs w:val="24"/>
        </w:rPr>
        <w:t>, R.S.Q., c. A</w:t>
      </w:r>
      <w:r w:rsidRPr="00FA5D7E">
        <w:rPr>
          <w:rFonts w:cs="Times New Roman"/>
          <w:szCs w:val="24"/>
        </w:rPr>
        <w:noBreakHyphen/>
        <w:t xml:space="preserve">13.3; </w:t>
      </w:r>
      <w:r w:rsidRPr="00FA5D7E">
        <w:rPr>
          <w:rFonts w:cs="Times New Roman"/>
          <w:i/>
          <w:szCs w:val="24"/>
        </w:rPr>
        <w:t>An Act respecting legal aid and the provision of certain other legal services</w:t>
      </w:r>
      <w:r w:rsidRPr="00FA5D7E">
        <w:rPr>
          <w:rFonts w:cs="Times New Roman"/>
          <w:szCs w:val="24"/>
        </w:rPr>
        <w:t>, R.S.Q., c. A</w:t>
      </w:r>
      <w:r w:rsidRPr="00FA5D7E">
        <w:rPr>
          <w:rFonts w:cs="Times New Roman"/>
          <w:szCs w:val="24"/>
        </w:rPr>
        <w:noBreakHyphen/>
        <w:t xml:space="preserve">14; </w:t>
      </w:r>
      <w:r w:rsidRPr="00FA5D7E">
        <w:rPr>
          <w:rFonts w:cs="Times New Roman"/>
          <w:i/>
          <w:szCs w:val="24"/>
        </w:rPr>
        <w:t>Automobile Insurance Act</w:t>
      </w:r>
      <w:r w:rsidRPr="00FA5D7E">
        <w:rPr>
          <w:rFonts w:cs="Times New Roman"/>
          <w:szCs w:val="24"/>
        </w:rPr>
        <w:t>, R.S.Q., c. A</w:t>
      </w:r>
      <w:r w:rsidRPr="00FA5D7E">
        <w:rPr>
          <w:rFonts w:cs="Times New Roman"/>
          <w:szCs w:val="24"/>
        </w:rPr>
        <w:noBreakHyphen/>
        <w:t xml:space="preserve">25; </w:t>
      </w:r>
      <w:r w:rsidRPr="00FA5D7E">
        <w:rPr>
          <w:rFonts w:cs="Times New Roman"/>
          <w:i/>
          <w:szCs w:val="24"/>
        </w:rPr>
        <w:t>An Act respecting insurance</w:t>
      </w:r>
      <w:r w:rsidRPr="00FA5D7E">
        <w:rPr>
          <w:rFonts w:cs="Times New Roman"/>
          <w:szCs w:val="24"/>
        </w:rPr>
        <w:t>; R.S.Q., c. A</w:t>
      </w:r>
      <w:r w:rsidRPr="00FA5D7E">
        <w:rPr>
          <w:rFonts w:cs="Times New Roman"/>
          <w:szCs w:val="24"/>
        </w:rPr>
        <w:noBreakHyphen/>
        <w:t xml:space="preserve">32; </w:t>
      </w:r>
      <w:r w:rsidRPr="00FA5D7E">
        <w:rPr>
          <w:rFonts w:cs="Times New Roman"/>
          <w:i/>
          <w:szCs w:val="24"/>
        </w:rPr>
        <w:t>An Act respecting financial services cooperatives</w:t>
      </w:r>
      <w:r w:rsidRPr="00FA5D7E">
        <w:rPr>
          <w:rFonts w:cs="Times New Roman"/>
          <w:szCs w:val="24"/>
        </w:rPr>
        <w:t>, R.S.Q., c. C</w:t>
      </w:r>
      <w:r w:rsidRPr="00FA5D7E">
        <w:rPr>
          <w:rFonts w:cs="Times New Roman"/>
          <w:szCs w:val="24"/>
        </w:rPr>
        <w:noBreakHyphen/>
        <w:t xml:space="preserve">67.3; </w:t>
      </w:r>
      <w:r w:rsidRPr="00FA5D7E">
        <w:rPr>
          <w:rFonts w:cs="Times New Roman"/>
          <w:i/>
          <w:szCs w:val="24"/>
        </w:rPr>
        <w:t>An Act respecting trust companies and savings companies</w:t>
      </w:r>
      <w:r w:rsidRPr="00FA5D7E">
        <w:rPr>
          <w:rFonts w:cs="Times New Roman"/>
          <w:szCs w:val="24"/>
        </w:rPr>
        <w:t>, R.S.Q., c. S</w:t>
      </w:r>
      <w:r w:rsidRPr="00FA5D7E">
        <w:rPr>
          <w:rFonts w:cs="Times New Roman"/>
          <w:szCs w:val="24"/>
        </w:rPr>
        <w:noBreakHyphen/>
        <w:t xml:space="preserve">29.01; </w:t>
      </w:r>
      <w:r w:rsidRPr="00FA5D7E">
        <w:rPr>
          <w:rFonts w:cs="Times New Roman"/>
          <w:i/>
          <w:szCs w:val="24"/>
        </w:rPr>
        <w:t>An Act respecting school elections</w:t>
      </w:r>
      <w:r w:rsidRPr="00FA5D7E">
        <w:rPr>
          <w:rFonts w:cs="Times New Roman"/>
          <w:szCs w:val="24"/>
        </w:rPr>
        <w:t>, R.S.Q., c. E</w:t>
      </w:r>
      <w:r w:rsidRPr="00FA5D7E">
        <w:rPr>
          <w:rFonts w:cs="Times New Roman"/>
          <w:szCs w:val="24"/>
        </w:rPr>
        <w:noBreakHyphen/>
        <w:t xml:space="preserve">2.3; </w:t>
      </w:r>
      <w:r w:rsidRPr="00FA5D7E">
        <w:rPr>
          <w:rFonts w:cs="Times New Roman"/>
          <w:i/>
          <w:szCs w:val="24"/>
        </w:rPr>
        <w:t>An Act respecting duties on transfers of immovables</w:t>
      </w:r>
      <w:r w:rsidRPr="00FA5D7E">
        <w:rPr>
          <w:rFonts w:cs="Times New Roman"/>
          <w:szCs w:val="24"/>
        </w:rPr>
        <w:t>, R.S.Q., c. D</w:t>
      </w:r>
      <w:r w:rsidRPr="00FA5D7E">
        <w:rPr>
          <w:rFonts w:cs="Times New Roman"/>
          <w:szCs w:val="24"/>
        </w:rPr>
        <w:noBreakHyphen/>
        <w:t xml:space="preserve">15.1; </w:t>
      </w:r>
      <w:r w:rsidRPr="00FA5D7E">
        <w:rPr>
          <w:rFonts w:cs="Times New Roman"/>
          <w:i/>
          <w:szCs w:val="24"/>
        </w:rPr>
        <w:t>Cooperatives Act</w:t>
      </w:r>
      <w:r w:rsidRPr="00FA5D7E">
        <w:rPr>
          <w:rFonts w:cs="Times New Roman"/>
          <w:szCs w:val="24"/>
        </w:rPr>
        <w:t>, R.S.Q., c. C</w:t>
      </w:r>
      <w:r w:rsidRPr="00FA5D7E">
        <w:rPr>
          <w:rFonts w:cs="Times New Roman"/>
          <w:szCs w:val="24"/>
        </w:rPr>
        <w:noBreakHyphen/>
        <w:t xml:space="preserve">67.2; </w:t>
      </w:r>
      <w:r w:rsidRPr="00FA5D7E">
        <w:rPr>
          <w:rFonts w:cs="Times New Roman"/>
          <w:i/>
          <w:szCs w:val="24"/>
        </w:rPr>
        <w:t>Taxation Act</w:t>
      </w:r>
      <w:r w:rsidR="00837D2C" w:rsidRPr="00837D2C">
        <w:rPr>
          <w:rFonts w:cs="Times New Roman"/>
          <w:szCs w:val="24"/>
        </w:rPr>
        <w:t>, R.S.Q., c. I-3</w:t>
      </w:r>
      <w:r w:rsidRPr="00FA5D7E">
        <w:rPr>
          <w:rFonts w:cs="Times New Roman"/>
          <w:szCs w:val="24"/>
        </w:rPr>
        <w:t xml:space="preserve">; </w:t>
      </w:r>
      <w:r w:rsidRPr="00FA5D7E">
        <w:rPr>
          <w:rFonts w:cs="Times New Roman"/>
          <w:i/>
          <w:szCs w:val="24"/>
        </w:rPr>
        <w:t>An Act respecting the Québec sales tax</w:t>
      </w:r>
      <w:r w:rsidRPr="00FA5D7E">
        <w:rPr>
          <w:rFonts w:cs="Times New Roman"/>
          <w:szCs w:val="24"/>
        </w:rPr>
        <w:t>, R.S.Q., c. T</w:t>
      </w:r>
      <w:r w:rsidRPr="00FA5D7E">
        <w:rPr>
          <w:rFonts w:cs="Times New Roman"/>
          <w:szCs w:val="24"/>
        </w:rPr>
        <w:noBreakHyphen/>
        <w:t xml:space="preserve">0.1; </w:t>
      </w:r>
      <w:r w:rsidRPr="00FA5D7E">
        <w:rPr>
          <w:rFonts w:cs="Times New Roman"/>
          <w:i/>
          <w:szCs w:val="24"/>
        </w:rPr>
        <w:t>An Act respecting labour standards</w:t>
      </w:r>
      <w:r w:rsidRPr="00FA5D7E">
        <w:rPr>
          <w:rFonts w:cs="Times New Roman"/>
          <w:szCs w:val="24"/>
        </w:rPr>
        <w:t>, R.S.Q., c. N</w:t>
      </w:r>
      <w:r w:rsidRPr="00FA5D7E">
        <w:rPr>
          <w:rFonts w:cs="Times New Roman"/>
          <w:szCs w:val="24"/>
        </w:rPr>
        <w:noBreakHyphen/>
        <w:t xml:space="preserve">1.1; </w:t>
      </w:r>
      <w:r w:rsidRPr="00FA5D7E">
        <w:rPr>
          <w:rFonts w:cs="Times New Roman"/>
          <w:i/>
          <w:szCs w:val="24"/>
        </w:rPr>
        <w:t>Courts of Justice Act</w:t>
      </w:r>
      <w:r w:rsidRPr="00FA5D7E">
        <w:rPr>
          <w:rFonts w:cs="Times New Roman"/>
          <w:szCs w:val="24"/>
        </w:rPr>
        <w:t>, R.S.Q., c. T</w:t>
      </w:r>
      <w:r w:rsidRPr="00FA5D7E">
        <w:rPr>
          <w:rFonts w:cs="Times New Roman"/>
          <w:szCs w:val="24"/>
        </w:rPr>
        <w:noBreakHyphen/>
        <w:t xml:space="preserve">16; </w:t>
      </w:r>
      <w:r w:rsidRPr="00FA5D7E">
        <w:rPr>
          <w:rFonts w:cs="Times New Roman"/>
          <w:i/>
          <w:szCs w:val="24"/>
        </w:rPr>
        <w:t>An Act respecting the Québec Pension Plan</w:t>
      </w:r>
      <w:r w:rsidRPr="00FA5D7E">
        <w:rPr>
          <w:rFonts w:cs="Times New Roman"/>
          <w:szCs w:val="24"/>
        </w:rPr>
        <w:t xml:space="preserve">; </w:t>
      </w:r>
      <w:r w:rsidRPr="00FA5D7E">
        <w:rPr>
          <w:rFonts w:cs="Times New Roman"/>
          <w:i/>
          <w:szCs w:val="24"/>
        </w:rPr>
        <w:t>An Act respecting the Government and Public Employees Retirement Plan</w:t>
      </w:r>
      <w:r w:rsidRPr="00FA5D7E">
        <w:rPr>
          <w:rFonts w:cs="Times New Roman"/>
          <w:szCs w:val="24"/>
        </w:rPr>
        <w:t>, R.S.Q., c. R</w:t>
      </w:r>
      <w:r w:rsidRPr="00FA5D7E">
        <w:rPr>
          <w:rFonts w:cs="Times New Roman"/>
          <w:szCs w:val="24"/>
        </w:rPr>
        <w:noBreakHyphen/>
        <w:t xml:space="preserve">10; </w:t>
      </w:r>
      <w:r w:rsidRPr="00FA5D7E">
        <w:rPr>
          <w:rFonts w:cs="Times New Roman"/>
          <w:i/>
          <w:szCs w:val="24"/>
        </w:rPr>
        <w:t>An Act respecting the Civil Service Superannuation Plan</w:t>
      </w:r>
      <w:r w:rsidRPr="00FA5D7E">
        <w:rPr>
          <w:rFonts w:cs="Times New Roman"/>
          <w:szCs w:val="24"/>
        </w:rPr>
        <w:t>, R.S.Q., c. R</w:t>
      </w:r>
      <w:r w:rsidRPr="00FA5D7E">
        <w:rPr>
          <w:rFonts w:cs="Times New Roman"/>
          <w:szCs w:val="24"/>
        </w:rPr>
        <w:noBreakHyphen/>
        <w:t xml:space="preserve">12; </w:t>
      </w:r>
      <w:r w:rsidRPr="00FA5D7E">
        <w:rPr>
          <w:rFonts w:cs="Times New Roman"/>
          <w:i/>
          <w:szCs w:val="24"/>
        </w:rPr>
        <w:t>Supplemental Pension Plans Act</w:t>
      </w:r>
      <w:r w:rsidRPr="00FA5D7E">
        <w:rPr>
          <w:rFonts w:cs="Times New Roman"/>
          <w:szCs w:val="24"/>
        </w:rPr>
        <w:t xml:space="preserve">; </w:t>
      </w:r>
      <w:r w:rsidRPr="00FA5D7E">
        <w:rPr>
          <w:rFonts w:cs="Times New Roman"/>
          <w:i/>
          <w:szCs w:val="24"/>
        </w:rPr>
        <w:t>An Act respecting the conditions of employment and the pension plan of the Members of the National Assembly</w:t>
      </w:r>
      <w:r w:rsidRPr="00FA5D7E">
        <w:rPr>
          <w:rFonts w:cs="Times New Roman"/>
          <w:szCs w:val="24"/>
        </w:rPr>
        <w:t>, R.S.Q., c. C</w:t>
      </w:r>
      <w:r w:rsidRPr="00FA5D7E">
        <w:rPr>
          <w:rFonts w:cs="Times New Roman"/>
          <w:szCs w:val="24"/>
        </w:rPr>
        <w:noBreakHyphen/>
        <w:t xml:space="preserve">52.1; </w:t>
      </w:r>
      <w:r w:rsidRPr="00FA5D7E">
        <w:rPr>
          <w:rFonts w:cs="Times New Roman"/>
          <w:i/>
          <w:szCs w:val="24"/>
        </w:rPr>
        <w:t>An Act respecting the Pension Plan of Certain Teachers</w:t>
      </w:r>
      <w:r w:rsidRPr="00FA5D7E">
        <w:rPr>
          <w:rFonts w:cs="Times New Roman"/>
          <w:szCs w:val="24"/>
        </w:rPr>
        <w:t>, R.S.Q., c. R</w:t>
      </w:r>
      <w:r w:rsidRPr="00FA5D7E">
        <w:rPr>
          <w:rFonts w:cs="Times New Roman"/>
          <w:szCs w:val="24"/>
        </w:rPr>
        <w:noBreakHyphen/>
        <w:t xml:space="preserve">9.1; </w:t>
      </w:r>
      <w:r w:rsidRPr="00FA5D7E">
        <w:rPr>
          <w:rFonts w:cs="Times New Roman"/>
          <w:i/>
          <w:szCs w:val="24"/>
        </w:rPr>
        <w:t>An Act respecting the Pension Plan of Peace Officers in Correctional Services</w:t>
      </w:r>
      <w:r w:rsidRPr="00FA5D7E">
        <w:rPr>
          <w:rFonts w:cs="Times New Roman"/>
          <w:szCs w:val="24"/>
        </w:rPr>
        <w:t>, R.S.Q., c. R</w:t>
      </w:r>
      <w:r w:rsidRPr="00FA5D7E">
        <w:rPr>
          <w:rFonts w:cs="Times New Roman"/>
          <w:szCs w:val="24"/>
        </w:rPr>
        <w:noBreakHyphen/>
        <w:t xml:space="preserve">9.2; </w:t>
      </w:r>
      <w:r w:rsidRPr="00FA5D7E">
        <w:rPr>
          <w:rFonts w:cs="Times New Roman"/>
          <w:i/>
          <w:szCs w:val="24"/>
        </w:rPr>
        <w:t>An Act respecting the Pension Plan of Elected Municipal Officers</w:t>
      </w:r>
      <w:r w:rsidRPr="00FA5D7E">
        <w:rPr>
          <w:rFonts w:cs="Times New Roman"/>
          <w:szCs w:val="24"/>
        </w:rPr>
        <w:t>, R.S.Q., c. R</w:t>
      </w:r>
      <w:r w:rsidRPr="00FA5D7E">
        <w:rPr>
          <w:rFonts w:cs="Times New Roman"/>
          <w:szCs w:val="24"/>
        </w:rPr>
        <w:noBreakHyphen/>
        <w:t xml:space="preserve">9.3; </w:t>
      </w:r>
      <w:r w:rsidRPr="00FA5D7E">
        <w:rPr>
          <w:rFonts w:cs="Times New Roman"/>
          <w:i/>
          <w:szCs w:val="24"/>
        </w:rPr>
        <w:t>An Act respecting the Teachers Pension Plan</w:t>
      </w:r>
      <w:r w:rsidRPr="00FA5D7E">
        <w:rPr>
          <w:rFonts w:cs="Times New Roman"/>
          <w:szCs w:val="24"/>
        </w:rPr>
        <w:t>, R.S.Q., c. R</w:t>
      </w:r>
      <w:r w:rsidRPr="00FA5D7E">
        <w:rPr>
          <w:rFonts w:cs="Times New Roman"/>
          <w:szCs w:val="24"/>
        </w:rPr>
        <w:noBreakHyphen/>
        <w:t xml:space="preserve">11; </w:t>
      </w:r>
      <w:r w:rsidRPr="00FA5D7E">
        <w:rPr>
          <w:rFonts w:cs="Times New Roman"/>
          <w:i/>
          <w:szCs w:val="24"/>
        </w:rPr>
        <w:t>Individual and Family Assistance Act</w:t>
      </w:r>
      <w:r w:rsidRPr="00FA5D7E">
        <w:rPr>
          <w:rFonts w:cs="Times New Roman"/>
          <w:szCs w:val="24"/>
        </w:rPr>
        <w:t>, R.S.Q., c. A</w:t>
      </w:r>
      <w:r w:rsidRPr="00FA5D7E">
        <w:rPr>
          <w:rFonts w:cs="Times New Roman"/>
          <w:szCs w:val="24"/>
        </w:rPr>
        <w:noBreakHyphen/>
        <w:t xml:space="preserve">13.1.1.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As Professors D.</w:t>
      </w:r>
      <w:r w:rsidRPr="00FA5D7E">
        <w:rPr>
          <w:rFonts w:cs="Times New Roman"/>
          <w:szCs w:val="24"/>
        </w:rPr>
        <w:noBreakHyphen/>
        <w:t>Castelli and Goubau explain, [</w:t>
      </w:r>
      <w:r w:rsidRPr="00FA5D7E">
        <w:rPr>
          <w:rFonts w:cs="Times New Roman"/>
          <w:smallCaps/>
          <w:szCs w:val="24"/>
        </w:rPr>
        <w:t>translation</w:t>
      </w:r>
      <w:r w:rsidRPr="00FA5D7E">
        <w:rPr>
          <w:rFonts w:cs="Times New Roman"/>
          <w:szCs w:val="24"/>
        </w:rPr>
        <w:t xml:space="preserve">] “[p]rovided that a union meets the specific conditions of a statute, the situation of </w:t>
      </w:r>
      <w:r w:rsidRPr="00FA5D7E">
        <w:rPr>
          <w:rFonts w:cs="Times New Roman"/>
          <w:i/>
          <w:szCs w:val="24"/>
        </w:rPr>
        <w:t>de facto</w:t>
      </w:r>
      <w:r w:rsidRPr="00FA5D7E">
        <w:rPr>
          <w:rFonts w:cs="Times New Roman"/>
          <w:szCs w:val="24"/>
        </w:rPr>
        <w:t xml:space="preserve"> spouses is exactly the same as that of married or civil union spouses under Quebec civil law for the purposes of that statute”:  p. 173.  In this regard, the Quebec Court of Appeal has stated that [</w:t>
      </w:r>
      <w:r w:rsidRPr="00FA5D7E">
        <w:rPr>
          <w:rFonts w:cs="Times New Roman"/>
          <w:smallCaps/>
          <w:szCs w:val="24"/>
        </w:rPr>
        <w:t>translation</w:t>
      </w:r>
      <w:r w:rsidRPr="00FA5D7E">
        <w:rPr>
          <w:rFonts w:cs="Times New Roman"/>
          <w:szCs w:val="24"/>
        </w:rPr>
        <w:t xml:space="preserve">] “a review of these statutes . . . shows that the legislature intended to treat </w:t>
      </w:r>
      <w:r w:rsidRPr="00FA5D7E">
        <w:rPr>
          <w:rFonts w:cs="Times New Roman"/>
          <w:i/>
          <w:szCs w:val="24"/>
        </w:rPr>
        <w:t>de facto</w:t>
      </w:r>
      <w:r w:rsidRPr="00FA5D7E">
        <w:rPr>
          <w:rFonts w:cs="Times New Roman"/>
          <w:szCs w:val="24"/>
        </w:rPr>
        <w:t xml:space="preserve"> spouses and married spouses on an equal basis”:  </w:t>
      </w:r>
      <w:r w:rsidRPr="00FA5D7E">
        <w:rPr>
          <w:rFonts w:cs="Times New Roman"/>
          <w:i/>
          <w:szCs w:val="24"/>
        </w:rPr>
        <w:t>Couture v. Gagnon</w:t>
      </w:r>
      <w:r w:rsidRPr="00FA5D7E">
        <w:rPr>
          <w:rFonts w:cs="Times New Roman"/>
          <w:szCs w:val="24"/>
        </w:rPr>
        <w:t>, at para. 32.</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It should be noted that, since the 1999 enactment of the </w:t>
      </w:r>
      <w:r w:rsidRPr="00FA5D7E">
        <w:rPr>
          <w:rFonts w:cs="Times New Roman"/>
          <w:i/>
          <w:szCs w:val="24"/>
        </w:rPr>
        <w:t>Act to amend various legislative provisions concerning de facto spouses</w:t>
      </w:r>
      <w:r w:rsidRPr="00FA5D7E">
        <w:rPr>
          <w:rFonts w:cs="Times New Roman"/>
          <w:szCs w:val="24"/>
        </w:rPr>
        <w:t xml:space="preserve">, S.Q. 1999, c. 14, the </w:t>
      </w:r>
      <w:r w:rsidRPr="00FA5D7E">
        <w:rPr>
          <w:rFonts w:cs="Times New Roman"/>
          <w:i/>
          <w:szCs w:val="24"/>
        </w:rPr>
        <w:t>de facto</w:t>
      </w:r>
      <w:r w:rsidRPr="00FA5D7E">
        <w:rPr>
          <w:rFonts w:cs="Times New Roman"/>
          <w:szCs w:val="24"/>
        </w:rPr>
        <w:t xml:space="preserve"> spouse concept has been extended in these statutes to include same</w:t>
      </w:r>
      <w:r w:rsidRPr="00FA5D7E">
        <w:rPr>
          <w:rFonts w:cs="Times New Roman"/>
          <w:szCs w:val="24"/>
        </w:rPr>
        <w:noBreakHyphen/>
        <w:t xml:space="preserve">sex </w:t>
      </w:r>
      <w:r w:rsidRPr="00FA5D7E">
        <w:rPr>
          <w:rFonts w:cs="Times New Roman"/>
          <w:i/>
          <w:szCs w:val="24"/>
        </w:rPr>
        <w:t>de facto</w:t>
      </w:r>
      <w:r w:rsidRPr="00FA5D7E">
        <w:rPr>
          <w:rFonts w:cs="Times New Roman"/>
          <w:szCs w:val="24"/>
        </w:rPr>
        <w:t xml:space="preserve"> spouses.  Moreover, as a result of the enactment in 2002 of the </w:t>
      </w:r>
      <w:r w:rsidRPr="00FA5D7E">
        <w:rPr>
          <w:rFonts w:cs="Times New Roman"/>
          <w:i/>
          <w:szCs w:val="24"/>
        </w:rPr>
        <w:t>Act instituting civil unions and establishing new rules of filiation</w:t>
      </w:r>
      <w:r w:rsidRPr="00FA5D7E">
        <w:rPr>
          <w:rFonts w:cs="Times New Roman"/>
          <w:iCs/>
          <w:szCs w:val="24"/>
        </w:rPr>
        <w:t xml:space="preserve">, </w:t>
      </w:r>
      <w:r w:rsidRPr="00FA5D7E">
        <w:rPr>
          <w:rFonts w:cs="Times New Roman"/>
          <w:szCs w:val="24"/>
        </w:rPr>
        <w:t xml:space="preserve">s. 143, the definition of spouse in the </w:t>
      </w:r>
      <w:r w:rsidRPr="00FA5D7E">
        <w:rPr>
          <w:rFonts w:cs="Times New Roman"/>
          <w:i/>
          <w:szCs w:val="24"/>
        </w:rPr>
        <w:t>Interpretation Act</w:t>
      </w:r>
      <w:r w:rsidRPr="00FA5D7E">
        <w:rPr>
          <w:rFonts w:cs="Times New Roman"/>
          <w:szCs w:val="24"/>
        </w:rPr>
        <w:t>, R.S.Q., c. I</w:t>
      </w:r>
      <w:r w:rsidRPr="00FA5D7E">
        <w:rPr>
          <w:rFonts w:cs="Times New Roman"/>
          <w:szCs w:val="24"/>
        </w:rPr>
        <w:noBreakHyphen/>
        <w:t>16, s. 61.1, includes same</w:t>
      </w:r>
      <w:r w:rsidRPr="00FA5D7E">
        <w:rPr>
          <w:rFonts w:cs="Times New Roman"/>
          <w:szCs w:val="24"/>
        </w:rPr>
        <w:noBreakHyphen/>
        <w:t>sex spouses.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This tendency in social statutes to treat </w:t>
      </w:r>
      <w:r w:rsidRPr="00FA5D7E">
        <w:rPr>
          <w:rFonts w:cs="Times New Roman"/>
          <w:i/>
          <w:szCs w:val="24"/>
        </w:rPr>
        <w:t>de facto</w:t>
      </w:r>
      <w:r w:rsidRPr="00FA5D7E">
        <w:rPr>
          <w:rFonts w:cs="Times New Roman"/>
          <w:szCs w:val="24"/>
        </w:rPr>
        <w:t xml:space="preserve"> spouses in the same way as married and civil union spouses can also be seen in certain civil law matters involving interaction between </w:t>
      </w:r>
      <w:r w:rsidRPr="00FA5D7E">
        <w:rPr>
          <w:rFonts w:cs="Times New Roman"/>
          <w:i/>
          <w:szCs w:val="24"/>
        </w:rPr>
        <w:t>de facto</w:t>
      </w:r>
      <w:r w:rsidRPr="00FA5D7E">
        <w:rPr>
          <w:rFonts w:cs="Times New Roman"/>
          <w:szCs w:val="24"/>
        </w:rPr>
        <w:t xml:space="preserve"> spouses and third parties.  For example, a </w:t>
      </w:r>
      <w:r w:rsidRPr="00FA5D7E">
        <w:rPr>
          <w:rFonts w:cs="Times New Roman"/>
          <w:i/>
          <w:szCs w:val="24"/>
        </w:rPr>
        <w:t>de facto</w:t>
      </w:r>
      <w:r w:rsidRPr="00FA5D7E">
        <w:rPr>
          <w:rFonts w:cs="Times New Roman"/>
          <w:szCs w:val="24"/>
        </w:rPr>
        <w:t xml:space="preserve"> spouse, like a married or civil union spouse, can consent to care required by his or her spouse who is incapable of giving consent (art. 15 </w:t>
      </w:r>
      <w:r w:rsidRPr="00FA5D7E">
        <w:rPr>
          <w:rFonts w:cs="Times New Roman"/>
          <w:i/>
          <w:szCs w:val="24"/>
        </w:rPr>
        <w:t>C.C.Q.</w:t>
      </w:r>
      <w:r w:rsidRPr="00FA5D7E">
        <w:rPr>
          <w:rFonts w:cs="Times New Roman"/>
          <w:szCs w:val="24"/>
        </w:rPr>
        <w:t xml:space="preserve">); where his or her spouse alone signed a lease for a dwelling and subsequently leaves the dwelling or dies, maintain occupancy and become the lessee (art. 1938 </w:t>
      </w:r>
      <w:r w:rsidRPr="00FA5D7E">
        <w:rPr>
          <w:rFonts w:cs="Times New Roman"/>
          <w:i/>
          <w:szCs w:val="24"/>
        </w:rPr>
        <w:t>C.C.Q.</w:t>
      </w:r>
      <w:r w:rsidRPr="00FA5D7E">
        <w:rPr>
          <w:rFonts w:cs="Times New Roman"/>
          <w:szCs w:val="24"/>
        </w:rPr>
        <w:t xml:space="preserve">); repossess a dwelling in an immovable owned jointly with his or her spouse (art. 1958 </w:t>
      </w:r>
      <w:r w:rsidRPr="00FA5D7E">
        <w:rPr>
          <w:rFonts w:cs="Times New Roman"/>
          <w:i/>
          <w:szCs w:val="24"/>
        </w:rPr>
        <w:t>C.C.Q.</w:t>
      </w:r>
      <w:r w:rsidRPr="00FA5D7E">
        <w:rPr>
          <w:rFonts w:cs="Times New Roman"/>
          <w:szCs w:val="24"/>
        </w:rPr>
        <w:t xml:space="preserve">); participate in meetings of relatives, persons connected by marriage or a civil union and friends during the process of appointing a curator for his or her spouse (art. 266 </w:t>
      </w:r>
      <w:r w:rsidRPr="00FA5D7E">
        <w:rPr>
          <w:rFonts w:cs="Times New Roman"/>
          <w:i/>
          <w:szCs w:val="24"/>
        </w:rPr>
        <w:t>C.C.Q.</w:t>
      </w:r>
      <w:r w:rsidRPr="00FA5D7E">
        <w:rPr>
          <w:rFonts w:cs="Times New Roman"/>
          <w:szCs w:val="24"/>
        </w:rPr>
        <w:t xml:space="preserve">); avoid the seizure of part of his or her salary if supporting his or her spouse (art. 553 of the </w:t>
      </w:r>
      <w:r w:rsidRPr="00FA5D7E">
        <w:rPr>
          <w:rFonts w:cs="Times New Roman"/>
          <w:i/>
          <w:szCs w:val="24"/>
        </w:rPr>
        <w:t>Code of Civil Procedure</w:t>
      </w:r>
      <w:r w:rsidRPr="00FA5D7E">
        <w:rPr>
          <w:rFonts w:cs="Times New Roman"/>
          <w:szCs w:val="24"/>
        </w:rPr>
        <w:t>, R.S.Q., c. C</w:t>
      </w:r>
      <w:r w:rsidRPr="00FA5D7E">
        <w:rPr>
          <w:rFonts w:cs="Times New Roman"/>
          <w:szCs w:val="24"/>
        </w:rPr>
        <w:noBreakHyphen/>
        <w:t xml:space="preserve">25); and bring a direct action in liability where his or her spouse dies (abolition of the rule in art. 1056 </w:t>
      </w:r>
      <w:r w:rsidRPr="00FA5D7E">
        <w:rPr>
          <w:rFonts w:cs="Times New Roman"/>
          <w:i/>
          <w:szCs w:val="24"/>
        </w:rPr>
        <w:t>C.C.L.C.</w:t>
      </w:r>
      <w:r w:rsidRPr="00FA5D7E">
        <w:rPr>
          <w:rFonts w:cs="Times New Roman"/>
          <w:szCs w:val="24"/>
        </w:rPr>
        <w:t>).</w:t>
      </w:r>
    </w:p>
    <w:p w:rsidR="004862B9" w:rsidRPr="00FA5D7E" w:rsidRDefault="004862B9" w:rsidP="00F57668">
      <w:pPr>
        <w:pStyle w:val="TitleTitre-AltT"/>
        <w:tabs>
          <w:tab w:val="clear" w:pos="360"/>
          <w:tab w:val="left" w:pos="540"/>
        </w:tabs>
        <w:ind w:left="540" w:hanging="540"/>
        <w:rPr>
          <w:rFonts w:cs="Times New Roman"/>
          <w:szCs w:val="24"/>
          <w:lang w:val="en-CA"/>
        </w:rPr>
      </w:pPr>
      <w:bookmarkStart w:id="4" w:name="D1938_Y"/>
      <w:bookmarkStart w:id="5" w:name="s1938"/>
      <w:bookmarkEnd w:id="4"/>
      <w:bookmarkEnd w:id="5"/>
      <w:r w:rsidRPr="00FA5D7E">
        <w:rPr>
          <w:rFonts w:cs="Times New Roman"/>
          <w:szCs w:val="24"/>
          <w:lang w:val="en-CA"/>
        </w:rPr>
        <w:t>D.</w:t>
      </w:r>
      <w:r w:rsidRPr="00FA5D7E">
        <w:rPr>
          <w:rFonts w:cs="Times New Roman"/>
          <w:szCs w:val="24"/>
          <w:lang w:val="en-CA"/>
        </w:rPr>
        <w:tab/>
      </w:r>
      <w:r w:rsidRPr="00FA5D7E">
        <w:rPr>
          <w:rFonts w:cs="Times New Roman"/>
          <w:i/>
          <w:szCs w:val="24"/>
          <w:lang w:val="en-CA"/>
        </w:rPr>
        <w:t>Demographic and Sociological Evolution of the De Facto Union in Quebec Since 1980</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Parallel to the evolution of family law in Quebec, it is interesting to see how the social position of the </w:t>
      </w:r>
      <w:r w:rsidRPr="00FA5D7E">
        <w:rPr>
          <w:rFonts w:cs="Times New Roman"/>
          <w:i/>
          <w:szCs w:val="24"/>
        </w:rPr>
        <w:t>de facto</w:t>
      </w:r>
      <w:r w:rsidRPr="00FA5D7E">
        <w:rPr>
          <w:rFonts w:cs="Times New Roman"/>
          <w:szCs w:val="24"/>
        </w:rPr>
        <w:t xml:space="preserve"> union in that province has changed.  On the basis of data collected by Statistics Canada and the Institut de la statistique du Québec that are studied in some of the expert reports submitted by the parties, some demographic trends with respect to the </w:t>
      </w:r>
      <w:r w:rsidRPr="00FA5D7E">
        <w:rPr>
          <w:rFonts w:cs="Times New Roman"/>
          <w:i/>
          <w:szCs w:val="24"/>
        </w:rPr>
        <w:t>de facto</w:t>
      </w:r>
      <w:r w:rsidRPr="00FA5D7E">
        <w:rPr>
          <w:rFonts w:cs="Times New Roman"/>
          <w:szCs w:val="24"/>
        </w:rPr>
        <w:t xml:space="preserve"> union can be observed.  First, over the last 30 years, the development of the </w:t>
      </w:r>
      <w:r w:rsidRPr="00FA5D7E">
        <w:rPr>
          <w:rFonts w:cs="Times New Roman"/>
          <w:i/>
          <w:szCs w:val="24"/>
        </w:rPr>
        <w:t>de facto</w:t>
      </w:r>
      <w:r w:rsidRPr="00FA5D7E">
        <w:rPr>
          <w:rFonts w:cs="Times New Roman"/>
          <w:szCs w:val="24"/>
        </w:rPr>
        <w:t xml:space="preserve"> union has taken place largely in Quebec.  In Canada, it is in that province that the </w:t>
      </w:r>
      <w:r w:rsidRPr="00FA5D7E">
        <w:rPr>
          <w:rFonts w:cs="Times New Roman"/>
          <w:i/>
          <w:szCs w:val="24"/>
        </w:rPr>
        <w:t>de facto</w:t>
      </w:r>
      <w:r w:rsidRPr="00FA5D7E">
        <w:rPr>
          <w:rFonts w:cs="Times New Roman"/>
          <w:szCs w:val="24"/>
        </w:rPr>
        <w:t xml:space="preserve"> union has spread most widely.  Between 1981 and 2006, the proportion of Quebec couples in </w:t>
      </w:r>
      <w:r w:rsidRPr="00FA5D7E">
        <w:rPr>
          <w:rFonts w:cs="Times New Roman"/>
          <w:i/>
          <w:szCs w:val="24"/>
        </w:rPr>
        <w:t xml:space="preserve">de facto </w:t>
      </w:r>
      <w:r w:rsidR="00B60C7F">
        <w:rPr>
          <w:rFonts w:cs="Times New Roman"/>
          <w:szCs w:val="24"/>
        </w:rPr>
        <w:t>unions increased from 7.9</w:t>
      </w:r>
      <w:r w:rsidR="00837D2C">
        <w:rPr>
          <w:rFonts w:cs="Times New Roman"/>
          <w:szCs w:val="24"/>
        </w:rPr>
        <w:t>%</w:t>
      </w:r>
      <w:r w:rsidR="00B60C7F">
        <w:rPr>
          <w:rFonts w:cs="Times New Roman"/>
          <w:szCs w:val="24"/>
        </w:rPr>
        <w:t xml:space="preserve"> to 34.6</w:t>
      </w:r>
      <w:r w:rsidR="00837D2C">
        <w:rPr>
          <w:rFonts w:cs="Times New Roman"/>
          <w:szCs w:val="24"/>
        </w:rPr>
        <w:t>%</w:t>
      </w:r>
      <w:r w:rsidR="00B60C7F">
        <w:rPr>
          <w:rFonts w:cs="Times New Roman"/>
          <w:szCs w:val="24"/>
        </w:rPr>
        <w:t>.  By comparison, 18.4</w:t>
      </w:r>
      <w:r w:rsidR="00837D2C">
        <w:rPr>
          <w:rFonts w:cs="Times New Roman"/>
          <w:szCs w:val="24"/>
        </w:rPr>
        <w:t xml:space="preserve">% </w:t>
      </w:r>
      <w:r w:rsidRPr="00FA5D7E">
        <w:rPr>
          <w:rFonts w:cs="Times New Roman"/>
          <w:szCs w:val="24"/>
        </w:rPr>
        <w:t xml:space="preserve">of couples in Canada as a whole were in such a </w:t>
      </w:r>
      <w:r w:rsidR="00B60C7F">
        <w:rPr>
          <w:rFonts w:cs="Times New Roman"/>
          <w:szCs w:val="24"/>
        </w:rPr>
        <w:t>relationship in 2006.  Also, 60</w:t>
      </w:r>
      <w:r w:rsidR="00A36758">
        <w:rPr>
          <w:rFonts w:cs="Times New Roman"/>
          <w:szCs w:val="24"/>
        </w:rPr>
        <w:t>%</w:t>
      </w:r>
      <w:r w:rsidRPr="00FA5D7E">
        <w:rPr>
          <w:rFonts w:cs="Times New Roman"/>
          <w:szCs w:val="24"/>
        </w:rPr>
        <w:t xml:space="preserve"> of Quebec children are now apparently being born out of wedlock.  The 2011 census confirms these trends.  Accordin</w:t>
      </w:r>
      <w:r w:rsidR="004C3D02">
        <w:rPr>
          <w:rFonts w:cs="Times New Roman"/>
          <w:szCs w:val="24"/>
        </w:rPr>
        <w:t>g to the now available data, 20</w:t>
      </w:r>
      <w:r w:rsidR="00A36758">
        <w:rPr>
          <w:rFonts w:cs="Times New Roman"/>
          <w:szCs w:val="24"/>
        </w:rPr>
        <w:t xml:space="preserve">% </w:t>
      </w:r>
      <w:r w:rsidRPr="00FA5D7E">
        <w:rPr>
          <w:rFonts w:cs="Times New Roman"/>
          <w:szCs w:val="24"/>
        </w:rPr>
        <w:t xml:space="preserve">of Canadian couples live in </w:t>
      </w:r>
      <w:r w:rsidRPr="00FA5D7E">
        <w:rPr>
          <w:rFonts w:cs="Times New Roman"/>
          <w:i/>
          <w:szCs w:val="24"/>
        </w:rPr>
        <w:t>de facto</w:t>
      </w:r>
      <w:r w:rsidRPr="00FA5D7E">
        <w:rPr>
          <w:rFonts w:cs="Times New Roman"/>
          <w:szCs w:val="24"/>
        </w:rPr>
        <w:t xml:space="preserve"> unions.  In Quebe</w:t>
      </w:r>
      <w:r w:rsidR="004C3D02">
        <w:rPr>
          <w:rFonts w:cs="Times New Roman"/>
          <w:szCs w:val="24"/>
        </w:rPr>
        <w:t>c, the proportion rises to 37.8</w:t>
      </w:r>
      <w:r w:rsidR="00A36758">
        <w:rPr>
          <w:rFonts w:cs="Times New Roman"/>
          <w:szCs w:val="24"/>
        </w:rPr>
        <w:t>%</w:t>
      </w:r>
      <w:r w:rsidRPr="00FA5D7E">
        <w:rPr>
          <w:rFonts w:cs="Times New Roman"/>
          <w:szCs w:val="24"/>
        </w:rPr>
        <w: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statistics analyzed by the experts suggest that </w:t>
      </w:r>
      <w:r w:rsidRPr="00FA5D7E">
        <w:rPr>
          <w:rFonts w:cs="Times New Roman"/>
          <w:i/>
          <w:szCs w:val="24"/>
        </w:rPr>
        <w:t>de facto</w:t>
      </w:r>
      <w:r w:rsidRPr="00FA5D7E">
        <w:rPr>
          <w:rFonts w:cs="Times New Roman"/>
          <w:szCs w:val="24"/>
        </w:rPr>
        <w:t xml:space="preserve"> unions are more common among young Quebeckers under the age of 35 than among Canadians in that age group as a whole.  Young Quebeckers opt for </w:t>
      </w:r>
      <w:r w:rsidRPr="00FA5D7E">
        <w:rPr>
          <w:rFonts w:cs="Times New Roman"/>
          <w:i/>
          <w:szCs w:val="24"/>
        </w:rPr>
        <w:t>de facto</w:t>
      </w:r>
      <w:r w:rsidRPr="00FA5D7E">
        <w:rPr>
          <w:rFonts w:cs="Times New Roman"/>
          <w:szCs w:val="24"/>
        </w:rPr>
        <w:t xml:space="preserve"> unions</w:t>
      </w:r>
      <w:r w:rsidR="004C3D02">
        <w:rPr>
          <w:rFonts w:cs="Times New Roman"/>
          <w:szCs w:val="24"/>
        </w:rPr>
        <w:t xml:space="preserve"> in much higher proportions (51</w:t>
      </w:r>
      <w:r w:rsidR="00A36758">
        <w:rPr>
          <w:rFonts w:cs="Times New Roman"/>
          <w:szCs w:val="24"/>
        </w:rPr>
        <w:t>%</w:t>
      </w:r>
      <w:r w:rsidRPr="00FA5D7E">
        <w:rPr>
          <w:rFonts w:cs="Times New Roman"/>
          <w:szCs w:val="24"/>
        </w:rPr>
        <w:t>) than do</w:t>
      </w:r>
      <w:r w:rsidR="004C3D02">
        <w:rPr>
          <w:rFonts w:cs="Times New Roman"/>
          <w:szCs w:val="24"/>
        </w:rPr>
        <w:t xml:space="preserve"> young Canadians as a whole (29</w:t>
      </w:r>
      <w:r w:rsidR="00A36758">
        <w:rPr>
          <w:rFonts w:cs="Times New Roman"/>
          <w:szCs w:val="24"/>
        </w:rPr>
        <w:t>%</w:t>
      </w:r>
      <w:r w:rsidRPr="00FA5D7E">
        <w:rPr>
          <w:rFonts w:cs="Times New Roman"/>
          <w:szCs w:val="24"/>
        </w:rPr>
        <w:t xml:space="preserve">).  In Quebec, and to a lesser extent in Canada as a whole, </w:t>
      </w:r>
      <w:r w:rsidRPr="00FA5D7E">
        <w:rPr>
          <w:rFonts w:cs="Times New Roman"/>
          <w:i/>
          <w:szCs w:val="24"/>
        </w:rPr>
        <w:t>de facto</w:t>
      </w:r>
      <w:r w:rsidRPr="00FA5D7E">
        <w:rPr>
          <w:rFonts w:cs="Times New Roman"/>
          <w:szCs w:val="24"/>
        </w:rPr>
        <w:t xml:space="preserve"> unions remain proportionately more common among couples in their third unions than among couples in their first.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Whereas the purely demographic aspect of the </w:t>
      </w:r>
      <w:r w:rsidRPr="00FA5D7E">
        <w:rPr>
          <w:rFonts w:cs="Times New Roman"/>
          <w:i/>
          <w:szCs w:val="24"/>
        </w:rPr>
        <w:t>de facto</w:t>
      </w:r>
      <w:r w:rsidRPr="00FA5D7E">
        <w:rPr>
          <w:rFonts w:cs="Times New Roman"/>
          <w:szCs w:val="24"/>
        </w:rPr>
        <w:t xml:space="preserve"> union is easily quantified, the same is not true of its sociological or socio</w:t>
      </w:r>
      <w:r w:rsidRPr="00FA5D7E">
        <w:rPr>
          <w:rFonts w:cs="Times New Roman"/>
          <w:szCs w:val="24"/>
        </w:rPr>
        <w:noBreakHyphen/>
        <w:t xml:space="preserve">demographic character.  In the instant case, four of the eight expert reports filed by the parties at trial relate specifically to this sociological perspective.  Among other things, these experts discuss how conjugality is depicted in Quebec, the differences and similarities between marriage and the </w:t>
      </w:r>
      <w:r w:rsidRPr="00FA5D7E">
        <w:rPr>
          <w:rFonts w:cs="Times New Roman"/>
          <w:i/>
          <w:szCs w:val="24"/>
        </w:rPr>
        <w:t>de facto</w:t>
      </w:r>
      <w:r w:rsidRPr="00FA5D7E">
        <w:rPr>
          <w:rFonts w:cs="Times New Roman"/>
          <w:szCs w:val="24"/>
        </w:rPr>
        <w:t xml:space="preserve"> union, and how Quebec couples organize themselves.  Because of the methodological limitations of the studies, their small sample sizes and the general lack of quantitative data on which to base hypotheses, it seems impossible in the context of this case to draw any definitive conclusions about several aspects of this social phenomenon, including why this type of relationship is chosen and how it functions from an economic standpoint.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It will be helpful here to quote some remarks made by Professors Le Bourdais and Lapierre</w:t>
      </w:r>
      <w:r w:rsidRPr="00FA5D7E">
        <w:rPr>
          <w:rFonts w:cs="Times New Roman"/>
          <w:szCs w:val="24"/>
        </w:rPr>
        <w:noBreakHyphen/>
        <w:t xml:space="preserve">Adamcyk, at pp. 3 and 4 of their report, on the state of the research on </w:t>
      </w:r>
      <w:r w:rsidRPr="00FA5D7E">
        <w:rPr>
          <w:rFonts w:cs="Times New Roman"/>
          <w:i/>
          <w:szCs w:val="24"/>
        </w:rPr>
        <w:t>de facto</w:t>
      </w:r>
      <w:r w:rsidRPr="00FA5D7E">
        <w:rPr>
          <w:rFonts w:cs="Times New Roman"/>
          <w:szCs w:val="24"/>
        </w:rPr>
        <w:t xml:space="preserve"> unions in Quebec:</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w:t>
      </w:r>
      <w:r w:rsidRPr="00FA5D7E">
        <w:rPr>
          <w:smallCaps/>
          <w:szCs w:val="24"/>
          <w:lang w:val="en-CA"/>
        </w:rPr>
        <w:t>translation</w:t>
      </w:r>
      <w:r w:rsidRPr="00FA5D7E">
        <w:rPr>
          <w:szCs w:val="24"/>
          <w:lang w:val="en-CA"/>
        </w:rPr>
        <w:t xml:space="preserve">]  Very little research based on large samples representative of the population as a whole has been conducted into the meaning of the </w:t>
      </w:r>
      <w:r w:rsidRPr="00FA5D7E">
        <w:rPr>
          <w:i/>
          <w:szCs w:val="24"/>
          <w:lang w:val="en-CA"/>
        </w:rPr>
        <w:t xml:space="preserve">de facto </w:t>
      </w:r>
      <w:r w:rsidRPr="00FA5D7E">
        <w:rPr>
          <w:szCs w:val="24"/>
          <w:lang w:val="en-CA"/>
        </w:rPr>
        <w:t>union in relation to marriage and the meaning of the commitment made by the spouses to one another.  Moreover, the research that has been done has not gone into detail about the mechanisms underlying the choice of type of union for unions formed recently, that is, since the mid</w:t>
      </w:r>
      <w:r w:rsidRPr="00FA5D7E">
        <w:rPr>
          <w:szCs w:val="24"/>
          <w:lang w:val="en-CA"/>
        </w:rPr>
        <w:noBreakHyphen/>
        <w:t>1990s.  Many unknowns remain, and since the circumstances are changing, relationships that seem to be well established for a given period may no longer be valid for a subsequent period. . . .</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[With regard to certain links observed among various facts], the reliable data needed to analyze them correctly are often unavailable.  Thus, the link between financial independence and the choice of type of union continues to be the subject of speculation, since prospective longitudinal data following individuals as they advance through their lives, which would make it possible to observe their financial situations at the times they have to make choices, are only rarely or partially available.</w:t>
      </w:r>
    </w:p>
    <w:p w:rsidR="004862B9" w:rsidRPr="00FA5D7E" w:rsidRDefault="004862B9" w:rsidP="004862B9">
      <w:pPr>
        <w:pStyle w:val="Citation-AltC"/>
        <w:ind w:hanging="1166"/>
        <w:rPr>
          <w:szCs w:val="24"/>
          <w:lang w:val="en-CA"/>
        </w:rPr>
      </w:pPr>
      <w:r w:rsidRPr="00FA5D7E">
        <w:rPr>
          <w:szCs w:val="24"/>
          <w:lang w:val="en-CA"/>
        </w:rPr>
        <w:tab/>
        <w:t xml:space="preserve">Furthermore, in areas like money management by couples or the depictions of conjugality, which have been addressed qualitatively in the studies examined here, quantitative data on large samples are sorely lacking in Quebec and in Canada, making it impossible to compare couples in </w:t>
      </w:r>
      <w:r w:rsidRPr="00FA5D7E">
        <w:rPr>
          <w:i/>
          <w:szCs w:val="24"/>
          <w:lang w:val="en-CA"/>
        </w:rPr>
        <w:t>de facto</w:t>
      </w:r>
      <w:r w:rsidRPr="00FA5D7E">
        <w:rPr>
          <w:szCs w:val="24"/>
          <w:lang w:val="en-CA"/>
        </w:rPr>
        <w:t xml:space="preserve"> unions with married couples or to take account of all relevant groups regardless of their stage in the life cycle (at the beginning of the relationship, after several years of living together or the arrival of a child, or immediately after separating).  Research on other societies, where it exists, may suggest some elements of an answer, but it does not suffice to shed a satisfactory light on the Canadian reality.  [Joint Record, vol. 14, at pp. 7</w:t>
      </w:r>
      <w:r w:rsidRPr="00FA5D7E">
        <w:rPr>
          <w:szCs w:val="24"/>
          <w:lang w:val="en-CA"/>
        </w:rPr>
        <w:noBreakHyphen/>
        <w:t>8]</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Finally, as the trial judge pointed out, none of the expert reports submitted by the parties discusses the concrete effects of the breakdown of a relationship for </w:t>
      </w:r>
      <w:r w:rsidRPr="00FA5D7E">
        <w:rPr>
          <w:rFonts w:cs="Times New Roman"/>
          <w:i/>
          <w:szCs w:val="24"/>
        </w:rPr>
        <w:t>de facto</w:t>
      </w:r>
      <w:r w:rsidRPr="00FA5D7E">
        <w:rPr>
          <w:rFonts w:cs="Times New Roman"/>
          <w:szCs w:val="24"/>
        </w:rPr>
        <w:t xml:space="preserve"> spouses or for married or civil union spouses.</w:t>
      </w:r>
    </w:p>
    <w:p w:rsidR="004862B9" w:rsidRPr="00FA5D7E" w:rsidRDefault="004862B9" w:rsidP="00342A10">
      <w:pPr>
        <w:pStyle w:val="TitleTitre-AltT"/>
        <w:tabs>
          <w:tab w:val="clear" w:pos="360"/>
          <w:tab w:val="left" w:pos="540"/>
        </w:tabs>
        <w:ind w:left="540" w:hanging="540"/>
        <w:rPr>
          <w:rFonts w:cs="Times New Roman"/>
          <w:i/>
          <w:szCs w:val="24"/>
          <w:lang w:val="en-CA"/>
        </w:rPr>
      </w:pPr>
      <w:r w:rsidRPr="00FA5D7E">
        <w:rPr>
          <w:rFonts w:cs="Times New Roman"/>
          <w:szCs w:val="24"/>
          <w:lang w:val="en-CA"/>
        </w:rPr>
        <w:t>E.</w:t>
      </w:r>
      <w:r w:rsidRPr="00FA5D7E">
        <w:rPr>
          <w:rFonts w:cs="Times New Roman"/>
          <w:i/>
          <w:szCs w:val="24"/>
          <w:lang w:val="en-CA"/>
        </w:rPr>
        <w:tab/>
        <w:t>Scope of A’s Claim</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Before considering the nature and application of the right to equality in the context of this appeal, I must review the scope of A’s claim.  All its effects must be understood in order to assess their impact on the application of the right to equality.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First, by arguing that arts. 401 to 430, 432, 433, 448 to 484 and 585 </w:t>
      </w:r>
      <w:r w:rsidRPr="00FA5D7E">
        <w:rPr>
          <w:rFonts w:cs="Times New Roman"/>
          <w:i/>
          <w:szCs w:val="24"/>
        </w:rPr>
        <w:t>C.C.Q.</w:t>
      </w:r>
      <w:r w:rsidRPr="00FA5D7E">
        <w:rPr>
          <w:rFonts w:cs="Times New Roman"/>
          <w:szCs w:val="24"/>
        </w:rPr>
        <w:t xml:space="preserve"> are contrary to s. 15(1) of the </w:t>
      </w:r>
      <w:r w:rsidRPr="00FA5D7E">
        <w:rPr>
          <w:rFonts w:cs="Times New Roman"/>
          <w:i/>
          <w:szCs w:val="24"/>
        </w:rPr>
        <w:t>Charter</w:t>
      </w:r>
      <w:r w:rsidRPr="00FA5D7E">
        <w:rPr>
          <w:rFonts w:cs="Times New Roman"/>
          <w:szCs w:val="24"/>
        </w:rPr>
        <w:t xml:space="preserve"> and not justified under s. 1, A is claiming the benefit of certain aspects of the primary regime that applies in cases of separation from bed and board, divorce, or dissolution of a civil union.  On this basis, she is seeking to partition the family patrimony and reserve her right to claim a compensatory allowance.  She also submits that she is entitled to support for herself and to a lump sum.</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Although A is challenging the constitutionality of the provisions protecting the family residence, she makes no specific claim concerning those provisions in this case.  The issues relating to the place of residence of A and the parties’ children appear to have been dealt with in an agreement the parties entered into before the trial.</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Second, along with the application of certain parts of the primary regime, A is seeking the automatic and mandatory application of the legal matrimonial regime of partnership of acquests.  As I mentioned above, in the case of marriage and civil union, the legal regime applies automatically only if the spouses do not enter into a marriage contract or a civil union contract.  Under Quebec civil law, the regime of partnership of acquests is suppletive and applies only if there is no contract designating a regime of separation as to property or containing stipulations tailored to the spouses’ personal circumstances.  In essence, as regards matrimonial regimes, A wants her </w:t>
      </w:r>
      <w:r w:rsidRPr="00FA5D7E">
        <w:rPr>
          <w:rFonts w:cs="Times New Roman"/>
          <w:i/>
          <w:szCs w:val="24"/>
        </w:rPr>
        <w:t>de facto</w:t>
      </w:r>
      <w:r w:rsidRPr="00FA5D7E">
        <w:rPr>
          <w:rFonts w:cs="Times New Roman"/>
          <w:szCs w:val="24"/>
        </w:rPr>
        <w:t xml:space="preserve"> union to be treated not only like a marriage, but like a marriage entered into without a marriage contract.  She is therefore asking this Court to recognize the retroactive creation of a partnership of acquests that applies on a mandatory basis to her relationship with B.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When a marriage breaks down, the dissolution of a legal regime of partnership of acquests results in partition of the value of the acquests between the spouses to whom the regime applies.  Partition is of relatively little consequence to couples whose main assets are part of the family patrimony, but it can acquire great significance where, for example, one of the spouses is actively involved in business ventures.  Having made this clarification, I will now turn to s. 15(1) of the </w:t>
      </w:r>
      <w:r w:rsidRPr="00FA5D7E">
        <w:rPr>
          <w:rFonts w:cs="Times New Roman"/>
          <w:i/>
          <w:szCs w:val="24"/>
        </w:rPr>
        <w:t>Charter</w:t>
      </w:r>
      <w:r w:rsidRPr="00FA5D7E">
        <w:rPr>
          <w:rFonts w:cs="Times New Roman"/>
          <w:szCs w:val="24"/>
        </w:rPr>
        <w:t>, which is at the heart of this case.  How it is interpreted and applied will determine the outcome of A’s constitutional claims and, as a result, the scope of her support and patrimonial rights in relation to B.</w:t>
      </w:r>
    </w:p>
    <w:p w:rsidR="004862B9" w:rsidRPr="00FA5D7E" w:rsidRDefault="004862B9" w:rsidP="00342A10">
      <w:pPr>
        <w:pStyle w:val="TitleTitre-AltT"/>
        <w:tabs>
          <w:tab w:val="clear" w:pos="360"/>
          <w:tab w:val="left" w:pos="540"/>
        </w:tabs>
        <w:ind w:left="540" w:hanging="540"/>
        <w:rPr>
          <w:rFonts w:cs="Times New Roman"/>
          <w:szCs w:val="24"/>
          <w:lang w:val="en-CA"/>
        </w:rPr>
      </w:pPr>
      <w:r w:rsidRPr="00FA5D7E">
        <w:rPr>
          <w:rFonts w:cs="Times New Roman"/>
          <w:szCs w:val="24"/>
          <w:lang w:val="en-CA"/>
        </w:rPr>
        <w:t>F.</w:t>
      </w:r>
      <w:r w:rsidRPr="00FA5D7E">
        <w:rPr>
          <w:rFonts w:cs="Times New Roman"/>
          <w:i/>
          <w:szCs w:val="24"/>
          <w:lang w:val="en-CA"/>
        </w:rPr>
        <w:tab/>
        <w:t>Development of the Jurisprudence on Section 15</w:t>
      </w:r>
    </w:p>
    <w:p w:rsidR="004862B9" w:rsidRPr="00FA5D7E" w:rsidRDefault="004862B9" w:rsidP="00342A10">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(1)</w:t>
      </w:r>
      <w:r w:rsidRPr="00FA5D7E">
        <w:rPr>
          <w:rFonts w:cs="Times New Roman"/>
          <w:szCs w:val="24"/>
          <w:lang w:val="en-CA"/>
        </w:rPr>
        <w:tab/>
      </w:r>
      <w:r w:rsidRPr="00FA5D7E">
        <w:rPr>
          <w:rFonts w:cs="Times New Roman"/>
          <w:szCs w:val="24"/>
          <w:u w:val="single"/>
          <w:lang w:val="en-CA"/>
        </w:rPr>
        <w:t>Underlying Values of Section 15:  Equality, Dignity, Freedom and Personal Autonomy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Section 15(1) of the </w:t>
      </w:r>
      <w:r w:rsidRPr="00FA5D7E">
        <w:rPr>
          <w:rFonts w:cs="Times New Roman"/>
          <w:i/>
          <w:szCs w:val="24"/>
        </w:rPr>
        <w:t>Charter</w:t>
      </w:r>
      <w:r w:rsidRPr="00FA5D7E">
        <w:rPr>
          <w:rFonts w:cs="Times New Roman"/>
          <w:szCs w:val="24"/>
        </w:rPr>
        <w:t xml:space="preserve"> provides that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r w:rsidR="00921338" w:rsidRPr="00FA5D7E">
        <w:rPr>
          <w:rFonts w:cs="Times New Roman"/>
          <w:szCs w:val="24"/>
        </w:rPr>
        <w:t>.</w:t>
      </w:r>
      <w:r w:rsidRPr="00FA5D7E">
        <w:rPr>
          <w:rFonts w:cs="Times New Roman"/>
          <w:szCs w:val="24"/>
        </w:rPr>
        <w:t xml:space="preserve">”  To understand the meaning and content of this guarantee as well as its impact on government action, it is necessary to clearly understand the nature of what McIntyre J. called “the broad range of values embraced by s. 15”:  </w:t>
      </w:r>
      <w:r w:rsidRPr="00FA5D7E">
        <w:rPr>
          <w:rFonts w:cs="Times New Roman"/>
          <w:i/>
          <w:szCs w:val="24"/>
        </w:rPr>
        <w:t>Andrews v. Law Society of British Columbia</w:t>
      </w:r>
      <w:r w:rsidRPr="00FA5D7E">
        <w:rPr>
          <w:rFonts w:cs="Times New Roman"/>
          <w:szCs w:val="24"/>
        </w:rPr>
        <w:t xml:space="preserve">, [1989] 1 S.C.R. 143, at p. 171.  The recognition of these values aids in the interpretation of s. 15(1) and in the overall assessment of the merits of claims that the right to equality has been violated:  </w:t>
      </w:r>
      <w:r w:rsidRPr="00FA5D7E">
        <w:rPr>
          <w:rFonts w:cs="Times New Roman"/>
          <w:i/>
          <w:szCs w:val="24"/>
        </w:rPr>
        <w:t>Law</w:t>
      </w:r>
      <w:r w:rsidRPr="00FA5D7E">
        <w:rPr>
          <w:rFonts w:cs="Times New Roman"/>
          <w:szCs w:val="24"/>
        </w:rPr>
        <w:t xml:space="preserve">, at para. 54; </w:t>
      </w:r>
      <w:r w:rsidRPr="00FA5D7E">
        <w:rPr>
          <w:rFonts w:cs="Times New Roman"/>
          <w:i/>
          <w:szCs w:val="24"/>
        </w:rPr>
        <w:t>Walsh</w:t>
      </w:r>
      <w:r w:rsidRPr="00FA5D7E">
        <w:rPr>
          <w:rFonts w:cs="Times New Roman"/>
          <w:szCs w:val="24"/>
        </w:rPr>
        <w:t>, at para. 63.</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cs="Times New Roman"/>
          <w:i/>
          <w:szCs w:val="24"/>
        </w:rPr>
        <w:t>Andrews</w:t>
      </w:r>
      <w:r w:rsidRPr="00FA5D7E">
        <w:rPr>
          <w:rFonts w:cs="Times New Roman"/>
          <w:szCs w:val="24"/>
        </w:rPr>
        <w:t>, the first case in which this Court considered the application of s. 15, McIntyre J. stated emphatically that the equality guarantee is intended to ensure the recognition of the equal worth of all human beings in Canadian society:</w:t>
      </w:r>
    </w:p>
    <w:p w:rsidR="004862B9" w:rsidRPr="00FA5D7E" w:rsidRDefault="004862B9" w:rsidP="00342A10">
      <w:pPr>
        <w:pStyle w:val="Citation-AltC"/>
        <w:tabs>
          <w:tab w:val="left" w:pos="1620"/>
        </w:tabs>
        <w:spacing w:after="240"/>
        <w:ind w:left="1168" w:hanging="1168"/>
        <w:contextualSpacing w:val="0"/>
        <w:rPr>
          <w:szCs w:val="24"/>
          <w:lang w:val="en-CA"/>
        </w:rPr>
      </w:pPr>
      <w:r w:rsidRPr="00FA5D7E">
        <w:rPr>
          <w:szCs w:val="24"/>
          <w:lang w:val="en-CA"/>
        </w:rPr>
        <w:tab/>
      </w:r>
      <w:r w:rsidRPr="00FA5D7E">
        <w:rPr>
          <w:szCs w:val="24"/>
          <w:lang w:val="en-CA"/>
        </w:rPr>
        <w:tab/>
        <w:t>It is clear that the purpose of s. 15 is to ensure equality in the formulation and application of the law.  The promotion of equality entails the promotion of a society in which all are secure in the knowledge that they are recognized at law as human beings equally deserving of concern, respect and consideration.</w:t>
      </w:r>
      <w:r w:rsidR="004C3D02">
        <w:rPr>
          <w:szCs w:val="24"/>
          <w:lang w:val="en-CA"/>
        </w:rPr>
        <w:t xml:space="preserve"> [p. 171]</w:t>
      </w:r>
    </w:p>
    <w:p w:rsidR="004862B9" w:rsidRPr="00FA5D7E" w:rsidRDefault="004C3D02" w:rsidP="004862B9">
      <w:pPr>
        <w:pStyle w:val="Citation-AltC"/>
        <w:ind w:hanging="1166"/>
        <w:rPr>
          <w:szCs w:val="24"/>
          <w:lang w:val="en-CA"/>
        </w:rPr>
      </w:pPr>
      <w:r>
        <w:rPr>
          <w:szCs w:val="24"/>
          <w:lang w:val="en-CA"/>
        </w:rPr>
        <w:t>(S</w:t>
      </w:r>
      <w:r w:rsidR="004862B9" w:rsidRPr="00FA5D7E">
        <w:rPr>
          <w:szCs w:val="24"/>
          <w:lang w:val="en-CA"/>
        </w:rPr>
        <w:t xml:space="preserve">ee also R. Dworkin, </w:t>
      </w:r>
      <w:r w:rsidR="004862B9" w:rsidRPr="00FA5D7E">
        <w:rPr>
          <w:i/>
          <w:szCs w:val="24"/>
          <w:lang w:val="en-CA"/>
        </w:rPr>
        <w:t>Taking Rights Seriously</w:t>
      </w:r>
      <w:r w:rsidR="004862B9" w:rsidRPr="00FA5D7E">
        <w:rPr>
          <w:szCs w:val="24"/>
          <w:lang w:val="en-CA"/>
        </w:rPr>
        <w:t xml:space="preserve"> (1977), at pp. 272</w:t>
      </w:r>
      <w:r w:rsidR="004862B9" w:rsidRPr="00FA5D7E">
        <w:rPr>
          <w:szCs w:val="24"/>
          <w:lang w:val="en-CA"/>
        </w:rPr>
        <w:noBreakHyphen/>
        <w:t>73</w:t>
      </w:r>
      <w:r>
        <w:rPr>
          <w:szCs w:val="24"/>
          <w:lang w:val="en-CA"/>
        </w:rPr>
        <w:t>.</w:t>
      </w:r>
      <w:r w:rsidR="004862B9" w:rsidRPr="00FA5D7E">
        <w:rPr>
          <w:szCs w:val="24"/>
          <w:lang w:val="en-CA"/>
        </w:rPr>
        <w: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According to McIntyre J., the establishment of formal equality does not suffice to meet the objectives underlying the adoption of the equality guarantee.  Section 15 instead introduces a concept of substantive equality.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As this Court has pointed out on several occasions, this value of substantive equality at the heart of s. 15 is closely tied to the concept of human dignity: </w:t>
      </w:r>
      <w:r w:rsidRPr="00FA5D7E">
        <w:rPr>
          <w:rFonts w:cs="Times New Roman"/>
          <w:i/>
          <w:szCs w:val="24"/>
        </w:rPr>
        <w:t>Miron</w:t>
      </w:r>
      <w:r w:rsidRPr="00FA5D7E">
        <w:rPr>
          <w:rFonts w:cs="Times New Roman"/>
          <w:szCs w:val="24"/>
        </w:rPr>
        <w:t>, at paras. 145</w:t>
      </w:r>
      <w:r w:rsidRPr="00FA5D7E">
        <w:rPr>
          <w:rFonts w:cs="Times New Roman"/>
          <w:szCs w:val="24"/>
        </w:rPr>
        <w:noBreakHyphen/>
        <w:t xml:space="preserve">46; </w:t>
      </w:r>
      <w:r w:rsidRPr="00FA5D7E">
        <w:rPr>
          <w:rFonts w:cs="Times New Roman"/>
          <w:i/>
          <w:szCs w:val="24"/>
        </w:rPr>
        <w:t>Law</w:t>
      </w:r>
      <w:r w:rsidRPr="00FA5D7E">
        <w:rPr>
          <w:rFonts w:cs="Times New Roman"/>
          <w:szCs w:val="24"/>
        </w:rPr>
        <w:t xml:space="preserve">, at paras. 52 and 54; </w:t>
      </w:r>
      <w:r w:rsidRPr="00FA5D7E">
        <w:rPr>
          <w:rFonts w:cs="Times New Roman"/>
          <w:i/>
          <w:szCs w:val="24"/>
        </w:rPr>
        <w:t>Blencoe v. British Columbia (Human Rights Commission)</w:t>
      </w:r>
      <w:r w:rsidRPr="00FA5D7E">
        <w:rPr>
          <w:rFonts w:cs="Times New Roman"/>
          <w:szCs w:val="24"/>
        </w:rPr>
        <w:t xml:space="preserve">, 2000 SCC 44, [2000] 2 S.C.R. 307, at para. 77; </w:t>
      </w:r>
      <w:r w:rsidRPr="00FA5D7E">
        <w:rPr>
          <w:rFonts w:cs="Times New Roman"/>
          <w:i/>
          <w:szCs w:val="24"/>
        </w:rPr>
        <w:t>Gosselin v</w:t>
      </w:r>
      <w:r w:rsidRPr="00FA5D7E">
        <w:rPr>
          <w:rStyle w:val="title1"/>
          <w:rFonts w:cs="Times New Roman"/>
          <w:i/>
          <w:szCs w:val="24"/>
        </w:rPr>
        <w:t>. Quebec (Attorney General)</w:t>
      </w:r>
      <w:r w:rsidRPr="00FA5D7E">
        <w:rPr>
          <w:rFonts w:cs="Times New Roman"/>
          <w:szCs w:val="24"/>
        </w:rPr>
        <w:t xml:space="preserve">, </w:t>
      </w:r>
      <w:r w:rsidRPr="00FA5D7E">
        <w:rPr>
          <w:rStyle w:val="neutralcite"/>
          <w:rFonts w:cs="Times New Roman"/>
          <w:szCs w:val="24"/>
        </w:rPr>
        <w:t>2002 SCC 84</w:t>
      </w:r>
      <w:r w:rsidRPr="00FA5D7E">
        <w:rPr>
          <w:rFonts w:cs="Times New Roman"/>
          <w:szCs w:val="24"/>
        </w:rPr>
        <w:t xml:space="preserve">, </w:t>
      </w:r>
      <w:r w:rsidRPr="00FA5D7E">
        <w:rPr>
          <w:rStyle w:val="reportcite"/>
          <w:rFonts w:cs="Times New Roman"/>
          <w:szCs w:val="24"/>
        </w:rPr>
        <w:t>[2002] 4 S.C.R. 429</w:t>
      </w:r>
      <w:r w:rsidRPr="00FA5D7E">
        <w:rPr>
          <w:rFonts w:cs="Times New Roman"/>
          <w:szCs w:val="24"/>
        </w:rPr>
        <w:t xml:space="preserve">, at para. 20.  The innate and equal dignity of every individual is invariably an “essential value underlying the s. 15 equality guarantee”:  </w:t>
      </w:r>
      <w:r w:rsidRPr="00FA5D7E">
        <w:rPr>
          <w:rFonts w:cs="Times New Roman"/>
          <w:i/>
          <w:szCs w:val="24"/>
        </w:rPr>
        <w:t>Kapp</w:t>
      </w:r>
      <w:r w:rsidRPr="00FA5D7E">
        <w:rPr>
          <w:rFonts w:cs="Times New Roman"/>
          <w:szCs w:val="24"/>
        </w:rPr>
        <w:t>, at para. 21.  Indeed, the Court has said that “the purpose of s. 15(1) is to prevent the violation of essential human dignity and freedom” (</w:t>
      </w:r>
      <w:r w:rsidRPr="00FA5D7E">
        <w:rPr>
          <w:rFonts w:cs="Times New Roman"/>
          <w:i/>
          <w:szCs w:val="24"/>
        </w:rPr>
        <w:t>Law</w:t>
      </w:r>
      <w:r w:rsidRPr="00FA5D7E">
        <w:rPr>
          <w:rFonts w:cs="Times New Roman"/>
          <w:szCs w:val="24"/>
        </w:rPr>
        <w:t xml:space="preserve">, at para. 51) and to eliminate any possibility of a person being treated in substance as “less worthy” than others:  </w:t>
      </w:r>
      <w:r w:rsidRPr="00FA5D7E">
        <w:rPr>
          <w:rFonts w:cs="Times New Roman"/>
          <w:i/>
          <w:szCs w:val="24"/>
        </w:rPr>
        <w:t>Gosselin</w:t>
      </w:r>
      <w:r w:rsidRPr="00FA5D7E">
        <w:rPr>
          <w:rFonts w:cs="Times New Roman"/>
          <w:szCs w:val="24"/>
        </w:rPr>
        <w:t>, at para. 22.  In other words:</w:t>
      </w:r>
    </w:p>
    <w:p w:rsidR="004862B9" w:rsidRPr="00FA5D7E" w:rsidRDefault="004862B9" w:rsidP="004862B9">
      <w:pPr>
        <w:pStyle w:val="Citation-AltC"/>
        <w:ind w:hanging="1166"/>
        <w:rPr>
          <w:szCs w:val="24"/>
          <w:lang w:val="en-CA"/>
        </w:rPr>
      </w:pPr>
      <w:r w:rsidRPr="00FA5D7E">
        <w:rPr>
          <w:szCs w:val="24"/>
          <w:lang w:val="en-CA"/>
        </w:rPr>
        <w:tab/>
        <w:t>This principle recognizes the dignity of each human being and each person’s freedom to develop his body and spirit as he or she desires, subject to such limitations as may be justified by the interests of the community as a whole.  It recognizes that society is based on individuals who are different from each other, and that a free and democratic society must accommodate and respect these differences.</w:t>
      </w:r>
    </w:p>
    <w:p w:rsidR="004862B9" w:rsidRPr="00FA5D7E" w:rsidRDefault="004862B9" w:rsidP="004862B9">
      <w:pPr>
        <w:pStyle w:val="Citation-AltC"/>
        <w:ind w:hanging="1166"/>
        <w:rPr>
          <w:szCs w:val="24"/>
          <w:lang w:val="en-CA"/>
        </w:rPr>
      </w:pPr>
    </w:p>
    <w:p w:rsidR="004862B9" w:rsidRPr="00FA5D7E" w:rsidRDefault="004862B9" w:rsidP="004862B9">
      <w:pPr>
        <w:pStyle w:val="Citation-AltC"/>
        <w:ind w:hanging="1166"/>
        <w:rPr>
          <w:szCs w:val="24"/>
          <w:lang w:val="en-CA"/>
        </w:rPr>
      </w:pPr>
      <w:r w:rsidRPr="00FA5D7E">
        <w:rPr>
          <w:szCs w:val="24"/>
          <w:lang w:val="en-CA"/>
        </w:rPr>
        <w:t>(</w:t>
      </w:r>
      <w:r w:rsidRPr="00FA5D7E">
        <w:rPr>
          <w:i/>
          <w:szCs w:val="24"/>
          <w:lang w:val="en-CA"/>
        </w:rPr>
        <w:t>Miron</w:t>
      </w:r>
      <w:r w:rsidRPr="00FA5D7E">
        <w:rPr>
          <w:szCs w:val="24"/>
          <w:lang w:val="en-CA"/>
        </w:rPr>
        <w:t>, at para. 145)</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The principle of personal autonomy or self</w:t>
      </w:r>
      <w:r w:rsidRPr="00FA5D7E">
        <w:rPr>
          <w:rFonts w:cs="Times New Roman"/>
          <w:szCs w:val="24"/>
        </w:rPr>
        <w:noBreakHyphen/>
        <w:t>determination, to which self</w:t>
      </w:r>
      <w:r w:rsidRPr="00FA5D7E">
        <w:rPr>
          <w:rFonts w:cs="Times New Roman"/>
          <w:szCs w:val="24"/>
        </w:rPr>
        <w:noBreakHyphen/>
        <w:t>worth, self</w:t>
      </w:r>
      <w:r w:rsidRPr="00FA5D7E">
        <w:rPr>
          <w:rFonts w:cs="Times New Roman"/>
          <w:szCs w:val="24"/>
        </w:rPr>
        <w:noBreakHyphen/>
        <w:t>confidence and self</w:t>
      </w:r>
      <w:r w:rsidRPr="00FA5D7E">
        <w:rPr>
          <w:rFonts w:cs="Times New Roman"/>
          <w:szCs w:val="24"/>
        </w:rPr>
        <w:noBreakHyphen/>
        <w:t xml:space="preserve">respect are tied, is an integral part of the values of dignity and freedom that underlie the equality guarantee:  </w:t>
      </w:r>
      <w:r w:rsidRPr="00FA5D7E">
        <w:rPr>
          <w:rFonts w:cs="Times New Roman"/>
          <w:i/>
          <w:szCs w:val="24"/>
        </w:rPr>
        <w:t>Law</w:t>
      </w:r>
      <w:r w:rsidRPr="00FA5D7E">
        <w:rPr>
          <w:rFonts w:cs="Times New Roman"/>
          <w:szCs w:val="24"/>
        </w:rPr>
        <w:t xml:space="preserve">, at para. 53; </w:t>
      </w:r>
      <w:r w:rsidRPr="00FA5D7E">
        <w:rPr>
          <w:rFonts w:cs="Times New Roman"/>
          <w:i/>
          <w:szCs w:val="24"/>
        </w:rPr>
        <w:t>Gosselin</w:t>
      </w:r>
      <w:r w:rsidRPr="00FA5D7E">
        <w:rPr>
          <w:rFonts w:cs="Times New Roman"/>
          <w:szCs w:val="24"/>
        </w:rPr>
        <w:t xml:space="preserve">, at para. 65.  Safeguarding personal autonomy implies the recognition of each individual’s right to make decisions regarding his or her own person, to control his or her bodily integrity and to pursue his or her own conception of a full and rewarding life free from government interference with fundamental personal choices:  </w:t>
      </w:r>
      <w:r w:rsidRPr="00FA5D7E">
        <w:rPr>
          <w:rFonts w:cs="Times New Roman"/>
          <w:i/>
          <w:szCs w:val="24"/>
        </w:rPr>
        <w:t>R. v.</w:t>
      </w:r>
      <w:r w:rsidRPr="00FA5D7E">
        <w:rPr>
          <w:rFonts w:cs="Times New Roman"/>
          <w:szCs w:val="24"/>
        </w:rPr>
        <w:t xml:space="preserve"> </w:t>
      </w:r>
      <w:r w:rsidRPr="00FA5D7E">
        <w:rPr>
          <w:rFonts w:cs="Times New Roman"/>
          <w:i/>
          <w:szCs w:val="24"/>
        </w:rPr>
        <w:t>Big M Drug Mart Ltd.</w:t>
      </w:r>
      <w:r w:rsidRPr="00FA5D7E">
        <w:rPr>
          <w:rFonts w:cs="Times New Roman"/>
          <w:szCs w:val="24"/>
        </w:rPr>
        <w:t xml:space="preserve">, [1985] 1 S.C.R. 295, at p. 346, </w:t>
      </w:r>
      <w:r w:rsidRPr="00FA5D7E">
        <w:rPr>
          <w:rFonts w:cs="Times New Roman"/>
          <w:i/>
          <w:szCs w:val="24"/>
        </w:rPr>
        <w:t>per</w:t>
      </w:r>
      <w:r w:rsidRPr="00FA5D7E">
        <w:rPr>
          <w:rFonts w:cs="Times New Roman"/>
          <w:szCs w:val="24"/>
        </w:rPr>
        <w:t xml:space="preserve"> Dickson J; </w:t>
      </w:r>
      <w:r w:rsidRPr="00FA5D7E">
        <w:rPr>
          <w:rFonts w:cs="Times New Roman"/>
          <w:i/>
          <w:szCs w:val="24"/>
        </w:rPr>
        <w:t>R. v.</w:t>
      </w:r>
      <w:r w:rsidRPr="00FA5D7E">
        <w:rPr>
          <w:rFonts w:cs="Times New Roman"/>
          <w:szCs w:val="24"/>
        </w:rPr>
        <w:t xml:space="preserve"> </w:t>
      </w:r>
      <w:r w:rsidRPr="00FA5D7E">
        <w:rPr>
          <w:rFonts w:cs="Times New Roman"/>
          <w:i/>
          <w:szCs w:val="24"/>
        </w:rPr>
        <w:t>Morgentaler</w:t>
      </w:r>
      <w:r w:rsidRPr="00FA5D7E">
        <w:rPr>
          <w:rFonts w:cs="Times New Roman"/>
          <w:szCs w:val="24"/>
        </w:rPr>
        <w:t xml:space="preserve">, [1988] 1 S.C.R. 30, at p. 164, </w:t>
      </w:r>
      <w:r w:rsidRPr="00FA5D7E">
        <w:rPr>
          <w:rFonts w:cs="Times New Roman"/>
          <w:i/>
          <w:szCs w:val="24"/>
        </w:rPr>
        <w:t>per</w:t>
      </w:r>
      <w:r w:rsidRPr="00FA5D7E">
        <w:rPr>
          <w:rFonts w:cs="Times New Roman"/>
          <w:szCs w:val="24"/>
        </w:rPr>
        <w:t xml:space="preserve"> Wilson J.; </w:t>
      </w:r>
      <w:r w:rsidRPr="00FA5D7E">
        <w:rPr>
          <w:rFonts w:cs="Times New Roman"/>
          <w:i/>
          <w:szCs w:val="24"/>
        </w:rPr>
        <w:t>Rodriguez v. British Columbia (Attorney General)</w:t>
      </w:r>
      <w:r w:rsidRPr="004C3D02">
        <w:rPr>
          <w:rFonts w:cs="Times New Roman"/>
          <w:szCs w:val="24"/>
        </w:rPr>
        <w:t>,</w:t>
      </w:r>
      <w:r w:rsidRPr="00FA5D7E">
        <w:rPr>
          <w:rFonts w:cs="Times New Roman"/>
          <w:i/>
          <w:szCs w:val="24"/>
        </w:rPr>
        <w:t xml:space="preserve"> </w:t>
      </w:r>
      <w:r w:rsidRPr="00FA5D7E">
        <w:rPr>
          <w:rFonts w:cs="Times New Roman"/>
          <w:szCs w:val="24"/>
        </w:rPr>
        <w:t xml:space="preserve">[1993] 3 S.C.R. 519, at p. 554, </w:t>
      </w:r>
      <w:r w:rsidRPr="00FA5D7E">
        <w:rPr>
          <w:rFonts w:cs="Times New Roman"/>
          <w:i/>
          <w:szCs w:val="24"/>
        </w:rPr>
        <w:t>per</w:t>
      </w:r>
      <w:r w:rsidRPr="00FA5D7E">
        <w:rPr>
          <w:rFonts w:cs="Times New Roman"/>
          <w:szCs w:val="24"/>
        </w:rPr>
        <w:t xml:space="preserve"> Lamer C.J., at pp. 587</w:t>
      </w:r>
      <w:r w:rsidRPr="00FA5D7E">
        <w:rPr>
          <w:rFonts w:cs="Times New Roman"/>
          <w:szCs w:val="24"/>
        </w:rPr>
        <w:noBreakHyphen/>
        <w:t xml:space="preserve">88, </w:t>
      </w:r>
      <w:r w:rsidRPr="00FA5D7E">
        <w:rPr>
          <w:rFonts w:cs="Times New Roman"/>
          <w:i/>
          <w:szCs w:val="24"/>
        </w:rPr>
        <w:t xml:space="preserve">per </w:t>
      </w:r>
      <w:r w:rsidRPr="00FA5D7E">
        <w:rPr>
          <w:rFonts w:cs="Times New Roman"/>
          <w:szCs w:val="24"/>
        </w:rPr>
        <w:t xml:space="preserve">Sopinka J.; </w:t>
      </w:r>
      <w:r w:rsidRPr="00FA5D7E">
        <w:rPr>
          <w:rFonts w:cs="Times New Roman"/>
          <w:i/>
          <w:szCs w:val="24"/>
        </w:rPr>
        <w:t>Blencoe</w:t>
      </w:r>
      <w:r w:rsidRPr="00FA5D7E">
        <w:rPr>
          <w:rFonts w:cs="Times New Roman"/>
          <w:szCs w:val="24"/>
        </w:rPr>
        <w:t xml:space="preserve">, at para. 77, </w:t>
      </w:r>
      <w:r w:rsidRPr="00FA5D7E">
        <w:rPr>
          <w:rFonts w:cs="Times New Roman"/>
          <w:i/>
          <w:szCs w:val="24"/>
        </w:rPr>
        <w:t xml:space="preserve">per </w:t>
      </w:r>
      <w:r w:rsidRPr="00FA5D7E">
        <w:rPr>
          <w:rFonts w:cs="Times New Roman"/>
          <w:szCs w:val="24"/>
        </w:rPr>
        <w:t>Bastarache J.</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 application of s. 15, promotion of the values of equality, dignity, freedom and autonomy requires “the remedying of discriminatory treatment” based on the personal characteristics enumerated in s. 15(1) or characteristics analogous to them: </w:t>
      </w:r>
      <w:r w:rsidRPr="00FA5D7E">
        <w:rPr>
          <w:rFonts w:cs="Times New Roman"/>
          <w:i/>
          <w:szCs w:val="24"/>
        </w:rPr>
        <w:t>Law</w:t>
      </w:r>
      <w:r w:rsidRPr="00FA5D7E">
        <w:rPr>
          <w:rFonts w:cs="Times New Roman"/>
          <w:szCs w:val="24"/>
        </w:rPr>
        <w:t xml:space="preserve">, at para. 52.  Under the </w:t>
      </w:r>
      <w:r w:rsidRPr="00FA5D7E">
        <w:rPr>
          <w:rFonts w:cs="Times New Roman"/>
          <w:i/>
          <w:szCs w:val="24"/>
        </w:rPr>
        <w:t>Charter</w:t>
      </w:r>
      <w:r w:rsidRPr="00FA5D7E">
        <w:rPr>
          <w:rFonts w:cs="Times New Roman"/>
          <w:szCs w:val="24"/>
        </w:rPr>
        <w:t xml:space="preserve">, it is unfair to limit an individual’s full participation in society solely because the individual has one of these personal characteristics: </w:t>
      </w:r>
      <w:r w:rsidRPr="00FA5D7E">
        <w:rPr>
          <w:rFonts w:cs="Times New Roman"/>
          <w:i/>
          <w:szCs w:val="24"/>
        </w:rPr>
        <w:t>Miron</w:t>
      </w:r>
      <w:r w:rsidRPr="00FA5D7E">
        <w:rPr>
          <w:rFonts w:cs="Times New Roman"/>
          <w:szCs w:val="24"/>
        </w:rPr>
        <w:t>, at para. </w:t>
      </w:r>
      <w:r w:rsidR="00921338">
        <w:rPr>
          <w:rFonts w:cs="Times New Roman"/>
          <w:szCs w:val="24"/>
        </w:rPr>
        <w:t>1</w:t>
      </w:r>
      <w:r w:rsidRPr="00FA5D7E">
        <w:rPr>
          <w:rFonts w:cs="Times New Roman"/>
          <w:szCs w:val="24"/>
        </w:rPr>
        <w:t xml:space="preserve">46; </w:t>
      </w:r>
      <w:r w:rsidRPr="00FA5D7E">
        <w:rPr>
          <w:rFonts w:cs="Times New Roman"/>
          <w:i/>
          <w:szCs w:val="24"/>
        </w:rPr>
        <w:t>Eldridge v. British Columbia (Attorney General)</w:t>
      </w:r>
      <w:r w:rsidRPr="00FA5D7E">
        <w:rPr>
          <w:rFonts w:cs="Times New Roman"/>
          <w:szCs w:val="24"/>
        </w:rPr>
        <w:t>, [1997] 3 S.C.R. 624, at paras. 72</w:t>
      </w:r>
      <w:r w:rsidRPr="00FA5D7E">
        <w:rPr>
          <w:rFonts w:cs="Times New Roman"/>
          <w:szCs w:val="24"/>
        </w:rPr>
        <w:noBreakHyphen/>
        <w:t xml:space="preserve">73.  Likewise, it is unacceptable to refuse on the basis of these characteristics to treat a person as a full member of society who deserves to realize his or her full human potential: </w:t>
      </w:r>
      <w:r w:rsidRPr="00FA5D7E">
        <w:rPr>
          <w:rFonts w:cs="Times New Roman"/>
          <w:i/>
          <w:szCs w:val="24"/>
        </w:rPr>
        <w:t>Miron</w:t>
      </w:r>
      <w:r w:rsidRPr="00FA5D7E">
        <w:rPr>
          <w:rFonts w:cs="Times New Roman"/>
          <w:szCs w:val="24"/>
        </w:rPr>
        <w:t xml:space="preserve">, at para. 146; </w:t>
      </w:r>
      <w:r w:rsidRPr="00FA5D7E">
        <w:rPr>
          <w:rFonts w:cs="Times New Roman"/>
          <w:i/>
          <w:szCs w:val="24"/>
        </w:rPr>
        <w:t>Gosselin</w:t>
      </w:r>
      <w:r w:rsidRPr="00FA5D7E">
        <w:rPr>
          <w:rFonts w:cs="Times New Roman"/>
          <w:szCs w:val="24"/>
        </w:rPr>
        <w:t>, at para. 23.</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Since </w:t>
      </w:r>
      <w:r w:rsidRPr="00FA5D7E">
        <w:rPr>
          <w:rFonts w:cs="Times New Roman"/>
          <w:i/>
          <w:szCs w:val="24"/>
        </w:rPr>
        <w:t>Andrews</w:t>
      </w:r>
      <w:r w:rsidRPr="00FA5D7E">
        <w:rPr>
          <w:rFonts w:cs="Times New Roman"/>
          <w:szCs w:val="24"/>
        </w:rPr>
        <w:t xml:space="preserve">, this Court has endeavoured to identify types of situations involving discrimination contrary to s. 15(1) and to establish an analytical framework to help the courts deal with claims for application of the equality guarantee.  Having a framework that can be used to identify discriminatory distinctions is of fundamental importance in light of the fact that the drawing of distinctions lies at the heart of legislative action:  </w:t>
      </w:r>
      <w:r w:rsidRPr="00FA5D7E">
        <w:rPr>
          <w:rFonts w:cs="Times New Roman"/>
          <w:i/>
          <w:szCs w:val="24"/>
        </w:rPr>
        <w:t>Andrews</w:t>
      </w:r>
      <w:r w:rsidRPr="00FA5D7E">
        <w:rPr>
          <w:rFonts w:cs="Times New Roman"/>
          <w:szCs w:val="24"/>
        </w:rPr>
        <w:t>, at pp. 168</w:t>
      </w:r>
      <w:r w:rsidRPr="00FA5D7E">
        <w:rPr>
          <w:rFonts w:cs="Times New Roman"/>
          <w:szCs w:val="24"/>
        </w:rPr>
        <w:noBreakHyphen/>
        <w:t xml:space="preserve">69.  Virtually all legislation distinguishes and makes categories.  Without a coherent analytical framework, every distinction involving an enumerated or analogous ground of discrimination would be suspect and would need to be justified, even those relating to fundamental and essential measures, such as the prohibition against driving while intoxicated:  </w:t>
      </w:r>
      <w:r w:rsidRPr="00FA5D7E">
        <w:rPr>
          <w:rFonts w:cs="Times New Roman"/>
          <w:i/>
          <w:szCs w:val="24"/>
        </w:rPr>
        <w:t>Andrews</w:t>
      </w:r>
      <w:r w:rsidRPr="00FA5D7E">
        <w:rPr>
          <w:rFonts w:cs="Times New Roman"/>
          <w:szCs w:val="24"/>
        </w:rPr>
        <w:t>, at pp. 181</w:t>
      </w:r>
      <w:r w:rsidRPr="00FA5D7E">
        <w:rPr>
          <w:rFonts w:cs="Times New Roman"/>
          <w:szCs w:val="24"/>
        </w:rPr>
        <w:noBreakHyphen/>
        <w:t xml:space="preserve">82.  Such a framework makes it possible for a court to combat discrimination effectively without succumbing to the temptation to redefine legislative solutions that do not violate the s. 15 equality guarantee:  </w:t>
      </w:r>
      <w:r w:rsidRPr="00FA5D7E">
        <w:rPr>
          <w:rFonts w:cs="Times New Roman"/>
          <w:i/>
          <w:szCs w:val="24"/>
        </w:rPr>
        <w:t>Hodge v. Canada (Minister of Human Resources Development)</w:t>
      </w:r>
      <w:r w:rsidRPr="00FA5D7E">
        <w:rPr>
          <w:rFonts w:cs="Times New Roman"/>
          <w:szCs w:val="24"/>
        </w:rPr>
        <w:t>, 2004 SCC 65, [2004] 3 S.C.R. 357, at para. 26.  Since the analytical framework developed by this Court has been discussed, reformulated and enriched many times over the past two decades, I must summarize the changes made to it in order to better describe its current form.</w:t>
      </w:r>
    </w:p>
    <w:p w:rsidR="004862B9" w:rsidRPr="00FA5D7E" w:rsidRDefault="004862B9" w:rsidP="00025C92">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(2)</w:t>
      </w:r>
      <w:r w:rsidRPr="00FA5D7E">
        <w:rPr>
          <w:rFonts w:cs="Times New Roman"/>
          <w:szCs w:val="24"/>
          <w:lang w:val="en-CA"/>
        </w:rPr>
        <w:tab/>
      </w:r>
      <w:r w:rsidRPr="00FA5D7E">
        <w:rPr>
          <w:rFonts w:cs="Times New Roman"/>
          <w:szCs w:val="24"/>
          <w:u w:val="single"/>
          <w:lang w:val="en-CA"/>
        </w:rPr>
        <w:t>Creation of an Analytical Framework</w:t>
      </w:r>
    </w:p>
    <w:p w:rsidR="004862B9" w:rsidRPr="00FA5D7E" w:rsidRDefault="004862B9" w:rsidP="00025C92">
      <w:pPr>
        <w:pStyle w:val="TitleTitre-AltT"/>
        <w:tabs>
          <w:tab w:val="clear" w:pos="360"/>
          <w:tab w:val="left" w:pos="1170"/>
        </w:tabs>
        <w:ind w:left="1710" w:hanging="1710"/>
        <w:rPr>
          <w:rFonts w:cs="Times New Roman"/>
          <w:i/>
          <w:szCs w:val="24"/>
          <w:lang w:val="en-CA"/>
        </w:rPr>
      </w:pPr>
      <w:r w:rsidRPr="00FA5D7E">
        <w:rPr>
          <w:rFonts w:cs="Times New Roman"/>
          <w:i/>
          <w:szCs w:val="24"/>
          <w:lang w:val="en-CA"/>
        </w:rPr>
        <w:tab/>
      </w:r>
      <w:r w:rsidRPr="00FA5D7E">
        <w:rPr>
          <w:rFonts w:cs="Times New Roman"/>
          <w:szCs w:val="24"/>
          <w:lang w:val="en-CA"/>
        </w:rPr>
        <w:t>(a)</w:t>
      </w:r>
      <w:r w:rsidRPr="00FA5D7E">
        <w:rPr>
          <w:rFonts w:cs="Times New Roman"/>
          <w:szCs w:val="24"/>
          <w:lang w:val="en-CA"/>
        </w:rPr>
        <w:tab/>
      </w:r>
      <w:r w:rsidRPr="00FA5D7E">
        <w:rPr>
          <w:rFonts w:cs="Times New Roman"/>
          <w:i/>
          <w:szCs w:val="24"/>
          <w:lang w:val="en-CA"/>
        </w:rPr>
        <w:t>Andrews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cs="Times New Roman"/>
          <w:i/>
          <w:szCs w:val="24"/>
        </w:rPr>
        <w:t>Andrews</w:t>
      </w:r>
      <w:r w:rsidRPr="00FA5D7E">
        <w:rPr>
          <w:rFonts w:cs="Times New Roman"/>
          <w:szCs w:val="24"/>
        </w:rPr>
        <w:t>, the Court was considering an alleged infringement of s. 15(1) by a legislative provision under which Canadian citizenship was required for admission to the British Columbia Bar.  The Court concluded that the provision was contrary to s. 15(1) because it barred a class of persons from certain types of employment solely on the ground that they were not Canadian citizens, and without consideration of their qualifications or of their individual attributes or merits.  Although he dissented on the application of s. 1 to the case, McIntyre J. laid the foundations of the analytical framework that is indispensable when considering an alleged violation of s. 15(1).</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McIntyre J. acknowledged at the outset that not every differentiation in the treatment of individuals under the law will result in inequality, “[n]or will a law necessarily be bad because it makes distinctions”:  </w:t>
      </w:r>
      <w:r w:rsidRPr="00FA5D7E">
        <w:rPr>
          <w:rFonts w:cs="Times New Roman"/>
          <w:i/>
          <w:szCs w:val="24"/>
        </w:rPr>
        <w:t>Andrews</w:t>
      </w:r>
      <w:r w:rsidR="004C3D02">
        <w:rPr>
          <w:rFonts w:cs="Times New Roman"/>
          <w:szCs w:val="24"/>
        </w:rPr>
        <w:t>, at p. 167;</w:t>
      </w:r>
      <w:r w:rsidRPr="00FA5D7E">
        <w:rPr>
          <w:rFonts w:cs="Times New Roman"/>
          <w:szCs w:val="24"/>
        </w:rPr>
        <w:t xml:space="preserve"> see also pp. 164, 168 and 182.  He thus refused to conclude that the </w:t>
      </w:r>
      <w:r w:rsidRPr="00FA5D7E">
        <w:rPr>
          <w:rFonts w:cs="Times New Roman"/>
          <w:i/>
          <w:szCs w:val="24"/>
        </w:rPr>
        <w:t>Charter</w:t>
      </w:r>
      <w:r w:rsidRPr="00FA5D7E">
        <w:rPr>
          <w:rFonts w:cs="Times New Roman"/>
          <w:szCs w:val="24"/>
        </w:rPr>
        <w:t xml:space="preserve"> prohibits any form of inequality between humans.  Rather, it is a tool for combating certain forms of inequality that are considered discriminatory.  On the basis of s. 15, which states that the right to equality must apply “without discrimination”, McIntyre J. identified the existence of discrimination as the fundamental requirement for application of the protection afforded by s. 15(1).  Therefore, according to him, s. 15(1) is deemed to limit or qualify itself, since it condemns only distinctions that are “discriminatory”:</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A complainant under s. 15(1) must show not only that he or she is not receiving equal treatment before and under the law or that the law has a differential impact on him or her in the protection or benefit accorded by law but, in addition, must show that the legislative impact of the law is discriminatory.</w:t>
      </w:r>
      <w:r w:rsidR="004C3D02">
        <w:rPr>
          <w:szCs w:val="24"/>
          <w:lang w:val="en-CA"/>
        </w:rPr>
        <w:t xml:space="preserve"> [p. 182]</w:t>
      </w:r>
    </w:p>
    <w:p w:rsidR="004862B9" w:rsidRPr="00120C3F" w:rsidRDefault="004862B9" w:rsidP="004C3D02">
      <w:pPr>
        <w:pStyle w:val="Citation-AltC"/>
        <w:ind w:left="0"/>
        <w:rPr>
          <w:szCs w:val="24"/>
        </w:rPr>
      </w:pPr>
      <w:r w:rsidRPr="00FA5D7E">
        <w:rPr>
          <w:szCs w:val="24"/>
          <w:lang w:val="en-CA"/>
        </w:rPr>
        <w:t>(</w:t>
      </w:r>
      <w:r w:rsidR="004C3D02">
        <w:rPr>
          <w:szCs w:val="24"/>
          <w:lang w:val="en-CA"/>
        </w:rPr>
        <w:t>S</w:t>
      </w:r>
      <w:r w:rsidRPr="00FA5D7E">
        <w:rPr>
          <w:szCs w:val="24"/>
          <w:lang w:val="en-CA"/>
        </w:rPr>
        <w:t xml:space="preserve">ee also </w:t>
      </w:r>
      <w:r w:rsidRPr="00FA5D7E">
        <w:rPr>
          <w:i/>
          <w:szCs w:val="24"/>
          <w:lang w:val="en-CA" w:eastAsia="en-US"/>
        </w:rPr>
        <w:t>Egan v. Canada</w:t>
      </w:r>
      <w:r w:rsidRPr="00FA5D7E">
        <w:rPr>
          <w:szCs w:val="24"/>
          <w:lang w:val="en-CA" w:eastAsia="en-US"/>
        </w:rPr>
        <w:t>, [1995] 2 S.C.R. 513</w:t>
      </w:r>
      <w:r w:rsidRPr="00FA5D7E">
        <w:rPr>
          <w:szCs w:val="24"/>
          <w:lang w:val="en-CA"/>
        </w:rPr>
        <w:t>, at paras. </w:t>
      </w:r>
      <w:r w:rsidRPr="00120C3F">
        <w:rPr>
          <w:szCs w:val="24"/>
        </w:rPr>
        <w:t>33</w:t>
      </w:r>
      <w:r w:rsidRPr="00120C3F">
        <w:rPr>
          <w:szCs w:val="24"/>
        </w:rPr>
        <w:noBreakHyphen/>
        <w:t xml:space="preserve">34, </w:t>
      </w:r>
      <w:r w:rsidRPr="00120C3F">
        <w:rPr>
          <w:i/>
          <w:szCs w:val="24"/>
        </w:rPr>
        <w:t xml:space="preserve">per </w:t>
      </w:r>
      <w:r w:rsidRPr="00120C3F">
        <w:rPr>
          <w:szCs w:val="24"/>
        </w:rPr>
        <w:t>L’Heureux</w:t>
      </w:r>
      <w:r w:rsidRPr="00120C3F">
        <w:rPr>
          <w:szCs w:val="24"/>
        </w:rPr>
        <w:noBreakHyphen/>
        <w:t>Dubé J., dissenting.)</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McIntyre J. then stated that discrimination under s. 15(1) is based on the grounds enumerated in that provision or grounds analogous to them.  Determining whether a ground of distinction is an analogous ground and can therefore support a discrimination claim involves a contextual inquiry to determine whether it gives rise to questions of stereotyping, historical disadvantage or prejudice:  </w:t>
      </w:r>
      <w:r w:rsidRPr="00FA5D7E">
        <w:rPr>
          <w:rFonts w:cs="Times New Roman"/>
          <w:i/>
          <w:szCs w:val="24"/>
        </w:rPr>
        <w:t>Andrews</w:t>
      </w:r>
      <w:r w:rsidRPr="00FA5D7E">
        <w:rPr>
          <w:rFonts w:cs="Times New Roman"/>
          <w:szCs w:val="24"/>
        </w:rPr>
        <w:t>, at pp. 180</w:t>
      </w:r>
      <w:r w:rsidRPr="00FA5D7E">
        <w:rPr>
          <w:rFonts w:cs="Times New Roman"/>
          <w:szCs w:val="24"/>
        </w:rPr>
        <w:noBreakHyphen/>
        <w:t xml:space="preserve">81; see also </w:t>
      </w:r>
      <w:r w:rsidRPr="00FA5D7E">
        <w:rPr>
          <w:rFonts w:cs="Times New Roman"/>
          <w:i/>
          <w:szCs w:val="24"/>
        </w:rPr>
        <w:t>Corbiere v. Canada (Minister of Indian and Northern Affairs)</w:t>
      </w:r>
      <w:r w:rsidRPr="00FA5D7E">
        <w:rPr>
          <w:rFonts w:cs="Times New Roman"/>
          <w:szCs w:val="24"/>
        </w:rPr>
        <w:t>, [1999] 2 S.C.R. 203, at paras. 12</w:t>
      </w:r>
      <w:r w:rsidRPr="00FA5D7E">
        <w:rPr>
          <w:rFonts w:cs="Times New Roman"/>
          <w:szCs w:val="24"/>
        </w:rPr>
        <w:noBreakHyphen/>
        <w:t xml:space="preserve">13.  It can also be asked whether the complainant is a member of a discrete and insular minority, many of which will be disadvantaged, like some of the groups covered by the grounds enumerated in s. 15(1).  Thus, discrimination “epitomizes the worst effects of the denial of equality”:  </w:t>
      </w:r>
      <w:r w:rsidRPr="00FA5D7E">
        <w:rPr>
          <w:rFonts w:cs="Times New Roman"/>
          <w:i/>
          <w:szCs w:val="24"/>
        </w:rPr>
        <w:t>Andrews</w:t>
      </w:r>
      <w:r w:rsidRPr="00FA5D7E">
        <w:rPr>
          <w:rFonts w:cs="Times New Roman"/>
          <w:szCs w:val="24"/>
        </w:rPr>
        <w:t>, at p. 172.</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McIntyre J. added that s. 15(1) limits prohibited distinctions or differentiations in treatment to those which involve prejudice or disadvantage.  In </w:t>
      </w:r>
      <w:r w:rsidRPr="00FA5D7E">
        <w:rPr>
          <w:rFonts w:cs="Times New Roman"/>
          <w:i/>
          <w:szCs w:val="24"/>
        </w:rPr>
        <w:t>Andrews</w:t>
      </w:r>
      <w:r w:rsidRPr="00FA5D7E">
        <w:rPr>
          <w:rFonts w:cs="Times New Roman"/>
          <w:szCs w:val="24"/>
        </w:rPr>
        <w:t>, the members of the Court agreed that the legislative provision challenged by the complainant infringed s. 15 because it imposed a specific burden on non</w:t>
      </w:r>
      <w:r w:rsidRPr="00FA5D7E">
        <w:rPr>
          <w:rFonts w:cs="Times New Roman"/>
          <w:szCs w:val="24"/>
        </w:rPr>
        <w:noBreakHyphen/>
        <w:t>citizens.  According to McIntyre J., “[n]on</w:t>
      </w:r>
      <w:r w:rsidRPr="00FA5D7E">
        <w:rPr>
          <w:rFonts w:cs="Times New Roman"/>
          <w:szCs w:val="24"/>
        </w:rPr>
        <w:noBreakHyphen/>
        <w:t xml:space="preserve">citizens, lawfully permanent residents of Canada, are . . . a good example of a ‘discrete and insular minority’ who come within the protection of s. 15”:  </w:t>
      </w:r>
      <w:r w:rsidRPr="00FA5D7E">
        <w:rPr>
          <w:rFonts w:cs="Times New Roman"/>
          <w:i/>
          <w:szCs w:val="24"/>
        </w:rPr>
        <w:t>Andrews</w:t>
      </w:r>
      <w:r w:rsidRPr="00FA5D7E">
        <w:rPr>
          <w:rFonts w:cs="Times New Roman"/>
          <w:szCs w:val="24"/>
        </w:rPr>
        <w:t>, at p. 183.  The Court was divided only on the application of s. 1, and not on this finding of a discriminatory infringement of the right to equality.</w:t>
      </w:r>
    </w:p>
    <w:p w:rsidR="004862B9" w:rsidRPr="00FA5D7E" w:rsidRDefault="004862B9" w:rsidP="00025C92">
      <w:pPr>
        <w:pStyle w:val="TitleTitre-AltT"/>
        <w:tabs>
          <w:tab w:val="clear" w:pos="360"/>
          <w:tab w:val="left" w:pos="1170"/>
        </w:tabs>
        <w:ind w:left="1710" w:hanging="1710"/>
        <w:rPr>
          <w:rFonts w:cs="Times New Roman"/>
          <w:i/>
          <w:szCs w:val="24"/>
          <w:lang w:val="en-CA"/>
        </w:rPr>
      </w:pPr>
      <w:r w:rsidRPr="00FA5D7E">
        <w:rPr>
          <w:rFonts w:cs="Times New Roman"/>
          <w:i/>
          <w:szCs w:val="24"/>
          <w:lang w:val="en-CA"/>
        </w:rPr>
        <w:tab/>
      </w:r>
      <w:r w:rsidRPr="00FA5D7E">
        <w:rPr>
          <w:rFonts w:cs="Times New Roman"/>
          <w:szCs w:val="24"/>
          <w:lang w:val="en-CA"/>
        </w:rPr>
        <w:t>(b)</w:t>
      </w:r>
      <w:r w:rsidRPr="00FA5D7E">
        <w:rPr>
          <w:rFonts w:cs="Times New Roman"/>
          <w:i/>
          <w:szCs w:val="24"/>
          <w:lang w:val="en-CA"/>
        </w:rPr>
        <w:tab/>
        <w:t>From Andrews to Law</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As several authors have noted, McIntyre J.’s reasons left some room for uncertainty about what constitutes discriminatory treatment under s. 15: see, </w:t>
      </w:r>
      <w:r w:rsidRPr="00FA5D7E">
        <w:rPr>
          <w:rFonts w:cs="Times New Roman"/>
          <w:i/>
          <w:szCs w:val="24"/>
        </w:rPr>
        <w:t>inter alia</w:t>
      </w:r>
      <w:r w:rsidRPr="00FA5D7E">
        <w:rPr>
          <w:rFonts w:cs="Times New Roman"/>
          <w:szCs w:val="24"/>
        </w:rPr>
        <w:t xml:space="preserve">, P. W. Hogg, </w:t>
      </w:r>
      <w:r w:rsidRPr="00FA5D7E">
        <w:rPr>
          <w:rFonts w:cs="Times New Roman"/>
          <w:i/>
          <w:szCs w:val="24"/>
        </w:rPr>
        <w:t>Constitutional Law of Canada</w:t>
      </w:r>
      <w:r w:rsidRPr="00FA5D7E">
        <w:rPr>
          <w:rFonts w:cs="Times New Roman"/>
          <w:szCs w:val="24"/>
        </w:rPr>
        <w:t xml:space="preserve"> (5th ed. Supp.</w:t>
      </w:r>
      <w:r w:rsidR="004C3D02">
        <w:rPr>
          <w:rFonts w:cs="Times New Roman"/>
          <w:szCs w:val="24"/>
        </w:rPr>
        <w:t xml:space="preserve"> </w:t>
      </w:r>
      <w:r w:rsidR="007A5FBD">
        <w:rPr>
          <w:rFonts w:cs="Times New Roman"/>
          <w:szCs w:val="24"/>
        </w:rPr>
        <w:t>(</w:t>
      </w:r>
      <w:r w:rsidR="004C3D02">
        <w:rPr>
          <w:rFonts w:cs="Times New Roman"/>
          <w:szCs w:val="24"/>
        </w:rPr>
        <w:t>loose-leaf</w:t>
      </w:r>
      <w:r w:rsidR="00576E3B">
        <w:rPr>
          <w:rFonts w:cs="Times New Roman"/>
          <w:szCs w:val="24"/>
        </w:rPr>
        <w:t>)</w:t>
      </w:r>
      <w:r w:rsidRPr="00FA5D7E">
        <w:rPr>
          <w:rFonts w:cs="Times New Roman"/>
          <w:szCs w:val="24"/>
        </w:rPr>
        <w:t>), vol. 2, at p. 55</w:t>
      </w:r>
      <w:r w:rsidRPr="00FA5D7E">
        <w:rPr>
          <w:rFonts w:cs="Times New Roman"/>
          <w:szCs w:val="24"/>
        </w:rPr>
        <w:noBreakHyphen/>
        <w:t xml:space="preserve">26; L. B. Tremblay, “Promoting Equality and Combating Discrimination Through Affirmative Action:  The Same Challenge?  Questioning the Canadian Substantive Equality Paradigm” (2012), 60 </w:t>
      </w:r>
      <w:r w:rsidRPr="00FA5D7E">
        <w:rPr>
          <w:rFonts w:cs="Times New Roman"/>
          <w:i/>
          <w:szCs w:val="24"/>
        </w:rPr>
        <w:t>Am. J. Comp. L.</w:t>
      </w:r>
      <w:r w:rsidRPr="00FA5D7E">
        <w:rPr>
          <w:rFonts w:cs="Times New Roman"/>
          <w:szCs w:val="24"/>
        </w:rPr>
        <w:t xml:space="preserve"> 181, at p. 185; B. J. Cameron, “A Work in Progress:  The Supreme Court and the </w:t>
      </w:r>
      <w:r w:rsidRPr="00FA5D7E">
        <w:rPr>
          <w:rFonts w:cs="Times New Roman"/>
          <w:i/>
          <w:szCs w:val="24"/>
        </w:rPr>
        <w:t>Charter</w:t>
      </w:r>
      <w:r w:rsidRPr="00FA5D7E">
        <w:rPr>
          <w:rFonts w:cs="Times New Roman"/>
          <w:szCs w:val="24"/>
        </w:rPr>
        <w:t xml:space="preserve">’s Equation of Rights and Limits”, in D. M. McAllister and A. M. Dodek, eds., </w:t>
      </w:r>
      <w:r w:rsidRPr="00FA5D7E">
        <w:rPr>
          <w:rFonts w:cs="Times New Roman"/>
          <w:i/>
          <w:szCs w:val="24"/>
        </w:rPr>
        <w:t>The Charter at Twenty:  Law and Practice 2002</w:t>
      </w:r>
      <w:r w:rsidRPr="00FA5D7E">
        <w:rPr>
          <w:rFonts w:cs="Times New Roman"/>
          <w:szCs w:val="24"/>
        </w:rPr>
        <w:t xml:space="preserve"> (2002)</w:t>
      </w:r>
      <w:r w:rsidR="00921338">
        <w:rPr>
          <w:rFonts w:cs="Times New Roman"/>
          <w:szCs w:val="24"/>
        </w:rPr>
        <w:t>,</w:t>
      </w:r>
      <w:r w:rsidRPr="00FA5D7E">
        <w:rPr>
          <w:rFonts w:cs="Times New Roman"/>
          <w:szCs w:val="24"/>
        </w:rPr>
        <w:t xml:space="preserve"> 31, at p. 34; C. D. Bredt and A. M. Dodek, “Breaking the </w:t>
      </w:r>
      <w:r w:rsidRPr="00FA5D7E">
        <w:rPr>
          <w:rFonts w:cs="Times New Roman"/>
          <w:i/>
          <w:szCs w:val="24"/>
        </w:rPr>
        <w:t>Law</w:t>
      </w:r>
      <w:r w:rsidRPr="00FA5D7E">
        <w:rPr>
          <w:rFonts w:cs="Times New Roman"/>
          <w:szCs w:val="24"/>
        </w:rPr>
        <w:t>’s Grip on Equality:  A New Paradigm for Section 15” (2003), 20 </w:t>
      </w:r>
      <w:r w:rsidRPr="00FA5D7E">
        <w:rPr>
          <w:rFonts w:cs="Times New Roman"/>
          <w:i/>
          <w:szCs w:val="24"/>
        </w:rPr>
        <w:t>S.C.L.R.</w:t>
      </w:r>
      <w:r w:rsidRPr="00FA5D7E">
        <w:rPr>
          <w:rFonts w:cs="Times New Roman"/>
          <w:szCs w:val="24"/>
        </w:rPr>
        <w:t xml:space="preserve"> (2d) 33, at p. 56; D. G. Réaume, “Discrimination and Dignity” (2003), 63 </w:t>
      </w:r>
      <w:r w:rsidRPr="00FA5D7E">
        <w:rPr>
          <w:rFonts w:cs="Times New Roman"/>
          <w:i/>
          <w:szCs w:val="24"/>
        </w:rPr>
        <w:t>La. L. Rev.</w:t>
      </w:r>
      <w:r w:rsidRPr="00FA5D7E">
        <w:rPr>
          <w:rFonts w:cs="Times New Roman"/>
          <w:szCs w:val="24"/>
        </w:rPr>
        <w:t xml:space="preserve"> 645, at pp. 652</w:t>
      </w:r>
      <w:r w:rsidRPr="00FA5D7E">
        <w:rPr>
          <w:rFonts w:cs="Times New Roman"/>
          <w:szCs w:val="24"/>
        </w:rPr>
        <w:noBreakHyphen/>
        <w:t>53.</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Taken out of context, some passages from the decision might suggest that every adverse distinction based on an enumerated or analogous ground is a form of discrimination prohibited by s. 15.  However, McIntyre J. stated elsewhere in his reasons that “[d]istinctions based on personal characteristics attributed to an individual solely on the basis of association with a group will </w:t>
      </w:r>
      <w:r w:rsidRPr="00FA5D7E">
        <w:rPr>
          <w:rFonts w:cs="Times New Roman"/>
          <w:szCs w:val="24"/>
          <w:u w:val="single"/>
        </w:rPr>
        <w:t>rarely</w:t>
      </w:r>
      <w:r w:rsidRPr="00FA5D7E">
        <w:rPr>
          <w:rFonts w:cs="Times New Roman"/>
          <w:szCs w:val="24"/>
        </w:rPr>
        <w:t xml:space="preserve"> escape the charge of discrimination, while those based on an individual’s merits and capacities will rarely be so classed”:  </w:t>
      </w:r>
      <w:r w:rsidRPr="00FA5D7E">
        <w:rPr>
          <w:rFonts w:cs="Times New Roman"/>
          <w:i/>
          <w:szCs w:val="24"/>
        </w:rPr>
        <w:t>Andrews</w:t>
      </w:r>
      <w:r w:rsidRPr="00FA5D7E">
        <w:rPr>
          <w:rFonts w:cs="Times New Roman"/>
          <w:szCs w:val="24"/>
        </w:rPr>
        <w:t>, at pp. 174</w:t>
      </w:r>
      <w:r w:rsidRPr="00FA5D7E">
        <w:rPr>
          <w:rFonts w:cs="Times New Roman"/>
          <w:szCs w:val="24"/>
        </w:rPr>
        <w:noBreakHyphen/>
        <w:t xml:space="preserve">75 (emphasis added).  He added that discrimination cannot be identified solely by determining whether the alleged ground is one of those enumerated in s. 15(1) or an analogous ground thereto: </w:t>
      </w:r>
      <w:r w:rsidRPr="00FA5D7E">
        <w:rPr>
          <w:rFonts w:cs="Times New Roman"/>
          <w:i/>
          <w:szCs w:val="24"/>
        </w:rPr>
        <w:t>Andrews</w:t>
      </w:r>
      <w:r w:rsidRPr="00FA5D7E">
        <w:rPr>
          <w:rFonts w:cs="Times New Roman"/>
          <w:szCs w:val="24"/>
        </w:rPr>
        <w:t xml:space="preserve">, at p. 182.  McIntyre J. therefore seemed to leave open the question of how to identify situations in which an adverse distinction based on an enumerated or analogous ground is not discriminatory.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Court gave two separate answers in what has been called “the 1995 trilogy” of </w:t>
      </w:r>
      <w:r w:rsidRPr="00FA5D7E">
        <w:rPr>
          <w:rFonts w:cs="Times New Roman"/>
          <w:i/>
          <w:szCs w:val="24"/>
        </w:rPr>
        <w:t>Miron</w:t>
      </w:r>
      <w:r w:rsidRPr="00FA5D7E">
        <w:rPr>
          <w:rFonts w:cs="Times New Roman"/>
          <w:szCs w:val="24"/>
        </w:rPr>
        <w:t xml:space="preserve">, </w:t>
      </w:r>
      <w:r w:rsidRPr="00FA5D7E">
        <w:rPr>
          <w:rFonts w:cs="Times New Roman"/>
          <w:i/>
          <w:szCs w:val="24"/>
        </w:rPr>
        <w:t>Egan</w:t>
      </w:r>
      <w:r w:rsidRPr="00FA5D7E">
        <w:rPr>
          <w:rFonts w:cs="Times New Roman"/>
          <w:szCs w:val="24"/>
        </w:rPr>
        <w:t xml:space="preserve"> and </w:t>
      </w:r>
      <w:r w:rsidRPr="00FA5D7E">
        <w:rPr>
          <w:rFonts w:cs="Times New Roman"/>
          <w:i/>
          <w:iCs/>
          <w:szCs w:val="24"/>
        </w:rPr>
        <w:t>Thibaudeau v</w:t>
      </w:r>
      <w:r w:rsidRPr="00FA5D7E">
        <w:rPr>
          <w:rFonts w:cs="Times New Roman"/>
          <w:i/>
          <w:szCs w:val="24"/>
        </w:rPr>
        <w:t xml:space="preserve">. </w:t>
      </w:r>
      <w:r w:rsidRPr="00FA5D7E">
        <w:rPr>
          <w:rFonts w:cs="Times New Roman"/>
          <w:i/>
          <w:iCs/>
          <w:szCs w:val="24"/>
        </w:rPr>
        <w:t>Canada</w:t>
      </w:r>
      <w:r w:rsidRPr="00FA5D7E">
        <w:rPr>
          <w:rFonts w:cs="Times New Roman"/>
          <w:szCs w:val="24"/>
        </w:rPr>
        <w:t>, [1995] 2 S.C.R. 627.  According to Lamer C.J. and La Forest, Gonthier and Major JJ., adverse differential treatment is discriminatory only if the alleged enumerated or analogous ground is irrelevant to the legislative goals or the values underlying the impugned provision.  If the ground for excluding a group of persons from certain benefits arising from a law is relevant to the goals and values of that law, the exclusion will therefore not be discriminatory within the meaning of s. 15.</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According to </w:t>
      </w:r>
      <w:r w:rsidR="004C3D02" w:rsidRPr="00FA5D7E">
        <w:rPr>
          <w:rFonts w:cs="Times New Roman"/>
          <w:szCs w:val="24"/>
        </w:rPr>
        <w:t>Sopinka</w:t>
      </w:r>
      <w:r w:rsidR="00576E3B">
        <w:rPr>
          <w:rFonts w:cs="Times New Roman"/>
          <w:szCs w:val="24"/>
        </w:rPr>
        <w:t>,</w:t>
      </w:r>
      <w:r w:rsidR="004C3D02" w:rsidRPr="00FA5D7E">
        <w:rPr>
          <w:rFonts w:cs="Times New Roman"/>
          <w:szCs w:val="24"/>
        </w:rPr>
        <w:t> </w:t>
      </w:r>
      <w:r w:rsidRPr="00FA5D7E">
        <w:rPr>
          <w:rFonts w:cs="Times New Roman"/>
          <w:szCs w:val="24"/>
        </w:rPr>
        <w:t xml:space="preserve">Cory, </w:t>
      </w:r>
      <w:r w:rsidR="004C3D02" w:rsidRPr="00FA5D7E">
        <w:rPr>
          <w:rFonts w:cs="Times New Roman"/>
          <w:szCs w:val="24"/>
        </w:rPr>
        <w:t>McLachlin</w:t>
      </w:r>
      <w:r w:rsidR="004C3D02">
        <w:rPr>
          <w:rFonts w:cs="Times New Roman"/>
          <w:szCs w:val="24"/>
        </w:rPr>
        <w:t xml:space="preserve"> and </w:t>
      </w:r>
      <w:r w:rsidRPr="00FA5D7E">
        <w:rPr>
          <w:rFonts w:cs="Times New Roman"/>
          <w:szCs w:val="24"/>
        </w:rPr>
        <w:t>Iacobucci JJ., and to some extent to L’Heureux</w:t>
      </w:r>
      <w:r w:rsidRPr="00FA5D7E">
        <w:rPr>
          <w:rFonts w:cs="Times New Roman"/>
          <w:szCs w:val="24"/>
        </w:rPr>
        <w:noBreakHyphen/>
        <w:t>Dubé J., differential treatment that disadvantages the complainant will be discriminatory only if it conflicts with the purpose of s. 15.  They explained that the purpose of s. 15 is “to prevent the violation of human dignity and freedom through the imposition of limitations, disadvantages or burdens through the stereotypical application of presumed group characteristics, rather than on the basis of merit, capacity or circumstance”</w:t>
      </w:r>
      <w:r w:rsidR="00921338">
        <w:rPr>
          <w:rFonts w:cs="Times New Roman"/>
          <w:szCs w:val="24"/>
        </w:rPr>
        <w:t xml:space="preserve">: </w:t>
      </w:r>
      <w:r w:rsidRPr="00FA5D7E">
        <w:rPr>
          <w:rFonts w:cs="Times New Roman"/>
          <w:i/>
          <w:szCs w:val="24"/>
        </w:rPr>
        <w:t>Miron</w:t>
      </w:r>
      <w:r w:rsidRPr="00FA5D7E">
        <w:rPr>
          <w:rFonts w:cs="Times New Roman"/>
          <w:szCs w:val="24"/>
        </w:rPr>
        <w:t xml:space="preserve">, at para. 140, </w:t>
      </w:r>
      <w:r w:rsidRPr="00FA5D7E">
        <w:rPr>
          <w:rFonts w:cs="Times New Roman"/>
          <w:i/>
          <w:szCs w:val="24"/>
        </w:rPr>
        <w:t>per</w:t>
      </w:r>
      <w:r w:rsidRPr="00FA5D7E">
        <w:rPr>
          <w:rFonts w:cs="Times New Roman"/>
          <w:szCs w:val="24"/>
        </w:rPr>
        <w:t xml:space="preserve"> McLachlin J.  In other words, an adverse distinction based on an enumerated or analogous ground will be discriminatory only if it is “contrary to s. 15’s aim of protecting human dignity”: </w:t>
      </w:r>
      <w:r w:rsidRPr="00FA5D7E">
        <w:rPr>
          <w:rFonts w:cs="Times New Roman"/>
          <w:i/>
          <w:szCs w:val="24"/>
        </w:rPr>
        <w:t>Egan</w:t>
      </w:r>
      <w:r w:rsidRPr="00FA5D7E">
        <w:rPr>
          <w:rFonts w:cs="Times New Roman"/>
          <w:szCs w:val="24"/>
        </w:rPr>
        <w:t xml:space="preserve">, at para. 180, </w:t>
      </w:r>
      <w:r w:rsidRPr="00FA5D7E">
        <w:rPr>
          <w:rFonts w:cs="Times New Roman"/>
          <w:i/>
          <w:szCs w:val="24"/>
        </w:rPr>
        <w:t>per</w:t>
      </w:r>
      <w:r w:rsidRPr="00FA5D7E">
        <w:rPr>
          <w:rFonts w:cs="Times New Roman"/>
          <w:szCs w:val="24"/>
        </w:rPr>
        <w:t xml:space="preserve"> Cory and Iacobucci JJ. (dissenting).  According to McLachlin J., requiring that a provision be found to violate the purpose of s. 15(1) before it can be characterized as discriminatory averts a trivialization of s. 15: </w:t>
      </w:r>
      <w:r w:rsidRPr="00FA5D7E">
        <w:rPr>
          <w:rFonts w:cs="Times New Roman"/>
          <w:i/>
          <w:szCs w:val="24"/>
        </w:rPr>
        <w:t>Miron</w:t>
      </w:r>
      <w:r w:rsidRPr="00FA5D7E">
        <w:rPr>
          <w:rFonts w:cs="Times New Roman"/>
          <w:szCs w:val="24"/>
        </w:rPr>
        <w:t>, at para. 131.</w:t>
      </w:r>
    </w:p>
    <w:p w:rsidR="004862B9" w:rsidRPr="00FA5D7E" w:rsidRDefault="004862B9" w:rsidP="00025C92">
      <w:pPr>
        <w:pStyle w:val="TitleTitre-AltT"/>
        <w:tabs>
          <w:tab w:val="clear" w:pos="360"/>
          <w:tab w:val="left" w:pos="1170"/>
        </w:tabs>
        <w:ind w:left="1710" w:hanging="1710"/>
        <w:rPr>
          <w:rFonts w:cs="Times New Roman"/>
          <w:i/>
          <w:szCs w:val="24"/>
          <w:lang w:val="en-CA"/>
        </w:rPr>
      </w:pPr>
      <w:r w:rsidRPr="00FA5D7E">
        <w:rPr>
          <w:rFonts w:cs="Times New Roman"/>
          <w:i/>
          <w:szCs w:val="24"/>
          <w:lang w:val="en-CA"/>
        </w:rPr>
        <w:tab/>
      </w:r>
      <w:r w:rsidRPr="00FA5D7E">
        <w:rPr>
          <w:rFonts w:cs="Times New Roman"/>
          <w:szCs w:val="24"/>
          <w:lang w:val="en-CA"/>
        </w:rPr>
        <w:t>(c)</w:t>
      </w:r>
      <w:r w:rsidRPr="00FA5D7E">
        <w:rPr>
          <w:rFonts w:cs="Times New Roman"/>
          <w:szCs w:val="24"/>
          <w:lang w:val="en-CA"/>
        </w:rPr>
        <w:tab/>
      </w:r>
      <w:r w:rsidRPr="00FA5D7E">
        <w:rPr>
          <w:rFonts w:cs="Times New Roman"/>
          <w:i/>
          <w:szCs w:val="24"/>
          <w:lang w:val="en-CA"/>
        </w:rPr>
        <w:t>Synthesis in Law</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1999, Iacobucci J., writing for a unanimous Court, reaffirmed the substance of the approach taken by Cory J. in </w:t>
      </w:r>
      <w:r w:rsidRPr="00FA5D7E">
        <w:rPr>
          <w:rFonts w:cs="Times New Roman"/>
          <w:i/>
          <w:szCs w:val="24"/>
        </w:rPr>
        <w:t>Egan</w:t>
      </w:r>
      <w:r w:rsidRPr="00FA5D7E">
        <w:rPr>
          <w:rFonts w:cs="Times New Roman"/>
          <w:szCs w:val="24"/>
        </w:rPr>
        <w:t xml:space="preserve"> and McLachlin J. in </w:t>
      </w:r>
      <w:r w:rsidRPr="00FA5D7E">
        <w:rPr>
          <w:rFonts w:cs="Times New Roman"/>
          <w:i/>
          <w:szCs w:val="24"/>
        </w:rPr>
        <w:t>Miron</w:t>
      </w:r>
      <w:r w:rsidRPr="00FA5D7E">
        <w:rPr>
          <w:rFonts w:cs="Times New Roman"/>
          <w:szCs w:val="24"/>
        </w:rPr>
        <w:t xml:space="preserve">.  According to Iacobucci J., the Court had recognized “that the existence of a conflict between an impugned law and the purpose of s. 15(1) is essential in order to found a discrimination claim”:  </w:t>
      </w:r>
      <w:r w:rsidRPr="00FA5D7E">
        <w:rPr>
          <w:rFonts w:cs="Times New Roman"/>
          <w:i/>
          <w:szCs w:val="24"/>
        </w:rPr>
        <w:t>Law</w:t>
      </w:r>
      <w:r w:rsidRPr="00FA5D7E">
        <w:rPr>
          <w:rFonts w:cs="Times New Roman"/>
          <w:szCs w:val="24"/>
        </w:rPr>
        <w:t xml:space="preserve">, at para. 41.  In his view, “the goal of [s. 15(1) is to assure] human dignity by the remedying of discriminatory treatment”:  </w:t>
      </w:r>
      <w:r w:rsidRPr="00FA5D7E">
        <w:rPr>
          <w:rFonts w:cs="Times New Roman"/>
          <w:i/>
          <w:szCs w:val="24"/>
        </w:rPr>
        <w:t>Law</w:t>
      </w:r>
      <w:r w:rsidRPr="00FA5D7E">
        <w:rPr>
          <w:rFonts w:cs="Times New Roman"/>
          <w:szCs w:val="24"/>
        </w:rPr>
        <w:t xml:space="preserve">, at para. 52.  He adopted an analytical approach based on a concept of substantive equality that will be violated only where adverse differential treatment by the government has a negative effect on the claimant’s human dignity.  On this basis, </w:t>
      </w:r>
      <w:r w:rsidR="004C3D02">
        <w:rPr>
          <w:rFonts w:cs="Times New Roman"/>
          <w:i/>
          <w:szCs w:val="24"/>
        </w:rPr>
        <w:t>Law</w:t>
      </w:r>
      <w:r w:rsidRPr="00FA5D7E">
        <w:rPr>
          <w:rFonts w:cs="Times New Roman"/>
          <w:szCs w:val="24"/>
        </w:rPr>
        <w:t xml:space="preserve"> proposed a three</w:t>
      </w:r>
      <w:r w:rsidRPr="00FA5D7E">
        <w:rPr>
          <w:rFonts w:cs="Times New Roman"/>
          <w:szCs w:val="24"/>
        </w:rPr>
        <w:noBreakHyphen/>
        <w:t>stage analytical framework to be used by the courts in ruling on a discrimination claim under s. 15(1).</w:t>
      </w:r>
    </w:p>
    <w:p w:rsidR="004862B9" w:rsidRPr="00FA5D7E" w:rsidRDefault="004C3D02" w:rsidP="004862B9">
      <w:pPr>
        <w:pStyle w:val="ParaNoNdepar-AltN"/>
        <w:tabs>
          <w:tab w:val="clear" w:pos="1166"/>
          <w:tab w:val="num" w:pos="1152"/>
        </w:tabs>
        <w:ind w:left="0"/>
        <w:rPr>
          <w:rFonts w:cs="Times New Roman"/>
          <w:szCs w:val="24"/>
        </w:rPr>
      </w:pPr>
      <w:r>
        <w:rPr>
          <w:rFonts w:cs="Times New Roman"/>
          <w:szCs w:val="24"/>
        </w:rPr>
        <w:t xml:space="preserve">First, the </w:t>
      </w:r>
      <w:r w:rsidR="00921338">
        <w:rPr>
          <w:rFonts w:cs="Times New Roman"/>
          <w:szCs w:val="24"/>
        </w:rPr>
        <w:t>c</w:t>
      </w:r>
      <w:r w:rsidR="004862B9" w:rsidRPr="00FA5D7E">
        <w:rPr>
          <w:rFonts w:cs="Times New Roman"/>
          <w:szCs w:val="24"/>
        </w:rPr>
        <w:t xml:space="preserve">ourt must determine whether the law treats the claimant differently than others either in purpose or effect.  To do so, the </w:t>
      </w:r>
      <w:r w:rsidR="00921338">
        <w:rPr>
          <w:rFonts w:cs="Times New Roman"/>
          <w:szCs w:val="24"/>
        </w:rPr>
        <w:t>c</w:t>
      </w:r>
      <w:r w:rsidR="004862B9" w:rsidRPr="00FA5D7E">
        <w:rPr>
          <w:rFonts w:cs="Times New Roman"/>
          <w:szCs w:val="24"/>
        </w:rPr>
        <w:t xml:space="preserve">ourt must ask whether the impugned law draws a formal distinction between the claimant and others on the basis of one or more personal characteristics, or whether it fails to take into account the claimant’s already disadvantaged position within Canadian society, thereby giving rise to substantively differential treatment between the claimant and others on the basis of one or more personal characteristics.  Bastarache J., discussing the nature of such differential treatment in a subsequent case, stated that “it is clear that Iacobucci J. [was] talking only about a </w:t>
      </w:r>
      <w:r w:rsidR="004862B9" w:rsidRPr="00FA5D7E">
        <w:rPr>
          <w:rFonts w:cs="Times New Roman"/>
          <w:szCs w:val="24"/>
          <w:u w:val="single"/>
        </w:rPr>
        <w:t>detrimental</w:t>
      </w:r>
      <w:r w:rsidR="004862B9" w:rsidRPr="00FA5D7E">
        <w:rPr>
          <w:rFonts w:cs="Times New Roman"/>
          <w:szCs w:val="24"/>
        </w:rPr>
        <w:t xml:space="preserve"> purpose or effect, since it is nonsensical to think that a claimant might establish that a beneficial or benign purpose or effect infringes s. 15(1)”:  </w:t>
      </w:r>
      <w:r w:rsidR="004862B9" w:rsidRPr="00FA5D7E">
        <w:rPr>
          <w:rFonts w:cs="Times New Roman"/>
          <w:i/>
          <w:szCs w:val="24"/>
        </w:rPr>
        <w:t>Gosselin</w:t>
      </w:r>
      <w:r w:rsidR="004862B9" w:rsidRPr="00FA5D7E">
        <w:rPr>
          <w:rFonts w:cs="Times New Roman"/>
          <w:szCs w:val="24"/>
        </w:rPr>
        <w:t>, at para. 243 (emphasis in original).</w:t>
      </w:r>
    </w:p>
    <w:p w:rsidR="004862B9" w:rsidRPr="00FA5D7E" w:rsidRDefault="004C3D02" w:rsidP="004862B9">
      <w:pPr>
        <w:pStyle w:val="ParaNoNdepar-AltN"/>
        <w:tabs>
          <w:tab w:val="clear" w:pos="1166"/>
          <w:tab w:val="num" w:pos="1152"/>
        </w:tabs>
        <w:ind w:left="0"/>
        <w:rPr>
          <w:rFonts w:cs="Times New Roman"/>
          <w:szCs w:val="24"/>
        </w:rPr>
      </w:pPr>
      <w:r>
        <w:rPr>
          <w:rFonts w:cs="Times New Roman"/>
          <w:szCs w:val="24"/>
        </w:rPr>
        <w:t xml:space="preserve">Second, the </w:t>
      </w:r>
      <w:r w:rsidR="00921338">
        <w:rPr>
          <w:rFonts w:cs="Times New Roman"/>
          <w:szCs w:val="24"/>
        </w:rPr>
        <w:t>c</w:t>
      </w:r>
      <w:r w:rsidR="004862B9" w:rsidRPr="00FA5D7E">
        <w:rPr>
          <w:rFonts w:cs="Times New Roman"/>
          <w:szCs w:val="24"/>
        </w:rPr>
        <w:t>ourt must determine whether one or more of the grounds enumerated in s. 15(1), or analogous grounds, are the basis for the differential treatment.</w:t>
      </w:r>
    </w:p>
    <w:p w:rsidR="004862B9" w:rsidRPr="00FA5D7E" w:rsidRDefault="004C3D02" w:rsidP="004862B9">
      <w:pPr>
        <w:pStyle w:val="ParaNoNdepar-AltN"/>
        <w:tabs>
          <w:tab w:val="clear" w:pos="1166"/>
          <w:tab w:val="num" w:pos="1152"/>
        </w:tabs>
        <w:ind w:left="0"/>
        <w:rPr>
          <w:rFonts w:cs="Times New Roman"/>
          <w:szCs w:val="24"/>
        </w:rPr>
      </w:pPr>
      <w:r>
        <w:rPr>
          <w:rFonts w:cs="Times New Roman"/>
          <w:szCs w:val="24"/>
        </w:rPr>
        <w:t xml:space="preserve">Third, the </w:t>
      </w:r>
      <w:r w:rsidR="00921338">
        <w:rPr>
          <w:rFonts w:cs="Times New Roman"/>
          <w:szCs w:val="24"/>
        </w:rPr>
        <w:t>c</w:t>
      </w:r>
      <w:r w:rsidR="004862B9" w:rsidRPr="00FA5D7E">
        <w:rPr>
          <w:rFonts w:cs="Times New Roman"/>
          <w:szCs w:val="24"/>
        </w:rPr>
        <w:t>ourt must then determine whether the law in question has a purpose or effect that is discriminatory within the meaning of the equality guarantee by making the following inquiry:</w:t>
      </w:r>
    </w:p>
    <w:p w:rsidR="004862B9" w:rsidRPr="00FA5D7E" w:rsidRDefault="004862B9" w:rsidP="004862B9">
      <w:pPr>
        <w:pStyle w:val="Citation-AltC"/>
        <w:spacing w:before="480" w:after="480"/>
        <w:ind w:hanging="1166"/>
        <w:contextualSpacing w:val="0"/>
        <w:rPr>
          <w:szCs w:val="24"/>
          <w:lang w:val="en-CA"/>
        </w:rPr>
      </w:pPr>
      <w:r w:rsidRPr="00FA5D7E">
        <w:rPr>
          <w:szCs w:val="24"/>
          <w:lang w:val="en-CA"/>
        </w:rPr>
        <w:tab/>
        <w:t>Does the differential treatment discriminate, by imposing a burden upon or withholding a benefit from the claimant in a manner which reflects the stereotypical application of presumed group or personal characteristics, or which otherwise has the effect of perpetuating or promoting the view that the individual is less capable or worthy of recognition or value as a human being or as a member of Canadian society, equally deserving of concern, respect, and consideration?</w:t>
      </w:r>
    </w:p>
    <w:p w:rsidR="004862B9" w:rsidRPr="00FA5D7E" w:rsidRDefault="004862B9" w:rsidP="004862B9">
      <w:pPr>
        <w:pStyle w:val="Citation-AltC"/>
        <w:ind w:hanging="1166"/>
        <w:rPr>
          <w:szCs w:val="24"/>
          <w:lang w:val="en-CA"/>
        </w:rPr>
      </w:pPr>
      <w:r w:rsidRPr="00FA5D7E">
        <w:rPr>
          <w:szCs w:val="24"/>
          <w:lang w:val="en-CA"/>
        </w:rPr>
        <w:t>(</w:t>
      </w:r>
      <w:r w:rsidRPr="00FA5D7E">
        <w:rPr>
          <w:i/>
          <w:szCs w:val="24"/>
          <w:lang w:val="en-CA"/>
        </w:rPr>
        <w:t>Law</w:t>
      </w:r>
      <w:r w:rsidRPr="00FA5D7E">
        <w:rPr>
          <w:szCs w:val="24"/>
          <w:lang w:val="en-CA"/>
        </w:rPr>
        <w:t>, at para. 88(3)(C))</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To resolve the third issue and thus determine whether the differential treatment discriminates in a substantive sense and brings the purp</w:t>
      </w:r>
      <w:r w:rsidR="004C3D02">
        <w:rPr>
          <w:rFonts w:cs="Times New Roman"/>
          <w:szCs w:val="24"/>
        </w:rPr>
        <w:t xml:space="preserve">ose of s. 15(1) into play, the </w:t>
      </w:r>
      <w:r w:rsidR="00921338">
        <w:rPr>
          <w:rFonts w:cs="Times New Roman"/>
          <w:szCs w:val="24"/>
        </w:rPr>
        <w:t>c</w:t>
      </w:r>
      <w:r w:rsidRPr="00FA5D7E">
        <w:rPr>
          <w:rFonts w:cs="Times New Roman"/>
          <w:szCs w:val="24"/>
        </w:rPr>
        <w:t xml:space="preserve">ourt must undertake a full contextual inquiry concerning the circumstances of the claimant’s claim.  This inquiry must be undertaken from the point of view of a reasonable person in circumstances similar to those of the claimant who takes the relevant context into account.  Whereas the claimant must prove on a balance of probabilities that the impugned provision discriminates in a substantive sense, the </w:t>
      </w:r>
      <w:r w:rsidR="00921338">
        <w:rPr>
          <w:rFonts w:cs="Times New Roman"/>
          <w:szCs w:val="24"/>
        </w:rPr>
        <w:t>c</w:t>
      </w:r>
      <w:r w:rsidRPr="00FA5D7E">
        <w:rPr>
          <w:rFonts w:cs="Times New Roman"/>
          <w:szCs w:val="24"/>
        </w:rPr>
        <w:t xml:space="preserve">ourt can take judicial notice of certain facts or matters but must be careful not to use judicial notice to recognize social phenomena that may not truly exist.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Iacobucci J. identified four factors that are relevant to a contextual analysis of a discrimination claim.  According to him, these factors may overlap, are not exhaustive and do not all have to be assessed in every case involving an alleged violation of s. 15(1).  They can nevertheless guide the court in determining whether the law in question discriminates in a substantive sense.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The first contextual factor he identified is pre</w:t>
      </w:r>
      <w:r w:rsidRPr="00FA5D7E">
        <w:rPr>
          <w:rFonts w:cs="Times New Roman"/>
          <w:szCs w:val="24"/>
        </w:rPr>
        <w:noBreakHyphen/>
        <w:t xml:space="preserve">existing disadvantage experienced by the claimant or the group of which the claimant is a member.  This factor suggests an inquiry into whether the individual or group might have experienced a historical disadvantage, vulnerability, stereotyping or prejudice.  According to Iacobucci J., “[i]t is logical to conclude that, in most cases, further differential treatment will contribute to the perpetuation or promotion of their unfair social characterization, and will have a more severe impact upon [these individuals], since they are already vulnerable”:  </w:t>
      </w:r>
      <w:r w:rsidRPr="00FA5D7E">
        <w:rPr>
          <w:rFonts w:cs="Times New Roman"/>
          <w:i/>
          <w:szCs w:val="24"/>
        </w:rPr>
        <w:t>Law</w:t>
      </w:r>
      <w:r w:rsidRPr="00FA5D7E">
        <w:rPr>
          <w:rFonts w:cs="Times New Roman"/>
          <w:szCs w:val="24"/>
        </w:rPr>
        <w:t>, at para. 63.  However, the existence of a pre</w:t>
      </w:r>
      <w:r w:rsidRPr="00FA5D7E">
        <w:rPr>
          <w:rFonts w:cs="Times New Roman"/>
          <w:szCs w:val="24"/>
        </w:rPr>
        <w:noBreakHyphen/>
        <w:t xml:space="preserve">existing disadvantage does not give rise to a presumption that the adverse treatment of historically disadvantaged persons is necessarily discriminatory:  </w:t>
      </w:r>
      <w:r w:rsidRPr="00FA5D7E">
        <w:rPr>
          <w:rFonts w:cs="Times New Roman"/>
          <w:i/>
          <w:szCs w:val="24"/>
        </w:rPr>
        <w:t>Law</w:t>
      </w:r>
      <w:r w:rsidRPr="00FA5D7E">
        <w:rPr>
          <w:rFonts w:cs="Times New Roman"/>
          <w:szCs w:val="24"/>
        </w:rPr>
        <w:t>, at para. 67.</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The second factor is the correspondence, or lack thereof, between the ground or grounds on which the discrimination claim is based and the actual needs, capacity or circumstances of the claimant or the affected group.  Acceptance of the need for correspondence as a contextual factor is logical, since it will be more difficult to prove that a person’s dignity has been violated if the legislation in question takes into account the claimant’s actual circumstances, needs or capacity.  In a subsequent decision, McLachlin C.J., writing for a majority of the Court, clarified the nature of this factor as follows:</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 xml:space="preserve">The fact that some people may fall through a program’s cracks does not show that the law fails to consider the overall needs and circumstances of the group of individuals affected, or that distinctions contained in the law amount to discrimination in the substantive sense intended by s. 15(1). </w:t>
      </w:r>
    </w:p>
    <w:p w:rsidR="004862B9" w:rsidRPr="00FA5D7E" w:rsidRDefault="004862B9" w:rsidP="004862B9">
      <w:pPr>
        <w:pStyle w:val="Citation-AltC"/>
        <w:ind w:hanging="1166"/>
        <w:rPr>
          <w:szCs w:val="24"/>
          <w:lang w:val="en-CA"/>
        </w:rPr>
      </w:pPr>
      <w:r w:rsidRPr="00FA5D7E">
        <w:rPr>
          <w:szCs w:val="24"/>
          <w:lang w:val="en-CA"/>
        </w:rPr>
        <w:t>(</w:t>
      </w:r>
      <w:r w:rsidRPr="00FA5D7E">
        <w:rPr>
          <w:i/>
          <w:szCs w:val="24"/>
          <w:lang w:val="en-CA"/>
        </w:rPr>
        <w:t>Gosselin</w:t>
      </w:r>
      <w:r w:rsidRPr="00FA5D7E">
        <w:rPr>
          <w:szCs w:val="24"/>
          <w:lang w:val="en-CA"/>
        </w:rPr>
        <w:t>, at para. 55)</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The third factor is whether the impugned law has an ameliorative purpose or effect for certain members of society.  Thus, a law that draws distinctions in order to alleviate certain inequalities affecting disadvantaged groups is less likely to be found to violate the dignity of more fortunate individuals to whom the measures do not apply.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fourth factor concerns the nature or scope of the benefit or interest which the claimant feels he or she has been denied.  As Iacobucci J. explained, “[t]he more severe and localized the consequences of the legislation for the affected group, the more likely that the differential treatment responsible for these consequences is discriminatory within the meaning of s. 15(1)”:  </w:t>
      </w:r>
      <w:r w:rsidRPr="00FA5D7E">
        <w:rPr>
          <w:rFonts w:cs="Times New Roman"/>
          <w:i/>
          <w:szCs w:val="24"/>
        </w:rPr>
        <w:t>Law</w:t>
      </w:r>
      <w:r w:rsidRPr="00FA5D7E">
        <w:rPr>
          <w:rFonts w:cs="Times New Roman"/>
          <w:szCs w:val="24"/>
        </w:rPr>
        <w:t>, at para. 88(9)(D).  Such consequences arise where the distinction restricts access to a fundamental social institution or impedes full membership in Canadian society.</w:t>
      </w:r>
    </w:p>
    <w:p w:rsidR="004862B9" w:rsidRPr="00FA5D7E" w:rsidRDefault="004862B9" w:rsidP="00025C92">
      <w:pPr>
        <w:pStyle w:val="TitleTitre-AltT"/>
        <w:tabs>
          <w:tab w:val="clear" w:pos="360"/>
          <w:tab w:val="left" w:pos="1170"/>
        </w:tabs>
        <w:ind w:left="1710" w:hanging="1710"/>
        <w:rPr>
          <w:rFonts w:cs="Times New Roman"/>
          <w:i/>
          <w:szCs w:val="24"/>
          <w:lang w:val="en-CA"/>
        </w:rPr>
      </w:pPr>
      <w:r w:rsidRPr="00FA5D7E">
        <w:rPr>
          <w:rFonts w:cs="Times New Roman"/>
          <w:szCs w:val="24"/>
          <w:lang w:val="en-CA"/>
        </w:rPr>
        <w:tab/>
        <w:t>(d)</w:t>
      </w:r>
      <w:r w:rsidRPr="00FA5D7E">
        <w:rPr>
          <w:rFonts w:cs="Times New Roman"/>
          <w:i/>
          <w:szCs w:val="24"/>
          <w:lang w:val="en-CA"/>
        </w:rPr>
        <w:tab/>
        <w:t>Application of the Equality Guarantee in Kapp and Withler</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Nearly 10 years after </w:t>
      </w:r>
      <w:r w:rsidRPr="00FA5D7E">
        <w:rPr>
          <w:rFonts w:cs="Times New Roman"/>
          <w:i/>
          <w:szCs w:val="24"/>
        </w:rPr>
        <w:t>Law</w:t>
      </w:r>
      <w:r w:rsidRPr="00FA5D7E">
        <w:rPr>
          <w:rFonts w:cs="Times New Roman"/>
          <w:szCs w:val="24"/>
        </w:rPr>
        <w:t xml:space="preserve">, the Court, in reasons written by McLachlin C.J. and Abella J., reviewed the synthesis proposed by Iacobucci J.: see </w:t>
      </w:r>
      <w:r w:rsidRPr="00FA5D7E">
        <w:rPr>
          <w:rFonts w:cs="Times New Roman"/>
          <w:i/>
          <w:szCs w:val="24"/>
        </w:rPr>
        <w:t>Kapp.</w:t>
      </w:r>
      <w:r w:rsidRPr="00FA5D7E">
        <w:rPr>
          <w:rFonts w:cs="Times New Roman"/>
          <w:szCs w:val="24"/>
        </w:rPr>
        <w:t xml:space="preserve">  Almost three years after </w:t>
      </w:r>
      <w:r w:rsidRPr="00FA5D7E">
        <w:rPr>
          <w:rFonts w:cs="Times New Roman"/>
          <w:i/>
          <w:szCs w:val="24"/>
        </w:rPr>
        <w:t>Kapp</w:t>
      </w:r>
      <w:r w:rsidRPr="00FA5D7E">
        <w:rPr>
          <w:rFonts w:cs="Times New Roman"/>
          <w:szCs w:val="24"/>
        </w:rPr>
        <w:t xml:space="preserve">, the Court continued that review in </w:t>
      </w:r>
      <w:r w:rsidRPr="00FA5D7E">
        <w:rPr>
          <w:rFonts w:cs="Times New Roman"/>
          <w:i/>
          <w:szCs w:val="24"/>
        </w:rPr>
        <w:t>Withler v. Canada (Attorney General)</w:t>
      </w:r>
      <w:r w:rsidRPr="00FA5D7E">
        <w:rPr>
          <w:rFonts w:cs="Times New Roman"/>
          <w:szCs w:val="24"/>
        </w:rPr>
        <w:t>, 2011 SCC 12, [2011] 1 S.C.R. 396, a unanimous decision written, once again, by McLachlin C.J. and Abella J.</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those two decisions, the Court observed that, despite the changes made to the s. 15 analysis over the years, the concept of substantive equality had remained central to the analytical framework for that provision:  </w:t>
      </w:r>
      <w:r w:rsidRPr="00FA5D7E">
        <w:rPr>
          <w:rFonts w:cs="Times New Roman"/>
          <w:i/>
          <w:szCs w:val="24"/>
        </w:rPr>
        <w:t>Kapp</w:t>
      </w:r>
      <w:r w:rsidRPr="00FA5D7E">
        <w:rPr>
          <w:rFonts w:cs="Times New Roman"/>
          <w:szCs w:val="24"/>
        </w:rPr>
        <w:t xml:space="preserve">, at para. 15.  The Court also noted that, although the analytical framework adopted in </w:t>
      </w:r>
      <w:r w:rsidRPr="00FA5D7E">
        <w:rPr>
          <w:rFonts w:cs="Times New Roman"/>
          <w:i/>
          <w:szCs w:val="24"/>
        </w:rPr>
        <w:t>Andrews</w:t>
      </w:r>
      <w:r w:rsidRPr="00FA5D7E">
        <w:rPr>
          <w:rFonts w:cs="Times New Roman"/>
          <w:szCs w:val="24"/>
        </w:rPr>
        <w:t xml:space="preserve"> had been enriched since that case, including by Iacobucci J. in </w:t>
      </w:r>
      <w:r w:rsidRPr="00FA5D7E">
        <w:rPr>
          <w:rFonts w:cs="Times New Roman"/>
          <w:i/>
          <w:szCs w:val="24"/>
        </w:rPr>
        <w:t>Law</w:t>
      </w:r>
      <w:r w:rsidRPr="00FA5D7E">
        <w:rPr>
          <w:rFonts w:cs="Times New Roman"/>
          <w:szCs w:val="24"/>
        </w:rPr>
        <w:t xml:space="preserve">, it had never been abandoned:  </w:t>
      </w:r>
      <w:r w:rsidRPr="00FA5D7E">
        <w:rPr>
          <w:rFonts w:cs="Times New Roman"/>
          <w:i/>
          <w:szCs w:val="24"/>
        </w:rPr>
        <w:t>Kapp</w:t>
      </w:r>
      <w:r w:rsidRPr="00FA5D7E">
        <w:rPr>
          <w:rFonts w:cs="Times New Roman"/>
          <w:szCs w:val="24"/>
        </w:rPr>
        <w:t xml:space="preserve">, at para. 14.  The Court added that the purpose of s. 15(1) is “the elimination from the law of measures that impose or perpetuate substantial inequality”:  </w:t>
      </w:r>
      <w:r w:rsidRPr="00FA5D7E">
        <w:rPr>
          <w:rFonts w:cs="Times New Roman"/>
          <w:i/>
          <w:szCs w:val="24"/>
        </w:rPr>
        <w:t>Withler</w:t>
      </w:r>
      <w:r w:rsidRPr="00FA5D7E">
        <w:rPr>
          <w:rFonts w:cs="Times New Roman"/>
          <w:szCs w:val="24"/>
        </w:rPr>
        <w:t xml:space="preserve">, at para. 40.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cs="Times New Roman"/>
          <w:i/>
          <w:szCs w:val="24"/>
        </w:rPr>
        <w:t>Kapp</w:t>
      </w:r>
      <w:r w:rsidRPr="00FA5D7E">
        <w:rPr>
          <w:rFonts w:cs="Times New Roman"/>
          <w:szCs w:val="24"/>
        </w:rPr>
        <w:t>, the Court reworked the three</w:t>
      </w:r>
      <w:r w:rsidRPr="00FA5D7E">
        <w:rPr>
          <w:rFonts w:cs="Times New Roman"/>
          <w:szCs w:val="24"/>
        </w:rPr>
        <w:noBreakHyphen/>
        <w:t xml:space="preserve">stage analytical framework from </w:t>
      </w:r>
      <w:r w:rsidRPr="00FA5D7E">
        <w:rPr>
          <w:rFonts w:cs="Times New Roman"/>
          <w:i/>
          <w:szCs w:val="24"/>
        </w:rPr>
        <w:t>Law</w:t>
      </w:r>
      <w:r w:rsidRPr="00FA5D7E">
        <w:rPr>
          <w:rFonts w:cs="Times New Roman"/>
          <w:szCs w:val="24"/>
        </w:rPr>
        <w:t xml:space="preserve"> in light of the purpose of s. 15, namely to promote substantive equality, reshaping it into a two</w:t>
      </w:r>
      <w:r w:rsidRPr="00FA5D7E">
        <w:rPr>
          <w:rFonts w:cs="Times New Roman"/>
          <w:szCs w:val="24"/>
        </w:rPr>
        <w:noBreakHyphen/>
        <w:t>part test for showing discrimination under s. 15(1).  Where a violation of s. 15(1) is alleged, a court must ask the following questions:  “(1) Does the law create a distinction based on an enumerated or analogous ground? (2) Does the distinction create a disadvantage by perpetuating prejudice or stereotyping?”</w:t>
      </w:r>
      <w:r w:rsidR="00921338">
        <w:rPr>
          <w:rFonts w:cs="Times New Roman"/>
          <w:szCs w:val="24"/>
        </w:rPr>
        <w:t xml:space="preserve"> (</w:t>
      </w:r>
      <w:r w:rsidRPr="00FA5D7E">
        <w:rPr>
          <w:rFonts w:cs="Times New Roman"/>
          <w:i/>
          <w:szCs w:val="24"/>
        </w:rPr>
        <w:t>Kapp</w:t>
      </w:r>
      <w:r w:rsidRPr="00FA5D7E">
        <w:rPr>
          <w:rFonts w:cs="Times New Roman"/>
          <w:szCs w:val="24"/>
        </w:rPr>
        <w:t>, at para. 17</w:t>
      </w:r>
      <w:r w:rsidR="00921338">
        <w:rPr>
          <w:rFonts w:cs="Times New Roman"/>
          <w:szCs w:val="24"/>
        </w:rPr>
        <w:t>)</w:t>
      </w:r>
      <w:r w:rsidRPr="00FA5D7E">
        <w:rPr>
          <w:rFonts w:cs="Times New Roman"/>
          <w:szCs w:val="24"/>
        </w:rPr>
        <w:t>.  If the answer to each of these questions is yes, it can be concluded that the impugned legislative provision violates the equality guarantee in s. 15(1).  The Court stated that this two</w:t>
      </w:r>
      <w:r w:rsidRPr="00FA5D7E">
        <w:rPr>
          <w:rFonts w:cs="Times New Roman"/>
          <w:szCs w:val="24"/>
        </w:rPr>
        <w:noBreakHyphen/>
        <w:t xml:space="preserve">part test was, “in substance, the same” as the test from </w:t>
      </w:r>
      <w:r w:rsidRPr="00FA5D7E">
        <w:rPr>
          <w:rFonts w:cs="Times New Roman"/>
          <w:i/>
          <w:szCs w:val="24"/>
        </w:rPr>
        <w:t>Law</w:t>
      </w:r>
      <w:r w:rsidRPr="00FA5D7E">
        <w:rPr>
          <w:rFonts w:cs="Times New Roman"/>
          <w:szCs w:val="24"/>
        </w:rPr>
        <w:t xml:space="preserve"> and that </w:t>
      </w:r>
      <w:r w:rsidRPr="00FA5D7E">
        <w:rPr>
          <w:rFonts w:cs="Times New Roman"/>
          <w:i/>
          <w:szCs w:val="24"/>
        </w:rPr>
        <w:t>Law</w:t>
      </w:r>
      <w:r w:rsidRPr="00FA5D7E">
        <w:rPr>
          <w:rFonts w:cs="Times New Roman"/>
          <w:szCs w:val="24"/>
        </w:rPr>
        <w:t xml:space="preserve"> had confirmed the approach to substantive equality set out in </w:t>
      </w:r>
      <w:r w:rsidRPr="00FA5D7E">
        <w:rPr>
          <w:rFonts w:cs="Times New Roman"/>
          <w:i/>
          <w:szCs w:val="24"/>
        </w:rPr>
        <w:t>Andrews</w:t>
      </w:r>
      <w:r w:rsidRPr="00FA5D7E">
        <w:rPr>
          <w:rFonts w:cs="Times New Roman"/>
          <w:szCs w:val="24"/>
        </w:rPr>
        <w:t xml:space="preserve">:  </w:t>
      </w:r>
      <w:r w:rsidRPr="00FA5D7E">
        <w:rPr>
          <w:rFonts w:cs="Times New Roman"/>
          <w:i/>
          <w:szCs w:val="24"/>
        </w:rPr>
        <w:t>Kapp</w:t>
      </w:r>
      <w:r w:rsidRPr="00FA5D7E">
        <w:rPr>
          <w:rFonts w:cs="Times New Roman"/>
          <w:szCs w:val="24"/>
        </w:rPr>
        <w:t>, at paras. 17 and 24.</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As the Court has acknowledged, the review of the analytical framework for s. 15(1) that began in </w:t>
      </w:r>
      <w:r w:rsidRPr="00FA5D7E">
        <w:rPr>
          <w:rFonts w:cs="Times New Roman"/>
          <w:i/>
          <w:szCs w:val="24"/>
        </w:rPr>
        <w:t>Kapp</w:t>
      </w:r>
      <w:r w:rsidRPr="00FA5D7E">
        <w:rPr>
          <w:rFonts w:cs="Times New Roman"/>
          <w:szCs w:val="24"/>
        </w:rPr>
        <w:t xml:space="preserve"> and continued in </w:t>
      </w:r>
      <w:r w:rsidRPr="00FA5D7E">
        <w:rPr>
          <w:rFonts w:cs="Times New Roman"/>
          <w:i/>
          <w:szCs w:val="24"/>
        </w:rPr>
        <w:t>Withler</w:t>
      </w:r>
      <w:r w:rsidRPr="00FA5D7E">
        <w:rPr>
          <w:rFonts w:cs="Times New Roman"/>
          <w:szCs w:val="24"/>
        </w:rPr>
        <w:t xml:space="preserve"> was also a response to criticism of the framework proposed in </w:t>
      </w:r>
      <w:r w:rsidRPr="00FA5D7E">
        <w:rPr>
          <w:rFonts w:cs="Times New Roman"/>
          <w:i/>
          <w:szCs w:val="24"/>
        </w:rPr>
        <w:t>Law</w:t>
      </w:r>
      <w:r w:rsidRPr="00FA5D7E">
        <w:rPr>
          <w:rFonts w:cs="Times New Roman"/>
          <w:szCs w:val="24"/>
        </w:rPr>
        <w:t xml:space="preserve"> and the subsequent application of that framework, and in particular of the use of the violation of human dignity test, of the application of the contextual factors and of the comparison required by the framework.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Court began by stressing the importance of the value of human dignity.  It stated that “[t]here can be no doubt that human dignity is an essential value underlying the s. 15 equality guarantee”:  </w:t>
      </w:r>
      <w:r w:rsidRPr="00FA5D7E">
        <w:rPr>
          <w:rFonts w:cs="Times New Roman"/>
          <w:i/>
          <w:szCs w:val="24"/>
        </w:rPr>
        <w:t>Kapp</w:t>
      </w:r>
      <w:r w:rsidRPr="00FA5D7E">
        <w:rPr>
          <w:rFonts w:cs="Times New Roman"/>
          <w:szCs w:val="24"/>
        </w:rPr>
        <w:t xml:space="preserve">, at para. 21.  However, it noted that several difficulties had arisen from attempts to employ this concept as a legal test as proposed in </w:t>
      </w:r>
      <w:r w:rsidRPr="00FA5D7E">
        <w:rPr>
          <w:rFonts w:cs="Times New Roman"/>
          <w:i/>
          <w:szCs w:val="24"/>
        </w:rPr>
        <w:t>Law</w:t>
      </w:r>
      <w:r w:rsidRPr="00FA5D7E">
        <w:rPr>
          <w:rFonts w:cs="Times New Roman"/>
          <w:szCs w:val="24"/>
        </w:rPr>
        <w:t xml:space="preserve">.  On the one hand, human dignity is a value that underlies all </w:t>
      </w:r>
      <w:r w:rsidRPr="00FA5D7E">
        <w:rPr>
          <w:rFonts w:cs="Times New Roman"/>
          <w:i/>
          <w:szCs w:val="24"/>
        </w:rPr>
        <w:t>Charter</w:t>
      </w:r>
      <w:r w:rsidRPr="00FA5D7E">
        <w:rPr>
          <w:rFonts w:cs="Times New Roman"/>
          <w:szCs w:val="24"/>
        </w:rPr>
        <w:t xml:space="preserve"> rights: see </w:t>
      </w:r>
      <w:r w:rsidRPr="00FA5D7E">
        <w:rPr>
          <w:rFonts w:cs="Times New Roman"/>
          <w:i/>
          <w:szCs w:val="24"/>
        </w:rPr>
        <w:t>R. v. Oakes</w:t>
      </w:r>
      <w:r w:rsidRPr="00FA5D7E">
        <w:rPr>
          <w:rFonts w:cs="Times New Roman"/>
          <w:szCs w:val="24"/>
        </w:rPr>
        <w:t xml:space="preserve">, [1986] 1 S.C.R. 103, at p. 136.  In this sense, its relevance is not limited to the equality guarantee:  see, </w:t>
      </w:r>
      <w:r w:rsidRPr="00FA5D7E">
        <w:rPr>
          <w:rFonts w:cs="Times New Roman"/>
          <w:i/>
          <w:szCs w:val="24"/>
        </w:rPr>
        <w:t>inter alia</w:t>
      </w:r>
      <w:r w:rsidRPr="00FA5D7E">
        <w:rPr>
          <w:rFonts w:cs="Times New Roman"/>
          <w:szCs w:val="24"/>
        </w:rPr>
        <w:t>, D. Greschner, “The Purpose of Canadian Equality Rights” (2002), 6 </w:t>
      </w:r>
      <w:r w:rsidRPr="00FA5D7E">
        <w:rPr>
          <w:rFonts w:cs="Times New Roman"/>
          <w:i/>
          <w:szCs w:val="24"/>
        </w:rPr>
        <w:t xml:space="preserve">Rev. Const. </w:t>
      </w:r>
      <w:r w:rsidRPr="00851923">
        <w:rPr>
          <w:rFonts w:cs="Times New Roman"/>
          <w:i/>
          <w:szCs w:val="24"/>
          <w:lang w:val="fr-CA"/>
        </w:rPr>
        <w:t>Stud.</w:t>
      </w:r>
      <w:r w:rsidRPr="00851923">
        <w:rPr>
          <w:rFonts w:cs="Times New Roman"/>
          <w:szCs w:val="24"/>
          <w:lang w:val="fr-CA"/>
        </w:rPr>
        <w:t xml:space="preserve"> 291; D. Proulx, “Le concept de dignité et son usage en contexte de discrimination: deux Chartes, deux modèles”, [2003] </w:t>
      </w:r>
      <w:r w:rsidRPr="00851923">
        <w:rPr>
          <w:rFonts w:cs="Times New Roman"/>
          <w:i/>
          <w:szCs w:val="24"/>
          <w:lang w:val="fr-CA"/>
        </w:rPr>
        <w:t>R. du B.</w:t>
      </w:r>
      <w:r w:rsidRPr="00851923">
        <w:rPr>
          <w:rFonts w:cs="Times New Roman"/>
          <w:szCs w:val="24"/>
          <w:lang w:val="fr-CA"/>
        </w:rPr>
        <w:t xml:space="preserve"> (numéro spécial) 485.  </w:t>
      </w:r>
      <w:r w:rsidRPr="00FA5D7E">
        <w:rPr>
          <w:rFonts w:cs="Times New Roman"/>
          <w:szCs w:val="24"/>
        </w:rPr>
        <w:t>On the other hand, as I mentioned above, dignity is not the only value underlying s. 15.  Other values associated with it include freedom and personal autonomy.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Rather than emphasizing the identification of a violation of the complainant’s dignity as an independent factor, the Court proposed that the analysis to determine whether a claimant has been discriminated against be focused on the context of the claim.  At that time, the Court reaffirmed the importance of context and the relevance of the contextual factors set out in </w:t>
      </w:r>
      <w:r w:rsidRPr="00FA5D7E">
        <w:rPr>
          <w:rFonts w:cs="Times New Roman"/>
          <w:i/>
          <w:szCs w:val="24"/>
        </w:rPr>
        <w:t>Law</w:t>
      </w:r>
      <w:r w:rsidRPr="00FA5D7E">
        <w:rPr>
          <w:rFonts w:cs="Times New Roman"/>
          <w:szCs w:val="24"/>
        </w:rPr>
        <w:t>.  Pre</w:t>
      </w:r>
      <w:r w:rsidRPr="00FA5D7E">
        <w:rPr>
          <w:rFonts w:cs="Times New Roman"/>
          <w:szCs w:val="24"/>
        </w:rPr>
        <w:noBreakHyphen/>
        <w:t xml:space="preserve">existing disadvantage and the nature of the affected interest are therefore factors to be applied to determine whether a distinction creates a disadvantage by perpetuating prejudice.  Correspondence between the ground or grounds on which the claim is based and the actual circumstances of the claimant or the affected group is a factor to be applied to determine whether a distinction creates a disadvantage by stereotyping: </w:t>
      </w:r>
      <w:r w:rsidRPr="00FA5D7E">
        <w:rPr>
          <w:rFonts w:cs="Times New Roman"/>
          <w:i/>
          <w:szCs w:val="24"/>
        </w:rPr>
        <w:t>Kapp</w:t>
      </w:r>
      <w:r w:rsidRPr="00FA5D7E">
        <w:rPr>
          <w:rFonts w:cs="Times New Roman"/>
          <w:szCs w:val="24"/>
        </w:rPr>
        <w:t xml:space="preserve">, at para. 23.  Next, the Court attributed two main functions to the ameliorative factor referred to in </w:t>
      </w:r>
      <w:r w:rsidRPr="00FA5D7E">
        <w:rPr>
          <w:rFonts w:cs="Times New Roman"/>
          <w:i/>
          <w:szCs w:val="24"/>
        </w:rPr>
        <w:t>Law</w:t>
      </w:r>
      <w:r w:rsidRPr="00FA5D7E">
        <w:rPr>
          <w:rFonts w:cs="Times New Roman"/>
          <w:szCs w:val="24"/>
        </w:rPr>
        <w:t xml:space="preserve">.  First, the ameliorative purpose or effect of a law may bring it within the purview of s. 15(2), which preserves the right of governments to implement specific programs aimed at helping disadvantaged groups without fear of challenge under s. 15(1):  </w:t>
      </w:r>
      <w:r w:rsidRPr="00FA5D7E">
        <w:rPr>
          <w:rFonts w:cs="Times New Roman"/>
          <w:i/>
          <w:szCs w:val="24"/>
        </w:rPr>
        <w:t>Kapp</w:t>
      </w:r>
      <w:r w:rsidRPr="00FA5D7E">
        <w:rPr>
          <w:rFonts w:cs="Times New Roman"/>
          <w:szCs w:val="24"/>
        </w:rPr>
        <w:t xml:space="preserve">, at para. 16.  Second, the Court explained alternatively that, “[w]here the impugned law is part of a larger benefits scheme . . . the ameliorative effect of the law on others and the multiplicity of interests it attempts to balance will also colour the discrimination analysis [under s. 15(1)]”:  </w:t>
      </w:r>
      <w:r w:rsidRPr="00FA5D7E">
        <w:rPr>
          <w:rFonts w:cs="Times New Roman"/>
          <w:i/>
          <w:szCs w:val="24"/>
        </w:rPr>
        <w:t>Withler</w:t>
      </w:r>
      <w:r w:rsidRPr="00FA5D7E">
        <w:rPr>
          <w:rFonts w:cs="Times New Roman"/>
          <w:szCs w:val="24"/>
        </w:rPr>
        <w:t>, at para. 38.</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According to the Court, regardless of whether the s. 15 analysis focuses on perpetuating disadvantage or stereotyping,</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the analysis involves looking at the circumstances of members of the group and the negative impact of the law on them.  The analysis is contextual, not formalistic, grounded in the actual situation of the group and the potential of the impugned law to worsen their situation.</w:t>
      </w:r>
    </w:p>
    <w:p w:rsidR="004862B9" w:rsidRPr="00FA5D7E" w:rsidRDefault="004862B9" w:rsidP="004862B9">
      <w:pPr>
        <w:pStyle w:val="Citation-AltC"/>
        <w:ind w:hanging="1166"/>
        <w:rPr>
          <w:szCs w:val="24"/>
          <w:lang w:val="en-CA"/>
        </w:rPr>
      </w:pPr>
      <w:r w:rsidRPr="00FA5D7E">
        <w:rPr>
          <w:szCs w:val="24"/>
          <w:lang w:val="en-CA"/>
        </w:rPr>
        <w:t>(</w:t>
      </w:r>
      <w:r w:rsidRPr="00FA5D7E">
        <w:rPr>
          <w:i/>
          <w:szCs w:val="24"/>
          <w:lang w:val="en-CA"/>
        </w:rPr>
        <w:t>Withler</w:t>
      </w:r>
      <w:r w:rsidRPr="00FA5D7E">
        <w:rPr>
          <w:szCs w:val="24"/>
          <w:lang w:val="en-CA"/>
        </w:rPr>
        <w:t>, at para. 37)</w:t>
      </w:r>
    </w:p>
    <w:p w:rsidR="004862B9" w:rsidRPr="00FA5D7E" w:rsidRDefault="004862B9" w:rsidP="004862B9">
      <w:pPr>
        <w:pStyle w:val="ContinueParaSuitedupar-AltP"/>
        <w:rPr>
          <w:rFonts w:cs="Times New Roman"/>
          <w:szCs w:val="24"/>
        </w:rPr>
      </w:pPr>
      <w:r w:rsidRPr="00FA5D7E">
        <w:rPr>
          <w:rFonts w:cs="Times New Roman"/>
          <w:szCs w:val="24"/>
        </w:rPr>
        <w:t xml:space="preserve">The Court thus noted that the contextual factors that are relevant at this stage of the analysis will vary with the nature of the case.  “Just as there will be cases where each and every factor need not be canvassed, so too will there be cases where factors not contemplated in </w:t>
      </w:r>
      <w:r w:rsidRPr="00FA5D7E">
        <w:rPr>
          <w:rFonts w:cs="Times New Roman"/>
          <w:i/>
          <w:szCs w:val="24"/>
        </w:rPr>
        <w:t>Law</w:t>
      </w:r>
      <w:r w:rsidRPr="00FA5D7E">
        <w:rPr>
          <w:rFonts w:cs="Times New Roman"/>
          <w:szCs w:val="24"/>
        </w:rPr>
        <w:t xml:space="preserve"> will be pertinent to the analysis”:  </w:t>
      </w:r>
      <w:r w:rsidRPr="00FA5D7E">
        <w:rPr>
          <w:rFonts w:cs="Times New Roman"/>
          <w:i/>
          <w:szCs w:val="24"/>
        </w:rPr>
        <w:t>Withler</w:t>
      </w:r>
      <w:r w:rsidRPr="00FA5D7E">
        <w:rPr>
          <w:rFonts w:cs="Times New Roman"/>
          <w:szCs w:val="24"/>
        </w:rPr>
        <w:t xml:space="preserve">, at para. 66.  In both </w:t>
      </w:r>
      <w:r w:rsidRPr="00FA5D7E">
        <w:rPr>
          <w:rFonts w:cs="Times New Roman"/>
          <w:i/>
          <w:szCs w:val="24"/>
        </w:rPr>
        <w:t>Kapp</w:t>
      </w:r>
      <w:r w:rsidRPr="00FA5D7E">
        <w:rPr>
          <w:rFonts w:cs="Times New Roman"/>
          <w:szCs w:val="24"/>
        </w:rPr>
        <w:t xml:space="preserve"> and </w:t>
      </w:r>
      <w:r w:rsidRPr="00FA5D7E">
        <w:rPr>
          <w:rFonts w:cs="Times New Roman"/>
          <w:i/>
          <w:szCs w:val="24"/>
        </w:rPr>
        <w:t>Withler</w:t>
      </w:r>
      <w:r w:rsidRPr="00FA5D7E">
        <w:rPr>
          <w:rFonts w:cs="Times New Roman"/>
          <w:szCs w:val="24"/>
        </w:rPr>
        <w:t>, the Court warned against an inflexible application of these factors that does not take into account their concrete effects in their larger social, political and legal contexts.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Court also recognized that it may be helpful at the stage of determining whether a distinction exists to compare the group of which the claimant is a member with other groups.  However, it observed that a formalistic or artificial approach to comparison may prevent a court from adequately addressing the issue raised at the second stage of the analysis, namely whether the law has a purpose or effect that discriminates in a substantive sense: </w:t>
      </w:r>
      <w:r w:rsidRPr="00FA5D7E">
        <w:rPr>
          <w:rFonts w:cs="Times New Roman"/>
          <w:i/>
          <w:szCs w:val="24"/>
        </w:rPr>
        <w:t>Withler</w:t>
      </w:r>
      <w:r w:rsidRPr="00FA5D7E">
        <w:rPr>
          <w:rFonts w:cs="Times New Roman"/>
          <w:szCs w:val="24"/>
        </w:rPr>
        <w:t>, at paras. 62</w:t>
      </w:r>
      <w:r w:rsidRPr="00FA5D7E">
        <w:rPr>
          <w:rFonts w:cs="Times New Roman"/>
          <w:szCs w:val="24"/>
        </w:rPr>
        <w:noBreakHyphen/>
        <w:t>65.  Thus, it appears that a</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mirror comparator group analysis may fail to capture substantive inequality, may become a search for sameness, may shortcut the second stage of the substantive equality analysis, and may be difficult to apply.  In all these ways, such an approach may fail to identify — and, indeed, thwart the identification of — the discrimination at which s. 15 is aimed.</w:t>
      </w:r>
    </w:p>
    <w:p w:rsidR="004862B9" w:rsidRPr="00FA5D7E" w:rsidRDefault="004862B9" w:rsidP="004862B9">
      <w:pPr>
        <w:pStyle w:val="Citation-AltC"/>
        <w:ind w:hanging="1166"/>
        <w:rPr>
          <w:szCs w:val="24"/>
          <w:lang w:val="en-CA"/>
        </w:rPr>
      </w:pPr>
      <w:r w:rsidRPr="00FA5D7E">
        <w:rPr>
          <w:szCs w:val="24"/>
          <w:lang w:val="en-CA"/>
        </w:rPr>
        <w:t>(</w:t>
      </w:r>
      <w:r w:rsidRPr="00FA5D7E">
        <w:rPr>
          <w:i/>
          <w:szCs w:val="24"/>
          <w:lang w:val="en-CA"/>
        </w:rPr>
        <w:t>Withler</w:t>
      </w:r>
      <w:r w:rsidRPr="00FA5D7E">
        <w:rPr>
          <w:szCs w:val="24"/>
          <w:lang w:val="en-CA"/>
        </w:rPr>
        <w:t>, at para. 60)</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At this second stage, therefore, rather than limiting its analysis to a formalistic compar</w:t>
      </w:r>
      <w:r w:rsidR="0080046B">
        <w:rPr>
          <w:rFonts w:cs="Times New Roman"/>
          <w:szCs w:val="24"/>
        </w:rPr>
        <w:t>ison of particular groups, the C</w:t>
      </w:r>
      <w:r w:rsidRPr="00FA5D7E">
        <w:rPr>
          <w:rFonts w:cs="Times New Roman"/>
          <w:szCs w:val="24"/>
        </w:rPr>
        <w:t xml:space="preserve">ourt must endeavour to take the contextual factors relevant to the case into account:  </w:t>
      </w:r>
      <w:r w:rsidRPr="00FA5D7E">
        <w:rPr>
          <w:rFonts w:cs="Times New Roman"/>
          <w:i/>
          <w:szCs w:val="24"/>
        </w:rPr>
        <w:t>Kapp</w:t>
      </w:r>
      <w:r w:rsidRPr="00FA5D7E">
        <w:rPr>
          <w:rFonts w:cs="Times New Roman"/>
          <w:szCs w:val="24"/>
        </w:rPr>
        <w:t>, at paras. 22</w:t>
      </w:r>
      <w:r w:rsidRPr="00FA5D7E">
        <w:rPr>
          <w:rFonts w:cs="Times New Roman"/>
          <w:szCs w:val="24"/>
        </w:rPr>
        <w:noBreakHyphen/>
        <w:t xml:space="preserve">23.  Although comparison may bolster the understanding of the context, “[t]he probative value of comparative evidence, viewed in [a] contextual sense, will depend on the circumstances”:  </w:t>
      </w:r>
      <w:r w:rsidRPr="00FA5D7E">
        <w:rPr>
          <w:rFonts w:cs="Times New Roman"/>
          <w:i/>
          <w:szCs w:val="24"/>
        </w:rPr>
        <w:t>Withler</w:t>
      </w:r>
      <w:r w:rsidRPr="00FA5D7E">
        <w:rPr>
          <w:rFonts w:cs="Times New Roman"/>
          <w:szCs w:val="24"/>
        </w:rPr>
        <w:t xml:space="preserve">, at para. 65.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Court thus acknowledged the general usefulness of comparison in determining whether a distinction exists and gaining a better contextual understanding of the claimant’s place within the legislative scheme at issue and within society.  The Court nonetheless made the use of the comparative approach more flexible by emphasizing the need to assess the impact of the impugned scheme on substantive equality.  In so doing, it moved away from the rigid comparative analytical approach based on the identification of comparator groups that had been adopted in some of its decisions:  see, </w:t>
      </w:r>
      <w:r w:rsidRPr="00FA5D7E">
        <w:rPr>
          <w:rFonts w:cs="Times New Roman"/>
          <w:i/>
          <w:szCs w:val="24"/>
        </w:rPr>
        <w:t>inter alia</w:t>
      </w:r>
      <w:r w:rsidRPr="00FA5D7E">
        <w:rPr>
          <w:rFonts w:cs="Times New Roman"/>
          <w:szCs w:val="24"/>
        </w:rPr>
        <w:t xml:space="preserve">, </w:t>
      </w:r>
      <w:r w:rsidRPr="00FA5D7E">
        <w:rPr>
          <w:rFonts w:cs="Times New Roman"/>
          <w:i/>
          <w:szCs w:val="24"/>
        </w:rPr>
        <w:t>Hodge</w:t>
      </w:r>
      <w:r w:rsidRPr="00FA5D7E">
        <w:rPr>
          <w:rFonts w:cs="Times New Roman"/>
          <w:szCs w:val="24"/>
        </w:rPr>
        <w:t xml:space="preserve">, at para. 17.  Once a distinction is found to exist, therefore, the main question must always be the same: does the distinction create a disadvantage by perpetuating prejudice or stereotyping?  In other words, if there is a distinction, is it discriminatory?  The Court therefore stressed the importance of the factors of perpetuation of prejudice and stereotyping.  While it did not make them the only factors, it determined that they were crucial to the identification of discrimination and to the application of the analytical framework for s. 15. </w:t>
      </w:r>
    </w:p>
    <w:p w:rsidR="004862B9" w:rsidRPr="00FA5D7E" w:rsidRDefault="004862B9" w:rsidP="00025C92">
      <w:pPr>
        <w:pStyle w:val="TitleTitre-AltT"/>
        <w:tabs>
          <w:tab w:val="clear" w:pos="360"/>
          <w:tab w:val="left" w:pos="1170"/>
        </w:tabs>
        <w:ind w:left="1710" w:hanging="1710"/>
        <w:rPr>
          <w:rFonts w:cs="Times New Roman"/>
          <w:i/>
          <w:szCs w:val="24"/>
          <w:lang w:val="en-CA"/>
        </w:rPr>
      </w:pPr>
      <w:r w:rsidRPr="00FA5D7E">
        <w:rPr>
          <w:rFonts w:cs="Times New Roman"/>
          <w:i/>
          <w:szCs w:val="24"/>
          <w:lang w:val="en-CA"/>
        </w:rPr>
        <w:tab/>
      </w:r>
      <w:r w:rsidRPr="00FA5D7E">
        <w:rPr>
          <w:rFonts w:cs="Times New Roman"/>
          <w:szCs w:val="24"/>
          <w:lang w:val="en-CA"/>
        </w:rPr>
        <w:t>(e)</w:t>
      </w:r>
      <w:r w:rsidRPr="00FA5D7E">
        <w:rPr>
          <w:rFonts w:cs="Times New Roman"/>
          <w:szCs w:val="24"/>
          <w:lang w:val="en-CA"/>
        </w:rPr>
        <w:tab/>
      </w:r>
      <w:r w:rsidRPr="00FA5D7E">
        <w:rPr>
          <w:rFonts w:cs="Times New Roman"/>
          <w:i/>
          <w:szCs w:val="24"/>
          <w:lang w:val="en-CA"/>
        </w:rPr>
        <w:t>Meaning and Scope of Kapp and Withler</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cs="Times New Roman"/>
          <w:i/>
          <w:szCs w:val="24"/>
        </w:rPr>
        <w:t>Kapp</w:t>
      </w:r>
      <w:r w:rsidRPr="00FA5D7E">
        <w:rPr>
          <w:rFonts w:cs="Times New Roman"/>
          <w:szCs w:val="24"/>
        </w:rPr>
        <w:t xml:space="preserve"> and </w:t>
      </w:r>
      <w:r w:rsidRPr="00FA5D7E">
        <w:rPr>
          <w:rFonts w:cs="Times New Roman"/>
          <w:i/>
          <w:szCs w:val="24"/>
        </w:rPr>
        <w:t>Withler</w:t>
      </w:r>
      <w:r w:rsidRPr="00FA5D7E">
        <w:rPr>
          <w:rFonts w:cs="Times New Roman"/>
          <w:szCs w:val="24"/>
        </w:rPr>
        <w:t>, the Court reworked and provided important clarifications to the analytical framework for applying the s. 15(1) equality guarantee.  However, some authors argue that those decisions did not eliminate all uncertainty concerning the concepts of disadvantage, prejudice and stereotyping in this framework:  S. Moreau, “</w:t>
      </w:r>
      <w:r w:rsidRPr="00FA5D7E">
        <w:rPr>
          <w:rFonts w:cs="Times New Roman"/>
          <w:i/>
          <w:szCs w:val="24"/>
        </w:rPr>
        <w:t>R. v. Kapp</w:t>
      </w:r>
      <w:r w:rsidRPr="00FA5D7E">
        <w:rPr>
          <w:rFonts w:cs="Times New Roman"/>
          <w:szCs w:val="24"/>
        </w:rPr>
        <w:t>:  New Directions for Section 15” (2008</w:t>
      </w:r>
      <w:r w:rsidRPr="00FA5D7E">
        <w:rPr>
          <w:rFonts w:cs="Times New Roman"/>
          <w:szCs w:val="24"/>
        </w:rPr>
        <w:noBreakHyphen/>
        <w:t xml:space="preserve">2009), 40 </w:t>
      </w:r>
      <w:r w:rsidRPr="00FA5D7E">
        <w:rPr>
          <w:rFonts w:cs="Times New Roman"/>
          <w:i/>
          <w:szCs w:val="24"/>
        </w:rPr>
        <w:t>Ottawa L. Rev.</w:t>
      </w:r>
      <w:r w:rsidRPr="00FA5D7E">
        <w:rPr>
          <w:rFonts w:cs="Times New Roman"/>
          <w:szCs w:val="24"/>
        </w:rPr>
        <w:t xml:space="preserve"> 283, at pp. 286 and 291</w:t>
      </w:r>
      <w:r w:rsidRPr="00FA5D7E">
        <w:rPr>
          <w:rFonts w:cs="Times New Roman"/>
          <w:szCs w:val="24"/>
        </w:rPr>
        <w:noBreakHyphen/>
        <w:t>92; J. Koshan and J. </w:t>
      </w:r>
      <w:r w:rsidR="0080046B">
        <w:rPr>
          <w:rFonts w:cs="Times New Roman"/>
          <w:szCs w:val="24"/>
        </w:rPr>
        <w:t>W.</w:t>
      </w:r>
      <w:r w:rsidRPr="00FA5D7E">
        <w:rPr>
          <w:rFonts w:cs="Times New Roman"/>
          <w:szCs w:val="24"/>
        </w:rPr>
        <w:t xml:space="preserve"> Hamilton, “Meaningless Mantra:  Substantive Equality after </w:t>
      </w:r>
      <w:r w:rsidRPr="00FA5D7E">
        <w:rPr>
          <w:rFonts w:cs="Times New Roman"/>
          <w:i/>
          <w:szCs w:val="24"/>
        </w:rPr>
        <w:t>Withler</w:t>
      </w:r>
      <w:r w:rsidRPr="00FA5D7E">
        <w:rPr>
          <w:rFonts w:cs="Times New Roman"/>
          <w:szCs w:val="24"/>
        </w:rPr>
        <w:t xml:space="preserve">” (2011), 16 </w:t>
      </w:r>
      <w:r w:rsidRPr="00FA5D7E">
        <w:rPr>
          <w:rFonts w:cs="Times New Roman"/>
          <w:i/>
          <w:szCs w:val="24"/>
        </w:rPr>
        <w:t>Rev. Const. Stud.</w:t>
      </w:r>
      <w:r w:rsidRPr="00FA5D7E">
        <w:rPr>
          <w:rFonts w:cs="Times New Roman"/>
          <w:szCs w:val="24"/>
        </w:rPr>
        <w:t xml:space="preserve"> 31, at pp. 48</w:t>
      </w:r>
      <w:r w:rsidRPr="00FA5D7E">
        <w:rPr>
          <w:rFonts w:cs="Times New Roman"/>
          <w:szCs w:val="24"/>
        </w:rPr>
        <w:noBreakHyphen/>
        <w:t xml:space="preserve">51; Tremblay, at p. 188.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cs="Times New Roman"/>
          <w:i/>
          <w:szCs w:val="24"/>
        </w:rPr>
        <w:t>Kapp</w:t>
      </w:r>
      <w:r w:rsidRPr="00FA5D7E">
        <w:rPr>
          <w:rFonts w:cs="Times New Roman"/>
          <w:szCs w:val="24"/>
        </w:rPr>
        <w:t xml:space="preserve">, the Court reiterated the fundamental principle that “[s]ection 15(1) is aimed at preventing discriminatory distinctions that impact adversely on members of groups identified by the grounds enumerated in s. 15 and analogous grounds”:  para. 16; </w:t>
      </w:r>
      <w:r w:rsidRPr="00FA5D7E">
        <w:rPr>
          <w:rFonts w:cs="Times New Roman"/>
          <w:i/>
          <w:szCs w:val="24"/>
        </w:rPr>
        <w:t>Alberta v. Hutterian Brethren of Wilson Colony</w:t>
      </w:r>
      <w:r w:rsidRPr="00FA5D7E">
        <w:rPr>
          <w:rFonts w:cs="Times New Roman"/>
          <w:szCs w:val="24"/>
        </w:rPr>
        <w:t xml:space="preserve">, </w:t>
      </w:r>
      <w:r w:rsidRPr="00FA5D7E">
        <w:rPr>
          <w:rFonts w:cs="Times New Roman"/>
        </w:rPr>
        <w:t>2009 SCC 37,</w:t>
      </w:r>
      <w:r w:rsidRPr="00FA5D7E">
        <w:rPr>
          <w:rFonts w:cs="Times New Roman"/>
          <w:szCs w:val="24"/>
        </w:rPr>
        <w:t xml:space="preserve"> [2009] 2 S.C.R. 567, at para. 106.  The language used by the Court is clear: s. 15(1) prevents governments from establishing “</w:t>
      </w:r>
      <w:r w:rsidRPr="00FA5D7E">
        <w:rPr>
          <w:rFonts w:cs="Times New Roman"/>
          <w:szCs w:val="24"/>
          <w:u w:val="single"/>
        </w:rPr>
        <w:t>discriminatory</w:t>
      </w:r>
      <w:r w:rsidRPr="00FA5D7E">
        <w:rPr>
          <w:rFonts w:cs="Times New Roman"/>
          <w:szCs w:val="24"/>
        </w:rPr>
        <w:t xml:space="preserve"> distinctions that impact adversely” on members of groups on the basis of enumerated or analogous grounds</w:t>
      </w:r>
      <w:r w:rsidR="0080046B">
        <w:rPr>
          <w:rFonts w:cs="Times New Roman"/>
          <w:szCs w:val="24"/>
        </w:rPr>
        <w:t xml:space="preserve"> (para. 106 (emphasis added))</w:t>
      </w:r>
      <w:r w:rsidRPr="00FA5D7E">
        <w:rPr>
          <w:rFonts w:cs="Times New Roman"/>
          <w:szCs w:val="24"/>
        </w:rPr>
        <w:t xml:space="preserve">.  Section 15 applies not only to laws enacted with discriminatory intent, but also, even if there is no such intent, to laws with discriminatory effects.  Section 15(1) therefore does not prohibit distinctions that have an adverse impact unless they are discriminatory.  In other words, the adverse impact or “disadvantage” must be discriminatory.  What is a discriminatory disadvantage?  As can be seen from the analytical framework as articulated in </w:t>
      </w:r>
      <w:r w:rsidRPr="00FA5D7E">
        <w:rPr>
          <w:rFonts w:cs="Times New Roman"/>
          <w:i/>
          <w:szCs w:val="24"/>
        </w:rPr>
        <w:t>Kapp</w:t>
      </w:r>
      <w:r w:rsidRPr="00FA5D7E">
        <w:rPr>
          <w:rFonts w:cs="Times New Roman"/>
          <w:szCs w:val="24"/>
        </w:rPr>
        <w:t>, a discriminatory disadvantage is as a general rule one that perpetuates prejudice or that stereotypes:</w:t>
      </w:r>
    </w:p>
    <w:p w:rsidR="004862B9" w:rsidRDefault="004862B9" w:rsidP="000966F7">
      <w:pPr>
        <w:pStyle w:val="Citation-AltC"/>
        <w:spacing w:after="240"/>
        <w:ind w:hanging="1166"/>
        <w:contextualSpacing w:val="0"/>
        <w:rPr>
          <w:szCs w:val="24"/>
          <w:lang w:val="en-CA"/>
        </w:rPr>
      </w:pPr>
      <w:r w:rsidRPr="00FA5D7E">
        <w:rPr>
          <w:szCs w:val="24"/>
          <w:lang w:val="en-CA"/>
        </w:rPr>
        <w:tab/>
        <w:t xml:space="preserve">(1)  Does the law create a distinction based on an enumerated or analogous ground? </w:t>
      </w:r>
    </w:p>
    <w:p w:rsidR="000966F7" w:rsidRPr="00FA5D7E" w:rsidRDefault="000966F7" w:rsidP="000966F7">
      <w:pPr>
        <w:pStyle w:val="Citation-AltC"/>
        <w:tabs>
          <w:tab w:val="left" w:pos="1170"/>
        </w:tabs>
        <w:ind w:hanging="1166"/>
        <w:contextualSpacing w:val="0"/>
        <w:rPr>
          <w:szCs w:val="24"/>
          <w:lang w:val="en-CA"/>
        </w:rPr>
      </w:pPr>
      <w:r>
        <w:rPr>
          <w:szCs w:val="24"/>
          <w:lang w:val="en-CA"/>
        </w:rPr>
        <w:tab/>
        <w:t>(2</w:t>
      </w:r>
      <w:r w:rsidRPr="00FA5D7E">
        <w:rPr>
          <w:szCs w:val="24"/>
          <w:lang w:val="en-CA"/>
        </w:rPr>
        <w:t xml:space="preserve">)  Does the distinction create a disadvantage </w:t>
      </w:r>
      <w:r w:rsidRPr="00FA5D7E">
        <w:rPr>
          <w:szCs w:val="24"/>
          <w:u w:val="single"/>
          <w:lang w:val="en-CA"/>
        </w:rPr>
        <w:t>by perpetuating prejudice or stereotyping</w:t>
      </w:r>
      <w:r w:rsidRPr="00FA5D7E">
        <w:rPr>
          <w:szCs w:val="24"/>
          <w:lang w:val="en-CA"/>
        </w:rPr>
        <w:t>?  [Emphasis added; para. 17.]</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cs="Times New Roman"/>
          <w:i/>
          <w:szCs w:val="24"/>
        </w:rPr>
        <w:t>Ermineskin Indian Band and Nation v. Canada</w:t>
      </w:r>
      <w:r w:rsidRPr="00FA5D7E">
        <w:rPr>
          <w:rFonts w:cs="Times New Roman"/>
          <w:szCs w:val="24"/>
        </w:rPr>
        <w:t>, 2009 SCC 9, [2009] 1 S.C.R. 222, Rothstein J. applied this analytical framework to dismiss a claim that the right to equality had been infringed in the context of the relationship between Aboriginal communities and the federal government.  Rothstein J. summed up the Court’s position as follows:</w:t>
      </w:r>
    </w:p>
    <w:p w:rsidR="004862B9" w:rsidRPr="00FA5D7E" w:rsidRDefault="004862B9" w:rsidP="000966F7">
      <w:pPr>
        <w:pStyle w:val="Citation-AltC"/>
        <w:tabs>
          <w:tab w:val="left" w:pos="1620"/>
        </w:tabs>
        <w:ind w:hanging="1166"/>
        <w:contextualSpacing w:val="0"/>
        <w:rPr>
          <w:szCs w:val="24"/>
          <w:lang w:val="en-CA"/>
        </w:rPr>
      </w:pPr>
      <w:r w:rsidRPr="00FA5D7E">
        <w:rPr>
          <w:szCs w:val="24"/>
          <w:lang w:val="en-CA"/>
        </w:rPr>
        <w:tab/>
      </w:r>
      <w:r w:rsidRPr="00FA5D7E">
        <w:rPr>
          <w:szCs w:val="24"/>
          <w:lang w:val="en-CA"/>
        </w:rPr>
        <w:tab/>
        <w:t xml:space="preserve">This Court’s equality jurisprudence makes it clear that not all distinctions are discriminatory.  Differential treatment of different groups is not in and of itself a violation of s. 15(1).  As this Court stated in </w:t>
      </w:r>
      <w:r w:rsidRPr="00FA5D7E">
        <w:rPr>
          <w:i/>
          <w:szCs w:val="24"/>
          <w:lang w:val="en-CA"/>
        </w:rPr>
        <w:t>Andrews v. Law Society of British Columbia</w:t>
      </w:r>
      <w:r w:rsidRPr="00FA5D7E">
        <w:rPr>
          <w:szCs w:val="24"/>
          <w:lang w:val="en-CA"/>
        </w:rPr>
        <w:t xml:space="preserve">, [1989] 1 S.C.R. 143, at p. 182 (restated in </w:t>
      </w:r>
      <w:r w:rsidRPr="00FA5D7E">
        <w:rPr>
          <w:i/>
          <w:szCs w:val="24"/>
          <w:lang w:val="en-CA"/>
        </w:rPr>
        <w:t>R. v. Kapp</w:t>
      </w:r>
      <w:r w:rsidRPr="00FA5D7E">
        <w:rPr>
          <w:szCs w:val="24"/>
          <w:lang w:val="en-CA"/>
        </w:rPr>
        <w:t xml:space="preserve">, 2008 SCC 41, [2008] 2 S.C.R. 483, at para. 28), a complainant must show “not only that he or she is not receiving equal treatment before and under the law or that the law has a differential impact on him or her in the protection or benefit accorded by law but, in addition, </w:t>
      </w:r>
      <w:r w:rsidRPr="0080046B">
        <w:rPr>
          <w:szCs w:val="24"/>
          <w:u w:val="single"/>
          <w:lang w:val="en-CA"/>
        </w:rPr>
        <w:t>must show that</w:t>
      </w:r>
      <w:r w:rsidRPr="00FA5D7E">
        <w:rPr>
          <w:szCs w:val="24"/>
          <w:u w:val="single"/>
          <w:lang w:val="en-CA"/>
        </w:rPr>
        <w:t xml:space="preserve"> the legislative impact of the law is discriminatory</w:t>
      </w:r>
      <w:r w:rsidRPr="00FA5D7E">
        <w:rPr>
          <w:szCs w:val="24"/>
          <w:lang w:val="en-CA"/>
        </w:rPr>
        <w:t xml:space="preserve">” (emphasis added).  The analysis, as established in </w:t>
      </w:r>
      <w:r w:rsidRPr="00FA5D7E">
        <w:rPr>
          <w:i/>
          <w:szCs w:val="24"/>
          <w:lang w:val="en-CA"/>
        </w:rPr>
        <w:t>Andrews</w:t>
      </w:r>
      <w:r w:rsidRPr="00FA5D7E">
        <w:rPr>
          <w:szCs w:val="24"/>
          <w:lang w:val="en-CA"/>
        </w:rPr>
        <w:t>, consists of two questions:  first, does the law create a distinction based on an enumerated or analogous ground; and second, does the distinction create a disadvantage by perpetuating prejudice or stereo</w:t>
      </w:r>
      <w:r w:rsidR="0080046B">
        <w:rPr>
          <w:szCs w:val="24"/>
          <w:lang w:val="en-CA"/>
        </w:rPr>
        <w:t>typing.  [</w:t>
      </w:r>
      <w:r w:rsidR="00E97295">
        <w:rPr>
          <w:szCs w:val="24"/>
          <w:lang w:val="en-CA"/>
        </w:rPr>
        <w:t>para. 188</w:t>
      </w:r>
      <w:r w:rsidR="00F207AB">
        <w:rPr>
          <w:szCs w:val="24"/>
          <w:lang w:val="en-CA"/>
        </w:rPr>
        <w:t>.</w:t>
      </w:r>
      <w:r w:rsidR="00E97295">
        <w:rPr>
          <w:szCs w:val="24"/>
          <w:lang w:val="en-CA"/>
        </w:rPr>
        <w: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This analytical framework has been reaffirmed by the Court in other recent decisions: </w:t>
      </w:r>
      <w:r w:rsidRPr="00FA5D7E">
        <w:rPr>
          <w:rFonts w:cs="Times New Roman"/>
          <w:i/>
          <w:szCs w:val="24"/>
        </w:rPr>
        <w:t>Hutterian</w:t>
      </w:r>
      <w:r w:rsidRPr="00FA5D7E">
        <w:rPr>
          <w:rFonts w:cs="Times New Roman"/>
          <w:szCs w:val="24"/>
        </w:rPr>
        <w:t xml:space="preserve">, at para. 106; </w:t>
      </w:r>
      <w:r w:rsidRPr="00FA5D7E">
        <w:rPr>
          <w:rFonts w:cs="Times New Roman"/>
          <w:i/>
          <w:szCs w:val="24"/>
        </w:rPr>
        <w:t>A.C. v. Manitoba (Director of Child and Family Services)</w:t>
      </w:r>
      <w:r w:rsidRPr="00FA5D7E">
        <w:rPr>
          <w:rFonts w:cs="Times New Roman"/>
          <w:szCs w:val="24"/>
        </w:rPr>
        <w:t xml:space="preserve">, 2009 SCC 30, [2009] 2 S.C.R. 181, at paras. 109 and 150.  The Court further explained the nature of the framework in </w:t>
      </w:r>
      <w:r w:rsidRPr="00FA5D7E">
        <w:rPr>
          <w:rFonts w:cs="Times New Roman"/>
          <w:i/>
          <w:szCs w:val="24"/>
        </w:rPr>
        <w:t>Withler</w:t>
      </w:r>
      <w:r w:rsidRPr="00FA5D7E">
        <w:rPr>
          <w:rFonts w:cs="Times New Roman"/>
          <w:szCs w:val="24"/>
        </w:rPr>
        <w:t xml:space="preserve">, in which it stated that there are usually two ways for a claimant to prove that a law containing an adverse distinction based on an enumerated or analogous ground “discriminates in a substantive sense”.  On the one hand, the claimant can show that the impugned law perpetuates prejudice against members of a group.  On the other hand, the claimant can show that the disadvantage imposed by the law is based on a stereotype.  If either of these things is shown, the impugned law will be found to violate s. 15(1):  </w:t>
      </w:r>
      <w:r w:rsidRPr="00FA5D7E">
        <w:rPr>
          <w:rFonts w:cs="Times New Roman"/>
          <w:i/>
          <w:szCs w:val="24"/>
        </w:rPr>
        <w:t>Withler</w:t>
      </w:r>
      <w:r w:rsidRPr="00FA5D7E">
        <w:rPr>
          <w:rFonts w:cs="Times New Roman"/>
          <w:szCs w:val="24"/>
        </w:rPr>
        <w:t>, at paras. 34</w:t>
      </w:r>
      <w:r w:rsidRPr="00FA5D7E">
        <w:rPr>
          <w:rFonts w:cs="Times New Roman"/>
          <w:szCs w:val="24"/>
        </w:rPr>
        <w:noBreakHyphen/>
        <w:t>36.  I would add that there will no doubt be cases in which prejudice and stereotyping are both involved, and reinforce one another.</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It was stated in </w:t>
      </w:r>
      <w:r w:rsidRPr="00FA5D7E">
        <w:rPr>
          <w:rFonts w:cs="Times New Roman"/>
          <w:i/>
          <w:szCs w:val="24"/>
        </w:rPr>
        <w:t>Kapp</w:t>
      </w:r>
      <w:r w:rsidRPr="00FA5D7E">
        <w:rPr>
          <w:rFonts w:cs="Times New Roman"/>
          <w:szCs w:val="24"/>
        </w:rPr>
        <w:t xml:space="preserve"> and reiterated in </w:t>
      </w:r>
      <w:r w:rsidRPr="00FA5D7E">
        <w:rPr>
          <w:rFonts w:cs="Times New Roman"/>
          <w:i/>
          <w:szCs w:val="24"/>
        </w:rPr>
        <w:t>Withler</w:t>
      </w:r>
      <w:r w:rsidRPr="00FA5D7E">
        <w:rPr>
          <w:rFonts w:cs="Times New Roman"/>
          <w:szCs w:val="24"/>
        </w:rPr>
        <w:t xml:space="preserve"> that a discriminatory distinction is an adverse distinction that perpetuates prejudice or that stereotypes.  I will now discuss the uncertainty that results from certain passages from </w:t>
      </w:r>
      <w:r w:rsidRPr="00FA5D7E">
        <w:rPr>
          <w:rFonts w:cs="Times New Roman"/>
          <w:i/>
          <w:szCs w:val="24"/>
        </w:rPr>
        <w:t>Kapp</w:t>
      </w:r>
      <w:r w:rsidRPr="00FA5D7E">
        <w:rPr>
          <w:rFonts w:cs="Times New Roman"/>
          <w:szCs w:val="24"/>
        </w:rPr>
        <w:t xml:space="preserve"> and </w:t>
      </w:r>
      <w:r w:rsidRPr="00FA5D7E">
        <w:rPr>
          <w:rFonts w:cs="Times New Roman"/>
          <w:i/>
          <w:szCs w:val="24"/>
        </w:rPr>
        <w:t>Withler</w:t>
      </w:r>
      <w:r w:rsidRPr="00FA5D7E">
        <w:rPr>
          <w:rFonts w:cs="Times New Roman"/>
          <w:szCs w:val="24"/>
        </w:rPr>
        <w:t>, after which I will consider the meaning and scope of the concepts of disadvantage, prejudice and stereotyping.</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 note that in certain passages from </w:t>
      </w:r>
      <w:r w:rsidRPr="00FA5D7E">
        <w:rPr>
          <w:rFonts w:cs="Times New Roman"/>
          <w:i/>
          <w:szCs w:val="24"/>
        </w:rPr>
        <w:t>Kapp</w:t>
      </w:r>
      <w:r w:rsidRPr="00FA5D7E">
        <w:rPr>
          <w:rFonts w:cs="Times New Roman"/>
          <w:szCs w:val="24"/>
        </w:rPr>
        <w:t xml:space="preserve"> and </w:t>
      </w:r>
      <w:r w:rsidRPr="00FA5D7E">
        <w:rPr>
          <w:rFonts w:cs="Times New Roman"/>
          <w:i/>
          <w:szCs w:val="24"/>
        </w:rPr>
        <w:t>Withler</w:t>
      </w:r>
      <w:r w:rsidRPr="00FA5D7E">
        <w:rPr>
          <w:rFonts w:cs="Times New Roman"/>
          <w:szCs w:val="24"/>
        </w:rPr>
        <w:t xml:space="preserve">, the Court used varying terminology that strayed from the language used to describe the recommended test.  In particular, some of these passages might suggest that a violation of the right to equality can be established simply by proof of a disadvantage based on an enumerated or analogous ground, without having to establish that the disadvantage is discriminatory by showing that it results from the perpetuation of prejudice or from stereotyping:  see, </w:t>
      </w:r>
      <w:r w:rsidRPr="00FA5D7E">
        <w:rPr>
          <w:rFonts w:cs="Times New Roman"/>
          <w:i/>
          <w:szCs w:val="24"/>
        </w:rPr>
        <w:t>inter alia</w:t>
      </w:r>
      <w:r w:rsidRPr="00FA5D7E">
        <w:rPr>
          <w:rFonts w:cs="Times New Roman"/>
          <w:szCs w:val="24"/>
        </w:rPr>
        <w:t xml:space="preserve">, </w:t>
      </w:r>
      <w:r w:rsidRPr="00FA5D7E">
        <w:rPr>
          <w:rFonts w:cs="Times New Roman"/>
          <w:i/>
          <w:szCs w:val="24"/>
        </w:rPr>
        <w:t>Kapp</w:t>
      </w:r>
      <w:r w:rsidRPr="00FA5D7E">
        <w:rPr>
          <w:rFonts w:cs="Times New Roman"/>
          <w:szCs w:val="24"/>
        </w:rPr>
        <w:t xml:space="preserve">, at para. 25; </w:t>
      </w:r>
      <w:r w:rsidRPr="00FA5D7E">
        <w:rPr>
          <w:rFonts w:cs="Times New Roman"/>
          <w:i/>
          <w:szCs w:val="24"/>
        </w:rPr>
        <w:t>Withler</w:t>
      </w:r>
      <w:r w:rsidRPr="00FA5D7E">
        <w:rPr>
          <w:rFonts w:cs="Times New Roman"/>
          <w:szCs w:val="24"/>
        </w:rPr>
        <w:t>, at paras. 35, 37, 65 and 71.</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It would be wrong to ascribe such a meaning to the passages in question.  The words “discriminates by perpetuating disadvantage </w:t>
      </w:r>
      <w:r w:rsidRPr="00FA5D7E">
        <w:rPr>
          <w:rFonts w:cs="Times New Roman"/>
          <w:szCs w:val="24"/>
          <w:u w:val="single"/>
        </w:rPr>
        <w:t>or</w:t>
      </w:r>
      <w:r w:rsidRPr="00FA5D7E">
        <w:rPr>
          <w:rFonts w:cs="Times New Roman"/>
          <w:szCs w:val="24"/>
        </w:rPr>
        <w:t xml:space="preserve"> prejudice” in para. 71 of </w:t>
      </w:r>
      <w:r w:rsidRPr="00FA5D7E">
        <w:rPr>
          <w:rFonts w:cs="Times New Roman"/>
          <w:i/>
          <w:szCs w:val="24"/>
        </w:rPr>
        <w:t>Withler</w:t>
      </w:r>
      <w:r w:rsidRPr="00FA5D7E">
        <w:rPr>
          <w:rFonts w:cs="Times New Roman"/>
          <w:szCs w:val="24"/>
        </w:rPr>
        <w:t xml:space="preserve"> (emphasis added) actually refer only to the importance of pre</w:t>
      </w:r>
      <w:r w:rsidRPr="00FA5D7E">
        <w:rPr>
          <w:rFonts w:cs="Times New Roman"/>
          <w:szCs w:val="24"/>
        </w:rPr>
        <w:noBreakHyphen/>
        <w:t xml:space="preserve">existing disadvantage as a contextual factor for the purpose of identifying prejudice in the sense of circumstances in which certain individuals are not recognized at law as human beings fully deserving of concern, respect and consideration:  </w:t>
      </w:r>
      <w:r w:rsidRPr="00FA5D7E">
        <w:rPr>
          <w:rFonts w:cs="Times New Roman"/>
          <w:i/>
          <w:szCs w:val="24"/>
        </w:rPr>
        <w:t>Andrews</w:t>
      </w:r>
      <w:r w:rsidRPr="00FA5D7E">
        <w:rPr>
          <w:rFonts w:cs="Times New Roman"/>
          <w:szCs w:val="24"/>
        </w:rPr>
        <w:t xml:space="preserve">, at p. 171.  In </w:t>
      </w:r>
      <w:r w:rsidRPr="00FA5D7E">
        <w:rPr>
          <w:rFonts w:cs="Times New Roman"/>
          <w:i/>
          <w:szCs w:val="24"/>
        </w:rPr>
        <w:t>Law</w:t>
      </w:r>
      <w:r w:rsidRPr="00FA5D7E">
        <w:rPr>
          <w:rFonts w:cs="Times New Roman"/>
          <w:szCs w:val="24"/>
        </w:rPr>
        <w:t>, Iacobucci J. explained the relevance of this link between disadvantage and prejudice as follows:</w:t>
      </w:r>
    </w:p>
    <w:p w:rsidR="004862B9" w:rsidRPr="00FA5D7E" w:rsidRDefault="004862B9" w:rsidP="00025C92">
      <w:pPr>
        <w:pStyle w:val="Citation-AltC"/>
        <w:tabs>
          <w:tab w:val="left" w:pos="1620"/>
        </w:tabs>
        <w:ind w:left="1138" w:hanging="1138"/>
        <w:contextualSpacing w:val="0"/>
        <w:rPr>
          <w:szCs w:val="24"/>
          <w:lang w:val="en-CA"/>
        </w:rPr>
      </w:pPr>
      <w:r w:rsidRPr="00FA5D7E">
        <w:rPr>
          <w:szCs w:val="24"/>
          <w:lang w:val="en-CA"/>
        </w:rPr>
        <w:tab/>
      </w:r>
      <w:r w:rsidRPr="00FA5D7E">
        <w:rPr>
          <w:szCs w:val="24"/>
          <w:lang w:val="en-CA"/>
        </w:rPr>
        <w:tab/>
        <w:t>As has been consistently recognized throughout this Court’s jurisprudence, probably the most compelling factor favouring a conclusion that differential treatment imposed by legislation is truly discriminatory will be, where it exists, pre</w:t>
      </w:r>
      <w:r w:rsidRPr="00FA5D7E">
        <w:rPr>
          <w:szCs w:val="24"/>
          <w:lang w:val="en-CA"/>
        </w:rPr>
        <w:noBreakHyphen/>
        <w:t xml:space="preserve">existing disadvantage, vulnerability, stereotyping, or prejudice experienced by the individual or group:  see, e.g., </w:t>
      </w:r>
      <w:r w:rsidRPr="00FA5D7E">
        <w:rPr>
          <w:i/>
          <w:szCs w:val="24"/>
          <w:lang w:val="en-CA"/>
        </w:rPr>
        <w:t>Andrews</w:t>
      </w:r>
      <w:r w:rsidRPr="00FA5D7E">
        <w:rPr>
          <w:szCs w:val="24"/>
          <w:lang w:val="en-CA"/>
        </w:rPr>
        <w:t xml:space="preserve">, </w:t>
      </w:r>
      <w:r w:rsidRPr="00FA5D7E">
        <w:rPr>
          <w:i/>
          <w:szCs w:val="24"/>
          <w:lang w:val="en-CA"/>
        </w:rPr>
        <w:t>supra</w:t>
      </w:r>
      <w:r w:rsidRPr="00FA5D7E">
        <w:rPr>
          <w:szCs w:val="24"/>
          <w:lang w:val="en-CA"/>
        </w:rPr>
        <w:t>, at pp. 151</w:t>
      </w:r>
      <w:r w:rsidRPr="00FA5D7E">
        <w:rPr>
          <w:szCs w:val="24"/>
          <w:lang w:val="en-CA"/>
        </w:rPr>
        <w:noBreakHyphen/>
        <w:t xml:space="preserve">53, </w:t>
      </w:r>
      <w:r w:rsidRPr="00FA5D7E">
        <w:rPr>
          <w:i/>
          <w:szCs w:val="24"/>
          <w:lang w:val="en-CA"/>
        </w:rPr>
        <w:t>per</w:t>
      </w:r>
      <w:r w:rsidRPr="00FA5D7E">
        <w:rPr>
          <w:szCs w:val="24"/>
          <w:lang w:val="en-CA"/>
        </w:rPr>
        <w:t xml:space="preserve"> Wilson J., p. 183, </w:t>
      </w:r>
      <w:r w:rsidRPr="00FA5D7E">
        <w:rPr>
          <w:i/>
          <w:szCs w:val="24"/>
          <w:lang w:val="en-CA"/>
        </w:rPr>
        <w:t>per </w:t>
      </w:r>
      <w:r w:rsidRPr="00FA5D7E">
        <w:rPr>
          <w:szCs w:val="24"/>
          <w:lang w:val="en-CA"/>
        </w:rPr>
        <w:t>McIntyre J., pp. 195</w:t>
      </w:r>
      <w:r w:rsidRPr="00FA5D7E">
        <w:rPr>
          <w:szCs w:val="24"/>
          <w:lang w:val="en-CA"/>
        </w:rPr>
        <w:noBreakHyphen/>
        <w:t xml:space="preserve">97, </w:t>
      </w:r>
      <w:r w:rsidRPr="00FA5D7E">
        <w:rPr>
          <w:i/>
          <w:szCs w:val="24"/>
          <w:lang w:val="en-CA"/>
        </w:rPr>
        <w:t>per</w:t>
      </w:r>
      <w:r w:rsidRPr="00FA5D7E">
        <w:rPr>
          <w:szCs w:val="24"/>
          <w:lang w:val="en-CA"/>
        </w:rPr>
        <w:t xml:space="preserve"> La Forest J.; </w:t>
      </w:r>
      <w:r w:rsidRPr="00FA5D7E">
        <w:rPr>
          <w:i/>
          <w:szCs w:val="24"/>
          <w:lang w:val="en-CA"/>
        </w:rPr>
        <w:t>Turpin</w:t>
      </w:r>
      <w:r w:rsidRPr="00FA5D7E">
        <w:rPr>
          <w:szCs w:val="24"/>
          <w:lang w:val="en-CA"/>
        </w:rPr>
        <w:t xml:space="preserve">, </w:t>
      </w:r>
      <w:r w:rsidRPr="00FA5D7E">
        <w:rPr>
          <w:i/>
          <w:szCs w:val="24"/>
          <w:lang w:val="en-CA"/>
        </w:rPr>
        <w:t>supra</w:t>
      </w:r>
      <w:r w:rsidRPr="00FA5D7E">
        <w:rPr>
          <w:szCs w:val="24"/>
          <w:lang w:val="en-CA"/>
        </w:rPr>
        <w:t>, at pp. 1331</w:t>
      </w:r>
      <w:r w:rsidRPr="00FA5D7E">
        <w:rPr>
          <w:szCs w:val="24"/>
          <w:lang w:val="en-CA"/>
        </w:rPr>
        <w:noBreakHyphen/>
        <w:t xml:space="preserve">33; </w:t>
      </w:r>
      <w:r w:rsidRPr="00FA5D7E">
        <w:rPr>
          <w:i/>
          <w:szCs w:val="24"/>
          <w:lang w:val="en-CA"/>
        </w:rPr>
        <w:t>Swain</w:t>
      </w:r>
      <w:r w:rsidRPr="00FA5D7E">
        <w:rPr>
          <w:szCs w:val="24"/>
          <w:lang w:val="en-CA"/>
        </w:rPr>
        <w:t xml:space="preserve">, </w:t>
      </w:r>
      <w:r w:rsidRPr="00FA5D7E">
        <w:rPr>
          <w:i/>
          <w:szCs w:val="24"/>
          <w:lang w:val="en-CA"/>
        </w:rPr>
        <w:t>supra</w:t>
      </w:r>
      <w:r w:rsidRPr="00FA5D7E">
        <w:rPr>
          <w:szCs w:val="24"/>
          <w:lang w:val="en-CA"/>
        </w:rPr>
        <w:t xml:space="preserve">, at p. 992, </w:t>
      </w:r>
      <w:r w:rsidRPr="00FA5D7E">
        <w:rPr>
          <w:i/>
          <w:szCs w:val="24"/>
          <w:lang w:val="en-CA"/>
        </w:rPr>
        <w:t>per</w:t>
      </w:r>
      <w:r w:rsidRPr="00FA5D7E">
        <w:rPr>
          <w:szCs w:val="24"/>
          <w:lang w:val="en-CA"/>
        </w:rPr>
        <w:t xml:space="preserve"> Lamer C.J.; </w:t>
      </w:r>
      <w:r w:rsidRPr="00FA5D7E">
        <w:rPr>
          <w:i/>
          <w:szCs w:val="24"/>
          <w:lang w:val="en-CA"/>
        </w:rPr>
        <w:t>Miron</w:t>
      </w:r>
      <w:r w:rsidRPr="00FA5D7E">
        <w:rPr>
          <w:szCs w:val="24"/>
          <w:lang w:val="en-CA"/>
        </w:rPr>
        <w:t xml:space="preserve">, </w:t>
      </w:r>
      <w:r w:rsidRPr="00FA5D7E">
        <w:rPr>
          <w:i/>
          <w:szCs w:val="24"/>
          <w:lang w:val="en-CA"/>
        </w:rPr>
        <w:t>supra</w:t>
      </w:r>
      <w:r w:rsidRPr="00FA5D7E">
        <w:rPr>
          <w:szCs w:val="24"/>
          <w:lang w:val="en-CA"/>
        </w:rPr>
        <w:t>, at paras. 147</w:t>
      </w:r>
      <w:r w:rsidRPr="00FA5D7E">
        <w:rPr>
          <w:szCs w:val="24"/>
          <w:lang w:val="en-CA"/>
        </w:rPr>
        <w:noBreakHyphen/>
        <w:t xml:space="preserve">48, </w:t>
      </w:r>
      <w:r w:rsidRPr="00FA5D7E">
        <w:rPr>
          <w:i/>
          <w:szCs w:val="24"/>
          <w:lang w:val="en-CA"/>
        </w:rPr>
        <w:t>per</w:t>
      </w:r>
      <w:r w:rsidRPr="00FA5D7E">
        <w:rPr>
          <w:szCs w:val="24"/>
          <w:lang w:val="en-CA"/>
        </w:rPr>
        <w:t xml:space="preserve"> McLachlin J.; </w:t>
      </w:r>
      <w:r w:rsidRPr="00FA5D7E">
        <w:rPr>
          <w:i/>
          <w:szCs w:val="24"/>
          <w:lang w:val="en-CA"/>
        </w:rPr>
        <w:t>Eaton</w:t>
      </w:r>
      <w:r w:rsidRPr="00FA5D7E">
        <w:rPr>
          <w:szCs w:val="24"/>
          <w:lang w:val="en-CA"/>
        </w:rPr>
        <w:t xml:space="preserve">, </w:t>
      </w:r>
      <w:r w:rsidRPr="00FA5D7E">
        <w:rPr>
          <w:i/>
          <w:szCs w:val="24"/>
          <w:lang w:val="en-CA"/>
        </w:rPr>
        <w:t>supra</w:t>
      </w:r>
      <w:r w:rsidRPr="00FA5D7E">
        <w:rPr>
          <w:szCs w:val="24"/>
          <w:lang w:val="en-CA"/>
        </w:rPr>
        <w:t>, at para. 66.  These factors are relevant because, to the extent that the claimant is already subject to unfair circumstances or treatment in society by virtue of personal characteristics or circumstances, persons like him or her have often not been given equal concern, respect, and consideration.  It is logical to conclude that, in most cases, further differential treatment will contribute to the perpetuation or promotion of their unfair social characterization, and will have a more severe impact upon them, since they are already vulnerable.  [para. 63]</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The existence of a pre</w:t>
      </w:r>
      <w:r w:rsidRPr="00FA5D7E">
        <w:rPr>
          <w:rFonts w:cs="Times New Roman"/>
          <w:szCs w:val="24"/>
        </w:rPr>
        <w:noBreakHyphen/>
        <w:t>existing or historical disadvantage will thus make it easier to prove prejudice or a stereotype.  However, the existence or perpetuation of a disadvantage cannot in itself make a distinction discriminatory.  The following comment by McLachlin C.J. from a recent case more clearly summarizes the need for a link between disadvantage and prejudice, on the one hand, and between disadvantage and stereotype, on the other:</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 xml:space="preserve">Laws and government acts that perpetuate disadvantage </w:t>
      </w:r>
      <w:r w:rsidRPr="00FA5D7E">
        <w:rPr>
          <w:szCs w:val="24"/>
          <w:u w:val="single"/>
          <w:lang w:val="en-CA"/>
        </w:rPr>
        <w:t>and</w:t>
      </w:r>
      <w:r w:rsidRPr="00FA5D7E">
        <w:rPr>
          <w:szCs w:val="24"/>
          <w:lang w:val="en-CA"/>
        </w:rPr>
        <w:t xml:space="preserve"> prejudice, or that single out individuals or groups for adverse treatment on the basis of stereotypes, violate s. 15(1) and are invalid, subject to justification under s. 1 of the </w:t>
      </w:r>
      <w:r w:rsidRPr="00FA5D7E">
        <w:rPr>
          <w:i/>
          <w:szCs w:val="24"/>
          <w:lang w:val="en-CA"/>
        </w:rPr>
        <w:t>Charter</w:t>
      </w:r>
      <w:r w:rsidRPr="00FA5D7E">
        <w:rPr>
          <w:szCs w:val="24"/>
          <w:lang w:val="en-CA"/>
        </w:rPr>
        <w:t xml:space="preserve">:  </w:t>
      </w:r>
      <w:r w:rsidRPr="00FA5D7E">
        <w:rPr>
          <w:i/>
          <w:szCs w:val="24"/>
          <w:lang w:val="en-CA"/>
        </w:rPr>
        <w:t>Kapp</w:t>
      </w:r>
      <w:r w:rsidRPr="00FA5D7E">
        <w:rPr>
          <w:szCs w:val="24"/>
          <w:lang w:val="en-CA"/>
        </w:rPr>
        <w:t xml:space="preserve">; </w:t>
      </w:r>
      <w:r w:rsidRPr="00FA5D7E">
        <w:rPr>
          <w:i/>
          <w:szCs w:val="24"/>
          <w:lang w:val="en-CA"/>
        </w:rPr>
        <w:t>Withler v. Canada (Attorney General)</w:t>
      </w:r>
      <w:r w:rsidRPr="00FA5D7E">
        <w:rPr>
          <w:szCs w:val="24"/>
          <w:lang w:val="en-CA"/>
        </w:rPr>
        <w:t>, 2011 SCC 12, [2011] 1 S.C.R. 396.  [Emphasis added.]</w:t>
      </w:r>
    </w:p>
    <w:p w:rsidR="004862B9" w:rsidRPr="00FA5D7E" w:rsidRDefault="004862B9" w:rsidP="00DA134A">
      <w:pPr>
        <w:pStyle w:val="Citation-AltC"/>
        <w:ind w:left="0"/>
        <w:rPr>
          <w:szCs w:val="24"/>
          <w:lang w:val="en-CA"/>
        </w:rPr>
      </w:pPr>
      <w:r w:rsidRPr="00FA5D7E">
        <w:rPr>
          <w:szCs w:val="24"/>
          <w:lang w:val="en-CA"/>
        </w:rPr>
        <w:t>(</w:t>
      </w:r>
      <w:r w:rsidRPr="00FA5D7E">
        <w:rPr>
          <w:i/>
          <w:szCs w:val="24"/>
          <w:lang w:val="en-CA"/>
        </w:rPr>
        <w:t>Alberta (Aboriginal Affairs and Northern Development) v. Cunningham</w:t>
      </w:r>
      <w:r w:rsidRPr="00FA5D7E">
        <w:rPr>
          <w:szCs w:val="24"/>
          <w:lang w:val="en-CA"/>
        </w:rPr>
        <w:t>, 2011 SCC 37, [2011] 2 S.C.R. 670, at para. 39)</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interpretation according to which there cannot as a rule be substantive discrimination, despite the existence of a disadvantage, without prejudice or stereotyping is consistent with this Court’s case law on the meaning and application of s. 15(1).  As McLachlin C.J. has stated, “not every adverse distinction made on the basis of an enumerated or analogous ground constitutes discrimination”:  </w:t>
      </w:r>
      <w:r w:rsidRPr="00FA5D7E">
        <w:rPr>
          <w:rFonts w:cs="Times New Roman"/>
          <w:i/>
          <w:szCs w:val="24"/>
        </w:rPr>
        <w:t>Gosselin</w:t>
      </w:r>
      <w:r w:rsidRPr="00FA5D7E">
        <w:rPr>
          <w:rFonts w:cs="Times New Roman"/>
          <w:szCs w:val="24"/>
        </w:rPr>
        <w:t xml:space="preserve">, at para. 21.  More recently, Rothstein J. stated that, “even if [there] is a disadvantage, the legislation will violate s. 15(1) only if that disadvantage is one that is discriminatory, that is, if it perpetuates prejudice or stereotyping”: </w:t>
      </w:r>
      <w:r w:rsidRPr="00FA5D7E">
        <w:rPr>
          <w:rFonts w:cs="Times New Roman"/>
          <w:i/>
          <w:szCs w:val="24"/>
        </w:rPr>
        <w:t>Ermineskin</w:t>
      </w:r>
      <w:r w:rsidRPr="00FA5D7E">
        <w:rPr>
          <w:rFonts w:cs="Times New Roman"/>
          <w:szCs w:val="24"/>
        </w:rPr>
        <w:t>, at para. 192.</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This position is also consistent with the approach taken by this Court to substantive equality, the promotion of which “entails the promotion of a society in which all are secure in the knowledge that they are recognized at law as human beings equally deserving of concern, respect and consideration”:  </w:t>
      </w:r>
      <w:r w:rsidRPr="00FA5D7E">
        <w:rPr>
          <w:rFonts w:cs="Times New Roman"/>
          <w:i/>
          <w:szCs w:val="24"/>
        </w:rPr>
        <w:t>Kapp</w:t>
      </w:r>
      <w:r w:rsidRPr="00FA5D7E">
        <w:rPr>
          <w:rFonts w:cs="Times New Roman"/>
          <w:szCs w:val="24"/>
        </w:rPr>
        <w:t xml:space="preserve">, at para. 15, quoting </w:t>
      </w:r>
      <w:r w:rsidRPr="00FA5D7E">
        <w:rPr>
          <w:rFonts w:cs="Times New Roman"/>
          <w:i/>
          <w:szCs w:val="24"/>
        </w:rPr>
        <w:t>Andrews</w:t>
      </w:r>
      <w:r w:rsidRPr="00FA5D7E">
        <w:rPr>
          <w:rFonts w:cs="Times New Roman"/>
          <w:szCs w:val="24"/>
        </w:rPr>
        <w:t>, at p. 171; see also Tremblay, at pp. 189</w:t>
      </w:r>
      <w:r w:rsidRPr="00FA5D7E">
        <w:rPr>
          <w:rFonts w:cs="Times New Roman"/>
          <w:szCs w:val="24"/>
        </w:rPr>
        <w:noBreakHyphen/>
        <w:t>92.  In the context of s. 15(1), substantive equality is promoted by eliminating discrimination.  The central question is not whether one person receives less than another, but whether one person obtains less than another as a result of prejudice or stereotyping.  This is the essence of the wrong or injustice that s. 15(1) is intended to prevent.  As Professor Moreau puts it,</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r>
      <w:r w:rsidR="00921338">
        <w:rPr>
          <w:szCs w:val="24"/>
          <w:lang w:val="en-CA"/>
        </w:rPr>
        <w:t>[n]</w:t>
      </w:r>
      <w:r w:rsidRPr="00FA5D7E">
        <w:rPr>
          <w:szCs w:val="24"/>
          <w:lang w:val="en-CA"/>
        </w:rPr>
        <w:t>o plausible theory of equality maintains that what is objectionable about unequal treatment is the mere fact that some individuals end up with more or less than others.  Rather</w:t>
      </w:r>
      <w:r w:rsidR="00E97295">
        <w:rPr>
          <w:szCs w:val="24"/>
          <w:lang w:val="en-CA"/>
        </w:rPr>
        <w:t>,</w:t>
      </w:r>
      <w:r w:rsidRPr="00FA5D7E">
        <w:rPr>
          <w:szCs w:val="24"/>
          <w:lang w:val="en-CA"/>
        </w:rPr>
        <w:t xml:space="preserve"> such theories hold that unequal treatment is objectionable when, and to the extent that, this treatment is unfair. </w:t>
      </w:r>
    </w:p>
    <w:p w:rsidR="004862B9" w:rsidRPr="00FA5D7E" w:rsidRDefault="004862B9" w:rsidP="004862B9">
      <w:pPr>
        <w:pStyle w:val="Citation-AltC"/>
        <w:ind w:hanging="1166"/>
        <w:rPr>
          <w:szCs w:val="24"/>
          <w:lang w:val="en-CA"/>
        </w:rPr>
      </w:pPr>
      <w:r w:rsidRPr="00FA5D7E">
        <w:rPr>
          <w:szCs w:val="24"/>
          <w:lang w:val="en-CA"/>
        </w:rPr>
        <w:t xml:space="preserve">(“The Wrongs of Unequal Treatment” (2004), 54 </w:t>
      </w:r>
      <w:r w:rsidRPr="00FA5D7E">
        <w:rPr>
          <w:i/>
          <w:szCs w:val="24"/>
          <w:lang w:val="en-CA"/>
        </w:rPr>
        <w:t>U.T.L.J.</w:t>
      </w:r>
      <w:r w:rsidRPr="00FA5D7E">
        <w:rPr>
          <w:szCs w:val="24"/>
          <w:lang w:val="en-CA"/>
        </w:rPr>
        <w:t xml:space="preserve"> 291, at p. 293)</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Thus, substantive equality is not denied solely because a disadvantage is imposed.  Rather, it is denied by the imposition of a disadvantage that is unfair or objectionable, which is most often the case if the disadvantage perpetuates prejudice or stereotypes:</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We think of discrimination not just as any sort of differential treatment but as a particular kind of differential treatment: to be discriminated against is not just to be denied something that others have but to be denied it in a way that is objectionable or unfair.</w:t>
      </w:r>
    </w:p>
    <w:p w:rsidR="004862B9" w:rsidRPr="00FA5D7E" w:rsidRDefault="004862B9" w:rsidP="009F3E8C">
      <w:pPr>
        <w:pStyle w:val="Citation-AltC"/>
        <w:ind w:left="0"/>
        <w:rPr>
          <w:szCs w:val="24"/>
          <w:lang w:val="en-CA"/>
        </w:rPr>
      </w:pPr>
      <w:r w:rsidRPr="00FA5D7E">
        <w:rPr>
          <w:szCs w:val="24"/>
          <w:lang w:val="en-CA"/>
        </w:rPr>
        <w:t xml:space="preserve">(S. Moreau, “The Promise of </w:t>
      </w:r>
      <w:r w:rsidRPr="00FA5D7E">
        <w:rPr>
          <w:i/>
          <w:szCs w:val="24"/>
          <w:lang w:val="en-CA"/>
        </w:rPr>
        <w:t>Law v. Canada</w:t>
      </w:r>
      <w:r w:rsidRPr="00FA5D7E">
        <w:rPr>
          <w:szCs w:val="24"/>
          <w:lang w:val="en-CA"/>
        </w:rPr>
        <w:t>” (2007), 57 </w:t>
      </w:r>
      <w:r w:rsidRPr="00FA5D7E">
        <w:rPr>
          <w:i/>
          <w:szCs w:val="24"/>
          <w:lang w:val="en-CA"/>
        </w:rPr>
        <w:t>U.T.L.J.</w:t>
      </w:r>
      <w:r w:rsidRPr="00FA5D7E">
        <w:rPr>
          <w:szCs w:val="24"/>
          <w:lang w:val="en-CA"/>
        </w:rPr>
        <w:t xml:space="preserve"> 415, at p. 426)</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Finally, I would like to make one more point about the principle of creation of a “disadvantage by perpetuating prejudice”.  The use of the word “perpetuating” might seem to suggest that there can be discrimination within the meaning of s. 15(1) only where the prejudice has a historical origin: see, </w:t>
      </w:r>
      <w:r w:rsidRPr="00FA5D7E">
        <w:rPr>
          <w:rFonts w:cs="Times New Roman"/>
          <w:i/>
          <w:szCs w:val="24"/>
        </w:rPr>
        <w:t>inter alia</w:t>
      </w:r>
      <w:r w:rsidRPr="00FA5D7E">
        <w:rPr>
          <w:rFonts w:cs="Times New Roman"/>
          <w:szCs w:val="24"/>
        </w:rPr>
        <w:t xml:space="preserve">, Koshan and Hamilton, at p. 51.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But this view is incorrect.  Although it can be helpful, in order to establish that an impugned law imposes a disadvantage by perpetuating prejudice, to show that certain individuals or classes of persons have historically been victims of prejudice, it is not necessary to do so.  As Iacobucci J. explained in </w:t>
      </w:r>
      <w:r w:rsidRPr="00FA5D7E">
        <w:rPr>
          <w:rFonts w:cs="Times New Roman"/>
          <w:i/>
          <w:szCs w:val="24"/>
        </w:rPr>
        <w:t>Law</w:t>
      </w:r>
      <w:r w:rsidRPr="00FA5D7E">
        <w:rPr>
          <w:rFonts w:cs="Times New Roman"/>
          <w:szCs w:val="24"/>
        </w:rPr>
        <w:t>, at paras. 65</w:t>
      </w:r>
      <w:r w:rsidRPr="00FA5D7E">
        <w:rPr>
          <w:rFonts w:cs="Times New Roman"/>
          <w:szCs w:val="24"/>
        </w:rPr>
        <w:noBreakHyphen/>
        <w:t>67, the historical contextual factors of vulnerability, past exposure to prejudice or stereotyping and pre</w:t>
      </w:r>
      <w:r w:rsidRPr="00FA5D7E">
        <w:rPr>
          <w:rFonts w:cs="Times New Roman"/>
          <w:szCs w:val="24"/>
        </w:rPr>
        <w:noBreakHyphen/>
        <w:t xml:space="preserve">existing disadvantage are useful, but if they do not apply, this does not necessarily mean that the legislative provision at issue is currently free of prejudice.  Moreover, a proper assessment of a disadvantageous law’s impact on substantive equality will in most cases require evidence of discrimination focused on the adverse effects as of the date of the claim, as opposed to the date the impugned law came into force: see, </w:t>
      </w:r>
      <w:r w:rsidRPr="00FA5D7E">
        <w:rPr>
          <w:rFonts w:cs="Times New Roman"/>
          <w:i/>
          <w:szCs w:val="24"/>
        </w:rPr>
        <w:t>inter alia</w:t>
      </w:r>
      <w:r w:rsidRPr="00FA5D7E">
        <w:rPr>
          <w:rFonts w:cs="Times New Roman"/>
          <w:szCs w:val="24"/>
        </w:rPr>
        <w:t xml:space="preserve">, Réaume, at p. 687.  As well, historical prejudices can change; some disappear, while new ones may emerge.  The concept of immutability on which my colleagues Deschamps and Abella JJ. rely in their respective reasons, on the basis in particular of </w:t>
      </w:r>
      <w:r w:rsidRPr="00FA5D7E">
        <w:rPr>
          <w:rFonts w:cs="Times New Roman"/>
          <w:i/>
          <w:szCs w:val="24"/>
        </w:rPr>
        <w:t>Corbiere</w:t>
      </w:r>
      <w:r w:rsidRPr="00FA5D7E">
        <w:rPr>
          <w:rFonts w:cs="Times New Roman"/>
          <w:szCs w:val="24"/>
        </w:rPr>
        <w:t xml:space="preserve">, is not synonymous with eternity.  Although this concept of immutability may underline the fact that certain factors of discrimination will exist for a long time, it cannot be employed without taking the extreme diversity of those factors and of societal circumstances into account.  It does not mean that the factors of discrimination can never change or disappear, especially where they are related to customs or social behaviour that could change, as in the case of the attitudes of Quebec society with respect to </w:t>
      </w:r>
      <w:r w:rsidRPr="00FA5D7E">
        <w:rPr>
          <w:rFonts w:cs="Times New Roman"/>
          <w:i/>
          <w:szCs w:val="24"/>
        </w:rPr>
        <w:t>de facto</w:t>
      </w:r>
      <w:r w:rsidRPr="00FA5D7E">
        <w:rPr>
          <w:rFonts w:cs="Times New Roman"/>
          <w:szCs w:val="24"/>
        </w:rPr>
        <w:t xml:space="preserve"> unions.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Nor does recourse to these changeable contextual factors in analyzing a specific allegation of infringement of the right to equality mean that a ground of discrimination that is accepted or rejected in a specific case cannot be relied on in another situation.  Context is critical, and it must be taken into account each time, since such factors are recognized “in the context of the place of the group in the entire social, political and legal fabric of our society”:  </w:t>
      </w:r>
      <w:r w:rsidRPr="00FA5D7E">
        <w:rPr>
          <w:rFonts w:cs="Times New Roman"/>
          <w:i/>
          <w:szCs w:val="24"/>
        </w:rPr>
        <w:t>R. v. Turpin</w:t>
      </w:r>
      <w:r w:rsidRPr="00FA5D7E">
        <w:rPr>
          <w:rFonts w:cs="Times New Roman"/>
          <w:szCs w:val="24"/>
        </w:rPr>
        <w:t xml:space="preserve">, [1989] 1 S.C.R. 1296, at p. 1332, </w:t>
      </w:r>
      <w:r w:rsidRPr="00FA5D7E">
        <w:rPr>
          <w:rFonts w:cs="Times New Roman"/>
          <w:i/>
          <w:szCs w:val="24"/>
        </w:rPr>
        <w:t>per</w:t>
      </w:r>
      <w:r w:rsidRPr="00FA5D7E">
        <w:rPr>
          <w:rFonts w:cs="Times New Roman"/>
          <w:szCs w:val="24"/>
        </w:rPr>
        <w:t xml:space="preserve"> Wilson J., referring to her reasons in </w:t>
      </w:r>
      <w:r w:rsidRPr="00FA5D7E">
        <w:rPr>
          <w:rFonts w:cs="Times New Roman"/>
          <w:i/>
          <w:szCs w:val="24"/>
        </w:rPr>
        <w:t>Andrews</w:t>
      </w:r>
      <w:r w:rsidRPr="00FA5D7E">
        <w:rPr>
          <w:rFonts w:cs="Times New Roman"/>
          <w:szCs w:val="24"/>
        </w:rPr>
        <w:t>, at p. 152.  The contextual nature of these factors means that they can change along with their social context, the one that has given rise to them.</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cs="Times New Roman"/>
          <w:i/>
          <w:szCs w:val="24"/>
        </w:rPr>
        <w:t>Corbiere</w:t>
      </w:r>
      <w:r w:rsidRPr="00FA5D7E">
        <w:rPr>
          <w:rFonts w:cs="Times New Roman"/>
          <w:szCs w:val="24"/>
        </w:rPr>
        <w:t xml:space="preserve">, the majority of the Court stressed the meaning and limits of the concept of immutability of the markers of discrimination.  The presence of such a marker is not necessarily proof of discrimination.  According to McLachlin and Bastarache JJ., the decision to categorize a characteristic as an analogous ground instead tells the court that it should consider the situation in light of s. 15.  In this regard, McLachlin and Bastarache JJ. made the following observation in </w:t>
      </w:r>
      <w:r w:rsidRPr="00FA5D7E">
        <w:rPr>
          <w:rFonts w:cs="Times New Roman"/>
          <w:i/>
          <w:szCs w:val="24"/>
        </w:rPr>
        <w:t>Corbiere</w:t>
      </w:r>
      <w:r w:rsidRPr="00FA5D7E">
        <w:rPr>
          <w:rFonts w:cs="Times New Roman"/>
          <w:szCs w:val="24"/>
        </w:rPr>
        <w:t>:  “To say that a ground of distinction is an analogous ground is merely to identify a type of decision making that is suspect because it often leads to discrimination and denial of substantive equality.  Like distinctions made on enumerated grounds, distinctions made on analogous grounds ma</w:t>
      </w:r>
      <w:r w:rsidR="00E97295">
        <w:rPr>
          <w:rFonts w:cs="Times New Roman"/>
          <w:szCs w:val="24"/>
        </w:rPr>
        <w:t>y well not be discriminatory” (</w:t>
      </w:r>
      <w:r w:rsidRPr="00FA5D7E">
        <w:rPr>
          <w:rFonts w:cs="Times New Roman"/>
          <w:szCs w:val="24"/>
        </w:rPr>
        <w:t>para. 8</w:t>
      </w:r>
      <w:r w:rsidR="00E97295">
        <w:rPr>
          <w:rFonts w:cs="Times New Roman"/>
          <w:szCs w:val="24"/>
        </w:rPr>
        <w:t>)</w:t>
      </w:r>
      <w:r w:rsidRPr="00FA5D7E">
        <w:rPr>
          <w:rFonts w:cs="Times New Roman"/>
          <w:szCs w:val="24"/>
        </w:rPr>
        <w:t>.</w:t>
      </w:r>
    </w:p>
    <w:p w:rsidR="004862B9" w:rsidRPr="00FA5D7E" w:rsidRDefault="004862B9" w:rsidP="00025C92">
      <w:pPr>
        <w:pStyle w:val="TitleTitre-AltT"/>
        <w:tabs>
          <w:tab w:val="clear" w:pos="360"/>
          <w:tab w:val="left" w:pos="1170"/>
        </w:tabs>
        <w:ind w:left="1710" w:hanging="1620"/>
        <w:rPr>
          <w:rFonts w:cs="Times New Roman"/>
          <w:szCs w:val="24"/>
          <w:lang w:val="en-CA"/>
        </w:rPr>
      </w:pPr>
      <w:r w:rsidRPr="00FA5D7E">
        <w:rPr>
          <w:rFonts w:cs="Times New Roman"/>
          <w:szCs w:val="24"/>
          <w:lang w:val="en-CA"/>
        </w:rPr>
        <w:tab/>
        <w:t>(3)</w:t>
      </w:r>
      <w:r w:rsidRPr="00FA5D7E">
        <w:rPr>
          <w:rFonts w:cs="Times New Roman"/>
          <w:szCs w:val="24"/>
          <w:lang w:val="en-CA"/>
        </w:rPr>
        <w:tab/>
      </w:r>
      <w:r w:rsidRPr="00FA5D7E">
        <w:rPr>
          <w:rFonts w:cs="Times New Roman"/>
          <w:szCs w:val="24"/>
          <w:u w:val="single"/>
          <w:lang w:val="en-CA"/>
        </w:rPr>
        <w:t>Synthesis of the Analytical Framework</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light of these reasons, and subject to my comments to the effect that prejudice or stereotyping is a crucial, although not the only, factor to be considered, a court analyzing the validity of a claim that s. 15(1) has been infringed must address the following questions:  </w:t>
      </w:r>
      <w:r w:rsidRPr="00FA5D7E">
        <w:rPr>
          <w:rFonts w:cs="Times New Roman"/>
          <w:iCs/>
          <w:szCs w:val="24"/>
        </w:rPr>
        <w:t xml:space="preserve">(1) Does the law create a distinction based on an enumerated or analogous ground?  </w:t>
      </w:r>
      <w:r w:rsidRPr="00FA5D7E">
        <w:rPr>
          <w:rFonts w:cs="Times New Roman"/>
          <w:szCs w:val="24"/>
        </w:rPr>
        <w:t>(2) Does the distinction create a disadvantage by perpetuating prejudice or stereotyping?</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The claimant must therefore prove on a balance of probabilities (a) that the law creates an adverse distinction based on an enumerated or analogous ground and (b) that the disadvantage is discriminatory because (i) it perpetuates prejudice or (ii) it stereotypes.  Because of their fundamental importance to the application of s. 15, I will now review the key concepts of “disadvantage”, “prejudice” and “stereotyping” in order to more precisely set out the legal framework applicable to their use.</w:t>
      </w:r>
    </w:p>
    <w:p w:rsidR="004862B9" w:rsidRPr="00FA5D7E" w:rsidRDefault="004862B9" w:rsidP="00025C92">
      <w:pPr>
        <w:pStyle w:val="TitleTitre-AltT"/>
        <w:tabs>
          <w:tab w:val="clear" w:pos="360"/>
          <w:tab w:val="left" w:pos="1170"/>
        </w:tabs>
        <w:ind w:left="1710" w:hanging="1710"/>
        <w:rPr>
          <w:rFonts w:cs="Times New Roman"/>
          <w:i/>
          <w:szCs w:val="24"/>
          <w:lang w:val="en-CA"/>
        </w:rPr>
      </w:pPr>
      <w:r w:rsidRPr="00FA5D7E">
        <w:rPr>
          <w:rFonts w:cs="Times New Roman"/>
          <w:i/>
          <w:szCs w:val="24"/>
          <w:lang w:val="en-CA"/>
        </w:rPr>
        <w:tab/>
      </w:r>
      <w:r w:rsidRPr="00FA5D7E">
        <w:rPr>
          <w:rFonts w:cs="Times New Roman"/>
          <w:szCs w:val="24"/>
          <w:lang w:val="en-CA"/>
        </w:rPr>
        <w:t>(a)</w:t>
      </w:r>
      <w:r w:rsidRPr="00FA5D7E">
        <w:rPr>
          <w:rFonts w:cs="Times New Roman"/>
          <w:i/>
          <w:szCs w:val="24"/>
          <w:lang w:val="en-CA"/>
        </w:rPr>
        <w:tab/>
        <w:t>Adverse Distinction Based on an Enumerated or Analogous Ground</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Right away in </w:t>
      </w:r>
      <w:r w:rsidRPr="00FA5D7E">
        <w:rPr>
          <w:rFonts w:cs="Times New Roman"/>
          <w:i/>
          <w:szCs w:val="24"/>
        </w:rPr>
        <w:t>Andrews</w:t>
      </w:r>
      <w:r w:rsidRPr="00FA5D7E">
        <w:rPr>
          <w:rFonts w:cs="Times New Roman"/>
          <w:szCs w:val="24"/>
        </w:rPr>
        <w:t>, McIntyre J. adopted a broad definition of an adverse distinction based on an enumerated or analogous ground that could be characterized as discriminatory.  According to him, it was</w:t>
      </w:r>
    </w:p>
    <w:p w:rsidR="004862B9" w:rsidRPr="00FA5D7E" w:rsidRDefault="004862B9" w:rsidP="004862B9">
      <w:pPr>
        <w:pStyle w:val="Citation-AltC"/>
        <w:ind w:hanging="1166"/>
        <w:contextualSpacing w:val="0"/>
        <w:rPr>
          <w:szCs w:val="24"/>
          <w:lang w:val="en-CA"/>
        </w:rPr>
      </w:pPr>
      <w:r w:rsidRPr="00FA5D7E">
        <w:rPr>
          <w:szCs w:val="24"/>
          <w:lang w:val="en-CA"/>
        </w:rPr>
        <w:tab/>
        <w:t>a distinction, whether intentional or not but based on grounds relating to personal characteristics of the individual or group, which has the effect of imposing burdens, obligations, or disadvantages on such individual or group not imposed upon others, or which withholds or limits access to opportunities, benefits, and advantages available to other members of society.  [p. 174]</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cs="Times New Roman"/>
          <w:i/>
          <w:szCs w:val="24"/>
        </w:rPr>
        <w:t>Law</w:t>
      </w:r>
      <w:r w:rsidRPr="00FA5D7E">
        <w:rPr>
          <w:rFonts w:cs="Times New Roman"/>
          <w:szCs w:val="24"/>
        </w:rPr>
        <w:t xml:space="preserve">, Iacobucci J. reiterated this definition and specified that limiting access to advantages may create a disadvantage where the law fails “to take into account the claimant’s already disadvantaged position within Canadian society resulting in substantively differential treatment between the claimant and others on the basis of one or more personal characteristics”:  para. 39.  For example, a failure, as in </w:t>
      </w:r>
      <w:r w:rsidRPr="00FA5D7E">
        <w:rPr>
          <w:rFonts w:cs="Times New Roman"/>
          <w:i/>
          <w:szCs w:val="24"/>
        </w:rPr>
        <w:t>Eldridge</w:t>
      </w:r>
      <w:r w:rsidRPr="00FA5D7E">
        <w:rPr>
          <w:rFonts w:cs="Times New Roman"/>
          <w:szCs w:val="24"/>
        </w:rPr>
        <w:t xml:space="preserve">, to take account of the fact that some deaf persons cannot receive government health services of adequate quality without the aid of an interpreter creates an adverse distinction based on an enumerated ground, namely physical disability.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Thus, the claimant can show that the impugned law creates a distinction directly by imposing limitations or disadvantages on the basis of an enumerated or analogous ground: see, </w:t>
      </w:r>
      <w:r w:rsidRPr="00FA5D7E">
        <w:rPr>
          <w:rFonts w:cs="Times New Roman"/>
          <w:i/>
          <w:szCs w:val="24"/>
        </w:rPr>
        <w:t>inter alia</w:t>
      </w:r>
      <w:r w:rsidRPr="00FA5D7E">
        <w:rPr>
          <w:rFonts w:cs="Times New Roman"/>
          <w:szCs w:val="24"/>
        </w:rPr>
        <w:t xml:space="preserve">, </w:t>
      </w:r>
      <w:r w:rsidRPr="00FA5D7E">
        <w:rPr>
          <w:rFonts w:cs="Times New Roman"/>
          <w:i/>
          <w:szCs w:val="24"/>
        </w:rPr>
        <w:t>Miron</w:t>
      </w:r>
      <w:r w:rsidRPr="00FA5D7E">
        <w:rPr>
          <w:rFonts w:cs="Times New Roman"/>
          <w:szCs w:val="24"/>
        </w:rPr>
        <w:t xml:space="preserve">, at para. 131; </w:t>
      </w:r>
      <w:r w:rsidRPr="00FA5D7E">
        <w:rPr>
          <w:rFonts w:cs="Times New Roman"/>
          <w:i/>
          <w:szCs w:val="24"/>
        </w:rPr>
        <w:t>Lavoie v. Canada</w:t>
      </w:r>
      <w:r w:rsidRPr="00FA5D7E">
        <w:rPr>
          <w:rFonts w:cs="Times New Roman"/>
          <w:szCs w:val="24"/>
        </w:rPr>
        <w:t>, 2002 SCC 23, [2002] 1 S.C.R. 769, at para. 52</w:t>
      </w:r>
      <w:r w:rsidR="00332AAA">
        <w:rPr>
          <w:rFonts w:cs="Times New Roman"/>
          <w:szCs w:val="24"/>
        </w:rPr>
        <w:t>;</w:t>
      </w:r>
      <w:r w:rsidRPr="00FA5D7E">
        <w:rPr>
          <w:rFonts w:cs="Times New Roman"/>
          <w:szCs w:val="24"/>
        </w:rPr>
        <w:t xml:space="preserve"> </w:t>
      </w:r>
      <w:r w:rsidRPr="00FA5D7E">
        <w:rPr>
          <w:rFonts w:cs="Times New Roman"/>
          <w:i/>
          <w:szCs w:val="24"/>
        </w:rPr>
        <w:t>Trociuk v. British Columbia (Attorney General)</w:t>
      </w:r>
      <w:r w:rsidRPr="00FA5D7E">
        <w:rPr>
          <w:rFonts w:cs="Times New Roman"/>
          <w:szCs w:val="24"/>
        </w:rPr>
        <w:t>, 2003 SCC 34, [2003] 1 S.C.R. 835, at para. 10.  The same is true where the law restricts access to a fundamental social institution (</w:t>
      </w:r>
      <w:r w:rsidRPr="00FA5D7E">
        <w:rPr>
          <w:rFonts w:cs="Times New Roman"/>
          <w:i/>
          <w:szCs w:val="24"/>
        </w:rPr>
        <w:t>Law</w:t>
      </w:r>
      <w:r w:rsidRPr="00FA5D7E">
        <w:rPr>
          <w:rFonts w:cs="Times New Roman"/>
          <w:szCs w:val="24"/>
        </w:rPr>
        <w:t>, at para. 74) or imposes obligations that are not imposed on others (</w:t>
      </w:r>
      <w:r w:rsidRPr="00FA5D7E">
        <w:rPr>
          <w:rFonts w:cs="Times New Roman"/>
          <w:i/>
          <w:szCs w:val="24"/>
        </w:rPr>
        <w:t>Withler</w:t>
      </w:r>
      <w:r w:rsidRPr="00FA5D7E">
        <w:rPr>
          <w:rFonts w:cs="Times New Roman"/>
          <w:szCs w:val="24"/>
        </w:rPr>
        <w:t xml:space="preserve">, at para. 62).  A claimant can also show that a law creates a distinction indirectly where, “although the law purports to treat everyone the same, it has a disproportionately negative impact on a group or individual that can be identified by factors relating to enumerated or analogous grounds”: </w:t>
      </w:r>
      <w:r w:rsidRPr="00FA5D7E">
        <w:rPr>
          <w:rFonts w:cs="Times New Roman"/>
          <w:i/>
          <w:szCs w:val="24"/>
        </w:rPr>
        <w:t>Withler</w:t>
      </w:r>
      <w:r w:rsidRPr="00FA5D7E">
        <w:rPr>
          <w:rFonts w:cs="Times New Roman"/>
          <w:szCs w:val="24"/>
        </w:rPr>
        <w:t>, at para. 64.  At this stage, comparisons, if any, can help to demonstrate the existence of an adverse distinction.</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Once such a distinction is established, the court must determine whether it is based on an enumerated or analogous ground.  These grounds stand as “constant markers of suspect decision making or potential discrimination”:  </w:t>
      </w:r>
      <w:r w:rsidRPr="00FA5D7E">
        <w:rPr>
          <w:rFonts w:cs="Times New Roman"/>
          <w:i/>
          <w:szCs w:val="24"/>
        </w:rPr>
        <w:t>Corbiere</w:t>
      </w:r>
      <w:r w:rsidRPr="00FA5D7E">
        <w:rPr>
          <w:rFonts w:cs="Times New Roman"/>
          <w:szCs w:val="24"/>
        </w:rPr>
        <w:t xml:space="preserve">, at para. 8; see also </w:t>
      </w:r>
      <w:r w:rsidRPr="00FA5D7E">
        <w:rPr>
          <w:rFonts w:cs="Times New Roman"/>
          <w:i/>
          <w:szCs w:val="24"/>
        </w:rPr>
        <w:t>Lavoie</w:t>
      </w:r>
      <w:r w:rsidRPr="00FA5D7E">
        <w:rPr>
          <w:rFonts w:cs="Times New Roman"/>
          <w:szCs w:val="24"/>
        </w:rPr>
        <w:t xml:space="preserve">, at paras. 2 and 41.  As I mentioned above, although a disadvantageous law will be suspect if they are present, it will not automatically be discriminatory.  As this Court has pointed out, these grounds correspond to personal characteristics that cannot be changed or can be changed only at unacceptable cost to the claimant’s personal identity:  </w:t>
      </w:r>
      <w:r w:rsidRPr="00FA5D7E">
        <w:rPr>
          <w:rFonts w:cs="Times New Roman"/>
          <w:i/>
          <w:szCs w:val="24"/>
        </w:rPr>
        <w:t>Corbiere</w:t>
      </w:r>
      <w:r w:rsidRPr="00FA5D7E">
        <w:rPr>
          <w:rFonts w:cs="Times New Roman"/>
          <w:szCs w:val="24"/>
        </w:rPr>
        <w:t xml:space="preserve">, at para. 13; </w:t>
      </w:r>
      <w:r w:rsidRPr="00FA5D7E">
        <w:rPr>
          <w:rFonts w:cs="Times New Roman"/>
          <w:i/>
          <w:szCs w:val="24"/>
        </w:rPr>
        <w:t>Withler</w:t>
      </w:r>
      <w:r w:rsidRPr="00FA5D7E">
        <w:rPr>
          <w:rFonts w:cs="Times New Roman"/>
          <w:szCs w:val="24"/>
        </w:rPr>
        <w:t xml:space="preserve">, at para. 33.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If the court finds that the government action being challenged creates an adverse distinction based on an enumerated or analogous ground, it must then consider the context and the facts of the case to determine whether the distinction is discriminatory because it violates the right to substantive equality by perpetuating prejudice or stereotyping: </w:t>
      </w:r>
      <w:r w:rsidRPr="00FA5D7E">
        <w:rPr>
          <w:rFonts w:cs="Times New Roman"/>
          <w:i/>
          <w:szCs w:val="24"/>
        </w:rPr>
        <w:t>Withler</w:t>
      </w:r>
      <w:r w:rsidRPr="00FA5D7E">
        <w:rPr>
          <w:rFonts w:cs="Times New Roman"/>
          <w:szCs w:val="24"/>
        </w:rPr>
        <w:t xml:space="preserve">, at para. 34.  The presence of relevant contextual factors will make it easier to determine whether such violations have occurred.  I repeat that at this second stage, comparison between the claimant and other persons, although not indispensable, may bolster the understanding of the context of the discrimination claim:  </w:t>
      </w:r>
      <w:r w:rsidRPr="00FA5D7E">
        <w:rPr>
          <w:rFonts w:cs="Times New Roman"/>
          <w:i/>
          <w:szCs w:val="24"/>
        </w:rPr>
        <w:t>Withler</w:t>
      </w:r>
      <w:r w:rsidRPr="00FA5D7E">
        <w:rPr>
          <w:rFonts w:cs="Times New Roman"/>
          <w:szCs w:val="24"/>
        </w:rPr>
        <w:t>, para. 65.</w:t>
      </w:r>
    </w:p>
    <w:p w:rsidR="004862B9" w:rsidRPr="00FA5D7E" w:rsidRDefault="004862B9" w:rsidP="00025C92">
      <w:pPr>
        <w:pStyle w:val="TitleTitre-AltT"/>
        <w:tabs>
          <w:tab w:val="clear" w:pos="360"/>
          <w:tab w:val="left" w:pos="1170"/>
        </w:tabs>
        <w:ind w:left="1710" w:hanging="1710"/>
        <w:rPr>
          <w:rFonts w:cs="Times New Roman"/>
          <w:i/>
          <w:szCs w:val="24"/>
          <w:lang w:val="en-CA"/>
        </w:rPr>
      </w:pPr>
      <w:r w:rsidRPr="00FA5D7E">
        <w:rPr>
          <w:rFonts w:cs="Times New Roman"/>
          <w:i/>
          <w:szCs w:val="24"/>
          <w:lang w:val="en-CA"/>
        </w:rPr>
        <w:tab/>
      </w:r>
      <w:r w:rsidRPr="00FA5D7E">
        <w:rPr>
          <w:rFonts w:cs="Times New Roman"/>
          <w:szCs w:val="24"/>
          <w:lang w:val="en-CA"/>
        </w:rPr>
        <w:t>(b)</w:t>
      </w:r>
      <w:r w:rsidRPr="00FA5D7E">
        <w:rPr>
          <w:rFonts w:cs="Times New Roman"/>
          <w:i/>
          <w:szCs w:val="24"/>
          <w:lang w:val="en-CA"/>
        </w:rPr>
        <w:tab/>
        <w:t>Perpetuating Prejudice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first way that substantive inequality — discrimination — may be established is by showing that the impugned disadvantageous law, in purpose or effect, perpetuates prejudice against members of a group on the basis of personal characteristics covered by s. 15(1):  </w:t>
      </w:r>
      <w:r w:rsidRPr="00FA5D7E">
        <w:rPr>
          <w:rFonts w:cs="Times New Roman"/>
          <w:i/>
          <w:szCs w:val="24"/>
        </w:rPr>
        <w:t>Withler</w:t>
      </w:r>
      <w:r w:rsidRPr="00FA5D7E">
        <w:rPr>
          <w:rFonts w:cs="Times New Roman"/>
          <w:szCs w:val="24"/>
        </w:rPr>
        <w:t xml:space="preserve">, at para. 35.  Such a law will be found to be discriminatory if it “has the effect of perpetuating or promoting the view that the individual is less capable, or less worthy of recognition or value as a human being or as a member of Canadian society”: </w:t>
      </w:r>
      <w:r w:rsidRPr="00FA5D7E">
        <w:rPr>
          <w:rFonts w:cs="Times New Roman"/>
          <w:i/>
          <w:szCs w:val="24"/>
        </w:rPr>
        <w:t>Law</w:t>
      </w:r>
      <w:r w:rsidRPr="00FA5D7E">
        <w:rPr>
          <w:rFonts w:cs="Times New Roman"/>
          <w:szCs w:val="24"/>
        </w:rPr>
        <w:t xml:space="preserve">, at para. 51.  In my view, this inquiry is of particular importance, as it is most likely to result in a finding of the types of discrimination to which s. 15 applies.  It provides a framework to enable courts to consider such discrimination without lapsing totally into subjectivism.  I do not rule out the theoretical possibility that there are forms of exclusion for which this analytical framework would be ill-suited.  In practice, however, I feel that it would be hard to identify them unless all that was required for s. 15 to apply was a finding of disadvantages related to prohibited grounds and unless the inquiry into discrimination </w:t>
      </w:r>
      <w:r w:rsidRPr="00FA5D7E">
        <w:rPr>
          <w:rFonts w:cs="Times New Roman"/>
          <w:i/>
          <w:szCs w:val="24"/>
        </w:rPr>
        <w:t>per se</w:t>
      </w:r>
      <w:r w:rsidRPr="00FA5D7E">
        <w:rPr>
          <w:rFonts w:cs="Times New Roman"/>
          <w:szCs w:val="24"/>
        </w:rPr>
        <w:t xml:space="preserve"> was dispensed with.  This is another possible conception of the right to equality guaranteed by s. 15, but it is not the one this Court has adopted since </w:t>
      </w:r>
      <w:r w:rsidRPr="00FA5D7E">
        <w:rPr>
          <w:rFonts w:cs="Times New Roman"/>
          <w:i/>
          <w:szCs w:val="24"/>
        </w:rPr>
        <w:t>Andrews</w:t>
      </w:r>
      <w:r w:rsidRPr="00FA5D7E">
        <w:rPr>
          <w:rFonts w:cs="Times New Roman"/>
          <w:szCs w:val="24"/>
        </w:rPr>
        <w: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An adverse distinction therefore discriminates by perpetuating prejudice if it denotes an attitude or view concerning a person that is at first glance negative and that is based on one or more of the personal characteristics enumerated in s. 15(1) or on characteristics analogous to them.  An adverse distinction can also be inconsistent with s. 15, even if there is no discriminatory intent whatsoever, if it has a discriminatory effect.  Since equality is an expression of the values of a society in which all are secure in the knowledge that they are recognized at law as human beings equally entitled to respect, the perpetuation of such a negative view constitutes a denial of substantive equality.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Thus, if the government either directly or indirectly disadvantages certain persons who share one of these personal characteristics that are immutable, or changeable only at unacceptable cost, it may be that a negative view is thereby being expressed either consciously or unconsciously.  The government can treat individuals or groups differently, however.  For example, it is accepted that it can confer advantages or impose disadvantages based on individual merit or capacity.  Under s. 15(2), it can also implement specific programs to help disadvantaged groups.  But the government is prohibited from showing certain individuals greater respect and consideration simply because they share an enumerated or analogous personal characteristic.</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Denise G. Réaume has described more precisely the meaning of the concept of prejudice and the nature of the harm that results from the expression or perpetuation of prejudice:</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 xml:space="preserve">A legislative distinction based on prejudice denies a class of persons a benefit out of </w:t>
      </w:r>
      <w:r w:rsidRPr="00FA5D7E">
        <w:rPr>
          <w:i/>
          <w:szCs w:val="24"/>
          <w:lang w:val="en-CA"/>
        </w:rPr>
        <w:t>animus</w:t>
      </w:r>
      <w:r w:rsidRPr="00FA5D7E">
        <w:rPr>
          <w:szCs w:val="24"/>
          <w:lang w:val="en-CA"/>
        </w:rPr>
        <w:t xml:space="preserve"> or contempt.  It directly connotes a belief in their inferiority, a denial of equal moral status.  Legislated prejudice denies a benefit for the sake of causing harm to those denied.  It thus treats members of a group as </w:t>
      </w:r>
      <w:r w:rsidRPr="00FA5D7E">
        <w:rPr>
          <w:i/>
          <w:szCs w:val="24"/>
          <w:lang w:val="en-CA"/>
        </w:rPr>
        <w:t>loci</w:t>
      </w:r>
      <w:r w:rsidRPr="00FA5D7E">
        <w:rPr>
          <w:szCs w:val="24"/>
          <w:lang w:val="en-CA"/>
        </w:rPr>
        <w:t xml:space="preserve"> of intrinsic negative value, rather than intrinsic moral worth.  Such treatment not only deprives them of the concrete benefit at issue, but also, through doing so, treats them as unworthy of basic human respect. . . .</w:t>
      </w:r>
    </w:p>
    <w:p w:rsidR="004862B9" w:rsidRPr="00FA5D7E" w:rsidRDefault="00025C92" w:rsidP="00025C92">
      <w:pPr>
        <w:pStyle w:val="Citation-AltC"/>
        <w:tabs>
          <w:tab w:val="left" w:pos="1530"/>
        </w:tabs>
        <w:ind w:hanging="1166"/>
        <w:contextualSpacing w:val="0"/>
        <w:rPr>
          <w:szCs w:val="24"/>
          <w:lang w:val="en-CA"/>
        </w:rPr>
      </w:pPr>
      <w:r>
        <w:rPr>
          <w:szCs w:val="24"/>
          <w:lang w:val="en-CA"/>
        </w:rPr>
        <w:tab/>
      </w:r>
      <w:r>
        <w:rPr>
          <w:szCs w:val="24"/>
          <w:lang w:val="en-CA"/>
        </w:rPr>
        <w:tab/>
      </w:r>
      <w:r w:rsidR="004862B9" w:rsidRPr="00FA5D7E">
        <w:rPr>
          <w:szCs w:val="24"/>
          <w:lang w:val="en-CA"/>
        </w:rPr>
        <w:t xml:space="preserve">Prejudice works through the attribution of negative worth to personal characteristics that are important aspects of identity; it thus constitutes an assault on the sense of self of its victims.  Personal identity has both an individual and a social dimension.  The kinds of characteristics that people regard as important to their sense of self tend to be, at the same time, characteristics by which they define themselves as individuals and through which they identify as members of a group.  This group affiliation is as important to </w:t>
      </w:r>
      <w:bookmarkStart w:id="6" w:name="PAGE_680_8180"/>
      <w:bookmarkEnd w:id="6"/>
      <w:r w:rsidR="004862B9" w:rsidRPr="00FA5D7E">
        <w:rPr>
          <w:szCs w:val="24"/>
          <w:lang w:val="en-CA"/>
        </w:rPr>
        <w:t xml:space="preserve">human identity as any purely individual understanding of the self.  We develop a sense of self only through our interactions with others, and our most intimate and formative interactions are frequently with people who share a cultural or ethnic identity that distinguishes them from other such clusters of people in society.  And we know from our social and political history that it has tended to be precisely this aspect of identity that has often been targeted for contempt — </w:t>
      </w:r>
      <w:r w:rsidR="004862B9" w:rsidRPr="00FA5D7E">
        <w:rPr>
          <w:i/>
          <w:szCs w:val="24"/>
          <w:lang w:val="en-CA"/>
        </w:rPr>
        <w:t>individuals</w:t>
      </w:r>
      <w:r w:rsidR="004862B9" w:rsidRPr="00FA5D7E">
        <w:rPr>
          <w:szCs w:val="24"/>
          <w:lang w:val="en-CA"/>
        </w:rPr>
        <w:t xml:space="preserve"> have been denied respect through use of a characteristic identifying them as part of a </w:t>
      </w:r>
      <w:r w:rsidR="004862B9" w:rsidRPr="00FA5D7E">
        <w:rPr>
          <w:i/>
          <w:szCs w:val="24"/>
          <w:lang w:val="en-CA"/>
        </w:rPr>
        <w:t>group</w:t>
      </w:r>
      <w:r w:rsidR="004862B9" w:rsidRPr="00FA5D7E">
        <w:rPr>
          <w:szCs w:val="24"/>
          <w:lang w:val="en-CA"/>
        </w:rPr>
        <w:t xml:space="preserve"> that is devalued.  [Emphasis in original; pp. 679</w:t>
      </w:r>
      <w:r w:rsidR="004862B9" w:rsidRPr="00FA5D7E">
        <w:rPr>
          <w:szCs w:val="24"/>
          <w:lang w:val="en-CA"/>
        </w:rPr>
        <w:noBreakHyphen/>
        <w:t>80.]</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As I mentioned above, the devaluing of individuals need not be intentional to be considered an infringement of s. 15(1).  Although an intention that reflects prejudice on the part of the government and its officials can sometimes be identified, such an intention does not exist in every situation involving discrimination — far from it.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For instance, a government might make laws that unintentionally convey a negative social image of certain members of society.  This situation could arise if the government favours certain individuals at the expense of others because the others share an enumerated or analogous characteristic.  Such laws would express or perpetuate prejudice against certain individuals by establishing a hierarchy of worth based on prohibited grounds of discrimination, such as sex or sexual orientation.  The identification of such prejudice will require a contextual inquiry, which might take account, among other things, of the disadvantages suffered by groups defined by a common personal characteristic.</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Moreover, rules that are seemingly neutral (because they do not draw obvious distinctions) may also treat certain individuals like second</w:t>
      </w:r>
      <w:r w:rsidRPr="00FA5D7E">
        <w:rPr>
          <w:rFonts w:cs="Times New Roman"/>
          <w:szCs w:val="24"/>
        </w:rPr>
        <w:noBreakHyphen/>
        <w:t>class citizens whose aspirations are not equally deserving</w:t>
      </w:r>
      <w:r w:rsidR="00E97295">
        <w:rPr>
          <w:rFonts w:cs="Times New Roman"/>
          <w:szCs w:val="24"/>
        </w:rPr>
        <w:t xml:space="preserve"> of consideration.  As</w:t>
      </w:r>
      <w:r w:rsidRPr="00FA5D7E">
        <w:rPr>
          <w:rFonts w:cs="Times New Roman"/>
          <w:szCs w:val="24"/>
        </w:rPr>
        <w:t xml:space="preserve"> Réaume writes, “[p]ublic institutions and programs built, even unwittingly, in the image of a dominant group convey the message that others are not equally entitled to participate in society and its enterprises, and are not equally m</w:t>
      </w:r>
      <w:r w:rsidR="00E97295">
        <w:rPr>
          <w:rFonts w:cs="Times New Roman"/>
          <w:szCs w:val="24"/>
        </w:rPr>
        <w:t>embers of its institutions”:</w:t>
      </w:r>
      <w:r w:rsidRPr="00FA5D7E">
        <w:rPr>
          <w:rFonts w:cs="Times New Roman"/>
          <w:szCs w:val="24"/>
        </w:rPr>
        <w:t xml:space="preserve"> p. 686.  In such a case, a disadvantage resulting from exclusion constitutes an expression and perpetuation of prejudice against certain persons.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For example, in </w:t>
      </w:r>
      <w:r w:rsidRPr="00FA5D7E">
        <w:rPr>
          <w:rFonts w:cs="Times New Roman"/>
          <w:i/>
          <w:szCs w:val="24"/>
        </w:rPr>
        <w:t>Eldridge</w:t>
      </w:r>
      <w:r w:rsidRPr="00FA5D7E">
        <w:rPr>
          <w:rFonts w:cs="Times New Roman"/>
          <w:szCs w:val="24"/>
        </w:rPr>
        <w:t xml:space="preserve">, this Court found that the lack of interpretation services for deaf persons in the public health care system meant that such persons were treated as less worthy even though the government had not intended to devalue them.  The disadvantage in that case was not based on stereotyping.  Rather, it conveyed a devalued image of deaf persons by failing to recognize them as human beings who deserved to participate fully in Canadian society.  The government was therefore imposing a disadvantage on them that constituted an expression of prejudice.  The following passage from </w:t>
      </w:r>
      <w:r w:rsidRPr="00FA5D7E">
        <w:rPr>
          <w:rFonts w:cs="Times New Roman"/>
          <w:i/>
          <w:szCs w:val="24"/>
        </w:rPr>
        <w:t>Eldridge</w:t>
      </w:r>
      <w:r w:rsidRPr="00FA5D7E">
        <w:rPr>
          <w:rFonts w:cs="Times New Roman"/>
          <w:szCs w:val="24"/>
        </w:rPr>
        <w:t xml:space="preserve"> illustrates how a law that does not stereotype can nonetheless be discriminatory if it conveys prejudice by denying certain individuals full participation in a fundamental aspect of life in society because of a disability:</w:t>
      </w:r>
    </w:p>
    <w:p w:rsidR="004862B9" w:rsidRPr="00FA5D7E" w:rsidRDefault="004862B9" w:rsidP="00025C92">
      <w:pPr>
        <w:pStyle w:val="Citation-AltC"/>
        <w:tabs>
          <w:tab w:val="left" w:pos="1620"/>
        </w:tabs>
        <w:spacing w:after="240"/>
        <w:ind w:hanging="1166"/>
        <w:contextualSpacing w:val="0"/>
        <w:rPr>
          <w:szCs w:val="24"/>
          <w:lang w:val="en-CA"/>
        </w:rPr>
      </w:pPr>
      <w:r w:rsidRPr="00FA5D7E">
        <w:rPr>
          <w:szCs w:val="24"/>
          <w:lang w:val="en-CA"/>
        </w:rPr>
        <w:tab/>
      </w:r>
      <w:r w:rsidRPr="00FA5D7E">
        <w:rPr>
          <w:szCs w:val="24"/>
          <w:lang w:val="en-CA"/>
        </w:rPr>
        <w:tab/>
        <w:t>The principal object of certain of the prohibited grounds is the elimination of discrimination by the attribution of untrue characteristics based on stereotypical attitudes relating to immutable conditions such as race or sex.  In the case of disability, this is one of the objectives.  The other equally important objective seeks to take into account the true characteristics of this group which act as headwinds to the enjoyment of society’s benefits and to accommodate them.  Exclusion from the mainstream of society results from the construction of a society based solely on “mainstream” attributes to which disabled persons will never be able to gain access.  Whether it is the impossibility of success at a written test for a blind person, or the need for ramp access to a library, the discrimination does not lie in the attribution of untrue characteristics to the disabled individual.  The blind person cannot see and the person in a wheelchair needs a ramp.  Rather, it is the failure to make reasonable accommodation, to fine</w:t>
      </w:r>
      <w:r w:rsidRPr="00FA5D7E">
        <w:rPr>
          <w:szCs w:val="24"/>
          <w:lang w:val="en-CA"/>
        </w:rPr>
        <w:noBreakHyphen/>
        <w:t>tune society so that its structures and assumptions do not result in the relegation and banishment of disabled persons from participation, which results in discrimination against them.  The discrimination inquiry which uses “the attribution of stereotypical characteristics” reasoning as commonly understood is simply inappropriate here.  It may be seen rather as a case of reverse stereotyping which, by not allowing for the condition of a disabled individual, ignores his or her disability and forces the individual to sink or swim within the mainstream environment.  It is recognition of the actual characteristics, and reasonable accommodation of these characteristics which is the central purpose of s. 15(1) in relation to disability.  [para. 65]</w:t>
      </w:r>
    </w:p>
    <w:p w:rsidR="004862B9" w:rsidRPr="00FA5D7E" w:rsidRDefault="004862B9" w:rsidP="00E97295">
      <w:pPr>
        <w:pStyle w:val="Citation-AltC"/>
        <w:ind w:left="0"/>
        <w:contextualSpacing w:val="0"/>
        <w:rPr>
          <w:szCs w:val="24"/>
          <w:lang w:val="en-CA"/>
        </w:rPr>
      </w:pPr>
      <w:r w:rsidRPr="00FA5D7E">
        <w:rPr>
          <w:szCs w:val="24"/>
          <w:lang w:val="en-CA"/>
        </w:rPr>
        <w:t xml:space="preserve">(Quoting </w:t>
      </w:r>
      <w:r w:rsidRPr="00FA5D7E">
        <w:rPr>
          <w:i/>
          <w:szCs w:val="24"/>
          <w:lang w:val="en-CA"/>
        </w:rPr>
        <w:t>Eaton v. Brant County Board of Education</w:t>
      </w:r>
      <w:r w:rsidR="00E97295">
        <w:rPr>
          <w:szCs w:val="24"/>
          <w:lang w:val="en-CA"/>
        </w:rPr>
        <w:t xml:space="preserve">, [1997] 1 S.C.R. 241, at </w:t>
      </w:r>
      <w:r w:rsidRPr="00FA5D7E">
        <w:rPr>
          <w:szCs w:val="24"/>
          <w:lang w:val="en-CA"/>
        </w:rPr>
        <w:t>para. 67</w:t>
      </w:r>
      <w:r w:rsidR="000D6CBA">
        <w:rPr>
          <w:szCs w:val="24"/>
          <w:lang w:val="en-CA"/>
        </w:rPr>
        <w:t>.</w:t>
      </w:r>
      <w:r w:rsidRPr="00FA5D7E">
        <w:rPr>
          <w:szCs w:val="24"/>
          <w:lang w:val="en-CA"/>
        </w:rPr>
        <w:t>)</w:t>
      </w:r>
    </w:p>
    <w:p w:rsidR="004862B9" w:rsidRPr="00FA5D7E" w:rsidRDefault="00E97295" w:rsidP="004862B9">
      <w:pPr>
        <w:pStyle w:val="ParaNoNdepar-AltN"/>
        <w:tabs>
          <w:tab w:val="clear" w:pos="1166"/>
          <w:tab w:val="num" w:pos="1152"/>
        </w:tabs>
        <w:ind w:left="0"/>
        <w:rPr>
          <w:rFonts w:cs="Times New Roman"/>
          <w:szCs w:val="24"/>
        </w:rPr>
      </w:pPr>
      <w:r>
        <w:rPr>
          <w:rFonts w:cs="Times New Roman"/>
          <w:szCs w:val="24"/>
        </w:rPr>
        <w:t>As I mentioned above, a c</w:t>
      </w:r>
      <w:r w:rsidR="004862B9" w:rsidRPr="00FA5D7E">
        <w:rPr>
          <w:rFonts w:cs="Times New Roman"/>
          <w:szCs w:val="24"/>
        </w:rPr>
        <w:t xml:space="preserve">ourt enquiring into the expression or perpetuation of prejudice can consider, among other things, the nature or scope of the benefit or interest which the claimant feels he or she has been denied.  Does the distinction restrict access to a fundamental social institution or impede full membership in Canadian society?  If the answer is yes, this could indicate that the government action expresses, or has the effect of perpetuating, prejudice against — i.e., a lower or demeaning opinion of — certain persons.  </w:t>
      </w:r>
      <w:r w:rsidR="004862B9" w:rsidRPr="00FA5D7E">
        <w:rPr>
          <w:rFonts w:cs="Times New Roman"/>
          <w:i/>
          <w:szCs w:val="24"/>
        </w:rPr>
        <w:t>Eldridge</w:t>
      </w:r>
      <w:r w:rsidR="004862B9" w:rsidRPr="00FA5D7E">
        <w:rPr>
          <w:rFonts w:cs="Times New Roman"/>
          <w:szCs w:val="24"/>
        </w:rPr>
        <w:t xml:space="preserve"> is one example of such a situation, as I have stated.</w:t>
      </w:r>
    </w:p>
    <w:p w:rsidR="004862B9" w:rsidRPr="00FA5D7E" w:rsidRDefault="004862B9" w:rsidP="00025C92">
      <w:pPr>
        <w:pStyle w:val="TitleTitre-AltT"/>
        <w:tabs>
          <w:tab w:val="clear" w:pos="360"/>
          <w:tab w:val="left" w:pos="1170"/>
        </w:tabs>
        <w:ind w:left="1710" w:hanging="1710"/>
        <w:rPr>
          <w:rFonts w:cs="Times New Roman"/>
          <w:i/>
          <w:szCs w:val="24"/>
          <w:lang w:val="en-CA"/>
        </w:rPr>
      </w:pPr>
      <w:r w:rsidRPr="00FA5D7E">
        <w:rPr>
          <w:rFonts w:cs="Times New Roman"/>
          <w:i/>
          <w:szCs w:val="24"/>
          <w:lang w:val="en-CA"/>
        </w:rPr>
        <w:tab/>
      </w:r>
      <w:r w:rsidRPr="00FA5D7E">
        <w:rPr>
          <w:rFonts w:cs="Times New Roman"/>
          <w:szCs w:val="24"/>
          <w:lang w:val="en-CA"/>
        </w:rPr>
        <w:t>(c)</w:t>
      </w:r>
      <w:r w:rsidRPr="00FA5D7E">
        <w:rPr>
          <w:rFonts w:cs="Times New Roman"/>
          <w:i/>
          <w:szCs w:val="24"/>
          <w:lang w:val="en-CA"/>
        </w:rPr>
        <w:tab/>
        <w:t>Stereotyping</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 analytical approach I am recommending here, the second way that substantive inequality — discrimination — may be established is “by showing that the disadvantage imposed by the law is based on a stereotype that does not correspond to the actual circumstances and characteristics of the claimant or claimant group”:  </w:t>
      </w:r>
      <w:r w:rsidRPr="00FA5D7E">
        <w:rPr>
          <w:rFonts w:cs="Times New Roman"/>
          <w:i/>
          <w:szCs w:val="24"/>
        </w:rPr>
        <w:t>Withler</w:t>
      </w:r>
      <w:r w:rsidRPr="00FA5D7E">
        <w:rPr>
          <w:rFonts w:cs="Times New Roman"/>
          <w:szCs w:val="24"/>
        </w:rPr>
        <w:t xml:space="preserve">, at para. 36.  Such a law will be discriminatory because it is premised upon personal traits or circumstances that do not relate to individual needs, capacities or merits: </w:t>
      </w:r>
      <w:r w:rsidRPr="00FA5D7E">
        <w:rPr>
          <w:rFonts w:cs="Times New Roman"/>
          <w:i/>
          <w:szCs w:val="24"/>
        </w:rPr>
        <w:t>Law</w:t>
      </w:r>
      <w:r w:rsidRPr="00FA5D7E">
        <w:rPr>
          <w:rFonts w:cs="Times New Roman"/>
          <w:szCs w:val="24"/>
        </w:rPr>
        <w:t xml:space="preserve">, at para. 53.  Laws premised on an inaccurate characterization of an individual or group on grounds that are unacceptable under s. 15(1) thus become arbitrary themselves: see, </w:t>
      </w:r>
      <w:r w:rsidRPr="00FA5D7E">
        <w:rPr>
          <w:rFonts w:cs="Times New Roman"/>
          <w:i/>
          <w:szCs w:val="24"/>
        </w:rPr>
        <w:t>inter alia</w:t>
      </w:r>
      <w:r w:rsidRPr="00FA5D7E">
        <w:rPr>
          <w:rFonts w:cs="Times New Roman"/>
          <w:szCs w:val="24"/>
        </w:rPr>
        <w:t>, Moreau, “The Wrongs of Unequal Treatment”, at p. 298.</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The</w:t>
      </w:r>
      <w:r w:rsidR="00E97295">
        <w:rPr>
          <w:rFonts w:cs="Times New Roman"/>
          <w:szCs w:val="24"/>
        </w:rPr>
        <w:t xml:space="preserve"> following comments by</w:t>
      </w:r>
      <w:r w:rsidRPr="00FA5D7E">
        <w:rPr>
          <w:rFonts w:cs="Times New Roman"/>
          <w:szCs w:val="24"/>
        </w:rPr>
        <w:t xml:space="preserve"> Réaume contain an interesting description of the nature of negative stereotypes and their impact on the right to equality:</w:t>
      </w:r>
    </w:p>
    <w:p w:rsidR="004862B9" w:rsidRPr="00FA5D7E" w:rsidRDefault="00025C92" w:rsidP="00025C92">
      <w:pPr>
        <w:pStyle w:val="Citation-AltC"/>
        <w:tabs>
          <w:tab w:val="left" w:pos="1620"/>
        </w:tabs>
        <w:spacing w:after="240"/>
        <w:ind w:hanging="1166"/>
        <w:contextualSpacing w:val="0"/>
        <w:rPr>
          <w:szCs w:val="24"/>
          <w:lang w:val="en-CA"/>
        </w:rPr>
      </w:pPr>
      <w:r>
        <w:rPr>
          <w:szCs w:val="24"/>
          <w:lang w:val="en-CA"/>
        </w:rPr>
        <w:tab/>
      </w:r>
      <w:r>
        <w:rPr>
          <w:szCs w:val="24"/>
          <w:lang w:val="en-CA"/>
        </w:rPr>
        <w:tab/>
      </w:r>
      <w:r w:rsidR="004862B9" w:rsidRPr="00FA5D7E">
        <w:rPr>
          <w:szCs w:val="24"/>
          <w:lang w:val="en-CA"/>
        </w:rPr>
        <w:t>Stereotypes are inaccurate generalizations about the characteristics or attributes of members of a group that can usually be traced back to a time when social relations were based more overtly on contempt for the moral worth of the group. . . .  Negative characteristics, such as lack of intelligence, laziness, being fit for some pursuits rather than others, predisposition to criminality, avarice, vice, etc., which are in fact distributed throughout the human race, are falsely attributed predominantly to members of a particular group.  It is then the negative characteristic that becomes the focus of contempt.  Nevertheless, inaccurate assumptions and stereotypes about the capacities, needs, or desires of members of a particular group can carry forward ancient connotations of second class status, even if the legislators did not intend that meaning.  The overt hostility may have come to be washed out of the picture w</w:t>
      </w:r>
      <w:r w:rsidR="00E97295">
        <w:rPr>
          <w:szCs w:val="24"/>
          <w:lang w:val="en-CA"/>
        </w:rPr>
        <w:t>ith the passage of time or the “normalization”</w:t>
      </w:r>
      <w:r w:rsidR="004862B9" w:rsidRPr="00FA5D7E">
        <w:rPr>
          <w:szCs w:val="24"/>
          <w:lang w:val="en-CA"/>
        </w:rPr>
        <w:t xml:space="preserve"> of such attitudes, but the implication that those to whom the stereotype applies are less worthy than others remains.</w:t>
      </w:r>
    </w:p>
    <w:p w:rsidR="004862B9" w:rsidRPr="00FA5D7E" w:rsidRDefault="00025C92" w:rsidP="00025C92">
      <w:pPr>
        <w:pStyle w:val="Citation-AltC"/>
        <w:tabs>
          <w:tab w:val="left" w:pos="1620"/>
        </w:tabs>
        <w:ind w:hanging="1166"/>
        <w:contextualSpacing w:val="0"/>
        <w:rPr>
          <w:szCs w:val="24"/>
          <w:lang w:val="en-CA"/>
        </w:rPr>
      </w:pPr>
      <w:r>
        <w:rPr>
          <w:szCs w:val="24"/>
          <w:lang w:val="en-CA"/>
        </w:rPr>
        <w:tab/>
      </w:r>
      <w:r>
        <w:rPr>
          <w:szCs w:val="24"/>
          <w:lang w:val="en-CA"/>
        </w:rPr>
        <w:tab/>
      </w:r>
      <w:r w:rsidR="004862B9" w:rsidRPr="00FA5D7E">
        <w:rPr>
          <w:szCs w:val="24"/>
          <w:lang w:val="en-CA"/>
        </w:rPr>
        <w:t xml:space="preserve">Once this construction of a group has set in, others are likely to treat members of that group disadvantageously out of an honest belief that this merely reflects their just deserts or even simply because that is how everyone treats them, without ever thinking about the insult involved.  They may even understand their conduct, as with certain traditional sexist practices, as a positive effort to accommodate the </w:t>
      </w:r>
      <w:bookmarkStart w:id="7" w:name="PAGE_682_8180"/>
      <w:bookmarkEnd w:id="7"/>
      <w:r w:rsidR="00E97295">
        <w:rPr>
          <w:szCs w:val="24"/>
          <w:lang w:val="en-CA"/>
        </w:rPr>
        <w:t>“natural weaknesses”</w:t>
      </w:r>
      <w:r w:rsidR="004862B9" w:rsidRPr="00FA5D7E">
        <w:rPr>
          <w:szCs w:val="24"/>
          <w:lang w:val="en-CA"/>
        </w:rPr>
        <w:t xml:space="preserve"> of the stereotyped group.  However, neither the absence of contempt as a subjective matter nor well</w:t>
      </w:r>
      <w:r w:rsidR="004862B9" w:rsidRPr="00FA5D7E">
        <w:rPr>
          <w:szCs w:val="24"/>
          <w:lang w:val="en-CA"/>
        </w:rPr>
        <w:noBreakHyphen/>
        <w:t xml:space="preserve">meaning paternalism prevents the use of stereotype from violating dignity.  To be denied access to benefits or opportunities available to others on the basis of the false view that because of certain attributes members of one’s group are less worthy of those benefits or less capable of taking up those opportunities can scarcely fail to be experienced as demeaning because it </w:t>
      </w:r>
      <w:r w:rsidR="004862B9" w:rsidRPr="00FA5D7E">
        <w:rPr>
          <w:i/>
          <w:szCs w:val="24"/>
          <w:lang w:val="en-CA"/>
        </w:rPr>
        <w:t>is</w:t>
      </w:r>
      <w:r w:rsidR="004862B9" w:rsidRPr="00FA5D7E">
        <w:rPr>
          <w:szCs w:val="24"/>
          <w:lang w:val="en-CA"/>
        </w:rPr>
        <w:t xml:space="preserve"> demeaning.  The message such legislation sends is that members of this group are inferior or less capable, and such a message is likely, in turn, to reinforce social attitudes attributing false inferiority to the group.  [Emphasis in original; pp. 681</w:t>
      </w:r>
      <w:r w:rsidR="004862B9" w:rsidRPr="00FA5D7E">
        <w:rPr>
          <w:szCs w:val="24"/>
          <w:lang w:val="en-CA"/>
        </w:rPr>
        <w:noBreakHyphen/>
        <w:t>82.]</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Continuing with a contextual approach, it may be helpful in determining whether stereotypes exist to consider the question of the correspondence, or lack thereof, between the grounds on which the claim is based and the actual need, capacity or circumstances of the claimant or the affected group.  For example, in </w:t>
      </w:r>
      <w:r w:rsidRPr="00FA5D7E">
        <w:rPr>
          <w:rFonts w:cs="Times New Roman"/>
          <w:i/>
          <w:szCs w:val="24"/>
        </w:rPr>
        <w:t>M. v. H.</w:t>
      </w:r>
      <w:r w:rsidRPr="00FA5D7E">
        <w:rPr>
          <w:rFonts w:cs="Times New Roman"/>
          <w:szCs w:val="24"/>
        </w:rPr>
        <w:t>, the identification and rejection of certain stereotypes led the Court to declare a law under which support remedies were available only to opposite</w:t>
      </w:r>
      <w:r w:rsidRPr="00FA5D7E">
        <w:rPr>
          <w:rFonts w:cs="Times New Roman"/>
          <w:szCs w:val="24"/>
        </w:rPr>
        <w:noBreakHyphen/>
        <w:t>sex spouses to be invalid.  The law in question conveyed the negative stereotype that persons of the same sex were incapable of forming intimate relationships involving economic interdependence similar to those of opposite</w:t>
      </w:r>
      <w:r w:rsidRPr="00FA5D7E">
        <w:rPr>
          <w:rFonts w:cs="Times New Roman"/>
          <w:szCs w:val="24"/>
        </w:rPr>
        <w:noBreakHyphen/>
        <w:t>sex couples, without regard to their actual circumstances.  As a result, the impugned law violated s. 15(1).</w:t>
      </w:r>
    </w:p>
    <w:p w:rsidR="004862B9" w:rsidRPr="00FA5D7E" w:rsidRDefault="004862B9" w:rsidP="00025C92">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(d)</w:t>
      </w:r>
      <w:r w:rsidRPr="00FA5D7E">
        <w:rPr>
          <w:rFonts w:cs="Times New Roman"/>
          <w:szCs w:val="24"/>
          <w:lang w:val="en-CA"/>
        </w:rPr>
        <w:tab/>
      </w:r>
      <w:r w:rsidRPr="00FA5D7E">
        <w:rPr>
          <w:rFonts w:cs="Times New Roman"/>
          <w:i/>
          <w:szCs w:val="24"/>
          <w:lang w:val="en-CA"/>
        </w:rPr>
        <w:t>Summary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accordance with the general analytical framework for the application of s. 15(1) of the </w:t>
      </w:r>
      <w:r w:rsidRPr="00FA5D7E">
        <w:rPr>
          <w:rFonts w:cs="Times New Roman"/>
          <w:i/>
          <w:szCs w:val="24"/>
        </w:rPr>
        <w:t>Charter</w:t>
      </w:r>
      <w:r w:rsidRPr="00FA5D7E">
        <w:rPr>
          <w:rFonts w:cs="Times New Roman"/>
          <w:szCs w:val="24"/>
        </w:rPr>
        <w:t xml:space="preserve">, there are thus two ways for a claimant to show that a law that draws a distinction based on an enumerated or analogous ground is discriminatory.  On the one hand, the claimant can show that the impugned disadvantageous law perpetuates prejudice against members of a group.  On the other hand, the claimant can prove that the disadvantage imposed by the law is based on a stereotype.  Two comments are in order in this regard.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First, because either one of these facts can on its own support a finding that the impugned law infringes s. 15(1), a distinction need not be based on a stereotype to be discriminatory:  </w:t>
      </w:r>
      <w:r w:rsidRPr="00FA5D7E">
        <w:rPr>
          <w:rFonts w:cs="Times New Roman"/>
          <w:i/>
          <w:szCs w:val="24"/>
        </w:rPr>
        <w:t>Gosselin</w:t>
      </w:r>
      <w:r w:rsidRPr="00FA5D7E">
        <w:rPr>
          <w:rFonts w:cs="Times New Roman"/>
          <w:szCs w:val="24"/>
        </w:rPr>
        <w:t>, at para. </w:t>
      </w:r>
      <w:r w:rsidRPr="00851923">
        <w:rPr>
          <w:rFonts w:cs="Times New Roman"/>
          <w:szCs w:val="24"/>
          <w:lang w:val="fr-CA"/>
        </w:rPr>
        <w:t xml:space="preserve">116, </w:t>
      </w:r>
      <w:r w:rsidRPr="00851923">
        <w:rPr>
          <w:rFonts w:cs="Times New Roman"/>
          <w:i/>
          <w:szCs w:val="24"/>
          <w:lang w:val="fr-CA"/>
        </w:rPr>
        <w:t>per </w:t>
      </w:r>
      <w:r w:rsidRPr="00851923">
        <w:rPr>
          <w:rFonts w:cs="Times New Roman"/>
          <w:szCs w:val="24"/>
          <w:lang w:val="fr-CA"/>
        </w:rPr>
        <w:t>L’Heureux</w:t>
      </w:r>
      <w:r w:rsidRPr="00851923">
        <w:rPr>
          <w:rFonts w:cs="Times New Roman"/>
          <w:szCs w:val="24"/>
          <w:lang w:val="fr-CA"/>
        </w:rPr>
        <w:noBreakHyphen/>
        <w:t xml:space="preserve">Dubé J.; </w:t>
      </w:r>
      <w:r w:rsidRPr="00851923">
        <w:rPr>
          <w:rFonts w:cs="Times New Roman"/>
          <w:i/>
          <w:szCs w:val="24"/>
          <w:lang w:val="fr-CA"/>
        </w:rPr>
        <w:t>Lavoie</w:t>
      </w:r>
      <w:r w:rsidRPr="00851923">
        <w:rPr>
          <w:rFonts w:cs="Times New Roman"/>
          <w:szCs w:val="24"/>
          <w:lang w:val="fr-CA"/>
        </w:rPr>
        <w:t xml:space="preserve">, at para. 52, </w:t>
      </w:r>
      <w:r w:rsidRPr="00851923">
        <w:rPr>
          <w:rFonts w:cs="Times New Roman"/>
          <w:i/>
          <w:szCs w:val="24"/>
          <w:lang w:val="fr-CA"/>
        </w:rPr>
        <w:t xml:space="preserve">per </w:t>
      </w:r>
      <w:r w:rsidRPr="00851923">
        <w:rPr>
          <w:rFonts w:cs="Times New Roman"/>
          <w:szCs w:val="24"/>
          <w:lang w:val="fr-CA"/>
        </w:rPr>
        <w:t xml:space="preserve">Bastarache J.  </w:t>
      </w:r>
      <w:r w:rsidRPr="00FA5D7E">
        <w:rPr>
          <w:rFonts w:cs="Times New Roman"/>
          <w:szCs w:val="24"/>
        </w:rPr>
        <w:t xml:space="preserve">A disadvantageous law can also be found to be discriminatory on the basis that it expresses or perpetuates prejudice.  The Court has thus explicitly acknowledged the inadequacy of a </w:t>
      </w:r>
      <w:r w:rsidRPr="00FA5D7E">
        <w:rPr>
          <w:rFonts w:cs="Times New Roman"/>
          <w:i/>
          <w:szCs w:val="24"/>
        </w:rPr>
        <w:t>uniquely</w:t>
      </w:r>
      <w:r w:rsidRPr="00FA5D7E">
        <w:rPr>
          <w:rFonts w:cs="Times New Roman"/>
          <w:szCs w:val="24"/>
        </w:rPr>
        <w:t xml:space="preserve"> stereotype</w:t>
      </w:r>
      <w:r w:rsidRPr="00FA5D7E">
        <w:rPr>
          <w:rFonts w:cs="Times New Roman"/>
          <w:szCs w:val="24"/>
        </w:rPr>
        <w:noBreakHyphen/>
        <w:t xml:space="preserve">based approach that has been criticized by several authors: see, </w:t>
      </w:r>
      <w:r w:rsidRPr="00FA5D7E">
        <w:rPr>
          <w:rFonts w:cs="Times New Roman"/>
          <w:i/>
          <w:szCs w:val="24"/>
        </w:rPr>
        <w:t>inter alia</w:t>
      </w:r>
      <w:r w:rsidRPr="00FA5D7E">
        <w:rPr>
          <w:rFonts w:cs="Times New Roman"/>
          <w:szCs w:val="24"/>
        </w:rPr>
        <w:t xml:space="preserve">, M. Young, “Blissed Out: Section 15 at Twenty”, in S. McIntyre and S. Rodgers, eds., </w:t>
      </w:r>
      <w:r w:rsidRPr="00FA5D7E">
        <w:rPr>
          <w:rFonts w:cs="Times New Roman"/>
          <w:i/>
          <w:szCs w:val="24"/>
        </w:rPr>
        <w:t>Diminishing Returns: Inequality and the Canadian Charter of Rights and Freedoms</w:t>
      </w:r>
      <w:r w:rsidRPr="00FA5D7E">
        <w:rPr>
          <w:rFonts w:cs="Times New Roman"/>
          <w:szCs w:val="24"/>
        </w:rPr>
        <w:t xml:space="preserve"> (2006), 45, at p. 59; G. Brodsky, “</w:t>
      </w:r>
      <w:r w:rsidR="00E97295">
        <w:rPr>
          <w:rFonts w:cs="Times New Roman"/>
          <w:szCs w:val="24"/>
        </w:rPr>
        <w:t xml:space="preserve">Case Comment: </w:t>
      </w:r>
      <w:r w:rsidRPr="00FA5D7E">
        <w:rPr>
          <w:rFonts w:cs="Times New Roman"/>
          <w:i/>
          <w:szCs w:val="24"/>
        </w:rPr>
        <w:t xml:space="preserve">Gosselin </w:t>
      </w:r>
      <w:r w:rsidRPr="00FA5D7E">
        <w:rPr>
          <w:rFonts w:cs="Times New Roman"/>
          <w:szCs w:val="24"/>
        </w:rPr>
        <w:t>v.</w:t>
      </w:r>
      <w:r w:rsidRPr="00FA5D7E">
        <w:rPr>
          <w:rFonts w:cs="Times New Roman"/>
          <w:i/>
          <w:szCs w:val="24"/>
        </w:rPr>
        <w:t xml:space="preserve"> Quebec (Attorney General)</w:t>
      </w:r>
      <w:r w:rsidRPr="00FA5D7E">
        <w:rPr>
          <w:rFonts w:cs="Times New Roman"/>
          <w:szCs w:val="24"/>
        </w:rPr>
        <w:t xml:space="preserve">:  Autonomy with a Vengeance” (2003), 15 </w:t>
      </w:r>
      <w:r w:rsidRPr="00FA5D7E">
        <w:rPr>
          <w:rFonts w:cs="Times New Roman"/>
          <w:i/>
          <w:szCs w:val="24"/>
        </w:rPr>
        <w:t>C.J.W.L.</w:t>
      </w:r>
      <w:r w:rsidRPr="00FA5D7E">
        <w:rPr>
          <w:rFonts w:cs="Times New Roman"/>
          <w:szCs w:val="24"/>
        </w:rPr>
        <w:t xml:space="preserve"> 194, at p. 212; M. Young, “Unequal to the Task: ‘Kapp’ing the Substantive Potential of Section 15”, in S. Rodgers and S. McIntyre, eds., </w:t>
      </w:r>
      <w:r w:rsidRPr="00FA5D7E">
        <w:rPr>
          <w:rFonts w:cs="Times New Roman"/>
          <w:i/>
          <w:szCs w:val="24"/>
        </w:rPr>
        <w:t>The Supreme Court of Canada and Social Justice: Commitment, Retrenchment or Retreat</w:t>
      </w:r>
      <w:r w:rsidRPr="00FA5D7E">
        <w:rPr>
          <w:rFonts w:cs="Times New Roman"/>
          <w:szCs w:val="24"/>
        </w:rPr>
        <w:t xml:space="preserve"> (2010), 183, at pp. 204</w:t>
      </w:r>
      <w:r w:rsidRPr="00FA5D7E">
        <w:rPr>
          <w:rFonts w:cs="Times New Roman"/>
          <w:szCs w:val="24"/>
        </w:rPr>
        <w:noBreakHyphen/>
        <w:t>9.</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Second, the existence of these two approaches, which make it possible to prove that the impugned law infringes s. 15(1), also guides the use of the contextual factor of correspondence between the ground or grounds of discrimination on which the claim is based and the actual circumstances of the claimant or the affected group.  It now seems clearer that this factor can be used to determine whether the distinction creates a disadvantage by stereotyping:  </w:t>
      </w:r>
      <w:r w:rsidRPr="00FA5D7E">
        <w:rPr>
          <w:rFonts w:cs="Times New Roman"/>
          <w:i/>
          <w:szCs w:val="24"/>
        </w:rPr>
        <w:t>Kapp</w:t>
      </w:r>
      <w:r w:rsidRPr="00FA5D7E">
        <w:rPr>
          <w:rFonts w:cs="Times New Roman"/>
          <w:szCs w:val="24"/>
        </w:rPr>
        <w:t xml:space="preserve">, at para. 23.  However, the Court also recognizes that the correspondence factor may not be sufficient to support a finding of expression or perpetuation of prejudice.  Although it is true that prejudice and stereotyping are frequently linked, a claimant can also show that the impugned law expresses or perpetuates prejudice by emphasizing other contextual factors unrelated to that of correspondence.  The Court thus acknowledges that the correspondence factor is only one of many factors that can be used to establish substantive inequality.  Indeed, in the past, some authors deplored an approach that was overly dependent on the use of the correspondence factor at the expense of other contextual factors: see, </w:t>
      </w:r>
      <w:r w:rsidRPr="00FA5D7E">
        <w:rPr>
          <w:rFonts w:cs="Times New Roman"/>
          <w:i/>
          <w:szCs w:val="24"/>
        </w:rPr>
        <w:t>inter alia</w:t>
      </w:r>
      <w:r w:rsidRPr="00FA5D7E">
        <w:rPr>
          <w:rFonts w:cs="Times New Roman"/>
          <w:szCs w:val="24"/>
        </w:rPr>
        <w:t xml:space="preserve">, B. Ryder, C. C. Faria and E. Lawrence, “What’s </w:t>
      </w:r>
      <w:r w:rsidRPr="00FA5D7E">
        <w:rPr>
          <w:rFonts w:cs="Times New Roman"/>
          <w:i/>
          <w:szCs w:val="24"/>
        </w:rPr>
        <w:t>Law</w:t>
      </w:r>
      <w:r w:rsidRPr="00FA5D7E">
        <w:rPr>
          <w:rFonts w:cs="Times New Roman"/>
          <w:szCs w:val="24"/>
        </w:rPr>
        <w:t xml:space="preserve"> Good For?  An Empirical Overview of Charter Equality Rights Decisions” (2004), 24 </w:t>
      </w:r>
      <w:r w:rsidRPr="00FA5D7E">
        <w:rPr>
          <w:rFonts w:cs="Times New Roman"/>
          <w:i/>
          <w:szCs w:val="24"/>
        </w:rPr>
        <w:t>S.C.L.R.</w:t>
      </w:r>
      <w:r w:rsidRPr="00FA5D7E">
        <w:rPr>
          <w:rFonts w:cs="Times New Roman"/>
          <w:szCs w:val="24"/>
        </w:rPr>
        <w:t xml:space="preserve"> (2d) 103, at pp. 120</w:t>
      </w:r>
      <w:r w:rsidRPr="00FA5D7E">
        <w:rPr>
          <w:rFonts w:cs="Times New Roman"/>
          <w:szCs w:val="24"/>
        </w:rPr>
        <w:noBreakHyphen/>
        <w:t xml:space="preserve">25. </w:t>
      </w:r>
    </w:p>
    <w:p w:rsidR="004862B9" w:rsidRPr="00FA5D7E" w:rsidRDefault="004862B9" w:rsidP="005649DA">
      <w:pPr>
        <w:pStyle w:val="TitleTitre-AltT"/>
        <w:tabs>
          <w:tab w:val="clear" w:pos="360"/>
          <w:tab w:val="left" w:pos="540"/>
        </w:tabs>
        <w:ind w:left="540" w:hanging="540"/>
        <w:rPr>
          <w:rFonts w:cs="Times New Roman"/>
          <w:i/>
          <w:szCs w:val="24"/>
          <w:lang w:val="en-CA"/>
        </w:rPr>
      </w:pPr>
      <w:r w:rsidRPr="00FA5D7E">
        <w:rPr>
          <w:rFonts w:cs="Times New Roman"/>
          <w:szCs w:val="24"/>
          <w:lang w:val="en-CA"/>
        </w:rPr>
        <w:t>G.</w:t>
      </w:r>
      <w:r w:rsidRPr="00FA5D7E">
        <w:rPr>
          <w:rFonts w:cs="Times New Roman"/>
          <w:i/>
          <w:szCs w:val="24"/>
          <w:lang w:val="en-CA"/>
        </w:rPr>
        <w:tab/>
        <w:t>Walsh — Precedential Value of the Decision</w:t>
      </w:r>
    </w:p>
    <w:p w:rsidR="004862B9" w:rsidRPr="00FA5D7E" w:rsidRDefault="004862B9" w:rsidP="005649DA">
      <w:pPr>
        <w:pStyle w:val="TitleTitre-AltT"/>
        <w:tabs>
          <w:tab w:val="clear" w:pos="360"/>
          <w:tab w:val="left" w:pos="1170"/>
        </w:tabs>
        <w:ind w:left="1710" w:hanging="1620"/>
        <w:rPr>
          <w:rFonts w:cs="Times New Roman"/>
          <w:szCs w:val="24"/>
          <w:u w:val="single"/>
          <w:lang w:val="en-CA"/>
        </w:rPr>
      </w:pPr>
      <w:r w:rsidRPr="00FA5D7E">
        <w:rPr>
          <w:rFonts w:cs="Times New Roman"/>
          <w:szCs w:val="24"/>
          <w:lang w:val="en-CA"/>
        </w:rPr>
        <w:tab/>
        <w:t>(1)</w:t>
      </w:r>
      <w:r w:rsidRPr="00FA5D7E">
        <w:rPr>
          <w:rFonts w:cs="Times New Roman"/>
          <w:szCs w:val="24"/>
          <w:lang w:val="en-CA"/>
        </w:rPr>
        <w:tab/>
      </w:r>
      <w:r w:rsidRPr="00FA5D7E">
        <w:rPr>
          <w:rFonts w:cs="Times New Roman"/>
          <w:szCs w:val="24"/>
          <w:u w:val="single"/>
          <w:lang w:val="en-CA"/>
        </w:rPr>
        <w:t>Nature of the Case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At this point, the evolution of the Court’s case law on the right to equality raises the issue of the scope and application of an important case on the application of equality rights of </w:t>
      </w:r>
      <w:r w:rsidRPr="00FA5D7E">
        <w:rPr>
          <w:rFonts w:cs="Times New Roman"/>
          <w:i/>
          <w:szCs w:val="24"/>
        </w:rPr>
        <w:t>de facto</w:t>
      </w:r>
      <w:r w:rsidRPr="00FA5D7E">
        <w:rPr>
          <w:rFonts w:cs="Times New Roman"/>
          <w:szCs w:val="24"/>
        </w:rPr>
        <w:t xml:space="preserve"> or common law spouses.  In </w:t>
      </w:r>
      <w:r w:rsidRPr="00FA5D7E">
        <w:rPr>
          <w:rFonts w:cs="Times New Roman"/>
          <w:i/>
          <w:szCs w:val="24"/>
        </w:rPr>
        <w:t>Walsh</w:t>
      </w:r>
      <w:r w:rsidRPr="00FA5D7E">
        <w:rPr>
          <w:rFonts w:cs="Times New Roman"/>
          <w:szCs w:val="24"/>
        </w:rPr>
        <w:t xml:space="preserve">, which was decided several years before </w:t>
      </w:r>
      <w:r w:rsidRPr="00FA5D7E">
        <w:rPr>
          <w:rFonts w:cs="Times New Roman"/>
          <w:i/>
          <w:szCs w:val="24"/>
        </w:rPr>
        <w:t>Kapp</w:t>
      </w:r>
      <w:r w:rsidRPr="00FA5D7E">
        <w:rPr>
          <w:rFonts w:cs="Times New Roman"/>
          <w:szCs w:val="24"/>
        </w:rPr>
        <w:t xml:space="preserve"> and </w:t>
      </w:r>
      <w:r w:rsidRPr="00FA5D7E">
        <w:rPr>
          <w:rFonts w:cs="Times New Roman"/>
          <w:i/>
          <w:szCs w:val="24"/>
        </w:rPr>
        <w:t>Withler</w:t>
      </w:r>
      <w:r w:rsidRPr="00FA5D7E">
        <w:rPr>
          <w:rFonts w:cs="Times New Roman"/>
          <w:szCs w:val="24"/>
        </w:rPr>
        <w:t xml:space="preserve">, this Court was dealing with an alleged violation of s. 15(1) by a Nova Scotia statute concerning the matrimonial rights of married spouses.  The case involved a challenge to the validity of Nova Scotia’s </w:t>
      </w:r>
      <w:r w:rsidRPr="00FA5D7E">
        <w:rPr>
          <w:rFonts w:cs="Times New Roman"/>
          <w:i/>
          <w:iCs/>
          <w:szCs w:val="24"/>
        </w:rPr>
        <w:t>Matrimonial Property Act</w:t>
      </w:r>
      <w:r w:rsidRPr="00FA5D7E">
        <w:rPr>
          <w:rFonts w:cs="Times New Roman"/>
          <w:szCs w:val="24"/>
        </w:rPr>
        <w:t>, R.S.N.S. 1989, c. 275 (“</w:t>
      </w:r>
      <w:r w:rsidRPr="00FA5D7E">
        <w:rPr>
          <w:rFonts w:cs="Times New Roman"/>
          <w:i/>
          <w:iCs/>
          <w:szCs w:val="24"/>
        </w:rPr>
        <w:t>MPA</w:t>
      </w:r>
      <w:r w:rsidRPr="00FA5D7E">
        <w:rPr>
          <w:rFonts w:cs="Times New Roman"/>
          <w:szCs w:val="24"/>
        </w:rPr>
        <w:t xml:space="preserve">”), under s. 15(1) of the </w:t>
      </w:r>
      <w:r w:rsidRPr="00FA5D7E">
        <w:rPr>
          <w:rFonts w:cs="Times New Roman"/>
          <w:i/>
          <w:szCs w:val="24"/>
        </w:rPr>
        <w:t>Charter</w:t>
      </w:r>
      <w:r w:rsidRPr="00FA5D7E">
        <w:rPr>
          <w:rFonts w:cs="Times New Roman"/>
          <w:szCs w:val="24"/>
        </w:rPr>
        <w:t xml:space="preserve">.  The </w:t>
      </w:r>
      <w:r w:rsidRPr="00FA5D7E">
        <w:rPr>
          <w:rFonts w:cs="Times New Roman"/>
          <w:i/>
          <w:szCs w:val="24"/>
        </w:rPr>
        <w:t>MPA</w:t>
      </w:r>
      <w:r w:rsidRPr="00FA5D7E">
        <w:rPr>
          <w:rFonts w:cs="Times New Roman"/>
          <w:szCs w:val="24"/>
        </w:rPr>
        <w:t xml:space="preserve"> established the consequences of marriage breakdown by creating a presumption that matrimonial property was to be divided equally between the former spouses.  The </w:t>
      </w:r>
      <w:r w:rsidRPr="00FA5D7E">
        <w:rPr>
          <w:rFonts w:cs="Times New Roman"/>
          <w:i/>
          <w:szCs w:val="24"/>
        </w:rPr>
        <w:t>MPA</w:t>
      </w:r>
      <w:r w:rsidRPr="00FA5D7E">
        <w:rPr>
          <w:rFonts w:cs="Times New Roman"/>
          <w:szCs w:val="24"/>
        </w:rPr>
        <w:t xml:space="preserve"> regulated the division of the property acquired by one of the spouses either before or during the marriage and established guidelines to assist in determining whether that property continued to be the separate property of each spouse or became common property of the parties.  However, it did not provide for spousal support on the breakdown of a marriage.  Section 2(</w:t>
      </w:r>
      <w:r w:rsidRPr="00E97295">
        <w:rPr>
          <w:rFonts w:cs="Times New Roman"/>
          <w:szCs w:val="24"/>
        </w:rPr>
        <w:t>g</w:t>
      </w:r>
      <w:r w:rsidRPr="00FA5D7E">
        <w:rPr>
          <w:rFonts w:cs="Times New Roman"/>
          <w:szCs w:val="24"/>
        </w:rPr>
        <w:t xml:space="preserve">) of the </w:t>
      </w:r>
      <w:r w:rsidRPr="00FA5D7E">
        <w:rPr>
          <w:rFonts w:cs="Times New Roman"/>
          <w:i/>
          <w:szCs w:val="24"/>
        </w:rPr>
        <w:t>MPA</w:t>
      </w:r>
      <w:r w:rsidRPr="00FA5D7E">
        <w:rPr>
          <w:rFonts w:cs="Times New Roman"/>
          <w:szCs w:val="24"/>
        </w:rPr>
        <w:t xml:space="preserve"> defined the term “spouse” by referring only to a man and a woman who were married to each other.  It therefore had the effect of excluding unmarried opposite</w:t>
      </w:r>
      <w:r w:rsidRPr="00FA5D7E">
        <w:rPr>
          <w:rFonts w:cs="Times New Roman"/>
          <w:szCs w:val="24"/>
        </w:rPr>
        <w:noBreakHyphen/>
        <w:t xml:space="preserve">sex couples who lived together.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claimant in </w:t>
      </w:r>
      <w:r w:rsidRPr="00FA5D7E">
        <w:rPr>
          <w:rFonts w:cs="Times New Roman"/>
          <w:i/>
          <w:szCs w:val="24"/>
        </w:rPr>
        <w:t>Walsh</w:t>
      </w:r>
      <w:r w:rsidRPr="00FA5D7E">
        <w:rPr>
          <w:rFonts w:cs="Times New Roman"/>
          <w:szCs w:val="24"/>
        </w:rPr>
        <w:t xml:space="preserve"> argued that, by limiting the presumption of equal division to married couples, the </w:t>
      </w:r>
      <w:r w:rsidRPr="00FA5D7E">
        <w:rPr>
          <w:rFonts w:cs="Times New Roman"/>
          <w:i/>
          <w:szCs w:val="24"/>
        </w:rPr>
        <w:t>MPA</w:t>
      </w:r>
      <w:r w:rsidRPr="00FA5D7E">
        <w:rPr>
          <w:rFonts w:cs="Times New Roman"/>
          <w:szCs w:val="24"/>
        </w:rPr>
        <w:t xml:space="preserve"> discriminated on the basis of an analogous ground, namely marital status.  The Court therefore had to decide whether the failure to include unmarried opposite</w:t>
      </w:r>
      <w:r w:rsidRPr="00FA5D7E">
        <w:rPr>
          <w:rFonts w:cs="Times New Roman"/>
          <w:szCs w:val="24"/>
        </w:rPr>
        <w:noBreakHyphen/>
        <w:t xml:space="preserve">sex couples in the ambit of the </w:t>
      </w:r>
      <w:r w:rsidRPr="00FA5D7E">
        <w:rPr>
          <w:rFonts w:cs="Times New Roman"/>
          <w:i/>
          <w:szCs w:val="24"/>
        </w:rPr>
        <w:t>MPA</w:t>
      </w:r>
      <w:r w:rsidRPr="00FA5D7E">
        <w:rPr>
          <w:rFonts w:cs="Times New Roman"/>
          <w:szCs w:val="24"/>
        </w:rPr>
        <w:t xml:space="preserve"> violated s. 15(1).</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Bastarache J., writing for a majority of the Court, found that the distinction between common law spouses and married spouses was not discriminatory and therefore did not violate s. 15(1).  Gonthier J. added a few comments on the contractual nature of marriage and its fundamental place in society. L’Heureux</w:t>
      </w:r>
      <w:r w:rsidRPr="00FA5D7E">
        <w:rPr>
          <w:rFonts w:cs="Times New Roman"/>
          <w:szCs w:val="24"/>
        </w:rPr>
        <w:noBreakHyphen/>
        <w:t xml:space="preserve">Dubé J., dissenting, found that married couples and unmarried couples were functionally identical.  As a result, she concluded that the exclusion of unmarried couples from the ambit of the </w:t>
      </w:r>
      <w:r w:rsidRPr="00FA5D7E">
        <w:rPr>
          <w:rFonts w:cs="Times New Roman"/>
          <w:i/>
          <w:szCs w:val="24"/>
        </w:rPr>
        <w:t>MPA</w:t>
      </w:r>
      <w:r w:rsidRPr="00FA5D7E">
        <w:rPr>
          <w:rFonts w:cs="Times New Roman"/>
          <w:szCs w:val="24"/>
        </w:rPr>
        <w:t xml:space="preserve"> was discriminatory and that the discrimination could not be justified under s. 1 of the </w:t>
      </w:r>
      <w:r w:rsidRPr="00FA5D7E">
        <w:rPr>
          <w:rFonts w:cs="Times New Roman"/>
          <w:i/>
          <w:szCs w:val="24"/>
        </w:rPr>
        <w:t>Charter</w:t>
      </w:r>
      <w:r w:rsidRPr="00FA5D7E">
        <w:rPr>
          <w:rFonts w:cs="Times New Roman"/>
          <w:szCs w:val="24"/>
        </w:rPr>
        <w:t>.  Given the importance of that case, I will summarize the bases for the Court’s decision.  I will then discuss the relevance of Bastarache J.’s reasons to the appeals now before this Court.</w:t>
      </w:r>
    </w:p>
    <w:p w:rsidR="004862B9" w:rsidRPr="00FA5D7E" w:rsidRDefault="004862B9" w:rsidP="005649DA">
      <w:pPr>
        <w:pStyle w:val="TitleTitre-AltT"/>
        <w:tabs>
          <w:tab w:val="clear" w:pos="360"/>
          <w:tab w:val="left" w:pos="1170"/>
        </w:tabs>
        <w:ind w:left="1710" w:hanging="1620"/>
        <w:rPr>
          <w:rFonts w:cs="Times New Roman"/>
          <w:szCs w:val="24"/>
          <w:lang w:val="en-CA"/>
        </w:rPr>
      </w:pPr>
      <w:r w:rsidRPr="00FA5D7E">
        <w:rPr>
          <w:rFonts w:cs="Times New Roman"/>
          <w:szCs w:val="24"/>
          <w:lang w:val="en-CA"/>
        </w:rPr>
        <w:tab/>
        <w:t>(2)</w:t>
      </w:r>
      <w:r w:rsidRPr="00FA5D7E">
        <w:rPr>
          <w:rFonts w:cs="Times New Roman"/>
          <w:szCs w:val="24"/>
          <w:lang w:val="en-CA"/>
        </w:rPr>
        <w:tab/>
      </w:r>
      <w:r w:rsidRPr="00FA5D7E">
        <w:rPr>
          <w:rFonts w:cs="Times New Roman"/>
          <w:szCs w:val="24"/>
          <w:u w:val="single"/>
          <w:lang w:val="en-CA"/>
        </w:rPr>
        <w:t>Bases for Bastarache J.’s Reasons</w:t>
      </w:r>
    </w:p>
    <w:p w:rsidR="004862B9" w:rsidRPr="00FA5D7E" w:rsidRDefault="004862B9" w:rsidP="004862B9">
      <w:pPr>
        <w:pStyle w:val="ParaNoNdepar-AltN"/>
        <w:tabs>
          <w:tab w:val="clear" w:pos="1166"/>
          <w:tab w:val="num" w:pos="1152"/>
        </w:tabs>
        <w:ind w:left="0"/>
        <w:rPr>
          <w:rFonts w:cs="Times New Roman"/>
          <w:iCs/>
          <w:szCs w:val="24"/>
        </w:rPr>
      </w:pPr>
      <w:r w:rsidRPr="00FA5D7E">
        <w:rPr>
          <w:rFonts w:cs="Times New Roman"/>
          <w:szCs w:val="24"/>
        </w:rPr>
        <w:t>Bastarache J. analyzed the claimant’s position by applying the three</w:t>
      </w:r>
      <w:r w:rsidRPr="00FA5D7E">
        <w:rPr>
          <w:rFonts w:cs="Times New Roman"/>
          <w:szCs w:val="24"/>
        </w:rPr>
        <w:noBreakHyphen/>
        <w:t xml:space="preserve">stage framework developed by Iacobucci J. a few years earlier in </w:t>
      </w:r>
      <w:r w:rsidRPr="00FA5D7E">
        <w:rPr>
          <w:rFonts w:cs="Times New Roman"/>
          <w:i/>
          <w:szCs w:val="24"/>
        </w:rPr>
        <w:t>Law</w:t>
      </w:r>
      <w:r w:rsidRPr="00FA5D7E">
        <w:rPr>
          <w:rFonts w:cs="Times New Roman"/>
          <w:szCs w:val="24"/>
        </w:rPr>
        <w:t xml:space="preserve">.  He began by considering whether the </w:t>
      </w:r>
      <w:r w:rsidRPr="00FA5D7E">
        <w:rPr>
          <w:rFonts w:cs="Times New Roman"/>
          <w:i/>
          <w:szCs w:val="24"/>
        </w:rPr>
        <w:t>MPA</w:t>
      </w:r>
      <w:r w:rsidRPr="00FA5D7E">
        <w:rPr>
          <w:rFonts w:cs="Times New Roman"/>
          <w:szCs w:val="24"/>
        </w:rPr>
        <w:t xml:space="preserve"> imposed differential treatment between the claimant and others.  He then asked whether the differential treatment was based on an enumerated or analogous ground.  Finally, he considered whether the law in question had a discriminatory purpose or effect for the purposes of the equality guarantee.  That would be the case if the law imposed a burden upon or withheld a benefit from the claimant in a manner which reflected the stereotypical application of presumed group or personal characteristics, or </w:t>
      </w:r>
      <w:r w:rsidRPr="00FA5D7E">
        <w:rPr>
          <w:rFonts w:cs="Times New Roman"/>
          <w:iCs/>
          <w:szCs w:val="24"/>
        </w:rPr>
        <w:t xml:space="preserve">if it otherwise had the effect of perpetuating or promoting the view that the claimant was less deserving of respect than other members of Canadian society.  Thus, Bastarache J.’s analysis was based on the promotion of substantive equality that was also the basis for </w:t>
      </w:r>
      <w:r w:rsidRPr="00FA5D7E">
        <w:rPr>
          <w:rFonts w:cs="Times New Roman"/>
          <w:i/>
          <w:iCs/>
          <w:szCs w:val="24"/>
        </w:rPr>
        <w:t>Law</w:t>
      </w:r>
      <w:r w:rsidRPr="00FA5D7E">
        <w:rPr>
          <w:rFonts w:cs="Times New Roman"/>
          <w:iCs/>
          <w:szCs w:val="24"/>
        </w:rPr>
        <w:t xml:space="preserve"> and for this Court’s case law since </w:t>
      </w:r>
      <w:r w:rsidRPr="00FA5D7E">
        <w:rPr>
          <w:rFonts w:cs="Times New Roman"/>
          <w:i/>
          <w:iCs/>
          <w:szCs w:val="24"/>
        </w:rPr>
        <w:t>Andrews</w:t>
      </w:r>
      <w:r w:rsidRPr="00FA5D7E">
        <w:rPr>
          <w:rFonts w:cs="Times New Roman"/>
          <w:iCs/>
          <w:szCs w:val="24"/>
        </w:rPr>
        <w:t>.  His approach represented a continuation of that case law.</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iCs/>
          <w:szCs w:val="24"/>
        </w:rPr>
        <w:t xml:space="preserve">Bastarache J. began by acknowledging that the </w:t>
      </w:r>
      <w:r w:rsidRPr="00FA5D7E">
        <w:rPr>
          <w:rFonts w:cs="Times New Roman"/>
          <w:i/>
          <w:iCs/>
          <w:szCs w:val="24"/>
        </w:rPr>
        <w:t>MPA</w:t>
      </w:r>
      <w:r w:rsidRPr="00FA5D7E">
        <w:rPr>
          <w:rFonts w:cs="Times New Roman"/>
          <w:iCs/>
          <w:szCs w:val="24"/>
        </w:rPr>
        <w:t xml:space="preserve"> imposed differential treatment within the meaning of s. 15(1) because it applied only to persons who were legally married and excluded persons in a common law relationship. </w:t>
      </w:r>
      <w:r w:rsidRPr="00FA5D7E">
        <w:rPr>
          <w:rFonts w:cs="Times New Roman"/>
          <w:szCs w:val="24"/>
        </w:rPr>
        <w:t xml:space="preserve"> That differential treatment was based on the analogous ground of marital status, as the Attorney General of Nova Scotia had conceded.  Bastarache J. therefore proceeded to the third stage of the analytical framework from </w:t>
      </w:r>
      <w:r w:rsidRPr="00FA5D7E">
        <w:rPr>
          <w:rFonts w:cs="Times New Roman"/>
          <w:i/>
          <w:szCs w:val="24"/>
        </w:rPr>
        <w:t>Law</w:t>
      </w:r>
      <w:r w:rsidRPr="00FA5D7E">
        <w:rPr>
          <w:rFonts w:cs="Times New Roman"/>
          <w:szCs w:val="24"/>
        </w:rPr>
        <w:t xml:space="preserve"> and asked “whether a reasonable heterosexual unmarried cohabiting person, taking into account all of the relevant contextual factors, would find the </w:t>
      </w:r>
      <w:r w:rsidRPr="00FA5D7E">
        <w:rPr>
          <w:rFonts w:cs="Times New Roman"/>
          <w:i/>
          <w:szCs w:val="24"/>
        </w:rPr>
        <w:t>MPA</w:t>
      </w:r>
      <w:r w:rsidRPr="00FA5D7E">
        <w:rPr>
          <w:rFonts w:cs="Times New Roman"/>
          <w:szCs w:val="24"/>
        </w:rPr>
        <w:t xml:space="preserve">’s failure to include him or her in its ambit has the effect of demeaning his or her dignity”: </w:t>
      </w:r>
      <w:r w:rsidRPr="00FA5D7E">
        <w:rPr>
          <w:rFonts w:cs="Times New Roman"/>
          <w:i/>
          <w:szCs w:val="24"/>
        </w:rPr>
        <w:t>Walsh</w:t>
      </w:r>
      <w:r w:rsidRPr="00FA5D7E">
        <w:rPr>
          <w:rFonts w:cs="Times New Roman"/>
          <w:szCs w:val="24"/>
        </w:rPr>
        <w:t>, at para. 38.  At this point in the analysis, he undertook a contextual analysis of the claimant’s argument.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Bastarache J. acknowledged that unmarried spouses had experienced historical disadvantage, social prejudice, and stereotyping of various kinds.  However, he found that the version of the </w:t>
      </w:r>
      <w:r w:rsidRPr="00FA5D7E">
        <w:rPr>
          <w:rFonts w:cs="Times New Roman"/>
          <w:i/>
          <w:szCs w:val="24"/>
        </w:rPr>
        <w:t>MPA</w:t>
      </w:r>
      <w:r w:rsidRPr="00FA5D7E">
        <w:rPr>
          <w:rFonts w:cs="Times New Roman"/>
          <w:szCs w:val="24"/>
        </w:rPr>
        <w:t xml:space="preserve"> then in force properly accommodated the claimant’s circumstances.  It reflected the differences between common law relationships and marriage and respected the fundamental autonomy and dignity of common law spouses.  In Bastarache J.’s view, despite the functional similarities between common law and married spouses, there was a fundamental difference between the two groups.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On this point, Bastarache J. noted that the </w:t>
      </w:r>
      <w:r w:rsidRPr="00FA5D7E">
        <w:rPr>
          <w:rFonts w:cs="Times New Roman"/>
          <w:i/>
          <w:szCs w:val="24"/>
        </w:rPr>
        <w:t xml:space="preserve">MPA </w:t>
      </w:r>
      <w:r w:rsidRPr="00FA5D7E">
        <w:rPr>
          <w:rFonts w:cs="Times New Roman"/>
          <w:szCs w:val="24"/>
        </w:rPr>
        <w:t xml:space="preserve">deemed all marriages to be economic partnerships and thus imposed a significant alteration to the former </w:t>
      </w:r>
      <w:r w:rsidRPr="00FA5D7E">
        <w:rPr>
          <w:rFonts w:cs="Times New Roman"/>
          <w:i/>
          <w:szCs w:val="24"/>
        </w:rPr>
        <w:t>status quo</w:t>
      </w:r>
      <w:r w:rsidRPr="00FA5D7E">
        <w:rPr>
          <w:rFonts w:cs="Times New Roman"/>
          <w:szCs w:val="24"/>
        </w:rPr>
        <w:t xml:space="preserve"> of married persons’ proprietary rights and obligations.  Those statutorily created restrictions, obligations and rights arose at the time of the marriage and continued throughout the duration of the marriage until separation or death.  According to Bastarache J., “[t]he decision to marry, which necessarily requires the consent of each spouse, encapsulates within it the spouses’ consent to be bound by the proprietary regime that the </w:t>
      </w:r>
      <w:r w:rsidRPr="00FA5D7E">
        <w:rPr>
          <w:rFonts w:cs="Times New Roman"/>
          <w:i/>
          <w:szCs w:val="24"/>
        </w:rPr>
        <w:t>MPA</w:t>
      </w:r>
      <w:r w:rsidRPr="00FA5D7E">
        <w:rPr>
          <w:rFonts w:cs="Times New Roman"/>
          <w:szCs w:val="24"/>
        </w:rPr>
        <w:t xml:space="preserve"> creates”: </w:t>
      </w:r>
      <w:r w:rsidRPr="00FA5D7E">
        <w:rPr>
          <w:rFonts w:cs="Times New Roman"/>
          <w:i/>
          <w:szCs w:val="24"/>
        </w:rPr>
        <w:t>Walsh</w:t>
      </w:r>
      <w:r w:rsidRPr="00FA5D7E">
        <w:rPr>
          <w:rFonts w:cs="Times New Roman"/>
          <w:szCs w:val="24"/>
        </w:rPr>
        <w:t xml:space="preserve">, at para. 48.  This was a fundamental difference between married couples and unmarried couples; the former had chosen to be bound by the </w:t>
      </w:r>
      <w:r w:rsidRPr="00FA5D7E">
        <w:rPr>
          <w:rFonts w:cs="Times New Roman"/>
          <w:i/>
          <w:szCs w:val="24"/>
        </w:rPr>
        <w:t>MPA</w:t>
      </w:r>
      <w:r w:rsidRPr="00FA5D7E">
        <w:rPr>
          <w:rFonts w:cs="Times New Roman"/>
          <w:szCs w:val="24"/>
        </w:rPr>
        <w:t>, while the latter had not given their consent to be so bound.</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iCs/>
          <w:szCs w:val="24"/>
        </w:rPr>
        <w:t xml:space="preserve">Moreover, common law spouses who were unwilling to marry but wanted to modify their proprietary rights and obligations had various alternatives for clearly expressing their agreement.  They could own property jointly or enter into domestic contracts that could be enforced pursuant to the </w:t>
      </w:r>
      <w:r w:rsidRPr="00FA5D7E">
        <w:rPr>
          <w:rFonts w:cs="Times New Roman"/>
          <w:i/>
          <w:iCs/>
          <w:szCs w:val="24"/>
        </w:rPr>
        <w:t>Maintenance and Custody Act</w:t>
      </w:r>
      <w:r w:rsidRPr="00FA5D7E">
        <w:rPr>
          <w:rFonts w:cs="Times New Roman"/>
          <w:iCs/>
          <w:szCs w:val="24"/>
        </w:rPr>
        <w:t>, R.S.N.S. 1989, c. 160 (“</w:t>
      </w:r>
      <w:r w:rsidRPr="00FA5D7E">
        <w:rPr>
          <w:rFonts w:cs="Times New Roman"/>
          <w:i/>
          <w:iCs/>
          <w:szCs w:val="24"/>
        </w:rPr>
        <w:t>MCA</w:t>
      </w:r>
      <w:r w:rsidRPr="00FA5D7E">
        <w:rPr>
          <w:rFonts w:cs="Times New Roman"/>
          <w:iCs/>
          <w:szCs w:val="24"/>
        </w:rPr>
        <w:t xml:space="preserve">”), s. 52(1), and the </w:t>
      </w:r>
      <w:r w:rsidRPr="00FA5D7E">
        <w:rPr>
          <w:rFonts w:cs="Times New Roman"/>
          <w:i/>
          <w:iCs/>
          <w:szCs w:val="24"/>
        </w:rPr>
        <w:t>Maintenance Enforcement Act</w:t>
      </w:r>
      <w:r w:rsidRPr="00FA5D7E">
        <w:rPr>
          <w:rFonts w:cs="Times New Roman"/>
          <w:iCs/>
          <w:szCs w:val="24"/>
        </w:rPr>
        <w:t>, S.N.S. 1994</w:t>
      </w:r>
      <w:r w:rsidRPr="00FA5D7E">
        <w:rPr>
          <w:rFonts w:cs="Times New Roman"/>
          <w:iCs/>
          <w:szCs w:val="24"/>
        </w:rPr>
        <w:noBreakHyphen/>
        <w:t>95, c. 6 (“</w:t>
      </w:r>
      <w:r w:rsidRPr="00FA5D7E">
        <w:rPr>
          <w:rFonts w:cs="Times New Roman"/>
          <w:i/>
          <w:iCs/>
          <w:szCs w:val="24"/>
        </w:rPr>
        <w:t>MEA</w:t>
      </w:r>
      <w:r w:rsidRPr="00FA5D7E">
        <w:rPr>
          <w:rFonts w:cs="Times New Roman"/>
          <w:iCs/>
          <w:szCs w:val="24"/>
        </w:rPr>
        <w:t>”), s. 2(</w:t>
      </w:r>
      <w:r w:rsidRPr="000316AD">
        <w:rPr>
          <w:rFonts w:cs="Times New Roman"/>
          <w:iCs/>
          <w:szCs w:val="24"/>
        </w:rPr>
        <w:t>e</w:t>
      </w:r>
      <w:r w:rsidRPr="00FA5D7E">
        <w:rPr>
          <w:rFonts w:cs="Times New Roman"/>
          <w:iCs/>
          <w:szCs w:val="24"/>
        </w:rPr>
        <w:t xml:space="preserve">).  Bastarache J. also took note of the recent </w:t>
      </w:r>
      <w:r w:rsidRPr="00FA5D7E">
        <w:rPr>
          <w:rFonts w:cs="Times New Roman"/>
          <w:i/>
          <w:iCs/>
          <w:szCs w:val="24"/>
        </w:rPr>
        <w:t>Law Reform (2000) Act</w:t>
      </w:r>
      <w:r w:rsidRPr="00FA5D7E">
        <w:rPr>
          <w:rFonts w:cs="Times New Roman"/>
          <w:iCs/>
          <w:szCs w:val="24"/>
        </w:rPr>
        <w:t>, S.N.S. 2000, c. 29 (“</w:t>
      </w:r>
      <w:r w:rsidRPr="00FA5D7E">
        <w:rPr>
          <w:rFonts w:cs="Times New Roman"/>
          <w:i/>
          <w:iCs/>
          <w:szCs w:val="24"/>
        </w:rPr>
        <w:t>LRA</w:t>
      </w:r>
      <w:r w:rsidRPr="00FA5D7E">
        <w:rPr>
          <w:rFonts w:cs="Times New Roman"/>
          <w:iCs/>
          <w:szCs w:val="24"/>
        </w:rPr>
        <w:t xml:space="preserve">”), as a contextual consideration.  Under the </w:t>
      </w:r>
      <w:r w:rsidRPr="00FA5D7E">
        <w:rPr>
          <w:rFonts w:cs="Times New Roman"/>
          <w:i/>
          <w:iCs/>
          <w:szCs w:val="24"/>
        </w:rPr>
        <w:t>LRA</w:t>
      </w:r>
      <w:r w:rsidRPr="00FA5D7E">
        <w:rPr>
          <w:rFonts w:cs="Times New Roman"/>
          <w:iCs/>
          <w:szCs w:val="24"/>
        </w:rPr>
        <w:t xml:space="preserve">, common law partners who decided to register their partnerships under the </w:t>
      </w:r>
      <w:r w:rsidRPr="00FA5D7E">
        <w:rPr>
          <w:rFonts w:cs="Times New Roman"/>
          <w:i/>
          <w:iCs/>
          <w:szCs w:val="24"/>
        </w:rPr>
        <w:t>Vital Statistics Act</w:t>
      </w:r>
      <w:r w:rsidRPr="00FA5D7E">
        <w:rPr>
          <w:rFonts w:cs="Times New Roman"/>
          <w:iCs/>
          <w:szCs w:val="24"/>
        </w:rPr>
        <w:t xml:space="preserve">, R.S.N.S. 1989, c. 494, thereby became subject to the </w:t>
      </w:r>
      <w:r w:rsidRPr="00FA5D7E">
        <w:rPr>
          <w:rFonts w:cs="Times New Roman"/>
          <w:i/>
          <w:iCs/>
          <w:szCs w:val="24"/>
        </w:rPr>
        <w:t>MPA</w:t>
      </w:r>
      <w:r w:rsidRPr="00FA5D7E">
        <w:rPr>
          <w:rFonts w:cs="Times New Roman"/>
          <w:iCs/>
          <w:szCs w:val="24"/>
        </w:rPr>
        <w:t>.  There were therefore several options available to common law spouses who wished to avoid the application of the general principle that people who do not take consensual action maintain the right to deal with their property as they see fit.  On this basis, Bastarache J. stated that the legislation corresponded to the free choice of the individuals involved and to their actual situation:</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r>
      <w:r w:rsidRPr="00FA5D7E">
        <w:rPr>
          <w:szCs w:val="24"/>
          <w:lang w:val="en-CA"/>
        </w:rPr>
        <w:tab/>
        <w:t xml:space="preserve">The </w:t>
      </w:r>
      <w:r w:rsidRPr="00FA5D7E">
        <w:rPr>
          <w:i/>
          <w:szCs w:val="24"/>
          <w:lang w:val="en-CA"/>
        </w:rPr>
        <w:t>MPA</w:t>
      </w:r>
      <w:r w:rsidRPr="00FA5D7E">
        <w:rPr>
          <w:szCs w:val="24"/>
          <w:lang w:val="en-CA"/>
        </w:rPr>
        <w:t>, then, can be viewed as creating a shared property regime that is tailored to persons who have taken a mutual positive step to invoke it.  Conversely, it excludes from its ambit those persons who have not taken such a step.  This requirement of consensus, be it through marriage or registration of a domestic partnership, enhances rather than diminishes respect for the autonomy and self</w:t>
      </w:r>
      <w:r w:rsidRPr="00FA5D7E">
        <w:rPr>
          <w:szCs w:val="24"/>
          <w:lang w:val="en-CA"/>
        </w:rPr>
        <w:noBreakHyphen/>
        <w:t xml:space="preserve">determination of unmarried cohabitants and their ability to live in relationships of their own design.  As Iacobucci J. phrased it in </w:t>
      </w:r>
      <w:r w:rsidRPr="00FA5D7E">
        <w:rPr>
          <w:i/>
          <w:szCs w:val="24"/>
          <w:lang w:val="en-CA"/>
        </w:rPr>
        <w:t>Law</w:t>
      </w:r>
      <w:r w:rsidRPr="00FA5D7E">
        <w:rPr>
          <w:szCs w:val="24"/>
          <w:lang w:val="en-CA"/>
        </w:rPr>
        <w:t>, at para. 102, “[t]he law functions not by the device of stereotype, but by distinctions corresponding to the actual situation of individuals it affects.”</w:t>
      </w:r>
    </w:p>
    <w:p w:rsidR="004862B9" w:rsidRPr="00FA5D7E" w:rsidRDefault="004862B9" w:rsidP="004862B9">
      <w:pPr>
        <w:pStyle w:val="Citation-AltC"/>
        <w:ind w:hanging="1166"/>
        <w:rPr>
          <w:szCs w:val="24"/>
          <w:lang w:val="en-CA"/>
        </w:rPr>
      </w:pPr>
      <w:r w:rsidRPr="00FA5D7E">
        <w:rPr>
          <w:szCs w:val="24"/>
          <w:lang w:val="en-CA"/>
        </w:rPr>
        <w:t>(</w:t>
      </w:r>
      <w:r w:rsidRPr="00FA5D7E">
        <w:rPr>
          <w:i/>
          <w:szCs w:val="24"/>
          <w:lang w:val="en-CA"/>
        </w:rPr>
        <w:t>Walsh</w:t>
      </w:r>
      <w:r w:rsidRPr="00FA5D7E">
        <w:rPr>
          <w:szCs w:val="24"/>
          <w:lang w:val="en-CA"/>
        </w:rPr>
        <w:t>, at para. 50)</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Bastarache J. thus found that it was not stereotyping to believe that common law couples had chosen to avoid the institution of marriage:  </w:t>
      </w:r>
      <w:r w:rsidRPr="00FA5D7E">
        <w:rPr>
          <w:rFonts w:cs="Times New Roman"/>
          <w:i/>
          <w:szCs w:val="24"/>
        </w:rPr>
        <w:t>Walsh</w:t>
      </w:r>
      <w:r w:rsidRPr="00FA5D7E">
        <w:rPr>
          <w:rFonts w:cs="Times New Roman"/>
          <w:szCs w:val="24"/>
        </w:rPr>
        <w:t xml:space="preserve">, at para. 43.  Because this group was highly heterogeneous, there was no basis for arguing that even though common law spouses had not expressed a mutual intention to alter their proprietary regime, they had nevertheless implicitly chosen to be bound by the </w:t>
      </w:r>
      <w:r w:rsidRPr="00FA5D7E">
        <w:rPr>
          <w:rFonts w:cs="Times New Roman"/>
          <w:i/>
          <w:szCs w:val="24"/>
        </w:rPr>
        <w:t>MPA</w:t>
      </w:r>
      <w:r w:rsidRPr="00FA5D7E">
        <w:rPr>
          <w:rFonts w:cs="Times New Roman"/>
          <w:szCs w:val="24"/>
        </w:rPr>
        <w:t xml:space="preserve">.  Accordingly, there was no constitutional requirement that the legislature extend the protections of the </w:t>
      </w:r>
      <w:r w:rsidRPr="00FA5D7E">
        <w:rPr>
          <w:rFonts w:cs="Times New Roman"/>
          <w:i/>
          <w:szCs w:val="24"/>
        </w:rPr>
        <w:t>MPA</w:t>
      </w:r>
      <w:r w:rsidRPr="00FA5D7E">
        <w:rPr>
          <w:rFonts w:cs="Times New Roman"/>
          <w:szCs w:val="24"/>
        </w:rPr>
        <w:t xml:space="preserve"> to couples who had not expressed their consent to restrict their ability to deal with their own property during the relationship or to share their assets and liabilities should the relationship break down.  The legislature’s decision to respect the freedom of choice of common law spouses was not unconstitutional.</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Furthermore, in addition to not being based on negative stereotypes, the exclusion of unmarried couples from the </w:t>
      </w:r>
      <w:r w:rsidRPr="00FA5D7E">
        <w:rPr>
          <w:rFonts w:cs="Times New Roman"/>
          <w:i/>
          <w:szCs w:val="24"/>
        </w:rPr>
        <w:t>MPA</w:t>
      </w:r>
      <w:r w:rsidRPr="00FA5D7E">
        <w:rPr>
          <w:rFonts w:cs="Times New Roman"/>
          <w:szCs w:val="24"/>
        </w:rPr>
        <w:t xml:space="preserve"> did not promote or perpetuate the idea that they were less capable, or less worthy of respect or value as members of Canadian society.  Bastarache J. concluded that the </w:t>
      </w:r>
      <w:r w:rsidRPr="00FA5D7E">
        <w:rPr>
          <w:rFonts w:cs="Times New Roman"/>
          <w:i/>
          <w:szCs w:val="24"/>
        </w:rPr>
        <w:t>MPA</w:t>
      </w:r>
      <w:r w:rsidRPr="00FA5D7E">
        <w:rPr>
          <w:rFonts w:cs="Times New Roman"/>
          <w:szCs w:val="24"/>
        </w:rPr>
        <w:t xml:space="preserve"> was not discriminatory in light of the values — such as dignity, liberty and autonomy — that underlie the </w:t>
      </w:r>
      <w:r w:rsidRPr="00FA5D7E">
        <w:rPr>
          <w:rFonts w:cs="Times New Roman"/>
          <w:i/>
          <w:szCs w:val="24"/>
        </w:rPr>
        <w:t>Charter</w:t>
      </w:r>
      <w:r w:rsidRPr="00FA5D7E">
        <w:rPr>
          <w:rFonts w:cs="Times New Roman"/>
          <w:szCs w:val="24"/>
        </w:rPr>
        <w:t xml:space="preserve">, including s. 15 thereof.  Rather, it maintained the liberty of all spouses to make fundamental choices in their lives, thereby respecting the fundamental personal autonomy and dignity of common law spouses.  According to Bastarache J., even if the freedom to marry can sometimes be illusory, s. 15(1) did not justify eliminating an individual’s freedom of choice or imposing on common law spouses a regime designed for persons who had made an unequivocal commitment to form an equal partnership as provided for in the </w:t>
      </w:r>
      <w:r w:rsidRPr="00FA5D7E">
        <w:rPr>
          <w:rFonts w:cs="Times New Roman"/>
          <w:i/>
          <w:szCs w:val="24"/>
        </w:rPr>
        <w:t>MPA</w:t>
      </w:r>
      <w:r w:rsidRPr="00FA5D7E">
        <w:rPr>
          <w:rFonts w:cs="Times New Roman"/>
          <w:szCs w:val="24"/>
        </w:rPr>
        <w:t xml:space="preserve">:  </w:t>
      </w:r>
      <w:r w:rsidRPr="00FA5D7E">
        <w:rPr>
          <w:rFonts w:cs="Times New Roman"/>
          <w:i/>
          <w:szCs w:val="24"/>
        </w:rPr>
        <w:t>Walsh</w:t>
      </w:r>
      <w:r w:rsidRPr="00FA5D7E">
        <w:rPr>
          <w:rFonts w:cs="Times New Roman"/>
          <w:szCs w:val="24"/>
        </w:rPr>
        <w:t xml:space="preserve">, at paras. 57, 62 and 63.  Bastarache J. distinguished that case from the Court’s decisions in </w:t>
      </w:r>
      <w:r w:rsidRPr="00FA5D7E">
        <w:rPr>
          <w:rFonts w:cs="Times New Roman"/>
          <w:i/>
          <w:szCs w:val="24"/>
        </w:rPr>
        <w:t>Miron</w:t>
      </w:r>
      <w:r w:rsidRPr="00FA5D7E">
        <w:rPr>
          <w:rFonts w:cs="Times New Roman"/>
          <w:szCs w:val="24"/>
        </w:rPr>
        <w:t xml:space="preserve"> and </w:t>
      </w:r>
      <w:r w:rsidRPr="00FA5D7E">
        <w:rPr>
          <w:rFonts w:cs="Times New Roman"/>
          <w:i/>
          <w:szCs w:val="24"/>
        </w:rPr>
        <w:t>M. v. H.</w:t>
      </w:r>
      <w:r w:rsidRPr="00FA5D7E">
        <w:rPr>
          <w:rFonts w:cs="Times New Roman"/>
          <w:szCs w:val="24"/>
        </w:rPr>
        <w:t xml:space="preserve">, and concluded that the </w:t>
      </w:r>
      <w:r w:rsidRPr="00FA5D7E">
        <w:rPr>
          <w:rFonts w:cs="Times New Roman"/>
          <w:i/>
          <w:szCs w:val="24"/>
        </w:rPr>
        <w:t>MPA</w:t>
      </w:r>
      <w:r w:rsidRPr="00FA5D7E">
        <w:rPr>
          <w:rFonts w:cs="Times New Roman"/>
          <w:szCs w:val="24"/>
        </w:rPr>
        <w:t xml:space="preserve"> was not discriminatory and therefore did not conflict with s. 15(1)’s purpose of ensuring substantive equality.</w:t>
      </w:r>
    </w:p>
    <w:p w:rsidR="004862B9" w:rsidRPr="00FA5D7E" w:rsidRDefault="004862B9" w:rsidP="005649DA">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(3)</w:t>
      </w:r>
      <w:r w:rsidRPr="00FA5D7E">
        <w:rPr>
          <w:rFonts w:cs="Times New Roman"/>
          <w:szCs w:val="24"/>
          <w:lang w:val="en-CA"/>
        </w:rPr>
        <w:tab/>
      </w:r>
      <w:r w:rsidRPr="00FA5D7E">
        <w:rPr>
          <w:rFonts w:cs="Times New Roman"/>
          <w:i/>
          <w:szCs w:val="24"/>
          <w:u w:val="single"/>
          <w:lang w:val="en-CA"/>
        </w:rPr>
        <w:t>Kapp</w:t>
      </w:r>
      <w:r w:rsidRPr="00FA5D7E">
        <w:rPr>
          <w:rFonts w:cs="Times New Roman"/>
          <w:szCs w:val="24"/>
          <w:u w:val="single"/>
          <w:lang w:val="en-CA"/>
        </w:rPr>
        <w:t xml:space="preserve"> and </w:t>
      </w:r>
      <w:r w:rsidRPr="00FA5D7E">
        <w:rPr>
          <w:rFonts w:cs="Times New Roman"/>
          <w:i/>
          <w:szCs w:val="24"/>
          <w:u w:val="single"/>
          <w:lang w:val="en-CA"/>
        </w:rPr>
        <w:t>Withler</w:t>
      </w:r>
      <w:r w:rsidRPr="00FA5D7E">
        <w:rPr>
          <w:rFonts w:cs="Times New Roman"/>
          <w:szCs w:val="24"/>
          <w:u w:val="single"/>
          <w:lang w:val="en-CA"/>
        </w:rPr>
        <w:t xml:space="preserve"> and Their Impact on </w:t>
      </w:r>
      <w:r w:rsidRPr="00FA5D7E">
        <w:rPr>
          <w:rFonts w:cs="Times New Roman"/>
          <w:i/>
          <w:szCs w:val="24"/>
          <w:u w:val="single"/>
          <w:lang w:val="en-CA"/>
        </w:rPr>
        <w:t>Walsh</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my opinion, Bastarache J. would have reached the same conclusion if his analysis had been based on the reworked analytical framework from </w:t>
      </w:r>
      <w:r w:rsidRPr="00FA5D7E">
        <w:rPr>
          <w:rFonts w:cs="Times New Roman"/>
          <w:i/>
          <w:szCs w:val="24"/>
        </w:rPr>
        <w:t>Kapp</w:t>
      </w:r>
      <w:r w:rsidRPr="00FA5D7E">
        <w:rPr>
          <w:rFonts w:cs="Times New Roman"/>
          <w:szCs w:val="24"/>
        </w:rPr>
        <w:t xml:space="preserve"> and </w:t>
      </w:r>
      <w:r w:rsidRPr="00FA5D7E">
        <w:rPr>
          <w:rFonts w:cs="Times New Roman"/>
          <w:i/>
          <w:szCs w:val="24"/>
        </w:rPr>
        <w:t>Withler</w:t>
      </w:r>
      <w:r w:rsidRPr="00FA5D7E">
        <w:rPr>
          <w:rFonts w:cs="Times New Roman"/>
          <w:szCs w:val="24"/>
        </w:rPr>
        <w:t xml:space="preserve">.  Although the </w:t>
      </w:r>
      <w:r w:rsidRPr="00FA5D7E">
        <w:rPr>
          <w:rFonts w:cs="Times New Roman"/>
          <w:i/>
          <w:szCs w:val="24"/>
        </w:rPr>
        <w:t>MPA</w:t>
      </w:r>
      <w:r w:rsidRPr="00FA5D7E">
        <w:rPr>
          <w:rFonts w:cs="Times New Roman"/>
          <w:szCs w:val="24"/>
        </w:rPr>
        <w:t xml:space="preserve"> imposed differential treatment based on an analogous ground, that distinction did not create a disadvantage by perpetuating prejudice or stereotyping</w:t>
      </w:r>
      <w:r w:rsidRPr="00FA5D7E">
        <w:rPr>
          <w:rFonts w:cs="Times New Roman"/>
          <w:iCs/>
          <w:szCs w:val="24"/>
        </w:rPr>
        <w:t xml:space="preserve">.  Bastarache J.’s analysis of the </w:t>
      </w:r>
      <w:r w:rsidRPr="00FA5D7E">
        <w:rPr>
          <w:rFonts w:cs="Times New Roman"/>
          <w:i/>
          <w:iCs/>
          <w:szCs w:val="24"/>
        </w:rPr>
        <w:t>MPA</w:t>
      </w:r>
      <w:r w:rsidRPr="00FA5D7E">
        <w:rPr>
          <w:rFonts w:cs="Times New Roman"/>
          <w:iCs/>
          <w:szCs w:val="24"/>
        </w:rPr>
        <w:t xml:space="preserve"> is therefore consistent with the decisions rendered after </w:t>
      </w:r>
      <w:r w:rsidRPr="00FA5D7E">
        <w:rPr>
          <w:rFonts w:cs="Times New Roman"/>
          <w:i/>
          <w:iCs/>
          <w:szCs w:val="24"/>
        </w:rPr>
        <w:t>Walsh</w:t>
      </w:r>
      <w:r w:rsidRPr="00FA5D7E">
        <w:rPr>
          <w:rFonts w:cs="Times New Roman"/>
          <w:iCs/>
          <w:szCs w:val="24"/>
        </w:rPr>
        <w:t xml:space="preserve"> and with the principle of substantive equality, which “insists on going behind the facade of similarities and differences [and] asks not only what characteristics the different treatment is predicated upon, but also whether those characteristics are relevant considerations under the circumstances”:  </w:t>
      </w:r>
      <w:r w:rsidRPr="00FA5D7E">
        <w:rPr>
          <w:rFonts w:cs="Times New Roman"/>
          <w:i/>
          <w:iCs/>
          <w:szCs w:val="24"/>
        </w:rPr>
        <w:t>Withler</w:t>
      </w:r>
      <w:r w:rsidRPr="00FA5D7E">
        <w:rPr>
          <w:rFonts w:cs="Times New Roman"/>
          <w:iCs/>
          <w:szCs w:val="24"/>
        </w:rPr>
        <w:t xml:space="preserve">, at para. 39.  As I mentioned above, this analysis was based on the wish to promote substantive equality that was also the basis for </w:t>
      </w:r>
      <w:r w:rsidRPr="00FA5D7E">
        <w:rPr>
          <w:rFonts w:cs="Times New Roman"/>
          <w:i/>
          <w:iCs/>
          <w:szCs w:val="24"/>
        </w:rPr>
        <w:t>Law</w:t>
      </w:r>
      <w:r w:rsidRPr="00FA5D7E">
        <w:rPr>
          <w:rFonts w:cs="Times New Roman"/>
          <w:iCs/>
          <w:szCs w:val="24"/>
        </w:rPr>
        <w:t xml:space="preserve">, despite the conceptual difficulties and problems of application that led to </w:t>
      </w:r>
      <w:r w:rsidRPr="00FA5D7E">
        <w:rPr>
          <w:rFonts w:cs="Times New Roman"/>
          <w:i/>
          <w:iCs/>
          <w:szCs w:val="24"/>
        </w:rPr>
        <w:t xml:space="preserve">Kapp </w:t>
      </w:r>
      <w:r w:rsidRPr="00FA5D7E">
        <w:rPr>
          <w:rFonts w:cs="Times New Roman"/>
          <w:iCs/>
          <w:szCs w:val="24"/>
        </w:rPr>
        <w:t xml:space="preserve">and </w:t>
      </w:r>
      <w:r w:rsidRPr="00FA5D7E">
        <w:rPr>
          <w:rFonts w:cs="Times New Roman"/>
          <w:i/>
          <w:iCs/>
          <w:szCs w:val="24"/>
        </w:rPr>
        <w:t>Withler</w:t>
      </w:r>
      <w:r w:rsidRPr="00FA5D7E">
        <w:rPr>
          <w:rFonts w:cs="Times New Roman"/>
          <w:iCs/>
          <w:szCs w:val="24"/>
        </w:rPr>
        <w: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w:t>
      </w:r>
      <w:r w:rsidRPr="00FA5D7E">
        <w:rPr>
          <w:rFonts w:eastAsiaTheme="minorHAnsi" w:cs="Times New Roman"/>
          <w:i/>
          <w:szCs w:val="24"/>
        </w:rPr>
        <w:t>Walsh</w:t>
      </w:r>
      <w:r w:rsidRPr="00FA5D7E">
        <w:rPr>
          <w:rFonts w:cs="Times New Roman"/>
          <w:szCs w:val="24"/>
        </w:rPr>
        <w:t xml:space="preserve">, the </w:t>
      </w:r>
      <w:r w:rsidRPr="00FA5D7E">
        <w:rPr>
          <w:rFonts w:eastAsiaTheme="minorHAnsi" w:cs="Times New Roman"/>
          <w:i/>
          <w:szCs w:val="24"/>
        </w:rPr>
        <w:t>MPA</w:t>
      </w:r>
      <w:r w:rsidRPr="00FA5D7E">
        <w:rPr>
          <w:rFonts w:cs="Times New Roman"/>
          <w:szCs w:val="24"/>
        </w:rPr>
        <w:t xml:space="preserve"> did not have the effect of favouring marriage at the expense of cohabitation or of denying the worth of common law relationships.  Nor did it draw distinctions that caused a disadvantage by perpetuating prejudice.  According to Bastarache J., the Nova Scotia legislature was not favouring one form of relationship over another.  It was merely defining the legal content of relationships and providing that any individuals in a conjugal relationship could, without changing their marital status, make a consensual choice to avail themselves of rights, obligations and restrictions analogous to the ones contained in the </w:t>
      </w:r>
      <w:r w:rsidRPr="00FA5D7E">
        <w:rPr>
          <w:rFonts w:cs="Times New Roman"/>
          <w:i/>
          <w:szCs w:val="24"/>
        </w:rPr>
        <w:t>MPA</w:t>
      </w:r>
      <w:r w:rsidRPr="00FA5D7E">
        <w:rPr>
          <w:rFonts w:cs="Times New Roman"/>
          <w:szCs w:val="24"/>
        </w:rPr>
        <w:t>.  As a result, the law did not favour one form of relationship over another or express any prejudice against common law relationships.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Nova Scotia, as Bastarache J. demonstrated, the legislature had defined the content and consequences of various forms of relationship but had not favoured one form over another.  Marriage and the registration of a common law partnership triggered the mutual rights, obligations and restrictions set out in the </w:t>
      </w:r>
      <w:r w:rsidRPr="00FA5D7E">
        <w:rPr>
          <w:rFonts w:cs="Times New Roman"/>
          <w:i/>
          <w:szCs w:val="24"/>
        </w:rPr>
        <w:t>MPA</w:t>
      </w:r>
      <w:r w:rsidRPr="00FA5D7E">
        <w:rPr>
          <w:rFonts w:cs="Times New Roman"/>
          <w:szCs w:val="24"/>
        </w:rPr>
        <w:t xml:space="preserve">, including the presumption of equal division of property should the relationship break down.  Common law couples could also transform their relationships into economic partnerships as contemplated in the </w:t>
      </w:r>
      <w:r w:rsidRPr="00FA5D7E">
        <w:rPr>
          <w:rFonts w:cs="Times New Roman"/>
          <w:i/>
          <w:szCs w:val="24"/>
        </w:rPr>
        <w:t xml:space="preserve">MPA </w:t>
      </w:r>
      <w:r w:rsidRPr="00FA5D7E">
        <w:rPr>
          <w:rFonts w:cs="Times New Roman"/>
          <w:szCs w:val="24"/>
        </w:rPr>
        <w:t xml:space="preserve">by entering into domestic contracts that could be enforced under the </w:t>
      </w:r>
      <w:r w:rsidRPr="00FA5D7E">
        <w:rPr>
          <w:rFonts w:cs="Times New Roman"/>
          <w:i/>
          <w:szCs w:val="24"/>
        </w:rPr>
        <w:t>MCA</w:t>
      </w:r>
      <w:r w:rsidRPr="00FA5D7E">
        <w:rPr>
          <w:rFonts w:cs="Times New Roman"/>
          <w:szCs w:val="24"/>
        </w:rPr>
        <w:t xml:space="preserve"> and the </w:t>
      </w:r>
      <w:r w:rsidRPr="00FA5D7E">
        <w:rPr>
          <w:rFonts w:cs="Times New Roman"/>
          <w:i/>
          <w:szCs w:val="24"/>
        </w:rPr>
        <w:t>MEA</w:t>
      </w:r>
      <w:r w:rsidRPr="00FA5D7E">
        <w:rPr>
          <w:rFonts w:cs="Times New Roman"/>
          <w:szCs w:val="24"/>
        </w:rPr>
        <w:t xml:space="preserve">.  They could also purchase property jointly.  The legislation did not establish an unacceptable hierarchy among the various forms of conjugal relationships.  By expressing a consensual choice or intention, spouses could opt in to the regime of their choice to which the rights and obligations established by the legislature applied.  </w:t>
      </w:r>
      <w:r w:rsidRPr="00FA5D7E">
        <w:rPr>
          <w:rFonts w:cs="Times New Roman"/>
          <w:i/>
          <w:szCs w:val="24"/>
        </w:rPr>
        <w:t>Walsh</w:t>
      </w:r>
      <w:r w:rsidRPr="00FA5D7E">
        <w:rPr>
          <w:rFonts w:cs="Times New Roman"/>
          <w:szCs w:val="24"/>
        </w:rPr>
        <w:t xml:space="preserve"> was thus based on a principle of freedom to choose between different marital statuses that had different consequences for spouses, and that principle did not in this context infringe the constitutional equality guarantee.  The principle in question continues to be valid in the circumstances of the case at bar despite the subsequent developments in the case law.</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this regard, </w:t>
      </w:r>
      <w:r w:rsidRPr="00FA5D7E">
        <w:rPr>
          <w:rFonts w:cs="Times New Roman"/>
          <w:i/>
          <w:szCs w:val="24"/>
        </w:rPr>
        <w:t>Walsh</w:t>
      </w:r>
      <w:r w:rsidRPr="00FA5D7E">
        <w:rPr>
          <w:rFonts w:cs="Times New Roman"/>
          <w:szCs w:val="24"/>
        </w:rPr>
        <w:t xml:space="preserve"> differed significantly from </w:t>
      </w:r>
      <w:r w:rsidRPr="00FA5D7E">
        <w:rPr>
          <w:rFonts w:cs="Times New Roman"/>
          <w:i/>
          <w:szCs w:val="24"/>
        </w:rPr>
        <w:t>Miron</w:t>
      </w:r>
      <w:r w:rsidRPr="00FA5D7E">
        <w:rPr>
          <w:rFonts w:cs="Times New Roman"/>
          <w:szCs w:val="24"/>
        </w:rPr>
        <w:t xml:space="preserve">.  In the </w:t>
      </w:r>
      <w:r w:rsidRPr="00FA5D7E">
        <w:rPr>
          <w:rFonts w:cs="Times New Roman"/>
          <w:i/>
          <w:szCs w:val="24"/>
        </w:rPr>
        <w:t>Insurance Act</w:t>
      </w:r>
      <w:r w:rsidRPr="00FA5D7E">
        <w:rPr>
          <w:rFonts w:cs="Times New Roman"/>
          <w:szCs w:val="24"/>
        </w:rPr>
        <w:t xml:space="preserve">, R.S.O. 1980, c. 218, the Ontario legislature had not defined the content of relationships (that is, the relations between the members of a couple).  Instead, it had favoured marriage over common law relationships by limiting benefits under an automobile insurance plan on the basis of marital status to those who were married.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common law spouses in </w:t>
      </w:r>
      <w:r w:rsidRPr="00FA5D7E">
        <w:rPr>
          <w:rFonts w:cs="Times New Roman"/>
          <w:i/>
          <w:szCs w:val="24"/>
        </w:rPr>
        <w:t>Miron</w:t>
      </w:r>
      <w:r w:rsidRPr="00FA5D7E">
        <w:rPr>
          <w:rFonts w:cs="Times New Roman"/>
          <w:szCs w:val="24"/>
        </w:rPr>
        <w:t xml:space="preserve"> had therefore been excluded from certain provisions relating to automobile insurance because they were not married, a ground that was in all probability irrelevant to automobile insurance.  As Bastarache J. pointed out in </w:t>
      </w:r>
      <w:r w:rsidRPr="00FA5D7E">
        <w:rPr>
          <w:rFonts w:cs="Times New Roman"/>
          <w:i/>
          <w:szCs w:val="24"/>
        </w:rPr>
        <w:t>Walsh</w:t>
      </w:r>
      <w:r w:rsidRPr="00FA5D7E">
        <w:rPr>
          <w:rFonts w:cs="Times New Roman"/>
          <w:szCs w:val="24"/>
        </w:rPr>
        <w:t xml:space="preserve">, “[t]he marital status of the couple should have had no bearing on the availability of the benefit”:  para. 53.  In the legislation at issue in </w:t>
      </w:r>
      <w:r w:rsidRPr="00FA5D7E">
        <w:rPr>
          <w:rFonts w:cs="Times New Roman"/>
          <w:i/>
          <w:szCs w:val="24"/>
        </w:rPr>
        <w:t>Miron</w:t>
      </w:r>
      <w:r w:rsidRPr="00FA5D7E">
        <w:rPr>
          <w:rFonts w:cs="Times New Roman"/>
          <w:szCs w:val="24"/>
        </w:rPr>
        <w:t xml:space="preserve">, the Ontario legislature had not defined the legal content of the spouses’ relationship with one another.  Rather, it had given one class of couples a privilege that expressed or perpetuated prejudice in favour of marriage and against common law relationships.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Bastarache J. then observed that the </w:t>
      </w:r>
      <w:r w:rsidRPr="00FA5D7E">
        <w:rPr>
          <w:rFonts w:cs="Times New Roman"/>
          <w:i/>
          <w:szCs w:val="24"/>
        </w:rPr>
        <w:t>MPA</w:t>
      </w:r>
      <w:r w:rsidRPr="00FA5D7E">
        <w:rPr>
          <w:rFonts w:cs="Times New Roman"/>
          <w:szCs w:val="24"/>
        </w:rPr>
        <w:t xml:space="preserve"> was not based on stereotypes about common law spouses.  To support that conclusion, he considered the contextual factor of correspondence and found that it was not stereotyping to believe that common law couples had chosen to avoid the institution of marriage.  The common law spouses in that case had not expressed a consensual intention to change their legal property relationship in any of the ways established by the government, one of which would have been to enter into a domestic contract as a common law couple.  Thus, in distinguishing between married and unmarried spouses, the </w:t>
      </w:r>
      <w:r w:rsidRPr="00FA5D7E">
        <w:rPr>
          <w:rFonts w:cs="Times New Roman"/>
          <w:i/>
          <w:szCs w:val="24"/>
        </w:rPr>
        <w:t>MPA</w:t>
      </w:r>
      <w:r w:rsidRPr="00FA5D7E">
        <w:rPr>
          <w:rFonts w:cs="Times New Roman"/>
          <w:szCs w:val="24"/>
        </w:rPr>
        <w:t xml:space="preserve"> was not based on a stereotype that did not correspond to the actual circumstances and characteristics of common law spouses.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i/>
          <w:szCs w:val="24"/>
        </w:rPr>
        <w:t>Walsh</w:t>
      </w:r>
      <w:r w:rsidRPr="00FA5D7E">
        <w:rPr>
          <w:rFonts w:cs="Times New Roman"/>
          <w:szCs w:val="24"/>
        </w:rPr>
        <w:t xml:space="preserve"> can be distinguished in a similar way from </w:t>
      </w:r>
      <w:r w:rsidRPr="00FA5D7E">
        <w:rPr>
          <w:rFonts w:cs="Times New Roman"/>
          <w:i/>
          <w:szCs w:val="24"/>
        </w:rPr>
        <w:t>M. v. H.</w:t>
      </w:r>
      <w:r w:rsidRPr="00FA5D7E">
        <w:rPr>
          <w:rFonts w:cs="Times New Roman"/>
          <w:szCs w:val="24"/>
        </w:rPr>
        <w:t xml:space="preserve">, in which the Ontario legislature had limited certain provisions of the </w:t>
      </w:r>
      <w:r w:rsidRPr="00FA5D7E">
        <w:rPr>
          <w:rFonts w:cs="Times New Roman"/>
          <w:i/>
          <w:szCs w:val="24"/>
        </w:rPr>
        <w:t>Family Law Act</w:t>
      </w:r>
      <w:r w:rsidRPr="00FA5D7E">
        <w:rPr>
          <w:rFonts w:cs="Times New Roman"/>
          <w:szCs w:val="24"/>
        </w:rPr>
        <w:t>,</w:t>
      </w:r>
      <w:r w:rsidRPr="00FA5D7E">
        <w:rPr>
          <w:rFonts w:cs="Times New Roman"/>
          <w:i/>
          <w:szCs w:val="24"/>
        </w:rPr>
        <w:t xml:space="preserve"> </w:t>
      </w:r>
      <w:r w:rsidRPr="00FA5D7E">
        <w:rPr>
          <w:rFonts w:cs="Times New Roman"/>
          <w:szCs w:val="24"/>
        </w:rPr>
        <w:t>R.S.O. 1990, c. F.3 (“</w:t>
      </w:r>
      <w:r w:rsidRPr="00FA5D7E">
        <w:rPr>
          <w:rFonts w:cs="Times New Roman"/>
          <w:i/>
          <w:szCs w:val="24"/>
        </w:rPr>
        <w:t>FLA</w:t>
      </w:r>
      <w:r w:rsidRPr="00FA5D7E">
        <w:rPr>
          <w:rFonts w:cs="Times New Roman"/>
          <w:szCs w:val="24"/>
        </w:rPr>
        <w:t xml:space="preserve">”), to heterosexual common law couples.  More specifically, the </w:t>
      </w:r>
      <w:r w:rsidRPr="00FA5D7E">
        <w:rPr>
          <w:rFonts w:cs="Times New Roman"/>
          <w:i/>
          <w:szCs w:val="24"/>
        </w:rPr>
        <w:t>FLA</w:t>
      </w:r>
      <w:r w:rsidRPr="00FA5D7E">
        <w:rPr>
          <w:rFonts w:cs="Times New Roman"/>
          <w:szCs w:val="24"/>
        </w:rPr>
        <w:t xml:space="preserve"> had given opposite</w:t>
      </w:r>
      <w:r w:rsidRPr="00FA5D7E">
        <w:rPr>
          <w:rFonts w:cs="Times New Roman"/>
          <w:szCs w:val="24"/>
        </w:rPr>
        <w:noBreakHyphen/>
        <w:t>sex common law spouses, but not same</w:t>
      </w:r>
      <w:r w:rsidRPr="00FA5D7E">
        <w:rPr>
          <w:rFonts w:cs="Times New Roman"/>
          <w:szCs w:val="24"/>
        </w:rPr>
        <w:noBreakHyphen/>
        <w:t>sex common law spouses, the right to seek support if their relationship broke down.  The possibility of obtaining support had thus been extended “beyond married persons to include individuals in conjugal opposite</w:t>
      </w:r>
      <w:r w:rsidRPr="00FA5D7E">
        <w:rPr>
          <w:rFonts w:cs="Times New Roman"/>
          <w:szCs w:val="24"/>
        </w:rPr>
        <w:noBreakHyphen/>
        <w:t xml:space="preserve">sex relationships of some permanence”:  </w:t>
      </w:r>
      <w:r w:rsidRPr="00FA5D7E">
        <w:rPr>
          <w:rFonts w:cs="Times New Roman"/>
          <w:i/>
          <w:szCs w:val="24"/>
        </w:rPr>
        <w:t>M. v. H.</w:t>
      </w:r>
      <w:r w:rsidRPr="00FA5D7E">
        <w:rPr>
          <w:rFonts w:cs="Times New Roman"/>
          <w:szCs w:val="24"/>
        </w:rPr>
        <w:t>, at para. 2; see also para. 52.  This differential treatment of same</w:t>
      </w:r>
      <w:r w:rsidRPr="00FA5D7E">
        <w:rPr>
          <w:rFonts w:cs="Times New Roman"/>
          <w:szCs w:val="24"/>
        </w:rPr>
        <w:noBreakHyphen/>
        <w:t>sex and opposite</w:t>
      </w:r>
      <w:r w:rsidRPr="00FA5D7E">
        <w:rPr>
          <w:rFonts w:cs="Times New Roman"/>
          <w:szCs w:val="24"/>
        </w:rPr>
        <w:noBreakHyphen/>
        <w:t>sex common law spouses was based on the analogous ground of sexual orientation.</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 </w:t>
      </w:r>
      <w:r w:rsidRPr="00FA5D7E">
        <w:rPr>
          <w:rFonts w:cs="Times New Roman"/>
          <w:i/>
          <w:szCs w:val="24"/>
        </w:rPr>
        <w:t>FLA</w:t>
      </w:r>
      <w:r w:rsidRPr="00FA5D7E">
        <w:rPr>
          <w:rFonts w:cs="Times New Roman"/>
          <w:szCs w:val="24"/>
        </w:rPr>
        <w:t xml:space="preserve">, the legislature had defined a common law relationship as a conjugal relationship of some permanence.  This form of relationship entitled the spouses to support if they ceased living together.  Individuals who decided to live in a common law relationship were therefore covered by provisions of the </w:t>
      </w:r>
      <w:r w:rsidRPr="00FA5D7E">
        <w:rPr>
          <w:rFonts w:cs="Times New Roman"/>
          <w:i/>
          <w:szCs w:val="24"/>
        </w:rPr>
        <w:t>FLA</w:t>
      </w:r>
      <w:r w:rsidRPr="00FA5D7E">
        <w:rPr>
          <w:rFonts w:cs="Times New Roman"/>
          <w:szCs w:val="24"/>
        </w:rPr>
        <w:t xml:space="preserve"> that entitled them to apply to a court for support.  Although same</w:t>
      </w:r>
      <w:r w:rsidRPr="00FA5D7E">
        <w:rPr>
          <w:rFonts w:cs="Times New Roman"/>
          <w:szCs w:val="24"/>
        </w:rPr>
        <w:noBreakHyphen/>
        <w:t xml:space="preserve">sex common law spouses could choose to enter into a relationship similar to the one defined in the </w:t>
      </w:r>
      <w:r w:rsidRPr="00FA5D7E">
        <w:rPr>
          <w:rFonts w:cs="Times New Roman"/>
          <w:i/>
          <w:szCs w:val="24"/>
        </w:rPr>
        <w:t>FLA</w:t>
      </w:r>
      <w:r w:rsidRPr="00FA5D7E">
        <w:rPr>
          <w:rFonts w:cs="Times New Roman"/>
          <w:szCs w:val="24"/>
        </w:rPr>
        <w:t>, they were denied the benefit of that support remedy.  A majority of the Court held that the exclusion of same</w:t>
      </w:r>
      <w:r w:rsidRPr="00FA5D7E">
        <w:rPr>
          <w:rFonts w:cs="Times New Roman"/>
          <w:szCs w:val="24"/>
        </w:rPr>
        <w:noBreakHyphen/>
        <w:t xml:space="preserve">sex common law spouses “implies that they are judged to be incapable of forming intimate relationships of economic interdependence, without regard to their actual circumstances”:  </w:t>
      </w:r>
      <w:r w:rsidRPr="00FA5D7E">
        <w:rPr>
          <w:rFonts w:cs="Times New Roman"/>
          <w:i/>
          <w:szCs w:val="24"/>
        </w:rPr>
        <w:t>M. v. H.</w:t>
      </w:r>
      <w:r w:rsidRPr="00FA5D7E">
        <w:rPr>
          <w:rFonts w:cs="Times New Roman"/>
          <w:szCs w:val="24"/>
        </w:rPr>
        <w:t>, at para. 3.  Since “[b]eing in a same</w:t>
      </w:r>
      <w:r w:rsidRPr="00FA5D7E">
        <w:rPr>
          <w:rFonts w:cs="Times New Roman"/>
          <w:szCs w:val="24"/>
        </w:rPr>
        <w:noBreakHyphen/>
        <w:t>sex relationship does not mean that it is an impermanent or a non</w:t>
      </w:r>
      <w:r w:rsidRPr="00FA5D7E">
        <w:rPr>
          <w:rFonts w:cs="Times New Roman"/>
          <w:szCs w:val="24"/>
        </w:rPr>
        <w:noBreakHyphen/>
        <w:t>conjugal relationship” (</w:t>
      </w:r>
      <w:r w:rsidRPr="00FA5D7E">
        <w:rPr>
          <w:rFonts w:cs="Times New Roman"/>
          <w:i/>
          <w:szCs w:val="24"/>
        </w:rPr>
        <w:t>M. v. H.</w:t>
      </w:r>
      <w:r w:rsidRPr="00FA5D7E">
        <w:rPr>
          <w:rFonts w:cs="Times New Roman"/>
          <w:szCs w:val="24"/>
        </w:rPr>
        <w:t>, at para. 70), the legislature was imposing differential treatment that was found to be discriminatory because it created a disadvantage as a result of stereotyping.  It was impossible for same</w:t>
      </w:r>
      <w:r w:rsidRPr="00FA5D7E">
        <w:rPr>
          <w:rFonts w:cs="Times New Roman"/>
          <w:szCs w:val="24"/>
        </w:rPr>
        <w:noBreakHyphen/>
        <w:t>sex spouses to opt in to Ontario’s legal regime.  The exclusion of same</w:t>
      </w:r>
      <w:r w:rsidRPr="00FA5D7E">
        <w:rPr>
          <w:rFonts w:cs="Times New Roman"/>
          <w:szCs w:val="24"/>
        </w:rPr>
        <w:noBreakHyphen/>
        <w:t xml:space="preserve">sex couples from the </w:t>
      </w:r>
      <w:r w:rsidRPr="00FA5D7E">
        <w:rPr>
          <w:rFonts w:cs="Times New Roman"/>
          <w:i/>
          <w:szCs w:val="24"/>
        </w:rPr>
        <w:t>FLA</w:t>
      </w:r>
      <w:r w:rsidRPr="00FA5D7E">
        <w:rPr>
          <w:rFonts w:cs="Times New Roman"/>
          <w:szCs w:val="24"/>
        </w:rPr>
        <w:t xml:space="preserve"> was based on an inaccurate and stereotypical characterization of their actual circumstances and therefore violated their dignity.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opposite was true in </w:t>
      </w:r>
      <w:r w:rsidRPr="00FA5D7E">
        <w:rPr>
          <w:rFonts w:cs="Times New Roman"/>
          <w:i/>
          <w:szCs w:val="24"/>
        </w:rPr>
        <w:t>Walsh</w:t>
      </w:r>
      <w:r w:rsidRPr="00FA5D7E">
        <w:rPr>
          <w:rFonts w:cs="Times New Roman"/>
          <w:szCs w:val="24"/>
        </w:rPr>
        <w:t xml:space="preserve">, in which the legislature had provided that the presumption of equal division of property was conditional on the expression of a consensual intention (through marriage, a domestic contract or, later, the registration of a common law partnership).  Since common law spouses, unlike married spouses, had not expressed such an intention, their exclusion from the </w:t>
      </w:r>
      <w:r w:rsidRPr="00FA5D7E">
        <w:rPr>
          <w:rFonts w:cs="Times New Roman"/>
          <w:i/>
          <w:szCs w:val="24"/>
        </w:rPr>
        <w:t>MPA</w:t>
      </w:r>
      <w:r w:rsidRPr="00FA5D7E">
        <w:rPr>
          <w:rFonts w:cs="Times New Roman"/>
          <w:szCs w:val="24"/>
        </w:rPr>
        <w:t xml:space="preserve"> was not based on an inaccurate and stereotypical characterization of their actual circumstances and did not violate their dignity.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short, it seems to me that Bastarache J. would have reached the same conclusion in </w:t>
      </w:r>
      <w:r w:rsidRPr="00FA5D7E">
        <w:rPr>
          <w:rFonts w:cs="Times New Roman"/>
          <w:i/>
          <w:szCs w:val="24"/>
        </w:rPr>
        <w:t>Walsh</w:t>
      </w:r>
      <w:r w:rsidRPr="00FA5D7E">
        <w:rPr>
          <w:rFonts w:cs="Times New Roman"/>
          <w:szCs w:val="24"/>
        </w:rPr>
        <w:t xml:space="preserve"> even if the current analytical framework had applied.  Although the </w:t>
      </w:r>
      <w:r w:rsidRPr="00FA5D7E">
        <w:rPr>
          <w:rFonts w:cs="Times New Roman"/>
          <w:i/>
          <w:szCs w:val="24"/>
        </w:rPr>
        <w:t>MPA</w:t>
      </w:r>
      <w:r w:rsidRPr="00FA5D7E">
        <w:rPr>
          <w:rFonts w:cs="Times New Roman"/>
          <w:szCs w:val="24"/>
        </w:rPr>
        <w:t xml:space="preserve"> imposed differential treatment based on an analogous ground, that distinction did not create a disadvantage by expressing or perpetuating prejudice or by stereotyping.  Accordingly, subject to the differences between the </w:t>
      </w:r>
      <w:r w:rsidRPr="00FA5D7E">
        <w:rPr>
          <w:rFonts w:cs="Times New Roman"/>
          <w:i/>
          <w:szCs w:val="24"/>
        </w:rPr>
        <w:t>MPA</w:t>
      </w:r>
      <w:r w:rsidRPr="00FA5D7E">
        <w:rPr>
          <w:rFonts w:cs="Times New Roman"/>
          <w:szCs w:val="24"/>
        </w:rPr>
        <w:t xml:space="preserve"> and the Quebec scheme, </w:t>
      </w:r>
      <w:r w:rsidRPr="00FA5D7E">
        <w:rPr>
          <w:rFonts w:cs="Times New Roman"/>
          <w:iCs/>
          <w:szCs w:val="24"/>
        </w:rPr>
        <w:t xml:space="preserve">Bastarache J.’s analysis can properly serve as a precedent for our assessment of the infringement of s. 15(1) alleged by A in the instant case.  It is true that the Court’s analysis concerned not the obligation of support, but the Nova Scotia legislation’s presumption of equal division of family assets.  However, Bastarache J.’s comments on the sources of the distinctions between the various forms of relationships and the consequences of those distinctions remain relevant.  At any rate, even without </w:t>
      </w:r>
      <w:r w:rsidRPr="00FA5D7E">
        <w:rPr>
          <w:rFonts w:cs="Times New Roman"/>
          <w:i/>
          <w:iCs/>
          <w:szCs w:val="24"/>
        </w:rPr>
        <w:t>Walsh</w:t>
      </w:r>
      <w:r w:rsidRPr="00FA5D7E">
        <w:rPr>
          <w:rFonts w:cs="Times New Roman"/>
          <w:iCs/>
          <w:szCs w:val="24"/>
        </w:rPr>
        <w:t>, the same principles applied under the current analytical framework for s. 15(1) would lead to the conclusions I propose with respect to the Quebec legislation being challenged by A.</w:t>
      </w:r>
    </w:p>
    <w:p w:rsidR="004862B9" w:rsidRPr="00FA5D7E" w:rsidRDefault="004862B9" w:rsidP="005649DA">
      <w:pPr>
        <w:pStyle w:val="TitleTitre-AltT"/>
        <w:tabs>
          <w:tab w:val="clear" w:pos="360"/>
          <w:tab w:val="left" w:pos="540"/>
        </w:tabs>
        <w:ind w:left="540" w:hanging="540"/>
        <w:rPr>
          <w:rFonts w:cs="Times New Roman"/>
          <w:szCs w:val="24"/>
          <w:lang w:val="en-CA"/>
        </w:rPr>
      </w:pPr>
      <w:r w:rsidRPr="00FA5D7E">
        <w:rPr>
          <w:rFonts w:cs="Times New Roman"/>
          <w:szCs w:val="24"/>
          <w:lang w:val="en-CA"/>
        </w:rPr>
        <w:t>H.</w:t>
      </w:r>
      <w:r w:rsidRPr="00FA5D7E">
        <w:rPr>
          <w:rFonts w:cs="Times New Roman"/>
          <w:i/>
          <w:szCs w:val="24"/>
          <w:lang w:val="en-CA"/>
        </w:rPr>
        <w:tab/>
        <w:t>Preliminary Comments on the Approach Proposed by the Court of Appeal</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Before actually considering A’s constitutional challenge, I believe a clarification is required with regard to the judgment of Dutil J.A. in the Court of Appeal.  In her reasons, Dutil J.A. found that the main issues raised by A’s appeal concerned [</w:t>
      </w:r>
      <w:r w:rsidRPr="00FA5D7E">
        <w:rPr>
          <w:rFonts w:cs="Times New Roman"/>
          <w:smallCaps/>
          <w:szCs w:val="24"/>
        </w:rPr>
        <w:t>translation</w:t>
      </w:r>
      <w:r w:rsidRPr="00FA5D7E">
        <w:rPr>
          <w:rFonts w:cs="Times New Roman"/>
          <w:szCs w:val="24"/>
        </w:rPr>
        <w:t xml:space="preserve">] “the obligation of support” on the one hand and “the division of property” upon the breakdown of a relationship on the other.  That distinction was central to her reasons and served as the framework for her reasoning.  The same distinction is central to Deschamps J.’s reasons.  Regarding the discrimination that allegedly results from the provisions on partition of property (family patrimony, protection of the family residence, partnership of acquests and compensatory allowance), Dutil J.A. considered herself bound by the reasoning in </w:t>
      </w:r>
      <w:r w:rsidRPr="00FA5D7E">
        <w:rPr>
          <w:rFonts w:cs="Times New Roman"/>
          <w:i/>
          <w:szCs w:val="24"/>
        </w:rPr>
        <w:t>Walsh</w:t>
      </w:r>
      <w:r w:rsidRPr="00FA5D7E">
        <w:rPr>
          <w:rFonts w:cs="Times New Roman"/>
          <w:szCs w:val="24"/>
        </w:rPr>
        <w:t xml:space="preserve"> and concluded on that basis that those provisions are not discriminatory.  Deschamps J. concludes that the exclusion of </w:t>
      </w:r>
      <w:r w:rsidRPr="00FA5D7E">
        <w:rPr>
          <w:rFonts w:cs="Times New Roman"/>
          <w:i/>
          <w:szCs w:val="24"/>
        </w:rPr>
        <w:t>de facto</w:t>
      </w:r>
      <w:r w:rsidRPr="00FA5D7E">
        <w:rPr>
          <w:rFonts w:cs="Times New Roman"/>
          <w:szCs w:val="24"/>
        </w:rPr>
        <w:t xml:space="preserve"> spouses from the provisions in question is discriminatory, but that it is justified under s. 1 of the </w:t>
      </w:r>
      <w:r w:rsidRPr="00FA5D7E">
        <w:rPr>
          <w:rFonts w:cs="Times New Roman"/>
          <w:i/>
          <w:szCs w:val="24"/>
        </w:rPr>
        <w:t>Charter</w:t>
      </w:r>
      <w:r w:rsidRPr="00FA5D7E">
        <w:rPr>
          <w:rFonts w:cs="Times New Roman"/>
          <w:szCs w:val="24"/>
        </w:rPr>
        <w:t>.</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Dutil J.A. argued that, unlike in the case of the provisions on the partition of property, the obligation of support is not contractual in origin but [</w:t>
      </w:r>
      <w:r w:rsidRPr="00FA5D7E">
        <w:rPr>
          <w:rFonts w:cs="Times New Roman"/>
          <w:smallCaps/>
          <w:szCs w:val="24"/>
        </w:rPr>
        <w:t>translation</w:t>
      </w:r>
      <w:r w:rsidR="000316AD">
        <w:rPr>
          <w:rFonts w:cs="Times New Roman"/>
          <w:szCs w:val="24"/>
        </w:rPr>
        <w:t>] “exists</w:t>
      </w:r>
      <w:r w:rsidRPr="00FA5D7E">
        <w:rPr>
          <w:rFonts w:cs="Times New Roman"/>
          <w:szCs w:val="24"/>
        </w:rPr>
        <w:t xml:space="preserve"> to</w:t>
      </w:r>
      <w:r w:rsidR="000316AD">
        <w:rPr>
          <w:rFonts w:cs="Times New Roman"/>
          <w:szCs w:val="24"/>
        </w:rPr>
        <w:t xml:space="preserve"> meet basic needs and represents</w:t>
      </w:r>
      <w:r w:rsidRPr="00FA5D7E">
        <w:rPr>
          <w:rFonts w:cs="Times New Roman"/>
          <w:szCs w:val="24"/>
        </w:rPr>
        <w:t xml:space="preserve"> an aspect of social solidarity”:  para. 68.  As a result, she found that art. 585 </w:t>
      </w:r>
      <w:r w:rsidRPr="00FA5D7E">
        <w:rPr>
          <w:rFonts w:cs="Times New Roman"/>
          <w:i/>
          <w:szCs w:val="24"/>
        </w:rPr>
        <w:t>C.C.Q.</w:t>
      </w:r>
      <w:r w:rsidRPr="00FA5D7E">
        <w:rPr>
          <w:rFonts w:cs="Times New Roman"/>
          <w:szCs w:val="24"/>
        </w:rPr>
        <w:t xml:space="preserve">, which deals with the obligation of support, had to be assessed separately from the rest of the impugned provisions, that the reasoning in </w:t>
      </w:r>
      <w:r w:rsidRPr="00FA5D7E">
        <w:rPr>
          <w:rFonts w:cs="Times New Roman"/>
          <w:i/>
          <w:szCs w:val="24"/>
        </w:rPr>
        <w:t>Walsh</w:t>
      </w:r>
      <w:r w:rsidRPr="00FA5D7E">
        <w:rPr>
          <w:rFonts w:cs="Times New Roman"/>
          <w:szCs w:val="24"/>
        </w:rPr>
        <w:t xml:space="preserve"> was not applicable to art. 585 and that s. 15(1) of the </w:t>
      </w:r>
      <w:r w:rsidRPr="00FA5D7E">
        <w:rPr>
          <w:rFonts w:cs="Times New Roman"/>
          <w:i/>
          <w:szCs w:val="24"/>
        </w:rPr>
        <w:t>Charter</w:t>
      </w:r>
      <w:r w:rsidRPr="00FA5D7E">
        <w:rPr>
          <w:rFonts w:cs="Times New Roman"/>
          <w:szCs w:val="24"/>
        </w:rPr>
        <w:t xml:space="preserve"> had to be considered in relation to art. 585 alone.  In my opinion, this is incorrect.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 find that the distinction drawn by Dutil J.A. between the </w:t>
      </w:r>
      <w:r>
        <w:rPr>
          <w:rFonts w:cs="Times New Roman"/>
          <w:szCs w:val="24"/>
        </w:rPr>
        <w:t>“</w:t>
      </w:r>
      <w:r w:rsidRPr="00FA5D7E">
        <w:rPr>
          <w:rFonts w:cs="Times New Roman"/>
          <w:szCs w:val="24"/>
        </w:rPr>
        <w:t>partition of property</w:t>
      </w:r>
      <w:r>
        <w:rPr>
          <w:rFonts w:cs="Times New Roman"/>
          <w:szCs w:val="24"/>
        </w:rPr>
        <w:t>”</w:t>
      </w:r>
      <w:r w:rsidRPr="00FA5D7E">
        <w:rPr>
          <w:rFonts w:cs="Times New Roman"/>
          <w:szCs w:val="24"/>
        </w:rPr>
        <w:t xml:space="preserve"> and the </w:t>
      </w:r>
      <w:r>
        <w:rPr>
          <w:rFonts w:cs="Times New Roman"/>
          <w:szCs w:val="24"/>
        </w:rPr>
        <w:t>“</w:t>
      </w:r>
      <w:r w:rsidRPr="00FA5D7E">
        <w:rPr>
          <w:rFonts w:cs="Times New Roman"/>
          <w:szCs w:val="24"/>
        </w:rPr>
        <w:t>obligation of support</w:t>
      </w:r>
      <w:r>
        <w:rPr>
          <w:rFonts w:cs="Times New Roman"/>
          <w:szCs w:val="24"/>
        </w:rPr>
        <w:t>”</w:t>
      </w:r>
      <w:r w:rsidRPr="00FA5D7E">
        <w:rPr>
          <w:rFonts w:cs="Times New Roman"/>
          <w:szCs w:val="24"/>
        </w:rPr>
        <w:t xml:space="preserve"> is inappropriate, as it disregards the character of an “economic partnership” that the Quebec legislature has established for marriage and the civil union.  It also disregards the fact that this partnership is structured around a mandatory primary regime that has both patrimonial and extrapatrimonial aspects and that the primary regime establishes the obligation of support as an effect of marriage and of the civil union.  In this sense, the obligation of support is tied to the other effects of marriage and of the civil union, such as the obligation to contribute to household expenses, rights and obligations with respect to the family residence, and the creation of a family patrimony.  It forms an integral and indissociable part of the set of measures that constitute Quebec’s primary regime.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This distinction also overlooks the fact that each of the impugned provisions shapes the spouses’ private patrimonial relationship and that a number of them rebalance the distribution of property between the spouses in some way, including through the payment of certain amounts or the granting of rights of use of or ownership in certain property.  As well, by increasing the patrimony of the less wealthy spouse, each of these measures can enhance that spouse’s autonomy and reduce the potential of his or her becoming dependent on government assistance.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In Quebec law, the obligation of support is one of the mandatory effects of marriage (or of a civil union) that the spouses may not renounce in a marriage contract.  As an expression of the duty of succour that each spouse owes the other where needed, the obligation of support, like the spouses’ obligation to contribute towards household expenses in proportion to their respective means, is part of the primary regime that the spouses accept when they choose to marry.  This obligation, in the form of the duty of succour, lasts as long as the spouses remain married or in a civil union.</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However, both the </w:t>
      </w:r>
      <w:r w:rsidRPr="00FA5D7E">
        <w:rPr>
          <w:rFonts w:cs="Times New Roman"/>
          <w:i/>
          <w:szCs w:val="24"/>
        </w:rPr>
        <w:t>Civil Code</w:t>
      </w:r>
      <w:r w:rsidRPr="00FA5D7E">
        <w:rPr>
          <w:rFonts w:cs="Times New Roman"/>
          <w:szCs w:val="24"/>
        </w:rPr>
        <w:t xml:space="preserve"> and the </w:t>
      </w:r>
      <w:r w:rsidRPr="00FA5D7E">
        <w:rPr>
          <w:rFonts w:cs="Times New Roman"/>
          <w:i/>
          <w:szCs w:val="24"/>
        </w:rPr>
        <w:t>Divorce Act</w:t>
      </w:r>
      <w:r w:rsidRPr="00FA5D7E">
        <w:rPr>
          <w:rFonts w:cs="Times New Roman"/>
          <w:szCs w:val="24"/>
        </w:rPr>
        <w:t xml:space="preserve"> provide that such an obligation may be imposed even after the bonds of civil union or marriage have been dissolved.  Thus, in </w:t>
      </w:r>
      <w:r w:rsidRPr="00FA5D7E">
        <w:rPr>
          <w:rFonts w:cs="Times New Roman"/>
          <w:i/>
          <w:szCs w:val="24"/>
        </w:rPr>
        <w:t>Bracklow</w:t>
      </w:r>
      <w:r w:rsidRPr="00FA5D7E">
        <w:rPr>
          <w:rFonts w:cs="Times New Roman"/>
          <w:szCs w:val="24"/>
        </w:rPr>
        <w:t xml:space="preserve">, the Court considered the </w:t>
      </w:r>
      <w:r w:rsidRPr="00FA5D7E">
        <w:rPr>
          <w:rFonts w:cs="Times New Roman"/>
          <w:i/>
          <w:szCs w:val="24"/>
        </w:rPr>
        <w:t>Divorce Act</w:t>
      </w:r>
      <w:r w:rsidRPr="00FA5D7E">
        <w:rPr>
          <w:rFonts w:cs="Times New Roman"/>
          <w:szCs w:val="24"/>
        </w:rPr>
        <w:t xml:space="preserve"> and enquired into the basis for the obligation of support after the marriage bond is dissolved.  The Court noted first that support may be awarded to compensate a spouse who has been economically disadvantaged during the marriage:  </w:t>
      </w:r>
      <w:r w:rsidRPr="00FA5D7E">
        <w:rPr>
          <w:rFonts w:cs="Times New Roman"/>
          <w:i/>
          <w:szCs w:val="24"/>
        </w:rPr>
        <w:t>Bracklow</w:t>
      </w:r>
      <w:r w:rsidRPr="00FA5D7E">
        <w:rPr>
          <w:rFonts w:cs="Times New Roman"/>
          <w:szCs w:val="24"/>
        </w:rPr>
        <w:t>, at paras. 36, 39 and 49.  In this regard, support is similar to a compensatory allowance, since its objective will be to compensate one of the spouses for losses incurred as a result of the marriage and its breakdown.</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However, support can also be non</w:t>
      </w:r>
      <w:r w:rsidRPr="00FA5D7E">
        <w:rPr>
          <w:rFonts w:cs="Times New Roman"/>
          <w:szCs w:val="24"/>
        </w:rPr>
        <w:noBreakHyphen/>
        <w:t>compensatory, and based on the “mere fact that a person who formerly enjoyed intra</w:t>
      </w:r>
      <w:r w:rsidRPr="00FA5D7E">
        <w:rPr>
          <w:rFonts w:cs="Times New Roman"/>
          <w:szCs w:val="24"/>
        </w:rPr>
        <w:noBreakHyphen/>
        <w:t xml:space="preserve">spousal entitlement to support now finds herself or himself without it”:  </w:t>
      </w:r>
      <w:r w:rsidRPr="00FA5D7E">
        <w:rPr>
          <w:rFonts w:cs="Times New Roman"/>
          <w:i/>
          <w:szCs w:val="24"/>
        </w:rPr>
        <w:t>Bracklow</w:t>
      </w:r>
      <w:r w:rsidRPr="00FA5D7E">
        <w:rPr>
          <w:rFonts w:cs="Times New Roman"/>
          <w:szCs w:val="24"/>
        </w:rPr>
        <w:t xml:space="preserve">, at para. 41.  This basis for the obligation of support “postulates each of the parties to the marriage agreeing, as independent individuals, to marriage and all that it entails — including the potential obligation of mutual support” and “recognizes the artificiality of assuming that all separating couples can move cleanly from the mutual support status of marriage to the absolute independence status of single life, indicating the potential necessity to continue support, even after the marital ‘break’”: </w:t>
      </w:r>
      <w:r w:rsidRPr="00FA5D7E">
        <w:rPr>
          <w:rFonts w:cs="Times New Roman"/>
          <w:i/>
          <w:szCs w:val="24"/>
        </w:rPr>
        <w:t>Bracklow</w:t>
      </w:r>
      <w:r w:rsidRPr="00FA5D7E">
        <w:rPr>
          <w:rFonts w:cs="Times New Roman"/>
          <w:szCs w:val="24"/>
        </w:rPr>
        <w:t>, at paras. 30</w:t>
      </w:r>
      <w:r w:rsidRPr="00FA5D7E">
        <w:rPr>
          <w:rFonts w:cs="Times New Roman"/>
          <w:szCs w:val="24"/>
        </w:rPr>
        <w:noBreakHyphen/>
        <w:t>31.</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As the Court explained, this form of post</w:t>
      </w:r>
      <w:r w:rsidRPr="00FA5D7E">
        <w:rPr>
          <w:rFonts w:cs="Times New Roman"/>
          <w:szCs w:val="24"/>
        </w:rPr>
        <w:noBreakHyphen/>
        <w:t xml:space="preserve">divorce support obligation is based on two important factors.  First, it is based on the fact that an obligation of support, known as the duty of succour in the civil law, exists during marriage and may remain necessary after a marriage breaks down.  Second, it can be seen as one of the many consequences to which individuals agree when they choose to marry.  Thus, the choice to get married results in the application of certain mandatory effects codified in the </w:t>
      </w:r>
      <w:r w:rsidRPr="00FA5D7E">
        <w:rPr>
          <w:rFonts w:cs="Times New Roman"/>
          <w:i/>
          <w:szCs w:val="24"/>
        </w:rPr>
        <w:t>Civil Code of Québec</w:t>
      </w:r>
      <w:r w:rsidRPr="00FA5D7E">
        <w:rPr>
          <w:rFonts w:cs="Times New Roman"/>
          <w:szCs w:val="24"/>
        </w:rPr>
        <w:t xml:space="preserve">, such as the claim that arises for the value of the family patrimony, and of the effects set out in the </w:t>
      </w:r>
      <w:r w:rsidRPr="00FA5D7E">
        <w:rPr>
          <w:rFonts w:cs="Times New Roman"/>
          <w:i/>
          <w:szCs w:val="24"/>
        </w:rPr>
        <w:t>Divorce Act</w:t>
      </w:r>
      <w:r w:rsidRPr="00FA5D7E">
        <w:rPr>
          <w:rFonts w:cs="Times New Roman"/>
          <w:szCs w:val="24"/>
        </w:rPr>
        <w:t>, which provides for an obligation of support following the breakdown of a marriage.  In both cases, the obligation of support is therefore based on consent to the marriage or civil union.</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Accordingly, these appeals cannot be disposed of on the basis of the distinction made by Dutil J.A. between the partition of property and the obligation of support.  Indeed, Beauregard J.A. seemed to acknowledge this in his concurring reasons in admitting that, were it not for </w:t>
      </w:r>
      <w:r w:rsidRPr="00FA5D7E">
        <w:rPr>
          <w:rFonts w:cs="Times New Roman"/>
          <w:i/>
          <w:szCs w:val="24"/>
        </w:rPr>
        <w:t>Walsh</w:t>
      </w:r>
      <w:r w:rsidRPr="00FA5D7E">
        <w:rPr>
          <w:rFonts w:cs="Times New Roman"/>
          <w:szCs w:val="24"/>
        </w:rPr>
        <w:t xml:space="preserve">, the Court of Appeal’s reasoning on the discriminatory nature of the support obligation provision would apply equally to the other impugned provisions, such as those on the family patrimony:  paras. 192 and 194.  The main issue raised by these appeals is not whether the exclusion of </w:t>
      </w:r>
      <w:r w:rsidRPr="00FA5D7E">
        <w:rPr>
          <w:rFonts w:cs="Times New Roman"/>
          <w:i/>
          <w:szCs w:val="24"/>
        </w:rPr>
        <w:t>de facto</w:t>
      </w:r>
      <w:r w:rsidRPr="00FA5D7E">
        <w:rPr>
          <w:rFonts w:cs="Times New Roman"/>
          <w:szCs w:val="24"/>
        </w:rPr>
        <w:t xml:space="preserve"> spouses from the </w:t>
      </w:r>
      <w:r w:rsidRPr="00FA5D7E">
        <w:rPr>
          <w:rFonts w:cs="Times New Roman"/>
          <w:i/>
          <w:szCs w:val="24"/>
        </w:rPr>
        <w:t>obligation of support</w:t>
      </w:r>
      <w:r w:rsidRPr="00FA5D7E">
        <w:rPr>
          <w:rFonts w:cs="Times New Roman"/>
          <w:szCs w:val="24"/>
        </w:rPr>
        <w:t xml:space="preserve"> is discriminatory, but whether their exclusion from the entire </w:t>
      </w:r>
      <w:r w:rsidRPr="00FA5D7E">
        <w:rPr>
          <w:rFonts w:cs="Times New Roman"/>
          <w:i/>
          <w:szCs w:val="24"/>
        </w:rPr>
        <w:t>statutory framework</w:t>
      </w:r>
      <w:r w:rsidRPr="00FA5D7E">
        <w:rPr>
          <w:rFonts w:cs="Times New Roman"/>
          <w:szCs w:val="24"/>
        </w:rPr>
        <w:t xml:space="preserve"> imposed on married and civil union spouses is discriminatory under s. 15(1) of the </w:t>
      </w:r>
      <w:r w:rsidRPr="00FA5D7E">
        <w:rPr>
          <w:rFonts w:cs="Times New Roman"/>
          <w:i/>
          <w:szCs w:val="24"/>
        </w:rPr>
        <w:t>Charter</w:t>
      </w:r>
      <w:r w:rsidRPr="00FA5D7E">
        <w:rPr>
          <w:rFonts w:cs="Times New Roman"/>
          <w:szCs w:val="24"/>
        </w:rPr>
        <w:t>.  For the reasons that follow, I find that it is not.</w:t>
      </w:r>
    </w:p>
    <w:p w:rsidR="004862B9" w:rsidRPr="00FA5D7E" w:rsidRDefault="004862B9" w:rsidP="00A9666E">
      <w:pPr>
        <w:pStyle w:val="TitleTitre-AltT"/>
        <w:tabs>
          <w:tab w:val="clear" w:pos="360"/>
          <w:tab w:val="left" w:pos="540"/>
        </w:tabs>
        <w:ind w:left="540" w:hanging="540"/>
        <w:rPr>
          <w:rFonts w:cs="Times New Roman"/>
          <w:szCs w:val="24"/>
          <w:lang w:val="en-CA"/>
        </w:rPr>
      </w:pPr>
      <w:r w:rsidRPr="00FA5D7E">
        <w:rPr>
          <w:rFonts w:cs="Times New Roman"/>
          <w:szCs w:val="24"/>
          <w:lang w:val="en-CA"/>
        </w:rPr>
        <w:t>I.</w:t>
      </w:r>
      <w:r w:rsidRPr="00FA5D7E">
        <w:rPr>
          <w:rFonts w:cs="Times New Roman"/>
          <w:szCs w:val="24"/>
          <w:lang w:val="en-CA"/>
        </w:rPr>
        <w:tab/>
      </w:r>
      <w:r w:rsidRPr="00FA5D7E">
        <w:rPr>
          <w:rFonts w:cs="Times New Roman"/>
          <w:i/>
          <w:szCs w:val="24"/>
          <w:lang w:val="en-CA"/>
        </w:rPr>
        <w:t>A’s Discrimination Claim</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these appeals, as I mentioned above, A is challenging the constitutional validity of the provisions of the </w:t>
      </w:r>
      <w:r w:rsidRPr="00FA5D7E">
        <w:rPr>
          <w:rFonts w:cs="Times New Roman"/>
          <w:i/>
          <w:szCs w:val="24"/>
        </w:rPr>
        <w:t xml:space="preserve">Civil Code of Québec </w:t>
      </w:r>
      <w:r w:rsidRPr="00FA5D7E">
        <w:rPr>
          <w:rFonts w:cs="Times New Roman"/>
          <w:szCs w:val="24"/>
        </w:rPr>
        <w:t xml:space="preserve">dealing with the family residence (arts. 401 </w:t>
      </w:r>
      <w:r>
        <w:rPr>
          <w:rFonts w:cs="Times New Roman"/>
          <w:i/>
          <w:szCs w:val="24"/>
        </w:rPr>
        <w:t>et </w:t>
      </w:r>
      <w:r w:rsidRPr="00FA5D7E">
        <w:rPr>
          <w:rFonts w:cs="Times New Roman"/>
          <w:i/>
          <w:szCs w:val="24"/>
        </w:rPr>
        <w:t>seq.</w:t>
      </w:r>
      <w:r w:rsidRPr="00FA5D7E">
        <w:rPr>
          <w:rFonts w:cs="Times New Roman"/>
          <w:szCs w:val="24"/>
        </w:rPr>
        <w:t xml:space="preserve">), the family patrimony (arts. 414 </w:t>
      </w:r>
      <w:r w:rsidRPr="00FA5D7E">
        <w:rPr>
          <w:rFonts w:cs="Times New Roman"/>
          <w:i/>
          <w:szCs w:val="24"/>
        </w:rPr>
        <w:t>et seq.</w:t>
      </w:r>
      <w:r w:rsidRPr="00FA5D7E">
        <w:rPr>
          <w:rFonts w:cs="Times New Roman"/>
          <w:szCs w:val="24"/>
        </w:rPr>
        <w:t xml:space="preserve">), the compensatory allowance (arts. 427 </w:t>
      </w:r>
      <w:r w:rsidRPr="00FA5D7E">
        <w:rPr>
          <w:rFonts w:cs="Times New Roman"/>
          <w:i/>
          <w:szCs w:val="24"/>
        </w:rPr>
        <w:t>et seq.</w:t>
      </w:r>
      <w:r w:rsidRPr="00FA5D7E">
        <w:rPr>
          <w:rFonts w:cs="Times New Roman"/>
          <w:szCs w:val="24"/>
        </w:rPr>
        <w:t xml:space="preserve">), the partnership of acquests (arts. 432 </w:t>
      </w:r>
      <w:r w:rsidRPr="00FA5D7E">
        <w:rPr>
          <w:rFonts w:cs="Times New Roman"/>
          <w:i/>
          <w:szCs w:val="24"/>
        </w:rPr>
        <w:t>et seq.</w:t>
      </w:r>
      <w:r w:rsidRPr="00FA5D7E">
        <w:rPr>
          <w:rFonts w:cs="Times New Roman"/>
          <w:szCs w:val="24"/>
        </w:rPr>
        <w:t xml:space="preserve">) and the obligation of spousal support (art. 585) on the basis of the fact that they apply to private legal relationships of married and civil union spouses but not to those of </w:t>
      </w:r>
      <w:r w:rsidRPr="00FA5D7E">
        <w:rPr>
          <w:rFonts w:cs="Times New Roman"/>
          <w:i/>
          <w:szCs w:val="24"/>
        </w:rPr>
        <w:t>de facto</w:t>
      </w:r>
      <w:r w:rsidRPr="00FA5D7E">
        <w:rPr>
          <w:rFonts w:cs="Times New Roman"/>
          <w:szCs w:val="24"/>
        </w:rPr>
        <w:t xml:space="preserve"> spouses.  To prove that she has been discriminated against, A must show on a balance of probabilities that the provisions in question create an adverse distinction based on an enumerated or analogous ground and that the disadvantage is discriminatory because it perpetuates prejudice or stereotypes.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Although the burden of proving that the impugned provisions discriminate in a substantive sense lies on A, the Court can of course take judicial notice of certain facts.  If it does so, it must follow the rules that permit, but define the limits of, judicial notice.  As McLachlin J. explained in </w:t>
      </w:r>
      <w:r w:rsidRPr="00FA5D7E">
        <w:rPr>
          <w:rFonts w:cs="Times New Roman"/>
          <w:i/>
          <w:szCs w:val="24"/>
        </w:rPr>
        <w:t>R. v. Williams</w:t>
      </w:r>
      <w:r w:rsidRPr="00FA5D7E">
        <w:rPr>
          <w:rFonts w:cs="Times New Roman"/>
          <w:szCs w:val="24"/>
        </w:rPr>
        <w:t xml:space="preserve">, [1998] 1 S.C.R. 1128, “[j]udicial notice is the acceptance of a fact without proof”:  para. 54.  In other words, it “dispenses with the need for proof of facts that are clearly uncontroversial or beyond reasonable dispute”:  </w:t>
      </w:r>
      <w:r w:rsidRPr="00FA5D7E">
        <w:rPr>
          <w:rFonts w:cs="Times New Roman"/>
          <w:i/>
          <w:szCs w:val="24"/>
        </w:rPr>
        <w:t>R. v. Find</w:t>
      </w:r>
      <w:r w:rsidRPr="00FA5D7E">
        <w:rPr>
          <w:rFonts w:cs="Times New Roman"/>
          <w:szCs w:val="24"/>
        </w:rPr>
        <w:t>, 2001 SCC 32, [2001] 1 S.C.R. 863, at para. 48.</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According to the principles laid down in </w:t>
      </w:r>
      <w:r w:rsidRPr="00FA5D7E">
        <w:rPr>
          <w:rFonts w:cs="Times New Roman"/>
          <w:i/>
          <w:szCs w:val="24"/>
        </w:rPr>
        <w:t>Find</w:t>
      </w:r>
      <w:r w:rsidRPr="00FA5D7E">
        <w:rPr>
          <w:rFonts w:cs="Times New Roman"/>
          <w:szCs w:val="24"/>
        </w:rPr>
        <w:t>, judicial notice applies only where facts are either</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 xml:space="preserve">(1) so notorious or generally accepted as not to be the subject of debate among reasonable persons; or (2) capable of immediate and accurate demonstration by resort to readily accessible sources of indisputable accuracy: </w:t>
      </w:r>
      <w:r w:rsidRPr="00FA5D7E">
        <w:rPr>
          <w:i/>
          <w:szCs w:val="24"/>
          <w:lang w:val="en-CA"/>
        </w:rPr>
        <w:t>R. v. Potts</w:t>
      </w:r>
      <w:r w:rsidRPr="00FA5D7E">
        <w:rPr>
          <w:szCs w:val="24"/>
          <w:lang w:val="en-CA"/>
        </w:rPr>
        <w:t xml:space="preserve"> (1982), 66 C.C.C. (2d) 219 (Ont. C.A.); J. Sopinka, S. N. Lederman and A. W. Bryant, </w:t>
      </w:r>
      <w:r w:rsidRPr="00FA5D7E">
        <w:rPr>
          <w:i/>
          <w:szCs w:val="24"/>
          <w:lang w:val="en-CA"/>
        </w:rPr>
        <w:t>The Law of Evidence in Canada</w:t>
      </w:r>
      <w:r w:rsidRPr="00FA5D7E">
        <w:rPr>
          <w:szCs w:val="24"/>
          <w:lang w:val="en-CA"/>
        </w:rPr>
        <w:t xml:space="preserve"> (2nd ed. 1999), at p. 1055.  [para. 48]</w:t>
      </w:r>
    </w:p>
    <w:p w:rsidR="004862B9" w:rsidRPr="00FA5D7E" w:rsidRDefault="004862B9" w:rsidP="004862B9">
      <w:pPr>
        <w:pStyle w:val="Citation-AltC"/>
        <w:ind w:hanging="1166"/>
        <w:rPr>
          <w:szCs w:val="24"/>
          <w:lang w:val="en-CA"/>
        </w:rPr>
      </w:pPr>
      <w:r w:rsidRPr="00FA5D7E">
        <w:rPr>
          <w:szCs w:val="24"/>
          <w:lang w:val="en-CA"/>
        </w:rPr>
        <w:t xml:space="preserve">(See also </w:t>
      </w:r>
      <w:r w:rsidRPr="00FA5D7E">
        <w:rPr>
          <w:i/>
          <w:szCs w:val="24"/>
          <w:lang w:val="en-CA"/>
        </w:rPr>
        <w:t>R. v. Spence</w:t>
      </w:r>
      <w:r w:rsidRPr="00FA5D7E">
        <w:rPr>
          <w:szCs w:val="24"/>
          <w:lang w:val="en-CA"/>
        </w:rPr>
        <w:t>, 2005 SCC 71, [2005] 3 S.C.R. 458, at para. 53.)</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These categories of facts are obviously limited.  A court must therefore be cautious when asked to take judicial notice of particular facts.  In particular, it must refrain from taking judicial notice of social phenomena unless they are not the subject of reasonable dispute for the particular purpose for which they are to be used:  </w:t>
      </w:r>
      <w:r w:rsidRPr="00FA5D7E">
        <w:rPr>
          <w:rFonts w:cs="Times New Roman"/>
          <w:i/>
          <w:szCs w:val="24"/>
        </w:rPr>
        <w:t>Spence</w:t>
      </w:r>
      <w:r w:rsidRPr="00FA5D7E">
        <w:rPr>
          <w:rFonts w:cs="Times New Roman"/>
          <w:szCs w:val="24"/>
        </w:rPr>
        <w:t xml:space="preserve">, at para. 65.  As Binnie J. explained in </w:t>
      </w:r>
      <w:r w:rsidRPr="00FA5D7E">
        <w:rPr>
          <w:rFonts w:cs="Times New Roman"/>
          <w:i/>
          <w:szCs w:val="24"/>
        </w:rPr>
        <w:t>Spence</w:t>
      </w:r>
      <w:r w:rsidRPr="00FA5D7E">
        <w:rPr>
          <w:rFonts w:cs="Times New Roman"/>
          <w:szCs w:val="24"/>
        </w:rPr>
        <w:t>, the closer a fact approaches the dispositive issue, or the closer it is to the centre of the controversy between the parties, the more stringently the court ought to verify it before taking judicial notice of it:  paras. 60</w:t>
      </w:r>
      <w:r w:rsidRPr="00FA5D7E">
        <w:rPr>
          <w:rFonts w:cs="Times New Roman"/>
          <w:szCs w:val="24"/>
        </w:rPr>
        <w:noBreakHyphen/>
        <w:t>61.</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Aside from the facts of which the court may take judicial notice, the general rule of evidence remains the same: “We must decide [the] case on the evidence before us”: </w:t>
      </w:r>
      <w:r w:rsidRPr="00FA5D7E">
        <w:rPr>
          <w:rFonts w:cs="Times New Roman"/>
          <w:i/>
          <w:szCs w:val="24"/>
        </w:rPr>
        <w:t>Gosselin</w:t>
      </w:r>
      <w:r w:rsidRPr="00FA5D7E">
        <w:rPr>
          <w:rFonts w:cs="Times New Roman"/>
          <w:szCs w:val="24"/>
        </w:rPr>
        <w:t>, at para. 66.  This rule applies to cases involving allegations of infringements of the right to equality, including appeals to this Court.</w:t>
      </w:r>
    </w:p>
    <w:p w:rsidR="004862B9" w:rsidRPr="00FA5D7E" w:rsidRDefault="004862B9" w:rsidP="00A9666E">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(1)</w:t>
      </w:r>
      <w:r w:rsidRPr="00FA5D7E">
        <w:rPr>
          <w:rFonts w:cs="Times New Roman"/>
          <w:szCs w:val="24"/>
          <w:lang w:val="en-CA"/>
        </w:rPr>
        <w:tab/>
      </w:r>
      <w:r w:rsidRPr="00FA5D7E">
        <w:rPr>
          <w:rFonts w:cs="Times New Roman"/>
          <w:szCs w:val="24"/>
          <w:u w:val="single"/>
          <w:lang w:val="en-CA"/>
        </w:rPr>
        <w:t>Adverse Distinction Based on an Enumerated or Analogous Ground</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this appeal, the first matter to be proved by A presents no problem.  The various articles of the </w:t>
      </w:r>
      <w:r w:rsidRPr="00FA5D7E">
        <w:rPr>
          <w:rFonts w:cs="Times New Roman"/>
          <w:i/>
          <w:szCs w:val="24"/>
        </w:rPr>
        <w:t>Civil Code</w:t>
      </w:r>
      <w:r w:rsidRPr="00FA5D7E">
        <w:rPr>
          <w:rFonts w:cs="Times New Roman"/>
          <w:szCs w:val="24"/>
        </w:rPr>
        <w:t xml:space="preserve"> at issue here apply only to persons who are married or in a civil union.  They govern the private legal relationships of such persons, but they do not apply to the relationships of </w:t>
      </w:r>
      <w:r w:rsidRPr="00FA5D7E">
        <w:rPr>
          <w:rFonts w:cs="Times New Roman"/>
          <w:i/>
          <w:szCs w:val="24"/>
        </w:rPr>
        <w:t>de facto</w:t>
      </w:r>
      <w:r w:rsidRPr="00FA5D7E">
        <w:rPr>
          <w:rFonts w:cs="Times New Roman"/>
          <w:szCs w:val="24"/>
        </w:rPr>
        <w:t xml:space="preserve"> spouses.  They therefore draw a distinction based on the analogous ground of marital status.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That distinction may result in disadvantages for those who are excluded from the statutory framework applicable to a marriage or a civil union.  Generally speaking, when </w:t>
      </w:r>
      <w:r w:rsidRPr="00FA5D7E">
        <w:rPr>
          <w:rFonts w:cs="Times New Roman"/>
          <w:i/>
          <w:szCs w:val="24"/>
        </w:rPr>
        <w:t>de facto</w:t>
      </w:r>
      <w:r w:rsidRPr="00FA5D7E">
        <w:rPr>
          <w:rFonts w:cs="Times New Roman"/>
          <w:szCs w:val="24"/>
        </w:rPr>
        <w:t xml:space="preserve"> spouses separate, one of them will likely end up in a more precarious patrimonial situation than if the couple had been married or in a civil union.  As a result, unless these </w:t>
      </w:r>
      <w:r w:rsidRPr="00FA5D7E">
        <w:rPr>
          <w:rFonts w:cs="Times New Roman"/>
          <w:i/>
          <w:szCs w:val="24"/>
        </w:rPr>
        <w:t>de facto</w:t>
      </w:r>
      <w:r w:rsidRPr="00FA5D7E">
        <w:rPr>
          <w:rFonts w:cs="Times New Roman"/>
          <w:szCs w:val="24"/>
        </w:rPr>
        <w:t xml:space="preserve"> spouses have exactly the same earning capacity and exactly the same patrimony, regardless of the origin of that patrimony, one of them will be in a worse position after the relationship ends than would a married spouse in a similar patrimonial situation.  A married spouse whose marriage breaks down would be entitled to partition under the regimes of family patrimony and partnership of acquests and might also be awarded the ownership of certain movables, the use of the family residence, a compensatory allowance and support.  The </w:t>
      </w:r>
      <w:r w:rsidRPr="00FA5D7E">
        <w:rPr>
          <w:rFonts w:cs="Times New Roman"/>
          <w:i/>
          <w:szCs w:val="24"/>
        </w:rPr>
        <w:t>de facto</w:t>
      </w:r>
      <w:r w:rsidRPr="00FA5D7E">
        <w:rPr>
          <w:rFonts w:cs="Times New Roman"/>
          <w:szCs w:val="24"/>
        </w:rPr>
        <w:t xml:space="preserve"> spouse, on the other hand, will not have the rights recognized by the relevant provisions of the </w:t>
      </w:r>
      <w:r w:rsidRPr="00FA5D7E">
        <w:rPr>
          <w:rFonts w:cs="Times New Roman"/>
          <w:i/>
          <w:szCs w:val="24"/>
        </w:rPr>
        <w:t>Civil Code</w:t>
      </w:r>
      <w:r w:rsidRPr="00FA5D7E">
        <w:rPr>
          <w:rFonts w:cs="Times New Roman"/>
          <w:szCs w:val="24"/>
        </w:rPr>
        <w:t>.  In reality, however, each form of conjugal relationship is likely to have its share of disadvantages for one or the other of the spouses, depending on their personal circumstances at the time of the breakdown.  The nature of these disadvantages will vary with the position of each of the spouses and the nature of the legal regime applicable to them.</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provisions relating to the family patrimony, the family residence, the compensatory allowance, the partnership of acquests and the obligation of support therefore have the effect of creating a distinction based on an analogous ground, and that distinction can result in a disadvantage.  What remains to be determined is whether the exclusion of </w:t>
      </w:r>
      <w:r w:rsidRPr="00FA5D7E">
        <w:rPr>
          <w:rFonts w:cs="Times New Roman"/>
          <w:i/>
          <w:szCs w:val="24"/>
        </w:rPr>
        <w:t>de facto</w:t>
      </w:r>
      <w:r w:rsidRPr="00FA5D7E">
        <w:rPr>
          <w:rFonts w:cs="Times New Roman"/>
          <w:szCs w:val="24"/>
        </w:rPr>
        <w:t xml:space="preserve"> spouses from the framework applicable to marriage and civil unions discriminates in a substantive sense by violating the principle of substantive equality protected by s. 15(1) of the </w:t>
      </w:r>
      <w:r w:rsidRPr="00FA5D7E">
        <w:rPr>
          <w:rFonts w:cs="Times New Roman"/>
          <w:i/>
          <w:szCs w:val="24"/>
        </w:rPr>
        <w:t>Charter</w:t>
      </w:r>
      <w:r w:rsidRPr="00FA5D7E">
        <w:rPr>
          <w:rFonts w:cs="Times New Roman"/>
          <w:szCs w:val="24"/>
        </w:rPr>
        <w:t xml:space="preserve">.  According to the general analytical framework in place since </w:t>
      </w:r>
      <w:r w:rsidRPr="00FA5D7E">
        <w:rPr>
          <w:rFonts w:cs="Times New Roman"/>
          <w:i/>
          <w:szCs w:val="24"/>
        </w:rPr>
        <w:t>Withler</w:t>
      </w:r>
      <w:r w:rsidRPr="00FA5D7E">
        <w:rPr>
          <w:rFonts w:cs="Times New Roman"/>
          <w:szCs w:val="24"/>
        </w:rPr>
        <w:t xml:space="preserve"> and </w:t>
      </w:r>
      <w:r w:rsidRPr="00FA5D7E">
        <w:rPr>
          <w:rFonts w:cs="Times New Roman"/>
          <w:i/>
          <w:szCs w:val="24"/>
        </w:rPr>
        <w:t>Kapp</w:t>
      </w:r>
      <w:r w:rsidRPr="00FA5D7E">
        <w:rPr>
          <w:rFonts w:cs="Times New Roman"/>
          <w:szCs w:val="24"/>
        </w:rPr>
        <w:t xml:space="preserve">, there are two ways for A to prove this.  First, she can show that the disadvantageous law perpetuates prejudice against </w:t>
      </w:r>
      <w:r w:rsidRPr="00FA5D7E">
        <w:rPr>
          <w:rFonts w:cs="Times New Roman"/>
          <w:i/>
          <w:szCs w:val="24"/>
        </w:rPr>
        <w:t>de facto</w:t>
      </w:r>
      <w:r w:rsidRPr="00FA5D7E">
        <w:rPr>
          <w:rFonts w:cs="Times New Roman"/>
          <w:szCs w:val="24"/>
        </w:rPr>
        <w:t xml:space="preserve"> spouses.  Second, she can show that the disadvantage imposed by the law is based on a stereotype.  If either of these things is shown, the impugned provisions will be found to violate s. 15(1). </w:t>
      </w:r>
    </w:p>
    <w:p w:rsidR="004862B9" w:rsidRPr="00FA5D7E" w:rsidRDefault="004862B9" w:rsidP="00A9666E">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(2)</w:t>
      </w:r>
      <w:r w:rsidRPr="00FA5D7E">
        <w:rPr>
          <w:rFonts w:cs="Times New Roman"/>
          <w:szCs w:val="24"/>
          <w:lang w:val="en-CA"/>
        </w:rPr>
        <w:tab/>
      </w:r>
      <w:r w:rsidRPr="00FA5D7E">
        <w:rPr>
          <w:rFonts w:cs="Times New Roman"/>
          <w:szCs w:val="24"/>
          <w:u w:val="single"/>
          <w:lang w:val="en-CA"/>
        </w:rPr>
        <w:t>Perpetuating Prejudice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first way that substantive inequality may be established is by showing that the impugned disadvantageous law, in purpose or effect, perpetuates prejudice against members of a group on the basis of personal characteristics covered by s. 15(1):  </w:t>
      </w:r>
      <w:r w:rsidRPr="00FA5D7E">
        <w:rPr>
          <w:rFonts w:cs="Times New Roman"/>
          <w:i/>
          <w:szCs w:val="24"/>
        </w:rPr>
        <w:t>Withler</w:t>
      </w:r>
      <w:r w:rsidRPr="00FA5D7E">
        <w:rPr>
          <w:rFonts w:cs="Times New Roman"/>
          <w:szCs w:val="24"/>
        </w:rPr>
        <w:t>, at para. 35.  Generally speaking, a law will perpetuate prejudice if it denotes a negative attitude or opinion concerning a person that is based on a personal characteristic enumerated in s. 15(1) or a characteristic analogous thereto.  The same is true of provisions that attribute greater moral worth to certain persons at the expense of another group of persons on the basis of such a characteristic.  Legislation that establishes a hierarchy among different individuals on the basis of their having or not having an enumerated or analogous characteristic would also perpetuate prejudice.  As Professor Réaume explains, prejudice also works through the attribution of negative worth to personal characteristics that are important aspects of human identity:  pp. 679</w:t>
      </w:r>
      <w:r w:rsidRPr="00FA5D7E">
        <w:rPr>
          <w:rFonts w:cs="Times New Roman"/>
          <w:szCs w:val="24"/>
        </w:rPr>
        <w:noBreakHyphen/>
        <w:t>80.</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Prejudice can sometimes be seen on the very face of the legislation, especially if the legislation reflects contempt for or hostility toward the group concerned or if its purpose is to inflict prejudice on a group of persons.  In such circumstances, discrimination through the expression or perpetuation of prejudice will likely be intentional.</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It is generally accepted that </w:t>
      </w:r>
      <w:r w:rsidRPr="00FA5D7E">
        <w:rPr>
          <w:rFonts w:cs="Times New Roman"/>
          <w:i/>
          <w:szCs w:val="24"/>
        </w:rPr>
        <w:t>de facto</w:t>
      </w:r>
      <w:r w:rsidRPr="00FA5D7E">
        <w:rPr>
          <w:rFonts w:cs="Times New Roman"/>
          <w:szCs w:val="24"/>
        </w:rPr>
        <w:t xml:space="preserve"> spouses in Quebec historically experienced disadvantageous treatment based on intentional prejudice.  As I explained above, until the 1980 family law reform, disapproval of “concubinage” was expressed in legislation.  This disapproval could be seen in particular in the </w:t>
      </w:r>
      <w:r w:rsidRPr="00FA5D7E">
        <w:rPr>
          <w:rFonts w:cs="Times New Roman"/>
          <w:i/>
          <w:szCs w:val="24"/>
        </w:rPr>
        <w:t>Civil Code of Lower Canada</w:t>
      </w:r>
      <w:r w:rsidRPr="00FA5D7E">
        <w:rPr>
          <w:rFonts w:cs="Times New Roman"/>
          <w:szCs w:val="24"/>
        </w:rPr>
        <w:t xml:space="preserve">, which effectively prohibited any financial arrangements between </w:t>
      </w:r>
      <w:r w:rsidRPr="00FA5D7E">
        <w:rPr>
          <w:rFonts w:cs="Times New Roman"/>
          <w:i/>
          <w:szCs w:val="24"/>
        </w:rPr>
        <w:t>de facto</w:t>
      </w:r>
      <w:r w:rsidRPr="00FA5D7E">
        <w:rPr>
          <w:rFonts w:cs="Times New Roman"/>
          <w:szCs w:val="24"/>
        </w:rPr>
        <w:t xml:space="preserve"> spouses and also maintained a strict distinction between legitimate children, those born in wedlock, and “natural, incestuous or adulterine” children, those born out of wedlock.  These measures were an attempt to prevent individuals from choosing to live in such unions, which at the time were considered [</w:t>
      </w:r>
      <w:r w:rsidRPr="00FA5D7E">
        <w:rPr>
          <w:rFonts w:cs="Times New Roman"/>
          <w:smallCaps/>
          <w:szCs w:val="24"/>
        </w:rPr>
        <w:t>translation</w:t>
      </w:r>
      <w:r w:rsidRPr="00FA5D7E">
        <w:rPr>
          <w:rFonts w:cs="Times New Roman"/>
          <w:szCs w:val="24"/>
        </w:rPr>
        <w:t xml:space="preserve">] “contrary to good morals”:  Cossette, at p. 53.  Moreover, the only way for </w:t>
      </w:r>
      <w:r w:rsidRPr="00FA5D7E">
        <w:rPr>
          <w:rFonts w:cs="Times New Roman"/>
          <w:i/>
          <w:szCs w:val="24"/>
        </w:rPr>
        <w:t>de facto</w:t>
      </w:r>
      <w:r w:rsidRPr="00FA5D7E">
        <w:rPr>
          <w:rFonts w:cs="Times New Roman"/>
          <w:szCs w:val="24"/>
        </w:rPr>
        <w:t xml:space="preserve"> spouses to legitimate their natural children was to get married, where such a marriage was legally possible.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McLachlin J. described the historical situation of </w:t>
      </w:r>
      <w:r w:rsidRPr="00FA5D7E">
        <w:rPr>
          <w:rFonts w:cs="Times New Roman"/>
          <w:i/>
          <w:szCs w:val="24"/>
        </w:rPr>
        <w:t>de facto</w:t>
      </w:r>
      <w:r w:rsidRPr="00FA5D7E">
        <w:rPr>
          <w:rFonts w:cs="Times New Roman"/>
          <w:szCs w:val="24"/>
        </w:rPr>
        <w:t xml:space="preserve"> spouses as follows in </w:t>
      </w:r>
      <w:r w:rsidRPr="00FA5D7E">
        <w:rPr>
          <w:rFonts w:cs="Times New Roman"/>
          <w:i/>
          <w:szCs w:val="24"/>
        </w:rPr>
        <w:t>Miron</w:t>
      </w:r>
      <w:r w:rsidRPr="00FA5D7E">
        <w:rPr>
          <w:rFonts w:cs="Times New Roman"/>
          <w:szCs w:val="24"/>
        </w:rPr>
        <w:t>:</w:t>
      </w:r>
    </w:p>
    <w:p w:rsidR="004862B9" w:rsidRPr="00FA5D7E" w:rsidRDefault="004862B9" w:rsidP="004862B9">
      <w:pPr>
        <w:pStyle w:val="Citation-AltC"/>
        <w:spacing w:after="240"/>
        <w:ind w:left="1168" w:hanging="1168"/>
        <w:contextualSpacing w:val="0"/>
        <w:rPr>
          <w:szCs w:val="24"/>
          <w:lang w:val="en-CA"/>
        </w:rPr>
      </w:pPr>
      <w:r w:rsidRPr="00FA5D7E">
        <w:rPr>
          <w:szCs w:val="24"/>
          <w:lang w:val="en-CA"/>
        </w:rPr>
        <w:tab/>
        <w:t xml:space="preserve">There is ample evidence that unmarried partners have often suffered social disadvantage and prejudice.  Historically in our society, </w:t>
      </w:r>
      <w:r w:rsidRPr="00FA5D7E">
        <w:rPr>
          <w:szCs w:val="24"/>
          <w:u w:val="single"/>
          <w:lang w:val="en-CA"/>
        </w:rPr>
        <w:t xml:space="preserve">the unmarried partner </w:t>
      </w:r>
      <w:r w:rsidRPr="000316AD">
        <w:rPr>
          <w:szCs w:val="24"/>
          <w:u w:val="single"/>
          <w:lang w:val="en-CA"/>
        </w:rPr>
        <w:t>has been regarded as less</w:t>
      </w:r>
      <w:r w:rsidRPr="00FA5D7E">
        <w:rPr>
          <w:szCs w:val="24"/>
          <w:u w:val="single"/>
          <w:lang w:val="en-CA"/>
        </w:rPr>
        <w:t xml:space="preserve"> worthy than the married partner</w:t>
      </w:r>
      <w:r w:rsidRPr="00FA5D7E">
        <w:rPr>
          <w:szCs w:val="24"/>
          <w:lang w:val="en-CA"/>
        </w:rPr>
        <w:t xml:space="preserve">.  The disadvantages inflicted on the unmarried partner have ranged from </w:t>
      </w:r>
      <w:r w:rsidRPr="00FA5D7E">
        <w:rPr>
          <w:szCs w:val="24"/>
          <w:u w:val="single"/>
          <w:lang w:val="en-CA"/>
        </w:rPr>
        <w:t>social ostracism</w:t>
      </w:r>
      <w:r w:rsidRPr="00FA5D7E">
        <w:rPr>
          <w:szCs w:val="24"/>
          <w:lang w:val="en-CA"/>
        </w:rPr>
        <w:t xml:space="preserve"> through denial of status and benefits.  [Emphasis added; para. 152.]</w:t>
      </w:r>
    </w:p>
    <w:p w:rsidR="004862B9" w:rsidRPr="00FA5D7E" w:rsidRDefault="004862B9" w:rsidP="004862B9">
      <w:pPr>
        <w:pStyle w:val="Citation-AltC"/>
        <w:ind w:hanging="1166"/>
        <w:rPr>
          <w:szCs w:val="24"/>
          <w:lang w:val="en-CA"/>
        </w:rPr>
      </w:pPr>
      <w:r w:rsidRPr="00FA5D7E">
        <w:rPr>
          <w:szCs w:val="24"/>
          <w:lang w:val="en-CA"/>
        </w:rPr>
        <w:t xml:space="preserve">(See also </w:t>
      </w:r>
      <w:r w:rsidRPr="00FA5D7E">
        <w:rPr>
          <w:i/>
          <w:szCs w:val="24"/>
          <w:lang w:val="en-CA"/>
        </w:rPr>
        <w:t>Walsh</w:t>
      </w:r>
      <w:r w:rsidRPr="00FA5D7E">
        <w:rPr>
          <w:szCs w:val="24"/>
          <w:lang w:val="en-CA"/>
        </w:rPr>
        <w:t>, at para. 41.)</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Thus, there was a period of Quebec history during which </w:t>
      </w:r>
      <w:r w:rsidRPr="00FA5D7E">
        <w:rPr>
          <w:rFonts w:cs="Times New Roman"/>
          <w:i/>
          <w:szCs w:val="24"/>
        </w:rPr>
        <w:t>de facto</w:t>
      </w:r>
      <w:r w:rsidRPr="00FA5D7E">
        <w:rPr>
          <w:rFonts w:cs="Times New Roman"/>
          <w:szCs w:val="24"/>
        </w:rPr>
        <w:t xml:space="preserve"> spouses were subjected to both legislative hostility and social ostracism.  In keeping with the principles stated in </w:t>
      </w:r>
      <w:r w:rsidRPr="00FA5D7E">
        <w:rPr>
          <w:rFonts w:cs="Times New Roman"/>
          <w:i/>
          <w:szCs w:val="24"/>
        </w:rPr>
        <w:t>Law</w:t>
      </w:r>
      <w:r w:rsidRPr="00FA5D7E">
        <w:rPr>
          <w:rFonts w:cs="Times New Roman"/>
          <w:szCs w:val="24"/>
        </w:rPr>
        <w:t>, this historical disadvantage means that particular care must be taken in reviewing any new legislation containing an adverse distinction with respect to certain members of the same group: paras. 63</w:t>
      </w:r>
      <w:r w:rsidRPr="00FA5D7E">
        <w:rPr>
          <w:rFonts w:cs="Times New Roman"/>
          <w:szCs w:val="24"/>
        </w:rPr>
        <w:noBreakHyphen/>
        <w:t>68.  However, the recognition of historical disadvantage does not automatically lead to the conclusion that a distinction remains discriminatory today on the basis that it creates a disadvantage by perpetuating prejudice.  It is also necessary that the disadvantage continue to exist today and that the new legislation confirm or perpetuate the legislative and social stigmatization of such spouses.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On this point, I would point out that the limits on freedom of contract imposed on </w:t>
      </w:r>
      <w:r w:rsidRPr="00FA5D7E">
        <w:rPr>
          <w:rFonts w:cs="Times New Roman"/>
          <w:i/>
          <w:szCs w:val="24"/>
        </w:rPr>
        <w:t>de facto</w:t>
      </w:r>
      <w:r w:rsidRPr="00FA5D7E">
        <w:rPr>
          <w:rFonts w:cs="Times New Roman"/>
          <w:szCs w:val="24"/>
        </w:rPr>
        <w:t xml:space="preserve"> spouses, like the distinction between legitimate and natural children, were eliminated in 1980.  Furthermore, nothing in the evidence suggests that </w:t>
      </w:r>
      <w:r w:rsidRPr="00FA5D7E">
        <w:rPr>
          <w:rFonts w:cs="Times New Roman"/>
          <w:i/>
          <w:szCs w:val="24"/>
        </w:rPr>
        <w:t>de facto</w:t>
      </w:r>
      <w:r w:rsidRPr="00FA5D7E">
        <w:rPr>
          <w:rFonts w:cs="Times New Roman"/>
          <w:szCs w:val="24"/>
        </w:rPr>
        <w:t xml:space="preserve"> spouses are now subject to public opprobrium or that they are otherwise subject to social ostracism.  The expert reports filed by the parties tend to show the contrary.  According to them, the </w:t>
      </w:r>
      <w:r w:rsidRPr="00FA5D7E">
        <w:rPr>
          <w:rFonts w:cs="Times New Roman"/>
          <w:i/>
          <w:szCs w:val="24"/>
        </w:rPr>
        <w:t>de facto</w:t>
      </w:r>
      <w:r w:rsidRPr="00FA5D7E">
        <w:rPr>
          <w:rFonts w:cs="Times New Roman"/>
          <w:szCs w:val="24"/>
        </w:rPr>
        <w:t xml:space="preserve"> union has become a respected type of conjugality and is not judged unfavourably by Quebec society as a whole.  Statistics from the latest census in 2011 confirm that it exists and is developing in Quebec society.  Several of the married spouses with whom certain experts met in conducting sociological studies for the purposes of this litigation even regularly use language specific to </w:t>
      </w:r>
      <w:r w:rsidRPr="00FA5D7E">
        <w:rPr>
          <w:rFonts w:cs="Times New Roman"/>
          <w:i/>
          <w:szCs w:val="24"/>
        </w:rPr>
        <w:t>de facto</w:t>
      </w:r>
      <w:r w:rsidRPr="00FA5D7E">
        <w:rPr>
          <w:rFonts w:cs="Times New Roman"/>
          <w:szCs w:val="24"/>
        </w:rPr>
        <w:t xml:space="preserve"> unions when describing themselves to third parties.  The fact that they do so does not support a view that society continues to be suspicious or intolerant of </w:t>
      </w:r>
      <w:r w:rsidRPr="00FA5D7E">
        <w:rPr>
          <w:rFonts w:cs="Times New Roman"/>
          <w:i/>
          <w:szCs w:val="24"/>
        </w:rPr>
        <w:t>de facto</w:t>
      </w:r>
      <w:r w:rsidRPr="00FA5D7E">
        <w:rPr>
          <w:rFonts w:cs="Times New Roman"/>
          <w:szCs w:val="24"/>
        </w:rPr>
        <w:t xml:space="preserve"> unions.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Moreover, the legislature’s traditional hostility generally seems to have changed into acceptance of the </w:t>
      </w:r>
      <w:r w:rsidRPr="00FA5D7E">
        <w:rPr>
          <w:rFonts w:cs="Times New Roman"/>
          <w:i/>
          <w:szCs w:val="24"/>
        </w:rPr>
        <w:t>de facto</w:t>
      </w:r>
      <w:r w:rsidRPr="00FA5D7E">
        <w:rPr>
          <w:rFonts w:cs="Times New Roman"/>
          <w:szCs w:val="24"/>
        </w:rPr>
        <w:t xml:space="preserve"> union.  As I mentioned above, Quebec social legislation no longer draws distinctions between the various types of conjugality</w:t>
      </w:r>
      <w:r w:rsidR="00793E56">
        <w:rPr>
          <w:rFonts w:cs="Times New Roman"/>
          <w:szCs w:val="24"/>
        </w:rPr>
        <w:t>:</w:t>
      </w:r>
      <w:r w:rsidRPr="00FA5D7E">
        <w:rPr>
          <w:rFonts w:cs="Times New Roman"/>
          <w:szCs w:val="24"/>
        </w:rPr>
        <w:t xml:space="preserve"> see, </w:t>
      </w:r>
      <w:r w:rsidRPr="00FA5D7E">
        <w:rPr>
          <w:rFonts w:cs="Times New Roman"/>
          <w:i/>
          <w:szCs w:val="24"/>
        </w:rPr>
        <w:t>inter alia</w:t>
      </w:r>
      <w:r w:rsidRPr="00FA5D7E">
        <w:rPr>
          <w:rFonts w:cs="Times New Roman"/>
          <w:szCs w:val="24"/>
        </w:rPr>
        <w:t xml:space="preserve">, </w:t>
      </w:r>
      <w:r w:rsidRPr="00FA5D7E">
        <w:rPr>
          <w:rFonts w:cs="Times New Roman"/>
          <w:i/>
          <w:szCs w:val="24"/>
        </w:rPr>
        <w:t>An Act respecting financial assistance for education expenses</w:t>
      </w:r>
      <w:r w:rsidRPr="00FA5D7E">
        <w:rPr>
          <w:rFonts w:cs="Times New Roman"/>
          <w:szCs w:val="24"/>
        </w:rPr>
        <w:t>;</w:t>
      </w:r>
      <w:r w:rsidRPr="00FA5D7E">
        <w:rPr>
          <w:rFonts w:cs="Times New Roman"/>
          <w:i/>
          <w:szCs w:val="24"/>
        </w:rPr>
        <w:t xml:space="preserve"> An Act respecting legal aid and the provision of certain other legal services</w:t>
      </w:r>
      <w:r w:rsidRPr="00FA5D7E">
        <w:rPr>
          <w:rFonts w:cs="Times New Roman"/>
          <w:szCs w:val="24"/>
        </w:rPr>
        <w:t>;</w:t>
      </w:r>
      <w:r w:rsidRPr="00FA5D7E">
        <w:rPr>
          <w:rFonts w:cs="Times New Roman"/>
          <w:i/>
          <w:szCs w:val="24"/>
        </w:rPr>
        <w:t xml:space="preserve"> Automobile Insurance Act</w:t>
      </w:r>
      <w:r w:rsidRPr="00FA5D7E">
        <w:rPr>
          <w:rFonts w:cs="Times New Roman"/>
          <w:szCs w:val="24"/>
        </w:rPr>
        <w:t xml:space="preserve">.  Rather, it applies uniformly to </w:t>
      </w:r>
      <w:r w:rsidRPr="00FA5D7E">
        <w:rPr>
          <w:rFonts w:cs="Times New Roman"/>
          <w:i/>
          <w:szCs w:val="24"/>
        </w:rPr>
        <w:t>de facto</w:t>
      </w:r>
      <w:r w:rsidRPr="00FA5D7E">
        <w:rPr>
          <w:rFonts w:cs="Times New Roman"/>
          <w:szCs w:val="24"/>
        </w:rPr>
        <w:t>, married and civil union spouses both in granting benefits and in imposing obligations where their relations with government institutions are concerned.  As we have seen, the distinction continues to exist in the context of relations between the spouses themselves, within their conjugal relationship, where there is still a will to preserve the possibility of choosing between various types of conjugality.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However, the fact that the form of union chosen by </w:t>
      </w:r>
      <w:r w:rsidRPr="00FA5D7E">
        <w:rPr>
          <w:rFonts w:cs="Times New Roman"/>
          <w:i/>
          <w:szCs w:val="24"/>
        </w:rPr>
        <w:t>de facto</w:t>
      </w:r>
      <w:r w:rsidRPr="00FA5D7E">
        <w:rPr>
          <w:rFonts w:cs="Times New Roman"/>
          <w:szCs w:val="24"/>
        </w:rPr>
        <w:t xml:space="preserve"> spouses now generally seems to have the social and legislative acceptance it formerly lacked does not on its own lead to the conclusion that the law at issue in this case does not express prejudice.  Prejudice does not have to be intentional for s. 15(1) of the </w:t>
      </w:r>
      <w:r w:rsidRPr="00FA5D7E">
        <w:rPr>
          <w:rFonts w:cs="Times New Roman"/>
          <w:i/>
          <w:szCs w:val="24"/>
        </w:rPr>
        <w:t>Charter</w:t>
      </w:r>
      <w:r w:rsidRPr="00FA5D7E">
        <w:rPr>
          <w:rFonts w:cs="Times New Roman"/>
          <w:szCs w:val="24"/>
        </w:rPr>
        <w:t xml:space="preserve"> to be violated.  If a law has the effect of favouring certain individuals at the expense of others by treating the latter as less worthy, or if it creates a hierarchy between them, even inadvertently, it will be considered to discriminate by expressing prejudice.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 case at bar, the articles of the </w:t>
      </w:r>
      <w:r w:rsidRPr="00FA5D7E">
        <w:rPr>
          <w:rFonts w:cs="Times New Roman"/>
          <w:i/>
          <w:szCs w:val="24"/>
        </w:rPr>
        <w:t>Civil Code of Québec</w:t>
      </w:r>
      <w:r w:rsidRPr="00FA5D7E">
        <w:rPr>
          <w:rFonts w:cs="Times New Roman"/>
          <w:szCs w:val="24"/>
        </w:rPr>
        <w:t xml:space="preserve"> whose validity is challenged by A have the purpose and effect of regulating the private relationships of married spouses.  They do this in two ways, as I explained above.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First, as a result of their marriage, the spouses are subject to a mandatory primary regime that radically alters each spouse’s patrimonial rights.  More specifically, the primary regime results in the formation of a partial economic union between the spouses.  Second, where there is no marriage contract providing for separation as to property or for changes to the legal regime, the legal matrimonial regime of partnership of acquests also applies to the spouses as a result of their marriage.  Like the primary regime, the regime of partnership of acquests significantly changes the rights of both spouses in relation to their patrimony.  It expands the partial economic union already created by the primary regime.  Upon separation or divorce, this matrimonial regime requires that the value of each spouse’s acquests be partitioned.  The monetary impact of this regime can be significant: each spouse’s acquests include the proceeds of his or her work during the regime, and the fruits and income due or collected from all his or her private property or acquests during the regime.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 Quebec legislature has imposed these regimes only on those who, by agreement with another person, have demonstrated that they wish to adhere to them.  Their consent must be explicit, and must take the form of marriage or a civil union.  The legislature did not view cohabitation on its own as an expression of such consent.  As a result, the regimes do not apply automatically to </w:t>
      </w:r>
      <w:r w:rsidRPr="00FA5D7E">
        <w:rPr>
          <w:rFonts w:cs="Times New Roman"/>
          <w:i/>
          <w:szCs w:val="24"/>
        </w:rPr>
        <w:t>de facto</w:t>
      </w:r>
      <w:r w:rsidRPr="00FA5D7E">
        <w:rPr>
          <w:rFonts w:cs="Times New Roman"/>
          <w:szCs w:val="24"/>
        </w:rPr>
        <w:t xml:space="preserve"> unions.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Has the legislature in this way established a hierarchy between the various forms of conjugality?  Has it expressed a preference for marriage and civil unions at the expense of </w:t>
      </w:r>
      <w:r w:rsidRPr="00FA5D7E">
        <w:rPr>
          <w:rFonts w:cs="Times New Roman"/>
          <w:i/>
          <w:szCs w:val="24"/>
        </w:rPr>
        <w:t>de facto</w:t>
      </w:r>
      <w:r w:rsidRPr="00FA5D7E">
        <w:rPr>
          <w:rFonts w:cs="Times New Roman"/>
          <w:szCs w:val="24"/>
        </w:rPr>
        <w:t xml:space="preserve"> unions?  Do the articles of the </w:t>
      </w:r>
      <w:r w:rsidR="000316AD">
        <w:rPr>
          <w:rFonts w:cs="Times New Roman"/>
          <w:i/>
          <w:szCs w:val="24"/>
        </w:rPr>
        <w:t>Civil Code of Québec</w:t>
      </w:r>
      <w:r w:rsidRPr="00FA5D7E">
        <w:rPr>
          <w:rFonts w:cs="Times New Roman"/>
          <w:szCs w:val="24"/>
        </w:rPr>
        <w:t xml:space="preserve"> being challenged in this case have the effect of sending a message or conveying a negative image or belief concerning </w:t>
      </w:r>
      <w:r w:rsidRPr="00FA5D7E">
        <w:rPr>
          <w:rFonts w:cs="Times New Roman"/>
          <w:i/>
          <w:szCs w:val="24"/>
        </w:rPr>
        <w:t>de facto</w:t>
      </w:r>
      <w:r w:rsidRPr="00FA5D7E">
        <w:rPr>
          <w:rFonts w:cs="Times New Roman"/>
          <w:szCs w:val="24"/>
        </w:rPr>
        <w:t xml:space="preserve"> spouses?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my opinion, the answer to these questions must be no.  Like the Nova Scotia legislature in enacting the </w:t>
      </w:r>
      <w:r w:rsidRPr="00FA5D7E">
        <w:rPr>
          <w:rFonts w:cs="Times New Roman"/>
          <w:i/>
          <w:szCs w:val="24"/>
        </w:rPr>
        <w:t>MPA</w:t>
      </w:r>
      <w:r w:rsidRPr="00FA5D7E">
        <w:rPr>
          <w:rFonts w:cs="Times New Roman"/>
          <w:szCs w:val="24"/>
        </w:rPr>
        <w:t xml:space="preserve"> at issue in </w:t>
      </w:r>
      <w:r w:rsidRPr="00FA5D7E">
        <w:rPr>
          <w:rFonts w:cs="Times New Roman"/>
          <w:i/>
          <w:szCs w:val="24"/>
        </w:rPr>
        <w:t>Walsh</w:t>
      </w:r>
      <w:r w:rsidRPr="00FA5D7E">
        <w:rPr>
          <w:rFonts w:cs="Times New Roman"/>
          <w:szCs w:val="24"/>
        </w:rPr>
        <w:t>, the Quebec National Assembly has not favoured one form of union over another.  This conclusion can be inferred if the questions of freedom of choice and autonomy of the will of the parties are correctly considered.  The legislature has merely defined the legal content of the different forms of conjugal relationships.  It has made consent the key to changing the spouses’ mutual patrimonial relationship.  In this way, it has preserved the freedom of those who wish to organize their patrimonial relationships outside the mandatory statutory framework.</w:t>
      </w:r>
    </w:p>
    <w:p w:rsidR="004862B9" w:rsidRPr="00FA5D7E" w:rsidRDefault="004862B9" w:rsidP="004862B9">
      <w:pPr>
        <w:pStyle w:val="ParaNoNdepar-AltN"/>
        <w:tabs>
          <w:tab w:val="clear" w:pos="1166"/>
          <w:tab w:val="num" w:pos="1152"/>
        </w:tabs>
        <w:ind w:left="0"/>
      </w:pPr>
      <w:r w:rsidRPr="00FA5D7E">
        <w:t xml:space="preserve">This makes it easier to understand the real purpose of these appeals.  It concerns the mutual rights and obligations of spouses in the various forms of conjugal relationships available to them in Quebec law.  In Quebec family law, these rights and obligations are always available to everyone, but imposed on no one.  Their application depends on an express mutual will of the spouses to bind themselves.  This express, and not deemed, consent is the source of the obligation of support and of that of partition of spouses’ patrimonial interests.  As we have seen, this consent is given in Quebec law by contracting marriage or a civil union, or entering into a cohabitation agreement.  Participation in the protective regimes provided for by law depends necessarily on mutual consent.  In this regard, the conclusion of a cohabitation agreement enables </w:t>
      </w:r>
      <w:r w:rsidRPr="00FA5D7E">
        <w:rPr>
          <w:i/>
        </w:rPr>
        <w:t>de facto</w:t>
      </w:r>
      <w:r w:rsidRPr="00FA5D7E">
        <w:t xml:space="preserve"> spouses to create for themselves the legal relationship they consider necessary without having to modify the form of conjugality they have chosen for their life together.</w:t>
      </w:r>
    </w:p>
    <w:p w:rsidR="004862B9" w:rsidRPr="00FA5D7E" w:rsidRDefault="004862B9" w:rsidP="004862B9">
      <w:pPr>
        <w:pStyle w:val="ParaNoNdepar-AltN"/>
        <w:tabs>
          <w:tab w:val="clear" w:pos="1166"/>
          <w:tab w:val="num" w:pos="1152"/>
        </w:tabs>
        <w:ind w:left="0"/>
      </w:pPr>
      <w:r w:rsidRPr="00FA5D7E">
        <w:rPr>
          <w:i/>
        </w:rPr>
        <w:t xml:space="preserve">M. v. H. </w:t>
      </w:r>
      <w:r w:rsidRPr="00FA5D7E">
        <w:t>does not preclude this conclusion.  In that case, the same</w:t>
      </w:r>
      <w:r w:rsidRPr="00FA5D7E">
        <w:noBreakHyphen/>
        <w:t xml:space="preserve">sex spouses were excluded on the basis of their sexual orientation from a regime that required no form of express consent in order to apply.  In the case of Quebec, consent is the ordinary rule.  For </w:t>
      </w:r>
      <w:r w:rsidRPr="00FA5D7E">
        <w:rPr>
          <w:i/>
        </w:rPr>
        <w:t>de facto</w:t>
      </w:r>
      <w:r w:rsidRPr="00FA5D7E">
        <w:t xml:space="preserve"> spouses, it can take legal forms that are well known and often straightforward, with which legal practitioners, if not the parties themselves, are familiar.  If a spouse has concerns about the relative fragility of such agreements in the event of insolvency, agreements with respect to forms of co</w:t>
      </w:r>
      <w:r w:rsidRPr="00FA5D7E">
        <w:noBreakHyphen/>
        <w:t>ownership are possible.</w:t>
      </w:r>
    </w:p>
    <w:p w:rsidR="004862B9" w:rsidRPr="00FA5D7E" w:rsidRDefault="004862B9" w:rsidP="004862B9">
      <w:pPr>
        <w:pStyle w:val="ParaNoNdepar-AltN"/>
        <w:tabs>
          <w:tab w:val="clear" w:pos="1166"/>
          <w:tab w:val="num" w:pos="1152"/>
        </w:tabs>
        <w:ind w:left="0"/>
      </w:pPr>
      <w:r w:rsidRPr="00FA5D7E">
        <w:t xml:space="preserve">In this context in which the existence of a set of rights and obligations depends on mutual consent in one of a variety of forms, it is hard to speak of discrimination against </w:t>
      </w:r>
      <w:r w:rsidRPr="00FA5D7E">
        <w:rPr>
          <w:i/>
        </w:rPr>
        <w:t>de facto</w:t>
      </w:r>
      <w:r w:rsidRPr="00FA5D7E">
        <w:t xml:space="preserve"> spouses.  In this regard, my colleague Abella J. is mistaken in saying that the choice of a form of conjugal relationship, especially that of marriage, is necessarily a mutual one.  She criticizes what she describes as the “opt</w:t>
      </w:r>
      <w:r w:rsidRPr="00FA5D7E">
        <w:noBreakHyphen/>
        <w:t>in” system of Quebec law, arguing that it leaves each member of the couple at the mercy of the other should one of them refuse to marry:  para. 375.</w:t>
      </w:r>
    </w:p>
    <w:p w:rsidR="004862B9" w:rsidRPr="00FA5D7E" w:rsidRDefault="004862B9" w:rsidP="004862B9">
      <w:pPr>
        <w:pStyle w:val="ParaNoNdepar-AltN"/>
        <w:tabs>
          <w:tab w:val="clear" w:pos="1166"/>
          <w:tab w:val="num" w:pos="1152"/>
        </w:tabs>
        <w:ind w:left="0"/>
      </w:pPr>
      <w:r w:rsidRPr="00FA5D7E">
        <w:t xml:space="preserve">This represents an incomplete view of marriage and </w:t>
      </w:r>
      <w:r w:rsidRPr="00FA5D7E">
        <w:rPr>
          <w:i/>
        </w:rPr>
        <w:t>de facto</w:t>
      </w:r>
      <w:r w:rsidRPr="00FA5D7E">
        <w:t xml:space="preserve"> unions in contemporary society.  If we accept that an individual’s freedom to decide and personal autonomy are not purely illusory, his or her decision to continue living with a spouse who refuses to marry has the same value as that of a spouse who gives in to insistent demands to marry.</w:t>
      </w:r>
    </w:p>
    <w:p w:rsidR="004862B9" w:rsidRPr="00FA5D7E" w:rsidRDefault="004862B9" w:rsidP="004862B9">
      <w:pPr>
        <w:pStyle w:val="ParaNoNdepar-AltN"/>
        <w:tabs>
          <w:tab w:val="clear" w:pos="1166"/>
          <w:tab w:val="num" w:pos="1152"/>
        </w:tabs>
        <w:ind w:left="0"/>
      </w:pPr>
      <w:r w:rsidRPr="00FA5D7E">
        <w:t xml:space="preserve">In Quebec family law, as I mentioned above, choosing a </w:t>
      </w:r>
      <w:r w:rsidRPr="00FA5D7E">
        <w:rPr>
          <w:i/>
        </w:rPr>
        <w:t>de facto</w:t>
      </w:r>
      <w:r w:rsidRPr="00FA5D7E">
        <w:t xml:space="preserve"> union permits spouses to opt out of the primary regime that is mandatory in the case of marriage or a civil union.  By making this choice, they avoid entering into that regime and consequently assuming such obligations as that of support or the partition of the family patrimony.  My colleague Abella J. adopts a position that would require these spouses to perform positive acts to opt out of a regime they did not intend to adopt.  She would thus require them to exercise a freedom of choice whose validity and relevance she nonetheless denies in the context of opting for a particular form of conjugality. </w:t>
      </w:r>
    </w:p>
    <w:p w:rsidR="004862B9" w:rsidRPr="00FA5D7E" w:rsidRDefault="004862B9" w:rsidP="004862B9">
      <w:pPr>
        <w:pStyle w:val="ParaNoNdepar-AltN"/>
        <w:tabs>
          <w:tab w:val="clear" w:pos="1166"/>
          <w:tab w:val="num" w:pos="1152"/>
        </w:tabs>
        <w:ind w:left="0"/>
      </w:pPr>
      <w:r w:rsidRPr="00FA5D7E">
        <w:t xml:space="preserve">Moreover, the entire history of societal and legal changes that have led to the </w:t>
      </w:r>
      <w:r w:rsidRPr="00FA5D7E">
        <w:rPr>
          <w:i/>
        </w:rPr>
        <w:t>de facto</w:t>
      </w:r>
      <w:r w:rsidRPr="00FA5D7E">
        <w:t xml:space="preserve"> union becoming an accepted form of conjugality in Quebec, far from being irrelevant to the analysis of an allegation that the right to equality has been infringed, is essential if we are to understand the constitutional issue before us and consider it in its context.  This context can be understood only in light of the very widespread acceptance of the </w:t>
      </w:r>
      <w:r w:rsidRPr="00FA5D7E">
        <w:rPr>
          <w:i/>
        </w:rPr>
        <w:t>de facto</w:t>
      </w:r>
      <w:r w:rsidRPr="00FA5D7E">
        <w:t xml:space="preserve"> union in Quebec society since the recognition of marital status as an analogous ground of discrimination:  </w:t>
      </w:r>
      <w:r w:rsidRPr="00FA5D7E">
        <w:rPr>
          <w:i/>
        </w:rPr>
        <w:t>Turpin</w:t>
      </w:r>
      <w:r w:rsidRPr="00FA5D7E">
        <w:t xml:space="preserve">, at p. 1332.  The resulting choice has become a key factor in the determination of the scope of the right at issue, and not only in the justification of a limit on that right: </w:t>
      </w:r>
      <w:r w:rsidRPr="00FA5D7E">
        <w:rPr>
          <w:i/>
        </w:rPr>
        <w:t>Lavoie</w:t>
      </w:r>
      <w:r w:rsidRPr="00FA5D7E">
        <w:rPr>
          <w:szCs w:val="24"/>
        </w:rPr>
        <w:t xml:space="preserve">, at </w:t>
      </w:r>
      <w:r w:rsidRPr="00FA5D7E">
        <w:t>paras. 47</w:t>
      </w:r>
      <w:r w:rsidRPr="00FA5D7E">
        <w:noBreakHyphen/>
        <w:t xml:space="preserve">48, </w:t>
      </w:r>
      <w:r w:rsidRPr="00FA5D7E">
        <w:rPr>
          <w:i/>
        </w:rPr>
        <w:t xml:space="preserve">per </w:t>
      </w:r>
      <w:r w:rsidRPr="00FA5D7E">
        <w:t>Bastarache J.</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That the legislature did not intend to favour marriage or the civil union is made even clearer by the fact that in Quebec law, </w:t>
      </w:r>
      <w:r w:rsidRPr="00FA5D7E">
        <w:rPr>
          <w:rFonts w:cs="Times New Roman"/>
          <w:i/>
          <w:szCs w:val="24"/>
        </w:rPr>
        <w:t>de facto</w:t>
      </w:r>
      <w:r w:rsidRPr="00FA5D7E">
        <w:rPr>
          <w:rFonts w:cs="Times New Roman"/>
          <w:szCs w:val="24"/>
        </w:rPr>
        <w:t xml:space="preserve"> spouses may accept each of the effects of marriage set out in the impugned provisions.  To do so, they must indicate their consent by expressing a clear intention.</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Thus, </w:t>
      </w:r>
      <w:r w:rsidRPr="00FA5D7E">
        <w:rPr>
          <w:rFonts w:cs="Times New Roman"/>
          <w:i/>
          <w:szCs w:val="24"/>
        </w:rPr>
        <w:t>de facto</w:t>
      </w:r>
      <w:r w:rsidRPr="00FA5D7E">
        <w:rPr>
          <w:rFonts w:cs="Times New Roman"/>
          <w:szCs w:val="24"/>
        </w:rPr>
        <w:t xml:space="preserve"> spouses can enter into cohabitation agreements in which they can opt in to the rules on the partition of the family patrimony, provide for an obligation of support in the event that their relationship breaks down, grant a right of use of the family residence or reserve the right to claim a compensatory allowance.  They can also establish the equivalent of a matrimonial regime and agree to have the rules of the regime of partnership of acquests apply to their relationship.  Moreover, under statutory pension plans, </w:t>
      </w:r>
      <w:r w:rsidRPr="00FA5D7E">
        <w:rPr>
          <w:rFonts w:cs="Times New Roman"/>
          <w:i/>
          <w:szCs w:val="24"/>
        </w:rPr>
        <w:t>de facto</w:t>
      </w:r>
      <w:r w:rsidRPr="00FA5D7E">
        <w:rPr>
          <w:rFonts w:cs="Times New Roman"/>
          <w:szCs w:val="24"/>
        </w:rPr>
        <w:t xml:space="preserve"> spouses can apply by mutual agreement for the partition of amounts accrued in one spouse’s name.  Also, spouses who do not want to proceed by way of an agreement can purchase property as co</w:t>
      </w:r>
      <w:r w:rsidRPr="00FA5D7E">
        <w:rPr>
          <w:rFonts w:cs="Times New Roman"/>
          <w:szCs w:val="24"/>
        </w:rPr>
        <w:noBreakHyphen/>
        <w:t xml:space="preserve">owners, thus ensuring that they are entitled to partition the property when their union comes to an end.  In the absence of such arrangements, a </w:t>
      </w:r>
      <w:r w:rsidRPr="00FA5D7E">
        <w:rPr>
          <w:rFonts w:cs="Times New Roman"/>
          <w:i/>
          <w:szCs w:val="24"/>
        </w:rPr>
        <w:t>de facto</w:t>
      </w:r>
      <w:r w:rsidRPr="00FA5D7E">
        <w:rPr>
          <w:rFonts w:cs="Times New Roman"/>
          <w:szCs w:val="24"/>
        </w:rPr>
        <w:t xml:space="preserve"> spouse can always go to court to bring an action for unjust enrichment against his or her former spouse in circumstances in which such an action is available.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To paraphrase Bastarache J. in </w:t>
      </w:r>
      <w:r w:rsidRPr="00FA5D7E">
        <w:rPr>
          <w:rFonts w:cs="Times New Roman"/>
          <w:i/>
          <w:szCs w:val="24"/>
        </w:rPr>
        <w:t>Walsh</w:t>
      </w:r>
      <w:r w:rsidRPr="00FA5D7E">
        <w:rPr>
          <w:rFonts w:cs="Times New Roman"/>
          <w:szCs w:val="24"/>
        </w:rPr>
        <w:t>, I believe that this requirement that a consensus between the spouses exist before any significant change is made to their rights of ownership “enhances rather than diminishes respect for the autonomy and self</w:t>
      </w:r>
      <w:r w:rsidRPr="00FA5D7E">
        <w:rPr>
          <w:rFonts w:cs="Times New Roman"/>
          <w:szCs w:val="24"/>
        </w:rPr>
        <w:noBreakHyphen/>
        <w:t xml:space="preserve">determination of unmarried cohabitants and their ability to live in relationships of their own design”:  para. 50.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short, I do not consider it imperative that there be an identical framework for each form of union in order to remain true to the purpose of s. 15(1).  In the instant case, the fact that there are different frameworks for private relationships between spouses does not indicate that prejudice is being expressed or perpetuated, but, rather, connotes respect for the various conceptions of conjugality.  Thus, no hierarchy of worth is established between the different types of couples.  Conversely, as we saw in </w:t>
      </w:r>
      <w:r w:rsidRPr="00FA5D7E">
        <w:rPr>
          <w:rFonts w:cs="Times New Roman"/>
          <w:i/>
          <w:szCs w:val="24"/>
        </w:rPr>
        <w:t>Miron</w:t>
      </w:r>
      <w:r w:rsidRPr="00FA5D7E">
        <w:rPr>
          <w:rFonts w:cs="Times New Roman"/>
          <w:szCs w:val="24"/>
        </w:rPr>
        <w:t>, differential treatment of spouses by the government in conferring financial benefits may be a sign that prejudice is being expressed against certain forms of conjugality.  On this fundamental distinction, I will repeat the comments of Professor Goubau, who discusses the importance of maintaining the diversity of forms of conjugality in private law and refraining from imposing a single form of conjugal relationship on spouses:</w:t>
      </w:r>
    </w:p>
    <w:p w:rsidR="004862B9" w:rsidRPr="00FA5D7E" w:rsidRDefault="004862B9" w:rsidP="00A9666E">
      <w:pPr>
        <w:pStyle w:val="Citation-AltC"/>
        <w:tabs>
          <w:tab w:val="left" w:pos="1620"/>
        </w:tabs>
        <w:spacing w:after="240"/>
        <w:ind w:left="1168" w:hanging="1168"/>
        <w:contextualSpacing w:val="0"/>
        <w:rPr>
          <w:szCs w:val="24"/>
          <w:lang w:val="en-CA"/>
        </w:rPr>
      </w:pPr>
      <w:r w:rsidRPr="00FA5D7E">
        <w:rPr>
          <w:szCs w:val="24"/>
          <w:lang w:val="en-CA"/>
        </w:rPr>
        <w:tab/>
      </w:r>
      <w:r w:rsidRPr="00FA5D7E">
        <w:rPr>
          <w:szCs w:val="24"/>
          <w:lang w:val="en-CA"/>
        </w:rPr>
        <w:tab/>
        <w:t>[</w:t>
      </w:r>
      <w:r w:rsidRPr="00FA5D7E">
        <w:rPr>
          <w:smallCaps/>
          <w:szCs w:val="24"/>
          <w:lang w:val="en-CA"/>
        </w:rPr>
        <w:t>translation</w:t>
      </w:r>
      <w:r w:rsidRPr="00FA5D7E">
        <w:rPr>
          <w:szCs w:val="24"/>
          <w:lang w:val="en-CA"/>
        </w:rPr>
        <w:t xml:space="preserve">]  Moreover, our reflection on the appropriateness of extending certain rights traditionally reserved for marriage (and now extended to civil unions) to </w:t>
      </w:r>
      <w:r w:rsidRPr="00FA5D7E">
        <w:rPr>
          <w:i/>
          <w:szCs w:val="24"/>
          <w:lang w:val="en-CA"/>
        </w:rPr>
        <w:t>de facto</w:t>
      </w:r>
      <w:r w:rsidRPr="00FA5D7E">
        <w:rPr>
          <w:szCs w:val="24"/>
          <w:lang w:val="en-CA"/>
        </w:rPr>
        <w:t xml:space="preserve"> spouses must not confuse, as is done too often, the </w:t>
      </w:r>
      <w:r w:rsidRPr="00FA5D7E">
        <w:rPr>
          <w:i/>
          <w:szCs w:val="24"/>
          <w:lang w:val="en-CA"/>
        </w:rPr>
        <w:t>recognition</w:t>
      </w:r>
      <w:r w:rsidRPr="00FA5D7E">
        <w:rPr>
          <w:szCs w:val="24"/>
          <w:lang w:val="en-CA"/>
        </w:rPr>
        <w:t xml:space="preserve"> of </w:t>
      </w:r>
      <w:r w:rsidRPr="00FA5D7E">
        <w:rPr>
          <w:i/>
          <w:szCs w:val="24"/>
          <w:lang w:val="en-CA"/>
        </w:rPr>
        <w:t>de facto</w:t>
      </w:r>
      <w:r w:rsidRPr="00FA5D7E">
        <w:rPr>
          <w:szCs w:val="24"/>
          <w:lang w:val="en-CA"/>
        </w:rPr>
        <w:t xml:space="preserve"> spouses in social law with the idea that they should be </w:t>
      </w:r>
      <w:r w:rsidRPr="00FA5D7E">
        <w:rPr>
          <w:i/>
          <w:szCs w:val="24"/>
          <w:lang w:val="en-CA"/>
        </w:rPr>
        <w:t>treated in the same way as other spouses</w:t>
      </w:r>
      <w:r w:rsidRPr="00FA5D7E">
        <w:rPr>
          <w:szCs w:val="24"/>
          <w:lang w:val="en-CA"/>
        </w:rPr>
        <w:t xml:space="preserve"> in private law, which, in my view, is the very negation of recognition.  In public law and social law, the recognition of conjugality outside marriage, both heterosexual and homosexual, is now a fact. . . .  To accept that unmarried couples can, for example, enjoy the benefits of a public pension plan just like married couples or have the same tax disadvantages is in fact to recognize that the private choices made by individuals have nothing to do with their status in society.  Making the status of spouse available to all couples under social and public law regardless of the legal forms of their relationships is therefore a genuine way of recognizing the real diversity of conjugality in contemporary society.</w:t>
      </w:r>
    </w:p>
    <w:p w:rsidR="004862B9" w:rsidRPr="000316AD" w:rsidRDefault="004862B9" w:rsidP="00A9666E">
      <w:pPr>
        <w:pStyle w:val="Citation-AltC"/>
        <w:tabs>
          <w:tab w:val="left" w:pos="1620"/>
        </w:tabs>
        <w:spacing w:after="240"/>
        <w:ind w:left="1168" w:hanging="1168"/>
        <w:contextualSpacing w:val="0"/>
        <w:rPr>
          <w:szCs w:val="24"/>
        </w:rPr>
      </w:pPr>
      <w:r w:rsidRPr="00FA5D7E">
        <w:rPr>
          <w:szCs w:val="24"/>
          <w:lang w:val="en-CA"/>
        </w:rPr>
        <w:tab/>
      </w:r>
      <w:r w:rsidRPr="00FA5D7E">
        <w:rPr>
          <w:szCs w:val="24"/>
          <w:lang w:val="en-CA"/>
        </w:rPr>
        <w:tab/>
        <w:t>On the other hand, to treat all couples in the same way when it comes, for example, to the obligation of support or the partition of the family patrimony, that is, to matters of private law, would amount to denying precisely what creates diversity among couples, namely the voluntary arrangement of the private effects of their conjugality.</w:t>
      </w:r>
      <w:r w:rsidR="000316AD">
        <w:rPr>
          <w:szCs w:val="24"/>
          <w:lang w:val="en-CA"/>
        </w:rPr>
        <w:t xml:space="preserve"> </w:t>
      </w:r>
      <w:r w:rsidR="000316AD" w:rsidRPr="000316AD">
        <w:rPr>
          <w:szCs w:val="24"/>
        </w:rPr>
        <w:t>[Emphasis in original.]</w:t>
      </w:r>
    </w:p>
    <w:p w:rsidR="004862B9" w:rsidRPr="000316AD" w:rsidRDefault="004862B9" w:rsidP="00FC5EEB">
      <w:pPr>
        <w:spacing w:after="720"/>
        <w:jc w:val="both"/>
        <w:rPr>
          <w:lang w:val="fr-CA"/>
        </w:rPr>
      </w:pPr>
      <w:r w:rsidRPr="000316AD">
        <w:rPr>
          <w:lang w:val="fr-CA"/>
        </w:rPr>
        <w:t>(</w:t>
      </w:r>
      <w:r w:rsidR="000316AD" w:rsidRPr="000316AD">
        <w:rPr>
          <w:lang w:val="fr-CA"/>
        </w:rPr>
        <w:t xml:space="preserve">D. Goubau, </w:t>
      </w:r>
      <w:r w:rsidRPr="000316AD">
        <w:rPr>
          <w:lang w:val="fr-CA"/>
        </w:rPr>
        <w:t>“La conjugalité en droit privé: comment concilier ‘autonomie’ et ‘protection’?”, in Lafond and Lefebvre, 153, at p. 156)</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 conclude on completing this part of the analysis that the articles of the </w:t>
      </w:r>
      <w:r w:rsidRPr="00FA5D7E">
        <w:rPr>
          <w:rFonts w:cs="Times New Roman"/>
          <w:i/>
          <w:szCs w:val="24"/>
        </w:rPr>
        <w:t>Civil Code of Québec</w:t>
      </w:r>
      <w:r w:rsidRPr="00FA5D7E">
        <w:rPr>
          <w:rFonts w:cs="Times New Roman"/>
          <w:szCs w:val="24"/>
        </w:rPr>
        <w:t xml:space="preserve"> whose constitutional validity is being challenged by A do not express or perpetuate prejudice against </w:t>
      </w:r>
      <w:r w:rsidRPr="00FA5D7E">
        <w:rPr>
          <w:rFonts w:cs="Times New Roman"/>
          <w:i/>
          <w:szCs w:val="24"/>
        </w:rPr>
        <w:t>de facto</w:t>
      </w:r>
      <w:r w:rsidRPr="00FA5D7E">
        <w:rPr>
          <w:rFonts w:cs="Times New Roman"/>
          <w:szCs w:val="24"/>
        </w:rPr>
        <w:t xml:space="preserve"> spouses.  On the contrary, it appears that, by respecting personal autonomy and the freedom of </w:t>
      </w:r>
      <w:r w:rsidRPr="00FA5D7E">
        <w:rPr>
          <w:rFonts w:cs="Times New Roman"/>
          <w:i/>
          <w:szCs w:val="24"/>
        </w:rPr>
        <w:t>de facto</w:t>
      </w:r>
      <w:r w:rsidRPr="00FA5D7E">
        <w:rPr>
          <w:rFonts w:cs="Times New Roman"/>
          <w:szCs w:val="24"/>
        </w:rPr>
        <w:t xml:space="preserve"> spouses to organize their relationships on the basis of their needs, those provisions are consistent with two of the values underlying s. 15(1) of the </w:t>
      </w:r>
      <w:r w:rsidRPr="00FA5D7E">
        <w:rPr>
          <w:rFonts w:cs="Times New Roman"/>
          <w:i/>
          <w:szCs w:val="24"/>
        </w:rPr>
        <w:t>Charter</w:t>
      </w:r>
      <w:r w:rsidRPr="00FA5D7E">
        <w:rPr>
          <w:rFonts w:cs="Times New Roman"/>
          <w:szCs w:val="24"/>
        </w:rPr>
        <w:t>.  They were enacted as part of a long and complex legislative process during which the Quebec National Assembly was concerned about keeping step with changes in society and about adapting family law to new types of conjugal relationships in a manner compatible with the freedom of spouses.</w:t>
      </w:r>
    </w:p>
    <w:p w:rsidR="004862B9" w:rsidRPr="00FA5D7E" w:rsidRDefault="004862B9" w:rsidP="004862B9">
      <w:pPr>
        <w:pStyle w:val="ParaNoNdepar-AltN"/>
        <w:tabs>
          <w:tab w:val="clear" w:pos="1166"/>
          <w:tab w:val="num" w:pos="1152"/>
        </w:tabs>
        <w:ind w:left="0"/>
        <w:rPr>
          <w:rFonts w:cs="Times New Roman"/>
        </w:rPr>
      </w:pPr>
      <w:r w:rsidRPr="00FA5D7E">
        <w:rPr>
          <w:rFonts w:cs="Times New Roman"/>
        </w:rPr>
        <w:t xml:space="preserve">At this point of my analysis, I must mention my reservations with respect to the position taken by my colleague Abella J.  First of all, she does not recognize the role played by consent in the application of the rights and obligations that result from the various forms of conjugality.  And it is odd that the opt-out solution she proposes for parties living in a </w:t>
      </w:r>
      <w:r w:rsidRPr="00FA5D7E">
        <w:rPr>
          <w:rFonts w:cs="Times New Roman"/>
          <w:i/>
        </w:rPr>
        <w:t>de facto</w:t>
      </w:r>
      <w:r w:rsidRPr="00FA5D7E">
        <w:rPr>
          <w:rFonts w:cs="Times New Roman"/>
        </w:rPr>
        <w:t xml:space="preserve"> union would itself depend on this mutuality of consent and would not be available to parties who have chosen other forms of conjugal relationships.  Next, she fails in practice to consider the social context of the </w:t>
      </w:r>
      <w:r w:rsidRPr="00FA5D7E">
        <w:rPr>
          <w:rFonts w:cs="Times New Roman"/>
          <w:i/>
        </w:rPr>
        <w:t xml:space="preserve">de facto </w:t>
      </w:r>
      <w:r w:rsidRPr="00FA5D7E">
        <w:rPr>
          <w:rFonts w:cs="Times New Roman"/>
        </w:rPr>
        <w:t>union in Quebec.  Finally, her analysis would tend to reduce the review of alleged infringements of the right to equality to a requirement that adverse distinctions be found.  There would no longer be an analytical framework to guide the courts in considering such matters, and this could affect the legitimacy of their decisions in this regard.</w:t>
      </w:r>
    </w:p>
    <w:p w:rsidR="004862B9" w:rsidRPr="00FA5D7E" w:rsidRDefault="004862B9" w:rsidP="00A9666E">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(3)</w:t>
      </w:r>
      <w:r w:rsidRPr="00FA5D7E">
        <w:rPr>
          <w:rFonts w:cs="Times New Roman"/>
          <w:szCs w:val="24"/>
          <w:lang w:val="en-CA"/>
        </w:rPr>
        <w:tab/>
      </w:r>
      <w:r w:rsidRPr="00FA5D7E">
        <w:rPr>
          <w:rFonts w:cs="Times New Roman"/>
          <w:szCs w:val="24"/>
          <w:u w:val="single"/>
          <w:lang w:val="en-CA"/>
        </w:rPr>
        <w:t>Stereotyping</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There is a second way for A to prove substantive inequality, however.  She can try to show that the disadvantage imposed by these legislative provisions is based on a stereotype that does not correspond to the actual circumstances or characteristics of </w:t>
      </w:r>
      <w:r w:rsidRPr="00FA5D7E">
        <w:rPr>
          <w:rFonts w:cs="Times New Roman"/>
          <w:i/>
          <w:szCs w:val="24"/>
        </w:rPr>
        <w:t>de facto</w:t>
      </w:r>
      <w:r w:rsidRPr="00FA5D7E">
        <w:rPr>
          <w:rFonts w:cs="Times New Roman"/>
          <w:szCs w:val="24"/>
        </w:rPr>
        <w:t xml:space="preserve"> spouses:  </w:t>
      </w:r>
      <w:r w:rsidRPr="00FA5D7E">
        <w:rPr>
          <w:rFonts w:cs="Times New Roman"/>
          <w:i/>
          <w:szCs w:val="24"/>
        </w:rPr>
        <w:t>Withler</w:t>
      </w:r>
      <w:r w:rsidRPr="00FA5D7E">
        <w:rPr>
          <w:rFonts w:cs="Times New Roman"/>
          <w:szCs w:val="24"/>
        </w:rPr>
        <w:t>, at para. 36.</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This argument essentially focuses on the issue of the validity of the basic premise of Quebec family law, namely the exercise of autonomy of the will.  In Quebec, the legislature has provided that the application of the provisions on the family patrimony, the compensatory allowance, the obligation of support, the family residence and partnership of acquests are conditional on the expression of a consensual intention (through marriage, a civil union or a cohabitation agreement).  It thus refused to impose these measures on persons who have not expressed their consent to be bound by them and, in so doing, took the view that cohabitation alone does not amount to the expression of an intention to be so bound.</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If this premise is false and the decision to marry or not to marry does not imply consent to be bound by or excluded from the regimes in the </w:t>
      </w:r>
      <w:r w:rsidRPr="00FA5D7E">
        <w:rPr>
          <w:rFonts w:cs="Times New Roman"/>
          <w:i/>
          <w:szCs w:val="24"/>
        </w:rPr>
        <w:t>Civil Code</w:t>
      </w:r>
      <w:r w:rsidRPr="00FA5D7E">
        <w:rPr>
          <w:rFonts w:cs="Times New Roman"/>
          <w:szCs w:val="24"/>
        </w:rPr>
        <w:t xml:space="preserve">, the provisions challenged by A could well be based on an inaccurate characterization of the circumstances of Quebec couples.  In other words, if autonomy of the will is merely wishful thinking and does not really exist in matrimonial matters, then the distinction made by the legislature does not correspond to the actual circumstances and characteristics of </w:t>
      </w:r>
      <w:r w:rsidRPr="00FA5D7E">
        <w:rPr>
          <w:rFonts w:cs="Times New Roman"/>
          <w:i/>
          <w:szCs w:val="24"/>
        </w:rPr>
        <w:t>de facto</w:t>
      </w:r>
      <w:r w:rsidRPr="00FA5D7E">
        <w:rPr>
          <w:rFonts w:cs="Times New Roman"/>
          <w:szCs w:val="24"/>
        </w:rPr>
        <w:t xml:space="preserve"> spouses and therefore creates a disadvantage based on stereotyping.</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There is no evidence in the Court’s record in this case that would justify accepting the validity of such an argument and finding that the exclusion of </w:t>
      </w:r>
      <w:r w:rsidRPr="00FA5D7E">
        <w:rPr>
          <w:rFonts w:cs="Times New Roman"/>
          <w:i/>
          <w:szCs w:val="24"/>
        </w:rPr>
        <w:t>de facto</w:t>
      </w:r>
      <w:r w:rsidRPr="00FA5D7E">
        <w:rPr>
          <w:rFonts w:cs="Times New Roman"/>
          <w:szCs w:val="24"/>
        </w:rPr>
        <w:t xml:space="preserve"> spouses from the primary regime and the regime of partnership of acquests is based on a stereotypical characterization of the actual circumstances of such spouses.  More specifically, none of A’s evidence tends to show that the policy of freedom of choice, consensualism and autonomy of the will does not correspond to the reality of the persons in question.</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Nor can I take judicial notice of the fact that the choice of type of conjugality is not a deliberate and genuine choice that should have patrimonial consequences but necessarily results from the spouses’ ignorance of the consequences of their status.  Such a fact is clearly controversial and not beyond reasonable dispute:  </w:t>
      </w:r>
      <w:r w:rsidRPr="00FA5D7E">
        <w:rPr>
          <w:rFonts w:cs="Times New Roman"/>
          <w:i/>
          <w:szCs w:val="24"/>
        </w:rPr>
        <w:t>Find</w:t>
      </w:r>
      <w:r w:rsidRPr="00FA5D7E">
        <w:rPr>
          <w:rFonts w:cs="Times New Roman"/>
          <w:szCs w:val="24"/>
        </w:rPr>
        <w:t>, at paras. 48 and 60-61.</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It is not unreasonable to believe that, in theory, individuals sometimes make uninformed choices and that some individuals may be unaware of the consequences of their choice of conjugal lifestyle.  Nevertheless, to take judicial notice of the fact that the voluntary choice not to marry does not reflect an autonomous decision to avoid the legal regimes would be to exceed the limits of legitimate judicial notice, especially in relation to an issue at the centre of the controversy.</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 case at bar, A has not established that it is stereotypical to believe that couples in a </w:t>
      </w:r>
      <w:r w:rsidRPr="00FA5D7E">
        <w:rPr>
          <w:rFonts w:cs="Times New Roman"/>
          <w:i/>
          <w:szCs w:val="24"/>
        </w:rPr>
        <w:t>de facto</w:t>
      </w:r>
      <w:r w:rsidRPr="00FA5D7E">
        <w:rPr>
          <w:rFonts w:cs="Times New Roman"/>
          <w:szCs w:val="24"/>
        </w:rPr>
        <w:t xml:space="preserve"> union have chosen not to be bound by the regimes applicable to marriage and civil unions.  The Quebec scheme, the effect of which is to respect each person’s freedom of choice to establish his or her own form of conjugality, and thus to participate or not to participate in the legislative regime of marriage or civil union with its distinct legal consequences, is not based on a stereotype.</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this sense, recognition of the principle of autonomy of the will, which is one of the values underlying the equality guarantee in s. 15 of the </w:t>
      </w:r>
      <w:r w:rsidRPr="00FA5D7E">
        <w:rPr>
          <w:rFonts w:cs="Times New Roman"/>
          <w:i/>
          <w:szCs w:val="24"/>
        </w:rPr>
        <w:t>Charter</w:t>
      </w:r>
      <w:r w:rsidRPr="00FA5D7E">
        <w:rPr>
          <w:rFonts w:cs="Times New Roman"/>
          <w:szCs w:val="24"/>
        </w:rPr>
        <w:t xml:space="preserve">, means that the courts must respect choices made by individuals in the exercise of that autonomy.  In this context, it will be up to the legislature to intervene if it believes that the consequences of such autonomous choices give rise to social problems that need to be remedied.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In Quebec, the current legal framework for marriage and the other forms of conjugal relationships developed as a result of this type of intervention by the legislature, which intended to remedy problems caused by the evolution of marriage in Quebec and the longstanding preference of couples for the regime of separation of property over community matrimonial regimes.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In the instant case, in the absence of an infringement of s. 15(1) of the </w:t>
      </w:r>
      <w:r w:rsidRPr="00FA5D7E">
        <w:rPr>
          <w:rFonts w:cs="Times New Roman"/>
          <w:i/>
          <w:szCs w:val="24"/>
        </w:rPr>
        <w:t>Charter</w:t>
      </w:r>
      <w:r w:rsidRPr="00FA5D7E">
        <w:rPr>
          <w:rFonts w:cs="Times New Roman"/>
          <w:szCs w:val="24"/>
        </w:rPr>
        <w:t xml:space="preserve">, the Court has no power to impose on the private relationships of </w:t>
      </w:r>
      <w:r w:rsidRPr="00FA5D7E">
        <w:rPr>
          <w:rFonts w:cs="Times New Roman"/>
          <w:i/>
          <w:szCs w:val="24"/>
        </w:rPr>
        <w:t>de facto</w:t>
      </w:r>
      <w:r w:rsidRPr="00FA5D7E">
        <w:rPr>
          <w:rFonts w:cs="Times New Roman"/>
          <w:szCs w:val="24"/>
        </w:rPr>
        <w:t xml:space="preserve"> spouses a legal framework based on a social policy that differs from the policy adopted by the Quebec legislature.  Only the legislature can intervene to change that legislative policy and remedy any problems encountered by </w:t>
      </w:r>
      <w:r w:rsidRPr="00FA5D7E">
        <w:rPr>
          <w:rFonts w:cs="Times New Roman"/>
          <w:i/>
          <w:szCs w:val="24"/>
        </w:rPr>
        <w:t>de facto</w:t>
      </w:r>
      <w:r w:rsidRPr="00FA5D7E">
        <w:rPr>
          <w:rFonts w:cs="Times New Roman"/>
          <w:szCs w:val="24"/>
        </w:rPr>
        <w:t xml:space="preserve"> spouses.</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This type of legislative intervention has in fact occurred in certain provinces.  Provincial legislatures have chosen to regulate the private relationships of common law spouses on the basis of their own provinces’ legislative objectives.  Today, each province defines the effects of </w:t>
      </w:r>
      <w:r w:rsidRPr="00FA5D7E">
        <w:rPr>
          <w:rFonts w:cs="Times New Roman"/>
          <w:i/>
          <w:szCs w:val="24"/>
        </w:rPr>
        <w:t>de facto</w:t>
      </w:r>
      <w:r w:rsidRPr="00FA5D7E">
        <w:rPr>
          <w:rFonts w:cs="Times New Roman"/>
          <w:szCs w:val="24"/>
        </w:rPr>
        <w:t xml:space="preserve"> unions or common law relationships differently, which is a mark of Canadian legal pluralism.</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For example, in all provinces except Quebec, and in the territories, cohabitation for a certain number of years gives rise to an obligation of support between common law spouses: see, </w:t>
      </w:r>
      <w:r w:rsidRPr="00FA5D7E">
        <w:rPr>
          <w:rFonts w:cs="Times New Roman"/>
          <w:i/>
          <w:szCs w:val="24"/>
        </w:rPr>
        <w:t>inter alia</w:t>
      </w:r>
      <w:r w:rsidRPr="00FA5D7E">
        <w:rPr>
          <w:rFonts w:cs="Times New Roman"/>
          <w:szCs w:val="24"/>
        </w:rPr>
        <w:t xml:space="preserve">, </w:t>
      </w:r>
      <w:r w:rsidRPr="00FA5D7E">
        <w:rPr>
          <w:rFonts w:cs="Times New Roman"/>
          <w:i/>
          <w:szCs w:val="24"/>
        </w:rPr>
        <w:t>Family Law Act</w:t>
      </w:r>
      <w:r w:rsidR="003706E8" w:rsidRPr="003706E8">
        <w:rPr>
          <w:rFonts w:cs="Times New Roman"/>
          <w:szCs w:val="24"/>
        </w:rPr>
        <w:t>, R.S.O. 1990, c. F.3</w:t>
      </w:r>
      <w:r w:rsidRPr="00FA5D7E">
        <w:rPr>
          <w:rFonts w:cs="Times New Roman"/>
          <w:szCs w:val="24"/>
        </w:rPr>
        <w:t xml:space="preserve">; </w:t>
      </w:r>
      <w:r w:rsidRPr="00FA5D7E">
        <w:rPr>
          <w:rFonts w:cs="Times New Roman"/>
          <w:i/>
          <w:szCs w:val="24"/>
        </w:rPr>
        <w:t>Family Services Act</w:t>
      </w:r>
      <w:r w:rsidRPr="00FA5D7E">
        <w:rPr>
          <w:rFonts w:cs="Times New Roman"/>
          <w:szCs w:val="24"/>
        </w:rPr>
        <w:t>, S.N.B. 1980, c. F</w:t>
      </w:r>
      <w:r w:rsidRPr="00FA5D7E">
        <w:rPr>
          <w:rFonts w:cs="Times New Roman"/>
          <w:szCs w:val="24"/>
        </w:rPr>
        <w:noBreakHyphen/>
        <w:t xml:space="preserve">2.2; </w:t>
      </w:r>
      <w:r w:rsidRPr="00FA5D7E">
        <w:rPr>
          <w:rFonts w:cs="Times New Roman"/>
          <w:i/>
          <w:szCs w:val="24"/>
        </w:rPr>
        <w:t>The Family Maintenance Act</w:t>
      </w:r>
      <w:r w:rsidRPr="00FA5D7E">
        <w:rPr>
          <w:rFonts w:cs="Times New Roman"/>
          <w:szCs w:val="24"/>
        </w:rPr>
        <w:t xml:space="preserve">, R.S.M. 1987, c. F20; </w:t>
      </w:r>
      <w:r w:rsidRPr="00FA5D7E">
        <w:rPr>
          <w:rFonts w:cs="Times New Roman"/>
          <w:i/>
          <w:szCs w:val="24"/>
        </w:rPr>
        <w:t>Maintenance and Custody Act</w:t>
      </w:r>
      <w:r w:rsidR="003706E8" w:rsidRPr="003706E8">
        <w:rPr>
          <w:rFonts w:cs="Times New Roman"/>
          <w:szCs w:val="24"/>
        </w:rPr>
        <w:t>, R.S.N.S. 1989, c. 160</w:t>
      </w:r>
      <w:r w:rsidRPr="00FA5D7E">
        <w:rPr>
          <w:rFonts w:cs="Times New Roman"/>
          <w:szCs w:val="24"/>
        </w:rPr>
        <w:t xml:space="preserve">; </w:t>
      </w:r>
      <w:r w:rsidRPr="00FA5D7E">
        <w:rPr>
          <w:rFonts w:cs="Times New Roman"/>
          <w:i/>
          <w:szCs w:val="24"/>
        </w:rPr>
        <w:t>Family Relations Act</w:t>
      </w:r>
      <w:r w:rsidRPr="00FA5D7E">
        <w:rPr>
          <w:rFonts w:cs="Times New Roman"/>
          <w:szCs w:val="24"/>
        </w:rPr>
        <w:t xml:space="preserve">, R.S.B.C. 1996, c. 128; </w:t>
      </w:r>
      <w:r w:rsidRPr="00FA5D7E">
        <w:rPr>
          <w:rFonts w:cs="Times New Roman"/>
          <w:i/>
          <w:szCs w:val="24"/>
        </w:rPr>
        <w:t>Family Law Act</w:t>
      </w:r>
      <w:r w:rsidRPr="00FA5D7E">
        <w:rPr>
          <w:rFonts w:cs="Times New Roman"/>
          <w:szCs w:val="24"/>
        </w:rPr>
        <w:t>, R.S.N.L. 1990, c. F</w:t>
      </w:r>
      <w:r w:rsidRPr="00FA5D7E">
        <w:rPr>
          <w:rFonts w:cs="Times New Roman"/>
          <w:szCs w:val="24"/>
        </w:rPr>
        <w:noBreakHyphen/>
        <w:t xml:space="preserve">2; </w:t>
      </w:r>
      <w:r w:rsidRPr="00FA5D7E">
        <w:rPr>
          <w:rFonts w:cs="Times New Roman"/>
          <w:i/>
          <w:szCs w:val="24"/>
        </w:rPr>
        <w:t>The Family Maintenance Act, 1997</w:t>
      </w:r>
      <w:r w:rsidRPr="00FA5D7E">
        <w:rPr>
          <w:rFonts w:cs="Times New Roman"/>
          <w:szCs w:val="24"/>
        </w:rPr>
        <w:t>, S.S. 1997, c. F</w:t>
      </w:r>
      <w:r w:rsidRPr="00FA5D7E">
        <w:rPr>
          <w:rFonts w:cs="Times New Roman"/>
          <w:szCs w:val="24"/>
        </w:rPr>
        <w:noBreakHyphen/>
        <w:t xml:space="preserve">6.2; </w:t>
      </w:r>
      <w:r w:rsidRPr="00FA5D7E">
        <w:rPr>
          <w:rFonts w:cs="Times New Roman"/>
          <w:i/>
          <w:szCs w:val="24"/>
        </w:rPr>
        <w:t>Family Law Act</w:t>
      </w:r>
      <w:r w:rsidRPr="00FA5D7E">
        <w:rPr>
          <w:rFonts w:cs="Times New Roman"/>
          <w:szCs w:val="24"/>
        </w:rPr>
        <w:t>, R.S.P.E.I. 1988, c. F</w:t>
      </w:r>
      <w:r w:rsidRPr="00FA5D7E">
        <w:rPr>
          <w:rFonts w:cs="Times New Roman"/>
          <w:szCs w:val="24"/>
        </w:rPr>
        <w:noBreakHyphen/>
        <w:t xml:space="preserve">2.1; </w:t>
      </w:r>
      <w:r w:rsidRPr="00FA5D7E">
        <w:rPr>
          <w:rFonts w:cs="Times New Roman"/>
          <w:i/>
          <w:szCs w:val="24"/>
        </w:rPr>
        <w:t>Family Law Act</w:t>
      </w:r>
      <w:r w:rsidRPr="00FA5D7E">
        <w:rPr>
          <w:rFonts w:cs="Times New Roman"/>
          <w:szCs w:val="24"/>
        </w:rPr>
        <w:t xml:space="preserve">, S.N.W.T. 1997, c. 18; </w:t>
      </w:r>
      <w:r w:rsidRPr="00FA5D7E">
        <w:rPr>
          <w:rFonts w:cs="Times New Roman"/>
          <w:i/>
          <w:szCs w:val="24"/>
        </w:rPr>
        <w:t>Domestic Relations Act</w:t>
      </w:r>
      <w:r w:rsidRPr="00FA5D7E">
        <w:rPr>
          <w:rFonts w:cs="Times New Roman"/>
          <w:szCs w:val="24"/>
        </w:rPr>
        <w:t>, R.S.A. 2000, c. D</w:t>
      </w:r>
      <w:r w:rsidRPr="00FA5D7E">
        <w:rPr>
          <w:rFonts w:cs="Times New Roman"/>
          <w:szCs w:val="24"/>
        </w:rPr>
        <w:noBreakHyphen/>
        <w:t xml:space="preserve">14.  Some provinces, such as Ontario, have imposed this policy to alleviate the burden on the public purse: see, </w:t>
      </w:r>
      <w:r w:rsidRPr="00FA5D7E">
        <w:rPr>
          <w:rFonts w:cs="Times New Roman"/>
          <w:i/>
          <w:szCs w:val="24"/>
        </w:rPr>
        <w:t>inter alia</w:t>
      </w:r>
      <w:r w:rsidRPr="00FA5D7E">
        <w:rPr>
          <w:rFonts w:cs="Times New Roman"/>
          <w:szCs w:val="24"/>
        </w:rPr>
        <w:t>, W. Holland, “Intimate Relationships in the New Millennium:  The Assimilation of Marriage and Cohabitation?” (2000), 17 </w:t>
      </w:r>
      <w:r w:rsidRPr="00FA5D7E">
        <w:rPr>
          <w:rFonts w:cs="Times New Roman"/>
          <w:i/>
          <w:szCs w:val="24"/>
        </w:rPr>
        <w:t>Can. J. Fam. L.</w:t>
      </w:r>
      <w:r w:rsidRPr="00FA5D7E">
        <w:rPr>
          <w:rFonts w:cs="Times New Roman"/>
          <w:szCs w:val="24"/>
        </w:rPr>
        <w:t xml:space="preserve"> 114, at p. 128.  In British Columbia, in addition to the obligation of support, certain measures to protect the family residence apply to common law spouses:  </w:t>
      </w:r>
      <w:r w:rsidRPr="00FA5D7E">
        <w:rPr>
          <w:rFonts w:cs="Times New Roman"/>
          <w:i/>
          <w:szCs w:val="24"/>
        </w:rPr>
        <w:t>Family Relations Act</w:t>
      </w:r>
      <w:r w:rsidRPr="00FA5D7E">
        <w:rPr>
          <w:rFonts w:cs="Times New Roman"/>
          <w:szCs w:val="24"/>
        </w:rPr>
        <w:t xml:space="preserve">.  In Saskatchewan and Manitoba, common law relationships are, in addition to being subject to a support obligation and measures related to the family residence, subject to the division of family property: </w:t>
      </w:r>
      <w:r w:rsidRPr="00FA5D7E">
        <w:rPr>
          <w:rFonts w:cs="Times New Roman"/>
          <w:i/>
          <w:szCs w:val="24"/>
        </w:rPr>
        <w:t>The Miscellaneous Statutes (Domestic Relations) Amendment Act, 2001 (No. 2)</w:t>
      </w:r>
      <w:r w:rsidRPr="00FA5D7E">
        <w:rPr>
          <w:rFonts w:cs="Times New Roman"/>
          <w:szCs w:val="24"/>
        </w:rPr>
        <w:t xml:space="preserve">, S.S. 2001, c. 51; </w:t>
      </w:r>
      <w:r w:rsidRPr="00FA5D7E">
        <w:rPr>
          <w:rFonts w:cs="Times New Roman"/>
          <w:i/>
          <w:szCs w:val="24"/>
        </w:rPr>
        <w:t>Common Law Partners’ Property and Related Amendments Act</w:t>
      </w:r>
      <w:r w:rsidRPr="00FA5D7E">
        <w:rPr>
          <w:rFonts w:cs="Times New Roman"/>
          <w:szCs w:val="24"/>
        </w:rPr>
        <w:t xml:space="preserve">, S.M. 2002, c. 48.  As we saw above, Nova Scotia’s legislation provides that common law partners can choose to register their partnerships and thus be governed by the legal framework applicable to marriage with respect to matrimonial property:  </w:t>
      </w:r>
      <w:r w:rsidRPr="00FA5D7E">
        <w:rPr>
          <w:rFonts w:cs="Times New Roman"/>
          <w:i/>
          <w:szCs w:val="24"/>
        </w:rPr>
        <w:t>Law Reform 2000 Act</w:t>
      </w:r>
      <w:r w:rsidRPr="00FA5D7E">
        <w:rPr>
          <w:rFonts w:cs="Times New Roman"/>
          <w:szCs w:val="24"/>
        </w:rPr>
        <w:t xml:space="preserve">, S.N.S. 2000, c. 29. </w:t>
      </w:r>
    </w:p>
    <w:p w:rsidR="004862B9" w:rsidRPr="00FA5D7E" w:rsidRDefault="004862B9" w:rsidP="009236A7">
      <w:pPr>
        <w:pStyle w:val="TitleTitre-AltT"/>
        <w:tabs>
          <w:tab w:val="clear" w:pos="360"/>
          <w:tab w:val="left" w:pos="1170"/>
        </w:tabs>
        <w:ind w:left="1710" w:hanging="1710"/>
        <w:rPr>
          <w:rFonts w:cs="Times New Roman"/>
          <w:szCs w:val="24"/>
          <w:lang w:val="en-CA"/>
        </w:rPr>
      </w:pPr>
      <w:r w:rsidRPr="00FA5D7E">
        <w:rPr>
          <w:rFonts w:cs="Times New Roman"/>
          <w:szCs w:val="24"/>
          <w:lang w:val="en-CA"/>
        </w:rPr>
        <w:tab/>
        <w:t>(4)</w:t>
      </w:r>
      <w:r w:rsidRPr="00FA5D7E">
        <w:rPr>
          <w:rFonts w:cs="Times New Roman"/>
          <w:szCs w:val="24"/>
          <w:lang w:val="en-CA"/>
        </w:rPr>
        <w:tab/>
      </w:r>
      <w:r w:rsidRPr="00FA5D7E">
        <w:rPr>
          <w:rFonts w:cs="Times New Roman"/>
          <w:szCs w:val="24"/>
          <w:u w:val="single"/>
          <w:lang w:val="en-CA"/>
        </w:rPr>
        <w:t>Conclusion</w:t>
      </w:r>
      <w:r w:rsidRPr="00FA5D7E">
        <w:rPr>
          <w:rFonts w:cs="Times New Roman"/>
          <w:szCs w:val="24"/>
          <w:lang w:val="en-CA"/>
        </w:rPr>
        <w:t xml:space="preserve"> </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 xml:space="preserve">I therefore conclude that, although arts. 401 to 430, 432, 433, 448 to 484 and 585 </w:t>
      </w:r>
      <w:r w:rsidRPr="00FA5D7E">
        <w:rPr>
          <w:rFonts w:cs="Times New Roman"/>
          <w:i/>
          <w:szCs w:val="24"/>
        </w:rPr>
        <w:t>C.C.Q.</w:t>
      </w:r>
      <w:r w:rsidRPr="00FA5D7E">
        <w:rPr>
          <w:rFonts w:cs="Times New Roman"/>
          <w:szCs w:val="24"/>
        </w:rPr>
        <w:t xml:space="preserve"> draw a distinction based on marital status between </w:t>
      </w:r>
      <w:r w:rsidRPr="00FA5D7E">
        <w:rPr>
          <w:rFonts w:cs="Times New Roman"/>
          <w:i/>
          <w:szCs w:val="24"/>
        </w:rPr>
        <w:t>de facto</w:t>
      </w:r>
      <w:r w:rsidRPr="00FA5D7E">
        <w:rPr>
          <w:rFonts w:cs="Times New Roman"/>
          <w:szCs w:val="24"/>
        </w:rPr>
        <w:t xml:space="preserve"> spouses and married or civil union spouses, they do not create a disadvantage by expressing or perpetuating prejudice or by stereotyping.  The exclusion of </w:t>
      </w:r>
      <w:r w:rsidRPr="00FA5D7E">
        <w:rPr>
          <w:rFonts w:cs="Times New Roman"/>
          <w:i/>
          <w:szCs w:val="24"/>
        </w:rPr>
        <w:t>de facto</w:t>
      </w:r>
      <w:r w:rsidRPr="00FA5D7E">
        <w:rPr>
          <w:rFonts w:cs="Times New Roman"/>
          <w:szCs w:val="24"/>
        </w:rPr>
        <w:t xml:space="preserve"> spouses from the scope of those provisions is not discriminatory within the meaning of s. 15(1) of the </w:t>
      </w:r>
      <w:r w:rsidRPr="00FA5D7E">
        <w:rPr>
          <w:rFonts w:cs="Times New Roman"/>
          <w:i/>
          <w:szCs w:val="24"/>
        </w:rPr>
        <w:t>Charter</w:t>
      </w:r>
      <w:r w:rsidRPr="00FA5D7E">
        <w:rPr>
          <w:rFonts w:cs="Times New Roman"/>
          <w:szCs w:val="24"/>
        </w:rPr>
        <w:t xml:space="preserve"> and does not violate the constitutional right to equality.  As a result, it is not necessary to proceed to the s. 1 stage of the </w:t>
      </w:r>
      <w:r w:rsidRPr="00FA5D7E">
        <w:rPr>
          <w:rFonts w:cs="Times New Roman"/>
          <w:i/>
          <w:szCs w:val="24"/>
        </w:rPr>
        <w:t>Charter</w:t>
      </w:r>
      <w:r w:rsidRPr="00FA5D7E">
        <w:rPr>
          <w:rFonts w:cs="Times New Roman"/>
          <w:szCs w:val="24"/>
        </w:rPr>
        <w:t xml:space="preserve"> analysis.</w:t>
      </w:r>
    </w:p>
    <w:p w:rsidR="004862B9" w:rsidRPr="00FA5D7E" w:rsidRDefault="004862B9" w:rsidP="004862B9">
      <w:pPr>
        <w:pStyle w:val="TitleTitre-AltT"/>
        <w:rPr>
          <w:rFonts w:cs="Times New Roman"/>
          <w:szCs w:val="24"/>
          <w:lang w:val="en-CA"/>
        </w:rPr>
      </w:pPr>
      <w:r w:rsidRPr="00FA5D7E">
        <w:rPr>
          <w:rFonts w:cs="Times New Roman"/>
          <w:szCs w:val="24"/>
          <w:lang w:val="en-CA"/>
        </w:rPr>
        <w:t>V.</w:t>
      </w:r>
      <w:r w:rsidRPr="00FA5D7E">
        <w:rPr>
          <w:rFonts w:cs="Times New Roman"/>
          <w:szCs w:val="24"/>
          <w:lang w:val="en-CA"/>
        </w:rPr>
        <w:tab/>
      </w:r>
      <w:r w:rsidRPr="008F2ACB">
        <w:rPr>
          <w:rFonts w:cs="Times New Roman"/>
          <w:szCs w:val="24"/>
          <w:u w:val="single"/>
          <w:lang w:val="en-CA"/>
        </w:rPr>
        <w:t>Disposition</w:t>
      </w:r>
    </w:p>
    <w:p w:rsidR="004862B9" w:rsidRPr="00FA5D7E" w:rsidRDefault="004862B9" w:rsidP="004862B9">
      <w:pPr>
        <w:pStyle w:val="ParaNoNdepar-AltN"/>
        <w:tabs>
          <w:tab w:val="clear" w:pos="1166"/>
          <w:tab w:val="num" w:pos="1152"/>
        </w:tabs>
        <w:ind w:left="0"/>
        <w:rPr>
          <w:rFonts w:cs="Times New Roman"/>
          <w:szCs w:val="24"/>
        </w:rPr>
      </w:pPr>
      <w:r w:rsidRPr="00FA5D7E">
        <w:rPr>
          <w:rFonts w:cs="Times New Roman"/>
          <w:szCs w:val="24"/>
        </w:rPr>
        <w:t>I would allow the appeals of the Attorney General of Quebec and B and dismiss A’s appeal, without costs in all cases.  I would answer the constitutional questions as follows:</w:t>
      </w:r>
    </w:p>
    <w:p w:rsidR="004862B9" w:rsidRPr="00FA5D7E" w:rsidRDefault="00092EAB" w:rsidP="009236A7">
      <w:pPr>
        <w:pStyle w:val="Citation-AltC"/>
        <w:tabs>
          <w:tab w:val="left" w:pos="1134"/>
        </w:tabs>
        <w:spacing w:after="240"/>
        <w:ind w:left="1530" w:hanging="1530"/>
        <w:contextualSpacing w:val="0"/>
        <w:rPr>
          <w:szCs w:val="24"/>
          <w:lang w:val="en-CA" w:bidi="en-US"/>
        </w:rPr>
      </w:pPr>
      <w:r>
        <w:rPr>
          <w:szCs w:val="24"/>
          <w:lang w:val="en-CA"/>
        </w:rPr>
        <w:tab/>
        <w:t>1.</w:t>
      </w:r>
      <w:r>
        <w:rPr>
          <w:szCs w:val="24"/>
          <w:lang w:val="en-CA"/>
        </w:rPr>
        <w:tab/>
      </w:r>
      <w:r w:rsidR="004862B9" w:rsidRPr="00FA5D7E">
        <w:rPr>
          <w:szCs w:val="24"/>
          <w:lang w:val="en-CA"/>
        </w:rPr>
        <w:t xml:space="preserve">Do arts. 401 to 430, 432, 433, 448 to 484 and 585 of the </w:t>
      </w:r>
      <w:r w:rsidR="004862B9" w:rsidRPr="00FA5D7E">
        <w:rPr>
          <w:i/>
          <w:szCs w:val="24"/>
          <w:lang w:val="en-CA"/>
        </w:rPr>
        <w:t>Civil Code of Québec</w:t>
      </w:r>
      <w:r w:rsidR="004862B9" w:rsidRPr="00FA5D7E">
        <w:rPr>
          <w:szCs w:val="24"/>
          <w:lang w:val="en-CA"/>
        </w:rPr>
        <w:t xml:space="preserve">, S.Q. 1991, c. 64, infringe s. 15(1) of the </w:t>
      </w:r>
      <w:r w:rsidR="004862B9" w:rsidRPr="00FA5D7E">
        <w:rPr>
          <w:i/>
          <w:szCs w:val="24"/>
          <w:lang w:val="en-CA"/>
        </w:rPr>
        <w:t>Canadian Charter of Rights and Freedoms</w:t>
      </w:r>
      <w:r w:rsidR="004862B9" w:rsidRPr="00FA5D7E">
        <w:rPr>
          <w:szCs w:val="24"/>
          <w:lang w:val="en-CA"/>
        </w:rPr>
        <w:t>?</w:t>
      </w:r>
    </w:p>
    <w:p w:rsidR="004862B9" w:rsidRPr="00FA5D7E" w:rsidRDefault="004862B9" w:rsidP="00092EAB">
      <w:pPr>
        <w:pStyle w:val="Citation-AltC"/>
        <w:spacing w:after="240" w:line="480" w:lineRule="auto"/>
        <w:ind w:left="1168" w:hanging="1168"/>
        <w:contextualSpacing w:val="0"/>
        <w:rPr>
          <w:szCs w:val="24"/>
          <w:lang w:val="en-CA"/>
        </w:rPr>
      </w:pPr>
      <w:r w:rsidRPr="00FA5D7E">
        <w:rPr>
          <w:szCs w:val="24"/>
          <w:lang w:val="en-CA"/>
        </w:rPr>
        <w:t>No.</w:t>
      </w:r>
    </w:p>
    <w:p w:rsidR="004862B9" w:rsidRPr="00FA5D7E" w:rsidRDefault="00092EAB" w:rsidP="009236A7">
      <w:pPr>
        <w:pStyle w:val="Citation-AltC"/>
        <w:tabs>
          <w:tab w:val="left" w:pos="1134"/>
        </w:tabs>
        <w:ind w:left="1530" w:hanging="1530"/>
        <w:contextualSpacing w:val="0"/>
        <w:rPr>
          <w:szCs w:val="24"/>
          <w:lang w:val="en-CA" w:bidi="en-US"/>
        </w:rPr>
      </w:pPr>
      <w:r>
        <w:rPr>
          <w:szCs w:val="24"/>
          <w:lang w:val="en-CA"/>
        </w:rPr>
        <w:tab/>
        <w:t>2.</w:t>
      </w:r>
      <w:r>
        <w:rPr>
          <w:szCs w:val="24"/>
          <w:lang w:val="en-CA"/>
        </w:rPr>
        <w:tab/>
      </w:r>
      <w:r w:rsidR="004862B9" w:rsidRPr="00FA5D7E">
        <w:rPr>
          <w:szCs w:val="24"/>
          <w:lang w:val="en-CA"/>
        </w:rPr>
        <w:t xml:space="preserve">If so, is the infringement a reasonable limit prescribed by law that can be demonstrably justified in a free and democratic society under s. 1 of the </w:t>
      </w:r>
      <w:r w:rsidR="004862B9" w:rsidRPr="00FA5D7E">
        <w:rPr>
          <w:i/>
          <w:szCs w:val="24"/>
          <w:lang w:val="en-CA"/>
        </w:rPr>
        <w:t>Canadian Charter of Rights and Freedoms</w:t>
      </w:r>
      <w:r w:rsidR="004862B9" w:rsidRPr="00FA5D7E">
        <w:rPr>
          <w:szCs w:val="24"/>
          <w:lang w:val="en-CA"/>
        </w:rPr>
        <w:t>?</w:t>
      </w:r>
    </w:p>
    <w:p w:rsidR="004862B9" w:rsidRPr="00FA5D7E" w:rsidRDefault="004862B9" w:rsidP="00FC5EEB">
      <w:pPr>
        <w:pStyle w:val="Citation-AltC"/>
        <w:spacing w:line="480" w:lineRule="auto"/>
        <w:ind w:hanging="1166"/>
        <w:contextualSpacing w:val="0"/>
        <w:rPr>
          <w:szCs w:val="24"/>
          <w:lang w:val="en-CA"/>
        </w:rPr>
      </w:pPr>
      <w:r w:rsidRPr="00FA5D7E">
        <w:rPr>
          <w:szCs w:val="24"/>
          <w:lang w:val="en-CA"/>
        </w:rPr>
        <w:t>It is not necessary to answer this question.</w:t>
      </w:r>
    </w:p>
    <w:p w:rsidR="004862B9" w:rsidRPr="00F25EBB" w:rsidRDefault="00F25EBB" w:rsidP="004862B9">
      <w:pPr>
        <w:pStyle w:val="JudgeJuge"/>
        <w:rPr>
          <w:rFonts w:eastAsiaTheme="minorEastAsia"/>
          <w:smallCaps w:val="0"/>
          <w:szCs w:val="22"/>
          <w:lang w:val="en-CA" w:eastAsia="en-US"/>
        </w:rPr>
      </w:pPr>
      <w:r>
        <w:rPr>
          <w:rFonts w:eastAsiaTheme="minorEastAsia"/>
          <w:smallCaps w:val="0"/>
          <w:szCs w:val="22"/>
          <w:lang w:val="en-CA" w:eastAsia="en-US"/>
        </w:rPr>
        <w:tab/>
      </w:r>
      <w:r w:rsidRPr="00F25EBB">
        <w:rPr>
          <w:rFonts w:eastAsiaTheme="minorEastAsia"/>
          <w:smallCaps w:val="0"/>
          <w:szCs w:val="22"/>
          <w:lang w:val="en-CA" w:eastAsia="en-US"/>
        </w:rPr>
        <w:t>The following are the reasons delivered by</w:t>
      </w:r>
    </w:p>
    <w:p w:rsidR="004862B9" w:rsidRPr="004862B9" w:rsidRDefault="004862B9" w:rsidP="004862B9">
      <w:pPr>
        <w:pStyle w:val="ParaNoNdepar-AltN"/>
        <w:tabs>
          <w:tab w:val="clear" w:pos="1166"/>
          <w:tab w:val="num" w:pos="1152"/>
          <w:tab w:val="num" w:pos="1242"/>
        </w:tabs>
        <w:ind w:left="0"/>
        <w:rPr>
          <w:rFonts w:cs="Times New Roman"/>
        </w:rPr>
      </w:pPr>
      <w:r w:rsidRPr="004862B9">
        <w:rPr>
          <w:smallCaps/>
        </w:rPr>
        <w:t xml:space="preserve">Abella J. </w:t>
      </w:r>
      <w:r w:rsidR="00F25EBB" w:rsidRPr="00F25EBB">
        <w:rPr>
          <w:rFonts w:cs="Times New Roman"/>
          <w:szCs w:val="24"/>
        </w:rPr>
        <w:t>(dissenting in result)</w:t>
      </w:r>
      <w:r w:rsidR="00F25EBB">
        <w:rPr>
          <w:smallCaps/>
        </w:rPr>
        <w:t xml:space="preserve"> </w:t>
      </w:r>
      <w:r w:rsidRPr="004862B9">
        <w:rPr>
          <w:smallCaps/>
        </w:rPr>
        <w:t>—</w:t>
      </w:r>
      <w:r w:rsidRPr="00A127B4">
        <w:t xml:space="preserve"> </w:t>
      </w:r>
      <w:r w:rsidRPr="004862B9">
        <w:rPr>
          <w:rFonts w:cs="Times New Roman"/>
        </w:rPr>
        <w:t xml:space="preserve">When </w:t>
      </w:r>
      <w:r w:rsidRPr="004862B9">
        <w:rPr>
          <w:rFonts w:cs="Times New Roman"/>
          <w:szCs w:val="24"/>
        </w:rPr>
        <w:t>spouses</w:t>
      </w:r>
      <w:r w:rsidRPr="004862B9">
        <w:rPr>
          <w:rFonts w:cs="Times New Roman"/>
        </w:rPr>
        <w:t xml:space="preserve"> who are married or in civil unions separate or divorce in Quebec, they are guaranteed certain legal protections.  They have the right to claim support from each other and an equal division of the family property.  During separation, their use of the family home and household effects is also protected.  These legal protections are not contractual by nature; they are statutorily imposed either presumptively or mandatorily.  The spousal support and family property provisions in Quebec are aimed at recognizing and compensating for the roles assumed within the relationship and any resulting dependence and vulnerability on its dissolution.</w:t>
      </w:r>
    </w:p>
    <w:p w:rsidR="004862B9" w:rsidRPr="00A127B4" w:rsidRDefault="004862B9" w:rsidP="00F81B96">
      <w:pPr>
        <w:pStyle w:val="ParaNoNdepar-AltN"/>
        <w:tabs>
          <w:tab w:val="clear" w:pos="1166"/>
          <w:tab w:val="num" w:pos="1152"/>
          <w:tab w:val="num" w:pos="1242"/>
        </w:tabs>
        <w:ind w:left="0"/>
        <w:rPr>
          <w:rFonts w:cs="Times New Roman"/>
          <w:b/>
        </w:rPr>
      </w:pPr>
      <w:r w:rsidRPr="00A127B4">
        <w:rPr>
          <w:rFonts w:cs="Times New Roman"/>
        </w:rPr>
        <w:t xml:space="preserve">Many </w:t>
      </w:r>
      <w:r w:rsidRPr="00A127B4">
        <w:rPr>
          <w:rFonts w:cs="Times New Roman"/>
          <w:i/>
        </w:rPr>
        <w:t>de facto</w:t>
      </w:r>
      <w:r w:rsidRPr="00A127B4">
        <w:rPr>
          <w:rFonts w:cs="Times New Roman"/>
        </w:rPr>
        <w:t xml:space="preserve"> </w:t>
      </w:r>
      <w:r w:rsidRPr="00F81B96">
        <w:rPr>
          <w:rFonts w:cs="Times New Roman"/>
          <w:szCs w:val="24"/>
        </w:rPr>
        <w:t>spouses</w:t>
      </w:r>
      <w:r w:rsidRPr="00A127B4">
        <w:rPr>
          <w:rFonts w:cs="Times New Roman"/>
        </w:rPr>
        <w:t xml:space="preserve"> — the term used in Quebec for those who are neither married nor in a civil union — share the characteristics that led to these prote</w:t>
      </w:r>
      <w:r w:rsidR="000316AD">
        <w:rPr>
          <w:rFonts w:cs="Times New Roman"/>
        </w:rPr>
        <w:t>ctions.  They form long</w:t>
      </w:r>
      <w:r w:rsidR="00BB3C51">
        <w:rPr>
          <w:rFonts w:cs="Times New Roman"/>
        </w:rPr>
        <w:t>-</w:t>
      </w:r>
      <w:r w:rsidRPr="00A127B4">
        <w:rPr>
          <w:rFonts w:cs="Times New Roman"/>
        </w:rPr>
        <w:t xml:space="preserve">standing relationships; they divide household responsibilities and develop a high degree of interdependence; and, critically, the economically dependent — and therefore vulnerable — spouse is faced with the same disadvantages when the union is dissolved.  Yet </w:t>
      </w:r>
      <w:r w:rsidRPr="00A127B4">
        <w:rPr>
          <w:rFonts w:cs="Times New Roman"/>
          <w:i/>
        </w:rPr>
        <w:t>de facto</w:t>
      </w:r>
      <w:r w:rsidRPr="00A127B4">
        <w:rPr>
          <w:rFonts w:cs="Times New Roman"/>
        </w:rPr>
        <w:t xml:space="preserve"> dependent spouses in Quebec can claim none of the economic protections that are available to those in marriages or civil unions.  They have no rights or obligations towards each other under the </w:t>
      </w:r>
      <w:r w:rsidRPr="00A127B4">
        <w:rPr>
          <w:rFonts w:cs="Times New Roman"/>
          <w:i/>
        </w:rPr>
        <w:t>Civil Code of Québec</w:t>
      </w:r>
      <w:r w:rsidRPr="00A127B4">
        <w:rPr>
          <w:rFonts w:cs="Times New Roman"/>
        </w:rPr>
        <w:t>, S.Q. 1991, c. 64 (“</w:t>
      </w:r>
      <w:r w:rsidRPr="00A127B4">
        <w:rPr>
          <w:rFonts w:cs="Times New Roman"/>
          <w:i/>
        </w:rPr>
        <w:t>C.C.Q.</w:t>
      </w:r>
      <w:r w:rsidRPr="00A127B4">
        <w:rPr>
          <w:rFonts w:cs="Times New Roman"/>
        </w:rPr>
        <w:t>”).  They are entitled to enter into a cohabitation contract to govern their obligations, and can claim child support where appropriate, but they have no right to claim spousal support, no right to divide the family patrimony, and are not governed by any matrimonial regime.</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w:t>
      </w:r>
      <w:r w:rsidRPr="00F81B96">
        <w:rPr>
          <w:rFonts w:cs="Times New Roman"/>
          <w:szCs w:val="24"/>
        </w:rPr>
        <w:t>question</w:t>
      </w:r>
      <w:r w:rsidRPr="00A127B4">
        <w:rPr>
          <w:rFonts w:cs="Times New Roman"/>
        </w:rPr>
        <w:t xml:space="preserve"> before us is whether dependent </w:t>
      </w:r>
      <w:r w:rsidRPr="00A127B4">
        <w:rPr>
          <w:rFonts w:cs="Times New Roman"/>
          <w:i/>
        </w:rPr>
        <w:t>de facto</w:t>
      </w:r>
      <w:r w:rsidRPr="00A127B4">
        <w:rPr>
          <w:rFonts w:cs="Times New Roman"/>
        </w:rPr>
        <w:t xml:space="preserve"> spouses in Quebec should be denied access to fundamental legal protections simply because their spousal relationship lacks the formality of a civil union or marriage.   In my respectful view, the total exclusion of </w:t>
      </w:r>
      <w:r w:rsidRPr="00A127B4">
        <w:rPr>
          <w:rFonts w:cs="Times New Roman"/>
          <w:i/>
        </w:rPr>
        <w:t>de facto</w:t>
      </w:r>
      <w:r w:rsidRPr="00A127B4">
        <w:rPr>
          <w:rFonts w:cs="Times New Roman"/>
        </w:rPr>
        <w:t xml:space="preserve"> spouses from the legal protections for both support and property given to spouses in formal unions is a violation of s. 15(1) of the </w:t>
      </w:r>
      <w:r w:rsidRPr="00A127B4">
        <w:rPr>
          <w:rFonts w:cs="Times New Roman"/>
          <w:i/>
        </w:rPr>
        <w:t>Canadian</w:t>
      </w:r>
      <w:r w:rsidRPr="00A127B4">
        <w:rPr>
          <w:rFonts w:cs="Times New Roman"/>
        </w:rPr>
        <w:t xml:space="preserve"> </w:t>
      </w:r>
      <w:r w:rsidRPr="00A127B4">
        <w:rPr>
          <w:rFonts w:cs="Times New Roman"/>
          <w:i/>
        </w:rPr>
        <w:t>Charter of Rights and Freedoms</w:t>
      </w:r>
      <w:r w:rsidRPr="00A127B4">
        <w:rPr>
          <w:rFonts w:cs="Times New Roman"/>
        </w:rPr>
        <w:t xml:space="preserve"> and is not justified under s. 1.  As the history of modern family law demonstrates, fairness requires that we look at the </w:t>
      </w:r>
      <w:r w:rsidRPr="00A127B4">
        <w:rPr>
          <w:rFonts w:cs="Times New Roman"/>
          <w:i/>
        </w:rPr>
        <w:t>content</w:t>
      </w:r>
      <w:r w:rsidRPr="00A127B4">
        <w:rPr>
          <w:rFonts w:cs="Times New Roman"/>
        </w:rPr>
        <w:t xml:space="preserve"> of the relationship’s social packag</w:t>
      </w:r>
      <w:r w:rsidR="00F81B96">
        <w:rPr>
          <w:rFonts w:cs="Times New Roman"/>
        </w:rPr>
        <w:t xml:space="preserve">e, not at how it is wrapped.  </w:t>
      </w:r>
    </w:p>
    <w:p w:rsidR="004862B9" w:rsidRPr="00A127B4" w:rsidRDefault="004862B9" w:rsidP="004862B9">
      <w:pPr>
        <w:pStyle w:val="TitleTitre-AltT"/>
        <w:rPr>
          <w:rFonts w:cs="Times New Roman"/>
          <w:u w:val="single"/>
        </w:rPr>
      </w:pPr>
      <w:r w:rsidRPr="00A127B4">
        <w:rPr>
          <w:rFonts w:cs="Times New Roman"/>
          <w:u w:val="single"/>
        </w:rPr>
        <w:t>Facts</w:t>
      </w: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lang w:val="en-US"/>
        </w:rPr>
        <w:t>Mr. B and Ms. A met in Ms. A’s home country in 1992.  At the time, she was 17 years old, while Mr. B was 32 and the owner of a lucrative business.  The couple saw each other sporadically until 1995, travelling around the world together at times.  In early 1995, Ms. A came to live in Canada.  They broke up soon after, but saw each other over Christmas and in early 1996, when Ms. A became pregnant with their first child.  She gave birth to two other children with Mr. B, in 1999 and 2001.</w:t>
      </w: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lang w:val="en-US"/>
        </w:rPr>
        <w:t>The couple discussed marriage on at least two occasions.  In 1996, Ms. A asked Mr. B to marry her, but he refused, on the basis that he did not believe in the institution of marriage.  He said that he could possibly envision getting married someday, but only to make a long</w:t>
      </w:r>
      <w:r w:rsidR="00194941">
        <w:rPr>
          <w:rFonts w:cs="Times New Roman"/>
          <w:lang w:val="en-US"/>
        </w:rPr>
        <w:t>-</w:t>
      </w:r>
      <w:r w:rsidRPr="00A127B4">
        <w:rPr>
          <w:rFonts w:cs="Times New Roman"/>
          <w:lang w:val="en-US"/>
        </w:rPr>
        <w:t>standing relationship official.  On January 1, 2000, the topic came up again, though the parties presented different accounts as to whether they agreed to marry.  In any event, neither Ms. A nor Mr. B followed up on these plans.</w:t>
      </w: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lang w:val="en-US"/>
        </w:rPr>
        <w:t>In 2001, the parties discussed separating.  They agreed to live together for six months, in an attempt to reconcile, but in October 2001, Ms. A ended the relationship.  By the time they stopped living under the same roof in 2002, they had cohabited for seven years.  During the relationship, Ms. A had attempted to start a career as a model, but she largely did not work outside of the home and often accompanied Mr. B on his travels.</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val="en-US"/>
        </w:rPr>
        <w:t xml:space="preserve">In February 2002, Ms. A began proceedings seeking custody of the children, spousal support, a lump sum support payment, and use of the family home.  She challenged the constitutionality of certain provisions of the </w:t>
      </w:r>
      <w:r w:rsidRPr="00A127B4">
        <w:rPr>
          <w:rFonts w:cs="Times New Roman"/>
          <w:i/>
          <w:lang w:val="en-US"/>
        </w:rPr>
        <w:t>Civil Code</w:t>
      </w:r>
      <w:r w:rsidRPr="00A127B4">
        <w:rPr>
          <w:rFonts w:cs="Times New Roman"/>
          <w:lang w:val="en-US"/>
        </w:rPr>
        <w:t xml:space="preserve">, claiming access to the same protections as married spouses with respect to support, the family patrimony, the presumptive partnership of acquests regime, and the compensatory allowance. </w:t>
      </w:r>
      <w:r w:rsidRPr="00A127B4">
        <w:rPr>
          <w:rFonts w:cs="Times New Roman"/>
        </w:rPr>
        <w:t xml:space="preserve"> Her constitutional challenges were dismissed by the application judge in the Superior Court of Qu</w:t>
      </w:r>
      <w:r w:rsidR="00793E56">
        <w:rPr>
          <w:rFonts w:cs="Times New Roman"/>
        </w:rPr>
        <w:t>e</w:t>
      </w:r>
      <w:r w:rsidRPr="00A127B4">
        <w:rPr>
          <w:rFonts w:cs="Times New Roman"/>
        </w:rPr>
        <w:t xml:space="preserve">bec.  The Court of Appeal overturned the decision on support, concluding that </w:t>
      </w:r>
      <w:r w:rsidR="000316AD">
        <w:rPr>
          <w:rFonts w:cs="Times New Roman"/>
        </w:rPr>
        <w:t>the spousal support provision (art</w:t>
      </w:r>
      <w:r w:rsidRPr="00A127B4">
        <w:rPr>
          <w:rFonts w:cs="Times New Roman"/>
        </w:rPr>
        <w:t xml:space="preserve">. 585 </w:t>
      </w:r>
      <w:r w:rsidRPr="00A127B4">
        <w:rPr>
          <w:rFonts w:cs="Times New Roman"/>
          <w:i/>
        </w:rPr>
        <w:t>C.C.Q.</w:t>
      </w:r>
      <w:r w:rsidRPr="00A127B4">
        <w:rPr>
          <w:rFonts w:cs="Times New Roman"/>
        </w:rPr>
        <w:t xml:space="preserve">) was unconstitutional.  It considered itself bound, however, by this Court’s decision in </w:t>
      </w:r>
      <w:r w:rsidRPr="00A127B4">
        <w:rPr>
          <w:rFonts w:cs="Times New Roman"/>
          <w:i/>
        </w:rPr>
        <w:t>Nova Scotia (Attorney General) v. Walsh</w:t>
      </w:r>
      <w:r w:rsidRPr="00A127B4">
        <w:rPr>
          <w:rFonts w:cs="Times New Roman"/>
        </w:rPr>
        <w:t>,</w:t>
      </w:r>
      <w:r w:rsidRPr="00A127B4">
        <w:rPr>
          <w:rFonts w:cs="Times New Roman"/>
          <w:i/>
        </w:rPr>
        <w:t xml:space="preserve"> </w:t>
      </w:r>
      <w:r w:rsidRPr="00A127B4">
        <w:rPr>
          <w:rFonts w:cs="Times New Roman"/>
        </w:rPr>
        <w:t xml:space="preserve">[2002] 4 S.C.R. 325, and therefore did not interfere with the property aspect of the decision.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Ms. A appealed the Court of Appeal’s conclusion that the division of property provision was constitutional.  Mr. B and the Attorney General of Quebec also appealed, on the conclusion that the spousal support provisions were unconstitutional. </w:t>
      </w:r>
    </w:p>
    <w:p w:rsidR="004862B9" w:rsidRPr="00A127B4" w:rsidRDefault="004862B9" w:rsidP="004862B9">
      <w:pPr>
        <w:pStyle w:val="TitleTitre-AltT"/>
        <w:rPr>
          <w:rFonts w:cs="Times New Roman"/>
          <w:u w:val="single"/>
        </w:rPr>
      </w:pPr>
      <w:r w:rsidRPr="00A127B4">
        <w:rPr>
          <w:rFonts w:cs="Times New Roman"/>
          <w:u w:val="single"/>
        </w:rPr>
        <w:t>Analysis</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current </w:t>
      </w:r>
      <w:r w:rsidRPr="00F81B96">
        <w:rPr>
          <w:rFonts w:cs="Times New Roman"/>
          <w:lang w:val="en-US"/>
        </w:rPr>
        <w:t>legislative</w:t>
      </w:r>
      <w:r w:rsidRPr="00A127B4">
        <w:rPr>
          <w:rFonts w:cs="Times New Roman"/>
        </w:rPr>
        <w:t xml:space="preserve"> scheme in Quebec leaves an economically vulnerable spouse excluded from mandatory support</w:t>
      </w:r>
      <w:r>
        <w:rPr>
          <w:rFonts w:cs="Times New Roman"/>
        </w:rPr>
        <w:t xml:space="preserve"> </w:t>
      </w:r>
      <w:r w:rsidRPr="00A127B4">
        <w:rPr>
          <w:rFonts w:cs="Times New Roman"/>
        </w:rPr>
        <w:t>and property division regimes simply because he or she was not in a formally created</w:t>
      </w:r>
      <w:r w:rsidRPr="00A127B4">
        <w:rPr>
          <w:rFonts w:cs="Times New Roman"/>
          <w:b/>
        </w:rPr>
        <w:t xml:space="preserve"> </w:t>
      </w:r>
      <w:r w:rsidRPr="00A127B4">
        <w:rPr>
          <w:rFonts w:cs="Times New Roman"/>
        </w:rPr>
        <w:t xml:space="preserve">union.  The issue in this appeal is whether this </w:t>
      </w:r>
      <w:r w:rsidRPr="00F81B96">
        <w:rPr>
          <w:rFonts w:cs="Times New Roman"/>
          <w:lang w:val="en-US"/>
        </w:rPr>
        <w:t>exclusion</w:t>
      </w:r>
      <w:r w:rsidRPr="00A127B4">
        <w:rPr>
          <w:rFonts w:cs="Times New Roman"/>
        </w:rPr>
        <w:t xml:space="preserve"> violates s. 15 of the </w:t>
      </w:r>
      <w:r w:rsidRPr="00A127B4">
        <w:rPr>
          <w:rFonts w:cs="Times New Roman"/>
          <w:i/>
        </w:rPr>
        <w:t>Charter</w:t>
      </w:r>
      <w:r w:rsidRPr="00A127B4">
        <w:rPr>
          <w:rFonts w:cs="Times New Roman"/>
        </w:rPr>
        <w:t xml:space="preserv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It is helpful to </w:t>
      </w:r>
      <w:r w:rsidRPr="00F81B96">
        <w:rPr>
          <w:rFonts w:cs="Times New Roman"/>
          <w:lang w:val="en-US"/>
        </w:rPr>
        <w:t>review</w:t>
      </w:r>
      <w:r w:rsidRPr="00A127B4">
        <w:rPr>
          <w:rFonts w:cs="Times New Roman"/>
        </w:rPr>
        <w:t xml:space="preserve"> the reasons motivating the development of the modern approach to spousal support and family property regimes.  While the ways in which these regimes have been implemented vary between provinces, the social rationale for the regimes is common across the country.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In Quebec,</w:t>
      </w:r>
      <w:r w:rsidRPr="00A127B4">
        <w:rPr>
          <w:rFonts w:cs="Times New Roman"/>
          <w:b/>
        </w:rPr>
        <w:t xml:space="preserve"> </w:t>
      </w:r>
      <w:r w:rsidRPr="00F81B96">
        <w:rPr>
          <w:rFonts w:cs="Times New Roman"/>
          <w:lang w:val="en-US"/>
        </w:rPr>
        <w:t>spouses</w:t>
      </w:r>
      <w:r w:rsidRPr="00A127B4">
        <w:rPr>
          <w:rFonts w:cs="Times New Roman"/>
        </w:rPr>
        <w:t xml:space="preserve"> in marriages or civil unions have an obligation of support during the marriage (art. 585 </w:t>
      </w:r>
      <w:r w:rsidRPr="00A127B4">
        <w:rPr>
          <w:rFonts w:cs="Times New Roman"/>
          <w:i/>
        </w:rPr>
        <w:t>C.C.Q.</w:t>
      </w:r>
      <w:r w:rsidRPr="00A127B4">
        <w:rPr>
          <w:rFonts w:cs="Times New Roman"/>
        </w:rPr>
        <w:t xml:space="preserve">), which continues following separation, allowing a court to require one spouse to pay support payments to the other (arts. 507, 511 and 521.17 </w:t>
      </w:r>
      <w:r w:rsidRPr="00A127B4">
        <w:rPr>
          <w:rFonts w:cs="Times New Roman"/>
          <w:i/>
        </w:rPr>
        <w:t>C.C.Q.</w:t>
      </w:r>
      <w:r w:rsidRPr="00A127B4">
        <w:rPr>
          <w:rFonts w:cs="Times New Roman"/>
        </w:rPr>
        <w:t xml:space="preserve">).  Following a divorce, the obligation of support under the </w:t>
      </w:r>
      <w:r w:rsidRPr="00A127B4">
        <w:rPr>
          <w:rFonts w:cs="Times New Roman"/>
          <w:i/>
        </w:rPr>
        <w:t xml:space="preserve">Code </w:t>
      </w:r>
      <w:r w:rsidRPr="00A127B4">
        <w:rPr>
          <w:rFonts w:cs="Times New Roman"/>
        </w:rPr>
        <w:t xml:space="preserve">ends, and s. 15.2 of the federal </w:t>
      </w:r>
      <w:r w:rsidRPr="00A127B4">
        <w:rPr>
          <w:rFonts w:cs="Times New Roman"/>
          <w:i/>
        </w:rPr>
        <w:t>Divorce Act</w:t>
      </w:r>
      <w:r w:rsidRPr="00A127B4">
        <w:rPr>
          <w:rFonts w:cs="Times New Roman"/>
        </w:rPr>
        <w:t xml:space="preserve">, R.S.C. 1985, c. 3 (2nd Supp.), governs support orders.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Article </w:t>
      </w:r>
      <w:r w:rsidRPr="00F81B96">
        <w:rPr>
          <w:rFonts w:cs="Times New Roman"/>
          <w:lang w:val="en-US"/>
        </w:rPr>
        <w:t>585</w:t>
      </w:r>
      <w:r w:rsidRPr="00A127B4">
        <w:rPr>
          <w:rFonts w:cs="Times New Roman"/>
        </w:rPr>
        <w:t xml:space="preserve"> of the </w:t>
      </w:r>
      <w:r w:rsidRPr="00A127B4">
        <w:rPr>
          <w:rFonts w:cs="Times New Roman"/>
          <w:i/>
        </w:rPr>
        <w:t xml:space="preserve">Code </w:t>
      </w:r>
      <w:r w:rsidRPr="00A127B4">
        <w:rPr>
          <w:rFonts w:cs="Times New Roman"/>
        </w:rPr>
        <w:t>has a clearly protective purpose, since it extends the maintenance obligation not only to married or civil union spouses, but also to “</w:t>
      </w:r>
      <w:r w:rsidRPr="00A127B4">
        <w:rPr>
          <w:rFonts w:cs="Times New Roman"/>
          <w:szCs w:val="24"/>
        </w:rPr>
        <w:t xml:space="preserve">relatives in the direct line in the first degree” such as children.  The mechanism is adjustable, and support is determined based on “the needs and means of the parties, their circumstances and, as the case may be, the time needed by the creditor of support to acquire sufficient autonomy” (art. 587 </w:t>
      </w:r>
      <w:r w:rsidRPr="00A127B4">
        <w:rPr>
          <w:rFonts w:cs="Times New Roman"/>
          <w:i/>
          <w:szCs w:val="24"/>
        </w:rPr>
        <w:t>C.C.Q.</w:t>
      </w:r>
      <w:r w:rsidRPr="00A127B4">
        <w:rPr>
          <w:rFonts w:cs="Times New Roman"/>
          <w:szCs w:val="24"/>
        </w:rPr>
        <w:t xml:space="preserve">; see </w:t>
      </w:r>
      <w:r w:rsidRPr="00A127B4">
        <w:rPr>
          <w:rFonts w:cs="Times New Roman"/>
        </w:rPr>
        <w:t xml:space="preserve">Jean Pineau and Marie Pratte, </w:t>
      </w:r>
      <w:r w:rsidRPr="00A127B4">
        <w:rPr>
          <w:rFonts w:cs="Times New Roman"/>
          <w:i/>
        </w:rPr>
        <w:t>La famille</w:t>
      </w:r>
      <w:r w:rsidRPr="00A127B4">
        <w:rPr>
          <w:rFonts w:cs="Times New Roman"/>
        </w:rPr>
        <w:t xml:space="preserve"> (2006), at pp. 133 and 782</w:t>
      </w:r>
      <w:r w:rsidRPr="00A127B4">
        <w:rPr>
          <w:rFonts w:cs="Times New Roman"/>
          <w:szCs w:val="24"/>
        </w:rPr>
        <w:t xml:space="preserve">).  </w:t>
      </w:r>
      <w:r w:rsidRPr="00A127B4">
        <w:rPr>
          <w:rFonts w:cs="Times New Roman"/>
          <w:lang w:bidi="en-US"/>
        </w:rPr>
        <w:t xml:space="preserve">Moreover, the provisions in the </w:t>
      </w:r>
      <w:r w:rsidRPr="00A127B4">
        <w:rPr>
          <w:rFonts w:cs="Times New Roman"/>
          <w:i/>
          <w:lang w:bidi="en-US"/>
        </w:rPr>
        <w:t>Code</w:t>
      </w:r>
      <w:r w:rsidRPr="00A127B4">
        <w:rPr>
          <w:rFonts w:cs="Times New Roman"/>
          <w:lang w:bidi="en-US"/>
        </w:rPr>
        <w:t xml:space="preserve"> make it clear that the obligation of support is fundamental.  It is of public order and cannot be renounced, ceded or alienated by the dependent spouse, since it is indispensable to his or her survival (</w:t>
      </w:r>
      <w:r w:rsidRPr="00A127B4">
        <w:rPr>
          <w:rFonts w:cs="Times New Roman"/>
          <w:i/>
        </w:rPr>
        <w:t>Québec (Procureure générale) v. B.T.</w:t>
      </w:r>
      <w:r w:rsidR="000316AD">
        <w:rPr>
          <w:rFonts w:cs="Times New Roman"/>
        </w:rPr>
        <w:t>, [2005] R.D.F. 709</w:t>
      </w:r>
      <w:r w:rsidR="00BB3C51">
        <w:rPr>
          <w:rFonts w:cs="Times New Roman"/>
        </w:rPr>
        <w:t xml:space="preserve"> (C.A.)</w:t>
      </w:r>
      <w:r w:rsidRPr="00A127B4">
        <w:rPr>
          <w:rFonts w:cs="Times New Roman"/>
        </w:rPr>
        <w:t xml:space="preserv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val="en-US"/>
        </w:rPr>
        <w:t xml:space="preserve">In other words, Quebec </w:t>
      </w:r>
      <w:r w:rsidRPr="00A127B4">
        <w:rPr>
          <w:rFonts w:cs="Times New Roman"/>
        </w:rPr>
        <w:t xml:space="preserve">explicitly subordinated a contractual theory of support to a protective one based on mutual obligation, since its law does not allow a couple in a formally recognized union to contract out of the </w:t>
      </w:r>
      <w:r w:rsidRPr="00A127B4">
        <w:rPr>
          <w:rFonts w:cs="Times New Roman"/>
          <w:i/>
        </w:rPr>
        <w:t>Civil Code</w:t>
      </w:r>
      <w:r w:rsidRPr="00A127B4">
        <w:rPr>
          <w:rFonts w:cs="Times New Roman"/>
        </w:rPr>
        <w:t xml:space="preserve">’s mandatory support provision.  </w:t>
      </w:r>
    </w:p>
    <w:p w:rsidR="004862B9" w:rsidRPr="00A127B4" w:rsidRDefault="004862B9" w:rsidP="00F81B96">
      <w:pPr>
        <w:pStyle w:val="ParaNoNdepar-AltN"/>
        <w:tabs>
          <w:tab w:val="clear" w:pos="1166"/>
          <w:tab w:val="num" w:pos="1152"/>
          <w:tab w:val="num" w:pos="1242"/>
        </w:tabs>
        <w:ind w:left="0"/>
        <w:rPr>
          <w:rFonts w:cs="Times New Roman"/>
        </w:rPr>
      </w:pPr>
      <w:r w:rsidRPr="00F81B96">
        <w:rPr>
          <w:rFonts w:cs="Times New Roman"/>
          <w:lang w:val="en-US"/>
        </w:rPr>
        <w:t>Throughout</w:t>
      </w:r>
      <w:r w:rsidRPr="00A127B4">
        <w:rPr>
          <w:rFonts w:cs="Times New Roman"/>
        </w:rPr>
        <w:t xml:space="preserve"> Canada, provincial and federal law reform commissions were predominantly concerned with the impact of separation and divorce on the economically vulnerable spouse, usually the wife </w:t>
      </w:r>
      <w:r w:rsidRPr="00A127B4">
        <w:rPr>
          <w:rFonts w:cs="Times New Roman"/>
          <w:lang w:bidi="en-US"/>
        </w:rPr>
        <w:t xml:space="preserve">(see British Columbia’s </w:t>
      </w:r>
      <w:r w:rsidRPr="00A127B4">
        <w:rPr>
          <w:rFonts w:cs="Times New Roman"/>
        </w:rPr>
        <w:t xml:space="preserve">Royal Commission on Family and Children’s Law, </w:t>
      </w:r>
      <w:r w:rsidRPr="00A127B4">
        <w:rPr>
          <w:rFonts w:cs="Times New Roman"/>
          <w:i/>
        </w:rPr>
        <w:t>Family Maintenance</w:t>
      </w:r>
      <w:r w:rsidRPr="00A127B4">
        <w:rPr>
          <w:rFonts w:cs="Times New Roman"/>
        </w:rPr>
        <w:t xml:space="preserve"> (1975), at p. 7; Ontario’s Ministry of the Attorney General, </w:t>
      </w:r>
      <w:r w:rsidRPr="00A127B4">
        <w:rPr>
          <w:rFonts w:cs="Times New Roman"/>
          <w:i/>
        </w:rPr>
        <w:t>Family Law Reform</w:t>
      </w:r>
      <w:r w:rsidRPr="00A127B4">
        <w:rPr>
          <w:rFonts w:cs="Times New Roman"/>
        </w:rPr>
        <w:t xml:space="preserve"> (1976), at p. 1; Manitoba Law Reform Commission, </w:t>
      </w:r>
      <w:r w:rsidRPr="00A127B4">
        <w:rPr>
          <w:rFonts w:cs="Times New Roman"/>
          <w:i/>
        </w:rPr>
        <w:t>Reports on Family Law</w:t>
      </w:r>
      <w:r w:rsidRPr="00A127B4">
        <w:rPr>
          <w:rFonts w:cs="Times New Roman"/>
        </w:rPr>
        <w:t>,</w:t>
      </w:r>
      <w:r w:rsidRPr="00A127B4">
        <w:rPr>
          <w:rFonts w:cs="Times New Roman"/>
          <w:i/>
        </w:rPr>
        <w:t xml:space="preserve"> </w:t>
      </w:r>
      <w:r w:rsidRPr="00A127B4">
        <w:rPr>
          <w:rFonts w:cs="Times New Roman"/>
        </w:rPr>
        <w:t>Part I —</w:t>
      </w:r>
      <w:r w:rsidRPr="00A127B4">
        <w:rPr>
          <w:rFonts w:cs="Times New Roman"/>
          <w:i/>
        </w:rPr>
        <w:t xml:space="preserve"> The Support Obligation</w:t>
      </w:r>
      <w:r w:rsidR="000316AD">
        <w:rPr>
          <w:rFonts w:cs="Times New Roman"/>
        </w:rPr>
        <w:t xml:space="preserve">, </w:t>
      </w:r>
      <w:r w:rsidR="003A7F63">
        <w:rPr>
          <w:rFonts w:cs="Times New Roman"/>
        </w:rPr>
        <w:t>Report #23</w:t>
      </w:r>
      <w:r w:rsidRPr="00A127B4">
        <w:rPr>
          <w:rFonts w:cs="Times New Roman"/>
        </w:rPr>
        <w:t xml:space="preserve"> (1976), at p. 19).  The Law Reform Commission of Canada concluded in its 1975 working paper</w:t>
      </w:r>
      <w:r w:rsidR="003A7F63">
        <w:rPr>
          <w:rFonts w:cs="Times New Roman"/>
        </w:rPr>
        <w:t xml:space="preserve"> 12</w:t>
      </w:r>
      <w:r w:rsidRPr="00A127B4">
        <w:rPr>
          <w:rFonts w:cs="Times New Roman"/>
        </w:rPr>
        <w:t xml:space="preserve">, </w:t>
      </w:r>
      <w:r w:rsidRPr="00A127B4">
        <w:rPr>
          <w:rFonts w:cs="Times New Roman"/>
          <w:i/>
        </w:rPr>
        <w:t>Maintenance on Divorce</w:t>
      </w:r>
      <w:r w:rsidRPr="00A127B4">
        <w:rPr>
          <w:rFonts w:cs="Times New Roman"/>
        </w:rPr>
        <w:t xml:space="preserve">, that the right to support — and the obligation to pay it — did not rest on the legal status of either husband or wife, but on the reality of the dependence or vulnerability that the spousal relationship had created:  </w:t>
      </w:r>
    </w:p>
    <w:p w:rsidR="004862B9" w:rsidRPr="00A127B4" w:rsidRDefault="004862B9" w:rsidP="004862B9">
      <w:pPr>
        <w:pStyle w:val="Citation-AltC"/>
      </w:pPr>
      <w:r w:rsidRPr="00851923">
        <w:rPr>
          <w:lang w:val="en-CA"/>
        </w:rPr>
        <w:t xml:space="preserve">Financial rights and obligations based upon marriage should be legal results that follow from the internal arrangements made by the spouses in line with their priorities, circumstances and interests rather than being imposed according to traditional legal preconceptions of the sexually determined roles of each spouse. </w:t>
      </w:r>
      <w:r w:rsidR="003A7F63">
        <w:t xml:space="preserve">[Emphasis deleted; </w:t>
      </w:r>
      <w:r w:rsidRPr="00A127B4">
        <w:t>p. 17.]</w:t>
      </w:r>
    </w:p>
    <w:p w:rsidR="004862B9" w:rsidRPr="00A127B4" w:rsidRDefault="004862B9" w:rsidP="00F81B96">
      <w:pPr>
        <w:pStyle w:val="ParaNoNdepar-AltN"/>
        <w:tabs>
          <w:tab w:val="clear" w:pos="1166"/>
          <w:tab w:val="num" w:pos="1152"/>
          <w:tab w:val="num" w:pos="1242"/>
        </w:tabs>
        <w:ind w:left="0"/>
        <w:rPr>
          <w:rFonts w:cs="Times New Roman"/>
          <w:lang w:bidi="en-US"/>
        </w:rPr>
      </w:pPr>
      <w:r w:rsidRPr="00A127B4">
        <w:rPr>
          <w:rFonts w:cs="Times New Roman"/>
        </w:rPr>
        <w:t xml:space="preserve">In </w:t>
      </w:r>
      <w:r w:rsidRPr="00F81B96">
        <w:rPr>
          <w:rFonts w:cs="Times New Roman"/>
          <w:lang w:val="en-US"/>
        </w:rPr>
        <w:t>other</w:t>
      </w:r>
      <w:r w:rsidRPr="00A127B4">
        <w:rPr>
          <w:rFonts w:cs="Times New Roman"/>
        </w:rPr>
        <w:t xml:space="preserve"> words, the right to support was not created by marriage </w:t>
      </w:r>
      <w:r w:rsidRPr="00A127B4">
        <w:rPr>
          <w:rFonts w:cs="Times New Roman"/>
          <w:i/>
        </w:rPr>
        <w:t>per se</w:t>
      </w:r>
      <w:r w:rsidRPr="00A127B4">
        <w:rPr>
          <w:rFonts w:cs="Times New Roman"/>
        </w:rPr>
        <w:t>, but by the “reasonable needs” of a vulnerable spouse (</w:t>
      </w:r>
      <w:r w:rsidRPr="00A127B4">
        <w:rPr>
          <w:rFonts w:cs="Times New Roman"/>
          <w:i/>
        </w:rPr>
        <w:t>Maintenance on Divorce</w:t>
      </w:r>
      <w:r w:rsidRPr="00A127B4">
        <w:rPr>
          <w:rFonts w:cs="Times New Roman"/>
        </w:rPr>
        <w:t xml:space="preserve">, at p. 18).  Its purpose was protective: “. . . to enable a former spouse who has incurred a financial disability as a result of marriage to become self-sufficient again in the shortest possible time” (p. 17).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In </w:t>
      </w:r>
      <w:r w:rsidRPr="00F81B96">
        <w:rPr>
          <w:rFonts w:cs="Times New Roman"/>
          <w:lang w:val="en-US"/>
        </w:rPr>
        <w:t>elaborating</w:t>
      </w:r>
      <w:r w:rsidRPr="00A127B4">
        <w:rPr>
          <w:rFonts w:cs="Times New Roman"/>
        </w:rPr>
        <w:t xml:space="preserve"> on the rationale underlying spousal support in </w:t>
      </w:r>
      <w:r w:rsidRPr="00A127B4">
        <w:rPr>
          <w:rFonts w:cs="Times New Roman"/>
          <w:i/>
        </w:rPr>
        <w:t>Moge v. Moge</w:t>
      </w:r>
      <w:r w:rsidRPr="00A127B4">
        <w:rPr>
          <w:rFonts w:cs="Times New Roman"/>
        </w:rPr>
        <w:t xml:space="preserve">, [1992] 3 S.C.R. 813, this Court held that </w:t>
      </w:r>
      <w:r w:rsidRPr="00A127B4">
        <w:rPr>
          <w:rFonts w:cs="Times New Roman"/>
          <w:lang w:bidi="en-US"/>
        </w:rPr>
        <w:t>spousal maintenance “seeks to recognize and account for both the economic disadvantages incurred by the spouse who makes such sacrifices and the economic advantages conferred upon the other spouse” (p. 864).  And i</w:t>
      </w:r>
      <w:r w:rsidRPr="00A127B4">
        <w:rPr>
          <w:rFonts w:cs="Times New Roman"/>
        </w:rPr>
        <w:t xml:space="preserve">n </w:t>
      </w:r>
      <w:r w:rsidRPr="00A127B4">
        <w:rPr>
          <w:rFonts w:cs="Times New Roman"/>
          <w:i/>
        </w:rPr>
        <w:t>Bracklow v. Bracklow</w:t>
      </w:r>
      <w:r w:rsidRPr="00A127B4">
        <w:rPr>
          <w:rFonts w:cs="Times New Roman"/>
        </w:rPr>
        <w:t>, [1999] 1 S.C.R. 420, McLachlin J. confirmed that the mutual obligation of support is protective: it stresses the interdependencies created by marriage, and “recognizes the reality that when people cohabit over a period of time in a family relationship, their affairs may become intermingled and impossible to disentangle neatly” (para. 31).  Need is central to this theory,</w:t>
      </w:r>
      <w:r w:rsidRPr="00A127B4">
        <w:rPr>
          <w:rFonts w:cs="Times New Roman"/>
          <w:b/>
        </w:rPr>
        <w:t xml:space="preserve"> </w:t>
      </w:r>
      <w:r w:rsidRPr="00A127B4">
        <w:rPr>
          <w:rFonts w:cs="Times New Roman"/>
        </w:rPr>
        <w:t xml:space="preserve">which, as discussed later in these reasons, is conceptually applicable as much to </w:t>
      </w:r>
      <w:r w:rsidRPr="00A127B4">
        <w:rPr>
          <w:rFonts w:cs="Times New Roman"/>
          <w:i/>
        </w:rPr>
        <w:t xml:space="preserve">de facto </w:t>
      </w:r>
      <w:r w:rsidRPr="00A127B4">
        <w:rPr>
          <w:rFonts w:cs="Times New Roman"/>
        </w:rPr>
        <w:t xml:space="preserve">relationships as to marriages and civil unions.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i/>
        </w:rPr>
        <w:t>Bracklow</w:t>
      </w:r>
      <w:r w:rsidRPr="00A127B4">
        <w:rPr>
          <w:rFonts w:cs="Times New Roman"/>
        </w:rPr>
        <w:t xml:space="preserve"> echoes </w:t>
      </w:r>
      <w:r w:rsidRPr="00F81B96">
        <w:rPr>
          <w:rFonts w:cs="Times New Roman"/>
          <w:lang w:val="en-US"/>
        </w:rPr>
        <w:t>the</w:t>
      </w:r>
      <w:r w:rsidRPr="00A127B4">
        <w:rPr>
          <w:rFonts w:cs="Times New Roman"/>
        </w:rPr>
        <w:t xml:space="preserve"> Law Reform Commission of Canada in noting that the spousal support obligation does not stem from “</w:t>
      </w:r>
      <w:r w:rsidRPr="00A127B4">
        <w:rPr>
          <w:rFonts w:cs="Times New Roman"/>
          <w:szCs w:val="24"/>
        </w:rPr>
        <w:t xml:space="preserve">the bare fact of marriage, so much as the relationship that is established and the expectations that may reasonably flow from it” (para. 44 (emphasis deleted)).  Notably, it also rejects the paramountcy of the “clean-break” theory of support (para. 32), whereby each spouse is entitled at marriage breakdown to “what the individuals contracted for” (para. 29). </w:t>
      </w:r>
    </w:p>
    <w:p w:rsidR="004862B9" w:rsidRPr="00A127B4" w:rsidRDefault="004862B9" w:rsidP="00F81B96">
      <w:pPr>
        <w:pStyle w:val="ParaNoNdepar-AltN"/>
        <w:tabs>
          <w:tab w:val="clear" w:pos="1166"/>
          <w:tab w:val="num" w:pos="1152"/>
          <w:tab w:val="num" w:pos="1242"/>
        </w:tabs>
        <w:ind w:left="0"/>
        <w:rPr>
          <w:rFonts w:cs="Times New Roman"/>
          <w:lang w:bidi="en-US"/>
        </w:rPr>
      </w:pPr>
      <w:r w:rsidRPr="00A127B4">
        <w:rPr>
          <w:rFonts w:cs="Times New Roman"/>
        </w:rPr>
        <w:t xml:space="preserve">A concern </w:t>
      </w:r>
      <w:r w:rsidRPr="00F81B96">
        <w:rPr>
          <w:rFonts w:cs="Times New Roman"/>
          <w:lang w:val="en-US"/>
        </w:rPr>
        <w:t>about</w:t>
      </w:r>
      <w:r w:rsidRPr="00A127B4">
        <w:rPr>
          <w:rFonts w:cs="Times New Roman"/>
        </w:rPr>
        <w:t xml:space="preserve"> the disproportionate number of women who experienced poverty when they separated was also at play in the development of the law.  The goal of addressing this imbalance was clear in the work of the law reform commissions.  It was also accepted by this Court in </w:t>
      </w:r>
      <w:r w:rsidRPr="00A127B4">
        <w:rPr>
          <w:rFonts w:cs="Times New Roman"/>
          <w:i/>
        </w:rPr>
        <w:t>Moge</w:t>
      </w:r>
      <w:r w:rsidRPr="00A127B4">
        <w:rPr>
          <w:rFonts w:cs="Times New Roman"/>
        </w:rPr>
        <w:t>, which noted that while support obligations were framed in gender-neutral terms, the reality is that “</w:t>
      </w:r>
      <w:r w:rsidRPr="00A127B4">
        <w:rPr>
          <w:rFonts w:cs="Times New Roman"/>
          <w:lang w:bidi="en-US"/>
        </w:rPr>
        <w:t>in many if not most marriages, the wife still remains the economically disadvantaged partner” (pp. 849-50).  Justice L’Heureux-Dubé explained what spousal support was intended to remedy as follows:</w:t>
      </w:r>
    </w:p>
    <w:p w:rsidR="004862B9" w:rsidRPr="00A127B4" w:rsidRDefault="004862B9" w:rsidP="009236A7">
      <w:pPr>
        <w:pStyle w:val="Citation-AltC"/>
        <w:tabs>
          <w:tab w:val="left" w:pos="1620"/>
        </w:tabs>
        <w:ind w:hanging="1166"/>
      </w:pPr>
      <w:r w:rsidRPr="00851923">
        <w:rPr>
          <w:i/>
          <w:lang w:val="en-CA"/>
        </w:rPr>
        <w:tab/>
      </w:r>
      <w:r w:rsidR="009236A7">
        <w:rPr>
          <w:i/>
          <w:lang w:val="en-CA"/>
        </w:rPr>
        <w:tab/>
      </w:r>
      <w:r w:rsidRPr="00851923">
        <w:rPr>
          <w:i/>
          <w:lang w:val="en-CA"/>
        </w:rPr>
        <w:t>Women have tended to suffer economic disadvantages and hardships from marriage or its breakdown because of the traditional division of labour within that institution. . . .</w:t>
      </w:r>
      <w:r w:rsidRPr="00851923">
        <w:rPr>
          <w:lang w:val="en-CA"/>
        </w:rPr>
        <w:t xml:space="preserve"> [O]nce the marriage dissolves, the kinds of non</w:t>
      </w:r>
      <w:r w:rsidRPr="00851923">
        <w:rPr>
          <w:lang w:val="en-CA"/>
        </w:rPr>
        <w:noBreakHyphen/>
        <w:t xml:space="preserve">monetary contributions made by the wife may result in significant market disabilities.  The sacrifices she has made at home catch up with her and the balance shifts in favour of the husband who has remained in the work force and focused his attention outside the home.  In effect, she is left with a diminished earning capacity and may have conferred upon her husband an embellished one. </w:t>
      </w:r>
      <w:r w:rsidRPr="00A127B4">
        <w:t xml:space="preserve">[Emphasis added; pp. 861-62.]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law </w:t>
      </w:r>
      <w:r w:rsidRPr="00F81B96">
        <w:rPr>
          <w:rFonts w:cs="Times New Roman"/>
          <w:lang w:val="en-US"/>
        </w:rPr>
        <w:t>dealing</w:t>
      </w:r>
      <w:r w:rsidRPr="00A127B4">
        <w:rPr>
          <w:rFonts w:cs="Times New Roman"/>
        </w:rPr>
        <w:t xml:space="preserve"> with division of family property has also come to be conceptualized in recent years on a protective basis rather than a contractual one.  </w:t>
      </w:r>
      <w:r w:rsidRPr="00A127B4">
        <w:rPr>
          <w:rFonts w:cs="Times New Roman"/>
          <w:i/>
        </w:rPr>
        <w:t xml:space="preserve"> </w:t>
      </w:r>
      <w:r w:rsidRPr="00A127B4">
        <w:rPr>
          <w:rFonts w:cs="Times New Roman"/>
        </w:rPr>
        <w:t>Quebec has legislation making the division of family property between married and civil union spouses equitable.  Its legislation dealing with property division for</w:t>
      </w:r>
      <w:r>
        <w:rPr>
          <w:rFonts w:cs="Times New Roman"/>
        </w:rPr>
        <w:t xml:space="preserve"> </w:t>
      </w:r>
      <w:r w:rsidRPr="00A127B4">
        <w:rPr>
          <w:rFonts w:cs="Times New Roman"/>
        </w:rPr>
        <w:t xml:space="preserve">those spouses states that during a marriage or civil union, or during a period of separation, spouses are prohibited from alienating or leasing certain property, including the family residence, without the other’s consent (arts. 401 and 404 </w:t>
      </w:r>
      <w:r w:rsidRPr="00A127B4">
        <w:rPr>
          <w:rFonts w:cs="Times New Roman"/>
          <w:i/>
        </w:rPr>
        <w:t>C.C.Q.</w:t>
      </w:r>
      <w:r w:rsidRPr="00A127B4">
        <w:rPr>
          <w:rFonts w:cs="Times New Roman"/>
        </w:rPr>
        <w:t xml:space="preserve">).  The </w:t>
      </w:r>
      <w:r w:rsidRPr="00A127B4">
        <w:rPr>
          <w:rFonts w:cs="Times New Roman"/>
          <w:i/>
        </w:rPr>
        <w:t>Code</w:t>
      </w:r>
      <w:r w:rsidRPr="00A127B4">
        <w:rPr>
          <w:rFonts w:cs="Times New Roman"/>
        </w:rPr>
        <w:t xml:space="preserve"> also establishes the family patrimony, a core of family property that must in principle be shared equally by the spouses on divorce.  The provisions creating the family patrimony are of public order, so they cannot be contracted out of, except after separation, divorce or the death of the other spouse (arts. 414 to 416, 419 and 423 </w:t>
      </w:r>
      <w:r w:rsidRPr="00A127B4">
        <w:rPr>
          <w:rFonts w:cs="Times New Roman"/>
          <w:i/>
        </w:rPr>
        <w:t>C.C.Q.</w:t>
      </w:r>
      <w:r w:rsidRPr="00A127B4">
        <w:rPr>
          <w:rFonts w:cs="Times New Roman"/>
        </w:rPr>
        <w:t>).</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Except for the family patrimony, spouses in marriages or civil unions are able to choose the matrimonial regime governing their property.  The default regime is the partnership of acquests, under which spouses each have control of their own property during the relationship, but most property acquired during the union is divided equally on its dissolution (art. 432 </w:t>
      </w:r>
      <w:r w:rsidRPr="00A127B4">
        <w:rPr>
          <w:rFonts w:cs="Times New Roman"/>
          <w:i/>
        </w:rPr>
        <w:t>C.C.Q.</w:t>
      </w:r>
      <w:r w:rsidRPr="00A127B4">
        <w:rPr>
          <w:rFonts w:cs="Times New Roman"/>
        </w:rPr>
        <w:t xml:space="preserve">).  Alternatively, spouses can elect the separation as to property regime, under which spouses hold their property separately both before and after the union (art. 486 </w:t>
      </w:r>
      <w:r w:rsidRPr="00A127B4">
        <w:rPr>
          <w:rFonts w:cs="Times New Roman"/>
          <w:i/>
        </w:rPr>
        <w:t>C.C.Q.</w:t>
      </w:r>
      <w:r w:rsidRPr="00A127B4">
        <w:rPr>
          <w:rFonts w:cs="Times New Roman"/>
        </w:rPr>
        <w:t xml:space="preserve">), or a community regime, where property is controlled jointly during the union (art. 492 </w:t>
      </w:r>
      <w:r w:rsidRPr="00A127B4">
        <w:rPr>
          <w:rFonts w:cs="Times New Roman"/>
          <w:i/>
        </w:rPr>
        <w:t>C.C.Q.</w:t>
      </w:r>
      <w:r w:rsidRPr="00A127B4">
        <w:rPr>
          <w:rFonts w:cs="Times New Roman"/>
        </w:rPr>
        <w:t>).</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Finally, on </w:t>
      </w:r>
      <w:r w:rsidRPr="00F81B96">
        <w:rPr>
          <w:rFonts w:cs="Times New Roman"/>
          <w:lang w:val="en-US"/>
        </w:rPr>
        <w:t>separation</w:t>
      </w:r>
      <w:r w:rsidRPr="00A127B4">
        <w:rPr>
          <w:rFonts w:cs="Times New Roman"/>
        </w:rPr>
        <w:t xml:space="preserve"> or divorce, spouses in marriages or civil unions can claim a compensatory allowance, a court-ordered payment that compensates one spouse for his or her contribution to the enrichment of the other (art. 427 </w:t>
      </w:r>
      <w:r w:rsidRPr="00A127B4">
        <w:rPr>
          <w:rFonts w:cs="Times New Roman"/>
          <w:i/>
        </w:rPr>
        <w:t>C.C.Q.</w:t>
      </w:r>
      <w:r w:rsidRPr="00A127B4">
        <w:rPr>
          <w:rFonts w:cs="Times New Roman"/>
        </w:rPr>
        <w:t>).</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w:t>
      </w:r>
      <w:r w:rsidRPr="00F81B96">
        <w:rPr>
          <w:rFonts w:cs="Times New Roman"/>
          <w:lang w:val="en-US"/>
        </w:rPr>
        <w:t>legislative</w:t>
      </w:r>
      <w:r w:rsidRPr="00A127B4">
        <w:rPr>
          <w:rFonts w:cs="Times New Roman"/>
        </w:rPr>
        <w:t xml:space="preserve"> progression in Quebec from the “community” matrimonial regime, to the partnership of acquests, to the compensatory allowance, and finally to the family patrimony, has been elegantly unfolded by my colleague LeBel J.  Two important strands from this history merit particular attention. </w:t>
      </w:r>
    </w:p>
    <w:p w:rsidR="004862B9" w:rsidRPr="000D6CBA" w:rsidRDefault="004862B9" w:rsidP="00F81B96">
      <w:pPr>
        <w:pStyle w:val="ParaNoNdepar-AltN"/>
        <w:tabs>
          <w:tab w:val="clear" w:pos="1166"/>
          <w:tab w:val="num" w:pos="1152"/>
          <w:tab w:val="num" w:pos="1242"/>
        </w:tabs>
        <w:ind w:left="0"/>
        <w:rPr>
          <w:rFonts w:cs="Times New Roman"/>
          <w:lang w:val="fr-CA"/>
        </w:rPr>
      </w:pPr>
      <w:r w:rsidRPr="00A127B4">
        <w:rPr>
          <w:rFonts w:cs="Times New Roman"/>
        </w:rPr>
        <w:t xml:space="preserve">The first is that the goal of better protecting economically vulnerable spouses can be seen as motivating each successive stage of reform in Quebec.  </w:t>
      </w:r>
      <w:r w:rsidRPr="00A127B4">
        <w:rPr>
          <w:rFonts w:cs="Times New Roman"/>
          <w:lang w:val="en-US"/>
        </w:rPr>
        <w:t xml:space="preserve">With many spouses opting for separation of property under the initial community regime, as Prof. Alain Roy explains, </w:t>
      </w:r>
      <w:r w:rsidRPr="00A127B4">
        <w:rPr>
          <w:rFonts w:cs="Times New Roman"/>
        </w:rPr>
        <w:t>[</w:t>
      </w:r>
      <w:r w:rsidRPr="00A127B4">
        <w:rPr>
          <w:rFonts w:cs="Times New Roman"/>
          <w:smallCaps/>
        </w:rPr>
        <w:t>translation</w:t>
      </w:r>
      <w:r w:rsidRPr="00A127B4">
        <w:rPr>
          <w:rFonts w:cs="Times New Roman"/>
        </w:rPr>
        <w:t xml:space="preserve">] “the breakdown of the conjugal relationship brought to light how very vulnerable wives were financially. . . .  </w:t>
      </w:r>
      <w:r w:rsidRPr="000D6CBA">
        <w:rPr>
          <w:rFonts w:cs="Times New Roman"/>
          <w:lang w:val="fr-CA"/>
        </w:rPr>
        <w:t>From this perspective, the legislature had to establish mechanisms to protect wives”</w:t>
      </w:r>
      <w:r w:rsidR="00793E56" w:rsidRPr="000D6CBA">
        <w:rPr>
          <w:rFonts w:cs="Times New Roman"/>
          <w:lang w:val="fr-CA"/>
        </w:rPr>
        <w:t xml:space="preserve"> (“Le régime législatif de l’union civile: entre symbolisme et anachronisme”</w:t>
      </w:r>
      <w:r w:rsidR="005A59FB">
        <w:rPr>
          <w:rFonts w:cs="Times New Roman"/>
          <w:lang w:val="fr-CA"/>
        </w:rPr>
        <w:t>)</w:t>
      </w:r>
      <w:r w:rsidR="00793E56" w:rsidRPr="000D6CBA">
        <w:rPr>
          <w:rFonts w:cs="Times New Roman"/>
          <w:lang w:val="fr-CA"/>
        </w:rPr>
        <w:t>,</w:t>
      </w:r>
      <w:r w:rsidRPr="000D6CBA">
        <w:rPr>
          <w:rFonts w:cs="Times New Roman"/>
          <w:lang w:val="fr-CA"/>
        </w:rPr>
        <w:t xml:space="preserve"> in Pierre-Claude Lafond and Brigitte Lefebvre, eds., </w:t>
      </w:r>
      <w:r w:rsidRPr="000D6CBA">
        <w:rPr>
          <w:rFonts w:cs="Times New Roman"/>
          <w:i/>
          <w:lang w:val="fr-CA"/>
        </w:rPr>
        <w:t>L’union civile: nouveaux modèles de conjugalité et de parentalité au 21</w:t>
      </w:r>
      <w:r w:rsidRPr="000D6CBA">
        <w:rPr>
          <w:rFonts w:cs="Times New Roman"/>
          <w:i/>
          <w:vertAlign w:val="superscript"/>
          <w:lang w:val="fr-CA"/>
        </w:rPr>
        <w:t>e</w:t>
      </w:r>
      <w:r w:rsidRPr="000D6CBA">
        <w:rPr>
          <w:rFonts w:cs="Times New Roman"/>
          <w:i/>
          <w:lang w:val="fr-CA"/>
        </w:rPr>
        <w:t xml:space="preserve"> siècle</w:t>
      </w:r>
      <w:r w:rsidRPr="000D6CBA">
        <w:rPr>
          <w:rFonts w:cs="Times New Roman"/>
          <w:lang w:val="fr-CA"/>
        </w:rPr>
        <w:t xml:space="preserve"> (2003), 165, at p. 170).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In </w:t>
      </w:r>
      <w:r w:rsidRPr="00F81B96">
        <w:rPr>
          <w:rFonts w:cs="Times New Roman"/>
          <w:lang w:val="en-US"/>
        </w:rPr>
        <w:t>recommending</w:t>
      </w:r>
      <w:r w:rsidRPr="00A127B4">
        <w:rPr>
          <w:rFonts w:cs="Times New Roman"/>
        </w:rPr>
        <w:t xml:space="preserve"> the partnership of acquests as the new default matrimonial regime, the Civil Code Revision Office in 1968 noted that the “freedom and independence” provided to those spouses who chose separation of property “sometimes proves extremely burdensome for one of the consorts and, in certain cases, even results in real injustice” (</w:t>
      </w:r>
      <w:r w:rsidRPr="00A127B4">
        <w:rPr>
          <w:rFonts w:cs="Times New Roman"/>
          <w:i/>
        </w:rPr>
        <w:t>Report on Matrimonial Regimes</w:t>
      </w:r>
      <w:r w:rsidR="003A7F63">
        <w:rPr>
          <w:rFonts w:cs="Times New Roman"/>
        </w:rPr>
        <w:t xml:space="preserve"> (1968), at p. 9</w:t>
      </w:r>
      <w:r w:rsidRPr="00A127B4">
        <w:rPr>
          <w:rFonts w:cs="Times New Roman"/>
        </w:rPr>
        <w:t xml:space="preserve">).  The subsequent compensatory allowance and family patrimony regimes targeted the same injustices, which had lingered in spite of the partnership of acquests (for judicial discussion of the respective goals of these regimes, see this Court’s </w:t>
      </w:r>
      <w:r w:rsidRPr="00A127B4">
        <w:rPr>
          <w:rFonts w:cs="Times New Roman"/>
          <w:i/>
        </w:rPr>
        <w:t>M. (M.E.) v. L. (P.)</w:t>
      </w:r>
      <w:r w:rsidRPr="00A127B4">
        <w:rPr>
          <w:rFonts w:cs="Times New Roman"/>
        </w:rPr>
        <w:t xml:space="preserve">, [1992] 1 S.C.R. 183, and </w:t>
      </w:r>
      <w:r w:rsidRPr="00A127B4">
        <w:rPr>
          <w:rFonts w:cs="Times New Roman"/>
          <w:i/>
        </w:rPr>
        <w:t>Droit de la famille — 977</w:t>
      </w:r>
      <w:r w:rsidRPr="00A127B4">
        <w:rPr>
          <w:rFonts w:cs="Times New Roman"/>
        </w:rPr>
        <w:t xml:space="preserve">, [1991] R.J.Q. 904 (C.A.), at p. 908).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The second strand is that, far from being designed to reflect the actual choices made by married spouses, these measures subordinated those choices to the agenda of protection.  In crafting the partnership of acquests regime, which became the presumptive matrimonial regime for all married couples in 1970, the National Assembly abandoned wording that would have presumed that the equal sharing of property it created was an implicit choice by the couple.  The Law Reform Commission of Canada applauded this decision, noting that “we cannot assume, in all cases, that the spouses have not made a marriage contract because they consider the legal regime to be the one which suits them best” (</w:t>
      </w:r>
      <w:r w:rsidRPr="00A127B4">
        <w:rPr>
          <w:rFonts w:cs="Times New Roman"/>
          <w:i/>
        </w:rPr>
        <w:t>Studies on Family Property Law</w:t>
      </w:r>
      <w:r w:rsidRPr="00A127B4">
        <w:rPr>
          <w:rFonts w:cs="Times New Roman"/>
        </w:rPr>
        <w:t xml:space="preserve">, Research Paper: Matrimonial Regimes in Québec (1975), at p. 61).   Significantly too, the subsequent provision on compensatory allowance was made part of public order, applying mandatorily to all married couples regardless of matrimonial regime.  As a result, couples who had chosen the separation of property regime were largely denied their freedom to contract with respect to contributions made during the marriage.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same was true under the family patrimony regime, which was also made part of public order. In introducing the new legislation, </w:t>
      </w:r>
      <w:r w:rsidRPr="00A127B4">
        <w:rPr>
          <w:rFonts w:cs="Times New Roman"/>
          <w:lang w:bidi="en-US"/>
        </w:rPr>
        <w:t xml:space="preserve">Monique Gagnon-Tremblay, the Minister responsible for the Status of Women, </w:t>
      </w:r>
      <w:r w:rsidRPr="00A127B4">
        <w:rPr>
          <w:rFonts w:cs="Times New Roman"/>
        </w:rPr>
        <w:t>while noting that a mandatory division of the family patrimony negates freedom of choice, nonetheless said that choice would have to defer to the more important social goal of remedying a legal and social barrier to equality:</w:t>
      </w:r>
    </w:p>
    <w:p w:rsidR="00120C3F" w:rsidRDefault="004862B9" w:rsidP="009236A7">
      <w:pPr>
        <w:pStyle w:val="Citation-AltC"/>
        <w:spacing w:after="240"/>
        <w:contextualSpacing w:val="0"/>
        <w:rPr>
          <w:lang w:val="en-CA"/>
        </w:rPr>
      </w:pPr>
      <w:r w:rsidRPr="00851923">
        <w:rPr>
          <w:lang w:val="en-CA"/>
        </w:rPr>
        <w:t>[</w:t>
      </w:r>
      <w:r w:rsidRPr="00851923">
        <w:rPr>
          <w:smallCaps/>
          <w:lang w:val="en-CA"/>
        </w:rPr>
        <w:t>translation</w:t>
      </w:r>
      <w:r w:rsidRPr="00851923">
        <w:rPr>
          <w:lang w:val="en-CA"/>
        </w:rPr>
        <w:t>] It was necessary to rethink a legal and social mechanism that tends to reproduce inequality. </w:t>
      </w:r>
      <w:r w:rsidR="00120C3F">
        <w:rPr>
          <w:lang w:val="en-CA"/>
        </w:rPr>
        <w:t xml:space="preserve"> </w:t>
      </w:r>
    </w:p>
    <w:p w:rsidR="00120C3F" w:rsidRDefault="004862B9" w:rsidP="00C0411D">
      <w:pPr>
        <w:pStyle w:val="Citation-AltC"/>
        <w:spacing w:after="240"/>
        <w:contextualSpacing w:val="0"/>
        <w:jc w:val="center"/>
        <w:rPr>
          <w:lang w:val="en-CA"/>
        </w:rPr>
      </w:pPr>
      <w:r w:rsidRPr="00851923">
        <w:rPr>
          <w:lang w:val="en-CA"/>
        </w:rPr>
        <w:t>. . .</w:t>
      </w:r>
    </w:p>
    <w:p w:rsidR="004862B9" w:rsidRPr="00851923" w:rsidRDefault="00194941" w:rsidP="00194941">
      <w:pPr>
        <w:pStyle w:val="Citation-AltC"/>
        <w:tabs>
          <w:tab w:val="left" w:pos="1440"/>
        </w:tabs>
        <w:ind w:hanging="1166"/>
        <w:rPr>
          <w:lang w:val="en-CA"/>
        </w:rPr>
      </w:pPr>
      <w:r>
        <w:rPr>
          <w:lang w:val="en-CA"/>
        </w:rPr>
        <w:tab/>
      </w:r>
      <w:r>
        <w:rPr>
          <w:lang w:val="en-CA"/>
        </w:rPr>
        <w:tab/>
      </w:r>
      <w:r w:rsidR="004862B9" w:rsidRPr="00851923">
        <w:rPr>
          <w:lang w:val="en-CA"/>
        </w:rPr>
        <w:t xml:space="preserve">In a word, it seemed to us </w:t>
      </w:r>
      <w:r w:rsidR="004862B9" w:rsidRPr="00851923">
        <w:rPr>
          <w:i/>
          <w:lang w:val="en-CA"/>
        </w:rPr>
        <w:t>that to refuse to introduce a family patrimony on the basis that this new institution is incompatible with certain matrimonial regimes spouses might want to choose would amount to giving greater importance to legal models than to the imperatives of social change</w:t>
      </w:r>
      <w:r w:rsidR="004862B9" w:rsidRPr="00851923">
        <w:rPr>
          <w:lang w:val="en-CA"/>
        </w:rPr>
        <w:t xml:space="preserve">.  Were it to do so, the legislature would deprive itself of an essential lever for social change. </w:t>
      </w:r>
      <w:r w:rsidR="00120C3F">
        <w:rPr>
          <w:lang w:val="en-CA"/>
        </w:rPr>
        <w:t>[Emphasis added.]</w:t>
      </w:r>
    </w:p>
    <w:p w:rsidR="004862B9" w:rsidRPr="00851923" w:rsidRDefault="004862B9" w:rsidP="004862B9">
      <w:pPr>
        <w:pStyle w:val="Citation-AltC"/>
        <w:rPr>
          <w:iCs/>
          <w:lang w:val="en-CA"/>
        </w:rPr>
      </w:pPr>
    </w:p>
    <w:p w:rsidR="004862B9" w:rsidRPr="00F207AB" w:rsidRDefault="00120C3F" w:rsidP="00F207AB">
      <w:pPr>
        <w:pStyle w:val="Citation-AltC"/>
        <w:ind w:left="0"/>
        <w:rPr>
          <w:iCs/>
          <w:lang w:val="en-CA"/>
        </w:rPr>
      </w:pPr>
      <w:r w:rsidRPr="00F207AB">
        <w:rPr>
          <w:lang w:val="en-CA"/>
        </w:rPr>
        <w:t>(</w:t>
      </w:r>
      <w:r w:rsidR="004862B9" w:rsidRPr="00F207AB">
        <w:rPr>
          <w:lang w:val="en-CA"/>
        </w:rPr>
        <w:t xml:space="preserve">National Assembly, </w:t>
      </w:r>
      <w:r w:rsidR="004862B9" w:rsidRPr="00F207AB">
        <w:rPr>
          <w:i/>
          <w:iCs/>
          <w:lang w:val="en-CA"/>
        </w:rPr>
        <w:t>Journal des débats</w:t>
      </w:r>
      <w:r w:rsidR="004862B9" w:rsidRPr="00F207AB">
        <w:rPr>
          <w:iCs/>
          <w:lang w:val="en-CA"/>
        </w:rPr>
        <w:t xml:space="preserve">, vol. 30, No. 125, 2nd Sess., 33rd Leg., June 8, 1989, </w:t>
      </w:r>
      <w:r w:rsidRPr="00F207AB">
        <w:rPr>
          <w:iCs/>
          <w:lang w:val="en-CA"/>
        </w:rPr>
        <w:t xml:space="preserve">at </w:t>
      </w:r>
      <w:r w:rsidR="004862B9" w:rsidRPr="00F207AB">
        <w:rPr>
          <w:iCs/>
          <w:lang w:val="en-CA"/>
        </w:rPr>
        <w:t xml:space="preserve">p. 6489) </w:t>
      </w:r>
    </w:p>
    <w:p w:rsidR="004862B9" w:rsidRPr="00A127B4" w:rsidRDefault="004862B9" w:rsidP="004862B9">
      <w:pPr>
        <w:pStyle w:val="ContinueParaSuitedupar-AltP"/>
        <w:rPr>
          <w:rFonts w:cs="Times New Roman"/>
        </w:rPr>
      </w:pPr>
      <w:r w:rsidRPr="00A127B4">
        <w:rPr>
          <w:rFonts w:cs="Times New Roman"/>
        </w:rPr>
        <w:t xml:space="preserve">The opposition critic at the time, </w:t>
      </w:r>
      <w:r w:rsidRPr="00A127B4">
        <w:rPr>
          <w:rFonts w:cs="Times New Roman"/>
          <w:lang w:bidi="en-US"/>
        </w:rPr>
        <w:t>Louise Harel, provided crucial support to the measure, noting specifically that it represented a move from formal to substantive equality within marriage:</w:t>
      </w:r>
    </w:p>
    <w:p w:rsidR="004862B9" w:rsidRPr="00A127B4" w:rsidRDefault="004862B9" w:rsidP="00C0411D">
      <w:pPr>
        <w:pStyle w:val="Citation-AltC"/>
        <w:tabs>
          <w:tab w:val="left" w:pos="1620"/>
        </w:tabs>
        <w:ind w:hanging="1166"/>
        <w:rPr>
          <w:iCs/>
          <w:lang w:val="en-US"/>
        </w:rPr>
      </w:pPr>
      <w:r w:rsidRPr="00A127B4">
        <w:rPr>
          <w:lang w:val="en-US"/>
        </w:rPr>
        <w:tab/>
      </w:r>
      <w:r w:rsidR="00C0411D">
        <w:rPr>
          <w:lang w:val="en-US"/>
        </w:rPr>
        <w:tab/>
      </w:r>
      <w:r w:rsidRPr="00851923">
        <w:rPr>
          <w:lang w:val="en-CA"/>
        </w:rPr>
        <w:t>[</w:t>
      </w:r>
      <w:r w:rsidRPr="00851923">
        <w:rPr>
          <w:smallCaps/>
          <w:lang w:val="en-CA"/>
        </w:rPr>
        <w:t>translation</w:t>
      </w:r>
      <w:r w:rsidRPr="00851923">
        <w:rPr>
          <w:lang w:val="en-CA"/>
        </w:rPr>
        <w:t xml:space="preserve">] In our society, for an entire generation, the institution of marriage represented something that was contrary to the principle of equality.  Then a legal equality was introduced.  And, Mr. President, I cannot place too much emphasis on the fact that, </w:t>
      </w:r>
      <w:r w:rsidRPr="00851923">
        <w:rPr>
          <w:i/>
          <w:lang w:val="en-CA"/>
        </w:rPr>
        <w:t>if we are going to work together to pass this bill, it is precisely because that formal legal equality is not enough.  It is precisely to open a new legal path to the full economic and social equality of women</w:t>
      </w:r>
      <w:r w:rsidRPr="00851923">
        <w:rPr>
          <w:lang w:val="en-CA"/>
        </w:rPr>
        <w:t>.</w:t>
      </w:r>
      <w:r w:rsidR="00120C3F">
        <w:rPr>
          <w:lang w:val="en-CA"/>
        </w:rPr>
        <w:t xml:space="preserve"> [Emphasis added.]</w:t>
      </w:r>
    </w:p>
    <w:p w:rsidR="004862B9" w:rsidRPr="00A127B4" w:rsidRDefault="004862B9" w:rsidP="004862B9">
      <w:pPr>
        <w:pStyle w:val="Citation-AltC"/>
        <w:rPr>
          <w:iCs/>
          <w:lang w:val="en-US"/>
        </w:rPr>
      </w:pPr>
    </w:p>
    <w:p w:rsidR="004862B9" w:rsidRPr="00A127B4" w:rsidRDefault="004862B9" w:rsidP="005571BA">
      <w:pPr>
        <w:pStyle w:val="Citation-AltC"/>
        <w:ind w:left="0"/>
        <w:rPr>
          <w:iCs/>
        </w:rPr>
      </w:pPr>
      <w:r w:rsidRPr="00A127B4">
        <w:rPr>
          <w:iCs/>
        </w:rPr>
        <w:t xml:space="preserve">(National Assembly, </w:t>
      </w:r>
      <w:r w:rsidRPr="00120C3F">
        <w:rPr>
          <w:i/>
          <w:iCs/>
        </w:rPr>
        <w:t>Journal des débats</w:t>
      </w:r>
      <w:r w:rsidRPr="00A127B4">
        <w:rPr>
          <w:iCs/>
        </w:rPr>
        <w:t>, vol. 30, No. 125, 2nd Sess., 33rd Leg., June 8, 1989, p. 6497)</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Thus the mandatory nature of both the compensatory allowance and family patrimony regimes highlights the preeminent significance Quebec has accorded to concerns for the protection of vulnerable spouses over other values such as contractual freedom or choice.</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 These concerns were harmoniously echoed across Canada.  The case of </w:t>
      </w:r>
      <w:r w:rsidRPr="00A127B4">
        <w:rPr>
          <w:rFonts w:cs="Times New Roman"/>
          <w:i/>
        </w:rPr>
        <w:t>Rathwell v. Rathwell</w:t>
      </w:r>
      <w:r w:rsidRPr="00A127B4">
        <w:rPr>
          <w:rFonts w:cs="Times New Roman"/>
        </w:rPr>
        <w:t>, [1978] 2 S.C.R. 436, contains useful insight into the shift to a protective understanding of the division of family property.  Dickson J. noted that matrimonial property disputes were “bedevilled by conflicting doctrine and a continuing struggle between the ‘justice and equity’ school</w:t>
      </w:r>
      <w:r w:rsidR="00120C3F">
        <w:rPr>
          <w:rFonts w:cs="Times New Roman"/>
        </w:rPr>
        <w:t xml:space="preserve"> </w:t>
      </w:r>
      <w:r w:rsidRPr="00A127B4">
        <w:rPr>
          <w:rFonts w:cs="Times New Roman"/>
        </w:rPr>
        <w:t>. . .  and the ‘intent’ school” (p. 442).  Intent had ruled the day in</w:t>
      </w:r>
      <w:r w:rsidRPr="00A127B4">
        <w:rPr>
          <w:rFonts w:cs="Times New Roman"/>
          <w:i/>
        </w:rPr>
        <w:t xml:space="preserve"> </w:t>
      </w:r>
      <w:r w:rsidRPr="00A127B4">
        <w:rPr>
          <w:rFonts w:cs="Times New Roman"/>
        </w:rPr>
        <w:t xml:space="preserve">the prior case of </w:t>
      </w:r>
      <w:r w:rsidRPr="00A127B4">
        <w:rPr>
          <w:rFonts w:cs="Times New Roman"/>
          <w:i/>
        </w:rPr>
        <w:t>Murdoch v. Murdoch</w:t>
      </w:r>
      <w:r w:rsidR="00793E56">
        <w:rPr>
          <w:rFonts w:cs="Times New Roman"/>
        </w:rPr>
        <w:t>,</w:t>
      </w:r>
      <w:r w:rsidRPr="00A127B4">
        <w:rPr>
          <w:rFonts w:cs="Times New Roman"/>
          <w:i/>
        </w:rPr>
        <w:t xml:space="preserve"> </w:t>
      </w:r>
      <w:r w:rsidRPr="00A127B4">
        <w:rPr>
          <w:rFonts w:cs="Times New Roman"/>
        </w:rPr>
        <w:t xml:space="preserve">[1975] 1 S.C.R. 423, which confirmed the century-old approach to matrimonial property: the wife had been denied any share in the property held in her husband’s name because of her inability to prove common intent to vest in her a beneficial interest in the property.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In</w:t>
      </w:r>
      <w:r w:rsidRPr="00A127B4">
        <w:rPr>
          <w:rFonts w:cs="Times New Roman"/>
          <w:i/>
        </w:rPr>
        <w:t xml:space="preserve"> Rathwell</w:t>
      </w:r>
      <w:r w:rsidRPr="00A127B4">
        <w:rPr>
          <w:rFonts w:cs="Times New Roman"/>
        </w:rPr>
        <w:t xml:space="preserve">, Dickson J. relied instead on the doctrine of constructive trust, which requires no common intent, to award Helen Rathwell a share of the matrimonial property.  Common intent, Dickson J. explained, could rarely be found, and to look for it was to misapprehend the way most couples approach their relationship: </w:t>
      </w:r>
    </w:p>
    <w:p w:rsidR="004862B9" w:rsidRPr="00851923" w:rsidRDefault="004862B9" w:rsidP="005571BA">
      <w:pPr>
        <w:pStyle w:val="Citation-AltC"/>
        <w:spacing w:after="240"/>
        <w:contextualSpacing w:val="0"/>
        <w:rPr>
          <w:lang w:val="en-CA"/>
        </w:rPr>
      </w:pPr>
      <w:r w:rsidRPr="00851923">
        <w:rPr>
          <w:lang w:val="en-CA"/>
        </w:rPr>
        <w:t xml:space="preserve"> . . . the plain fact is that there rarely is agreement [on the disposition of matrimonial property in the event of divorce] because the parties do not turn their minds to the eventuality of separation and divorce.</w:t>
      </w:r>
    </w:p>
    <w:p w:rsidR="004862B9" w:rsidRPr="00851923" w:rsidRDefault="004862B9" w:rsidP="005571BA">
      <w:pPr>
        <w:pStyle w:val="Citation-AltC"/>
        <w:spacing w:after="240"/>
        <w:contextualSpacing w:val="0"/>
        <w:jc w:val="center"/>
        <w:rPr>
          <w:lang w:val="en-CA"/>
        </w:rPr>
      </w:pPr>
      <w:r w:rsidRPr="00851923">
        <w:rPr>
          <w:lang w:val="en-CA"/>
        </w:rPr>
        <w:t xml:space="preserve">. . . </w:t>
      </w:r>
    </w:p>
    <w:p w:rsidR="004862B9" w:rsidRPr="00851923" w:rsidRDefault="004862B9" w:rsidP="005571BA">
      <w:pPr>
        <w:pStyle w:val="Citation-AltC"/>
        <w:spacing w:after="240"/>
        <w:contextualSpacing w:val="0"/>
        <w:rPr>
          <w:lang w:val="en-CA"/>
        </w:rPr>
      </w:pPr>
      <w:r w:rsidRPr="00851923">
        <w:rPr>
          <w:lang w:val="en-CA"/>
        </w:rPr>
        <w:tab/>
        <w:t xml:space="preserve">. . . There is rarely implied agreement or common intention, apart from the general intention of building a life together.  It is not in the nature of things for young married people to contemplate the break-up of their marriage and the division, in that event, of assets acquired by common effort during wedlock. [pp. 444 and 447-48]  </w:t>
      </w:r>
    </w:p>
    <w:p w:rsidR="004862B9" w:rsidRPr="00A127B4" w:rsidRDefault="004862B9" w:rsidP="004862B9">
      <w:pPr>
        <w:pStyle w:val="ContinueParaSuitedupar-AltP"/>
        <w:rPr>
          <w:rFonts w:cs="Times New Roman"/>
        </w:rPr>
      </w:pPr>
      <w:r w:rsidRPr="00A127B4">
        <w:rPr>
          <w:rFonts w:cs="Times New Roman"/>
        </w:rPr>
        <w:t>The emergence of a constructive trust to resolve matrimonial property disputes, Dickson J. explained,</w:t>
      </w:r>
    </w:p>
    <w:p w:rsidR="004862B9" w:rsidRPr="00851923" w:rsidRDefault="004862B9" w:rsidP="004862B9">
      <w:pPr>
        <w:pStyle w:val="Citation-AltC"/>
        <w:rPr>
          <w:lang w:val="en-CA"/>
        </w:rPr>
      </w:pPr>
      <w:r w:rsidRPr="00851923">
        <w:rPr>
          <w:lang w:val="en-CA"/>
        </w:rPr>
        <w:t>reflects a diminishing preoccupation with the formalities of real property law and individual property rights and the substitution of an attitude more in keeping with the realities of contemporary family life. . . .  The state of legal title may merely reflect conformity with regulatory requirements</w:t>
      </w:r>
      <w:r w:rsidR="00AD6263">
        <w:rPr>
          <w:lang w:val="en-CA"/>
        </w:rPr>
        <w:t xml:space="preserve"> . . .</w:t>
      </w:r>
      <w:r w:rsidRPr="00851923">
        <w:rPr>
          <w:lang w:val="en-CA"/>
        </w:rPr>
        <w:t xml:space="preserve">; it may, on the other hand, be a matter </w:t>
      </w:r>
      <w:r w:rsidRPr="00851923">
        <w:rPr>
          <w:i/>
          <w:lang w:val="en-CA"/>
        </w:rPr>
        <w:t xml:space="preserve">of utmost indifference to the spouses as to which name appears on the title, so </w:t>
      </w:r>
      <w:r w:rsidR="00120C3F">
        <w:rPr>
          <w:i/>
          <w:lang w:val="en-CA"/>
        </w:rPr>
        <w:t>long as happy marriage subsists</w:t>
      </w:r>
      <w:r w:rsidRPr="00851923">
        <w:rPr>
          <w:i/>
          <w:lang w:val="en-CA"/>
        </w:rPr>
        <w:t xml:space="preserve"> </w:t>
      </w:r>
      <w:r w:rsidRPr="00120C3F">
        <w:rPr>
          <w:lang w:val="en-CA"/>
        </w:rPr>
        <w:t>. . . .</w:t>
      </w:r>
      <w:r w:rsidRPr="00851923">
        <w:rPr>
          <w:i/>
          <w:lang w:val="en-CA"/>
        </w:rPr>
        <w:t xml:space="preserve"> </w:t>
      </w:r>
      <w:r w:rsidR="00120C3F">
        <w:rPr>
          <w:lang w:val="en-CA"/>
        </w:rPr>
        <w:t>T</w:t>
      </w:r>
      <w:r w:rsidRPr="00851923">
        <w:rPr>
          <w:lang w:val="en-CA"/>
        </w:rPr>
        <w:t>he state of title may be entirely fortuitous</w:t>
      </w:r>
      <w:r w:rsidR="00120C3F">
        <w:rPr>
          <w:lang w:val="en-CA"/>
        </w:rPr>
        <w:t xml:space="preserve"> </w:t>
      </w:r>
      <w:r w:rsidRPr="00851923">
        <w:rPr>
          <w:lang w:val="en-CA"/>
        </w:rPr>
        <w:t>. . . . [Emphasis added; p. 456.]</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brings us to the status of unmarried spouses in Canada. </w:t>
      </w:r>
      <w:r w:rsidRPr="00A127B4">
        <w:rPr>
          <w:rFonts w:cs="Times New Roman"/>
          <w:b/>
        </w:rPr>
        <w:t xml:space="preserve"> </w:t>
      </w:r>
      <w:r w:rsidRPr="00A127B4">
        <w:rPr>
          <w:rFonts w:cs="Times New Roman"/>
        </w:rPr>
        <w:t xml:space="preserve"> Historically, they were stigmatized.  The chi</w:t>
      </w:r>
      <w:r w:rsidR="00120C3F">
        <w:rPr>
          <w:rFonts w:cs="Times New Roman"/>
        </w:rPr>
        <w:t>ldren of unmarried relationship</w:t>
      </w:r>
      <w:r w:rsidRPr="00A127B4">
        <w:rPr>
          <w:rFonts w:cs="Times New Roman"/>
        </w:rPr>
        <w:t>s, for example, were deemed “illegitimate” and unable to inherit on intestacy.  But as social attitudes changed, so did the approaches of legislatures and courts, which came to accept conjugal relationships outside</w:t>
      </w:r>
      <w:r w:rsidR="00BB3C51">
        <w:rPr>
          <w:rFonts w:cs="Times New Roman"/>
        </w:rPr>
        <w:t xml:space="preserve"> a formal marital framework.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change reflected an enhanced understanding of what constitutes a “family”.  In a 1993 report in which it recommended the extension of both spousal support and division of property regimes to unmarried spouses, the Ontario Law Reform Commission noted that </w:t>
      </w:r>
    </w:p>
    <w:p w:rsidR="004862B9" w:rsidRPr="00851923" w:rsidRDefault="004862B9" w:rsidP="004862B9">
      <w:pPr>
        <w:pStyle w:val="Citation-AltC"/>
        <w:rPr>
          <w:lang w:val="en-CA"/>
        </w:rPr>
      </w:pPr>
      <w:r w:rsidRPr="00851923">
        <w:rPr>
          <w:lang w:val="en-CA"/>
        </w:rPr>
        <w:t>throughout much of the [</w:t>
      </w:r>
      <w:r w:rsidRPr="00851923">
        <w:rPr>
          <w:i/>
          <w:iCs/>
          <w:lang w:val="en-CA"/>
        </w:rPr>
        <w:t>Family Law Act</w:t>
      </w:r>
      <w:r w:rsidRPr="00851923">
        <w:rPr>
          <w:lang w:val="en-CA"/>
        </w:rPr>
        <w:t>, R.S.O. 1990, c. F.3], “family” is equated with “marriage”. . . . [T]he Act</w:t>
      </w:r>
      <w:r w:rsidR="00120C3F">
        <w:rPr>
          <w:lang w:val="en-CA"/>
        </w:rPr>
        <w:t xml:space="preserve"> </w:t>
      </w:r>
      <w:r w:rsidRPr="00851923">
        <w:rPr>
          <w:lang w:val="en-CA"/>
        </w:rPr>
        <w:t>. . . provides little room for other forms of relationship that embody the fundamental elements of intimacy, mutual economic interdependence, and living together in a “close personal relationship that is of primary importance in both persons’ lives”</w:t>
      </w:r>
      <w:r w:rsidR="00120C3F">
        <w:rPr>
          <w:lang w:val="en-CA"/>
        </w:rPr>
        <w:t>,</w:t>
      </w:r>
      <w:r w:rsidRPr="00851923">
        <w:rPr>
          <w:lang w:val="en-CA"/>
        </w:rPr>
        <w:t xml:space="preserve"> which we see as the essence of the concept of “family”. </w:t>
      </w:r>
    </w:p>
    <w:p w:rsidR="004862B9" w:rsidRPr="00851923" w:rsidRDefault="004862B9" w:rsidP="004862B9">
      <w:pPr>
        <w:pStyle w:val="Citation-AltC"/>
        <w:rPr>
          <w:lang w:val="en-CA"/>
        </w:rPr>
      </w:pPr>
    </w:p>
    <w:p w:rsidR="004862B9" w:rsidRPr="00851923" w:rsidRDefault="004862B9" w:rsidP="005571BA">
      <w:pPr>
        <w:pStyle w:val="Citation-AltC"/>
        <w:ind w:left="0"/>
        <w:rPr>
          <w:lang w:val="en-CA"/>
        </w:rPr>
      </w:pPr>
      <w:r w:rsidRPr="00851923">
        <w:rPr>
          <w:lang w:val="en-CA"/>
        </w:rPr>
        <w:t>(</w:t>
      </w:r>
      <w:r w:rsidRPr="00851923">
        <w:rPr>
          <w:i/>
          <w:lang w:val="en-CA"/>
        </w:rPr>
        <w:t>Report on the Rights and Responsibilities of Cohabitants under the Family Law Act</w:t>
      </w:r>
      <w:r w:rsidRPr="00851923">
        <w:rPr>
          <w:lang w:val="en-CA"/>
        </w:rPr>
        <w:t xml:space="preserve"> (1993), at p. 1) </w:t>
      </w:r>
    </w:p>
    <w:p w:rsidR="004862B9" w:rsidRPr="00A127B4" w:rsidRDefault="004862B9" w:rsidP="004862B9">
      <w:pPr>
        <w:pStyle w:val="ContinueParaSuitedupar-AltP"/>
        <w:rPr>
          <w:rFonts w:cs="Times New Roman"/>
        </w:rPr>
      </w:pPr>
      <w:r w:rsidRPr="00A127B4">
        <w:rPr>
          <w:rFonts w:cs="Times New Roman"/>
        </w:rPr>
        <w:t xml:space="preserve">The Report found that in </w:t>
      </w:r>
    </w:p>
    <w:p w:rsidR="004862B9" w:rsidRDefault="004862B9" w:rsidP="005571BA">
      <w:pPr>
        <w:pStyle w:val="Citation-AltC"/>
        <w:spacing w:after="240"/>
        <w:contextualSpacing w:val="0"/>
        <w:rPr>
          <w:lang w:val="en-CA"/>
        </w:rPr>
      </w:pPr>
      <w:r w:rsidRPr="00851923">
        <w:rPr>
          <w:lang w:val="en-CA"/>
        </w:rPr>
        <w:t>common-law relationships, which embody virtually all the characteristics of marriage</w:t>
      </w:r>
      <w:r w:rsidR="00120C3F">
        <w:rPr>
          <w:lang w:val="en-CA"/>
        </w:rPr>
        <w:t xml:space="preserve"> </w:t>
      </w:r>
      <w:r w:rsidRPr="00851923">
        <w:rPr>
          <w:lang w:val="en-CA"/>
        </w:rPr>
        <w:t xml:space="preserve">. . . the need to protect the interests of both parties and to ensure equality and fairness in the event of the breakdown of the relationship is the same as in marriages. </w:t>
      </w:r>
    </w:p>
    <w:p w:rsidR="00120C3F" w:rsidRPr="00851923" w:rsidRDefault="00120C3F" w:rsidP="005571BA">
      <w:pPr>
        <w:pStyle w:val="Citation-AltC"/>
        <w:spacing w:after="240"/>
        <w:contextualSpacing w:val="0"/>
        <w:jc w:val="center"/>
        <w:rPr>
          <w:lang w:val="en-CA"/>
        </w:rPr>
      </w:pPr>
      <w:r>
        <w:rPr>
          <w:lang w:val="en-CA"/>
        </w:rPr>
        <w:t>. . .</w:t>
      </w:r>
    </w:p>
    <w:p w:rsidR="004862B9" w:rsidRPr="005571BA" w:rsidRDefault="004862B9" w:rsidP="004862B9">
      <w:pPr>
        <w:pStyle w:val="Citation-AltC"/>
        <w:rPr>
          <w:lang w:val="en-US"/>
        </w:rPr>
      </w:pPr>
      <w:r w:rsidRPr="00851923">
        <w:rPr>
          <w:lang w:val="en-CA"/>
        </w:rPr>
        <w:t xml:space="preserve">Common-law spouses pool their resources and make joint economic plans, they provide each other financial and emotional support, and they raise children. </w:t>
      </w:r>
      <w:r w:rsidRPr="005571BA">
        <w:rPr>
          <w:lang w:val="en-US"/>
        </w:rPr>
        <w:t>[p</w:t>
      </w:r>
      <w:r w:rsidR="00120C3F" w:rsidRPr="005571BA">
        <w:rPr>
          <w:lang w:val="en-US"/>
        </w:rPr>
        <w:t>p</w:t>
      </w:r>
      <w:r w:rsidRPr="005571BA">
        <w:rPr>
          <w:lang w:val="en-US"/>
        </w:rPr>
        <w:t xml:space="preserve">. </w:t>
      </w:r>
      <w:r w:rsidR="00120C3F" w:rsidRPr="005571BA">
        <w:rPr>
          <w:lang w:val="en-US"/>
        </w:rPr>
        <w:t xml:space="preserve">2 and </w:t>
      </w:r>
      <w:r w:rsidR="00AD6263">
        <w:rPr>
          <w:lang w:val="en-US"/>
        </w:rPr>
        <w:t xml:space="preserve">27]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Court launched the possibility of an equitable division of property for unmarried spouses in </w:t>
      </w:r>
      <w:r w:rsidRPr="00A127B4">
        <w:rPr>
          <w:rFonts w:cs="Times New Roman"/>
          <w:i/>
        </w:rPr>
        <w:t>Pettkus v. Becker</w:t>
      </w:r>
      <w:r w:rsidRPr="00A127B4">
        <w:rPr>
          <w:rFonts w:cs="Times New Roman"/>
        </w:rPr>
        <w:t>, [1980] 2 S.C.R. 834, where it extended the availability of a constructive trust to the division of property between separated common law spouses. Significantly, Dickson J. found that there were no grounds for a distinction in property division between a marriage and a less formally recognized long-term relationship, and that being unmarried was no barrier to the claimant obtaining the fruits of her contribution to a common law partnership.</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Subsequently, in </w:t>
      </w:r>
      <w:r w:rsidRPr="00A127B4">
        <w:rPr>
          <w:rFonts w:cs="Times New Roman"/>
          <w:i/>
        </w:rPr>
        <w:t>M. v. H.</w:t>
      </w:r>
      <w:r w:rsidRPr="00A127B4">
        <w:rPr>
          <w:rFonts w:cs="Times New Roman"/>
        </w:rPr>
        <w:t xml:space="preserve">, </w:t>
      </w:r>
      <w:r w:rsidRPr="00A127B4">
        <w:rPr>
          <w:rFonts w:cs="Times New Roman"/>
          <w:lang w:bidi="en-US"/>
        </w:rPr>
        <w:t xml:space="preserve">[1999] 2 S.C.R. 3, this Court found that the exclusion of same-sex couples from statutory support benefits violated s. 15(1) of the </w:t>
      </w:r>
      <w:r w:rsidRPr="00A127B4">
        <w:rPr>
          <w:rFonts w:cs="Times New Roman"/>
          <w:i/>
          <w:lang w:bidi="en-US"/>
        </w:rPr>
        <w:t>Charter</w:t>
      </w:r>
      <w:r w:rsidRPr="00A127B4">
        <w:rPr>
          <w:rFonts w:cs="Times New Roman"/>
          <w:lang w:bidi="en-US"/>
        </w:rPr>
        <w:t xml:space="preserve">.  In developing its analysis, the Court noted that the various features that characterize a conjugal relationship </w:t>
      </w:r>
      <w:r w:rsidRPr="00A127B4">
        <w:rPr>
          <w:rFonts w:cs="Times New Roman"/>
          <w:szCs w:val="24"/>
        </w:rPr>
        <w:t xml:space="preserve">could be found in same-sex relationships.  Those features could be “present in varying degrees and not all are necessary for the relationship to be found to be conjugal” (para. 59).  A conjugal relationship, in other words, is not a binary question: married or unmarried, opposite-sex or same-sex, economically dependent or economically independent.  </w:t>
      </w:r>
      <w:r w:rsidRPr="00A127B4">
        <w:rPr>
          <w:rFonts w:cs="Times New Roman"/>
          <w:lang w:bidi="en-US"/>
        </w:rPr>
        <w:t xml:space="preserve">This decision highlighted an increasing willingness to look past the relationship’s formal wrapping and into its content.  </w:t>
      </w:r>
      <w:r w:rsidRPr="00A127B4">
        <w:rPr>
          <w:rFonts w:cs="Times New Roman"/>
          <w:szCs w:val="24"/>
        </w:rPr>
        <w:t xml:space="preserve">It is the </w:t>
      </w:r>
      <w:r w:rsidRPr="00A127B4">
        <w:rPr>
          <w:rFonts w:cs="Times New Roman"/>
          <w:i/>
          <w:szCs w:val="24"/>
        </w:rPr>
        <w:t>nature</w:t>
      </w:r>
      <w:r w:rsidRPr="00A127B4">
        <w:rPr>
          <w:rFonts w:cs="Times New Roman"/>
          <w:szCs w:val="24"/>
        </w:rPr>
        <w:t xml:space="preserve"> of the relationship that is paramount, not what it is called.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As attitudes shifted and the functional similarity between many unmarried relationships and marriages was accepted, this Court expanded protection for unmarried spouses.   In </w:t>
      </w:r>
      <w:r w:rsidRPr="00A127B4">
        <w:rPr>
          <w:rFonts w:cs="Times New Roman"/>
          <w:i/>
        </w:rPr>
        <w:t>Miron v. Trudel</w:t>
      </w:r>
      <w:r w:rsidRPr="00A127B4">
        <w:rPr>
          <w:rFonts w:cs="Times New Roman"/>
        </w:rPr>
        <w:t xml:space="preserve">, [1995] 2 S.C.R. 418, the Court found that marital status was an analogous ground under s. 15(1) of the </w:t>
      </w:r>
      <w:r w:rsidRPr="00A127B4">
        <w:rPr>
          <w:rFonts w:cs="Times New Roman"/>
          <w:i/>
        </w:rPr>
        <w:t>Charter</w:t>
      </w:r>
      <w:r w:rsidRPr="00A127B4">
        <w:rPr>
          <w:rFonts w:cs="Times New Roman"/>
        </w:rPr>
        <w:t>, because while in theory an individual is free to choose whether to marry, there are, in reality, a number of factors that may place the decision out of his or her control.  McLachlin J. described the impediments to choice as including:</w:t>
      </w:r>
      <w:r w:rsidRPr="00A127B4">
        <w:rPr>
          <w:rFonts w:cs="Times New Roman"/>
          <w:b/>
        </w:rPr>
        <w:t xml:space="preserve">  </w:t>
      </w:r>
    </w:p>
    <w:p w:rsidR="004862B9" w:rsidRPr="00A127B4" w:rsidRDefault="00AD6263" w:rsidP="00AD6263">
      <w:pPr>
        <w:pStyle w:val="Citation-AltC"/>
        <w:tabs>
          <w:tab w:val="left" w:pos="1170"/>
        </w:tabs>
        <w:ind w:hanging="1166"/>
      </w:pPr>
      <w:r>
        <w:rPr>
          <w:lang w:val="en-CA"/>
        </w:rPr>
        <w:tab/>
      </w:r>
      <w:r w:rsidR="004862B9" w:rsidRPr="00851923">
        <w:rPr>
          <w:lang w:val="en-CA"/>
        </w:rPr>
        <w:t xml:space="preserve">The law; the reluctance of one’s partner to marry; financial, religious or social constraints </w:t>
      </w:r>
      <w:r w:rsidR="005743B2">
        <w:rPr>
          <w:lang w:val="en-CA"/>
        </w:rPr>
        <w:t>—</w:t>
      </w:r>
      <w:r w:rsidR="004862B9" w:rsidRPr="00851923">
        <w:rPr>
          <w:lang w:val="en-CA"/>
        </w:rPr>
        <w:t xml:space="preserve"> these factors and others commonly function to prevent partners who otherwise operate as a family unit from formally marrying.  In short, marital status often lies beyond the individual’s effective control. </w:t>
      </w:r>
      <w:r w:rsidR="004862B9" w:rsidRPr="00A127B4">
        <w:t>[para. 153]</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recognition of marital status as an analogous ground was a recognition of the complex and mutual nature of the decision to marry and the myriad factors at play in that decision.  It was also an acknowledgment that the decision to live together as unmarried spouses may not in fact be a choice at all.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I would make one further observation about the narrative of the treatment of </w:t>
      </w:r>
      <w:r w:rsidRPr="00A127B4">
        <w:rPr>
          <w:rFonts w:cs="Times New Roman"/>
          <w:i/>
        </w:rPr>
        <w:t xml:space="preserve">de facto </w:t>
      </w:r>
      <w:r w:rsidRPr="00A127B4">
        <w:rPr>
          <w:rFonts w:cs="Times New Roman"/>
        </w:rPr>
        <w:t xml:space="preserve">or common law unions in Canada.  As part of the acceptance of marital status as an analogous ground in </w:t>
      </w:r>
      <w:r w:rsidRPr="00A127B4">
        <w:rPr>
          <w:rFonts w:cs="Times New Roman"/>
          <w:i/>
        </w:rPr>
        <w:t>Miron</w:t>
      </w:r>
      <w:r w:rsidRPr="00A127B4">
        <w:rPr>
          <w:rFonts w:cs="Times New Roman"/>
        </w:rPr>
        <w:t xml:space="preserve">, McLachlin J. recognized that unmarried spouses have faced historical disadvantage stemming from societal prejudice.  She acknowledged that this disadvantage has faded as attitudes have changed, but nonetheless concluded that “the historical disadvantage associated with this group cannot be denied” (para. 152), a significant reminder that there has rarely been, in our lifetime, a bright line demarcating the successful evolution of an historically disadvantaged group into a barrier-free reality.  </w:t>
      </w:r>
      <w:r w:rsidRPr="00A127B4">
        <w:rPr>
          <w:rFonts w:cs="Times New Roman"/>
          <w:lang w:val="en-US"/>
        </w:rPr>
        <w:t xml:space="preserve">The fact that society appears to have attenuated overtly discriminatory attitudes it once held towards a group does not mean that there is no continuing discriminatory conduct, however benignly or unconsciously motivated.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val="en-US"/>
        </w:rPr>
        <w:t xml:space="preserve">This is the </w:t>
      </w:r>
      <w:r w:rsidRPr="00F81B96">
        <w:rPr>
          <w:rFonts w:cs="Times New Roman"/>
        </w:rPr>
        <w:t>history</w:t>
      </w:r>
      <w:r w:rsidRPr="00A127B4">
        <w:rPr>
          <w:rFonts w:cs="Times New Roman"/>
          <w:lang w:val="en-US"/>
        </w:rPr>
        <w:t xml:space="preserve"> that animates our s. 15 inquiry.  In </w:t>
      </w:r>
      <w:r w:rsidRPr="00A127B4">
        <w:rPr>
          <w:rFonts w:cs="Times New Roman"/>
          <w:i/>
        </w:rPr>
        <w:t>R. v. Kapp</w:t>
      </w:r>
      <w:r w:rsidRPr="00A127B4">
        <w:rPr>
          <w:rFonts w:cs="Times New Roman"/>
        </w:rPr>
        <w:t>, [2008] 2 S.C.R. 483</w:t>
      </w:r>
      <w:r w:rsidRPr="00A127B4">
        <w:rPr>
          <w:rFonts w:cs="Times New Roman"/>
          <w:lang w:val="en-US"/>
        </w:rPr>
        <w:t xml:space="preserve">, this </w:t>
      </w:r>
      <w:r w:rsidRPr="00A127B4">
        <w:rPr>
          <w:rFonts w:cs="Times New Roman"/>
        </w:rPr>
        <w:t xml:space="preserve">Court reaffirmed its commitment to the test that was set out in </w:t>
      </w:r>
      <w:r w:rsidRPr="00A127B4">
        <w:rPr>
          <w:rFonts w:cs="Times New Roman"/>
          <w:i/>
        </w:rPr>
        <w:t>Andrews v.</w:t>
      </w:r>
      <w:r w:rsidRPr="00A127B4">
        <w:rPr>
          <w:rFonts w:cs="Times New Roman"/>
        </w:rPr>
        <w:t xml:space="preserve"> </w:t>
      </w:r>
      <w:r w:rsidRPr="00A127B4">
        <w:rPr>
          <w:rFonts w:cs="Times New Roman"/>
          <w:i/>
          <w:lang w:val="en-US"/>
        </w:rPr>
        <w:t>Law Society of British Columbia</w:t>
      </w:r>
      <w:r w:rsidRPr="00A127B4">
        <w:rPr>
          <w:rFonts w:cs="Times New Roman"/>
          <w:lang w:val="en-US"/>
        </w:rPr>
        <w:t xml:space="preserve">, [1989] 1 S.C.R. 143, whereby s. 15 was seen as an anti-discrimination provision.  </w:t>
      </w:r>
      <w:r w:rsidRPr="00A127B4">
        <w:rPr>
          <w:rFonts w:cs="Times New Roman"/>
        </w:rPr>
        <w:t xml:space="preserve">Building on the human rights decisions in </w:t>
      </w:r>
      <w:r w:rsidRPr="00A127B4">
        <w:rPr>
          <w:rFonts w:cs="Times New Roman"/>
          <w:i/>
        </w:rPr>
        <w:t>Ontario Human Rights Commission v. Simpsons-Sears Ltd.</w:t>
      </w:r>
      <w:r w:rsidRPr="00A127B4">
        <w:rPr>
          <w:rFonts w:cs="Times New Roman"/>
        </w:rPr>
        <w:t xml:space="preserve">, [1985] 2 S.C.R. 536, at p. 551, and </w:t>
      </w:r>
      <w:r w:rsidRPr="00A127B4">
        <w:rPr>
          <w:rFonts w:cs="Times New Roman"/>
          <w:i/>
        </w:rPr>
        <w:t>Canadian National Railway Co. v. Canada (Canadian Human Rights Commission)</w:t>
      </w:r>
      <w:r w:rsidRPr="00A127B4">
        <w:rPr>
          <w:rFonts w:cs="Times New Roman"/>
        </w:rPr>
        <w:t>, [1987] 1 S.C.R. 1114 (“</w:t>
      </w:r>
      <w:r w:rsidRPr="00A127B4">
        <w:rPr>
          <w:rFonts w:cs="Times New Roman"/>
          <w:i/>
        </w:rPr>
        <w:t>Action Travail</w:t>
      </w:r>
      <w:r w:rsidRPr="00A127B4">
        <w:rPr>
          <w:rFonts w:cs="Times New Roman"/>
        </w:rPr>
        <w:t xml:space="preserve">”), McIntyre J., in </w:t>
      </w:r>
      <w:r w:rsidRPr="00A127B4">
        <w:rPr>
          <w:rFonts w:cs="Times New Roman"/>
          <w:i/>
        </w:rPr>
        <w:t>Andrews</w:t>
      </w:r>
      <w:r w:rsidRPr="00A127B4">
        <w:rPr>
          <w:rFonts w:cs="Times New Roman"/>
        </w:rPr>
        <w:t>, noted that</w:t>
      </w:r>
    </w:p>
    <w:p w:rsidR="004862B9" w:rsidRPr="00851923" w:rsidRDefault="004862B9" w:rsidP="004862B9">
      <w:pPr>
        <w:pStyle w:val="Citation-AltC"/>
        <w:rPr>
          <w:lang w:val="en-CA"/>
        </w:rPr>
      </w:pPr>
      <w:r w:rsidRPr="00851923">
        <w:rPr>
          <w:lang w:val="en-CA"/>
        </w:rPr>
        <w:t xml:space="preserve">the main consideration must be </w:t>
      </w:r>
      <w:r w:rsidRPr="00851923">
        <w:rPr>
          <w:i/>
          <w:lang w:val="en-CA"/>
        </w:rPr>
        <w:t>the impact</w:t>
      </w:r>
      <w:r w:rsidRPr="00851923">
        <w:rPr>
          <w:lang w:val="en-CA"/>
        </w:rPr>
        <w:t xml:space="preserve"> of the law on the individual or the group concerned.  Recognizing that there will always be an infinite variety of personal characteristics, capacities, entitlements and merits among those subject to a law, there must be accorded, as nearly as may be possible, an equality of benefit and protection and no more of the restrictions, penalties or burdens imposed upon one than another. [</w:t>
      </w:r>
      <w:r w:rsidR="005743B2">
        <w:rPr>
          <w:lang w:val="en-CA"/>
        </w:rPr>
        <w:t xml:space="preserve">Emphasis added; </w:t>
      </w:r>
      <w:r w:rsidRPr="00851923">
        <w:rPr>
          <w:lang w:val="en-CA"/>
        </w:rPr>
        <w:t>p. 165</w:t>
      </w:r>
      <w:r w:rsidR="005743B2">
        <w:rPr>
          <w:lang w:val="en-CA"/>
        </w:rPr>
        <w:t>.</w:t>
      </w:r>
      <w:r w:rsidRPr="00851923">
        <w:rPr>
          <w:lang w:val="en-CA"/>
        </w:rPr>
        <w:t>]</w:t>
      </w:r>
    </w:p>
    <w:p w:rsidR="004862B9" w:rsidRPr="00A127B4" w:rsidRDefault="004862B9" w:rsidP="004862B9">
      <w:pPr>
        <w:pStyle w:val="ContinueParaSuitedupar-AltP"/>
        <w:rPr>
          <w:rFonts w:cs="Times New Roman"/>
        </w:rPr>
      </w:pPr>
      <w:r w:rsidRPr="00A127B4">
        <w:rPr>
          <w:rFonts w:cs="Times New Roman"/>
        </w:rPr>
        <w:t>He identified the purpose of the equality provision and anti-discrimination law in general, as being to eliminate the exclusionary barriers faced by individuals in the enumerated or analogous groups in gaining meaningful access to what is generally available.</w:t>
      </w: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i/>
          <w:lang w:val="en-US"/>
        </w:rPr>
        <w:t>Andrews</w:t>
      </w:r>
      <w:r w:rsidRPr="00A127B4">
        <w:rPr>
          <w:rFonts w:cs="Times New Roman"/>
          <w:lang w:val="en-US"/>
        </w:rPr>
        <w:t xml:space="preserve"> involved a British citizen who challenged the citizenship requirement for admission to the British Columbia bar under the </w:t>
      </w:r>
      <w:r w:rsidRPr="00A127B4">
        <w:rPr>
          <w:rFonts w:cs="Times New Roman"/>
          <w:i/>
          <w:lang w:val="en-US"/>
        </w:rPr>
        <w:t>Barristers and Solicitors Act</w:t>
      </w:r>
      <w:r w:rsidRPr="00A127B4">
        <w:rPr>
          <w:rFonts w:cs="Times New Roman"/>
          <w:lang w:val="en-US"/>
        </w:rPr>
        <w:t>, R.S.B.C. 1979, c. 26.  He succeeded because the requirement was found to have drawn a distinction based on an enumerated ground — national origin — and because that distinction resulted in an additional</w:t>
      </w:r>
      <w:r w:rsidR="005743B2">
        <w:rPr>
          <w:rFonts w:cs="Times New Roman"/>
          <w:lang w:val="en-US"/>
        </w:rPr>
        <w:t xml:space="preserve"> burden on non-citizens, namely</w:t>
      </w:r>
      <w:r w:rsidRPr="00A127B4">
        <w:rPr>
          <w:rFonts w:cs="Times New Roman"/>
          <w:lang w:val="en-US"/>
        </w:rPr>
        <w:t xml:space="preserve"> a delay of several years before they could become entitled to p</w:t>
      </w:r>
      <w:r w:rsidR="005743B2">
        <w:rPr>
          <w:rFonts w:cs="Times New Roman"/>
          <w:lang w:val="en-US"/>
        </w:rPr>
        <w:t>ractis</w:t>
      </w:r>
      <w:r w:rsidRPr="00A127B4">
        <w:rPr>
          <w:rFonts w:cs="Times New Roman"/>
          <w:lang w:val="en-US"/>
        </w:rPr>
        <w:t xml:space="preserve">e law.  The government’s justification was evaluated under s. 1 of the </w:t>
      </w:r>
      <w:r w:rsidRPr="00A127B4">
        <w:rPr>
          <w:rFonts w:cs="Times New Roman"/>
          <w:i/>
          <w:lang w:val="en-US"/>
        </w:rPr>
        <w:t>Charter</w:t>
      </w:r>
      <w:r w:rsidRPr="00A127B4">
        <w:rPr>
          <w:rFonts w:cs="Times New Roman"/>
          <w:lang w:val="en-US"/>
        </w:rPr>
        <w:t xml:space="preserve">. </w:t>
      </w: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lang w:val="en-US"/>
        </w:rPr>
        <w:t xml:space="preserve">McIntyre J.’s approach in </w:t>
      </w:r>
      <w:r w:rsidRPr="00A127B4">
        <w:rPr>
          <w:rFonts w:cs="Times New Roman"/>
          <w:i/>
          <w:lang w:val="en-US"/>
        </w:rPr>
        <w:t>Andrews</w:t>
      </w:r>
      <w:r w:rsidRPr="00A127B4">
        <w:rPr>
          <w:rFonts w:cs="Times New Roman"/>
          <w:lang w:val="en-US"/>
        </w:rPr>
        <w:t xml:space="preserve"> had several important features.  First, it stipulated that “[t]he analysis of discrimination . . . must take place within the context of the enumerated grounds and those analogous to them” (p. 180).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val="en-US"/>
        </w:rPr>
        <w:t xml:space="preserve">Second, the words “without discrimination” require more than a mere distinction in the treatment given to different groups or individuals.  Instead, McIntyre J. found that those words were a form of qualifier built into s. 15 which limits the distinctions forbidden by the section to “those which involve </w:t>
      </w:r>
      <w:r w:rsidRPr="00A127B4">
        <w:rPr>
          <w:rFonts w:cs="Times New Roman"/>
          <w:i/>
          <w:lang w:val="en-US"/>
        </w:rPr>
        <w:t>prejudice or disadvantage</w:t>
      </w:r>
      <w:r w:rsidRPr="00A127B4">
        <w:rPr>
          <w:rFonts w:cs="Times New Roman"/>
          <w:lang w:val="en-US"/>
        </w:rPr>
        <w:t xml:space="preserve">” (p. 181 (emphasis added)).  McIntyre J.’s definition of discrimination contains the following statement about what constitutes “disadvantage”: </w:t>
      </w:r>
    </w:p>
    <w:p w:rsidR="004862B9" w:rsidRPr="00A127B4" w:rsidRDefault="004862B9" w:rsidP="004862B9">
      <w:pPr>
        <w:pStyle w:val="Citation-AltC"/>
        <w:rPr>
          <w:lang w:val="en-US"/>
        </w:rPr>
      </w:pPr>
      <w:r w:rsidRPr="00851923">
        <w:rPr>
          <w:lang w:val="en-CA"/>
        </w:rPr>
        <w:t xml:space="preserve">. . . discrimination may be described as a distinction, whether intentional or not but based on grounds relating to personal characteristics of the individual or group, which has </w:t>
      </w:r>
      <w:r w:rsidRPr="00851923">
        <w:rPr>
          <w:i/>
          <w:lang w:val="en-CA"/>
        </w:rPr>
        <w:t>the effect of imposing burdens, obligations, or disadvantages on such individual or group not imposed upon others, or which withholds or limits access to opportunities, benefits, and advantages available to other members of society</w:t>
      </w:r>
      <w:r w:rsidRPr="00851923">
        <w:rPr>
          <w:lang w:val="en-CA"/>
        </w:rPr>
        <w:t xml:space="preserve">. </w:t>
      </w:r>
      <w:r w:rsidRPr="00A127B4">
        <w:t xml:space="preserve">[Emphasis added; </w:t>
      </w:r>
      <w:r w:rsidRPr="00A127B4">
        <w:rPr>
          <w:lang w:val="en-US"/>
        </w:rPr>
        <w:t>p. 174.]</w:t>
      </w: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lang w:val="en-US"/>
        </w:rPr>
        <w:t xml:space="preserve">In sum, the claimant’s burden under the </w:t>
      </w:r>
      <w:r w:rsidRPr="00A127B4">
        <w:rPr>
          <w:rFonts w:cs="Times New Roman"/>
          <w:i/>
          <w:lang w:val="en-US"/>
        </w:rPr>
        <w:t xml:space="preserve">Andrews </w:t>
      </w:r>
      <w:r w:rsidRPr="00A127B4">
        <w:rPr>
          <w:rFonts w:cs="Times New Roman"/>
          <w:lang w:val="en-US"/>
        </w:rPr>
        <w:t>test is to show that the government has made a distinction based on an enumerated or analogous ground and that the distinction’s impact on the individual or group perpetuates disadvantage.  If this</w:t>
      </w:r>
      <w:r w:rsidRPr="00A127B4">
        <w:rPr>
          <w:rFonts w:cs="Times New Roman"/>
          <w:b/>
          <w:lang w:val="en-US"/>
        </w:rPr>
        <w:t xml:space="preserve"> </w:t>
      </w:r>
      <w:r w:rsidRPr="00A127B4">
        <w:rPr>
          <w:rFonts w:cs="Times New Roman"/>
          <w:lang w:val="en-US"/>
        </w:rPr>
        <w:t xml:space="preserve">has been demonstrated, the burden shifts to the government to justify the reasonableness of the distinction under s. 1. As McIntyre J. explained, “any justification, any consideration of the reasonableness of the enactment; indeed, any consideration of factors which could justify the discrimination and support the constitutionality of the impugned enactment would take place under s. 1” (p. 182).  </w:t>
      </w: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i/>
          <w:lang w:val="en-US"/>
        </w:rPr>
        <w:t>Kapp</w:t>
      </w:r>
      <w:r w:rsidRPr="00A127B4">
        <w:rPr>
          <w:rFonts w:cs="Times New Roman"/>
          <w:lang w:val="en-US"/>
        </w:rPr>
        <w:t xml:space="preserve">, and later </w:t>
      </w:r>
      <w:r w:rsidRPr="00A127B4">
        <w:rPr>
          <w:rFonts w:cs="Times New Roman"/>
          <w:i/>
          <w:lang w:val="en-US"/>
        </w:rPr>
        <w:t>Withler v. Canada (Attorney General)</w:t>
      </w:r>
      <w:r w:rsidRPr="00A127B4">
        <w:rPr>
          <w:rFonts w:cs="Times New Roman"/>
          <w:lang w:val="en-US"/>
        </w:rPr>
        <w:t xml:space="preserve">, [2011] 1 S.C.R. 396, restated these principles as follows: </w:t>
      </w:r>
      <w:r w:rsidRPr="00A127B4">
        <w:rPr>
          <w:rFonts w:cs="Times New Roman"/>
        </w:rPr>
        <w:t>(1) Does the law create a distinction based on an enumerated or analogous ground?  (2) Does the distinction create a disadvantage by perpetuating prejudice or stereotyping? (</w:t>
      </w:r>
      <w:r w:rsidRPr="00A127B4">
        <w:rPr>
          <w:rFonts w:cs="Times New Roman"/>
          <w:i/>
        </w:rPr>
        <w:t>Kapp</w:t>
      </w:r>
      <w:r w:rsidRPr="00A127B4">
        <w:rPr>
          <w:rFonts w:cs="Times New Roman"/>
        </w:rPr>
        <w:t>,</w:t>
      </w:r>
      <w:r w:rsidRPr="00A127B4">
        <w:rPr>
          <w:rFonts w:cs="Times New Roman"/>
          <w:i/>
        </w:rPr>
        <w:t xml:space="preserve"> </w:t>
      </w:r>
      <w:r w:rsidRPr="00A127B4">
        <w:rPr>
          <w:rFonts w:cs="Times New Roman"/>
        </w:rPr>
        <w:t xml:space="preserve">at para. 17; </w:t>
      </w:r>
      <w:r w:rsidRPr="00A127B4">
        <w:rPr>
          <w:rFonts w:cs="Times New Roman"/>
          <w:i/>
        </w:rPr>
        <w:t>Withler</w:t>
      </w:r>
      <w:r w:rsidRPr="00A127B4">
        <w:rPr>
          <w:rFonts w:cs="Times New Roman"/>
        </w:rPr>
        <w:t>,</w:t>
      </w:r>
      <w:r w:rsidRPr="00A127B4">
        <w:rPr>
          <w:rFonts w:cs="Times New Roman"/>
          <w:i/>
        </w:rPr>
        <w:t xml:space="preserve"> </w:t>
      </w:r>
      <w:r w:rsidRPr="00A127B4">
        <w:rPr>
          <w:rFonts w:cs="Times New Roman"/>
        </w:rPr>
        <w:t xml:space="preserve">at para. 30).  As the Court stated in </w:t>
      </w:r>
      <w:r w:rsidRPr="00A127B4">
        <w:rPr>
          <w:rFonts w:cs="Times New Roman"/>
          <w:i/>
        </w:rPr>
        <w:t>Withler</w:t>
      </w:r>
      <w:r w:rsidRPr="00A127B4">
        <w:rPr>
          <w:rFonts w:cs="Times New Roman"/>
        </w:rPr>
        <w:t xml:space="preserve">:  </w:t>
      </w:r>
    </w:p>
    <w:p w:rsidR="004862B9" w:rsidRPr="00A127B4" w:rsidRDefault="004862B9" w:rsidP="004862B9">
      <w:pPr>
        <w:pStyle w:val="Citation-AltC"/>
        <w:rPr>
          <w:i/>
        </w:rPr>
      </w:pPr>
      <w:r w:rsidRPr="00851923">
        <w:rPr>
          <w:lang w:val="en-CA"/>
        </w:rPr>
        <w:t>The focus of the inquiry is on the actual impact of the impugned law, taking full account of social, political, economic and historical factors concerning the group.</w:t>
      </w:r>
      <w:r w:rsidRPr="00851923">
        <w:rPr>
          <w:i/>
          <w:lang w:val="en-CA"/>
        </w:rPr>
        <w:t xml:space="preserve">  </w:t>
      </w:r>
      <w:r w:rsidRPr="00A127B4">
        <w:t>[para. 39]</w:t>
      </w:r>
    </w:p>
    <w:p w:rsidR="004862B9" w:rsidRPr="00A127B4" w:rsidRDefault="004862B9" w:rsidP="00F81B96">
      <w:pPr>
        <w:pStyle w:val="ParaNoNdepar-AltN"/>
        <w:tabs>
          <w:tab w:val="clear" w:pos="1166"/>
          <w:tab w:val="num" w:pos="1152"/>
          <w:tab w:val="num" w:pos="1242"/>
        </w:tabs>
        <w:ind w:left="0"/>
        <w:rPr>
          <w:rFonts w:cs="Times New Roman"/>
          <w:lang w:val="en-US" w:bidi="en-US"/>
        </w:rPr>
      </w:pPr>
      <w:r w:rsidRPr="00A127B4">
        <w:rPr>
          <w:rFonts w:cs="Times New Roman"/>
          <w:lang w:val="en-US" w:bidi="en-US"/>
        </w:rPr>
        <w:t xml:space="preserve">In </w:t>
      </w:r>
      <w:r w:rsidRPr="00A127B4">
        <w:rPr>
          <w:rFonts w:cs="Times New Roman"/>
          <w:lang w:val="en-US"/>
        </w:rPr>
        <w:t>referring</w:t>
      </w:r>
      <w:r w:rsidRPr="00A127B4">
        <w:rPr>
          <w:rFonts w:cs="Times New Roman"/>
          <w:lang w:val="en-US" w:bidi="en-US"/>
        </w:rPr>
        <w:t xml:space="preserve"> to prejudice and stereotyping in the second step of the </w:t>
      </w:r>
      <w:r w:rsidRPr="00A127B4">
        <w:rPr>
          <w:rFonts w:cs="Times New Roman"/>
          <w:i/>
          <w:lang w:val="en-US" w:bidi="en-US"/>
        </w:rPr>
        <w:t xml:space="preserve">Kapp </w:t>
      </w:r>
      <w:r w:rsidRPr="00A127B4">
        <w:rPr>
          <w:rFonts w:cs="Times New Roman"/>
          <w:lang w:val="en-US" w:bidi="en-US"/>
        </w:rPr>
        <w:t xml:space="preserve">reformulation of the </w:t>
      </w:r>
      <w:r w:rsidRPr="00A127B4">
        <w:rPr>
          <w:rFonts w:cs="Times New Roman"/>
          <w:i/>
          <w:lang w:val="en-US" w:bidi="en-US"/>
        </w:rPr>
        <w:t>Andrews</w:t>
      </w:r>
      <w:r w:rsidRPr="00A127B4">
        <w:rPr>
          <w:rFonts w:cs="Times New Roman"/>
          <w:lang w:val="en-US" w:bidi="en-US"/>
        </w:rPr>
        <w:t xml:space="preserve"> test, the Court was not purporting to create a new s. 15 test.  </w:t>
      </w:r>
      <w:r w:rsidRPr="00A127B4">
        <w:rPr>
          <w:rFonts w:cs="Times New Roman"/>
          <w:i/>
          <w:lang w:val="en-US" w:bidi="en-US"/>
        </w:rPr>
        <w:t>Withler</w:t>
      </w:r>
      <w:r w:rsidRPr="00A127B4">
        <w:rPr>
          <w:rFonts w:cs="Times New Roman"/>
          <w:lang w:val="en-US" w:bidi="en-US"/>
        </w:rPr>
        <w:t xml:space="preserve"> is clear that “[a]t the end of the day there is </w:t>
      </w:r>
      <w:r w:rsidRPr="00A127B4">
        <w:rPr>
          <w:rFonts w:cs="Times New Roman"/>
          <w:i/>
          <w:lang w:val="en-US" w:bidi="en-US"/>
        </w:rPr>
        <w:t>only one question</w:t>
      </w:r>
      <w:r w:rsidRPr="00A127B4">
        <w:rPr>
          <w:rFonts w:cs="Times New Roman"/>
          <w:lang w:val="en-US" w:bidi="en-US"/>
        </w:rPr>
        <w:t xml:space="preserve">: Does the challenged law violate the norm of substantive equality in s. 15(1) of the </w:t>
      </w:r>
      <w:r w:rsidRPr="00A127B4">
        <w:rPr>
          <w:rFonts w:cs="Times New Roman"/>
          <w:i/>
          <w:lang w:val="en-US" w:bidi="en-US"/>
        </w:rPr>
        <w:t>Charter</w:t>
      </w:r>
      <w:r w:rsidRPr="00A127B4">
        <w:rPr>
          <w:rFonts w:cs="Times New Roman"/>
          <w:lang w:val="en-US" w:bidi="en-US"/>
        </w:rPr>
        <w:t xml:space="preserve">?” (para. 2 (emphasis added)).  Prejudice and stereotyping are two of the indicia that may help answer that question; they are not discrete elements of the test which the claimant is obliged to demonstrate, as Professor </w:t>
      </w:r>
      <w:r w:rsidRPr="00A127B4">
        <w:rPr>
          <w:rFonts w:cs="Times New Roman"/>
        </w:rPr>
        <w:t>Sophia Moreau explains:</w:t>
      </w:r>
    </w:p>
    <w:p w:rsidR="004862B9" w:rsidRPr="00851923" w:rsidRDefault="004862B9" w:rsidP="004862B9">
      <w:pPr>
        <w:pStyle w:val="Citation-AltC"/>
        <w:rPr>
          <w:lang w:val="en-CA"/>
        </w:rPr>
      </w:pPr>
      <w:r w:rsidRPr="00851923">
        <w:rPr>
          <w:lang w:val="en-CA"/>
        </w:rPr>
        <w:t xml:space="preserve">Such a narrow interpretation will likely have the unfortunate effect of blinding us to other ways in which individuals and groups, that have suffered serious and long-standing disadvantage, can be discriminated against. This would include cases, for instance, that do not involve either overt prejudice or false stereotyping, but do involve oppression or unfair dominance of one group by another, or involve a denial to one group of goods that seem basic or necessary for full participation in Canadian society. </w:t>
      </w:r>
    </w:p>
    <w:p w:rsidR="004862B9" w:rsidRPr="00851923" w:rsidRDefault="004862B9" w:rsidP="004862B9">
      <w:pPr>
        <w:pStyle w:val="Citation-AltC"/>
        <w:rPr>
          <w:lang w:val="en-CA"/>
        </w:rPr>
      </w:pPr>
    </w:p>
    <w:p w:rsidR="004862B9" w:rsidRPr="00851923" w:rsidRDefault="004862B9" w:rsidP="009F3D49">
      <w:pPr>
        <w:pStyle w:val="Citation-AltC"/>
        <w:ind w:left="0"/>
        <w:rPr>
          <w:lang w:val="en-CA"/>
        </w:rPr>
      </w:pPr>
      <w:r w:rsidRPr="00851923">
        <w:rPr>
          <w:lang w:val="en-CA"/>
        </w:rPr>
        <w:t>(“</w:t>
      </w:r>
      <w:r w:rsidRPr="00851923">
        <w:rPr>
          <w:i/>
          <w:lang w:val="en-CA"/>
        </w:rPr>
        <w:t>R.</w:t>
      </w:r>
      <w:r w:rsidRPr="00851923">
        <w:rPr>
          <w:lang w:val="en-CA"/>
        </w:rPr>
        <w:t xml:space="preserve"> </w:t>
      </w:r>
      <w:r w:rsidRPr="00851923">
        <w:rPr>
          <w:i/>
          <w:lang w:val="en-CA"/>
        </w:rPr>
        <w:t>v.</w:t>
      </w:r>
      <w:r w:rsidRPr="00851923">
        <w:rPr>
          <w:lang w:val="en-CA"/>
        </w:rPr>
        <w:t xml:space="preserve"> </w:t>
      </w:r>
      <w:r w:rsidRPr="00851923">
        <w:rPr>
          <w:i/>
          <w:lang w:val="en-CA"/>
        </w:rPr>
        <w:t>Kapp</w:t>
      </w:r>
      <w:r w:rsidRPr="00851923">
        <w:rPr>
          <w:lang w:val="en-CA"/>
        </w:rPr>
        <w:t xml:space="preserve">: New Directions for Section 15” (2008-2009), 40 </w:t>
      </w:r>
      <w:r w:rsidRPr="00851923">
        <w:rPr>
          <w:i/>
          <w:lang w:val="en-CA"/>
        </w:rPr>
        <w:t xml:space="preserve">Ottawa L. Rev. </w:t>
      </w:r>
      <w:r w:rsidRPr="00851923">
        <w:rPr>
          <w:lang w:val="en-CA"/>
        </w:rPr>
        <w:t>283,</w:t>
      </w:r>
      <w:r w:rsidRPr="00851923">
        <w:rPr>
          <w:i/>
          <w:lang w:val="en-CA"/>
        </w:rPr>
        <w:t xml:space="preserve"> </w:t>
      </w:r>
      <w:r w:rsidRPr="00851923">
        <w:rPr>
          <w:lang w:val="en-CA"/>
        </w:rPr>
        <w:t>at p. 292)</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val="en-US"/>
        </w:rPr>
        <w:t xml:space="preserve">Prejudice is the holding of pejorative attitudes based on strongly held views about the appropriate capacities or limits of individuals or the groups of which they are a member.  </w:t>
      </w:r>
      <w:r w:rsidRPr="00A127B4">
        <w:rPr>
          <w:rFonts w:cs="Times New Roman"/>
        </w:rPr>
        <w:t>Stereotyping, like prejudice, is a disadvantaging attitude, but one that attributes characteristics to members of a group regardless of their actual capacities. Attitudes of prejudice</w:t>
      </w:r>
      <w:r w:rsidRPr="00A127B4">
        <w:rPr>
          <w:rFonts w:cs="Times New Roman"/>
          <w:lang w:val="en-US" w:bidi="en-US"/>
        </w:rPr>
        <w:t xml:space="preserve"> and stereotyping can undoubtedly lead to discriminatory conduct, and </w:t>
      </w:r>
      <w:r w:rsidRPr="00A127B4">
        <w:rPr>
          <w:rFonts w:cs="Times New Roman"/>
        </w:rPr>
        <w:t>discriminatory conduct in turn can reinforce these negative attitudes, since “the very exclusion of the disadvantaged group</w:t>
      </w:r>
      <w:r w:rsidR="005743B2">
        <w:rPr>
          <w:rFonts w:cs="Times New Roman"/>
        </w:rPr>
        <w:t xml:space="preserve"> </w:t>
      </w:r>
      <w:r w:rsidRPr="00A127B4">
        <w:rPr>
          <w:rFonts w:cs="Times New Roman"/>
        </w:rPr>
        <w:t>. . .  fosters the belief, both within and outside the group, that the exclusion is the result of ‘natural’ forces, for example, that women ‘just can’t do the job’” (</w:t>
      </w:r>
      <w:r w:rsidRPr="00A127B4">
        <w:rPr>
          <w:rFonts w:cs="Times New Roman"/>
          <w:i/>
        </w:rPr>
        <w:t>Action Travail</w:t>
      </w:r>
      <w:r w:rsidRPr="00A127B4">
        <w:rPr>
          <w:rFonts w:cs="Times New Roman"/>
        </w:rPr>
        <w:t>, at p. 1139</w:t>
      </w:r>
      <w:r w:rsidRPr="00A127B4">
        <w:rPr>
          <w:rFonts w:cs="Times New Roman"/>
          <w:lang w:bidi="en-US"/>
        </w:rPr>
        <w:t>).  As Walter Tarnopolsky observed:</w:t>
      </w:r>
      <w:r w:rsidRPr="00A127B4">
        <w:rPr>
          <w:rFonts w:cs="Times New Roman"/>
        </w:rPr>
        <w:t xml:space="preserve"> </w:t>
      </w:r>
    </w:p>
    <w:p w:rsidR="004862B9" w:rsidRPr="00851923" w:rsidRDefault="004862B9" w:rsidP="004862B9">
      <w:pPr>
        <w:pStyle w:val="Citation-AltC"/>
        <w:rPr>
          <w:lang w:val="en-CA"/>
        </w:rPr>
      </w:pPr>
      <w:r w:rsidRPr="00851923">
        <w:rPr>
          <w:lang w:val="en-CA"/>
        </w:rPr>
        <w:t xml:space="preserve">. . . it is the overt act and not the thought which is prohibited and, as a natural consequence thereof, in many cases action could be contrary to human rights legislation even in the absence of a discriminatory intent, if its </w:t>
      </w:r>
      <w:r w:rsidRPr="00851923">
        <w:rPr>
          <w:i/>
          <w:lang w:val="en-CA"/>
        </w:rPr>
        <w:t>effect</w:t>
      </w:r>
      <w:r w:rsidRPr="00851923">
        <w:rPr>
          <w:lang w:val="en-CA"/>
        </w:rPr>
        <w:t xml:space="preserve"> is discriminatory. [Emphasis in original.]</w:t>
      </w:r>
    </w:p>
    <w:p w:rsidR="004862B9" w:rsidRPr="00851923" w:rsidRDefault="004862B9" w:rsidP="004862B9">
      <w:pPr>
        <w:pStyle w:val="Citation-AltC"/>
        <w:rPr>
          <w:lang w:val="en-CA"/>
        </w:rPr>
      </w:pPr>
    </w:p>
    <w:p w:rsidR="004862B9" w:rsidRPr="00851923" w:rsidRDefault="004862B9" w:rsidP="009B56EB">
      <w:pPr>
        <w:pStyle w:val="Citation-AltC"/>
        <w:ind w:left="0"/>
        <w:rPr>
          <w:lang w:val="en-CA"/>
        </w:rPr>
      </w:pPr>
      <w:r w:rsidRPr="00851923">
        <w:rPr>
          <w:lang w:val="en-CA"/>
        </w:rPr>
        <w:t>(</w:t>
      </w:r>
      <w:r w:rsidRPr="00851923">
        <w:rPr>
          <w:i/>
          <w:lang w:val="en-CA"/>
        </w:rPr>
        <w:t xml:space="preserve">Discrimination and The Law in Canada </w:t>
      </w:r>
      <w:r w:rsidRPr="00851923">
        <w:rPr>
          <w:lang w:val="en-CA"/>
        </w:rPr>
        <w:t xml:space="preserve">(1982), at p. 86) </w:t>
      </w:r>
    </w:p>
    <w:p w:rsidR="004862B9" w:rsidRPr="00A127B4" w:rsidRDefault="004862B9" w:rsidP="00F81B96">
      <w:pPr>
        <w:pStyle w:val="ParaNoNdepar-AltN"/>
        <w:tabs>
          <w:tab w:val="clear" w:pos="1166"/>
          <w:tab w:val="num" w:pos="1152"/>
          <w:tab w:val="num" w:pos="1242"/>
        </w:tabs>
        <w:ind w:left="0"/>
        <w:rPr>
          <w:rFonts w:cs="Times New Roman"/>
          <w:lang w:val="en-US" w:bidi="en-US"/>
        </w:rPr>
      </w:pPr>
      <w:r w:rsidRPr="00A127B4">
        <w:rPr>
          <w:rFonts w:cs="Times New Roman"/>
        </w:rPr>
        <w:t xml:space="preserve">We </w:t>
      </w:r>
      <w:r w:rsidRPr="00F81B96">
        <w:rPr>
          <w:rFonts w:cs="Times New Roman"/>
          <w:lang w:val="en-US"/>
        </w:rPr>
        <w:t>must</w:t>
      </w:r>
      <w:r w:rsidRPr="00A127B4">
        <w:rPr>
          <w:rFonts w:cs="Times New Roman"/>
        </w:rPr>
        <w:t xml:space="preserve"> be careful not to treat </w:t>
      </w:r>
      <w:r w:rsidRPr="00A127B4">
        <w:rPr>
          <w:rFonts w:cs="Times New Roman"/>
          <w:i/>
        </w:rPr>
        <w:t>Kapp</w:t>
      </w:r>
      <w:r w:rsidRPr="00A127B4">
        <w:rPr>
          <w:rFonts w:cs="Times New Roman"/>
        </w:rPr>
        <w:t xml:space="preserve"> and </w:t>
      </w:r>
      <w:r w:rsidRPr="00A127B4">
        <w:rPr>
          <w:rFonts w:cs="Times New Roman"/>
          <w:i/>
        </w:rPr>
        <w:t>Withler</w:t>
      </w:r>
      <w:r w:rsidRPr="00A127B4">
        <w:rPr>
          <w:rFonts w:cs="Times New Roman"/>
        </w:rPr>
        <w:t xml:space="preserve"> as establishing an additional requirement on s. 15 claimants to prove that a distinction will perpetuate prejudicial or stereotypical </w:t>
      </w:r>
      <w:r w:rsidRPr="00A127B4">
        <w:rPr>
          <w:rFonts w:cs="Times New Roman"/>
          <w:iCs/>
        </w:rPr>
        <w:t>attitudes</w:t>
      </w:r>
      <w:r w:rsidRPr="00A127B4">
        <w:rPr>
          <w:rFonts w:cs="Times New Roman"/>
        </w:rPr>
        <w:t xml:space="preserve"> towards them.  Such an approach improperly focuses attention on whether a discriminatory </w:t>
      </w:r>
      <w:r w:rsidRPr="00A127B4">
        <w:rPr>
          <w:rFonts w:cs="Times New Roman"/>
          <w:i/>
        </w:rPr>
        <w:t>attitude</w:t>
      </w:r>
      <w:r w:rsidRPr="00A127B4">
        <w:rPr>
          <w:rFonts w:cs="Times New Roman"/>
        </w:rPr>
        <w:t xml:space="preserve"> exists, not a discriminatory impact, contrary to </w:t>
      </w:r>
      <w:r w:rsidRPr="00A127B4">
        <w:rPr>
          <w:rFonts w:cs="Times New Roman"/>
          <w:i/>
        </w:rPr>
        <w:t>Andrews</w:t>
      </w:r>
      <w:r w:rsidRPr="00A127B4">
        <w:rPr>
          <w:rFonts w:cs="Times New Roman"/>
        </w:rPr>
        <w:t xml:space="preserve">, </w:t>
      </w:r>
      <w:r w:rsidRPr="00A127B4">
        <w:rPr>
          <w:rFonts w:cs="Times New Roman"/>
          <w:i/>
        </w:rPr>
        <w:t>Kapp</w:t>
      </w:r>
      <w:r w:rsidRPr="00A127B4">
        <w:rPr>
          <w:rFonts w:cs="Times New Roman"/>
        </w:rPr>
        <w:t xml:space="preserve"> and </w:t>
      </w:r>
      <w:r w:rsidRPr="00A127B4">
        <w:rPr>
          <w:rFonts w:cs="Times New Roman"/>
          <w:i/>
        </w:rPr>
        <w:t>Withler</w:t>
      </w:r>
      <w:r w:rsidRPr="00A127B4">
        <w:rPr>
          <w:rFonts w:cs="Times New Roman"/>
        </w:rPr>
        <w:t xml:space="preserve">. </w:t>
      </w:r>
      <w:r w:rsidRPr="00A127B4">
        <w:rPr>
          <w:rFonts w:cs="Times New Roman"/>
          <w:b/>
        </w:rPr>
        <w:t xml:space="preserve"> </w:t>
      </w:r>
      <w:r w:rsidRPr="00A127B4">
        <w:rPr>
          <w:rFonts w:cs="Times New Roman"/>
          <w:lang w:val="en-US" w:bidi="en-US"/>
        </w:rPr>
        <w:t xml:space="preserve">In explaining prejudice in </w:t>
      </w:r>
      <w:r w:rsidRPr="00A127B4">
        <w:rPr>
          <w:rFonts w:cs="Times New Roman"/>
          <w:i/>
          <w:lang w:val="en-US" w:bidi="en-US"/>
        </w:rPr>
        <w:t>Withler</w:t>
      </w:r>
      <w:r w:rsidRPr="00A127B4">
        <w:rPr>
          <w:rFonts w:cs="Times New Roman"/>
          <w:lang w:val="en-US" w:bidi="en-US"/>
        </w:rPr>
        <w:t xml:space="preserve">, the Court said: </w:t>
      </w:r>
      <w:r w:rsidR="008D4CA3">
        <w:rPr>
          <w:rFonts w:cs="Times New Roman"/>
          <w:lang w:val="en-US"/>
        </w:rPr>
        <w:t>“W</w:t>
      </w:r>
      <w:r w:rsidRPr="00A127B4">
        <w:rPr>
          <w:rFonts w:cs="Times New Roman"/>
          <w:lang w:val="en-US"/>
        </w:rPr>
        <w:t>ithout attempting to limit the factors that may be useful in assessing a claim of discrimination, it can be said that where the discriminatory effect is said to be the perpetuation of disadvantage or prejudice, evidence that goes to establishing a claimant’s historical position of disadvantage or to demonstrating existing prejudice against the claimant group, as well as the nature of the interest that is affected, w</w:t>
      </w:r>
      <w:r w:rsidR="00C0411D">
        <w:rPr>
          <w:rFonts w:cs="Times New Roman"/>
          <w:lang w:val="en-US"/>
        </w:rPr>
        <w:t xml:space="preserve">ill be considered” (para. 38). </w:t>
      </w:r>
    </w:p>
    <w:p w:rsidR="004862B9" w:rsidRPr="00A127B4" w:rsidRDefault="004862B9" w:rsidP="00F81B96">
      <w:pPr>
        <w:pStyle w:val="ParaNoNdepar-AltN"/>
        <w:tabs>
          <w:tab w:val="clear" w:pos="1166"/>
          <w:tab w:val="num" w:pos="1152"/>
          <w:tab w:val="num" w:pos="1242"/>
        </w:tabs>
        <w:ind w:left="0"/>
        <w:rPr>
          <w:rFonts w:cs="Times New Roman"/>
          <w:lang w:val="en-US" w:bidi="en-US"/>
        </w:rPr>
      </w:pPr>
      <w:r w:rsidRPr="00A127B4">
        <w:rPr>
          <w:rFonts w:cs="Times New Roman"/>
          <w:lang w:bidi="en-US"/>
        </w:rPr>
        <w:t xml:space="preserve">It is the </w:t>
      </w:r>
      <w:r w:rsidRPr="00F81B96">
        <w:rPr>
          <w:rFonts w:cs="Times New Roman"/>
          <w:lang w:val="en-US"/>
        </w:rPr>
        <w:t>discriminatory</w:t>
      </w:r>
      <w:r w:rsidRPr="00A127B4">
        <w:rPr>
          <w:rFonts w:cs="Times New Roman"/>
          <w:lang w:bidi="en-US"/>
        </w:rPr>
        <w:t xml:space="preserve"> </w:t>
      </w:r>
      <w:r w:rsidRPr="00A127B4">
        <w:rPr>
          <w:rFonts w:cs="Times New Roman"/>
          <w:i/>
          <w:lang w:bidi="en-US"/>
        </w:rPr>
        <w:t>conduct</w:t>
      </w:r>
      <w:r w:rsidRPr="00A127B4">
        <w:rPr>
          <w:rFonts w:cs="Times New Roman"/>
          <w:lang w:bidi="en-US"/>
        </w:rPr>
        <w:t xml:space="preserve"> that s. 15 seeks to prevent, not the underlying attitude or motive, as Dickson C.J. explained in </w:t>
      </w:r>
      <w:r w:rsidRPr="00A127B4">
        <w:rPr>
          <w:rFonts w:cs="Times New Roman"/>
          <w:i/>
          <w:lang w:bidi="en-US"/>
        </w:rPr>
        <w:t>Action Travail</w:t>
      </w:r>
      <w:r w:rsidRPr="00A127B4">
        <w:rPr>
          <w:rFonts w:cs="Times New Roman"/>
          <w:lang w:bidi="en-US"/>
        </w:rPr>
        <w:t>:</w:t>
      </w:r>
    </w:p>
    <w:p w:rsidR="004862B9" w:rsidRPr="00851923" w:rsidRDefault="004862B9" w:rsidP="00C0411D">
      <w:pPr>
        <w:pStyle w:val="Citation-AltC"/>
        <w:tabs>
          <w:tab w:val="left" w:pos="1620"/>
        </w:tabs>
        <w:rPr>
          <w:lang w:val="en-CA"/>
        </w:rPr>
      </w:pPr>
      <w:r w:rsidRPr="00851923">
        <w:rPr>
          <w:lang w:val="en-CA"/>
        </w:rPr>
        <w:tab/>
        <w:t xml:space="preserve">It is not a question of whether this discrimination is motivated by an intentional desire to obstruct someone’s potential, or whether it is the accidental by-product of innocently motivated practices or systems.   If the barrier is affecting certain groups in a disproportionately negative way, it is a signal that the practices that lead to this adverse impact may be discriminatory. [p. 1139, </w:t>
      </w:r>
      <w:r w:rsidRPr="00851923">
        <w:rPr>
          <w:lang w:val="en-CA" w:bidi="en-US"/>
        </w:rPr>
        <w:t xml:space="preserve">citing the </w:t>
      </w:r>
      <w:r w:rsidRPr="008D4CA3">
        <w:rPr>
          <w:i/>
          <w:lang w:val="en-CA" w:bidi="en-US"/>
        </w:rPr>
        <w:t>Report of the Commission on Equality in Employment</w:t>
      </w:r>
      <w:r w:rsidRPr="00851923">
        <w:rPr>
          <w:lang w:val="en-CA" w:bidi="en-US"/>
        </w:rPr>
        <w:t xml:space="preserve"> (1984).</w:t>
      </w:r>
      <w:r w:rsidRPr="00851923">
        <w:rPr>
          <w:lang w:val="en-CA"/>
        </w:rPr>
        <w:t xml:space="preserve">] </w:t>
      </w:r>
    </w:p>
    <w:p w:rsidR="004862B9" w:rsidRPr="00A127B4" w:rsidRDefault="004862B9" w:rsidP="004862B9">
      <w:pPr>
        <w:pStyle w:val="ContinueParaSuitedupar-AltP"/>
        <w:rPr>
          <w:rFonts w:cs="Times New Roman"/>
        </w:rPr>
      </w:pPr>
      <w:r w:rsidRPr="00A127B4">
        <w:rPr>
          <w:rFonts w:cs="Times New Roman"/>
          <w:lang w:val="en-US" w:bidi="en-US"/>
        </w:rPr>
        <w:t xml:space="preserve">This was reiterated in </w:t>
      </w:r>
      <w:r w:rsidRPr="00A127B4">
        <w:rPr>
          <w:rFonts w:cs="Times New Roman"/>
          <w:i/>
          <w:lang w:val="en-US" w:bidi="en-US"/>
        </w:rPr>
        <w:t>Withler</w:t>
      </w:r>
      <w:r w:rsidR="008D4CA3">
        <w:rPr>
          <w:rFonts w:cs="Times New Roman"/>
          <w:lang w:val="en-US" w:bidi="en-US"/>
        </w:rPr>
        <w:t>, where the Court said: “W</w:t>
      </w:r>
      <w:r w:rsidRPr="00A127B4">
        <w:rPr>
          <w:rFonts w:cs="Times New Roman"/>
          <w:lang w:val="en-US" w:bidi="en-US"/>
        </w:rPr>
        <w:t xml:space="preserve">hether the s. 15 analysis focuses on perpetuating disadvantage or stereotyping, the analysis involves looking at the circumstances of members of the group and the </w:t>
      </w:r>
      <w:r w:rsidRPr="00A127B4">
        <w:rPr>
          <w:rFonts w:cs="Times New Roman"/>
          <w:i/>
          <w:lang w:val="en-US" w:bidi="en-US"/>
        </w:rPr>
        <w:t>negative impact</w:t>
      </w:r>
      <w:r w:rsidRPr="00A127B4">
        <w:rPr>
          <w:rFonts w:cs="Times New Roman"/>
          <w:lang w:val="en-US" w:bidi="en-US"/>
        </w:rPr>
        <w:t xml:space="preserve"> of the law on them” (para. 37 (emphasis added)).</w:t>
      </w:r>
    </w:p>
    <w:p w:rsidR="004862B9" w:rsidRPr="00A127B4" w:rsidRDefault="004862B9" w:rsidP="00F81B96">
      <w:pPr>
        <w:pStyle w:val="ParaNoNdepar-AltN"/>
        <w:tabs>
          <w:tab w:val="clear" w:pos="1166"/>
          <w:tab w:val="num" w:pos="1152"/>
          <w:tab w:val="num" w:pos="1242"/>
        </w:tabs>
        <w:ind w:left="0"/>
        <w:rPr>
          <w:rFonts w:cs="Times New Roman"/>
          <w:lang w:val="en-US" w:bidi="en-US"/>
        </w:rPr>
      </w:pPr>
      <w:r w:rsidRPr="00A127B4">
        <w:rPr>
          <w:rFonts w:cs="Times New Roman"/>
        </w:rPr>
        <w:t xml:space="preserve">That was the lesson learned from the former “dignity” test from </w:t>
      </w:r>
      <w:r w:rsidRPr="00A127B4">
        <w:rPr>
          <w:rFonts w:cs="Times New Roman"/>
          <w:i/>
        </w:rPr>
        <w:t>Law v. Canada (Minister of Employment and Immigration)</w:t>
      </w:r>
      <w:r w:rsidRPr="00A127B4">
        <w:rPr>
          <w:rFonts w:cs="Times New Roman"/>
        </w:rPr>
        <w:t xml:space="preserve">, [1999] 1 S.C.R. 497, which required claimants to establish that the impugned law had “the effect of perpetuating or promoting </w:t>
      </w:r>
      <w:r w:rsidRPr="00A127B4">
        <w:rPr>
          <w:rFonts w:cs="Times New Roman"/>
          <w:i/>
        </w:rPr>
        <w:t>the view</w:t>
      </w:r>
      <w:r w:rsidRPr="00A127B4">
        <w:rPr>
          <w:rFonts w:cs="Times New Roman"/>
        </w:rPr>
        <w:t xml:space="preserve"> that the individual is less capable, or less worthy of recognition or value as a human being or as a member of Canadian society” (para. 51 (emphasis added)).  In </w:t>
      </w:r>
      <w:r w:rsidRPr="00A127B4">
        <w:rPr>
          <w:rFonts w:cs="Times New Roman"/>
          <w:i/>
        </w:rPr>
        <w:t>Kapp</w:t>
      </w:r>
      <w:r w:rsidRPr="00A127B4">
        <w:rPr>
          <w:rFonts w:cs="Times New Roman"/>
        </w:rPr>
        <w:t xml:space="preserve">, this Court recognized that “dignity” was an underlying objective of the whole </w:t>
      </w:r>
      <w:r w:rsidRPr="00A127B4">
        <w:rPr>
          <w:rFonts w:cs="Times New Roman"/>
          <w:i/>
        </w:rPr>
        <w:t>Charter</w:t>
      </w:r>
      <w:r w:rsidRPr="00A127B4">
        <w:rPr>
          <w:rFonts w:cs="Times New Roman"/>
        </w:rPr>
        <w:t xml:space="preserve">, not a discrete and additional component of the equality test that the claimant had the burden of proving:  </w:t>
      </w:r>
    </w:p>
    <w:p w:rsidR="004862B9" w:rsidRPr="00851923" w:rsidRDefault="004862B9" w:rsidP="004862B9">
      <w:pPr>
        <w:pStyle w:val="Citation-AltC"/>
        <w:rPr>
          <w:lang w:val="en-CA"/>
        </w:rPr>
      </w:pPr>
      <w:r w:rsidRPr="00851923">
        <w:rPr>
          <w:lang w:val="en-CA"/>
        </w:rPr>
        <w:t>. . . human dignity is an abstract and subjective notion that</w:t>
      </w:r>
      <w:r w:rsidR="008D4CA3">
        <w:rPr>
          <w:lang w:val="en-CA"/>
        </w:rPr>
        <w:t xml:space="preserve"> </w:t>
      </w:r>
      <w:r w:rsidRPr="00851923">
        <w:rPr>
          <w:lang w:val="en-CA"/>
        </w:rPr>
        <w:t xml:space="preserve">. . .  cannot only become confusing and difficult to apply; it has also proven to be an </w:t>
      </w:r>
      <w:r w:rsidRPr="00851923">
        <w:rPr>
          <w:i/>
          <w:lang w:val="en-CA"/>
        </w:rPr>
        <w:t xml:space="preserve">additional </w:t>
      </w:r>
      <w:r w:rsidRPr="00851923">
        <w:rPr>
          <w:lang w:val="en-CA"/>
        </w:rPr>
        <w:t>burden on equality claimants</w:t>
      </w:r>
      <w:r w:rsidR="008D4CA3">
        <w:rPr>
          <w:lang w:val="en-CA"/>
        </w:rPr>
        <w:t xml:space="preserve"> </w:t>
      </w:r>
      <w:r w:rsidRPr="00851923">
        <w:rPr>
          <w:lang w:val="en-CA"/>
        </w:rPr>
        <w:t xml:space="preserve">. . . . [Emphasis in original; para. 22.]  </w:t>
      </w:r>
    </w:p>
    <w:p w:rsidR="004862B9" w:rsidRPr="00A127B4" w:rsidRDefault="004862B9" w:rsidP="004862B9">
      <w:pPr>
        <w:pStyle w:val="ContinueParaSuitedupar-AltP"/>
        <w:rPr>
          <w:rFonts w:cs="Times New Roman"/>
          <w:lang w:val="en-US" w:bidi="en-US"/>
        </w:rPr>
      </w:pPr>
      <w:r w:rsidRPr="00A127B4">
        <w:rPr>
          <w:rFonts w:cs="Times New Roman"/>
          <w:lang w:val="en-US"/>
        </w:rPr>
        <w:t xml:space="preserve">Similarly, </w:t>
      </w:r>
      <w:r w:rsidRPr="00A127B4">
        <w:rPr>
          <w:rFonts w:cs="Times New Roman"/>
        </w:rPr>
        <w:t xml:space="preserve">prejudice and stereotyping are neither separate elements of the </w:t>
      </w:r>
      <w:r w:rsidRPr="00A127B4">
        <w:rPr>
          <w:rFonts w:cs="Times New Roman"/>
          <w:i/>
        </w:rPr>
        <w:t xml:space="preserve">Andrews </w:t>
      </w:r>
      <w:r w:rsidRPr="00A127B4">
        <w:rPr>
          <w:rFonts w:cs="Times New Roman"/>
        </w:rPr>
        <w:t>test, nor categories into which a claim of discrimination must fit.</w:t>
      </w:r>
      <w:r w:rsidRPr="00A127B4">
        <w:rPr>
          <w:rFonts w:cs="Times New Roman"/>
          <w:lang w:val="en-US" w:bidi="en-US"/>
        </w:rPr>
        <w:t xml:space="preserve">  </w:t>
      </w:r>
      <w:r w:rsidRPr="00A127B4">
        <w:rPr>
          <w:rFonts w:cs="Times New Roman"/>
        </w:rPr>
        <w:t xml:space="preserve">A claimant need not prove that a law promotes negative </w:t>
      </w:r>
      <w:r w:rsidRPr="00A127B4">
        <w:rPr>
          <w:rFonts w:cs="Times New Roman"/>
          <w:i/>
        </w:rPr>
        <w:t>attitudes</w:t>
      </w:r>
      <w:r w:rsidRPr="00A127B4">
        <w:rPr>
          <w:rFonts w:cs="Times New Roman"/>
        </w:rPr>
        <w:t xml:space="preserve">, a largely unquantifiable burden. </w:t>
      </w:r>
    </w:p>
    <w:p w:rsidR="004862B9" w:rsidRPr="00A127B4" w:rsidRDefault="004862B9" w:rsidP="00F81B96">
      <w:pPr>
        <w:pStyle w:val="ParaNoNdepar-AltN"/>
        <w:tabs>
          <w:tab w:val="clear" w:pos="1166"/>
          <w:tab w:val="num" w:pos="1152"/>
          <w:tab w:val="num" w:pos="1242"/>
        </w:tabs>
        <w:ind w:left="0"/>
        <w:rPr>
          <w:rFonts w:cs="Times New Roman"/>
          <w:lang w:val="en-US" w:bidi="en-US"/>
        </w:rPr>
      </w:pPr>
      <w:r w:rsidRPr="00A127B4">
        <w:rPr>
          <w:rFonts w:cs="Times New Roman"/>
        </w:rPr>
        <w:t xml:space="preserve">Requiring </w:t>
      </w:r>
      <w:r w:rsidRPr="00F81B96">
        <w:rPr>
          <w:rFonts w:cs="Times New Roman"/>
          <w:lang w:val="en-US"/>
        </w:rPr>
        <w:t>claimants</w:t>
      </w:r>
      <w:r w:rsidRPr="00A127B4">
        <w:rPr>
          <w:rFonts w:cs="Times New Roman"/>
        </w:rPr>
        <w:t>, therefore, to prove that a distinction perpetuates negative attitudes about them imposes a largely irrelevant, not to mention ineffable burden.</w:t>
      </w:r>
      <w:r w:rsidRPr="00A127B4">
        <w:rPr>
          <w:rFonts w:cs="Times New Roman"/>
          <w:lang w:bidi="en-US"/>
        </w:rPr>
        <w:t xml:space="preserve"> </w:t>
      </w:r>
      <w:r w:rsidRPr="00A127B4">
        <w:rPr>
          <w:rFonts w:cs="Times New Roman"/>
          <w:lang w:val="en-US" w:bidi="en-US"/>
        </w:rPr>
        <w:t xml:space="preserve"> </w:t>
      </w:r>
    </w:p>
    <w:p w:rsidR="004862B9" w:rsidRPr="00A127B4" w:rsidRDefault="004862B9" w:rsidP="00F81B96">
      <w:pPr>
        <w:pStyle w:val="ParaNoNdepar-AltN"/>
        <w:tabs>
          <w:tab w:val="clear" w:pos="1166"/>
          <w:tab w:val="num" w:pos="1152"/>
          <w:tab w:val="num" w:pos="1242"/>
        </w:tabs>
        <w:ind w:left="0"/>
        <w:rPr>
          <w:rFonts w:cs="Times New Roman"/>
          <w:lang w:val="en-US" w:bidi="en-US"/>
        </w:rPr>
      </w:pPr>
      <w:r w:rsidRPr="00A127B4">
        <w:rPr>
          <w:rFonts w:cs="Times New Roman"/>
          <w:i/>
        </w:rPr>
        <w:t xml:space="preserve">Kapp </w:t>
      </w:r>
      <w:r w:rsidRPr="00A127B4">
        <w:rPr>
          <w:rFonts w:cs="Times New Roman"/>
        </w:rPr>
        <w:t xml:space="preserve">and </w:t>
      </w:r>
      <w:r w:rsidRPr="00A127B4">
        <w:rPr>
          <w:rFonts w:cs="Times New Roman"/>
          <w:i/>
        </w:rPr>
        <w:t xml:space="preserve">Withler </w:t>
      </w:r>
      <w:r w:rsidRPr="00A127B4">
        <w:rPr>
          <w:rFonts w:cs="Times New Roman"/>
        </w:rPr>
        <w:t>guide us, as a result, to</w:t>
      </w:r>
      <w:r w:rsidRPr="00A127B4">
        <w:rPr>
          <w:rFonts w:cs="Times New Roman"/>
          <w:i/>
        </w:rPr>
        <w:t xml:space="preserve"> </w:t>
      </w:r>
      <w:r w:rsidRPr="00A127B4">
        <w:rPr>
          <w:rFonts w:cs="Times New Roman"/>
        </w:rPr>
        <w:t>a flexible and contextual inquiry into whether a distinction has the effect of perpetuating</w:t>
      </w:r>
      <w:r w:rsidRPr="00A127B4">
        <w:rPr>
          <w:rFonts w:cs="Times New Roman"/>
          <w:b/>
        </w:rPr>
        <w:t xml:space="preserve"> </w:t>
      </w:r>
      <w:r w:rsidRPr="00A127B4">
        <w:rPr>
          <w:rFonts w:cs="Times New Roman"/>
        </w:rPr>
        <w:t xml:space="preserve">arbitrary disadvantage on the claimant because of his or her membership in an enumerated or analogous group.  As </w:t>
      </w:r>
      <w:r w:rsidRPr="00A127B4">
        <w:rPr>
          <w:rFonts w:cs="Times New Roman"/>
          <w:i/>
        </w:rPr>
        <w:t>Withler</w:t>
      </w:r>
      <w:r w:rsidRPr="00A127B4">
        <w:rPr>
          <w:rFonts w:cs="Times New Roman"/>
        </w:rPr>
        <w:t xml:space="preserve"> makes clear, the contextual factors will vary from case to case — there is no “rigid template”:</w:t>
      </w:r>
    </w:p>
    <w:p w:rsidR="004862B9" w:rsidRPr="008D4CA3" w:rsidRDefault="004862B9" w:rsidP="00C0411D">
      <w:pPr>
        <w:pStyle w:val="Citation-AltC"/>
        <w:tabs>
          <w:tab w:val="left" w:pos="1620"/>
        </w:tabs>
        <w:rPr>
          <w:lang w:val="en-CA"/>
        </w:rPr>
      </w:pPr>
      <w:r w:rsidRPr="00851923">
        <w:rPr>
          <w:i/>
          <w:lang w:val="en-CA"/>
        </w:rPr>
        <w:tab/>
        <w:t>The particular contextual factors relevant to the substantive equality inquiry at the second step [of the Andrews test] will vary with the nature of the case. A rigid template risks consideration of irrelevant matters on the one hand, or overlooking relevant considerations on the other</w:t>
      </w:r>
      <w:r w:rsidRPr="00851923">
        <w:rPr>
          <w:lang w:val="en-CA"/>
        </w:rPr>
        <w:t xml:space="preserve">: </w:t>
      </w:r>
      <w:r w:rsidRPr="00851923">
        <w:rPr>
          <w:i/>
          <w:lang w:val="en-CA"/>
        </w:rPr>
        <w:t>Kapp</w:t>
      </w:r>
      <w:r w:rsidRPr="00851923">
        <w:rPr>
          <w:lang w:val="en-CA"/>
        </w:rPr>
        <w:t xml:space="preserve">. Factors such as those developed in </w:t>
      </w:r>
      <w:r w:rsidRPr="00851923">
        <w:rPr>
          <w:i/>
          <w:lang w:val="en-CA"/>
        </w:rPr>
        <w:t>Law</w:t>
      </w:r>
      <w:r w:rsidRPr="00851923">
        <w:rPr>
          <w:lang w:val="en-CA"/>
        </w:rPr>
        <w:t xml:space="preserve"> — pre-existing disadvantage, correspondence with actual characteristics, impact on other groups and the nature of the interest affected — may be helpful. However, they need not be expressly canvassed in every case in order to fully and properly determine whether a particular distinction is discriminatory</w:t>
      </w:r>
      <w:r w:rsidR="008D4CA3">
        <w:rPr>
          <w:lang w:val="en-CA"/>
        </w:rPr>
        <w:t xml:space="preserve"> </w:t>
      </w:r>
      <w:r w:rsidRPr="00851923">
        <w:rPr>
          <w:lang w:val="en-CA"/>
        </w:rPr>
        <w:t xml:space="preserve">. . . . </w:t>
      </w:r>
      <w:r w:rsidRPr="008D4CA3">
        <w:rPr>
          <w:lang w:val="en-CA"/>
        </w:rPr>
        <w:t>[Emphasis added; para. 66.]</w:t>
      </w:r>
    </w:p>
    <w:p w:rsidR="004862B9" w:rsidRPr="00A127B4" w:rsidRDefault="004862B9" w:rsidP="004862B9">
      <w:pPr>
        <w:pStyle w:val="Citation-AltC"/>
        <w:ind w:left="0"/>
        <w:rPr>
          <w:lang w:val="en-US"/>
        </w:rPr>
      </w:pP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lang w:val="en-US"/>
        </w:rPr>
        <w:t xml:space="preserve">The root of s. 15 is our awareness that certain groups have been historically discriminated against, and that the perpetuation of such discrimination should be curtailed.   If the state conduct widens the gap between the historically disadvantaged group and the rest of society rather than narrowing it, then it is discriminatory.  As the U.S. Supreme Court warned in </w:t>
      </w:r>
      <w:r w:rsidRPr="00A127B4">
        <w:rPr>
          <w:rFonts w:cs="Times New Roman"/>
          <w:i/>
          <w:lang w:val="en-US"/>
        </w:rPr>
        <w:t>Griggs v. Duke Power Co.</w:t>
      </w:r>
      <w:r w:rsidRPr="00A127B4">
        <w:rPr>
          <w:rFonts w:cs="Times New Roman"/>
          <w:lang w:val="en-US"/>
        </w:rPr>
        <w:t>, 401 U.S. 424 (1971):</w:t>
      </w:r>
    </w:p>
    <w:p w:rsidR="004862B9" w:rsidRPr="00A127B4" w:rsidRDefault="004862B9" w:rsidP="004862B9">
      <w:pPr>
        <w:pStyle w:val="Citation-AltC"/>
        <w:rPr>
          <w:lang w:val="en-US"/>
        </w:rPr>
      </w:pPr>
      <w:r w:rsidRPr="00851923">
        <w:rPr>
          <w:lang w:val="en-CA"/>
        </w:rPr>
        <w:t xml:space="preserve">. . . practices, procedures, or tests neutral on their face, and even neutral in terms of intent, cannot be maintained if they operate to “freeze” the status quo of prior discriminatory employment practices. </w:t>
      </w:r>
      <w:r w:rsidRPr="00A127B4">
        <w:t>[p. 430]</w:t>
      </w:r>
    </w:p>
    <w:p w:rsidR="004862B9" w:rsidRPr="00A127B4" w:rsidRDefault="004862B9" w:rsidP="00F81B96">
      <w:pPr>
        <w:pStyle w:val="ParaNoNdepar-AltN"/>
        <w:tabs>
          <w:tab w:val="clear" w:pos="1166"/>
          <w:tab w:val="num" w:pos="1152"/>
          <w:tab w:val="num" w:pos="1242"/>
        </w:tabs>
        <w:ind w:left="0"/>
        <w:rPr>
          <w:rFonts w:cs="Times New Roman"/>
          <w:lang w:val="en-US"/>
        </w:rPr>
      </w:pPr>
      <w:r w:rsidRPr="00A127B4">
        <w:rPr>
          <w:rFonts w:cs="Times New Roman"/>
        </w:rPr>
        <w:t xml:space="preserve">An emphasis at this </w:t>
      </w:r>
      <w:r w:rsidRPr="00F81B96">
        <w:rPr>
          <w:rFonts w:cs="Times New Roman"/>
          <w:lang w:val="en-US"/>
        </w:rPr>
        <w:t>stage</w:t>
      </w:r>
      <w:r w:rsidRPr="00A127B4">
        <w:rPr>
          <w:rFonts w:cs="Times New Roman"/>
        </w:rPr>
        <w:t xml:space="preserve"> on </w:t>
      </w:r>
      <w:r w:rsidRPr="00A127B4">
        <w:rPr>
          <w:rFonts w:cs="Times New Roman"/>
          <w:lang w:val="en-US"/>
        </w:rPr>
        <w:t xml:space="preserve">whether the claimant group’s exclusion was well motivated or reasonable is inconsistent with this substantive equality approach to s. 15(1) since it redirects the </w:t>
      </w:r>
      <w:r w:rsidRPr="00A127B4">
        <w:rPr>
          <w:rFonts w:cs="Times New Roman"/>
        </w:rPr>
        <w:t xml:space="preserve">analysis from the </w:t>
      </w:r>
      <w:r w:rsidRPr="00A127B4">
        <w:rPr>
          <w:rFonts w:cs="Times New Roman"/>
          <w:i/>
        </w:rPr>
        <w:t>impact</w:t>
      </w:r>
      <w:r w:rsidRPr="00A127B4">
        <w:rPr>
          <w:rFonts w:cs="Times New Roman"/>
        </w:rPr>
        <w:t xml:space="preserve"> of the distinction on the affected individual or group to the legislature’s </w:t>
      </w:r>
      <w:r w:rsidRPr="00A127B4">
        <w:rPr>
          <w:rFonts w:cs="Times New Roman"/>
          <w:i/>
        </w:rPr>
        <w:t xml:space="preserve">intent </w:t>
      </w:r>
      <w:r w:rsidRPr="00A127B4">
        <w:rPr>
          <w:rFonts w:cs="Times New Roman"/>
        </w:rPr>
        <w:t xml:space="preserve">or </w:t>
      </w:r>
      <w:r w:rsidRPr="00A127B4">
        <w:rPr>
          <w:rFonts w:cs="Times New Roman"/>
          <w:i/>
        </w:rPr>
        <w:t>purpose</w:t>
      </w:r>
      <w:r w:rsidRPr="00A127B4">
        <w:rPr>
          <w:rFonts w:cs="Times New Roman"/>
        </w:rPr>
        <w:t xml:space="preserve">. As McIntyre J. warned in </w:t>
      </w:r>
      <w:r w:rsidRPr="00A127B4">
        <w:rPr>
          <w:rFonts w:cs="Times New Roman"/>
          <w:i/>
        </w:rPr>
        <w:t>Andrews</w:t>
      </w:r>
      <w:r w:rsidRPr="00A127B4">
        <w:rPr>
          <w:rFonts w:cs="Times New Roman"/>
        </w:rPr>
        <w:t xml:space="preserve">, an approach to s. 15(1) based on assessing the “reasonableness” of the legislative distinction would be a “radical departure from the analytical approach to the </w:t>
      </w:r>
      <w:r w:rsidRPr="00A127B4">
        <w:rPr>
          <w:rFonts w:cs="Times New Roman"/>
          <w:i/>
        </w:rPr>
        <w:t>Charter</w:t>
      </w:r>
      <w:r w:rsidRPr="00A127B4">
        <w:rPr>
          <w:rFonts w:cs="Times New Roman"/>
        </w:rPr>
        <w:t>”, under which “virtually no role would be left for s. 1” (pp. 181-82).  It would also</w:t>
      </w:r>
      <w:r w:rsidRPr="00A127B4">
        <w:rPr>
          <w:rFonts w:cs="Times New Roman"/>
          <w:lang w:val="en-US"/>
        </w:rPr>
        <w:t xml:space="preserve"> </w:t>
      </w:r>
      <w:r w:rsidRPr="00A127B4">
        <w:rPr>
          <w:rFonts w:cs="Times New Roman"/>
        </w:rPr>
        <w:t>effectively turn the s. 15(1) analysis into a review of</w:t>
      </w:r>
      <w:r w:rsidR="00400988">
        <w:rPr>
          <w:rFonts w:cs="Times New Roman"/>
        </w:rPr>
        <w:t xml:space="preserve"> whether the legislature had a “rational basis”</w:t>
      </w:r>
      <w:r w:rsidRPr="00A127B4">
        <w:rPr>
          <w:rFonts w:cs="Times New Roman"/>
        </w:rPr>
        <w:t xml:space="preserve"> for excluding a group from a statutory benefit. This reduces the test for discrimination </w:t>
      </w:r>
      <w:r w:rsidRPr="00A127B4">
        <w:rPr>
          <w:rFonts w:cs="Times New Roman"/>
          <w:lang w:bidi="en-US"/>
        </w:rPr>
        <w:t>to “a prohibition on intentional discrimination based on irrational stereotyping” (Sheila McIntyre,</w:t>
      </w:r>
      <w:r w:rsidRPr="00A127B4">
        <w:rPr>
          <w:rFonts w:cs="Times New Roman"/>
        </w:rPr>
        <w:t xml:space="preserve"> “Deference and Dominance: Equality Without Substance”, in Sheila McIntyre and Sanda Rodgers, eds., </w:t>
      </w:r>
      <w:r w:rsidRPr="00A127B4">
        <w:rPr>
          <w:rFonts w:cs="Times New Roman"/>
          <w:i/>
        </w:rPr>
        <w:t>Diminishing Returns: Inequality and the Canadian Charter of Rights and Freedoms</w:t>
      </w:r>
      <w:r w:rsidRPr="00A127B4">
        <w:rPr>
          <w:rFonts w:cs="Times New Roman"/>
        </w:rPr>
        <w:t xml:space="preserve"> (2006), 95, at p. 104).  Assessment of legislative purpose is an important part of a </w:t>
      </w:r>
      <w:r w:rsidRPr="00A127B4">
        <w:rPr>
          <w:rFonts w:cs="Times New Roman"/>
          <w:i/>
        </w:rPr>
        <w:t>Charter</w:t>
      </w:r>
      <w:r w:rsidRPr="00A127B4">
        <w:rPr>
          <w:rFonts w:cs="Times New Roman"/>
        </w:rPr>
        <w:t xml:space="preserve"> analysis, but it is conducted under s. 1 once the burden has shifted to the state to justify the reasonableness of the infringement.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crucial </w:t>
      </w:r>
      <w:r w:rsidRPr="00F81B96">
        <w:rPr>
          <w:rFonts w:cs="Times New Roman"/>
          <w:lang w:val="en-US"/>
        </w:rPr>
        <w:t>distinction</w:t>
      </w:r>
      <w:r w:rsidRPr="00A127B4">
        <w:rPr>
          <w:rFonts w:cs="Times New Roman"/>
        </w:rPr>
        <w:t xml:space="preserve"> between the s. 15 analysis and the s. 1 justificatory step of the equality test brings us to another legal issue of particular importance in this case: the proper stage in the analysis to address the effect of the </w:t>
      </w:r>
      <w:r w:rsidRPr="00A127B4">
        <w:rPr>
          <w:rFonts w:cs="Times New Roman"/>
          <w:i/>
        </w:rPr>
        <w:t>choice</w:t>
      </w:r>
      <w:r w:rsidRPr="00A127B4">
        <w:rPr>
          <w:rFonts w:cs="Times New Roman"/>
        </w:rPr>
        <w:t xml:space="preserve"> not to marry.  </w:t>
      </w:r>
      <w:r w:rsidRPr="00A127B4">
        <w:rPr>
          <w:rFonts w:cs="Times New Roman"/>
          <w:lang w:val="en-US"/>
        </w:rPr>
        <w:t xml:space="preserve">In </w:t>
      </w:r>
      <w:r w:rsidRPr="00A127B4">
        <w:rPr>
          <w:rFonts w:cs="Times New Roman"/>
          <w:i/>
          <w:lang w:val="en-US"/>
        </w:rPr>
        <w:t>Miron</w:t>
      </w:r>
      <w:r w:rsidRPr="00A127B4">
        <w:rPr>
          <w:rFonts w:cs="Times New Roman"/>
          <w:lang w:val="en-US"/>
        </w:rPr>
        <w:t>,</w:t>
      </w:r>
      <w:r w:rsidRPr="00A127B4">
        <w:rPr>
          <w:rFonts w:cs="Times New Roman"/>
          <w:i/>
          <w:lang w:val="en-US"/>
        </w:rPr>
        <w:t xml:space="preserve"> </w:t>
      </w:r>
      <w:r w:rsidRPr="00A127B4">
        <w:rPr>
          <w:rFonts w:cs="Times New Roman"/>
        </w:rPr>
        <w:t xml:space="preserve">the fact that marital status is not a real choice was the basis for designating marital status as an analogous ground under s. 15(1). McLachlin J. accepted that the choice to marry is constrained by a number of factors. Her reasons, already briefly referred to, bear more fulsome repetition: </w:t>
      </w:r>
    </w:p>
    <w:p w:rsidR="004862B9" w:rsidRPr="00A127B4" w:rsidRDefault="004862B9" w:rsidP="004862B9">
      <w:pPr>
        <w:pStyle w:val="Citation-AltC"/>
      </w:pPr>
      <w:r w:rsidRPr="00851923">
        <w:rPr>
          <w:lang w:val="en-CA"/>
        </w:rPr>
        <w:t xml:space="preserve">In theory, the individual is free to choose whether to marry or not to marry.  In practice, however, the reality may be otherwise.  The sanction of the union by the state through civil marriage cannot always be obtained.  The law; the reluctance of one’s partner to marry; financial, religious or social constraints — these factors and others commonly function to prevent partners who otherwise operate as a family unit from formally marrying.  In short, marital status often lies beyond the individual’s effective control.  In this respect, marital status is not unlike citizenship, recognized as an analogous ground in </w:t>
      </w:r>
      <w:r w:rsidRPr="00851923">
        <w:rPr>
          <w:i/>
          <w:lang w:val="en-CA"/>
        </w:rPr>
        <w:t>Andrews</w:t>
      </w:r>
      <w:r w:rsidRPr="00851923">
        <w:rPr>
          <w:lang w:val="en-CA"/>
        </w:rPr>
        <w:t>:</w:t>
      </w:r>
      <w:r w:rsidRPr="00851923">
        <w:rPr>
          <w:i/>
          <w:lang w:val="en-CA"/>
        </w:rPr>
        <w:t xml:space="preserve"> </w:t>
      </w:r>
      <w:r w:rsidRPr="00851923">
        <w:rPr>
          <w:lang w:val="en-CA"/>
        </w:rPr>
        <w:t xml:space="preserve">the individual exercises limited but not exclusive control over the designation. </w:t>
      </w:r>
      <w:r w:rsidRPr="00A127B4">
        <w:t>[para. 153]</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Any discussion of the reasonableness of distinctions based on this ground, or justifications for such distinctions, must take place under s. 1.  To focus on the “choice” to marry at the s. 15(1) stage is not only contrary to the approach in </w:t>
      </w:r>
      <w:r w:rsidRPr="00A127B4">
        <w:rPr>
          <w:rFonts w:cs="Times New Roman"/>
          <w:i/>
        </w:rPr>
        <w:t>Andrews</w:t>
      </w:r>
      <w:r w:rsidRPr="00A127B4">
        <w:rPr>
          <w:rFonts w:cs="Times New Roman"/>
        </w:rPr>
        <w:t>,</w:t>
      </w:r>
      <w:r w:rsidRPr="00A127B4">
        <w:rPr>
          <w:rFonts w:cs="Times New Roman"/>
          <w:i/>
        </w:rPr>
        <w:t xml:space="preserve"> </w:t>
      </w:r>
      <w:r w:rsidRPr="00A127B4">
        <w:rPr>
          <w:rFonts w:cs="Times New Roman"/>
        </w:rPr>
        <w:t xml:space="preserve">it is completely inconsistent with </w:t>
      </w:r>
      <w:r w:rsidRPr="00A127B4">
        <w:rPr>
          <w:rFonts w:cs="Times New Roman"/>
          <w:i/>
        </w:rPr>
        <w:t xml:space="preserve">Miron </w:t>
      </w:r>
      <w:r w:rsidRPr="00A127B4">
        <w:rPr>
          <w:rFonts w:cs="Times New Roman"/>
        </w:rPr>
        <w:t>and undermines the recognition of marital status as an analogous ground</w:t>
      </w:r>
      <w:r w:rsidRPr="00A127B4">
        <w:rPr>
          <w:rFonts w:cs="Times New Roman"/>
          <w:i/>
        </w:rPr>
        <w:t>.</w:t>
      </w:r>
      <w:r w:rsidRPr="00A127B4">
        <w:rPr>
          <w:rFonts w:cs="Times New Roman"/>
        </w:rPr>
        <w:t xml:space="preserve"> By definition, analogous grounds are “personal characteristic[s] that [are] immutable or changeable only at unacceptable cost to personal identity” (</w:t>
      </w:r>
      <w:r w:rsidRPr="00A127B4">
        <w:rPr>
          <w:rFonts w:cs="Times New Roman"/>
          <w:i/>
        </w:rPr>
        <w:t>Corbiere v. Canada (Minister of Indian and Northern Affairs)</w:t>
      </w:r>
      <w:r w:rsidRPr="00A127B4">
        <w:rPr>
          <w:rFonts w:cs="Times New Roman"/>
        </w:rPr>
        <w:t>, [1999] 2 S.C.R. 203, at para. 13). This Court has firmly rejected the context-dependency of analogous grounds: they are not deemed immutable in some legislative contexts and a matter of choice in others.  Rather, they stand as “constant marker[s] of potential legislative discrimination” (</w:t>
      </w:r>
      <w:r w:rsidRPr="00A127B4">
        <w:rPr>
          <w:rFonts w:cs="Times New Roman"/>
          <w:i/>
        </w:rPr>
        <w:t>Corbiere</w:t>
      </w:r>
      <w:r w:rsidRPr="00A127B4">
        <w:rPr>
          <w:rFonts w:cs="Times New Roman"/>
        </w:rPr>
        <w:t>, at para. 10).</w:t>
      </w:r>
      <w:r w:rsidRPr="00A127B4">
        <w:rPr>
          <w:rFonts w:cs="Times New Roman"/>
          <w:i/>
        </w:rPr>
        <w:t xml:space="preserve">  </w:t>
      </w:r>
      <w:r w:rsidRPr="00A127B4">
        <w:rPr>
          <w:rFonts w:cs="Times New Roman"/>
        </w:rPr>
        <w:t>Having accepted marital status as an analogous ground, it</w:t>
      </w:r>
      <w:r w:rsidRPr="00A127B4">
        <w:rPr>
          <w:rFonts w:cs="Times New Roman"/>
          <w:i/>
        </w:rPr>
        <w:t xml:space="preserve"> </w:t>
      </w:r>
      <w:r w:rsidRPr="00A127B4">
        <w:rPr>
          <w:rFonts w:cs="Times New Roman"/>
        </w:rPr>
        <w:t xml:space="preserve">is contradictory to find not only that </w:t>
      </w:r>
      <w:r w:rsidRPr="00A127B4">
        <w:rPr>
          <w:rFonts w:cs="Times New Roman"/>
          <w:i/>
        </w:rPr>
        <w:t>de facto</w:t>
      </w:r>
      <w:r w:rsidRPr="00A127B4">
        <w:rPr>
          <w:rFonts w:cs="Times New Roman"/>
        </w:rPr>
        <w:t xml:space="preserve"> spouses </w:t>
      </w:r>
      <w:r w:rsidRPr="00A127B4">
        <w:rPr>
          <w:rFonts w:cs="Times New Roman"/>
          <w:i/>
        </w:rPr>
        <w:t>do</w:t>
      </w:r>
      <w:r w:rsidRPr="00A127B4">
        <w:rPr>
          <w:rFonts w:cs="Times New Roman"/>
        </w:rPr>
        <w:t xml:space="preserve"> have</w:t>
      </w:r>
      <w:r w:rsidRPr="00A127B4">
        <w:rPr>
          <w:rFonts w:cs="Times New Roman"/>
          <w:i/>
        </w:rPr>
        <w:t xml:space="preserve"> </w:t>
      </w:r>
      <w:r w:rsidRPr="00A127B4">
        <w:rPr>
          <w:rFonts w:cs="Times New Roman"/>
        </w:rPr>
        <w:t xml:space="preserve">a choice about their marital status, but that it is that very choice that excludes them from the protection of s. 15(1) to which </w:t>
      </w:r>
      <w:r w:rsidRPr="00A127B4">
        <w:rPr>
          <w:rFonts w:cs="Times New Roman"/>
          <w:i/>
        </w:rPr>
        <w:t xml:space="preserve">Miron </w:t>
      </w:r>
      <w:r w:rsidRPr="00A127B4">
        <w:rPr>
          <w:rFonts w:cs="Times New Roman"/>
        </w:rPr>
        <w:t xml:space="preserve">said they were entitled.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Moreover, this </w:t>
      </w:r>
      <w:r w:rsidRPr="00F81B96">
        <w:rPr>
          <w:rFonts w:cs="Times New Roman"/>
          <w:lang w:val="en-US"/>
        </w:rPr>
        <w:t>Court</w:t>
      </w:r>
      <w:r w:rsidRPr="00A127B4">
        <w:rPr>
          <w:rFonts w:cs="Times New Roman"/>
        </w:rPr>
        <w:t xml:space="preserve"> has repeatedly rejected arguments that choice protects a distinction from a finding of discrimination.  In </w:t>
      </w:r>
      <w:r w:rsidRPr="00A127B4">
        <w:rPr>
          <w:rFonts w:cs="Times New Roman"/>
          <w:i/>
        </w:rPr>
        <w:t>Brooks v. Canada Safeway Ltd.</w:t>
      </w:r>
      <w:r w:rsidRPr="00A127B4">
        <w:rPr>
          <w:rFonts w:cs="Times New Roman"/>
        </w:rPr>
        <w:t>, [1989] 1 S.C.R. 1219,</w:t>
      </w:r>
      <w:r w:rsidRPr="00A127B4">
        <w:rPr>
          <w:rFonts w:cs="Times New Roman"/>
          <w:i/>
        </w:rPr>
        <w:t xml:space="preserve"> </w:t>
      </w:r>
      <w:r w:rsidRPr="00A127B4">
        <w:rPr>
          <w:rFonts w:cs="Times New Roman"/>
        </w:rPr>
        <w:t>the employer argued that a different amount of compensation for women who took time off from work while pregnant was not discriminatory because “pregnancy is a voluntary state and, like other forms of voluntary leave, it should not be compensated” (p. 1236).  Dickson C.J. refused to accept that pregnancy was a choice, noting that an emphasis on choice would be “against one of the purposes of anti-discrimination legislation</w:t>
      </w:r>
      <w:r w:rsidR="00400988">
        <w:rPr>
          <w:rFonts w:cs="Times New Roman"/>
        </w:rPr>
        <w:t xml:space="preserve"> </w:t>
      </w:r>
      <w:r w:rsidRPr="00A127B4">
        <w:rPr>
          <w:rFonts w:cs="Times New Roman"/>
        </w:rPr>
        <w:t>. . . the removal of unfair disadvantages which have been imposed on individuals or groups in society” (p. 1238).  In other words</w:t>
      </w:r>
      <w:r w:rsidR="00400988">
        <w:rPr>
          <w:rFonts w:cs="Times New Roman"/>
        </w:rPr>
        <w:t>, not only was pregnancy not a “true choice”</w:t>
      </w:r>
      <w:r w:rsidRPr="00A127B4">
        <w:rPr>
          <w:rFonts w:cs="Times New Roman"/>
        </w:rPr>
        <w:t xml:space="preserve">, but choice was </w:t>
      </w:r>
      <w:r w:rsidRPr="00A127B4">
        <w:rPr>
          <w:rFonts w:cs="Times New Roman"/>
          <w:i/>
        </w:rPr>
        <w:t xml:space="preserve">irrelevant </w:t>
      </w:r>
      <w:r w:rsidRPr="00A127B4">
        <w:rPr>
          <w:rFonts w:cs="Times New Roman"/>
        </w:rPr>
        <w:t xml:space="preserve">to the question of discrimination.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In </w:t>
      </w:r>
      <w:r w:rsidRPr="00A127B4">
        <w:rPr>
          <w:rFonts w:cs="Times New Roman"/>
          <w:i/>
        </w:rPr>
        <w:t>Lavoie v. Canada</w:t>
      </w:r>
      <w:r w:rsidRPr="00A127B4">
        <w:rPr>
          <w:rFonts w:cs="Times New Roman"/>
        </w:rPr>
        <w:t>,</w:t>
      </w:r>
      <w:r w:rsidRPr="00A127B4">
        <w:rPr>
          <w:rFonts w:cs="Times New Roman"/>
          <w:i/>
        </w:rPr>
        <w:t xml:space="preserve"> </w:t>
      </w:r>
      <w:r w:rsidRPr="00A127B4">
        <w:rPr>
          <w:rFonts w:cs="Times New Roman"/>
        </w:rPr>
        <w:t>[2002] 1 S.C.R. 769,</w:t>
      </w:r>
      <w:r w:rsidRPr="00A127B4">
        <w:rPr>
          <w:rFonts w:cs="Times New Roman"/>
          <w:i/>
        </w:rPr>
        <w:t xml:space="preserve"> </w:t>
      </w:r>
      <w:r w:rsidRPr="00A127B4">
        <w:rPr>
          <w:rFonts w:cs="Times New Roman"/>
        </w:rPr>
        <w:t xml:space="preserve">the </w:t>
      </w:r>
      <w:r w:rsidRPr="00F81B96">
        <w:rPr>
          <w:rFonts w:cs="Times New Roman"/>
          <w:lang w:val="en-US"/>
        </w:rPr>
        <w:t>Court</w:t>
      </w:r>
      <w:r w:rsidRPr="00A127B4">
        <w:rPr>
          <w:rFonts w:cs="Times New Roman"/>
        </w:rPr>
        <w:t xml:space="preserve"> was faced with a question of discrimination on the grounds of citizenship.  The claimants challenged a provision of the </w:t>
      </w:r>
      <w:r w:rsidRPr="00A127B4">
        <w:rPr>
          <w:rFonts w:cs="Times New Roman"/>
          <w:i/>
        </w:rPr>
        <w:t>Public Service Employment Act</w:t>
      </w:r>
      <w:r w:rsidRPr="00A127B4">
        <w:rPr>
          <w:rFonts w:cs="Times New Roman"/>
        </w:rPr>
        <w:t>, R.S.C. 1985, c. P-33,</w:t>
      </w:r>
      <w:r w:rsidRPr="00A127B4">
        <w:rPr>
          <w:rFonts w:cs="Times New Roman"/>
          <w:i/>
        </w:rPr>
        <w:t xml:space="preserve"> </w:t>
      </w:r>
      <w:r w:rsidRPr="00A127B4">
        <w:rPr>
          <w:rFonts w:cs="Times New Roman"/>
        </w:rPr>
        <w:t>that gave the Public Service Commission the discretion to prefer Canadian citizens in open competitions for employment.  Bastarache J., for the majority, expressly rejected the argument, relied on by Arbour J. in her separate reasons, that the claimants could have chosen to obtain Canadian citizenship.  In their own reasons, which agreed with Bastarache J. on this point, McLachlin C.J. and L’Heureux</w:t>
      </w:r>
      <w:r w:rsidRPr="00A127B4">
        <w:rPr>
          <w:rFonts w:cs="Times New Roman"/>
        </w:rPr>
        <w:noBreakHyphen/>
        <w:t xml:space="preserve">Dubé J. were even clearer in rejecting choice as justifying discriminatory treatment: </w:t>
      </w:r>
    </w:p>
    <w:p w:rsidR="004862B9" w:rsidRPr="00A127B4" w:rsidRDefault="004862B9" w:rsidP="004862B9">
      <w:pPr>
        <w:pStyle w:val="Citation-AltC"/>
      </w:pPr>
      <w:r w:rsidRPr="00851923">
        <w:rPr>
          <w:lang w:val="en-CA"/>
        </w:rPr>
        <w:t xml:space="preserve">. . . the fact that a person could avoid discrimination by modifying his or her behaviour does not negate the discriminatory effect.  If it were otherwise, an employer who denied women employment in his factory on the ground that he did not wish to establish female changing facilities could contend that the real cause of the discriminatory effect is the woman’s “choice” not to use men’s changing facilities.  The very act of forcing some people to make such a choice violates human dignity, and is therefore inherently discriminatory.  The law of discrimination thus far has not required applicants to demonstrate that they could not have avoided the discriminatory effect in order to establish a denial of equality under s. 15(1). </w:t>
      </w:r>
      <w:r w:rsidRPr="00A127B4">
        <w:t xml:space="preserve">[para. 5]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Having reviewed the distinct analytical approaches to the s. 15(1) analysis and s. 1 justificatory step and the significance of this Court’s finding that marital status is an analogous ground, I turn to the final legal issue that commands the Court’s attention: the applicability of this Court’s decision in </w:t>
      </w:r>
      <w:r w:rsidRPr="00A127B4">
        <w:rPr>
          <w:rFonts w:cs="Times New Roman"/>
          <w:i/>
        </w:rPr>
        <w:t>Walsh</w:t>
      </w:r>
      <w:r w:rsidRPr="00A127B4">
        <w:rPr>
          <w:rFonts w:cs="Times New Roman"/>
        </w:rPr>
        <w:t xml:space="preserve">.  Because the equality analysis under s. 15(1) of the </w:t>
      </w:r>
      <w:r w:rsidRPr="00A127B4">
        <w:rPr>
          <w:rFonts w:cs="Times New Roman"/>
          <w:i/>
        </w:rPr>
        <w:t>Charter</w:t>
      </w:r>
      <w:r w:rsidRPr="00A127B4">
        <w:rPr>
          <w:rFonts w:cs="Times New Roman"/>
        </w:rPr>
        <w:t xml:space="preserve"> has evolved substantially in the decade since </w:t>
      </w:r>
      <w:r w:rsidRPr="00A127B4">
        <w:rPr>
          <w:rFonts w:cs="Times New Roman"/>
          <w:i/>
        </w:rPr>
        <w:t xml:space="preserve">Walsh </w:t>
      </w:r>
      <w:r w:rsidRPr="00A127B4">
        <w:rPr>
          <w:rFonts w:cs="Times New Roman"/>
        </w:rPr>
        <w:t xml:space="preserve">was decided, I would, with respect, decline to follow </w:t>
      </w:r>
      <w:r w:rsidR="00400988" w:rsidRPr="00A127B4">
        <w:rPr>
          <w:rFonts w:cs="Times New Roman"/>
          <w:i/>
        </w:rPr>
        <w:t>Walsh</w:t>
      </w:r>
      <w:r w:rsidR="00400988" w:rsidRPr="00A127B4">
        <w:rPr>
          <w:rFonts w:cs="Times New Roman"/>
        </w:rPr>
        <w:t>.</w:t>
      </w:r>
      <w:r w:rsidRPr="00A127B4">
        <w:rPr>
          <w:rFonts w:cs="Times New Roman"/>
        </w:rPr>
        <w:t xml:space="preserve">  Two aspects of the majority’s decision in </w:t>
      </w:r>
      <w:r w:rsidRPr="00A127B4">
        <w:rPr>
          <w:rFonts w:cs="Times New Roman"/>
          <w:i/>
        </w:rPr>
        <w:t xml:space="preserve">Walsh </w:t>
      </w:r>
      <w:r w:rsidRPr="00A127B4">
        <w:rPr>
          <w:rFonts w:cs="Times New Roman"/>
        </w:rPr>
        <w:t xml:space="preserve">are, in fact, manifestly contrary to the substantive equality analysis developed in </w:t>
      </w:r>
      <w:r w:rsidRPr="00A127B4">
        <w:rPr>
          <w:rFonts w:cs="Times New Roman"/>
          <w:i/>
        </w:rPr>
        <w:t xml:space="preserve">Kapp </w:t>
      </w:r>
      <w:r w:rsidRPr="00A127B4">
        <w:rPr>
          <w:rFonts w:cs="Times New Roman"/>
        </w:rPr>
        <w:t xml:space="preserve">and </w:t>
      </w:r>
      <w:r w:rsidRPr="00A127B4">
        <w:rPr>
          <w:rFonts w:cs="Times New Roman"/>
          <w:i/>
        </w:rPr>
        <w:t>Withler</w:t>
      </w:r>
      <w:r w:rsidRPr="00A127B4">
        <w:rPr>
          <w:rFonts w:cs="Times New Roman"/>
        </w:rPr>
        <w:t>, namely its approach to the issue of choice and its reliance on the heterogeneity</w:t>
      </w:r>
      <w:r>
        <w:rPr>
          <w:rFonts w:cs="Times New Roman"/>
        </w:rPr>
        <w:t xml:space="preserve"> </w:t>
      </w:r>
      <w:r w:rsidRPr="00A127B4">
        <w:rPr>
          <w:rFonts w:cs="Times New Roman"/>
        </w:rPr>
        <w:t>of common law relationships.</w:t>
      </w:r>
    </w:p>
    <w:p w:rsidR="004862B9" w:rsidRPr="00A127B4" w:rsidRDefault="004862B9" w:rsidP="00F81B96">
      <w:pPr>
        <w:pStyle w:val="ParaNoNdepar-AltN"/>
        <w:tabs>
          <w:tab w:val="clear" w:pos="1166"/>
          <w:tab w:val="num" w:pos="1152"/>
          <w:tab w:val="num" w:pos="1242"/>
        </w:tabs>
        <w:ind w:left="0"/>
        <w:rPr>
          <w:rFonts w:cs="Times New Roman"/>
          <w:i/>
        </w:rPr>
      </w:pPr>
      <w:r w:rsidRPr="00A127B4">
        <w:rPr>
          <w:rFonts w:cs="Times New Roman"/>
          <w:i/>
        </w:rPr>
        <w:t>Walsh</w:t>
      </w:r>
      <w:r w:rsidRPr="00A127B4">
        <w:rPr>
          <w:rFonts w:cs="Times New Roman"/>
        </w:rPr>
        <w:t xml:space="preserve">, similarly to the case before </w:t>
      </w:r>
      <w:r w:rsidRPr="00F81B96">
        <w:rPr>
          <w:rFonts w:cs="Times New Roman"/>
          <w:lang w:val="en-US"/>
        </w:rPr>
        <w:t>us</w:t>
      </w:r>
      <w:r w:rsidRPr="00A127B4">
        <w:rPr>
          <w:rFonts w:cs="Times New Roman"/>
        </w:rPr>
        <w:t xml:space="preserve">, considered the role of freedom of choice in a s. 15 application dealing with the exclusion of common law spouses from a family property regime. The majority judgment in </w:t>
      </w:r>
      <w:r w:rsidRPr="00A127B4">
        <w:rPr>
          <w:rFonts w:cs="Times New Roman"/>
          <w:i/>
        </w:rPr>
        <w:t xml:space="preserve">Walsh </w:t>
      </w:r>
      <w:r w:rsidRPr="00A127B4">
        <w:rPr>
          <w:rFonts w:cs="Times New Roman"/>
        </w:rPr>
        <w:t xml:space="preserve">found that “people who marry can be said to freely accept mutual rights and obligations” while common law spouses cannot.  In turn, it found that common law spouses “are free to take steps to deal with their personal property” privately (para. 55).  </w:t>
      </w:r>
      <w:r w:rsidRPr="00A127B4">
        <w:rPr>
          <w:rFonts w:cs="Times New Roman"/>
          <w:i/>
        </w:rPr>
        <w:t>Walsh</w:t>
      </w:r>
      <w:r w:rsidRPr="00A127B4">
        <w:rPr>
          <w:rFonts w:cs="Times New Roman"/>
        </w:rPr>
        <w:t xml:space="preserve"> was determinatively applied by the trial judge in the case before us, and in part by the Court of Appeal.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bidi="en-US"/>
        </w:rPr>
        <w:t xml:space="preserve">As noted, in </w:t>
      </w:r>
      <w:r w:rsidRPr="00A127B4">
        <w:rPr>
          <w:rFonts w:cs="Times New Roman"/>
          <w:i/>
          <w:lang w:bidi="en-US"/>
        </w:rPr>
        <w:t>Walsh</w:t>
      </w:r>
      <w:r w:rsidRPr="00A127B4">
        <w:rPr>
          <w:rFonts w:cs="Times New Roman"/>
          <w:lang w:bidi="en-US"/>
        </w:rPr>
        <w:t xml:space="preserve"> </w:t>
      </w:r>
      <w:r w:rsidRPr="00F81B96">
        <w:rPr>
          <w:rFonts w:cs="Times New Roman"/>
          <w:lang w:val="en-US"/>
        </w:rPr>
        <w:t>freedom</w:t>
      </w:r>
      <w:r w:rsidRPr="00A127B4">
        <w:rPr>
          <w:rFonts w:cs="Times New Roman"/>
          <w:lang w:bidi="en-US"/>
        </w:rPr>
        <w:t xml:space="preserve"> of choice was key to the s. 15(1) analysis.  </w:t>
      </w:r>
      <w:r w:rsidRPr="00A127B4">
        <w:rPr>
          <w:rFonts w:cs="Times New Roman"/>
        </w:rPr>
        <w:t xml:space="preserve">Although the </w:t>
      </w:r>
      <w:r w:rsidRPr="00A127B4">
        <w:rPr>
          <w:rFonts w:cs="Times New Roman"/>
          <w:i/>
        </w:rPr>
        <w:t xml:space="preserve">Walsh </w:t>
      </w:r>
      <w:r w:rsidRPr="00A127B4">
        <w:rPr>
          <w:rFonts w:cs="Times New Roman"/>
        </w:rPr>
        <w:t xml:space="preserve">majority accepted that some common law spouses would suffer disadvantage under the </w:t>
      </w:r>
      <w:r w:rsidRPr="00A127B4">
        <w:rPr>
          <w:rFonts w:cs="Times New Roman"/>
          <w:i/>
        </w:rPr>
        <w:t>Matrimonial Property Act</w:t>
      </w:r>
      <w:r w:rsidRPr="00A127B4">
        <w:rPr>
          <w:rFonts w:cs="Times New Roman"/>
        </w:rPr>
        <w:t xml:space="preserve">, R.S.N.S. 1989, c. 275, it held that because they could </w:t>
      </w:r>
      <w:r w:rsidRPr="00A127B4">
        <w:rPr>
          <w:rFonts w:cs="Times New Roman"/>
          <w:i/>
        </w:rPr>
        <w:t xml:space="preserve">choose </w:t>
      </w:r>
      <w:r w:rsidRPr="00A127B4">
        <w:rPr>
          <w:rFonts w:cs="Times New Roman"/>
        </w:rPr>
        <w:t>to marry, their exclusion from the legislative scheme was not an issue that fell within the protection of s. 15(1):</w:t>
      </w:r>
      <w:r w:rsidRPr="00A127B4">
        <w:rPr>
          <w:rFonts w:cs="Times New Roman"/>
          <w:i/>
        </w:rPr>
        <w:t xml:space="preserve"> </w:t>
      </w:r>
    </w:p>
    <w:p w:rsidR="004862B9" w:rsidRPr="00851923" w:rsidRDefault="004862B9" w:rsidP="004862B9">
      <w:pPr>
        <w:pStyle w:val="Citation-AltC"/>
        <w:rPr>
          <w:i/>
          <w:lang w:val="en-CA"/>
        </w:rPr>
      </w:pPr>
      <w:r w:rsidRPr="00851923">
        <w:rPr>
          <w:lang w:val="en-CA"/>
        </w:rPr>
        <w:t xml:space="preserve">While there is no denying that inequities may exist in certain unmarried cohabiting relationships and that those inequities may result in unfairness between the parties on relationship breakdown, there is no constitutional requirement that the state extend the protections of the </w:t>
      </w:r>
      <w:r w:rsidRPr="00400988">
        <w:rPr>
          <w:i/>
          <w:lang w:val="en-CA"/>
        </w:rPr>
        <w:t>MPA</w:t>
      </w:r>
      <w:r w:rsidRPr="00851923">
        <w:rPr>
          <w:lang w:val="en-CA"/>
        </w:rPr>
        <w:t xml:space="preserve"> to those persons.  </w:t>
      </w:r>
      <w:r w:rsidRPr="00851923">
        <w:rPr>
          <w:i/>
          <w:lang w:val="en-CA"/>
        </w:rPr>
        <w:t>The issue here is whether making a meaningful choice matters, and whether unmarried persons are prevented from taking advantage of the benefits of the MPA in an unconstitutional way.</w:t>
      </w:r>
      <w:r w:rsidRPr="00851923">
        <w:rPr>
          <w:lang w:val="en-CA"/>
        </w:rPr>
        <w:t xml:space="preserve"> [Emphasis added; para. 57.]</w:t>
      </w:r>
    </w:p>
    <w:p w:rsidR="004862B9" w:rsidRPr="00A127B4" w:rsidRDefault="004862B9" w:rsidP="004862B9">
      <w:pPr>
        <w:pStyle w:val="ParaNoNdepar-AltN"/>
        <w:numPr>
          <w:ilvl w:val="0"/>
          <w:numId w:val="0"/>
        </w:numPr>
        <w:rPr>
          <w:rFonts w:cs="Times New Roman"/>
        </w:rPr>
      </w:pPr>
      <w:r w:rsidRPr="00A127B4">
        <w:rPr>
          <w:rFonts w:cs="Times New Roman"/>
          <w:lang w:bidi="en-US"/>
        </w:rPr>
        <w:t>T</w:t>
      </w:r>
      <w:r w:rsidRPr="00A127B4">
        <w:rPr>
          <w:rFonts w:cs="Times New Roman"/>
        </w:rPr>
        <w:t>he majority</w:t>
      </w:r>
      <w:r w:rsidRPr="00A127B4">
        <w:rPr>
          <w:rFonts w:cs="Times New Roman"/>
          <w:i/>
        </w:rPr>
        <w:t xml:space="preserve"> </w:t>
      </w:r>
      <w:r w:rsidRPr="00A127B4">
        <w:rPr>
          <w:rFonts w:cs="Times New Roman"/>
        </w:rPr>
        <w:t xml:space="preserve">in </w:t>
      </w:r>
      <w:r w:rsidRPr="00A127B4">
        <w:rPr>
          <w:rFonts w:cs="Times New Roman"/>
          <w:i/>
        </w:rPr>
        <w:t xml:space="preserve">Walsh </w:t>
      </w:r>
      <w:r w:rsidRPr="00A127B4">
        <w:rPr>
          <w:rFonts w:cs="Times New Roman"/>
        </w:rPr>
        <w:t xml:space="preserve">accepted that marital status is an analogous ground, but justified distinctions within this ground by pointing to an individual’s “choice” to marry. </w:t>
      </w:r>
      <w:r w:rsidRPr="00A127B4">
        <w:rPr>
          <w:rFonts w:cs="Times New Roman"/>
          <w:lang w:bidi="en-US"/>
        </w:rPr>
        <w:t xml:space="preserve">This contradicts the approach to substantive equality under s. 15(1), where any argument concerning the reasonableness of the legislation is considered under s. 1.  </w:t>
      </w:r>
      <w:r w:rsidRPr="00A127B4">
        <w:rPr>
          <w:rFonts w:cs="Times New Roman"/>
          <w:lang w:val="en-US"/>
        </w:rPr>
        <w:t xml:space="preserve">  Contrary to this approach, the majority of the Court in </w:t>
      </w:r>
      <w:r w:rsidRPr="00A127B4">
        <w:rPr>
          <w:rFonts w:cs="Times New Roman"/>
          <w:i/>
          <w:lang w:val="en-US"/>
        </w:rPr>
        <w:t>Walsh</w:t>
      </w:r>
      <w:r w:rsidRPr="00A127B4">
        <w:rPr>
          <w:rFonts w:cs="Times New Roman"/>
          <w:lang w:val="en-US"/>
        </w:rPr>
        <w:t xml:space="preserve"> collapsed the justification into the s. 15 analysis, leaving the claimants to justify what should analytically have been part of the government’s burden.</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majority in </w:t>
      </w:r>
      <w:r w:rsidRPr="00A127B4">
        <w:rPr>
          <w:rFonts w:cs="Times New Roman"/>
          <w:i/>
        </w:rPr>
        <w:t>Walsh</w:t>
      </w:r>
      <w:r w:rsidRPr="00A127B4">
        <w:rPr>
          <w:rFonts w:cs="Times New Roman"/>
        </w:rPr>
        <w:t xml:space="preserve"> went </w:t>
      </w:r>
      <w:r w:rsidRPr="00F81B96">
        <w:rPr>
          <w:rFonts w:cs="Times New Roman"/>
          <w:lang w:val="en-US"/>
        </w:rPr>
        <w:t>on</w:t>
      </w:r>
      <w:r w:rsidRPr="00A127B4">
        <w:rPr>
          <w:rFonts w:cs="Times New Roman"/>
        </w:rPr>
        <w:t xml:space="preserve"> to find that despite the adverse impact suffered by some unmarried spouses under the </w:t>
      </w:r>
      <w:r w:rsidRPr="00A127B4">
        <w:rPr>
          <w:rFonts w:cs="Times New Roman"/>
          <w:i/>
        </w:rPr>
        <w:t>Matrimonial Property Act</w:t>
      </w:r>
      <w:r w:rsidRPr="00A127B4">
        <w:rPr>
          <w:rFonts w:cs="Times New Roman"/>
        </w:rPr>
        <w:t xml:space="preserve">, the claimant had failed to satisfy the dignity test.  Again, the majority emphasized the importance of the claimant’s choice, concluding that a legislative regime that respected the personal autonomy and freedom of choice of an individual </w:t>
      </w:r>
      <w:r w:rsidRPr="00A127B4">
        <w:rPr>
          <w:rFonts w:cs="Times New Roman"/>
          <w:i/>
        </w:rPr>
        <w:t>enhanced</w:t>
      </w:r>
      <w:r w:rsidRPr="00A127B4">
        <w:rPr>
          <w:rFonts w:cs="Times New Roman"/>
        </w:rPr>
        <w:t xml:space="preserve"> rather than detracted from their dignity.  This reliance on dignity is the analytic approach this Court eschewed in </w:t>
      </w:r>
      <w:r w:rsidRPr="00A127B4">
        <w:rPr>
          <w:rFonts w:cs="Times New Roman"/>
          <w:i/>
        </w:rPr>
        <w:t xml:space="preserve">Kapp </w:t>
      </w:r>
      <w:r w:rsidRPr="00A127B4">
        <w:rPr>
          <w:rFonts w:cs="Times New Roman"/>
        </w:rPr>
        <w:t xml:space="preserve">when it dropped “dignity” as a required component in the s. 15(1) analysis because it had become an undue evidentiary burden for claimants.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In </w:t>
      </w:r>
      <w:r w:rsidRPr="00A127B4">
        <w:rPr>
          <w:rFonts w:cs="Times New Roman"/>
          <w:i/>
        </w:rPr>
        <w:t>Walsh</w:t>
      </w:r>
      <w:r w:rsidRPr="00A127B4">
        <w:rPr>
          <w:rFonts w:cs="Times New Roman"/>
        </w:rPr>
        <w:t xml:space="preserve">, the majority’s </w:t>
      </w:r>
      <w:r w:rsidRPr="00F81B96">
        <w:rPr>
          <w:rFonts w:cs="Times New Roman"/>
          <w:lang w:val="en-US"/>
        </w:rPr>
        <w:t>focus</w:t>
      </w:r>
      <w:r w:rsidRPr="00A127B4">
        <w:rPr>
          <w:rFonts w:cs="Times New Roman"/>
        </w:rPr>
        <w:t xml:space="preserve"> on choice rather than on the impact of the distinction on members of the group also paid insufficient attention to the requirement for a true substantive equality analysis, affirmed in </w:t>
      </w:r>
      <w:r w:rsidRPr="00A127B4">
        <w:rPr>
          <w:rFonts w:cs="Times New Roman"/>
          <w:i/>
        </w:rPr>
        <w:t>Kapp</w:t>
      </w:r>
      <w:r w:rsidRPr="00A127B4">
        <w:rPr>
          <w:rFonts w:cs="Times New Roman"/>
        </w:rPr>
        <w:t xml:space="preserve"> and </w:t>
      </w:r>
      <w:r w:rsidRPr="00A127B4">
        <w:rPr>
          <w:rFonts w:cs="Times New Roman"/>
          <w:i/>
        </w:rPr>
        <w:t>Withler</w:t>
      </w:r>
      <w:r w:rsidRPr="00A127B4">
        <w:rPr>
          <w:rFonts w:cs="Times New Roman"/>
        </w:rPr>
        <w:t xml:space="preserve">.  In contrast to formal equality, which assumes an “autonomous, self-interested and self-determined” individual, substantive equality looks not only at the choices that are available to individuals, but at “the social and economic environments in which [they] pla[y] out” (Margot Young, “Unequal to the Task: ‘Kapp’ing the Substantive Potential of Section 15”, in Sanda Rodgers and Sheila McIntyre, eds., </w:t>
      </w:r>
      <w:r w:rsidRPr="00A127B4">
        <w:rPr>
          <w:rFonts w:cs="Times New Roman"/>
          <w:i/>
        </w:rPr>
        <w:t xml:space="preserve">The Supreme Court of Canada and Social Justice: Commitment, Retrenchment or Retreat </w:t>
      </w:r>
      <w:r w:rsidRPr="00A127B4">
        <w:rPr>
          <w:rFonts w:cs="Times New Roman"/>
        </w:rPr>
        <w:t xml:space="preserve">(2010), 183, at pp. 190-91 and 196).  </w:t>
      </w:r>
    </w:p>
    <w:p w:rsidR="004862B9" w:rsidRPr="00A127B4" w:rsidRDefault="00F81B96" w:rsidP="00F81B96">
      <w:pPr>
        <w:pStyle w:val="ParaNoNdepar-AltN"/>
        <w:tabs>
          <w:tab w:val="clear" w:pos="1166"/>
          <w:tab w:val="num" w:pos="1152"/>
          <w:tab w:val="num" w:pos="1242"/>
        </w:tabs>
        <w:ind w:left="0"/>
        <w:rPr>
          <w:rFonts w:cs="Times New Roman"/>
        </w:rPr>
      </w:pPr>
      <w:r>
        <w:rPr>
          <w:rFonts w:cs="Times New Roman"/>
        </w:rPr>
        <w:t>T</w:t>
      </w:r>
      <w:r w:rsidR="004862B9" w:rsidRPr="00A127B4">
        <w:rPr>
          <w:rFonts w:cs="Times New Roman"/>
        </w:rPr>
        <w:t xml:space="preserve">his is not to suggest that the issue of choice is entirely irrelevant to a claim under s. 15(1).  It may be an important factor in determining whether a ground of discrimination qualifies as an analogous ground.  In addition, it may factor into the s. 1 analysis.  Examining choice at the s. 1 stage instead of integrating it into the discrimination analysis as the majority did in </w:t>
      </w:r>
      <w:r w:rsidR="004862B9" w:rsidRPr="00A127B4">
        <w:rPr>
          <w:rFonts w:cs="Times New Roman"/>
          <w:i/>
        </w:rPr>
        <w:t>Walsh</w:t>
      </w:r>
      <w:r w:rsidR="004862B9" w:rsidRPr="00A127B4">
        <w:rPr>
          <w:rFonts w:cs="Times New Roman"/>
        </w:rPr>
        <w:t xml:space="preserve"> properly places the onus on the government to justify the exclusion based on freedom of choice, rather than compromising the s. 15(1) analysis.  It is not the claimant’s burden to disprove the legislative purpose for the exclusion, but the government’s to demonstrate it under s. 1.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i/>
        </w:rPr>
        <w:t xml:space="preserve">Walsh </w:t>
      </w:r>
      <w:r w:rsidRPr="00A127B4">
        <w:rPr>
          <w:rFonts w:cs="Times New Roman"/>
        </w:rPr>
        <w:t xml:space="preserve">is also at odds with the substantive equality analysis of </w:t>
      </w:r>
      <w:r w:rsidRPr="00A127B4">
        <w:rPr>
          <w:rFonts w:cs="Times New Roman"/>
          <w:i/>
        </w:rPr>
        <w:t xml:space="preserve">Kapp </w:t>
      </w:r>
      <w:r w:rsidRPr="00A127B4">
        <w:rPr>
          <w:rFonts w:cs="Times New Roman"/>
        </w:rPr>
        <w:t xml:space="preserve">and </w:t>
      </w:r>
      <w:r w:rsidRPr="00A127B4">
        <w:rPr>
          <w:rFonts w:cs="Times New Roman"/>
          <w:i/>
        </w:rPr>
        <w:t xml:space="preserve">Withler </w:t>
      </w:r>
      <w:r w:rsidRPr="00A127B4">
        <w:rPr>
          <w:rFonts w:cs="Times New Roman"/>
        </w:rPr>
        <w:t>in its emphasis on the heterogeneity of common law relationships</w:t>
      </w:r>
      <w:r w:rsidRPr="00A127B4">
        <w:rPr>
          <w:rFonts w:cs="Times New Roman"/>
          <w:i/>
        </w:rPr>
        <w:t>.</w:t>
      </w:r>
      <w:r w:rsidRPr="00A127B4">
        <w:rPr>
          <w:rFonts w:cs="Times New Roman"/>
        </w:rPr>
        <w:t xml:space="preserve"> The </w:t>
      </w:r>
      <w:r w:rsidRPr="00A127B4">
        <w:rPr>
          <w:rFonts w:cs="Times New Roman"/>
          <w:i/>
        </w:rPr>
        <w:t xml:space="preserve">Walsh </w:t>
      </w:r>
      <w:r w:rsidRPr="00A127B4">
        <w:rPr>
          <w:rFonts w:cs="Times New Roman"/>
        </w:rPr>
        <w:t xml:space="preserve">majority found this heterogeneity to be a pertinent distinction between married spouses and unmarried spouses.  The majority accepted that some common law spouses suffered adverse impact, but emphasized that “many persons in circumstances similar to those of the parties, that is, opposite sex individuals in conjugal relationships of some permanence, have chosen to avoid the institution of marriage and the legal consequences that flow from it” (para. 43).  The majority relied on the fact that not </w:t>
      </w:r>
      <w:r w:rsidRPr="00A127B4">
        <w:rPr>
          <w:rFonts w:cs="Times New Roman"/>
          <w:i/>
        </w:rPr>
        <w:t xml:space="preserve">all </w:t>
      </w:r>
      <w:r w:rsidRPr="00A127B4">
        <w:rPr>
          <w:rFonts w:cs="Times New Roman"/>
        </w:rPr>
        <w:t xml:space="preserve">common law spouses suffered discrimination as a basis for rejecting the s. 15(1) claim.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importance the </w:t>
      </w:r>
      <w:r w:rsidRPr="00A127B4">
        <w:rPr>
          <w:rFonts w:cs="Times New Roman"/>
          <w:i/>
        </w:rPr>
        <w:t xml:space="preserve">Walsh </w:t>
      </w:r>
      <w:r w:rsidRPr="00A127B4">
        <w:rPr>
          <w:rFonts w:cs="Times New Roman"/>
        </w:rPr>
        <w:t xml:space="preserve">majority placed on the heterogeneity of unmarried relationships resulted from its use of the then operative comparator group analysis. The majority assessed the discrimination claim by comparing two groups: married heterosexual cohabitants and unmarried heterosexual cohabitants.  Although the majority in </w:t>
      </w:r>
      <w:r w:rsidRPr="00A127B4">
        <w:rPr>
          <w:rFonts w:cs="Times New Roman"/>
          <w:i/>
        </w:rPr>
        <w:t>Walsh</w:t>
      </w:r>
      <w:r w:rsidRPr="00A127B4">
        <w:rPr>
          <w:rFonts w:cs="Times New Roman"/>
        </w:rPr>
        <w:t xml:space="preserve"> found that the “functional similarities” between married and common law spouses may be substantial, it held that “it would be wrong to ignore the significant heterogeneity that exists within the claimant’s comparator group [i.e. unmarried heterosex</w:t>
      </w:r>
      <w:r w:rsidR="00C0411D">
        <w:rPr>
          <w:rFonts w:cs="Times New Roman"/>
        </w:rPr>
        <w:t>ual cohabitants]” (para. 39).</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majority’s reasoning in </w:t>
      </w:r>
      <w:r w:rsidRPr="00A127B4">
        <w:rPr>
          <w:rFonts w:cs="Times New Roman"/>
          <w:i/>
        </w:rPr>
        <w:t xml:space="preserve">Walsh </w:t>
      </w:r>
      <w:r w:rsidRPr="00A127B4">
        <w:rPr>
          <w:rFonts w:cs="Times New Roman"/>
        </w:rPr>
        <w:t xml:space="preserve">illustrates the problems with comparator groups that the subsequent decision in </w:t>
      </w:r>
      <w:r w:rsidRPr="00A127B4">
        <w:rPr>
          <w:rFonts w:cs="Times New Roman"/>
          <w:i/>
        </w:rPr>
        <w:t>Withler</w:t>
      </w:r>
      <w:r w:rsidRPr="00A127B4">
        <w:rPr>
          <w:rFonts w:cs="Times New Roman"/>
        </w:rPr>
        <w:t xml:space="preserve"> sought to address, namely that “a mirror comparator group analysis may fail to capture substantive inequality, may become a search for sameness, may shortcut the second stage of the substantive equality analysis, and may be difficult to apply” (para. 60).  In </w:t>
      </w:r>
      <w:r w:rsidRPr="00A127B4">
        <w:rPr>
          <w:rFonts w:cs="Times New Roman"/>
          <w:i/>
        </w:rPr>
        <w:t>Walsh</w:t>
      </w:r>
      <w:r w:rsidRPr="00A127B4">
        <w:rPr>
          <w:rFonts w:cs="Times New Roman"/>
        </w:rPr>
        <w:t xml:space="preserve">, the fact that the comparator group of married spouses was not perfectly mirrored by the group of unmarried spouses, based on the heterogeneity of the latter, short-circuited the analysis of the actual adverse impact experienced by a significant proportion of unmarried spouses. </w:t>
      </w:r>
    </w:p>
    <w:p w:rsidR="004862B9" w:rsidRPr="00A127B4" w:rsidRDefault="004862B9" w:rsidP="00F81B96">
      <w:pPr>
        <w:pStyle w:val="ParaNoNdepar-AltN"/>
        <w:tabs>
          <w:tab w:val="clear" w:pos="1166"/>
          <w:tab w:val="num" w:pos="1152"/>
          <w:tab w:val="num" w:pos="1242"/>
        </w:tabs>
        <w:ind w:left="0"/>
        <w:rPr>
          <w:rFonts w:cs="Times New Roman"/>
          <w:u w:val="single"/>
        </w:rPr>
      </w:pPr>
      <w:r w:rsidRPr="00A127B4">
        <w:rPr>
          <w:rFonts w:cs="Times New Roman"/>
        </w:rPr>
        <w:t xml:space="preserve">For all these reasons, and with great respect, I think, unlike the Court of Appeal, we can appropriately proceed to the application of the s. 15(1) test in this case untethered from </w:t>
      </w:r>
      <w:r w:rsidRPr="00A127B4">
        <w:rPr>
          <w:rFonts w:cs="Times New Roman"/>
          <w:i/>
        </w:rPr>
        <w:t>Walsh</w:t>
      </w:r>
      <w:r w:rsidRPr="00A127B4">
        <w:rPr>
          <w:rFonts w:cs="Times New Roman"/>
        </w:rPr>
        <w:t xml:space="preserve">. </w:t>
      </w:r>
    </w:p>
    <w:p w:rsidR="004862B9" w:rsidRPr="00A127B4" w:rsidRDefault="004862B9" w:rsidP="004862B9">
      <w:pPr>
        <w:pStyle w:val="ParaNoNdepar-AltN"/>
        <w:numPr>
          <w:ilvl w:val="0"/>
          <w:numId w:val="0"/>
        </w:numPr>
        <w:rPr>
          <w:rFonts w:cs="Times New Roman"/>
          <w:u w:val="single"/>
        </w:rPr>
      </w:pPr>
      <w:r w:rsidRPr="00A127B4">
        <w:rPr>
          <w:rFonts w:cs="Times New Roman"/>
          <w:u w:val="single"/>
        </w:rPr>
        <w:t>Application</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first step in s. 15(1) is to identify the distinction at issue and determine whether it is based on an enumerated or analogous ground. This is easily demonstrated in this case. The exclusion of </w:t>
      </w:r>
      <w:r w:rsidRPr="00A127B4">
        <w:rPr>
          <w:rFonts w:cs="Times New Roman"/>
          <w:i/>
        </w:rPr>
        <w:t>de facto</w:t>
      </w:r>
      <w:r w:rsidRPr="00A127B4">
        <w:rPr>
          <w:rFonts w:cs="Times New Roman"/>
        </w:rPr>
        <w:t xml:space="preserve"> spouses from the economic protections for formal spousal unions is a distinction based on marital status, an analogous ground.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We must then consider whether the distinction is discriminatory.  That it imposes a disadvantage is clear, in my view:  the law excludes economically vulnerable and dependent </w:t>
      </w:r>
      <w:r w:rsidRPr="00A127B4">
        <w:rPr>
          <w:rFonts w:cs="Times New Roman"/>
          <w:i/>
        </w:rPr>
        <w:t xml:space="preserve">de facto </w:t>
      </w:r>
      <w:r w:rsidRPr="00A127B4">
        <w:rPr>
          <w:rFonts w:cs="Times New Roman"/>
        </w:rPr>
        <w:t xml:space="preserve">spouses from protections considered so fundamental to the welfare of vulnerable married or civil union spouses that one of those protections is presumptive, and the rest are of public order, explicitly overriding the couple’s freedom of contract or choice.  The disadvantage this exclusion perpetuates is an historic one: it continues to deny </w:t>
      </w:r>
      <w:r w:rsidRPr="00A127B4">
        <w:rPr>
          <w:rFonts w:cs="Times New Roman"/>
          <w:i/>
        </w:rPr>
        <w:t xml:space="preserve">de facto </w:t>
      </w:r>
      <w:r w:rsidRPr="00A127B4">
        <w:rPr>
          <w:rFonts w:cs="Times New Roman"/>
        </w:rPr>
        <w:t xml:space="preserve">spouses access to economic remedies they have always been deprived of, remedies the National Assembly considered indispensable for the protection of married and civil union spouses.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There is little doubt that some</w:t>
      </w:r>
      <w:r w:rsidRPr="00A127B4">
        <w:rPr>
          <w:rFonts w:cs="Times New Roman"/>
          <w:i/>
        </w:rPr>
        <w:t xml:space="preserve"> de facto</w:t>
      </w:r>
      <w:r w:rsidRPr="00A127B4">
        <w:rPr>
          <w:rFonts w:cs="Times New Roman"/>
        </w:rPr>
        <w:t xml:space="preserve"> couples are in relationships that are functionally similar to formally recognized spousal relationships. When introducing family law reforms in 1976, the Ontario Ministry of the Attorney General acknowledged that the functional characteristics of unmarried relationships justified some protection:</w:t>
      </w:r>
    </w:p>
    <w:p w:rsidR="004862B9" w:rsidRPr="00851923" w:rsidRDefault="004862B9" w:rsidP="004862B9">
      <w:pPr>
        <w:pStyle w:val="Citation-AltC"/>
        <w:rPr>
          <w:lang w:val="en-CA"/>
        </w:rPr>
      </w:pPr>
      <w:r w:rsidRPr="00851923">
        <w:rPr>
          <w:lang w:val="en-CA"/>
        </w:rPr>
        <w:tab/>
        <w:t xml:space="preserve">When a man and woman have been living together in a relationship of some permanence, their lives take on the same financial characteristics as a legally recognized marriage.  Often the couple both contribute to household expenses.  One may be just as dependent on the other for certain tasks as married persons are. </w:t>
      </w:r>
    </w:p>
    <w:p w:rsidR="004862B9" w:rsidRPr="00851923" w:rsidRDefault="004862B9" w:rsidP="004862B9">
      <w:pPr>
        <w:pStyle w:val="Citation-AltC"/>
        <w:rPr>
          <w:lang w:val="en-CA"/>
        </w:rPr>
      </w:pPr>
    </w:p>
    <w:p w:rsidR="004862B9" w:rsidRPr="00851923" w:rsidRDefault="004862B9" w:rsidP="009B56EB">
      <w:pPr>
        <w:pStyle w:val="Citation-AltC"/>
        <w:ind w:left="0"/>
        <w:rPr>
          <w:lang w:val="en-CA"/>
        </w:rPr>
      </w:pPr>
      <w:r w:rsidRPr="00851923">
        <w:rPr>
          <w:lang w:val="en-CA"/>
        </w:rPr>
        <w:t>(</w:t>
      </w:r>
      <w:r w:rsidRPr="00851923">
        <w:rPr>
          <w:i/>
          <w:lang w:val="en-CA"/>
        </w:rPr>
        <w:t>Family Law Reform</w:t>
      </w:r>
      <w:r w:rsidRPr="00851923">
        <w:rPr>
          <w:lang w:val="en-CA"/>
        </w:rPr>
        <w:t>, at p. 18)</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On the same note, the British Columbia Law Institute commented that people in “relationship[s] that </w:t>
      </w:r>
      <w:r w:rsidR="00400988">
        <w:rPr>
          <w:rFonts w:cs="Times New Roman"/>
        </w:rPr>
        <w:t>resembl[</w:t>
      </w:r>
      <w:r w:rsidRPr="00A127B4">
        <w:rPr>
          <w:rFonts w:cs="Times New Roman"/>
        </w:rPr>
        <w:t>e</w:t>
      </w:r>
      <w:r w:rsidR="00400988">
        <w:rPr>
          <w:rFonts w:cs="Times New Roman"/>
        </w:rPr>
        <w:t>]</w:t>
      </w:r>
      <w:r w:rsidRPr="00A127B4">
        <w:rPr>
          <w:rFonts w:cs="Times New Roman"/>
        </w:rPr>
        <w:t xml:space="preserve"> marriage may suffer economic prejudice when the relationship ends” and “are also in need of protection” (</w:t>
      </w:r>
      <w:r w:rsidRPr="00A127B4">
        <w:rPr>
          <w:rFonts w:cs="Times New Roman"/>
          <w:i/>
        </w:rPr>
        <w:t>Report on Recognition of Spousal and Family Status</w:t>
      </w:r>
      <w:r w:rsidRPr="00A127B4">
        <w:rPr>
          <w:rFonts w:cs="Times New Roman"/>
        </w:rPr>
        <w:t xml:space="preserve"> (1998), at p. 7).  The Law Reform Commission of Nova Scotia noted that, due to the functional similarities, unmarried relationships “deserve to be treated similarly by the law” as marriages (</w:t>
      </w:r>
      <w:r w:rsidRPr="00A127B4">
        <w:rPr>
          <w:rFonts w:cs="Times New Roman"/>
          <w:i/>
        </w:rPr>
        <w:t>Final Report: Reform of the Law Dealing with Matrimonial Property in Nova Scotia</w:t>
      </w:r>
      <w:r w:rsidRPr="00A127B4">
        <w:rPr>
          <w:rFonts w:cs="Times New Roman"/>
        </w:rPr>
        <w:t xml:space="preserve"> (1997), at p. 21).  And the Law Reform Commission of Saskatchewan tied these functional similarities to the goals of matrimonial property legislation, commenting that</w:t>
      </w:r>
    </w:p>
    <w:p w:rsidR="004862B9" w:rsidRPr="00851923" w:rsidRDefault="004862B9" w:rsidP="004862B9">
      <w:pPr>
        <w:pStyle w:val="Citation-AltC"/>
        <w:rPr>
          <w:lang w:val="en-CA"/>
        </w:rPr>
      </w:pPr>
      <w:r w:rsidRPr="00851923">
        <w:rPr>
          <w:lang w:val="en-CA"/>
        </w:rPr>
        <w:t xml:space="preserve">[t]he realities of marriage, not the legal status it creates, justified [matrimonial property] legislation. If long-term common law relationships are functionally similar, the mechanism by which the status is created is less important than the fact that the status entails social expectations that are usually associated with marriage.  </w:t>
      </w:r>
    </w:p>
    <w:p w:rsidR="004862B9" w:rsidRPr="00851923" w:rsidRDefault="004862B9" w:rsidP="004862B9">
      <w:pPr>
        <w:pStyle w:val="Citation-AltC"/>
        <w:rPr>
          <w:lang w:val="en-CA"/>
        </w:rPr>
      </w:pPr>
    </w:p>
    <w:p w:rsidR="004862B9" w:rsidRPr="00851923" w:rsidRDefault="004862B9" w:rsidP="009B56EB">
      <w:pPr>
        <w:pStyle w:val="Citation-AltC"/>
        <w:ind w:left="0"/>
        <w:rPr>
          <w:lang w:val="en-CA"/>
        </w:rPr>
      </w:pPr>
      <w:r w:rsidRPr="00851923">
        <w:rPr>
          <w:lang w:val="en-CA"/>
        </w:rPr>
        <w:t>(Discussion Paper, “Common Law Relationships Under the Matrimonial Property Act”, July 1997 (online), at p. 12)</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understanding of the functional similarity of </w:t>
      </w:r>
      <w:r w:rsidRPr="00A127B4">
        <w:rPr>
          <w:rFonts w:cs="Times New Roman"/>
          <w:i/>
        </w:rPr>
        <w:t xml:space="preserve">de facto </w:t>
      </w:r>
      <w:r w:rsidRPr="00A127B4">
        <w:rPr>
          <w:rFonts w:cs="Times New Roman"/>
        </w:rPr>
        <w:t>unions to marriages, it should be stressed, is shared in Quebec, where the Civil Code Revision Office, in proposing changes to the regime governing</w:t>
      </w:r>
      <w:r w:rsidRPr="00A127B4">
        <w:rPr>
          <w:rFonts w:cs="Times New Roman"/>
          <w:i/>
        </w:rPr>
        <w:t xml:space="preserve"> de facto</w:t>
      </w:r>
      <w:r w:rsidRPr="00A127B4">
        <w:rPr>
          <w:rFonts w:cs="Times New Roman"/>
        </w:rPr>
        <w:t xml:space="preserve"> spouses in 1978, accepted these functional similarities, commenting that “</w:t>
      </w:r>
      <w:r w:rsidRPr="00A127B4">
        <w:rPr>
          <w:rFonts w:cs="Times New Roman"/>
          <w:i/>
        </w:rPr>
        <w:t>[d]e facto</w:t>
      </w:r>
      <w:r w:rsidRPr="00A127B4">
        <w:rPr>
          <w:rFonts w:cs="Times New Roman"/>
        </w:rPr>
        <w:t xml:space="preserve"> unions, though perhaps more </w:t>
      </w:r>
      <w:r w:rsidR="00400988" w:rsidRPr="00A127B4">
        <w:rPr>
          <w:rFonts w:cs="Times New Roman"/>
        </w:rPr>
        <w:t>tenuous</w:t>
      </w:r>
      <w:r w:rsidRPr="00A127B4">
        <w:rPr>
          <w:rFonts w:cs="Times New Roman"/>
        </w:rPr>
        <w:t>, are often as stable as marriages” (</w:t>
      </w:r>
      <w:r w:rsidRPr="00A127B4">
        <w:rPr>
          <w:rFonts w:cs="Times New Roman"/>
          <w:i/>
        </w:rPr>
        <w:t>Report on the Québec Civil Code</w:t>
      </w:r>
      <w:r w:rsidR="00400988">
        <w:rPr>
          <w:rFonts w:cs="Times New Roman"/>
          <w:i/>
        </w:rPr>
        <w:t xml:space="preserve"> </w:t>
      </w:r>
      <w:r w:rsidR="00400988" w:rsidRPr="00A127B4">
        <w:rPr>
          <w:rFonts w:cs="Times New Roman"/>
          <w:lang w:bidi="en-US"/>
        </w:rPr>
        <w:t>(1978)</w:t>
      </w:r>
      <w:r w:rsidR="00400988">
        <w:rPr>
          <w:rFonts w:cs="Times New Roman"/>
          <w:lang w:bidi="en-US"/>
        </w:rPr>
        <w:t>, vol. II —</w:t>
      </w:r>
      <w:r w:rsidRPr="00A127B4">
        <w:rPr>
          <w:rFonts w:cs="Times New Roman"/>
          <w:lang w:bidi="en-US"/>
        </w:rPr>
        <w:t xml:space="preserve"> </w:t>
      </w:r>
      <w:r w:rsidRPr="00A127B4">
        <w:rPr>
          <w:rFonts w:cs="Times New Roman"/>
          <w:i/>
          <w:lang w:bidi="en-US"/>
        </w:rPr>
        <w:t>Commentaries</w:t>
      </w:r>
      <w:r w:rsidRPr="00A127B4">
        <w:rPr>
          <w:rFonts w:cs="Times New Roman"/>
          <w:lang w:bidi="en-US"/>
        </w:rPr>
        <w:t xml:space="preserve">, t. 1, at p. 113).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Court has also readily recognized that some </w:t>
      </w:r>
      <w:r w:rsidRPr="00A127B4">
        <w:rPr>
          <w:rFonts w:cs="Times New Roman"/>
          <w:i/>
        </w:rPr>
        <w:t xml:space="preserve">de facto </w:t>
      </w:r>
      <w:r w:rsidRPr="00A127B4">
        <w:rPr>
          <w:rFonts w:cs="Times New Roman"/>
        </w:rPr>
        <w:t xml:space="preserve">spouses share the functional characteristics of those in formal marriages. In the context of spousal support obligations, Cory and Iacobucci JJ. held in </w:t>
      </w:r>
      <w:r w:rsidRPr="00A127B4">
        <w:rPr>
          <w:rFonts w:cs="Times New Roman"/>
          <w:i/>
        </w:rPr>
        <w:t xml:space="preserve">M. v. H. </w:t>
      </w:r>
      <w:r w:rsidRPr="00A127B4">
        <w:rPr>
          <w:rFonts w:cs="Times New Roman"/>
        </w:rPr>
        <w:t>that unmarried</w:t>
      </w:r>
      <w:r w:rsidRPr="00A127B4">
        <w:rPr>
          <w:rFonts w:cs="Times New Roman"/>
          <w:i/>
        </w:rPr>
        <w:t xml:space="preserve"> </w:t>
      </w:r>
      <w:r w:rsidRPr="00A127B4">
        <w:rPr>
          <w:rFonts w:cs="Times New Roman"/>
        </w:rPr>
        <w:t xml:space="preserve">same-sex couples, unmarried opposite-sex couples, and married couples, can all fulfill the “generally accepted characteristics of a conjugal relationship [which] include shared shelter, sexual and personal behaviour, services, social activities, economic support and children, as well as the societal perception of the couple” (para. 59). And in </w:t>
      </w:r>
      <w:r w:rsidRPr="00A127B4">
        <w:rPr>
          <w:rFonts w:cs="Times New Roman"/>
          <w:i/>
        </w:rPr>
        <w:t>Pettkus v. Becker</w:t>
      </w:r>
      <w:r w:rsidRPr="00A127B4">
        <w:rPr>
          <w:rFonts w:cs="Times New Roman"/>
        </w:rPr>
        <w:t xml:space="preserve">, Dickson J. acknowledged that there was “no basis for any distinction, in dividing property and assets, between marital relationships and those more informal relationships which subsist for a lengthy period” and that the unmarried parties “lived as man and wife” (p. 850).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bidi="en-US"/>
        </w:rPr>
        <w:t xml:space="preserve">Even if there is a range of need or vulnerability among </w:t>
      </w:r>
      <w:r w:rsidRPr="00A127B4">
        <w:rPr>
          <w:rFonts w:cs="Times New Roman"/>
          <w:i/>
          <w:lang w:bidi="en-US"/>
        </w:rPr>
        <w:t>de facto</w:t>
      </w:r>
      <w:r w:rsidRPr="00A127B4">
        <w:rPr>
          <w:rFonts w:cs="Times New Roman"/>
          <w:lang w:bidi="en-US"/>
        </w:rPr>
        <w:t xml:space="preserve"> spouses, as there must inevitably be, </w:t>
      </w:r>
      <w:r w:rsidRPr="00A127B4">
        <w:rPr>
          <w:rFonts w:cs="Times New Roman"/>
        </w:rPr>
        <w:t xml:space="preserve">this Court has held that heterogeneity within a claimant group does not defeat a claim of discrimination.  In </w:t>
      </w:r>
      <w:r w:rsidRPr="00A127B4">
        <w:rPr>
          <w:rFonts w:cs="Times New Roman"/>
          <w:i/>
        </w:rPr>
        <w:t>Janzen v. Platy Enterprises Ltd.</w:t>
      </w:r>
      <w:r w:rsidRPr="00A127B4">
        <w:rPr>
          <w:rFonts w:cs="Times New Roman"/>
        </w:rPr>
        <w:t xml:space="preserve">, [1989] 1 S.C.R. 1252, Dickson C.J., as he had in </w:t>
      </w:r>
      <w:r w:rsidRPr="00A127B4">
        <w:rPr>
          <w:rFonts w:cs="Times New Roman"/>
          <w:i/>
        </w:rPr>
        <w:t>Brooks</w:t>
      </w:r>
      <w:r w:rsidRPr="00A127B4">
        <w:rPr>
          <w:rFonts w:cs="Times New Roman"/>
        </w:rPr>
        <w:t>, squarely rejected the idea that for a claim of discrimination to succeed, all members of a group had to receive uniform treatment from the impugned law:</w:t>
      </w:r>
    </w:p>
    <w:p w:rsidR="004862B9" w:rsidRPr="00A127B4" w:rsidRDefault="004862B9" w:rsidP="004862B9">
      <w:pPr>
        <w:pStyle w:val="Citation-AltC"/>
      </w:pPr>
      <w:r w:rsidRPr="00851923">
        <w:rPr>
          <w:lang w:val="en-CA"/>
        </w:rPr>
        <w:t xml:space="preserve">While the concept of discrimination is rooted in the notion of treating an individual as part of a group rather than on the basis of the individual’s personal characteristics, </w:t>
      </w:r>
      <w:r w:rsidRPr="00851923">
        <w:rPr>
          <w:i/>
          <w:lang w:val="en-CA"/>
        </w:rPr>
        <w:t>discrimination does not require uniform treatment of all members of a particular group.  It is sufficient that ascribing to an individual a group characteristic is one factor in the treatment of that individual.</w:t>
      </w:r>
      <w:r w:rsidRPr="00851923">
        <w:rPr>
          <w:lang w:val="en-CA"/>
        </w:rPr>
        <w:t xml:space="preserve">  If a finding of discrimination required that every individual in the affected group be treated identically, legislative protection against discrimination would be of little or no value.  It is rare that a discriminatory action is so bluntly expressed as to treat all members of the relevant group identically.  In nearly every instance of discrimination the discriminatory action is composed of various ingredients with the result that some members of the pertinent group are not adversely affected, at least in a direct sense, by the discriminatory action.  </w:t>
      </w:r>
      <w:r w:rsidRPr="00851923">
        <w:rPr>
          <w:i/>
          <w:lang w:val="en-CA"/>
        </w:rPr>
        <w:t>To deny a finding of discrimination in the circumstances of this appeal is to deny the existence of discrimination in any situation where discriminatory practices are less than perfectly inclusive</w:t>
      </w:r>
      <w:r w:rsidRPr="00851923">
        <w:rPr>
          <w:lang w:val="en-CA"/>
        </w:rPr>
        <w:t xml:space="preserve">.  It is to argue, for example, that an employer who will only hire a woman if she has twice the qualifications required of a man is not guilty of sex discrimination if, despite this policy, the employer nevertheless manages to hire some women.  </w:t>
      </w:r>
      <w:r w:rsidRPr="00A127B4">
        <w:t>[Emphasis added; pp. 1288-89.]</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Although </w:t>
      </w:r>
      <w:r w:rsidRPr="00A127B4">
        <w:rPr>
          <w:rFonts w:cs="Times New Roman"/>
          <w:i/>
        </w:rPr>
        <w:t>Janzen</w:t>
      </w:r>
      <w:r w:rsidRPr="00A127B4">
        <w:rPr>
          <w:rFonts w:cs="Times New Roman"/>
        </w:rPr>
        <w:t xml:space="preserve"> and </w:t>
      </w:r>
      <w:r w:rsidRPr="00A127B4">
        <w:rPr>
          <w:rFonts w:cs="Times New Roman"/>
          <w:i/>
        </w:rPr>
        <w:t>Brooks</w:t>
      </w:r>
      <w:r w:rsidRPr="00A127B4">
        <w:rPr>
          <w:rFonts w:cs="Times New Roman"/>
        </w:rPr>
        <w:t xml:space="preserve"> were decided in the human rights context, they were applied in the </w:t>
      </w:r>
      <w:r w:rsidRPr="00A127B4">
        <w:rPr>
          <w:rFonts w:cs="Times New Roman"/>
          <w:i/>
        </w:rPr>
        <w:t>Charter</w:t>
      </w:r>
      <w:r w:rsidRPr="00A127B4">
        <w:rPr>
          <w:rFonts w:cs="Times New Roman"/>
        </w:rPr>
        <w:t xml:space="preserve"> context in </w:t>
      </w:r>
      <w:r w:rsidRPr="00A127B4">
        <w:rPr>
          <w:rFonts w:cs="Times New Roman"/>
          <w:i/>
        </w:rPr>
        <w:t>Nova Scotia (Workers’ Compensation Board) v. Martin</w:t>
      </w:r>
      <w:r w:rsidRPr="00A127B4">
        <w:rPr>
          <w:rFonts w:cs="Times New Roman"/>
        </w:rPr>
        <w:t xml:space="preserve">, [2003] 2 S.C.R. 504, where Gonthier J. held that “[t]his Court has long recognized that differential treatment can occur . . .  despite the fact that not all persons belonging to the relevant group are equally mistreated” (para. 76).  In other words, even if only some members of an enumerated or analogous group suffer discrimination by virtue of their membership in that group, the distinction and adverse impact can still constitute discrimination.  </w:t>
      </w:r>
    </w:p>
    <w:p w:rsidR="004862B9" w:rsidRPr="00A127B4" w:rsidRDefault="004862B9" w:rsidP="00F81B96">
      <w:pPr>
        <w:pStyle w:val="ParaNoNdepar-AltN"/>
        <w:tabs>
          <w:tab w:val="clear" w:pos="1166"/>
          <w:tab w:val="num" w:pos="1152"/>
          <w:tab w:val="num" w:pos="1242"/>
        </w:tabs>
        <w:ind w:left="0"/>
        <w:rPr>
          <w:rFonts w:cs="Times New Roman"/>
          <w:b/>
          <w:i/>
          <w:lang w:val="en-US"/>
        </w:rPr>
      </w:pPr>
      <w:r w:rsidRPr="00A127B4">
        <w:rPr>
          <w:rFonts w:cs="Times New Roman"/>
        </w:rPr>
        <w:t xml:space="preserve">The National Assembly enacted economic safeguards for spouses in formal unions based on the need to protect them from the economic consequences of their assumed roles.  Since many spouses in </w:t>
      </w:r>
      <w:r w:rsidRPr="00A127B4">
        <w:rPr>
          <w:rFonts w:cs="Times New Roman"/>
          <w:i/>
        </w:rPr>
        <w:t>de facto</w:t>
      </w:r>
      <w:r w:rsidRPr="00A127B4">
        <w:rPr>
          <w:rFonts w:cs="Times New Roman"/>
        </w:rPr>
        <w:t xml:space="preserve"> couples exhibit the same functional characteristics as those in formal unions, with the same potential for one partner to be left economically vulnerable or disadvantaged when the relationship ends, their exclusion from similar protections perpetuates historic</w:t>
      </w:r>
      <w:r w:rsidRPr="00A127B4">
        <w:rPr>
          <w:rFonts w:cs="Times New Roman"/>
          <w:b/>
        </w:rPr>
        <w:t xml:space="preserve"> </w:t>
      </w:r>
      <w:r w:rsidRPr="00A127B4">
        <w:rPr>
          <w:rFonts w:cs="Times New Roman"/>
        </w:rPr>
        <w:t>disadvantage against them based on their</w:t>
      </w:r>
      <w:r w:rsidRPr="00A127B4">
        <w:rPr>
          <w:rFonts w:cs="Times New Roman"/>
          <w:b/>
        </w:rPr>
        <w:t xml:space="preserve"> </w:t>
      </w:r>
      <w:r w:rsidRPr="00A127B4">
        <w:rPr>
          <w:rFonts w:cs="Times New Roman"/>
        </w:rPr>
        <w:t xml:space="preserve">marital status.  </w:t>
      </w:r>
    </w:p>
    <w:p w:rsidR="004862B9" w:rsidRPr="00A127B4" w:rsidRDefault="004862B9" w:rsidP="00F81B96">
      <w:pPr>
        <w:pStyle w:val="ParaNoNdepar-AltN"/>
        <w:tabs>
          <w:tab w:val="clear" w:pos="1166"/>
          <w:tab w:val="num" w:pos="1152"/>
          <w:tab w:val="num" w:pos="1242"/>
        </w:tabs>
        <w:ind w:left="0"/>
        <w:rPr>
          <w:rFonts w:cs="Times New Roman"/>
          <w:i/>
          <w:lang w:val="en-US"/>
        </w:rPr>
      </w:pPr>
      <w:r w:rsidRPr="00A127B4">
        <w:rPr>
          <w:rFonts w:cs="Times New Roman"/>
        </w:rPr>
        <w:t xml:space="preserve">There is no need to look for an attitude of prejudice motivating, or created by, the exclusion of </w:t>
      </w:r>
      <w:r w:rsidRPr="00A127B4">
        <w:rPr>
          <w:rFonts w:cs="Times New Roman"/>
          <w:i/>
        </w:rPr>
        <w:t xml:space="preserve">de facto </w:t>
      </w:r>
      <w:r w:rsidRPr="00A127B4">
        <w:rPr>
          <w:rFonts w:cs="Times New Roman"/>
        </w:rPr>
        <w:t xml:space="preserve">couples from the presumptive statutory protections.  Nor need we consider whether the exclusions promote the view that the individual is less capable or worthy of recognition as a human being or citizen — which, as discussed in </w:t>
      </w:r>
      <w:r w:rsidRPr="00A127B4">
        <w:rPr>
          <w:rFonts w:cs="Times New Roman"/>
          <w:i/>
        </w:rPr>
        <w:t>Kapp</w:t>
      </w:r>
      <w:r w:rsidRPr="00A127B4">
        <w:rPr>
          <w:rFonts w:cs="Times New Roman"/>
        </w:rPr>
        <w:t xml:space="preserve">, would be difficult to prove.  There is no doubt that attitudes have changed towards </w:t>
      </w:r>
      <w:r w:rsidRPr="00A127B4">
        <w:rPr>
          <w:rFonts w:cs="Times New Roman"/>
          <w:i/>
        </w:rPr>
        <w:t xml:space="preserve">de facto </w:t>
      </w:r>
      <w:r w:rsidRPr="00A127B4">
        <w:rPr>
          <w:rFonts w:cs="Times New Roman"/>
        </w:rPr>
        <w:t xml:space="preserve">unions in Quebec, but what is relevant is not the </w:t>
      </w:r>
      <w:r w:rsidRPr="00A127B4">
        <w:rPr>
          <w:rFonts w:cs="Times New Roman"/>
          <w:i/>
        </w:rPr>
        <w:t>attitudinal</w:t>
      </w:r>
      <w:r w:rsidRPr="00A127B4">
        <w:rPr>
          <w:rFonts w:cs="Times New Roman"/>
        </w:rPr>
        <w:t xml:space="preserve"> progress towards them, but the continuation of their discriminatory </w:t>
      </w:r>
      <w:r w:rsidRPr="00A127B4">
        <w:rPr>
          <w:rFonts w:cs="Times New Roman"/>
          <w:i/>
        </w:rPr>
        <w:t>treatment</w:t>
      </w:r>
      <w:r w:rsidRPr="00A127B4">
        <w:rPr>
          <w:rFonts w:cs="Times New Roman"/>
        </w:rPr>
        <w:t xml:space="preserv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brings us to the s. 1 analysis.  The application judge found that the purpose of the exclusion of </w:t>
      </w:r>
      <w:r w:rsidRPr="00A127B4">
        <w:rPr>
          <w:rFonts w:cs="Times New Roman"/>
          <w:i/>
        </w:rPr>
        <w:t>de facto</w:t>
      </w:r>
      <w:r w:rsidRPr="00A127B4">
        <w:rPr>
          <w:rFonts w:cs="Times New Roman"/>
        </w:rPr>
        <w:t xml:space="preserve"> spouses from the presumptive statutory protections was to preserve their freedom to choose to be outside the legal regimes governing marriage and civil unions. The Court of Appeal questioned whether, in the context of spousal support, freedom of choice can qualify as a pressing and substantial objective. Quebec has implemented </w:t>
      </w:r>
      <w:r w:rsidRPr="00A127B4">
        <w:rPr>
          <w:rFonts w:cs="Times New Roman"/>
          <w:i/>
        </w:rPr>
        <w:t>mandatory</w:t>
      </w:r>
      <w:r w:rsidRPr="00A127B4">
        <w:rPr>
          <w:rFonts w:cs="Times New Roman"/>
        </w:rPr>
        <w:t xml:space="preserve"> provisions relating to support, they noted, thereby denying spouses in marriages or civil unions any freedom of choice in the interests of protecting and compensating economically vulnerable spouses.  </w:t>
      </w:r>
      <w:r w:rsidRPr="00A127B4">
        <w:rPr>
          <w:rFonts w:cs="Times New Roman"/>
          <w:i/>
        </w:rPr>
        <w:t>De facto</w:t>
      </w:r>
      <w:r w:rsidRPr="00A127B4">
        <w:rPr>
          <w:rFonts w:cs="Times New Roman"/>
        </w:rPr>
        <w:t xml:space="preserve"> spouses, on the other hand, have been excluded from similar protection based on the very freedom of choice Quebec has decided is irrelevant for formally recognized spousal relationships.  However, since the objective of preserving freedom of choice was not vigorously</w:t>
      </w:r>
      <w:r w:rsidRPr="00A127B4">
        <w:rPr>
          <w:rFonts w:cs="Times New Roman"/>
          <w:b/>
        </w:rPr>
        <w:t xml:space="preserve"> </w:t>
      </w:r>
      <w:r w:rsidRPr="00A127B4">
        <w:rPr>
          <w:rFonts w:cs="Times New Roman"/>
        </w:rPr>
        <w:t>challenged by the parties before this Court, I would accept it for the purposes of the s. 1 analysis.</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At the rational connection stage, the government does not face a heavy burden.  It must show “</w:t>
      </w:r>
      <w:r w:rsidRPr="00A127B4">
        <w:rPr>
          <w:rFonts w:cs="Times New Roman"/>
          <w:lang w:bidi="en-US"/>
        </w:rPr>
        <w:t>that it is reasonable to suppose that the limit may further the goal, not that it will do so”</w:t>
      </w:r>
      <w:r w:rsidRPr="00A127B4">
        <w:rPr>
          <w:rFonts w:cs="Times New Roman"/>
          <w:i/>
        </w:rPr>
        <w:t xml:space="preserve"> </w:t>
      </w:r>
      <w:r w:rsidRPr="00A127B4">
        <w:rPr>
          <w:rFonts w:cs="Times New Roman"/>
        </w:rPr>
        <w:t>(</w:t>
      </w:r>
      <w:r w:rsidRPr="00A127B4">
        <w:rPr>
          <w:rFonts w:cs="Times New Roman"/>
          <w:i/>
        </w:rPr>
        <w:t>Alberta v. Hutterian Brethren of Wilson Colony</w:t>
      </w:r>
      <w:r w:rsidRPr="00A127B4">
        <w:rPr>
          <w:rFonts w:cs="Times New Roman"/>
        </w:rPr>
        <w:t xml:space="preserve">, [2009] 2 S.C.R. 567, at para. 48).  While I find the connection tenuous, I cannot say that excluding </w:t>
      </w:r>
      <w:r w:rsidRPr="00A127B4">
        <w:rPr>
          <w:rFonts w:cs="Times New Roman"/>
          <w:i/>
        </w:rPr>
        <w:t xml:space="preserve">de facto </w:t>
      </w:r>
      <w:r w:rsidRPr="00A127B4">
        <w:rPr>
          <w:rFonts w:cs="Times New Roman"/>
        </w:rPr>
        <w:t>spouses from the support and division of property protections is wholly unconnected to the goal of allowing couples the freedom to be outside the legal regimes governing marriage and civil union.</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iCs/>
          <w:lang w:bidi="en-US"/>
        </w:rPr>
        <w:t xml:space="preserve">The </w:t>
      </w:r>
      <w:r w:rsidRPr="00F81B96">
        <w:rPr>
          <w:rFonts w:cs="Times New Roman"/>
        </w:rPr>
        <w:t>critical</w:t>
      </w:r>
      <w:r w:rsidRPr="00A127B4">
        <w:rPr>
          <w:rFonts w:cs="Times New Roman"/>
          <w:iCs/>
          <w:lang w:bidi="en-US"/>
        </w:rPr>
        <w:t xml:space="preserve"> stage in this case, in my view, is minimal impairment, </w:t>
      </w:r>
      <w:r w:rsidRPr="00A127B4">
        <w:rPr>
          <w:rFonts w:cs="Times New Roman"/>
        </w:rPr>
        <w:t>under which “the government must show that the measures at issue impair the right . . . as little as reasonably possible in order to achieve the legislative objective” (</w:t>
      </w:r>
      <w:r w:rsidRPr="00A127B4">
        <w:rPr>
          <w:rFonts w:cs="Times New Roman"/>
          <w:i/>
          <w:iCs/>
        </w:rPr>
        <w:t>RJR-MacDonald Inc. v. Canada (Attorney General)</w:t>
      </w:r>
      <w:r w:rsidRPr="00A127B4">
        <w:rPr>
          <w:rFonts w:cs="Times New Roman"/>
        </w:rPr>
        <w:t xml:space="preserve">, [1995] 3 S.C.R. 199, at para. 160). </w:t>
      </w:r>
      <w:r w:rsidRPr="00A127B4">
        <w:rPr>
          <w:rFonts w:cs="Times New Roman"/>
          <w:iCs/>
          <w:lang w:bidi="en-US"/>
        </w:rPr>
        <w:t xml:space="preserve">   In my view, an outright exclusion of </w:t>
      </w:r>
      <w:r w:rsidRPr="00A127B4">
        <w:rPr>
          <w:rFonts w:cs="Times New Roman"/>
          <w:i/>
          <w:iCs/>
          <w:lang w:bidi="en-US"/>
        </w:rPr>
        <w:t xml:space="preserve">de facto </w:t>
      </w:r>
      <w:r w:rsidRPr="00A127B4">
        <w:rPr>
          <w:rFonts w:cs="Times New Roman"/>
          <w:iCs/>
          <w:lang w:bidi="en-US"/>
        </w:rPr>
        <w:t xml:space="preserve">spouses cannot be said to be minimally impairing of their equality rights.  A presumptively protective scheme, on the other hand, with a right on the part of </w:t>
      </w:r>
      <w:r w:rsidRPr="00A127B4">
        <w:rPr>
          <w:rFonts w:cs="Times New Roman"/>
          <w:i/>
          <w:iCs/>
          <w:lang w:bidi="en-US"/>
        </w:rPr>
        <w:t>de facto</w:t>
      </w:r>
      <w:r w:rsidRPr="00A127B4">
        <w:rPr>
          <w:rFonts w:cs="Times New Roman"/>
          <w:iCs/>
          <w:lang w:bidi="en-US"/>
        </w:rPr>
        <w:t xml:space="preserve"> spouses to opt </w:t>
      </w:r>
      <w:r w:rsidRPr="00A127B4">
        <w:rPr>
          <w:rFonts w:cs="Times New Roman"/>
          <w:i/>
          <w:iCs/>
          <w:lang w:bidi="en-US"/>
        </w:rPr>
        <w:t>out</w:t>
      </w:r>
      <w:r w:rsidRPr="00A127B4">
        <w:rPr>
          <w:rFonts w:cs="Times New Roman"/>
          <w:iCs/>
          <w:lang w:bidi="en-US"/>
        </w:rPr>
        <w:t xml:space="preserve">, is an example of an alternative that would provide economically vulnerable spouses with the protection they need, without in any way interfering with the legislative objective of giving freedom of choice to those </w:t>
      </w:r>
      <w:r w:rsidRPr="00A127B4">
        <w:rPr>
          <w:rFonts w:cs="Times New Roman"/>
          <w:i/>
          <w:iCs/>
          <w:lang w:bidi="en-US"/>
        </w:rPr>
        <w:t>de facto</w:t>
      </w:r>
      <w:r w:rsidRPr="00A127B4">
        <w:rPr>
          <w:rFonts w:cs="Times New Roman"/>
          <w:iCs/>
          <w:lang w:bidi="en-US"/>
        </w:rPr>
        <w:t xml:space="preserve"> spouses who want to exercise it.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Court has generally been reluctant to defer to the legislature in the context of total exclusions from a legislative scheme.  In </w:t>
      </w:r>
      <w:r w:rsidRPr="00A127B4">
        <w:rPr>
          <w:rFonts w:cs="Times New Roman"/>
          <w:i/>
        </w:rPr>
        <w:t>Eldridge v. British Columbia (Attorney General)</w:t>
      </w:r>
      <w:r w:rsidRPr="00A127B4">
        <w:rPr>
          <w:rFonts w:cs="Times New Roman"/>
        </w:rPr>
        <w:t xml:space="preserve">, [1997] 3 S.C.R. 624, the Court described the lack of funding for sign language interpretation </w:t>
      </w:r>
      <w:r w:rsidRPr="00A127B4">
        <w:rPr>
          <w:rFonts w:cs="Times New Roman"/>
          <w:lang w:bidi="en-US"/>
        </w:rPr>
        <w:t>as an approach that</w:t>
      </w:r>
      <w:r w:rsidRPr="00A127B4">
        <w:rPr>
          <w:rFonts w:cs="Times New Roman"/>
        </w:rPr>
        <w:t xml:space="preserve"> did not “reasonably balanc[e] the competing social demands which our society must address” (para. 93, citing </w:t>
      </w:r>
      <w:r w:rsidRPr="00A127B4">
        <w:rPr>
          <w:rFonts w:cs="Times New Roman"/>
          <w:i/>
        </w:rPr>
        <w:t>McKinney v. University of Guelph</w:t>
      </w:r>
      <w:r w:rsidRPr="00A127B4">
        <w:rPr>
          <w:rFonts w:cs="Times New Roman"/>
        </w:rPr>
        <w:t xml:space="preserve">, [1990] 3 S.C.R. 229, at p. 314).  Similarly, in </w:t>
      </w:r>
      <w:r w:rsidRPr="00A127B4">
        <w:rPr>
          <w:rFonts w:cs="Times New Roman"/>
          <w:i/>
        </w:rPr>
        <w:t>Tétreault-Gadoury v. Canada (Employment and Immigration Commission)</w:t>
      </w:r>
      <w:r w:rsidRPr="00A127B4">
        <w:rPr>
          <w:rFonts w:cs="Times New Roman"/>
        </w:rPr>
        <w:t xml:space="preserve">, [1991] 2 S.C.R. 22, the Court held that, even allowing for “a healthy measure of flexibility . . ., the complete denial of unemployment benefits [was] not an acceptable method of achieving any of the government objectives” (p. 47).  And in </w:t>
      </w:r>
      <w:r w:rsidRPr="00A127B4">
        <w:rPr>
          <w:rFonts w:cs="Times New Roman"/>
          <w:i/>
        </w:rPr>
        <w:t>Vriend v. Alberta</w:t>
      </w:r>
      <w:r w:rsidRPr="00A127B4">
        <w:rPr>
          <w:rFonts w:cs="Times New Roman"/>
        </w:rPr>
        <w:t>, [1998] 1 S.C.R. 493, in the context of the total exclusion of sexual orientation from human rights protections, the Court found that “the call for judicial deference [was] inappropriate” (para. 127).</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antipathy towards complete exclusions is hardly surprising, since the government is required under s. 1 </w:t>
      </w:r>
      <w:r w:rsidRPr="00A127B4">
        <w:rPr>
          <w:rFonts w:cs="Times New Roman"/>
          <w:lang w:bidi="en-US"/>
        </w:rPr>
        <w:t>to “explain why a significantly less intrusive and equally effective measure was not chosen” (</w:t>
      </w:r>
      <w:r w:rsidRPr="00A127B4">
        <w:rPr>
          <w:rFonts w:cs="Times New Roman"/>
          <w:i/>
        </w:rPr>
        <w:t>RJR-MacDonald</w:t>
      </w:r>
      <w:r w:rsidRPr="00A127B4">
        <w:rPr>
          <w:rFonts w:cs="Times New Roman"/>
        </w:rPr>
        <w:t xml:space="preserve">, at para. 160).  This will be a difficult burden to meet when, as in this case, a group has been entirely left out of access to a remedial scheme.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bidi="en-US"/>
        </w:rPr>
        <w:t xml:space="preserve">I </w:t>
      </w:r>
      <w:r w:rsidRPr="00A127B4">
        <w:rPr>
          <w:rFonts w:cs="Times New Roman"/>
        </w:rPr>
        <w:t xml:space="preserve">concede that the exclusion of </w:t>
      </w:r>
      <w:r w:rsidRPr="00A127B4">
        <w:rPr>
          <w:rFonts w:cs="Times New Roman"/>
          <w:i/>
        </w:rPr>
        <w:t>de facto</w:t>
      </w:r>
      <w:r w:rsidRPr="00A127B4">
        <w:rPr>
          <w:rFonts w:cs="Times New Roman"/>
        </w:rPr>
        <w:t xml:space="preserve"> spouses from spousal support and property regimes in Quebec was a carefully considered policy choice.  As my colleague LeBel J. points out, it was discussed and reaffirmed during successive family law reforms from 1980 onwards.  But the degree of legislative time, consultation and effort cannot act as a justificatory shield to guard against constitutional scrutiny.  What is of utmost relevance is the resulting legislative choice.  Neither the deliberative policy route — nor the popularity of its outcome — is a sufficient answer to the requirement of constitutional compliance.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iCs/>
          <w:lang w:bidi="en-US"/>
        </w:rPr>
        <w:t xml:space="preserve">This </w:t>
      </w:r>
      <w:r w:rsidRPr="00F81B96">
        <w:rPr>
          <w:rFonts w:cs="Times New Roman"/>
        </w:rPr>
        <w:t>Court</w:t>
      </w:r>
      <w:r w:rsidRPr="00A127B4">
        <w:rPr>
          <w:rFonts w:cs="Times New Roman"/>
          <w:iCs/>
          <w:lang w:bidi="en-US"/>
        </w:rPr>
        <w:t xml:space="preserve"> concluded in </w:t>
      </w:r>
      <w:r w:rsidRPr="00A127B4">
        <w:rPr>
          <w:rFonts w:cs="Times New Roman"/>
          <w:i/>
          <w:iCs/>
          <w:lang w:bidi="en-US"/>
        </w:rPr>
        <w:t xml:space="preserve">M. v. H. </w:t>
      </w:r>
      <w:r w:rsidRPr="00A127B4">
        <w:rPr>
          <w:rFonts w:cs="Times New Roman"/>
          <w:iCs/>
          <w:lang w:bidi="en-US"/>
        </w:rPr>
        <w:t xml:space="preserve">that </w:t>
      </w:r>
      <w:r w:rsidRPr="00A127B4">
        <w:rPr>
          <w:rFonts w:cs="Times New Roman"/>
        </w:rPr>
        <w:t xml:space="preserve">there should be deference to the policy choices that the legislature is “in a better position than the court to make, as in the case of difficult policy judgments regarding the claims of competing groups or the evaluation of complex and conflicting social science research” (para. 79).  </w:t>
      </w:r>
      <w:r w:rsidRPr="00A127B4">
        <w:rPr>
          <w:rFonts w:cs="Times New Roman"/>
          <w:lang w:bidi="en-US"/>
        </w:rPr>
        <w:t xml:space="preserve">But it went on to find that the question of spousal support entitlement was </w:t>
      </w:r>
      <w:r w:rsidRPr="00A127B4">
        <w:rPr>
          <w:rFonts w:cs="Times New Roman"/>
          <w:i/>
          <w:lang w:bidi="en-US"/>
        </w:rPr>
        <w:t>not</w:t>
      </w:r>
      <w:r w:rsidRPr="00A127B4">
        <w:rPr>
          <w:rFonts w:cs="Times New Roman"/>
          <w:lang w:bidi="en-US"/>
        </w:rPr>
        <w:t xml:space="preserve"> a question on which the legislature should be given deference:  </w:t>
      </w:r>
    </w:p>
    <w:p w:rsidR="004862B9" w:rsidRPr="00BF0597" w:rsidRDefault="004862B9" w:rsidP="004862B9">
      <w:pPr>
        <w:pStyle w:val="Citation-AltC"/>
        <w:rPr>
          <w:lang w:val="en-CA"/>
        </w:rPr>
      </w:pPr>
      <w:r w:rsidRPr="00851923">
        <w:rPr>
          <w:lang w:val="en-CA" w:bidi="en-US"/>
        </w:rPr>
        <w:t>[Since] no group will be disadvantaged by granting members of same-sex couples access to the spousal support scheme under the [</w:t>
      </w:r>
      <w:r w:rsidRPr="00851923">
        <w:rPr>
          <w:i/>
          <w:lang w:val="en-CA" w:bidi="en-US"/>
        </w:rPr>
        <w:t>Family Law Act</w:t>
      </w:r>
      <w:r w:rsidRPr="00851923">
        <w:rPr>
          <w:lang w:val="en-CA" w:bidi="en-US"/>
        </w:rPr>
        <w:t>, R.S.O. 1990, c. F.3], the notion of deference to legislative choices in the sense of balancing claims of competing groups has no application</w:t>
      </w:r>
      <w:r w:rsidR="00BF0597">
        <w:rPr>
          <w:lang w:val="en-CA" w:bidi="en-US"/>
        </w:rPr>
        <w:t xml:space="preserve"> </w:t>
      </w:r>
      <w:r w:rsidRPr="00851923">
        <w:rPr>
          <w:lang w:val="en-CA" w:bidi="en-US"/>
        </w:rPr>
        <w:t xml:space="preserve">. . . . </w:t>
      </w:r>
      <w:r w:rsidR="00AD6263">
        <w:rPr>
          <w:lang w:val="en-CA" w:bidi="en-US"/>
        </w:rPr>
        <w:t xml:space="preserve">[para. 126]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w:t>
      </w:r>
      <w:r w:rsidRPr="00F81B96">
        <w:rPr>
          <w:rFonts w:cs="Times New Roman"/>
          <w:iCs/>
          <w:lang w:bidi="en-US"/>
        </w:rPr>
        <w:t>argument</w:t>
      </w:r>
      <w:r w:rsidRPr="00A127B4">
        <w:rPr>
          <w:rFonts w:cs="Times New Roman"/>
        </w:rPr>
        <w:t xml:space="preserve"> was made that </w:t>
      </w:r>
      <w:r w:rsidRPr="00A127B4">
        <w:rPr>
          <w:rFonts w:cs="Times New Roman"/>
          <w:i/>
        </w:rPr>
        <w:t xml:space="preserve">de facto </w:t>
      </w:r>
      <w:r w:rsidRPr="00A127B4">
        <w:rPr>
          <w:rFonts w:cs="Times New Roman"/>
        </w:rPr>
        <w:t xml:space="preserve">spouses have other mechanisms available to them that compensate for their exclusion from the support and division of property regimes, specifically the ability to sign a cohabitation agreement and the possibility of claiming for unjust enrichment.  However, </w:t>
      </w:r>
      <w:r w:rsidRPr="00A127B4">
        <w:rPr>
          <w:rFonts w:cs="Times New Roman"/>
          <w:lang w:bidi="en-US"/>
        </w:rPr>
        <w:t xml:space="preserve">these contractual and statutory protections available to </w:t>
      </w:r>
      <w:r w:rsidRPr="00A127B4">
        <w:rPr>
          <w:rFonts w:cs="Times New Roman"/>
          <w:i/>
          <w:lang w:bidi="en-US"/>
        </w:rPr>
        <w:t>de facto</w:t>
      </w:r>
      <w:r w:rsidRPr="00A127B4">
        <w:rPr>
          <w:rFonts w:cs="Times New Roman"/>
          <w:lang w:bidi="en-US"/>
        </w:rPr>
        <w:t xml:space="preserve"> spouses in Quebec fall far short of what married and civil union spouses obtain presumptively, both in their content and in their realistic availability to the most vulnerable </w:t>
      </w:r>
      <w:r w:rsidRPr="00A127B4">
        <w:rPr>
          <w:rFonts w:cs="Times New Roman"/>
          <w:i/>
          <w:lang w:bidi="en-US"/>
        </w:rPr>
        <w:t xml:space="preserve">de facto </w:t>
      </w:r>
      <w:r w:rsidRPr="00A127B4">
        <w:rPr>
          <w:rFonts w:cs="Times New Roman"/>
          <w:lang w:bidi="en-US"/>
        </w:rPr>
        <w:t xml:space="preserve">spouses.   </w:t>
      </w:r>
      <w:r w:rsidRPr="00A127B4">
        <w:rPr>
          <w:rFonts w:cs="Times New Roman"/>
        </w:rPr>
        <w:t xml:space="preserve">The Court in </w:t>
      </w:r>
      <w:r w:rsidRPr="00A127B4">
        <w:rPr>
          <w:rFonts w:cs="Times New Roman"/>
          <w:i/>
        </w:rPr>
        <w:t xml:space="preserve">M. v. H. </w:t>
      </w:r>
      <w:r w:rsidRPr="00A127B4">
        <w:rPr>
          <w:rFonts w:cs="Times New Roman"/>
        </w:rPr>
        <w:t>has already</w:t>
      </w:r>
      <w:r w:rsidRPr="00A127B4">
        <w:rPr>
          <w:rFonts w:cs="Times New Roman"/>
          <w:i/>
        </w:rPr>
        <w:t xml:space="preserve"> </w:t>
      </w:r>
      <w:r w:rsidRPr="00A127B4">
        <w:rPr>
          <w:rFonts w:cs="Times New Roman"/>
        </w:rPr>
        <w:t xml:space="preserve">rejected the view that the availability of either of these options meant that there was no discrimination against same-sex couples who were excluded from spousal support.  It held that “neither the common law equitable remedies nor the law of contract are adequate substitutes for the </w:t>
      </w:r>
      <w:r w:rsidRPr="00A127B4">
        <w:rPr>
          <w:rFonts w:cs="Times New Roman"/>
          <w:i/>
        </w:rPr>
        <w:t>FLA</w:t>
      </w:r>
      <w:r w:rsidRPr="00A127B4">
        <w:rPr>
          <w:rFonts w:cs="Times New Roman"/>
        </w:rPr>
        <w:t xml:space="preserve">’s spousal support regime” and that “if these remedies were considered satisfactory there would have been no need for the spousal support regime” (para. 124).  As shall be seen, these alternatives are, in my respectful view, equally inadequate as substitutes for division of property.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bidi="en-US"/>
        </w:rPr>
        <w:t xml:space="preserve">With </w:t>
      </w:r>
      <w:r w:rsidRPr="00F81B96">
        <w:rPr>
          <w:rFonts w:cs="Times New Roman"/>
          <w:iCs/>
          <w:lang w:bidi="en-US"/>
        </w:rPr>
        <w:t>respect</w:t>
      </w:r>
      <w:r w:rsidRPr="00A127B4">
        <w:rPr>
          <w:rFonts w:cs="Times New Roman"/>
          <w:lang w:bidi="en-US"/>
        </w:rPr>
        <w:t xml:space="preserve"> to cohabitation agreements, Iacobucci J. in </w:t>
      </w:r>
      <w:r w:rsidRPr="00A127B4">
        <w:rPr>
          <w:rFonts w:cs="Times New Roman"/>
          <w:i/>
          <w:lang w:bidi="en-US"/>
        </w:rPr>
        <w:t>M. v. H.</w:t>
      </w:r>
      <w:r w:rsidRPr="00A127B4">
        <w:rPr>
          <w:rFonts w:cs="Times New Roman"/>
          <w:lang w:bidi="en-US"/>
        </w:rPr>
        <w:t xml:space="preserve"> found that </w:t>
      </w:r>
      <w:r w:rsidRPr="00A127B4">
        <w:rPr>
          <w:rFonts w:cs="Times New Roman"/>
        </w:rPr>
        <w:t>they did not provide an adequate justification for the exclusion of same-sex couples from the statute</w:t>
      </w:r>
      <w:r w:rsidRPr="00A127B4">
        <w:rPr>
          <w:rFonts w:cs="Times New Roman"/>
          <w:lang w:bidi="en-US"/>
        </w:rPr>
        <w:t xml:space="preserve"> (see para. 124). A contract requires positive action on the part of the spouses. That means that “[t]</w:t>
      </w:r>
      <w:r w:rsidRPr="00A127B4">
        <w:rPr>
          <w:rFonts w:cs="Times New Roman"/>
        </w:rPr>
        <w:t xml:space="preserve">hose who want to resolve support issues before the relationship breaks down are forced either to expend resources to devise a suitable contractual arrangement or risk being left without a remedy in law” (para. 122). </w:t>
      </w:r>
      <w:r w:rsidRPr="00A127B4">
        <w:rPr>
          <w:rFonts w:cs="Times New Roman"/>
          <w:i/>
        </w:rPr>
        <w:t xml:space="preserve">De facto </w:t>
      </w:r>
      <w:r w:rsidRPr="00A127B4">
        <w:rPr>
          <w:rFonts w:cs="Times New Roman"/>
        </w:rPr>
        <w:t>spouses face the same alternative with respect to division of property: since they are excluded from presumptive statutory regimes, they must either expend resources to create contractual protections or accept the risk of being unprotected. Iacobucci J. noted further that contracts provided inferior protection than a statute, such as against ba</w:t>
      </w:r>
      <w:r w:rsidR="00BF0597">
        <w:rPr>
          <w:rFonts w:cs="Times New Roman"/>
        </w:rPr>
        <w:t xml:space="preserve">nkruptcy </w:t>
      </w:r>
      <w:r w:rsidRPr="00A127B4">
        <w:rPr>
          <w:rFonts w:cs="Times New Roman"/>
        </w:rPr>
        <w:t xml:space="preserve">(para. 123).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bidi="en-US"/>
        </w:rPr>
        <w:t xml:space="preserve">As to the </w:t>
      </w:r>
      <w:r w:rsidRPr="00F81B96">
        <w:rPr>
          <w:rFonts w:cs="Times New Roman"/>
          <w:iCs/>
          <w:lang w:bidi="en-US"/>
        </w:rPr>
        <w:t>ability</w:t>
      </w:r>
      <w:r w:rsidRPr="00A127B4">
        <w:rPr>
          <w:rFonts w:cs="Times New Roman"/>
          <w:lang w:bidi="en-US"/>
        </w:rPr>
        <w:t xml:space="preserve"> of </w:t>
      </w:r>
      <w:r w:rsidRPr="00A127B4">
        <w:rPr>
          <w:rFonts w:cs="Times New Roman"/>
          <w:i/>
          <w:lang w:bidi="en-US"/>
        </w:rPr>
        <w:t>de facto</w:t>
      </w:r>
      <w:r w:rsidRPr="00A127B4">
        <w:rPr>
          <w:rFonts w:cs="Times New Roman"/>
          <w:lang w:bidi="en-US"/>
        </w:rPr>
        <w:t xml:space="preserve"> spouses to claim unjust enrichment, </w:t>
      </w:r>
      <w:r w:rsidRPr="00A127B4">
        <w:rPr>
          <w:rFonts w:cs="Times New Roman"/>
          <w:i/>
          <w:lang w:bidi="en-US"/>
        </w:rPr>
        <w:t>M. v. H.</w:t>
      </w:r>
      <w:r w:rsidRPr="00A127B4">
        <w:rPr>
          <w:rFonts w:cs="Times New Roman"/>
          <w:lang w:bidi="en-US"/>
        </w:rPr>
        <w:t xml:space="preserve"> also firmly rejected this as a viable alternative for spousal support.  The Court found that unjust enrichment addressed different interests than a support order and that such a claim was “more onerous [to] claimants [and] </w:t>
      </w:r>
      <w:r w:rsidRPr="00A127B4">
        <w:rPr>
          <w:rFonts w:cs="Times New Roman"/>
        </w:rPr>
        <w:t>available under far narrower circumstances” (para. 120)</w:t>
      </w:r>
      <w:r w:rsidRPr="00A127B4">
        <w:rPr>
          <w:rFonts w:cs="Times New Roman"/>
          <w:lang w:bidi="en-US"/>
        </w:rPr>
        <w:t>.  These comments are a full answer to the notion that the availability of a claim for unjust enrichment is an equitable substitute for spousal support.</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A claim </w:t>
      </w:r>
      <w:r w:rsidRPr="00F81B96">
        <w:rPr>
          <w:rFonts w:cs="Times New Roman"/>
          <w:iCs/>
          <w:lang w:bidi="en-US"/>
        </w:rPr>
        <w:t>for</w:t>
      </w:r>
      <w:r w:rsidRPr="00A127B4">
        <w:rPr>
          <w:rFonts w:cs="Times New Roman"/>
        </w:rPr>
        <w:t xml:space="preserve"> unjust enrichment is equally inadequate as a substitute for a statutorily presumptive division of property.</w:t>
      </w:r>
      <w:r w:rsidRPr="00A127B4">
        <w:rPr>
          <w:rFonts w:cs="Times New Roman"/>
          <w:i/>
        </w:rPr>
        <w:t xml:space="preserve"> </w:t>
      </w:r>
      <w:r w:rsidRPr="00A127B4">
        <w:rPr>
          <w:rFonts w:cs="Times New Roman"/>
          <w:lang w:bidi="en-US"/>
        </w:rPr>
        <w:t xml:space="preserve">The greatest difference between unjust enrichment and the presumptive or mandatory division of property in the </w:t>
      </w:r>
      <w:r w:rsidRPr="00A127B4">
        <w:rPr>
          <w:rFonts w:cs="Times New Roman"/>
          <w:i/>
          <w:lang w:bidi="en-US"/>
        </w:rPr>
        <w:t>Code</w:t>
      </w:r>
      <w:r w:rsidRPr="00A127B4">
        <w:rPr>
          <w:rFonts w:cs="Times New Roman"/>
          <w:lang w:bidi="en-US"/>
        </w:rPr>
        <w:t xml:space="preserve"> is the burden placed on the claimant. </w:t>
      </w:r>
      <w:r w:rsidRPr="00A127B4">
        <w:rPr>
          <w:rFonts w:cs="Times New Roman"/>
        </w:rPr>
        <w:t xml:space="preserve"> </w:t>
      </w:r>
      <w:r w:rsidRPr="00A127B4">
        <w:rPr>
          <w:rFonts w:cs="Times New Roman"/>
          <w:lang w:bidi="en-US"/>
        </w:rPr>
        <w:t>While the partnership of acquests and the family patrimony presume equal sharing, unjust enrichment requires the claimant to establish his or her contribution before the court will order any corresponding compensation.</w:t>
      </w:r>
      <w:r w:rsidRPr="00A127B4">
        <w:rPr>
          <w:rFonts w:cs="Times New Roman"/>
        </w:rPr>
        <w:t xml:space="preserve"> </w:t>
      </w:r>
    </w:p>
    <w:p w:rsidR="004862B9" w:rsidRPr="00A127B4" w:rsidRDefault="004862B9" w:rsidP="00F81B96">
      <w:pPr>
        <w:pStyle w:val="ParaNoNdepar-AltN"/>
        <w:tabs>
          <w:tab w:val="clear" w:pos="1166"/>
          <w:tab w:val="num" w:pos="1152"/>
          <w:tab w:val="num" w:pos="1242"/>
        </w:tabs>
        <w:ind w:left="0"/>
        <w:rPr>
          <w:rFonts w:cs="Times New Roman"/>
        </w:rPr>
      </w:pPr>
      <w:r w:rsidRPr="00F81B96">
        <w:rPr>
          <w:rFonts w:cs="Times New Roman"/>
          <w:iCs/>
          <w:lang w:bidi="en-US"/>
        </w:rPr>
        <w:t>Critical</w:t>
      </w:r>
      <w:r w:rsidRPr="00A127B4">
        <w:rPr>
          <w:rFonts w:cs="Times New Roman"/>
        </w:rPr>
        <w:t xml:space="preserve"> on this point, in my view, is the legislative history of the family property provisions.  As discussed above, </w:t>
      </w:r>
      <w:r w:rsidRPr="00A127B4">
        <w:rPr>
          <w:rFonts w:cs="Times New Roman"/>
          <w:lang w:bidi="en-US"/>
        </w:rPr>
        <w:t xml:space="preserve">the family patrimony was adopted in response to the perceived weaknesses of the compensatory allowance, which allows a spouse to claim compensation for their </w:t>
      </w:r>
      <w:r w:rsidRPr="00A127B4">
        <w:rPr>
          <w:rFonts w:cs="Times New Roman"/>
          <w:i/>
          <w:lang w:bidi="en-US"/>
        </w:rPr>
        <w:t>demonstrated</w:t>
      </w:r>
      <w:r w:rsidRPr="00A127B4">
        <w:rPr>
          <w:rFonts w:cs="Times New Roman"/>
          <w:lang w:bidi="en-US"/>
        </w:rPr>
        <w:t xml:space="preserve"> contributions to the enrichment of the patrimony of the other spouse (art. 427 </w:t>
      </w:r>
      <w:r w:rsidRPr="00A127B4">
        <w:rPr>
          <w:rFonts w:cs="Times New Roman"/>
          <w:i/>
          <w:lang w:bidi="en-US"/>
        </w:rPr>
        <w:t>C.C.Q.</w:t>
      </w:r>
      <w:r w:rsidRPr="00A127B4">
        <w:rPr>
          <w:rFonts w:cs="Times New Roman"/>
          <w:lang w:bidi="en-US"/>
        </w:rPr>
        <w:t>).  In other words, the compensatory allowance</w:t>
      </w:r>
      <w:r>
        <w:rPr>
          <w:rFonts w:cs="Times New Roman"/>
          <w:lang w:bidi="en-US"/>
        </w:rPr>
        <w:t xml:space="preserve"> </w:t>
      </w:r>
      <w:r w:rsidRPr="00A127B4">
        <w:rPr>
          <w:rFonts w:cs="Times New Roman"/>
          <w:lang w:bidi="en-US"/>
        </w:rPr>
        <w:t>fulfil</w:t>
      </w:r>
      <w:r w:rsidR="0006606E">
        <w:rPr>
          <w:rFonts w:cs="Times New Roman"/>
          <w:lang w:bidi="en-US"/>
        </w:rPr>
        <w:t>l</w:t>
      </w:r>
      <w:r w:rsidRPr="00A127B4">
        <w:rPr>
          <w:rFonts w:cs="Times New Roman"/>
          <w:lang w:bidi="en-US"/>
        </w:rPr>
        <w:t xml:space="preserve">s a very similar role to unjust enrichment.  However, the National Assembly specifically decided that the compensatory allowance was an insufficient remedy, because it imposed too high a burden on the claimant.  As a result, it established the family patrimony, which was mandatory, did not require proof of contribution, and presumed equal sharing.  In light of the fact that </w:t>
      </w:r>
      <w:r w:rsidRPr="00A127B4">
        <w:rPr>
          <w:rFonts w:cs="Times New Roman"/>
        </w:rPr>
        <w:t>the legislature itself</w:t>
      </w:r>
      <w:r w:rsidRPr="00A127B4">
        <w:rPr>
          <w:rFonts w:cs="Times New Roman"/>
          <w:lang w:bidi="en-US"/>
        </w:rPr>
        <w:t xml:space="preserve"> did not consider an unjust enrichment-type remedy to be sufficient protection in marital spousal relationships, unjust enrichment is an inadequate alternative remedy for </w:t>
      </w:r>
      <w:r w:rsidRPr="00A127B4">
        <w:rPr>
          <w:rFonts w:cs="Times New Roman"/>
          <w:i/>
          <w:lang w:bidi="en-US"/>
        </w:rPr>
        <w:t xml:space="preserve">de facto </w:t>
      </w:r>
      <w:r w:rsidRPr="00A127B4">
        <w:rPr>
          <w:rFonts w:cs="Times New Roman"/>
          <w:lang w:bidi="en-US"/>
        </w:rPr>
        <w:t>spouses under s. 1.</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As this </w:t>
      </w:r>
      <w:r w:rsidRPr="00F81B96">
        <w:rPr>
          <w:rFonts w:cs="Times New Roman"/>
          <w:iCs/>
          <w:lang w:bidi="en-US"/>
        </w:rPr>
        <w:t>Court</w:t>
      </w:r>
      <w:r w:rsidRPr="00A127B4">
        <w:rPr>
          <w:rFonts w:cs="Times New Roman"/>
        </w:rPr>
        <w:t xml:space="preserve"> noted in</w:t>
      </w:r>
      <w:r w:rsidRPr="00A127B4">
        <w:rPr>
          <w:rFonts w:cs="Times New Roman"/>
          <w:i/>
        </w:rPr>
        <w:t xml:space="preserve"> Martin</w:t>
      </w:r>
      <w:r w:rsidRPr="00A127B4">
        <w:rPr>
          <w:rFonts w:cs="Times New Roman"/>
        </w:rPr>
        <w:t xml:space="preserve">, we can look to the measures taken by the rest of Canada in considering whether there are alternative, less infringing options available (para. 112).  Every other province has extended spousal support to unmarried spouses.  They have drawn different borders by setting minimum periods of cohabitation before couples are subject to their regimes, and have preserved freedom of choice by allowing couples to opt out.  Saskatchewan, Manitoba, British Columbia, Nunavut and the Northwest Territories have also extended statutory division of property to unmarried spouses (with British Columbia’s law to that effect not yet in force).  In spite of the lack of a uniform position on division of property, however, and regardless of the various thresholds that the rest of Canada has drawn for unmarried spouses, the existence of these alternatives to total exclusion is instructive. </w:t>
      </w:r>
      <w:r w:rsidRPr="00A127B4">
        <w:rPr>
          <w:rFonts w:cs="Times New Roman"/>
          <w:lang w:bidi="en-US"/>
        </w:rPr>
        <w:t xml:space="preserv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bidi="en-US"/>
        </w:rPr>
        <w:t xml:space="preserve"> Quebec </w:t>
      </w:r>
      <w:r w:rsidRPr="00A127B4">
        <w:rPr>
          <w:rFonts w:cs="Times New Roman"/>
        </w:rPr>
        <w:t>is</w:t>
      </w:r>
      <w:r w:rsidRPr="00A127B4">
        <w:rPr>
          <w:rFonts w:cs="Times New Roman"/>
          <w:lang w:bidi="en-US"/>
        </w:rPr>
        <w:t>, of course, in no way obliged to mimic any other province’s</w:t>
      </w:r>
      <w:r w:rsidRPr="00A127B4">
        <w:rPr>
          <w:rFonts w:cs="Times New Roman"/>
          <w:b/>
          <w:lang w:bidi="en-US"/>
        </w:rPr>
        <w:t xml:space="preserve"> </w:t>
      </w:r>
      <w:r w:rsidRPr="00A127B4">
        <w:rPr>
          <w:rFonts w:cs="Times New Roman"/>
          <w:lang w:bidi="en-US"/>
        </w:rPr>
        <w:t xml:space="preserve">treatment of </w:t>
      </w:r>
      <w:r w:rsidRPr="00A127B4">
        <w:rPr>
          <w:rFonts w:cs="Times New Roman"/>
          <w:i/>
          <w:lang w:bidi="en-US"/>
        </w:rPr>
        <w:t xml:space="preserve">de facto </w:t>
      </w:r>
      <w:r w:rsidRPr="00A127B4">
        <w:rPr>
          <w:rFonts w:cs="Times New Roman"/>
          <w:lang w:bidi="en-US"/>
        </w:rPr>
        <w:t xml:space="preserve">spouses.  Quebec not only has a separate system of private law from the rest of Canada, it also has unique historical and societal values which it has a right to express through its legislation.   The fact of these other regimes, however, can be helpful in determining that there </w:t>
      </w:r>
      <w:r w:rsidRPr="00A127B4">
        <w:rPr>
          <w:rFonts w:cs="Times New Roman"/>
          <w:i/>
          <w:lang w:bidi="en-US"/>
        </w:rPr>
        <w:t>is</w:t>
      </w:r>
      <w:r w:rsidRPr="00A127B4">
        <w:rPr>
          <w:rFonts w:cs="Times New Roman"/>
          <w:lang w:bidi="en-US"/>
        </w:rPr>
        <w:t xml:space="preserve"> a</w:t>
      </w:r>
      <w:r w:rsidRPr="00A127B4">
        <w:rPr>
          <w:rFonts w:cs="Times New Roman"/>
          <w:i/>
          <w:lang w:bidi="en-US"/>
        </w:rPr>
        <w:t xml:space="preserve"> </w:t>
      </w:r>
      <w:r w:rsidRPr="00A127B4">
        <w:rPr>
          <w:rFonts w:cs="Times New Roman"/>
          <w:lang w:bidi="en-US"/>
        </w:rPr>
        <w:t xml:space="preserve">less impairing way to fulfill the objective of preserving freedom of choice.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The current opt </w:t>
      </w:r>
      <w:r w:rsidRPr="00A127B4">
        <w:rPr>
          <w:rFonts w:cs="Times New Roman"/>
          <w:i/>
        </w:rPr>
        <w:t>in</w:t>
      </w:r>
      <w:r w:rsidRPr="00A127B4">
        <w:rPr>
          <w:rFonts w:cs="Times New Roman"/>
        </w:rPr>
        <w:t xml:space="preserve"> protections may well be adequate for some </w:t>
      </w:r>
      <w:r w:rsidRPr="00A127B4">
        <w:rPr>
          <w:rFonts w:cs="Times New Roman"/>
          <w:i/>
        </w:rPr>
        <w:t xml:space="preserve">de facto </w:t>
      </w:r>
      <w:r w:rsidRPr="00A127B4">
        <w:rPr>
          <w:rFonts w:cs="Times New Roman"/>
        </w:rPr>
        <w:t xml:space="preserve">spouses who enter their relationships with sufficient financial security, legal information, and the deliberate intent to avoid the consequences of a more formal union.  But their ability to exercise freedom of choice can be equally protected under a protective regime with an opt </w:t>
      </w:r>
      <w:r w:rsidRPr="00A127B4">
        <w:rPr>
          <w:rFonts w:cs="Times New Roman"/>
          <w:i/>
        </w:rPr>
        <w:t>out</w:t>
      </w:r>
      <w:r w:rsidRPr="00A127B4">
        <w:rPr>
          <w:rFonts w:cs="Times New Roman"/>
        </w:rPr>
        <w:t xml:space="preserve"> mechanism.  The needs of the economically vulnerable, however, require presumptive protection no less in </w:t>
      </w:r>
      <w:r w:rsidRPr="00A127B4">
        <w:rPr>
          <w:rFonts w:cs="Times New Roman"/>
          <w:i/>
        </w:rPr>
        <w:t xml:space="preserve">de facto </w:t>
      </w:r>
      <w:r w:rsidRPr="00A127B4">
        <w:rPr>
          <w:rFonts w:cs="Times New Roman"/>
        </w:rPr>
        <w:t xml:space="preserve">unions than in more formal ones.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Professor Hélène Belleau’s expert report notes that the </w:t>
      </w:r>
      <w:r w:rsidRPr="00A127B4">
        <w:rPr>
          <w:rFonts w:cs="Times New Roman"/>
          <w:i/>
        </w:rPr>
        <w:t xml:space="preserve">de facto </w:t>
      </w:r>
      <w:r w:rsidRPr="00A127B4">
        <w:rPr>
          <w:rFonts w:cs="Times New Roman"/>
        </w:rPr>
        <w:t>spouses in her sample most likely to be aware that they did not benefit from the same legal protections as</w:t>
      </w:r>
      <w:r w:rsidR="00BF0597">
        <w:rPr>
          <w:rFonts w:cs="Times New Roman"/>
        </w:rPr>
        <w:t xml:space="preserve"> married or civil union spouses</w:t>
      </w:r>
      <w:r w:rsidRPr="00A127B4">
        <w:rPr>
          <w:rFonts w:cs="Times New Roman"/>
        </w:rPr>
        <w:t xml:space="preserve"> were those familiar with law through their profession, their spouse’s profession, or a prior separation with a previous spouse.  Professor Belleau explains that beyond this group who have had some personal or professional experience with law, most spouses rarely consider, or are ignorant of, the law surrounding </w:t>
      </w:r>
      <w:r w:rsidRPr="00A127B4">
        <w:rPr>
          <w:rFonts w:cs="Times New Roman"/>
          <w:i/>
          <w:iCs/>
        </w:rPr>
        <w:t xml:space="preserve">de facto </w:t>
      </w:r>
      <w:r w:rsidRPr="00A127B4">
        <w:rPr>
          <w:rFonts w:cs="Times New Roman"/>
        </w:rPr>
        <w:t>unions:</w:t>
      </w:r>
    </w:p>
    <w:p w:rsidR="004862B9" w:rsidRPr="00120C3F" w:rsidRDefault="004862B9" w:rsidP="004862B9">
      <w:pPr>
        <w:pStyle w:val="Citation-AltC"/>
        <w:rPr>
          <w:lang w:val="en-CA"/>
        </w:rPr>
      </w:pPr>
      <w:r w:rsidRPr="00851923">
        <w:rPr>
          <w:lang w:val="en-CA"/>
        </w:rPr>
        <w:t>[</w:t>
      </w:r>
      <w:r w:rsidRPr="00851923">
        <w:rPr>
          <w:smallCaps/>
          <w:lang w:val="en-CA"/>
        </w:rPr>
        <w:t>translation</w:t>
      </w:r>
      <w:r w:rsidRPr="00851923">
        <w:rPr>
          <w:lang w:val="en-CA"/>
        </w:rPr>
        <w:t xml:space="preserve">] On the whole, it was clear that the respondents were mistaken about the rights and obligations applicable to marriage, which they associated more generally with conjugal life, and therefore also with couples living in </w:t>
      </w:r>
      <w:r w:rsidRPr="00851923">
        <w:rPr>
          <w:i/>
          <w:lang w:val="en-CA"/>
        </w:rPr>
        <w:t>de facto</w:t>
      </w:r>
      <w:r w:rsidRPr="00851923">
        <w:rPr>
          <w:lang w:val="en-CA"/>
        </w:rPr>
        <w:t xml:space="preserve"> unions. </w:t>
      </w:r>
      <w:r w:rsidR="00BF0597">
        <w:rPr>
          <w:lang w:val="en-CA"/>
        </w:rPr>
        <w:t>. . .</w:t>
      </w:r>
    </w:p>
    <w:p w:rsidR="004862B9" w:rsidRPr="00120C3F" w:rsidRDefault="004862B9" w:rsidP="004862B9">
      <w:pPr>
        <w:pStyle w:val="Citation-AltC"/>
        <w:rPr>
          <w:lang w:val="en-CA"/>
        </w:rPr>
      </w:pPr>
    </w:p>
    <w:p w:rsidR="00BF0597" w:rsidRDefault="00BF0597" w:rsidP="004862B9">
      <w:pPr>
        <w:pStyle w:val="Citation-AltC"/>
        <w:rPr>
          <w:lang w:val="en-CA"/>
        </w:rPr>
      </w:pPr>
      <w:r w:rsidRPr="00851923">
        <w:rPr>
          <w:lang w:val="en-CA"/>
        </w:rPr>
        <w:t xml:space="preserve">The majority of </w:t>
      </w:r>
      <w:r w:rsidRPr="00851923">
        <w:rPr>
          <w:i/>
          <w:lang w:val="en-CA"/>
        </w:rPr>
        <w:t>de facto</w:t>
      </w:r>
      <w:r w:rsidRPr="00851923">
        <w:rPr>
          <w:lang w:val="en-CA"/>
        </w:rPr>
        <w:t xml:space="preserve"> spouses and of married spouses think that couples who have been living together in </w:t>
      </w:r>
      <w:r w:rsidRPr="00851923">
        <w:rPr>
          <w:i/>
          <w:lang w:val="en-CA"/>
        </w:rPr>
        <w:t>de facto</w:t>
      </w:r>
      <w:r w:rsidRPr="00851923">
        <w:rPr>
          <w:lang w:val="en-CA"/>
        </w:rPr>
        <w:t xml:space="preserve"> unions for several years, or where they have children, have the same rights and obligations in the case of a breakdown. . . .  </w:t>
      </w:r>
    </w:p>
    <w:p w:rsidR="00BF0597" w:rsidRDefault="00BF0597" w:rsidP="004862B9">
      <w:pPr>
        <w:pStyle w:val="Citation-AltC"/>
        <w:rPr>
          <w:lang w:val="en-CA"/>
        </w:rPr>
      </w:pPr>
    </w:p>
    <w:p w:rsidR="004862B9" w:rsidRPr="00851923" w:rsidRDefault="004862B9" w:rsidP="004862B9">
      <w:pPr>
        <w:pStyle w:val="Citation-AltC"/>
        <w:rPr>
          <w:lang w:val="en-CA"/>
        </w:rPr>
      </w:pPr>
      <w:r w:rsidRPr="00851923">
        <w:rPr>
          <w:lang w:val="en-CA"/>
        </w:rPr>
        <w:t xml:space="preserve">Aside from this misunderstanding, it was also observed that couples rarely discuss legal questions, in particular because such questions are incompatible with the notion of being in love. To discuss the legal questions that circumscribe the conjugal relationship inevitably leads one to foresee the possibility of an eventual breakup.  In the context of a proposed marriage or a </w:t>
      </w:r>
      <w:r w:rsidRPr="00851923">
        <w:rPr>
          <w:i/>
          <w:lang w:val="en-CA"/>
        </w:rPr>
        <w:t>de facto</w:t>
      </w:r>
      <w:r w:rsidRPr="00851923">
        <w:rPr>
          <w:lang w:val="en-CA"/>
        </w:rPr>
        <w:t xml:space="preserve"> relationship, these questions are not really compatible with the</w:t>
      </w:r>
      <w:r w:rsidR="00BF0597">
        <w:rPr>
          <w:lang w:val="en-CA"/>
        </w:rPr>
        <w:t xml:space="preserve"> notion of being in love. . . .</w:t>
      </w:r>
    </w:p>
    <w:p w:rsidR="004862B9" w:rsidRPr="00851923" w:rsidRDefault="004862B9" w:rsidP="004862B9">
      <w:pPr>
        <w:pStyle w:val="Citation-AltC"/>
        <w:rPr>
          <w:lang w:val="en-CA"/>
        </w:rPr>
      </w:pPr>
    </w:p>
    <w:p w:rsidR="004862B9" w:rsidRPr="00BF0597" w:rsidRDefault="004862B9" w:rsidP="004862B9">
      <w:pPr>
        <w:pStyle w:val="Citation-AltC"/>
        <w:rPr>
          <w:lang w:val="en-CA"/>
        </w:rPr>
      </w:pPr>
      <w:r w:rsidRPr="00851923">
        <w:rPr>
          <w:lang w:val="en-CA"/>
        </w:rPr>
        <w:t xml:space="preserve">For the majority of </w:t>
      </w:r>
      <w:r w:rsidRPr="00851923">
        <w:rPr>
          <w:i/>
          <w:lang w:val="en-CA"/>
        </w:rPr>
        <w:t>de facto</w:t>
      </w:r>
      <w:r w:rsidRPr="00851923">
        <w:rPr>
          <w:lang w:val="en-CA"/>
        </w:rPr>
        <w:t xml:space="preserve"> spouses and of married spouses, legal questions are not included in the reflection that takes place when deciding whether to get married.  At any rate, they believe that they have the same rights and obligations as married spouses.  </w:t>
      </w:r>
      <w:r w:rsidRPr="00BF0597">
        <w:rPr>
          <w:lang w:val="en-CA"/>
        </w:rPr>
        <w:t>[</w:t>
      </w:r>
      <w:r w:rsidR="00BF0597" w:rsidRPr="00BF0597">
        <w:rPr>
          <w:lang w:val="en-CA"/>
        </w:rPr>
        <w:t xml:space="preserve">Joint </w:t>
      </w:r>
      <w:r w:rsidR="0006606E">
        <w:rPr>
          <w:lang w:val="en-CA"/>
        </w:rPr>
        <w:t>R</w:t>
      </w:r>
      <w:r w:rsidR="00BF0597" w:rsidRPr="00BF0597">
        <w:rPr>
          <w:lang w:val="en-CA"/>
        </w:rPr>
        <w:t>ecord, vol</w:t>
      </w:r>
      <w:r w:rsidR="00BF0597">
        <w:rPr>
          <w:lang w:val="en-CA"/>
        </w:rPr>
        <w:t>.</w:t>
      </w:r>
      <w:r w:rsidR="00BF0597" w:rsidRPr="00BF0597">
        <w:rPr>
          <w:lang w:val="en-CA"/>
        </w:rPr>
        <w:t xml:space="preserve"> 8, at pp. 7</w:t>
      </w:r>
      <w:r w:rsidR="00BF0597">
        <w:rPr>
          <w:lang w:val="en-CA"/>
        </w:rPr>
        <w:t>0-71</w:t>
      </w:r>
      <w:r w:rsidRPr="00BF0597">
        <w:rPr>
          <w:lang w:val="en-CA"/>
        </w:rPr>
        <w:t>]</w:t>
      </w:r>
    </w:p>
    <w:p w:rsidR="004862B9" w:rsidRPr="00A127B4" w:rsidRDefault="004862B9" w:rsidP="004862B9">
      <w:pPr>
        <w:pStyle w:val="ContinueParaSuitedupar-AltP"/>
        <w:rPr>
          <w:rFonts w:cs="Times New Roman"/>
        </w:rPr>
      </w:pPr>
      <w:r w:rsidRPr="00A127B4">
        <w:rPr>
          <w:rFonts w:cs="Times New Roman"/>
        </w:rPr>
        <w:t xml:space="preserve">Similarly, in “Controversy Over Couples in Canada: The Evolution of Marriage and Other Adult Interdependent Relationships” (2003), 29 </w:t>
      </w:r>
      <w:r w:rsidRPr="00A127B4">
        <w:rPr>
          <w:rFonts w:cs="Times New Roman"/>
          <w:i/>
        </w:rPr>
        <w:t xml:space="preserve">Queen’s L.J. </w:t>
      </w:r>
      <w:r w:rsidRPr="00A127B4">
        <w:rPr>
          <w:rFonts w:cs="Times New Roman"/>
        </w:rPr>
        <w:t xml:space="preserve">41, at p. 53, Nicholas Bala points out that, </w:t>
      </w:r>
    </w:p>
    <w:p w:rsidR="004862B9" w:rsidRPr="00851923" w:rsidRDefault="00BB3C51" w:rsidP="00BB3C51">
      <w:pPr>
        <w:pStyle w:val="Citation-AltC"/>
        <w:tabs>
          <w:tab w:val="left" w:pos="1170"/>
        </w:tabs>
        <w:ind w:hanging="1166"/>
        <w:rPr>
          <w:lang w:val="en-CA"/>
        </w:rPr>
      </w:pPr>
      <w:r>
        <w:rPr>
          <w:lang w:val="en-CA"/>
        </w:rPr>
        <w:tab/>
      </w:r>
      <w:r w:rsidR="004862B9" w:rsidRPr="00851923">
        <w:rPr>
          <w:lang w:val="en-CA"/>
        </w:rPr>
        <w:t xml:space="preserve">while it is doubtless true that “some” cohabitants live together because they have consciously chosen not to assume the obligations of marriage, many cohabitants give little thought to their rights and obligations, or are ill-informed or understandably confused about exactly what rights common-law partners have.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This echoes Dickson J.’s observations in </w:t>
      </w:r>
      <w:r w:rsidRPr="00A127B4">
        <w:rPr>
          <w:rFonts w:cs="Times New Roman"/>
          <w:i/>
        </w:rPr>
        <w:t>Rathwell</w:t>
      </w:r>
      <w:r w:rsidRPr="00A127B4">
        <w:rPr>
          <w:rFonts w:cs="Times New Roman"/>
        </w:rPr>
        <w:t xml:space="preserve"> that for many spouses, issues of economic or legal rights arising from their relationship are not a preoccupation when the relationship is a happy one.  Many couples — married or </w:t>
      </w:r>
      <w:r w:rsidRPr="00A127B4">
        <w:rPr>
          <w:rFonts w:cs="Times New Roman"/>
          <w:i/>
        </w:rPr>
        <w:t xml:space="preserve">de facto </w:t>
      </w:r>
      <w:r w:rsidRPr="00A127B4">
        <w:rPr>
          <w:rFonts w:cs="Times New Roman"/>
        </w:rPr>
        <w:t xml:space="preserve">— simply “do not turn their minds to the eventuality of separation and divorce” (p. 444).  This lack of awareness of a great number of </w:t>
      </w:r>
      <w:r w:rsidRPr="00A127B4">
        <w:rPr>
          <w:rFonts w:cs="Times New Roman"/>
          <w:i/>
        </w:rPr>
        <w:t xml:space="preserve">de facto </w:t>
      </w:r>
      <w:r w:rsidRPr="00A127B4">
        <w:rPr>
          <w:rFonts w:cs="Times New Roman"/>
        </w:rPr>
        <w:t xml:space="preserve">spouses, confirmed by the evidence, speaks to the relative merit of a system of presumptive protection, under which they would be protected whether aware of their legal rights or not, while leaving </w:t>
      </w:r>
      <w:r w:rsidRPr="00A127B4">
        <w:rPr>
          <w:rFonts w:cs="Times New Roman"/>
          <w:i/>
        </w:rPr>
        <w:t xml:space="preserve">de facto </w:t>
      </w:r>
      <w:r w:rsidRPr="00A127B4">
        <w:rPr>
          <w:rFonts w:cs="Times New Roman"/>
        </w:rPr>
        <w:t xml:space="preserve">spouses who wish to do so the freedom to choose not to be protected.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A further weakness of the current opt-in system is its failure to recognize that the choice to formally marry is a mutual </w:t>
      </w:r>
      <w:r w:rsidR="00BF0597" w:rsidRPr="00A127B4">
        <w:rPr>
          <w:rFonts w:cs="Times New Roman"/>
        </w:rPr>
        <w:t>decision.</w:t>
      </w:r>
      <w:r w:rsidRPr="00A127B4">
        <w:rPr>
          <w:rFonts w:cs="Times New Roman"/>
        </w:rPr>
        <w:t xml:space="preserve">  One member of a couple can decide to refuse to marry or enter a civil union and thereby deprive the other of the benefit of needed spousal support when the relationship ends.  In her dissenting reasons in </w:t>
      </w:r>
      <w:r w:rsidRPr="00A127B4">
        <w:rPr>
          <w:rFonts w:cs="Times New Roman"/>
          <w:i/>
        </w:rPr>
        <w:t>Walsh</w:t>
      </w:r>
      <w:r w:rsidRPr="00A127B4">
        <w:rPr>
          <w:rFonts w:cs="Times New Roman"/>
        </w:rPr>
        <w:t>,</w:t>
      </w:r>
      <w:r w:rsidRPr="00A127B4">
        <w:rPr>
          <w:rFonts w:cs="Times New Roman"/>
          <w:i/>
        </w:rPr>
        <w:t xml:space="preserve"> </w:t>
      </w:r>
      <w:r w:rsidRPr="00A127B4">
        <w:rPr>
          <w:rFonts w:cs="Times New Roman"/>
        </w:rPr>
        <w:t>L’Heureux</w:t>
      </w:r>
      <w:r w:rsidRPr="00A127B4">
        <w:rPr>
          <w:rFonts w:cs="Times New Roman"/>
        </w:rPr>
        <w:noBreakHyphen/>
        <w:t>Dubé J. observed that  “[t]his results in a situation where one of the parties to the cohabitation relationship preserves his or her autonomy at the expense of the other: ‘The flip side of one person’s autonomy is often another’s exploitation’” (para. 152, citing W.</w:t>
      </w:r>
      <w:r w:rsidR="00BF0597">
        <w:rPr>
          <w:rFonts w:cs="Times New Roman"/>
        </w:rPr>
        <w:t xml:space="preserve"> </w:t>
      </w:r>
      <w:r w:rsidRPr="00A127B4">
        <w:rPr>
          <w:rFonts w:cs="Times New Roman"/>
        </w:rPr>
        <w:t xml:space="preserve">H. Holland, “Marriage and Cohabitation </w:t>
      </w:r>
      <w:r w:rsidR="00BF0597">
        <w:rPr>
          <w:rFonts w:cs="Times New Roman"/>
        </w:rPr>
        <w:t>—</w:t>
      </w:r>
      <w:r w:rsidRPr="00A127B4">
        <w:rPr>
          <w:rFonts w:cs="Times New Roman"/>
        </w:rPr>
        <w:t xml:space="preserve"> Has the Time Come to Bridge the Gap?”, in </w:t>
      </w:r>
      <w:r w:rsidRPr="00A127B4">
        <w:rPr>
          <w:rFonts w:cs="Times New Roman"/>
          <w:i/>
        </w:rPr>
        <w:t xml:space="preserve">Special Lectures of the Law Society of Upper Canada 1993 </w:t>
      </w:r>
      <w:r w:rsidR="00BF0597">
        <w:rPr>
          <w:rFonts w:cs="Times New Roman"/>
          <w:i/>
        </w:rPr>
        <w:t>—</w:t>
      </w:r>
      <w:r w:rsidRPr="00A127B4">
        <w:rPr>
          <w:rFonts w:cs="Times New Roman"/>
          <w:i/>
        </w:rPr>
        <w:t xml:space="preserve"> Family Law: Roles, Fairness and Equality</w:t>
      </w:r>
      <w:r w:rsidR="00BF0597">
        <w:rPr>
          <w:rFonts w:cs="Times New Roman"/>
        </w:rPr>
        <w:t xml:space="preserve"> (1994),</w:t>
      </w:r>
      <w:r w:rsidRPr="00A127B4">
        <w:rPr>
          <w:rFonts w:cs="Times New Roman"/>
        </w:rPr>
        <w:t xml:space="preserve"> 369, at p. 380).  The case before us resonates with this observation:  Ms. A consistently wanted to marry, but Mr. B refused, depriving Ms. A of access to the possibility of spousal support at the end of the relationship.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At the end of the day, the methodology for remedying the s. 15 breach lies with the Quebec legislature.  The Quebec scheme currently gives </w:t>
      </w:r>
      <w:r w:rsidRPr="00A127B4">
        <w:rPr>
          <w:rFonts w:cs="Times New Roman"/>
          <w:i/>
        </w:rPr>
        <w:t xml:space="preserve">de facto </w:t>
      </w:r>
      <w:r w:rsidRPr="00A127B4">
        <w:rPr>
          <w:rFonts w:cs="Times New Roman"/>
        </w:rPr>
        <w:t xml:space="preserve">spouses the choice of entering into a contract to enshrine certain protections, or marrying and receiving all the protections provided by law, or remaining unbound by any mutual rights or obligations.   None of these choices is compromised by a presumptively protective scheme of some sort.  It is entirely possible for Quebec to design a regime that retains all of these choices.  Spouses who are aware of their legal rights, and choose not to marry so they can avoid Quebec’s support and property regimes, would be free to choose to remove themselves from a presumptively protective regime.  Changing the </w:t>
      </w:r>
      <w:r w:rsidRPr="00A127B4">
        <w:rPr>
          <w:rFonts w:cs="Times New Roman"/>
          <w:i/>
        </w:rPr>
        <w:t>default</w:t>
      </w:r>
      <w:r w:rsidRPr="00A127B4">
        <w:rPr>
          <w:rFonts w:cs="Times New Roman"/>
        </w:rPr>
        <w:t xml:space="preserve"> situation of the couple, however, so that spousal support and division of property protection of some kind applies to them, would protect those spouses for whom the choices are illusory and who are left economically vulnerable at the dissolution of their relationship.  </w:t>
      </w:r>
      <w:r w:rsidRPr="00A127B4">
        <w:rPr>
          <w:rFonts w:cs="Times New Roman"/>
          <w:lang w:bidi="en-US"/>
        </w:rPr>
        <w:t xml:space="preserve">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bidi="en-US"/>
        </w:rPr>
        <w:t xml:space="preserve">In view of the conclusion that the provisions are not minimally impairing since other mechanisms for preserving choice are available, it is unnecessary, strictly speaking, to consider the final step of </w:t>
      </w:r>
      <w:r w:rsidRPr="00A127B4">
        <w:rPr>
          <w:rFonts w:cs="Times New Roman"/>
          <w:i/>
          <w:lang w:bidi="en-US"/>
        </w:rPr>
        <w:t>Oakes</w:t>
      </w:r>
      <w:r w:rsidRPr="00A127B4">
        <w:rPr>
          <w:rFonts w:cs="Times New Roman"/>
          <w:lang w:bidi="en-US"/>
        </w:rPr>
        <w:t xml:space="preserve">.  Nonetheless, there seems to me to be some value in clarifying why the deleterious impact of the exclusion is more pronounced than its salutary effects.  The harm of excluding all </w:t>
      </w:r>
      <w:r w:rsidRPr="00A127B4">
        <w:rPr>
          <w:rFonts w:cs="Times New Roman"/>
          <w:i/>
          <w:lang w:bidi="en-US"/>
        </w:rPr>
        <w:t>de facto</w:t>
      </w:r>
      <w:r w:rsidRPr="00A127B4">
        <w:rPr>
          <w:rFonts w:cs="Times New Roman"/>
          <w:lang w:bidi="en-US"/>
        </w:rPr>
        <w:t xml:space="preserve"> spouses from the protection of the </w:t>
      </w:r>
      <w:r>
        <w:rPr>
          <w:rFonts w:cs="Times New Roman"/>
          <w:lang w:bidi="en-US"/>
        </w:rPr>
        <w:t>spousal</w:t>
      </w:r>
      <w:r w:rsidRPr="00A127B4">
        <w:rPr>
          <w:rFonts w:cs="Times New Roman"/>
          <w:lang w:bidi="en-US"/>
        </w:rPr>
        <w:t xml:space="preserve"> support and </w:t>
      </w:r>
      <w:r>
        <w:rPr>
          <w:rFonts w:cs="Times New Roman"/>
          <w:lang w:bidi="en-US"/>
        </w:rPr>
        <w:t>family</w:t>
      </w:r>
      <w:r w:rsidRPr="00A127B4">
        <w:rPr>
          <w:rFonts w:cs="Times New Roman"/>
          <w:lang w:bidi="en-US"/>
        </w:rPr>
        <w:t xml:space="preserve"> property regimes is clearly profound.  Hallée J. at the Superior Court found, based on census figures and expert reports, that the number of </w:t>
      </w:r>
      <w:r w:rsidRPr="00A127B4">
        <w:rPr>
          <w:rFonts w:cs="Times New Roman"/>
          <w:i/>
          <w:lang w:bidi="en-US"/>
        </w:rPr>
        <w:t xml:space="preserve">de facto </w:t>
      </w:r>
      <w:r w:rsidRPr="00A127B4">
        <w:rPr>
          <w:rFonts w:cs="Times New Roman"/>
          <w:lang w:bidi="en-US"/>
        </w:rPr>
        <w:t>unions in Quebec conti</w:t>
      </w:r>
      <w:r w:rsidR="00BF0597">
        <w:rPr>
          <w:rFonts w:cs="Times New Roman"/>
          <w:lang w:bidi="en-US"/>
        </w:rPr>
        <w:t>nues to rise, representing 34.6</w:t>
      </w:r>
      <w:r w:rsidR="00AD6263">
        <w:rPr>
          <w:rFonts w:cs="Times New Roman"/>
          <w:lang w:bidi="en-US"/>
        </w:rPr>
        <w:t>%</w:t>
      </w:r>
      <w:r w:rsidRPr="00A127B4">
        <w:rPr>
          <w:rFonts w:cs="Times New Roman"/>
          <w:lang w:bidi="en-US"/>
        </w:rPr>
        <w:t xml:space="preserve"> of all Quebec unions in 2006.  These exclusions thus impact ov</w:t>
      </w:r>
      <w:r w:rsidR="00AD6263">
        <w:rPr>
          <w:rFonts w:cs="Times New Roman"/>
          <w:lang w:bidi="en-US"/>
        </w:rPr>
        <w:t xml:space="preserve">er a third of Quebec couples.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lang w:bidi="en-US"/>
        </w:rPr>
        <w:t xml:space="preserve">Being </w:t>
      </w:r>
      <w:r w:rsidRPr="00A127B4">
        <w:rPr>
          <w:rFonts w:cs="Times New Roman"/>
        </w:rPr>
        <w:t>excluded</w:t>
      </w:r>
      <w:r w:rsidRPr="00A127B4">
        <w:rPr>
          <w:rFonts w:cs="Times New Roman"/>
          <w:lang w:bidi="en-US"/>
        </w:rPr>
        <w:t xml:space="preserve"> requires potentially vulnerable </w:t>
      </w:r>
      <w:r w:rsidRPr="00A127B4">
        <w:rPr>
          <w:rFonts w:cs="Times New Roman"/>
          <w:i/>
          <w:lang w:bidi="en-US"/>
        </w:rPr>
        <w:t>de facto</w:t>
      </w:r>
      <w:r w:rsidRPr="00A127B4">
        <w:rPr>
          <w:rFonts w:cs="Times New Roman"/>
        </w:rPr>
        <w:t xml:space="preserve"> spouses, unlike potentially vulnerable spouses in formal unions, to expend time, effort and money to try to obtain some financial assistance.  If the vulnerable spouse fails to take these steps, either through a lack of knowledge or resources, or because of the limits on his or her options imposed by an uncooperative partner, he or she will remain unprotected.  The outcome for such a spouse in the event of a separation can be, as it is for economically dependent spouses in formal unions, catastrophic.  The difference is that economically dependent spouses in formal unions have automatic access to the possibility of financial remedies.  </w:t>
      </w:r>
      <w:r w:rsidRPr="00A127B4">
        <w:rPr>
          <w:rFonts w:cs="Times New Roman"/>
          <w:i/>
        </w:rPr>
        <w:t>De facto</w:t>
      </w:r>
      <w:r w:rsidRPr="00A127B4">
        <w:rPr>
          <w:rFonts w:cs="Times New Roman"/>
        </w:rPr>
        <w:t xml:space="preserve"> spouses have no such access.</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The salutary</w:t>
      </w:r>
      <w:r>
        <w:rPr>
          <w:rFonts w:cs="Times New Roman"/>
        </w:rPr>
        <w:t xml:space="preserve"> </w:t>
      </w:r>
      <w:r w:rsidRPr="00A127B4">
        <w:rPr>
          <w:rFonts w:cs="Times New Roman"/>
        </w:rPr>
        <w:t>impact of the exclusion, on the other hand,</w:t>
      </w:r>
      <w:r>
        <w:rPr>
          <w:rFonts w:cs="Times New Roman"/>
        </w:rPr>
        <w:t xml:space="preserve"> </w:t>
      </w:r>
      <w:r w:rsidRPr="00A127B4">
        <w:rPr>
          <w:rFonts w:cs="Times New Roman"/>
        </w:rPr>
        <w:t xml:space="preserve">is the preservation of </w:t>
      </w:r>
      <w:r w:rsidRPr="00A127B4">
        <w:rPr>
          <w:rFonts w:cs="Times New Roman"/>
          <w:i/>
        </w:rPr>
        <w:t>de facto</w:t>
      </w:r>
      <w:r w:rsidRPr="00A127B4">
        <w:rPr>
          <w:rFonts w:cs="Times New Roman"/>
        </w:rPr>
        <w:t xml:space="preserve"> spouses’ freedom to choose not to be in a formal union.  Leaving aside the trenchant observation of McLachlin J. in </w:t>
      </w:r>
      <w:r w:rsidRPr="00A127B4">
        <w:rPr>
          <w:rFonts w:cs="Times New Roman"/>
          <w:i/>
        </w:rPr>
        <w:t>Miron</w:t>
      </w:r>
      <w:r w:rsidRPr="00A127B4">
        <w:rPr>
          <w:rFonts w:cs="Times New Roman"/>
        </w:rPr>
        <w:t xml:space="preserve"> about whether such choices are realistically genuine, this freedom would be equally protected under a presumptive scheme.  Those for whom a </w:t>
      </w:r>
      <w:r w:rsidRPr="00A127B4">
        <w:rPr>
          <w:rFonts w:cs="Times New Roman"/>
          <w:i/>
        </w:rPr>
        <w:t>de facto</w:t>
      </w:r>
      <w:r w:rsidRPr="00A127B4">
        <w:rPr>
          <w:rFonts w:cs="Times New Roman"/>
        </w:rPr>
        <w:t xml:space="preserve"> union is truly a chosen means to preserve economic independence can still achieve this result by opting out.  Since</w:t>
      </w:r>
      <w:r>
        <w:rPr>
          <w:rFonts w:cs="Times New Roman"/>
        </w:rPr>
        <w:t xml:space="preserve"> </w:t>
      </w:r>
      <w:r w:rsidRPr="00A127B4">
        <w:rPr>
          <w:rFonts w:cs="Times New Roman"/>
        </w:rPr>
        <w:t xml:space="preserve">this salutary effect can be achieved without in any way impairing a </w:t>
      </w:r>
      <w:r w:rsidRPr="00A127B4">
        <w:rPr>
          <w:rFonts w:cs="Times New Roman"/>
          <w:i/>
        </w:rPr>
        <w:t xml:space="preserve">de facto </w:t>
      </w:r>
      <w:r w:rsidRPr="00A127B4">
        <w:rPr>
          <w:rFonts w:cs="Times New Roman"/>
        </w:rPr>
        <w:t>spouse’s freedom of choice,</w:t>
      </w:r>
      <w:r>
        <w:rPr>
          <w:rFonts w:cs="Times New Roman"/>
        </w:rPr>
        <w:t xml:space="preserve"> </w:t>
      </w:r>
      <w:r w:rsidRPr="00A127B4">
        <w:rPr>
          <w:rFonts w:cs="Times New Roman"/>
        </w:rPr>
        <w:t xml:space="preserve">it cannot be said to outweigh the serious harm for economically vulnerable </w:t>
      </w:r>
      <w:r w:rsidRPr="00A127B4">
        <w:rPr>
          <w:rFonts w:cs="Times New Roman"/>
          <w:i/>
        </w:rPr>
        <w:t>de facto</w:t>
      </w:r>
      <w:r w:rsidRPr="00A127B4">
        <w:rPr>
          <w:rFonts w:cs="Times New Roman"/>
        </w:rPr>
        <w:t xml:space="preserve"> spouses that results from their exclusion from the</w:t>
      </w:r>
      <w:r>
        <w:rPr>
          <w:rFonts w:cs="Times New Roman"/>
        </w:rPr>
        <w:t xml:space="preserve"> </w:t>
      </w:r>
      <w:r w:rsidRPr="00A127B4">
        <w:rPr>
          <w:rFonts w:cs="Times New Roman"/>
        </w:rPr>
        <w:t>spousal support and family property regimes.</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 xml:space="preserve">Because the distinction in excluding </w:t>
      </w:r>
      <w:r w:rsidRPr="00A127B4">
        <w:rPr>
          <w:rFonts w:cs="Times New Roman"/>
          <w:i/>
        </w:rPr>
        <w:t>de facto</w:t>
      </w:r>
      <w:r w:rsidRPr="00A127B4">
        <w:rPr>
          <w:rFonts w:cs="Times New Roman"/>
        </w:rPr>
        <w:t xml:space="preserve"> spouses from the protective support regime in art. 585 and the division of property provisions in arts. 401 to 430, 432, 433 and 448 to 484 of the </w:t>
      </w:r>
      <w:r w:rsidRPr="00A127B4">
        <w:rPr>
          <w:rFonts w:cs="Times New Roman"/>
          <w:i/>
        </w:rPr>
        <w:t xml:space="preserve">Civil Code </w:t>
      </w:r>
      <w:r w:rsidRPr="00A127B4">
        <w:rPr>
          <w:rFonts w:cs="Times New Roman"/>
        </w:rPr>
        <w:t xml:space="preserve">cannot be justified, these articles are unconstitutional. </w:t>
      </w:r>
    </w:p>
    <w:p w:rsidR="004862B9" w:rsidRPr="00A127B4" w:rsidRDefault="004862B9" w:rsidP="00F81B96">
      <w:pPr>
        <w:pStyle w:val="ParaNoNdepar-AltN"/>
        <w:tabs>
          <w:tab w:val="clear" w:pos="1166"/>
          <w:tab w:val="num" w:pos="1152"/>
          <w:tab w:val="num" w:pos="1242"/>
        </w:tabs>
        <w:ind w:left="0"/>
        <w:rPr>
          <w:rFonts w:cs="Times New Roman"/>
        </w:rPr>
      </w:pPr>
      <w:r w:rsidRPr="00A127B4">
        <w:rPr>
          <w:rFonts w:cs="Times New Roman"/>
        </w:rPr>
        <w:t>I would therefore allow Ms. A’s appeal in part and dismiss the appeals of the Attorney General of Quebec and Mr. B.</w:t>
      </w:r>
    </w:p>
    <w:p w:rsidR="004862B9" w:rsidRPr="00AB56CB" w:rsidRDefault="00AB56CB" w:rsidP="00AD6263">
      <w:pPr>
        <w:pStyle w:val="JudgeJuge"/>
        <w:spacing w:before="480"/>
        <w:jc w:val="both"/>
        <w:rPr>
          <w:rFonts w:eastAsiaTheme="minorEastAsia" w:cstheme="minorBidi"/>
          <w:smallCaps w:val="0"/>
          <w:szCs w:val="22"/>
          <w:lang w:val="en-CA" w:eastAsia="en-US"/>
        </w:rPr>
      </w:pPr>
      <w:r>
        <w:rPr>
          <w:rFonts w:eastAsiaTheme="minorEastAsia" w:cstheme="minorBidi"/>
          <w:smallCaps w:val="0"/>
          <w:szCs w:val="22"/>
          <w:lang w:val="en-CA" w:eastAsia="en-US"/>
        </w:rPr>
        <w:tab/>
      </w:r>
      <w:r w:rsidRPr="00AB56CB">
        <w:rPr>
          <w:rFonts w:eastAsiaTheme="minorEastAsia" w:cstheme="minorBidi"/>
          <w:smallCaps w:val="0"/>
          <w:szCs w:val="22"/>
          <w:lang w:val="en-CA" w:eastAsia="en-US"/>
        </w:rPr>
        <w:t xml:space="preserve">English version of the reasons of Deschamps, Cromwell and Karakatsanis JJ. delivered by </w:t>
      </w:r>
    </w:p>
    <w:p w:rsidR="004862B9" w:rsidRPr="005A586D" w:rsidRDefault="004862B9" w:rsidP="00F81B96">
      <w:pPr>
        <w:pStyle w:val="ParaNoNdepar-AltN"/>
        <w:tabs>
          <w:tab w:val="clear" w:pos="1166"/>
          <w:tab w:val="num" w:pos="1152"/>
          <w:tab w:val="num" w:pos="1242"/>
        </w:tabs>
        <w:ind w:left="0"/>
      </w:pPr>
      <w:r w:rsidRPr="004862B9">
        <w:rPr>
          <w:smallCaps/>
        </w:rPr>
        <w:t>Deschamps J.</w:t>
      </w:r>
      <w:r w:rsidRPr="005A586D">
        <w:t xml:space="preserve"> </w:t>
      </w:r>
      <w:r w:rsidR="00AB56CB">
        <w:t xml:space="preserve">(dissenting in part in </w:t>
      </w:r>
      <w:r w:rsidR="00AB56CB" w:rsidRPr="00F81B96">
        <w:rPr>
          <w:rFonts w:cs="Times New Roman"/>
        </w:rPr>
        <w:t>result</w:t>
      </w:r>
      <w:r w:rsidR="00AB56CB">
        <w:t xml:space="preserve">) </w:t>
      </w:r>
      <w:r w:rsidRPr="005A586D">
        <w:t xml:space="preserve">— I agree with Abella J. that the Quebec legislature has infringed the guaranteed right to equality by excluding </w:t>
      </w:r>
      <w:r w:rsidRPr="005A586D">
        <w:rPr>
          <w:i/>
        </w:rPr>
        <w:t>de facto</w:t>
      </w:r>
      <w:r w:rsidRPr="005A586D">
        <w:t xml:space="preserve"> spouses from all the measures adopted to protect persons who are married or in civil unions should their family relationships break down.  Unlike my colleague, however, I do not view all these measures as a package.  Nor can I endorse the position of my colleague LeBel J. that the majority of the protective measures constitute a mandatory primary regime with a single dominant objective.  Although support and the measures relating to patrimonial property have some of the same functions and objectives, they cannot and must not be confused with one another.  The needs they address and how the legislature has dealt with them in the past warrant their being considered separately.  My analysis leads me to conclude that only the exclusion from support is not justified under s. 1 of the </w:t>
      </w:r>
      <w:r w:rsidRPr="005A586D">
        <w:rPr>
          <w:i/>
        </w:rPr>
        <w:t xml:space="preserve">Canadian Charter of Rights and Freedoms </w:t>
      </w:r>
      <w:r w:rsidRPr="005A586D">
        <w:t>(“</w:t>
      </w:r>
      <w:r w:rsidRPr="005A586D">
        <w:rPr>
          <w:i/>
        </w:rPr>
        <w:t>Charter</w:t>
      </w:r>
      <w:r w:rsidRPr="005A586D">
        <w:t>”).</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Aside from support, the measures in question are the matrimonial regime, the compensatory allowance, the family residence and the family patrimony.  The effect of these various measures, which are the result of successive actions by the Quebec legislature, has been to gradually increase the protection provided to married and civil union spouses.  However, art. 585 of the </w:t>
      </w:r>
      <w:r w:rsidRPr="005A586D">
        <w:rPr>
          <w:rFonts w:cs="Times New Roman"/>
          <w:i/>
        </w:rPr>
        <w:t>Civil Code of Québec</w:t>
      </w:r>
      <w:r w:rsidRPr="005A586D">
        <w:rPr>
          <w:rFonts w:cs="Times New Roman"/>
        </w:rPr>
        <w:t>, S.Q. 1991, c. 64 (“</w:t>
      </w:r>
      <w:r w:rsidRPr="005A586D">
        <w:rPr>
          <w:rFonts w:cs="Times New Roman"/>
          <w:i/>
        </w:rPr>
        <w:t>C.C.Q.</w:t>
      </w:r>
      <w:r w:rsidRPr="005A586D">
        <w:rPr>
          <w:rFonts w:cs="Times New Roman"/>
        </w:rPr>
        <w:t xml:space="preserve">”), establishes that the right to support granted to persons in need who are part of the family unit is distinct in that it does not have a compensatory function and does not depend on the consent of the debtor of support.  This provision is different from the provisions on partition of property, which address a greater variety of needs, including the needs to protect vulnerable spouses, to compensate for contributions made by the parties while living together and to recognize the economic union formed by married and civil union spouses.  I agree with the Court of Appeal’s conclusion that the exclusion of </w:t>
      </w:r>
      <w:r w:rsidRPr="005A586D">
        <w:rPr>
          <w:rFonts w:cs="Times New Roman"/>
          <w:i/>
        </w:rPr>
        <w:t>de facto</w:t>
      </w:r>
      <w:r w:rsidRPr="005A586D">
        <w:rPr>
          <w:rFonts w:cs="Times New Roman"/>
        </w:rPr>
        <w:t xml:space="preserve"> spouses from the protection of support cannot be treated the same way as their exclusion from that of the other measures (2010 QCCA 1978, [2010] R.J.Q. 2259).  For the reasons that follow, I would dismiss the appeals.</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In my analysis on the right of </w:t>
      </w:r>
      <w:r w:rsidRPr="005A586D">
        <w:rPr>
          <w:rFonts w:cs="Times New Roman"/>
          <w:i/>
        </w:rPr>
        <w:t>de facto</w:t>
      </w:r>
      <w:r w:rsidRPr="005A586D">
        <w:rPr>
          <w:rFonts w:cs="Times New Roman"/>
        </w:rPr>
        <w:t xml:space="preserve"> spouses to equality, I will not be relying directly on </w:t>
      </w:r>
      <w:r w:rsidRPr="005A586D">
        <w:rPr>
          <w:rFonts w:cs="Times New Roman"/>
          <w:i/>
        </w:rPr>
        <w:t>Nova Scotia (Attorney General) v. Walsh</w:t>
      </w:r>
      <w:r w:rsidRPr="005A586D">
        <w:rPr>
          <w:rFonts w:cs="Times New Roman"/>
        </w:rPr>
        <w:t xml:space="preserve">, 2002 SCC 83, [2002] 4 S.C.R. 325.  I find that certain aspects of that decision have not survived the recent decisions of this Court in </w:t>
      </w:r>
      <w:r w:rsidRPr="005A586D">
        <w:rPr>
          <w:rFonts w:cs="Times New Roman"/>
          <w:i/>
        </w:rPr>
        <w:t>R. v. Kapp</w:t>
      </w:r>
      <w:r w:rsidRPr="005A586D">
        <w:rPr>
          <w:rFonts w:cs="Times New Roman"/>
        </w:rPr>
        <w:t xml:space="preserve">, 2008 SCC 41, [2008] 2 S.C.R. 483, and </w:t>
      </w:r>
      <w:r w:rsidRPr="005A586D">
        <w:rPr>
          <w:rFonts w:cs="Times New Roman"/>
          <w:i/>
        </w:rPr>
        <w:t>Withler v. Canada (Attorney General)</w:t>
      </w:r>
      <w:r w:rsidRPr="005A586D">
        <w:rPr>
          <w:rFonts w:cs="Times New Roman"/>
        </w:rPr>
        <w:t xml:space="preserve">, 2011 SCC 12, [2011] 1 S.C.R. 396, particularly the fact that, according to it, the possibility for the parties of marrying to benefit from the measures relating to patrimonial property was one of the factors to be applied in determining whether the right to equality was infringed rather than in determining whether the infringement was justified under s. 1 of the </w:t>
      </w:r>
      <w:r w:rsidRPr="005A586D">
        <w:rPr>
          <w:rFonts w:cs="Times New Roman"/>
          <w:i/>
        </w:rPr>
        <w:t>Charter</w:t>
      </w:r>
      <w:r w:rsidRPr="005A586D">
        <w:rPr>
          <w:rFonts w:cs="Times New Roman"/>
        </w:rPr>
        <w:t xml:space="preserve">.  In my opinion, the fact that the parties’ freedom of choice was invoked at the infringement stage of the analysis can only be attributed to the application of the test established in </w:t>
      </w:r>
      <w:r w:rsidRPr="005A586D">
        <w:rPr>
          <w:rFonts w:cs="Times New Roman"/>
          <w:i/>
          <w:iCs/>
        </w:rPr>
        <w:t>Law v. Canada (Minister of Employment and Immigration)</w:t>
      </w:r>
      <w:r w:rsidRPr="005A586D">
        <w:rPr>
          <w:rFonts w:cs="Times New Roman"/>
        </w:rPr>
        <w:t>, [1999] 1 S.C.R. 497.  The autonomy of the will of the parties becomes relevant only at the justification stage, since this is the objective being pursued by the Quebec legislature.</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My colleagues LeBel and Abella JJ. do not take issue with the recognition of marital status as an analogous ground for the purposes of the analysis under s. 15 of the </w:t>
      </w:r>
      <w:r w:rsidRPr="005A586D">
        <w:rPr>
          <w:rFonts w:cs="Times New Roman"/>
          <w:i/>
        </w:rPr>
        <w:t>Charter</w:t>
      </w:r>
      <w:r w:rsidRPr="005A586D">
        <w:rPr>
          <w:rFonts w:cs="Times New Roman"/>
        </w:rPr>
        <w:t xml:space="preserve">.  LeBel J. finds that the distinction at issue is not discriminatory.  With respect, I agree instead with Abella J.’s analysis of s. 15 of the </w:t>
      </w:r>
      <w:r w:rsidRPr="005A586D">
        <w:rPr>
          <w:rFonts w:cs="Times New Roman"/>
          <w:i/>
        </w:rPr>
        <w:t>Charter</w:t>
      </w:r>
      <w:r w:rsidRPr="005A586D">
        <w:rPr>
          <w:rFonts w:cs="Times New Roman"/>
        </w:rPr>
        <w:t xml:space="preserve">.  The exclusion of </w:t>
      </w:r>
      <w:r w:rsidRPr="005A586D">
        <w:rPr>
          <w:rFonts w:cs="Times New Roman"/>
          <w:i/>
        </w:rPr>
        <w:t>de facto</w:t>
      </w:r>
      <w:r w:rsidRPr="005A586D">
        <w:rPr>
          <w:rFonts w:cs="Times New Roman"/>
        </w:rPr>
        <w:t xml:space="preserve"> spouses from the protections provided for in the </w:t>
      </w:r>
      <w:r w:rsidRPr="005A586D">
        <w:rPr>
          <w:rFonts w:cs="Times New Roman"/>
          <w:i/>
        </w:rPr>
        <w:t>C.C.Q.</w:t>
      </w:r>
      <w:r w:rsidRPr="005A586D">
        <w:rPr>
          <w:rFonts w:cs="Times New Roman"/>
        </w:rPr>
        <w:t xml:space="preserve"> perpetuates a historical disadvantage (</w:t>
      </w:r>
      <w:r w:rsidRPr="005A586D">
        <w:rPr>
          <w:rFonts w:cs="Times New Roman"/>
          <w:i/>
        </w:rPr>
        <w:t>Withler</w:t>
      </w:r>
      <w:r w:rsidRPr="005A586D">
        <w:rPr>
          <w:rFonts w:cs="Times New Roman"/>
        </w:rPr>
        <w:t xml:space="preserve">, at paras. 3, 35, 37 and 54).  The Court has recognized the fact of being unmarried as an analogous ground because, historically, unmarried persons were considered to have adopted a lifestyle less worthy of respect than that of married persons.  For this reason, they were excluded from the social protections.  Even though society’s perception of </w:t>
      </w:r>
      <w:r w:rsidRPr="005A586D">
        <w:rPr>
          <w:rFonts w:cs="Times New Roman"/>
          <w:i/>
        </w:rPr>
        <w:t>de facto</w:t>
      </w:r>
      <w:r w:rsidRPr="005A586D">
        <w:rPr>
          <w:rFonts w:cs="Times New Roman"/>
        </w:rPr>
        <w:t xml:space="preserve"> spouses has changed in recent decades and there is no indication that the Quebec legislature intended to stigmatize them, the denial of the benefits in question perpetuates the disadvantage such people have historically experienced (</w:t>
      </w:r>
      <w:r w:rsidRPr="005A586D">
        <w:rPr>
          <w:rFonts w:cs="Times New Roman"/>
          <w:i/>
        </w:rPr>
        <w:t>Miron v. Trudel</w:t>
      </w:r>
      <w:r w:rsidRPr="005A586D">
        <w:rPr>
          <w:rFonts w:cs="Times New Roman"/>
        </w:rPr>
        <w:t>, [1995] 2 S.C.R. 418, at para. 152).  The Attorney General of Quebec therefore had to justify this distinction.</w:t>
      </w:r>
    </w:p>
    <w:p w:rsidR="004862B9" w:rsidRPr="005A586D" w:rsidRDefault="004862B9" w:rsidP="00C0411D">
      <w:pPr>
        <w:pStyle w:val="TitleTitre-AltT"/>
        <w:tabs>
          <w:tab w:val="clear" w:pos="360"/>
          <w:tab w:val="left" w:pos="540"/>
        </w:tabs>
        <w:ind w:left="540" w:hanging="540"/>
        <w:rPr>
          <w:rFonts w:cs="Times New Roman"/>
          <w:lang w:val="en-CA"/>
        </w:rPr>
      </w:pPr>
      <w:r w:rsidRPr="005A586D">
        <w:rPr>
          <w:rFonts w:cs="Times New Roman"/>
          <w:lang w:val="en-CA"/>
        </w:rPr>
        <w:t>I.</w:t>
      </w:r>
      <w:r w:rsidRPr="005A586D">
        <w:rPr>
          <w:rFonts w:cs="Times New Roman"/>
          <w:lang w:val="en-CA"/>
        </w:rPr>
        <w:tab/>
      </w:r>
      <w:r w:rsidRPr="005A586D">
        <w:rPr>
          <w:rFonts w:cs="Times New Roman"/>
          <w:u w:val="single"/>
          <w:lang w:val="en-CA"/>
        </w:rPr>
        <w:t>Justification</w:t>
      </w:r>
    </w:p>
    <w:p w:rsidR="004862B9" w:rsidRPr="00B44CBA" w:rsidRDefault="004862B9" w:rsidP="00F81B96">
      <w:pPr>
        <w:pStyle w:val="ParaNoNdepar-AltN"/>
        <w:tabs>
          <w:tab w:val="clear" w:pos="1166"/>
          <w:tab w:val="num" w:pos="1152"/>
          <w:tab w:val="num" w:pos="1242"/>
        </w:tabs>
        <w:ind w:left="0"/>
        <w:rPr>
          <w:rFonts w:cs="Times New Roman"/>
        </w:rPr>
      </w:pPr>
      <w:r w:rsidRPr="00B44CBA">
        <w:rPr>
          <w:rFonts w:cs="Times New Roman"/>
        </w:rPr>
        <w:t xml:space="preserve">From a functional perspective, all the impugned measures have the effect of protecting married and civil union spouses who are in need following a separation.  However, since support and the other protections do not have all the same bases, I find that the Court of Appeal was correct to distinguish support. </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In </w:t>
      </w:r>
      <w:r w:rsidRPr="005A586D">
        <w:rPr>
          <w:rFonts w:cs="Times New Roman"/>
          <w:i/>
        </w:rPr>
        <w:t>Bracklow v. Bracklow</w:t>
      </w:r>
      <w:r w:rsidRPr="005A586D">
        <w:rPr>
          <w:rFonts w:cs="Times New Roman"/>
        </w:rPr>
        <w:t>, [1999] 1 S.C.R. 420, at para. 15, McLachlin J. (as she then was), writing for the Court, recognized that there are three possible bases for support: the first is compensatory, the second contractual and the third non</w:t>
      </w:r>
      <w:r w:rsidRPr="005A586D">
        <w:rPr>
          <w:rFonts w:cs="Times New Roman"/>
        </w:rPr>
        <w:noBreakHyphen/>
        <w:t>compensatory.  Although the “autonomist” trend that has predominated for the last 50 years or so has emphasized the compensatory and contractual aspects, the non</w:t>
      </w:r>
      <w:r w:rsidRPr="005A586D">
        <w:rPr>
          <w:rFonts w:cs="Times New Roman"/>
        </w:rPr>
        <w:noBreakHyphen/>
        <w:t>compensatory basis nevertheless continues to be relevant.  McLachlin J.’s comments on the non</w:t>
      </w:r>
      <w:r w:rsidRPr="005A586D">
        <w:rPr>
          <w:rFonts w:cs="Times New Roman"/>
        </w:rPr>
        <w:noBreakHyphen/>
        <w:t xml:space="preserve">compensatory basis for support in the context of marriage are general enough to extend to </w:t>
      </w:r>
      <w:r w:rsidRPr="005A586D">
        <w:rPr>
          <w:rFonts w:cs="Times New Roman"/>
          <w:i/>
        </w:rPr>
        <w:t>de facto</w:t>
      </w:r>
      <w:r w:rsidRPr="005A586D">
        <w:rPr>
          <w:rFonts w:cs="Times New Roman"/>
        </w:rPr>
        <w:t xml:space="preserve"> spouses (para. 31):</w:t>
      </w:r>
    </w:p>
    <w:p w:rsidR="004862B9" w:rsidRPr="005A586D" w:rsidRDefault="004862B9" w:rsidP="00C0411D">
      <w:pPr>
        <w:pStyle w:val="Citation-AltC"/>
        <w:tabs>
          <w:tab w:val="left" w:pos="1620"/>
        </w:tabs>
        <w:ind w:hanging="1166"/>
        <w:rPr>
          <w:lang w:val="en-CA"/>
        </w:rPr>
      </w:pPr>
      <w:r w:rsidRPr="005A586D">
        <w:rPr>
          <w:lang w:val="en-CA"/>
        </w:rPr>
        <w:tab/>
      </w:r>
      <w:r w:rsidRPr="005A586D">
        <w:rPr>
          <w:lang w:val="en-CA"/>
        </w:rPr>
        <w:tab/>
        <w:t xml:space="preserve">The </w:t>
      </w:r>
      <w:r w:rsidRPr="005A586D">
        <w:rPr>
          <w:u w:val="single"/>
          <w:lang w:val="en-CA"/>
        </w:rPr>
        <w:t>mutual obligation</w:t>
      </w:r>
      <w:r w:rsidRPr="005A586D">
        <w:rPr>
          <w:lang w:val="en-CA"/>
        </w:rPr>
        <w:t xml:space="preserve"> view of marriage also serves certain policy ends and social values.  First, it recognizes the reality that </w:t>
      </w:r>
      <w:r w:rsidRPr="005A586D">
        <w:rPr>
          <w:u w:val="single"/>
          <w:lang w:val="en-CA"/>
        </w:rPr>
        <w:t>when people cohabit over a period of time in a family relationship, their affairs may become intermingled and impossible to disentangle neatly.  When this happens, it is not unfair to ask the partners to continue to support each other</w:t>
      </w:r>
      <w:r w:rsidRPr="005A586D">
        <w:rPr>
          <w:lang w:val="en-CA"/>
        </w:rPr>
        <w:t xml:space="preserve"> (although perhaps not indefinitely).  Second, it recognizes the </w:t>
      </w:r>
      <w:r w:rsidRPr="005A586D">
        <w:rPr>
          <w:u w:val="single"/>
          <w:lang w:val="en-CA"/>
        </w:rPr>
        <w:t>artificiality of assuming that all separating couples can move cleanly from the mutual support status of marriage to the absolute independence status</w:t>
      </w:r>
      <w:r w:rsidRPr="005A586D">
        <w:rPr>
          <w:lang w:val="en-CA"/>
        </w:rPr>
        <w:t xml:space="preserve"> of single life, indicating the potential necessity to continue support, even after the marital “break”.  Finally, it </w:t>
      </w:r>
      <w:r w:rsidRPr="005A586D">
        <w:rPr>
          <w:u w:val="single"/>
          <w:lang w:val="en-CA"/>
        </w:rPr>
        <w:t>places the primary burden of support for a needy partner who cannot attain</w:t>
      </w:r>
      <w:r w:rsidRPr="005A586D">
        <w:rPr>
          <w:lang w:val="en-CA"/>
        </w:rPr>
        <w:t xml:space="preserve"> post</w:t>
      </w:r>
      <w:r w:rsidRPr="005A586D">
        <w:rPr>
          <w:lang w:val="en-CA"/>
        </w:rPr>
        <w:noBreakHyphen/>
        <w:t xml:space="preserve">marital </w:t>
      </w:r>
      <w:r w:rsidRPr="005A586D">
        <w:rPr>
          <w:u w:val="single"/>
          <w:lang w:val="en-CA"/>
        </w:rPr>
        <w:t>self</w:t>
      </w:r>
      <w:r w:rsidRPr="005A586D">
        <w:rPr>
          <w:u w:val="single"/>
          <w:lang w:val="en-CA"/>
        </w:rPr>
        <w:noBreakHyphen/>
        <w:t>sufficiency on the partners to the relationship, rather than on the state</w:t>
      </w:r>
      <w:r w:rsidRPr="005A586D">
        <w:rPr>
          <w:lang w:val="en-CA"/>
        </w:rPr>
        <w:t>, recognizing the potential injustice of foisting a helpless former partner onto the public assistance rolls.  [Emphasis added.]</w:t>
      </w:r>
    </w:p>
    <w:p w:rsidR="004862B9" w:rsidRPr="005A586D" w:rsidRDefault="004862B9" w:rsidP="00F81B96">
      <w:pPr>
        <w:pStyle w:val="ParaNoNdepar-AltN"/>
        <w:tabs>
          <w:tab w:val="clear" w:pos="1166"/>
          <w:tab w:val="num" w:pos="1152"/>
          <w:tab w:val="num" w:pos="1242"/>
        </w:tabs>
        <w:ind w:left="0"/>
        <w:rPr>
          <w:rFonts w:eastAsia="Times New Roman" w:cs="Times New Roman"/>
        </w:rPr>
      </w:pPr>
      <w:r w:rsidRPr="005A586D">
        <w:rPr>
          <w:rFonts w:eastAsia="Times New Roman" w:cs="Times New Roman"/>
        </w:rPr>
        <w:t xml:space="preserve">These comments, </w:t>
      </w:r>
      <w:r w:rsidRPr="00F81B96">
        <w:rPr>
          <w:rFonts w:cs="Times New Roman"/>
        </w:rPr>
        <w:t>together</w:t>
      </w:r>
      <w:r w:rsidRPr="005A586D">
        <w:rPr>
          <w:rFonts w:eastAsia="Times New Roman" w:cs="Times New Roman"/>
        </w:rPr>
        <w:t xml:space="preserve"> with others she had made in </w:t>
      </w:r>
      <w:r w:rsidRPr="005A586D">
        <w:rPr>
          <w:rFonts w:eastAsia="Times New Roman" w:cs="Times New Roman"/>
          <w:i/>
        </w:rPr>
        <w:t>Miron</w:t>
      </w:r>
      <w:r w:rsidRPr="005A586D">
        <w:rPr>
          <w:rFonts w:eastAsia="Times New Roman" w:cs="Times New Roman"/>
        </w:rPr>
        <w:t>, make it clear that the non</w:t>
      </w:r>
      <w:r w:rsidRPr="005A586D">
        <w:rPr>
          <w:rFonts w:eastAsia="Times New Roman" w:cs="Times New Roman"/>
        </w:rPr>
        <w:noBreakHyphen/>
        <w:t xml:space="preserve">compensatory basis is just as valid for </w:t>
      </w:r>
      <w:r w:rsidRPr="005A586D">
        <w:rPr>
          <w:rFonts w:eastAsia="Times New Roman" w:cs="Times New Roman"/>
          <w:i/>
        </w:rPr>
        <w:t xml:space="preserve">de facto </w:t>
      </w:r>
      <w:r w:rsidRPr="005A586D">
        <w:rPr>
          <w:rFonts w:eastAsia="Times New Roman" w:cs="Times New Roman"/>
        </w:rPr>
        <w:t xml:space="preserve">spouses as for married and civil union spouses, since </w:t>
      </w:r>
      <w:r w:rsidRPr="005A586D">
        <w:rPr>
          <w:rFonts w:eastAsia="Times New Roman" w:cs="Times New Roman"/>
          <w:i/>
        </w:rPr>
        <w:t>de facto</w:t>
      </w:r>
      <w:r w:rsidRPr="005A586D">
        <w:rPr>
          <w:rFonts w:eastAsia="Times New Roman" w:cs="Times New Roman"/>
        </w:rPr>
        <w:t xml:space="preserve"> spouses may find themselves in a position of vulnerability without having had the choice of getting married or not getting married (</w:t>
      </w:r>
      <w:r w:rsidRPr="005A586D">
        <w:rPr>
          <w:rFonts w:eastAsia="Times New Roman" w:cs="Times New Roman"/>
          <w:i/>
        </w:rPr>
        <w:t>Miron</w:t>
      </w:r>
      <w:r w:rsidRPr="005A586D">
        <w:rPr>
          <w:rFonts w:eastAsia="Times New Roman" w:cs="Times New Roman"/>
        </w:rPr>
        <w:t>, at para. 153):</w:t>
      </w:r>
    </w:p>
    <w:p w:rsidR="004862B9" w:rsidRPr="005A586D" w:rsidRDefault="004862B9" w:rsidP="004862B9">
      <w:pPr>
        <w:pStyle w:val="Citation-AltC"/>
        <w:ind w:hanging="1166"/>
        <w:rPr>
          <w:lang w:val="en-CA"/>
        </w:rPr>
      </w:pPr>
      <w:r w:rsidRPr="005A586D">
        <w:rPr>
          <w:lang w:val="en-CA" w:eastAsia="fr-CA"/>
        </w:rPr>
        <w:tab/>
        <w:t xml:space="preserve">In theory, the individual is free to choose whether to marry or not to marry.  In practice, however, the reality may be otherwise.  The sanction of the union by the state through civil marriage cannot always be obtained.  The law; the reluctance of one’s partner to marry; financial, religious or social constraints — these factors and others commonly function to prevent partners who otherwise operate as a </w:t>
      </w:r>
      <w:r w:rsidRPr="005A586D">
        <w:rPr>
          <w:u w:val="single"/>
          <w:lang w:val="en-CA" w:eastAsia="fr-CA"/>
        </w:rPr>
        <w:t>family unit</w:t>
      </w:r>
      <w:r w:rsidRPr="005A586D">
        <w:rPr>
          <w:lang w:val="en-CA" w:eastAsia="fr-CA"/>
        </w:rPr>
        <w:t xml:space="preserve"> from formally marrying.  In short, marital status often lies beyond the individual’s effective control. </w:t>
      </w:r>
      <w:r w:rsidRPr="005A586D">
        <w:rPr>
          <w:lang w:val="en-CA"/>
        </w:rPr>
        <w:t xml:space="preserve"> [Emphasis added.]</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The changes that have been made to the rules governing support in Quebec confirm that this measure is distinct.  In the codification of 1866, the Quebec legislature provided that married persons had an obligation of succour to one another (art. 173 of the </w:t>
      </w:r>
      <w:r w:rsidRPr="005A586D">
        <w:rPr>
          <w:rFonts w:cs="Times New Roman"/>
          <w:i/>
        </w:rPr>
        <w:t>Civil Code of Lower Canada</w:t>
      </w:r>
      <w:r w:rsidRPr="005A586D">
        <w:rPr>
          <w:rFonts w:cs="Times New Roman"/>
        </w:rPr>
        <w:t xml:space="preserve">, obligation reiterated in art. 392 of the </w:t>
      </w:r>
      <w:r w:rsidRPr="005A586D">
        <w:rPr>
          <w:rFonts w:cs="Times New Roman"/>
          <w:i/>
        </w:rPr>
        <w:t>Civil Code of Québec</w:t>
      </w:r>
      <w:r w:rsidRPr="005A586D">
        <w:rPr>
          <w:rFonts w:cs="Times New Roman"/>
        </w:rPr>
        <w:t xml:space="preserve">).  At the time of the major reform of family law in 1980, the legislature considered it appropriate to make the obligation of support resulting from the creation of a family unit a separate requirement.  That obligation was incorporated into the </w:t>
      </w:r>
      <w:r w:rsidRPr="005A586D">
        <w:rPr>
          <w:rFonts w:cs="Times New Roman"/>
          <w:i/>
        </w:rPr>
        <w:t>Civil Code of Québec</w:t>
      </w:r>
      <w:r w:rsidRPr="005A586D">
        <w:rPr>
          <w:rFonts w:cs="Times New Roman"/>
        </w:rPr>
        <w:t xml:space="preserve"> (1980), in art. 633.  When the </w:t>
      </w:r>
      <w:r w:rsidRPr="005A586D">
        <w:rPr>
          <w:rFonts w:cs="Times New Roman"/>
          <w:i/>
        </w:rPr>
        <w:t>Civil Code of Québec</w:t>
      </w:r>
      <w:r w:rsidRPr="005A586D">
        <w:rPr>
          <w:rFonts w:cs="Times New Roman"/>
        </w:rPr>
        <w:t xml:space="preserve"> was enacted in 1991, the obligation was set out in art. 585, which is in Book Two on the family, under Title Three, “Obligation of Support”.  That title is separate from the one dealing with the rules of marriage, namely Title One, “Marriage”.  In 2002, the obligation in question was extended to civil union spouses.</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It can be seen from the legislative history as set out by LeBel J. that the autonomist trend had a strong influence on the reform of the rules governing cohabitation.  However, that trend was not what led to the recognition of the obligation of support itself or to the decision to make it a separate obligation.  Rather, art. 585 reflects the non</w:t>
      </w:r>
      <w:r w:rsidRPr="005A586D">
        <w:rPr>
          <w:rFonts w:cs="Times New Roman"/>
        </w:rPr>
        <w:noBreakHyphen/>
        <w:t xml:space="preserve">compensatory basis, which is closely tied to the creation of the “family unit” referred to in </w:t>
      </w:r>
      <w:r w:rsidRPr="005A586D">
        <w:rPr>
          <w:rFonts w:cs="Times New Roman"/>
          <w:i/>
        </w:rPr>
        <w:t>Miron</w:t>
      </w:r>
      <w:r w:rsidRPr="005A586D">
        <w:rPr>
          <w:rFonts w:cs="Times New Roman"/>
        </w:rPr>
        <w:t>.  This interpretation is reinforced by the observation that art. 585 includes not only married and civil union spouses but also children and relatives.  In short, the family unit benefits from the right to support.</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The bases for the other disputed measures vary.  Several of them can easily be linked to the autonomist movement, while others are motivated by a desire to protect the disadvantaged spouse and establish rules of fairness between spouses.  The oldest of the measures, the legal regime of partnership of acquests (art. 432), was adopted in 1970.  As LeBel J. explains, it was introduced to counter a tendency among spouses to choose the regime of separation of property, which often left wives with nothing if the marriage broke down.  The regime of partnership of acquests gives spouses control over the property they acquire during the marriage and provides a basis for recognizing, if the marriage breaks down and property is to be partitioned, that the marriage gave rise to an “economic union” that results in a presumptive claim to equal standards of living: </w:t>
      </w:r>
      <w:r w:rsidRPr="005A586D">
        <w:rPr>
          <w:rFonts w:cs="Times New Roman"/>
          <w:i/>
        </w:rPr>
        <w:t>Moge v. Moge</w:t>
      </w:r>
      <w:r w:rsidRPr="005A586D">
        <w:rPr>
          <w:rFonts w:cs="Times New Roman"/>
        </w:rPr>
        <w:t>, [1992] 3 S.C.R. 813, at p. 870.  Two of the other measures were part of the major reform of family law that took place in 1980: the compensatory allowance (arts. 427 to 430) and the family residence (arts. 401 to 413).  As can be seen from the wording of art. 427, the former has a compensatory basis and is intended to recognize the contribution one spouse may have made to the other spouse’s patrimony.  The purpose of this measure is to protect the spouse who made the contribution, thereby ensuring that the spouses’ economic autonomy is recognized — one spouse does not work for the other as a volunteer.  As for the provisions protecting the family residence, their fundamental purpose is to protect the family unit.  The final measure, the family patrimony (arts. 414 to 426), dates back to 1989.  I agree with LeBel J. that the legislature’s objectives were to “remedy the problems encountered by women who had married under the regime of separation of property, make up for the ineffectiveness of the compensatory allowance and redefine marriage” (para. 74).  Thus, the purpose of these provisions is, first and foremost, to protect the contributions made by the spouses and establish a legislative framework for the economic partnership of the parties i</w:t>
      </w:r>
      <w:r w:rsidR="00F81B96">
        <w:rPr>
          <w:rFonts w:cs="Times New Roman"/>
        </w:rPr>
        <w:t>n relation to family property.</w:t>
      </w:r>
      <w:r w:rsidRPr="005A586D">
        <w:rPr>
          <w:rFonts w:cs="Times New Roman"/>
        </w:rPr>
        <w:t xml:space="preserve"> </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Because of the diversity of legislative sources and the variety of objectives being pursued and means that have been adopted by the Quebec legislature, it is impossible to place the majority of the measures at issue under a single umbrella, that of the “protection of vulnerable persons”, or to conclude that these measures should form an inflexible unit described as a “primary” regime, which, I should add, is a concept to which the legislature did not refer.  Moreover, the measures that protect the patrimony of spouses are not, like support, focused on the basic needs of the vulnerable spouse.  Their purpose is to ensure autonomy and fairness for couples who have been able to, or wanted to, accumulate property. </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There is another reason, a pragmatic one, why a distinction must be drawn between the measures related to property and those related to support.  Whereas a plan to live together takes shape gradually and can result in the creation of a relationship of interdependence over which one of the parties has little or no control, property such as the family residence or pension plans can be acquired only as a result of a conscious act.  The process that leads to the acquisition of a right of ownership is different from the one that causes a spouse to become economically dependent.  In short, I find that the Court of Appeal was correct to distinguish the right to support from the patrimonial rights. </w:t>
      </w:r>
    </w:p>
    <w:p w:rsidR="004862B9" w:rsidRPr="005A586D" w:rsidRDefault="004862B9" w:rsidP="00C0411D">
      <w:pPr>
        <w:pStyle w:val="TitleTitre-AltT"/>
        <w:tabs>
          <w:tab w:val="clear" w:pos="360"/>
          <w:tab w:val="left" w:pos="540"/>
        </w:tabs>
        <w:ind w:left="540" w:hanging="540"/>
        <w:rPr>
          <w:rFonts w:cs="Times New Roman"/>
          <w:lang w:val="en-CA"/>
        </w:rPr>
      </w:pPr>
      <w:r w:rsidRPr="005A586D">
        <w:rPr>
          <w:rFonts w:cs="Times New Roman"/>
          <w:lang w:val="en-CA"/>
        </w:rPr>
        <w:t>II.</w:t>
      </w:r>
      <w:r w:rsidRPr="005A586D">
        <w:rPr>
          <w:rFonts w:cs="Times New Roman"/>
          <w:lang w:val="en-CA"/>
        </w:rPr>
        <w:tab/>
      </w:r>
      <w:r w:rsidRPr="005A586D">
        <w:rPr>
          <w:rFonts w:cs="Times New Roman"/>
          <w:u w:val="single"/>
          <w:lang w:val="en-CA"/>
        </w:rPr>
        <w:t>Support</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I agree with Abella J. that, since the parties do not really dispute that the objective of promoting the autonomy of the parties is pressing and substantial, the Court need not discuss this stage of the justification analysis in detail.  I also agree with her that there is a rational connection, given that even a tenuous connection will satisfy the constitutional requirement in this regard.  Since the obligation of support is mandatory for married and civil union spouses, the exclusion of </w:t>
      </w:r>
      <w:r w:rsidRPr="005A586D">
        <w:rPr>
          <w:rFonts w:cs="Times New Roman"/>
          <w:i/>
        </w:rPr>
        <w:t>de facto</w:t>
      </w:r>
      <w:r w:rsidRPr="005A586D">
        <w:rPr>
          <w:rFonts w:cs="Times New Roman"/>
        </w:rPr>
        <w:t xml:space="preserve"> spouses means that those who do not wish to be bound by such an obligation are able to avoid it.  This is the confirmation of a situation that, although undesirable in cases in which interdependence is the cause of the vulnerability of the spouse in need, constitutes a form of autonomy nonetheless.</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However, I cannot agree that this measure meets the minimal impairment test.  The affected interest is vital to persons who have been in a relationship of interdependence.  I will take the liberty of adapting the following comment of Cory and Iacobucci JJ. in </w:t>
      </w:r>
      <w:r w:rsidRPr="005A586D">
        <w:rPr>
          <w:rFonts w:cs="Times New Roman"/>
          <w:i/>
        </w:rPr>
        <w:t>M. v. H.</w:t>
      </w:r>
      <w:r w:rsidRPr="005A586D">
        <w:rPr>
          <w:rFonts w:cs="Times New Roman"/>
        </w:rPr>
        <w:t>, [1999] 2 S.C.R. 3, at para. 72, to the context of the case at bar:</w:t>
      </w:r>
    </w:p>
    <w:p w:rsidR="004862B9" w:rsidRPr="005A586D" w:rsidRDefault="004862B9" w:rsidP="004862B9">
      <w:pPr>
        <w:pStyle w:val="Citation-AltC"/>
        <w:ind w:hanging="1166"/>
        <w:rPr>
          <w:lang w:val="en-CA"/>
        </w:rPr>
      </w:pPr>
      <w:r w:rsidRPr="005A586D">
        <w:rPr>
          <w:lang w:val="en-CA" w:eastAsia="fr-CA"/>
        </w:rPr>
        <w:tab/>
        <w:t>. . . the interest protected by [support] is fundamental, namely the ability to meet basic financial needs following the breakdown of a relationship characterized by intimacy and economic dependence.  Members of [unmarried] couples are entirely ignored by the statute, notwithstanding the undeniable importance to them of the benefits accorded by the statute.</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The rationale for awarding support on a non</w:t>
      </w:r>
      <w:r w:rsidRPr="005A586D">
        <w:rPr>
          <w:rFonts w:cs="Times New Roman"/>
        </w:rPr>
        <w:noBreakHyphen/>
        <w:t xml:space="preserve">compensatory basis applies equally to persons who are married or in a civil union and to </w:t>
      </w:r>
      <w:r w:rsidRPr="005A586D">
        <w:rPr>
          <w:rFonts w:cs="Times New Roman"/>
          <w:i/>
        </w:rPr>
        <w:t>de facto</w:t>
      </w:r>
      <w:r w:rsidRPr="005A586D">
        <w:rPr>
          <w:rFonts w:cs="Times New Roman"/>
        </w:rPr>
        <w:t xml:space="preserve"> spouses.  If the legal justification for support is based on, among other things, the satisfaction of needs resulting from the breakdown of a relationship of interdependence created while the spouses lived together, it is difficult to see why a </w:t>
      </w:r>
      <w:r w:rsidRPr="005A586D">
        <w:rPr>
          <w:rFonts w:cs="Times New Roman"/>
          <w:i/>
        </w:rPr>
        <w:t>de facto</w:t>
      </w:r>
      <w:r w:rsidRPr="005A586D">
        <w:rPr>
          <w:rFonts w:cs="Times New Roman"/>
        </w:rPr>
        <w:t xml:space="preserve"> spouse who may not have been free to choose to have the relationship with his or her spouse made official through marriage or a civil union, but who otherwise lives with the latter in a “family unit”, would not be entitled to support.  For someone in such a position, the possibility the parties have, according to the Attorney General, of choosing to marry or to enter into a civil union does not really exist.  As the majority of the Court recognized in </w:t>
      </w:r>
      <w:r w:rsidRPr="005A586D">
        <w:rPr>
          <w:rFonts w:cs="Times New Roman"/>
          <w:i/>
        </w:rPr>
        <w:t>Miron</w:t>
      </w:r>
      <w:r w:rsidRPr="005A586D">
        <w:rPr>
          <w:rFonts w:cs="Times New Roman"/>
        </w:rPr>
        <w:t>, it is possible for a couple to remain unmarried contrary to the ardent wish of one of its members, the vulnerable one.  As McLachlin J. said, freedom of choice is, or may be, theoretical.</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The Quebec government’s decision to take care of persons in need by providing them with social assistance benefits is not likely to make up for the exclusion of </w:t>
      </w:r>
      <w:r w:rsidRPr="005A586D">
        <w:rPr>
          <w:rFonts w:cs="Times New Roman"/>
          <w:i/>
        </w:rPr>
        <w:t>de facto</w:t>
      </w:r>
      <w:r w:rsidRPr="005A586D">
        <w:rPr>
          <w:rFonts w:cs="Times New Roman"/>
        </w:rPr>
        <w:t xml:space="preserve"> spouses from the protection of support.  Minimalist assistance such as this is not an adequate response.  Social assistance is intended to be a measure of last resort and is not a reasonable substitute for support from a spouse who can afford to pay it.</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In </w:t>
      </w:r>
      <w:r w:rsidRPr="005A586D">
        <w:rPr>
          <w:rFonts w:cs="Times New Roman"/>
          <w:i/>
        </w:rPr>
        <w:t>Walsh</w:t>
      </w:r>
      <w:r w:rsidRPr="005A586D">
        <w:rPr>
          <w:rFonts w:cs="Times New Roman"/>
        </w:rPr>
        <w:t>, since the Court was not dealing with the issue of exclusion from support, it did not enquire into either the bases for the obligation of support or the fact that a relationship of interdependence may develop and be imposed on one of the parties without his or her having made a personal choice in this regard.  That case is therefore of no assistance on this aspect of the instant case.</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The concept of “mutual obligation” as the non</w:t>
      </w:r>
      <w:r w:rsidRPr="005A586D">
        <w:rPr>
          <w:rFonts w:cs="Times New Roman"/>
        </w:rPr>
        <w:noBreakHyphen/>
        <w:t xml:space="preserve">compensatory basis for the obligation of support must guide legislators in seeking ways to promote the autonomy of the parties while interfering as little as reasonably possible with the right to support itself.  A total exclusion from the right to support benefits only </w:t>
      </w:r>
      <w:r w:rsidRPr="005A586D">
        <w:rPr>
          <w:rFonts w:cs="Times New Roman"/>
          <w:i/>
        </w:rPr>
        <w:t>de facto</w:t>
      </w:r>
      <w:r w:rsidRPr="005A586D">
        <w:rPr>
          <w:rFonts w:cs="Times New Roman"/>
        </w:rPr>
        <w:t xml:space="preserve"> spouses who want to avoid the obligation of support, and it impairs the interests of dependent and vulnerable former spouses to a disproportionate extent.  The legislature could, for example, have imposed on the parties an obligation to resolve their separation fairly and imposed on the dissatisfied party the burden of proving that the conditions of separation are unfair.  Such a requirement would respect the autonomy of the parties while preventing abuse.  This is only one of a number of possible solutions, and I mention it only to illustrate the fact that the legislature has less intrusive means at its disposal.  The finding that there is a total exclusion from support without any mitigation of the effects of that exclusion is sufficient for me to conclude, like the Court of Appeal, that this measure is not justified under s. 1 of the </w:t>
      </w:r>
      <w:r w:rsidRPr="005A586D">
        <w:rPr>
          <w:rFonts w:cs="Times New Roman"/>
          <w:i/>
        </w:rPr>
        <w:t>Charter</w:t>
      </w:r>
      <w:r w:rsidRPr="005A586D">
        <w:rPr>
          <w:rFonts w:cs="Times New Roman"/>
        </w:rPr>
        <w:t>.</w:t>
      </w:r>
    </w:p>
    <w:p w:rsidR="004862B9" w:rsidRPr="005A586D" w:rsidRDefault="004862B9" w:rsidP="00C8352B">
      <w:pPr>
        <w:pStyle w:val="TitleTitre-AltT"/>
        <w:tabs>
          <w:tab w:val="clear" w:pos="360"/>
          <w:tab w:val="left" w:pos="540"/>
        </w:tabs>
        <w:ind w:left="540" w:hanging="540"/>
        <w:rPr>
          <w:rFonts w:cs="Times New Roman"/>
          <w:lang w:val="en-CA"/>
        </w:rPr>
      </w:pPr>
      <w:r w:rsidRPr="005A586D">
        <w:rPr>
          <w:rFonts w:cs="Times New Roman"/>
          <w:lang w:val="en-CA"/>
        </w:rPr>
        <w:t>III.</w:t>
      </w:r>
      <w:r w:rsidRPr="005A586D">
        <w:rPr>
          <w:rFonts w:cs="Times New Roman"/>
          <w:lang w:val="en-CA"/>
        </w:rPr>
        <w:tab/>
      </w:r>
      <w:r w:rsidRPr="005A586D">
        <w:rPr>
          <w:rFonts w:cs="Times New Roman"/>
          <w:u w:val="single"/>
          <w:lang w:val="en-CA"/>
        </w:rPr>
        <w:t xml:space="preserve">Measures Related to Rights of Ownership </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In my opinion, I must accept, as in the case of support, that the objective of promoting the autonomy of the parties is pressing and substantial and that a rational connection has been established.</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Regarding the compensatory allowance, I find that the exclusion of </w:t>
      </w:r>
      <w:r w:rsidRPr="005A586D">
        <w:rPr>
          <w:rFonts w:cs="Times New Roman"/>
          <w:i/>
        </w:rPr>
        <w:t>de facto</w:t>
      </w:r>
      <w:r w:rsidRPr="005A586D">
        <w:rPr>
          <w:rFonts w:cs="Times New Roman"/>
        </w:rPr>
        <w:t xml:space="preserve"> spouses from this measure represents a minimal impairment.  On the one hand, the right is in effect patrimonial in nature.  In this regard, I take into account my conclusion that a spouse who can afford to do so must pay support to a spouse who needs it.  The negation of this protective measure therefore does not compromise the basic ability of the former spouse to survive the breakdown of the relationship of interdependence with as much dignity as possible.  On the other hand, although the legislature did not eliminate this measure, the debate that preceded the enactment of the provisions on the family patrimony shows that it was dissatisfied with decisions in which courts had failed to give sufficient recognition to the spouses’ respective contributions.  That debate should provide the courts with a sound basis for interpreting the </w:t>
      </w:r>
      <w:r w:rsidRPr="005A586D">
        <w:rPr>
          <w:rFonts w:cs="Times New Roman"/>
          <w:i/>
        </w:rPr>
        <w:t>Civil Code</w:t>
      </w:r>
      <w:r w:rsidRPr="005A586D">
        <w:rPr>
          <w:rFonts w:cs="Times New Roman"/>
        </w:rPr>
        <w:t xml:space="preserve">’s provisions on unjust enrichment in a manner consistent with the concept of equality entrenched in the </w:t>
      </w:r>
      <w:r w:rsidRPr="005A586D">
        <w:rPr>
          <w:rFonts w:cs="Times New Roman"/>
          <w:i/>
        </w:rPr>
        <w:t>Charter</w:t>
      </w:r>
      <w:r w:rsidRPr="005A586D">
        <w:rPr>
          <w:rFonts w:cs="Times New Roman"/>
        </w:rPr>
        <w:t>.  Although total exclusion was certainly not the only possible solution for the legislature, the means that are still available to the vulnerable party are sufficient to meet the minimal impairment and balance of convenience tests.</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As for the partnership of acquests — the legal matrimonial regime — I find that this measure is also justified.  First, this right too is patrimonial in nature.  Unlike support, this measure does not relate to the ability of vulnerable persons to meet their basic needs.  Next, participation in the legal regime requires a positive action by the parties.  It is not a state resulting solely from the passage of time like the state of dependency that can gradually take hold in the parties’ relationship.  Although it is not a contract, the formalization of a union through a marriage or civil union ceremony nevertheless constitutes consent that is given at a specific time, most often before a relationship of interdependence develops.  In seeking ways to promote the autonomy of the parties, it was difficult for the legislature to avoid providing for, in parallel with the conventional regimes and the legal regime, a “no regime” option.  In addition, like married and civil union spouses who opt for the legal regime, </w:t>
      </w:r>
      <w:r w:rsidRPr="005A586D">
        <w:rPr>
          <w:rFonts w:cs="Times New Roman"/>
          <w:i/>
        </w:rPr>
        <w:t>de facto</w:t>
      </w:r>
      <w:r w:rsidRPr="005A586D">
        <w:rPr>
          <w:rFonts w:cs="Times New Roman"/>
        </w:rPr>
        <w:t xml:space="preserve"> spouses, while living together, remain completely autonomous and retain full ownership of the property they acquire.  Of course, some </w:t>
      </w:r>
      <w:r w:rsidRPr="005A586D">
        <w:rPr>
          <w:rFonts w:cs="Times New Roman"/>
          <w:i/>
        </w:rPr>
        <w:t>de facto</w:t>
      </w:r>
      <w:r w:rsidRPr="005A586D">
        <w:rPr>
          <w:rFonts w:cs="Times New Roman"/>
        </w:rPr>
        <w:t xml:space="preserve"> spouses will not be concerned about maintaining a fair division of the property acquired during the time they live together.  If one spouse has been unjustly enriched at the other’s expense, however, this could be rectified by an action for unjust enrichment, interpreted, as I mentioned above, generously and in a manner consistent with the </w:t>
      </w:r>
      <w:r w:rsidRPr="005A586D">
        <w:rPr>
          <w:rFonts w:cs="Times New Roman"/>
          <w:i/>
        </w:rPr>
        <w:t>Charter</w:t>
      </w:r>
      <w:r w:rsidRPr="005A586D">
        <w:rPr>
          <w:rFonts w:cs="Times New Roman"/>
        </w:rPr>
        <w:t xml:space="preserve">. </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My reasons for concluding that the exclusion of </w:t>
      </w:r>
      <w:r w:rsidRPr="005A586D">
        <w:rPr>
          <w:rFonts w:cs="Times New Roman"/>
          <w:i/>
        </w:rPr>
        <w:t>de facto</w:t>
      </w:r>
      <w:r w:rsidRPr="005A586D">
        <w:rPr>
          <w:rFonts w:cs="Times New Roman"/>
        </w:rPr>
        <w:t xml:space="preserve"> spouses from the protection of the family patrimony is justified are similar to those set out above.  First, the affected interest is once again patrimonial in nature.  Next, property becomes part of the family patrimony because the parties have deliberately decided to acquire it.  Neither a residence nor movable property becomes part of a party’s patrimony over time without concrete action being taken.  Unlike the interdependence that sometimes steals into conjugal life, over which the parties have no real control, the acquisition of patrimonial property results from decisions regarding which the government is justified in respecting the autonomy of the parties.  The rules on the family patrimony were not established without causing a stir in Quebec society.  At the time when they were adopted, there were transitional measures allowing married spouses to opt out of the protection so that they could not complain that their property had been “expropriated”.  In the future, individuals would be able to opt out of these rules by not marrying.  </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I recognize that support and the division of assets are both measures that make it possible to ease the burden created by the breakdown of a relationship of economic interdependence.  However, the division of patrimonial property on the basis of an economic union in which each party is entitled to an equal share is based first and foremost on a laudable objective pursued by the legislature.  The government had the power to impose measures of patrimonial protection on a given group, and it was not obliged to impose them on everyone.  Those who are excluded from the application of these measures nevertheless do not lack ways to form an economic union analogous to the one imposed on persons who are married or in a civil union; they can, for example, purchase their residence jointly.  There are protections that apply to spouses even if they have not formalized their relationship by choosing a protected form of union.  As I mentioned above, a vulnerable spouse who is in need could be awarded support.  Thus, in assessing what the debtor of support can afford to pay, the court must take all the debtor’s resources, including patrimonial property, into account.  To ensure that the needs of the spouse in need are met, the court does not necessarily have to make an award of patrimonial property.</w:t>
      </w:r>
    </w:p>
    <w:p w:rsidR="004862B9" w:rsidRPr="005A586D" w:rsidRDefault="004862B9" w:rsidP="004862B9">
      <w:pPr>
        <w:pStyle w:val="ParaNoNdepar-AltN"/>
        <w:tabs>
          <w:tab w:val="clear" w:pos="1166"/>
          <w:tab w:val="num" w:pos="1152"/>
        </w:tabs>
        <w:ind w:left="90"/>
        <w:rPr>
          <w:rFonts w:cs="Times New Roman"/>
        </w:rPr>
      </w:pPr>
      <w:r w:rsidRPr="005A586D">
        <w:rPr>
          <w:rFonts w:cs="Times New Roman"/>
        </w:rPr>
        <w:t xml:space="preserve">In light of the objective of promoting the autonomy of the parties, the positive actions the parties must take to acquire family property and the flexibility the courts have in assessing the resources available for the payment of support, I find that the exclusion of </w:t>
      </w:r>
      <w:r w:rsidRPr="005A586D">
        <w:rPr>
          <w:rFonts w:cs="Times New Roman"/>
          <w:i/>
        </w:rPr>
        <w:t xml:space="preserve">de facto </w:t>
      </w:r>
      <w:r w:rsidRPr="005A586D">
        <w:rPr>
          <w:rFonts w:cs="Times New Roman"/>
        </w:rPr>
        <w:t>spouses from the protection of the family patrimony satisfies the minimal impairment requirement.</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The disadvantages of this measure do not outweigh its advantages, since, although the parties do not have an automatic right, there are nevertheless other ways for them to obtain sufficient protection.</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One issue remains: that of the family residence.  Although this protection was originally adopted as a separate measure from the protection of the family patrimony, there are now a number of ways in which these two measures overlap, so I do not intend to engage in a separate analysis.  However, I would note that the courts have taken a flexible approach, exercising their incidental powers with regard to the family residence.  Indeed, an order to that effect was made in the instant case.</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In summary, I conclude that the exclusion of </w:t>
      </w:r>
      <w:r w:rsidRPr="005A586D">
        <w:rPr>
          <w:rFonts w:cs="Times New Roman"/>
          <w:i/>
        </w:rPr>
        <w:t>de facto</w:t>
      </w:r>
      <w:r w:rsidRPr="005A586D">
        <w:rPr>
          <w:rFonts w:cs="Times New Roman"/>
        </w:rPr>
        <w:t xml:space="preserve"> spouses from support is not justified, but that their exclusion from the patrimonial measures is justified.</w:t>
      </w:r>
    </w:p>
    <w:p w:rsidR="004862B9" w:rsidRPr="005A586D" w:rsidRDefault="004862B9" w:rsidP="00F81B96">
      <w:pPr>
        <w:pStyle w:val="ParaNoNdepar-AltN"/>
        <w:tabs>
          <w:tab w:val="clear" w:pos="1166"/>
          <w:tab w:val="num" w:pos="1152"/>
          <w:tab w:val="num" w:pos="1242"/>
        </w:tabs>
        <w:ind w:left="0"/>
        <w:rPr>
          <w:rFonts w:cs="Times New Roman"/>
        </w:rPr>
      </w:pPr>
      <w:r w:rsidRPr="005A586D">
        <w:rPr>
          <w:rFonts w:cs="Times New Roman"/>
        </w:rPr>
        <w:t xml:space="preserve">For these reasons, I would dismiss the appeals and affirm the decision of the Court of Appeal to suspend the declaration of constitutional invalidity of art. 585 </w:t>
      </w:r>
      <w:r w:rsidRPr="005A586D">
        <w:rPr>
          <w:rFonts w:cs="Times New Roman"/>
          <w:i/>
        </w:rPr>
        <w:t>C.C.Q.</w:t>
      </w:r>
      <w:r w:rsidRPr="005A586D">
        <w:rPr>
          <w:rFonts w:cs="Times New Roman"/>
        </w:rPr>
        <w:t xml:space="preserve"> for a period of 12 months, without costs.</w:t>
      </w:r>
    </w:p>
    <w:p w:rsidR="004862B9" w:rsidRPr="00C8352B" w:rsidRDefault="00C8352B" w:rsidP="00C8352B">
      <w:pPr>
        <w:pStyle w:val="SCCNormalDoubleSpacing"/>
        <w:spacing w:after="480"/>
        <w:rPr>
          <w:szCs w:val="24"/>
        </w:rPr>
      </w:pPr>
      <w:r>
        <w:rPr>
          <w:szCs w:val="24"/>
        </w:rPr>
        <w:tab/>
      </w:r>
      <w:r w:rsidR="00AB56CB">
        <w:rPr>
          <w:szCs w:val="24"/>
        </w:rPr>
        <w:t xml:space="preserve">The following are the reasons delivered by </w:t>
      </w:r>
    </w:p>
    <w:p w:rsidR="004862B9" w:rsidRPr="003662EA" w:rsidRDefault="00C8352B" w:rsidP="00F81B96">
      <w:pPr>
        <w:pStyle w:val="ParaNoNdepar-AltN"/>
        <w:tabs>
          <w:tab w:val="clear" w:pos="1166"/>
          <w:tab w:val="num" w:pos="1152"/>
          <w:tab w:val="num" w:pos="1242"/>
        </w:tabs>
        <w:ind w:left="0"/>
      </w:pPr>
      <w:r w:rsidRPr="00F42AFF">
        <w:rPr>
          <w:smallCaps/>
        </w:rPr>
        <w:t>The Chief Justice</w:t>
      </w:r>
      <w:r w:rsidRPr="003662EA">
        <w:t xml:space="preserve"> —</w:t>
      </w:r>
      <w:r w:rsidR="00F42AFF">
        <w:t xml:space="preserve"> </w:t>
      </w:r>
      <w:r w:rsidR="004862B9" w:rsidRPr="003662EA">
        <w:t xml:space="preserve">One of the </w:t>
      </w:r>
      <w:r w:rsidR="004862B9" w:rsidRPr="00F12D71">
        <w:rPr>
          <w:rFonts w:cs="Times New Roman"/>
        </w:rPr>
        <w:t>responsibilities</w:t>
      </w:r>
      <w:r w:rsidR="004862B9" w:rsidRPr="003662EA">
        <w:t xml:space="preserve"> of provincial legislatures across Canada is to provide laws to deal with disputes concerning support and property of couples in conjugal relationships.  In the old days, the problem was seen as simple; most couples were married, and it sufficed — or was thought to suffice — to pass laws regulating what happened when married couples separated.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No longer are matters so simple.  Increasingly, in all parts of Canada, couples are choosing to live together without being married.  The stigma that once attached to these relationships has faded.  The law has recognized that married couples and unmarried couples are entitled to equal treatment, for example with respect to insurance regime benefits, and that treating married couples differently from unmarried couples may be discriminatory and violate the equality guarantee of s. 15 of the </w:t>
      </w:r>
      <w:r w:rsidRPr="003662EA">
        <w:rPr>
          <w:rFonts w:cs="Times New Roman"/>
          <w:i/>
        </w:rPr>
        <w:t>Canadian Charter of Rights and Freedoms</w:t>
      </w:r>
      <w:r w:rsidRPr="003662EA">
        <w:rPr>
          <w:rFonts w:cs="Times New Roman"/>
        </w:rPr>
        <w:t xml:space="preserve">:  </w:t>
      </w:r>
      <w:r w:rsidRPr="003662EA">
        <w:rPr>
          <w:rFonts w:cs="Times New Roman"/>
          <w:i/>
        </w:rPr>
        <w:t>Miron v. Trudel</w:t>
      </w:r>
      <w:r w:rsidRPr="003662EA">
        <w:rPr>
          <w:rFonts w:cs="Times New Roman"/>
        </w:rPr>
        <w:t>, [1985] 2 S.C.R. 418.</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legislatures of different provinces have responded to this challenge in different ways. In many parts of Canada, the choice has been to apply to </w:t>
      </w:r>
      <w:r w:rsidRPr="003662EA">
        <w:rPr>
          <w:rFonts w:cs="Times New Roman"/>
          <w:i/>
        </w:rPr>
        <w:t>de facto</w:t>
      </w:r>
      <w:r w:rsidRPr="003662EA">
        <w:rPr>
          <w:rFonts w:cs="Times New Roman"/>
        </w:rPr>
        <w:t xml:space="preserve"> spouses an attenuated version of the mandatory regime that applies to married couples, unless the </w:t>
      </w:r>
      <w:r w:rsidRPr="003662EA">
        <w:rPr>
          <w:rFonts w:cs="Times New Roman"/>
          <w:i/>
        </w:rPr>
        <w:t>de facto</w:t>
      </w:r>
      <w:r w:rsidRPr="003662EA">
        <w:rPr>
          <w:rFonts w:cs="Times New Roman"/>
        </w:rPr>
        <w:t xml:space="preserve"> couple formally chooses to opt out.  For example, some provinces apply to </w:t>
      </w:r>
      <w:r w:rsidRPr="003662EA">
        <w:rPr>
          <w:rFonts w:cs="Times New Roman"/>
          <w:i/>
        </w:rPr>
        <w:t xml:space="preserve">de facto </w:t>
      </w:r>
      <w:r w:rsidRPr="003662EA">
        <w:rPr>
          <w:rFonts w:cs="Times New Roman"/>
        </w:rPr>
        <w:t xml:space="preserve">spouses the spousal support aspects of the mandatory regime applicable to married spouses.  The Province of Quebec has chosen a different approach.  Its law contemplates two completely different and distinct legal regimes — one for married couples and couples in civil unions, and one for </w:t>
      </w:r>
      <w:r w:rsidRPr="003662EA">
        <w:rPr>
          <w:rFonts w:cs="Times New Roman"/>
          <w:i/>
        </w:rPr>
        <w:t>de facto</w:t>
      </w:r>
      <w:r w:rsidRPr="003662EA">
        <w:rPr>
          <w:rFonts w:cs="Times New Roman"/>
        </w:rPr>
        <w:t xml:space="preserve"> spouses.  Couples who choose to marry or to enter into a civil union are subject to a mandatory regime governing both property and support (the “mandatory regime”).  Upon separation, the family patrimony is divided between the spouses, and one spouse may be ordered to make support payments to the other.  Couples who choose not to marry or to enter into a civil union — and this category is much larger in Quebec than in other provinces — are not subject to the mandatory regime that applies to married and civil union couples, and are free to craft whatever arrangements suit them.  Unless they provide otherwise, each partner holds his or her property as an individual, and cannot be ordered to divide it with the other partner on separation.  Nor, subject to exceptions related to children, can one partner be ordered to pay support to the other partner.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Underlying the Quebec policy is the desire to enhance the right of Quebec couples to choose the regime they prefer, the one that best suits their particular needs. The policy is aimed at enhancing their choice and autonomy.  Instead of a single norm based on the mandatory regime, there is a distinct choice between two different regimes: the mandatory regime, providing for a division of property and spousal support upon the dissolution of marriage or civil union, and a regime of full autonomy, allowing </w:t>
      </w:r>
      <w:r w:rsidRPr="003662EA">
        <w:rPr>
          <w:rFonts w:cs="Times New Roman"/>
          <w:i/>
        </w:rPr>
        <w:t xml:space="preserve">de facto </w:t>
      </w:r>
      <w:r w:rsidRPr="003662EA">
        <w:rPr>
          <w:rFonts w:cs="Times New Roman"/>
        </w:rPr>
        <w:t>spouses complete freedom to provide for the consequences of a break-up.  The evidence is clear that this dual regime approach enjoys wide popularity in Quebec; many couples deliberately choose not to marry or to enter into a civil union in order to avoid the mandatory regime.  If a couple does not marry or enter into a civil union, they will not be required to share their property or pay spousal support if the relationship ends.  No special opt-out agreement is required, unlike in other provinces.  The Quebec approach is grounded in Quebec’s unique history and social situation, as my colleague LeBel J. explains.</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issue in this case is whether the Province of Quebec can maintain the dual regime approach that its legislature has adopted.  A argues that this approach is unconstitutional because it unjustifiably discriminates against </w:t>
      </w:r>
      <w:r w:rsidRPr="003662EA">
        <w:rPr>
          <w:rFonts w:cs="Times New Roman"/>
          <w:i/>
        </w:rPr>
        <w:t>de facto</w:t>
      </w:r>
      <w:r w:rsidRPr="003662EA">
        <w:rPr>
          <w:rFonts w:cs="Times New Roman"/>
        </w:rPr>
        <w:t xml:space="preserve"> spouses by denying them access to the more protective mandatory regime that applies to married and civil union couples.  Accordingly, she argues that the Quebec law must be struck down and replaced by a regime that treats married, civil union and </w:t>
      </w:r>
      <w:r w:rsidRPr="003662EA">
        <w:rPr>
          <w:rFonts w:cs="Times New Roman"/>
          <w:i/>
        </w:rPr>
        <w:t>de facto</w:t>
      </w:r>
      <w:r w:rsidRPr="003662EA">
        <w:rPr>
          <w:rFonts w:cs="Times New Roman"/>
        </w:rPr>
        <w:t xml:space="preserve"> spouses the same with respect to property division and spousal support upon separation.</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I agree with LeBel J. that the Quebec dual regime approach is constitutional.  Unlike LeBel J., I conclude — as do my colleagues Deschamps J. and Abella J. — that the law violates the equality guarantee in s. 15 of the </w:t>
      </w:r>
      <w:r w:rsidRPr="003662EA">
        <w:rPr>
          <w:rFonts w:cs="Times New Roman"/>
          <w:i/>
        </w:rPr>
        <w:t>Charter</w:t>
      </w:r>
      <w:r w:rsidRPr="003662EA">
        <w:rPr>
          <w:rFonts w:cs="Times New Roman"/>
        </w:rPr>
        <w:t xml:space="preserve">. However, I find that the limit on the equality right of </w:t>
      </w:r>
      <w:r w:rsidRPr="003662EA">
        <w:rPr>
          <w:rFonts w:cs="Times New Roman"/>
          <w:i/>
        </w:rPr>
        <w:t>de facto</w:t>
      </w:r>
      <w:r w:rsidRPr="003662EA">
        <w:rPr>
          <w:rFonts w:cs="Times New Roman"/>
        </w:rPr>
        <w:t xml:space="preserve"> spouses imposed by the law is reasonable and justifiable in a free and democratic society.  Quebec’s goal is to enhance the choice and autonomy of couples in conjugal relationships.  This policy goal is important to Quebec.  Treating </w:t>
      </w:r>
      <w:r w:rsidRPr="003662EA">
        <w:rPr>
          <w:rFonts w:cs="Times New Roman"/>
          <w:i/>
        </w:rPr>
        <w:t>de facto</w:t>
      </w:r>
      <w:r w:rsidRPr="003662EA">
        <w:rPr>
          <w:rFonts w:cs="Times New Roman"/>
        </w:rPr>
        <w:t xml:space="preserve"> spouses differently from married and civil union spouses enhances this goal, and does so in a proportionate way.  The fact that Quebec has chosen a different policy than other provinces in keeping with its own history and social values does not make the law unconstitutional.</w:t>
      </w:r>
    </w:p>
    <w:p w:rsidR="004862B9" w:rsidRPr="003662EA" w:rsidRDefault="004862B9" w:rsidP="00F81B96">
      <w:pPr>
        <w:pStyle w:val="ParaNoNdepar-AltN"/>
        <w:numPr>
          <w:ilvl w:val="0"/>
          <w:numId w:val="0"/>
        </w:numPr>
        <w:spacing w:line="240" w:lineRule="auto"/>
        <w:ind w:left="540" w:hanging="540"/>
        <w:rPr>
          <w:rFonts w:cs="Times New Roman"/>
          <w:i/>
        </w:rPr>
      </w:pPr>
      <w:r w:rsidRPr="003662EA">
        <w:rPr>
          <w:rFonts w:cs="Times New Roman"/>
        </w:rPr>
        <w:t>I.</w:t>
      </w:r>
      <w:r w:rsidRPr="003662EA">
        <w:rPr>
          <w:rFonts w:cs="Times New Roman"/>
          <w:i/>
        </w:rPr>
        <w:t xml:space="preserve"> </w:t>
      </w:r>
      <w:r w:rsidRPr="003662EA">
        <w:rPr>
          <w:rFonts w:cs="Times New Roman"/>
          <w:i/>
        </w:rPr>
        <w:tab/>
      </w:r>
      <w:r w:rsidRPr="003662EA">
        <w:rPr>
          <w:rFonts w:cs="Times New Roman"/>
          <w:u w:val="single"/>
        </w:rPr>
        <w:t xml:space="preserve">Section 15: Does the Quebec Law Discriminate Against </w:t>
      </w:r>
      <w:r w:rsidRPr="003662EA">
        <w:rPr>
          <w:rFonts w:cs="Times New Roman"/>
          <w:i/>
          <w:u w:val="single"/>
        </w:rPr>
        <w:t xml:space="preserve">De </w:t>
      </w:r>
      <w:r w:rsidR="0006606E">
        <w:rPr>
          <w:rFonts w:cs="Times New Roman"/>
          <w:i/>
          <w:u w:val="single"/>
        </w:rPr>
        <w:t>F</w:t>
      </w:r>
      <w:r w:rsidRPr="003662EA">
        <w:rPr>
          <w:rFonts w:cs="Times New Roman"/>
          <w:i/>
          <w:u w:val="single"/>
        </w:rPr>
        <w:t>acto</w:t>
      </w:r>
      <w:r w:rsidRPr="003662EA">
        <w:rPr>
          <w:rFonts w:cs="Times New Roman"/>
          <w:u w:val="single"/>
        </w:rPr>
        <w:t xml:space="preserve"> Spouses</w:t>
      </w:r>
      <w:r w:rsidRPr="0006606E">
        <w:rPr>
          <w:rFonts w:cs="Times New Roman"/>
          <w:u w:val="single"/>
        </w:rPr>
        <w:t>?</w:t>
      </w:r>
    </w:p>
    <w:p w:rsidR="004862B9" w:rsidRPr="003662EA" w:rsidRDefault="004862B9" w:rsidP="00F81B96">
      <w:pPr>
        <w:pStyle w:val="TitleTitre-AltT"/>
        <w:tabs>
          <w:tab w:val="clear" w:pos="360"/>
          <w:tab w:val="left" w:pos="540"/>
        </w:tabs>
        <w:ind w:left="540" w:hanging="540"/>
        <w:rPr>
          <w:rFonts w:cs="Times New Roman"/>
          <w:i/>
        </w:rPr>
      </w:pPr>
      <w:r w:rsidRPr="003662EA">
        <w:rPr>
          <w:rFonts w:cs="Times New Roman"/>
        </w:rPr>
        <w:t>A.</w:t>
      </w:r>
      <w:r w:rsidRPr="003662EA">
        <w:rPr>
          <w:rFonts w:cs="Times New Roman"/>
        </w:rPr>
        <w:tab/>
      </w:r>
      <w:r w:rsidRPr="003662EA">
        <w:rPr>
          <w:rFonts w:cs="Times New Roman"/>
          <w:i/>
        </w:rPr>
        <w:t xml:space="preserve">The Section 15 Analysis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I agree with the s. 15 analysis set out in Abella J.’s reasons, which flows from the refinements to the s. 15 analysis that the Court made in </w:t>
      </w:r>
      <w:r w:rsidRPr="003662EA">
        <w:rPr>
          <w:rFonts w:cs="Times New Roman"/>
          <w:i/>
          <w:lang w:val="en-US"/>
        </w:rPr>
        <w:t>R. v. Kapp</w:t>
      </w:r>
      <w:r w:rsidRPr="003662EA">
        <w:rPr>
          <w:rFonts w:cs="Times New Roman"/>
          <w:lang w:val="en-US"/>
        </w:rPr>
        <w:t>,</w:t>
      </w:r>
      <w:r w:rsidRPr="003662EA">
        <w:rPr>
          <w:rFonts w:cs="Times New Roman"/>
          <w:i/>
          <w:lang w:val="en-US"/>
        </w:rPr>
        <w:t xml:space="preserve"> </w:t>
      </w:r>
      <w:r w:rsidRPr="003662EA">
        <w:rPr>
          <w:rFonts w:cs="Times New Roman"/>
          <w:lang w:val="en-US"/>
        </w:rPr>
        <w:t>2008 SCC 41,</w:t>
      </w:r>
      <w:r w:rsidRPr="003662EA">
        <w:rPr>
          <w:rFonts w:cs="Times New Roman"/>
          <w:i/>
          <w:lang w:val="en-US"/>
        </w:rPr>
        <w:t xml:space="preserve"> </w:t>
      </w:r>
      <w:r w:rsidRPr="003662EA">
        <w:rPr>
          <w:rFonts w:cs="Times New Roman"/>
          <w:lang w:val="en-US"/>
        </w:rPr>
        <w:t xml:space="preserve">[2008] 2 S.C.R. 483, </w:t>
      </w:r>
      <w:r w:rsidRPr="003662EA">
        <w:rPr>
          <w:rFonts w:cs="Times New Roman"/>
        </w:rPr>
        <w:t xml:space="preserve">and </w:t>
      </w:r>
      <w:r w:rsidRPr="003662EA">
        <w:rPr>
          <w:rFonts w:cs="Times New Roman"/>
          <w:i/>
          <w:lang w:val="en-US"/>
        </w:rPr>
        <w:t>Withler v. Canada (Attorney General)</w:t>
      </w:r>
      <w:r w:rsidRPr="003662EA">
        <w:rPr>
          <w:rFonts w:cs="Times New Roman"/>
          <w:lang w:val="en-US"/>
        </w:rPr>
        <w:t>,</w:t>
      </w:r>
      <w:r w:rsidRPr="003662EA">
        <w:rPr>
          <w:rFonts w:cs="Times New Roman"/>
          <w:i/>
          <w:lang w:val="en-US"/>
        </w:rPr>
        <w:t xml:space="preserve"> </w:t>
      </w:r>
      <w:r w:rsidRPr="003662EA">
        <w:rPr>
          <w:rFonts w:cs="Times New Roman"/>
          <w:lang w:val="en-US"/>
        </w:rPr>
        <w:t>2011 SCC 12, [2011] 1 S.C.R. 396</w:t>
      </w:r>
      <w:r w:rsidRPr="003662EA">
        <w:rPr>
          <w:rFonts w:cs="Times New Roman"/>
        </w:rPr>
        <w:t xml:space="preserve">. I disagree, however, as to whether the legislative scheme is justified under s. 1 of the </w:t>
      </w:r>
      <w:r w:rsidRPr="003662EA">
        <w:rPr>
          <w:rFonts w:cs="Times New Roman"/>
          <w:i/>
        </w:rPr>
        <w:t>Charter</w:t>
      </w:r>
      <w:r w:rsidRPr="003662EA">
        <w:rPr>
          <w:rFonts w:cs="Times New Roman"/>
        </w:rPr>
        <w:t>.</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lang w:val="en-US"/>
        </w:rPr>
        <w:t>Section 15 of the</w:t>
      </w:r>
      <w:r w:rsidRPr="003662EA">
        <w:rPr>
          <w:rFonts w:cs="Times New Roman"/>
          <w:i/>
          <w:lang w:val="en-US"/>
        </w:rPr>
        <w:t xml:space="preserve"> Charter</w:t>
      </w:r>
      <w:r w:rsidRPr="003662EA">
        <w:rPr>
          <w:rFonts w:cs="Times New Roman"/>
          <w:lang w:val="en-US"/>
        </w:rPr>
        <w:t xml:space="preserve"> protects against discrimination on the basis of personal characteristics, the enumerated or analogous grounds.  Marital status is such a ground.  To constitute discrimination, the impugned law must have the purpose or effect “of perpetuating or promoting the view that the individual is less capable or worthy of recognition or value as a human being or as a member of Canadian society, equally deserving of concern, respect, and consideration”:  </w:t>
      </w:r>
      <w:r w:rsidRPr="003662EA">
        <w:rPr>
          <w:rFonts w:cs="Times New Roman"/>
          <w:i/>
          <w:lang w:val="en-GB"/>
        </w:rPr>
        <w:t xml:space="preserve">Law </w:t>
      </w:r>
      <w:r w:rsidRPr="003662EA">
        <w:rPr>
          <w:rFonts w:cs="Times New Roman"/>
          <w:i/>
          <w:iCs/>
          <w:lang w:val="en-GB"/>
        </w:rPr>
        <w:t>v</w:t>
      </w:r>
      <w:r w:rsidRPr="003662EA">
        <w:rPr>
          <w:rFonts w:cs="Times New Roman"/>
          <w:i/>
          <w:lang w:val="en-GB"/>
        </w:rPr>
        <w:t>. Canada (Minister of Employment and Immigration)</w:t>
      </w:r>
      <w:r w:rsidRPr="003662EA">
        <w:rPr>
          <w:rFonts w:cs="Times New Roman"/>
          <w:lang w:val="en-GB"/>
        </w:rPr>
        <w:t xml:space="preserve">, [1999] 1 S.C.R. 497, at </w:t>
      </w:r>
      <w:r w:rsidRPr="003662EA">
        <w:rPr>
          <w:rFonts w:cs="Times New Roman"/>
          <w:lang w:val="en-US"/>
        </w:rPr>
        <w:t>para. 88</w:t>
      </w:r>
      <w:r w:rsidR="006F385A">
        <w:rPr>
          <w:rFonts w:cs="Times New Roman"/>
          <w:lang w:val="en-US"/>
        </w:rPr>
        <w:t>(3)(C)</w:t>
      </w:r>
      <w:r w:rsidRPr="003662EA">
        <w:rPr>
          <w:rFonts w:cs="Times New Roman"/>
          <w:lang w:val="en-US"/>
        </w:rPr>
        <w:t xml:space="preserve">; see also </w:t>
      </w:r>
      <w:r w:rsidRPr="003662EA">
        <w:rPr>
          <w:rFonts w:cs="Times New Roman"/>
          <w:i/>
          <w:lang w:val="en-US"/>
        </w:rPr>
        <w:t>Andrews</w:t>
      </w:r>
      <w:r w:rsidRPr="003662EA">
        <w:rPr>
          <w:rFonts w:cs="Times New Roman"/>
          <w:lang w:val="en-US"/>
        </w:rPr>
        <w:t xml:space="preserve"> </w:t>
      </w:r>
      <w:r w:rsidRPr="003662EA">
        <w:rPr>
          <w:rFonts w:cs="Times New Roman"/>
          <w:i/>
          <w:lang w:val="en-US"/>
        </w:rPr>
        <w:t>v. Law Society of British Columbia</w:t>
      </w:r>
      <w:r w:rsidRPr="003662EA">
        <w:rPr>
          <w:rFonts w:cs="Times New Roman"/>
          <w:spacing w:val="-3"/>
          <w:lang w:val="en-GB"/>
        </w:rPr>
        <w:t>, [1989] 1 S.C.R. 143,</w:t>
      </w:r>
      <w:r w:rsidRPr="003662EA">
        <w:rPr>
          <w:rFonts w:cs="Times New Roman"/>
          <w:lang w:val="en-US"/>
        </w:rPr>
        <w:t xml:space="preserve"> at p. 171.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lang w:val="en-US"/>
        </w:rPr>
        <w:t xml:space="preserve">Most </w:t>
      </w:r>
      <w:r w:rsidRPr="00F81B96">
        <w:rPr>
          <w:rFonts w:cs="Times New Roman"/>
        </w:rPr>
        <w:t>recently</w:t>
      </w:r>
      <w:r w:rsidRPr="003662EA">
        <w:rPr>
          <w:rFonts w:cs="Times New Roman"/>
          <w:lang w:val="en-US"/>
        </w:rPr>
        <w:t xml:space="preserve">, this Court has articulated the approach in terms of two steps: (1) Does the law create a distinction based on an enumerated or analogous ground? (2) Does the distinction create a disadvantage by perpetuating prejudice or </w:t>
      </w:r>
      <w:r w:rsidR="006F385A">
        <w:rPr>
          <w:rFonts w:cs="Times New Roman"/>
          <w:lang w:val="en-US"/>
        </w:rPr>
        <w:t>false stereotyping?</w:t>
      </w:r>
      <w:r w:rsidRPr="003662EA">
        <w:rPr>
          <w:rFonts w:cs="Times New Roman"/>
          <w:lang w:val="en-US"/>
        </w:rPr>
        <w:t xml:space="preserve">: </w:t>
      </w:r>
      <w:r w:rsidRPr="003662EA">
        <w:rPr>
          <w:rFonts w:cs="Times New Roman"/>
          <w:i/>
          <w:lang w:val="en-US"/>
        </w:rPr>
        <w:t xml:space="preserve"> Kapp</w:t>
      </w:r>
      <w:r w:rsidRPr="003662EA">
        <w:rPr>
          <w:rFonts w:cs="Times New Roman"/>
          <w:lang w:val="en-US"/>
        </w:rPr>
        <w:t xml:space="preserve">, at para. 17; </w:t>
      </w:r>
      <w:r w:rsidRPr="003662EA">
        <w:rPr>
          <w:rFonts w:cs="Times New Roman"/>
          <w:i/>
          <w:lang w:val="en-US"/>
        </w:rPr>
        <w:t>Withler</w:t>
      </w:r>
      <w:r w:rsidRPr="003662EA">
        <w:rPr>
          <w:rFonts w:cs="Times New Roman"/>
          <w:lang w:val="en-US"/>
        </w:rPr>
        <w:t xml:space="preserve">, at para. 30.  While the promotion or the perpetuation of prejudice, on the one hand, and false stereotyping, on the other, are useful guides, what constitutes discrimination requires a contextual analysis, taking into account matters such as pre-existing disadvantage of the claimant group, the degree of correspondence between the differential treatment and the claimant group’s reality, the ameliorative impact or purpose of the law, and the nature of the interests affected:  </w:t>
      </w:r>
      <w:r w:rsidRPr="003662EA">
        <w:rPr>
          <w:rFonts w:cs="Times New Roman"/>
          <w:i/>
          <w:lang w:val="en-US"/>
        </w:rPr>
        <w:t>Withler</w:t>
      </w:r>
      <w:r w:rsidRPr="003662EA">
        <w:rPr>
          <w:rFonts w:cs="Times New Roman"/>
          <w:lang w:val="en-US"/>
        </w:rPr>
        <w:t xml:space="preserve">, at para. 38; </w:t>
      </w:r>
      <w:r w:rsidRPr="003662EA">
        <w:rPr>
          <w:rFonts w:cs="Times New Roman"/>
          <w:i/>
          <w:lang w:val="en-US"/>
        </w:rPr>
        <w:t>Kapp</w:t>
      </w:r>
      <w:r w:rsidRPr="003662EA">
        <w:rPr>
          <w:rFonts w:cs="Times New Roman"/>
          <w:lang w:val="en-US"/>
        </w:rPr>
        <w:t>, at para. 19.</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A few </w:t>
      </w:r>
      <w:r w:rsidRPr="00F81B96">
        <w:rPr>
          <w:rFonts w:cs="Times New Roman"/>
        </w:rPr>
        <w:t>further</w:t>
      </w:r>
      <w:r w:rsidRPr="003662EA">
        <w:rPr>
          <w:rFonts w:cs="Times New Roman"/>
        </w:rPr>
        <w:t xml:space="preserve"> points that touch on differences between my reasons and those of LeBel J. bear noting.  First, the issue of whether the law is discriminatory must be considered from the point of view of “the reasonable person, dispassionate and fully apprised of the circumstances, possessed of similar attributes to, and under similar circumstances as, the claimant”: </w:t>
      </w:r>
      <w:r w:rsidRPr="003662EA">
        <w:rPr>
          <w:rFonts w:cs="Times New Roman"/>
          <w:i/>
        </w:rPr>
        <w:t>Law</w:t>
      </w:r>
      <w:r w:rsidR="006F385A" w:rsidRPr="006F385A">
        <w:rPr>
          <w:rFonts w:cs="Times New Roman"/>
        </w:rPr>
        <w:t>,</w:t>
      </w:r>
      <w:r w:rsidRPr="003662EA">
        <w:rPr>
          <w:rFonts w:cs="Times New Roman"/>
        </w:rPr>
        <w:t xml:space="preserve"> at para. 60.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Second, a </w:t>
      </w:r>
      <w:r w:rsidRPr="00F81B96">
        <w:rPr>
          <w:rFonts w:cs="Times New Roman"/>
        </w:rPr>
        <w:t>legal</w:t>
      </w:r>
      <w:r w:rsidRPr="003662EA">
        <w:rPr>
          <w:rFonts w:cs="Times New Roman"/>
        </w:rPr>
        <w:t xml:space="preserve"> distinction can be discriminatory </w:t>
      </w:r>
      <w:r w:rsidRPr="003662EA">
        <w:rPr>
          <w:rFonts w:cs="Times New Roman"/>
          <w:i/>
        </w:rPr>
        <w:t>either</w:t>
      </w:r>
      <w:r w:rsidRPr="003662EA">
        <w:rPr>
          <w:rFonts w:cs="Times New Roman"/>
        </w:rPr>
        <w:t xml:space="preserve"> in purpose or in effect. As a practical matter, legislatures seldom set out to discriminate on purpose; discrimination when it occurs is usually a matter of unintended effect.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Finally, and </w:t>
      </w:r>
      <w:r w:rsidRPr="00F12D71">
        <w:rPr>
          <w:rFonts w:cs="Times New Roman"/>
          <w:lang w:val="en-US"/>
        </w:rPr>
        <w:t>related</w:t>
      </w:r>
      <w:r w:rsidRPr="003662EA">
        <w:rPr>
          <w:rFonts w:cs="Times New Roman"/>
        </w:rPr>
        <w:t xml:space="preserve"> to this, it is important to maintain the analytical distinction between s. 15 and s. 1. While the public policy basis for legislation has a limited relevance to the s. 15 analysis, it is central to the s. 1 inquiry: see </w:t>
      </w:r>
      <w:r w:rsidRPr="003662EA">
        <w:rPr>
          <w:rFonts w:cs="Times New Roman"/>
          <w:i/>
        </w:rPr>
        <w:t>Andrews</w:t>
      </w:r>
      <w:r w:rsidRPr="003662EA">
        <w:rPr>
          <w:rFonts w:cs="Times New Roman"/>
        </w:rPr>
        <w:t xml:space="preserve">, at pp. 177-78.  This flows from the two-stage model of constitutional review inherent in the </w:t>
      </w:r>
      <w:r w:rsidRPr="003662EA">
        <w:rPr>
          <w:rFonts w:cs="Times New Roman"/>
          <w:i/>
        </w:rPr>
        <w:t>Charter</w:t>
      </w:r>
      <w:r w:rsidRPr="003662EA">
        <w:rPr>
          <w:rFonts w:cs="Times New Roman"/>
        </w:rPr>
        <w:t xml:space="preserve">.  As Aharon Barak, former President of the Supreme Court of Israel, puts it: </w:t>
      </w:r>
    </w:p>
    <w:p w:rsidR="004862B9" w:rsidRPr="003662EA" w:rsidRDefault="004862B9" w:rsidP="00C0411D">
      <w:pPr>
        <w:pStyle w:val="Citation-AltC"/>
        <w:spacing w:after="240"/>
        <w:contextualSpacing w:val="0"/>
        <w:rPr>
          <w:lang w:val="en-US"/>
        </w:rPr>
      </w:pPr>
      <w:r w:rsidRPr="003662EA">
        <w:rPr>
          <w:lang w:val="en-US"/>
        </w:rPr>
        <w:t xml:space="preserve">. . . what is the case when the legal system has adopted a two-stage model [of constitutional review], such as in Germany, Canada, South Africa, and Israel? . . . Should public interest considerations be included in the first stage or the second or in both stages? Should public interest considerations affect the determination of the right’s scope, or should consideration of these interests be postponed to the stage of . . . the discussion regarding proportionality? </w:t>
      </w:r>
    </w:p>
    <w:p w:rsidR="004862B9" w:rsidRPr="003662EA" w:rsidRDefault="004862B9" w:rsidP="00C0411D">
      <w:pPr>
        <w:pStyle w:val="Citation-AltC"/>
        <w:spacing w:after="240"/>
        <w:contextualSpacing w:val="0"/>
        <w:jc w:val="center"/>
        <w:rPr>
          <w:lang w:val="en-US"/>
        </w:rPr>
      </w:pPr>
      <w:r w:rsidRPr="003662EA">
        <w:rPr>
          <w:lang w:val="en-US"/>
        </w:rPr>
        <w:t>. . .</w:t>
      </w:r>
    </w:p>
    <w:p w:rsidR="004862B9" w:rsidRPr="003662EA" w:rsidRDefault="004862B9" w:rsidP="004862B9">
      <w:pPr>
        <w:pStyle w:val="Citation-AltC"/>
        <w:ind w:firstLine="274"/>
        <w:rPr>
          <w:lang w:val="en-US"/>
        </w:rPr>
      </w:pPr>
      <w:r w:rsidRPr="003662EA">
        <w:rPr>
          <w:lang w:val="en-US"/>
        </w:rPr>
        <w:t>The proper location for public interest considerations is in the second stage of the constitutional review, as part of the discussion of the justification of the limitation on the constitutional right.</w:t>
      </w:r>
    </w:p>
    <w:p w:rsidR="004862B9" w:rsidRPr="00851923" w:rsidRDefault="004862B9" w:rsidP="004862B9">
      <w:pPr>
        <w:pStyle w:val="Citation-AltC"/>
        <w:rPr>
          <w:lang w:val="en-CA"/>
        </w:rPr>
      </w:pPr>
    </w:p>
    <w:p w:rsidR="004862B9" w:rsidRPr="00851923" w:rsidRDefault="004862B9" w:rsidP="00F42AFF">
      <w:pPr>
        <w:pStyle w:val="Citation-AltC"/>
        <w:ind w:left="0"/>
        <w:rPr>
          <w:lang w:val="en-CA"/>
        </w:rPr>
      </w:pPr>
      <w:r w:rsidRPr="00851923">
        <w:rPr>
          <w:lang w:val="en-CA"/>
        </w:rPr>
        <w:t>(</w:t>
      </w:r>
      <w:r w:rsidRPr="00851923">
        <w:rPr>
          <w:i/>
          <w:lang w:val="en-CA"/>
        </w:rPr>
        <w:t>Proportionality:  Constitutional Rights and their Limitations</w:t>
      </w:r>
      <w:r w:rsidRPr="00851923">
        <w:rPr>
          <w:lang w:val="en-CA"/>
        </w:rPr>
        <w:t xml:space="preserve"> (2012), at pp. 75-76)</w:t>
      </w:r>
    </w:p>
    <w:p w:rsidR="004862B9" w:rsidRPr="00851923" w:rsidRDefault="004862B9" w:rsidP="00C0411D">
      <w:pPr>
        <w:pStyle w:val="TitleTitre-AltT"/>
        <w:tabs>
          <w:tab w:val="clear" w:pos="360"/>
          <w:tab w:val="left" w:pos="540"/>
        </w:tabs>
        <w:ind w:left="540" w:hanging="540"/>
        <w:rPr>
          <w:rFonts w:cs="Times New Roman"/>
          <w:i/>
          <w:lang w:val="en-CA"/>
        </w:rPr>
      </w:pPr>
      <w:r w:rsidRPr="00851923">
        <w:rPr>
          <w:rFonts w:cs="Times New Roman"/>
          <w:lang w:val="en-CA"/>
        </w:rPr>
        <w:t>B.</w:t>
      </w:r>
      <w:r w:rsidRPr="00851923">
        <w:rPr>
          <w:rFonts w:cs="Times New Roman"/>
          <w:lang w:val="en-CA"/>
        </w:rPr>
        <w:tab/>
      </w:r>
      <w:r w:rsidRPr="00851923">
        <w:rPr>
          <w:rFonts w:cs="Times New Roman"/>
          <w:i/>
          <w:lang w:val="en-CA"/>
        </w:rPr>
        <w:t>Application of the Section 15 Framework to A’s Claim of Discrimination</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first </w:t>
      </w:r>
      <w:r w:rsidRPr="00F81B96">
        <w:rPr>
          <w:rFonts w:cs="Times New Roman"/>
        </w:rPr>
        <w:t>question</w:t>
      </w:r>
      <w:r w:rsidRPr="003662EA">
        <w:rPr>
          <w:rFonts w:cs="Times New Roman"/>
        </w:rPr>
        <w:t xml:space="preserve"> is whether this Court’s decision in </w:t>
      </w:r>
      <w:r w:rsidRPr="003662EA">
        <w:rPr>
          <w:rFonts w:cs="Times New Roman"/>
          <w:i/>
        </w:rPr>
        <w:t>Nova Scotia (Attorney General) v. Walsh</w:t>
      </w:r>
      <w:r w:rsidRPr="003662EA">
        <w:rPr>
          <w:rFonts w:cs="Times New Roman"/>
        </w:rPr>
        <w:t xml:space="preserve">, 2002 SCC 83, [2002] 4 S.C.R. 325, resolves this appeal.  Like my colleague Abella J., I am of the view that </w:t>
      </w:r>
      <w:r w:rsidRPr="003662EA">
        <w:rPr>
          <w:rFonts w:cs="Times New Roman"/>
          <w:i/>
        </w:rPr>
        <w:t xml:space="preserve">Walsh </w:t>
      </w:r>
      <w:r w:rsidRPr="003662EA">
        <w:rPr>
          <w:rFonts w:cs="Times New Roman"/>
        </w:rPr>
        <w:t xml:space="preserve">does not bind this Court in the present case. </w:t>
      </w:r>
      <w:r w:rsidRPr="003662EA">
        <w:rPr>
          <w:rFonts w:cs="Times New Roman"/>
          <w:i/>
        </w:rPr>
        <w:t xml:space="preserve">Walsh </w:t>
      </w:r>
      <w:r w:rsidRPr="003662EA">
        <w:rPr>
          <w:rFonts w:cs="Times New Roman"/>
        </w:rPr>
        <w:t xml:space="preserve">involved different issues (division of property only) and was decided at an earlier point in our evolving appreciation of s. 15.  More fundamentally, however, I agree with Abella J. that freedom of choice and individual autonomy, which were held in </w:t>
      </w:r>
      <w:r w:rsidRPr="003662EA">
        <w:rPr>
          <w:rFonts w:cs="Times New Roman"/>
          <w:i/>
        </w:rPr>
        <w:t xml:space="preserve">Walsh </w:t>
      </w:r>
      <w:r w:rsidRPr="003662EA">
        <w:rPr>
          <w:rFonts w:cs="Times New Roman"/>
        </w:rPr>
        <w:t xml:space="preserve">to negate a breach of s. 15, are better considered at the s. 1 stage of the analysis.  Freedom of choice and autonomy are public interest considerations. They are relied on by Quebec to justify the obvious fact that its law may disadvantage some </w:t>
      </w:r>
      <w:r w:rsidRPr="003662EA">
        <w:rPr>
          <w:rFonts w:cs="Times New Roman"/>
          <w:i/>
        </w:rPr>
        <w:t>de facto</w:t>
      </w:r>
      <w:r w:rsidRPr="003662EA">
        <w:rPr>
          <w:rFonts w:cs="Times New Roman"/>
        </w:rPr>
        <w:t xml:space="preserve"> spouses by denying claims to property division and support in circumstances where they may not have truly chosen to forego the protections of the mandatory regime, but rather have been unable to access them due to their partner’s refusal to marry. As discussed above, under s. 15 of the </w:t>
      </w:r>
      <w:r w:rsidRPr="003662EA">
        <w:rPr>
          <w:rFonts w:cs="Times New Roman"/>
          <w:i/>
        </w:rPr>
        <w:t>Charter</w:t>
      </w:r>
      <w:r w:rsidRPr="003662EA">
        <w:rPr>
          <w:rFonts w:cs="Times New Roman"/>
        </w:rPr>
        <w:t>,</w:t>
      </w:r>
      <w:r w:rsidRPr="003662EA">
        <w:rPr>
          <w:rFonts w:cs="Times New Roman"/>
          <w:i/>
        </w:rPr>
        <w:t xml:space="preserve"> </w:t>
      </w:r>
      <w:r w:rsidRPr="003662EA">
        <w:rPr>
          <w:rFonts w:cs="Times New Roman"/>
        </w:rPr>
        <w:t xml:space="preserve">public policy considerations should be considered at the second stage of the constitutional analysis.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In my view, </w:t>
      </w:r>
      <w:r w:rsidRPr="00F12D71">
        <w:rPr>
          <w:rFonts w:cs="Times New Roman"/>
          <w:lang w:val="en-US"/>
        </w:rPr>
        <w:t>the</w:t>
      </w:r>
      <w:r w:rsidRPr="003662EA">
        <w:rPr>
          <w:rFonts w:cs="Times New Roman"/>
        </w:rPr>
        <w:t xml:space="preserve"> Quebec dual regime approach makes discriminatory distinctions that limit the s. 15 equality right of </w:t>
      </w:r>
      <w:r w:rsidRPr="003662EA">
        <w:rPr>
          <w:rFonts w:cs="Times New Roman"/>
          <w:i/>
        </w:rPr>
        <w:t>de facto</w:t>
      </w:r>
      <w:r w:rsidRPr="003662EA">
        <w:rPr>
          <w:rFonts w:cs="Times New Roman"/>
        </w:rPr>
        <w:t xml:space="preserve"> spouses. All the elements of a s. 15 violation are present. The law denies </w:t>
      </w:r>
      <w:r w:rsidRPr="003662EA">
        <w:rPr>
          <w:rFonts w:cs="Times New Roman"/>
          <w:i/>
        </w:rPr>
        <w:t>de facto</w:t>
      </w:r>
      <w:r w:rsidRPr="003662EA">
        <w:rPr>
          <w:rFonts w:cs="Times New Roman"/>
        </w:rPr>
        <w:t xml:space="preserve"> spouses protections available to married and civil union spouses. These distinctions are made on the basis of the analogous ground of marital status: </w:t>
      </w:r>
      <w:r w:rsidRPr="003662EA">
        <w:rPr>
          <w:rFonts w:cs="Times New Roman"/>
          <w:i/>
        </w:rPr>
        <w:t>Miron</w:t>
      </w:r>
      <w:r w:rsidRPr="003662EA">
        <w:rPr>
          <w:rFonts w:cs="Times New Roman"/>
        </w:rPr>
        <w:t xml:space="preserve">. The distinctions create a disadvantage: </w:t>
      </w:r>
      <w:r w:rsidRPr="003662EA">
        <w:rPr>
          <w:rFonts w:cs="Times New Roman"/>
          <w:i/>
        </w:rPr>
        <w:t xml:space="preserve">de facto </w:t>
      </w:r>
      <w:r w:rsidRPr="003662EA">
        <w:rPr>
          <w:rFonts w:cs="Times New Roman"/>
        </w:rPr>
        <w:t>spouses do not automatically benefit from a series of provisions that ensure an equitable division of property and continued financial support at the end of a relationship characterized by financial interdependence</w:t>
      </w:r>
      <w:r w:rsidR="0006606E">
        <w:rPr>
          <w:rFonts w:cs="Times New Roman"/>
        </w:rPr>
        <w:t xml:space="preserve"> (</w:t>
      </w:r>
      <w:r w:rsidRPr="003662EA">
        <w:rPr>
          <w:rFonts w:cs="Times New Roman"/>
          <w:i/>
        </w:rPr>
        <w:t>Civil Code of Québec</w:t>
      </w:r>
      <w:r w:rsidRPr="003662EA">
        <w:rPr>
          <w:rFonts w:cs="Times New Roman"/>
        </w:rPr>
        <w:t xml:space="preserve">, S.Q. 1991, c. 64, arts. 401 </w:t>
      </w:r>
      <w:r w:rsidRPr="003662EA">
        <w:rPr>
          <w:rFonts w:cs="Times New Roman"/>
          <w:i/>
        </w:rPr>
        <w:t>et seq.</w:t>
      </w:r>
      <w:r w:rsidRPr="003662EA">
        <w:rPr>
          <w:rFonts w:cs="Times New Roman"/>
        </w:rPr>
        <w:t xml:space="preserve">, 414 </w:t>
      </w:r>
      <w:r w:rsidRPr="003662EA">
        <w:rPr>
          <w:rFonts w:cs="Times New Roman"/>
          <w:i/>
        </w:rPr>
        <w:t>et seq.</w:t>
      </w:r>
      <w:r w:rsidRPr="003662EA">
        <w:rPr>
          <w:rFonts w:cs="Times New Roman"/>
        </w:rPr>
        <w:t xml:space="preserve">, 427 </w:t>
      </w:r>
      <w:r w:rsidRPr="003662EA">
        <w:rPr>
          <w:rFonts w:cs="Times New Roman"/>
          <w:i/>
        </w:rPr>
        <w:t>et seq.</w:t>
      </w:r>
      <w:r w:rsidRPr="003662EA">
        <w:rPr>
          <w:rFonts w:cs="Times New Roman"/>
        </w:rPr>
        <w:t>, 432 and 585</w:t>
      </w:r>
      <w:r w:rsidR="0006606E">
        <w:rPr>
          <w:rFonts w:cs="Times New Roman"/>
        </w:rPr>
        <w:t>)</w:t>
      </w:r>
      <w:r w:rsidRPr="003662EA">
        <w:rPr>
          <w:rFonts w:cs="Times New Roman"/>
        </w:rPr>
        <w:t xml:space="preserve">.  Finally, the disadvantage is discriminatory from the point of view of a reasonable person placed in circumstances similar to those of A. The law in fact shows less concern for people in A’s position than for married and civil union spouses on break-up of the relationship.   As it applies to people in A’s situation, it perpetuates the effects of historical disadvantage rooted in prejudice </w:t>
      </w:r>
      <w:r w:rsidRPr="003662EA">
        <w:rPr>
          <w:rFonts w:cs="Times New Roman"/>
          <w:i/>
        </w:rPr>
        <w:t xml:space="preserve">and </w:t>
      </w:r>
      <w:r w:rsidRPr="003662EA">
        <w:rPr>
          <w:rFonts w:cs="Times New Roman"/>
        </w:rPr>
        <w:t xml:space="preserve">rests on a false stereotype of choice rather than on the reality of the claimant’s situation.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LeBel J.’s </w:t>
      </w:r>
      <w:r w:rsidRPr="00F12D71">
        <w:rPr>
          <w:rFonts w:cs="Times New Roman"/>
          <w:lang w:val="en-US"/>
        </w:rPr>
        <w:t>review</w:t>
      </w:r>
      <w:r w:rsidRPr="003662EA">
        <w:rPr>
          <w:rFonts w:cs="Times New Roman"/>
        </w:rPr>
        <w:t xml:space="preserve"> of the relevant legislative history demonstrates that the purpose and intent animating the impugned provisions are not discriminatory. The Quebec legislature did not view </w:t>
      </w:r>
      <w:r w:rsidRPr="003662EA">
        <w:rPr>
          <w:rFonts w:cs="Times New Roman"/>
          <w:i/>
        </w:rPr>
        <w:t>de facto</w:t>
      </w:r>
      <w:r w:rsidRPr="003662EA">
        <w:rPr>
          <w:rFonts w:cs="Times New Roman"/>
        </w:rPr>
        <w:t xml:space="preserve"> spouses as inferior or second-class spouses.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However, </w:t>
      </w:r>
      <w:r w:rsidRPr="00F12D71">
        <w:rPr>
          <w:rFonts w:cs="Times New Roman"/>
          <w:lang w:val="en-US"/>
        </w:rPr>
        <w:t>this</w:t>
      </w:r>
      <w:r w:rsidRPr="003662EA">
        <w:rPr>
          <w:rFonts w:cs="Times New Roman"/>
        </w:rPr>
        <w:t xml:space="preserve"> does not end the inquiry.  It is necessary to go on to ask whether the adverse distinctions made by the law against </w:t>
      </w:r>
      <w:r w:rsidRPr="003662EA">
        <w:rPr>
          <w:rFonts w:cs="Times New Roman"/>
          <w:i/>
        </w:rPr>
        <w:t>de facto</w:t>
      </w:r>
      <w:r w:rsidRPr="003662EA">
        <w:rPr>
          <w:rFonts w:cs="Times New Roman"/>
        </w:rPr>
        <w:t xml:space="preserve"> spouses discriminate against them in effect, on the approach to s. 15 set out above.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In its effect, </w:t>
      </w:r>
      <w:r w:rsidRPr="00F12D71">
        <w:rPr>
          <w:rFonts w:cs="Times New Roman"/>
          <w:lang w:val="en-US"/>
        </w:rPr>
        <w:t>the</w:t>
      </w:r>
      <w:r w:rsidRPr="003662EA">
        <w:rPr>
          <w:rFonts w:cs="Times New Roman"/>
        </w:rPr>
        <w:t xml:space="preserve"> Quebec scheme denies separated </w:t>
      </w:r>
      <w:r w:rsidRPr="003662EA">
        <w:rPr>
          <w:rFonts w:cs="Times New Roman"/>
          <w:i/>
        </w:rPr>
        <w:t>de facto</w:t>
      </w:r>
      <w:r w:rsidRPr="003662EA">
        <w:rPr>
          <w:rFonts w:cs="Times New Roman"/>
        </w:rPr>
        <w:t xml:space="preserve"> partners important protections that it accords to separated married and civil union partners, despite the fact that they may not have meaningfully exercised a choice of regime.  It is reasonable to infer from this, subject to a full analysis of the relevant contextual factors, that the law that denies them these protections treats them as less deserving of concern, respect and consideration.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A </w:t>
      </w:r>
      <w:r w:rsidRPr="00F12D71">
        <w:rPr>
          <w:rFonts w:cs="Times New Roman"/>
          <w:lang w:val="en-US"/>
        </w:rPr>
        <w:t>reasonable</w:t>
      </w:r>
      <w:r w:rsidRPr="003662EA">
        <w:rPr>
          <w:rFonts w:cs="Times New Roman"/>
        </w:rPr>
        <w:t xml:space="preserve"> person in A’s situation would conclude that the law perpetuates pre-existing disadvantage.</w:t>
      </w:r>
      <w:r w:rsidRPr="003662EA">
        <w:rPr>
          <w:rFonts w:cs="Times New Roman"/>
          <w:i/>
        </w:rPr>
        <w:t xml:space="preserve">  De facto</w:t>
      </w:r>
      <w:r w:rsidRPr="003662EA">
        <w:rPr>
          <w:rFonts w:cs="Times New Roman"/>
        </w:rPr>
        <w:t xml:space="preserve"> spouses in Quebec suffer from significant pre-existing disadvantage. Until the enactment of the family law reform in 1980, the legislation actively discouraged and marginalized </w:t>
      </w:r>
      <w:r w:rsidRPr="003662EA">
        <w:rPr>
          <w:rFonts w:cs="Times New Roman"/>
          <w:i/>
        </w:rPr>
        <w:t>de facto</w:t>
      </w:r>
      <w:r w:rsidRPr="003662EA">
        <w:rPr>
          <w:rFonts w:cs="Times New Roman"/>
        </w:rPr>
        <w:t xml:space="preserve"> spousal</w:t>
      </w:r>
      <w:r w:rsidRPr="003662EA">
        <w:rPr>
          <w:rFonts w:cs="Times New Roman"/>
          <w:i/>
        </w:rPr>
        <w:t xml:space="preserve"> </w:t>
      </w:r>
      <w:r w:rsidRPr="003662EA">
        <w:rPr>
          <w:rFonts w:cs="Times New Roman"/>
        </w:rPr>
        <w:t xml:space="preserve">relationships, by prohibiting </w:t>
      </w:r>
      <w:r w:rsidRPr="003662EA">
        <w:rPr>
          <w:rFonts w:cs="Times New Roman"/>
          <w:i/>
        </w:rPr>
        <w:t xml:space="preserve">de facto </w:t>
      </w:r>
      <w:r w:rsidRPr="003662EA">
        <w:rPr>
          <w:rFonts w:cs="Times New Roman"/>
        </w:rPr>
        <w:t xml:space="preserve">spouses from contractually agreeing to obligations stemming from their relationships and by de-legitimizing their offspring. While the legislative animus that underlay those measures has disappeared, the present law continues to exclude </w:t>
      </w:r>
      <w:r w:rsidRPr="003662EA">
        <w:rPr>
          <w:rFonts w:cs="Times New Roman"/>
          <w:i/>
        </w:rPr>
        <w:t xml:space="preserve">de facto </w:t>
      </w:r>
      <w:r w:rsidRPr="003662EA">
        <w:rPr>
          <w:rFonts w:cs="Times New Roman"/>
        </w:rPr>
        <w:t xml:space="preserve">spouses from the protective schemes of Quebec family law.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Equally, a </w:t>
      </w:r>
      <w:r w:rsidRPr="00F81B96">
        <w:rPr>
          <w:rFonts w:cs="Times New Roman"/>
        </w:rPr>
        <w:t>reasonable</w:t>
      </w:r>
      <w:r w:rsidRPr="003662EA">
        <w:rPr>
          <w:rFonts w:cs="Times New Roman"/>
        </w:rPr>
        <w:t xml:space="preserve"> person in A’s position would conclude that in denying her recourse to spousal support and equitable property division, the law relies on false stereotypes. The law assumes that </w:t>
      </w:r>
      <w:r w:rsidRPr="003662EA">
        <w:rPr>
          <w:rFonts w:cs="Times New Roman"/>
          <w:i/>
        </w:rPr>
        <w:t>de facto</w:t>
      </w:r>
      <w:r w:rsidRPr="003662EA">
        <w:rPr>
          <w:rFonts w:cs="Times New Roman"/>
        </w:rPr>
        <w:t xml:space="preserve"> partners choose to forego the protections it offers to married and civil union partners.  Yet people in A’s situation have not in fact chosen to forego the protections of the mandatory regime. A’s real choice was of a different nature: she could either remain in a </w:t>
      </w:r>
      <w:r w:rsidRPr="003662EA">
        <w:rPr>
          <w:rFonts w:cs="Times New Roman"/>
          <w:i/>
        </w:rPr>
        <w:t xml:space="preserve">de facto </w:t>
      </w:r>
      <w:r w:rsidRPr="003662EA">
        <w:rPr>
          <w:rFonts w:cs="Times New Roman"/>
        </w:rPr>
        <w:t xml:space="preserve">relationship with B, or walk away from it after having become accustomed to the lifestyle she shared with him. More broadly, the law rests on the assumption that </w:t>
      </w:r>
      <w:r w:rsidRPr="003662EA">
        <w:rPr>
          <w:rFonts w:cs="Times New Roman"/>
          <w:i/>
        </w:rPr>
        <w:t>de facto</w:t>
      </w:r>
      <w:r w:rsidRPr="003662EA">
        <w:rPr>
          <w:rFonts w:cs="Times New Roman"/>
        </w:rPr>
        <w:t xml:space="preserve"> partners will provide for their needs by making their own agreements or arrangements for property and support.  Again, for claimants in A’s situation, this assumption fails to accord with the reality of their situation.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What then of context? Quebec’s </w:t>
      </w:r>
      <w:r w:rsidRPr="00F12D71">
        <w:rPr>
          <w:rFonts w:cs="Times New Roman"/>
          <w:lang w:val="en-US"/>
        </w:rPr>
        <w:t>argument</w:t>
      </w:r>
      <w:r w:rsidRPr="003662EA">
        <w:rPr>
          <w:rFonts w:cs="Times New Roman"/>
        </w:rPr>
        <w:t xml:space="preserve"> is that when the denial of protection to </w:t>
      </w:r>
      <w:r w:rsidRPr="003662EA">
        <w:rPr>
          <w:rFonts w:cs="Times New Roman"/>
          <w:i/>
        </w:rPr>
        <w:t>de facto</w:t>
      </w:r>
      <w:r w:rsidRPr="003662EA">
        <w:rPr>
          <w:rFonts w:cs="Times New Roman"/>
        </w:rPr>
        <w:t xml:space="preserve"> partners is considered in the context of the absence of prejudice against </w:t>
      </w:r>
      <w:r w:rsidRPr="003662EA">
        <w:rPr>
          <w:rFonts w:cs="Times New Roman"/>
          <w:i/>
        </w:rPr>
        <w:t>de facto</w:t>
      </w:r>
      <w:r w:rsidRPr="003662EA">
        <w:rPr>
          <w:rFonts w:cs="Times New Roman"/>
        </w:rPr>
        <w:t xml:space="preserve"> partners in Quebec and the desire to enhance the choice and autonomy of Quebec couples, the denial does not promote the view that </w:t>
      </w:r>
      <w:r w:rsidRPr="003662EA">
        <w:rPr>
          <w:rFonts w:cs="Times New Roman"/>
          <w:i/>
        </w:rPr>
        <w:t>de facto</w:t>
      </w:r>
      <w:r w:rsidRPr="003662EA">
        <w:rPr>
          <w:rFonts w:cs="Times New Roman"/>
        </w:rPr>
        <w:t xml:space="preserve"> partners are less worthy of concern and protection than married and civil union partners, and hence is not discriminatory.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first difficulty with this </w:t>
      </w:r>
      <w:r w:rsidRPr="00F12D71">
        <w:rPr>
          <w:rFonts w:cs="Times New Roman"/>
          <w:lang w:val="en-US"/>
        </w:rPr>
        <w:t>argument</w:t>
      </w:r>
      <w:r w:rsidRPr="003662EA">
        <w:rPr>
          <w:rFonts w:cs="Times New Roman"/>
        </w:rPr>
        <w:t xml:space="preserve"> is that it does not consider the distinction from the perspective of a reasonable person </w:t>
      </w:r>
      <w:r w:rsidRPr="003662EA">
        <w:rPr>
          <w:rFonts w:cs="Times New Roman"/>
          <w:i/>
        </w:rPr>
        <w:t>in the claimant’s position</w:t>
      </w:r>
      <w:r w:rsidRPr="003662EA">
        <w:rPr>
          <w:rFonts w:cs="Times New Roman"/>
        </w:rPr>
        <w:t xml:space="preserve">, as the equality jurisprudence requires.  It may be that some </w:t>
      </w:r>
      <w:r w:rsidRPr="003662EA">
        <w:rPr>
          <w:rFonts w:cs="Times New Roman"/>
          <w:i/>
        </w:rPr>
        <w:t>de facto</w:t>
      </w:r>
      <w:r w:rsidRPr="003662EA">
        <w:rPr>
          <w:rFonts w:cs="Times New Roman"/>
        </w:rPr>
        <w:t xml:space="preserve"> spouses are not prejudiced by the law because they choose to be unmarried and make alternate agreements or arrangements that suit them.  But from the perspective of a person in the claimant’s position, who has as a matter of fact been denied the right to choose, it is reasonable to view the law as treating her as less deserving of concern and consideration than married and civil union spouses.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second and related difficulty with Quebec’s argument is that it imports public interest considerations — the goal of maximizing choice and autonomy for conjugal partners as a whole — into the s. 15 analysis.  Such interests, as I discussed above, should not be considered at the first stage of determining whether a right has been limited, but at the second stage of determining whether the limitation on the right is justified. </w:t>
      </w:r>
    </w:p>
    <w:p w:rsidR="004862B9" w:rsidRPr="00851923" w:rsidRDefault="004862B9" w:rsidP="00F81B96">
      <w:pPr>
        <w:pStyle w:val="TitleTitre-AltT"/>
        <w:tabs>
          <w:tab w:val="clear" w:pos="360"/>
          <w:tab w:val="left" w:pos="540"/>
        </w:tabs>
        <w:ind w:left="540" w:hanging="540"/>
        <w:rPr>
          <w:rFonts w:cs="Times New Roman"/>
          <w:lang w:val="en-CA"/>
        </w:rPr>
      </w:pPr>
      <w:r w:rsidRPr="00851923">
        <w:rPr>
          <w:rFonts w:cs="Times New Roman"/>
          <w:lang w:val="en-CA"/>
        </w:rPr>
        <w:t>II.</w:t>
      </w:r>
      <w:r w:rsidRPr="00851923">
        <w:rPr>
          <w:rFonts w:cs="Times New Roman"/>
          <w:i/>
          <w:lang w:val="en-CA"/>
        </w:rPr>
        <w:tab/>
      </w:r>
      <w:r w:rsidRPr="00851923">
        <w:rPr>
          <w:rFonts w:cs="Times New Roman"/>
          <w:u w:val="single"/>
          <w:lang w:val="en-CA"/>
        </w:rPr>
        <w:t xml:space="preserve">Is the Breach of Section 15 Justified Under Section 1 of the </w:t>
      </w:r>
      <w:r w:rsidRPr="006F385A">
        <w:rPr>
          <w:rFonts w:cs="Times New Roman"/>
          <w:i/>
          <w:u w:val="single"/>
          <w:lang w:val="en-CA"/>
        </w:rPr>
        <w:t>Charter</w:t>
      </w:r>
      <w:r w:rsidRPr="00851923">
        <w:rPr>
          <w:rFonts w:cs="Times New Roman"/>
          <w:u w:val="single"/>
          <w:lang w:val="en-CA"/>
        </w:rPr>
        <w:t>?</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equality analysis under the </w:t>
      </w:r>
      <w:r w:rsidRPr="003662EA">
        <w:rPr>
          <w:rFonts w:cs="Times New Roman"/>
          <w:i/>
        </w:rPr>
        <w:t>Charter</w:t>
      </w:r>
      <w:r w:rsidRPr="003662EA">
        <w:rPr>
          <w:rFonts w:cs="Times New Roman"/>
        </w:rPr>
        <w:t xml:space="preserve"> is a two-stage process.  The first stage asks whether the law limits the right at issue.  The second stage asks whether that limit is reasonable and justified in a free and democratic society</w:t>
      </w:r>
      <w:r w:rsidR="0006606E">
        <w:rPr>
          <w:rFonts w:cs="Times New Roman"/>
        </w:rPr>
        <w:t xml:space="preserve"> (</w:t>
      </w:r>
      <w:r w:rsidRPr="003662EA">
        <w:rPr>
          <w:rFonts w:cs="Times New Roman"/>
        </w:rPr>
        <w:t>s. 1</w:t>
      </w:r>
      <w:r w:rsidR="0006606E">
        <w:rPr>
          <w:rFonts w:cs="Times New Roman"/>
        </w:rPr>
        <w:t>)</w:t>
      </w:r>
      <w:r w:rsidRPr="003662EA">
        <w:rPr>
          <w:rFonts w:cs="Times New Roman"/>
        </w:rPr>
        <w:t>.</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For the reasons just discussed, I conclude that the dual regime approach </w:t>
      </w:r>
      <w:r w:rsidR="006F385A">
        <w:rPr>
          <w:rFonts w:cs="Times New Roman"/>
        </w:rPr>
        <w:t xml:space="preserve">— </w:t>
      </w:r>
      <w:r w:rsidRPr="003662EA">
        <w:rPr>
          <w:rFonts w:cs="Times New Roman"/>
        </w:rPr>
        <w:t xml:space="preserve">which denies </w:t>
      </w:r>
      <w:r w:rsidRPr="003662EA">
        <w:rPr>
          <w:rFonts w:cs="Times New Roman"/>
          <w:i/>
        </w:rPr>
        <w:t>de facto</w:t>
      </w:r>
      <w:r w:rsidRPr="003662EA">
        <w:rPr>
          <w:rFonts w:cs="Times New Roman"/>
        </w:rPr>
        <w:t xml:space="preserve"> spouses the protections of the mandatory regime accorded to married and civil union spouses </w:t>
      </w:r>
      <w:r w:rsidR="006F385A">
        <w:rPr>
          <w:rFonts w:cs="Times New Roman"/>
        </w:rPr>
        <w:t xml:space="preserve">— </w:t>
      </w:r>
      <w:r w:rsidRPr="003662EA">
        <w:rPr>
          <w:rFonts w:cs="Times New Roman"/>
        </w:rPr>
        <w:t xml:space="preserve">treats </w:t>
      </w:r>
      <w:r w:rsidRPr="003662EA">
        <w:rPr>
          <w:rFonts w:cs="Times New Roman"/>
          <w:i/>
        </w:rPr>
        <w:t>de facto</w:t>
      </w:r>
      <w:r w:rsidRPr="003662EA">
        <w:rPr>
          <w:rFonts w:cs="Times New Roman"/>
        </w:rPr>
        <w:t xml:space="preserve"> spouses unequally and discriminates against them contrary to s. 15 of the </w:t>
      </w:r>
      <w:r w:rsidRPr="003662EA">
        <w:rPr>
          <w:rFonts w:cs="Times New Roman"/>
          <w:i/>
        </w:rPr>
        <w:t xml:space="preserve">Charter. </w:t>
      </w:r>
      <w:r w:rsidRPr="003662EA">
        <w:rPr>
          <w:rFonts w:cs="Times New Roman"/>
        </w:rPr>
        <w:t xml:space="preserve">The remaining question is whether this limit on the equality right of </w:t>
      </w:r>
      <w:r w:rsidRPr="003662EA">
        <w:rPr>
          <w:rFonts w:cs="Times New Roman"/>
          <w:i/>
        </w:rPr>
        <w:t xml:space="preserve">de facto </w:t>
      </w:r>
      <w:r w:rsidRPr="003662EA">
        <w:rPr>
          <w:rFonts w:cs="Times New Roman"/>
        </w:rPr>
        <w:t xml:space="preserve">spouses is justified under s. 1 of the </w:t>
      </w:r>
      <w:r w:rsidRPr="003662EA">
        <w:rPr>
          <w:rFonts w:cs="Times New Roman"/>
          <w:i/>
        </w:rPr>
        <w:t>Charter.</w:t>
      </w:r>
      <w:r w:rsidRPr="003662EA">
        <w:rPr>
          <w:rFonts w:cs="Times New Roman"/>
        </w:rPr>
        <w:t xml:space="preserve">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state bears the burden of establishing justification on a balance of probabilities. The state must demonstrate (1) a sufficiently important objective to justify an infringement of a </w:t>
      </w:r>
      <w:r w:rsidRPr="003662EA">
        <w:rPr>
          <w:rFonts w:cs="Times New Roman"/>
          <w:i/>
        </w:rPr>
        <w:t xml:space="preserve">Charter </w:t>
      </w:r>
      <w:r w:rsidRPr="003662EA">
        <w:rPr>
          <w:rFonts w:cs="Times New Roman"/>
        </w:rPr>
        <w:t xml:space="preserve">right, (2) a rational connection between that objective and the means chosen by the state, (3) that the means are minimally impairing of the right at issue, and (4) that the measure’s effects on the </w:t>
      </w:r>
      <w:r w:rsidRPr="003662EA">
        <w:rPr>
          <w:rFonts w:cs="Times New Roman"/>
          <w:i/>
        </w:rPr>
        <w:t>Charter</w:t>
      </w:r>
      <w:r w:rsidRPr="003662EA">
        <w:rPr>
          <w:rFonts w:cs="Times New Roman"/>
        </w:rPr>
        <w:t xml:space="preserve">-protected right are proportionate to the state objective: </w:t>
      </w:r>
      <w:r w:rsidRPr="003662EA">
        <w:rPr>
          <w:rFonts w:cs="Times New Roman"/>
          <w:i/>
        </w:rPr>
        <w:t>R. v. Oakes</w:t>
      </w:r>
      <w:r w:rsidRPr="003662EA">
        <w:rPr>
          <w:rFonts w:cs="Times New Roman"/>
        </w:rPr>
        <w:t xml:space="preserve">, [1986] 1 S.C.R. 103. </w:t>
      </w:r>
    </w:p>
    <w:p w:rsidR="004862B9" w:rsidRPr="003662EA" w:rsidRDefault="004862B9" w:rsidP="00C0411D">
      <w:pPr>
        <w:pStyle w:val="TitleTitre-AltT"/>
        <w:tabs>
          <w:tab w:val="clear" w:pos="360"/>
          <w:tab w:val="left" w:pos="540"/>
        </w:tabs>
        <w:ind w:left="540" w:hanging="540"/>
        <w:rPr>
          <w:rFonts w:cs="Times New Roman"/>
          <w:u w:val="single"/>
        </w:rPr>
      </w:pPr>
      <w:r w:rsidRPr="003662EA">
        <w:rPr>
          <w:rFonts w:cs="Times New Roman"/>
        </w:rPr>
        <w:t>A.</w:t>
      </w:r>
      <w:r w:rsidRPr="003662EA">
        <w:rPr>
          <w:rFonts w:cs="Times New Roman"/>
        </w:rPr>
        <w:tab/>
      </w:r>
      <w:r w:rsidRPr="003662EA">
        <w:rPr>
          <w:rFonts w:cs="Times New Roman"/>
          <w:i/>
        </w:rPr>
        <w:t>An Important Objective</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objective of the distinction between </w:t>
      </w:r>
      <w:r w:rsidRPr="003662EA">
        <w:rPr>
          <w:rFonts w:cs="Times New Roman"/>
          <w:i/>
        </w:rPr>
        <w:t xml:space="preserve">de facto </w:t>
      </w:r>
      <w:r w:rsidRPr="003662EA">
        <w:rPr>
          <w:rFonts w:cs="Times New Roman"/>
        </w:rPr>
        <w:t>spouses and married or civil union couples made by the Quebec dual regime approach is to promote choice and autonomy for all Quebec</w:t>
      </w:r>
      <w:r w:rsidRPr="003662EA">
        <w:rPr>
          <w:rFonts w:cs="Times New Roman"/>
          <w:i/>
        </w:rPr>
        <w:t xml:space="preserve"> </w:t>
      </w:r>
      <w:r w:rsidRPr="003662EA">
        <w:rPr>
          <w:rFonts w:cs="Times New Roman"/>
        </w:rPr>
        <w:t xml:space="preserve">spouses with respect to property division and support.  Those who choose to marry choose the protections </w:t>
      </w:r>
      <w:r w:rsidR="006F385A">
        <w:rPr>
          <w:rFonts w:cs="Times New Roman"/>
        </w:rPr>
        <w:t>—</w:t>
      </w:r>
      <w:r w:rsidRPr="003662EA">
        <w:rPr>
          <w:rFonts w:cs="Times New Roman"/>
        </w:rPr>
        <w:t xml:space="preserve"> but also the responsibilities </w:t>
      </w:r>
      <w:r w:rsidR="006F385A">
        <w:rPr>
          <w:rFonts w:cs="Times New Roman"/>
        </w:rPr>
        <w:t>—</w:t>
      </w:r>
      <w:r w:rsidRPr="003662EA">
        <w:rPr>
          <w:rFonts w:cs="Times New Roman"/>
        </w:rPr>
        <w:t xml:space="preserve"> associated with that status.  Those who choose not to marry avoid these state-imposed responsibilities and protections, and gain the opportunity to structure their relationship outside the confines of the mandatory regime applicable to married and civil union spouses.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The legislature pursued this objective in response to rapidly changing attitudes in Quebec with respect to marriage, namely a rejection of the gender inequalities associated with the tradition of marriage, a shift away from the influence of the Church and the assertion of values linked to individualism: B. Moore, “Culture et droit de la famille: de l’institution à l’autonomie individuelle” (2009), 54</w:t>
      </w:r>
      <w:r w:rsidRPr="003662EA">
        <w:rPr>
          <w:rFonts w:cs="Times New Roman"/>
          <w:i/>
        </w:rPr>
        <w:t xml:space="preserve"> McGill L.J.</w:t>
      </w:r>
      <w:r w:rsidRPr="003662EA">
        <w:rPr>
          <w:rFonts w:cs="Times New Roman"/>
        </w:rPr>
        <w:t xml:space="preserve"> 257, at p. 268. The legislator sought to accommodate the social rejection of the traditional control by the state and the Church over intimate relationships. When the family patrimony provisions were adopted in Quebec, the responsible Minister stated that a harmonization of the legislative treatment of marriage and of </w:t>
      </w:r>
      <w:r w:rsidRPr="003662EA">
        <w:rPr>
          <w:rFonts w:cs="Times New Roman"/>
          <w:i/>
        </w:rPr>
        <w:t xml:space="preserve">de facto </w:t>
      </w:r>
      <w:r w:rsidRPr="003662EA">
        <w:rPr>
          <w:rFonts w:cs="Times New Roman"/>
        </w:rPr>
        <w:t xml:space="preserve">spousal relationships </w:t>
      </w:r>
      <w:r w:rsidRPr="003662EA">
        <w:rPr>
          <w:rFonts w:cs="Times New Roman"/>
          <w:smallCaps/>
        </w:rPr>
        <w:t xml:space="preserve">[translation] </w:t>
      </w:r>
      <w:r w:rsidRPr="003662EA">
        <w:rPr>
          <w:rFonts w:cs="Times New Roman"/>
        </w:rPr>
        <w:t xml:space="preserve">“would not be without consequences, for what then would be the meaning of marriage or the value in the civil context of religious marriage, and </w:t>
      </w:r>
      <w:r w:rsidRPr="003662EA">
        <w:rPr>
          <w:rFonts w:cs="Times New Roman"/>
          <w:u w:val="single"/>
        </w:rPr>
        <w:t>what would be the form of union developed by those who do not want to be regulated</w:t>
      </w:r>
      <w:r w:rsidRPr="003662EA">
        <w:rPr>
          <w:rFonts w:cs="Times New Roman"/>
        </w:rPr>
        <w:t xml:space="preserve">?”:  National Assembly, </w:t>
      </w:r>
      <w:r w:rsidRPr="003662EA">
        <w:rPr>
          <w:rFonts w:cs="Times New Roman"/>
          <w:i/>
        </w:rPr>
        <w:t>Journal des débats</w:t>
      </w:r>
      <w:r w:rsidRPr="003662EA">
        <w:rPr>
          <w:rFonts w:cs="Times New Roman"/>
        </w:rPr>
        <w:t>, vol. 30, No. 125, 2nd Sess., 33rd Leg., June 8, 1989, p. 6487 (emphasis added).</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The objective of the law is sufficiently important to justify an infringement of the right to equality.</w:t>
      </w:r>
    </w:p>
    <w:p w:rsidR="004862B9" w:rsidRPr="003662EA" w:rsidRDefault="004862B9" w:rsidP="00F81B96">
      <w:pPr>
        <w:pStyle w:val="TitleTitre-AltT"/>
        <w:tabs>
          <w:tab w:val="clear" w:pos="360"/>
          <w:tab w:val="left" w:pos="540"/>
        </w:tabs>
        <w:ind w:left="540" w:hanging="540"/>
        <w:rPr>
          <w:rFonts w:cs="Times New Roman"/>
          <w:u w:val="single"/>
        </w:rPr>
      </w:pPr>
      <w:r w:rsidRPr="003662EA">
        <w:rPr>
          <w:rFonts w:cs="Times New Roman"/>
        </w:rPr>
        <w:t>B.</w:t>
      </w:r>
      <w:r w:rsidRPr="003662EA">
        <w:rPr>
          <w:rFonts w:cs="Times New Roman"/>
        </w:rPr>
        <w:tab/>
      </w:r>
      <w:r w:rsidRPr="003662EA">
        <w:rPr>
          <w:rFonts w:cs="Times New Roman"/>
          <w:i/>
        </w:rPr>
        <w:t>Rational Connection</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distinction made by the law between married, civil union and </w:t>
      </w:r>
      <w:r w:rsidRPr="003662EA">
        <w:rPr>
          <w:rFonts w:cs="Times New Roman"/>
          <w:i/>
        </w:rPr>
        <w:t xml:space="preserve">de facto </w:t>
      </w:r>
      <w:r w:rsidRPr="003662EA">
        <w:rPr>
          <w:rFonts w:cs="Times New Roman"/>
        </w:rPr>
        <w:t xml:space="preserve">spouses is rationally connected to the state objective of preserving the autonomy and freedom of choice of Quebec spouses.  Without this distinction, the clear choice between a regime of division of property and support on the one hand, and a regime of full autonomy on the other hand, would be absent. The Quebec approach only imposes state-mandated obligations on spouses who have made a conscious and active choice to accept those obligations. The requirement of an active choice to undertake obligations is consistent with the objective of enhancing autonomy. </w:t>
      </w:r>
    </w:p>
    <w:p w:rsidR="004862B9" w:rsidRPr="003662EA" w:rsidRDefault="004862B9" w:rsidP="00F81B96">
      <w:pPr>
        <w:pStyle w:val="TitleTitre-AltT"/>
        <w:tabs>
          <w:tab w:val="clear" w:pos="360"/>
          <w:tab w:val="left" w:pos="540"/>
        </w:tabs>
        <w:ind w:left="540" w:hanging="540"/>
        <w:rPr>
          <w:rFonts w:cs="Times New Roman"/>
          <w:i/>
          <w:lang w:val="en-US"/>
        </w:rPr>
      </w:pPr>
      <w:r w:rsidRPr="003662EA">
        <w:rPr>
          <w:rFonts w:cs="Times New Roman"/>
          <w:lang w:val="en-US"/>
        </w:rPr>
        <w:t>C.</w:t>
      </w:r>
      <w:r w:rsidRPr="003662EA">
        <w:rPr>
          <w:rFonts w:cs="Times New Roman"/>
          <w:lang w:val="en-US"/>
        </w:rPr>
        <w:tab/>
      </w:r>
      <w:r w:rsidRPr="003662EA">
        <w:rPr>
          <w:rFonts w:cs="Times New Roman"/>
          <w:i/>
          <w:lang w:val="en-US"/>
        </w:rPr>
        <w:t>Minimum Impairment</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lang w:val="en-US"/>
        </w:rPr>
        <w:t xml:space="preserve">The </w:t>
      </w:r>
      <w:r w:rsidRPr="003662EA">
        <w:rPr>
          <w:rFonts w:cs="Times New Roman"/>
          <w:i/>
          <w:lang w:val="en-US"/>
        </w:rPr>
        <w:t xml:space="preserve">Oakes </w:t>
      </w:r>
      <w:r w:rsidRPr="00F12D71">
        <w:rPr>
          <w:rFonts w:cs="Times New Roman"/>
        </w:rPr>
        <w:t>test</w:t>
      </w:r>
      <w:r w:rsidRPr="003662EA">
        <w:rPr>
          <w:rFonts w:cs="Times New Roman"/>
          <w:lang w:val="en-US"/>
        </w:rPr>
        <w:t xml:space="preserve"> </w:t>
      </w:r>
      <w:r w:rsidRPr="00F81B96">
        <w:rPr>
          <w:rFonts w:cs="Times New Roman"/>
        </w:rPr>
        <w:t>requires</w:t>
      </w:r>
      <w:r w:rsidRPr="003662EA">
        <w:rPr>
          <w:rFonts w:cs="Times New Roman"/>
          <w:lang w:val="en-US"/>
        </w:rPr>
        <w:t xml:space="preserve"> that impugned provisions impair the infringed right “as little as is reasonably possible”: </w:t>
      </w:r>
      <w:r w:rsidRPr="003662EA">
        <w:rPr>
          <w:rFonts w:cs="Times New Roman"/>
          <w:i/>
          <w:iCs/>
          <w:lang w:val="en-US"/>
        </w:rPr>
        <w:t>R. v. Edwards Books and Art Ltd.</w:t>
      </w:r>
      <w:r w:rsidRPr="003662EA">
        <w:rPr>
          <w:rFonts w:cs="Times New Roman"/>
          <w:lang w:val="en-US"/>
        </w:rPr>
        <w:t xml:space="preserve">, [1986] 2 S.C.R. 713, at p. 772. This Court has recognized that the state must have a margin of appreciation in selecting the means to achieve its objective: </w:t>
      </w:r>
      <w:r w:rsidRPr="003662EA">
        <w:rPr>
          <w:rFonts w:cs="Times New Roman"/>
          <w:i/>
          <w:lang w:val="en-GB"/>
        </w:rPr>
        <w:t>Irwin Toy Ltd.</w:t>
      </w:r>
      <w:r w:rsidRPr="003662EA">
        <w:rPr>
          <w:rFonts w:cs="Times New Roman"/>
          <w:i/>
          <w:iCs/>
          <w:lang w:val="en-GB"/>
        </w:rPr>
        <w:t xml:space="preserve"> v.</w:t>
      </w:r>
      <w:r w:rsidRPr="003662EA">
        <w:rPr>
          <w:rFonts w:cs="Times New Roman"/>
          <w:i/>
          <w:lang w:val="en-GB"/>
        </w:rPr>
        <w:t xml:space="preserve"> Quebec (Attorney General)</w:t>
      </w:r>
      <w:r w:rsidRPr="003662EA">
        <w:rPr>
          <w:rFonts w:cs="Times New Roman"/>
          <w:lang w:val="en-GB"/>
        </w:rPr>
        <w:t>, [1989] 1 S.C.R. 927</w:t>
      </w:r>
      <w:r w:rsidRPr="003662EA">
        <w:rPr>
          <w:rFonts w:cs="Times New Roman"/>
          <w:lang w:val="en-US"/>
        </w:rPr>
        <w:t xml:space="preserve">, at p. 999; </w:t>
      </w:r>
      <w:r w:rsidRPr="003662EA">
        <w:rPr>
          <w:rFonts w:cs="Times New Roman"/>
          <w:i/>
          <w:lang w:val="en-GB"/>
        </w:rPr>
        <w:t xml:space="preserve">Alberta </w:t>
      </w:r>
      <w:r w:rsidRPr="003662EA">
        <w:rPr>
          <w:rFonts w:cs="Times New Roman"/>
          <w:i/>
          <w:iCs/>
          <w:lang w:val="en-GB"/>
        </w:rPr>
        <w:t>v</w:t>
      </w:r>
      <w:r w:rsidRPr="003662EA">
        <w:rPr>
          <w:rFonts w:cs="Times New Roman"/>
          <w:i/>
          <w:lang w:val="en-GB"/>
        </w:rPr>
        <w:t>. Hutterian Brethren of Wilson Colony</w:t>
      </w:r>
      <w:r w:rsidRPr="003662EA">
        <w:rPr>
          <w:rFonts w:cs="Times New Roman"/>
          <w:lang w:val="en-GB"/>
        </w:rPr>
        <w:t>, 2009 SCC 37, [2009] 2 S.C.R. 567, at</w:t>
      </w:r>
      <w:r w:rsidRPr="003662EA">
        <w:rPr>
          <w:rFonts w:cs="Times New Roman"/>
          <w:lang w:val="en-US"/>
        </w:rPr>
        <w:t xml:space="preserve"> paras. 35 and 53; </w:t>
      </w:r>
      <w:r w:rsidRPr="003662EA">
        <w:rPr>
          <w:rFonts w:cs="Times New Roman"/>
          <w:i/>
          <w:lang w:val="en-US"/>
        </w:rPr>
        <w:t>Edwards Books and Art</w:t>
      </w:r>
      <w:r w:rsidRPr="003662EA">
        <w:rPr>
          <w:rFonts w:cs="Times New Roman"/>
          <w:lang w:val="en-US"/>
        </w:rPr>
        <w:t xml:space="preserve">.  The question is whether the impugned provisions fall within a range of reasonable alternatives: </w:t>
      </w:r>
      <w:r w:rsidRPr="003662EA">
        <w:rPr>
          <w:rFonts w:cs="Times New Roman"/>
          <w:i/>
          <w:lang w:val="en-GB"/>
        </w:rPr>
        <w:t xml:space="preserve">Lavoie </w:t>
      </w:r>
      <w:r w:rsidRPr="003662EA">
        <w:rPr>
          <w:rFonts w:cs="Times New Roman"/>
          <w:i/>
          <w:iCs/>
          <w:lang w:val="en-GB"/>
        </w:rPr>
        <w:t>v</w:t>
      </w:r>
      <w:r w:rsidRPr="003662EA">
        <w:rPr>
          <w:rFonts w:cs="Times New Roman"/>
          <w:i/>
          <w:lang w:val="en-GB"/>
        </w:rPr>
        <w:t xml:space="preserve">. </w:t>
      </w:r>
      <w:bookmarkStart w:id="8" w:name="QuickMark"/>
      <w:bookmarkEnd w:id="8"/>
      <w:r w:rsidRPr="003662EA">
        <w:rPr>
          <w:rFonts w:cs="Times New Roman"/>
          <w:i/>
          <w:lang w:val="en-GB"/>
        </w:rPr>
        <w:t>Canada</w:t>
      </w:r>
      <w:r w:rsidRPr="003662EA">
        <w:rPr>
          <w:rFonts w:cs="Times New Roman"/>
          <w:lang w:val="en-GB"/>
        </w:rPr>
        <w:t xml:space="preserve">, 2002 SCC 23, [2002] 1 S.C.R. 769, at </w:t>
      </w:r>
      <w:r w:rsidRPr="003662EA">
        <w:rPr>
          <w:rFonts w:cs="Times New Roman"/>
          <w:lang w:val="en-US"/>
        </w:rPr>
        <w:t xml:space="preserve">para. 61; </w:t>
      </w:r>
      <w:r w:rsidRPr="003662EA">
        <w:rPr>
          <w:rFonts w:cs="Times New Roman"/>
          <w:i/>
          <w:lang w:val="en-US"/>
        </w:rPr>
        <w:t>RJR-MacDonald Inc.</w:t>
      </w:r>
      <w:r w:rsidRPr="003662EA">
        <w:rPr>
          <w:rFonts w:cs="Times New Roman"/>
          <w:b/>
          <w:bCs/>
          <w:i/>
          <w:iCs/>
          <w:lang w:val="en-US"/>
        </w:rPr>
        <w:t xml:space="preserve"> </w:t>
      </w:r>
      <w:r w:rsidRPr="003662EA">
        <w:rPr>
          <w:rFonts w:cs="Times New Roman"/>
          <w:bCs/>
          <w:i/>
          <w:iCs/>
          <w:lang w:val="en-US"/>
        </w:rPr>
        <w:t>v.</w:t>
      </w:r>
      <w:r w:rsidRPr="003662EA">
        <w:rPr>
          <w:rFonts w:cs="Times New Roman"/>
          <w:bCs/>
          <w:i/>
          <w:lang w:val="en-US"/>
        </w:rPr>
        <w:t xml:space="preserve"> Canada (Attorney General)</w:t>
      </w:r>
      <w:r w:rsidRPr="003662EA">
        <w:rPr>
          <w:rFonts w:cs="Times New Roman"/>
          <w:bCs/>
          <w:lang w:val="en-US"/>
        </w:rPr>
        <w:t>,</w:t>
      </w:r>
      <w:r w:rsidRPr="003662EA">
        <w:rPr>
          <w:rFonts w:cs="Times New Roman"/>
          <w:sz w:val="20"/>
          <w:szCs w:val="20"/>
          <w:lang w:val="en-US"/>
        </w:rPr>
        <w:t xml:space="preserve"> </w:t>
      </w:r>
      <w:r w:rsidRPr="003662EA">
        <w:rPr>
          <w:rFonts w:cs="Times New Roman"/>
          <w:bCs/>
          <w:lang w:val="en-US"/>
        </w:rPr>
        <w:t>[1995] 3 S.C.R. 199</w:t>
      </w:r>
      <w:r w:rsidRPr="003662EA">
        <w:rPr>
          <w:rFonts w:cs="Times New Roman"/>
          <w:lang w:val="en-US"/>
        </w:rPr>
        <w:t xml:space="preserve">, at para. 160; </w:t>
      </w:r>
      <w:r w:rsidRPr="003662EA">
        <w:rPr>
          <w:rFonts w:cs="Times New Roman"/>
          <w:i/>
          <w:spacing w:val="-3"/>
          <w:lang w:val="en-GB"/>
        </w:rPr>
        <w:t>McKinney</w:t>
      </w:r>
      <w:r w:rsidRPr="003662EA">
        <w:rPr>
          <w:rFonts w:cs="Times New Roman"/>
          <w:i/>
          <w:iCs/>
          <w:spacing w:val="-3"/>
          <w:lang w:val="en-GB"/>
        </w:rPr>
        <w:t xml:space="preserve"> v.</w:t>
      </w:r>
      <w:r w:rsidRPr="003662EA">
        <w:rPr>
          <w:rFonts w:cs="Times New Roman"/>
          <w:i/>
          <w:spacing w:val="-3"/>
          <w:lang w:val="en-GB"/>
        </w:rPr>
        <w:t xml:space="preserve"> University of Guelph</w:t>
      </w:r>
      <w:r w:rsidRPr="003662EA">
        <w:rPr>
          <w:rFonts w:cs="Times New Roman"/>
          <w:spacing w:val="-3"/>
          <w:lang w:val="en-GB"/>
        </w:rPr>
        <w:t>, [1990] 3 S.C.R. 229, at pp. 285-86</w:t>
      </w:r>
      <w:r w:rsidRPr="003662EA">
        <w:rPr>
          <w:rFonts w:cs="Times New Roman"/>
          <w:lang w:val="en-US"/>
        </w:rPr>
        <w:t xml:space="preserve">; </w:t>
      </w:r>
      <w:r w:rsidRPr="003662EA">
        <w:rPr>
          <w:rFonts w:cs="Times New Roman"/>
          <w:i/>
          <w:lang w:val="en-US"/>
        </w:rPr>
        <w:t>Hutterian Brethren</w:t>
      </w:r>
      <w:r w:rsidRPr="003662EA">
        <w:rPr>
          <w:rFonts w:cs="Times New Roman"/>
          <w:lang w:val="en-US"/>
        </w:rPr>
        <w:t xml:space="preserve">, at para. 37. This is particularly the case where the impugned measures “attempt to strike a balance between the claims of legitimate but competing social values”: </w:t>
      </w:r>
      <w:r w:rsidRPr="003662EA">
        <w:rPr>
          <w:rFonts w:cs="Times New Roman"/>
          <w:i/>
          <w:lang w:val="en-US"/>
        </w:rPr>
        <w:t>McKinney</w:t>
      </w:r>
      <w:r w:rsidRPr="003662EA">
        <w:rPr>
          <w:rFonts w:cs="Times New Roman"/>
          <w:lang w:val="en-US"/>
        </w:rPr>
        <w:t xml:space="preserve">, at p. 285; </w:t>
      </w:r>
      <w:r w:rsidRPr="003662EA">
        <w:rPr>
          <w:rFonts w:cs="Times New Roman"/>
          <w:i/>
          <w:lang w:val="en-US"/>
        </w:rPr>
        <w:t>Hutterian Brethren</w:t>
      </w:r>
      <w:r w:rsidRPr="003662EA">
        <w:rPr>
          <w:rFonts w:cs="Times New Roman"/>
          <w:lang w:val="en-US"/>
        </w:rPr>
        <w:t xml:space="preserve">, at para. 53.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In addition, </w:t>
      </w:r>
      <w:r w:rsidRPr="00F81B96">
        <w:rPr>
          <w:rFonts w:cs="Times New Roman"/>
          <w:lang w:val="en-US"/>
        </w:rPr>
        <w:t>the</w:t>
      </w:r>
      <w:r w:rsidRPr="003662EA">
        <w:rPr>
          <w:rFonts w:cs="Times New Roman"/>
        </w:rPr>
        <w:t xml:space="preserve"> minimum impairment test is informed by the values of federalism. “The uniformity of provincial laws that would be entailed by a stringent requirement of least drastic means is in conflict with the federal values of distinctiveness, diversity and experimentation”: P.</w:t>
      </w:r>
      <w:r w:rsidR="00BB3C51">
        <w:rPr>
          <w:rFonts w:cs="Times New Roman"/>
        </w:rPr>
        <w:t> </w:t>
      </w:r>
      <w:r w:rsidRPr="003662EA">
        <w:rPr>
          <w:rFonts w:cs="Times New Roman"/>
        </w:rPr>
        <w:t xml:space="preserve">W. Hogg, </w:t>
      </w:r>
      <w:r w:rsidRPr="003662EA">
        <w:rPr>
          <w:rFonts w:cs="Times New Roman"/>
          <w:i/>
        </w:rPr>
        <w:t xml:space="preserve">Constitutional Law of Canada </w:t>
      </w:r>
      <w:r w:rsidRPr="003662EA">
        <w:rPr>
          <w:rFonts w:cs="Times New Roman"/>
        </w:rPr>
        <w:t>(5th ed. Supp.</w:t>
      </w:r>
      <w:r w:rsidR="006F385A">
        <w:rPr>
          <w:rFonts w:cs="Times New Roman"/>
        </w:rPr>
        <w:t xml:space="preserve"> </w:t>
      </w:r>
      <w:r w:rsidR="00F42AFF">
        <w:rPr>
          <w:rFonts w:cs="Times New Roman"/>
        </w:rPr>
        <w:t>(</w:t>
      </w:r>
      <w:r w:rsidR="006F385A">
        <w:rPr>
          <w:rFonts w:cs="Times New Roman"/>
        </w:rPr>
        <w:t>loose-leaf</w:t>
      </w:r>
      <w:r w:rsidR="00F42AFF">
        <w:rPr>
          <w:rFonts w:cs="Times New Roman"/>
        </w:rPr>
        <w:t>)</w:t>
      </w:r>
      <w:r w:rsidRPr="003662EA">
        <w:rPr>
          <w:rFonts w:cs="Times New Roman"/>
        </w:rPr>
        <w:t xml:space="preserve">), vol. 2, p. 38-39; see also </w:t>
      </w:r>
      <w:r w:rsidRPr="003662EA">
        <w:rPr>
          <w:rFonts w:cs="Times New Roman"/>
          <w:i/>
        </w:rPr>
        <w:t>R. v. Advance Cutting &amp; Coring Ltd.</w:t>
      </w:r>
      <w:r w:rsidRPr="003662EA">
        <w:rPr>
          <w:rFonts w:cs="Times New Roman"/>
        </w:rPr>
        <w:t xml:space="preserve">, 2001 SCC 70, [2001] 3 S.C.R. 209, at para. 275.  The test must not be applied in a manner that amounts to identifying the Canadian province that has adopted the “preferable” approach to a social issue and requiring that all other provinces follow suit.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A argues that the </w:t>
      </w:r>
      <w:r w:rsidRPr="00F81B96">
        <w:rPr>
          <w:rFonts w:cs="Times New Roman"/>
          <w:lang w:val="en-US"/>
        </w:rPr>
        <w:t>Quebec</w:t>
      </w:r>
      <w:r w:rsidRPr="003662EA">
        <w:rPr>
          <w:rFonts w:cs="Times New Roman"/>
        </w:rPr>
        <w:t xml:space="preserve"> dual regime approach does not minimally impair the equality right of </w:t>
      </w:r>
      <w:r w:rsidRPr="003662EA">
        <w:rPr>
          <w:rFonts w:cs="Times New Roman"/>
          <w:i/>
        </w:rPr>
        <w:t>de facto</w:t>
      </w:r>
      <w:r w:rsidRPr="003662EA">
        <w:rPr>
          <w:rFonts w:cs="Times New Roman"/>
        </w:rPr>
        <w:t xml:space="preserve"> spouses.  She argues that choice and autonomy can be respected without excluding </w:t>
      </w:r>
      <w:r w:rsidRPr="003662EA">
        <w:rPr>
          <w:rFonts w:cs="Times New Roman"/>
          <w:i/>
        </w:rPr>
        <w:t>de facto</w:t>
      </w:r>
      <w:r w:rsidRPr="003662EA">
        <w:rPr>
          <w:rFonts w:cs="Times New Roman"/>
        </w:rPr>
        <w:t xml:space="preserve"> spouses entirely from the mandatory regime applicable to married and civil union spouses.  She points to other provinces, where aspects of the mandatory regime apply to </w:t>
      </w:r>
      <w:r w:rsidRPr="003662EA">
        <w:rPr>
          <w:rFonts w:cs="Times New Roman"/>
          <w:i/>
        </w:rPr>
        <w:t>de facto</w:t>
      </w:r>
      <w:r w:rsidRPr="003662EA">
        <w:rPr>
          <w:rFonts w:cs="Times New Roman"/>
        </w:rPr>
        <w:t xml:space="preserve"> spouses, unless they have formally opted out of that regime. Under such schemes, </w:t>
      </w:r>
      <w:r w:rsidRPr="003662EA">
        <w:rPr>
          <w:rFonts w:cs="Times New Roman"/>
          <w:i/>
        </w:rPr>
        <w:t>de facto</w:t>
      </w:r>
      <w:r w:rsidRPr="003662EA">
        <w:rPr>
          <w:rFonts w:cs="Times New Roman"/>
        </w:rPr>
        <w:t xml:space="preserve"> spouses are denied protection only if they have agreed to that result.  Unlike A, they are not effectively left unprotected because their partner did not consent to marriage. She also argues that a scheme that allowed for judicial intervention where property division and/or support are warranted would be less impairing of her equality right than the current scheme.</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There is no doubt that schemes can be conceived — and indeed have been adopted in other provinces — that impair the equality right of </w:t>
      </w:r>
      <w:r w:rsidRPr="003662EA">
        <w:rPr>
          <w:rFonts w:cs="Times New Roman"/>
          <w:i/>
        </w:rPr>
        <w:t>de facto</w:t>
      </w:r>
      <w:r w:rsidRPr="003662EA">
        <w:rPr>
          <w:rFonts w:cs="Times New Roman"/>
        </w:rPr>
        <w:t xml:space="preserve"> spouses to a lesser degree than the Quebec scheme.  However — and this is the important point — such approaches would be less effective in promoting the goals of the Quebec scheme of maximizing choice and autonomy for couples in Quebec.  The question at the minimum impairment stage is whether the limit imposed by the law goes too far </w:t>
      </w:r>
      <w:r w:rsidRPr="003662EA">
        <w:rPr>
          <w:rFonts w:cs="Times New Roman"/>
          <w:i/>
        </w:rPr>
        <w:t>in relation to the goal the legislature seeks to achieve.</w:t>
      </w:r>
      <w:r w:rsidRPr="003662EA">
        <w:rPr>
          <w:rFonts w:cs="Times New Roman"/>
        </w:rPr>
        <w:t xml:space="preserve"> “Less drastic means which do not actually achieve the government’s objective are not considered at this stage”: </w:t>
      </w:r>
      <w:r w:rsidRPr="003662EA">
        <w:rPr>
          <w:rFonts w:cs="Times New Roman"/>
          <w:i/>
        </w:rPr>
        <w:t>Hutterian Brethren</w:t>
      </w:r>
      <w:r w:rsidRPr="003662EA">
        <w:rPr>
          <w:rFonts w:cs="Times New Roman"/>
        </w:rPr>
        <w:t>, at para. 54.</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A presumptive </w:t>
      </w:r>
      <w:r w:rsidRPr="00F81B96">
        <w:rPr>
          <w:rFonts w:cs="Times New Roman"/>
          <w:lang w:val="en-US"/>
        </w:rPr>
        <w:t>scheme</w:t>
      </w:r>
      <w:r w:rsidRPr="003662EA">
        <w:rPr>
          <w:rFonts w:cs="Times New Roman"/>
        </w:rPr>
        <w:t xml:space="preserve"> that applied the mandatory regime to all spouses, subject to the right to opt out, would automatically sweep in all couples.  Even if </w:t>
      </w:r>
      <w:r w:rsidRPr="003662EA">
        <w:rPr>
          <w:rFonts w:cs="Times New Roman"/>
          <w:i/>
        </w:rPr>
        <w:t xml:space="preserve">de facto </w:t>
      </w:r>
      <w:r w:rsidRPr="003662EA">
        <w:rPr>
          <w:rFonts w:cs="Times New Roman"/>
        </w:rPr>
        <w:t xml:space="preserve">spouses were given the opportunity to opt out, this scheme would offer a narrower conception of choice than does Quebec’s current approach. Indeed, opting out would require agreement and positive action on the part of </w:t>
      </w:r>
      <w:r w:rsidRPr="003662EA">
        <w:rPr>
          <w:rFonts w:cs="Times New Roman"/>
          <w:i/>
        </w:rPr>
        <w:t xml:space="preserve">de facto </w:t>
      </w:r>
      <w:r w:rsidRPr="003662EA">
        <w:rPr>
          <w:rFonts w:cs="Times New Roman"/>
        </w:rPr>
        <w:t>spouses.   The Quebec scheme, by contrast, allows couples to avoid state-imposed obligations simply by not marrying.  The state-free zone created by the Quebec scheme is thus broader than under a presumptive regime.</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Quebec </w:t>
      </w:r>
      <w:r w:rsidRPr="00F81B96">
        <w:rPr>
          <w:rFonts w:cs="Times New Roman"/>
          <w:lang w:val="en-US"/>
        </w:rPr>
        <w:t>scheme</w:t>
      </w:r>
      <w:r w:rsidRPr="003662EA">
        <w:rPr>
          <w:rFonts w:cs="Times New Roman"/>
        </w:rPr>
        <w:t xml:space="preserve"> has the benefit of giving spouses the opportunity to perform a cost-benefit analysis of staying in a </w:t>
      </w:r>
      <w:r w:rsidRPr="003662EA">
        <w:rPr>
          <w:rFonts w:cs="Times New Roman"/>
          <w:i/>
        </w:rPr>
        <w:t>de facto</w:t>
      </w:r>
      <w:r w:rsidRPr="003662EA">
        <w:rPr>
          <w:rFonts w:cs="Times New Roman"/>
        </w:rPr>
        <w:t xml:space="preserve"> relationship that does not confer any rights upon them, but that</w:t>
      </w:r>
      <w:r w:rsidRPr="003662EA">
        <w:rPr>
          <w:rFonts w:cs="Times New Roman"/>
          <w:i/>
        </w:rPr>
        <w:t xml:space="preserve"> correlatively does not impose any legal obligations on them</w:t>
      </w:r>
      <w:r w:rsidRPr="003662EA">
        <w:rPr>
          <w:rFonts w:cs="Times New Roman"/>
        </w:rPr>
        <w:t xml:space="preserve">: R. Leckey, “Chosen Discrimination” (2002), 18 </w:t>
      </w:r>
      <w:r w:rsidRPr="003662EA">
        <w:rPr>
          <w:rFonts w:cs="Times New Roman"/>
          <w:i/>
        </w:rPr>
        <w:t>S.C.L.R.</w:t>
      </w:r>
      <w:r w:rsidRPr="003662EA">
        <w:rPr>
          <w:rFonts w:cs="Times New Roman"/>
        </w:rPr>
        <w:t xml:space="preserve"> (2d) 445, at p. 458. The legislature has chosen to avoid mandatory protective provisions that important segments of the population may view as paternalistic, by instead allowing spouses to weigh the consequences of their choices and to make decisions accordingly.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What then of the absence of judicial recourse? Quebec is the only province that provides for no court intervention whatsoever to ensure that </w:t>
      </w:r>
      <w:r w:rsidRPr="003662EA">
        <w:rPr>
          <w:rFonts w:cs="Times New Roman"/>
          <w:i/>
        </w:rPr>
        <w:t>de facto</w:t>
      </w:r>
      <w:r w:rsidRPr="003662EA">
        <w:rPr>
          <w:rFonts w:cs="Times New Roman"/>
        </w:rPr>
        <w:t xml:space="preserve"> spouses exercised a meaningful choice to for</w:t>
      </w:r>
      <w:r w:rsidR="0006606E">
        <w:rPr>
          <w:rFonts w:cs="Times New Roman"/>
        </w:rPr>
        <w:t>e</w:t>
      </w:r>
      <w:r w:rsidRPr="003662EA">
        <w:rPr>
          <w:rFonts w:cs="Times New Roman"/>
        </w:rPr>
        <w:t xml:space="preserve">go legal protection of their interests in the event of a breakdown of the relationship.  Permitting judges to intervene and make orders for property and support for </w:t>
      </w:r>
      <w:r w:rsidRPr="003662EA">
        <w:rPr>
          <w:rFonts w:cs="Times New Roman"/>
          <w:i/>
        </w:rPr>
        <w:t>de facto</w:t>
      </w:r>
      <w:r w:rsidRPr="003662EA">
        <w:rPr>
          <w:rFonts w:cs="Times New Roman"/>
        </w:rPr>
        <w:t xml:space="preserve"> spouses would obviously be less impairing of their equality right than the Quebec regime. However, again there would be a trade-off in diminished choice and autonomy.  The Quebec scheme leaves it up to partners to choose whether to opt into the mandatory regime and leaves them the discretion to manage their independence if they do not opt in. Allowing judges to make orders would limit those choices, and result in individuals who thought they were free to structure their affairs finding themselves bound by judicially imposed obligations.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Finally, it is </w:t>
      </w:r>
      <w:r w:rsidRPr="00F81B96">
        <w:rPr>
          <w:rFonts w:cs="Times New Roman"/>
          <w:lang w:val="en-US"/>
        </w:rPr>
        <w:t>suggested</w:t>
      </w:r>
      <w:r w:rsidRPr="003662EA">
        <w:rPr>
          <w:rFonts w:cs="Times New Roman"/>
        </w:rPr>
        <w:t xml:space="preserve"> that the law does not meet the minimal impairment requirement because it affects support as well as property.  For the reasons just discussed, allowing judges to award support would undermine the legislative goal of maximizing choice and autonomy.  A judge, not the parties, would decide.  The question at this stage of the analysis is whether the legislative goal could be achieved in a way that impacts the right less, not whether the legislative goal should be altered.  Moreover, the protective effects of support and property division are intertwined and cannot be readily separated.</w:t>
      </w:r>
    </w:p>
    <w:p w:rsidR="004862B9" w:rsidRPr="003662EA" w:rsidRDefault="004862B9" w:rsidP="00F81B96">
      <w:pPr>
        <w:pStyle w:val="ParaNoNdepar-AltN"/>
        <w:tabs>
          <w:tab w:val="clear" w:pos="1166"/>
          <w:tab w:val="num" w:pos="1152"/>
          <w:tab w:val="num" w:pos="1242"/>
        </w:tabs>
        <w:ind w:left="0"/>
        <w:rPr>
          <w:rFonts w:cs="Times New Roman"/>
          <w:u w:val="single"/>
        </w:rPr>
      </w:pPr>
      <w:r w:rsidRPr="003662EA">
        <w:rPr>
          <w:rFonts w:cs="Times New Roman"/>
        </w:rPr>
        <w:t xml:space="preserve">For these </w:t>
      </w:r>
      <w:r w:rsidRPr="00F81B96">
        <w:rPr>
          <w:rFonts w:cs="Times New Roman"/>
          <w:lang w:val="en-US"/>
        </w:rPr>
        <w:t>reasons</w:t>
      </w:r>
      <w:r w:rsidRPr="003662EA">
        <w:rPr>
          <w:rFonts w:cs="Times New Roman"/>
        </w:rPr>
        <w:t xml:space="preserve">, I conclude that the Quebec law falls within a range of reasonable alternatives for maximizing choice and autonomy in the matter of family assets and support. </w:t>
      </w:r>
    </w:p>
    <w:p w:rsidR="004862B9" w:rsidRPr="003662EA" w:rsidRDefault="004862B9" w:rsidP="00F81B96">
      <w:pPr>
        <w:pStyle w:val="ParaNoNdepar-AltN"/>
        <w:numPr>
          <w:ilvl w:val="0"/>
          <w:numId w:val="0"/>
        </w:numPr>
        <w:tabs>
          <w:tab w:val="clear" w:pos="1166"/>
          <w:tab w:val="left" w:pos="540"/>
        </w:tabs>
        <w:rPr>
          <w:rFonts w:cs="Times New Roman"/>
          <w:u w:val="single"/>
        </w:rPr>
      </w:pPr>
      <w:r w:rsidRPr="003662EA">
        <w:rPr>
          <w:rFonts w:cs="Times New Roman"/>
        </w:rPr>
        <w:t>D.</w:t>
      </w:r>
      <w:r w:rsidRPr="003662EA">
        <w:rPr>
          <w:rFonts w:cs="Times New Roman"/>
        </w:rPr>
        <w:tab/>
      </w:r>
      <w:r w:rsidRPr="003662EA">
        <w:rPr>
          <w:rFonts w:cs="Times New Roman"/>
          <w:i/>
        </w:rPr>
        <w:t>Proportionality</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lang w:val="en-US"/>
        </w:rPr>
        <w:t>Ultimately, t</w:t>
      </w:r>
      <w:r w:rsidRPr="003662EA">
        <w:rPr>
          <w:rFonts w:cs="Times New Roman"/>
        </w:rPr>
        <w:t xml:space="preserve">he </w:t>
      </w:r>
      <w:r w:rsidRPr="00F81B96">
        <w:rPr>
          <w:rFonts w:cs="Times New Roman"/>
        </w:rPr>
        <w:t>infringement</w:t>
      </w:r>
      <w:r w:rsidRPr="003662EA">
        <w:rPr>
          <w:rFonts w:cs="Times New Roman"/>
        </w:rPr>
        <w:t xml:space="preserve"> of a protected right must be proportionate to the benefits of pursuing the state objective, having regard to the impact of the law on the exercise of the right and the broader public benefits it seeks to achieve. </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 xml:space="preserve">The impact of the Quebec scheme on the exercise and enjoyment of the equality right is significant.  However, the discriminatory effects of the exclusion of </w:t>
      </w:r>
      <w:r w:rsidRPr="003662EA">
        <w:rPr>
          <w:rFonts w:cs="Times New Roman"/>
          <w:i/>
        </w:rPr>
        <w:t xml:space="preserve">de facto </w:t>
      </w:r>
      <w:r w:rsidRPr="003662EA">
        <w:rPr>
          <w:rFonts w:cs="Times New Roman"/>
        </w:rPr>
        <w:t xml:space="preserve">spouses from the mandatory regime are attenuated in the modern era, as compared to earlier points in Quebec’s history. The impugned provisions do not appear to perpetuate animus against </w:t>
      </w:r>
      <w:r w:rsidRPr="003662EA">
        <w:rPr>
          <w:rFonts w:cs="Times New Roman"/>
          <w:i/>
        </w:rPr>
        <w:t xml:space="preserve">de facto </w:t>
      </w:r>
      <w:r w:rsidRPr="003662EA">
        <w:rPr>
          <w:rFonts w:cs="Times New Roman"/>
        </w:rPr>
        <w:t xml:space="preserve">spouses. All parties to this appeal agreed that the </w:t>
      </w:r>
      <w:r w:rsidRPr="003662EA">
        <w:rPr>
          <w:rFonts w:cs="Times New Roman"/>
          <w:i/>
        </w:rPr>
        <w:t xml:space="preserve">de facto </w:t>
      </w:r>
      <w:r w:rsidRPr="003662EA">
        <w:rPr>
          <w:rFonts w:cs="Times New Roman"/>
        </w:rPr>
        <w:t xml:space="preserve">spousal relationship is a popular form of relationship in Quebec. There is no longer any stigma attached to </w:t>
      </w:r>
      <w:r w:rsidRPr="003662EA">
        <w:rPr>
          <w:rFonts w:cs="Times New Roman"/>
          <w:i/>
        </w:rPr>
        <w:t xml:space="preserve">de facto </w:t>
      </w:r>
      <w:r w:rsidRPr="003662EA">
        <w:rPr>
          <w:rFonts w:cs="Times New Roman"/>
        </w:rPr>
        <w:t>spousal relationships. Many spouses in Quebec appreciate and take advantage of the ability to structure their relationship outside the traditional strictures of marriage. The impugned provisions enhance the freedom of choice and autonomy of many spouses as well as their ability to give personal meaning to their relationship. Against this must be weighed the cost of infringing the equality right of people like A, who have not been able to make a meaningful choice. Critics can say and have said that the situation of women like A suggests that the legislation achieves only a formalistic autonomy and an illusory freedom. However, the question for this Court is whether the unfortunate dilemma faced by women such as A is disproportionate to the overall benefits of the legislation, so as to make it unconstitutional.  Having regard to the need to allow legislatures a margin of appreciation on difficult social issues and the need to be sensitive to the constitutional responsibility of each province to legislate for its population, the answer to this question is no.</w:t>
      </w:r>
    </w:p>
    <w:p w:rsidR="004862B9" w:rsidRPr="003662EA" w:rsidRDefault="004862B9" w:rsidP="00815D04">
      <w:pPr>
        <w:pStyle w:val="ParaNoNdepar-AltN"/>
        <w:numPr>
          <w:ilvl w:val="0"/>
          <w:numId w:val="0"/>
        </w:numPr>
        <w:tabs>
          <w:tab w:val="clear" w:pos="1166"/>
          <w:tab w:val="left" w:pos="540"/>
        </w:tabs>
        <w:ind w:left="540" w:hanging="540"/>
        <w:rPr>
          <w:rFonts w:cs="Times New Roman"/>
        </w:rPr>
      </w:pPr>
      <w:r w:rsidRPr="003662EA">
        <w:rPr>
          <w:rFonts w:cs="Times New Roman"/>
        </w:rPr>
        <w:t>III.</w:t>
      </w:r>
      <w:r w:rsidRPr="003662EA">
        <w:rPr>
          <w:rFonts w:cs="Times New Roman"/>
        </w:rPr>
        <w:tab/>
      </w:r>
      <w:r w:rsidRPr="003662EA">
        <w:rPr>
          <w:rFonts w:cs="Times New Roman"/>
          <w:u w:val="single"/>
        </w:rPr>
        <w:t>Conclusion</w:t>
      </w:r>
    </w:p>
    <w:p w:rsidR="004862B9" w:rsidRPr="003662EA" w:rsidRDefault="004862B9" w:rsidP="00F81B96">
      <w:pPr>
        <w:pStyle w:val="ParaNoNdepar-AltN"/>
        <w:tabs>
          <w:tab w:val="clear" w:pos="1166"/>
          <w:tab w:val="num" w:pos="1152"/>
          <w:tab w:val="num" w:pos="1242"/>
        </w:tabs>
        <w:ind w:left="0"/>
        <w:rPr>
          <w:rFonts w:cs="Times New Roman"/>
        </w:rPr>
      </w:pPr>
      <w:r w:rsidRPr="003662EA">
        <w:rPr>
          <w:rFonts w:cs="Times New Roman"/>
        </w:rPr>
        <w:t>I would allow the appeals of B and the Attorney General of Quebec and find the Quebec scheme to be constitutional.  I would dismiss A’s appeal and would not award costs.</w:t>
      </w:r>
    </w:p>
    <w:p w:rsidR="009B57B3" w:rsidRPr="00B26E25" w:rsidRDefault="009B57B3" w:rsidP="00815D04">
      <w:pPr>
        <w:pStyle w:val="SCCNormalDoubleSpacing"/>
        <w:tabs>
          <w:tab w:val="clear" w:pos="1168"/>
          <w:tab w:val="left" w:pos="1260"/>
        </w:tabs>
        <w:spacing w:after="480"/>
        <w:rPr>
          <w:szCs w:val="24"/>
        </w:rPr>
      </w:pPr>
      <w:r w:rsidRPr="00B26E25">
        <w:rPr>
          <w:szCs w:val="24"/>
        </w:rPr>
        <w:tab/>
      </w:r>
      <w:r w:rsidR="00656313" w:rsidRPr="00B26E25">
        <w:rPr>
          <w:i/>
          <w:szCs w:val="24"/>
        </w:rPr>
        <w:t>Appeal</w:t>
      </w:r>
      <w:r w:rsidR="00792AD3" w:rsidRPr="00B26E25">
        <w:rPr>
          <w:i/>
          <w:szCs w:val="24"/>
        </w:rPr>
        <w:t>s</w:t>
      </w:r>
      <w:r w:rsidR="005E5C28" w:rsidRPr="00B26E25">
        <w:rPr>
          <w:i/>
          <w:szCs w:val="24"/>
        </w:rPr>
        <w:t xml:space="preserve"> </w:t>
      </w:r>
      <w:r w:rsidR="00A860B0" w:rsidRPr="00B26E25">
        <w:rPr>
          <w:i/>
          <w:szCs w:val="24"/>
        </w:rPr>
        <w:t>of the Attorney General of Quebec and B allowed, appeal of A dismissed</w:t>
      </w:r>
      <w:r w:rsidR="000F4F22" w:rsidRPr="00B26E25">
        <w:rPr>
          <w:i/>
          <w:szCs w:val="24"/>
        </w:rPr>
        <w:t xml:space="preserve">, </w:t>
      </w:r>
      <w:r w:rsidR="009A41EC" w:rsidRPr="00B26E25">
        <w:rPr>
          <w:smallCaps/>
          <w:szCs w:val="24"/>
        </w:rPr>
        <w:t>Deschamps</w:t>
      </w:r>
      <w:r w:rsidR="009A41EC" w:rsidRPr="00B26E25">
        <w:rPr>
          <w:i/>
          <w:szCs w:val="24"/>
        </w:rPr>
        <w:t xml:space="preserve">, </w:t>
      </w:r>
      <w:r w:rsidR="009A41EC" w:rsidRPr="00B26E25">
        <w:rPr>
          <w:smallCaps/>
          <w:szCs w:val="24"/>
        </w:rPr>
        <w:t>Cromwell</w:t>
      </w:r>
      <w:r w:rsidR="009A41EC" w:rsidRPr="00B26E25">
        <w:rPr>
          <w:i/>
          <w:szCs w:val="24"/>
        </w:rPr>
        <w:t xml:space="preserve"> and </w:t>
      </w:r>
      <w:r w:rsidR="009A41EC" w:rsidRPr="00B26E25">
        <w:rPr>
          <w:smallCaps/>
          <w:szCs w:val="24"/>
        </w:rPr>
        <w:t>Karakatsanis</w:t>
      </w:r>
      <w:r w:rsidR="00917F5B" w:rsidRPr="00B26E25">
        <w:rPr>
          <w:smallCaps/>
          <w:szCs w:val="24"/>
        </w:rPr>
        <w:t> </w:t>
      </w:r>
      <w:r w:rsidR="009A41EC" w:rsidRPr="00B26E25">
        <w:rPr>
          <w:smallCaps/>
          <w:szCs w:val="24"/>
        </w:rPr>
        <w:t>JJ.</w:t>
      </w:r>
      <w:r w:rsidR="000F4F22" w:rsidRPr="00B26E25">
        <w:rPr>
          <w:i/>
          <w:szCs w:val="24"/>
        </w:rPr>
        <w:t xml:space="preserve"> dissenting</w:t>
      </w:r>
      <w:r w:rsidR="00936D24" w:rsidRPr="00B26E25">
        <w:rPr>
          <w:i/>
          <w:szCs w:val="24"/>
        </w:rPr>
        <w:t xml:space="preserve"> in part</w:t>
      </w:r>
      <w:r w:rsidR="00A860B0" w:rsidRPr="00B26E25">
        <w:rPr>
          <w:i/>
          <w:szCs w:val="24"/>
        </w:rPr>
        <w:t xml:space="preserve"> in the result</w:t>
      </w:r>
      <w:r w:rsidR="00DA62B3" w:rsidRPr="00B26E25">
        <w:rPr>
          <w:i/>
          <w:szCs w:val="24"/>
        </w:rPr>
        <w:t xml:space="preserve">, </w:t>
      </w:r>
      <w:r w:rsidR="00917F5B" w:rsidRPr="00B26E25">
        <w:rPr>
          <w:smallCaps/>
          <w:szCs w:val="24"/>
        </w:rPr>
        <w:t>Abella </w:t>
      </w:r>
      <w:r w:rsidR="00DA62B3" w:rsidRPr="00B26E25">
        <w:rPr>
          <w:smallCaps/>
          <w:szCs w:val="24"/>
        </w:rPr>
        <w:t>J.</w:t>
      </w:r>
      <w:r w:rsidR="00DA62B3" w:rsidRPr="00B26E25">
        <w:rPr>
          <w:i/>
          <w:szCs w:val="24"/>
        </w:rPr>
        <w:t xml:space="preserve"> dissenting</w:t>
      </w:r>
      <w:r w:rsidR="00A860B0" w:rsidRPr="00B26E25">
        <w:rPr>
          <w:i/>
          <w:szCs w:val="24"/>
        </w:rPr>
        <w:t xml:space="preserve"> in the result</w:t>
      </w:r>
      <w:r w:rsidR="005E5C28" w:rsidRPr="00B26E25">
        <w:rPr>
          <w:i/>
          <w:szCs w:val="24"/>
        </w:rPr>
        <w:t>.</w:t>
      </w:r>
    </w:p>
    <w:p w:rsidR="00D01071" w:rsidRPr="00B26E25" w:rsidRDefault="00D01071" w:rsidP="00F74EE8">
      <w:pPr>
        <w:pStyle w:val="SCCLawFirm"/>
        <w:spacing w:after="480"/>
        <w:rPr>
          <w:szCs w:val="24"/>
        </w:rPr>
      </w:pPr>
      <w:r w:rsidRPr="00B26E25">
        <w:rPr>
          <w:szCs w:val="24"/>
        </w:rPr>
        <w:tab/>
        <w:t>Solicitors for the appellant/respondent t</w:t>
      </w:r>
      <w:r w:rsidR="00917F5B" w:rsidRPr="00B26E25">
        <w:rPr>
          <w:szCs w:val="24"/>
        </w:rPr>
        <w:t>he Attorney General of Quebec:  </w:t>
      </w:r>
      <w:r w:rsidRPr="00B26E25">
        <w:rPr>
          <w:szCs w:val="24"/>
        </w:rPr>
        <w:t>Bernard, Roy &amp; Associés, Montréal.</w:t>
      </w:r>
    </w:p>
    <w:p w:rsidR="00D01071" w:rsidRPr="00B26E25" w:rsidRDefault="00D01071" w:rsidP="00F74EE8">
      <w:pPr>
        <w:pStyle w:val="SCCLawFirm"/>
        <w:spacing w:after="480"/>
        <w:rPr>
          <w:szCs w:val="24"/>
        </w:rPr>
      </w:pPr>
      <w:r w:rsidRPr="00B26E25">
        <w:rPr>
          <w:szCs w:val="24"/>
        </w:rPr>
        <w:tab/>
        <w:t>Solicitors f</w:t>
      </w:r>
      <w:r w:rsidR="00536F8C">
        <w:rPr>
          <w:szCs w:val="24"/>
        </w:rPr>
        <w:t xml:space="preserve">or the </w:t>
      </w:r>
      <w:r w:rsidR="00536F8C" w:rsidRPr="00B26E25">
        <w:rPr>
          <w:szCs w:val="24"/>
        </w:rPr>
        <w:t>appellant</w:t>
      </w:r>
      <w:r w:rsidR="00536F8C">
        <w:rPr>
          <w:szCs w:val="24"/>
        </w:rPr>
        <w:t>/respondent</w:t>
      </w:r>
      <w:r w:rsidR="00917F5B" w:rsidRPr="00B26E25">
        <w:rPr>
          <w:szCs w:val="24"/>
        </w:rPr>
        <w:t xml:space="preserve"> A:  </w:t>
      </w:r>
      <w:r w:rsidRPr="00B26E25">
        <w:rPr>
          <w:szCs w:val="24"/>
        </w:rPr>
        <w:t>Borden Ladner Gervais, Montréal.</w:t>
      </w:r>
    </w:p>
    <w:p w:rsidR="00D01071" w:rsidRPr="00B26E25" w:rsidRDefault="00D01071" w:rsidP="00F74EE8">
      <w:pPr>
        <w:pStyle w:val="SCCLawFirm"/>
        <w:spacing w:after="480"/>
        <w:rPr>
          <w:szCs w:val="24"/>
        </w:rPr>
      </w:pPr>
      <w:r w:rsidRPr="00B26E25">
        <w:rPr>
          <w:szCs w:val="24"/>
        </w:rPr>
        <w:tab/>
        <w:t>Solicitors f</w:t>
      </w:r>
      <w:r w:rsidR="002E737F" w:rsidRPr="00B26E25">
        <w:rPr>
          <w:szCs w:val="24"/>
        </w:rPr>
        <w:t>or the appellant/respondent B:  </w:t>
      </w:r>
      <w:r w:rsidRPr="00B26E25">
        <w:rPr>
          <w:szCs w:val="24"/>
        </w:rPr>
        <w:t xml:space="preserve">Norton Rose Canada, Montréal; </w:t>
      </w:r>
      <w:r w:rsidR="00917F5B" w:rsidRPr="00B26E25">
        <w:rPr>
          <w:szCs w:val="24"/>
        </w:rPr>
        <w:t>Suzanne </w:t>
      </w:r>
      <w:r w:rsidRPr="00B26E25">
        <w:rPr>
          <w:szCs w:val="24"/>
        </w:rPr>
        <w:t>H. Pringle, Montréal.</w:t>
      </w:r>
    </w:p>
    <w:p w:rsidR="00D01071" w:rsidRPr="00B26E25" w:rsidRDefault="00D01071" w:rsidP="00F74EE8">
      <w:pPr>
        <w:pStyle w:val="SCCLawFirm"/>
        <w:spacing w:after="480"/>
        <w:rPr>
          <w:szCs w:val="24"/>
        </w:rPr>
      </w:pPr>
      <w:r w:rsidRPr="00B26E25">
        <w:rPr>
          <w:szCs w:val="24"/>
        </w:rPr>
        <w:tab/>
        <w:t>Solicitor for the intervener the Atto</w:t>
      </w:r>
      <w:r w:rsidR="002E737F" w:rsidRPr="00B26E25">
        <w:rPr>
          <w:szCs w:val="24"/>
        </w:rPr>
        <w:t>rney General of New Brunswick:  </w:t>
      </w:r>
      <w:r w:rsidRPr="00B26E25">
        <w:rPr>
          <w:szCs w:val="24"/>
        </w:rPr>
        <w:t>Attorney General of New Brunswick, Fredericton.</w:t>
      </w:r>
    </w:p>
    <w:p w:rsidR="00D01071" w:rsidRPr="00B26E25" w:rsidRDefault="00D01071" w:rsidP="00F74EE8">
      <w:pPr>
        <w:pStyle w:val="SCCLawFirm"/>
        <w:spacing w:after="480"/>
        <w:rPr>
          <w:szCs w:val="24"/>
        </w:rPr>
      </w:pPr>
      <w:r w:rsidRPr="00B26E25">
        <w:rPr>
          <w:szCs w:val="24"/>
        </w:rPr>
        <w:tab/>
        <w:t>Solicitor for the intervener the Atto</w:t>
      </w:r>
      <w:r w:rsidR="002E737F" w:rsidRPr="00B26E25">
        <w:rPr>
          <w:szCs w:val="24"/>
        </w:rPr>
        <w:t>rney General of Alberta:  </w:t>
      </w:r>
      <w:r w:rsidRPr="00B26E25">
        <w:rPr>
          <w:szCs w:val="24"/>
        </w:rPr>
        <w:t>Attorney General of Alberta, Edmonton.</w:t>
      </w:r>
    </w:p>
    <w:p w:rsidR="00D01071" w:rsidRPr="00B26E25" w:rsidRDefault="00D01071" w:rsidP="00F74EE8">
      <w:pPr>
        <w:pStyle w:val="SCCLawFirm"/>
        <w:spacing w:after="480"/>
        <w:rPr>
          <w:szCs w:val="24"/>
          <w:lang w:val="fr-CA"/>
        </w:rPr>
      </w:pPr>
      <w:r w:rsidRPr="00B26E25">
        <w:rPr>
          <w:szCs w:val="24"/>
        </w:rPr>
        <w:tab/>
      </w:r>
      <w:r w:rsidRPr="00B26E25">
        <w:rPr>
          <w:szCs w:val="24"/>
          <w:lang w:val="fr-CA"/>
        </w:rPr>
        <w:t>Solicitors for the intervener Fédération des associations de familles monoparent</w:t>
      </w:r>
      <w:r w:rsidR="002E737F" w:rsidRPr="00B26E25">
        <w:rPr>
          <w:szCs w:val="24"/>
          <w:lang w:val="fr-CA"/>
        </w:rPr>
        <w:t>ales et recomposées du Québec:  </w:t>
      </w:r>
      <w:r w:rsidRPr="00B26E25">
        <w:rPr>
          <w:szCs w:val="24"/>
          <w:lang w:val="fr-CA"/>
        </w:rPr>
        <w:t>Garneau, Verdon, Michaud, Samson, Québec.</w:t>
      </w:r>
    </w:p>
    <w:p w:rsidR="009B57B3" w:rsidRDefault="00D01071" w:rsidP="004862B9">
      <w:pPr>
        <w:pStyle w:val="SCCLawFirm"/>
        <w:rPr>
          <w:b/>
          <w:i w:val="0"/>
          <w:szCs w:val="24"/>
        </w:rPr>
      </w:pPr>
      <w:r w:rsidRPr="00B26E25">
        <w:rPr>
          <w:szCs w:val="24"/>
          <w:lang w:val="fr-CA"/>
        </w:rPr>
        <w:tab/>
      </w:r>
      <w:r w:rsidRPr="00B26E25">
        <w:rPr>
          <w:szCs w:val="24"/>
        </w:rPr>
        <w:t>Solicitors for the intervener the Women</w:t>
      </w:r>
      <w:r w:rsidR="00C7175C" w:rsidRPr="00B26E25">
        <w:rPr>
          <w:szCs w:val="24"/>
        </w:rPr>
        <w:t>’</w:t>
      </w:r>
      <w:r w:rsidRPr="00B26E25">
        <w:rPr>
          <w:szCs w:val="24"/>
        </w:rPr>
        <w:t>s Le</w:t>
      </w:r>
      <w:r w:rsidR="002E737F" w:rsidRPr="00B26E25">
        <w:rPr>
          <w:szCs w:val="24"/>
        </w:rPr>
        <w:t>gal Education and Action Fund:  </w:t>
      </w:r>
      <w:r w:rsidRPr="00B26E25">
        <w:rPr>
          <w:szCs w:val="24"/>
          <w:lang w:val="en-US"/>
        </w:rPr>
        <w:t xml:space="preserve">Martha McCarthy &amp; Company, Toronto; </w:t>
      </w:r>
      <w:r w:rsidRPr="00B26E25">
        <w:rPr>
          <w:szCs w:val="24"/>
        </w:rPr>
        <w:t>O</w:t>
      </w:r>
      <w:r w:rsidR="00C7175C" w:rsidRPr="00B26E25">
        <w:rPr>
          <w:szCs w:val="24"/>
        </w:rPr>
        <w:t>’</w:t>
      </w:r>
      <w:r w:rsidRPr="00B26E25">
        <w:rPr>
          <w:szCs w:val="24"/>
        </w:rPr>
        <w:t>Hanlon, Sanders, Teixeira, Montr</w:t>
      </w:r>
      <w:r w:rsidR="00E62177" w:rsidRPr="00B26E25">
        <w:rPr>
          <w:szCs w:val="24"/>
        </w:rPr>
        <w:t>é</w:t>
      </w:r>
      <w:r w:rsidRPr="00B26E25">
        <w:rPr>
          <w:szCs w:val="24"/>
        </w:rPr>
        <w:t>al.</w:t>
      </w:r>
    </w:p>
    <w:sectPr w:rsidR="009B57B3" w:rsidSect="00835399">
      <w:headerReference w:type="default" r:id="rId10"/>
      <w:headerReference w:type="first" r:id="rId11"/>
      <w:pgSz w:w="12240" w:h="15840"/>
      <w:pgMar w:top="1267" w:right="2160" w:bottom="720"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AAA" w:rsidRDefault="00332AAA">
      <w:r>
        <w:separator/>
      </w:r>
    </w:p>
  </w:endnote>
  <w:endnote w:type="continuationSeparator" w:id="0">
    <w:p w:rsidR="00332AAA" w:rsidRDefault="00332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AAA" w:rsidRDefault="00332AAA">
      <w:r>
        <w:separator/>
      </w:r>
    </w:p>
  </w:footnote>
  <w:footnote w:type="continuationSeparator" w:id="0">
    <w:p w:rsidR="00332AAA" w:rsidRDefault="00332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CA"/>
      </w:rPr>
      <w:id w:val="27459700"/>
      <w:docPartObj>
        <w:docPartGallery w:val="Page Numbers (Top of Page)"/>
        <w:docPartUnique/>
      </w:docPartObj>
    </w:sdtPr>
    <w:sdtContent>
      <w:p w:rsidR="00332AAA" w:rsidRPr="003507FE" w:rsidRDefault="00332AAA">
        <w:pPr>
          <w:pStyle w:val="Header"/>
          <w:jc w:val="center"/>
          <w:rPr>
            <w:lang w:val="fr-CA"/>
          </w:rPr>
        </w:pPr>
        <w:r w:rsidRPr="003507FE">
          <w:rPr>
            <w:lang w:val="fr-CA"/>
          </w:rPr>
          <w:t xml:space="preserve">- </w:t>
        </w:r>
        <w:r w:rsidR="00F50C3A" w:rsidRPr="003507FE">
          <w:rPr>
            <w:lang w:val="fr-CA"/>
          </w:rPr>
          <w:fldChar w:fldCharType="begin"/>
        </w:r>
        <w:r w:rsidRPr="003507FE">
          <w:rPr>
            <w:lang w:val="fr-CA"/>
          </w:rPr>
          <w:instrText xml:space="preserve"> PAGE   \* MERGEFORMAT </w:instrText>
        </w:r>
        <w:r w:rsidR="00F50C3A" w:rsidRPr="003507FE">
          <w:rPr>
            <w:lang w:val="fr-CA"/>
          </w:rPr>
          <w:fldChar w:fldCharType="separate"/>
        </w:r>
        <w:r w:rsidR="00522B08">
          <w:rPr>
            <w:noProof/>
            <w:lang w:val="fr-CA"/>
          </w:rPr>
          <w:t>2</w:t>
        </w:r>
        <w:r w:rsidR="00F50C3A" w:rsidRPr="003507FE">
          <w:rPr>
            <w:lang w:val="fr-CA"/>
          </w:rPr>
          <w:fldChar w:fldCharType="end"/>
        </w:r>
        <w:r w:rsidRPr="003507FE">
          <w:rPr>
            <w:lang w:val="fr-CA"/>
          </w:rPr>
          <w:t xml:space="preserve"> -</w:t>
        </w:r>
      </w:p>
    </w:sdtContent>
  </w:sdt>
  <w:p w:rsidR="00332AAA" w:rsidRPr="00450352" w:rsidRDefault="00332AAA" w:rsidP="003507F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AA" w:rsidRDefault="00332AAA">
    <w:pPr>
      <w:pStyle w:val="Header"/>
      <w:jc w:val="center"/>
    </w:pPr>
  </w:p>
  <w:p w:rsidR="00332AAA" w:rsidRDefault="00332A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23550"/>
    <w:multiLevelType w:val="hybridMultilevel"/>
    <w:tmpl w:val="B0040C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D390C608"/>
    <w:lvl w:ilvl="0">
      <w:start w:val="1"/>
      <w:numFmt w:val="decimal"/>
      <w:pStyle w:val="ParaNoNdepar-AltN"/>
      <w:lvlText w:val="[%1]"/>
      <w:lvlJc w:val="left"/>
      <w:pPr>
        <w:tabs>
          <w:tab w:val="num" w:pos="1602"/>
        </w:tabs>
        <w:ind w:left="45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7809"/>
  </w:hdrShapeDefaults>
  <w:footnotePr>
    <w:footnote w:id="-1"/>
    <w:footnote w:id="0"/>
  </w:footnotePr>
  <w:endnotePr>
    <w:endnote w:id="-1"/>
    <w:endnote w:id="0"/>
  </w:endnotePr>
  <w:compat/>
  <w:rsids>
    <w:rsidRoot w:val="0031414C"/>
    <w:rsid w:val="00000ED4"/>
    <w:rsid w:val="00001E78"/>
    <w:rsid w:val="000130EA"/>
    <w:rsid w:val="000141EC"/>
    <w:rsid w:val="00023F6B"/>
    <w:rsid w:val="00025198"/>
    <w:rsid w:val="00025C92"/>
    <w:rsid w:val="000316AD"/>
    <w:rsid w:val="00047649"/>
    <w:rsid w:val="000526ED"/>
    <w:rsid w:val="000548B5"/>
    <w:rsid w:val="000578A3"/>
    <w:rsid w:val="000640C8"/>
    <w:rsid w:val="000648CC"/>
    <w:rsid w:val="0006606E"/>
    <w:rsid w:val="00072972"/>
    <w:rsid w:val="000841F0"/>
    <w:rsid w:val="000860BE"/>
    <w:rsid w:val="000903A4"/>
    <w:rsid w:val="00092EAB"/>
    <w:rsid w:val="000966F7"/>
    <w:rsid w:val="000A1B95"/>
    <w:rsid w:val="000C42DF"/>
    <w:rsid w:val="000C59B8"/>
    <w:rsid w:val="000C6AF0"/>
    <w:rsid w:val="000D4DAD"/>
    <w:rsid w:val="000D6CBA"/>
    <w:rsid w:val="000D6F19"/>
    <w:rsid w:val="000E33F5"/>
    <w:rsid w:val="000E36AB"/>
    <w:rsid w:val="000E580B"/>
    <w:rsid w:val="000F4F22"/>
    <w:rsid w:val="00104A77"/>
    <w:rsid w:val="00104F33"/>
    <w:rsid w:val="00111DE2"/>
    <w:rsid w:val="0011658F"/>
    <w:rsid w:val="00116B38"/>
    <w:rsid w:val="00120C3F"/>
    <w:rsid w:val="00120FF3"/>
    <w:rsid w:val="001239D1"/>
    <w:rsid w:val="001344C5"/>
    <w:rsid w:val="00135406"/>
    <w:rsid w:val="00135972"/>
    <w:rsid w:val="001364FB"/>
    <w:rsid w:val="0014107B"/>
    <w:rsid w:val="00141089"/>
    <w:rsid w:val="001426A9"/>
    <w:rsid w:val="0014595E"/>
    <w:rsid w:val="00154D7C"/>
    <w:rsid w:val="00156B83"/>
    <w:rsid w:val="001570B0"/>
    <w:rsid w:val="0015752C"/>
    <w:rsid w:val="00157737"/>
    <w:rsid w:val="00160488"/>
    <w:rsid w:val="00163A94"/>
    <w:rsid w:val="00165277"/>
    <w:rsid w:val="00165D29"/>
    <w:rsid w:val="00170592"/>
    <w:rsid w:val="00186351"/>
    <w:rsid w:val="0019130B"/>
    <w:rsid w:val="0019189B"/>
    <w:rsid w:val="00194941"/>
    <w:rsid w:val="00195D83"/>
    <w:rsid w:val="001A00C1"/>
    <w:rsid w:val="001A51D5"/>
    <w:rsid w:val="001B0404"/>
    <w:rsid w:val="001B33E0"/>
    <w:rsid w:val="001B4573"/>
    <w:rsid w:val="001B680A"/>
    <w:rsid w:val="001C171B"/>
    <w:rsid w:val="001C3EE1"/>
    <w:rsid w:val="001C779F"/>
    <w:rsid w:val="001D1BD5"/>
    <w:rsid w:val="001D274F"/>
    <w:rsid w:val="001D2AC1"/>
    <w:rsid w:val="001D4901"/>
    <w:rsid w:val="001D4E88"/>
    <w:rsid w:val="001E17CB"/>
    <w:rsid w:val="001E5544"/>
    <w:rsid w:val="001F03FB"/>
    <w:rsid w:val="001F4CC7"/>
    <w:rsid w:val="001F56EC"/>
    <w:rsid w:val="001F6C2D"/>
    <w:rsid w:val="00220FC2"/>
    <w:rsid w:val="002214BE"/>
    <w:rsid w:val="002222F4"/>
    <w:rsid w:val="00222BB5"/>
    <w:rsid w:val="00222C08"/>
    <w:rsid w:val="00224FC0"/>
    <w:rsid w:val="00225EA4"/>
    <w:rsid w:val="00226EAF"/>
    <w:rsid w:val="00231F3A"/>
    <w:rsid w:val="00234199"/>
    <w:rsid w:val="00236880"/>
    <w:rsid w:val="002406EE"/>
    <w:rsid w:val="00243EC8"/>
    <w:rsid w:val="00252585"/>
    <w:rsid w:val="002618B6"/>
    <w:rsid w:val="00262F1A"/>
    <w:rsid w:val="00262F94"/>
    <w:rsid w:val="00270D93"/>
    <w:rsid w:val="002745CC"/>
    <w:rsid w:val="00282024"/>
    <w:rsid w:val="00293510"/>
    <w:rsid w:val="002A354A"/>
    <w:rsid w:val="002A5E9F"/>
    <w:rsid w:val="002B6941"/>
    <w:rsid w:val="002B7924"/>
    <w:rsid w:val="002D28C3"/>
    <w:rsid w:val="002D39A4"/>
    <w:rsid w:val="002E47D2"/>
    <w:rsid w:val="002E5814"/>
    <w:rsid w:val="002E6705"/>
    <w:rsid w:val="002E737F"/>
    <w:rsid w:val="002E7890"/>
    <w:rsid w:val="002F256A"/>
    <w:rsid w:val="002F2D2F"/>
    <w:rsid w:val="002F477B"/>
    <w:rsid w:val="00301D08"/>
    <w:rsid w:val="0030329A"/>
    <w:rsid w:val="00304478"/>
    <w:rsid w:val="003049F0"/>
    <w:rsid w:val="0031086F"/>
    <w:rsid w:val="0031414C"/>
    <w:rsid w:val="003146A8"/>
    <w:rsid w:val="00314E01"/>
    <w:rsid w:val="0032089D"/>
    <w:rsid w:val="00321105"/>
    <w:rsid w:val="00322535"/>
    <w:rsid w:val="00325208"/>
    <w:rsid w:val="003310DE"/>
    <w:rsid w:val="003323B0"/>
    <w:rsid w:val="00332AAA"/>
    <w:rsid w:val="00336AC4"/>
    <w:rsid w:val="00342A10"/>
    <w:rsid w:val="00345230"/>
    <w:rsid w:val="003507FE"/>
    <w:rsid w:val="0035169A"/>
    <w:rsid w:val="0035259D"/>
    <w:rsid w:val="003610A4"/>
    <w:rsid w:val="00364B18"/>
    <w:rsid w:val="003706E8"/>
    <w:rsid w:val="0037383B"/>
    <w:rsid w:val="00393A1C"/>
    <w:rsid w:val="003A125D"/>
    <w:rsid w:val="003A2413"/>
    <w:rsid w:val="003A4C70"/>
    <w:rsid w:val="003A53C7"/>
    <w:rsid w:val="003A7F63"/>
    <w:rsid w:val="003B1635"/>
    <w:rsid w:val="003B215F"/>
    <w:rsid w:val="003B230A"/>
    <w:rsid w:val="003B3053"/>
    <w:rsid w:val="003C1675"/>
    <w:rsid w:val="003C4038"/>
    <w:rsid w:val="003C5407"/>
    <w:rsid w:val="003C799C"/>
    <w:rsid w:val="003D0399"/>
    <w:rsid w:val="003D3E71"/>
    <w:rsid w:val="003D4E4E"/>
    <w:rsid w:val="003D7681"/>
    <w:rsid w:val="003E013D"/>
    <w:rsid w:val="003E1C71"/>
    <w:rsid w:val="003F327B"/>
    <w:rsid w:val="003F5EE6"/>
    <w:rsid w:val="00400988"/>
    <w:rsid w:val="0040156D"/>
    <w:rsid w:val="00406166"/>
    <w:rsid w:val="0040704B"/>
    <w:rsid w:val="00410A55"/>
    <w:rsid w:val="00411300"/>
    <w:rsid w:val="00415417"/>
    <w:rsid w:val="00422267"/>
    <w:rsid w:val="00425661"/>
    <w:rsid w:val="00426659"/>
    <w:rsid w:val="00441E80"/>
    <w:rsid w:val="004438A8"/>
    <w:rsid w:val="00450352"/>
    <w:rsid w:val="00450975"/>
    <w:rsid w:val="004523C4"/>
    <w:rsid w:val="00454BDB"/>
    <w:rsid w:val="004603C7"/>
    <w:rsid w:val="00462D66"/>
    <w:rsid w:val="00464800"/>
    <w:rsid w:val="00465132"/>
    <w:rsid w:val="00465A1F"/>
    <w:rsid w:val="00480C90"/>
    <w:rsid w:val="0048396F"/>
    <w:rsid w:val="00484B93"/>
    <w:rsid w:val="004862B9"/>
    <w:rsid w:val="00493C18"/>
    <w:rsid w:val="004946FB"/>
    <w:rsid w:val="004A22B4"/>
    <w:rsid w:val="004A600C"/>
    <w:rsid w:val="004A6118"/>
    <w:rsid w:val="004C3D02"/>
    <w:rsid w:val="004C4320"/>
    <w:rsid w:val="004C478D"/>
    <w:rsid w:val="004D142C"/>
    <w:rsid w:val="004E229D"/>
    <w:rsid w:val="004E2C26"/>
    <w:rsid w:val="004E5920"/>
    <w:rsid w:val="004F2931"/>
    <w:rsid w:val="004F36FF"/>
    <w:rsid w:val="00502C47"/>
    <w:rsid w:val="00507A01"/>
    <w:rsid w:val="005125A8"/>
    <w:rsid w:val="00515D6E"/>
    <w:rsid w:val="00517A9E"/>
    <w:rsid w:val="0052120A"/>
    <w:rsid w:val="00521AE8"/>
    <w:rsid w:val="00522B08"/>
    <w:rsid w:val="00526181"/>
    <w:rsid w:val="00527180"/>
    <w:rsid w:val="0053568E"/>
    <w:rsid w:val="00536F8C"/>
    <w:rsid w:val="0054201E"/>
    <w:rsid w:val="00546B59"/>
    <w:rsid w:val="00555291"/>
    <w:rsid w:val="005571BA"/>
    <w:rsid w:val="005572C3"/>
    <w:rsid w:val="005649DA"/>
    <w:rsid w:val="00566AD1"/>
    <w:rsid w:val="00567431"/>
    <w:rsid w:val="00570023"/>
    <w:rsid w:val="005733A3"/>
    <w:rsid w:val="005743B2"/>
    <w:rsid w:val="00575B5F"/>
    <w:rsid w:val="00576E3B"/>
    <w:rsid w:val="00581A09"/>
    <w:rsid w:val="00583EDE"/>
    <w:rsid w:val="005A14D2"/>
    <w:rsid w:val="005A59FB"/>
    <w:rsid w:val="005A6079"/>
    <w:rsid w:val="005A6A41"/>
    <w:rsid w:val="005B6A0B"/>
    <w:rsid w:val="005D7EF3"/>
    <w:rsid w:val="005E4698"/>
    <w:rsid w:val="005E5C28"/>
    <w:rsid w:val="005F3E40"/>
    <w:rsid w:val="005F704E"/>
    <w:rsid w:val="00610539"/>
    <w:rsid w:val="00613969"/>
    <w:rsid w:val="0061414F"/>
    <w:rsid w:val="00622033"/>
    <w:rsid w:val="006229E1"/>
    <w:rsid w:val="00625C35"/>
    <w:rsid w:val="00640B4F"/>
    <w:rsid w:val="00650055"/>
    <w:rsid w:val="006513A7"/>
    <w:rsid w:val="00652C90"/>
    <w:rsid w:val="00656313"/>
    <w:rsid w:val="006565F4"/>
    <w:rsid w:val="0066485F"/>
    <w:rsid w:val="00674C82"/>
    <w:rsid w:val="00677248"/>
    <w:rsid w:val="00681DA8"/>
    <w:rsid w:val="00684EEA"/>
    <w:rsid w:val="0068592C"/>
    <w:rsid w:val="00690A99"/>
    <w:rsid w:val="006931DC"/>
    <w:rsid w:val="0069340E"/>
    <w:rsid w:val="0069689B"/>
    <w:rsid w:val="006A1551"/>
    <w:rsid w:val="006B05C9"/>
    <w:rsid w:val="006B14EA"/>
    <w:rsid w:val="006B4F6E"/>
    <w:rsid w:val="006B5FF5"/>
    <w:rsid w:val="006C2702"/>
    <w:rsid w:val="006C427A"/>
    <w:rsid w:val="006C60C2"/>
    <w:rsid w:val="006D127C"/>
    <w:rsid w:val="006D1763"/>
    <w:rsid w:val="006D2681"/>
    <w:rsid w:val="006D2967"/>
    <w:rsid w:val="006E373B"/>
    <w:rsid w:val="006F13D5"/>
    <w:rsid w:val="006F23D4"/>
    <w:rsid w:val="006F30AF"/>
    <w:rsid w:val="006F385A"/>
    <w:rsid w:val="007015BE"/>
    <w:rsid w:val="00701759"/>
    <w:rsid w:val="00705C15"/>
    <w:rsid w:val="00710441"/>
    <w:rsid w:val="0071600E"/>
    <w:rsid w:val="007208D1"/>
    <w:rsid w:val="00721F08"/>
    <w:rsid w:val="007328F6"/>
    <w:rsid w:val="00747288"/>
    <w:rsid w:val="00747DD3"/>
    <w:rsid w:val="007549C8"/>
    <w:rsid w:val="00754A0B"/>
    <w:rsid w:val="00765933"/>
    <w:rsid w:val="00765EE4"/>
    <w:rsid w:val="00766D14"/>
    <w:rsid w:val="00767A0F"/>
    <w:rsid w:val="00770EAD"/>
    <w:rsid w:val="007734D5"/>
    <w:rsid w:val="00774463"/>
    <w:rsid w:val="00784217"/>
    <w:rsid w:val="00792AD3"/>
    <w:rsid w:val="007931D8"/>
    <w:rsid w:val="00793E56"/>
    <w:rsid w:val="007A05F6"/>
    <w:rsid w:val="007A2491"/>
    <w:rsid w:val="007A5FBD"/>
    <w:rsid w:val="007B56D0"/>
    <w:rsid w:val="007B5E3E"/>
    <w:rsid w:val="007B6F4A"/>
    <w:rsid w:val="007C7C0C"/>
    <w:rsid w:val="007C7C7A"/>
    <w:rsid w:val="007D3BB5"/>
    <w:rsid w:val="007D557C"/>
    <w:rsid w:val="007D6C52"/>
    <w:rsid w:val="007E1C47"/>
    <w:rsid w:val="007E2C1B"/>
    <w:rsid w:val="007E337A"/>
    <w:rsid w:val="007E5C70"/>
    <w:rsid w:val="007E663A"/>
    <w:rsid w:val="007F140A"/>
    <w:rsid w:val="007F2FF5"/>
    <w:rsid w:val="007F3C59"/>
    <w:rsid w:val="007F3F08"/>
    <w:rsid w:val="0080046B"/>
    <w:rsid w:val="008040E2"/>
    <w:rsid w:val="00804CC6"/>
    <w:rsid w:val="00815D04"/>
    <w:rsid w:val="00817190"/>
    <w:rsid w:val="00820EE5"/>
    <w:rsid w:val="008260E2"/>
    <w:rsid w:val="00826734"/>
    <w:rsid w:val="00830804"/>
    <w:rsid w:val="008322BD"/>
    <w:rsid w:val="00833E0A"/>
    <w:rsid w:val="00834F73"/>
    <w:rsid w:val="00835399"/>
    <w:rsid w:val="00837D2C"/>
    <w:rsid w:val="00842086"/>
    <w:rsid w:val="0084587C"/>
    <w:rsid w:val="00851923"/>
    <w:rsid w:val="008529AB"/>
    <w:rsid w:val="008617B7"/>
    <w:rsid w:val="00864CF8"/>
    <w:rsid w:val="0086759C"/>
    <w:rsid w:val="00872819"/>
    <w:rsid w:val="00874914"/>
    <w:rsid w:val="00874DDB"/>
    <w:rsid w:val="00875BB9"/>
    <w:rsid w:val="00891422"/>
    <w:rsid w:val="00892E1A"/>
    <w:rsid w:val="008961FE"/>
    <w:rsid w:val="008A3F29"/>
    <w:rsid w:val="008A7A10"/>
    <w:rsid w:val="008B660A"/>
    <w:rsid w:val="008C01DA"/>
    <w:rsid w:val="008C58C8"/>
    <w:rsid w:val="008C6359"/>
    <w:rsid w:val="008D4CA3"/>
    <w:rsid w:val="008D78F9"/>
    <w:rsid w:val="008E0CA4"/>
    <w:rsid w:val="008E2FEF"/>
    <w:rsid w:val="008F78E9"/>
    <w:rsid w:val="00900EE0"/>
    <w:rsid w:val="009041C7"/>
    <w:rsid w:val="009067E5"/>
    <w:rsid w:val="00906BD4"/>
    <w:rsid w:val="00911989"/>
    <w:rsid w:val="00912079"/>
    <w:rsid w:val="009179F9"/>
    <w:rsid w:val="00917F5B"/>
    <w:rsid w:val="00921338"/>
    <w:rsid w:val="00921BF3"/>
    <w:rsid w:val="00923434"/>
    <w:rsid w:val="009236A7"/>
    <w:rsid w:val="00931304"/>
    <w:rsid w:val="00931ECC"/>
    <w:rsid w:val="009329B8"/>
    <w:rsid w:val="00933E5E"/>
    <w:rsid w:val="00935218"/>
    <w:rsid w:val="00935B26"/>
    <w:rsid w:val="00936D24"/>
    <w:rsid w:val="00936DA2"/>
    <w:rsid w:val="009403F3"/>
    <w:rsid w:val="009512B2"/>
    <w:rsid w:val="00952226"/>
    <w:rsid w:val="00955487"/>
    <w:rsid w:val="009555B7"/>
    <w:rsid w:val="009567AA"/>
    <w:rsid w:val="0096062C"/>
    <w:rsid w:val="009608C6"/>
    <w:rsid w:val="00967374"/>
    <w:rsid w:val="00975C3B"/>
    <w:rsid w:val="00977A98"/>
    <w:rsid w:val="00984FA4"/>
    <w:rsid w:val="009872E9"/>
    <w:rsid w:val="00994D71"/>
    <w:rsid w:val="009A343A"/>
    <w:rsid w:val="009A41EC"/>
    <w:rsid w:val="009A4A76"/>
    <w:rsid w:val="009B2F23"/>
    <w:rsid w:val="009B56EB"/>
    <w:rsid w:val="009B57B3"/>
    <w:rsid w:val="009C10E3"/>
    <w:rsid w:val="009C32C2"/>
    <w:rsid w:val="009C5B92"/>
    <w:rsid w:val="009D2920"/>
    <w:rsid w:val="009D4D20"/>
    <w:rsid w:val="009D5AEB"/>
    <w:rsid w:val="009E222C"/>
    <w:rsid w:val="009E3809"/>
    <w:rsid w:val="009F0E33"/>
    <w:rsid w:val="009F3D49"/>
    <w:rsid w:val="009F3E8C"/>
    <w:rsid w:val="009F4570"/>
    <w:rsid w:val="00A030CE"/>
    <w:rsid w:val="00A07248"/>
    <w:rsid w:val="00A12A62"/>
    <w:rsid w:val="00A139F6"/>
    <w:rsid w:val="00A149DF"/>
    <w:rsid w:val="00A1755C"/>
    <w:rsid w:val="00A21666"/>
    <w:rsid w:val="00A21B90"/>
    <w:rsid w:val="00A23316"/>
    <w:rsid w:val="00A271D8"/>
    <w:rsid w:val="00A3108E"/>
    <w:rsid w:val="00A34B12"/>
    <w:rsid w:val="00A36758"/>
    <w:rsid w:val="00A36C3A"/>
    <w:rsid w:val="00A41805"/>
    <w:rsid w:val="00A42DCD"/>
    <w:rsid w:val="00A43672"/>
    <w:rsid w:val="00A52AFB"/>
    <w:rsid w:val="00A548CB"/>
    <w:rsid w:val="00A5521C"/>
    <w:rsid w:val="00A643E7"/>
    <w:rsid w:val="00A7390E"/>
    <w:rsid w:val="00A73C38"/>
    <w:rsid w:val="00A76BF3"/>
    <w:rsid w:val="00A82184"/>
    <w:rsid w:val="00A855BE"/>
    <w:rsid w:val="00A860B0"/>
    <w:rsid w:val="00A92F0A"/>
    <w:rsid w:val="00A9666E"/>
    <w:rsid w:val="00AB363A"/>
    <w:rsid w:val="00AB56CB"/>
    <w:rsid w:val="00AB670D"/>
    <w:rsid w:val="00AD6263"/>
    <w:rsid w:val="00AD6CD9"/>
    <w:rsid w:val="00AD7B9F"/>
    <w:rsid w:val="00AF03C5"/>
    <w:rsid w:val="00AF3102"/>
    <w:rsid w:val="00B000D8"/>
    <w:rsid w:val="00B00424"/>
    <w:rsid w:val="00B00F75"/>
    <w:rsid w:val="00B03F5F"/>
    <w:rsid w:val="00B145B6"/>
    <w:rsid w:val="00B164DB"/>
    <w:rsid w:val="00B16FD8"/>
    <w:rsid w:val="00B223CC"/>
    <w:rsid w:val="00B2487E"/>
    <w:rsid w:val="00B26E25"/>
    <w:rsid w:val="00B273F5"/>
    <w:rsid w:val="00B279EB"/>
    <w:rsid w:val="00B35019"/>
    <w:rsid w:val="00B36310"/>
    <w:rsid w:val="00B43B39"/>
    <w:rsid w:val="00B44CBA"/>
    <w:rsid w:val="00B50C81"/>
    <w:rsid w:val="00B557F8"/>
    <w:rsid w:val="00B60C7F"/>
    <w:rsid w:val="00B815FC"/>
    <w:rsid w:val="00B93FBC"/>
    <w:rsid w:val="00B94630"/>
    <w:rsid w:val="00BA20DA"/>
    <w:rsid w:val="00BA7DA0"/>
    <w:rsid w:val="00BB2EE4"/>
    <w:rsid w:val="00BB3C51"/>
    <w:rsid w:val="00BC2108"/>
    <w:rsid w:val="00BD0E9E"/>
    <w:rsid w:val="00BD1BEC"/>
    <w:rsid w:val="00BD32FF"/>
    <w:rsid w:val="00BE2DDA"/>
    <w:rsid w:val="00BF0597"/>
    <w:rsid w:val="00BF0775"/>
    <w:rsid w:val="00BF163B"/>
    <w:rsid w:val="00C01545"/>
    <w:rsid w:val="00C02092"/>
    <w:rsid w:val="00C0411D"/>
    <w:rsid w:val="00C04FFB"/>
    <w:rsid w:val="00C06558"/>
    <w:rsid w:val="00C20BAA"/>
    <w:rsid w:val="00C23E04"/>
    <w:rsid w:val="00C24D91"/>
    <w:rsid w:val="00C27D0F"/>
    <w:rsid w:val="00C32B2A"/>
    <w:rsid w:val="00C340B5"/>
    <w:rsid w:val="00C362F5"/>
    <w:rsid w:val="00C4738A"/>
    <w:rsid w:val="00C53F14"/>
    <w:rsid w:val="00C54A89"/>
    <w:rsid w:val="00C600CF"/>
    <w:rsid w:val="00C6084F"/>
    <w:rsid w:val="00C62A66"/>
    <w:rsid w:val="00C639EE"/>
    <w:rsid w:val="00C64470"/>
    <w:rsid w:val="00C71458"/>
    <w:rsid w:val="00C7175C"/>
    <w:rsid w:val="00C77613"/>
    <w:rsid w:val="00C812FA"/>
    <w:rsid w:val="00C82271"/>
    <w:rsid w:val="00C828E7"/>
    <w:rsid w:val="00C8352B"/>
    <w:rsid w:val="00C8549A"/>
    <w:rsid w:val="00C86719"/>
    <w:rsid w:val="00C921DD"/>
    <w:rsid w:val="00C941C3"/>
    <w:rsid w:val="00CA3C9B"/>
    <w:rsid w:val="00CA6391"/>
    <w:rsid w:val="00CA6E34"/>
    <w:rsid w:val="00CB5745"/>
    <w:rsid w:val="00CB6248"/>
    <w:rsid w:val="00CB73C2"/>
    <w:rsid w:val="00CC34BD"/>
    <w:rsid w:val="00CD4034"/>
    <w:rsid w:val="00CD568D"/>
    <w:rsid w:val="00CE0BAD"/>
    <w:rsid w:val="00CE161A"/>
    <w:rsid w:val="00CE1637"/>
    <w:rsid w:val="00CE3171"/>
    <w:rsid w:val="00CF1601"/>
    <w:rsid w:val="00CF2094"/>
    <w:rsid w:val="00D00907"/>
    <w:rsid w:val="00D01071"/>
    <w:rsid w:val="00D0172F"/>
    <w:rsid w:val="00D068A7"/>
    <w:rsid w:val="00D10A58"/>
    <w:rsid w:val="00D17476"/>
    <w:rsid w:val="00D17E33"/>
    <w:rsid w:val="00D32086"/>
    <w:rsid w:val="00D32528"/>
    <w:rsid w:val="00D37A3F"/>
    <w:rsid w:val="00D4431D"/>
    <w:rsid w:val="00D4667A"/>
    <w:rsid w:val="00D57596"/>
    <w:rsid w:val="00D610E3"/>
    <w:rsid w:val="00D62FE6"/>
    <w:rsid w:val="00D63A1C"/>
    <w:rsid w:val="00D70237"/>
    <w:rsid w:val="00D7440C"/>
    <w:rsid w:val="00D7516F"/>
    <w:rsid w:val="00D83080"/>
    <w:rsid w:val="00D8579F"/>
    <w:rsid w:val="00D8603E"/>
    <w:rsid w:val="00D95F8E"/>
    <w:rsid w:val="00DA0590"/>
    <w:rsid w:val="00DA134A"/>
    <w:rsid w:val="00DA3F1C"/>
    <w:rsid w:val="00DA62B3"/>
    <w:rsid w:val="00DA70CC"/>
    <w:rsid w:val="00DB01CE"/>
    <w:rsid w:val="00DB7BEA"/>
    <w:rsid w:val="00DC0576"/>
    <w:rsid w:val="00DC1739"/>
    <w:rsid w:val="00DC1788"/>
    <w:rsid w:val="00DC64F1"/>
    <w:rsid w:val="00DD1166"/>
    <w:rsid w:val="00DE03C0"/>
    <w:rsid w:val="00DE319C"/>
    <w:rsid w:val="00DF0CA8"/>
    <w:rsid w:val="00DF2B48"/>
    <w:rsid w:val="00DF2B73"/>
    <w:rsid w:val="00DF2B74"/>
    <w:rsid w:val="00DF49A7"/>
    <w:rsid w:val="00E01117"/>
    <w:rsid w:val="00E07EE2"/>
    <w:rsid w:val="00E07FD1"/>
    <w:rsid w:val="00E24573"/>
    <w:rsid w:val="00E25E1E"/>
    <w:rsid w:val="00E27EE7"/>
    <w:rsid w:val="00E30E7B"/>
    <w:rsid w:val="00E324A9"/>
    <w:rsid w:val="00E35404"/>
    <w:rsid w:val="00E37B8B"/>
    <w:rsid w:val="00E40231"/>
    <w:rsid w:val="00E45109"/>
    <w:rsid w:val="00E47B7A"/>
    <w:rsid w:val="00E51B71"/>
    <w:rsid w:val="00E53338"/>
    <w:rsid w:val="00E56A44"/>
    <w:rsid w:val="00E60269"/>
    <w:rsid w:val="00E61B54"/>
    <w:rsid w:val="00E62177"/>
    <w:rsid w:val="00E668F0"/>
    <w:rsid w:val="00E773E3"/>
    <w:rsid w:val="00E77932"/>
    <w:rsid w:val="00E820D7"/>
    <w:rsid w:val="00E90981"/>
    <w:rsid w:val="00E9626F"/>
    <w:rsid w:val="00E97295"/>
    <w:rsid w:val="00E97830"/>
    <w:rsid w:val="00EA5C17"/>
    <w:rsid w:val="00EA7841"/>
    <w:rsid w:val="00EB3790"/>
    <w:rsid w:val="00EB7C66"/>
    <w:rsid w:val="00EC1D80"/>
    <w:rsid w:val="00ED1872"/>
    <w:rsid w:val="00ED1EA1"/>
    <w:rsid w:val="00ED4D16"/>
    <w:rsid w:val="00EE1F0D"/>
    <w:rsid w:val="00EE643C"/>
    <w:rsid w:val="00EF0683"/>
    <w:rsid w:val="00EF08B5"/>
    <w:rsid w:val="00EF22D0"/>
    <w:rsid w:val="00EF5B49"/>
    <w:rsid w:val="00EF69D2"/>
    <w:rsid w:val="00EF766E"/>
    <w:rsid w:val="00EF7B59"/>
    <w:rsid w:val="00F0070C"/>
    <w:rsid w:val="00F00EB7"/>
    <w:rsid w:val="00F05C29"/>
    <w:rsid w:val="00F12D71"/>
    <w:rsid w:val="00F14A17"/>
    <w:rsid w:val="00F207AB"/>
    <w:rsid w:val="00F25EBB"/>
    <w:rsid w:val="00F317B9"/>
    <w:rsid w:val="00F36AB6"/>
    <w:rsid w:val="00F37A09"/>
    <w:rsid w:val="00F37B3A"/>
    <w:rsid w:val="00F409CE"/>
    <w:rsid w:val="00F42AFF"/>
    <w:rsid w:val="00F4379D"/>
    <w:rsid w:val="00F50C3A"/>
    <w:rsid w:val="00F50D2D"/>
    <w:rsid w:val="00F56C8B"/>
    <w:rsid w:val="00F57668"/>
    <w:rsid w:val="00F64610"/>
    <w:rsid w:val="00F66810"/>
    <w:rsid w:val="00F74EE8"/>
    <w:rsid w:val="00F763E0"/>
    <w:rsid w:val="00F81B96"/>
    <w:rsid w:val="00F846D9"/>
    <w:rsid w:val="00F84DF4"/>
    <w:rsid w:val="00F85C97"/>
    <w:rsid w:val="00F9453E"/>
    <w:rsid w:val="00FA3C42"/>
    <w:rsid w:val="00FB069D"/>
    <w:rsid w:val="00FB176E"/>
    <w:rsid w:val="00FB37D2"/>
    <w:rsid w:val="00FB3CE3"/>
    <w:rsid w:val="00FC2493"/>
    <w:rsid w:val="00FC4EFB"/>
    <w:rsid w:val="00FC5EEB"/>
    <w:rsid w:val="00FD068D"/>
    <w:rsid w:val="00FD4F28"/>
    <w:rsid w:val="00FE0759"/>
    <w:rsid w:val="00FE085A"/>
    <w:rsid w:val="00FE3BA5"/>
    <w:rsid w:val="00FE5BFF"/>
    <w:rsid w:val="00FE6784"/>
    <w:rsid w:val="00FE7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4862B9"/>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ContinueParaSuitedupar-AltP">
    <w:name w:val="Continue Para. / Suite du par. - Alt P"/>
    <w:next w:val="ParaNoNdepar-AltN"/>
    <w:uiPriority w:val="1"/>
    <w:qFormat/>
    <w:rsid w:val="00165D29"/>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165D29"/>
    <w:pPr>
      <w:numPr>
        <w:numId w:val="1"/>
      </w:numPr>
      <w:tabs>
        <w:tab w:val="left" w:pos="1166"/>
      </w:tabs>
      <w:spacing w:before="480" w:after="480" w:line="480" w:lineRule="auto"/>
      <w:jc w:val="both"/>
    </w:pPr>
    <w:rPr>
      <w:rFonts w:eastAsiaTheme="minorEastAsia" w:cstheme="minorBidi"/>
      <w:sz w:val="24"/>
      <w:szCs w:val="22"/>
      <w:lang w:eastAsia="en-US"/>
    </w:rPr>
  </w:style>
  <w:style w:type="paragraph" w:styleId="NoSpacing">
    <w:name w:val="No Spacing"/>
    <w:uiPriority w:val="1"/>
    <w:rsid w:val="004862B9"/>
    <w:rPr>
      <w:sz w:val="24"/>
    </w:rPr>
  </w:style>
  <w:style w:type="paragraph" w:customStyle="1" w:styleId="SCCLsocOtherPartyRoleSeparator">
    <w:name w:val="SCC.Lsoc.OtherPartyRoleSeparator"/>
    <w:basedOn w:val="Normal"/>
    <w:next w:val="Normal"/>
    <w:link w:val="SCCLsocOtherPartyRoleSeparatorChar"/>
    <w:rsid w:val="004862B9"/>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4862B9"/>
    <w:rPr>
      <w:rFonts w:eastAsiaTheme="minorHAnsi" w:cstheme="minorBidi"/>
      <w:sz w:val="24"/>
      <w:szCs w:val="22"/>
      <w:lang w:val="fr-CA" w:eastAsia="en-US"/>
    </w:rPr>
  </w:style>
  <w:style w:type="table" w:styleId="TableGrid">
    <w:name w:val="Table Grid"/>
    <w:basedOn w:val="TableNormal"/>
    <w:uiPriority w:val="59"/>
    <w:rsid w:val="004862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862B9"/>
    <w:pPr>
      <w:spacing w:after="720"/>
      <w:ind w:left="1166"/>
      <w:contextualSpacing/>
      <w:jc w:val="both"/>
    </w:pPr>
    <w:rPr>
      <w:sz w:val="24"/>
      <w:lang w:val="fr-CA"/>
    </w:rPr>
  </w:style>
  <w:style w:type="paragraph" w:customStyle="1" w:styleId="JudgeJuge">
    <w:name w:val="Judge / Juge"/>
    <w:uiPriority w:val="3"/>
    <w:rsid w:val="004862B9"/>
    <w:pPr>
      <w:tabs>
        <w:tab w:val="left" w:pos="1166"/>
      </w:tabs>
      <w:spacing w:after="480" w:line="480" w:lineRule="auto"/>
    </w:pPr>
    <w:rPr>
      <w:smallCaps/>
      <w:sz w:val="24"/>
      <w:lang w:val="fr-CA"/>
    </w:rPr>
  </w:style>
  <w:style w:type="paragraph" w:customStyle="1" w:styleId="TitleTitre-AltT">
    <w:name w:val="Title / Titre - Alt T"/>
    <w:next w:val="ParaNoNdepar-AltN"/>
    <w:uiPriority w:val="3"/>
    <w:qFormat/>
    <w:rsid w:val="004862B9"/>
    <w:pPr>
      <w:keepNext/>
      <w:tabs>
        <w:tab w:val="left" w:pos="360"/>
      </w:tabs>
      <w:spacing w:after="720"/>
      <w:ind w:left="357" w:hanging="357"/>
      <w:jc w:val="both"/>
    </w:pPr>
    <w:rPr>
      <w:rFonts w:eastAsiaTheme="minorHAnsi" w:cstheme="minorBidi"/>
      <w:sz w:val="24"/>
      <w:szCs w:val="22"/>
      <w:lang w:val="fr-CA" w:eastAsia="en-US"/>
    </w:rPr>
  </w:style>
  <w:style w:type="character" w:styleId="IntenseEmphasis">
    <w:name w:val="Intense Emphasis"/>
    <w:uiPriority w:val="21"/>
    <w:rsid w:val="004862B9"/>
    <w:rPr>
      <w:b/>
      <w:bCs/>
    </w:rPr>
  </w:style>
  <w:style w:type="character" w:customStyle="1" w:styleId="title1">
    <w:name w:val="title1"/>
    <w:basedOn w:val="DefaultParagraphFont"/>
    <w:rsid w:val="004862B9"/>
    <w:rPr>
      <w:i w:val="0"/>
      <w:iCs w:val="0"/>
    </w:rPr>
  </w:style>
  <w:style w:type="character" w:customStyle="1" w:styleId="neutralcite">
    <w:name w:val="neutralcite"/>
    <w:basedOn w:val="DefaultParagraphFont"/>
    <w:rsid w:val="004862B9"/>
  </w:style>
  <w:style w:type="character" w:customStyle="1" w:styleId="reportcite">
    <w:name w:val="reportcite"/>
    <w:basedOn w:val="DefaultParagraphFont"/>
    <w:rsid w:val="004862B9"/>
  </w:style>
  <w:style w:type="character" w:styleId="Hyperlink">
    <w:name w:val="Hyperlink"/>
    <w:basedOn w:val="DefaultParagraphFont"/>
    <w:uiPriority w:val="99"/>
    <w:unhideWhenUsed/>
    <w:rsid w:val="004862B9"/>
    <w:rPr>
      <w:color w:val="0000FF" w:themeColor="hyperlink"/>
      <w:u w:val="single"/>
    </w:rPr>
  </w:style>
  <w:style w:type="character" w:styleId="CommentReference">
    <w:name w:val="annotation reference"/>
    <w:basedOn w:val="DefaultParagraphFont"/>
    <w:uiPriority w:val="99"/>
    <w:semiHidden/>
    <w:unhideWhenUsed/>
    <w:rsid w:val="004862B9"/>
    <w:rPr>
      <w:sz w:val="16"/>
      <w:szCs w:val="16"/>
    </w:rPr>
  </w:style>
  <w:style w:type="paragraph" w:styleId="CommentText">
    <w:name w:val="annotation text"/>
    <w:basedOn w:val="Normal"/>
    <w:link w:val="CommentTextChar"/>
    <w:uiPriority w:val="99"/>
    <w:semiHidden/>
    <w:unhideWhenUsed/>
    <w:rsid w:val="004862B9"/>
    <w:rPr>
      <w:sz w:val="20"/>
      <w:lang w:val="fr-CA"/>
    </w:rPr>
  </w:style>
  <w:style w:type="character" w:customStyle="1" w:styleId="CommentTextChar">
    <w:name w:val="Comment Text Char"/>
    <w:basedOn w:val="DefaultParagraphFont"/>
    <w:link w:val="CommentText"/>
    <w:uiPriority w:val="99"/>
    <w:semiHidden/>
    <w:rsid w:val="004862B9"/>
    <w:rPr>
      <w:lang w:val="fr-CA"/>
    </w:rPr>
  </w:style>
  <w:style w:type="paragraph" w:styleId="CommentSubject">
    <w:name w:val="annotation subject"/>
    <w:basedOn w:val="CommentText"/>
    <w:next w:val="CommentText"/>
    <w:link w:val="CommentSubjectChar"/>
    <w:uiPriority w:val="99"/>
    <w:semiHidden/>
    <w:unhideWhenUsed/>
    <w:rsid w:val="004862B9"/>
    <w:rPr>
      <w:b/>
      <w:bCs/>
    </w:rPr>
  </w:style>
  <w:style w:type="character" w:customStyle="1" w:styleId="CommentSubjectChar">
    <w:name w:val="Comment Subject Char"/>
    <w:basedOn w:val="CommentTextChar"/>
    <w:link w:val="CommentSubject"/>
    <w:uiPriority w:val="99"/>
    <w:semiHidden/>
    <w:rsid w:val="004862B9"/>
    <w:rPr>
      <w:b/>
      <w:bCs/>
    </w:rPr>
  </w:style>
  <w:style w:type="character" w:styleId="FollowedHyperlink">
    <w:name w:val="FollowedHyperlink"/>
    <w:basedOn w:val="DefaultParagraphFont"/>
    <w:uiPriority w:val="99"/>
    <w:semiHidden/>
    <w:unhideWhenUsed/>
    <w:rsid w:val="004862B9"/>
    <w:rPr>
      <w:color w:val="800080" w:themeColor="followedHyperlink"/>
      <w:u w:val="single"/>
    </w:rPr>
  </w:style>
  <w:style w:type="paragraph" w:customStyle="1" w:styleId="SCCCoram">
    <w:name w:val="SCC.Coram"/>
    <w:basedOn w:val="Normal"/>
    <w:next w:val="Normal"/>
    <w:link w:val="SCCCoramChar"/>
    <w:rsid w:val="004862B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862B9"/>
    <w:rPr>
      <w:rFonts w:eastAsiaTheme="minorHAnsi" w:cstheme="minorBidi"/>
      <w:sz w:val="24"/>
      <w:szCs w:val="22"/>
      <w:lang w:eastAsia="en-US"/>
    </w:rPr>
  </w:style>
  <w:style w:type="character" w:customStyle="1" w:styleId="apple-converted-space">
    <w:name w:val="apple-converted-space"/>
    <w:basedOn w:val="DefaultParagraphFont"/>
    <w:rsid w:val="004862B9"/>
  </w:style>
  <w:style w:type="paragraph" w:styleId="ListParagraph">
    <w:name w:val="List Paragraph"/>
    <w:basedOn w:val="Normal"/>
    <w:uiPriority w:val="34"/>
    <w:qFormat/>
    <w:rsid w:val="004862B9"/>
    <w:pPr>
      <w:ind w:left="720"/>
    </w:pPr>
    <w:rPr>
      <w:szCs w:val="24"/>
    </w:rPr>
  </w:style>
  <w:style w:type="paragraph" w:customStyle="1" w:styleId="SCCNormal">
    <w:name w:val="SCC.Normal"/>
    <w:autoRedefine/>
    <w:rsid w:val="004862B9"/>
    <w:rPr>
      <w:rFonts w:eastAsiaTheme="minorEastAsia"/>
      <w:sz w:val="24"/>
      <w:szCs w:val="24"/>
    </w:rPr>
  </w:style>
  <w:style w:type="paragraph" w:customStyle="1" w:styleId="SCCCirculationDate">
    <w:name w:val="SCC.CirculationDate"/>
    <w:basedOn w:val="SCCNormal"/>
    <w:next w:val="SCCNormal"/>
    <w:autoRedefine/>
    <w:rsid w:val="004862B9"/>
    <w:pPr>
      <w:jc w:val="right"/>
    </w:pPr>
  </w:style>
  <w:style w:type="paragraph" w:customStyle="1" w:styleId="SCCCitationTitle">
    <w:name w:val="SCC.CitationTitle"/>
    <w:basedOn w:val="SCCNormal"/>
    <w:next w:val="SCCNormal"/>
    <w:autoRedefine/>
    <w:rsid w:val="004862B9"/>
    <w:pPr>
      <w:jc w:val="center"/>
    </w:pPr>
    <w:rPr>
      <w:b/>
      <w:sz w:val="28"/>
    </w:rPr>
  </w:style>
  <w:style w:type="paragraph" w:customStyle="1" w:styleId="SCCConcurringJudge">
    <w:name w:val="SCC.ConcurringJudge"/>
    <w:basedOn w:val="SCCNormal"/>
    <w:next w:val="SCCNormal"/>
    <w:autoRedefine/>
    <w:rsid w:val="004862B9"/>
    <w:rPr>
      <w:u w:val="single"/>
    </w:rPr>
  </w:style>
  <w:style w:type="paragraph" w:customStyle="1" w:styleId="SCCFileNumber">
    <w:name w:val="SCC.FileNumber"/>
    <w:basedOn w:val="SCCNormal"/>
    <w:next w:val="SCCNormal"/>
    <w:autoRedefine/>
    <w:rsid w:val="004862B9"/>
    <w:pPr>
      <w:jc w:val="right"/>
    </w:pPr>
  </w:style>
  <w:style w:type="character" w:customStyle="1" w:styleId="SCCLowerCourtNameLowerCase0">
    <w:name w:val="SCC.LowerCourtNameLowerCase"/>
    <w:rsid w:val="004862B9"/>
    <w:rPr>
      <w:smallCaps/>
    </w:rPr>
  </w:style>
  <w:style w:type="paragraph" w:customStyle="1" w:styleId="SCCProtected">
    <w:name w:val="SCC.Protected"/>
    <w:basedOn w:val="SCCNormal"/>
    <w:next w:val="SCCNormal"/>
    <w:autoRedefine/>
    <w:rsid w:val="004862B9"/>
    <w:pPr>
      <w:jc w:val="right"/>
    </w:pPr>
    <w:rPr>
      <w:b/>
    </w:rPr>
  </w:style>
  <w:style w:type="paragraph" w:customStyle="1" w:styleId="SCCPublicationBanSummary">
    <w:name w:val="SCC.PublicationBanSummary"/>
    <w:basedOn w:val="SCCNormal"/>
    <w:next w:val="SCCNormal"/>
    <w:autoRedefine/>
    <w:rsid w:val="004862B9"/>
    <w:pPr>
      <w:jc w:val="right"/>
    </w:pPr>
    <w:rPr>
      <w:b/>
    </w:rPr>
  </w:style>
  <w:style w:type="character" w:customStyle="1" w:styleId="SCCReasonsAuthor">
    <w:name w:val="SCC.ReasonsAuthor"/>
    <w:basedOn w:val="DefaultParagraphFont"/>
    <w:uiPriority w:val="1"/>
    <w:rsid w:val="004862B9"/>
    <w:rPr>
      <w:rFonts w:ascii="Times New Roman" w:eastAsiaTheme="minorEastAsia" w:hAnsi="Times New Roman" w:cs="Times New Roman"/>
      <w:sz w:val="24"/>
      <w:szCs w:val="24"/>
      <w:lang w:val="en-CA" w:eastAsia="en-CA"/>
    </w:rPr>
  </w:style>
  <w:style w:type="character" w:customStyle="1" w:styleId="SCCRunningHead">
    <w:name w:val="SCC.RunningHead"/>
    <w:rsid w:val="004862B9"/>
    <w:rPr>
      <w:smallCaps/>
    </w:rPr>
  </w:style>
  <w:style w:type="paragraph" w:customStyle="1" w:styleId="SCCSubTitle">
    <w:name w:val="SCC.SubTitle"/>
    <w:basedOn w:val="SCCNormal"/>
    <w:next w:val="SCCNormal"/>
    <w:rsid w:val="004862B9"/>
    <w:rPr>
      <w:b/>
      <w:sz w:val="28"/>
    </w:rPr>
  </w:style>
  <w:style w:type="paragraph" w:customStyle="1" w:styleId="SCCTitleStyle">
    <w:name w:val="SCC.TitleStyle"/>
    <w:basedOn w:val="SCCNormal"/>
    <w:next w:val="SCCNormal"/>
    <w:autoRedefine/>
    <w:rsid w:val="004862B9"/>
    <w:rPr>
      <w:b/>
      <w:sz w:val="32"/>
    </w:rPr>
  </w:style>
  <w:style w:type="character" w:customStyle="1" w:styleId="SCCVersusStyle">
    <w:name w:val="SCC.VersusStyle"/>
    <w:basedOn w:val="DefaultParagraphFont"/>
    <w:rsid w:val="004862B9"/>
    <w:rPr>
      <w:b/>
      <w:i/>
      <w:iCs/>
      <w:u w:val="none"/>
    </w:rPr>
  </w:style>
  <w:style w:type="paragraph" w:styleId="FootnoteText">
    <w:name w:val="footnote text"/>
    <w:basedOn w:val="Normal"/>
    <w:link w:val="FootnoteTextChar"/>
    <w:uiPriority w:val="99"/>
    <w:semiHidden/>
    <w:unhideWhenUsed/>
    <w:rsid w:val="004862B9"/>
    <w:rPr>
      <w:sz w:val="20"/>
    </w:rPr>
  </w:style>
  <w:style w:type="character" w:customStyle="1" w:styleId="FootnoteTextChar">
    <w:name w:val="Footnote Text Char"/>
    <w:basedOn w:val="DefaultParagraphFont"/>
    <w:link w:val="FootnoteText"/>
    <w:uiPriority w:val="99"/>
    <w:semiHidden/>
    <w:rsid w:val="004862B9"/>
  </w:style>
  <w:style w:type="table" w:customStyle="1" w:styleId="TableGrid1">
    <w:name w:val="Table Grid1"/>
    <w:basedOn w:val="TableNormal"/>
    <w:next w:val="TableGrid"/>
    <w:uiPriority w:val="59"/>
    <w:rsid w:val="004438A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74083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52418797">
          <w:marLeft w:val="0"/>
          <w:marRight w:val="0"/>
          <w:marTop w:val="0"/>
          <w:marBottom w:val="0"/>
          <w:divBdr>
            <w:top w:val="none" w:sz="0" w:space="0" w:color="auto"/>
            <w:left w:val="none" w:sz="0" w:space="0" w:color="auto"/>
            <w:bottom w:val="none" w:sz="0" w:space="0" w:color="auto"/>
            <w:right w:val="none" w:sz="0" w:space="0" w:color="auto"/>
          </w:divBdr>
          <w:divsChild>
            <w:div w:id="1565800518">
              <w:marLeft w:val="0"/>
              <w:marRight w:val="0"/>
              <w:marTop w:val="0"/>
              <w:marBottom w:val="0"/>
              <w:divBdr>
                <w:top w:val="none" w:sz="0" w:space="0" w:color="auto"/>
                <w:left w:val="none" w:sz="0" w:space="0" w:color="auto"/>
                <w:bottom w:val="none" w:sz="0" w:space="0" w:color="auto"/>
                <w:right w:val="none" w:sz="0" w:space="0" w:color="auto"/>
              </w:divBdr>
              <w:divsChild>
                <w:div w:id="1859781464">
                  <w:marLeft w:val="0"/>
                  <w:marRight w:val="0"/>
                  <w:marTop w:val="0"/>
                  <w:marBottom w:val="0"/>
                  <w:divBdr>
                    <w:top w:val="none" w:sz="0" w:space="0" w:color="auto"/>
                    <w:left w:val="none" w:sz="0" w:space="0" w:color="auto"/>
                    <w:bottom w:val="none" w:sz="0" w:space="0" w:color="auto"/>
                    <w:right w:val="none" w:sz="0" w:space="0" w:color="auto"/>
                  </w:divBdr>
                  <w:divsChild>
                    <w:div w:id="74222148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AE45D-8F79-46BA-80F9-11758E6E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64203</Words>
  <Characters>353122</Characters>
  <Application>Microsoft Office Word</Application>
  <DocSecurity>0</DocSecurity>
  <Lines>2942</Lines>
  <Paragraphs>832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2014-01-16T16:13:00Z</dcterms:created>
  <dcterms:modified xsi:type="dcterms:W3CDTF">2014-01-16T16:13:00Z</dcterms:modified>
</cp:coreProperties>
</file>