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26" w:rsidRPr="0083488A" w:rsidRDefault="00A46D26" w:rsidP="00A46D26">
      <w:pPr>
        <w:tabs>
          <w:tab w:val="center" w:pos="4680"/>
          <w:tab w:val="right" w:pos="9360"/>
        </w:tabs>
        <w:jc w:val="center"/>
        <w:rPr>
          <w:rFonts w:eastAsiaTheme="minorHAnsi" w:cstheme="minorBidi"/>
          <w:szCs w:val="24"/>
          <w:lang w:eastAsia="en-US"/>
        </w:rPr>
      </w:pPr>
      <w:r w:rsidRPr="0083488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26943370" r:id="rId9"/>
        </w:object>
      </w:r>
    </w:p>
    <w:p w:rsidR="00A46D26" w:rsidRPr="0083488A" w:rsidRDefault="00A46D26" w:rsidP="00A46D26">
      <w:pPr>
        <w:tabs>
          <w:tab w:val="center" w:pos="4680"/>
          <w:tab w:val="right" w:pos="9360"/>
        </w:tabs>
        <w:rPr>
          <w:rFonts w:eastAsiaTheme="minorHAnsi" w:cstheme="minorBidi"/>
          <w:szCs w:val="24"/>
          <w:lang w:eastAsia="en-US"/>
        </w:rPr>
      </w:pPr>
    </w:p>
    <w:p w:rsidR="00A46D26" w:rsidRPr="0083488A" w:rsidRDefault="00A46D26" w:rsidP="00A46D26">
      <w:pPr>
        <w:jc w:val="center"/>
        <w:rPr>
          <w:rFonts w:eastAsiaTheme="minorHAnsi" w:cstheme="minorBidi"/>
          <w:b/>
          <w:szCs w:val="24"/>
          <w:lang w:eastAsia="en-US"/>
        </w:rPr>
      </w:pPr>
      <w:r w:rsidRPr="0083488A">
        <w:rPr>
          <w:rFonts w:eastAsiaTheme="minorHAnsi" w:cstheme="minorBidi"/>
          <w:b/>
          <w:szCs w:val="24"/>
          <w:lang w:eastAsia="en-US"/>
        </w:rPr>
        <w:t>SUPREME COURT OF CANADA</w:t>
      </w:r>
    </w:p>
    <w:p w:rsidR="00A46D26" w:rsidRPr="0083488A" w:rsidRDefault="00A46D26" w:rsidP="00A46D26">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A46D26" w:rsidRPr="0083488A" w:rsidTr="002F6440">
        <w:trPr>
          <w:cantSplit/>
        </w:trPr>
        <w:tc>
          <w:tcPr>
            <w:tcW w:w="6768" w:type="dxa"/>
          </w:tcPr>
          <w:p w:rsidR="00A46D26" w:rsidRPr="0083488A" w:rsidRDefault="00A46D26" w:rsidP="002F6440">
            <w:r w:rsidRPr="0083488A">
              <w:rPr>
                <w:b/>
                <w:smallCaps/>
              </w:rPr>
              <w:t>Citation:</w:t>
            </w:r>
            <w:r w:rsidRPr="0083488A">
              <w:t xml:space="preserve"> Canada </w:t>
            </w:r>
            <w:r w:rsidRPr="0083488A">
              <w:rPr>
                <w:i/>
              </w:rPr>
              <w:t>v.</w:t>
            </w:r>
            <w:r w:rsidRPr="0083488A">
              <w:t xml:space="preserve"> GlaxoSmithKline Inc., </w:t>
            </w:r>
            <w:r>
              <w:t>2012 SCC 52, [2012] 3 S.C.R. 3</w:t>
            </w:r>
          </w:p>
        </w:tc>
        <w:tc>
          <w:tcPr>
            <w:tcW w:w="2808" w:type="dxa"/>
          </w:tcPr>
          <w:p w:rsidR="00A46D26" w:rsidRPr="0083488A" w:rsidRDefault="00A46D26" w:rsidP="002F6440">
            <w:r w:rsidRPr="0083488A">
              <w:rPr>
                <w:b/>
                <w:smallCaps/>
              </w:rPr>
              <w:t>Date:</w:t>
            </w:r>
            <w:r w:rsidRPr="0083488A">
              <w:t xml:space="preserve"> 20121018</w:t>
            </w:r>
          </w:p>
          <w:p w:rsidR="00A46D26" w:rsidRPr="0083488A" w:rsidRDefault="00A46D26" w:rsidP="002F6440">
            <w:r w:rsidRPr="0083488A">
              <w:rPr>
                <w:b/>
                <w:smallCaps/>
              </w:rPr>
              <w:t>Docket:</w:t>
            </w:r>
            <w:r w:rsidRPr="0083488A">
              <w:t xml:space="preserve"> 33874</w:t>
            </w:r>
          </w:p>
        </w:tc>
      </w:tr>
    </w:tbl>
    <w:p w:rsidR="00A46D26" w:rsidRPr="0083488A" w:rsidRDefault="00A46D26" w:rsidP="00A46D26">
      <w:pPr>
        <w:rPr>
          <w:rFonts w:eastAsiaTheme="minorHAnsi" w:cstheme="minorBidi"/>
          <w:szCs w:val="24"/>
          <w:lang w:eastAsia="en-US"/>
        </w:rPr>
      </w:pPr>
    </w:p>
    <w:p w:rsidR="00A46D26" w:rsidRPr="0083488A" w:rsidRDefault="00A46D26" w:rsidP="00A46D26">
      <w:pPr>
        <w:rPr>
          <w:rFonts w:eastAsiaTheme="minorHAnsi" w:cstheme="minorBidi"/>
          <w:b/>
          <w:smallCaps/>
          <w:szCs w:val="24"/>
          <w:lang w:eastAsia="en-US"/>
        </w:rPr>
      </w:pPr>
      <w:r w:rsidRPr="0083488A">
        <w:rPr>
          <w:rFonts w:eastAsiaTheme="minorHAnsi" w:cstheme="minorBidi"/>
          <w:b/>
          <w:smallCaps/>
          <w:szCs w:val="24"/>
          <w:lang w:eastAsia="en-US"/>
        </w:rPr>
        <w:t>Between:</w:t>
      </w:r>
    </w:p>
    <w:p w:rsidR="00A46D26" w:rsidRPr="0083488A" w:rsidRDefault="00A46D26" w:rsidP="00A46D26">
      <w:pPr>
        <w:jc w:val="center"/>
        <w:rPr>
          <w:rFonts w:eastAsiaTheme="minorHAnsi" w:cstheme="minorBidi"/>
          <w:b/>
          <w:szCs w:val="24"/>
          <w:lang w:eastAsia="en-US"/>
        </w:rPr>
      </w:pPr>
      <w:r w:rsidRPr="0083488A">
        <w:rPr>
          <w:rFonts w:eastAsiaTheme="minorHAnsi" w:cstheme="minorBidi"/>
          <w:b/>
          <w:szCs w:val="24"/>
          <w:lang w:eastAsia="en-US"/>
        </w:rPr>
        <w:t xml:space="preserve">Her Majesty </w:t>
      </w:r>
      <w:proofErr w:type="gramStart"/>
      <w:r w:rsidRPr="0083488A">
        <w:rPr>
          <w:rFonts w:eastAsiaTheme="minorHAnsi" w:cstheme="minorBidi"/>
          <w:b/>
          <w:szCs w:val="24"/>
          <w:lang w:eastAsia="en-US"/>
        </w:rPr>
        <w:t>The</w:t>
      </w:r>
      <w:proofErr w:type="gramEnd"/>
      <w:r w:rsidRPr="0083488A">
        <w:rPr>
          <w:rFonts w:eastAsiaTheme="minorHAnsi" w:cstheme="minorBidi"/>
          <w:b/>
          <w:szCs w:val="24"/>
          <w:lang w:eastAsia="en-US"/>
        </w:rPr>
        <w:t xml:space="preserve"> Queen</w:t>
      </w:r>
    </w:p>
    <w:p w:rsidR="00A46D26" w:rsidRPr="0083488A" w:rsidRDefault="00A46D26" w:rsidP="00A46D26">
      <w:pPr>
        <w:jc w:val="center"/>
        <w:rPr>
          <w:rFonts w:eastAsiaTheme="minorHAnsi" w:cstheme="minorBidi"/>
          <w:szCs w:val="24"/>
          <w:lang w:eastAsia="en-US"/>
        </w:rPr>
      </w:pPr>
      <w:r w:rsidRPr="0083488A">
        <w:rPr>
          <w:rFonts w:eastAsiaTheme="minorHAnsi" w:cstheme="minorBidi"/>
          <w:szCs w:val="24"/>
          <w:lang w:eastAsia="en-US"/>
        </w:rPr>
        <w:t>Appellant/Respondent on cross-appeal</w:t>
      </w:r>
    </w:p>
    <w:p w:rsidR="00A46D26" w:rsidRPr="0083488A" w:rsidRDefault="00A46D26" w:rsidP="00A46D26">
      <w:pPr>
        <w:jc w:val="center"/>
        <w:rPr>
          <w:rFonts w:eastAsiaTheme="minorHAnsi" w:cstheme="minorBidi"/>
          <w:szCs w:val="24"/>
          <w:lang w:eastAsia="en-US"/>
        </w:rPr>
      </w:pPr>
      <w:proofErr w:type="gramStart"/>
      <w:r w:rsidRPr="0083488A">
        <w:rPr>
          <w:rFonts w:eastAsiaTheme="minorHAnsi" w:cstheme="minorBidi"/>
          <w:szCs w:val="24"/>
          <w:lang w:eastAsia="en-US"/>
        </w:rPr>
        <w:t>and</w:t>
      </w:r>
      <w:proofErr w:type="gramEnd"/>
    </w:p>
    <w:p w:rsidR="00A46D26" w:rsidRPr="0083488A" w:rsidRDefault="00A46D26" w:rsidP="00A46D26">
      <w:pPr>
        <w:jc w:val="center"/>
        <w:rPr>
          <w:rFonts w:eastAsiaTheme="minorHAnsi" w:cstheme="minorBidi"/>
          <w:b/>
          <w:szCs w:val="24"/>
          <w:lang w:eastAsia="en-US"/>
        </w:rPr>
      </w:pPr>
      <w:r w:rsidRPr="0083488A">
        <w:rPr>
          <w:rFonts w:eastAsiaTheme="minorHAnsi" w:cstheme="minorBidi"/>
          <w:b/>
          <w:szCs w:val="24"/>
          <w:lang w:eastAsia="en-US"/>
        </w:rPr>
        <w:t>GlaxoSmithKline Inc.</w:t>
      </w:r>
    </w:p>
    <w:p w:rsidR="00A46D26" w:rsidRPr="0083488A" w:rsidRDefault="00A46D26" w:rsidP="00A46D26">
      <w:pPr>
        <w:jc w:val="center"/>
        <w:rPr>
          <w:rFonts w:eastAsiaTheme="minorHAnsi" w:cstheme="minorBidi"/>
          <w:szCs w:val="24"/>
          <w:lang w:eastAsia="en-US"/>
        </w:rPr>
      </w:pPr>
      <w:r w:rsidRPr="0083488A">
        <w:rPr>
          <w:rFonts w:eastAsiaTheme="minorHAnsi" w:cstheme="minorBidi"/>
          <w:szCs w:val="24"/>
          <w:lang w:eastAsia="en-US"/>
        </w:rPr>
        <w:t>Respondent/Appellant on cross-appeal</w:t>
      </w:r>
    </w:p>
    <w:p w:rsidR="00A46D26" w:rsidRPr="0083488A" w:rsidRDefault="00A46D26" w:rsidP="00A46D26">
      <w:pPr>
        <w:rPr>
          <w:rFonts w:eastAsiaTheme="minorHAnsi" w:cstheme="minorBidi"/>
          <w:szCs w:val="24"/>
          <w:lang w:eastAsia="en-US"/>
        </w:rPr>
      </w:pPr>
    </w:p>
    <w:p w:rsidR="00A46D26" w:rsidRPr="0083488A" w:rsidRDefault="00A46D26" w:rsidP="00A46D26">
      <w:pPr>
        <w:rPr>
          <w:rFonts w:eastAsiaTheme="minorHAnsi" w:cstheme="minorBidi"/>
          <w:szCs w:val="24"/>
          <w:lang w:eastAsia="en-US"/>
        </w:rPr>
      </w:pPr>
    </w:p>
    <w:p w:rsidR="00A46D26" w:rsidRPr="0083488A" w:rsidRDefault="00A46D26" w:rsidP="00A46D26">
      <w:pPr>
        <w:rPr>
          <w:rFonts w:eastAsiaTheme="minorHAnsi" w:cstheme="minorBidi"/>
          <w:szCs w:val="24"/>
          <w:lang w:eastAsia="en-US"/>
        </w:rPr>
      </w:pPr>
      <w:r w:rsidRPr="0083488A">
        <w:rPr>
          <w:rFonts w:eastAsiaTheme="minorHAnsi" w:cstheme="minorBidi"/>
          <w:b/>
          <w:smallCaps/>
          <w:szCs w:val="24"/>
          <w:lang w:eastAsia="en-US"/>
        </w:rPr>
        <w:t>Coram:</w:t>
      </w:r>
      <w:r w:rsidRPr="0083488A">
        <w:rPr>
          <w:rFonts w:eastAsiaTheme="minorHAnsi" w:cstheme="minorBidi"/>
          <w:szCs w:val="24"/>
          <w:lang w:eastAsia="en-US"/>
        </w:rPr>
        <w:t xml:space="preserve">  </w:t>
      </w:r>
      <w:proofErr w:type="spellStart"/>
      <w:r w:rsidRPr="0083488A">
        <w:rPr>
          <w:rFonts w:eastAsiaTheme="minorHAnsi" w:cstheme="minorBidi"/>
          <w:szCs w:val="24"/>
          <w:lang w:eastAsia="en-US"/>
        </w:rPr>
        <w:t>McLachlin</w:t>
      </w:r>
      <w:proofErr w:type="spellEnd"/>
      <w:r w:rsidRPr="0083488A">
        <w:rPr>
          <w:rFonts w:eastAsiaTheme="minorHAnsi" w:cstheme="minorBidi"/>
          <w:szCs w:val="24"/>
          <w:lang w:eastAsia="en-US"/>
        </w:rPr>
        <w:t xml:space="preserve"> C.J. and </w:t>
      </w:r>
      <w:proofErr w:type="spellStart"/>
      <w:r w:rsidRPr="0083488A">
        <w:rPr>
          <w:rFonts w:eastAsiaTheme="minorHAnsi" w:cstheme="minorBidi"/>
          <w:szCs w:val="24"/>
          <w:lang w:eastAsia="en-US"/>
        </w:rPr>
        <w:t>Deschamps</w:t>
      </w:r>
      <w:proofErr w:type="spellEnd"/>
      <w:r w:rsidRPr="0083488A">
        <w:rPr>
          <w:rFonts w:eastAsiaTheme="minorHAnsi" w:cstheme="minorBidi"/>
          <w:szCs w:val="24"/>
          <w:lang w:eastAsia="en-US"/>
        </w:rPr>
        <w:t xml:space="preserve">, </w:t>
      </w:r>
      <w:proofErr w:type="spellStart"/>
      <w:r w:rsidRPr="0083488A">
        <w:rPr>
          <w:rFonts w:eastAsiaTheme="minorHAnsi" w:cstheme="minorBidi"/>
          <w:szCs w:val="24"/>
          <w:lang w:eastAsia="en-US"/>
        </w:rPr>
        <w:t>Abella</w:t>
      </w:r>
      <w:proofErr w:type="spellEnd"/>
      <w:r w:rsidRPr="0083488A">
        <w:rPr>
          <w:rFonts w:eastAsiaTheme="minorHAnsi" w:cstheme="minorBidi"/>
          <w:szCs w:val="24"/>
          <w:lang w:eastAsia="en-US"/>
        </w:rPr>
        <w:t xml:space="preserve">, Rothstein, Cromwell, </w:t>
      </w:r>
      <w:proofErr w:type="spellStart"/>
      <w:r w:rsidRPr="0083488A">
        <w:rPr>
          <w:rFonts w:eastAsiaTheme="minorHAnsi" w:cstheme="minorBidi"/>
          <w:szCs w:val="24"/>
          <w:lang w:eastAsia="en-US"/>
        </w:rPr>
        <w:t>Moldaver</w:t>
      </w:r>
      <w:proofErr w:type="spellEnd"/>
      <w:r w:rsidRPr="0083488A">
        <w:rPr>
          <w:rFonts w:eastAsiaTheme="minorHAnsi" w:cstheme="minorBidi"/>
          <w:szCs w:val="24"/>
          <w:lang w:eastAsia="en-US"/>
        </w:rPr>
        <w:t xml:space="preserve"> and </w:t>
      </w:r>
      <w:proofErr w:type="spellStart"/>
      <w:r w:rsidRPr="0083488A">
        <w:rPr>
          <w:rFonts w:eastAsiaTheme="minorHAnsi" w:cstheme="minorBidi"/>
          <w:szCs w:val="24"/>
          <w:lang w:eastAsia="en-US"/>
        </w:rPr>
        <w:t>Karakatsanis</w:t>
      </w:r>
      <w:proofErr w:type="spellEnd"/>
      <w:r w:rsidRPr="0083488A">
        <w:rPr>
          <w:rFonts w:eastAsiaTheme="minorHAnsi" w:cstheme="minorBidi"/>
          <w:szCs w:val="24"/>
          <w:lang w:eastAsia="en-US"/>
        </w:rPr>
        <w:t> JJ.</w:t>
      </w:r>
    </w:p>
    <w:p w:rsidR="00A46D26" w:rsidRPr="0083488A" w:rsidRDefault="00A46D26" w:rsidP="00A46D26">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A46D26" w:rsidRPr="0083488A" w:rsidTr="002F6440">
        <w:trPr>
          <w:cantSplit/>
        </w:trPr>
        <w:tc>
          <w:tcPr>
            <w:tcW w:w="3618" w:type="dxa"/>
          </w:tcPr>
          <w:p w:rsidR="00A46D26" w:rsidRPr="0083488A" w:rsidRDefault="00A46D26" w:rsidP="002F6440">
            <w:pPr>
              <w:rPr>
                <w:b/>
                <w:smallCaps/>
              </w:rPr>
            </w:pPr>
            <w:r w:rsidRPr="0083488A">
              <w:rPr>
                <w:b/>
                <w:smallCaps/>
              </w:rPr>
              <w:t>Reasons for Judgment:</w:t>
            </w:r>
          </w:p>
          <w:p w:rsidR="00A46D26" w:rsidRPr="0083488A" w:rsidRDefault="00A46D26" w:rsidP="002F6440">
            <w:r w:rsidRPr="0083488A">
              <w:t>(</w:t>
            </w:r>
            <w:proofErr w:type="spellStart"/>
            <w:r w:rsidRPr="0083488A">
              <w:t>paras</w:t>
            </w:r>
            <w:proofErr w:type="spellEnd"/>
            <w:r w:rsidRPr="0083488A">
              <w:t>. 1 to 77)</w:t>
            </w:r>
          </w:p>
        </w:tc>
        <w:tc>
          <w:tcPr>
            <w:tcW w:w="5958" w:type="dxa"/>
          </w:tcPr>
          <w:p w:rsidR="00A46D26" w:rsidRPr="0083488A" w:rsidRDefault="00A46D26" w:rsidP="002F6440">
            <w:r w:rsidRPr="0083488A">
              <w:t>Rothstein J. (</w:t>
            </w:r>
            <w:proofErr w:type="spellStart"/>
            <w:r w:rsidRPr="0083488A">
              <w:t>McLachlin</w:t>
            </w:r>
            <w:proofErr w:type="spellEnd"/>
            <w:r w:rsidRPr="0083488A">
              <w:t xml:space="preserve"> C.J. and </w:t>
            </w:r>
            <w:proofErr w:type="spellStart"/>
            <w:r w:rsidRPr="0083488A">
              <w:t>Deschamps</w:t>
            </w:r>
            <w:proofErr w:type="spellEnd"/>
            <w:r w:rsidRPr="0083488A">
              <w:t xml:space="preserve">, </w:t>
            </w:r>
            <w:proofErr w:type="spellStart"/>
            <w:r w:rsidRPr="0083488A">
              <w:t>Abella</w:t>
            </w:r>
            <w:proofErr w:type="spellEnd"/>
            <w:r w:rsidRPr="0083488A">
              <w:t xml:space="preserve">, Cromwell, </w:t>
            </w:r>
            <w:proofErr w:type="spellStart"/>
            <w:r w:rsidRPr="0083488A">
              <w:t>Moldaver</w:t>
            </w:r>
            <w:proofErr w:type="spellEnd"/>
            <w:r w:rsidRPr="0083488A">
              <w:t xml:space="preserve"> and </w:t>
            </w:r>
            <w:proofErr w:type="spellStart"/>
            <w:r w:rsidRPr="0083488A">
              <w:t>Karakatsanis</w:t>
            </w:r>
            <w:proofErr w:type="spellEnd"/>
            <w:r w:rsidRPr="0083488A">
              <w:t xml:space="preserve"> JJ. concurring)</w:t>
            </w:r>
          </w:p>
        </w:tc>
      </w:tr>
    </w:tbl>
    <w:p w:rsidR="00A46D26" w:rsidRPr="0083488A" w:rsidRDefault="00A46D26" w:rsidP="00A46D26">
      <w:pPr>
        <w:rPr>
          <w:rFonts w:eastAsiaTheme="minorHAnsi" w:cstheme="minorBidi"/>
          <w:szCs w:val="24"/>
          <w:lang w:eastAsia="en-US"/>
        </w:rPr>
      </w:pPr>
    </w:p>
    <w:p w:rsidR="00A46D26" w:rsidRPr="0083488A" w:rsidRDefault="00A46D26" w:rsidP="00A46D26">
      <w:pPr>
        <w:rPr>
          <w:rFonts w:eastAsiaTheme="minorHAnsi" w:cstheme="minorBidi"/>
          <w:szCs w:val="24"/>
          <w:lang w:eastAsia="en-US"/>
        </w:rPr>
      </w:pPr>
    </w:p>
    <w:p w:rsidR="00A46D26" w:rsidRPr="0083488A" w:rsidRDefault="00A46D26" w:rsidP="00A46D26">
      <w:pPr>
        <w:rPr>
          <w:rFonts w:eastAsiaTheme="minorHAnsi" w:cstheme="minorBidi"/>
          <w:szCs w:val="24"/>
          <w:lang w:eastAsia="en-US"/>
        </w:rPr>
      </w:pPr>
      <w:r w:rsidRPr="008A11FC">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A46D26" w:rsidRPr="00475E16" w:rsidRDefault="00A46D26" w:rsidP="00A46D26">
      <w:pPr>
        <w:rPr>
          <w:smallCaps/>
        </w:rPr>
      </w:pPr>
      <w:r w:rsidRPr="00475E16">
        <w:rPr>
          <w:smallCaps/>
        </w:rPr>
        <w:br w:type="page"/>
      </w:r>
    </w:p>
    <w:p w:rsidR="008322BD" w:rsidRPr="00727056" w:rsidRDefault="00727056" w:rsidP="0062728D">
      <w:pPr>
        <w:spacing w:after="720" w:line="360" w:lineRule="auto"/>
        <w:jc w:val="both"/>
      </w:pPr>
      <w:r>
        <w:lastRenderedPageBreak/>
        <w:t>C</w:t>
      </w:r>
      <w:r w:rsidR="00AB1DAF" w:rsidRPr="00727056">
        <w:t>anada</w:t>
      </w:r>
      <w:r w:rsidR="00480C90" w:rsidRPr="00727056">
        <w:t xml:space="preserve"> </w:t>
      </w:r>
      <w:r w:rsidR="009B57B3" w:rsidRPr="00727056">
        <w:rPr>
          <w:i/>
        </w:rPr>
        <w:t>v.</w:t>
      </w:r>
      <w:r w:rsidR="00B000D8" w:rsidRPr="00727056">
        <w:t xml:space="preserve"> </w:t>
      </w:r>
      <w:r>
        <w:t>G</w:t>
      </w:r>
      <w:r w:rsidR="008F78E9" w:rsidRPr="00727056">
        <w:t>laxo</w:t>
      </w:r>
      <w:r w:rsidR="000E7B68">
        <w:t>S</w:t>
      </w:r>
      <w:r w:rsidR="008F78E9" w:rsidRPr="00727056">
        <w:t>mith</w:t>
      </w:r>
      <w:r w:rsidR="000E7B68">
        <w:t>K</w:t>
      </w:r>
      <w:r w:rsidR="008F78E9" w:rsidRPr="00727056">
        <w:t xml:space="preserve">line </w:t>
      </w:r>
      <w:r w:rsidR="000E7B68">
        <w:t>I</w:t>
      </w:r>
      <w:r w:rsidR="008F78E9" w:rsidRPr="00727056">
        <w:t>nc.</w:t>
      </w:r>
      <w:r>
        <w:t>, 2012 SCC 52, [2012] 3 S.C.R. 3</w:t>
      </w:r>
    </w:p>
    <w:p w:rsidR="00980E3D" w:rsidRDefault="00AB1DAF" w:rsidP="0062728D">
      <w:pPr>
        <w:pStyle w:val="SCCLsocLastPartyInRole"/>
        <w:spacing w:line="360" w:lineRule="auto"/>
      </w:pPr>
      <w:r>
        <w:t>Her Majesty T</w:t>
      </w:r>
      <w:r w:rsidR="002C51C3">
        <w:t>he Queen</w:t>
      </w:r>
      <w:r w:rsidR="002C51C3">
        <w:rPr>
          <w:rStyle w:val="SCCLsocPartyRole"/>
        </w:rPr>
        <w:tab/>
        <w:t>Appellant/Respondent on cross</w:t>
      </w:r>
      <w:r w:rsidR="0062728D">
        <w:rPr>
          <w:rStyle w:val="SCCLsocPartyRole"/>
        </w:rPr>
        <w:noBreakHyphen/>
      </w:r>
      <w:r w:rsidR="002C51C3">
        <w:rPr>
          <w:rStyle w:val="SCCLsocPartyRole"/>
        </w:rPr>
        <w:t>appeal</w:t>
      </w:r>
    </w:p>
    <w:p w:rsidR="00980E3D" w:rsidRDefault="002C51C3" w:rsidP="0062728D">
      <w:pPr>
        <w:pStyle w:val="SCCLsocVersus"/>
        <w:spacing w:line="360" w:lineRule="auto"/>
      </w:pPr>
      <w:r>
        <w:t>v.</w:t>
      </w:r>
    </w:p>
    <w:p w:rsidR="00980E3D" w:rsidRDefault="002C51C3" w:rsidP="0062728D">
      <w:pPr>
        <w:pStyle w:val="SCCLsocLastPartyInRole"/>
        <w:spacing w:line="360" w:lineRule="auto"/>
      </w:pPr>
      <w:r>
        <w:t>GlaxoSmithKline Inc.</w:t>
      </w:r>
      <w:r>
        <w:rPr>
          <w:rStyle w:val="SCCLsocPartyRole"/>
        </w:rPr>
        <w:tab/>
        <w:t>Respondent/Appellant on cross</w:t>
      </w:r>
      <w:r w:rsidR="0062728D">
        <w:rPr>
          <w:rStyle w:val="SCCLsocPartyRole"/>
        </w:rPr>
        <w:noBreakHyphen/>
      </w:r>
      <w:r>
        <w:rPr>
          <w:rStyle w:val="SCCLsocPartyRole"/>
        </w:rPr>
        <w:t>appeal</w:t>
      </w:r>
    </w:p>
    <w:p w:rsidR="00426659" w:rsidRPr="00426659" w:rsidRDefault="00426659" w:rsidP="0062728D">
      <w:pPr>
        <w:spacing w:after="720" w:line="360" w:lineRule="auto"/>
        <w:jc w:val="both"/>
        <w:rPr>
          <w:b/>
        </w:rPr>
      </w:pPr>
      <w:r w:rsidRPr="00426659">
        <w:rPr>
          <w:b/>
        </w:rPr>
        <w:t>Indexed as:</w:t>
      </w:r>
      <w:r>
        <w:rPr>
          <w:b/>
        </w:rPr>
        <w:t xml:space="preserve"> </w:t>
      </w:r>
      <w:r w:rsidRPr="00426659">
        <w:rPr>
          <w:b/>
        </w:rPr>
        <w:t xml:space="preserve"> </w:t>
      </w:r>
      <w:r w:rsidR="00AB1DAF">
        <w:rPr>
          <w:b/>
        </w:rPr>
        <w:t>Canada</w:t>
      </w:r>
      <w:r w:rsidRPr="00426659">
        <w:rPr>
          <w:b/>
        </w:rPr>
        <w:t xml:space="preserve"> </w:t>
      </w:r>
      <w:r w:rsidRPr="00426659">
        <w:rPr>
          <w:b/>
          <w:i/>
        </w:rPr>
        <w:t>v.</w:t>
      </w:r>
      <w:r w:rsidRPr="00426659">
        <w:rPr>
          <w:b/>
        </w:rPr>
        <w:t xml:space="preserve"> </w:t>
      </w:r>
      <w:r w:rsidRPr="002D2A70">
        <w:rPr>
          <w:b/>
        </w:rPr>
        <w:t>GlaxoSmithKline Inc.</w:t>
      </w:r>
    </w:p>
    <w:p w:rsidR="00426659" w:rsidRPr="00C02092" w:rsidRDefault="004F36FF" w:rsidP="0062728D">
      <w:pPr>
        <w:pStyle w:val="SCCSystemYear"/>
        <w:spacing w:after="720" w:line="360" w:lineRule="auto"/>
        <w:jc w:val="both"/>
      </w:pPr>
      <w:r>
        <w:t>2012</w:t>
      </w:r>
      <w:r w:rsidR="003D0399">
        <w:t xml:space="preserve"> </w:t>
      </w:r>
      <w:r w:rsidR="00D22A6A">
        <w:t>SCC </w:t>
      </w:r>
      <w:r w:rsidR="00D22A6A" w:rsidRPr="000C1998">
        <w:t>5</w:t>
      </w:r>
      <w:r w:rsidR="002F4DBA" w:rsidRPr="000C1998">
        <w:t>2</w:t>
      </w:r>
    </w:p>
    <w:p w:rsidR="008322BD" w:rsidRDefault="009B57B3" w:rsidP="0062728D">
      <w:pPr>
        <w:spacing w:after="720" w:line="360" w:lineRule="auto"/>
        <w:jc w:val="both"/>
      </w:pPr>
      <w:r w:rsidRPr="001426A9">
        <w:t xml:space="preserve">File No.:  </w:t>
      </w:r>
      <w:r>
        <w:t>33874</w:t>
      </w:r>
      <w:r w:rsidRPr="001426A9">
        <w:t>.</w:t>
      </w:r>
    </w:p>
    <w:p w:rsidR="008322BD" w:rsidRDefault="0062728D" w:rsidP="0062728D">
      <w:pPr>
        <w:spacing w:after="720" w:line="360" w:lineRule="auto"/>
        <w:jc w:val="both"/>
      </w:pPr>
      <w:r>
        <w:t>2012:  January </w:t>
      </w:r>
      <w:r w:rsidR="004F36FF">
        <w:t>13</w:t>
      </w:r>
      <w:r w:rsidR="009B57B3" w:rsidRPr="001426A9">
        <w:t xml:space="preserve">; </w:t>
      </w:r>
      <w:r w:rsidR="00CE07C0">
        <w:t>2012:  </w:t>
      </w:r>
      <w:r w:rsidR="002304CC">
        <w:t>October 18</w:t>
      </w:r>
      <w:r w:rsidR="009B57B3" w:rsidRPr="001426A9">
        <w:t>.</w:t>
      </w:r>
    </w:p>
    <w:p w:rsidR="008322BD" w:rsidRDefault="009B57B3" w:rsidP="0062728D">
      <w:pPr>
        <w:spacing w:after="720"/>
        <w:jc w:val="both"/>
      </w:pPr>
      <w:r w:rsidRPr="001426A9">
        <w:t xml:space="preserve">Present:  </w:t>
      </w:r>
      <w:proofErr w:type="spellStart"/>
      <w:r>
        <w:t>McLachlin</w:t>
      </w:r>
      <w:proofErr w:type="spellEnd"/>
      <w:r>
        <w:t xml:space="preserve"> C.J. and </w:t>
      </w:r>
      <w:proofErr w:type="spellStart"/>
      <w:r>
        <w:t>Deschamps</w:t>
      </w:r>
      <w:proofErr w:type="spellEnd"/>
      <w:r>
        <w:t xml:space="preserve">, </w:t>
      </w:r>
      <w:proofErr w:type="spellStart"/>
      <w:r>
        <w:t>Abella</w:t>
      </w:r>
      <w:proofErr w:type="spellEnd"/>
      <w:r>
        <w:t xml:space="preserve">, Rothstein, Cromwell, </w:t>
      </w:r>
      <w:proofErr w:type="spellStart"/>
      <w:r>
        <w:t>Moldaver</w:t>
      </w:r>
      <w:proofErr w:type="spellEnd"/>
      <w:r>
        <w:t xml:space="preserve"> and </w:t>
      </w:r>
      <w:proofErr w:type="spellStart"/>
      <w:r>
        <w:t>Karakatsanis</w:t>
      </w:r>
      <w:proofErr w:type="spellEnd"/>
      <w:r>
        <w:t> JJ.</w:t>
      </w:r>
    </w:p>
    <w:p w:rsidR="008322BD" w:rsidRDefault="00656313" w:rsidP="0062728D">
      <w:pPr>
        <w:pStyle w:val="SCCLowerCourtNameLowercase"/>
        <w:spacing w:after="720" w:line="36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federal court of appeal</w:t>
      </w:r>
    </w:p>
    <w:p w:rsidR="002304CC" w:rsidRPr="005D5EA8" w:rsidRDefault="00CE07C0" w:rsidP="004D5D6C">
      <w:pPr>
        <w:pStyle w:val="SCCNormalDoubleSpacing"/>
        <w:spacing w:after="480"/>
        <w:rPr>
          <w:i/>
        </w:rPr>
      </w:pPr>
      <w:r>
        <w:rPr>
          <w:i/>
        </w:rPr>
        <w:tab/>
      </w:r>
      <w:r w:rsidR="002304CC" w:rsidRPr="005D5EA8">
        <w:rPr>
          <w:i/>
        </w:rPr>
        <w:t>Taxation ― Income Tax ― Transfer Pric</w:t>
      </w:r>
      <w:r w:rsidR="002304CC">
        <w:rPr>
          <w:i/>
        </w:rPr>
        <w:t>ing</w:t>
      </w:r>
      <w:r w:rsidR="00B6226D">
        <w:rPr>
          <w:i/>
        </w:rPr>
        <w:t xml:space="preserve"> ―</w:t>
      </w:r>
      <w:r w:rsidR="002304CC">
        <w:rPr>
          <w:i/>
        </w:rPr>
        <w:t xml:space="preserve"> Taxpayer manufacturing and marketing patented and trademarked drug pursuant to Licence Agreement </w:t>
      </w:r>
      <w:r w:rsidR="002304CC" w:rsidRPr="005D5EA8">
        <w:rPr>
          <w:i/>
        </w:rPr>
        <w:t xml:space="preserve">― </w:t>
      </w:r>
      <w:r w:rsidR="002304CC">
        <w:rPr>
          <w:i/>
        </w:rPr>
        <w:lastRenderedPageBreak/>
        <w:t>Taxpayer purchasing active pharmaceutical ingredient pursuant to separate Supply Agreement with</w:t>
      </w:r>
      <w:r w:rsidR="00E23B3C">
        <w:rPr>
          <w:i/>
        </w:rPr>
        <w:t xml:space="preserve"> </w:t>
      </w:r>
      <w:r w:rsidR="002304CC">
        <w:rPr>
          <w:i/>
        </w:rPr>
        <w:t xml:space="preserve">related non-resident company </w:t>
      </w:r>
      <w:r w:rsidR="002304CC" w:rsidRPr="005D5EA8">
        <w:rPr>
          <w:i/>
        </w:rPr>
        <w:t xml:space="preserve">― Minister of National Revenue reassessing taxpayer by increasing its income on basis that taxpayer had overpaid non-arm’s length supplier for purchase of drug ingredient ― </w:t>
      </w:r>
      <w:r w:rsidR="002304CC">
        <w:rPr>
          <w:i/>
        </w:rPr>
        <w:t xml:space="preserve">Minister not considering effect of Licence Agreement on reasonableness of price paid for ingredient under Supply Agreement </w:t>
      </w:r>
      <w:r w:rsidR="002304CC" w:rsidRPr="005D5EA8">
        <w:rPr>
          <w:i/>
        </w:rPr>
        <w:t xml:space="preserve">― What </w:t>
      </w:r>
      <w:r w:rsidR="00393417">
        <w:rPr>
          <w:i/>
        </w:rPr>
        <w:t>circumstances are to be taken into</w:t>
      </w:r>
      <w:r w:rsidR="002304CC" w:rsidRPr="005D5EA8">
        <w:rPr>
          <w:i/>
        </w:rPr>
        <w:t xml:space="preserve"> account in determining reasonable arm’s length price against which to compare non-arm’s length transfer price</w:t>
      </w:r>
      <w:r w:rsidR="00604524">
        <w:rPr>
          <w:i/>
        </w:rPr>
        <w:t>?</w:t>
      </w:r>
      <w:r w:rsidR="002304CC" w:rsidRPr="005D5EA8">
        <w:rPr>
          <w:i/>
        </w:rPr>
        <w:t xml:space="preserve"> </w:t>
      </w:r>
      <w:r w:rsidR="00E23B3C" w:rsidRPr="005D5EA8">
        <w:rPr>
          <w:i/>
        </w:rPr>
        <w:t xml:space="preserve">― </w:t>
      </w:r>
      <w:r w:rsidR="002304CC" w:rsidRPr="005D5EA8">
        <w:rPr>
          <w:i/>
        </w:rPr>
        <w:t>Whether</w:t>
      </w:r>
      <w:r w:rsidR="002304CC">
        <w:rPr>
          <w:i/>
        </w:rPr>
        <w:t xml:space="preserve"> Licence Agreement is a circumstance to be taken into account </w:t>
      </w:r>
      <w:r w:rsidR="002304CC" w:rsidRPr="005D5EA8">
        <w:rPr>
          <w:i/>
        </w:rPr>
        <w:t xml:space="preserve">― Whether Federal Court of Appeal erred in remitting matter to Tax Court for rehearing and reconsideration ― Income Tax Act, </w:t>
      </w:r>
      <w:r w:rsidR="005B6776">
        <w:rPr>
          <w:i/>
        </w:rPr>
        <w:t xml:space="preserve">R.S.C. </w:t>
      </w:r>
      <w:r w:rsidR="002304CC" w:rsidRPr="005D5EA8">
        <w:rPr>
          <w:i/>
        </w:rPr>
        <w:t>1985</w:t>
      </w:r>
      <w:r w:rsidR="005B6776">
        <w:rPr>
          <w:i/>
        </w:rPr>
        <w:t>,</w:t>
      </w:r>
      <w:r w:rsidR="002304CC" w:rsidRPr="005D5EA8">
        <w:rPr>
          <w:i/>
        </w:rPr>
        <w:t xml:space="preserve"> </w:t>
      </w:r>
      <w:r w:rsidR="004D5D6C">
        <w:rPr>
          <w:i/>
        </w:rPr>
        <w:t>c. </w:t>
      </w:r>
      <w:r w:rsidR="005B6776" w:rsidRPr="005D5EA8">
        <w:rPr>
          <w:i/>
        </w:rPr>
        <w:t xml:space="preserve">1 </w:t>
      </w:r>
      <w:r w:rsidR="004D5D6C">
        <w:rPr>
          <w:i/>
        </w:rPr>
        <w:t>(5th Supp.), s. </w:t>
      </w:r>
      <w:r w:rsidR="002304CC" w:rsidRPr="005D5EA8">
        <w:rPr>
          <w:i/>
        </w:rPr>
        <w:t>69(2).</w:t>
      </w:r>
    </w:p>
    <w:p w:rsidR="002304CC" w:rsidRDefault="00CE07C0" w:rsidP="004D5D6C">
      <w:pPr>
        <w:pStyle w:val="SCCNormalDoubleSpacing"/>
        <w:spacing w:after="480"/>
      </w:pPr>
      <w:r>
        <w:tab/>
      </w:r>
      <w:r w:rsidR="002304CC" w:rsidRPr="00D06E46">
        <w:t xml:space="preserve">Between 1990 and 1993, the </w:t>
      </w:r>
      <w:r w:rsidR="002304CC">
        <w:t>r</w:t>
      </w:r>
      <w:r w:rsidR="002304CC" w:rsidRPr="00D06E46">
        <w:t>espondent, GlaxoSmithKline Inc.</w:t>
      </w:r>
      <w:r w:rsidR="002304CC" w:rsidRPr="00B6226D">
        <w:t xml:space="preserve"> </w:t>
      </w:r>
      <w:r w:rsidR="002304CC" w:rsidRPr="001E2D47">
        <w:t>(“</w:t>
      </w:r>
      <w:proofErr w:type="spellStart"/>
      <w:r w:rsidR="002304CC" w:rsidRPr="001E2D47">
        <w:t>G</w:t>
      </w:r>
      <w:r w:rsidR="002304CC">
        <w:t>laxo</w:t>
      </w:r>
      <w:proofErr w:type="spellEnd"/>
      <w:r w:rsidR="002304CC">
        <w:t xml:space="preserve"> Canada”)</w:t>
      </w:r>
      <w:r w:rsidR="002304CC" w:rsidRPr="00D06E46">
        <w:t>, purchased ranitidine, the active pharmaceutical ingredient in the brand name anti-ulcer drug Zanta</w:t>
      </w:r>
      <w:r w:rsidR="004D5D6C">
        <w:t xml:space="preserve">c, from </w:t>
      </w:r>
      <w:proofErr w:type="spellStart"/>
      <w:r w:rsidR="004D5D6C">
        <w:t>Adechsa</w:t>
      </w:r>
      <w:proofErr w:type="spellEnd"/>
      <w:r w:rsidR="004D5D6C">
        <w:t> </w:t>
      </w:r>
      <w:r w:rsidR="002304CC">
        <w:t xml:space="preserve">S.A., </w:t>
      </w:r>
      <w:r w:rsidR="002304CC" w:rsidRPr="00D06E46">
        <w:t>a related non-resident company, for between $1</w:t>
      </w:r>
      <w:r w:rsidR="000C1998">
        <w:t>,</w:t>
      </w:r>
      <w:r w:rsidR="002304CC" w:rsidRPr="00D06E46">
        <w:t>512 and $1</w:t>
      </w:r>
      <w:r w:rsidR="000C1998">
        <w:t>,</w:t>
      </w:r>
      <w:r w:rsidR="002304CC" w:rsidRPr="00D06E46">
        <w:t xml:space="preserve">651 per kilogram.  During the same period, two Canadian generic pharmaceutical companies, </w:t>
      </w:r>
      <w:proofErr w:type="spellStart"/>
      <w:r w:rsidR="002304CC" w:rsidRPr="00D06E46">
        <w:t>Apotex</w:t>
      </w:r>
      <w:proofErr w:type="spellEnd"/>
      <w:r w:rsidR="002304CC" w:rsidRPr="00D06E46">
        <w:t xml:space="preserve"> Inc. and </w:t>
      </w:r>
      <w:proofErr w:type="spellStart"/>
      <w:r w:rsidR="002304CC" w:rsidRPr="00D06E46">
        <w:t>Novopharm</w:t>
      </w:r>
      <w:proofErr w:type="spellEnd"/>
      <w:r w:rsidR="002304CC" w:rsidRPr="00D06E46">
        <w:t xml:space="preserve"> Ltd.</w:t>
      </w:r>
      <w:r w:rsidR="00604524">
        <w:t>,</w:t>
      </w:r>
      <w:r w:rsidR="002304CC" w:rsidRPr="00D06E46">
        <w:t xml:space="preserve"> purchased ranitidine from other sources for use in their generic anti-ulcer drugs for between $194 and $304 per kilogram</w:t>
      </w:r>
      <w:r w:rsidR="00E23B3C">
        <w:t xml:space="preserve"> </w:t>
      </w:r>
      <w:r w:rsidR="002304CC">
        <w:t>from arm’s length suppliers</w:t>
      </w:r>
      <w:r w:rsidR="002304CC" w:rsidRPr="00D06E46">
        <w:t>.</w:t>
      </w:r>
      <w:r w:rsidR="002304CC">
        <w:t xml:space="preserve"> </w:t>
      </w:r>
    </w:p>
    <w:p w:rsidR="002304CC" w:rsidRPr="00D06E46" w:rsidRDefault="00CE07C0" w:rsidP="004D5D6C">
      <w:pPr>
        <w:pStyle w:val="SCCNormalDoubleSpacing"/>
        <w:spacing w:after="480"/>
      </w:pPr>
      <w:r>
        <w:tab/>
      </w:r>
      <w:r w:rsidR="002304CC">
        <w:t>A</w:t>
      </w:r>
      <w:r w:rsidR="00E23B3C">
        <w:t xml:space="preserve"> </w:t>
      </w:r>
      <w:r w:rsidR="002304CC">
        <w:t xml:space="preserve">Licence Agreement </w:t>
      </w:r>
      <w:r w:rsidR="002304CC" w:rsidRPr="00D06E46">
        <w:t xml:space="preserve">conferred rights and benefits on </w:t>
      </w:r>
      <w:proofErr w:type="spellStart"/>
      <w:r w:rsidR="002304CC" w:rsidRPr="00D06E46">
        <w:t>Glaxo</w:t>
      </w:r>
      <w:proofErr w:type="spellEnd"/>
      <w:r w:rsidR="002304CC" w:rsidRPr="00D06E46">
        <w:t xml:space="preserve"> Canada</w:t>
      </w:r>
      <w:r w:rsidR="00E23B3C">
        <w:t xml:space="preserve"> </w:t>
      </w:r>
      <w:r w:rsidR="002304CC">
        <w:t>and</w:t>
      </w:r>
      <w:r w:rsidR="00E23B3C">
        <w:t xml:space="preserve"> </w:t>
      </w:r>
      <w:r w:rsidR="002304CC">
        <w:t>a</w:t>
      </w:r>
      <w:r w:rsidR="00E23B3C">
        <w:t xml:space="preserve"> </w:t>
      </w:r>
      <w:r w:rsidR="002304CC" w:rsidRPr="00D06E46">
        <w:t xml:space="preserve">Supply </w:t>
      </w:r>
      <w:r w:rsidR="002304CC">
        <w:t>Agreement</w:t>
      </w:r>
      <w:r w:rsidR="00E23B3C">
        <w:t xml:space="preserve"> </w:t>
      </w:r>
      <w:r w:rsidR="002304CC" w:rsidRPr="00D06E46">
        <w:t xml:space="preserve">set the transfer prices of </w:t>
      </w:r>
      <w:r w:rsidR="002304CC">
        <w:t>ranitidine.</w:t>
      </w:r>
      <w:r w:rsidR="00E23B3C">
        <w:t xml:space="preserve">  T</w:t>
      </w:r>
      <w:r w:rsidR="002304CC" w:rsidRPr="00D06E46">
        <w:t xml:space="preserve">he combined effect of the Licence and Supply agreements enabled </w:t>
      </w:r>
      <w:proofErr w:type="spellStart"/>
      <w:r w:rsidR="002304CC" w:rsidRPr="00D06E46">
        <w:t>Glaxo</w:t>
      </w:r>
      <w:proofErr w:type="spellEnd"/>
      <w:r w:rsidR="002304CC" w:rsidRPr="00D06E46">
        <w:t xml:space="preserve"> Canada, among other things, to </w:t>
      </w:r>
      <w:r w:rsidR="002304CC" w:rsidRPr="00D06E46">
        <w:lastRenderedPageBreak/>
        <w:t xml:space="preserve">purchase </w:t>
      </w:r>
      <w:r w:rsidR="002304CC">
        <w:t>r</w:t>
      </w:r>
      <w:r w:rsidR="002304CC" w:rsidRPr="00D06E46">
        <w:t>anitidine, put it in a delivery mechanism, and market it under the trademark Zantac.</w:t>
      </w:r>
    </w:p>
    <w:p w:rsidR="002304CC" w:rsidRPr="00D06E46" w:rsidRDefault="00CE07C0" w:rsidP="004D5D6C">
      <w:pPr>
        <w:pStyle w:val="SCCNormalDoubleSpacing"/>
        <w:spacing w:after="480"/>
      </w:pPr>
      <w:r>
        <w:tab/>
      </w:r>
      <w:r w:rsidR="002304CC" w:rsidRPr="00D06E46">
        <w:t xml:space="preserve">The </w:t>
      </w:r>
      <w:r w:rsidR="002304CC">
        <w:t>app</w:t>
      </w:r>
      <w:r w:rsidR="00FD5ED9">
        <w:t>ellant</w:t>
      </w:r>
      <w:r w:rsidR="002304CC">
        <w:t>,</w:t>
      </w:r>
      <w:r w:rsidR="00E23B3C">
        <w:t xml:space="preserve"> </w:t>
      </w:r>
      <w:r w:rsidR="00604524">
        <w:t xml:space="preserve">the </w:t>
      </w:r>
      <w:r w:rsidR="002304CC" w:rsidRPr="00D06E46">
        <w:t>Minister of National Revenue</w:t>
      </w:r>
      <w:r w:rsidR="00604524">
        <w:t>,</w:t>
      </w:r>
      <w:r w:rsidR="002304CC" w:rsidRPr="00D06E46">
        <w:t xml:space="preserve"> reassessed </w:t>
      </w:r>
      <w:proofErr w:type="spellStart"/>
      <w:r w:rsidR="002304CC" w:rsidRPr="00D06E46">
        <w:t>Glaxo</w:t>
      </w:r>
      <w:proofErr w:type="spellEnd"/>
      <w:r w:rsidR="002304CC" w:rsidRPr="00D06E46">
        <w:t xml:space="preserve"> Canada</w:t>
      </w:r>
      <w:r w:rsidR="002304CC">
        <w:t xml:space="preserve"> </w:t>
      </w:r>
      <w:r w:rsidR="002304CC" w:rsidRPr="00D06E46">
        <w:t>for the taxation years 1990, 1991, 1992, and 1993</w:t>
      </w:r>
      <w:r w:rsidR="00604524">
        <w:t>,</w:t>
      </w:r>
      <w:r w:rsidR="002304CC" w:rsidRPr="00D06E46">
        <w:t xml:space="preserve"> pur</w:t>
      </w:r>
      <w:r w:rsidR="004D5D6C">
        <w:t>suant to the then applicable s. </w:t>
      </w:r>
      <w:r w:rsidR="002304CC" w:rsidRPr="00D06E46">
        <w:t xml:space="preserve">69(2) of </w:t>
      </w:r>
      <w:r w:rsidR="002304CC">
        <w:t xml:space="preserve">the </w:t>
      </w:r>
      <w:r w:rsidR="002304CC" w:rsidRPr="00D06E46">
        <w:t xml:space="preserve">Act </w:t>
      </w:r>
      <w:r w:rsidR="002304CC">
        <w:t>(now s.</w:t>
      </w:r>
      <w:r w:rsidR="004D5D6C">
        <w:t> </w:t>
      </w:r>
      <w:r w:rsidR="002304CC">
        <w:t xml:space="preserve">247(2)) </w:t>
      </w:r>
      <w:r w:rsidR="002304CC" w:rsidRPr="00D06E46">
        <w:t>on the basis that the prices</w:t>
      </w:r>
      <w:r w:rsidR="00E23B3C">
        <w:t xml:space="preserve"> </w:t>
      </w:r>
      <w:r w:rsidR="002304CC">
        <w:t>it</w:t>
      </w:r>
      <w:r w:rsidR="00E23B3C">
        <w:t xml:space="preserve"> </w:t>
      </w:r>
      <w:r w:rsidR="002304CC" w:rsidRPr="00D06E46">
        <w:t>paid</w:t>
      </w:r>
      <w:r w:rsidR="00E23B3C">
        <w:t xml:space="preserve"> </w:t>
      </w:r>
      <w:r w:rsidR="00604524">
        <w:t>for ranitidine</w:t>
      </w:r>
      <w:r w:rsidR="002304CC" w:rsidRPr="00D06E46">
        <w:t xml:space="preserve"> were greater than an amount that would have been reasonable in the circumstances had they been dealing at arm’s length.</w:t>
      </w:r>
      <w:r w:rsidR="00E23B3C">
        <w:t xml:space="preserve">  </w:t>
      </w:r>
      <w:proofErr w:type="spellStart"/>
      <w:r w:rsidR="002304CC" w:rsidRPr="00D06E46">
        <w:t>Glaxo</w:t>
      </w:r>
      <w:proofErr w:type="spellEnd"/>
      <w:r w:rsidR="002304CC" w:rsidRPr="00D06E46">
        <w:t xml:space="preserve"> Canada appealed to the Tax Court of Canada,</w:t>
      </w:r>
      <w:r w:rsidR="002304CC">
        <w:t xml:space="preserve"> where, </w:t>
      </w:r>
      <w:r w:rsidR="002304CC" w:rsidRPr="00D06E46">
        <w:t>with one minor revision, the reassessment</w:t>
      </w:r>
      <w:r w:rsidR="002304CC">
        <w:t xml:space="preserve"> was upheld</w:t>
      </w:r>
      <w:r w:rsidR="00E23B3C">
        <w:t xml:space="preserve"> </w:t>
      </w:r>
      <w:r w:rsidR="002304CC">
        <w:t>on the basis that</w:t>
      </w:r>
      <w:r w:rsidR="00E23B3C">
        <w:t xml:space="preserve"> </w:t>
      </w:r>
      <w:r w:rsidR="002304CC">
        <w:t>the Licence and Supply agreements</w:t>
      </w:r>
      <w:r w:rsidR="00E23B3C">
        <w:t xml:space="preserve"> </w:t>
      </w:r>
      <w:r w:rsidR="002304CC">
        <w:t>were</w:t>
      </w:r>
      <w:r w:rsidR="00E23B3C">
        <w:t xml:space="preserve"> </w:t>
      </w:r>
      <w:r w:rsidR="002304CC">
        <w:t>to be considered independently.</w:t>
      </w:r>
      <w:r w:rsidR="00E23B3C">
        <w:t xml:space="preserve">  </w:t>
      </w:r>
      <w:r w:rsidR="002304CC">
        <w:t>T</w:t>
      </w:r>
      <w:r w:rsidR="002304CC" w:rsidRPr="00D06E46">
        <w:t>he Federal Court of Appeal allowed the appeal</w:t>
      </w:r>
      <w:r w:rsidR="00E23B3C">
        <w:t xml:space="preserve"> </w:t>
      </w:r>
      <w:r w:rsidR="002304CC">
        <w:t>and</w:t>
      </w:r>
      <w:r w:rsidR="00E23B3C">
        <w:t xml:space="preserve"> </w:t>
      </w:r>
      <w:r w:rsidR="002304CC" w:rsidRPr="00D06E46">
        <w:t>remitted</w:t>
      </w:r>
      <w:r w:rsidR="00E23B3C">
        <w:t xml:space="preserve"> </w:t>
      </w:r>
      <w:r w:rsidR="002304CC">
        <w:t>the matter back</w:t>
      </w:r>
      <w:r w:rsidR="00E23B3C">
        <w:t xml:space="preserve"> </w:t>
      </w:r>
      <w:r w:rsidR="002304CC" w:rsidRPr="00D06E46">
        <w:t>to the Tax Court</w:t>
      </w:r>
      <w:r w:rsidR="00E23B3C">
        <w:t xml:space="preserve"> </w:t>
      </w:r>
      <w:r w:rsidR="002304CC">
        <w:t xml:space="preserve">for redetermination of the “reasonable amount” payable for </w:t>
      </w:r>
      <w:proofErr w:type="spellStart"/>
      <w:r w:rsidR="002304CC">
        <w:t>Glaxo</w:t>
      </w:r>
      <w:proofErr w:type="spellEnd"/>
      <w:r w:rsidR="002304CC">
        <w:t xml:space="preserve"> Can</w:t>
      </w:r>
      <w:r w:rsidR="00980CBE">
        <w:t>ada’s ranitidine transactions.</w:t>
      </w:r>
    </w:p>
    <w:p w:rsidR="002304CC" w:rsidRPr="002304CC" w:rsidRDefault="00CE07C0" w:rsidP="004D5D6C">
      <w:pPr>
        <w:pStyle w:val="SCCNormalDoubleSpacing"/>
        <w:spacing w:after="480"/>
        <w:rPr>
          <w:szCs w:val="24"/>
        </w:rPr>
      </w:pPr>
      <w:r>
        <w:rPr>
          <w:i/>
          <w:szCs w:val="24"/>
        </w:rPr>
        <w:tab/>
      </w:r>
      <w:r w:rsidR="002304CC" w:rsidRPr="002304CC">
        <w:rPr>
          <w:i/>
          <w:szCs w:val="24"/>
        </w:rPr>
        <w:t>Held</w:t>
      </w:r>
      <w:r w:rsidR="002304CC" w:rsidRPr="002304CC">
        <w:rPr>
          <w:szCs w:val="24"/>
        </w:rPr>
        <w:t xml:space="preserve">: </w:t>
      </w:r>
      <w:r w:rsidR="00980CBE">
        <w:rPr>
          <w:szCs w:val="24"/>
        </w:rPr>
        <w:t xml:space="preserve"> </w:t>
      </w:r>
      <w:r w:rsidR="002304CC" w:rsidRPr="002304CC">
        <w:rPr>
          <w:szCs w:val="24"/>
        </w:rPr>
        <w:t>The appeal and cross-appeal should be dismissed.</w:t>
      </w:r>
    </w:p>
    <w:p w:rsidR="002304CC" w:rsidRDefault="00CE07C0" w:rsidP="004D5D6C">
      <w:pPr>
        <w:pStyle w:val="SCCNormalDoubleSpacing"/>
        <w:spacing w:after="480"/>
      </w:pPr>
      <w:r>
        <w:tab/>
      </w:r>
      <w:r w:rsidR="004D5D6C">
        <w:t>Section </w:t>
      </w:r>
      <w:r w:rsidR="002304CC" w:rsidRPr="00D06E46">
        <w:t xml:space="preserve">69(2) requires the </w:t>
      </w:r>
      <w:r w:rsidR="002304CC">
        <w:t>c</w:t>
      </w:r>
      <w:r w:rsidR="002304CC" w:rsidRPr="00D06E46">
        <w:t>ourt to determine whether the transfer price was greater than the amount that would have been reasonable in the circumstances, had the parties been dealing at arm’s length.</w:t>
      </w:r>
      <w:r w:rsidR="002304CC">
        <w:t xml:space="preserve">  If transactions other than the purchasing transaction are relevant in determining this question, they must not be ignored.</w:t>
      </w:r>
      <w:r w:rsidR="00E23B3C">
        <w:t xml:space="preserve">  </w:t>
      </w:r>
      <w:r w:rsidR="004D5D6C">
        <w:t>Section </w:t>
      </w:r>
      <w:r w:rsidR="002304CC" w:rsidRPr="00D06E46">
        <w:t xml:space="preserve">69(2) does not, itself, offer guidance as to how to determine the “reasonable amount” that would have been payable had the parties been dealing at arm’s length.  </w:t>
      </w:r>
      <w:r w:rsidR="00393417">
        <w:t>T</w:t>
      </w:r>
      <w:r w:rsidR="00E540CC" w:rsidRPr="00D06E46">
        <w:t>he</w:t>
      </w:r>
      <w:r w:rsidR="00E540CC">
        <w:t xml:space="preserve"> OECD’s 1979 </w:t>
      </w:r>
      <w:r w:rsidR="00E540CC">
        <w:rPr>
          <w:i/>
        </w:rPr>
        <w:t xml:space="preserve">Guidelines </w:t>
      </w:r>
      <w:r w:rsidR="00E540CC">
        <w:t xml:space="preserve">and the OECD’s 1995 </w:t>
      </w:r>
      <w:r w:rsidR="00E540CC" w:rsidRPr="00D06E46">
        <w:rPr>
          <w:i/>
        </w:rPr>
        <w:t>Guidelines</w:t>
      </w:r>
      <w:r w:rsidR="00E540CC" w:rsidRPr="00D06E46">
        <w:t xml:space="preserve"> </w:t>
      </w:r>
      <w:r w:rsidR="00393417">
        <w:t xml:space="preserve">are not controlling as if they were a Canadian statute.  However, they </w:t>
      </w:r>
      <w:r w:rsidR="002304CC" w:rsidRPr="00D06E46">
        <w:t xml:space="preserve">suggest a number of methods for </w:t>
      </w:r>
      <w:r w:rsidR="002304CC" w:rsidRPr="00D06E46">
        <w:lastRenderedPageBreak/>
        <w:t xml:space="preserve">determining whether transfer prices are consistent with prices determined between parties dealing at arm’s length.  </w:t>
      </w:r>
    </w:p>
    <w:p w:rsidR="002304CC" w:rsidRDefault="00CE07C0" w:rsidP="004D5D6C">
      <w:pPr>
        <w:pStyle w:val="SCCNormalDoubleSpacing"/>
        <w:spacing w:after="480"/>
      </w:pPr>
      <w:r>
        <w:tab/>
      </w:r>
      <w:r w:rsidR="002304CC">
        <w:t>A</w:t>
      </w:r>
      <w:r w:rsidR="00E23B3C">
        <w:t xml:space="preserve"> </w:t>
      </w:r>
      <w:r w:rsidR="002304CC" w:rsidRPr="00D06E46">
        <w:t>proper application of the arm’s length principle requires that regard be had for the “economically relevant characteristics” of the arm’s length and non-arm’s length circumstances to ensure they are “sufficiently compara</w:t>
      </w:r>
      <w:r w:rsidR="00604524">
        <w:t>ble</w:t>
      </w:r>
      <w:r w:rsidR="002304CC" w:rsidRPr="00D06E46">
        <w:t>”</w:t>
      </w:r>
      <w:r w:rsidR="00604524">
        <w:t>.</w:t>
      </w:r>
      <w:r w:rsidR="002304CC" w:rsidRPr="00D06E46">
        <w:t xml:space="preserve">  Where there are no related transactions or where related transactions are not relevant to the determination of the reasonableness of the price in issue, a transaction-by-transaction approach may be appropriate.  However, “economically relevant characteristics of the situations being compared” may make it necessary to consider other transactions that impact the transfer price under consideration.  In each case</w:t>
      </w:r>
      <w:r w:rsidR="00604524">
        <w:t>,</w:t>
      </w:r>
      <w:r w:rsidR="002304CC" w:rsidRPr="00D06E46">
        <w:t xml:space="preserve"> it is necessary to address this question by considering the relevant circ</w:t>
      </w:r>
      <w:r w:rsidR="002304CC">
        <w:t>umstances</w:t>
      </w:r>
      <w:r w:rsidR="00E23B3C">
        <w:t xml:space="preserve"> </w:t>
      </w:r>
      <w:r w:rsidR="002304CC">
        <w:t>and</w:t>
      </w:r>
      <w:r w:rsidR="00604524">
        <w:t>,</w:t>
      </w:r>
      <w:r w:rsidR="00E23B3C">
        <w:t xml:space="preserve"> </w:t>
      </w:r>
      <w:r w:rsidR="002304CC">
        <w:t xml:space="preserve">if required, transactions other than the purchasing transactions must be taken into account.  </w:t>
      </w:r>
    </w:p>
    <w:p w:rsidR="002304CC" w:rsidRPr="00D06E46" w:rsidRDefault="00CE07C0" w:rsidP="004D5D6C">
      <w:pPr>
        <w:pStyle w:val="SCCNormalDoubleSpacing"/>
        <w:spacing w:after="480"/>
      </w:pPr>
      <w:r>
        <w:tab/>
      </w:r>
      <w:r w:rsidR="002304CC" w:rsidRPr="00D06E46">
        <w:t>Such circumstances will include agreements that may confer rights and benefits in addition to the purchase of property where those agreements are linked to the purchasing agreement.</w:t>
      </w:r>
      <w:r w:rsidR="004D5D6C">
        <w:t xml:space="preserve"> </w:t>
      </w:r>
      <w:r w:rsidR="002304CC" w:rsidRPr="00D06E46">
        <w:t xml:space="preserve"> The objective is to determine what an arm’s length purchaser would pay for the property and the rights and benefits together where the rights and benefits are linked to the price paid for the property.</w:t>
      </w:r>
      <w:r w:rsidR="00E23B3C">
        <w:t xml:space="preserve">  </w:t>
      </w:r>
      <w:r w:rsidR="002304CC">
        <w:rPr>
          <w:szCs w:val="24"/>
        </w:rPr>
        <w:t>However,</w:t>
      </w:r>
      <w:r w:rsidR="00E23B3C">
        <w:rPr>
          <w:szCs w:val="24"/>
        </w:rPr>
        <w:t xml:space="preserve"> </w:t>
      </w:r>
      <w:r w:rsidR="002304CC">
        <w:rPr>
          <w:szCs w:val="24"/>
        </w:rPr>
        <w:t xml:space="preserve">transfer pricing is not an exact science and </w:t>
      </w:r>
      <w:r w:rsidR="002304CC" w:rsidRPr="00D06E46">
        <w:rPr>
          <w:szCs w:val="24"/>
        </w:rPr>
        <w:t>it is highly unlikely that any comparisons will yield identical circumstances and the</w:t>
      </w:r>
      <w:r w:rsidR="00E23B3C">
        <w:rPr>
          <w:szCs w:val="24"/>
        </w:rPr>
        <w:t xml:space="preserve"> </w:t>
      </w:r>
      <w:r w:rsidR="002304CC">
        <w:rPr>
          <w:szCs w:val="24"/>
        </w:rPr>
        <w:t>court</w:t>
      </w:r>
      <w:r w:rsidR="00E23B3C">
        <w:rPr>
          <w:szCs w:val="24"/>
        </w:rPr>
        <w:t xml:space="preserve"> </w:t>
      </w:r>
      <w:r w:rsidR="002304CC" w:rsidRPr="00D06E46">
        <w:rPr>
          <w:szCs w:val="24"/>
        </w:rPr>
        <w:t>will be required to exercise</w:t>
      </w:r>
      <w:r w:rsidR="00E23B3C">
        <w:rPr>
          <w:szCs w:val="24"/>
        </w:rPr>
        <w:t xml:space="preserve"> </w:t>
      </w:r>
      <w:r w:rsidR="002304CC">
        <w:rPr>
          <w:szCs w:val="24"/>
        </w:rPr>
        <w:t>its</w:t>
      </w:r>
      <w:r w:rsidR="00E23B3C">
        <w:rPr>
          <w:szCs w:val="24"/>
        </w:rPr>
        <w:t xml:space="preserve"> </w:t>
      </w:r>
      <w:r w:rsidR="002304CC" w:rsidRPr="00D06E46">
        <w:rPr>
          <w:szCs w:val="24"/>
        </w:rPr>
        <w:t>best informed judgment in establishing a satisfactory arm’s length price.</w:t>
      </w:r>
    </w:p>
    <w:p w:rsidR="002304CC" w:rsidRPr="00D06E46" w:rsidRDefault="00CE07C0" w:rsidP="004D5D6C">
      <w:pPr>
        <w:pStyle w:val="SCCNormalDoubleSpacing"/>
        <w:spacing w:after="480"/>
      </w:pPr>
      <w:r>
        <w:lastRenderedPageBreak/>
        <w:tab/>
      </w:r>
      <w:r w:rsidR="002304CC">
        <w:t>In this case,</w:t>
      </w:r>
      <w:r w:rsidR="00E23B3C">
        <w:t xml:space="preserve"> </w:t>
      </w:r>
      <w:proofErr w:type="spellStart"/>
      <w:r w:rsidR="002304CC" w:rsidRPr="00D06E46">
        <w:t>Glaxo</w:t>
      </w:r>
      <w:proofErr w:type="spellEnd"/>
      <w:r w:rsidR="002304CC" w:rsidRPr="00D06E46">
        <w:t xml:space="preserve"> Canada was paying for at least some of the rights and benefits under the Licence Agreement as part of the purchase prices for ranitidine from </w:t>
      </w:r>
      <w:proofErr w:type="spellStart"/>
      <w:r w:rsidR="002304CC" w:rsidRPr="00D06E46">
        <w:t>Adechsa</w:t>
      </w:r>
      <w:proofErr w:type="spellEnd"/>
      <w:r w:rsidR="002304CC" w:rsidRPr="00D06E46">
        <w:t xml:space="preserve">.  </w:t>
      </w:r>
      <w:r w:rsidR="002304CC">
        <w:t xml:space="preserve">As such, </w:t>
      </w:r>
      <w:r w:rsidR="002304CC" w:rsidRPr="00D06E46">
        <w:t xml:space="preserve">the Licence Agreement could not be ignored in determining the reasonable amount paid to </w:t>
      </w:r>
      <w:proofErr w:type="spellStart"/>
      <w:r w:rsidR="002304CC" w:rsidRPr="00D06E46">
        <w:t>Adechsa</w:t>
      </w:r>
      <w:proofErr w:type="spellEnd"/>
      <w:r w:rsidR="002304CC" w:rsidRPr="00D06E46">
        <w:t xml:space="preserve"> under s.</w:t>
      </w:r>
      <w:r w:rsidR="004D5D6C">
        <w:t> </w:t>
      </w:r>
      <w:r w:rsidR="002304CC" w:rsidRPr="00D06E46">
        <w:t>69(2), which applies not only to payment for goods but also to payment for services.</w:t>
      </w:r>
      <w:r w:rsidR="00E23B3C">
        <w:t xml:space="preserve">  </w:t>
      </w:r>
      <w:r w:rsidR="002304CC" w:rsidRPr="00D06E46">
        <w:t>Considering the Licence and Supply Agreement</w:t>
      </w:r>
      <w:r w:rsidR="002304CC">
        <w:t>s</w:t>
      </w:r>
      <w:r w:rsidR="002304CC" w:rsidRPr="00D06E46">
        <w:t xml:space="preserve"> together offers a realistic picture of the profits of </w:t>
      </w:r>
      <w:proofErr w:type="spellStart"/>
      <w:r w:rsidR="002304CC" w:rsidRPr="00D06E46">
        <w:t>Glaxo</w:t>
      </w:r>
      <w:proofErr w:type="spellEnd"/>
      <w:r w:rsidR="002304CC" w:rsidRPr="00D06E46">
        <w:t xml:space="preserve"> Canada.</w:t>
      </w:r>
      <w:r w:rsidR="00E23B3C">
        <w:t xml:space="preserve">  </w:t>
      </w:r>
      <w:r w:rsidR="002304CC" w:rsidRPr="00D06E46">
        <w:t xml:space="preserve">The prices paid by </w:t>
      </w:r>
      <w:proofErr w:type="spellStart"/>
      <w:r w:rsidR="002304CC" w:rsidRPr="00D06E46">
        <w:t>Glaxo</w:t>
      </w:r>
      <w:proofErr w:type="spellEnd"/>
      <w:r w:rsidR="002304CC" w:rsidRPr="00D06E46">
        <w:t xml:space="preserve"> Canada to </w:t>
      </w:r>
      <w:proofErr w:type="spellStart"/>
      <w:r w:rsidR="002304CC" w:rsidRPr="00D06E46">
        <w:t>Adechsa</w:t>
      </w:r>
      <w:proofErr w:type="spellEnd"/>
      <w:r w:rsidR="002304CC" w:rsidRPr="00D06E46">
        <w:t xml:space="preserve"> were a payment for a bundle of at least some rights and benefits under the Licence Agreement and product under the Supply Agreement.</w:t>
      </w:r>
      <w:r w:rsidR="00E23B3C">
        <w:t xml:space="preserve">  </w:t>
      </w:r>
      <w:r w:rsidR="002304CC">
        <w:t>T</w:t>
      </w:r>
      <w:r w:rsidR="002304CC" w:rsidRPr="00D06E46">
        <w:t>he generic comparators</w:t>
      </w:r>
      <w:r w:rsidR="00E23B3C">
        <w:t xml:space="preserve"> </w:t>
      </w:r>
      <w:r w:rsidR="002304CC">
        <w:t>used by the Tax Court</w:t>
      </w:r>
      <w:r w:rsidR="00E23B3C">
        <w:t xml:space="preserve"> </w:t>
      </w:r>
      <w:r w:rsidR="002304CC" w:rsidRPr="00D06E46">
        <w:t xml:space="preserve">do not reflect the economic and business reality of </w:t>
      </w:r>
      <w:proofErr w:type="spellStart"/>
      <w:r w:rsidR="002304CC" w:rsidRPr="00D06E46">
        <w:t>Glaxo</w:t>
      </w:r>
      <w:proofErr w:type="spellEnd"/>
      <w:r w:rsidR="002304CC" w:rsidRPr="00D06E46">
        <w:t xml:space="preserve"> Canada and, at least without adjustment, do not indicate the price that would be reasonable in the circumstances, had </w:t>
      </w:r>
      <w:proofErr w:type="spellStart"/>
      <w:r w:rsidR="002304CC" w:rsidRPr="00D06E46">
        <w:t>Glaxo</w:t>
      </w:r>
      <w:proofErr w:type="spellEnd"/>
      <w:r w:rsidR="002304CC" w:rsidRPr="00D06E46">
        <w:t xml:space="preserve"> Canada and </w:t>
      </w:r>
      <w:proofErr w:type="spellStart"/>
      <w:r w:rsidR="002304CC" w:rsidRPr="00D06E46">
        <w:t>Adechsa</w:t>
      </w:r>
      <w:proofErr w:type="spellEnd"/>
      <w:r w:rsidR="002304CC" w:rsidRPr="00D06E46">
        <w:t xml:space="preserve"> been dealing at arm’s length.</w:t>
      </w:r>
      <w:r w:rsidR="00E23B3C">
        <w:t xml:space="preserve">  </w:t>
      </w:r>
      <w:r w:rsidR="002304CC" w:rsidRPr="00D06E46">
        <w:rPr>
          <w:szCs w:val="24"/>
        </w:rPr>
        <w:t>It is only after identifying the circumstances arising from the Licence Agreement that are linked to the Supply Agreement that arm’s length comparisons under any of the OECD methods or other methods may be determined.</w:t>
      </w:r>
    </w:p>
    <w:p w:rsidR="002304CC" w:rsidRPr="000E3A8F" w:rsidRDefault="00CE07C0" w:rsidP="004D5D6C">
      <w:pPr>
        <w:pStyle w:val="SCCNormalDoubleSpacing"/>
        <w:spacing w:after="480"/>
      </w:pPr>
      <w:r>
        <w:rPr>
          <w:szCs w:val="24"/>
        </w:rPr>
        <w:tab/>
      </w:r>
      <w:r w:rsidR="002304CC" w:rsidRPr="000E3A8F">
        <w:rPr>
          <w:szCs w:val="24"/>
        </w:rPr>
        <w:t>T</w:t>
      </w:r>
      <w:r w:rsidR="002304CC" w:rsidRPr="00D06E46">
        <w:t xml:space="preserve">he assumption that the prices paid by </w:t>
      </w:r>
      <w:proofErr w:type="spellStart"/>
      <w:r w:rsidR="002304CC" w:rsidRPr="00D06E46">
        <w:t>Glaxo</w:t>
      </w:r>
      <w:proofErr w:type="spellEnd"/>
      <w:r w:rsidR="002304CC" w:rsidRPr="00D06E46">
        <w:t xml:space="preserve"> Canada for ranitidine were greater than the amount that would have been reasonable in the circumstances had </w:t>
      </w:r>
      <w:proofErr w:type="spellStart"/>
      <w:r w:rsidR="002304CC" w:rsidRPr="00D06E46">
        <w:t>Glaxo</w:t>
      </w:r>
      <w:proofErr w:type="spellEnd"/>
      <w:r w:rsidR="002304CC" w:rsidRPr="00D06E46">
        <w:t xml:space="preserve"> Canada and </w:t>
      </w:r>
      <w:proofErr w:type="spellStart"/>
      <w:r w:rsidR="002304CC" w:rsidRPr="00D06E46">
        <w:t>Adechsa</w:t>
      </w:r>
      <w:proofErr w:type="spellEnd"/>
      <w:r w:rsidR="002304CC" w:rsidRPr="00D06E46">
        <w:t xml:space="preserve"> been dealing at arm’s length has not been demolished.</w:t>
      </w:r>
      <w:r w:rsidR="00E23B3C">
        <w:t xml:space="preserve">  </w:t>
      </w:r>
      <w:r w:rsidR="002304CC" w:rsidRPr="000E3A8F">
        <w:rPr>
          <w:szCs w:val="24"/>
        </w:rPr>
        <w:t xml:space="preserve">As </w:t>
      </w:r>
      <w:r w:rsidR="002304CC">
        <w:rPr>
          <w:szCs w:val="24"/>
        </w:rPr>
        <w:t xml:space="preserve">found </w:t>
      </w:r>
      <w:r w:rsidR="002304CC" w:rsidRPr="000E3A8F">
        <w:rPr>
          <w:szCs w:val="24"/>
        </w:rPr>
        <w:t>by the</w:t>
      </w:r>
      <w:r w:rsidR="00E23B3C">
        <w:rPr>
          <w:szCs w:val="24"/>
        </w:rPr>
        <w:t xml:space="preserve"> </w:t>
      </w:r>
      <w:r w:rsidR="002304CC" w:rsidRPr="00D06E46">
        <w:t>Federal Court of Appeal, the matter</w:t>
      </w:r>
      <w:r w:rsidR="00E23B3C">
        <w:t xml:space="preserve"> </w:t>
      </w:r>
      <w:r w:rsidR="002304CC">
        <w:t>should be remitted</w:t>
      </w:r>
      <w:r w:rsidR="00E23B3C">
        <w:t xml:space="preserve"> </w:t>
      </w:r>
      <w:r w:rsidR="002304CC" w:rsidRPr="00D06E46">
        <w:t xml:space="preserve">to the Tax Court to be </w:t>
      </w:r>
      <w:proofErr w:type="spellStart"/>
      <w:r w:rsidR="002304CC" w:rsidRPr="00D06E46">
        <w:t>redetermined</w:t>
      </w:r>
      <w:proofErr w:type="spellEnd"/>
      <w:r w:rsidR="002304CC" w:rsidRPr="00D06E46">
        <w:t xml:space="preserve">, having regard to the effect of the Licence Agreement on the prices paid by </w:t>
      </w:r>
      <w:proofErr w:type="spellStart"/>
      <w:r w:rsidR="002304CC" w:rsidRPr="00D06E46">
        <w:t>Glaxo</w:t>
      </w:r>
      <w:proofErr w:type="spellEnd"/>
      <w:r w:rsidR="002304CC" w:rsidRPr="00D06E46">
        <w:t xml:space="preserve"> Canada for the supply of ranitidine from </w:t>
      </w:r>
      <w:proofErr w:type="spellStart"/>
      <w:r w:rsidR="002304CC" w:rsidRPr="00D06E46">
        <w:t>Adechsa</w:t>
      </w:r>
      <w:proofErr w:type="spellEnd"/>
      <w:r w:rsidR="002304CC" w:rsidRPr="00D06E46">
        <w:t>.</w:t>
      </w:r>
      <w:r w:rsidR="00E23B3C">
        <w:t xml:space="preserve">  </w:t>
      </w:r>
      <w:r w:rsidR="002304CC">
        <w:t>W</w:t>
      </w:r>
      <w:r w:rsidR="002304CC" w:rsidRPr="00D06E46">
        <w:rPr>
          <w:szCs w:val="24"/>
        </w:rPr>
        <w:t xml:space="preserve">hether or </w:t>
      </w:r>
      <w:r w:rsidR="002304CC" w:rsidRPr="00D06E46">
        <w:rPr>
          <w:szCs w:val="24"/>
        </w:rPr>
        <w:lastRenderedPageBreak/>
        <w:t>not compensation for intellectual property rights is ju</w:t>
      </w:r>
      <w:r w:rsidR="00604524">
        <w:rPr>
          <w:szCs w:val="24"/>
        </w:rPr>
        <w:t>stified in this particular case</w:t>
      </w:r>
      <w:r w:rsidR="002304CC" w:rsidRPr="00D06E46">
        <w:rPr>
          <w:szCs w:val="24"/>
        </w:rPr>
        <w:t xml:space="preserve"> is a matter for determination by the Tax Court</w:t>
      </w:r>
      <w:r w:rsidR="002304CC">
        <w:rPr>
          <w:szCs w:val="24"/>
        </w:rPr>
        <w:t>.</w:t>
      </w:r>
    </w:p>
    <w:p w:rsidR="007E1C47" w:rsidRDefault="002E6705" w:rsidP="004D5D6C">
      <w:pPr>
        <w:pStyle w:val="SCCNormalDoubleSpacing"/>
        <w:keepNext/>
        <w:spacing w:after="480"/>
        <w:rPr>
          <w:b/>
        </w:rPr>
      </w:pPr>
      <w:r w:rsidRPr="00314E01">
        <w:rPr>
          <w:b/>
        </w:rPr>
        <w:t>Cases Cited</w:t>
      </w:r>
    </w:p>
    <w:p w:rsidR="004E2C26" w:rsidRPr="007E1C47" w:rsidRDefault="002E6705" w:rsidP="0062728D">
      <w:pPr>
        <w:pStyle w:val="SCCNormalDoubleSpacing"/>
        <w:spacing w:after="480"/>
      </w:pPr>
      <w:r>
        <w:tab/>
      </w:r>
      <w:r w:rsidR="007C293A" w:rsidRPr="005944B8">
        <w:rPr>
          <w:b/>
        </w:rPr>
        <w:t>Distinguished:</w:t>
      </w:r>
      <w:r w:rsidR="007C293A" w:rsidRPr="005944B8">
        <w:t xml:space="preserve"> </w:t>
      </w:r>
      <w:r w:rsidR="005944B8" w:rsidRPr="005944B8">
        <w:t xml:space="preserve"> </w:t>
      </w:r>
      <w:r w:rsidR="007C293A" w:rsidRPr="005944B8">
        <w:rPr>
          <w:i/>
        </w:rPr>
        <w:t>Singleton v. Canada</w:t>
      </w:r>
      <w:r w:rsidR="007C293A" w:rsidRPr="005944B8">
        <w:t xml:space="preserve">, 2001 SCC 61, [2001] 2 S.C.R. 1046; </w:t>
      </w:r>
      <w:r w:rsidR="007C293A" w:rsidRPr="005944B8">
        <w:rPr>
          <w:i/>
        </w:rPr>
        <w:t>Shell Canada Ltd. v. Canada</w:t>
      </w:r>
      <w:r w:rsidR="007C293A" w:rsidRPr="005944B8">
        <w:t>, [1999] 3 S.C.R. 622;</w:t>
      </w:r>
      <w:r w:rsidR="007C293A">
        <w:t xml:space="preserve"> </w:t>
      </w:r>
      <w:r w:rsidR="007C293A" w:rsidRPr="007C293A">
        <w:rPr>
          <w:b/>
        </w:rPr>
        <w:t>r</w:t>
      </w:r>
      <w:r w:rsidRPr="007C293A">
        <w:rPr>
          <w:b/>
        </w:rPr>
        <w:t>ef</w:t>
      </w:r>
      <w:r w:rsidRPr="00314E01">
        <w:rPr>
          <w:b/>
        </w:rPr>
        <w:t>erred to:</w:t>
      </w:r>
      <w:r w:rsidR="00BD0E9E" w:rsidRPr="00BD0E9E">
        <w:t xml:space="preserve"> </w:t>
      </w:r>
      <w:r w:rsidR="00AB1DAF">
        <w:t xml:space="preserve"> </w:t>
      </w:r>
      <w:proofErr w:type="spellStart"/>
      <w:r w:rsidR="009D6145" w:rsidRPr="009D6145">
        <w:rPr>
          <w:i/>
        </w:rPr>
        <w:t>Gabco</w:t>
      </w:r>
      <w:proofErr w:type="spellEnd"/>
      <w:r w:rsidR="009D6145" w:rsidRPr="009D6145">
        <w:rPr>
          <w:i/>
        </w:rPr>
        <w:t xml:space="preserve"> L</w:t>
      </w:r>
      <w:r w:rsidR="00604524">
        <w:rPr>
          <w:i/>
        </w:rPr>
        <w:t>t</w:t>
      </w:r>
      <w:r w:rsidR="009D6145" w:rsidRPr="009D6145">
        <w:rPr>
          <w:i/>
        </w:rPr>
        <w:t>d</w:t>
      </w:r>
      <w:r w:rsidR="00604524">
        <w:rPr>
          <w:i/>
        </w:rPr>
        <w:t>.</w:t>
      </w:r>
      <w:r w:rsidR="009D6145" w:rsidRPr="009D6145">
        <w:rPr>
          <w:i/>
        </w:rPr>
        <w:t xml:space="preserve"> v. Minister of National Revenue</w:t>
      </w:r>
      <w:r w:rsidR="009D6145">
        <w:t xml:space="preserve"> (1968), 68 D.T.C. 5210; </w:t>
      </w:r>
      <w:r w:rsidR="00F93292" w:rsidRPr="00F93292">
        <w:rPr>
          <w:i/>
        </w:rPr>
        <w:t>Hickman Motors Ltd. v. Canada</w:t>
      </w:r>
      <w:r w:rsidR="00F93292" w:rsidRPr="00F93292">
        <w:t>, [1997] 2 S.C.R. 336</w:t>
      </w:r>
      <w:r w:rsidR="00F93292">
        <w:t>.</w:t>
      </w:r>
    </w:p>
    <w:p w:rsidR="003B215F" w:rsidRDefault="002E6705" w:rsidP="0062728D">
      <w:pPr>
        <w:pStyle w:val="SCCNormalDoubleSpacing"/>
        <w:keepNext/>
        <w:spacing w:after="720" w:line="240" w:lineRule="auto"/>
      </w:pPr>
      <w:r w:rsidRPr="00314E01">
        <w:rPr>
          <w:b/>
        </w:rPr>
        <w:t>Statutes and Regulations Cite</w:t>
      </w:r>
      <w:r w:rsidR="00A41805">
        <w:rPr>
          <w:b/>
        </w:rPr>
        <w:t>d</w:t>
      </w:r>
    </w:p>
    <w:p w:rsidR="00F30DD3" w:rsidRDefault="00F30DD3" w:rsidP="0062728D">
      <w:pPr>
        <w:pStyle w:val="SCCNormalDoubleSpacing"/>
        <w:spacing w:after="240" w:line="240" w:lineRule="auto"/>
        <w:ind w:left="547" w:hanging="547"/>
      </w:pPr>
      <w:r w:rsidRPr="00F30DD3">
        <w:rPr>
          <w:i/>
        </w:rPr>
        <w:t>Act to amend the Income Tax Act and to make certain provisions and alterations in the statute law related to or consequential upon the amendments to that Act</w:t>
      </w:r>
      <w:r>
        <w:t>, S.C. 1970</w:t>
      </w:r>
      <w:r w:rsidR="0062728D">
        <w:noBreakHyphen/>
      </w:r>
      <w:r>
        <w:t>71</w:t>
      </w:r>
      <w:r w:rsidR="0062728D">
        <w:noBreakHyphen/>
        <w:t>72, c. 63, s. </w:t>
      </w:r>
      <w:r>
        <w:t>1.</w:t>
      </w:r>
    </w:p>
    <w:p w:rsidR="00F30DD3" w:rsidRDefault="00F30DD3" w:rsidP="0062728D">
      <w:pPr>
        <w:pStyle w:val="SCCNormalDoubleSpacing"/>
        <w:spacing w:after="240" w:line="240" w:lineRule="auto"/>
        <w:ind w:left="547" w:hanging="547"/>
      </w:pPr>
      <w:r w:rsidRPr="00F30DD3">
        <w:rPr>
          <w:i/>
        </w:rPr>
        <w:t>Act to amend the Income War Tax Act</w:t>
      </w:r>
      <w:r w:rsidR="0062728D">
        <w:t>, S.C. 1939, c. 46, s. </w:t>
      </w:r>
      <w:r>
        <w:t>13.</w:t>
      </w:r>
    </w:p>
    <w:p w:rsidR="00F30DD3" w:rsidRDefault="00F30DD3" w:rsidP="0062728D">
      <w:pPr>
        <w:pStyle w:val="SCCNormalDoubleSpacing"/>
        <w:spacing w:after="240" w:line="240" w:lineRule="auto"/>
        <w:ind w:left="547" w:hanging="547"/>
      </w:pPr>
      <w:r w:rsidRPr="00F30DD3">
        <w:rPr>
          <w:i/>
        </w:rPr>
        <w:t>Income Tax Act</w:t>
      </w:r>
      <w:r w:rsidR="004D5D6C">
        <w:t>, R.S.C. 1952, c. </w:t>
      </w:r>
      <w:r>
        <w:t xml:space="preserve">148, </w:t>
      </w:r>
      <w:r w:rsidR="0062728D">
        <w:t>ss. </w:t>
      </w:r>
      <w:r>
        <w:t>17(3) [re</w:t>
      </w:r>
      <w:r w:rsidR="0062728D">
        <w:t>p. </w:t>
      </w:r>
      <w:r>
        <w:t>1970</w:t>
      </w:r>
      <w:r w:rsidR="0062728D">
        <w:noBreakHyphen/>
      </w:r>
      <w:r>
        <w:t>71</w:t>
      </w:r>
      <w:r w:rsidR="0062728D">
        <w:noBreakHyphen/>
      </w:r>
      <w:r>
        <w:t>72, c.</w:t>
      </w:r>
      <w:r w:rsidR="0062728D">
        <w:t> 63, s. </w:t>
      </w:r>
      <w:r>
        <w:t xml:space="preserve">1], 69(2) [ad. </w:t>
      </w:r>
      <w:r w:rsidRPr="00F30DD3">
        <w:rPr>
          <w:i/>
        </w:rPr>
        <w:t>idem</w:t>
      </w:r>
      <w:r>
        <w:t>].</w:t>
      </w:r>
    </w:p>
    <w:p w:rsidR="00A149DF" w:rsidRDefault="00F93292" w:rsidP="0062728D">
      <w:pPr>
        <w:pStyle w:val="SCCNormalDoubleSpacing"/>
        <w:spacing w:after="240" w:line="240" w:lineRule="auto"/>
        <w:ind w:left="547" w:hanging="547"/>
      </w:pPr>
      <w:r w:rsidRPr="00F93292">
        <w:rPr>
          <w:i/>
        </w:rPr>
        <w:t>Income Tax Act</w:t>
      </w:r>
      <w:r>
        <w:t xml:space="preserve">, </w:t>
      </w:r>
      <w:r w:rsidR="004D5D6C">
        <w:t>R.S.C. 1985, c. </w:t>
      </w:r>
      <w:r>
        <w:t>1</w:t>
      </w:r>
      <w:r w:rsidR="00C01924">
        <w:t xml:space="preserve"> (5th Supp.)</w:t>
      </w:r>
      <w:r>
        <w:t xml:space="preserve">, </w:t>
      </w:r>
      <w:r w:rsidR="0062728D">
        <w:t>ss. </w:t>
      </w:r>
      <w:r w:rsidR="00F30DD3">
        <w:t>20(1</w:t>
      </w:r>
      <w:proofErr w:type="gramStart"/>
      <w:r w:rsidR="00F30DD3">
        <w:t>)(</w:t>
      </w:r>
      <w:proofErr w:type="gramEnd"/>
      <w:r w:rsidR="00F30DD3" w:rsidRPr="00F30DD3">
        <w:rPr>
          <w:i/>
        </w:rPr>
        <w:t>c</w:t>
      </w:r>
      <w:r w:rsidR="00F30DD3">
        <w:t>)(</w:t>
      </w:r>
      <w:proofErr w:type="spellStart"/>
      <w:r w:rsidR="00F30DD3">
        <w:t>i</w:t>
      </w:r>
      <w:proofErr w:type="spellEnd"/>
      <w:r w:rsidR="00F30DD3">
        <w:t xml:space="preserve">), </w:t>
      </w:r>
      <w:r>
        <w:t>69(2)</w:t>
      </w:r>
      <w:r w:rsidR="00F30DD3">
        <w:t xml:space="preserve"> [re</w:t>
      </w:r>
      <w:r w:rsidR="0062728D">
        <w:t>p. 1998, c. 19, s. </w:t>
      </w:r>
      <w:r w:rsidR="00F30DD3">
        <w:t>107], 212(1)(</w:t>
      </w:r>
      <w:r w:rsidR="00F30DD3" w:rsidRPr="00F30DD3">
        <w:rPr>
          <w:i/>
        </w:rPr>
        <w:t>d</w:t>
      </w:r>
      <w:r w:rsidR="00F30DD3">
        <w:t xml:space="preserve">), 215(1), 247(2) [ad. </w:t>
      </w:r>
      <w:r w:rsidR="000453FC" w:rsidRPr="000453FC">
        <w:rPr>
          <w:i/>
        </w:rPr>
        <w:t>idem</w:t>
      </w:r>
      <w:r w:rsidR="00F30DD3">
        <w:t>, s.</w:t>
      </w:r>
      <w:r w:rsidR="0062728D">
        <w:t> </w:t>
      </w:r>
      <w:r w:rsidR="00F30DD3">
        <w:t>238]</w:t>
      </w:r>
      <w:r>
        <w:t>.</w:t>
      </w:r>
    </w:p>
    <w:p w:rsidR="00F30DD3" w:rsidRDefault="00F30DD3" w:rsidP="0062728D">
      <w:pPr>
        <w:pStyle w:val="SCCNormalDoubleSpacing"/>
        <w:spacing w:after="240" w:line="240" w:lineRule="auto"/>
        <w:ind w:left="547" w:hanging="547"/>
      </w:pPr>
      <w:r w:rsidRPr="00F30DD3">
        <w:rPr>
          <w:i/>
        </w:rPr>
        <w:t>Income Tax Act</w:t>
      </w:r>
      <w:r w:rsidR="0062728D">
        <w:t>, S.C. 1948, c. 52, s. </w:t>
      </w:r>
      <w:r>
        <w:t>17(3).</w:t>
      </w:r>
    </w:p>
    <w:p w:rsidR="009271C0" w:rsidRDefault="009271C0" w:rsidP="0062728D">
      <w:pPr>
        <w:pStyle w:val="SCCNormalDoubleSpacing"/>
        <w:spacing w:after="240" w:line="240" w:lineRule="auto"/>
        <w:ind w:left="547" w:hanging="547"/>
      </w:pPr>
      <w:r w:rsidRPr="009271C0">
        <w:rPr>
          <w:i/>
        </w:rPr>
        <w:t>Income Tax Amendments Act, 1997</w:t>
      </w:r>
      <w:r>
        <w:t>, S.C. 1998, c.</w:t>
      </w:r>
      <w:r w:rsidR="0062728D">
        <w:t> </w:t>
      </w:r>
      <w:r>
        <w:t xml:space="preserve">19, </w:t>
      </w:r>
      <w:r w:rsidR="0062728D">
        <w:t>ss. </w:t>
      </w:r>
      <w:r>
        <w:t>107, 238.</w:t>
      </w:r>
    </w:p>
    <w:p w:rsidR="00F30DD3" w:rsidRDefault="00F30DD3" w:rsidP="005944B8">
      <w:pPr>
        <w:pStyle w:val="SCCNormalDoubleSpacing"/>
        <w:spacing w:after="240" w:line="240" w:lineRule="auto"/>
        <w:ind w:left="547" w:hanging="547"/>
      </w:pPr>
      <w:r w:rsidRPr="00F30DD3">
        <w:rPr>
          <w:i/>
        </w:rPr>
        <w:t>Income War Tax Act</w:t>
      </w:r>
      <w:r w:rsidR="0062728D">
        <w:t>, R.S.C. 1927, c. 97, s. </w:t>
      </w:r>
      <w:r>
        <w:t>23B [ad. 19</w:t>
      </w:r>
      <w:r w:rsidR="0062728D">
        <w:t>39, c. </w:t>
      </w:r>
      <w:r>
        <w:t>46, s. 13].</w:t>
      </w:r>
    </w:p>
    <w:p w:rsidR="007C293A" w:rsidRPr="007C293A" w:rsidRDefault="007C293A" w:rsidP="004D5D6C">
      <w:pPr>
        <w:pStyle w:val="SCCNormalDoubleSpacing"/>
        <w:spacing w:after="720" w:line="240" w:lineRule="auto"/>
        <w:ind w:left="547" w:hanging="547"/>
      </w:pPr>
      <w:r w:rsidRPr="005944B8">
        <w:rPr>
          <w:i/>
        </w:rPr>
        <w:t>Patent Act Amendment Act, 1992</w:t>
      </w:r>
      <w:r w:rsidRPr="00D42938">
        <w:t>,</w:t>
      </w:r>
      <w:r w:rsidRPr="005944B8">
        <w:t xml:space="preserve"> S.C. 1993, c.</w:t>
      </w:r>
      <w:r w:rsidR="004D5D6C">
        <w:t> 2, s. </w:t>
      </w:r>
      <w:r w:rsidRPr="005944B8">
        <w:t>11(1).</w:t>
      </w:r>
    </w:p>
    <w:p w:rsidR="002E6705" w:rsidRDefault="002E6705" w:rsidP="0062728D">
      <w:pPr>
        <w:pStyle w:val="SCCNormalDoubleSpacing"/>
        <w:keepNext/>
        <w:spacing w:after="720" w:line="240" w:lineRule="auto"/>
        <w:rPr>
          <w:b/>
        </w:rPr>
      </w:pPr>
      <w:r w:rsidRPr="00314E01">
        <w:rPr>
          <w:b/>
        </w:rPr>
        <w:lastRenderedPageBreak/>
        <w:t>Authors Cited</w:t>
      </w:r>
    </w:p>
    <w:p w:rsidR="00A149DF" w:rsidRDefault="000B6862" w:rsidP="0062728D">
      <w:pPr>
        <w:pStyle w:val="SCCNormalDoubleSpacing"/>
        <w:spacing w:after="240" w:line="240" w:lineRule="auto"/>
        <w:ind w:left="547" w:hanging="547"/>
      </w:pPr>
      <w:r w:rsidRPr="00934DCB">
        <w:t>Organi</w:t>
      </w:r>
      <w:r>
        <w:t>sation for Economic Co</w:t>
      </w:r>
      <w:r w:rsidR="0062728D">
        <w:noBreakHyphen/>
      </w:r>
      <w:r>
        <w:t xml:space="preserve">operation and Development. </w:t>
      </w:r>
      <w:r w:rsidR="00934DCB" w:rsidRPr="00934DCB">
        <w:t xml:space="preserve"> </w:t>
      </w:r>
      <w:r w:rsidR="00934DCB" w:rsidRPr="000B6862">
        <w:rPr>
          <w:i/>
        </w:rPr>
        <w:t xml:space="preserve">Transfer Pricing and Multinational Enterprises: </w:t>
      </w:r>
      <w:r w:rsidRPr="000B6862">
        <w:rPr>
          <w:i/>
        </w:rPr>
        <w:t xml:space="preserve"> </w:t>
      </w:r>
      <w:r w:rsidR="00934DCB" w:rsidRPr="000B6862">
        <w:rPr>
          <w:i/>
        </w:rPr>
        <w:t>Report of the OECD Committee on Fiscal Affairs</w:t>
      </w:r>
      <w:r>
        <w:t xml:space="preserve">. </w:t>
      </w:r>
      <w:r w:rsidR="00934DCB" w:rsidRPr="00934DCB">
        <w:t xml:space="preserve"> Paris: </w:t>
      </w:r>
      <w:r>
        <w:t xml:space="preserve">The </w:t>
      </w:r>
      <w:r w:rsidR="00934DCB" w:rsidRPr="00934DCB">
        <w:t>Organi</w:t>
      </w:r>
      <w:r>
        <w:t>s</w:t>
      </w:r>
      <w:r w:rsidR="00934DCB" w:rsidRPr="00934DCB">
        <w:t>ation</w:t>
      </w:r>
      <w:r>
        <w:t>, 1979</w:t>
      </w:r>
      <w:r w:rsidR="00934DCB">
        <w:t>.</w:t>
      </w:r>
    </w:p>
    <w:p w:rsidR="00934DCB" w:rsidRDefault="00FE1105" w:rsidP="0062728D">
      <w:pPr>
        <w:pStyle w:val="SCCNormalDoubleSpacing"/>
        <w:spacing w:after="720" w:line="240" w:lineRule="auto"/>
        <w:ind w:left="547" w:hanging="547"/>
      </w:pPr>
      <w:r w:rsidRPr="00934DCB">
        <w:t>Organi</w:t>
      </w:r>
      <w:r>
        <w:t>sation for Economic Co</w:t>
      </w:r>
      <w:r w:rsidR="0062728D">
        <w:noBreakHyphen/>
      </w:r>
      <w:r>
        <w:t xml:space="preserve">operation and Development. </w:t>
      </w:r>
      <w:r w:rsidRPr="00934DCB">
        <w:t xml:space="preserve"> </w:t>
      </w:r>
      <w:r w:rsidR="00934DCB" w:rsidRPr="00FE1105">
        <w:rPr>
          <w:i/>
        </w:rPr>
        <w:t>Transfer Pricing Guidelines for Multinational Enterprises and Tax Administrations</w:t>
      </w:r>
      <w:r>
        <w:t xml:space="preserve">. </w:t>
      </w:r>
      <w:r w:rsidR="00934DCB" w:rsidRPr="00934DCB">
        <w:t xml:space="preserve"> Paris</w:t>
      </w:r>
      <w:r>
        <w:t>:</w:t>
      </w:r>
      <w:r w:rsidR="00934DCB" w:rsidRPr="00934DCB">
        <w:t xml:space="preserve"> </w:t>
      </w:r>
      <w:r>
        <w:t>The Organisation</w:t>
      </w:r>
      <w:r w:rsidR="00934DCB" w:rsidRPr="00934DCB">
        <w:t>, 1995</w:t>
      </w:r>
      <w:r w:rsidR="00934DCB">
        <w:t>.</w:t>
      </w:r>
    </w:p>
    <w:p w:rsidR="00656313" w:rsidRDefault="00AB1DAF" w:rsidP="0062728D">
      <w:pPr>
        <w:pStyle w:val="SCCNormalDoubleSpacing"/>
        <w:spacing w:after="480"/>
      </w:pPr>
      <w:r>
        <w:tab/>
      </w:r>
      <w:r w:rsidR="009B57B3" w:rsidRPr="001426A9">
        <w:t xml:space="preserve">APPEAL </w:t>
      </w:r>
      <w:r w:rsidR="002B302D">
        <w:t>and</w:t>
      </w:r>
      <w:r w:rsidR="009E38CE">
        <w:t xml:space="preserve"> CROSS</w:t>
      </w:r>
      <w:r w:rsidR="009E38CE">
        <w:noBreakHyphen/>
        <w:t xml:space="preserve">APPEAL </w:t>
      </w:r>
      <w:r w:rsidR="009B57B3" w:rsidRPr="001426A9">
        <w:t xml:space="preserve">from a judgment of the </w:t>
      </w:r>
      <w:r w:rsidR="009B57B3">
        <w:t>Federal Court of Appeal</w:t>
      </w:r>
      <w:r>
        <w:t xml:space="preserve"> (</w:t>
      </w:r>
      <w:proofErr w:type="spellStart"/>
      <w:r>
        <w:t>Nadon</w:t>
      </w:r>
      <w:proofErr w:type="spellEnd"/>
      <w:r>
        <w:t xml:space="preserve">, </w:t>
      </w:r>
      <w:proofErr w:type="spellStart"/>
      <w:r>
        <w:t>Layden</w:t>
      </w:r>
      <w:r w:rsidR="0062728D">
        <w:noBreakHyphen/>
      </w:r>
      <w:r>
        <w:t>Stevenson</w:t>
      </w:r>
      <w:proofErr w:type="spellEnd"/>
      <w:r>
        <w:t xml:space="preserve"> and </w:t>
      </w:r>
      <w:proofErr w:type="spellStart"/>
      <w:r>
        <w:t>Stratas</w:t>
      </w:r>
      <w:proofErr w:type="spellEnd"/>
      <w:r w:rsidR="009E38CE">
        <w:t> </w:t>
      </w:r>
      <w:r>
        <w:t xml:space="preserve">JJ.A.), 2010 FCA 201, </w:t>
      </w:r>
      <w:r w:rsidR="00A453BD">
        <w:t xml:space="preserve">405 N.R. 307, 2010 D.T.C. 5124, </w:t>
      </w:r>
      <w:r w:rsidR="00A453BD" w:rsidRPr="005C0944">
        <w:t>[2010] 6 C.T.C. 220</w:t>
      </w:r>
      <w:r w:rsidR="00A453BD">
        <w:t xml:space="preserve">, [2010] F.C.J. </w:t>
      </w:r>
      <w:r w:rsidR="0062728D">
        <w:t>No. </w:t>
      </w:r>
      <w:r w:rsidR="00A453BD">
        <w:t xml:space="preserve">953 (QL), 2010 </w:t>
      </w:r>
      <w:proofErr w:type="spellStart"/>
      <w:r w:rsidR="00A453BD">
        <w:t>CarswellNat</w:t>
      </w:r>
      <w:proofErr w:type="spellEnd"/>
      <w:r w:rsidR="00A453BD">
        <w:t xml:space="preserve"> 2409, </w:t>
      </w:r>
      <w:r w:rsidR="00A453BD" w:rsidRPr="007C293A">
        <w:t>setting aside</w:t>
      </w:r>
      <w:r w:rsidRPr="007C293A">
        <w:t xml:space="preserve"> a</w:t>
      </w:r>
      <w:r>
        <w:t xml:space="preserve"> decision of Rip A.C.J., </w:t>
      </w:r>
      <w:bookmarkStart w:id="0" w:name="OLE_LINK3"/>
      <w:r>
        <w:t>2008 TCC 324</w:t>
      </w:r>
      <w:bookmarkEnd w:id="0"/>
      <w:r w:rsidR="00A453BD">
        <w:t xml:space="preserve">, 2008 D.T.C. 3957, [2008] T.C.J. </w:t>
      </w:r>
      <w:r w:rsidR="0062728D">
        <w:t>No. </w:t>
      </w:r>
      <w:r w:rsidR="00A453BD">
        <w:t xml:space="preserve">249 (QL), 2008 </w:t>
      </w:r>
      <w:proofErr w:type="spellStart"/>
      <w:r w:rsidR="00A453BD">
        <w:t>CarswellNat</w:t>
      </w:r>
      <w:proofErr w:type="spellEnd"/>
      <w:r w:rsidR="00A453BD">
        <w:t xml:space="preserve"> 1666</w:t>
      </w:r>
      <w:r>
        <w:t xml:space="preserve">.  </w:t>
      </w:r>
      <w:r w:rsidRPr="005B6776">
        <w:t xml:space="preserve">Appeal </w:t>
      </w:r>
      <w:r w:rsidR="007C293A" w:rsidRPr="005B6776">
        <w:t>and cross-appeal dismissed.</w:t>
      </w:r>
    </w:p>
    <w:p w:rsidR="00980E3D" w:rsidRDefault="002C51C3" w:rsidP="0062728D">
      <w:pPr>
        <w:pStyle w:val="SCCNormalDoubleSpacing"/>
        <w:spacing w:after="480"/>
      </w:pPr>
      <w:r w:rsidRPr="002D2A70">
        <w:rPr>
          <w:i/>
        </w:rPr>
        <w:tab/>
        <w:t>Wendy Burnham</w:t>
      </w:r>
      <w:r>
        <w:t xml:space="preserve">, </w:t>
      </w:r>
      <w:r w:rsidRPr="002D2A70">
        <w:rPr>
          <w:i/>
        </w:rPr>
        <w:t>Eric Noble</w:t>
      </w:r>
      <w:r>
        <w:t xml:space="preserve"> and </w:t>
      </w:r>
      <w:r w:rsidRPr="002D2A70">
        <w:rPr>
          <w:i/>
        </w:rPr>
        <w:t xml:space="preserve">Karen </w:t>
      </w:r>
      <w:proofErr w:type="spellStart"/>
      <w:r w:rsidRPr="002D2A70">
        <w:rPr>
          <w:i/>
        </w:rPr>
        <w:t>Janke</w:t>
      </w:r>
      <w:r w:rsidR="0062728D" w:rsidRPr="002D2A70">
        <w:rPr>
          <w:i/>
        </w:rPr>
        <w:noBreakHyphen/>
      </w:r>
      <w:r w:rsidRPr="002D2A70">
        <w:rPr>
          <w:i/>
        </w:rPr>
        <w:t>Curliss</w:t>
      </w:r>
      <w:proofErr w:type="spellEnd"/>
      <w:r>
        <w:t>, for the appellant/respondent on cross</w:t>
      </w:r>
      <w:r w:rsidR="0062728D">
        <w:noBreakHyphen/>
      </w:r>
      <w:proofErr w:type="spellStart"/>
      <w:r>
        <w:t>appeal</w:t>
      </w:r>
      <w:proofErr w:type="spellEnd"/>
      <w:r>
        <w:t>.</w:t>
      </w:r>
    </w:p>
    <w:p w:rsidR="00C962E5" w:rsidRDefault="002C51C3" w:rsidP="00C962E5">
      <w:pPr>
        <w:pStyle w:val="SCCNormalDoubleSpacing"/>
        <w:spacing w:after="480"/>
      </w:pPr>
      <w:r w:rsidRPr="002D2A70">
        <w:rPr>
          <w:i/>
        </w:rPr>
        <w:tab/>
      </w:r>
      <w:proofErr w:type="gramStart"/>
      <w:r w:rsidRPr="002D2A70">
        <w:rPr>
          <w:i/>
        </w:rPr>
        <w:t xml:space="preserve">Al </w:t>
      </w:r>
      <w:proofErr w:type="spellStart"/>
      <w:r w:rsidRPr="002D2A70">
        <w:rPr>
          <w:i/>
        </w:rPr>
        <w:t>Meghji</w:t>
      </w:r>
      <w:proofErr w:type="spellEnd"/>
      <w:r>
        <w:t xml:space="preserve">, </w:t>
      </w:r>
      <w:r w:rsidR="0062728D" w:rsidRPr="002D2A70">
        <w:rPr>
          <w:i/>
        </w:rPr>
        <w:t>Joseph </w:t>
      </w:r>
      <w:r w:rsidRPr="002D2A70">
        <w:rPr>
          <w:i/>
        </w:rPr>
        <w:t>M. Steiner</w:t>
      </w:r>
      <w:r w:rsidRPr="00D7133C">
        <w:t>,</w:t>
      </w:r>
      <w:r w:rsidRPr="002D2A70">
        <w:rPr>
          <w:i/>
        </w:rPr>
        <w:t xml:space="preserve"> Amanda </w:t>
      </w:r>
      <w:proofErr w:type="spellStart"/>
      <w:r w:rsidRPr="002D2A70">
        <w:rPr>
          <w:i/>
        </w:rPr>
        <w:t>Heale</w:t>
      </w:r>
      <w:proofErr w:type="spellEnd"/>
      <w:r>
        <w:t xml:space="preserve"> and </w:t>
      </w:r>
      <w:proofErr w:type="spellStart"/>
      <w:r w:rsidRPr="002D2A70">
        <w:rPr>
          <w:i/>
        </w:rPr>
        <w:t>Pooja</w:t>
      </w:r>
      <w:proofErr w:type="spellEnd"/>
      <w:r w:rsidRPr="002D2A70">
        <w:rPr>
          <w:i/>
        </w:rPr>
        <w:t xml:space="preserve"> </w:t>
      </w:r>
      <w:proofErr w:type="spellStart"/>
      <w:r w:rsidRPr="002D2A70">
        <w:rPr>
          <w:i/>
        </w:rPr>
        <w:t>Samtani</w:t>
      </w:r>
      <w:proofErr w:type="spellEnd"/>
      <w:r>
        <w:t>, for the respondent/appellant on cross</w:t>
      </w:r>
      <w:r w:rsidR="00F1605C">
        <w:t>-</w:t>
      </w:r>
      <w:r>
        <w:t>appeal.</w:t>
      </w:r>
      <w:proofErr w:type="gramEnd"/>
    </w:p>
    <w:p w:rsidR="00C962E5" w:rsidRPr="00900BF2" w:rsidRDefault="00900BF2" w:rsidP="00C962E5">
      <w:pPr>
        <w:pStyle w:val="JudgeJuge"/>
        <w:rPr>
          <w:smallCaps w:val="0"/>
        </w:rPr>
      </w:pPr>
      <w:r w:rsidRPr="00900BF2">
        <w:rPr>
          <w:smallCaps w:val="0"/>
        </w:rPr>
        <w:tab/>
        <w:t xml:space="preserve">The </w:t>
      </w:r>
      <w:r>
        <w:rPr>
          <w:smallCaps w:val="0"/>
        </w:rPr>
        <w:t>judgment of the Court was delivered by</w:t>
      </w:r>
    </w:p>
    <w:p w:rsidR="00C962E5" w:rsidRPr="006E1903" w:rsidRDefault="00C962E5" w:rsidP="00C962E5">
      <w:pPr>
        <w:pStyle w:val="JudgeJuge"/>
      </w:pPr>
      <w:r>
        <w:tab/>
        <w:t>R</w:t>
      </w:r>
      <w:r w:rsidRPr="006E1903">
        <w:t xml:space="preserve">othstein </w:t>
      </w:r>
      <w:r>
        <w:t>J.</w:t>
      </w:r>
      <w:r w:rsidRPr="006E1903">
        <w:t xml:space="preserve"> — </w:t>
      </w:r>
    </w:p>
    <w:p w:rsidR="00C962E5" w:rsidRPr="006E1903" w:rsidRDefault="00C962E5" w:rsidP="00C962E5">
      <w:pPr>
        <w:pStyle w:val="TitleTitre-AltT"/>
        <w:tabs>
          <w:tab w:val="clear" w:pos="360"/>
        </w:tabs>
        <w:ind w:left="720" w:hanging="720"/>
        <w:rPr>
          <w:u w:val="single"/>
        </w:rPr>
      </w:pPr>
      <w:r w:rsidRPr="004A248E">
        <w:lastRenderedPageBreak/>
        <w:t xml:space="preserve">I. </w:t>
      </w:r>
      <w:r w:rsidRPr="004A248E">
        <w:tab/>
      </w:r>
      <w:r>
        <w:rPr>
          <w:u w:val="single"/>
        </w:rPr>
        <w:t>Introduction</w:t>
      </w:r>
    </w:p>
    <w:p w:rsidR="00C962E5" w:rsidRPr="006E1903" w:rsidRDefault="00C962E5" w:rsidP="00C962E5">
      <w:pPr>
        <w:pStyle w:val="ParaNoNdepar-AltN"/>
      </w:pPr>
      <w:r w:rsidRPr="006E1903">
        <w:t xml:space="preserve">Transfer pricing issues arise when entities of multinational corporations resident in different jurisdictions transfer property or provide services to one another.  These entities do not deal at arm’s length and, thus, transactions between these entities may not be subject to ordinary market forces.  Their absence may result in prices being set so as to divert profits from the appropriate tax jurisdiction.  Since 1939, the </w:t>
      </w:r>
      <w:r w:rsidRPr="006E1903">
        <w:rPr>
          <w:i/>
        </w:rPr>
        <w:t>Income Tax Act</w:t>
      </w:r>
      <w:r w:rsidRPr="006E1903">
        <w:t xml:space="preserve"> has included provisions under which a Canadian taxpayer may be reassessed to include, in Canadian profits, the difference between the prices for property paid to a non-resident with which it does not deal at arm’s length and what those prices would have been had they been dealing at arm’s length.</w:t>
      </w:r>
    </w:p>
    <w:p w:rsidR="00C962E5" w:rsidRPr="006E1903" w:rsidRDefault="00C962E5" w:rsidP="00C962E5">
      <w:pPr>
        <w:pStyle w:val="ParaNoNdepar-AltN"/>
      </w:pPr>
      <w:r w:rsidRPr="006E1903">
        <w:t>The Minister of National Revenue reassessed GlaxoSmithKline Inc.</w:t>
      </w:r>
      <w:r w:rsidRPr="006E1903">
        <w:rPr>
          <w:b/>
        </w:rPr>
        <w:t xml:space="preserve"> </w:t>
      </w:r>
      <w:r w:rsidRPr="006A193E">
        <w:t>(“</w:t>
      </w:r>
      <w:proofErr w:type="spellStart"/>
      <w:r w:rsidRPr="006E1903">
        <w:t>Glaxo</w:t>
      </w:r>
      <w:proofErr w:type="spellEnd"/>
      <w:r w:rsidRPr="006E1903">
        <w:t xml:space="preserve"> Canada”) for the taxation years 1990, 1991, 1992, and 1993</w:t>
      </w:r>
      <w:r>
        <w:t>,</w:t>
      </w:r>
      <w:r w:rsidRPr="006E1903">
        <w:t xml:space="preserve"> pursuant to the </w:t>
      </w:r>
      <w:r>
        <w:t>then-</w:t>
      </w:r>
      <w:r w:rsidRPr="006E1903">
        <w:t xml:space="preserve">applicable s. 69(2) of </w:t>
      </w:r>
      <w:r>
        <w:t xml:space="preserve">the </w:t>
      </w:r>
      <w:r w:rsidRPr="006A193E">
        <w:rPr>
          <w:i/>
        </w:rPr>
        <w:t>Income Tax Act</w:t>
      </w:r>
      <w:r>
        <w:t>, R.S.C. 1985, c. 1 (5th Supp.)</w:t>
      </w:r>
      <w:r w:rsidR="00D7133C">
        <w:t xml:space="preserve"> (the “Act”)</w:t>
      </w:r>
      <w:r>
        <w:t>,</w:t>
      </w:r>
      <w:r w:rsidRPr="006E1903">
        <w:t xml:space="preserve"> on the basis that the prices </w:t>
      </w:r>
      <w:proofErr w:type="spellStart"/>
      <w:r w:rsidRPr="006E1903">
        <w:t>Glaxo</w:t>
      </w:r>
      <w:proofErr w:type="spellEnd"/>
      <w:r w:rsidRPr="006E1903">
        <w:t xml:space="preserve"> Canada paid to a supplier with which it did not deal at arm’s length, for ranitidine, the active ingredient in the anti-ulcer drug Zantac, were greater than an amount that would have been reasonable in the circumstances had they been dealing at arm’s length. (Section 69(2) of the Act was repealed in 1998</w:t>
      </w:r>
      <w:r>
        <w:t xml:space="preserve"> (S.C. 1998, c. 19</w:t>
      </w:r>
      <w:r w:rsidR="00AC0C42">
        <w:t>,</w:t>
      </w:r>
      <w:r>
        <w:t xml:space="preserve"> s. 107)</w:t>
      </w:r>
      <w:r w:rsidRPr="006E1903">
        <w:t xml:space="preserve"> and has been replaced by s. 247(2) of the Act</w:t>
      </w:r>
      <w:r>
        <w:t xml:space="preserve"> (ad. </w:t>
      </w:r>
      <w:r w:rsidRPr="006A193E">
        <w:rPr>
          <w:i/>
        </w:rPr>
        <w:t>idem</w:t>
      </w:r>
      <w:r>
        <w:t>, s. 238)</w:t>
      </w:r>
      <w:r w:rsidRPr="006E1903">
        <w:t xml:space="preserve">).  The reassessment increased </w:t>
      </w:r>
      <w:proofErr w:type="spellStart"/>
      <w:r w:rsidRPr="006E1903">
        <w:t>Glaxo</w:t>
      </w:r>
      <w:proofErr w:type="spellEnd"/>
      <w:r w:rsidRPr="006E1903">
        <w:t xml:space="preserve"> Canada’s income by the difference between the highest price paid by generic pharmaceutical companies and that paid by </w:t>
      </w:r>
      <w:proofErr w:type="spellStart"/>
      <w:r w:rsidRPr="006E1903">
        <w:t>Glaxo</w:t>
      </w:r>
      <w:proofErr w:type="spellEnd"/>
      <w:r w:rsidRPr="006E1903">
        <w:t xml:space="preserve"> Canada for ranitidine.  </w:t>
      </w:r>
      <w:proofErr w:type="spellStart"/>
      <w:r w:rsidRPr="006E1903">
        <w:t>Glaxo</w:t>
      </w:r>
      <w:proofErr w:type="spellEnd"/>
      <w:r w:rsidRPr="006E1903">
        <w:t xml:space="preserve"> Canada appealed to the Tax Court of </w:t>
      </w:r>
      <w:r w:rsidRPr="006E1903">
        <w:lastRenderedPageBreak/>
        <w:t xml:space="preserve">Canada, where Rip A.C.J. (as he then was) upheld, with one minor revision, the reassessment.  On </w:t>
      </w:r>
      <w:proofErr w:type="spellStart"/>
      <w:r w:rsidRPr="006E1903">
        <w:t>Glaxo</w:t>
      </w:r>
      <w:proofErr w:type="spellEnd"/>
      <w:r w:rsidRPr="006E1903">
        <w:t xml:space="preserve"> Canada’s further appeal, the Federal Court of Appeal allowed the appeal and remitted the matter to the Tax Court for reconsideration.  The Minister has appealed that decision to this Court.</w:t>
      </w:r>
    </w:p>
    <w:p w:rsidR="00C962E5" w:rsidRPr="006E1903" w:rsidRDefault="00C962E5" w:rsidP="00C962E5">
      <w:pPr>
        <w:pStyle w:val="ParaNoNdepar-AltN"/>
      </w:pPr>
      <w:r w:rsidRPr="006E1903">
        <w:t xml:space="preserve">The issue on appeal is the correct application of s. 69(2): in particular, what circumstances are to be taken into account in determining the reasonable arm’s length price against which to compare the non-arm’s length transfer price. </w:t>
      </w:r>
      <w:proofErr w:type="spellStart"/>
      <w:r w:rsidRPr="006E1903">
        <w:t>Glaxo</w:t>
      </w:r>
      <w:proofErr w:type="spellEnd"/>
      <w:r w:rsidRPr="006E1903">
        <w:t xml:space="preserve"> Canada cross-appeals the decision of the Federal Court of Appeal to remit the matter to the Tax Court for rehearing and reconsideration.  If this Court denies the Minister’s appeal, </w:t>
      </w:r>
      <w:proofErr w:type="spellStart"/>
      <w:r w:rsidRPr="006E1903">
        <w:t>Glaxo</w:t>
      </w:r>
      <w:proofErr w:type="spellEnd"/>
      <w:r w:rsidRPr="006E1903">
        <w:t xml:space="preserve"> Canada argues that the matter should not be remitted because it has successfully demolished the Minister’s assumptions, thus fully discharging the taxpayer’s burden in appealing the reassessment.  For the reasons that follow, I would dismiss both the appeal and the cross-appeal. </w:t>
      </w:r>
    </w:p>
    <w:p w:rsidR="00C962E5" w:rsidRPr="006A193E" w:rsidRDefault="00C962E5" w:rsidP="00F1605C">
      <w:pPr>
        <w:pStyle w:val="TitleTitre-AltT"/>
        <w:tabs>
          <w:tab w:val="clear" w:pos="360"/>
        </w:tabs>
        <w:ind w:left="540" w:hanging="540"/>
      </w:pPr>
      <w:r>
        <w:t>II.</w:t>
      </w:r>
      <w:r>
        <w:tab/>
      </w:r>
      <w:r w:rsidRPr="006A193E">
        <w:rPr>
          <w:u w:val="single"/>
        </w:rPr>
        <w:t>Facts</w:t>
      </w:r>
    </w:p>
    <w:p w:rsidR="00C962E5" w:rsidRPr="006E1903" w:rsidRDefault="00C962E5" w:rsidP="00C962E5">
      <w:pPr>
        <w:pStyle w:val="ParaNoNdepar-AltN"/>
      </w:pPr>
      <w:r>
        <w:t>Between 1990 and 1993, the r</w:t>
      </w:r>
      <w:r w:rsidRPr="006E1903">
        <w:t xml:space="preserve">espondent, </w:t>
      </w:r>
      <w:proofErr w:type="spellStart"/>
      <w:r w:rsidRPr="006E1903">
        <w:t>Glaxo</w:t>
      </w:r>
      <w:proofErr w:type="spellEnd"/>
      <w:r w:rsidRPr="006E1903">
        <w:t xml:space="preserve"> Canada, purchased ranitidine, the active pharmac</w:t>
      </w:r>
      <w:r>
        <w:t>eutical ingredient in the brand-</w:t>
      </w:r>
      <w:r w:rsidRPr="006E1903">
        <w:t xml:space="preserve">name anti-ulcer drug Zantac, from </w:t>
      </w:r>
      <w:proofErr w:type="spellStart"/>
      <w:r w:rsidRPr="006E1903">
        <w:t>Adechsa</w:t>
      </w:r>
      <w:proofErr w:type="spellEnd"/>
      <w:r w:rsidRPr="006E1903">
        <w:t xml:space="preserve"> S</w:t>
      </w:r>
      <w:r>
        <w:t>.</w:t>
      </w:r>
      <w:r w:rsidRPr="006E1903">
        <w:t>A</w:t>
      </w:r>
      <w:r>
        <w:t>.</w:t>
      </w:r>
      <w:r w:rsidRPr="006E1903">
        <w:t>, a related non-resident company, for between $1</w:t>
      </w:r>
      <w:r>
        <w:t>,</w:t>
      </w:r>
      <w:r w:rsidRPr="006E1903">
        <w:t>512 and $1</w:t>
      </w:r>
      <w:r>
        <w:t>,</w:t>
      </w:r>
      <w:r w:rsidRPr="006E1903">
        <w:t xml:space="preserve">651 per kilogram.  During the same period, two Canadian generic pharmaceutical companies, </w:t>
      </w:r>
      <w:proofErr w:type="spellStart"/>
      <w:r w:rsidRPr="006E1903">
        <w:t>Apotex</w:t>
      </w:r>
      <w:proofErr w:type="spellEnd"/>
      <w:r w:rsidRPr="006E1903">
        <w:t xml:space="preserve"> Inc. and </w:t>
      </w:r>
      <w:proofErr w:type="spellStart"/>
      <w:r w:rsidRPr="006E1903">
        <w:t>Novopharm</w:t>
      </w:r>
      <w:proofErr w:type="spellEnd"/>
      <w:r w:rsidRPr="006E1903">
        <w:t xml:space="preserve"> Ltd., purchased ranitidine from other sources for use in their generic anti-ulcer drugs for between $194 and $304 per kilogram.</w:t>
      </w:r>
    </w:p>
    <w:p w:rsidR="00C962E5" w:rsidRPr="006E1903" w:rsidRDefault="00C962E5" w:rsidP="00C962E5">
      <w:pPr>
        <w:pStyle w:val="ParaNoNdepar-AltN"/>
      </w:pPr>
      <w:r w:rsidRPr="006E1903">
        <w:lastRenderedPageBreak/>
        <w:t xml:space="preserve">At the relevant time </w:t>
      </w:r>
      <w:proofErr w:type="spellStart"/>
      <w:r w:rsidRPr="006E1903">
        <w:t>Glaxo</w:t>
      </w:r>
      <w:proofErr w:type="spellEnd"/>
      <w:r w:rsidRPr="006E1903">
        <w:t xml:space="preserve"> Canada was a wholly</w:t>
      </w:r>
      <w:r>
        <w:t xml:space="preserve"> </w:t>
      </w:r>
      <w:r w:rsidRPr="006E1903">
        <w:t xml:space="preserve">owned subsidiary of </w:t>
      </w:r>
      <w:proofErr w:type="spellStart"/>
      <w:r w:rsidRPr="006E1903">
        <w:t>Glaxo</w:t>
      </w:r>
      <w:proofErr w:type="spellEnd"/>
      <w:r w:rsidRPr="006E1903">
        <w:t xml:space="preserve"> Group Ltd.</w:t>
      </w:r>
      <w:r>
        <w:t xml:space="preserve">, which itself was a wholly </w:t>
      </w:r>
      <w:r w:rsidRPr="006E1903">
        <w:t xml:space="preserve">owned subsidiary of </w:t>
      </w:r>
      <w:proofErr w:type="spellStart"/>
      <w:r w:rsidRPr="006E1903">
        <w:t>Glaxo</w:t>
      </w:r>
      <w:proofErr w:type="spellEnd"/>
      <w:r w:rsidRPr="006E1903">
        <w:t xml:space="preserve"> Holdings plc, a United Kingdom corporation.  In addition to its ownership of </w:t>
      </w:r>
      <w:proofErr w:type="spellStart"/>
      <w:r w:rsidRPr="006E1903">
        <w:t>Glaxo</w:t>
      </w:r>
      <w:proofErr w:type="spellEnd"/>
      <w:r w:rsidRPr="006E1903">
        <w:t xml:space="preserve"> Canada, </w:t>
      </w:r>
      <w:proofErr w:type="spellStart"/>
      <w:r w:rsidRPr="006E1903">
        <w:t>Glaxo</w:t>
      </w:r>
      <w:proofErr w:type="spellEnd"/>
      <w:r w:rsidRPr="006E1903">
        <w:t xml:space="preserve"> Group was the parent of other companies, which discovered, developed, manufactured and marketed branded pharmaceutical products.  These products were then placed in a delivery mechanism such as a tablet, liquid or gel and marketed and sold throughout the world through subsidiaries such as </w:t>
      </w:r>
      <w:proofErr w:type="spellStart"/>
      <w:r w:rsidRPr="006E1903">
        <w:t>Glaxo</w:t>
      </w:r>
      <w:proofErr w:type="spellEnd"/>
      <w:r w:rsidRPr="006E1903">
        <w:t xml:space="preserve"> Canada or independent arm’s length distributors.</w:t>
      </w:r>
    </w:p>
    <w:p w:rsidR="00C962E5" w:rsidRPr="006E1903" w:rsidRDefault="00C962E5" w:rsidP="00C962E5">
      <w:pPr>
        <w:pStyle w:val="ParaNoNdepar-AltN"/>
      </w:pPr>
      <w:r w:rsidRPr="006E1903">
        <w:t xml:space="preserve">During the taxation years in issue, </w:t>
      </w:r>
      <w:proofErr w:type="spellStart"/>
      <w:r w:rsidRPr="006E1903">
        <w:t>Glaxo</w:t>
      </w:r>
      <w:proofErr w:type="spellEnd"/>
      <w:r w:rsidRPr="006E1903">
        <w:t xml:space="preserve"> Canada acted as a secondary manufacturer and marketer which meant that it acquired the active pharmaceutical ingredient, ranitidine, and put it into a delivery mechanism and packaged and marketed</w:t>
      </w:r>
      <w:r>
        <w:t xml:space="preserve"> Zantac, a patented and trade</w:t>
      </w:r>
      <w:r w:rsidRPr="006E1903">
        <w:t xml:space="preserve">marked drug used to treat stomach ulcers.  </w:t>
      </w:r>
      <w:proofErr w:type="spellStart"/>
      <w:r w:rsidRPr="006E1903">
        <w:t>Glaxo</w:t>
      </w:r>
      <w:proofErr w:type="spellEnd"/>
      <w:r w:rsidRPr="006E1903">
        <w:t xml:space="preserve"> Group owned the Zantac trademark and the patent for its active ingredient, ranitidine, and granted rights under the patent and trademark to </w:t>
      </w:r>
      <w:proofErr w:type="spellStart"/>
      <w:r w:rsidRPr="006E1903">
        <w:t>Glaxo</w:t>
      </w:r>
      <w:proofErr w:type="spellEnd"/>
      <w:r w:rsidRPr="006E1903">
        <w:t xml:space="preserve"> Canada under a Licence Agreement.  </w:t>
      </w:r>
      <w:proofErr w:type="spellStart"/>
      <w:r w:rsidRPr="006E1903">
        <w:t>Glaxo</w:t>
      </w:r>
      <w:proofErr w:type="spellEnd"/>
      <w:r w:rsidRPr="006E1903">
        <w:t xml:space="preserve"> Canada purchased ranitidine from </w:t>
      </w:r>
      <w:proofErr w:type="spellStart"/>
      <w:r w:rsidRPr="006E1903">
        <w:t>Adechsa</w:t>
      </w:r>
      <w:proofErr w:type="spellEnd"/>
      <w:r w:rsidRPr="006E1903">
        <w:t xml:space="preserve">, a </w:t>
      </w:r>
      <w:proofErr w:type="spellStart"/>
      <w:r w:rsidRPr="006E1903">
        <w:t>Glaxo</w:t>
      </w:r>
      <w:proofErr w:type="spellEnd"/>
      <w:r w:rsidRPr="006E1903">
        <w:t xml:space="preserve"> Group clearing company located in Switzerland, under a Supply Agreement.</w:t>
      </w:r>
    </w:p>
    <w:p w:rsidR="00C962E5" w:rsidRPr="006E1903" w:rsidRDefault="00C962E5" w:rsidP="00C962E5">
      <w:pPr>
        <w:pStyle w:val="ParaNoNdepar-AltN"/>
      </w:pPr>
      <w:r w:rsidRPr="006E1903">
        <w:t xml:space="preserve">At the heart of this appeal are these two agreements.  The Licence Agreement  conferred the following rights and benefits on </w:t>
      </w:r>
      <w:proofErr w:type="spellStart"/>
      <w:r w:rsidRPr="006E1903">
        <w:t>Glaxo</w:t>
      </w:r>
      <w:proofErr w:type="spellEnd"/>
      <w:r w:rsidRPr="006E1903">
        <w:t xml:space="preserve"> Canada:</w:t>
      </w:r>
    </w:p>
    <w:p w:rsidR="00C962E5" w:rsidRDefault="00C962E5" w:rsidP="00F1605C">
      <w:pPr>
        <w:pStyle w:val="Citation-AltC"/>
        <w:numPr>
          <w:ilvl w:val="6"/>
          <w:numId w:val="1"/>
        </w:numPr>
        <w:spacing w:after="480" w:line="480" w:lineRule="auto"/>
        <w:ind w:left="1170" w:hanging="1170"/>
        <w:contextualSpacing w:val="0"/>
      </w:pPr>
      <w:r w:rsidRPr="006E1903">
        <w:t>the right under the patents to manufacture, use and s</w:t>
      </w:r>
      <w:r>
        <w:t xml:space="preserve">ell </w:t>
      </w:r>
      <w:proofErr w:type="spellStart"/>
      <w:r>
        <w:t>Glaxo</w:t>
      </w:r>
      <w:proofErr w:type="spellEnd"/>
      <w:r>
        <w:t xml:space="preserve"> Group products (s. 3(1)(a)</w:t>
      </w:r>
      <w:r w:rsidRPr="006E1903">
        <w:t>);</w:t>
      </w:r>
    </w:p>
    <w:p w:rsidR="00C962E5" w:rsidRDefault="00C962E5" w:rsidP="00F1605C">
      <w:pPr>
        <w:pStyle w:val="Citation-AltC"/>
        <w:numPr>
          <w:ilvl w:val="6"/>
          <w:numId w:val="1"/>
        </w:numPr>
        <w:spacing w:after="480" w:line="480" w:lineRule="auto"/>
        <w:ind w:left="1170" w:hanging="1170"/>
        <w:contextualSpacing w:val="0"/>
      </w:pPr>
      <w:r w:rsidRPr="006E1903">
        <w:lastRenderedPageBreak/>
        <w:t xml:space="preserve">the exclusive right to the use of the trademarks owned by </w:t>
      </w:r>
      <w:proofErr w:type="spellStart"/>
      <w:r w:rsidRPr="006E1903">
        <w:t>Glaxo</w:t>
      </w:r>
      <w:proofErr w:type="spellEnd"/>
      <w:r w:rsidRPr="006E1903">
        <w:t xml:space="preserve"> Gr</w:t>
      </w:r>
      <w:r>
        <w:t>oup, including Zantac (s. 3(1)(b));</w:t>
      </w:r>
    </w:p>
    <w:p w:rsidR="00C962E5" w:rsidRDefault="00C962E5" w:rsidP="00F1605C">
      <w:pPr>
        <w:pStyle w:val="Citation-AltC"/>
        <w:numPr>
          <w:ilvl w:val="6"/>
          <w:numId w:val="1"/>
        </w:numPr>
        <w:spacing w:after="480" w:line="480" w:lineRule="auto"/>
        <w:ind w:left="1170" w:hanging="1170"/>
        <w:contextualSpacing w:val="0"/>
      </w:pPr>
      <w:r w:rsidRPr="006E1903">
        <w:t>the right to receive technical assistance for its secondary manuf</w:t>
      </w:r>
      <w:r>
        <w:t>acturing requirements (s. 3(4));</w:t>
      </w:r>
    </w:p>
    <w:p w:rsidR="00C962E5" w:rsidRDefault="00C962E5" w:rsidP="00F1605C">
      <w:pPr>
        <w:pStyle w:val="Citation-AltC"/>
        <w:numPr>
          <w:ilvl w:val="6"/>
          <w:numId w:val="1"/>
        </w:numPr>
        <w:spacing w:after="480" w:line="480" w:lineRule="auto"/>
        <w:ind w:left="1170" w:hanging="1170"/>
        <w:contextualSpacing w:val="0"/>
      </w:pPr>
      <w:r w:rsidRPr="006E1903">
        <w:t xml:space="preserve">the use of the registration materials prepared by </w:t>
      </w:r>
      <w:proofErr w:type="spellStart"/>
      <w:r w:rsidRPr="006E1903">
        <w:t>Glaxo</w:t>
      </w:r>
      <w:proofErr w:type="spellEnd"/>
      <w:r w:rsidRPr="006E1903">
        <w:t xml:space="preserve"> Group,</w:t>
      </w:r>
      <w:r>
        <w:t xml:space="preserve"> to be adapted to the Canadian e</w:t>
      </w:r>
      <w:r w:rsidRPr="006E1903">
        <w:t>nvironment and submitted to the Health Prot</w:t>
      </w:r>
      <w:r>
        <w:t>ection Branch (s. 4(2));</w:t>
      </w:r>
    </w:p>
    <w:p w:rsidR="00C962E5" w:rsidRDefault="00C962E5" w:rsidP="00F1605C">
      <w:pPr>
        <w:pStyle w:val="Citation-AltC"/>
        <w:numPr>
          <w:ilvl w:val="6"/>
          <w:numId w:val="1"/>
        </w:numPr>
        <w:spacing w:after="480" w:line="480" w:lineRule="auto"/>
        <w:ind w:left="1170" w:hanging="1170"/>
        <w:contextualSpacing w:val="0"/>
      </w:pPr>
      <w:r w:rsidRPr="006E1903">
        <w:t>access to new products, incl</w:t>
      </w:r>
      <w:r>
        <w:t>uding line extensions (s. 4(1));</w:t>
      </w:r>
    </w:p>
    <w:p w:rsidR="00C962E5" w:rsidRDefault="00C962E5" w:rsidP="00F1605C">
      <w:pPr>
        <w:pStyle w:val="Citation-AltC"/>
        <w:numPr>
          <w:ilvl w:val="6"/>
          <w:numId w:val="1"/>
        </w:numPr>
        <w:spacing w:after="480" w:line="480" w:lineRule="auto"/>
        <w:ind w:left="1170" w:hanging="1170"/>
        <w:contextualSpacing w:val="0"/>
      </w:pPr>
      <w:r w:rsidRPr="006E1903">
        <w:t>access to any inventions or improvement in regard to existing drugs</w:t>
      </w:r>
      <w:r>
        <w:t xml:space="preserve"> (s. 6(1))</w:t>
      </w:r>
      <w:r w:rsidRPr="006E1903">
        <w:t>;</w:t>
      </w:r>
    </w:p>
    <w:p w:rsidR="00C962E5" w:rsidRDefault="00C962E5" w:rsidP="00F1605C">
      <w:pPr>
        <w:pStyle w:val="Citation-AltC"/>
        <w:numPr>
          <w:ilvl w:val="6"/>
          <w:numId w:val="1"/>
        </w:numPr>
        <w:spacing w:after="480" w:line="480" w:lineRule="auto"/>
        <w:ind w:left="1170" w:hanging="1170"/>
        <w:contextualSpacing w:val="0"/>
      </w:pPr>
      <w:r w:rsidRPr="006E1903">
        <w:t xml:space="preserve">the right to have a </w:t>
      </w:r>
      <w:proofErr w:type="spellStart"/>
      <w:r w:rsidRPr="006E1903">
        <w:t>Glaxo</w:t>
      </w:r>
      <w:proofErr w:type="spellEnd"/>
      <w:r w:rsidRPr="006E1903">
        <w:t xml:space="preserve"> World Group company sell to the appellant any raw materials or ma</w:t>
      </w:r>
      <w:r>
        <w:t>terials in bulk form (s. 7(1));</w:t>
      </w:r>
    </w:p>
    <w:p w:rsidR="00C962E5" w:rsidRDefault="00C962E5" w:rsidP="00F1605C">
      <w:pPr>
        <w:pStyle w:val="Citation-AltC"/>
        <w:numPr>
          <w:ilvl w:val="6"/>
          <w:numId w:val="1"/>
        </w:numPr>
        <w:spacing w:after="480" w:line="480" w:lineRule="auto"/>
        <w:ind w:left="1170" w:hanging="1170"/>
        <w:contextualSpacing w:val="0"/>
      </w:pPr>
      <w:r w:rsidRPr="006E1903">
        <w:t xml:space="preserve">marketing support in the form of promotional material, medical papers and </w:t>
      </w:r>
      <w:r>
        <w:t>literature, market research data</w:t>
      </w:r>
      <w:r w:rsidRPr="006E1903">
        <w:t>, and any other information that may be useful in the ma</w:t>
      </w:r>
      <w:r>
        <w:t>rketing of products (s. 10(1));</w:t>
      </w:r>
    </w:p>
    <w:p w:rsidR="00C962E5" w:rsidRDefault="00C962E5" w:rsidP="00F1605C">
      <w:pPr>
        <w:pStyle w:val="Citation-AltC"/>
        <w:numPr>
          <w:ilvl w:val="6"/>
          <w:numId w:val="1"/>
        </w:numPr>
        <w:spacing w:after="480" w:line="480" w:lineRule="auto"/>
        <w:ind w:left="1170" w:hanging="1170"/>
        <w:contextualSpacing w:val="0"/>
      </w:pPr>
      <w:r w:rsidRPr="006E1903">
        <w:t>indemnification against damages arising from patent or trademark infringement actions (</w:t>
      </w:r>
      <w:r>
        <w:t>s. 13(2)</w:t>
      </w:r>
      <w:r w:rsidRPr="006E1903">
        <w:t>);</w:t>
      </w:r>
    </w:p>
    <w:p w:rsidR="00C962E5" w:rsidRDefault="00C962E5" w:rsidP="00F1605C">
      <w:pPr>
        <w:pStyle w:val="Citation-AltC"/>
        <w:numPr>
          <w:ilvl w:val="6"/>
          <w:numId w:val="1"/>
        </w:numPr>
        <w:spacing w:after="480" w:line="480" w:lineRule="auto"/>
        <w:ind w:left="1170" w:hanging="1170"/>
        <w:contextualSpacing w:val="0"/>
      </w:pPr>
      <w:r>
        <w:lastRenderedPageBreak/>
        <w:t>t</w:t>
      </w:r>
      <w:r w:rsidRPr="006E1903">
        <w:t xml:space="preserve">echnical assistance for setting up new product lines at </w:t>
      </w:r>
      <w:proofErr w:type="spellStart"/>
      <w:r w:rsidRPr="006E1903">
        <w:t>Glaxo</w:t>
      </w:r>
      <w:proofErr w:type="spellEnd"/>
      <w:r w:rsidRPr="006E1903">
        <w:t xml:space="preserve"> Canada’s manufacturing facilities (</w:t>
      </w:r>
      <w:r>
        <w:t>s. 4(3)</w:t>
      </w:r>
      <w:r w:rsidRPr="006E1903">
        <w:t>)</w:t>
      </w:r>
      <w:r>
        <w:t>;</w:t>
      </w:r>
    </w:p>
    <w:p w:rsidR="00C962E5" w:rsidRDefault="00C962E5" w:rsidP="00F1605C">
      <w:pPr>
        <w:pStyle w:val="Citation-AltC"/>
        <w:numPr>
          <w:ilvl w:val="6"/>
          <w:numId w:val="1"/>
        </w:numPr>
        <w:spacing w:after="480" w:line="480" w:lineRule="auto"/>
        <w:ind w:left="1170" w:hanging="1170"/>
        <w:contextualSpacing w:val="0"/>
      </w:pPr>
      <w:r>
        <w:t>i</w:t>
      </w:r>
      <w:r w:rsidRPr="006E1903">
        <w:t xml:space="preserve">f the original trademark for a new product cannot be registered or if additional trademarks are necessary, </w:t>
      </w:r>
      <w:proofErr w:type="spellStart"/>
      <w:r w:rsidRPr="006E1903">
        <w:t>Glaxo</w:t>
      </w:r>
      <w:proofErr w:type="spellEnd"/>
      <w:r w:rsidRPr="006E1903">
        <w:t xml:space="preserve"> Group to </w:t>
      </w:r>
      <w:r>
        <w:t>take the necessary steps (s. 4(4)</w:t>
      </w:r>
      <w:r w:rsidRPr="006E1903">
        <w:t>)</w:t>
      </w:r>
      <w:r>
        <w:t>;</w:t>
      </w:r>
    </w:p>
    <w:p w:rsidR="00C962E5" w:rsidRDefault="00C962E5" w:rsidP="00F1605C">
      <w:pPr>
        <w:pStyle w:val="Citation-AltC"/>
        <w:numPr>
          <w:ilvl w:val="6"/>
          <w:numId w:val="1"/>
        </w:numPr>
        <w:spacing w:after="480" w:line="480" w:lineRule="auto"/>
        <w:ind w:left="1170" w:hanging="1170"/>
        <w:contextualSpacing w:val="0"/>
      </w:pPr>
      <w:proofErr w:type="spellStart"/>
      <w:r w:rsidRPr="006E1903">
        <w:t>Glaxo</w:t>
      </w:r>
      <w:proofErr w:type="spellEnd"/>
      <w:r w:rsidRPr="006E1903">
        <w:t xml:space="preserve"> Canada to have an opportunity to sub-licen</w:t>
      </w:r>
      <w:r>
        <w:t>s</w:t>
      </w:r>
      <w:r w:rsidRPr="006E1903">
        <w:t xml:space="preserve">e any new third party product obtained by </w:t>
      </w:r>
      <w:proofErr w:type="spellStart"/>
      <w:r w:rsidRPr="006E1903">
        <w:t>Glaxo</w:t>
      </w:r>
      <w:proofErr w:type="spellEnd"/>
      <w:r w:rsidRPr="006E1903">
        <w:t xml:space="preserve"> Group (</w:t>
      </w:r>
      <w:r>
        <w:t>s. 5(1)</w:t>
      </w:r>
      <w:r w:rsidRPr="006E1903">
        <w:t>)</w:t>
      </w:r>
      <w:r>
        <w:t>;</w:t>
      </w:r>
    </w:p>
    <w:p w:rsidR="00C962E5" w:rsidRDefault="00C962E5" w:rsidP="00F1605C">
      <w:pPr>
        <w:pStyle w:val="Citation-AltC"/>
        <w:numPr>
          <w:ilvl w:val="6"/>
          <w:numId w:val="1"/>
        </w:numPr>
        <w:spacing w:after="480" w:line="480" w:lineRule="auto"/>
        <w:ind w:left="1170" w:hanging="1170"/>
        <w:contextualSpacing w:val="0"/>
      </w:pPr>
      <w:r>
        <w:t>i</w:t>
      </w:r>
      <w:r w:rsidRPr="006E1903">
        <w:t xml:space="preserve">n regard to third party products, </w:t>
      </w:r>
      <w:proofErr w:type="spellStart"/>
      <w:r w:rsidRPr="006E1903">
        <w:t>Glaxo</w:t>
      </w:r>
      <w:proofErr w:type="spellEnd"/>
      <w:r w:rsidRPr="006E1903">
        <w:t xml:space="preserve"> Group to provide any information pertinent to the approval of the product by the Canada </w:t>
      </w:r>
      <w:r>
        <w:t>Health Protection Branch (s. 5(2)</w:t>
      </w:r>
      <w:r w:rsidRPr="006E1903">
        <w:t>)</w:t>
      </w:r>
      <w:r>
        <w:t>;</w:t>
      </w:r>
    </w:p>
    <w:p w:rsidR="00C962E5" w:rsidRPr="006E1903" w:rsidRDefault="00C962E5" w:rsidP="00F1605C">
      <w:pPr>
        <w:pStyle w:val="Citation-AltC"/>
        <w:numPr>
          <w:ilvl w:val="6"/>
          <w:numId w:val="1"/>
        </w:numPr>
        <w:spacing w:after="480" w:line="480" w:lineRule="auto"/>
        <w:ind w:left="1170" w:hanging="1170"/>
        <w:contextualSpacing w:val="0"/>
      </w:pPr>
      <w:proofErr w:type="spellStart"/>
      <w:r w:rsidRPr="006E1903">
        <w:t>Glaxo</w:t>
      </w:r>
      <w:proofErr w:type="spellEnd"/>
      <w:r w:rsidRPr="006E1903">
        <w:t xml:space="preserve"> Group to arrange that technical</w:t>
      </w:r>
      <w:r>
        <w:t xml:space="preserve"> information in regard to third </w:t>
      </w:r>
      <w:r w:rsidRPr="006E1903">
        <w:t xml:space="preserve">party products will be </w:t>
      </w:r>
      <w:r>
        <w:t xml:space="preserve">granted to </w:t>
      </w:r>
      <w:proofErr w:type="spellStart"/>
      <w:r>
        <w:t>Glaxo</w:t>
      </w:r>
      <w:proofErr w:type="spellEnd"/>
      <w:r>
        <w:t xml:space="preserve"> Canada (s. 5(4)</w:t>
      </w:r>
      <w:r w:rsidRPr="006E1903">
        <w:t>)</w:t>
      </w:r>
      <w:r>
        <w:t>.</w:t>
      </w:r>
    </w:p>
    <w:p w:rsidR="00C962E5" w:rsidRPr="006E1903" w:rsidRDefault="00C962E5" w:rsidP="00C962E5">
      <w:pPr>
        <w:pStyle w:val="ParaNoNdepar-AltN"/>
      </w:pPr>
      <w:r w:rsidRPr="006E1903">
        <w:t xml:space="preserve">Under the Supply Agreement, </w:t>
      </w:r>
      <w:proofErr w:type="spellStart"/>
      <w:r w:rsidRPr="006E1903">
        <w:t>Glaxo</w:t>
      </w:r>
      <w:proofErr w:type="spellEnd"/>
      <w:r w:rsidRPr="006E1903">
        <w:t xml:space="preserve"> Group set the transfer prices of the active ingredient, ranitidine, using the resale-price method as described by Rip A.C.J.: </w:t>
      </w:r>
    </w:p>
    <w:p w:rsidR="00C962E5" w:rsidRPr="006E1903" w:rsidRDefault="00C962E5" w:rsidP="00D56214">
      <w:pPr>
        <w:pStyle w:val="Citation-AltC"/>
        <w:tabs>
          <w:tab w:val="left" w:pos="1170"/>
          <w:tab w:val="left" w:pos="1620"/>
        </w:tabs>
        <w:spacing w:after="240"/>
        <w:ind w:left="1170" w:hanging="1170"/>
        <w:contextualSpacing w:val="0"/>
      </w:pPr>
      <w:r>
        <w:tab/>
      </w:r>
      <w:r w:rsidR="00F1605C">
        <w:tab/>
      </w:r>
      <w:proofErr w:type="spellStart"/>
      <w:r w:rsidRPr="006E1903">
        <w:t>Glaxo</w:t>
      </w:r>
      <w:proofErr w:type="spellEnd"/>
      <w:r w:rsidRPr="006E1903">
        <w:t xml:space="preserve"> World used what is referred to as a resale-price method to determine the transfer price of the API [active pharmaceutical ingredient]. </w:t>
      </w:r>
      <w:proofErr w:type="spellStart"/>
      <w:r w:rsidRPr="006E1903">
        <w:t>Glaxo</w:t>
      </w:r>
      <w:proofErr w:type="spellEnd"/>
      <w:r w:rsidRPr="006E1903">
        <w:t xml:space="preserve"> World and its distributors agreed that a gross margin of 60 percent would be retained by the distributors and the ranitidine was priced accordingly. To use a very simple example, if the ranitidine product was sold for $10 in Italy, the transfer price would be $4; if the </w:t>
      </w:r>
      <w:r w:rsidRPr="006E1903">
        <w:lastRenderedPageBreak/>
        <w:t>ranitidine product was sold for $20 in France, the transfer price would be $8. Appellant</w:t>
      </w:r>
      <w:r>
        <w:t>’</w:t>
      </w:r>
      <w:r w:rsidRPr="006E1903">
        <w:t>s counsel described the process as follows:</w:t>
      </w:r>
    </w:p>
    <w:p w:rsidR="00C962E5" w:rsidRDefault="00F1605C" w:rsidP="005170C6">
      <w:pPr>
        <w:pStyle w:val="Citation-AltC"/>
        <w:tabs>
          <w:tab w:val="left" w:pos="1620"/>
        </w:tabs>
        <w:spacing w:after="240"/>
        <w:ind w:left="1620" w:hanging="2160"/>
        <w:contextualSpacing w:val="0"/>
      </w:pPr>
      <w:r>
        <w:tab/>
      </w:r>
      <w:proofErr w:type="gramStart"/>
      <w:r w:rsidR="00C962E5" w:rsidRPr="006E1903">
        <w:t>the</w:t>
      </w:r>
      <w:proofErr w:type="gramEnd"/>
      <w:r w:rsidR="00C962E5" w:rsidRPr="006E1903">
        <w:t xml:space="preserve"> starting point for determining the price to the distributor was the in-market price for the finished ranitidine product;</w:t>
      </w:r>
    </w:p>
    <w:p w:rsidR="00C962E5" w:rsidRDefault="00F1605C" w:rsidP="005170C6">
      <w:pPr>
        <w:pStyle w:val="Citation-AltC"/>
        <w:tabs>
          <w:tab w:val="left" w:pos="1620"/>
        </w:tabs>
        <w:spacing w:after="240"/>
        <w:ind w:left="1620" w:hanging="2160"/>
        <w:contextualSpacing w:val="0"/>
      </w:pPr>
      <w:r>
        <w:tab/>
      </w:r>
      <w:r w:rsidR="00C962E5" w:rsidRPr="006E1903">
        <w:t xml:space="preserve">from that in-market price the parties agreed, assuming specified conditions were satisfied, a gross profit margin </w:t>
      </w:r>
      <w:r w:rsidR="00C962E5">
        <w:t>[</w:t>
      </w:r>
      <w:r w:rsidR="00C962E5" w:rsidRPr="006E1903">
        <w:t>to</w:t>
      </w:r>
      <w:r w:rsidR="00C962E5">
        <w:t>]</w:t>
      </w:r>
      <w:r w:rsidR="00C962E5" w:rsidRPr="006E1903">
        <w:t xml:space="preserve"> be retained by the distributor (approximately 60%); and</w:t>
      </w:r>
    </w:p>
    <w:p w:rsidR="00C962E5" w:rsidRDefault="00F1605C" w:rsidP="005170C6">
      <w:pPr>
        <w:pStyle w:val="Citation-AltC"/>
        <w:tabs>
          <w:tab w:val="left" w:pos="1620"/>
        </w:tabs>
        <w:spacing w:after="240"/>
        <w:ind w:left="1620" w:hanging="2160"/>
        <w:contextualSpacing w:val="0"/>
        <w:rPr>
          <w:szCs w:val="24"/>
        </w:rPr>
      </w:pPr>
      <w:r>
        <w:tab/>
      </w:r>
      <w:proofErr w:type="gramStart"/>
      <w:r w:rsidR="00C962E5" w:rsidRPr="006E1903">
        <w:t>the</w:t>
      </w:r>
      <w:proofErr w:type="gramEnd"/>
      <w:r w:rsidR="00C962E5" w:rsidRPr="006E1903">
        <w:t xml:space="preserve"> remainder would be remitted back to </w:t>
      </w:r>
      <w:proofErr w:type="spellStart"/>
      <w:r w:rsidR="00C962E5" w:rsidRPr="006E1903">
        <w:t>Glaxo</w:t>
      </w:r>
      <w:proofErr w:type="spellEnd"/>
      <w:r w:rsidR="00C962E5" w:rsidRPr="006E1903">
        <w:t xml:space="preserve"> Group in the form of transfer price, royalties, [or both]. Where the distributor was to pay both transfer prices and royalties, they would be considered </w:t>
      </w:r>
      <w:r w:rsidR="00C962E5" w:rsidRPr="005B083E">
        <w:rPr>
          <w:szCs w:val="24"/>
        </w:rPr>
        <w:t>together to determine the distributor</w:t>
      </w:r>
      <w:r w:rsidR="00C962E5">
        <w:rPr>
          <w:szCs w:val="24"/>
        </w:rPr>
        <w:t>’</w:t>
      </w:r>
      <w:r w:rsidR="00C962E5" w:rsidRPr="005B083E">
        <w:rPr>
          <w:szCs w:val="24"/>
        </w:rPr>
        <w:t>s gross profit margin after payment of the royalty.</w:t>
      </w:r>
      <w:r w:rsidR="00C962E5">
        <w:rPr>
          <w:szCs w:val="24"/>
        </w:rPr>
        <w:t xml:space="preserve"> [</w:t>
      </w:r>
      <w:proofErr w:type="spellStart"/>
      <w:r w:rsidR="00C962E5">
        <w:rPr>
          <w:szCs w:val="24"/>
        </w:rPr>
        <w:t>para</w:t>
      </w:r>
      <w:proofErr w:type="spellEnd"/>
      <w:r w:rsidR="00C962E5">
        <w:rPr>
          <w:szCs w:val="24"/>
        </w:rPr>
        <w:t>. 47]</w:t>
      </w:r>
    </w:p>
    <w:p w:rsidR="00F1605C" w:rsidRPr="005B083E" w:rsidRDefault="00F1605C" w:rsidP="005170C6">
      <w:pPr>
        <w:pStyle w:val="Citation-AltC"/>
        <w:ind w:left="1170" w:hanging="1620"/>
        <w:rPr>
          <w:szCs w:val="24"/>
        </w:rPr>
      </w:pPr>
      <w:r>
        <w:rPr>
          <w:szCs w:val="24"/>
        </w:rPr>
        <w:tab/>
        <w:t>(2008 TCC 325, 2008 D.T.C. 3957)</w:t>
      </w:r>
    </w:p>
    <w:p w:rsidR="00C962E5" w:rsidRPr="006E1903" w:rsidRDefault="00C962E5" w:rsidP="00C962E5">
      <w:pPr>
        <w:pStyle w:val="ContinueParaSuitedupar-AltP"/>
      </w:pPr>
      <w:r w:rsidRPr="006E1903">
        <w:t xml:space="preserve">This method resulted in prices of over $1,500 per kilogram for ranitidine paid by </w:t>
      </w:r>
      <w:proofErr w:type="spellStart"/>
      <w:r w:rsidRPr="006E1903">
        <w:t>Glaxo</w:t>
      </w:r>
      <w:proofErr w:type="spellEnd"/>
      <w:r w:rsidRPr="006E1903">
        <w:t xml:space="preserve"> Canada to </w:t>
      </w:r>
      <w:proofErr w:type="spellStart"/>
      <w:r w:rsidRPr="006E1903">
        <w:t>Adechsa</w:t>
      </w:r>
      <w:proofErr w:type="spellEnd"/>
      <w:r w:rsidRPr="006E1903">
        <w:t xml:space="preserve">.  The combined effect of the Licence and Supply agreements enabled </w:t>
      </w:r>
      <w:proofErr w:type="spellStart"/>
      <w:r w:rsidRPr="006E1903">
        <w:t>Glaxo</w:t>
      </w:r>
      <w:proofErr w:type="spellEnd"/>
      <w:r w:rsidRPr="006E1903">
        <w:t xml:space="preserve"> Canada, among other things, to purchase the active ingredient ranitidine, put it in a delivery mechanism, and market it under the trademark Zantac.</w:t>
      </w:r>
    </w:p>
    <w:p w:rsidR="00C962E5" w:rsidRPr="006E1903" w:rsidRDefault="00C962E5" w:rsidP="00C962E5">
      <w:pPr>
        <w:pStyle w:val="ParaNoNdepar-AltN"/>
      </w:pPr>
      <w:r w:rsidRPr="006E1903">
        <w:t xml:space="preserve">During the taxation years in issue, two Canadian generic pharmaceutical companies, </w:t>
      </w:r>
      <w:proofErr w:type="spellStart"/>
      <w:r w:rsidRPr="006E1903">
        <w:t>Apotex</w:t>
      </w:r>
      <w:proofErr w:type="spellEnd"/>
      <w:r w:rsidRPr="006E1903">
        <w:t xml:space="preserve"> and </w:t>
      </w:r>
      <w:proofErr w:type="spellStart"/>
      <w:r w:rsidRPr="006E1903">
        <w:t>Novopharm</w:t>
      </w:r>
      <w:proofErr w:type="spellEnd"/>
      <w:r w:rsidRPr="006E1903">
        <w:t xml:space="preserve">, sold generic anti-ulcer pharmaceutical products in Canada.  These companies purchased ranitidine at lower prices than </w:t>
      </w:r>
      <w:proofErr w:type="spellStart"/>
      <w:r w:rsidRPr="006E1903">
        <w:t>Glaxo</w:t>
      </w:r>
      <w:proofErr w:type="spellEnd"/>
      <w:r w:rsidRPr="006E1903">
        <w:t xml:space="preserve"> Canada, between $194 and $304 per kilo</w:t>
      </w:r>
      <w:r>
        <w:t>gram</w:t>
      </w:r>
      <w:r w:rsidRPr="006E1903">
        <w:t xml:space="preserve">, from arm’s length suppliers.  There was no evidence that the supply contracts of </w:t>
      </w:r>
      <w:proofErr w:type="spellStart"/>
      <w:r w:rsidRPr="006E1903">
        <w:t>Apotex</w:t>
      </w:r>
      <w:proofErr w:type="spellEnd"/>
      <w:r w:rsidRPr="006E1903">
        <w:t xml:space="preserve"> or </w:t>
      </w:r>
      <w:proofErr w:type="spellStart"/>
      <w:r w:rsidRPr="006E1903">
        <w:t>Novopharm</w:t>
      </w:r>
      <w:proofErr w:type="spellEnd"/>
      <w:r w:rsidRPr="006E1903">
        <w:t xml:space="preserve"> conferred anything beyond the supply of ranitidine.</w:t>
      </w:r>
    </w:p>
    <w:p w:rsidR="00C962E5" w:rsidRPr="006E1903" w:rsidRDefault="00C962E5" w:rsidP="00C962E5">
      <w:pPr>
        <w:pStyle w:val="ParaNoNdepar-AltN"/>
      </w:pPr>
      <w:r w:rsidRPr="006E1903">
        <w:lastRenderedPageBreak/>
        <w:t>These generic companies were able to market generic versions of drugs whose patent was still in effect by reason of the compulsory licensing scheme that existed for pharmaceutical products in Canada up to February 1993</w:t>
      </w:r>
      <w:r>
        <w:t xml:space="preserve"> (</w:t>
      </w:r>
      <w:r w:rsidRPr="009F5AED">
        <w:rPr>
          <w:i/>
        </w:rPr>
        <w:t>Patent Act Amendment Act, 1992</w:t>
      </w:r>
      <w:r>
        <w:t>, S.C. 1993, c.</w:t>
      </w:r>
      <w:r w:rsidR="008A584B">
        <w:t xml:space="preserve"> </w:t>
      </w:r>
      <w:r>
        <w:t>2)</w:t>
      </w:r>
      <w:r w:rsidRPr="006E1903">
        <w:t xml:space="preserve">.  This scheme allowed generic versions of patented pharmaceutical products to be marketed and sold in Canada in exchange for a royalty payment to the patent owner.  The licences granted to </w:t>
      </w:r>
      <w:proofErr w:type="spellStart"/>
      <w:r w:rsidRPr="006E1903">
        <w:t>Apotex</w:t>
      </w:r>
      <w:proofErr w:type="spellEnd"/>
      <w:r w:rsidRPr="006E1903">
        <w:t xml:space="preserve"> and </w:t>
      </w:r>
      <w:proofErr w:type="spellStart"/>
      <w:r w:rsidRPr="006E1903">
        <w:t>Novopharm</w:t>
      </w:r>
      <w:proofErr w:type="spellEnd"/>
      <w:r w:rsidRPr="006E1903">
        <w:t xml:space="preserve"> pre</w:t>
      </w:r>
      <w:r>
        <w:t>d</w:t>
      </w:r>
      <w:r w:rsidRPr="006E1903">
        <w:t>ated December 20, 1991, and therefore continued to subsist, notwithstanding repeal of the compulsory l</w:t>
      </w:r>
      <w:r>
        <w:t>icens</w:t>
      </w:r>
      <w:r w:rsidRPr="006E1903">
        <w:t>ing scheme in February 1993</w:t>
      </w:r>
      <w:r>
        <w:t xml:space="preserve"> (ad. </w:t>
      </w:r>
      <w:r w:rsidRPr="00D0113F">
        <w:rPr>
          <w:i/>
        </w:rPr>
        <w:t>idem</w:t>
      </w:r>
      <w:r>
        <w:t>, s. 11(1))</w:t>
      </w:r>
      <w:r w:rsidRPr="006E1903">
        <w:t>.</w:t>
      </w:r>
    </w:p>
    <w:p w:rsidR="00C962E5" w:rsidRPr="006E1903" w:rsidRDefault="00C962E5" w:rsidP="00C962E5">
      <w:pPr>
        <w:pStyle w:val="ParaNoNdepar-AltN"/>
      </w:pPr>
      <w:r w:rsidRPr="006E1903">
        <w:t xml:space="preserve">The Minister reassessed </w:t>
      </w:r>
      <w:proofErr w:type="spellStart"/>
      <w:r w:rsidRPr="006E1903">
        <w:t>Glaxo</w:t>
      </w:r>
      <w:proofErr w:type="spellEnd"/>
      <w:r w:rsidRPr="006E1903">
        <w:t xml:space="preserve"> Canada for its 1990, 1991, 1992, and 1993 taxation years, increasing its income by some $51 milli</w:t>
      </w:r>
      <w:r>
        <w:t xml:space="preserve">on </w:t>
      </w:r>
      <w:r w:rsidRPr="006E1903">
        <w:t xml:space="preserve">under s. 69(2) of the Act on the basis that it had paid </w:t>
      </w:r>
      <w:proofErr w:type="spellStart"/>
      <w:r w:rsidRPr="006E1903">
        <w:t>Adechsa</w:t>
      </w:r>
      <w:proofErr w:type="spellEnd"/>
      <w:r w:rsidRPr="006E1903">
        <w:t xml:space="preserve"> more than a reasonable amount for the purchase of ranitidine. </w:t>
      </w:r>
    </w:p>
    <w:p w:rsidR="00C962E5" w:rsidRPr="00434353" w:rsidRDefault="00C962E5" w:rsidP="00C962E5">
      <w:pPr>
        <w:pStyle w:val="TitleTitre-AltT"/>
        <w:tabs>
          <w:tab w:val="clear" w:pos="360"/>
        </w:tabs>
        <w:ind w:left="720" w:hanging="720"/>
      </w:pPr>
      <w:r>
        <w:t>III.</w:t>
      </w:r>
      <w:r>
        <w:tab/>
      </w:r>
      <w:r w:rsidRPr="00434353">
        <w:rPr>
          <w:u w:val="single"/>
        </w:rPr>
        <w:t>Tax Court of Canada</w:t>
      </w:r>
      <w:r>
        <w:rPr>
          <w:u w:val="single"/>
        </w:rPr>
        <w:t>, 2008 TCC 324, 2008 D.T.C. 3957</w:t>
      </w:r>
      <w:r w:rsidRPr="00434353">
        <w:rPr>
          <w:u w:val="single"/>
        </w:rPr>
        <w:t xml:space="preserve"> (Rip A.C.J.)</w:t>
      </w:r>
    </w:p>
    <w:p w:rsidR="00C962E5" w:rsidRPr="006E1903" w:rsidRDefault="00C962E5" w:rsidP="00C962E5">
      <w:pPr>
        <w:pStyle w:val="ParaNoNdepar-AltN"/>
      </w:pPr>
      <w:r w:rsidRPr="006E1903">
        <w:t xml:space="preserve">Rip A.C.J. affirmed the Minister’s reassessment.  He found that </w:t>
      </w:r>
      <w:r w:rsidRPr="006E1903">
        <w:rPr>
          <w:i/>
        </w:rPr>
        <w:t>Singleton v. Canada</w:t>
      </w:r>
      <w:r w:rsidRPr="006E1903">
        <w:t xml:space="preserve">, </w:t>
      </w:r>
      <w:r>
        <w:t xml:space="preserve">2001 SCC 61, </w:t>
      </w:r>
      <w:r w:rsidRPr="006E1903">
        <w:t>[2001] 2 S.C.R. 1046</w:t>
      </w:r>
      <w:r>
        <w:t>,</w:t>
      </w:r>
      <w:r w:rsidRPr="006E1903">
        <w:t xml:space="preserve"> required the Licence and Supply </w:t>
      </w:r>
      <w:r>
        <w:t>a</w:t>
      </w:r>
      <w:r w:rsidRPr="006E1903">
        <w:t>greements to be considered independently.  As a result, he did not consider whether the rights and benefits under the Licence Agreement were a relevant circumstance in determining the appropriate arm’s length price for the supply of ranitidine.</w:t>
      </w:r>
    </w:p>
    <w:p w:rsidR="00C962E5" w:rsidRPr="006E1903" w:rsidRDefault="00C962E5" w:rsidP="00C962E5">
      <w:pPr>
        <w:pStyle w:val="ParaNoNdepar-AltN"/>
        <w:autoSpaceDE w:val="0"/>
        <w:autoSpaceDN w:val="0"/>
        <w:adjustRightInd w:val="0"/>
      </w:pPr>
      <w:r w:rsidRPr="006E1903">
        <w:lastRenderedPageBreak/>
        <w:t xml:space="preserve">Rip A.C.J. employed the </w:t>
      </w:r>
      <w:r>
        <w:t>c</w:t>
      </w:r>
      <w:r w:rsidRPr="006E1903">
        <w:t xml:space="preserve">omparable </w:t>
      </w:r>
      <w:r>
        <w:t>u</w:t>
      </w:r>
      <w:r w:rsidRPr="006E1903">
        <w:t xml:space="preserve">ncontrolled </w:t>
      </w:r>
      <w:r>
        <w:t>p</w:t>
      </w:r>
      <w:r w:rsidRPr="006E1903">
        <w:t>rice (“CUP”) method, referred to in the</w:t>
      </w:r>
      <w:r>
        <w:t xml:space="preserve"> Organisation for Economic Co-operation and Development (“OECD”)</w:t>
      </w:r>
      <w:r w:rsidRPr="006E1903">
        <w:t xml:space="preserve"> </w:t>
      </w:r>
      <w:r w:rsidRPr="006E1903">
        <w:rPr>
          <w:i/>
          <w:iCs/>
          <w:szCs w:val="24"/>
        </w:rPr>
        <w:t xml:space="preserve">Transfer Pricing and Multinational Enterprises: Report of the OECD Committee on Fiscal Affairs </w:t>
      </w:r>
      <w:r>
        <w:rPr>
          <w:iCs/>
          <w:szCs w:val="24"/>
        </w:rPr>
        <w:t>(</w:t>
      </w:r>
      <w:r w:rsidRPr="006E1903">
        <w:rPr>
          <w:szCs w:val="24"/>
        </w:rPr>
        <w:t>1979) (</w:t>
      </w:r>
      <w:r>
        <w:rPr>
          <w:szCs w:val="24"/>
        </w:rPr>
        <w:t xml:space="preserve">the </w:t>
      </w:r>
      <w:r w:rsidRPr="006E1903">
        <w:rPr>
          <w:szCs w:val="24"/>
        </w:rPr>
        <w:t xml:space="preserve">“1979 </w:t>
      </w:r>
      <w:r w:rsidRPr="006E1903">
        <w:rPr>
          <w:i/>
          <w:szCs w:val="24"/>
        </w:rPr>
        <w:t>Guidelines</w:t>
      </w:r>
      <w:r w:rsidRPr="006E1903">
        <w:rPr>
          <w:szCs w:val="24"/>
        </w:rPr>
        <w:t>”)</w:t>
      </w:r>
      <w:r>
        <w:rPr>
          <w:szCs w:val="24"/>
        </w:rPr>
        <w:t xml:space="preserve"> and the OECD’s revised 1995 </w:t>
      </w:r>
      <w:r w:rsidRPr="00D0113F">
        <w:rPr>
          <w:i/>
          <w:szCs w:val="24"/>
        </w:rPr>
        <w:t>Transfer Pricing Guidelines for Multinational Enterprises and Tax Administrations</w:t>
      </w:r>
      <w:r>
        <w:rPr>
          <w:szCs w:val="24"/>
        </w:rPr>
        <w:t xml:space="preserve"> (1995) (the “1995 </w:t>
      </w:r>
      <w:r w:rsidRPr="00D0113F">
        <w:rPr>
          <w:i/>
          <w:szCs w:val="24"/>
        </w:rPr>
        <w:t>Guidelines</w:t>
      </w:r>
      <w:r>
        <w:rPr>
          <w:szCs w:val="24"/>
        </w:rPr>
        <w:t>”)</w:t>
      </w:r>
      <w:r w:rsidRPr="006E1903">
        <w:rPr>
          <w:szCs w:val="24"/>
        </w:rPr>
        <w:t xml:space="preserve">, </w:t>
      </w:r>
      <w:r w:rsidRPr="006E1903">
        <w:t xml:space="preserve">to test the reasonableness of </w:t>
      </w:r>
      <w:proofErr w:type="spellStart"/>
      <w:r w:rsidRPr="006E1903">
        <w:t>Glaxo</w:t>
      </w:r>
      <w:proofErr w:type="spellEnd"/>
      <w:r w:rsidRPr="006E1903">
        <w:t xml:space="preserve"> Canada’s ranitidine transactions.  He found that the appropriate comparator transaction was the highest price paid by the generic pharmaceutical companies for ranitidine from arm’s length suppliers.  Under this approach, he found the prices </w:t>
      </w:r>
      <w:proofErr w:type="spellStart"/>
      <w:r w:rsidRPr="006E1903">
        <w:t>Glaxo</w:t>
      </w:r>
      <w:proofErr w:type="spellEnd"/>
      <w:r w:rsidRPr="006E1903">
        <w:t xml:space="preserve"> Canada paid to </w:t>
      </w:r>
      <w:proofErr w:type="spellStart"/>
      <w:r w:rsidRPr="006E1903">
        <w:t>Adechsa</w:t>
      </w:r>
      <w:proofErr w:type="spellEnd"/>
      <w:r w:rsidRPr="006E1903">
        <w:t xml:space="preserve"> for ranitidine were greater than the reasonable amount had they been dealing at arm’s length.  Aside from allowing a $25</w:t>
      </w:r>
      <w:r>
        <w:t xml:space="preserve"> per kilogram</w:t>
      </w:r>
      <w:r w:rsidRPr="006E1903">
        <w:t xml:space="preserve"> increment for granulation, he upheld the reassessment of the Minister.</w:t>
      </w:r>
    </w:p>
    <w:p w:rsidR="00C962E5" w:rsidRPr="00386748" w:rsidRDefault="00C962E5" w:rsidP="00C962E5">
      <w:pPr>
        <w:pStyle w:val="TitleTitre-AltT"/>
        <w:tabs>
          <w:tab w:val="clear" w:pos="360"/>
        </w:tabs>
        <w:ind w:left="720" w:hanging="720"/>
      </w:pPr>
      <w:r>
        <w:t>IV.</w:t>
      </w:r>
      <w:r>
        <w:tab/>
      </w:r>
      <w:r w:rsidRPr="00386748">
        <w:rPr>
          <w:u w:val="single"/>
        </w:rPr>
        <w:t>Federal Court of Appeal</w:t>
      </w:r>
      <w:r>
        <w:rPr>
          <w:u w:val="single"/>
        </w:rPr>
        <w:t>, 2010 FCA 201, 405 N.R. 307 (</w:t>
      </w:r>
      <w:proofErr w:type="spellStart"/>
      <w:r>
        <w:rPr>
          <w:u w:val="single"/>
        </w:rPr>
        <w:t>Nadon</w:t>
      </w:r>
      <w:proofErr w:type="spellEnd"/>
      <w:r>
        <w:rPr>
          <w:u w:val="single"/>
        </w:rPr>
        <w:t xml:space="preserve">, </w:t>
      </w:r>
      <w:proofErr w:type="spellStart"/>
      <w:r>
        <w:rPr>
          <w:u w:val="single"/>
        </w:rPr>
        <w:t>Layden</w:t>
      </w:r>
      <w:proofErr w:type="spellEnd"/>
      <w:r>
        <w:rPr>
          <w:u w:val="single"/>
        </w:rPr>
        <w:t xml:space="preserve">-Stevenson and </w:t>
      </w:r>
      <w:proofErr w:type="spellStart"/>
      <w:r>
        <w:rPr>
          <w:u w:val="single"/>
        </w:rPr>
        <w:t>Stratas</w:t>
      </w:r>
      <w:proofErr w:type="spellEnd"/>
      <w:r>
        <w:rPr>
          <w:u w:val="single"/>
        </w:rPr>
        <w:t xml:space="preserve"> JJ.A.)</w:t>
      </w:r>
    </w:p>
    <w:p w:rsidR="00C962E5" w:rsidRPr="006E1903" w:rsidRDefault="00C962E5" w:rsidP="00C962E5">
      <w:pPr>
        <w:pStyle w:val="ParaNoNdepar-AltN"/>
      </w:pPr>
      <w:proofErr w:type="spellStart"/>
      <w:r w:rsidRPr="006E1903">
        <w:t>Nadon</w:t>
      </w:r>
      <w:proofErr w:type="spellEnd"/>
      <w:r w:rsidRPr="006E1903">
        <w:t xml:space="preserve"> J.A., writing for a unanimous panel, found that the Tax Court had erred in not considering the Licence Agreement when determining whether the prices paid by </w:t>
      </w:r>
      <w:proofErr w:type="spellStart"/>
      <w:r w:rsidRPr="006E1903">
        <w:t>Glaxo</w:t>
      </w:r>
      <w:proofErr w:type="spellEnd"/>
      <w:r w:rsidRPr="006E1903">
        <w:t xml:space="preserve"> Canada for ranitidine were reasonable under s. 69(2).  He said that </w:t>
      </w:r>
      <w:r w:rsidRPr="006E1903">
        <w:rPr>
          <w:i/>
        </w:rPr>
        <w:t>Singleton</w:t>
      </w:r>
      <w:r w:rsidRPr="006E1903">
        <w:t xml:space="preserve"> was not relevant and that the test of “reasonable in the circumstances” included all circumstances that an arm’s length purchaser would have to consider.  Based on </w:t>
      </w:r>
      <w:proofErr w:type="spellStart"/>
      <w:r w:rsidRPr="006E1903">
        <w:rPr>
          <w:i/>
        </w:rPr>
        <w:t>Gabco</w:t>
      </w:r>
      <w:proofErr w:type="spellEnd"/>
      <w:r w:rsidRPr="006E1903">
        <w:rPr>
          <w:i/>
        </w:rPr>
        <w:t xml:space="preserve"> L</w:t>
      </w:r>
      <w:r w:rsidR="008A584B">
        <w:rPr>
          <w:i/>
        </w:rPr>
        <w:t>t</w:t>
      </w:r>
      <w:r w:rsidRPr="006E1903">
        <w:rPr>
          <w:i/>
        </w:rPr>
        <w:t>d</w:t>
      </w:r>
      <w:r w:rsidR="008A584B">
        <w:rPr>
          <w:i/>
        </w:rPr>
        <w:t>.</w:t>
      </w:r>
      <w:r w:rsidRPr="006E1903">
        <w:rPr>
          <w:i/>
        </w:rPr>
        <w:t xml:space="preserve"> v. Minister of National Revenue </w:t>
      </w:r>
      <w:r w:rsidRPr="006E1903">
        <w:t xml:space="preserve">(1968), </w:t>
      </w:r>
      <w:r>
        <w:t xml:space="preserve">68 </w:t>
      </w:r>
      <w:r w:rsidRPr="006E1903">
        <w:t>D</w:t>
      </w:r>
      <w:r>
        <w:t>.</w:t>
      </w:r>
      <w:r w:rsidRPr="006E1903">
        <w:t>T</w:t>
      </w:r>
      <w:r>
        <w:t>.</w:t>
      </w:r>
      <w:r w:rsidRPr="006E1903">
        <w:t>C</w:t>
      </w:r>
      <w:r>
        <w:t>.</w:t>
      </w:r>
      <w:r w:rsidRPr="006E1903">
        <w:t xml:space="preserve"> 5210</w:t>
      </w:r>
      <w:r w:rsidR="008A584B">
        <w:t xml:space="preserve"> (Ex. Ct.),</w:t>
      </w:r>
      <w:r w:rsidRPr="006E1903">
        <w:t xml:space="preserve"> </w:t>
      </w:r>
      <w:proofErr w:type="spellStart"/>
      <w:r w:rsidRPr="006E1903">
        <w:t>Nadon</w:t>
      </w:r>
      <w:proofErr w:type="spellEnd"/>
      <w:r w:rsidRPr="006E1903">
        <w:t xml:space="preserve"> J.A. adopted the “reasonable business </w:t>
      </w:r>
      <w:r>
        <w:t>person</w:t>
      </w:r>
      <w:r w:rsidRPr="006E1903">
        <w:t xml:space="preserve">” test, which required an inquiry into the circumstances that an arm’s length purchaser would consider relevant </w:t>
      </w:r>
      <w:r w:rsidRPr="006E1903">
        <w:lastRenderedPageBreak/>
        <w:t>when deciding what price to pay</w:t>
      </w:r>
      <w:r>
        <w:t xml:space="preserve"> (</w:t>
      </w:r>
      <w:proofErr w:type="spellStart"/>
      <w:r>
        <w:t>para</w:t>
      </w:r>
      <w:proofErr w:type="spellEnd"/>
      <w:r>
        <w:t>. 69)</w:t>
      </w:r>
      <w:r w:rsidRPr="006E1903">
        <w:t xml:space="preserve">.  He found that Rip A.C.J. had erred when he assessed the “fair market value” of ranitidine based on </w:t>
      </w:r>
      <w:r>
        <w:t>the amounts paid by the generic pharmaceutical companies</w:t>
      </w:r>
      <w:r w:rsidRPr="006E1903">
        <w:t xml:space="preserve"> to arm’s length suppliers. </w:t>
      </w:r>
    </w:p>
    <w:p w:rsidR="00C962E5" w:rsidRPr="006E1903" w:rsidRDefault="00C962E5" w:rsidP="00C962E5">
      <w:pPr>
        <w:pStyle w:val="ParaNoNdepar-AltN"/>
      </w:pPr>
      <w:r w:rsidRPr="006E1903">
        <w:t xml:space="preserve">Having determined that </w:t>
      </w:r>
      <w:r w:rsidRPr="006E1903">
        <w:rPr>
          <w:i/>
        </w:rPr>
        <w:t>Singleton</w:t>
      </w:r>
      <w:r w:rsidRPr="006E1903">
        <w:t xml:space="preserve"> did not preclude looking at </w:t>
      </w:r>
      <w:r>
        <w:t>both the Supply and Licence a</w:t>
      </w:r>
      <w:r w:rsidRPr="006E1903">
        <w:t xml:space="preserve">greements and applying the “reasonable business </w:t>
      </w:r>
      <w:r>
        <w:t>person</w:t>
      </w:r>
      <w:r w:rsidRPr="006E1903">
        <w:t xml:space="preserve">” test, Justice </w:t>
      </w:r>
      <w:proofErr w:type="spellStart"/>
      <w:r w:rsidRPr="006E1903">
        <w:t>Nadon</w:t>
      </w:r>
      <w:proofErr w:type="spellEnd"/>
      <w:r w:rsidRPr="006E1903">
        <w:t xml:space="preserve"> found that the Licence Agreement was central to </w:t>
      </w:r>
      <w:proofErr w:type="spellStart"/>
      <w:r w:rsidRPr="006E1903">
        <w:t>Glaxo</w:t>
      </w:r>
      <w:proofErr w:type="spellEnd"/>
      <w:r w:rsidRPr="006E1903">
        <w:t xml:space="preserve"> Canada’s business reality, and that it would be so even if the relationship with </w:t>
      </w:r>
      <w:proofErr w:type="spellStart"/>
      <w:r w:rsidRPr="006E1903">
        <w:t>Adechsa</w:t>
      </w:r>
      <w:proofErr w:type="spellEnd"/>
      <w:r w:rsidRPr="006E1903">
        <w:t xml:space="preserve"> was at arm’s length.  Therefore, it was a “circumstance” that had to be taken into account when determining whether the prices paid by </w:t>
      </w:r>
      <w:proofErr w:type="spellStart"/>
      <w:r w:rsidRPr="006E1903">
        <w:t>Glaxo</w:t>
      </w:r>
      <w:proofErr w:type="spellEnd"/>
      <w:r w:rsidRPr="006E1903">
        <w:t xml:space="preserve"> Canada for ranitidine were reasonable.  In his view, the Tax Court erred in using the purchase prices of ranitidine of the generic pharmaceutical companies to determine whether the </w:t>
      </w:r>
      <w:proofErr w:type="spellStart"/>
      <w:r w:rsidRPr="006E1903">
        <w:t>Glaxo</w:t>
      </w:r>
      <w:proofErr w:type="spellEnd"/>
      <w:r w:rsidRPr="006E1903">
        <w:t xml:space="preserve"> Canada prices were reasonable, as the Licence Agreement created fundamentally different circumstances for </w:t>
      </w:r>
      <w:proofErr w:type="spellStart"/>
      <w:r w:rsidRPr="006E1903">
        <w:t>Glaxo</w:t>
      </w:r>
      <w:proofErr w:type="spellEnd"/>
      <w:r w:rsidRPr="006E1903">
        <w:t xml:space="preserve"> Canada’s transactions.</w:t>
      </w:r>
    </w:p>
    <w:p w:rsidR="00C962E5" w:rsidRPr="006E1903" w:rsidRDefault="00C962E5" w:rsidP="00C962E5">
      <w:pPr>
        <w:pStyle w:val="ParaNoNdepar-AltN"/>
      </w:pPr>
      <w:r w:rsidRPr="006E1903">
        <w:t xml:space="preserve">However, </w:t>
      </w:r>
      <w:proofErr w:type="spellStart"/>
      <w:r w:rsidRPr="006E1903">
        <w:t>Nadon</w:t>
      </w:r>
      <w:proofErr w:type="spellEnd"/>
      <w:r w:rsidRPr="006E1903">
        <w:t xml:space="preserve"> J.A. found that the burden on the taxpayer had not been fully discharged as the “reasonable amount” remained to be determined for </w:t>
      </w:r>
      <w:proofErr w:type="spellStart"/>
      <w:r w:rsidRPr="006E1903">
        <w:t>Glaxo</w:t>
      </w:r>
      <w:proofErr w:type="spellEnd"/>
      <w:r w:rsidRPr="006E1903">
        <w:t xml:space="preserve"> Canada’s ranitidine transactions.  He remitted the matter to the Tax Court for redetermination.</w:t>
      </w:r>
    </w:p>
    <w:p w:rsidR="00C962E5" w:rsidRPr="00554AB7" w:rsidRDefault="00C962E5" w:rsidP="00C962E5">
      <w:pPr>
        <w:pStyle w:val="TitleTitre-AltT"/>
        <w:tabs>
          <w:tab w:val="clear" w:pos="360"/>
        </w:tabs>
        <w:ind w:left="720" w:hanging="720"/>
      </w:pPr>
      <w:r>
        <w:t>V.</w:t>
      </w:r>
      <w:r>
        <w:tab/>
      </w:r>
      <w:r w:rsidRPr="00554AB7">
        <w:rPr>
          <w:u w:val="single"/>
        </w:rPr>
        <w:t>Analysis</w:t>
      </w:r>
    </w:p>
    <w:p w:rsidR="00C962E5" w:rsidRPr="00554AB7" w:rsidRDefault="00C962E5" w:rsidP="00C962E5">
      <w:pPr>
        <w:pStyle w:val="TitleTitre-AltT"/>
        <w:tabs>
          <w:tab w:val="clear" w:pos="360"/>
        </w:tabs>
        <w:ind w:left="720" w:hanging="720"/>
      </w:pPr>
      <w:r w:rsidRPr="00554AB7">
        <w:t>A</w:t>
      </w:r>
      <w:r>
        <w:t>.</w:t>
      </w:r>
      <w:r>
        <w:tab/>
      </w:r>
      <w:r w:rsidRPr="00554AB7">
        <w:rPr>
          <w:i/>
        </w:rPr>
        <w:t>Transfer Pricing in the Income Tax Act</w:t>
      </w:r>
    </w:p>
    <w:p w:rsidR="00C962E5" w:rsidRPr="006E1903" w:rsidRDefault="00C962E5" w:rsidP="00C46AF7">
      <w:pPr>
        <w:pStyle w:val="ParaNoNdepar-AltN"/>
      </w:pPr>
      <w:r w:rsidRPr="006E1903">
        <w:lastRenderedPageBreak/>
        <w:t xml:space="preserve">The first transfer pricing provision in the Canadian </w:t>
      </w:r>
      <w:r w:rsidRPr="006E1903">
        <w:rPr>
          <w:i/>
        </w:rPr>
        <w:t>Income Tax Act</w:t>
      </w:r>
      <w:r w:rsidRPr="006E1903">
        <w:t xml:space="preserve"> was enacted as </w:t>
      </w:r>
      <w:r>
        <w:t>s. 23</w:t>
      </w:r>
      <w:r w:rsidRPr="006E1903">
        <w:t xml:space="preserve">B of the </w:t>
      </w:r>
      <w:r w:rsidRPr="006E1903">
        <w:rPr>
          <w:i/>
        </w:rPr>
        <w:t>Income War Tax Act</w:t>
      </w:r>
      <w:r w:rsidRPr="006E1903">
        <w:t xml:space="preserve">, </w:t>
      </w:r>
      <w:r>
        <w:t xml:space="preserve">R.S.C. 1927, c. 97, by </w:t>
      </w:r>
      <w:r w:rsidRPr="00554AB7">
        <w:rPr>
          <w:i/>
        </w:rPr>
        <w:t xml:space="preserve">An Act to </w:t>
      </w:r>
      <w:r>
        <w:rPr>
          <w:i/>
        </w:rPr>
        <w:t>a</w:t>
      </w:r>
      <w:r w:rsidRPr="00554AB7">
        <w:rPr>
          <w:i/>
        </w:rPr>
        <w:t>mend the Income War Tax Act</w:t>
      </w:r>
      <w:r>
        <w:t xml:space="preserve">, </w:t>
      </w:r>
      <w:r w:rsidRPr="006E1903">
        <w:t xml:space="preserve">S.C. 1939, c. 46, s. 13.  The provision was re-enacted as s. 17(3) of </w:t>
      </w:r>
      <w:r w:rsidRPr="00554AB7">
        <w:rPr>
          <w:i/>
        </w:rPr>
        <w:t>The</w:t>
      </w:r>
      <w:r w:rsidRPr="006E1903">
        <w:t xml:space="preserve"> </w:t>
      </w:r>
      <w:r w:rsidRPr="006E1903">
        <w:rPr>
          <w:i/>
        </w:rPr>
        <w:t>Income Tax Act</w:t>
      </w:r>
      <w:r w:rsidRPr="005D4962">
        <w:t>,</w:t>
      </w:r>
      <w:r w:rsidRPr="006E1903">
        <w:rPr>
          <w:i/>
        </w:rPr>
        <w:t xml:space="preserve"> </w:t>
      </w:r>
      <w:r w:rsidRPr="006E1903">
        <w:t>S.C. 1948</w:t>
      </w:r>
      <w:r>
        <w:t>, c. 52,</w:t>
      </w:r>
      <w:r w:rsidRPr="006E1903">
        <w:t xml:space="preserve"> and again as s. 17(3) of the </w:t>
      </w:r>
      <w:r w:rsidRPr="006E1903">
        <w:rPr>
          <w:i/>
        </w:rPr>
        <w:t>Income Tax Act</w:t>
      </w:r>
      <w:r w:rsidRPr="006E1903">
        <w:t xml:space="preserve">, R.S.C. 1952, </w:t>
      </w:r>
      <w:proofErr w:type="gramStart"/>
      <w:r w:rsidRPr="006E1903">
        <w:t>c</w:t>
      </w:r>
      <w:proofErr w:type="gramEnd"/>
      <w:r w:rsidRPr="006E1903">
        <w:t xml:space="preserve">. 148.  Section 17(3) of the 1952 </w:t>
      </w:r>
      <w:r w:rsidRPr="005D4962">
        <w:t>Act</w:t>
      </w:r>
      <w:r w:rsidRPr="006E1903">
        <w:t xml:space="preserve"> is almost identical to s. 69(2) first enacted in 197</w:t>
      </w:r>
      <w:r>
        <w:t>1</w:t>
      </w:r>
      <w:r w:rsidRPr="006E1903">
        <w:t xml:space="preserve"> </w:t>
      </w:r>
      <w:r>
        <w:t>(S.C. 1970-71-72, c. </w:t>
      </w:r>
      <w:r w:rsidRPr="006E1903">
        <w:t xml:space="preserve">63, </w:t>
      </w:r>
      <w:r>
        <w:t>s</w:t>
      </w:r>
      <w:r w:rsidRPr="006E1903">
        <w:t>.</w:t>
      </w:r>
      <w:r>
        <w:t> </w:t>
      </w:r>
      <w:r w:rsidRPr="006E1903">
        <w:t>1</w:t>
      </w:r>
      <w:r>
        <w:t>),</w:t>
      </w:r>
      <w:r w:rsidRPr="006E1903">
        <w:t xml:space="preserve"> with immaterial modifications in </w:t>
      </w:r>
      <w:r w:rsidRPr="005D4962">
        <w:t>1985 (</w:t>
      </w:r>
      <w:r w:rsidRPr="006E1903">
        <w:t>R.S.C. 1985, c. 1 (5th Supp.)).</w:t>
      </w:r>
    </w:p>
    <w:p w:rsidR="00C962E5" w:rsidRDefault="00C962E5" w:rsidP="00C962E5">
      <w:pPr>
        <w:pStyle w:val="ParaNoNdepar-AltN"/>
      </w:pPr>
      <w:r w:rsidRPr="006E1903">
        <w:t>The 1985 version of s</w:t>
      </w:r>
      <w:r>
        <w:t>.</w:t>
      </w:r>
      <w:r w:rsidRPr="006E1903">
        <w:t xml:space="preserve"> 69(2) applicable to the years 1990-1993 reads: </w:t>
      </w:r>
    </w:p>
    <w:p w:rsidR="00C46AF7" w:rsidRPr="004F1F0F" w:rsidRDefault="00C46AF7" w:rsidP="00C46AF7">
      <w:pPr>
        <w:tabs>
          <w:tab w:val="left" w:pos="1170"/>
          <w:tab w:val="left" w:pos="1620"/>
          <w:tab w:val="left" w:pos="3600"/>
        </w:tabs>
        <w:spacing w:after="720"/>
        <w:ind w:left="1166" w:hanging="2966"/>
        <w:jc w:val="both"/>
        <w:rPr>
          <w:b/>
          <w:lang w:val="en-US"/>
        </w:rPr>
      </w:pPr>
      <w:r>
        <w:rPr>
          <w:sz w:val="22"/>
        </w:rPr>
        <w:tab/>
      </w:r>
      <w:r>
        <w:rPr>
          <w:sz w:val="22"/>
        </w:rPr>
        <w:tab/>
      </w:r>
      <w:r>
        <w:rPr>
          <w:sz w:val="22"/>
        </w:rPr>
        <w:tab/>
      </w:r>
      <w:r w:rsidRPr="006E1903">
        <w:rPr>
          <w:sz w:val="22"/>
          <w:szCs w:val="22"/>
        </w:rPr>
        <w:t xml:space="preserve">(2) </w:t>
      </w:r>
      <w:r w:rsidRPr="006E1903">
        <w:rPr>
          <w:szCs w:val="24"/>
          <w:u w:val="single"/>
        </w:rPr>
        <w:t>Where a taxpayer has paid</w:t>
      </w:r>
      <w:r w:rsidRPr="006E1903">
        <w:rPr>
          <w:szCs w:val="24"/>
        </w:rPr>
        <w:t xml:space="preserve"> or </w:t>
      </w:r>
      <w:r w:rsidRPr="00C46AF7">
        <w:t>agreed</w:t>
      </w:r>
      <w:r w:rsidRPr="006E1903">
        <w:rPr>
          <w:szCs w:val="24"/>
        </w:rPr>
        <w:t xml:space="preserve"> to pay </w:t>
      </w:r>
      <w:r w:rsidRPr="006E1903">
        <w:rPr>
          <w:szCs w:val="24"/>
          <w:u w:val="single"/>
        </w:rPr>
        <w:t>to a non-resident person with whom the taxpayer was not dealing at arm</w:t>
      </w:r>
      <w:r>
        <w:rPr>
          <w:szCs w:val="24"/>
          <w:u w:val="single"/>
        </w:rPr>
        <w:t>’</w:t>
      </w:r>
      <w:r w:rsidRPr="006E1903">
        <w:rPr>
          <w:szCs w:val="24"/>
          <w:u w:val="single"/>
        </w:rPr>
        <w:t>s length as price</w:t>
      </w:r>
      <w:r w:rsidRPr="00A10DEF">
        <w:rPr>
          <w:szCs w:val="24"/>
        </w:rPr>
        <w:t>,</w:t>
      </w:r>
      <w:r w:rsidRPr="006E1903">
        <w:rPr>
          <w:szCs w:val="24"/>
        </w:rPr>
        <w:t xml:space="preserve"> rental, royalty or other payment for or </w:t>
      </w:r>
      <w:r w:rsidRPr="006E1903">
        <w:rPr>
          <w:szCs w:val="24"/>
          <w:u w:val="single"/>
        </w:rPr>
        <w:t>for</w:t>
      </w:r>
      <w:r w:rsidRPr="006E1903">
        <w:rPr>
          <w:szCs w:val="24"/>
        </w:rPr>
        <w:t xml:space="preserve"> the use or reproduction of </w:t>
      </w:r>
      <w:r w:rsidRPr="006E1903">
        <w:rPr>
          <w:szCs w:val="24"/>
          <w:u w:val="single"/>
        </w:rPr>
        <w:t>any property</w:t>
      </w:r>
      <w:r w:rsidRPr="006E1903">
        <w:rPr>
          <w:szCs w:val="24"/>
        </w:rPr>
        <w:t xml:space="preserve">, or as consideration for the carriage of goods or passengers or for other services, </w:t>
      </w:r>
      <w:r>
        <w:rPr>
          <w:szCs w:val="24"/>
          <w:u w:val="single"/>
        </w:rPr>
        <w:t xml:space="preserve">an amount greater than </w:t>
      </w:r>
      <w:r w:rsidRPr="006E1903">
        <w:rPr>
          <w:szCs w:val="24"/>
          <w:u w:val="single"/>
        </w:rPr>
        <w:t>the amount</w:t>
      </w:r>
      <w:r w:rsidRPr="006E1903">
        <w:rPr>
          <w:szCs w:val="24"/>
        </w:rPr>
        <w:t xml:space="preserve"> (in this subsection referred to as </w:t>
      </w:r>
      <w:r>
        <w:rPr>
          <w:szCs w:val="24"/>
        </w:rPr>
        <w:t>“</w:t>
      </w:r>
      <w:r w:rsidRPr="006E1903">
        <w:rPr>
          <w:szCs w:val="24"/>
        </w:rPr>
        <w:t>the reasonable amount</w:t>
      </w:r>
      <w:r>
        <w:rPr>
          <w:szCs w:val="24"/>
        </w:rPr>
        <w:t>”</w:t>
      </w:r>
      <w:r w:rsidRPr="006E1903">
        <w:rPr>
          <w:szCs w:val="24"/>
        </w:rPr>
        <w:t xml:space="preserve">) </w:t>
      </w:r>
      <w:r w:rsidRPr="006E1903">
        <w:rPr>
          <w:szCs w:val="24"/>
          <w:u w:val="single"/>
        </w:rPr>
        <w:t>that would have been reasonable in the circumstances if the non-resident person and the taxpayer had been dealing at arm</w:t>
      </w:r>
      <w:r>
        <w:rPr>
          <w:szCs w:val="24"/>
          <w:u w:val="single"/>
        </w:rPr>
        <w:t>’</w:t>
      </w:r>
      <w:r w:rsidRPr="006E1903">
        <w:rPr>
          <w:szCs w:val="24"/>
          <w:u w:val="single"/>
        </w:rPr>
        <w:t>s length, the reasonable amount shall, for the purpose of</w:t>
      </w:r>
      <w:r w:rsidRPr="00C46AF7">
        <w:rPr>
          <w:szCs w:val="24"/>
          <w:u w:val="single"/>
        </w:rPr>
        <w:t xml:space="preserve"> </w:t>
      </w:r>
      <w:r w:rsidRPr="006E1903">
        <w:rPr>
          <w:szCs w:val="24"/>
          <w:u w:val="single"/>
        </w:rPr>
        <w:t>computing the taxpayer</w:t>
      </w:r>
      <w:r>
        <w:rPr>
          <w:szCs w:val="24"/>
          <w:u w:val="single"/>
        </w:rPr>
        <w:t>’</w:t>
      </w:r>
      <w:r w:rsidRPr="006E1903">
        <w:rPr>
          <w:szCs w:val="24"/>
          <w:u w:val="single"/>
        </w:rPr>
        <w:t xml:space="preserve">s income under this Part, be deemed to have been the amount that was paid or is payable </w:t>
      </w:r>
      <w:proofErr w:type="spellStart"/>
      <w:r w:rsidRPr="006E1903">
        <w:rPr>
          <w:szCs w:val="24"/>
          <w:u w:val="single"/>
        </w:rPr>
        <w:t>therefor</w:t>
      </w:r>
      <w:proofErr w:type="spellEnd"/>
      <w:r w:rsidRPr="001863F3">
        <w:rPr>
          <w:szCs w:val="24"/>
        </w:rPr>
        <w:t>.</w:t>
      </w:r>
    </w:p>
    <w:p w:rsidR="00C962E5" w:rsidRPr="006E1903" w:rsidRDefault="00C962E5" w:rsidP="00C962E5">
      <w:pPr>
        <w:pStyle w:val="ParaNoNdepar-AltN"/>
      </w:pPr>
      <w:r w:rsidRPr="006E1903">
        <w:t xml:space="preserve">On the facts of this case, the section asks whether the prices </w:t>
      </w:r>
      <w:proofErr w:type="spellStart"/>
      <w:r w:rsidRPr="006E1903">
        <w:t>Glaxo</w:t>
      </w:r>
      <w:proofErr w:type="spellEnd"/>
      <w:r w:rsidRPr="006E1903">
        <w:t xml:space="preserve"> Canada paid </w:t>
      </w:r>
      <w:proofErr w:type="spellStart"/>
      <w:r w:rsidRPr="006E1903">
        <w:t>Adechsa</w:t>
      </w:r>
      <w:proofErr w:type="spellEnd"/>
      <w:r w:rsidRPr="006E1903">
        <w:t xml:space="preserve"> for ranitidine were greater than what would have been reasonable if </w:t>
      </w:r>
      <w:proofErr w:type="spellStart"/>
      <w:r w:rsidRPr="006E1903">
        <w:t>Adechsa</w:t>
      </w:r>
      <w:proofErr w:type="spellEnd"/>
      <w:r w:rsidRPr="006E1903">
        <w:t xml:space="preserve"> and </w:t>
      </w:r>
      <w:proofErr w:type="spellStart"/>
      <w:r w:rsidRPr="006E1903">
        <w:t>Glaxo</w:t>
      </w:r>
      <w:proofErr w:type="spellEnd"/>
      <w:r w:rsidRPr="006E1903">
        <w:t xml:space="preserve"> Canada had been dealing at arm’s length.  The challenge is to find an arm’s length proxy that replicates the circumstances of </w:t>
      </w:r>
      <w:proofErr w:type="spellStart"/>
      <w:r w:rsidRPr="006E1903">
        <w:t>Glaxo</w:t>
      </w:r>
      <w:proofErr w:type="spellEnd"/>
      <w:r w:rsidRPr="006E1903">
        <w:t xml:space="preserve"> Canada as closely as possible in respect of its acquisition of ranitidine.</w:t>
      </w:r>
    </w:p>
    <w:p w:rsidR="00C962E5" w:rsidRPr="001863F3" w:rsidRDefault="00C962E5" w:rsidP="00C962E5">
      <w:pPr>
        <w:pStyle w:val="TitleTitre-AltT"/>
        <w:tabs>
          <w:tab w:val="clear" w:pos="360"/>
        </w:tabs>
        <w:ind w:left="720" w:hanging="720"/>
      </w:pPr>
      <w:r w:rsidRPr="001863F3">
        <w:t>B.</w:t>
      </w:r>
      <w:r>
        <w:tab/>
      </w:r>
      <w:r w:rsidRPr="001863F3">
        <w:rPr>
          <w:i/>
        </w:rPr>
        <w:t>The OECD Methods of Determining Reasonable Transfer Prices</w:t>
      </w:r>
    </w:p>
    <w:p w:rsidR="00C962E5" w:rsidRPr="006E1903" w:rsidRDefault="00C962E5" w:rsidP="007A5087">
      <w:pPr>
        <w:pStyle w:val="ParaNoNdepar-AltN"/>
        <w:tabs>
          <w:tab w:val="clear" w:pos="1152"/>
          <w:tab w:val="num" w:pos="0"/>
        </w:tabs>
      </w:pPr>
      <w:r>
        <w:lastRenderedPageBreak/>
        <w:t>In the c</w:t>
      </w:r>
      <w:r w:rsidRPr="006E1903">
        <w:t>ourts below and in this Court, there has been reference to the</w:t>
      </w:r>
      <w:r w:rsidR="0025220C">
        <w:t xml:space="preserve"> </w:t>
      </w:r>
      <w:r w:rsidRPr="006E1903">
        <w:t xml:space="preserve">1979 </w:t>
      </w:r>
      <w:r w:rsidRPr="006E1903">
        <w:rPr>
          <w:i/>
        </w:rPr>
        <w:t xml:space="preserve">Guidelines </w:t>
      </w:r>
      <w:r w:rsidRPr="006E1903">
        <w:t>and the 1995</w:t>
      </w:r>
      <w:r>
        <w:t xml:space="preserve"> </w:t>
      </w:r>
      <w:r w:rsidRPr="007A5087">
        <w:rPr>
          <w:i/>
        </w:rPr>
        <w:t>Guidelines</w:t>
      </w:r>
      <w:r>
        <w:t xml:space="preserve"> (the</w:t>
      </w:r>
      <w:r w:rsidRPr="006E1903">
        <w:t xml:space="preserve"> </w:t>
      </w:r>
      <w:r w:rsidR="0025220C">
        <w:t>“</w:t>
      </w:r>
      <w:r w:rsidRPr="006E1903">
        <w:rPr>
          <w:i/>
        </w:rPr>
        <w:t>Guidelines</w:t>
      </w:r>
      <w:r>
        <w:t>”)</w:t>
      </w:r>
      <w:r w:rsidRPr="006E1903">
        <w:t xml:space="preserve">.  The </w:t>
      </w:r>
      <w:r w:rsidRPr="006E1903">
        <w:rPr>
          <w:i/>
        </w:rPr>
        <w:t>Guidelines</w:t>
      </w:r>
      <w:r w:rsidRPr="006E1903">
        <w:t xml:space="preserve"> contain commentary and methodology pertaining to the issue of transfer pricing.  However, the </w:t>
      </w:r>
      <w:r w:rsidRPr="006E1903">
        <w:rPr>
          <w:i/>
        </w:rPr>
        <w:t>Guidelines</w:t>
      </w:r>
      <w:r w:rsidRPr="006E1903">
        <w:t xml:space="preserve"> are not controlling as if they were a Canadian statute and the test of any set of transactions or prices ultimately must be determined according to s. 69(2) rather than any particular methodology or commentary set out in the </w:t>
      </w:r>
      <w:r w:rsidRPr="006E1903">
        <w:rPr>
          <w:i/>
        </w:rPr>
        <w:t>Guidelines</w:t>
      </w:r>
      <w:r>
        <w:t>.</w:t>
      </w:r>
    </w:p>
    <w:p w:rsidR="00C962E5" w:rsidRPr="006E1903" w:rsidRDefault="00C962E5" w:rsidP="00C962E5">
      <w:pPr>
        <w:pStyle w:val="ParaNoNdepar-AltN"/>
        <w:autoSpaceDE w:val="0"/>
        <w:autoSpaceDN w:val="0"/>
        <w:adjustRightInd w:val="0"/>
      </w:pPr>
      <w:r w:rsidRPr="006E1903">
        <w:t xml:space="preserve">Section 69(2) does not, itself, offer guidance as to how to determine the “reasonable amount” that would have been payable had the parties been dealing at arm’s length.  However, the </w:t>
      </w:r>
      <w:r w:rsidRPr="006E1903">
        <w:rPr>
          <w:i/>
        </w:rPr>
        <w:t>Guidelines</w:t>
      </w:r>
      <w:r w:rsidRPr="006E1903">
        <w:t xml:space="preserve"> suggest a number of methods for determining whether transfer prices are consistent with prices determined between parties dealing at arm’s length.  </w:t>
      </w:r>
    </w:p>
    <w:p w:rsidR="00C962E5" w:rsidRPr="006E1903" w:rsidRDefault="00C962E5" w:rsidP="00C962E5">
      <w:pPr>
        <w:pStyle w:val="ParaNoNdepar-AltN"/>
      </w:pPr>
      <w:r w:rsidRPr="006E1903">
        <w:t xml:space="preserve">In the Tax Court, the parties relied on four methods from the </w:t>
      </w:r>
      <w:r w:rsidRPr="006E1903">
        <w:rPr>
          <w:i/>
        </w:rPr>
        <w:t>Guidelines</w:t>
      </w:r>
      <w:r w:rsidRPr="006E1903">
        <w:t xml:space="preserve"> to assess the reasonableness of the prices </w:t>
      </w:r>
      <w:proofErr w:type="spellStart"/>
      <w:r w:rsidRPr="006E1903">
        <w:t>Glaxo</w:t>
      </w:r>
      <w:proofErr w:type="spellEnd"/>
      <w:r w:rsidRPr="006E1903">
        <w:t xml:space="preserve"> Canada paid </w:t>
      </w:r>
      <w:proofErr w:type="spellStart"/>
      <w:r w:rsidRPr="006E1903">
        <w:t>Adechsa</w:t>
      </w:r>
      <w:proofErr w:type="spellEnd"/>
      <w:r w:rsidRPr="006E1903">
        <w:t xml:space="preserve">.  The Minister relied on the </w:t>
      </w:r>
      <w:r>
        <w:t>CUP</w:t>
      </w:r>
      <w:r w:rsidRPr="006E1903">
        <w:t xml:space="preserve"> method and the cost plus method (</w:t>
      </w:r>
      <w:r>
        <w:t xml:space="preserve">see </w:t>
      </w:r>
      <w:r w:rsidRPr="006E1903">
        <w:t xml:space="preserve">1979 </w:t>
      </w:r>
      <w:r w:rsidRPr="006E1903">
        <w:rPr>
          <w:i/>
        </w:rPr>
        <w:t>Guidelines</w:t>
      </w:r>
      <w:r>
        <w:t>,</w:t>
      </w:r>
      <w:r w:rsidRPr="006E1903">
        <w:t xml:space="preserve"> at </w:t>
      </w:r>
      <w:proofErr w:type="spellStart"/>
      <w:r w:rsidRPr="006E1903">
        <w:t>paras</w:t>
      </w:r>
      <w:proofErr w:type="spellEnd"/>
      <w:r w:rsidRPr="006E1903">
        <w:t>. 48 and 63)</w:t>
      </w:r>
      <w:r>
        <w:t>.</w:t>
      </w:r>
      <w:r w:rsidRPr="006E1903">
        <w:t xml:space="preserve"> The CUP method compares the prices in comparable transactions between parties dealing at arm’s length with the transfer prices paid by the taxpayer being reassessed.  The </w:t>
      </w:r>
      <w:r w:rsidRPr="006E1903">
        <w:rPr>
          <w:i/>
        </w:rPr>
        <w:t>Guidelines</w:t>
      </w:r>
      <w:r w:rsidRPr="006E1903">
        <w:t xml:space="preserve"> say this is the most direct way of determining the arm’s length price.  This is the method under which the Minister compared the </w:t>
      </w:r>
      <w:proofErr w:type="spellStart"/>
      <w:r w:rsidRPr="006E1903">
        <w:t>Glaxo</w:t>
      </w:r>
      <w:proofErr w:type="spellEnd"/>
      <w:r w:rsidRPr="006E1903">
        <w:t xml:space="preserve"> Canada transfer prices with the prices paid by </w:t>
      </w:r>
      <w:proofErr w:type="spellStart"/>
      <w:r w:rsidRPr="006E1903">
        <w:t>Apotex</w:t>
      </w:r>
      <w:proofErr w:type="spellEnd"/>
      <w:r w:rsidRPr="006E1903">
        <w:t xml:space="preserve"> and </w:t>
      </w:r>
      <w:proofErr w:type="spellStart"/>
      <w:r w:rsidRPr="006E1903">
        <w:t>Novopharm</w:t>
      </w:r>
      <w:proofErr w:type="spellEnd"/>
      <w:r w:rsidRPr="006E1903">
        <w:t>.</w:t>
      </w:r>
    </w:p>
    <w:p w:rsidR="00C962E5" w:rsidRPr="006E1903" w:rsidRDefault="00C962E5" w:rsidP="00C962E5">
      <w:pPr>
        <w:pStyle w:val="ParaNoNdepar-AltN"/>
      </w:pPr>
      <w:r w:rsidRPr="006E1903">
        <w:lastRenderedPageBreak/>
        <w:t xml:space="preserve">However, the 1995 </w:t>
      </w:r>
      <w:r w:rsidRPr="006E1903">
        <w:rPr>
          <w:i/>
        </w:rPr>
        <w:t>Guidelines</w:t>
      </w:r>
      <w:r w:rsidRPr="006E1903">
        <w:t xml:space="preserve"> also say that the arm’s length transactions must be carefully considered for comparability with the transfer price transactions.  </w:t>
      </w:r>
      <w:r>
        <w:t>T</w:t>
      </w:r>
      <w:r w:rsidRPr="006E1903">
        <w:t>ransactions are only comparable if:</w:t>
      </w:r>
    </w:p>
    <w:p w:rsidR="00C962E5" w:rsidRDefault="00C962E5" w:rsidP="007A5087">
      <w:pPr>
        <w:pStyle w:val="Citation-AltC"/>
        <w:tabs>
          <w:tab w:val="left" w:pos="720"/>
        </w:tabs>
        <w:spacing w:after="480" w:line="480" w:lineRule="auto"/>
        <w:ind w:left="720" w:hanging="720"/>
        <w:contextualSpacing w:val="0"/>
      </w:pPr>
      <w:r w:rsidRPr="009D5737">
        <w:t>1.</w:t>
      </w:r>
      <w:r w:rsidR="007A5087">
        <w:tab/>
      </w:r>
      <w:r>
        <w:t>N</w:t>
      </w:r>
      <w:r w:rsidRPr="006E1903">
        <w:t>one of the differences (if any) between the transactions being compared or between the enterprises undertaking those transactions could materially affect the price in the open market; or</w:t>
      </w:r>
      <w:r>
        <w:t xml:space="preserve"> </w:t>
      </w:r>
    </w:p>
    <w:p w:rsidR="00C962E5" w:rsidRPr="006E1903" w:rsidRDefault="00C962E5" w:rsidP="007A5087">
      <w:pPr>
        <w:pStyle w:val="Citation-AltC"/>
        <w:tabs>
          <w:tab w:val="left" w:pos="720"/>
        </w:tabs>
        <w:spacing w:after="480" w:line="480" w:lineRule="auto"/>
        <w:ind w:left="720" w:hanging="720"/>
        <w:contextualSpacing w:val="0"/>
      </w:pPr>
      <w:r w:rsidRPr="009D5737">
        <w:t>2.</w:t>
      </w:r>
      <w:r w:rsidR="007A5087">
        <w:tab/>
      </w:r>
      <w:r>
        <w:t>Reasonably</w:t>
      </w:r>
      <w:r w:rsidRPr="006E1903">
        <w:t xml:space="preserve"> accurate adjustments can be made to eliminate the material effects of such differences</w:t>
      </w:r>
      <w:r>
        <w:t xml:space="preserve">.  (See 1995 </w:t>
      </w:r>
      <w:r>
        <w:rPr>
          <w:i/>
        </w:rPr>
        <w:t>Guidelines</w:t>
      </w:r>
      <w:r>
        <w:t xml:space="preserve">, at </w:t>
      </w:r>
      <w:proofErr w:type="spellStart"/>
      <w:r>
        <w:t>para</w:t>
      </w:r>
      <w:proofErr w:type="spellEnd"/>
      <w:r>
        <w:t>. 1.15.)</w:t>
      </w:r>
    </w:p>
    <w:p w:rsidR="00C962E5" w:rsidRPr="006E1903" w:rsidRDefault="00C962E5" w:rsidP="00C962E5">
      <w:pPr>
        <w:pStyle w:val="ParaNoNdepar-AltN"/>
      </w:pPr>
      <w:r w:rsidRPr="006E1903">
        <w:t xml:space="preserve">The cost plus method is based upon the foreign suppliers’ costs, plus an appropriate mark-up.  However, the 1979 </w:t>
      </w:r>
      <w:r w:rsidRPr="006E1903">
        <w:rPr>
          <w:i/>
        </w:rPr>
        <w:t>Guidelines</w:t>
      </w:r>
      <w:r w:rsidRPr="006E1903">
        <w:t xml:space="preserve"> say that the method “raise</w:t>
      </w:r>
      <w:r>
        <w:t>[</w:t>
      </w:r>
      <w:r w:rsidRPr="006E1903">
        <w:t>d</w:t>
      </w:r>
      <w:r>
        <w:t>]</w:t>
      </w:r>
      <w:r w:rsidRPr="006E1903">
        <w:t xml:space="preserve"> problems both as regards assessing costs</w:t>
      </w:r>
      <w:r>
        <w:t xml:space="preserve"> . . .</w:t>
      </w:r>
      <w:r w:rsidRPr="006E1903">
        <w:t xml:space="preserve"> and the appropriate mark-up for profit”</w:t>
      </w:r>
      <w:r>
        <w:t xml:space="preserve"> (</w:t>
      </w:r>
      <w:proofErr w:type="spellStart"/>
      <w:r>
        <w:t>para</w:t>
      </w:r>
      <w:proofErr w:type="spellEnd"/>
      <w:r>
        <w:t>. 63)</w:t>
      </w:r>
      <w:r w:rsidRPr="006E1903">
        <w:t>.  They suggest its usefulness may be as a means of verifying prices after other methods have been applied.  The Minister used the cost plus method to verify the arm’s length prices he determined under the CUP method.</w:t>
      </w:r>
    </w:p>
    <w:p w:rsidR="00C962E5" w:rsidRPr="006E1903" w:rsidRDefault="00C962E5" w:rsidP="00C962E5">
      <w:pPr>
        <w:pStyle w:val="ParaNoNdepar-AltN"/>
      </w:pPr>
      <w:proofErr w:type="spellStart"/>
      <w:r w:rsidRPr="006E1903">
        <w:t>Glaxo</w:t>
      </w:r>
      <w:proofErr w:type="spellEnd"/>
      <w:r w:rsidRPr="006E1903">
        <w:t xml:space="preserve"> Canada relied on the resale price, the transactional net margin and the CUP methods, using a set of European </w:t>
      </w:r>
      <w:r>
        <w:t>c</w:t>
      </w:r>
      <w:r w:rsidRPr="006E1903">
        <w:t>omparators.  As described above, t</w:t>
      </w:r>
      <w:r>
        <w:t>he resale-</w:t>
      </w:r>
      <w:r w:rsidRPr="006E1903">
        <w:t>price method starts with the price charged by the reseller (</w:t>
      </w:r>
      <w:proofErr w:type="spellStart"/>
      <w:r w:rsidRPr="006E1903">
        <w:t>Glaxo</w:t>
      </w:r>
      <w:proofErr w:type="spellEnd"/>
      <w:r w:rsidRPr="006E1903">
        <w:t xml:space="preserve"> Canada) in the market for the product (Zantac).  The price is then reduced by the proportion representing the reseller’s cost and appropriate profit, i.e. the reseller’s gross profit margin.  The balance is the transfer price for the product purchased from the related </w:t>
      </w:r>
      <w:r w:rsidRPr="006E1903">
        <w:lastRenderedPageBreak/>
        <w:t>non-resident supplier (</w:t>
      </w:r>
      <w:proofErr w:type="spellStart"/>
      <w:r w:rsidRPr="006E1903">
        <w:t>Adechsa</w:t>
      </w:r>
      <w:proofErr w:type="spellEnd"/>
      <w:r w:rsidRPr="006E1903">
        <w:t xml:space="preserve">).  This gross profit margin is then compared to the gross profit margin earned by independent arm’s length resellers.  The 1979 </w:t>
      </w:r>
      <w:r w:rsidRPr="006E1903">
        <w:rPr>
          <w:i/>
        </w:rPr>
        <w:t>Guidelines</w:t>
      </w:r>
      <w:r w:rsidRPr="006E1903">
        <w:t xml:space="preserve"> observe that this method is the most useful when applied to marketing operations.  </w:t>
      </w:r>
      <w:proofErr w:type="spellStart"/>
      <w:r w:rsidRPr="006E1903">
        <w:t>Glaxo</w:t>
      </w:r>
      <w:proofErr w:type="spellEnd"/>
      <w:r w:rsidRPr="006E1903">
        <w:t xml:space="preserve"> Canada compared its gross profit margin with those of independent European distributors of Zantac.</w:t>
      </w:r>
    </w:p>
    <w:p w:rsidR="00C962E5" w:rsidRPr="006E1903" w:rsidRDefault="00C962E5" w:rsidP="00C962E5">
      <w:pPr>
        <w:pStyle w:val="ParaNoNdepar-AltN"/>
      </w:pPr>
      <w:r w:rsidRPr="006E1903">
        <w:t xml:space="preserve">The transactional net margin method looks at the net profit relative to a base such as costs, sales or assets in a controlled transaction as compared to the net profit ratio earned by the same taxpayer in comparable uncontrolled transactions.  If this is not possible, consideration may be given to the net profit relative to costs, sales or assets of an independent </w:t>
      </w:r>
      <w:proofErr w:type="gramStart"/>
      <w:r w:rsidRPr="006E1903">
        <w:t>enterprise</w:t>
      </w:r>
      <w:r w:rsidR="00A82AEC">
        <w:t>,</w:t>
      </w:r>
      <w:proofErr w:type="gramEnd"/>
      <w:r w:rsidRPr="006E1903">
        <w:t xml:space="preserve"> provided the circumstances are comparable and adjustments may be made to obtain reliable results.</w:t>
      </w:r>
    </w:p>
    <w:p w:rsidR="00C962E5" w:rsidRPr="006E1903" w:rsidRDefault="00C962E5" w:rsidP="00C962E5">
      <w:pPr>
        <w:pStyle w:val="ParaNoNdepar-AltN"/>
      </w:pPr>
      <w:proofErr w:type="spellStart"/>
      <w:r w:rsidRPr="006E1903">
        <w:t>Glaxo</w:t>
      </w:r>
      <w:proofErr w:type="spellEnd"/>
      <w:r w:rsidRPr="006E1903">
        <w:t xml:space="preserve"> Canada’s CUP approach utilized the prices paid by European independent distributors of Zantac which </w:t>
      </w:r>
      <w:proofErr w:type="spellStart"/>
      <w:r w:rsidRPr="006E1903">
        <w:t>Glaxo</w:t>
      </w:r>
      <w:proofErr w:type="spellEnd"/>
      <w:r w:rsidRPr="006E1903">
        <w:t xml:space="preserve"> Canada submitted approximated the prices paid by </w:t>
      </w:r>
      <w:proofErr w:type="spellStart"/>
      <w:r w:rsidRPr="006E1903">
        <w:t>Glaxo</w:t>
      </w:r>
      <w:proofErr w:type="spellEnd"/>
      <w:r w:rsidRPr="006E1903">
        <w:t xml:space="preserve"> Canada to </w:t>
      </w:r>
      <w:proofErr w:type="spellStart"/>
      <w:r w:rsidRPr="006E1903">
        <w:t>Adechsa</w:t>
      </w:r>
      <w:proofErr w:type="spellEnd"/>
      <w:r w:rsidRPr="006E1903">
        <w:t>.</w:t>
      </w:r>
    </w:p>
    <w:p w:rsidR="00C962E5" w:rsidRPr="00685EE6" w:rsidRDefault="00C962E5" w:rsidP="00C962E5">
      <w:pPr>
        <w:pStyle w:val="TitleTitre-AltT"/>
        <w:tabs>
          <w:tab w:val="clear" w:pos="360"/>
        </w:tabs>
        <w:ind w:left="720" w:hanging="720"/>
      </w:pPr>
      <w:r w:rsidRPr="00685EE6">
        <w:t>C</w:t>
      </w:r>
      <w:r>
        <w:t>.</w:t>
      </w:r>
      <w:r>
        <w:tab/>
      </w:r>
      <w:r w:rsidRPr="00685EE6">
        <w:rPr>
          <w:i/>
        </w:rPr>
        <w:t>The Transactional Approach Adopted by the Tax Court</w:t>
      </w:r>
    </w:p>
    <w:p w:rsidR="00C962E5" w:rsidRPr="006E1903" w:rsidRDefault="00C962E5" w:rsidP="00C962E5">
      <w:pPr>
        <w:pStyle w:val="ParaNoNdepar-AltN"/>
      </w:pPr>
      <w:r w:rsidRPr="006E1903">
        <w:t xml:space="preserve">Rip A.C.J. rejected </w:t>
      </w:r>
      <w:proofErr w:type="spellStart"/>
      <w:r w:rsidRPr="006E1903">
        <w:t>Glaxo</w:t>
      </w:r>
      <w:proofErr w:type="spellEnd"/>
      <w:r w:rsidRPr="006E1903">
        <w:t xml:space="preserve"> Canada’s evidence and submissions. Utilizing the CUP method, Rip A.C.J. compared the prices paid by </w:t>
      </w:r>
      <w:proofErr w:type="spellStart"/>
      <w:r w:rsidRPr="006E1903">
        <w:t>Glaxo</w:t>
      </w:r>
      <w:proofErr w:type="spellEnd"/>
      <w:r w:rsidRPr="006E1903">
        <w:t xml:space="preserve"> Canada with those paid by the Canadian generic companies for ranitidine and found that the highest generic prices paid were in the range of $300 per kilogram, while </w:t>
      </w:r>
      <w:proofErr w:type="spellStart"/>
      <w:r w:rsidRPr="006E1903">
        <w:t>Glaxo</w:t>
      </w:r>
      <w:proofErr w:type="spellEnd"/>
      <w:r w:rsidRPr="006E1903">
        <w:t xml:space="preserve"> Canada was paying over $1,500 per kilogram.</w:t>
      </w:r>
    </w:p>
    <w:p w:rsidR="00C962E5" w:rsidRPr="006E1903" w:rsidRDefault="00C962E5" w:rsidP="00C962E5">
      <w:pPr>
        <w:pStyle w:val="ParaNoNdepar-AltN"/>
      </w:pPr>
      <w:proofErr w:type="spellStart"/>
      <w:r w:rsidRPr="006E1903">
        <w:lastRenderedPageBreak/>
        <w:t>Glaxo</w:t>
      </w:r>
      <w:proofErr w:type="spellEnd"/>
      <w:r w:rsidRPr="006E1903">
        <w:t xml:space="preserve"> Canada had argued that the comparison with generic companies was inappropriate.  It said that the Licence Agreement must be taken into account, as it conferred certain rights and benefits related to the purpose for which its ranitidine was purchased.</w:t>
      </w:r>
    </w:p>
    <w:p w:rsidR="00C962E5" w:rsidRPr="006E1903" w:rsidRDefault="00C962E5" w:rsidP="00C962E5">
      <w:pPr>
        <w:pStyle w:val="ParaNoNdepar-AltN"/>
      </w:pPr>
      <w:r w:rsidRPr="006E1903">
        <w:t xml:space="preserve">However, Rip A.C.J. found that </w:t>
      </w:r>
      <w:r w:rsidRPr="006E1903">
        <w:rPr>
          <w:i/>
        </w:rPr>
        <w:t>Singleton</w:t>
      </w:r>
      <w:r w:rsidRPr="006E1903">
        <w:t xml:space="preserve"> precluded him from considering the Licence Agreement.  Absent the Licence Agreement, the prices paid under the Supply Agreement had to be considered as being only for ranitidine.  There could thus be no compensation for other rights or benefits under the Supply Agreement. Because the prices paid by </w:t>
      </w:r>
      <w:proofErr w:type="spellStart"/>
      <w:r w:rsidRPr="006E1903">
        <w:t>Glaxo</w:t>
      </w:r>
      <w:proofErr w:type="spellEnd"/>
      <w:r w:rsidRPr="006E1903">
        <w:t xml:space="preserve"> Canada and the generic companies were both solely for ranitidine</w:t>
      </w:r>
      <w:r w:rsidR="007A5087">
        <w:t>,</w:t>
      </w:r>
      <w:r w:rsidRPr="006E1903">
        <w:t xml:space="preserve"> there were no differences between the transactions that might justify higher transfer prices than the prices paid by </w:t>
      </w:r>
      <w:proofErr w:type="spellStart"/>
      <w:r w:rsidRPr="006E1903">
        <w:t>Apotex</w:t>
      </w:r>
      <w:proofErr w:type="spellEnd"/>
      <w:r w:rsidRPr="006E1903">
        <w:t xml:space="preserve"> and </w:t>
      </w:r>
      <w:proofErr w:type="spellStart"/>
      <w:r w:rsidRPr="006E1903">
        <w:t>Novopharm</w:t>
      </w:r>
      <w:proofErr w:type="spellEnd"/>
      <w:r w:rsidRPr="006E1903">
        <w:t xml:space="preserve"> (aside from a $25 </w:t>
      </w:r>
      <w:r>
        <w:t xml:space="preserve">per kilogram </w:t>
      </w:r>
      <w:r w:rsidRPr="006E1903">
        <w:t xml:space="preserve">charge for granulation that </w:t>
      </w:r>
      <w:proofErr w:type="spellStart"/>
      <w:r w:rsidRPr="006E1903">
        <w:t>Glaxo</w:t>
      </w:r>
      <w:proofErr w:type="spellEnd"/>
      <w:r w:rsidRPr="006E1903">
        <w:t xml:space="preserve"> Canada was allowed). </w:t>
      </w:r>
    </w:p>
    <w:p w:rsidR="00C962E5" w:rsidRPr="006E1903" w:rsidRDefault="00C962E5" w:rsidP="00C962E5">
      <w:pPr>
        <w:pStyle w:val="ParaNoNdepar-AltN"/>
        <w:rPr>
          <w:u w:val="single"/>
        </w:rPr>
      </w:pPr>
      <w:r w:rsidRPr="006E1903">
        <w:t>The question before Rip A.C.J</w:t>
      </w:r>
      <w:r>
        <w:t>.</w:t>
      </w:r>
      <w:r w:rsidRPr="006E1903">
        <w:t xml:space="preserve"> was the determination of the reasonable price under s. 69(2).  Critical to that determination was whether the Licence Agreement was a circumstance to be taken into account.</w:t>
      </w:r>
    </w:p>
    <w:p w:rsidR="00C962E5" w:rsidRPr="006E1903" w:rsidRDefault="00C962E5" w:rsidP="00C962E5">
      <w:pPr>
        <w:pStyle w:val="ParaNoNdepar-AltN"/>
      </w:pPr>
      <w:r w:rsidRPr="006E1903">
        <w:t xml:space="preserve"> The Minister argues that this Court’s decisions in </w:t>
      </w:r>
      <w:r w:rsidRPr="006E1903">
        <w:rPr>
          <w:i/>
          <w:iCs/>
        </w:rPr>
        <w:t xml:space="preserve">Singleton </w:t>
      </w:r>
      <w:r w:rsidRPr="006E1903">
        <w:t xml:space="preserve">and </w:t>
      </w:r>
      <w:r w:rsidRPr="006E1903">
        <w:rPr>
          <w:i/>
          <w:iCs/>
        </w:rPr>
        <w:t>Shell Canada Ltd</w:t>
      </w:r>
      <w:r w:rsidRPr="00685EE6">
        <w:rPr>
          <w:i/>
          <w:iCs/>
        </w:rPr>
        <w:t xml:space="preserve">. </w:t>
      </w:r>
      <w:r w:rsidRPr="00685EE6">
        <w:rPr>
          <w:i/>
        </w:rPr>
        <w:t>v.</w:t>
      </w:r>
      <w:r w:rsidRPr="006E1903">
        <w:t xml:space="preserve"> </w:t>
      </w:r>
      <w:r w:rsidRPr="006E1903">
        <w:rPr>
          <w:i/>
          <w:iCs/>
        </w:rPr>
        <w:t>Canada</w:t>
      </w:r>
      <w:r w:rsidRPr="00685EE6">
        <w:rPr>
          <w:iCs/>
        </w:rPr>
        <w:t>,</w:t>
      </w:r>
      <w:r w:rsidRPr="006E1903">
        <w:rPr>
          <w:i/>
          <w:iCs/>
        </w:rPr>
        <w:t xml:space="preserve"> </w:t>
      </w:r>
      <w:r w:rsidRPr="006E1903">
        <w:t>[1999] 3 S</w:t>
      </w:r>
      <w:r>
        <w:t>.</w:t>
      </w:r>
      <w:r w:rsidRPr="006E1903">
        <w:t>C</w:t>
      </w:r>
      <w:r>
        <w:t>.</w:t>
      </w:r>
      <w:r w:rsidRPr="006E1903">
        <w:t>R</w:t>
      </w:r>
      <w:r>
        <w:t>.</w:t>
      </w:r>
      <w:r w:rsidRPr="006E1903">
        <w:t xml:space="preserve"> 622, along with the </w:t>
      </w:r>
      <w:r w:rsidRPr="006E1903">
        <w:rPr>
          <w:i/>
        </w:rPr>
        <w:t>Guidelines</w:t>
      </w:r>
      <w:r w:rsidRPr="006E1903">
        <w:t>, require a transactional, sometime</w:t>
      </w:r>
      <w:r>
        <w:t>s</w:t>
      </w:r>
      <w:r w:rsidRPr="006E1903">
        <w:t xml:space="preserve"> called a transaction-by-transaction</w:t>
      </w:r>
      <w:r>
        <w:t>,</w:t>
      </w:r>
      <w:r w:rsidRPr="006E1903">
        <w:t xml:space="preserve"> approach when determining the reasonable transfer price under s. 69(2).  In the Tax Court, the Minister explained that the transaction-by-transaction approach is one in which the </w:t>
      </w:r>
      <w:r w:rsidRPr="006E1903">
        <w:lastRenderedPageBreak/>
        <w:t>transaction in issue must be considered independently from surrounding circumstances, other transactions, or other realities.  In this Court, the Minister submitted that “each transfer is to be treated as a separate transaction”</w:t>
      </w:r>
      <w:r>
        <w:t xml:space="preserve"> </w:t>
      </w:r>
      <w:r w:rsidRPr="006E1903">
        <w:t>(</w:t>
      </w:r>
      <w:r>
        <w:t>A.F., at </w:t>
      </w:r>
      <w:proofErr w:type="spellStart"/>
      <w:r w:rsidRPr="006E1903">
        <w:t>para</w:t>
      </w:r>
      <w:proofErr w:type="spellEnd"/>
      <w:r>
        <w:t>. </w:t>
      </w:r>
      <w:r w:rsidRPr="006E1903">
        <w:t>46)</w:t>
      </w:r>
      <w:r>
        <w:t xml:space="preserve">. </w:t>
      </w:r>
      <w:r w:rsidRPr="006E1903">
        <w:t xml:space="preserve"> Accordingly, the Licence Agreement would be irrelevant.</w:t>
      </w:r>
    </w:p>
    <w:p w:rsidR="00C962E5" w:rsidRPr="00F54E23" w:rsidRDefault="00C962E5" w:rsidP="00C962E5">
      <w:pPr>
        <w:pStyle w:val="TitleTitre-AltT"/>
        <w:tabs>
          <w:tab w:val="clear" w:pos="360"/>
        </w:tabs>
        <w:ind w:left="1800" w:hanging="720"/>
      </w:pPr>
      <w:r>
        <w:t>(1)</w:t>
      </w:r>
      <w:r>
        <w:tab/>
      </w:r>
      <w:r w:rsidRPr="00BA4484">
        <w:rPr>
          <w:i/>
          <w:u w:val="single"/>
        </w:rPr>
        <w:t>Singleton</w:t>
      </w:r>
    </w:p>
    <w:p w:rsidR="00C962E5" w:rsidRPr="006E1903" w:rsidRDefault="00C962E5" w:rsidP="00C962E5">
      <w:pPr>
        <w:pStyle w:val="ParaNoNdepar-AltN"/>
      </w:pPr>
      <w:r w:rsidRPr="006E1903">
        <w:t xml:space="preserve">The Minister submits that </w:t>
      </w:r>
      <w:r w:rsidRPr="006E1903">
        <w:rPr>
          <w:i/>
        </w:rPr>
        <w:t>Singleton</w:t>
      </w:r>
      <w:r w:rsidRPr="006E1903">
        <w:t xml:space="preserve"> and </w:t>
      </w:r>
      <w:r w:rsidRPr="006E1903">
        <w:rPr>
          <w:i/>
        </w:rPr>
        <w:t>Shell</w:t>
      </w:r>
      <w:r>
        <w:t>, decided under s. </w:t>
      </w:r>
      <w:r w:rsidRPr="006E1903">
        <w:t>20(1</w:t>
      </w:r>
      <w:proofErr w:type="gramStart"/>
      <w:r w:rsidRPr="006E1903">
        <w:t>)(</w:t>
      </w:r>
      <w:proofErr w:type="gramEnd"/>
      <w:r w:rsidRPr="00F54E23">
        <w:rPr>
          <w:i/>
        </w:rPr>
        <w:t>c</w:t>
      </w:r>
      <w:r w:rsidRPr="006E1903">
        <w:t>)(</w:t>
      </w:r>
      <w:proofErr w:type="spellStart"/>
      <w:r w:rsidRPr="006E1903">
        <w:t>i</w:t>
      </w:r>
      <w:proofErr w:type="spellEnd"/>
      <w:r w:rsidRPr="006E1903">
        <w:t xml:space="preserve">) of the Act, are authority for the proposition that a transaction-by-transaction approach must be followed under s. 69(2). </w:t>
      </w:r>
      <w:r w:rsidRPr="006E1903">
        <w:rPr>
          <w:i/>
        </w:rPr>
        <w:t>Singleton</w:t>
      </w:r>
      <w:r w:rsidRPr="006E1903">
        <w:t xml:space="preserve"> involved the deductibility from income of interest paid and payable on borrowed money under s. 20(1</w:t>
      </w:r>
      <w:proofErr w:type="gramStart"/>
      <w:r w:rsidRPr="006E1903">
        <w:t>)(</w:t>
      </w:r>
      <w:proofErr w:type="gramEnd"/>
      <w:r w:rsidRPr="00F54E23">
        <w:rPr>
          <w:i/>
        </w:rPr>
        <w:t>c</w:t>
      </w:r>
      <w:r w:rsidRPr="006E1903">
        <w:t>)(</w:t>
      </w:r>
      <w:proofErr w:type="spellStart"/>
      <w:r w:rsidRPr="006E1903">
        <w:t>i</w:t>
      </w:r>
      <w:proofErr w:type="spellEnd"/>
      <w:r w:rsidRPr="006E1903">
        <w:t>)</w:t>
      </w:r>
      <w:r w:rsidR="00C62D44">
        <w:t>,</w:t>
      </w:r>
      <w:r w:rsidRPr="006E1903">
        <w:t xml:space="preserve"> of the </w:t>
      </w:r>
      <w:r w:rsidRPr="006E1903">
        <w:rPr>
          <w:i/>
        </w:rPr>
        <w:t>Income Tax Act</w:t>
      </w:r>
      <w:r w:rsidRPr="006E1903">
        <w:t xml:space="preserve">.  In </w:t>
      </w:r>
      <w:r w:rsidRPr="006E1903">
        <w:rPr>
          <w:i/>
        </w:rPr>
        <w:t>Singleton</w:t>
      </w:r>
      <w:r w:rsidRPr="006E1903">
        <w:t>, the taxpayer used funds from his capital account at his law firm to assist in financing the purchase of a home.  He then used borrowed funds to replace the funds he was withdrawing from his capital account.  The sole issue was whether borrowed money was “used for the purpose of earning income”.  This Court found that the borrowed funds were used to invest in the law firm for the purpose of earning income and, therefore, the interest payable thereon was deduct</w:t>
      </w:r>
      <w:r>
        <w:t>i</w:t>
      </w:r>
      <w:r w:rsidRPr="006E1903">
        <w:t>ble for income tax purposes.  The fact that the borrowing occurred because the taxpayer wanted to use his equity in the firm to buy a house was irrelevant for determining the use of the borrow</w:t>
      </w:r>
      <w:r>
        <w:t>ed funds.  For purposes of s. </w:t>
      </w:r>
      <w:r w:rsidRPr="006E1903">
        <w:t>20(1)(</w:t>
      </w:r>
      <w:r w:rsidRPr="00F54E23">
        <w:rPr>
          <w:i/>
        </w:rPr>
        <w:t>c</w:t>
      </w:r>
      <w:r w:rsidRPr="006E1903">
        <w:t>)(</w:t>
      </w:r>
      <w:proofErr w:type="spellStart"/>
      <w:r w:rsidRPr="006E1903">
        <w:t>i</w:t>
      </w:r>
      <w:proofErr w:type="spellEnd"/>
      <w:r w:rsidRPr="006E1903">
        <w:t>)</w:t>
      </w:r>
      <w:r w:rsidR="00C62D44">
        <w:t>,</w:t>
      </w:r>
      <w:r w:rsidRPr="006E1903">
        <w:t xml:space="preserve"> it would be wrong to collapse the transaction withdrawing funds from the firm to purchase the house and the borrowing </w:t>
      </w:r>
      <w:r>
        <w:t xml:space="preserve">transaction </w:t>
      </w:r>
      <w:r w:rsidRPr="006E1903">
        <w:t xml:space="preserve">to replenish the capital account at the firm.  It was the requirement to treat the two transactions separately </w:t>
      </w:r>
      <w:r w:rsidRPr="006E1903">
        <w:lastRenderedPageBreak/>
        <w:t xml:space="preserve">that caused Rip A.C.J., at </w:t>
      </w:r>
      <w:proofErr w:type="spellStart"/>
      <w:r w:rsidRPr="006E1903">
        <w:t>para</w:t>
      </w:r>
      <w:proofErr w:type="spellEnd"/>
      <w:r w:rsidRPr="006E1903">
        <w:t>. 78</w:t>
      </w:r>
      <w:r>
        <w:t>,</w:t>
      </w:r>
      <w:r w:rsidRPr="006E1903">
        <w:t xml:space="preserve"> to say that s. 69(2) required the Supply and Licen</w:t>
      </w:r>
      <w:r>
        <w:t>c</w:t>
      </w:r>
      <w:r w:rsidRPr="006E1903">
        <w:t xml:space="preserve">e </w:t>
      </w:r>
      <w:r>
        <w:t>a</w:t>
      </w:r>
      <w:r w:rsidRPr="006E1903">
        <w:t xml:space="preserve">greements to be treated separately. </w:t>
      </w:r>
    </w:p>
    <w:p w:rsidR="00C962E5" w:rsidRPr="006E1903" w:rsidRDefault="00C962E5" w:rsidP="00C962E5">
      <w:pPr>
        <w:pStyle w:val="ParaNoNdepar-AltN"/>
      </w:pPr>
      <w:r w:rsidRPr="006E1903">
        <w:t xml:space="preserve"> With respect, the approach of the Tax Court </w:t>
      </w:r>
      <w:r>
        <w:t>j</w:t>
      </w:r>
      <w:r w:rsidRPr="006E1903">
        <w:t>udge and the argument of the Minister ignore the difference between s. 20(1</w:t>
      </w:r>
      <w:proofErr w:type="gramStart"/>
      <w:r w:rsidRPr="006E1903">
        <w:t>)(</w:t>
      </w:r>
      <w:proofErr w:type="gramEnd"/>
      <w:r w:rsidRPr="00F54E23">
        <w:rPr>
          <w:i/>
        </w:rPr>
        <w:t>c</w:t>
      </w:r>
      <w:r w:rsidRPr="006E1903">
        <w:t>)(</w:t>
      </w:r>
      <w:proofErr w:type="spellStart"/>
      <w:r w:rsidRPr="006E1903">
        <w:t>i</w:t>
      </w:r>
      <w:proofErr w:type="spellEnd"/>
      <w:r w:rsidRPr="006E1903">
        <w:t>) and s. 69(2).  Nothing in s. 20(1</w:t>
      </w:r>
      <w:proofErr w:type="gramStart"/>
      <w:r w:rsidRPr="006E1903">
        <w:t>)(</w:t>
      </w:r>
      <w:proofErr w:type="gramEnd"/>
      <w:r w:rsidRPr="00F54E23">
        <w:rPr>
          <w:i/>
        </w:rPr>
        <w:t>c</w:t>
      </w:r>
      <w:r>
        <w:t>)(</w:t>
      </w:r>
      <w:proofErr w:type="spellStart"/>
      <w:r>
        <w:t>i</w:t>
      </w:r>
      <w:proofErr w:type="spellEnd"/>
      <w:r>
        <w:t>) entitles a c</w:t>
      </w:r>
      <w:r w:rsidRPr="006E1903">
        <w:t xml:space="preserve">ourt to search for anything other than the use to which the borrowed funds are put.  The factual determination is simply whether the use of borrowed funds was for the purpose of earning income.  </w:t>
      </w:r>
    </w:p>
    <w:p w:rsidR="00C962E5" w:rsidRPr="006E1903" w:rsidRDefault="00C962E5" w:rsidP="00C962E5">
      <w:pPr>
        <w:pStyle w:val="ParaNoNdepar-AltN"/>
      </w:pPr>
      <w:r w:rsidRPr="006E1903">
        <w:t>Section 20(1</w:t>
      </w:r>
      <w:proofErr w:type="gramStart"/>
      <w:r w:rsidRPr="006E1903">
        <w:t>)(</w:t>
      </w:r>
      <w:proofErr w:type="gramEnd"/>
      <w:r w:rsidRPr="00F54E23">
        <w:rPr>
          <w:i/>
        </w:rPr>
        <w:t>c</w:t>
      </w:r>
      <w:r w:rsidRPr="006E1903">
        <w:t>)(</w:t>
      </w:r>
      <w:proofErr w:type="spellStart"/>
      <w:r w:rsidRPr="006E1903">
        <w:t>i</w:t>
      </w:r>
      <w:proofErr w:type="spellEnd"/>
      <w:r w:rsidRPr="006E1903">
        <w:t xml:space="preserve">) does not ask whether it is unreasonable to claim the interest deduction; nor does it require a comparison of transactions to determine if the deduction is reasonable.  By contrast, s. 69(2) requires the </w:t>
      </w:r>
      <w:r>
        <w:t>c</w:t>
      </w:r>
      <w:r w:rsidRPr="006E1903">
        <w:t xml:space="preserve">ourt to determine whether the transfer price was greater than the amount that would have been reasonable in the circumstances, had the parties been dealing at arm’s length.  If transactions other than the purchasing transaction are relevant in determining this question, they must not be ignored.  </w:t>
      </w:r>
    </w:p>
    <w:p w:rsidR="00C962E5" w:rsidRPr="00F54E23" w:rsidRDefault="00C962E5" w:rsidP="00C962E5">
      <w:pPr>
        <w:pStyle w:val="TitleTitre-AltT"/>
        <w:tabs>
          <w:tab w:val="clear" w:pos="360"/>
        </w:tabs>
        <w:ind w:left="1800" w:hanging="720"/>
      </w:pPr>
      <w:r>
        <w:t>(2)</w:t>
      </w:r>
      <w:r>
        <w:tab/>
      </w:r>
      <w:r w:rsidRPr="00BA4484">
        <w:rPr>
          <w:i/>
          <w:u w:val="single"/>
        </w:rPr>
        <w:t>Shell</w:t>
      </w:r>
    </w:p>
    <w:p w:rsidR="00C962E5" w:rsidRPr="006E1903" w:rsidRDefault="00C962E5" w:rsidP="00C962E5">
      <w:pPr>
        <w:pStyle w:val="ParaNoNdepar-AltN"/>
        <w:rPr>
          <w:szCs w:val="24"/>
        </w:rPr>
      </w:pPr>
      <w:r w:rsidRPr="006E1903">
        <w:t xml:space="preserve">The issue in </w:t>
      </w:r>
      <w:r w:rsidRPr="006E1903">
        <w:rPr>
          <w:i/>
        </w:rPr>
        <w:t>Shell</w:t>
      </w:r>
      <w:r w:rsidRPr="006E1903">
        <w:t xml:space="preserve"> similarly involved s. 20(1</w:t>
      </w:r>
      <w:proofErr w:type="gramStart"/>
      <w:r w:rsidRPr="006E1903">
        <w:t>)(</w:t>
      </w:r>
      <w:proofErr w:type="gramEnd"/>
      <w:r w:rsidRPr="00F54E23">
        <w:rPr>
          <w:i/>
        </w:rPr>
        <w:t>c</w:t>
      </w:r>
      <w:r w:rsidRPr="006E1903">
        <w:t>)(</w:t>
      </w:r>
      <w:proofErr w:type="spellStart"/>
      <w:r w:rsidRPr="006E1903">
        <w:t>i</w:t>
      </w:r>
      <w:proofErr w:type="spellEnd"/>
      <w:r w:rsidRPr="006E1903">
        <w:t xml:space="preserve">).  Again the issue involved whether borrowed funds were used for the purpose of earning income. In </w:t>
      </w:r>
      <w:r w:rsidRPr="006E1903">
        <w:rPr>
          <w:i/>
        </w:rPr>
        <w:t>Shell</w:t>
      </w:r>
      <w:r w:rsidRPr="006E1903">
        <w:t xml:space="preserve">, the taxpayer </w:t>
      </w:r>
      <w:r w:rsidRPr="006E1903">
        <w:rPr>
          <w:szCs w:val="24"/>
        </w:rPr>
        <w:t xml:space="preserve">had entered into an agreement to borrow </w:t>
      </w:r>
      <w:r>
        <w:rPr>
          <w:szCs w:val="24"/>
        </w:rPr>
        <w:t>$</w:t>
      </w:r>
      <w:r w:rsidRPr="006E1903">
        <w:rPr>
          <w:szCs w:val="24"/>
        </w:rPr>
        <w:t>150 million in New Zealand curre</w:t>
      </w:r>
      <w:r w:rsidR="00C62D44">
        <w:rPr>
          <w:szCs w:val="24"/>
        </w:rPr>
        <w:t>ncy at an interest rate of 15.4 percent</w:t>
      </w:r>
      <w:r w:rsidRPr="006E1903">
        <w:rPr>
          <w:szCs w:val="24"/>
        </w:rPr>
        <w:t>.  The taxpayer converted these funds into U</w:t>
      </w:r>
      <w:r>
        <w:rPr>
          <w:szCs w:val="24"/>
        </w:rPr>
        <w:t>.</w:t>
      </w:r>
      <w:r w:rsidRPr="006E1903">
        <w:rPr>
          <w:szCs w:val="24"/>
        </w:rPr>
        <w:t>S</w:t>
      </w:r>
      <w:r>
        <w:rPr>
          <w:szCs w:val="24"/>
        </w:rPr>
        <w:t>.</w:t>
      </w:r>
      <w:r w:rsidRPr="006E1903">
        <w:rPr>
          <w:szCs w:val="24"/>
        </w:rPr>
        <w:t xml:space="preserve"> currency, which was then used for business purposes.  Through a </w:t>
      </w:r>
      <w:r w:rsidRPr="006E1903">
        <w:rPr>
          <w:szCs w:val="24"/>
        </w:rPr>
        <w:lastRenderedPageBreak/>
        <w:t>series of foreign currency transactions relating to the devaluation of the New Zealand currency over the course of the loan, Shell was able to reduce its effective rate of interest to 9.1</w:t>
      </w:r>
      <w:r w:rsidR="00C62D44">
        <w:rPr>
          <w:szCs w:val="24"/>
        </w:rPr>
        <w:t xml:space="preserve"> percent</w:t>
      </w:r>
      <w:r w:rsidRPr="006E1903">
        <w:rPr>
          <w:szCs w:val="24"/>
        </w:rPr>
        <w:t>, while still claiming an income tax deduction based on the 15.4</w:t>
      </w:r>
      <w:r w:rsidR="00C62D44">
        <w:rPr>
          <w:szCs w:val="24"/>
        </w:rPr>
        <w:t xml:space="preserve"> percent </w:t>
      </w:r>
      <w:r w:rsidRPr="006E1903">
        <w:rPr>
          <w:szCs w:val="24"/>
        </w:rPr>
        <w:t>interest rate on the initial transaction.</w:t>
      </w:r>
    </w:p>
    <w:p w:rsidR="00C962E5" w:rsidRPr="006E1903" w:rsidRDefault="00C962E5" w:rsidP="00C962E5">
      <w:pPr>
        <w:pStyle w:val="ParaNoNdepar-AltN"/>
      </w:pPr>
      <w:r w:rsidRPr="006E1903">
        <w:t xml:space="preserve">The issue in </w:t>
      </w:r>
      <w:r w:rsidRPr="006E1903">
        <w:rPr>
          <w:i/>
        </w:rPr>
        <w:t>Shell</w:t>
      </w:r>
      <w:r w:rsidRPr="006E1903">
        <w:t xml:space="preserve">, as in </w:t>
      </w:r>
      <w:r w:rsidRPr="006E1903">
        <w:rPr>
          <w:i/>
        </w:rPr>
        <w:t>Singleton</w:t>
      </w:r>
      <w:r w:rsidRPr="006E1903">
        <w:t>, turned on whether the borrowed funds, once converted into U</w:t>
      </w:r>
      <w:r>
        <w:t>.</w:t>
      </w:r>
      <w:r w:rsidRPr="006E1903">
        <w:t>S</w:t>
      </w:r>
      <w:r>
        <w:t>.</w:t>
      </w:r>
      <w:r w:rsidRPr="006E1903">
        <w:t xml:space="preserve"> currency, could properly be considered to be used for the purpose of earning income.  The Court found that it was irrelevant that the funds had been converted into U</w:t>
      </w:r>
      <w:r>
        <w:t>.</w:t>
      </w:r>
      <w:r w:rsidRPr="006E1903">
        <w:t>S</w:t>
      </w:r>
      <w:r>
        <w:t>.</w:t>
      </w:r>
      <w:r w:rsidRPr="006E1903">
        <w:t xml:space="preserve"> currency as part of a sophisticated tax scheme.  The Minister was not entitled to re-characterize the taxpayer’s </w:t>
      </w:r>
      <w:r w:rsidRPr="006E1903">
        <w:rPr>
          <w:i/>
        </w:rPr>
        <w:t xml:space="preserve">bona fide </w:t>
      </w:r>
      <w:r w:rsidRPr="006E1903">
        <w:t>legal relationships.</w:t>
      </w:r>
    </w:p>
    <w:p w:rsidR="00C962E5" w:rsidRPr="006E1903" w:rsidRDefault="00C962E5" w:rsidP="00C962E5">
      <w:pPr>
        <w:pStyle w:val="ParaNoNdepar-AltN"/>
      </w:pPr>
      <w:r w:rsidRPr="006E1903">
        <w:t xml:space="preserve">This differs significantly from s. 69(2).  The requirement of s. 69(2) is that the price established in a non-arm’s length transfer pricing transaction is to be </w:t>
      </w:r>
      <w:proofErr w:type="spellStart"/>
      <w:r w:rsidRPr="006E1903">
        <w:t>redetermined</w:t>
      </w:r>
      <w:proofErr w:type="spellEnd"/>
      <w:r w:rsidRPr="006E1903">
        <w:t xml:space="preserve"> as if it were between parties dealing at arm’s length.  If the circumstances require, transactions other than the purchasing transactions must be taken into account to determine whether the actual price was or was not greater than the amount that would have been reasonable had the parties been dealing at arm’s length.  </w:t>
      </w:r>
      <w:r w:rsidRPr="006E1903">
        <w:rPr>
          <w:i/>
        </w:rPr>
        <w:t>Shell</w:t>
      </w:r>
      <w:r w:rsidRPr="006E1903">
        <w:t xml:space="preserve"> is therefore also inapplicable to a determination under s. 69(2).</w:t>
      </w:r>
    </w:p>
    <w:p w:rsidR="00C962E5" w:rsidRPr="00F54E23" w:rsidRDefault="00C962E5" w:rsidP="00C962E5">
      <w:pPr>
        <w:pStyle w:val="ParaNoNdepar-AltN"/>
        <w:numPr>
          <w:ilvl w:val="0"/>
          <w:numId w:val="0"/>
        </w:numPr>
        <w:autoSpaceDE w:val="0"/>
        <w:autoSpaceDN w:val="0"/>
        <w:adjustRightInd w:val="0"/>
        <w:spacing w:line="240" w:lineRule="auto"/>
        <w:ind w:left="1800" w:hanging="720"/>
        <w:rPr>
          <w:szCs w:val="24"/>
        </w:rPr>
      </w:pPr>
      <w:r>
        <w:rPr>
          <w:szCs w:val="24"/>
        </w:rPr>
        <w:t>(3)</w:t>
      </w:r>
      <w:r>
        <w:rPr>
          <w:szCs w:val="24"/>
        </w:rPr>
        <w:tab/>
      </w:r>
      <w:r w:rsidRPr="00BA4484">
        <w:rPr>
          <w:i/>
          <w:szCs w:val="24"/>
          <w:u w:val="single"/>
        </w:rPr>
        <w:t>Guidelines</w:t>
      </w:r>
      <w:r w:rsidRPr="00F54E23">
        <w:rPr>
          <w:szCs w:val="24"/>
          <w:u w:val="single"/>
        </w:rPr>
        <w:t xml:space="preserve"> </w:t>
      </w:r>
      <w:r>
        <w:rPr>
          <w:szCs w:val="24"/>
          <w:u w:val="single"/>
        </w:rPr>
        <w:t>D</w:t>
      </w:r>
      <w:r w:rsidRPr="00F54E23">
        <w:rPr>
          <w:szCs w:val="24"/>
          <w:u w:val="single"/>
        </w:rPr>
        <w:t xml:space="preserve">o </w:t>
      </w:r>
      <w:r>
        <w:rPr>
          <w:szCs w:val="24"/>
          <w:u w:val="single"/>
        </w:rPr>
        <w:t>N</w:t>
      </w:r>
      <w:r w:rsidRPr="00F54E23">
        <w:rPr>
          <w:szCs w:val="24"/>
          <w:u w:val="single"/>
        </w:rPr>
        <w:t xml:space="preserve">ot </w:t>
      </w:r>
      <w:r>
        <w:rPr>
          <w:szCs w:val="24"/>
          <w:u w:val="single"/>
        </w:rPr>
        <w:t>R</w:t>
      </w:r>
      <w:r w:rsidRPr="00F54E23">
        <w:rPr>
          <w:szCs w:val="24"/>
          <w:u w:val="single"/>
        </w:rPr>
        <w:t xml:space="preserve">equire a </w:t>
      </w:r>
      <w:r>
        <w:rPr>
          <w:szCs w:val="24"/>
          <w:u w:val="single"/>
        </w:rPr>
        <w:t>T</w:t>
      </w:r>
      <w:r w:rsidRPr="00F54E23">
        <w:rPr>
          <w:szCs w:val="24"/>
          <w:u w:val="single"/>
        </w:rPr>
        <w:t>ransaction-by-</w:t>
      </w:r>
      <w:r>
        <w:rPr>
          <w:szCs w:val="24"/>
          <w:u w:val="single"/>
        </w:rPr>
        <w:t>T</w:t>
      </w:r>
      <w:r w:rsidRPr="00F54E23">
        <w:rPr>
          <w:szCs w:val="24"/>
          <w:u w:val="single"/>
        </w:rPr>
        <w:t xml:space="preserve">ransaction </w:t>
      </w:r>
      <w:r>
        <w:rPr>
          <w:szCs w:val="24"/>
          <w:u w:val="single"/>
        </w:rPr>
        <w:t>A</w:t>
      </w:r>
      <w:r w:rsidRPr="00F54E23">
        <w:rPr>
          <w:szCs w:val="24"/>
          <w:u w:val="single"/>
        </w:rPr>
        <w:t>pproach</w:t>
      </w:r>
    </w:p>
    <w:p w:rsidR="00C962E5" w:rsidRPr="006E1903" w:rsidRDefault="00C962E5" w:rsidP="00C962E5">
      <w:pPr>
        <w:pStyle w:val="ParaNoNdepar-AltN"/>
      </w:pPr>
      <w:r w:rsidRPr="006E1903">
        <w:t xml:space="preserve">The Minister also relied on </w:t>
      </w:r>
      <w:proofErr w:type="spellStart"/>
      <w:r>
        <w:t>para</w:t>
      </w:r>
      <w:proofErr w:type="spellEnd"/>
      <w:r w:rsidRPr="006E1903">
        <w:t xml:space="preserve">. 1.42 </w:t>
      </w:r>
      <w:proofErr w:type="gramStart"/>
      <w:r w:rsidRPr="006E1903">
        <w:t>of</w:t>
      </w:r>
      <w:proofErr w:type="gramEnd"/>
      <w:r w:rsidRPr="006E1903">
        <w:t xml:space="preserve"> the 1995 </w:t>
      </w:r>
      <w:r w:rsidRPr="006E1903">
        <w:rPr>
          <w:i/>
        </w:rPr>
        <w:t>Guidelines</w:t>
      </w:r>
      <w:r w:rsidRPr="006E1903">
        <w:t xml:space="preserve"> to justify the</w:t>
      </w:r>
      <w:r>
        <w:t xml:space="preserve"> transaction-</w:t>
      </w:r>
      <w:r w:rsidRPr="006E1903">
        <w:t>by</w:t>
      </w:r>
      <w:r>
        <w:t>-</w:t>
      </w:r>
      <w:r w:rsidRPr="006E1903">
        <w:t xml:space="preserve">transaction requirement.  </w:t>
      </w:r>
      <w:r>
        <w:t>Paragraph</w:t>
      </w:r>
      <w:r w:rsidRPr="006E1903">
        <w:t xml:space="preserve"> 1.42  provides: </w:t>
      </w:r>
    </w:p>
    <w:p w:rsidR="00C962E5" w:rsidRPr="006E1903" w:rsidRDefault="00C962E5" w:rsidP="00C62D44">
      <w:pPr>
        <w:pStyle w:val="Citation-AltC"/>
        <w:tabs>
          <w:tab w:val="left" w:pos="1620"/>
        </w:tabs>
        <w:ind w:hanging="1166"/>
      </w:pPr>
      <w:r>
        <w:lastRenderedPageBreak/>
        <w:tab/>
      </w:r>
      <w:r w:rsidR="00C62D44">
        <w:tab/>
      </w:r>
      <w:r w:rsidRPr="006E1903">
        <w:t xml:space="preserve">Ideally, in order to </w:t>
      </w:r>
      <w:proofErr w:type="gramStart"/>
      <w:r w:rsidRPr="006E1903">
        <w:t>arrive</w:t>
      </w:r>
      <w:proofErr w:type="gramEnd"/>
      <w:r w:rsidRPr="006E1903">
        <w:t xml:space="preserve"> at the most precise approximation of fair market value, the arm’s length principle should be applied on a transaction-by-transaction basis.</w:t>
      </w:r>
    </w:p>
    <w:p w:rsidR="00C962E5" w:rsidRPr="006E1903" w:rsidRDefault="00C962E5" w:rsidP="00C962E5">
      <w:pPr>
        <w:pStyle w:val="ContinueParaSuitedupar-AltP"/>
      </w:pPr>
      <w:r w:rsidRPr="006E1903">
        <w:t xml:space="preserve">The Minister submits that </w:t>
      </w:r>
      <w:proofErr w:type="spellStart"/>
      <w:r>
        <w:t>para</w:t>
      </w:r>
      <w:proofErr w:type="spellEnd"/>
      <w:r>
        <w:t>.</w:t>
      </w:r>
      <w:r w:rsidRPr="006E1903">
        <w:t xml:space="preserve"> 1.42 requires the </w:t>
      </w:r>
      <w:r>
        <w:t>c</w:t>
      </w:r>
      <w:r w:rsidRPr="006E1903">
        <w:t>ourt to focus only on the particular transaction at issue and, thus, does not permit the Licence Agreement to inform the determination of the reasonableness of the prices paid for ranitidine under the Supply Agreement.</w:t>
      </w:r>
    </w:p>
    <w:p w:rsidR="00C962E5" w:rsidRPr="006E1903" w:rsidRDefault="00C962E5" w:rsidP="00C962E5">
      <w:pPr>
        <w:pStyle w:val="ParaNoNdepar-AltN"/>
      </w:pPr>
      <w:r w:rsidRPr="006E1903">
        <w:t xml:space="preserve">However, </w:t>
      </w:r>
      <w:proofErr w:type="spellStart"/>
      <w:r>
        <w:t>para</w:t>
      </w:r>
      <w:proofErr w:type="spellEnd"/>
      <w:r>
        <w:t>.</w:t>
      </w:r>
      <w:r w:rsidRPr="006E1903">
        <w:t xml:space="preserve"> 1.42 is not as restrictive as the Minister submits.  It also provides: </w:t>
      </w:r>
    </w:p>
    <w:p w:rsidR="00C962E5" w:rsidRPr="006E1903" w:rsidRDefault="00C62D44" w:rsidP="00C62D44">
      <w:pPr>
        <w:pStyle w:val="Citation-AltC"/>
        <w:tabs>
          <w:tab w:val="left" w:pos="1170"/>
        </w:tabs>
        <w:ind w:hanging="1166"/>
      </w:pPr>
      <w:r>
        <w:tab/>
      </w:r>
      <w:r w:rsidR="00C962E5">
        <w:t>. . . </w:t>
      </w:r>
      <w:proofErr w:type="gramStart"/>
      <w:r w:rsidR="00C962E5">
        <w:t>t</w:t>
      </w:r>
      <w:r w:rsidR="00C962E5" w:rsidRPr="006E1903">
        <w:t>here</w:t>
      </w:r>
      <w:proofErr w:type="gramEnd"/>
      <w:r w:rsidR="00C962E5" w:rsidRPr="006E1903">
        <w:t xml:space="preserve"> are often situations where separate transactions are so closely linked or continuous that they cannot be evaluated adequately on a separate basis.</w:t>
      </w:r>
    </w:p>
    <w:p w:rsidR="00C962E5" w:rsidRPr="006E1903" w:rsidRDefault="00C962E5" w:rsidP="00C962E5">
      <w:pPr>
        <w:pStyle w:val="ContinueParaSuitedupar-AltP"/>
      </w:pPr>
      <w:r w:rsidRPr="006E1903">
        <w:t xml:space="preserve">Thus, while a transaction-by-transaction approach may be ideal, the 1995 </w:t>
      </w:r>
      <w:r w:rsidRPr="006E1903">
        <w:rPr>
          <w:i/>
        </w:rPr>
        <w:t>Guidelines</w:t>
      </w:r>
      <w:r w:rsidRPr="006E1903">
        <w:t xml:space="preserve"> themselves recognize that it is not appropriate in all cases.</w:t>
      </w:r>
    </w:p>
    <w:p w:rsidR="00C962E5" w:rsidRPr="006E1903" w:rsidRDefault="00C962E5" w:rsidP="00C962E5">
      <w:pPr>
        <w:pStyle w:val="ParaNoNdepar-AltN"/>
        <w:rPr>
          <w:szCs w:val="24"/>
        </w:rPr>
      </w:pPr>
      <w:r w:rsidRPr="006E1903">
        <w:t xml:space="preserve">Further, the general statement in the 1995 </w:t>
      </w:r>
      <w:r w:rsidRPr="006E1903">
        <w:rPr>
          <w:i/>
        </w:rPr>
        <w:t>Guidelines</w:t>
      </w:r>
      <w:r w:rsidRPr="006E1903">
        <w:t xml:space="preserve"> regarding the arm’s length principle at </w:t>
      </w:r>
      <w:proofErr w:type="spellStart"/>
      <w:r>
        <w:t>para</w:t>
      </w:r>
      <w:proofErr w:type="spellEnd"/>
      <w:r w:rsidRPr="006E1903">
        <w:t>. 1.15 also provides guidance as to when related transactions should be taken into account:</w:t>
      </w:r>
      <w:r w:rsidRPr="006E1903">
        <w:rPr>
          <w:szCs w:val="24"/>
        </w:rPr>
        <w:t xml:space="preserve"> </w:t>
      </w:r>
    </w:p>
    <w:p w:rsidR="00C962E5" w:rsidRPr="006E1903" w:rsidRDefault="00C962E5" w:rsidP="00C962E5">
      <w:pPr>
        <w:pStyle w:val="Citation-AltC"/>
      </w:pPr>
      <w:r>
        <w:tab/>
      </w:r>
      <w:r w:rsidR="00C62D44">
        <w:t>Application of the arm’</w:t>
      </w:r>
      <w:r w:rsidRPr="006E1903">
        <w:t xml:space="preserve">s length principle is generally based on a comparison of the conditions in a controlled transaction with the conditions in transactions between independent enterprises. </w:t>
      </w:r>
      <w:r w:rsidRPr="006E1903">
        <w:rPr>
          <w:u w:val="single"/>
        </w:rPr>
        <w:t>In order for such comparisons to be useful, the economically relevant characteristics of the situations being compared must be sufficiently comparable.</w:t>
      </w:r>
      <w:r w:rsidRPr="006E1903">
        <w:t xml:space="preserve"> To be comparable means that none of the differences (if any) between the </w:t>
      </w:r>
      <w:r w:rsidRPr="006E1903">
        <w:lastRenderedPageBreak/>
        <w:t>situations being compared could materially affect the condition being examined in the methodology (e.g. price or margin), or that reasonably accurate adjustments can be made to eliminate the e</w:t>
      </w:r>
      <w:r>
        <w:t>ffect of any such differences. [Emphasis added.]</w:t>
      </w:r>
    </w:p>
    <w:p w:rsidR="00C962E5" w:rsidRPr="006E1903" w:rsidRDefault="00C962E5" w:rsidP="00C962E5">
      <w:pPr>
        <w:pStyle w:val="ParaNoNdepar-AltN"/>
      </w:pPr>
      <w:r w:rsidRPr="006E1903">
        <w:t xml:space="preserve">Thus, according to the 1995 </w:t>
      </w:r>
      <w:r w:rsidRPr="006E1903">
        <w:rPr>
          <w:i/>
        </w:rPr>
        <w:t>Guidelines</w:t>
      </w:r>
      <w:r w:rsidRPr="004F3276">
        <w:t xml:space="preserve">, </w:t>
      </w:r>
      <w:r w:rsidRPr="006E1903">
        <w:t>a proper application of the arm’s length principle requires that regard be had for the “economically relevant characteristics” of the arm’s length and non-arm’s length circumstances to ensure they are “sufficiently comparable”</w:t>
      </w:r>
      <w:r>
        <w:t>.</w:t>
      </w:r>
      <w:r w:rsidRPr="006E1903">
        <w:t xml:space="preserve">  Where there are no related transactions or where related transactions are not relevant to the determination of the reasonableness of the price in issue, a transaction-by-transaction approach may be appropriate.  However, “economically relevant characteristics of the situations being compared” may make it necessary to consider other transactions that impact the transfer price under consideration.  In each case</w:t>
      </w:r>
      <w:r w:rsidR="00C62D44">
        <w:t>,</w:t>
      </w:r>
      <w:r w:rsidRPr="006E1903">
        <w:t xml:space="preserve"> it is necessary to address this question by considering the relevant circumstances.</w:t>
      </w:r>
    </w:p>
    <w:p w:rsidR="00C962E5" w:rsidRPr="004F3276" w:rsidRDefault="00C962E5" w:rsidP="00C962E5">
      <w:pPr>
        <w:pStyle w:val="TitleTitre-AltT"/>
        <w:tabs>
          <w:tab w:val="clear" w:pos="360"/>
        </w:tabs>
        <w:ind w:left="720" w:hanging="720"/>
      </w:pPr>
      <w:r w:rsidRPr="004F3276">
        <w:t>D</w:t>
      </w:r>
      <w:r>
        <w:t>.</w:t>
      </w:r>
      <w:r>
        <w:tab/>
      </w:r>
      <w:r w:rsidRPr="004F3276">
        <w:rPr>
          <w:i/>
        </w:rPr>
        <w:t xml:space="preserve">The Licence Agreement </w:t>
      </w:r>
      <w:r>
        <w:rPr>
          <w:i/>
        </w:rPr>
        <w:t>I</w:t>
      </w:r>
      <w:r w:rsidRPr="004F3276">
        <w:rPr>
          <w:i/>
        </w:rPr>
        <w:t xml:space="preserve">s </w:t>
      </w:r>
      <w:r>
        <w:rPr>
          <w:i/>
        </w:rPr>
        <w:t>R</w:t>
      </w:r>
      <w:r w:rsidRPr="004F3276">
        <w:rPr>
          <w:i/>
        </w:rPr>
        <w:t xml:space="preserve">elevant in </w:t>
      </w:r>
      <w:r>
        <w:rPr>
          <w:i/>
        </w:rPr>
        <w:t>t</w:t>
      </w:r>
      <w:r w:rsidRPr="004F3276">
        <w:rPr>
          <w:i/>
        </w:rPr>
        <w:t xml:space="preserve">he </w:t>
      </w:r>
      <w:r>
        <w:rPr>
          <w:i/>
        </w:rPr>
        <w:t>C</w:t>
      </w:r>
      <w:r w:rsidRPr="004F3276">
        <w:rPr>
          <w:i/>
        </w:rPr>
        <w:t>ircumstances</w:t>
      </w:r>
    </w:p>
    <w:p w:rsidR="00C962E5" w:rsidRPr="006E1903" w:rsidRDefault="00C962E5" w:rsidP="00C962E5">
      <w:pPr>
        <w:pStyle w:val="ParaNoNdepar-AltN"/>
      </w:pPr>
      <w:r w:rsidRPr="006E1903">
        <w:t>For the above reasons, in my respectful opinion, Rip A.C.J. was in error when he found that he was precluded from considering the Licence Agreement.  Nonetheless, while consideration of the Licence Agreement was not precluded, the question still remains as to whether he should have considered it.</w:t>
      </w:r>
    </w:p>
    <w:p w:rsidR="00C962E5" w:rsidRPr="006E1903" w:rsidRDefault="00C962E5" w:rsidP="00C962E5">
      <w:pPr>
        <w:pStyle w:val="ParaNoNdepar-AltN"/>
      </w:pPr>
      <w:r w:rsidRPr="006E1903">
        <w:t xml:space="preserve">Because s. 69(2) requires an inquiry into the price that would be reasonable in the circumstances had the non-resident supplier and the Canadian </w:t>
      </w:r>
      <w:r w:rsidRPr="006E1903">
        <w:lastRenderedPageBreak/>
        <w:t xml:space="preserve">taxpayer been dealing at arm’s length, it necessarily involves consideration of all </w:t>
      </w:r>
      <w:r w:rsidR="00C62D44">
        <w:t xml:space="preserve">the </w:t>
      </w:r>
      <w:r w:rsidRPr="006E1903">
        <w:t>circumstances of the Canadian taxpayer relevant to the price paid to the non-resident supplier.  Such circumstances will include agreements that may confer rights and benefits in addition to the purchase of property where those agreements are linked to the purchasing agreement. The objective is to determine what an arm’s length purchaser would pay for the property and the rights and benefits together where the rights and benefits are linked to the price paid for the property.</w:t>
      </w:r>
    </w:p>
    <w:p w:rsidR="00C962E5" w:rsidRPr="006E1903" w:rsidRDefault="00C962E5" w:rsidP="00C962E5">
      <w:pPr>
        <w:pStyle w:val="ParaNoNdepar-AltN"/>
      </w:pPr>
      <w:r w:rsidRPr="006E1903">
        <w:t xml:space="preserve">The business of </w:t>
      </w:r>
      <w:proofErr w:type="spellStart"/>
      <w:r w:rsidRPr="006E1903">
        <w:t>Glaxo</w:t>
      </w:r>
      <w:proofErr w:type="spellEnd"/>
      <w:r w:rsidRPr="006E1903">
        <w:t xml:space="preserve"> Canada was the secondary manufacturing and marketing of </w:t>
      </w:r>
      <w:r>
        <w:t>brand-</w:t>
      </w:r>
      <w:r w:rsidRPr="006E1903">
        <w:t xml:space="preserve">name pharmaceuticals, including Zantac.  </w:t>
      </w:r>
      <w:proofErr w:type="spellStart"/>
      <w:r w:rsidRPr="006E1903">
        <w:t>Glaxo</w:t>
      </w:r>
      <w:proofErr w:type="spellEnd"/>
      <w:r w:rsidRPr="006E1903">
        <w:t xml:space="preserve"> Canada also engaged in research and development although there is no indication that its research and development work pertained to Zantac. </w:t>
      </w:r>
      <w:proofErr w:type="spellStart"/>
      <w:r w:rsidRPr="006E1903">
        <w:t>Glaxo</w:t>
      </w:r>
      <w:proofErr w:type="spellEnd"/>
      <w:r w:rsidRPr="006E1903">
        <w:t xml:space="preserve"> Canada’s purchase of ranitidine must be understood</w:t>
      </w:r>
      <w:r w:rsidR="00C645AB">
        <w:t>,</w:t>
      </w:r>
      <w:r w:rsidRPr="006E1903">
        <w:t xml:space="preserve"> having regard to this business reality.</w:t>
      </w:r>
    </w:p>
    <w:p w:rsidR="00C962E5" w:rsidRPr="006E1903" w:rsidRDefault="00C962E5" w:rsidP="00C962E5">
      <w:pPr>
        <w:pStyle w:val="ParaNoNdepar-AltN"/>
      </w:pPr>
      <w:r w:rsidRPr="006E1903">
        <w:t>Rip A.C.J. found</w:t>
      </w:r>
      <w:r w:rsidR="00C645AB">
        <w:t>,</w:t>
      </w:r>
      <w:r w:rsidRPr="006E1903">
        <w:t xml:space="preserve"> at </w:t>
      </w:r>
      <w:proofErr w:type="spellStart"/>
      <w:r w:rsidRPr="006E1903">
        <w:t>para</w:t>
      </w:r>
      <w:proofErr w:type="spellEnd"/>
      <w:r w:rsidRPr="006E1903">
        <w:t>. 86</w:t>
      </w:r>
      <w:r>
        <w:t>,</w:t>
      </w:r>
      <w:r w:rsidRPr="006E1903">
        <w:t xml:space="preserve"> </w:t>
      </w:r>
      <w:r w:rsidR="00C645AB">
        <w:t xml:space="preserve">that </w:t>
      </w:r>
      <w:r w:rsidRPr="006E1903">
        <w:t xml:space="preserve">“it was by virtue of the Licence Agreement that the appellant was required to purchase its ranitidine from </w:t>
      </w:r>
      <w:proofErr w:type="spellStart"/>
      <w:r w:rsidRPr="006E1903">
        <w:t>Glaxo</w:t>
      </w:r>
      <w:proofErr w:type="spellEnd"/>
      <w:r w:rsidRPr="006E1903">
        <w:t xml:space="preserve"> approved sources”.  The parties have not disputed this finding.</w:t>
      </w:r>
    </w:p>
    <w:p w:rsidR="00C962E5" w:rsidRPr="006E1903" w:rsidRDefault="00C962E5" w:rsidP="00C962E5">
      <w:pPr>
        <w:pStyle w:val="ParaNoNdepar-AltN"/>
      </w:pPr>
      <w:r w:rsidRPr="006E1903">
        <w:t xml:space="preserve">There were only two approved sources, one of which was </w:t>
      </w:r>
      <w:proofErr w:type="spellStart"/>
      <w:r w:rsidRPr="006E1903">
        <w:t>Adechsa</w:t>
      </w:r>
      <w:proofErr w:type="spellEnd"/>
      <w:r w:rsidRPr="006E1903">
        <w:t xml:space="preserve">.  Thus, in order to avail itself of the benefits of the Licence Agreement, </w:t>
      </w:r>
      <w:proofErr w:type="spellStart"/>
      <w:r w:rsidRPr="006E1903">
        <w:t>Glaxo</w:t>
      </w:r>
      <w:proofErr w:type="spellEnd"/>
      <w:r>
        <w:t xml:space="preserve"> Canada</w:t>
      </w:r>
      <w:r w:rsidRPr="006E1903">
        <w:t xml:space="preserve"> was required to purchase the active ingredient from one of these sources.  This requirement was not the product of the non-arm’s length relationship between </w:t>
      </w:r>
      <w:proofErr w:type="spellStart"/>
      <w:r w:rsidRPr="006E1903">
        <w:t>Glaxo</w:t>
      </w:r>
      <w:proofErr w:type="spellEnd"/>
      <w:r w:rsidRPr="006E1903">
        <w:t xml:space="preserve"> Canada and </w:t>
      </w:r>
      <w:proofErr w:type="spellStart"/>
      <w:r w:rsidRPr="006E1903">
        <w:t>Glaxo</w:t>
      </w:r>
      <w:proofErr w:type="spellEnd"/>
      <w:r w:rsidRPr="006E1903">
        <w:t xml:space="preserve"> Group or </w:t>
      </w:r>
      <w:proofErr w:type="spellStart"/>
      <w:r w:rsidRPr="006E1903">
        <w:t>Adechsa</w:t>
      </w:r>
      <w:proofErr w:type="spellEnd"/>
      <w:r w:rsidRPr="006E1903">
        <w:t xml:space="preserve">.  Rather, it arose because </w:t>
      </w:r>
      <w:proofErr w:type="spellStart"/>
      <w:r w:rsidRPr="006E1903">
        <w:t>Glaxo</w:t>
      </w:r>
      <w:proofErr w:type="spellEnd"/>
      <w:r w:rsidRPr="006E1903">
        <w:t xml:space="preserve"> Group controlled the trademark and patent of the brand</w:t>
      </w:r>
      <w:r>
        <w:t>-</w:t>
      </w:r>
      <w:r w:rsidRPr="006E1903">
        <w:t xml:space="preserve">name pharmaceutical product </w:t>
      </w:r>
      <w:proofErr w:type="spellStart"/>
      <w:r w:rsidRPr="006E1903">
        <w:t>Glaxo</w:t>
      </w:r>
      <w:proofErr w:type="spellEnd"/>
      <w:r w:rsidRPr="006E1903">
        <w:t xml:space="preserve"> </w:t>
      </w:r>
      <w:r w:rsidRPr="006E1903">
        <w:lastRenderedPageBreak/>
        <w:t>Canada wished to market. An arm’s length distributor wishing to market Zantac might well be faced with the same requirement.</w:t>
      </w:r>
    </w:p>
    <w:p w:rsidR="00C962E5" w:rsidRPr="006E1903" w:rsidRDefault="00C962E5" w:rsidP="00C962E5">
      <w:pPr>
        <w:pStyle w:val="ParaNoNdepar-AltN"/>
      </w:pPr>
      <w:r w:rsidRPr="006E1903">
        <w:t xml:space="preserve">The effect of the link between the Licence and Supply </w:t>
      </w:r>
      <w:r>
        <w:t>a</w:t>
      </w:r>
      <w:r w:rsidRPr="006E1903">
        <w:t>greements was that an entity that wished to market Zantac was subject to contractual terms affecting the price of ranitidine that generic marketers of ranitidine products were not.</w:t>
      </w:r>
    </w:p>
    <w:p w:rsidR="00C962E5" w:rsidRPr="006E1903" w:rsidRDefault="00C962E5" w:rsidP="00C962E5">
      <w:pPr>
        <w:pStyle w:val="ParaNoNdepar-AltN"/>
      </w:pPr>
      <w:r w:rsidRPr="006E1903">
        <w:t xml:space="preserve">As such, the rights and benefits of the Licence Agreement were contingent on </w:t>
      </w:r>
      <w:proofErr w:type="spellStart"/>
      <w:r w:rsidRPr="006E1903">
        <w:t>Glaxo</w:t>
      </w:r>
      <w:proofErr w:type="spellEnd"/>
      <w:r w:rsidRPr="006E1903">
        <w:t xml:space="preserve"> Canada entering into a Supply Agreement with suppliers to be designated by </w:t>
      </w:r>
      <w:proofErr w:type="spellStart"/>
      <w:r w:rsidRPr="006E1903">
        <w:t>Glaxo</w:t>
      </w:r>
      <w:proofErr w:type="spellEnd"/>
      <w:r w:rsidRPr="006E1903">
        <w:t xml:space="preserve"> Group.  The result of the price paid was to allocate to </w:t>
      </w:r>
      <w:proofErr w:type="spellStart"/>
      <w:r w:rsidRPr="006E1903">
        <w:t>Glaxo</w:t>
      </w:r>
      <w:proofErr w:type="spellEnd"/>
      <w:r w:rsidRPr="006E1903">
        <w:t xml:space="preserve"> Canada what </w:t>
      </w:r>
      <w:proofErr w:type="spellStart"/>
      <w:r w:rsidRPr="006E1903">
        <w:t>Glaxo</w:t>
      </w:r>
      <w:proofErr w:type="spellEnd"/>
      <w:r w:rsidRPr="006E1903">
        <w:t xml:space="preserve"> Group considered to be appropriate compensation for its secondary manufacturing and marketing function in respect of ranitidine and Zantac.</w:t>
      </w:r>
    </w:p>
    <w:p w:rsidR="00C962E5" w:rsidRPr="006E1903" w:rsidRDefault="00C962E5" w:rsidP="00C962E5">
      <w:pPr>
        <w:pStyle w:val="ParaNoNdepar-AltN"/>
      </w:pPr>
      <w:r w:rsidRPr="006E1903">
        <w:t>Rip A.C.J. appears to have been concerned that a multinational organization, by requiring a Canadian subsidiary to acquire a product from a specified supplier, would escape the requirement to have its prices measured against arm’s length prices (</w:t>
      </w:r>
      <w:proofErr w:type="spellStart"/>
      <w:r w:rsidRPr="006E1903">
        <w:t>para</w:t>
      </w:r>
      <w:proofErr w:type="spellEnd"/>
      <w:r>
        <w:t>.</w:t>
      </w:r>
      <w:r w:rsidRPr="006E1903">
        <w:t xml:space="preserve"> 89).  However, whatever price was determined by </w:t>
      </w:r>
      <w:proofErr w:type="spellStart"/>
      <w:r w:rsidRPr="006E1903">
        <w:t>Glaxo</w:t>
      </w:r>
      <w:proofErr w:type="spellEnd"/>
      <w:r w:rsidRPr="006E1903">
        <w:t xml:space="preserve"> Group would be subject to s. 69(2) and the requirement that the transfer pricing transactions be measured against transactions between parties dealing with each other at arm’s length.</w:t>
      </w:r>
    </w:p>
    <w:p w:rsidR="00C962E5" w:rsidRPr="006E1903" w:rsidRDefault="00C962E5" w:rsidP="00C962E5">
      <w:pPr>
        <w:pStyle w:val="ParaNoNdepar-AltN"/>
      </w:pPr>
      <w:r w:rsidRPr="006E1903">
        <w:t xml:space="preserve">Thus, it appears that </w:t>
      </w:r>
      <w:proofErr w:type="spellStart"/>
      <w:r w:rsidRPr="006E1903">
        <w:t>Glaxo</w:t>
      </w:r>
      <w:proofErr w:type="spellEnd"/>
      <w:r w:rsidRPr="006E1903">
        <w:t xml:space="preserve"> Canada was paying for at least some of the rights and benefits under the Licence Agreement as part of the purchase prices for ranitidine from </w:t>
      </w:r>
      <w:proofErr w:type="spellStart"/>
      <w:r w:rsidRPr="006E1903">
        <w:t>Adechsa</w:t>
      </w:r>
      <w:proofErr w:type="spellEnd"/>
      <w:r w:rsidRPr="006E1903">
        <w:t xml:space="preserve">.  Because the prices paid to </w:t>
      </w:r>
      <w:proofErr w:type="spellStart"/>
      <w:r w:rsidRPr="006E1903">
        <w:t>Adechsa</w:t>
      </w:r>
      <w:proofErr w:type="spellEnd"/>
      <w:r w:rsidRPr="006E1903">
        <w:t xml:space="preserve"> were set, in part, as </w:t>
      </w:r>
      <w:r w:rsidRPr="006E1903">
        <w:lastRenderedPageBreak/>
        <w:t xml:space="preserve">compensation to </w:t>
      </w:r>
      <w:proofErr w:type="spellStart"/>
      <w:r w:rsidRPr="006E1903">
        <w:t>Glaxo</w:t>
      </w:r>
      <w:proofErr w:type="spellEnd"/>
      <w:r w:rsidRPr="006E1903">
        <w:t xml:space="preserve"> Group for the rights and benefits conferred on </w:t>
      </w:r>
      <w:proofErr w:type="spellStart"/>
      <w:r w:rsidRPr="006E1903">
        <w:t>Glaxo</w:t>
      </w:r>
      <w:proofErr w:type="spellEnd"/>
      <w:r w:rsidRPr="006E1903">
        <w:t xml:space="preserve"> Canada under the Licence Agreement, the Licence Agreement could not be ignored in determining the reasonable amount paid to </w:t>
      </w:r>
      <w:proofErr w:type="spellStart"/>
      <w:r w:rsidRPr="006E1903">
        <w:t>Adechsa</w:t>
      </w:r>
      <w:proofErr w:type="spellEnd"/>
      <w:r w:rsidRPr="006E1903">
        <w:t xml:space="preserve"> under s. 69(2), which applies not only to payment for goods but also to payment for services.</w:t>
      </w:r>
    </w:p>
    <w:p w:rsidR="00C962E5" w:rsidRPr="006E1903" w:rsidRDefault="00C962E5" w:rsidP="00C962E5">
      <w:pPr>
        <w:pStyle w:val="ParaNoNdepar-AltN"/>
      </w:pPr>
      <w:r w:rsidRPr="006E1903">
        <w:t xml:space="preserve">Considering the Licence and Supply </w:t>
      </w:r>
      <w:r>
        <w:t>a</w:t>
      </w:r>
      <w:r w:rsidRPr="006E1903">
        <w:t>greement</w:t>
      </w:r>
      <w:r>
        <w:t>s</w:t>
      </w:r>
      <w:r w:rsidRPr="006E1903">
        <w:t xml:space="preserve"> together offers a realistic picture of the profits of </w:t>
      </w:r>
      <w:proofErr w:type="spellStart"/>
      <w:r w:rsidRPr="006E1903">
        <w:t>Glaxo</w:t>
      </w:r>
      <w:proofErr w:type="spellEnd"/>
      <w:r w:rsidRPr="006E1903">
        <w:t xml:space="preserve"> Canada.  It cannot be irrelevant that </w:t>
      </w:r>
      <w:proofErr w:type="spellStart"/>
      <w:r w:rsidRPr="006E1903">
        <w:t>Glaxo</w:t>
      </w:r>
      <w:proofErr w:type="spellEnd"/>
      <w:r w:rsidRPr="006E1903">
        <w:t xml:space="preserve"> Canada’s function was primarily as a secondary manufacturer and marketer.  It did not originate new products and the intellectual property rights associated with them.  Nor did it undertake the investment and risk involved with originating new products.  Nor did it have the other risks and investment costs which </w:t>
      </w:r>
      <w:proofErr w:type="spellStart"/>
      <w:r w:rsidRPr="006E1903">
        <w:t>Glaxo</w:t>
      </w:r>
      <w:proofErr w:type="spellEnd"/>
      <w:r w:rsidRPr="006E1903">
        <w:t xml:space="preserve"> Group undertook under the Licence Agreement.  The prices paid by </w:t>
      </w:r>
      <w:proofErr w:type="spellStart"/>
      <w:r w:rsidRPr="006E1903">
        <w:t>Glaxo</w:t>
      </w:r>
      <w:proofErr w:type="spellEnd"/>
      <w:r w:rsidRPr="006E1903">
        <w:t xml:space="preserve"> Canada to </w:t>
      </w:r>
      <w:proofErr w:type="spellStart"/>
      <w:r w:rsidRPr="006E1903">
        <w:t>Adechsa</w:t>
      </w:r>
      <w:proofErr w:type="spellEnd"/>
      <w:r w:rsidRPr="006E1903">
        <w:t xml:space="preserve"> were a payment for a bundle of at least some rights and benefits under the Licence Agreement and product under the Supply Agreement.</w:t>
      </w:r>
    </w:p>
    <w:p w:rsidR="00C962E5" w:rsidRPr="006E1903" w:rsidRDefault="00C962E5" w:rsidP="00C962E5">
      <w:pPr>
        <w:pStyle w:val="ParaNoNdepar-AltN"/>
      </w:pPr>
      <w:r w:rsidRPr="006E1903">
        <w:t xml:space="preserve">I agree with the Federal Court of Appeal that Rip A.C.J. erred in refusing to take account of the Licence Agreement.  It was that refusal which led him to find that the prices the generic pharmaceutical companies paid for ranitidine were comparable under the CUP method.  However, the generic comparators do not reflect the economic and business reality of </w:t>
      </w:r>
      <w:proofErr w:type="spellStart"/>
      <w:r w:rsidRPr="006E1903">
        <w:t>Glaxo</w:t>
      </w:r>
      <w:proofErr w:type="spellEnd"/>
      <w:r w:rsidRPr="006E1903">
        <w:t xml:space="preserve"> Canada and, at least without adjustment, do not indicate the price that would be reasonable in the circumstances, had </w:t>
      </w:r>
      <w:proofErr w:type="spellStart"/>
      <w:r w:rsidRPr="006E1903">
        <w:t>Glaxo</w:t>
      </w:r>
      <w:proofErr w:type="spellEnd"/>
      <w:r w:rsidRPr="006E1903">
        <w:t xml:space="preserve"> Canada and </w:t>
      </w:r>
      <w:proofErr w:type="spellStart"/>
      <w:r w:rsidRPr="006E1903">
        <w:t>Adechsa</w:t>
      </w:r>
      <w:proofErr w:type="spellEnd"/>
      <w:r w:rsidRPr="006E1903">
        <w:t xml:space="preserve"> been dealing at arm’s length.</w:t>
      </w:r>
    </w:p>
    <w:p w:rsidR="00C962E5" w:rsidRPr="006E1903" w:rsidRDefault="00C962E5" w:rsidP="00C962E5">
      <w:pPr>
        <w:pStyle w:val="ParaNoNdepar-AltN"/>
      </w:pPr>
      <w:r w:rsidRPr="006E1903">
        <w:lastRenderedPageBreak/>
        <w:t xml:space="preserve">I agree with Justice </w:t>
      </w:r>
      <w:proofErr w:type="spellStart"/>
      <w:r w:rsidRPr="006E1903">
        <w:t>Nadon</w:t>
      </w:r>
      <w:proofErr w:type="spellEnd"/>
      <w:r w:rsidRPr="006E1903">
        <w:t xml:space="preserve"> that </w:t>
      </w:r>
      <w:r w:rsidRPr="006E1903">
        <w:rPr>
          <w:szCs w:val="24"/>
        </w:rPr>
        <w:t xml:space="preserve">“the amount that would have been reasonable in the circumstances” if </w:t>
      </w:r>
      <w:proofErr w:type="spellStart"/>
      <w:r>
        <w:rPr>
          <w:szCs w:val="24"/>
        </w:rPr>
        <w:t>Glaxo</w:t>
      </w:r>
      <w:proofErr w:type="spellEnd"/>
      <w:r>
        <w:rPr>
          <w:szCs w:val="24"/>
        </w:rPr>
        <w:t xml:space="preserve"> Canada</w:t>
      </w:r>
      <w:r w:rsidRPr="006E1903">
        <w:rPr>
          <w:szCs w:val="24"/>
        </w:rPr>
        <w:t xml:space="preserve"> and </w:t>
      </w:r>
      <w:proofErr w:type="spellStart"/>
      <w:r w:rsidRPr="006E1903">
        <w:rPr>
          <w:szCs w:val="24"/>
        </w:rPr>
        <w:t>Adechsa</w:t>
      </w:r>
      <w:proofErr w:type="spellEnd"/>
      <w:r w:rsidRPr="006E1903">
        <w:rPr>
          <w:szCs w:val="24"/>
        </w:rPr>
        <w:t xml:space="preserve"> had been dealing at arm’s length has yet to be determined</w:t>
      </w:r>
      <w:r w:rsidR="00534A9B">
        <w:rPr>
          <w:szCs w:val="24"/>
        </w:rPr>
        <w:t xml:space="preserve"> (</w:t>
      </w:r>
      <w:proofErr w:type="spellStart"/>
      <w:r w:rsidR="00534A9B">
        <w:rPr>
          <w:szCs w:val="24"/>
        </w:rPr>
        <w:t>para</w:t>
      </w:r>
      <w:proofErr w:type="spellEnd"/>
      <w:r w:rsidR="00534A9B">
        <w:rPr>
          <w:szCs w:val="24"/>
        </w:rPr>
        <w:t>. 79)</w:t>
      </w:r>
      <w:r w:rsidRPr="006E1903">
        <w:rPr>
          <w:szCs w:val="24"/>
        </w:rPr>
        <w:t xml:space="preserve">.  This will require a close examination of the terms of the Licence Agreement and the rights and benefits granted to </w:t>
      </w:r>
      <w:proofErr w:type="spellStart"/>
      <w:r w:rsidRPr="006E1903">
        <w:rPr>
          <w:szCs w:val="24"/>
        </w:rPr>
        <w:t>Glaxo</w:t>
      </w:r>
      <w:proofErr w:type="spellEnd"/>
      <w:r w:rsidRPr="006E1903">
        <w:rPr>
          <w:szCs w:val="24"/>
        </w:rPr>
        <w:t xml:space="preserve"> Canada under that Agreement.</w:t>
      </w:r>
    </w:p>
    <w:p w:rsidR="00C962E5" w:rsidRPr="006E1903" w:rsidRDefault="00C962E5" w:rsidP="00C962E5">
      <w:pPr>
        <w:pStyle w:val="ParaNoNdepar-AltN"/>
      </w:pPr>
      <w:r w:rsidRPr="006E1903">
        <w:rPr>
          <w:szCs w:val="24"/>
        </w:rPr>
        <w:t>However, with respect to royalties, I would observe that the Licence Agreement expressly provides under clause 11</w:t>
      </w:r>
      <w:r>
        <w:rPr>
          <w:szCs w:val="24"/>
        </w:rPr>
        <w:t>(1)</w:t>
      </w:r>
      <w:r w:rsidRPr="006E1903">
        <w:rPr>
          <w:szCs w:val="24"/>
        </w:rPr>
        <w:t xml:space="preserve">(b): </w:t>
      </w:r>
    </w:p>
    <w:p w:rsidR="00C962E5" w:rsidRPr="006E1903" w:rsidRDefault="00D6697A" w:rsidP="00D6697A">
      <w:pPr>
        <w:pStyle w:val="Citation-AltC"/>
        <w:tabs>
          <w:tab w:val="left" w:pos="1170"/>
          <w:tab w:val="left" w:pos="1800"/>
        </w:tabs>
        <w:spacing w:after="240"/>
        <w:ind w:left="1800" w:hanging="1800"/>
        <w:contextualSpacing w:val="0"/>
        <w:rPr>
          <w:szCs w:val="22"/>
        </w:rPr>
      </w:pPr>
      <w:r>
        <w:tab/>
        <w:t>(ii)</w:t>
      </w:r>
      <w:r>
        <w:tab/>
      </w:r>
      <w:r w:rsidR="00C962E5" w:rsidRPr="006E1903">
        <w:t xml:space="preserve">in the event that </w:t>
      </w:r>
      <w:r w:rsidR="00C962E5" w:rsidRPr="004F3276">
        <w:rPr>
          <w:caps/>
        </w:rPr>
        <w:t>Glaxo Canada</w:t>
      </w:r>
      <w:r w:rsidR="00C962E5" w:rsidRPr="006E1903">
        <w:t xml:space="preserve"> purchases raw material</w:t>
      </w:r>
      <w:r w:rsidR="00C962E5">
        <w:t>s</w:t>
      </w:r>
      <w:r w:rsidR="00C962E5" w:rsidRPr="006E1903">
        <w:t xml:space="preserve"> or bulk or finished Product from GROUP or an </w:t>
      </w:r>
      <w:r w:rsidR="00C962E5">
        <w:t>A</w:t>
      </w:r>
      <w:r w:rsidR="00C962E5" w:rsidRPr="006E1903">
        <w:t xml:space="preserve">ssociate it is the parties’ express intention that no royalties be payable by </w:t>
      </w:r>
      <w:r w:rsidR="00C962E5" w:rsidRPr="004F3276">
        <w:rPr>
          <w:caps/>
        </w:rPr>
        <w:t>Glaxo Canada</w:t>
      </w:r>
      <w:r w:rsidR="00C962E5" w:rsidRPr="006E1903">
        <w:t xml:space="preserve"> on the importation of such raw material</w:t>
      </w:r>
      <w:r w:rsidR="00C962E5">
        <w:t>s or</w:t>
      </w:r>
      <w:r w:rsidR="00C962E5" w:rsidRPr="006E1903">
        <w:t xml:space="preserve"> bulk or finished Product but only on GLAXO CANADA’s N</w:t>
      </w:r>
      <w:r w:rsidR="00C962E5">
        <w:t>et</w:t>
      </w:r>
      <w:r w:rsidR="00C962E5" w:rsidRPr="006E1903">
        <w:t xml:space="preserve"> S</w:t>
      </w:r>
      <w:r w:rsidR="00C962E5">
        <w:t>ales</w:t>
      </w:r>
      <w:r w:rsidR="00C962E5" w:rsidRPr="006E1903">
        <w:t xml:space="preserve"> of Product in the Territory</w:t>
      </w:r>
      <w:r w:rsidR="00C962E5">
        <w:t>;</w:t>
      </w:r>
    </w:p>
    <w:p w:rsidR="00C962E5" w:rsidRDefault="00D6697A" w:rsidP="00D6697A">
      <w:pPr>
        <w:pStyle w:val="Citation-AltC"/>
        <w:tabs>
          <w:tab w:val="left" w:pos="1170"/>
          <w:tab w:val="left" w:pos="1800"/>
        </w:tabs>
        <w:spacing w:after="240"/>
        <w:ind w:left="1800" w:hanging="1800"/>
        <w:contextualSpacing w:val="0"/>
      </w:pPr>
      <w:r>
        <w:tab/>
      </w:r>
      <w:r w:rsidR="00C962E5" w:rsidRPr="006E1903">
        <w:t>(iii)</w:t>
      </w:r>
      <w:r>
        <w:tab/>
      </w:r>
      <w:r w:rsidR="00C962E5" w:rsidRPr="004F3276">
        <w:rPr>
          <w:caps/>
        </w:rPr>
        <w:t>Glaxo Canada</w:t>
      </w:r>
      <w:r w:rsidR="00C962E5" w:rsidRPr="006E1903">
        <w:t xml:space="preserve"> shall not be required to pay any royalty or </w:t>
      </w:r>
      <w:r w:rsidR="00C962E5">
        <w:t>l</w:t>
      </w:r>
      <w:r w:rsidR="00C962E5" w:rsidRPr="006E1903">
        <w:t>icen</w:t>
      </w:r>
      <w:r w:rsidR="00C962E5">
        <w:t>s</w:t>
      </w:r>
      <w:r w:rsidR="00C962E5" w:rsidRPr="006E1903">
        <w:t xml:space="preserve">e </w:t>
      </w:r>
      <w:r w:rsidR="00C962E5">
        <w:t>f</w:t>
      </w:r>
      <w:r w:rsidR="00C962E5" w:rsidRPr="006E1903">
        <w:t>ee as a condition of the sale by G</w:t>
      </w:r>
      <w:r w:rsidR="00C962E5" w:rsidRPr="004F3276">
        <w:rPr>
          <w:caps/>
        </w:rPr>
        <w:t>roup</w:t>
      </w:r>
      <w:r w:rsidR="00C962E5" w:rsidRPr="006E1903">
        <w:t xml:space="preserve"> or its </w:t>
      </w:r>
      <w:r w:rsidR="00C962E5">
        <w:t>A</w:t>
      </w:r>
      <w:r w:rsidR="00C962E5" w:rsidRPr="006E1903">
        <w:t xml:space="preserve">ssociates to </w:t>
      </w:r>
      <w:r w:rsidR="00C962E5" w:rsidRPr="004F3276">
        <w:rPr>
          <w:caps/>
        </w:rPr>
        <w:t>Glaxo Canada</w:t>
      </w:r>
      <w:r w:rsidR="00C962E5" w:rsidRPr="006E1903">
        <w:t xml:space="preserve"> of merchandise for export to the Territory and such merchandise shall be priced in accordance with a separate agreement between the parties without regard to royalties payable hereunder [as contemplated in sub</w:t>
      </w:r>
      <w:r w:rsidR="00C962E5">
        <w:t>-</w:t>
      </w:r>
      <w:r w:rsidR="00C962E5" w:rsidRPr="006E1903">
        <w:t>clause 7(1) hereof]</w:t>
      </w:r>
    </w:p>
    <w:p w:rsidR="00C962E5" w:rsidRPr="006E1903" w:rsidRDefault="00D6697A" w:rsidP="00A82AEC">
      <w:pPr>
        <w:pStyle w:val="Citation-AltC"/>
        <w:tabs>
          <w:tab w:val="left" w:pos="1170"/>
          <w:tab w:val="left" w:pos="1800"/>
        </w:tabs>
        <w:ind w:left="1800" w:hanging="1800"/>
        <w:contextualSpacing w:val="0"/>
      </w:pPr>
      <w:r>
        <w:tab/>
        <w:t>(iv)</w:t>
      </w:r>
      <w:r>
        <w:tab/>
      </w:r>
      <w:proofErr w:type="gramStart"/>
      <w:r w:rsidR="00C962E5" w:rsidRPr="006E1903">
        <w:t>no</w:t>
      </w:r>
      <w:proofErr w:type="gramEnd"/>
      <w:r w:rsidR="00C962E5" w:rsidRPr="006E1903">
        <w:t xml:space="preserve"> royalty shall be payable by </w:t>
      </w:r>
      <w:r w:rsidR="00C962E5" w:rsidRPr="004F3276">
        <w:rPr>
          <w:caps/>
        </w:rPr>
        <w:t>Glaxo Canada</w:t>
      </w:r>
      <w:r w:rsidR="00C962E5" w:rsidRPr="006E1903">
        <w:t xml:space="preserve"> on its manufacture or use of the Products but only on its sales of </w:t>
      </w:r>
      <w:r w:rsidR="00C962E5">
        <w:t xml:space="preserve">the </w:t>
      </w:r>
      <w:r w:rsidR="00C962E5" w:rsidRPr="006E1903">
        <w:t>Products</w:t>
      </w:r>
      <w:r w:rsidR="00C962E5">
        <w:t>; [Text in brackets in original</w:t>
      </w:r>
      <w:r>
        <w:t>.</w:t>
      </w:r>
      <w:r w:rsidR="00C962E5">
        <w:t>]</w:t>
      </w:r>
    </w:p>
    <w:p w:rsidR="00C962E5" w:rsidRPr="006E1903" w:rsidRDefault="00C962E5" w:rsidP="00C962E5">
      <w:pPr>
        <w:pStyle w:val="ParaNoNdepar-AltN"/>
      </w:pPr>
      <w:proofErr w:type="spellStart"/>
      <w:r w:rsidRPr="006E1903">
        <w:rPr>
          <w:szCs w:val="24"/>
        </w:rPr>
        <w:t>Glaxo</w:t>
      </w:r>
      <w:proofErr w:type="spellEnd"/>
      <w:r w:rsidRPr="006E1903">
        <w:rPr>
          <w:szCs w:val="24"/>
        </w:rPr>
        <w:t xml:space="preserve"> Canada’s pleadings in the Tax Court did not rely on s. 212(1)(</w:t>
      </w:r>
      <w:r w:rsidRPr="00A36FA5">
        <w:rPr>
          <w:i/>
          <w:szCs w:val="24"/>
        </w:rPr>
        <w:t>d</w:t>
      </w:r>
      <w:r w:rsidRPr="006E1903">
        <w:rPr>
          <w:szCs w:val="24"/>
        </w:rPr>
        <w:t xml:space="preserve">) or s. 215(1) of the Act, which provide for tax payable by non-residents on royalties or similar payments for the right to use any patent or trademark in Canada and for withholding tax on behalf of the non-resident.  There is no evidence that </w:t>
      </w:r>
      <w:proofErr w:type="spellStart"/>
      <w:r w:rsidRPr="006E1903">
        <w:rPr>
          <w:szCs w:val="24"/>
        </w:rPr>
        <w:t>Glaxo</w:t>
      </w:r>
      <w:proofErr w:type="spellEnd"/>
      <w:r w:rsidRPr="006E1903">
        <w:rPr>
          <w:szCs w:val="24"/>
        </w:rPr>
        <w:t xml:space="preserve"> </w:t>
      </w:r>
      <w:r w:rsidRPr="006E1903">
        <w:rPr>
          <w:szCs w:val="24"/>
        </w:rPr>
        <w:lastRenderedPageBreak/>
        <w:t xml:space="preserve">Canada withheld any amounts of the prices it paid to </w:t>
      </w:r>
      <w:proofErr w:type="spellStart"/>
      <w:r w:rsidRPr="006E1903">
        <w:rPr>
          <w:szCs w:val="24"/>
        </w:rPr>
        <w:t>Adechsa</w:t>
      </w:r>
      <w:proofErr w:type="spellEnd"/>
      <w:r w:rsidRPr="006E1903">
        <w:rPr>
          <w:szCs w:val="24"/>
        </w:rPr>
        <w:t xml:space="preserve"> in respect of royalties for the use or the right to use the ranitidine patent or Zantac trademark.</w:t>
      </w:r>
    </w:p>
    <w:p w:rsidR="00C962E5" w:rsidRPr="006E1903" w:rsidRDefault="00C962E5" w:rsidP="00C962E5">
      <w:pPr>
        <w:pStyle w:val="ParaNoNdepar-AltN"/>
      </w:pPr>
      <w:r w:rsidRPr="006E1903">
        <w:rPr>
          <w:szCs w:val="24"/>
        </w:rPr>
        <w:t xml:space="preserve">Although I said above that the purchase price appeared to be linked to some of the rights and benefits conferred under the Licence Agreement, I make no determination in these reasons as to whether the rights under the ranitidine patent granted to </w:t>
      </w:r>
      <w:proofErr w:type="spellStart"/>
      <w:r w:rsidRPr="006E1903">
        <w:rPr>
          <w:szCs w:val="24"/>
        </w:rPr>
        <w:t>Glaxo</w:t>
      </w:r>
      <w:proofErr w:type="spellEnd"/>
      <w:r w:rsidRPr="006E1903">
        <w:rPr>
          <w:szCs w:val="24"/>
        </w:rPr>
        <w:t xml:space="preserve"> Canada to manufacture and sell Zantac and the exclusive right to use the Zantac trademark are linked to the purchase price paid by </w:t>
      </w:r>
      <w:proofErr w:type="spellStart"/>
      <w:r w:rsidRPr="006E1903">
        <w:rPr>
          <w:szCs w:val="24"/>
        </w:rPr>
        <w:t>Glaxo</w:t>
      </w:r>
      <w:proofErr w:type="spellEnd"/>
      <w:r w:rsidRPr="006E1903">
        <w:rPr>
          <w:szCs w:val="24"/>
        </w:rPr>
        <w:t xml:space="preserve"> Canada to </w:t>
      </w:r>
      <w:proofErr w:type="spellStart"/>
      <w:r w:rsidRPr="006E1903">
        <w:rPr>
          <w:szCs w:val="24"/>
        </w:rPr>
        <w:t>Adechsa</w:t>
      </w:r>
      <w:proofErr w:type="spellEnd"/>
      <w:r w:rsidRPr="006E1903">
        <w:rPr>
          <w:szCs w:val="24"/>
        </w:rPr>
        <w:t xml:space="preserve">.  However, arguably, if the purchase price includes compensation for intellectual property rights granted to </w:t>
      </w:r>
      <w:proofErr w:type="spellStart"/>
      <w:r w:rsidRPr="006E1903">
        <w:rPr>
          <w:szCs w:val="24"/>
        </w:rPr>
        <w:t>Glaxo</w:t>
      </w:r>
      <w:proofErr w:type="spellEnd"/>
      <w:r w:rsidRPr="006E1903">
        <w:rPr>
          <w:szCs w:val="24"/>
        </w:rPr>
        <w:t xml:space="preserve"> Canada, there would have to be consistency between that and </w:t>
      </w:r>
      <w:proofErr w:type="spellStart"/>
      <w:r w:rsidRPr="006E1903">
        <w:rPr>
          <w:szCs w:val="24"/>
        </w:rPr>
        <w:t>Glaxo</w:t>
      </w:r>
      <w:proofErr w:type="spellEnd"/>
      <w:r w:rsidRPr="006E1903">
        <w:rPr>
          <w:szCs w:val="24"/>
        </w:rPr>
        <w:t xml:space="preserve"> Canada’s position with respect to Part XIII withholding tax.  This issue was not specifically argued in this Court and may be addressed by the parties in the Tax Court and </w:t>
      </w:r>
      <w:r>
        <w:rPr>
          <w:szCs w:val="24"/>
        </w:rPr>
        <w:t>considered by the Tax Court j</w:t>
      </w:r>
      <w:r w:rsidRPr="006E1903">
        <w:rPr>
          <w:szCs w:val="24"/>
        </w:rPr>
        <w:t xml:space="preserve">udge when considering whether any specific rights and benefits conferred on </w:t>
      </w:r>
      <w:proofErr w:type="spellStart"/>
      <w:r w:rsidRPr="006E1903">
        <w:rPr>
          <w:szCs w:val="24"/>
        </w:rPr>
        <w:t>Glaxo</w:t>
      </w:r>
      <w:proofErr w:type="spellEnd"/>
      <w:r w:rsidRPr="006E1903">
        <w:rPr>
          <w:szCs w:val="24"/>
        </w:rPr>
        <w:t xml:space="preserve"> Canada under the Licen</w:t>
      </w:r>
      <w:r>
        <w:rPr>
          <w:szCs w:val="24"/>
        </w:rPr>
        <w:t>ce</w:t>
      </w:r>
      <w:r w:rsidRPr="006E1903">
        <w:rPr>
          <w:szCs w:val="24"/>
        </w:rPr>
        <w:t xml:space="preserve"> Agreement are linked to the price for ranitidine paid to </w:t>
      </w:r>
      <w:proofErr w:type="spellStart"/>
      <w:r w:rsidRPr="006E1903">
        <w:rPr>
          <w:szCs w:val="24"/>
        </w:rPr>
        <w:t>Adechsa</w:t>
      </w:r>
      <w:proofErr w:type="spellEnd"/>
      <w:r w:rsidRPr="006E1903">
        <w:rPr>
          <w:szCs w:val="24"/>
        </w:rPr>
        <w:t>.</w:t>
      </w:r>
    </w:p>
    <w:p w:rsidR="00C962E5" w:rsidRPr="006E1903" w:rsidRDefault="00C962E5" w:rsidP="00C962E5">
      <w:pPr>
        <w:pStyle w:val="ParaNoNdepar-AltN"/>
      </w:pPr>
      <w:r w:rsidRPr="006E1903">
        <w:rPr>
          <w:szCs w:val="24"/>
        </w:rPr>
        <w:t xml:space="preserve">In any event, there are rights and benefits under the Licence Agreement referred to in </w:t>
      </w:r>
      <w:proofErr w:type="spellStart"/>
      <w:r w:rsidRPr="006E1903">
        <w:rPr>
          <w:szCs w:val="24"/>
        </w:rPr>
        <w:t>para</w:t>
      </w:r>
      <w:proofErr w:type="spellEnd"/>
      <w:r>
        <w:rPr>
          <w:szCs w:val="24"/>
        </w:rPr>
        <w:t xml:space="preserve">. </w:t>
      </w:r>
      <w:r w:rsidRPr="006E1903">
        <w:rPr>
          <w:szCs w:val="24"/>
        </w:rPr>
        <w:t xml:space="preserve">7 above, other than the patent and trademark rights granted to </w:t>
      </w:r>
      <w:proofErr w:type="spellStart"/>
      <w:r w:rsidRPr="006E1903">
        <w:rPr>
          <w:szCs w:val="24"/>
        </w:rPr>
        <w:t>Glaxo</w:t>
      </w:r>
      <w:proofErr w:type="spellEnd"/>
      <w:r w:rsidRPr="006E1903">
        <w:rPr>
          <w:szCs w:val="24"/>
        </w:rPr>
        <w:t xml:space="preserve"> Canada.  For example, guaranteed access to new products, the right to the supply of raw materials and materials in bulk, marketing support, and technical assistance for setting up new product lines all appear to have some value.</w:t>
      </w:r>
    </w:p>
    <w:p w:rsidR="00C962E5" w:rsidRPr="006E1903" w:rsidRDefault="00C962E5" w:rsidP="00C962E5">
      <w:pPr>
        <w:pStyle w:val="ParaNoNdepar-AltN"/>
      </w:pPr>
      <w:r w:rsidRPr="006E1903">
        <w:rPr>
          <w:szCs w:val="24"/>
        </w:rPr>
        <w:lastRenderedPageBreak/>
        <w:t>In addition, while</w:t>
      </w:r>
      <w:r>
        <w:rPr>
          <w:szCs w:val="24"/>
        </w:rPr>
        <w:t>,</w:t>
      </w:r>
      <w:r w:rsidRPr="006E1903">
        <w:rPr>
          <w:szCs w:val="24"/>
        </w:rPr>
        <w:t xml:space="preserve"> as Rip A.C.J. found, </w:t>
      </w:r>
      <w:proofErr w:type="spellStart"/>
      <w:r w:rsidRPr="006E1903">
        <w:rPr>
          <w:szCs w:val="24"/>
        </w:rPr>
        <w:t>Glaxo</w:t>
      </w:r>
      <w:proofErr w:type="spellEnd"/>
      <w:r w:rsidRPr="006E1903">
        <w:rPr>
          <w:szCs w:val="24"/>
        </w:rPr>
        <w:t xml:space="preserve"> Canada’s ranitidine and generic ranitidine are chemically equivalent and bio</w:t>
      </w:r>
      <w:r>
        <w:rPr>
          <w:szCs w:val="24"/>
        </w:rPr>
        <w:t>-</w:t>
      </w:r>
      <w:r w:rsidRPr="006E1903">
        <w:rPr>
          <w:szCs w:val="24"/>
        </w:rPr>
        <w:t xml:space="preserve">equivalent, he also found that there was value in the fact that </w:t>
      </w:r>
      <w:proofErr w:type="spellStart"/>
      <w:r w:rsidRPr="006E1903">
        <w:rPr>
          <w:szCs w:val="24"/>
        </w:rPr>
        <w:t>Adechsa’s</w:t>
      </w:r>
      <w:proofErr w:type="spellEnd"/>
      <w:r w:rsidRPr="006E1903">
        <w:rPr>
          <w:szCs w:val="24"/>
        </w:rPr>
        <w:t xml:space="preserve"> ranitidine manufactured under </w:t>
      </w:r>
      <w:proofErr w:type="spellStart"/>
      <w:r w:rsidRPr="006E1903">
        <w:rPr>
          <w:szCs w:val="24"/>
        </w:rPr>
        <w:t>Glaxo</w:t>
      </w:r>
      <w:proofErr w:type="spellEnd"/>
      <w:r w:rsidRPr="006E1903">
        <w:rPr>
          <w:szCs w:val="24"/>
        </w:rPr>
        <w:t xml:space="preserve"> Group’s “good manufacturing practices” “may confer a</w:t>
      </w:r>
      <w:r>
        <w:rPr>
          <w:szCs w:val="24"/>
        </w:rPr>
        <w:t xml:space="preserve"> certain</w:t>
      </w:r>
      <w:r w:rsidRPr="006E1903">
        <w:rPr>
          <w:szCs w:val="24"/>
        </w:rPr>
        <w:t xml:space="preserve"> degree of comfort that the good has minimal impurities and is manufactured in a responsible manner” (</w:t>
      </w:r>
      <w:proofErr w:type="spellStart"/>
      <w:r w:rsidRPr="006E1903">
        <w:rPr>
          <w:szCs w:val="24"/>
        </w:rPr>
        <w:t>para</w:t>
      </w:r>
      <w:proofErr w:type="spellEnd"/>
      <w:r>
        <w:rPr>
          <w:szCs w:val="24"/>
        </w:rPr>
        <w:t>. </w:t>
      </w:r>
      <w:r w:rsidRPr="006E1903">
        <w:rPr>
          <w:szCs w:val="24"/>
        </w:rPr>
        <w:t>118).  Zantac is priced higher than the generic products, presumably, at least in part, because of that “degree of comfort” that Rip A.C.J. acknowledged.</w:t>
      </w:r>
    </w:p>
    <w:p w:rsidR="00C962E5" w:rsidRPr="006E1903" w:rsidRDefault="00C962E5" w:rsidP="00C962E5">
      <w:pPr>
        <w:pStyle w:val="ParaNoNdepar-AltN"/>
      </w:pPr>
      <w:r w:rsidRPr="006E1903">
        <w:rPr>
          <w:szCs w:val="24"/>
        </w:rPr>
        <w:t xml:space="preserve">These are all features of the Licence Agreement and the requirement to purchase from a </w:t>
      </w:r>
      <w:proofErr w:type="spellStart"/>
      <w:r w:rsidRPr="006E1903">
        <w:rPr>
          <w:szCs w:val="24"/>
        </w:rPr>
        <w:t>Glaxo</w:t>
      </w:r>
      <w:proofErr w:type="spellEnd"/>
      <w:r w:rsidRPr="006E1903">
        <w:rPr>
          <w:szCs w:val="24"/>
        </w:rPr>
        <w:t xml:space="preserve">-approved source that add value to the ranitidine that </w:t>
      </w:r>
      <w:proofErr w:type="spellStart"/>
      <w:r w:rsidRPr="006E1903">
        <w:rPr>
          <w:szCs w:val="24"/>
        </w:rPr>
        <w:t>Glaxo</w:t>
      </w:r>
      <w:proofErr w:type="spellEnd"/>
      <w:r w:rsidRPr="006E1903">
        <w:rPr>
          <w:szCs w:val="24"/>
        </w:rPr>
        <w:t xml:space="preserve"> Canada purchased from </w:t>
      </w:r>
      <w:proofErr w:type="spellStart"/>
      <w:r w:rsidRPr="006E1903">
        <w:rPr>
          <w:szCs w:val="24"/>
        </w:rPr>
        <w:t>Adechsa</w:t>
      </w:r>
      <w:proofErr w:type="spellEnd"/>
      <w:r w:rsidRPr="006E1903">
        <w:rPr>
          <w:szCs w:val="24"/>
        </w:rPr>
        <w:t xml:space="preserve"> over and above the value of generic ranitidine without these </w:t>
      </w:r>
      <w:r>
        <w:rPr>
          <w:szCs w:val="24"/>
        </w:rPr>
        <w:t>rights and benefits.  </w:t>
      </w:r>
      <w:r w:rsidRPr="006E1903">
        <w:rPr>
          <w:szCs w:val="24"/>
        </w:rPr>
        <w:t xml:space="preserve">They should justify some recognition in determining what an arm’s length purchaser would be prepared to pay for the same rights </w:t>
      </w:r>
      <w:r>
        <w:rPr>
          <w:szCs w:val="24"/>
        </w:rPr>
        <w:t>and benefits conveyed with</w:t>
      </w:r>
      <w:r w:rsidRPr="006E1903">
        <w:rPr>
          <w:szCs w:val="24"/>
        </w:rPr>
        <w:t xml:space="preserve"> ranitidine purchased from a </w:t>
      </w:r>
      <w:proofErr w:type="spellStart"/>
      <w:r w:rsidRPr="006E1903">
        <w:rPr>
          <w:szCs w:val="24"/>
        </w:rPr>
        <w:t>Glaxo</w:t>
      </w:r>
      <w:proofErr w:type="spellEnd"/>
      <w:r w:rsidRPr="006E1903">
        <w:rPr>
          <w:szCs w:val="24"/>
        </w:rPr>
        <w:t xml:space="preserve"> Group source.</w:t>
      </w:r>
      <w:r w:rsidRPr="006E1903">
        <w:t xml:space="preserve">  </w:t>
      </w:r>
      <w:r w:rsidRPr="006E1903">
        <w:rPr>
          <w:szCs w:val="24"/>
        </w:rPr>
        <w:t>It is only after identifying the circumstances arising from the Licence Agreement that are linked to the Supply Agreement that arm’s length comparisons under any of the OECD methods or other methods may be determined.</w:t>
      </w:r>
    </w:p>
    <w:p w:rsidR="00C962E5" w:rsidRPr="006E1903" w:rsidRDefault="00C962E5" w:rsidP="00C962E5">
      <w:pPr>
        <w:pStyle w:val="ParaNoNdepar-AltN"/>
      </w:pPr>
      <w:r w:rsidRPr="006E1903">
        <w:rPr>
          <w:szCs w:val="24"/>
        </w:rPr>
        <w:t xml:space="preserve">I would offer the following additional guidance with respect to the redetermination.  First, s. 69(2) uses the term “reasonable amount”.  This reflects the fact that, to use the words of the 1995 </w:t>
      </w:r>
      <w:r w:rsidRPr="006E1903">
        <w:rPr>
          <w:i/>
          <w:szCs w:val="24"/>
        </w:rPr>
        <w:t>Guidelines</w:t>
      </w:r>
      <w:r w:rsidRPr="006E1903">
        <w:rPr>
          <w:szCs w:val="24"/>
        </w:rPr>
        <w:t xml:space="preserve">, </w:t>
      </w:r>
      <w:r>
        <w:rPr>
          <w:szCs w:val="24"/>
        </w:rPr>
        <w:t>“</w:t>
      </w:r>
      <w:r w:rsidRPr="006E1903">
        <w:rPr>
          <w:szCs w:val="24"/>
        </w:rPr>
        <w:t>transfer pricing is not an exact science</w:t>
      </w:r>
      <w:r>
        <w:rPr>
          <w:szCs w:val="24"/>
        </w:rPr>
        <w:t>”</w:t>
      </w:r>
      <w:r w:rsidRPr="006E1903">
        <w:rPr>
          <w:szCs w:val="24"/>
        </w:rPr>
        <w:t xml:space="preserve"> (</w:t>
      </w:r>
      <w:proofErr w:type="spellStart"/>
      <w:r w:rsidRPr="006E1903">
        <w:rPr>
          <w:szCs w:val="24"/>
        </w:rPr>
        <w:t>para</w:t>
      </w:r>
      <w:proofErr w:type="spellEnd"/>
      <w:r>
        <w:rPr>
          <w:szCs w:val="24"/>
        </w:rPr>
        <w:t>.</w:t>
      </w:r>
      <w:r w:rsidRPr="006E1903">
        <w:rPr>
          <w:szCs w:val="24"/>
        </w:rPr>
        <w:t xml:space="preserve"> 1.45).  It is doubtful that comparators will be identical in all material respects in almost any case.  Therefore, some leeway must be allowed in the </w:t>
      </w:r>
      <w:r w:rsidRPr="006E1903">
        <w:rPr>
          <w:szCs w:val="24"/>
        </w:rPr>
        <w:lastRenderedPageBreak/>
        <w:t xml:space="preserve">determination of the reasonable amount.  As long as a transfer price is within what the </w:t>
      </w:r>
      <w:r>
        <w:rPr>
          <w:szCs w:val="24"/>
        </w:rPr>
        <w:t>c</w:t>
      </w:r>
      <w:r w:rsidRPr="006E1903">
        <w:rPr>
          <w:szCs w:val="24"/>
        </w:rPr>
        <w:t xml:space="preserve">ourt determines is a reasonable range, the requirements of the section should be satisfied.  If it is not, the </w:t>
      </w:r>
      <w:r>
        <w:rPr>
          <w:szCs w:val="24"/>
        </w:rPr>
        <w:t>c</w:t>
      </w:r>
      <w:r w:rsidRPr="006E1903">
        <w:rPr>
          <w:szCs w:val="24"/>
        </w:rPr>
        <w:t xml:space="preserve">ourt might select a point within a range it considers reasonable in the circumstances based on an average, median, mode, or other appropriate statistical measure, having regard to the evidence that the </w:t>
      </w:r>
      <w:r>
        <w:rPr>
          <w:szCs w:val="24"/>
        </w:rPr>
        <w:t>c</w:t>
      </w:r>
      <w:r w:rsidRPr="006E1903">
        <w:rPr>
          <w:szCs w:val="24"/>
        </w:rPr>
        <w:t xml:space="preserve">ourt found to be relevant.  I repeat for emphasis that it is highly unlikely that any comparisons will yield identical circumstances and the Tax Court </w:t>
      </w:r>
      <w:r>
        <w:rPr>
          <w:szCs w:val="24"/>
        </w:rPr>
        <w:t>j</w:t>
      </w:r>
      <w:r w:rsidRPr="006E1903">
        <w:rPr>
          <w:szCs w:val="24"/>
        </w:rPr>
        <w:t>udge will be required to exercise his best informed judgment in establishing a satisfactory arm’s length price.</w:t>
      </w:r>
    </w:p>
    <w:p w:rsidR="00C962E5" w:rsidRPr="006E1903" w:rsidRDefault="00C962E5" w:rsidP="00C962E5">
      <w:pPr>
        <w:pStyle w:val="ParaNoNdepar-AltN"/>
      </w:pPr>
      <w:r w:rsidRPr="006E1903">
        <w:rPr>
          <w:szCs w:val="24"/>
        </w:rPr>
        <w:t>Second, while assessment of th</w:t>
      </w:r>
      <w:r>
        <w:rPr>
          <w:szCs w:val="24"/>
        </w:rPr>
        <w:t>e evidence is a matter for the t</w:t>
      </w:r>
      <w:r w:rsidRPr="006E1903">
        <w:rPr>
          <w:szCs w:val="24"/>
        </w:rPr>
        <w:t xml:space="preserve">rial </w:t>
      </w:r>
      <w:r>
        <w:rPr>
          <w:szCs w:val="24"/>
        </w:rPr>
        <w:t>j</w:t>
      </w:r>
      <w:r w:rsidRPr="006E1903">
        <w:rPr>
          <w:szCs w:val="24"/>
        </w:rPr>
        <w:t xml:space="preserve">udge, I would observe that the respective roles and functions of </w:t>
      </w:r>
      <w:proofErr w:type="spellStart"/>
      <w:r w:rsidRPr="006E1903">
        <w:rPr>
          <w:szCs w:val="24"/>
        </w:rPr>
        <w:t>Glaxo</w:t>
      </w:r>
      <w:proofErr w:type="spellEnd"/>
      <w:r w:rsidRPr="006E1903">
        <w:rPr>
          <w:szCs w:val="24"/>
        </w:rPr>
        <w:t xml:space="preserve"> Canada and the </w:t>
      </w:r>
      <w:proofErr w:type="spellStart"/>
      <w:r w:rsidRPr="006E1903">
        <w:rPr>
          <w:szCs w:val="24"/>
        </w:rPr>
        <w:t>Glaxo</w:t>
      </w:r>
      <w:proofErr w:type="spellEnd"/>
      <w:r w:rsidRPr="006E1903">
        <w:rPr>
          <w:szCs w:val="24"/>
        </w:rPr>
        <w:t xml:space="preserve"> Group should be kept in mind.  </w:t>
      </w:r>
      <w:proofErr w:type="spellStart"/>
      <w:r w:rsidRPr="006E1903">
        <w:rPr>
          <w:szCs w:val="24"/>
        </w:rPr>
        <w:t>Glaxo</w:t>
      </w:r>
      <w:proofErr w:type="spellEnd"/>
      <w:r w:rsidRPr="006E1903">
        <w:rPr>
          <w:szCs w:val="24"/>
        </w:rPr>
        <w:t xml:space="preserve"> Canada engaged in the secondary manufacturing and marketing of Zantac.  </w:t>
      </w:r>
      <w:proofErr w:type="spellStart"/>
      <w:r w:rsidRPr="006E1903">
        <w:rPr>
          <w:szCs w:val="24"/>
        </w:rPr>
        <w:t>Glaxo</w:t>
      </w:r>
      <w:proofErr w:type="spellEnd"/>
      <w:r w:rsidRPr="006E1903">
        <w:rPr>
          <w:szCs w:val="24"/>
        </w:rPr>
        <w:t xml:space="preserve"> Group is the owner of the intellectual property and provided other rights and benefits to </w:t>
      </w:r>
      <w:proofErr w:type="spellStart"/>
      <w:r w:rsidRPr="006E1903">
        <w:rPr>
          <w:szCs w:val="24"/>
        </w:rPr>
        <w:t>Glaxo</w:t>
      </w:r>
      <w:proofErr w:type="spellEnd"/>
      <w:r w:rsidRPr="006E1903">
        <w:rPr>
          <w:szCs w:val="24"/>
        </w:rPr>
        <w:t xml:space="preserve"> Canada.  Transfer pricing should not result in a misallocation of earnings that fails to take account of these different functions and the resources and risks inherent in each.  As discussed above, whether or not compensation for intellectual property rights is justified in this particular case is a matter for determination by the </w:t>
      </w:r>
      <w:r>
        <w:rPr>
          <w:szCs w:val="24"/>
        </w:rPr>
        <w:t>Tax Court j</w:t>
      </w:r>
      <w:r w:rsidRPr="006E1903">
        <w:rPr>
          <w:szCs w:val="24"/>
        </w:rPr>
        <w:t>udge.</w:t>
      </w:r>
    </w:p>
    <w:p w:rsidR="00C962E5" w:rsidRPr="006E1903" w:rsidRDefault="00C962E5" w:rsidP="00C962E5">
      <w:pPr>
        <w:pStyle w:val="ParaNoNdepar-AltN"/>
      </w:pPr>
      <w:r w:rsidRPr="006E1903">
        <w:rPr>
          <w:szCs w:val="24"/>
        </w:rPr>
        <w:t xml:space="preserve">Third, prices between parties dealing at arm’s length will be established having regard to the independent interests of each party to the transaction.  That means that the interests of </w:t>
      </w:r>
      <w:proofErr w:type="spellStart"/>
      <w:r w:rsidRPr="006E1903">
        <w:rPr>
          <w:szCs w:val="24"/>
        </w:rPr>
        <w:t>Glaxo</w:t>
      </w:r>
      <w:proofErr w:type="spellEnd"/>
      <w:r w:rsidRPr="006E1903">
        <w:rPr>
          <w:szCs w:val="24"/>
        </w:rPr>
        <w:t xml:space="preserve"> Group and </w:t>
      </w:r>
      <w:proofErr w:type="spellStart"/>
      <w:r w:rsidRPr="006E1903">
        <w:rPr>
          <w:szCs w:val="24"/>
        </w:rPr>
        <w:t>Glaxo</w:t>
      </w:r>
      <w:proofErr w:type="spellEnd"/>
      <w:r w:rsidRPr="006E1903">
        <w:rPr>
          <w:szCs w:val="24"/>
        </w:rPr>
        <w:t xml:space="preserve"> Canada must both be considered.  </w:t>
      </w:r>
      <w:r w:rsidRPr="006E1903">
        <w:rPr>
          <w:szCs w:val="24"/>
        </w:rPr>
        <w:lastRenderedPageBreak/>
        <w:t>An appropriate determination under the arm’s length test of s. 69(2) should reflect these realities.</w:t>
      </w:r>
    </w:p>
    <w:p w:rsidR="00C962E5" w:rsidRPr="006E1903" w:rsidRDefault="00C962E5" w:rsidP="00C962E5">
      <w:pPr>
        <w:pStyle w:val="ParaNoNdepar-AltN"/>
      </w:pPr>
      <w:r w:rsidRPr="006E1903">
        <w:rPr>
          <w:szCs w:val="24"/>
        </w:rPr>
        <w:t>Fourth, in this case</w:t>
      </w:r>
      <w:r w:rsidR="00A82AEC">
        <w:rPr>
          <w:szCs w:val="24"/>
        </w:rPr>
        <w:t>,</w:t>
      </w:r>
      <w:r w:rsidRPr="006E1903">
        <w:rPr>
          <w:szCs w:val="24"/>
        </w:rPr>
        <w:t xml:space="preserve"> there is some evidence that indicates that arm’s length distributors have found it in their interest to acquire ranitidine from a </w:t>
      </w:r>
      <w:proofErr w:type="spellStart"/>
      <w:r w:rsidRPr="006E1903">
        <w:rPr>
          <w:szCs w:val="24"/>
        </w:rPr>
        <w:t>Glaxo</w:t>
      </w:r>
      <w:proofErr w:type="spellEnd"/>
      <w:r w:rsidRPr="006E1903">
        <w:rPr>
          <w:szCs w:val="24"/>
        </w:rPr>
        <w:t xml:space="preserve"> Group supplier, rather than from generic sources.  This suggests that higher</w:t>
      </w:r>
      <w:r>
        <w:rPr>
          <w:szCs w:val="24"/>
        </w:rPr>
        <w:t>-</w:t>
      </w:r>
      <w:r w:rsidRPr="006E1903">
        <w:rPr>
          <w:szCs w:val="24"/>
        </w:rPr>
        <w:t>than</w:t>
      </w:r>
      <w:r>
        <w:rPr>
          <w:szCs w:val="24"/>
        </w:rPr>
        <w:t>-</w:t>
      </w:r>
      <w:r w:rsidRPr="006E1903">
        <w:rPr>
          <w:szCs w:val="24"/>
        </w:rPr>
        <w:t>generic transfer prices are justified and are not necessarily greater than a reasonable amount under s. 69(2).</w:t>
      </w:r>
    </w:p>
    <w:p w:rsidR="00C962E5" w:rsidRPr="006E1903" w:rsidRDefault="00C962E5" w:rsidP="00C962E5">
      <w:pPr>
        <w:pStyle w:val="ParaNoNdepar-AltN"/>
      </w:pPr>
      <w:r w:rsidRPr="006E1903">
        <w:rPr>
          <w:szCs w:val="24"/>
        </w:rPr>
        <w:t>I would dismiss the appeal, and for the reasons below, dismiss the cross-appeal and remit the matter to Rip A.C.J. (now Chief Justice) for redetermination.</w:t>
      </w:r>
    </w:p>
    <w:p w:rsidR="00C962E5" w:rsidRPr="006E1903" w:rsidRDefault="00C962E5" w:rsidP="00C962E5">
      <w:pPr>
        <w:pStyle w:val="TitleTitre-AltT"/>
        <w:tabs>
          <w:tab w:val="clear" w:pos="360"/>
        </w:tabs>
        <w:ind w:left="720" w:hanging="720"/>
        <w:rPr>
          <w:u w:val="single"/>
        </w:rPr>
      </w:pPr>
      <w:r>
        <w:t>VI.</w:t>
      </w:r>
      <w:r>
        <w:tab/>
      </w:r>
      <w:r w:rsidRPr="006E1903">
        <w:rPr>
          <w:u w:val="single"/>
        </w:rPr>
        <w:t>Cross-Appeal</w:t>
      </w:r>
    </w:p>
    <w:p w:rsidR="00C962E5" w:rsidRPr="006E1903" w:rsidRDefault="00C962E5" w:rsidP="00C962E5">
      <w:pPr>
        <w:pStyle w:val="ParaNoNdepar-AltN"/>
      </w:pPr>
      <w:proofErr w:type="spellStart"/>
      <w:r w:rsidRPr="006E1903">
        <w:t>Glaxo</w:t>
      </w:r>
      <w:proofErr w:type="spellEnd"/>
      <w:r w:rsidRPr="006E1903">
        <w:t xml:space="preserve"> Canada cross-appeals, arguing that the decision of the Federal Court of Appeal to remit the matter to the Tax Court for redetermination should be overturned.  It asks this Court to set aside the reassessment on the basis that it has satisfied its burden as a taxpayer because it has “demolished” the assumptions of the Minister.</w:t>
      </w:r>
    </w:p>
    <w:p w:rsidR="00C962E5" w:rsidRPr="006E1903" w:rsidRDefault="00C962E5" w:rsidP="00C962E5">
      <w:pPr>
        <w:pStyle w:val="ParaNoNdepar-AltN"/>
      </w:pPr>
      <w:r w:rsidRPr="006E1903">
        <w:t xml:space="preserve">The Federal Court of Appeal remitted the matter to the Tax Court on the basis that </w:t>
      </w:r>
      <w:proofErr w:type="spellStart"/>
      <w:r w:rsidRPr="006E1903">
        <w:t>Glaxo</w:t>
      </w:r>
      <w:proofErr w:type="spellEnd"/>
      <w:r w:rsidRPr="006E1903">
        <w:t xml:space="preserve"> Canada had not discharged its burden of demonstrating that the prices it paid </w:t>
      </w:r>
      <w:proofErr w:type="spellStart"/>
      <w:r w:rsidRPr="006E1903">
        <w:t>Adechsa</w:t>
      </w:r>
      <w:proofErr w:type="spellEnd"/>
      <w:r w:rsidRPr="006E1903">
        <w:t xml:space="preserve"> for ranitidine </w:t>
      </w:r>
      <w:r>
        <w:t>were</w:t>
      </w:r>
      <w:r w:rsidRPr="006E1903">
        <w:t xml:space="preserve"> reasonable under s. 69(2)</w:t>
      </w:r>
      <w:r>
        <w:t>:</w:t>
      </w:r>
    </w:p>
    <w:p w:rsidR="00C962E5" w:rsidRPr="006E1903" w:rsidRDefault="00C962E5" w:rsidP="00A82AEC">
      <w:pPr>
        <w:pStyle w:val="Citation-AltC"/>
        <w:tabs>
          <w:tab w:val="left" w:pos="1620"/>
        </w:tabs>
        <w:ind w:hanging="1166"/>
      </w:pPr>
      <w:r>
        <w:lastRenderedPageBreak/>
        <w:tab/>
      </w:r>
      <w:r w:rsidR="00A82AEC">
        <w:tab/>
      </w:r>
      <w:r w:rsidRPr="006E1903">
        <w:t xml:space="preserve">As a result, I conclude that the Judge erred in law in failing to apply the proper test in determining “the amount that would have been reasonable in the circumstances” if the appellant and </w:t>
      </w:r>
      <w:proofErr w:type="spellStart"/>
      <w:r w:rsidRPr="006E1903">
        <w:t>Adechsa</w:t>
      </w:r>
      <w:proofErr w:type="spellEnd"/>
      <w:r w:rsidRPr="006E1903">
        <w:t xml:space="preserve"> had been dealing at arm’s length. Counsel for the appellant argued that in the event that we agreed with him that the Judge erred in not considering the License Agreement, we should then determine “the reasonable amount”. In my view, that determination ought to be made by the Judge, who heard the parties for well over forty days, and not by this Court. </w:t>
      </w:r>
      <w:r>
        <w:t>[</w:t>
      </w:r>
      <w:proofErr w:type="spellStart"/>
      <w:r>
        <w:t>para</w:t>
      </w:r>
      <w:proofErr w:type="spellEnd"/>
      <w:r>
        <w:t>. 82]</w:t>
      </w:r>
    </w:p>
    <w:p w:rsidR="00C962E5" w:rsidRPr="006E1903" w:rsidRDefault="00C962E5" w:rsidP="00C962E5">
      <w:pPr>
        <w:pStyle w:val="ContinueParaSuitedupar-AltP"/>
      </w:pPr>
      <w:r w:rsidRPr="006E1903">
        <w:t xml:space="preserve">The Federal Court of Appeal declined to make such a determination on the basis that it could not properly assess the adequacy of the record on this point and remitted the matter to the Tax Court </w:t>
      </w:r>
      <w:r>
        <w:t>j</w:t>
      </w:r>
      <w:r w:rsidRPr="006E1903">
        <w:t xml:space="preserve">udge </w:t>
      </w:r>
      <w:r w:rsidRPr="006E1903">
        <w:rPr>
          <w:szCs w:val="24"/>
        </w:rPr>
        <w:t>to consider whether a decision can be made on the basis of the existing record or whether additional evidence is necessary.</w:t>
      </w:r>
    </w:p>
    <w:p w:rsidR="00C962E5" w:rsidRPr="006E1903" w:rsidRDefault="00C962E5" w:rsidP="00C962E5">
      <w:pPr>
        <w:pStyle w:val="ParaNoNdepar-AltN"/>
      </w:pPr>
      <w:proofErr w:type="spellStart"/>
      <w:r w:rsidRPr="006E1903">
        <w:t>Glaxo</w:t>
      </w:r>
      <w:proofErr w:type="spellEnd"/>
      <w:r w:rsidRPr="006E1903">
        <w:t xml:space="preserve"> Canada argues that the choice of the generic comparator transactions by the Minister constitutes the basis of the Minister’s assessment.  Therefore, the burden on </w:t>
      </w:r>
      <w:proofErr w:type="spellStart"/>
      <w:r w:rsidRPr="006E1903">
        <w:t>Glaxo</w:t>
      </w:r>
      <w:proofErr w:type="spellEnd"/>
      <w:r w:rsidRPr="006E1903">
        <w:t xml:space="preserve"> Canada was only to demonstrate that the transactions of the generic pharmaceutical companies were not the proper comparator.  In </w:t>
      </w:r>
      <w:proofErr w:type="spellStart"/>
      <w:r w:rsidRPr="006E1903">
        <w:t>Glaxo</w:t>
      </w:r>
      <w:proofErr w:type="spellEnd"/>
      <w:r w:rsidRPr="006E1903">
        <w:t xml:space="preserve"> Canada’s view, such a finding would demolish the basis of the assessment, thus, discharging its burden.</w:t>
      </w:r>
    </w:p>
    <w:p w:rsidR="00C962E5" w:rsidRPr="006E1903" w:rsidRDefault="00C962E5" w:rsidP="00C962E5">
      <w:pPr>
        <w:pStyle w:val="ParaNoNdepar-AltN"/>
      </w:pPr>
      <w:r w:rsidRPr="006E1903">
        <w:t xml:space="preserve">The Minister argues that the basis of the assessment was the determination that the prices </w:t>
      </w:r>
      <w:proofErr w:type="spellStart"/>
      <w:r w:rsidRPr="006E1903">
        <w:t>Glaxo</w:t>
      </w:r>
      <w:proofErr w:type="spellEnd"/>
      <w:r w:rsidRPr="006E1903">
        <w:t xml:space="preserve"> Canada paid for ranitidine were not reasonable.  The selection of the generic comparators was only a means which the Minister had chosen to demonstrate the unreasonableness.</w:t>
      </w:r>
    </w:p>
    <w:p w:rsidR="00C962E5" w:rsidRPr="006E1903" w:rsidRDefault="00C962E5" w:rsidP="00C962E5">
      <w:pPr>
        <w:pStyle w:val="ParaNoNdepar-AltN"/>
      </w:pPr>
      <w:r w:rsidRPr="006E1903">
        <w:rPr>
          <w:rFonts w:cs="Times New Roman"/>
        </w:rPr>
        <w:lastRenderedPageBreak/>
        <w:t xml:space="preserve">The basis of the assessment is found in the assumptions in the Minister’s Amended Reply to </w:t>
      </w:r>
      <w:proofErr w:type="spellStart"/>
      <w:r w:rsidRPr="006E1903">
        <w:rPr>
          <w:rFonts w:cs="Times New Roman"/>
        </w:rPr>
        <w:t>Glaxo</w:t>
      </w:r>
      <w:proofErr w:type="spellEnd"/>
      <w:r w:rsidRPr="006E1903">
        <w:rPr>
          <w:rFonts w:cs="Times New Roman"/>
        </w:rPr>
        <w:t xml:space="preserve"> Canada’s Amended Notice of Appeal.  Assumptions 14p) and </w:t>
      </w:r>
      <w:proofErr w:type="spellStart"/>
      <w:r w:rsidRPr="006E1903">
        <w:rPr>
          <w:rFonts w:cs="Times New Roman"/>
        </w:rPr>
        <w:t>r.A</w:t>
      </w:r>
      <w:proofErr w:type="spellEnd"/>
      <w:r w:rsidRPr="006E1903">
        <w:rPr>
          <w:rFonts w:cs="Times New Roman"/>
        </w:rPr>
        <w:t>) provide</w:t>
      </w:r>
      <w:r w:rsidRPr="006E1903">
        <w:t>:</w:t>
      </w:r>
    </w:p>
    <w:p w:rsidR="00C962E5" w:rsidRPr="006E1903" w:rsidRDefault="00A82AEC" w:rsidP="00A82AEC">
      <w:pPr>
        <w:pStyle w:val="Citation-AltC"/>
        <w:tabs>
          <w:tab w:val="left" w:pos="1170"/>
          <w:tab w:val="left" w:pos="1800"/>
        </w:tabs>
        <w:spacing w:after="240"/>
        <w:ind w:left="1800" w:hanging="1627"/>
        <w:contextualSpacing w:val="0"/>
      </w:pPr>
      <w:r>
        <w:tab/>
      </w:r>
      <w:r w:rsidR="00C962E5" w:rsidRPr="006E1903">
        <w:t>p)</w:t>
      </w:r>
      <w:r w:rsidR="00C962E5">
        <w:tab/>
      </w:r>
      <w:r w:rsidR="00C962E5" w:rsidRPr="006E1903">
        <w:t xml:space="preserve">the Appellant paid </w:t>
      </w:r>
      <w:proofErr w:type="spellStart"/>
      <w:r w:rsidR="00C962E5" w:rsidRPr="006E1903">
        <w:t>Adechsa</w:t>
      </w:r>
      <w:proofErr w:type="spellEnd"/>
      <w:r w:rsidR="00C962E5" w:rsidRPr="006E1903">
        <w:t>, with whom it was not dealing at arm</w:t>
      </w:r>
      <w:r w:rsidR="00C962E5">
        <w:t>’</w:t>
      </w:r>
      <w:r w:rsidR="00C962E5" w:rsidRPr="006E1903">
        <w:t xml:space="preserve">s length, a price for ranitidine which was greater than the amount that would have been reasonable in the circumstances if the Appellant and </w:t>
      </w:r>
      <w:proofErr w:type="spellStart"/>
      <w:r w:rsidR="00C962E5">
        <w:t>Adechsa</w:t>
      </w:r>
      <w:proofErr w:type="spellEnd"/>
      <w:r w:rsidR="00C962E5">
        <w:t xml:space="preserve"> had been dealing at arm’</w:t>
      </w:r>
      <w:r w:rsidR="00C962E5" w:rsidRPr="006E1903">
        <w:t>s length;</w:t>
      </w:r>
    </w:p>
    <w:p w:rsidR="00C962E5" w:rsidRPr="006E1903" w:rsidRDefault="00A82AEC" w:rsidP="00A82AEC">
      <w:pPr>
        <w:pStyle w:val="Citation-AltC"/>
        <w:tabs>
          <w:tab w:val="left" w:pos="1170"/>
          <w:tab w:val="left" w:pos="1800"/>
        </w:tabs>
        <w:spacing w:after="240"/>
        <w:ind w:left="1800" w:hanging="1627"/>
        <w:contextualSpacing w:val="0"/>
      </w:pPr>
      <w:r>
        <w:tab/>
      </w:r>
      <w:proofErr w:type="spellStart"/>
      <w:r w:rsidR="00C962E5" w:rsidRPr="006E1903">
        <w:t>r.A</w:t>
      </w:r>
      <w:proofErr w:type="spellEnd"/>
      <w:r w:rsidR="00C962E5" w:rsidRPr="006E1903">
        <w:t>)</w:t>
      </w:r>
      <w:r w:rsidR="00C962E5">
        <w:tab/>
      </w:r>
      <w:r w:rsidR="00C962E5" w:rsidRPr="006E1903">
        <w:t xml:space="preserve">any amounts paid by the appellant to </w:t>
      </w:r>
      <w:proofErr w:type="spellStart"/>
      <w:r w:rsidR="00C962E5" w:rsidRPr="006E1903">
        <w:t>Adechsa</w:t>
      </w:r>
      <w:proofErr w:type="spellEnd"/>
      <w:r w:rsidR="00C962E5" w:rsidRPr="006E1903">
        <w:t xml:space="preserve"> over and above the prices paid by other </w:t>
      </w:r>
      <w:r w:rsidR="00C962E5">
        <w:t xml:space="preserve">Canadian </w:t>
      </w:r>
      <w:r w:rsidR="00C962E5" w:rsidRPr="006E1903">
        <w:t>pharmaceutical companies (</w:t>
      </w:r>
      <w:r w:rsidR="00C962E5">
        <w:t>as detailed in S</w:t>
      </w:r>
      <w:r w:rsidR="00C962E5" w:rsidRPr="006E1903">
        <w:t xml:space="preserve">chedule </w:t>
      </w:r>
      <w:proofErr w:type="gramStart"/>
      <w:r w:rsidR="00C962E5" w:rsidRPr="006E1903">
        <w:t>A</w:t>
      </w:r>
      <w:proofErr w:type="gramEnd"/>
      <w:r w:rsidR="00C962E5" w:rsidRPr="006E1903">
        <w:t xml:space="preserve"> attached) were not for the supply of ranitidine</w:t>
      </w:r>
      <w:r w:rsidR="00C962E5">
        <w:t>;</w:t>
      </w:r>
    </w:p>
    <w:p w:rsidR="00C962E5" w:rsidRPr="006E1903" w:rsidRDefault="00C962E5" w:rsidP="00C962E5">
      <w:pPr>
        <w:pStyle w:val="ParaNoNdepar-AltN"/>
      </w:pPr>
      <w:proofErr w:type="spellStart"/>
      <w:r w:rsidRPr="006E1903">
        <w:t>Glaxo</w:t>
      </w:r>
      <w:proofErr w:type="spellEnd"/>
      <w:r w:rsidRPr="006E1903">
        <w:t xml:space="preserve"> Canada argues, in effect, that only assumption 14r.A) constitutes the basis of the assessment and that it has demolished that assumption.  The Minister argues that the basis of the assessment is assumption 14p). </w:t>
      </w:r>
      <w:r>
        <w:t xml:space="preserve"> </w:t>
      </w:r>
      <w:r w:rsidRPr="006E1903">
        <w:t>The text of the assumptions supports the position of the Minister.  Here assumption 14p) sets out the statutory basis for the reassessment, placing the reassessment squarely under s. 69(2).  The taxpayer’s liability is governed by the Act and the Minister’s authority to reassess arises from invoking a particular provision or provisions of the Act.</w:t>
      </w:r>
    </w:p>
    <w:p w:rsidR="00C962E5" w:rsidRPr="006E1903" w:rsidRDefault="00C962E5" w:rsidP="00C962E5">
      <w:pPr>
        <w:pStyle w:val="ParaNoNdepar-AltN"/>
      </w:pPr>
      <w:r w:rsidRPr="006E1903">
        <w:t xml:space="preserve">In </w:t>
      </w:r>
      <w:r w:rsidRPr="006E1903">
        <w:rPr>
          <w:i/>
        </w:rPr>
        <w:t>Hickman</w:t>
      </w:r>
      <w:r>
        <w:rPr>
          <w:i/>
        </w:rPr>
        <w:t xml:space="preserve"> Motors Ltd. v. Canada</w:t>
      </w:r>
      <w:r w:rsidRPr="005454AA">
        <w:t>,</w:t>
      </w:r>
      <w:r>
        <w:t xml:space="preserve"> [1997] 2 S.C.R. 336,</w:t>
      </w:r>
      <w:r w:rsidRPr="005454AA">
        <w:t xml:space="preserve"> </w:t>
      </w:r>
      <w:r w:rsidRPr="006E1903">
        <w:t xml:space="preserve">Justice </w:t>
      </w:r>
      <w:proofErr w:type="spellStart"/>
      <w:r w:rsidRPr="006E1903">
        <w:t>L’Heureux-Dub</w:t>
      </w:r>
      <w:r>
        <w:t>é</w:t>
      </w:r>
      <w:proofErr w:type="spellEnd"/>
      <w:r w:rsidRPr="006E1903">
        <w:t xml:space="preserve"> states that the taxpayer’s burden is to “</w:t>
      </w:r>
      <w:r>
        <w:t>‘</w:t>
      </w:r>
      <w:r w:rsidRPr="006E1903">
        <w:t>demolish</w:t>
      </w:r>
      <w:r>
        <w:t>’</w:t>
      </w:r>
      <w:r w:rsidRPr="006E1903">
        <w:t xml:space="preserve"> the exact assumptions made by the Minister but no more</w:t>
      </w:r>
      <w:r>
        <w:t>” (</w:t>
      </w:r>
      <w:proofErr w:type="spellStart"/>
      <w:r>
        <w:t>para</w:t>
      </w:r>
      <w:proofErr w:type="spellEnd"/>
      <w:r>
        <w:t>. 92 (emphasis deleted))</w:t>
      </w:r>
      <w:r w:rsidRPr="006E1903">
        <w:t xml:space="preserve">.  Here, it is safe to say that assumption 14r.A) by the Minister of the prices paid by </w:t>
      </w:r>
      <w:proofErr w:type="spellStart"/>
      <w:r w:rsidRPr="006E1903">
        <w:t>Apotex</w:t>
      </w:r>
      <w:proofErr w:type="spellEnd"/>
      <w:r w:rsidRPr="006E1903">
        <w:t xml:space="preserve"> and </w:t>
      </w:r>
      <w:proofErr w:type="spellStart"/>
      <w:r w:rsidRPr="006E1903">
        <w:t>Novopharm</w:t>
      </w:r>
      <w:proofErr w:type="spellEnd"/>
      <w:r w:rsidRPr="006E1903">
        <w:t xml:space="preserve"> as </w:t>
      </w:r>
      <w:r>
        <w:t>CUP</w:t>
      </w:r>
      <w:r w:rsidRPr="006E1903">
        <w:t xml:space="preserve"> transactions, without adjustments</w:t>
      </w:r>
      <w:r>
        <w:t>,</w:t>
      </w:r>
      <w:r w:rsidRPr="006E1903">
        <w:t xml:space="preserve"> was indeed demolished.  However, assumption 14p) was not.</w:t>
      </w:r>
    </w:p>
    <w:p w:rsidR="00C962E5" w:rsidRPr="006E1903" w:rsidRDefault="00C962E5" w:rsidP="00C962E5">
      <w:pPr>
        <w:pStyle w:val="ParaNoNdepar-AltN"/>
      </w:pPr>
      <w:r w:rsidRPr="006E1903">
        <w:lastRenderedPageBreak/>
        <w:t xml:space="preserve">Indeed, at the Tax Court, </w:t>
      </w:r>
      <w:proofErr w:type="spellStart"/>
      <w:r w:rsidRPr="006E1903">
        <w:t>Glaxo</w:t>
      </w:r>
      <w:proofErr w:type="spellEnd"/>
      <w:r w:rsidRPr="006E1903">
        <w:t xml:space="preserve"> Canada sought to establish the reasonableness of the prices it paid, though its evidence and argument were</w:t>
      </w:r>
      <w:r>
        <w:t xml:space="preserve"> not accepted by the Tax Court j</w:t>
      </w:r>
      <w:r w:rsidRPr="006E1903">
        <w:t>udge.  In other words, it accepted the burden of demonstrating that the prices it paid were reasonable wi</w:t>
      </w:r>
      <w:r w:rsidR="00A82AEC">
        <w:t xml:space="preserve">thin the meaning of s. 69(2).  </w:t>
      </w:r>
      <w:r w:rsidRPr="006E1903">
        <w:t>Had it been successful in establishing that the prices it paid were reasonable, assumption 14p) as well as</w:t>
      </w:r>
      <w:r>
        <w:t xml:space="preserve"> </w:t>
      </w:r>
      <w:r w:rsidRPr="006E1903">
        <w:t>14r.A), would have been demolished.</w:t>
      </w:r>
    </w:p>
    <w:p w:rsidR="00C962E5" w:rsidRPr="006E1903" w:rsidRDefault="00C962E5" w:rsidP="00C962E5">
      <w:pPr>
        <w:pStyle w:val="ParaNoNdepar-AltN"/>
      </w:pPr>
      <w:r w:rsidRPr="006E1903">
        <w:t xml:space="preserve">As it stands, the assumption that the prices paid by </w:t>
      </w:r>
      <w:proofErr w:type="spellStart"/>
      <w:r w:rsidRPr="006E1903">
        <w:t>Glaxo</w:t>
      </w:r>
      <w:proofErr w:type="spellEnd"/>
      <w:r w:rsidRPr="006E1903">
        <w:t xml:space="preserve"> Canada for ranitidine were greater than the amount that would have been reasonable in the circumstances</w:t>
      </w:r>
      <w:r w:rsidR="00A82AEC">
        <w:t>,</w:t>
      </w:r>
      <w:r w:rsidRPr="006E1903">
        <w:t xml:space="preserve"> had </w:t>
      </w:r>
      <w:proofErr w:type="spellStart"/>
      <w:r w:rsidRPr="006E1903">
        <w:t>Glaxo</w:t>
      </w:r>
      <w:proofErr w:type="spellEnd"/>
      <w:r w:rsidRPr="006E1903">
        <w:t xml:space="preserve"> Canada and </w:t>
      </w:r>
      <w:proofErr w:type="spellStart"/>
      <w:r w:rsidRPr="006E1903">
        <w:t>Adechsa</w:t>
      </w:r>
      <w:proofErr w:type="spellEnd"/>
      <w:r w:rsidRPr="006E1903">
        <w:t xml:space="preserve"> been dealing at arm’s length, has not been demolished.  Therefore, assumption 14p) remains standing.</w:t>
      </w:r>
    </w:p>
    <w:p w:rsidR="00C962E5" w:rsidRPr="006E1903" w:rsidRDefault="00C962E5" w:rsidP="00C962E5">
      <w:pPr>
        <w:pStyle w:val="ParaNoNdepar-AltN"/>
      </w:pPr>
      <w:r w:rsidRPr="006E1903">
        <w:t xml:space="preserve">At the Federal Court of Appeal, </w:t>
      </w:r>
      <w:proofErr w:type="spellStart"/>
      <w:r w:rsidRPr="006E1903">
        <w:t>Glaxo</w:t>
      </w:r>
      <w:proofErr w:type="spellEnd"/>
      <w:r w:rsidRPr="006E1903">
        <w:t xml:space="preserve"> Canada argued that that </w:t>
      </w:r>
      <w:r>
        <w:t>c</w:t>
      </w:r>
      <w:r w:rsidRPr="006E1903">
        <w:t>ourt could determine “the reasonable amount”.  If the Federal Court of Appeal could determine the reasonable amount, I cannot see why it could not remit the matter to the Tax Court for that very determination.</w:t>
      </w:r>
    </w:p>
    <w:p w:rsidR="00C962E5" w:rsidRDefault="00C962E5" w:rsidP="00C962E5">
      <w:pPr>
        <w:pStyle w:val="ParaNoNdepar-AltN"/>
      </w:pPr>
      <w:r w:rsidRPr="006E1903">
        <w:t xml:space="preserve">Like the Federal Court of Appeal, I would remit the matter to the Tax Court to be </w:t>
      </w:r>
      <w:proofErr w:type="spellStart"/>
      <w:r w:rsidRPr="006E1903">
        <w:t>redetermined</w:t>
      </w:r>
      <w:proofErr w:type="spellEnd"/>
      <w:r w:rsidRPr="006E1903">
        <w:t xml:space="preserve">, having regard to the effect of the Licence Agreement on the prices paid by </w:t>
      </w:r>
      <w:proofErr w:type="spellStart"/>
      <w:r w:rsidRPr="006E1903">
        <w:t>Glaxo</w:t>
      </w:r>
      <w:proofErr w:type="spellEnd"/>
      <w:r w:rsidRPr="006E1903">
        <w:t xml:space="preserve"> Canada for the supply of ranitidine from </w:t>
      </w:r>
      <w:proofErr w:type="spellStart"/>
      <w:r w:rsidRPr="006E1903">
        <w:t>Adechsa</w:t>
      </w:r>
      <w:proofErr w:type="spellEnd"/>
      <w:r w:rsidRPr="006E1903">
        <w:t xml:space="preserve">. </w:t>
      </w:r>
      <w:r>
        <w:t xml:space="preserve"> The Tax Court j</w:t>
      </w:r>
      <w:r w:rsidRPr="006E1903">
        <w:t xml:space="preserve">udge should consider any new evidence the parties seek to adduce and that he may choose to allow. </w:t>
      </w:r>
    </w:p>
    <w:p w:rsidR="00C962E5" w:rsidRPr="00137310" w:rsidRDefault="00C962E5" w:rsidP="00C962E5">
      <w:pPr>
        <w:pStyle w:val="ParaNoNdepar-AltN"/>
        <w:numPr>
          <w:ilvl w:val="0"/>
          <w:numId w:val="0"/>
        </w:numPr>
        <w:ind w:left="720" w:hanging="720"/>
      </w:pPr>
      <w:r w:rsidRPr="00137310">
        <w:t>V</w:t>
      </w:r>
      <w:r>
        <w:t>I</w:t>
      </w:r>
      <w:r w:rsidRPr="00137310">
        <w:t>I.</w:t>
      </w:r>
      <w:r>
        <w:tab/>
      </w:r>
      <w:r w:rsidRPr="00137310">
        <w:rPr>
          <w:u w:val="single"/>
        </w:rPr>
        <w:t>Conclusion</w:t>
      </w:r>
    </w:p>
    <w:p w:rsidR="00C962E5" w:rsidRPr="00041EB1" w:rsidRDefault="00C962E5" w:rsidP="00C962E5">
      <w:pPr>
        <w:pStyle w:val="ParaNoNdepar-AltN"/>
        <w:rPr>
          <w:szCs w:val="24"/>
        </w:rPr>
      </w:pPr>
      <w:r w:rsidRPr="006E1903">
        <w:lastRenderedPageBreak/>
        <w:t>I would dismiss the appeal with costs</w:t>
      </w:r>
      <w:r>
        <w:t xml:space="preserve"> throughout;</w:t>
      </w:r>
      <w:r w:rsidRPr="006E1903">
        <w:t xml:space="preserve"> dismiss the cross-appeal with costs </w:t>
      </w:r>
      <w:r>
        <w:t xml:space="preserve">in this Court </w:t>
      </w:r>
      <w:r w:rsidRPr="006E1903">
        <w:t>and remit the matter to the Tax Court for redetermination</w:t>
      </w:r>
      <w:r>
        <w:t>.</w:t>
      </w:r>
    </w:p>
    <w:p w:rsidR="009B57B3" w:rsidRDefault="0058502C" w:rsidP="0062728D">
      <w:pPr>
        <w:pStyle w:val="SCCNormalDoubleSpacing"/>
        <w:spacing w:after="480"/>
      </w:pPr>
      <w:r>
        <w:tab/>
      </w:r>
      <w:r w:rsidR="00656313" w:rsidRPr="005B6776">
        <w:rPr>
          <w:i/>
        </w:rPr>
        <w:t>Appeal</w:t>
      </w:r>
      <w:r w:rsidRPr="005B6776">
        <w:rPr>
          <w:i/>
        </w:rPr>
        <w:t xml:space="preserve"> </w:t>
      </w:r>
      <w:r w:rsidR="007C293A" w:rsidRPr="005B6776">
        <w:rPr>
          <w:i/>
        </w:rPr>
        <w:t>and cross-appeal dismissed</w:t>
      </w:r>
      <w:r w:rsidR="005B6776" w:rsidRPr="005B6776">
        <w:rPr>
          <w:i/>
        </w:rPr>
        <w:t xml:space="preserve"> </w:t>
      </w:r>
      <w:r w:rsidR="005B6776" w:rsidRPr="00EF1AAB">
        <w:rPr>
          <w:i/>
        </w:rPr>
        <w:t>with costs</w:t>
      </w:r>
      <w:r w:rsidR="007C293A" w:rsidRPr="00EF1AAB">
        <w:rPr>
          <w:i/>
        </w:rPr>
        <w:t>.</w:t>
      </w:r>
    </w:p>
    <w:p w:rsidR="0058502C" w:rsidRDefault="0058502C" w:rsidP="0062728D">
      <w:pPr>
        <w:pStyle w:val="SCCLawFirm"/>
        <w:spacing w:after="480"/>
      </w:pPr>
      <w:r>
        <w:tab/>
        <w:t>Solicitor for the appellant/respondent on cross</w:t>
      </w:r>
      <w:r w:rsidR="0062728D">
        <w:noBreakHyphen/>
      </w:r>
      <w:proofErr w:type="spellStart"/>
      <w:r w:rsidR="0062728D">
        <w:t>appeal</w:t>
      </w:r>
      <w:proofErr w:type="spellEnd"/>
      <w:r w:rsidR="0062728D">
        <w:t>:  </w:t>
      </w:r>
      <w:r>
        <w:t>Attorney General of Canada, Ottawa.</w:t>
      </w:r>
    </w:p>
    <w:p w:rsidR="009B57B3" w:rsidRDefault="0058502C" w:rsidP="00C962E5">
      <w:pPr>
        <w:pStyle w:val="SCCLawFirm"/>
        <w:rPr>
          <w:b/>
          <w:i w:val="0"/>
        </w:rPr>
      </w:pPr>
      <w:r>
        <w:tab/>
        <w:t>Solicitors for the respondent/appellant on cross</w:t>
      </w:r>
      <w:r w:rsidR="0062728D">
        <w:noBreakHyphen/>
      </w:r>
      <w:proofErr w:type="spellStart"/>
      <w:r w:rsidR="0062728D">
        <w:t>appeal</w:t>
      </w:r>
      <w:proofErr w:type="spellEnd"/>
      <w:r w:rsidR="0062728D">
        <w:t>:  </w:t>
      </w:r>
      <w:r>
        <w:t xml:space="preserve">Osler, </w:t>
      </w:r>
      <w:proofErr w:type="spellStart"/>
      <w:r>
        <w:t>Hoskin</w:t>
      </w:r>
      <w:proofErr w:type="spellEnd"/>
      <w:r>
        <w:t xml:space="preserve"> &amp; Harcourt, Toronto.</w:t>
      </w:r>
    </w:p>
    <w:sectPr w:rsidR="009B57B3" w:rsidSect="00604524">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214" w:rsidRDefault="00D56214">
      <w:r>
        <w:separator/>
      </w:r>
    </w:p>
  </w:endnote>
  <w:endnote w:type="continuationSeparator" w:id="0">
    <w:p w:rsidR="00D56214" w:rsidRDefault="00D562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214" w:rsidRDefault="00D56214">
      <w:r>
        <w:separator/>
      </w:r>
    </w:p>
  </w:footnote>
  <w:footnote w:type="continuationSeparator" w:id="0">
    <w:p w:rsidR="00D56214" w:rsidRDefault="00D56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579"/>
      <w:docPartObj>
        <w:docPartGallery w:val="Page Numbers (Top of Page)"/>
        <w:docPartUnique/>
      </w:docPartObj>
    </w:sdtPr>
    <w:sdtContent>
      <w:p w:rsidR="00D56214" w:rsidRDefault="00D56214">
        <w:pPr>
          <w:pStyle w:val="Header"/>
          <w:jc w:val="center"/>
        </w:pPr>
        <w:r>
          <w:t xml:space="preserve">- </w:t>
        </w:r>
        <w:fldSimple w:instr=" PAGE   \* MERGEFORMAT ">
          <w:r w:rsidR="00A46D26">
            <w:rPr>
              <w:noProof/>
            </w:rPr>
            <w:t>2</w:t>
          </w:r>
        </w:fldSimple>
        <w:r>
          <w:t xml:space="preserve"> -</w:t>
        </w:r>
      </w:p>
    </w:sdtContent>
  </w:sdt>
  <w:p w:rsidR="00D56214" w:rsidRPr="00450352" w:rsidRDefault="00D56214"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473BBC"/>
    <w:multiLevelType w:val="hybridMultilevel"/>
    <w:tmpl w:val="60A06E50"/>
    <w:lvl w:ilvl="0" w:tplc="857C7A0A">
      <w:start w:val="1"/>
      <w:numFmt w:val="decimal"/>
      <w:lvlText w:val="%1."/>
      <w:lvlJc w:val="left"/>
      <w:pPr>
        <w:ind w:left="1526"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09F63F8"/>
    <w:multiLevelType w:val="multilevel"/>
    <w:tmpl w:val="B52CE558"/>
    <w:lvl w:ilvl="0">
      <w:start w:val="1"/>
      <w:numFmt w:val="decimal"/>
      <w:pStyle w:val="StandardL1"/>
      <w:lvlText w:val="%1."/>
      <w:lvlJc w:val="left"/>
      <w:pPr>
        <w:tabs>
          <w:tab w:val="num" w:pos="720"/>
        </w:tabs>
        <w:ind w:left="720" w:hanging="720"/>
      </w:pPr>
      <w:rPr>
        <w:rFonts w:hint="default"/>
        <w:b w:val="0"/>
        <w:i w:val="0"/>
        <w:caps w:val="0"/>
        <w:u w:val="none"/>
      </w:rPr>
    </w:lvl>
    <w:lvl w:ilvl="1">
      <w:start w:val="1"/>
      <w:numFmt w:val="lowerLetter"/>
      <w:pStyle w:val="StandardL2"/>
      <w:lvlText w:val="(%2)"/>
      <w:lvlJc w:val="left"/>
      <w:pPr>
        <w:tabs>
          <w:tab w:val="num" w:pos="1440"/>
        </w:tabs>
        <w:ind w:left="1440" w:hanging="720"/>
      </w:pPr>
      <w:rPr>
        <w:rFonts w:hint="default"/>
        <w:b w:val="0"/>
        <w:i w:val="0"/>
        <w:caps w:val="0"/>
        <w:u w:val="none"/>
      </w:rPr>
    </w:lvl>
    <w:lvl w:ilvl="2">
      <w:start w:val="1"/>
      <w:numFmt w:val="lowerLetter"/>
      <w:pStyle w:val="StandardL3"/>
      <w:lvlText w:val="%3)"/>
      <w:lvlJc w:val="left"/>
      <w:pPr>
        <w:tabs>
          <w:tab w:val="num" w:pos="1800"/>
        </w:tabs>
        <w:ind w:left="1800" w:hanging="360"/>
      </w:pPr>
      <w:rPr>
        <w:rFonts w:hint="default"/>
        <w:u w:val="none"/>
      </w:rPr>
    </w:lvl>
    <w:lvl w:ilvl="3">
      <w:start w:val="1"/>
      <w:numFmt w:val="decimal"/>
      <w:pStyle w:val="StandardL4"/>
      <w:lvlText w:val="(%4)"/>
      <w:lvlJc w:val="left"/>
      <w:pPr>
        <w:tabs>
          <w:tab w:val="num" w:pos="1440"/>
        </w:tabs>
        <w:ind w:left="1440" w:hanging="1080"/>
      </w:pPr>
      <w:rPr>
        <w:rFonts w:hint="default"/>
        <w:u w:val="none"/>
      </w:rPr>
    </w:lvl>
    <w:lvl w:ilvl="4">
      <w:start w:val="1"/>
      <w:numFmt w:val="lowerLetter"/>
      <w:pStyle w:val="StandardL5"/>
      <w:lvlText w:val="(%5)"/>
      <w:lvlJc w:val="left"/>
      <w:pPr>
        <w:tabs>
          <w:tab w:val="num" w:pos="1800"/>
        </w:tabs>
        <w:ind w:left="1800" w:hanging="1440"/>
      </w:pPr>
      <w:rPr>
        <w:rFonts w:hint="default"/>
        <w:u w:val="none"/>
      </w:rPr>
    </w:lvl>
    <w:lvl w:ilvl="5">
      <w:start w:val="1"/>
      <w:numFmt w:val="lowerRoman"/>
      <w:pStyle w:val="StandardL6"/>
      <w:lvlText w:val="(%6)"/>
      <w:lvlJc w:val="left"/>
      <w:pPr>
        <w:tabs>
          <w:tab w:val="num" w:pos="2520"/>
        </w:tabs>
        <w:ind w:left="2520" w:hanging="2160"/>
      </w:pPr>
      <w:rPr>
        <w:rFonts w:hint="default"/>
        <w:u w:val="none"/>
      </w:rPr>
    </w:lvl>
    <w:lvl w:ilvl="6">
      <w:start w:val="1"/>
      <w:numFmt w:val="decimal"/>
      <w:pStyle w:val="StandardL7"/>
      <w:lvlText w:val="%7."/>
      <w:lvlJc w:val="left"/>
      <w:pPr>
        <w:tabs>
          <w:tab w:val="num" w:pos="2520"/>
        </w:tabs>
        <w:ind w:left="2520" w:hanging="2160"/>
      </w:pPr>
      <w:rPr>
        <w:rFonts w:hint="default"/>
        <w:u w:val="none"/>
      </w:rPr>
    </w:lvl>
    <w:lvl w:ilvl="7">
      <w:start w:val="1"/>
      <w:numFmt w:val="lowerLetter"/>
      <w:pStyle w:val="StandardL8"/>
      <w:lvlText w:val="%8."/>
      <w:lvlJc w:val="left"/>
      <w:pPr>
        <w:tabs>
          <w:tab w:val="num" w:pos="2880"/>
        </w:tabs>
        <w:ind w:left="2880" w:hanging="2520"/>
      </w:pPr>
      <w:rPr>
        <w:rFonts w:hint="default"/>
        <w:u w:val="none"/>
      </w:rPr>
    </w:lvl>
    <w:lvl w:ilvl="8">
      <w:start w:val="1"/>
      <w:numFmt w:val="lowerRoman"/>
      <w:pStyle w:val="StandardL9"/>
      <w:lvlText w:val="%9."/>
      <w:lvlJc w:val="left"/>
      <w:pPr>
        <w:tabs>
          <w:tab w:val="num" w:pos="3240"/>
        </w:tabs>
        <w:ind w:left="3240" w:hanging="2880"/>
      </w:pPr>
      <w:rPr>
        <w:rFonts w:hint="default"/>
        <w:u w:val="none"/>
      </w:rPr>
    </w:lvl>
  </w:abstractNum>
  <w:abstractNum w:abstractNumId="4">
    <w:nsid w:val="4B2807B7"/>
    <w:multiLevelType w:val="hybridMultilevel"/>
    <w:tmpl w:val="4F82B808"/>
    <w:lvl w:ilvl="0" w:tplc="DB52644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EC1766A"/>
    <w:multiLevelType w:val="hybridMultilevel"/>
    <w:tmpl w:val="2D6031C0"/>
    <w:lvl w:ilvl="0" w:tplc="29F6138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CA03D94"/>
    <w:multiLevelType w:val="hybridMultilevel"/>
    <w:tmpl w:val="446E8C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B624E08"/>
    <w:multiLevelType w:val="hybridMultilevel"/>
    <w:tmpl w:val="7F126448"/>
    <w:lvl w:ilvl="0" w:tplc="6980F070">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2"/>
  </w:num>
  <w:num w:numId="5">
    <w:abstractNumId w:val="0"/>
  </w:num>
  <w:num w:numId="6">
    <w:abstractNumId w:val="5"/>
  </w:num>
  <w:num w:numId="7">
    <w:abstractNumId w:val="6"/>
  </w:num>
  <w:num w:numId="8">
    <w:abstractNumId w:val="9"/>
  </w:num>
  <w:num w:numId="9">
    <w:abstractNumId w:val="4"/>
  </w:num>
  <w:num w:numId="10">
    <w:abstractNumId w:val="11"/>
  </w:num>
  <w:num w:numId="11">
    <w:abstractNumId w:val="7"/>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rsids>
    <w:rsidRoot w:val="0031414C"/>
    <w:rsid w:val="00000ED4"/>
    <w:rsid w:val="00002B68"/>
    <w:rsid w:val="00025198"/>
    <w:rsid w:val="000453FC"/>
    <w:rsid w:val="000578A3"/>
    <w:rsid w:val="000648CC"/>
    <w:rsid w:val="000B6862"/>
    <w:rsid w:val="000C1998"/>
    <w:rsid w:val="000C59B8"/>
    <w:rsid w:val="000C6AF0"/>
    <w:rsid w:val="000D6ED2"/>
    <w:rsid w:val="000E7B68"/>
    <w:rsid w:val="00103603"/>
    <w:rsid w:val="00104F33"/>
    <w:rsid w:val="00111DE2"/>
    <w:rsid w:val="00116B38"/>
    <w:rsid w:val="00135406"/>
    <w:rsid w:val="00135972"/>
    <w:rsid w:val="00136F61"/>
    <w:rsid w:val="001426A9"/>
    <w:rsid w:val="00151EC1"/>
    <w:rsid w:val="00154D7C"/>
    <w:rsid w:val="001570B0"/>
    <w:rsid w:val="0015752C"/>
    <w:rsid w:val="00157737"/>
    <w:rsid w:val="00165277"/>
    <w:rsid w:val="00170592"/>
    <w:rsid w:val="00186351"/>
    <w:rsid w:val="00195D83"/>
    <w:rsid w:val="001A00C1"/>
    <w:rsid w:val="001B33E0"/>
    <w:rsid w:val="001B4573"/>
    <w:rsid w:val="001C1CDA"/>
    <w:rsid w:val="001C779F"/>
    <w:rsid w:val="001D0BFE"/>
    <w:rsid w:val="001D2AC1"/>
    <w:rsid w:val="001D4E88"/>
    <w:rsid w:val="001D57F7"/>
    <w:rsid w:val="001F257C"/>
    <w:rsid w:val="001F6308"/>
    <w:rsid w:val="00220FC2"/>
    <w:rsid w:val="002222F4"/>
    <w:rsid w:val="00224FC0"/>
    <w:rsid w:val="00225EA4"/>
    <w:rsid w:val="00226EAF"/>
    <w:rsid w:val="002304CC"/>
    <w:rsid w:val="00231F3A"/>
    <w:rsid w:val="00234199"/>
    <w:rsid w:val="002406EE"/>
    <w:rsid w:val="00241A8B"/>
    <w:rsid w:val="00243EC8"/>
    <w:rsid w:val="0025220C"/>
    <w:rsid w:val="00270D93"/>
    <w:rsid w:val="002745CC"/>
    <w:rsid w:val="002B302D"/>
    <w:rsid w:val="002B7924"/>
    <w:rsid w:val="002C51C3"/>
    <w:rsid w:val="002D28C3"/>
    <w:rsid w:val="002D2A70"/>
    <w:rsid w:val="002D39A4"/>
    <w:rsid w:val="002E6705"/>
    <w:rsid w:val="002E68F2"/>
    <w:rsid w:val="002F4DBA"/>
    <w:rsid w:val="00301D08"/>
    <w:rsid w:val="0030329A"/>
    <w:rsid w:val="00304C0D"/>
    <w:rsid w:val="0031086F"/>
    <w:rsid w:val="0031414C"/>
    <w:rsid w:val="00314E01"/>
    <w:rsid w:val="0032089D"/>
    <w:rsid w:val="003310DE"/>
    <w:rsid w:val="003323B0"/>
    <w:rsid w:val="0035169A"/>
    <w:rsid w:val="0035259D"/>
    <w:rsid w:val="00364B18"/>
    <w:rsid w:val="00393417"/>
    <w:rsid w:val="003A125D"/>
    <w:rsid w:val="003A4C70"/>
    <w:rsid w:val="003B215F"/>
    <w:rsid w:val="003C799C"/>
    <w:rsid w:val="003D0399"/>
    <w:rsid w:val="003E1C71"/>
    <w:rsid w:val="003F327B"/>
    <w:rsid w:val="00406166"/>
    <w:rsid w:val="0040704B"/>
    <w:rsid w:val="00410A55"/>
    <w:rsid w:val="00411300"/>
    <w:rsid w:val="00415417"/>
    <w:rsid w:val="00421A9C"/>
    <w:rsid w:val="00426659"/>
    <w:rsid w:val="004466A2"/>
    <w:rsid w:val="00450352"/>
    <w:rsid w:val="00454BDB"/>
    <w:rsid w:val="00464800"/>
    <w:rsid w:val="00465132"/>
    <w:rsid w:val="00480C90"/>
    <w:rsid w:val="0048396F"/>
    <w:rsid w:val="00485271"/>
    <w:rsid w:val="00493C18"/>
    <w:rsid w:val="004A600C"/>
    <w:rsid w:val="004A6118"/>
    <w:rsid w:val="004B5F68"/>
    <w:rsid w:val="004C478D"/>
    <w:rsid w:val="004D5D6C"/>
    <w:rsid w:val="004E2C26"/>
    <w:rsid w:val="004F36FF"/>
    <w:rsid w:val="005125A8"/>
    <w:rsid w:val="005170C6"/>
    <w:rsid w:val="00521AE8"/>
    <w:rsid w:val="00527180"/>
    <w:rsid w:val="00534A9B"/>
    <w:rsid w:val="0054201E"/>
    <w:rsid w:val="00555291"/>
    <w:rsid w:val="00566AD1"/>
    <w:rsid w:val="00583EDE"/>
    <w:rsid w:val="0058502C"/>
    <w:rsid w:val="005944B8"/>
    <w:rsid w:val="005A6079"/>
    <w:rsid w:val="005B6776"/>
    <w:rsid w:val="005C0944"/>
    <w:rsid w:val="005E4698"/>
    <w:rsid w:val="00604524"/>
    <w:rsid w:val="0060707F"/>
    <w:rsid w:val="00610539"/>
    <w:rsid w:val="00612EA1"/>
    <w:rsid w:val="00613969"/>
    <w:rsid w:val="00625C35"/>
    <w:rsid w:val="0062728D"/>
    <w:rsid w:val="00656313"/>
    <w:rsid w:val="006565F4"/>
    <w:rsid w:val="00667B68"/>
    <w:rsid w:val="00684EEA"/>
    <w:rsid w:val="0069689B"/>
    <w:rsid w:val="006A1551"/>
    <w:rsid w:val="006B5FF5"/>
    <w:rsid w:val="006F30AF"/>
    <w:rsid w:val="00701759"/>
    <w:rsid w:val="00705C15"/>
    <w:rsid w:val="00711759"/>
    <w:rsid w:val="0071600E"/>
    <w:rsid w:val="007208D1"/>
    <w:rsid w:val="00727056"/>
    <w:rsid w:val="00747288"/>
    <w:rsid w:val="00747DD3"/>
    <w:rsid w:val="007549C8"/>
    <w:rsid w:val="00754A0B"/>
    <w:rsid w:val="007637C8"/>
    <w:rsid w:val="00766D14"/>
    <w:rsid w:val="00767A0F"/>
    <w:rsid w:val="007869F6"/>
    <w:rsid w:val="007A05F6"/>
    <w:rsid w:val="007A5087"/>
    <w:rsid w:val="007B6F4A"/>
    <w:rsid w:val="007C293A"/>
    <w:rsid w:val="007E1C47"/>
    <w:rsid w:val="007E337A"/>
    <w:rsid w:val="007E5C70"/>
    <w:rsid w:val="007F2FF5"/>
    <w:rsid w:val="007F3F08"/>
    <w:rsid w:val="00804CC6"/>
    <w:rsid w:val="00817190"/>
    <w:rsid w:val="00820EE5"/>
    <w:rsid w:val="008260E2"/>
    <w:rsid w:val="008322BD"/>
    <w:rsid w:val="00833E0A"/>
    <w:rsid w:val="00834F73"/>
    <w:rsid w:val="00864CF8"/>
    <w:rsid w:val="00872819"/>
    <w:rsid w:val="00874914"/>
    <w:rsid w:val="0088434F"/>
    <w:rsid w:val="00891422"/>
    <w:rsid w:val="00892E1A"/>
    <w:rsid w:val="008A3F29"/>
    <w:rsid w:val="008A4D39"/>
    <w:rsid w:val="008A584B"/>
    <w:rsid w:val="008B660A"/>
    <w:rsid w:val="008C01DA"/>
    <w:rsid w:val="008F78E9"/>
    <w:rsid w:val="00900BF2"/>
    <w:rsid w:val="00911989"/>
    <w:rsid w:val="009179F9"/>
    <w:rsid w:val="009271C0"/>
    <w:rsid w:val="00933E5E"/>
    <w:rsid w:val="00934DCB"/>
    <w:rsid w:val="00935218"/>
    <w:rsid w:val="009403F3"/>
    <w:rsid w:val="009522E7"/>
    <w:rsid w:val="009555B7"/>
    <w:rsid w:val="009567AA"/>
    <w:rsid w:val="00967374"/>
    <w:rsid w:val="00976046"/>
    <w:rsid w:val="00976E91"/>
    <w:rsid w:val="00980CBE"/>
    <w:rsid w:val="00980E3D"/>
    <w:rsid w:val="009A343A"/>
    <w:rsid w:val="009B2F23"/>
    <w:rsid w:val="009B57B3"/>
    <w:rsid w:val="009C5B92"/>
    <w:rsid w:val="009D2920"/>
    <w:rsid w:val="009D5AEB"/>
    <w:rsid w:val="009D6145"/>
    <w:rsid w:val="009E38CE"/>
    <w:rsid w:val="009F0E33"/>
    <w:rsid w:val="00A030CE"/>
    <w:rsid w:val="00A149DF"/>
    <w:rsid w:val="00A1755C"/>
    <w:rsid w:val="00A21B90"/>
    <w:rsid w:val="00A41805"/>
    <w:rsid w:val="00A42DCD"/>
    <w:rsid w:val="00A453BD"/>
    <w:rsid w:val="00A46D26"/>
    <w:rsid w:val="00A52AFB"/>
    <w:rsid w:val="00A548CB"/>
    <w:rsid w:val="00A5521C"/>
    <w:rsid w:val="00A643E7"/>
    <w:rsid w:val="00A73C38"/>
    <w:rsid w:val="00A82AEC"/>
    <w:rsid w:val="00AB1DAF"/>
    <w:rsid w:val="00AB670D"/>
    <w:rsid w:val="00AC0C42"/>
    <w:rsid w:val="00AF03C5"/>
    <w:rsid w:val="00B000D8"/>
    <w:rsid w:val="00B00F75"/>
    <w:rsid w:val="00B145B6"/>
    <w:rsid w:val="00B279EB"/>
    <w:rsid w:val="00B474AF"/>
    <w:rsid w:val="00B50C81"/>
    <w:rsid w:val="00B557F8"/>
    <w:rsid w:val="00B6226D"/>
    <w:rsid w:val="00B815FC"/>
    <w:rsid w:val="00B93FBC"/>
    <w:rsid w:val="00BA7DA0"/>
    <w:rsid w:val="00BB2EE4"/>
    <w:rsid w:val="00BC2108"/>
    <w:rsid w:val="00BC4F4C"/>
    <w:rsid w:val="00BD0E9E"/>
    <w:rsid w:val="00BD1BEC"/>
    <w:rsid w:val="00BD32FF"/>
    <w:rsid w:val="00BE30B3"/>
    <w:rsid w:val="00BF78B6"/>
    <w:rsid w:val="00C01924"/>
    <w:rsid w:val="00C02092"/>
    <w:rsid w:val="00C24D91"/>
    <w:rsid w:val="00C46AF7"/>
    <w:rsid w:val="00C53632"/>
    <w:rsid w:val="00C53F14"/>
    <w:rsid w:val="00C5502E"/>
    <w:rsid w:val="00C600CF"/>
    <w:rsid w:val="00C6084F"/>
    <w:rsid w:val="00C62A66"/>
    <w:rsid w:val="00C62D44"/>
    <w:rsid w:val="00C645AB"/>
    <w:rsid w:val="00C71458"/>
    <w:rsid w:val="00C77613"/>
    <w:rsid w:val="00C828E7"/>
    <w:rsid w:val="00C86719"/>
    <w:rsid w:val="00C921DD"/>
    <w:rsid w:val="00C962E5"/>
    <w:rsid w:val="00CA6391"/>
    <w:rsid w:val="00CC34BD"/>
    <w:rsid w:val="00CE07C0"/>
    <w:rsid w:val="00CE161A"/>
    <w:rsid w:val="00CE3171"/>
    <w:rsid w:val="00CF1601"/>
    <w:rsid w:val="00CF4984"/>
    <w:rsid w:val="00D0172F"/>
    <w:rsid w:val="00D068A7"/>
    <w:rsid w:val="00D17476"/>
    <w:rsid w:val="00D22A6A"/>
    <w:rsid w:val="00D32086"/>
    <w:rsid w:val="00D37A3F"/>
    <w:rsid w:val="00D42938"/>
    <w:rsid w:val="00D4431D"/>
    <w:rsid w:val="00D4667A"/>
    <w:rsid w:val="00D526A7"/>
    <w:rsid w:val="00D56214"/>
    <w:rsid w:val="00D63A1C"/>
    <w:rsid w:val="00D6697A"/>
    <w:rsid w:val="00D7133C"/>
    <w:rsid w:val="00D7516F"/>
    <w:rsid w:val="00D8579F"/>
    <w:rsid w:val="00D95F8E"/>
    <w:rsid w:val="00D97C55"/>
    <w:rsid w:val="00DA0590"/>
    <w:rsid w:val="00DB7BEA"/>
    <w:rsid w:val="00DC1739"/>
    <w:rsid w:val="00DC1788"/>
    <w:rsid w:val="00DE319C"/>
    <w:rsid w:val="00DF0CA8"/>
    <w:rsid w:val="00DF2B48"/>
    <w:rsid w:val="00DF49A7"/>
    <w:rsid w:val="00E07EE2"/>
    <w:rsid w:val="00E07FD1"/>
    <w:rsid w:val="00E23B3C"/>
    <w:rsid w:val="00E24573"/>
    <w:rsid w:val="00E25E1E"/>
    <w:rsid w:val="00E27EE7"/>
    <w:rsid w:val="00E35404"/>
    <w:rsid w:val="00E45109"/>
    <w:rsid w:val="00E47B7A"/>
    <w:rsid w:val="00E51CC2"/>
    <w:rsid w:val="00E540CC"/>
    <w:rsid w:val="00E56A44"/>
    <w:rsid w:val="00E60269"/>
    <w:rsid w:val="00E77932"/>
    <w:rsid w:val="00E77B76"/>
    <w:rsid w:val="00E97830"/>
    <w:rsid w:val="00EE643C"/>
    <w:rsid w:val="00EF0683"/>
    <w:rsid w:val="00EF1AAB"/>
    <w:rsid w:val="00EF69D2"/>
    <w:rsid w:val="00EF766E"/>
    <w:rsid w:val="00F0070C"/>
    <w:rsid w:val="00F00EB7"/>
    <w:rsid w:val="00F1605C"/>
    <w:rsid w:val="00F30DD3"/>
    <w:rsid w:val="00F36AB6"/>
    <w:rsid w:val="00F37A09"/>
    <w:rsid w:val="00F409CE"/>
    <w:rsid w:val="00F4379D"/>
    <w:rsid w:val="00F50D2D"/>
    <w:rsid w:val="00F56C8B"/>
    <w:rsid w:val="00F66810"/>
    <w:rsid w:val="00F846D9"/>
    <w:rsid w:val="00F84DF4"/>
    <w:rsid w:val="00F85C97"/>
    <w:rsid w:val="00F901A1"/>
    <w:rsid w:val="00F93292"/>
    <w:rsid w:val="00FB37D2"/>
    <w:rsid w:val="00FC4EFB"/>
    <w:rsid w:val="00FD068D"/>
    <w:rsid w:val="00FD4F28"/>
    <w:rsid w:val="00FD5ED9"/>
    <w:rsid w:val="00FE1105"/>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2304CC"/>
    <w:pPr>
      <w:numPr>
        <w:numId w:val="1"/>
      </w:numPr>
      <w:spacing w:before="480" w:after="480" w:line="480" w:lineRule="auto"/>
      <w:jc w:val="both"/>
    </w:pPr>
    <w:rPr>
      <w:rFonts w:eastAsiaTheme="minorEastAsia" w:cstheme="minorBidi"/>
      <w:sz w:val="24"/>
      <w:szCs w:val="22"/>
      <w:lang w:eastAsia="en-US"/>
    </w:rPr>
  </w:style>
  <w:style w:type="paragraph" w:customStyle="1" w:styleId="ContinueParaSuitedupar-AltP">
    <w:name w:val="Continue Para. / Suite du par. - Alt P"/>
    <w:next w:val="ParaNoNdepar-AltN"/>
    <w:uiPriority w:val="1"/>
    <w:qFormat/>
    <w:rsid w:val="002304CC"/>
    <w:pPr>
      <w:spacing w:before="480" w:after="480" w:line="480" w:lineRule="auto"/>
      <w:jc w:val="both"/>
    </w:pPr>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C962E5"/>
    <w:pPr>
      <w:spacing w:after="480"/>
    </w:pPr>
    <w:rPr>
      <w:rFonts w:eastAsiaTheme="minorHAnsi" w:cstheme="minorBidi"/>
      <w:szCs w:val="22"/>
      <w:lang w:eastAsia="en-US"/>
    </w:rPr>
  </w:style>
  <w:style w:type="paragraph" w:customStyle="1" w:styleId="SCCCoram">
    <w:name w:val="SCC.Coram"/>
    <w:basedOn w:val="Normal"/>
    <w:next w:val="Normal"/>
    <w:link w:val="SCCCoramChar"/>
    <w:rsid w:val="00C962E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C962E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C962E5"/>
    <w:rPr>
      <w:rFonts w:eastAsiaTheme="minorHAnsi" w:cstheme="minorBidi"/>
      <w:sz w:val="24"/>
      <w:szCs w:val="22"/>
      <w:lang w:eastAsia="en-US"/>
    </w:rPr>
  </w:style>
  <w:style w:type="character" w:customStyle="1" w:styleId="SCCBanSummaryChar">
    <w:name w:val="SCC.BanSummary Char"/>
    <w:basedOn w:val="DefaultParagraphFont"/>
    <w:link w:val="SCCBanSummary"/>
    <w:rsid w:val="00C962E5"/>
    <w:rPr>
      <w:b/>
      <w:sz w:val="24"/>
    </w:rPr>
  </w:style>
  <w:style w:type="table" w:styleId="TableGrid">
    <w:name w:val="Table Grid"/>
    <w:basedOn w:val="TableNormal"/>
    <w:uiPriority w:val="59"/>
    <w:rsid w:val="00C962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C962E5"/>
    <w:pPr>
      <w:spacing w:after="720"/>
      <w:ind w:left="1166"/>
      <w:contextualSpacing/>
      <w:jc w:val="both"/>
    </w:pPr>
    <w:rPr>
      <w:sz w:val="24"/>
    </w:rPr>
  </w:style>
  <w:style w:type="paragraph" w:customStyle="1" w:styleId="JudgeJuge">
    <w:name w:val="Judge / Juge"/>
    <w:uiPriority w:val="3"/>
    <w:rsid w:val="00C962E5"/>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C962E5"/>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C962E5"/>
    <w:pPr>
      <w:ind w:left="720"/>
      <w:contextualSpacing/>
    </w:pPr>
    <w:rPr>
      <w:rFonts w:eastAsiaTheme="minorHAnsi" w:cstheme="minorBidi"/>
      <w:szCs w:val="22"/>
      <w:lang w:eastAsia="en-US"/>
    </w:rPr>
  </w:style>
  <w:style w:type="paragraph" w:styleId="FootnoteText">
    <w:name w:val="footnote text"/>
    <w:basedOn w:val="Normal"/>
    <w:link w:val="FootnoteTextChar"/>
    <w:unhideWhenUsed/>
    <w:rsid w:val="00C962E5"/>
    <w:rPr>
      <w:rFonts w:eastAsiaTheme="minorEastAsia" w:cstheme="minorBidi"/>
      <w:sz w:val="20"/>
      <w:lang w:val="en-US" w:eastAsia="en-US" w:bidi="en-US"/>
    </w:rPr>
  </w:style>
  <w:style w:type="character" w:customStyle="1" w:styleId="FootnoteTextChar">
    <w:name w:val="Footnote Text Char"/>
    <w:basedOn w:val="DefaultParagraphFont"/>
    <w:link w:val="FootnoteText"/>
    <w:rsid w:val="00C962E5"/>
    <w:rPr>
      <w:rFonts w:eastAsiaTheme="minorEastAsia" w:cstheme="minorBidi"/>
      <w:lang w:val="en-US" w:eastAsia="en-US" w:bidi="en-US"/>
    </w:rPr>
  </w:style>
  <w:style w:type="character" w:styleId="FootnoteReference">
    <w:name w:val="footnote reference"/>
    <w:basedOn w:val="DefaultParagraphFont"/>
    <w:uiPriority w:val="99"/>
    <w:unhideWhenUsed/>
    <w:rsid w:val="00C962E5"/>
    <w:rPr>
      <w:vertAlign w:val="superscript"/>
    </w:rPr>
  </w:style>
  <w:style w:type="character" w:styleId="CommentReference">
    <w:name w:val="annotation reference"/>
    <w:basedOn w:val="DefaultParagraphFont"/>
    <w:uiPriority w:val="99"/>
    <w:semiHidden/>
    <w:unhideWhenUsed/>
    <w:rsid w:val="00C962E5"/>
    <w:rPr>
      <w:sz w:val="16"/>
      <w:szCs w:val="16"/>
    </w:rPr>
  </w:style>
  <w:style w:type="paragraph" w:styleId="CommentText">
    <w:name w:val="annotation text"/>
    <w:basedOn w:val="Normal"/>
    <w:link w:val="CommentTextChar"/>
    <w:uiPriority w:val="99"/>
    <w:semiHidden/>
    <w:unhideWhenUsed/>
    <w:rsid w:val="00C962E5"/>
    <w:rPr>
      <w:sz w:val="20"/>
    </w:rPr>
  </w:style>
  <w:style w:type="character" w:customStyle="1" w:styleId="CommentTextChar">
    <w:name w:val="Comment Text Char"/>
    <w:basedOn w:val="DefaultParagraphFont"/>
    <w:link w:val="CommentText"/>
    <w:uiPriority w:val="99"/>
    <w:semiHidden/>
    <w:rsid w:val="00C962E5"/>
  </w:style>
  <w:style w:type="paragraph" w:styleId="CommentSubject">
    <w:name w:val="annotation subject"/>
    <w:basedOn w:val="CommentText"/>
    <w:next w:val="CommentText"/>
    <w:link w:val="CommentSubjectChar"/>
    <w:uiPriority w:val="99"/>
    <w:semiHidden/>
    <w:unhideWhenUsed/>
    <w:rsid w:val="00C962E5"/>
    <w:rPr>
      <w:b/>
      <w:bCs/>
    </w:rPr>
  </w:style>
  <w:style w:type="character" w:customStyle="1" w:styleId="CommentSubjectChar">
    <w:name w:val="Comment Subject Char"/>
    <w:basedOn w:val="CommentTextChar"/>
    <w:link w:val="CommentSubject"/>
    <w:uiPriority w:val="99"/>
    <w:semiHidden/>
    <w:rsid w:val="00C962E5"/>
    <w:rPr>
      <w:b/>
      <w:bCs/>
    </w:rPr>
  </w:style>
  <w:style w:type="character" w:styleId="SubtleEmphasis">
    <w:name w:val="Subtle Emphasis"/>
    <w:uiPriority w:val="19"/>
    <w:qFormat/>
    <w:rsid w:val="00C962E5"/>
    <w:rPr>
      <w:i/>
      <w:iCs/>
    </w:rPr>
  </w:style>
  <w:style w:type="paragraph" w:customStyle="1" w:styleId="StandardL1">
    <w:name w:val="Standard_L1"/>
    <w:basedOn w:val="Normal"/>
    <w:rsid w:val="00C962E5"/>
    <w:pPr>
      <w:numPr>
        <w:numId w:val="12"/>
      </w:numPr>
      <w:spacing w:after="240" w:line="360" w:lineRule="auto"/>
      <w:ind w:left="0" w:firstLine="0"/>
      <w:jc w:val="both"/>
      <w:outlineLvl w:val="0"/>
    </w:pPr>
    <w:rPr>
      <w:szCs w:val="24"/>
      <w:lang w:val="en-US" w:eastAsia="en-US"/>
    </w:rPr>
  </w:style>
  <w:style w:type="paragraph" w:customStyle="1" w:styleId="StandardL2">
    <w:name w:val="Standard_L2"/>
    <w:basedOn w:val="StandardL1"/>
    <w:rsid w:val="00C962E5"/>
    <w:pPr>
      <w:numPr>
        <w:ilvl w:val="1"/>
      </w:numPr>
      <w:outlineLvl w:val="1"/>
    </w:pPr>
  </w:style>
  <w:style w:type="paragraph" w:customStyle="1" w:styleId="StandardL3">
    <w:name w:val="Standard_L3"/>
    <w:basedOn w:val="StandardL2"/>
    <w:rsid w:val="00C962E5"/>
    <w:pPr>
      <w:numPr>
        <w:ilvl w:val="2"/>
      </w:numPr>
      <w:spacing w:line="240" w:lineRule="auto"/>
      <w:outlineLvl w:val="2"/>
    </w:pPr>
  </w:style>
  <w:style w:type="paragraph" w:customStyle="1" w:styleId="StandardL4">
    <w:name w:val="Standard_L4"/>
    <w:basedOn w:val="StandardL3"/>
    <w:rsid w:val="00C962E5"/>
    <w:pPr>
      <w:numPr>
        <w:ilvl w:val="3"/>
      </w:numPr>
      <w:outlineLvl w:val="3"/>
    </w:pPr>
  </w:style>
  <w:style w:type="paragraph" w:customStyle="1" w:styleId="StandardL5">
    <w:name w:val="Standard_L5"/>
    <w:basedOn w:val="StandardL4"/>
    <w:rsid w:val="00C962E5"/>
    <w:pPr>
      <w:numPr>
        <w:ilvl w:val="4"/>
      </w:numPr>
      <w:outlineLvl w:val="4"/>
    </w:pPr>
  </w:style>
  <w:style w:type="paragraph" w:customStyle="1" w:styleId="StandardL6">
    <w:name w:val="Standard_L6"/>
    <w:basedOn w:val="StandardL5"/>
    <w:rsid w:val="00C962E5"/>
    <w:pPr>
      <w:numPr>
        <w:ilvl w:val="5"/>
      </w:numPr>
      <w:outlineLvl w:val="5"/>
    </w:pPr>
  </w:style>
  <w:style w:type="paragraph" w:customStyle="1" w:styleId="StandardL7">
    <w:name w:val="Standard_L7"/>
    <w:basedOn w:val="StandardL6"/>
    <w:rsid w:val="00C962E5"/>
    <w:pPr>
      <w:numPr>
        <w:ilvl w:val="6"/>
      </w:numPr>
      <w:outlineLvl w:val="6"/>
    </w:pPr>
  </w:style>
  <w:style w:type="paragraph" w:customStyle="1" w:styleId="StandardL8">
    <w:name w:val="Standard_L8"/>
    <w:basedOn w:val="StandardL7"/>
    <w:rsid w:val="00C962E5"/>
    <w:pPr>
      <w:numPr>
        <w:ilvl w:val="7"/>
      </w:numPr>
      <w:outlineLvl w:val="7"/>
    </w:pPr>
  </w:style>
  <w:style w:type="paragraph" w:customStyle="1" w:styleId="StandardL9">
    <w:name w:val="Standard_L9"/>
    <w:basedOn w:val="StandardL8"/>
    <w:rsid w:val="00C962E5"/>
    <w:pPr>
      <w:numPr>
        <w:ilvl w:val="8"/>
      </w:numPr>
      <w:outlineLvl w:val="8"/>
    </w:pPr>
  </w:style>
  <w:style w:type="table" w:customStyle="1" w:styleId="TableGrid1">
    <w:name w:val="Table Grid1"/>
    <w:basedOn w:val="TableNormal"/>
    <w:next w:val="TableGrid"/>
    <w:uiPriority w:val="59"/>
    <w:rsid w:val="00A46D2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6B85E-9FA1-4E3B-9534-A82C2684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8720</Words>
  <Characters>45956</Characters>
  <Application>Microsoft Office Word</Application>
  <DocSecurity>0</DocSecurity>
  <Lines>382</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2012-10-18T18:42:00Z</dcterms:created>
  <dcterms:modified xsi:type="dcterms:W3CDTF">2013-04-08T20:22:00Z</dcterms:modified>
</cp:coreProperties>
</file>