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0AA" w:rsidRPr="002866DC" w:rsidRDefault="002020AA" w:rsidP="002020AA">
      <w:pPr>
        <w:tabs>
          <w:tab w:val="center" w:pos="4680"/>
          <w:tab w:val="right" w:pos="9360"/>
        </w:tabs>
        <w:jc w:val="center"/>
        <w:rPr>
          <w:rFonts w:eastAsiaTheme="minorHAnsi" w:cstheme="minorBidi"/>
          <w:szCs w:val="24"/>
          <w:lang w:eastAsia="en-US"/>
        </w:rPr>
      </w:pPr>
      <w:r w:rsidRPr="002866DC">
        <w:rPr>
          <w:rFonts w:eastAsiaTheme="minorHAnsi" w:cstheme="minorBidi"/>
          <w:szCs w:val="24"/>
          <w:lang w:eastAsia="en-US"/>
        </w:rPr>
        <w:object w:dxaOrig="1365"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64.8pt" o:ole="">
            <v:imagedata r:id="rId8" o:title=""/>
          </v:shape>
          <o:OLEObject Type="Embed" ProgID="Presentations.Drawing.13" ShapeID="_x0000_i1025" DrawAspect="Content" ObjectID="_1481954261" r:id="rId9"/>
        </w:object>
      </w:r>
    </w:p>
    <w:p w:rsidR="002020AA" w:rsidRPr="002866DC" w:rsidRDefault="002020AA" w:rsidP="002020AA">
      <w:pPr>
        <w:tabs>
          <w:tab w:val="center" w:pos="4680"/>
          <w:tab w:val="right" w:pos="9360"/>
        </w:tabs>
        <w:rPr>
          <w:rFonts w:eastAsiaTheme="minorHAnsi" w:cstheme="minorBidi"/>
          <w:szCs w:val="24"/>
          <w:lang w:eastAsia="en-US"/>
        </w:rPr>
      </w:pPr>
    </w:p>
    <w:p w:rsidR="002020AA" w:rsidRPr="002866DC" w:rsidRDefault="002020AA" w:rsidP="002020AA">
      <w:pPr>
        <w:jc w:val="center"/>
        <w:rPr>
          <w:rFonts w:eastAsiaTheme="minorHAnsi" w:cstheme="minorBidi"/>
          <w:b/>
          <w:szCs w:val="24"/>
          <w:lang w:eastAsia="en-US"/>
        </w:rPr>
      </w:pPr>
      <w:r w:rsidRPr="002866DC">
        <w:rPr>
          <w:rFonts w:eastAsiaTheme="minorHAnsi" w:cstheme="minorBidi"/>
          <w:b/>
          <w:szCs w:val="24"/>
          <w:lang w:eastAsia="en-US"/>
        </w:rPr>
        <w:t>SUPREME COURT OF CANADA</w:t>
      </w:r>
    </w:p>
    <w:p w:rsidR="002020AA" w:rsidRPr="002866DC" w:rsidRDefault="002020AA" w:rsidP="002020AA">
      <w:pPr>
        <w:rPr>
          <w:rFonts w:eastAsiaTheme="minorHAnsi" w:cstheme="minorBidi"/>
          <w:szCs w:val="24"/>
          <w:lang w:eastAsia="en-US"/>
        </w:rPr>
      </w:pPr>
    </w:p>
    <w:tbl>
      <w:tblPr>
        <w:tblStyle w:val="TableGrid2"/>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tblPr>
      <w:tblGrid>
        <w:gridCol w:w="6768"/>
        <w:gridCol w:w="2808"/>
      </w:tblGrid>
      <w:tr w:rsidR="002020AA" w:rsidRPr="002866DC" w:rsidTr="00380C2B">
        <w:trPr>
          <w:cantSplit/>
        </w:trPr>
        <w:tc>
          <w:tcPr>
            <w:tcW w:w="6768" w:type="dxa"/>
          </w:tcPr>
          <w:p w:rsidR="002020AA" w:rsidRPr="002866DC" w:rsidRDefault="002020AA" w:rsidP="00380C2B">
            <w:r w:rsidRPr="002866DC">
              <w:rPr>
                <w:b/>
                <w:smallCaps/>
              </w:rPr>
              <w:t>Citation:</w:t>
            </w:r>
            <w:r w:rsidRPr="002866DC">
              <w:t xml:space="preserve"> Saskatchewan (Human Rights Commission) </w:t>
            </w:r>
            <w:r w:rsidRPr="002866DC">
              <w:rPr>
                <w:i/>
              </w:rPr>
              <w:t>v.</w:t>
            </w:r>
            <w:r w:rsidRPr="002866DC">
              <w:t xml:space="preserve"> </w:t>
            </w:r>
            <w:proofErr w:type="spellStart"/>
            <w:r w:rsidRPr="002866DC">
              <w:t>Whatcott</w:t>
            </w:r>
            <w:proofErr w:type="spellEnd"/>
            <w:r w:rsidRPr="002866DC">
              <w:t>,</w:t>
            </w:r>
          </w:p>
          <w:p w:rsidR="002020AA" w:rsidRPr="00D91FDB" w:rsidRDefault="002020AA" w:rsidP="002020AA">
            <w:pPr>
              <w:spacing w:after="720"/>
              <w:jc w:val="both"/>
            </w:pPr>
            <w:r>
              <w:t>2013 SCC 11, [2013] 1 S.C.R. 467</w:t>
            </w:r>
          </w:p>
          <w:p w:rsidR="002020AA" w:rsidRPr="002866DC" w:rsidRDefault="002020AA" w:rsidP="00380C2B"/>
        </w:tc>
        <w:tc>
          <w:tcPr>
            <w:tcW w:w="2808" w:type="dxa"/>
          </w:tcPr>
          <w:p w:rsidR="002020AA" w:rsidRPr="002866DC" w:rsidRDefault="002020AA" w:rsidP="00380C2B">
            <w:r w:rsidRPr="002866DC">
              <w:rPr>
                <w:b/>
                <w:smallCaps/>
              </w:rPr>
              <w:t>Date:</w:t>
            </w:r>
            <w:r w:rsidRPr="002866DC">
              <w:t xml:space="preserve"> 20130227</w:t>
            </w:r>
          </w:p>
          <w:p w:rsidR="002020AA" w:rsidRPr="002866DC" w:rsidRDefault="002020AA" w:rsidP="00380C2B">
            <w:r w:rsidRPr="002866DC">
              <w:rPr>
                <w:b/>
                <w:smallCaps/>
              </w:rPr>
              <w:t>Docket:</w:t>
            </w:r>
            <w:r w:rsidRPr="002866DC">
              <w:t xml:space="preserve"> 33676</w:t>
            </w:r>
          </w:p>
        </w:tc>
      </w:tr>
    </w:tbl>
    <w:p w:rsidR="002020AA" w:rsidRPr="002866DC" w:rsidRDefault="002020AA" w:rsidP="002020AA">
      <w:pPr>
        <w:rPr>
          <w:rFonts w:eastAsiaTheme="minorHAnsi" w:cstheme="minorBidi"/>
          <w:szCs w:val="24"/>
          <w:lang w:eastAsia="en-US"/>
        </w:rPr>
      </w:pPr>
    </w:p>
    <w:p w:rsidR="002020AA" w:rsidRPr="002866DC" w:rsidRDefault="002020AA" w:rsidP="002020AA">
      <w:pPr>
        <w:rPr>
          <w:rFonts w:eastAsiaTheme="minorHAnsi" w:cstheme="minorBidi"/>
          <w:b/>
          <w:smallCaps/>
          <w:szCs w:val="24"/>
          <w:lang w:eastAsia="en-US"/>
        </w:rPr>
      </w:pPr>
      <w:r w:rsidRPr="002866DC">
        <w:rPr>
          <w:rFonts w:eastAsiaTheme="minorHAnsi" w:cstheme="minorBidi"/>
          <w:b/>
          <w:smallCaps/>
          <w:szCs w:val="24"/>
          <w:lang w:eastAsia="en-US"/>
        </w:rPr>
        <w:t>Between:</w:t>
      </w:r>
    </w:p>
    <w:p w:rsidR="002020AA" w:rsidRPr="002866DC" w:rsidRDefault="002020AA" w:rsidP="002020AA">
      <w:pPr>
        <w:jc w:val="center"/>
        <w:rPr>
          <w:rFonts w:eastAsiaTheme="minorHAnsi" w:cstheme="minorBidi"/>
          <w:b/>
          <w:szCs w:val="24"/>
          <w:lang w:eastAsia="en-US"/>
        </w:rPr>
      </w:pPr>
      <w:r w:rsidRPr="002866DC">
        <w:rPr>
          <w:rFonts w:eastAsiaTheme="minorHAnsi" w:cstheme="minorBidi"/>
          <w:b/>
          <w:szCs w:val="24"/>
          <w:lang w:eastAsia="en-US"/>
        </w:rPr>
        <w:t>Saskatchewan Human Rights Commission</w:t>
      </w:r>
    </w:p>
    <w:p w:rsidR="002020AA" w:rsidRPr="002866DC" w:rsidRDefault="002020AA" w:rsidP="002020AA">
      <w:pPr>
        <w:jc w:val="center"/>
        <w:rPr>
          <w:rFonts w:eastAsiaTheme="minorHAnsi" w:cstheme="minorBidi"/>
          <w:szCs w:val="24"/>
          <w:lang w:eastAsia="en-US"/>
        </w:rPr>
      </w:pPr>
      <w:r w:rsidRPr="002866DC">
        <w:rPr>
          <w:rFonts w:eastAsiaTheme="minorHAnsi" w:cstheme="minorBidi"/>
          <w:szCs w:val="24"/>
          <w:lang w:eastAsia="en-US"/>
        </w:rPr>
        <w:t>Appellant</w:t>
      </w:r>
    </w:p>
    <w:p w:rsidR="002020AA" w:rsidRPr="002866DC" w:rsidRDefault="002020AA" w:rsidP="002020AA">
      <w:pPr>
        <w:jc w:val="center"/>
        <w:rPr>
          <w:rFonts w:eastAsiaTheme="minorHAnsi" w:cstheme="minorBidi"/>
          <w:szCs w:val="24"/>
          <w:lang w:eastAsia="en-US"/>
        </w:rPr>
      </w:pPr>
      <w:proofErr w:type="gramStart"/>
      <w:r w:rsidRPr="002866DC">
        <w:rPr>
          <w:rFonts w:eastAsiaTheme="minorHAnsi" w:cstheme="minorBidi"/>
          <w:szCs w:val="24"/>
          <w:lang w:eastAsia="en-US"/>
        </w:rPr>
        <w:t>and</w:t>
      </w:r>
      <w:proofErr w:type="gramEnd"/>
    </w:p>
    <w:p w:rsidR="002020AA" w:rsidRPr="002866DC" w:rsidRDefault="002020AA" w:rsidP="002020AA">
      <w:pPr>
        <w:jc w:val="center"/>
        <w:rPr>
          <w:rFonts w:eastAsiaTheme="minorHAnsi" w:cstheme="minorBidi"/>
          <w:b/>
          <w:szCs w:val="24"/>
          <w:lang w:eastAsia="en-US"/>
        </w:rPr>
      </w:pPr>
      <w:r w:rsidRPr="002866DC">
        <w:rPr>
          <w:rFonts w:eastAsiaTheme="minorHAnsi" w:cstheme="minorBidi"/>
          <w:b/>
          <w:szCs w:val="24"/>
          <w:lang w:eastAsia="en-US"/>
        </w:rPr>
        <w:t xml:space="preserve">William </w:t>
      </w:r>
      <w:proofErr w:type="spellStart"/>
      <w:r w:rsidRPr="002866DC">
        <w:rPr>
          <w:rFonts w:eastAsiaTheme="minorHAnsi" w:cstheme="minorBidi"/>
          <w:b/>
          <w:szCs w:val="24"/>
          <w:lang w:eastAsia="en-US"/>
        </w:rPr>
        <w:t>Whatcott</w:t>
      </w:r>
      <w:proofErr w:type="spellEnd"/>
    </w:p>
    <w:p w:rsidR="002020AA" w:rsidRPr="002866DC" w:rsidRDefault="002020AA" w:rsidP="002020AA">
      <w:pPr>
        <w:jc w:val="center"/>
        <w:rPr>
          <w:rFonts w:eastAsiaTheme="minorHAnsi" w:cstheme="minorBidi"/>
          <w:szCs w:val="24"/>
          <w:lang w:eastAsia="en-US"/>
        </w:rPr>
      </w:pPr>
      <w:r w:rsidRPr="002866DC">
        <w:rPr>
          <w:rFonts w:eastAsiaTheme="minorHAnsi" w:cstheme="minorBidi"/>
          <w:szCs w:val="24"/>
          <w:lang w:eastAsia="en-US"/>
        </w:rPr>
        <w:t>Respondent</w:t>
      </w:r>
    </w:p>
    <w:p w:rsidR="002020AA" w:rsidRPr="002866DC" w:rsidRDefault="002020AA" w:rsidP="002020AA">
      <w:pPr>
        <w:jc w:val="center"/>
        <w:rPr>
          <w:rFonts w:eastAsiaTheme="minorHAnsi" w:cstheme="minorBidi"/>
          <w:szCs w:val="24"/>
          <w:lang w:eastAsia="en-US"/>
        </w:rPr>
      </w:pPr>
      <w:r w:rsidRPr="002866DC">
        <w:rPr>
          <w:rFonts w:eastAsiaTheme="minorHAnsi" w:cstheme="minorBidi"/>
          <w:szCs w:val="24"/>
          <w:lang w:eastAsia="en-US"/>
        </w:rPr>
        <w:t xml:space="preserve">- </w:t>
      </w:r>
      <w:proofErr w:type="gramStart"/>
      <w:r w:rsidRPr="002866DC">
        <w:rPr>
          <w:rFonts w:eastAsiaTheme="minorHAnsi" w:cstheme="minorBidi"/>
          <w:szCs w:val="24"/>
          <w:lang w:eastAsia="en-US"/>
        </w:rPr>
        <w:t>and</w:t>
      </w:r>
      <w:proofErr w:type="gramEnd"/>
      <w:r w:rsidRPr="002866DC">
        <w:rPr>
          <w:rFonts w:eastAsiaTheme="minorHAnsi" w:cstheme="minorBidi"/>
          <w:szCs w:val="24"/>
          <w:lang w:eastAsia="en-US"/>
        </w:rPr>
        <w:t xml:space="preserve"> -</w:t>
      </w:r>
    </w:p>
    <w:p w:rsidR="002020AA" w:rsidRPr="002866DC" w:rsidRDefault="002020AA" w:rsidP="002020AA">
      <w:pPr>
        <w:jc w:val="center"/>
        <w:rPr>
          <w:rFonts w:eastAsiaTheme="minorHAnsi" w:cstheme="minorBidi"/>
          <w:b/>
          <w:szCs w:val="24"/>
          <w:lang w:eastAsia="en-US"/>
        </w:rPr>
      </w:pPr>
      <w:r w:rsidRPr="002866DC">
        <w:rPr>
          <w:rFonts w:eastAsiaTheme="minorHAnsi" w:cstheme="minorBidi"/>
          <w:b/>
          <w:szCs w:val="24"/>
          <w:lang w:eastAsia="en-US"/>
        </w:rPr>
        <w:t xml:space="preserve">Attorney General for Saskatchewan, Attorney General of Alberta, Canadian Constitution Foundation, Canadian Civil Liberties Association, Canadian Human Rights Commission, Alberta Human Rights Commission, </w:t>
      </w:r>
      <w:proofErr w:type="spellStart"/>
      <w:r w:rsidRPr="002866DC">
        <w:rPr>
          <w:rFonts w:eastAsiaTheme="minorHAnsi" w:cstheme="minorBidi"/>
          <w:b/>
          <w:szCs w:val="24"/>
          <w:lang w:eastAsia="en-US"/>
        </w:rPr>
        <w:t>Egale</w:t>
      </w:r>
      <w:proofErr w:type="spellEnd"/>
      <w:r w:rsidRPr="002866DC">
        <w:rPr>
          <w:rFonts w:eastAsiaTheme="minorHAnsi" w:cstheme="minorBidi"/>
          <w:b/>
          <w:szCs w:val="24"/>
          <w:lang w:eastAsia="en-US"/>
        </w:rPr>
        <w:t xml:space="preserve"> Canada Inc., Ontario Human Rights Commission, Canadian Jewish Congress, Unitarian Congregation of Saskatoon, Canadian Unitarian Council, Women’s Legal Education and Action Fund, Canadian Journalists for Free Expression, Canadian Bar Association, Northwest Territories Human Rights Commission, Yukon Human Rights Commission, Christian Legal Fellowship, League for Human Rights of B’nai </w:t>
      </w:r>
      <w:proofErr w:type="spellStart"/>
      <w:r w:rsidRPr="002866DC">
        <w:rPr>
          <w:rFonts w:eastAsiaTheme="minorHAnsi" w:cstheme="minorBidi"/>
          <w:b/>
          <w:szCs w:val="24"/>
          <w:lang w:eastAsia="en-US"/>
        </w:rPr>
        <w:t>Brith</w:t>
      </w:r>
      <w:proofErr w:type="spellEnd"/>
      <w:r w:rsidRPr="002866DC">
        <w:rPr>
          <w:rFonts w:eastAsiaTheme="minorHAnsi" w:cstheme="minorBidi"/>
          <w:b/>
          <w:szCs w:val="24"/>
          <w:lang w:eastAsia="en-US"/>
        </w:rPr>
        <w:t xml:space="preserve"> Canada, Evangelical Fellowship of Canada, United Church of Canada, Assembly of First Nations, Federation of Saskatchewan Indian Nations, Métis Nation</w:t>
      </w:r>
      <w:r w:rsidRPr="002866DC">
        <w:rPr>
          <w:rFonts w:eastAsiaTheme="minorHAnsi"/>
          <w:b/>
          <w:szCs w:val="24"/>
          <w:lang w:eastAsia="en-US"/>
        </w:rPr>
        <w:t>―</w:t>
      </w:r>
      <w:r w:rsidRPr="002866DC">
        <w:rPr>
          <w:rFonts w:eastAsiaTheme="minorHAnsi" w:cstheme="minorBidi"/>
          <w:b/>
          <w:szCs w:val="24"/>
          <w:lang w:eastAsia="en-US"/>
        </w:rPr>
        <w:t>Saskatchewan, Catholic Civil Rights League, Faith and Freedom Alliance and African Canadian Legal Clinic</w:t>
      </w:r>
    </w:p>
    <w:p w:rsidR="002020AA" w:rsidRPr="002866DC" w:rsidRDefault="002020AA" w:rsidP="002020AA">
      <w:pPr>
        <w:jc w:val="center"/>
        <w:rPr>
          <w:rFonts w:eastAsiaTheme="minorHAnsi" w:cstheme="minorBidi"/>
          <w:szCs w:val="24"/>
          <w:lang w:eastAsia="en-US"/>
        </w:rPr>
      </w:pPr>
      <w:r w:rsidRPr="002866DC">
        <w:rPr>
          <w:rFonts w:eastAsiaTheme="minorHAnsi" w:cstheme="minorBidi"/>
          <w:szCs w:val="24"/>
          <w:lang w:eastAsia="en-US"/>
        </w:rPr>
        <w:t>Interveners</w:t>
      </w:r>
    </w:p>
    <w:p w:rsidR="002020AA" w:rsidRPr="002866DC" w:rsidRDefault="002020AA" w:rsidP="002020AA">
      <w:pPr>
        <w:rPr>
          <w:rFonts w:eastAsiaTheme="minorHAnsi" w:cstheme="minorBidi"/>
          <w:szCs w:val="24"/>
          <w:lang w:eastAsia="en-US"/>
        </w:rPr>
      </w:pPr>
    </w:p>
    <w:p w:rsidR="002020AA" w:rsidRPr="002866DC" w:rsidRDefault="002020AA" w:rsidP="002020AA">
      <w:pPr>
        <w:rPr>
          <w:rFonts w:eastAsiaTheme="minorHAnsi" w:cstheme="minorBidi"/>
          <w:szCs w:val="24"/>
          <w:lang w:eastAsia="en-US"/>
        </w:rPr>
      </w:pPr>
      <w:r w:rsidRPr="002866DC">
        <w:rPr>
          <w:rFonts w:eastAsiaTheme="minorHAnsi" w:cstheme="minorBidi"/>
          <w:b/>
          <w:smallCaps/>
          <w:szCs w:val="24"/>
          <w:lang w:eastAsia="en-US"/>
        </w:rPr>
        <w:t>Coram:</w:t>
      </w:r>
      <w:r w:rsidRPr="002866DC">
        <w:rPr>
          <w:rFonts w:eastAsiaTheme="minorHAnsi" w:cstheme="minorBidi"/>
          <w:szCs w:val="24"/>
          <w:lang w:eastAsia="en-US"/>
        </w:rPr>
        <w:t xml:space="preserve"> McLachlin C.J. and </w:t>
      </w:r>
      <w:proofErr w:type="spellStart"/>
      <w:r w:rsidRPr="002866DC">
        <w:rPr>
          <w:rFonts w:eastAsiaTheme="minorHAnsi" w:cstheme="minorBidi"/>
          <w:szCs w:val="24"/>
          <w:lang w:eastAsia="en-US"/>
        </w:rPr>
        <w:t>LeBel</w:t>
      </w:r>
      <w:proofErr w:type="spellEnd"/>
      <w:r w:rsidRPr="002866DC">
        <w:rPr>
          <w:rFonts w:eastAsiaTheme="minorHAnsi" w:cstheme="minorBidi"/>
          <w:szCs w:val="24"/>
          <w:lang w:eastAsia="en-US"/>
        </w:rPr>
        <w:t xml:space="preserve">, </w:t>
      </w:r>
      <w:proofErr w:type="spellStart"/>
      <w:r w:rsidRPr="002866DC">
        <w:rPr>
          <w:rFonts w:eastAsiaTheme="minorHAnsi" w:cstheme="minorBidi"/>
          <w:szCs w:val="24"/>
          <w:lang w:eastAsia="en-US"/>
        </w:rPr>
        <w:t>Deschamps</w:t>
      </w:r>
      <w:proofErr w:type="spellEnd"/>
      <w:r w:rsidRPr="002866DC">
        <w:rPr>
          <w:rFonts w:eastAsiaTheme="minorHAnsi" w:cstheme="minorBidi"/>
          <w:szCs w:val="24"/>
          <w:lang w:eastAsia="en-US"/>
        </w:rPr>
        <w:t>,</w:t>
      </w:r>
      <w:r w:rsidRPr="002866DC">
        <w:rPr>
          <w:rFonts w:eastAsiaTheme="minorHAnsi" w:cstheme="minorBidi"/>
          <w:szCs w:val="24"/>
          <w:vertAlign w:val="superscript"/>
          <w:lang w:eastAsia="en-US"/>
        </w:rPr>
        <w:footnoteReference w:customMarkFollows="1" w:id="1"/>
        <w:sym w:font="Symbol" w:char="F02A"/>
      </w:r>
      <w:r w:rsidRPr="002866DC">
        <w:rPr>
          <w:rFonts w:eastAsiaTheme="minorHAnsi" w:cstheme="minorBidi"/>
          <w:szCs w:val="24"/>
          <w:lang w:eastAsia="en-US"/>
        </w:rPr>
        <w:t xml:space="preserve"> Fish, </w:t>
      </w:r>
      <w:proofErr w:type="spellStart"/>
      <w:r w:rsidRPr="002866DC">
        <w:rPr>
          <w:rFonts w:eastAsiaTheme="minorHAnsi" w:cstheme="minorBidi"/>
          <w:szCs w:val="24"/>
          <w:lang w:eastAsia="en-US"/>
        </w:rPr>
        <w:t>Abella</w:t>
      </w:r>
      <w:proofErr w:type="spellEnd"/>
      <w:r w:rsidRPr="002866DC">
        <w:rPr>
          <w:rFonts w:eastAsiaTheme="minorHAnsi" w:cstheme="minorBidi"/>
          <w:szCs w:val="24"/>
          <w:lang w:eastAsia="en-US"/>
        </w:rPr>
        <w:t>, Rothstein and Cromwell JJ.</w:t>
      </w:r>
    </w:p>
    <w:p w:rsidR="002020AA" w:rsidRPr="002866DC" w:rsidRDefault="002020AA" w:rsidP="002020AA">
      <w:pPr>
        <w:rPr>
          <w:rFonts w:eastAsiaTheme="minorHAnsi" w:cstheme="minorBidi"/>
          <w:szCs w:val="24"/>
          <w:lang w:eastAsia="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tblPr>
      <w:tblGrid>
        <w:gridCol w:w="3618"/>
        <w:gridCol w:w="5958"/>
      </w:tblGrid>
      <w:tr w:rsidR="002020AA" w:rsidRPr="002866DC" w:rsidTr="00380C2B">
        <w:trPr>
          <w:cantSplit/>
        </w:trPr>
        <w:tc>
          <w:tcPr>
            <w:tcW w:w="3618" w:type="dxa"/>
          </w:tcPr>
          <w:p w:rsidR="002020AA" w:rsidRPr="002866DC" w:rsidRDefault="002020AA" w:rsidP="00380C2B">
            <w:pPr>
              <w:rPr>
                <w:b/>
                <w:smallCaps/>
              </w:rPr>
            </w:pPr>
            <w:r w:rsidRPr="002866DC">
              <w:rPr>
                <w:b/>
                <w:smallCaps/>
              </w:rPr>
              <w:t>Reasons for Judgment:</w:t>
            </w:r>
          </w:p>
          <w:p w:rsidR="002020AA" w:rsidRPr="002866DC" w:rsidRDefault="002020AA" w:rsidP="00380C2B">
            <w:r w:rsidRPr="002866DC">
              <w:t>(</w:t>
            </w:r>
            <w:proofErr w:type="spellStart"/>
            <w:r w:rsidRPr="002866DC">
              <w:t>paras</w:t>
            </w:r>
            <w:proofErr w:type="spellEnd"/>
            <w:r w:rsidRPr="002866DC">
              <w:t>. 1 to 207)</w:t>
            </w:r>
          </w:p>
        </w:tc>
        <w:tc>
          <w:tcPr>
            <w:tcW w:w="5958" w:type="dxa"/>
          </w:tcPr>
          <w:p w:rsidR="002020AA" w:rsidRPr="002866DC" w:rsidRDefault="002020AA" w:rsidP="00380C2B">
            <w:r w:rsidRPr="002866DC">
              <w:t xml:space="preserve">Rothstein J. (McLachlin C.J. and </w:t>
            </w:r>
            <w:proofErr w:type="spellStart"/>
            <w:r w:rsidRPr="002866DC">
              <w:t>LeBel</w:t>
            </w:r>
            <w:proofErr w:type="spellEnd"/>
            <w:r w:rsidRPr="002866DC">
              <w:t xml:space="preserve">, Fish, </w:t>
            </w:r>
            <w:proofErr w:type="spellStart"/>
            <w:r w:rsidRPr="002866DC">
              <w:t>Abella</w:t>
            </w:r>
            <w:proofErr w:type="spellEnd"/>
            <w:r w:rsidRPr="002866DC">
              <w:t xml:space="preserve"> and Cromwell JJ. concurring)</w:t>
            </w:r>
          </w:p>
        </w:tc>
      </w:tr>
    </w:tbl>
    <w:p w:rsidR="002020AA" w:rsidRPr="002866DC" w:rsidRDefault="002020AA" w:rsidP="002020AA">
      <w:pPr>
        <w:rPr>
          <w:rFonts w:eastAsiaTheme="minorHAnsi" w:cstheme="minorBidi"/>
          <w:szCs w:val="24"/>
          <w:lang w:eastAsia="en-US"/>
        </w:rPr>
      </w:pPr>
    </w:p>
    <w:p w:rsidR="002020AA" w:rsidRPr="002866DC" w:rsidRDefault="002020AA" w:rsidP="002020AA">
      <w:pPr>
        <w:rPr>
          <w:rFonts w:eastAsiaTheme="minorHAnsi" w:cstheme="minorBidi"/>
          <w:szCs w:val="24"/>
          <w:lang w:eastAsia="en-US"/>
        </w:rPr>
      </w:pPr>
    </w:p>
    <w:p w:rsidR="002020AA" w:rsidRPr="002866DC" w:rsidRDefault="000B11EF" w:rsidP="002020AA">
      <w:pPr>
        <w:rPr>
          <w:rFonts w:eastAsiaTheme="minorHAnsi" w:cstheme="minorBidi"/>
          <w:szCs w:val="24"/>
          <w:lang w:eastAsia="en-US"/>
        </w:rPr>
      </w:pPr>
      <w:r w:rsidRPr="000B11EF">
        <w:rPr>
          <w:rFonts w:eastAsiaTheme="minorHAnsi" w:cstheme="minorBidi"/>
          <w:noProof/>
          <w:szCs w:val="24"/>
          <w:lang w:eastAsia="en-US"/>
        </w:rPr>
        <w:pict>
          <v:shapetype id="_x0000_t32" coordsize="21600,21600" o:spt="32" o:oned="t" path="m,l21600,21600e" filled="f">
            <v:path arrowok="t" fillok="f" o:connecttype="none"/>
            <o:lock v:ext="edit" shapetype="t"/>
          </v:shapetype>
          <v:shape id="_x0000_s1026" type="#_x0000_t32" style="position:absolute;margin-left:126.75pt;margin-top:14.5pt;width:197.25pt;height:0;z-index:251658240" o:connectortype="straight"/>
        </w:pict>
      </w:r>
    </w:p>
    <w:p w:rsidR="002020AA" w:rsidRDefault="002020AA" w:rsidP="002020AA">
      <w:pPr>
        <w:rPr>
          <w:smallCaps/>
        </w:rPr>
      </w:pPr>
      <w:r>
        <w:rPr>
          <w:smallCaps/>
        </w:rPr>
        <w:br w:type="page"/>
      </w:r>
    </w:p>
    <w:p w:rsidR="008322BD" w:rsidRPr="00D91FDB" w:rsidRDefault="00D91FDB" w:rsidP="000A4ED8">
      <w:pPr>
        <w:spacing w:after="720"/>
        <w:jc w:val="both"/>
      </w:pPr>
      <w:r w:rsidRPr="00D91FDB">
        <w:lastRenderedPageBreak/>
        <w:t xml:space="preserve">Saskatchewan (Human Rights Commission) </w:t>
      </w:r>
      <w:r w:rsidRPr="00D91FDB">
        <w:rPr>
          <w:i/>
        </w:rPr>
        <w:t>v.</w:t>
      </w:r>
      <w:r w:rsidRPr="00D91FDB">
        <w:t xml:space="preserve"> </w:t>
      </w:r>
      <w:proofErr w:type="spellStart"/>
      <w:r w:rsidRPr="00D91FDB">
        <w:t>Whatcott</w:t>
      </w:r>
      <w:proofErr w:type="spellEnd"/>
      <w:r>
        <w:t>, 2013 SCC 11, [2013] 1 S.C.R. 467</w:t>
      </w:r>
    </w:p>
    <w:p w:rsidR="00B83E7B" w:rsidRPr="005D43FE" w:rsidRDefault="00B83E7B" w:rsidP="000A4ED8">
      <w:pPr>
        <w:pStyle w:val="SCCLsocParty"/>
        <w:tabs>
          <w:tab w:val="right" w:pos="8280"/>
        </w:tabs>
        <w:spacing w:after="720"/>
      </w:pPr>
      <w:r w:rsidRPr="005D43FE">
        <w:t>Saskatchewan Human Rights Commission</w:t>
      </w:r>
      <w:r w:rsidRPr="005D43FE">
        <w:tab/>
      </w:r>
      <w:r w:rsidRPr="005D43FE">
        <w:rPr>
          <w:b w:val="0"/>
          <w:i/>
        </w:rPr>
        <w:t>Appellant</w:t>
      </w:r>
    </w:p>
    <w:p w:rsidR="00B83E7B" w:rsidRPr="005D43FE" w:rsidRDefault="00B83E7B" w:rsidP="000A4ED8">
      <w:pPr>
        <w:pStyle w:val="SCCLsocVersus"/>
        <w:spacing w:after="720"/>
      </w:pPr>
      <w:proofErr w:type="gramStart"/>
      <w:r w:rsidRPr="005D43FE">
        <w:t>v</w:t>
      </w:r>
      <w:proofErr w:type="gramEnd"/>
      <w:r w:rsidRPr="005D43FE">
        <w:t>.</w:t>
      </w:r>
      <w:r w:rsidR="00CA6242" w:rsidRPr="005D43FE">
        <w:t xml:space="preserve"> </w:t>
      </w:r>
    </w:p>
    <w:p w:rsidR="00B83E7B" w:rsidRPr="005D43FE" w:rsidRDefault="0037353B" w:rsidP="000A4ED8">
      <w:pPr>
        <w:pStyle w:val="SCCLsocParty"/>
        <w:tabs>
          <w:tab w:val="right" w:pos="8280"/>
        </w:tabs>
        <w:spacing w:after="720"/>
        <w:rPr>
          <w:b w:val="0"/>
        </w:rPr>
      </w:pPr>
      <w:r w:rsidRPr="005D43FE">
        <w:t xml:space="preserve">William </w:t>
      </w:r>
      <w:proofErr w:type="spellStart"/>
      <w:r w:rsidRPr="005D43FE">
        <w:t>Whatcott</w:t>
      </w:r>
      <w:proofErr w:type="spellEnd"/>
      <w:r w:rsidR="00B83E7B" w:rsidRPr="005D43FE">
        <w:tab/>
      </w:r>
      <w:r w:rsidR="00B83E7B" w:rsidRPr="005D43FE">
        <w:rPr>
          <w:b w:val="0"/>
          <w:i/>
        </w:rPr>
        <w:t>Respondent</w:t>
      </w:r>
    </w:p>
    <w:p w:rsidR="00B83E7B" w:rsidRPr="005D43FE" w:rsidRDefault="00B83E7B" w:rsidP="000A4ED8">
      <w:pPr>
        <w:pStyle w:val="SCCLsocOtherPartySeparator"/>
        <w:spacing w:after="720"/>
      </w:pPr>
      <w:proofErr w:type="gramStart"/>
      <w:r w:rsidRPr="005D43FE">
        <w:t>and</w:t>
      </w:r>
      <w:proofErr w:type="gramEnd"/>
    </w:p>
    <w:p w:rsidR="0037353B" w:rsidRPr="005D43FE" w:rsidRDefault="0037353B">
      <w:pPr>
        <w:pStyle w:val="SCCLsocParty"/>
      </w:pPr>
      <w:r w:rsidRPr="005D43FE">
        <w:t>Attorney General for Saskatchewa</w:t>
      </w:r>
      <w:r w:rsidR="00597EAD" w:rsidRPr="005D43FE">
        <w:t>n</w:t>
      </w:r>
      <w:r w:rsidRPr="005D43FE">
        <w:t xml:space="preserve">, </w:t>
      </w:r>
    </w:p>
    <w:p w:rsidR="00304A7B" w:rsidRPr="005D43FE" w:rsidRDefault="00B83E7B">
      <w:pPr>
        <w:pStyle w:val="SCCLsocParty"/>
      </w:pPr>
      <w:r w:rsidRPr="005D43FE">
        <w:t xml:space="preserve">Attorney General of Alberta, </w:t>
      </w:r>
    </w:p>
    <w:p w:rsidR="00304A7B" w:rsidRPr="005D43FE" w:rsidRDefault="00B83E7B">
      <w:pPr>
        <w:pStyle w:val="SCCLsocParty"/>
      </w:pPr>
      <w:r w:rsidRPr="005D43FE">
        <w:t xml:space="preserve">Canadian Constitution Foundation, </w:t>
      </w:r>
    </w:p>
    <w:p w:rsidR="00304A7B" w:rsidRPr="005D43FE" w:rsidRDefault="00B83E7B">
      <w:pPr>
        <w:pStyle w:val="SCCLsocParty"/>
      </w:pPr>
      <w:r w:rsidRPr="005D43FE">
        <w:t xml:space="preserve">Canadian Civil Liberties Association, </w:t>
      </w:r>
    </w:p>
    <w:p w:rsidR="00304A7B" w:rsidRPr="005D43FE" w:rsidRDefault="00B83E7B">
      <w:pPr>
        <w:pStyle w:val="SCCLsocParty"/>
      </w:pPr>
      <w:r w:rsidRPr="005D43FE">
        <w:t xml:space="preserve">Canadian Human Rights Commission, </w:t>
      </w:r>
    </w:p>
    <w:p w:rsidR="00304A7B" w:rsidRPr="005D43FE" w:rsidRDefault="00B83E7B">
      <w:pPr>
        <w:pStyle w:val="SCCLsocParty"/>
      </w:pPr>
      <w:r w:rsidRPr="005D43FE">
        <w:t xml:space="preserve">Alberta Human Rights Commission, </w:t>
      </w:r>
    </w:p>
    <w:p w:rsidR="00304A7B" w:rsidRPr="005D43FE" w:rsidRDefault="00B83E7B">
      <w:pPr>
        <w:pStyle w:val="SCCLsocParty"/>
      </w:pPr>
      <w:proofErr w:type="spellStart"/>
      <w:r w:rsidRPr="005D43FE">
        <w:t>Egale</w:t>
      </w:r>
      <w:proofErr w:type="spellEnd"/>
      <w:r w:rsidRPr="005D43FE">
        <w:t xml:space="preserve"> Canada Inc., </w:t>
      </w:r>
    </w:p>
    <w:p w:rsidR="00304A7B" w:rsidRPr="005D43FE" w:rsidRDefault="00B83E7B">
      <w:pPr>
        <w:pStyle w:val="SCCLsocParty"/>
      </w:pPr>
      <w:r w:rsidRPr="005D43FE">
        <w:t xml:space="preserve">Ontario Human Rights Commission, </w:t>
      </w:r>
    </w:p>
    <w:p w:rsidR="00304A7B" w:rsidRPr="005D43FE" w:rsidRDefault="00B83E7B">
      <w:pPr>
        <w:pStyle w:val="SCCLsocParty"/>
      </w:pPr>
      <w:r w:rsidRPr="005D43FE">
        <w:t xml:space="preserve">Canadian Jewish Congress, </w:t>
      </w:r>
    </w:p>
    <w:p w:rsidR="00445AC6" w:rsidRPr="005D43FE" w:rsidRDefault="00B83E7B">
      <w:pPr>
        <w:pStyle w:val="SCCLsocParty"/>
      </w:pPr>
      <w:r w:rsidRPr="005D43FE">
        <w:t>Unitaria</w:t>
      </w:r>
      <w:r w:rsidR="00C63552" w:rsidRPr="005D43FE">
        <w:t xml:space="preserve">n Congregation of Saskatoon, </w:t>
      </w:r>
    </w:p>
    <w:p w:rsidR="00304A7B" w:rsidRPr="005D43FE" w:rsidRDefault="00B83E7B">
      <w:pPr>
        <w:pStyle w:val="SCCLsocParty"/>
      </w:pPr>
      <w:r w:rsidRPr="005D43FE">
        <w:t xml:space="preserve">Canadian Unitarian Council, </w:t>
      </w:r>
    </w:p>
    <w:p w:rsidR="00304A7B" w:rsidRPr="005D43FE" w:rsidRDefault="00B83E7B">
      <w:pPr>
        <w:pStyle w:val="SCCLsocParty"/>
      </w:pPr>
      <w:r w:rsidRPr="005D43FE">
        <w:t>Women</w:t>
      </w:r>
      <w:r w:rsidR="000E1D1E" w:rsidRPr="005D43FE">
        <w:t>’</w:t>
      </w:r>
      <w:r w:rsidRPr="005D43FE">
        <w:t xml:space="preserve">s Legal Education and Action Fund, </w:t>
      </w:r>
    </w:p>
    <w:p w:rsidR="00304A7B" w:rsidRPr="005D43FE" w:rsidRDefault="00B83E7B">
      <w:pPr>
        <w:pStyle w:val="SCCLsocParty"/>
      </w:pPr>
      <w:r w:rsidRPr="005D43FE">
        <w:t xml:space="preserve">Canadian Journalists for Free Expression, </w:t>
      </w:r>
    </w:p>
    <w:p w:rsidR="00304A7B" w:rsidRPr="005D43FE" w:rsidRDefault="00B83E7B">
      <w:pPr>
        <w:pStyle w:val="SCCLsocParty"/>
      </w:pPr>
      <w:r w:rsidRPr="005D43FE">
        <w:t xml:space="preserve">Canadian Bar Association, </w:t>
      </w:r>
    </w:p>
    <w:p w:rsidR="00C63552" w:rsidRPr="005D43FE" w:rsidRDefault="00B83E7B">
      <w:pPr>
        <w:pStyle w:val="SCCLsocParty"/>
      </w:pPr>
      <w:r w:rsidRPr="005D43FE">
        <w:t>Northwest Territo</w:t>
      </w:r>
      <w:r w:rsidR="00C63552" w:rsidRPr="005D43FE">
        <w:t>ries Human Rights Commission,</w:t>
      </w:r>
    </w:p>
    <w:p w:rsidR="00304A7B" w:rsidRPr="005D43FE" w:rsidRDefault="00B83E7B">
      <w:pPr>
        <w:pStyle w:val="SCCLsocParty"/>
      </w:pPr>
      <w:r w:rsidRPr="005D43FE">
        <w:t xml:space="preserve">Yukon Human Rights Commission, </w:t>
      </w:r>
    </w:p>
    <w:p w:rsidR="00304A7B" w:rsidRPr="005D43FE" w:rsidRDefault="00B83E7B">
      <w:pPr>
        <w:pStyle w:val="SCCLsocParty"/>
      </w:pPr>
      <w:r w:rsidRPr="005D43FE">
        <w:t xml:space="preserve">Christian Legal Fellowship, </w:t>
      </w:r>
    </w:p>
    <w:p w:rsidR="00304A7B" w:rsidRPr="005D43FE" w:rsidRDefault="00B83E7B">
      <w:pPr>
        <w:pStyle w:val="SCCLsocParty"/>
      </w:pPr>
      <w:r w:rsidRPr="005D43FE">
        <w:t>League for Human Rights of B</w:t>
      </w:r>
      <w:r w:rsidR="000E1D1E" w:rsidRPr="005D43FE">
        <w:t>’</w:t>
      </w:r>
      <w:r w:rsidRPr="005D43FE">
        <w:t xml:space="preserve">nai </w:t>
      </w:r>
      <w:proofErr w:type="spellStart"/>
      <w:r w:rsidRPr="005D43FE">
        <w:t>Brith</w:t>
      </w:r>
      <w:proofErr w:type="spellEnd"/>
      <w:r w:rsidRPr="005D43FE">
        <w:t xml:space="preserve"> Canada, </w:t>
      </w:r>
    </w:p>
    <w:p w:rsidR="00304A7B" w:rsidRPr="005D43FE" w:rsidRDefault="00B83E7B">
      <w:pPr>
        <w:pStyle w:val="SCCLsocParty"/>
      </w:pPr>
      <w:r w:rsidRPr="005D43FE">
        <w:t xml:space="preserve">Evangelical Fellowship of Canada, </w:t>
      </w:r>
    </w:p>
    <w:p w:rsidR="00304A7B" w:rsidRPr="005D43FE" w:rsidRDefault="00B83E7B">
      <w:pPr>
        <w:pStyle w:val="SCCLsocParty"/>
      </w:pPr>
      <w:r w:rsidRPr="005D43FE">
        <w:t xml:space="preserve">United Church of Canada, </w:t>
      </w:r>
    </w:p>
    <w:p w:rsidR="00C63552" w:rsidRPr="005D43FE" w:rsidRDefault="00B83E7B">
      <w:pPr>
        <w:pStyle w:val="SCCLsocParty"/>
      </w:pPr>
      <w:r w:rsidRPr="005D43FE">
        <w:t xml:space="preserve">Assembly of First Nations, </w:t>
      </w:r>
    </w:p>
    <w:p w:rsidR="008B0156" w:rsidRPr="005D43FE" w:rsidRDefault="00B83E7B">
      <w:pPr>
        <w:pStyle w:val="SCCLsocParty"/>
      </w:pPr>
      <w:r w:rsidRPr="005D43FE">
        <w:t>Federation of Saskatchewan Indian Nations</w:t>
      </w:r>
      <w:r w:rsidR="00C63552" w:rsidRPr="005D43FE">
        <w:t>,</w:t>
      </w:r>
      <w:r w:rsidRPr="005D43FE">
        <w:t xml:space="preserve"> </w:t>
      </w:r>
    </w:p>
    <w:p w:rsidR="00304A7B" w:rsidRPr="005D43FE" w:rsidRDefault="00B83E7B">
      <w:pPr>
        <w:pStyle w:val="SCCLsocParty"/>
      </w:pPr>
      <w:r w:rsidRPr="005D43FE">
        <w:t>Métis Nation</w:t>
      </w:r>
      <w:r w:rsidR="00AE6107">
        <w:t xml:space="preserve"> — </w:t>
      </w:r>
      <w:r w:rsidRPr="005D43FE">
        <w:t xml:space="preserve">Saskatchewan, </w:t>
      </w:r>
    </w:p>
    <w:p w:rsidR="00C63552" w:rsidRPr="005D43FE" w:rsidRDefault="00C63552">
      <w:pPr>
        <w:pStyle w:val="SCCLsocParty"/>
      </w:pPr>
      <w:r w:rsidRPr="005D43FE">
        <w:t xml:space="preserve">Catholic Civil Rights League, </w:t>
      </w:r>
    </w:p>
    <w:p w:rsidR="00304A7B" w:rsidRPr="005D43FE" w:rsidRDefault="00C63552">
      <w:pPr>
        <w:pStyle w:val="SCCLsocParty"/>
      </w:pPr>
      <w:r w:rsidRPr="005D43FE">
        <w:t>Faith and Freedom Alliance and</w:t>
      </w:r>
      <w:r w:rsidR="008418B9" w:rsidRPr="005D43FE">
        <w:t xml:space="preserve"> </w:t>
      </w:r>
    </w:p>
    <w:p w:rsidR="00304A7B" w:rsidRPr="005D43FE" w:rsidRDefault="00B83E7B" w:rsidP="000A4ED8">
      <w:pPr>
        <w:pStyle w:val="SCCLsocParty"/>
        <w:tabs>
          <w:tab w:val="right" w:pos="8280"/>
        </w:tabs>
        <w:spacing w:after="720"/>
      </w:pPr>
      <w:r w:rsidRPr="005D43FE">
        <w:t>African Canadian Legal Clinic</w:t>
      </w:r>
      <w:r w:rsidR="00C63552" w:rsidRPr="005D43FE">
        <w:tab/>
      </w:r>
      <w:r w:rsidR="00C63552" w:rsidRPr="005D43FE">
        <w:rPr>
          <w:b w:val="0"/>
          <w:i/>
        </w:rPr>
        <w:t>Interveners</w:t>
      </w:r>
    </w:p>
    <w:p w:rsidR="00426659" w:rsidRPr="005D43FE" w:rsidRDefault="00426659" w:rsidP="00815782">
      <w:pPr>
        <w:spacing w:after="720"/>
        <w:jc w:val="both"/>
        <w:rPr>
          <w:b/>
        </w:rPr>
      </w:pPr>
      <w:r w:rsidRPr="005D43FE">
        <w:rPr>
          <w:b/>
        </w:rPr>
        <w:lastRenderedPageBreak/>
        <w:t xml:space="preserve">Indexed as:  Saskatchewan </w:t>
      </w:r>
      <w:r w:rsidR="00B72A33" w:rsidRPr="005D43FE">
        <w:rPr>
          <w:b/>
        </w:rPr>
        <w:t>(</w:t>
      </w:r>
      <w:r w:rsidRPr="005D43FE">
        <w:rPr>
          <w:b/>
        </w:rPr>
        <w:t>Human Rights Commission</w:t>
      </w:r>
      <w:r w:rsidR="00B72A33" w:rsidRPr="005D43FE">
        <w:rPr>
          <w:b/>
        </w:rPr>
        <w:t>)</w:t>
      </w:r>
      <w:r w:rsidRPr="005D43FE">
        <w:rPr>
          <w:b/>
        </w:rPr>
        <w:t xml:space="preserve"> </w:t>
      </w:r>
      <w:r w:rsidRPr="005D43FE">
        <w:rPr>
          <w:b/>
          <w:i/>
        </w:rPr>
        <w:t>v.</w:t>
      </w:r>
      <w:r w:rsidRPr="005D43FE">
        <w:rPr>
          <w:b/>
        </w:rPr>
        <w:t xml:space="preserve"> </w:t>
      </w:r>
      <w:proofErr w:type="spellStart"/>
      <w:r w:rsidRPr="005D43FE">
        <w:rPr>
          <w:b/>
        </w:rPr>
        <w:t>Whatcott</w:t>
      </w:r>
      <w:proofErr w:type="spellEnd"/>
    </w:p>
    <w:p w:rsidR="00426659" w:rsidRPr="005D43FE" w:rsidRDefault="004734C9" w:rsidP="00815782">
      <w:pPr>
        <w:pStyle w:val="SCCSystemYear"/>
        <w:spacing w:after="720"/>
        <w:jc w:val="both"/>
      </w:pPr>
      <w:r w:rsidRPr="005D43FE">
        <w:t>2013</w:t>
      </w:r>
      <w:r w:rsidR="003D0399" w:rsidRPr="005D43FE">
        <w:t xml:space="preserve"> </w:t>
      </w:r>
      <w:r w:rsidR="00A30EF3" w:rsidRPr="005D43FE">
        <w:t>SCC 11</w:t>
      </w:r>
    </w:p>
    <w:p w:rsidR="008322BD" w:rsidRPr="005D43FE" w:rsidRDefault="009B57B3" w:rsidP="00815782">
      <w:pPr>
        <w:spacing w:after="720"/>
        <w:jc w:val="both"/>
      </w:pPr>
      <w:r w:rsidRPr="005D43FE">
        <w:t>File No.:  33676.</w:t>
      </w:r>
    </w:p>
    <w:p w:rsidR="008322BD" w:rsidRPr="005D43FE" w:rsidRDefault="00815782" w:rsidP="00815782">
      <w:pPr>
        <w:spacing w:after="720"/>
        <w:jc w:val="both"/>
      </w:pPr>
      <w:r w:rsidRPr="005D43FE">
        <w:t>2011:  </w:t>
      </w:r>
      <w:r w:rsidR="00566AD1" w:rsidRPr="005D43FE">
        <w:t>October</w:t>
      </w:r>
      <w:r w:rsidRPr="005D43FE">
        <w:t> </w:t>
      </w:r>
      <w:r w:rsidR="00566AD1" w:rsidRPr="005D43FE">
        <w:t>12</w:t>
      </w:r>
      <w:r w:rsidR="009B57B3" w:rsidRPr="005D43FE">
        <w:t xml:space="preserve">; </w:t>
      </w:r>
      <w:r w:rsidR="004734C9" w:rsidRPr="005D43FE">
        <w:t>2013</w:t>
      </w:r>
      <w:r w:rsidRPr="005D43FE">
        <w:t>:  February </w:t>
      </w:r>
      <w:r w:rsidR="0016014E" w:rsidRPr="005D43FE">
        <w:t>27</w:t>
      </w:r>
      <w:r w:rsidR="009B57B3" w:rsidRPr="005D43FE">
        <w:t>.</w:t>
      </w:r>
    </w:p>
    <w:p w:rsidR="008322BD" w:rsidRPr="005D43FE" w:rsidRDefault="009B57B3" w:rsidP="000A4ED8">
      <w:pPr>
        <w:spacing w:after="720"/>
        <w:jc w:val="both"/>
      </w:pPr>
      <w:r w:rsidRPr="005D43FE">
        <w:t xml:space="preserve">Present:  McLachlin C.J. and </w:t>
      </w:r>
      <w:proofErr w:type="spellStart"/>
      <w:r w:rsidRPr="005D43FE">
        <w:t>LeBel</w:t>
      </w:r>
      <w:proofErr w:type="spellEnd"/>
      <w:r w:rsidRPr="005D43FE">
        <w:t xml:space="preserve">, </w:t>
      </w:r>
      <w:proofErr w:type="spellStart"/>
      <w:r w:rsidRPr="005D43FE">
        <w:t>Deschamps</w:t>
      </w:r>
      <w:proofErr w:type="spellEnd"/>
      <w:r w:rsidRPr="005D43FE">
        <w:t>,</w:t>
      </w:r>
      <w:r w:rsidR="00C3509C" w:rsidRPr="005D43FE">
        <w:rPr>
          <w:rStyle w:val="FootnoteReference"/>
        </w:rPr>
        <w:footnoteReference w:customMarkFollows="1" w:id="2"/>
        <w:sym w:font="Symbol" w:char="F02A"/>
      </w:r>
      <w:r w:rsidRPr="005D43FE">
        <w:t xml:space="preserve"> Fish, </w:t>
      </w:r>
      <w:proofErr w:type="spellStart"/>
      <w:r w:rsidRPr="005D43FE">
        <w:t>Abella</w:t>
      </w:r>
      <w:proofErr w:type="spellEnd"/>
      <w:r w:rsidRPr="005D43FE">
        <w:t>, Rothstein and Cromwell JJ.</w:t>
      </w:r>
    </w:p>
    <w:p w:rsidR="008322BD" w:rsidRPr="005D43FE" w:rsidRDefault="00656313" w:rsidP="000A4ED8">
      <w:pPr>
        <w:pStyle w:val="SCCLowerCourtNameLowercase"/>
        <w:spacing w:after="720" w:line="240" w:lineRule="auto"/>
      </w:pPr>
      <w:r w:rsidRPr="005D43FE">
        <w:t>o</w:t>
      </w:r>
      <w:r w:rsidR="00170592" w:rsidRPr="005D43FE">
        <w:t>n</w:t>
      </w:r>
      <w:r w:rsidR="00224FC0" w:rsidRPr="005D43FE">
        <w:t xml:space="preserve"> </w:t>
      </w:r>
      <w:r w:rsidRPr="005D43FE">
        <w:t>a</w:t>
      </w:r>
      <w:r w:rsidR="00170592" w:rsidRPr="005D43FE">
        <w:t>ppeal</w:t>
      </w:r>
      <w:r w:rsidR="00224FC0" w:rsidRPr="005D43FE">
        <w:t xml:space="preserve"> </w:t>
      </w:r>
      <w:r w:rsidR="00170592" w:rsidRPr="005D43FE">
        <w:t>from</w:t>
      </w:r>
      <w:r w:rsidR="009567AA" w:rsidRPr="005D43FE">
        <w:t xml:space="preserve"> the</w:t>
      </w:r>
      <w:r w:rsidR="00224FC0" w:rsidRPr="005D43FE">
        <w:t xml:space="preserve"> </w:t>
      </w:r>
      <w:r w:rsidR="009B57B3" w:rsidRPr="005D43FE">
        <w:t xml:space="preserve">court of appeal for </w:t>
      </w:r>
      <w:proofErr w:type="spellStart"/>
      <w:r w:rsidR="009B57B3" w:rsidRPr="005D43FE">
        <w:t>saskatchewan</w:t>
      </w:r>
      <w:proofErr w:type="spellEnd"/>
    </w:p>
    <w:p w:rsidR="0091466D" w:rsidRPr="005D43FE" w:rsidRDefault="009B57B3" w:rsidP="000A4ED8">
      <w:pPr>
        <w:pStyle w:val="SCCNormalDoubleSpacing"/>
        <w:spacing w:before="480" w:after="480"/>
        <w:rPr>
          <w:i/>
        </w:rPr>
      </w:pPr>
      <w:r w:rsidRPr="005D43FE">
        <w:tab/>
      </w:r>
      <w:r w:rsidR="0091466D" w:rsidRPr="005D43FE">
        <w:rPr>
          <w:i/>
        </w:rPr>
        <w:t xml:space="preserve">Constitutional law </w:t>
      </w:r>
      <w:r w:rsidR="000A4ED8" w:rsidRPr="005D43FE">
        <w:rPr>
          <w:i/>
        </w:rPr>
        <w:t>—</w:t>
      </w:r>
      <w:r w:rsidR="0091466D" w:rsidRPr="005D43FE">
        <w:rPr>
          <w:i/>
        </w:rPr>
        <w:t xml:space="preserve"> Charter of Rights </w:t>
      </w:r>
      <w:r w:rsidR="000A4ED8" w:rsidRPr="005D43FE">
        <w:rPr>
          <w:i/>
        </w:rPr>
        <w:t>—</w:t>
      </w:r>
      <w:r w:rsidR="0091466D" w:rsidRPr="005D43FE">
        <w:rPr>
          <w:i/>
        </w:rPr>
        <w:t xml:space="preserve"> Freedom of religion </w:t>
      </w:r>
      <w:r w:rsidR="000A4ED8" w:rsidRPr="005D43FE">
        <w:rPr>
          <w:i/>
        </w:rPr>
        <w:t>—</w:t>
      </w:r>
      <w:r w:rsidR="0091466D" w:rsidRPr="005D43FE">
        <w:rPr>
          <w:i/>
        </w:rPr>
        <w:t xml:space="preserve"> Hate publications </w:t>
      </w:r>
      <w:r w:rsidR="000A4ED8" w:rsidRPr="005D43FE">
        <w:rPr>
          <w:i/>
        </w:rPr>
        <w:t>—</w:t>
      </w:r>
      <w:r w:rsidR="0091466D" w:rsidRPr="005D43FE">
        <w:rPr>
          <w:i/>
        </w:rPr>
        <w:t xml:space="preserve"> Whether provincial human rights legislation prohibiting publications that expose or tend to expose to hatred, ridicule, belittle or otherwise affront dignity of persons on basis of prohibited ground infringes guaranteed freedom of religion </w:t>
      </w:r>
      <w:r w:rsidR="000A4ED8" w:rsidRPr="005D43FE">
        <w:rPr>
          <w:i/>
        </w:rPr>
        <w:t>—</w:t>
      </w:r>
      <w:r w:rsidR="0091466D" w:rsidRPr="005D43FE">
        <w:rPr>
          <w:i/>
        </w:rPr>
        <w:t xml:space="preserve"> If so, whether infringement justified </w:t>
      </w:r>
      <w:r w:rsidR="000A4ED8" w:rsidRPr="005D43FE">
        <w:rPr>
          <w:i/>
        </w:rPr>
        <w:t>—</w:t>
      </w:r>
      <w:r w:rsidR="0091466D" w:rsidRPr="005D43FE">
        <w:rPr>
          <w:i/>
        </w:rPr>
        <w:t xml:space="preserve"> Saskatchewan Human Rights</w:t>
      </w:r>
      <w:r w:rsidR="000A4ED8" w:rsidRPr="005D43FE">
        <w:rPr>
          <w:i/>
        </w:rPr>
        <w:t xml:space="preserve"> Code, S.S. 1979, c. S</w:t>
      </w:r>
      <w:r w:rsidR="00A9480F" w:rsidRPr="005D43FE">
        <w:rPr>
          <w:i/>
        </w:rPr>
        <w:noBreakHyphen/>
      </w:r>
      <w:r w:rsidR="000A4ED8" w:rsidRPr="005D43FE">
        <w:rPr>
          <w:i/>
        </w:rPr>
        <w:t>24.1, s. </w:t>
      </w:r>
      <w:r w:rsidR="0091466D" w:rsidRPr="005D43FE">
        <w:rPr>
          <w:i/>
        </w:rPr>
        <w:t xml:space="preserve">14(1)(b) </w:t>
      </w:r>
      <w:r w:rsidR="000A4ED8" w:rsidRPr="005D43FE">
        <w:rPr>
          <w:i/>
        </w:rPr>
        <w:t>—</w:t>
      </w:r>
      <w:r w:rsidR="0091466D" w:rsidRPr="005D43FE">
        <w:rPr>
          <w:i/>
        </w:rPr>
        <w:t xml:space="preserve"> Canadian Char</w:t>
      </w:r>
      <w:r w:rsidR="000A4ED8" w:rsidRPr="005D43FE">
        <w:rPr>
          <w:i/>
        </w:rPr>
        <w:t xml:space="preserve">ter of Rights and Freedoms, </w:t>
      </w:r>
      <w:r w:rsidR="00A9480F" w:rsidRPr="005D43FE">
        <w:rPr>
          <w:i/>
        </w:rPr>
        <w:t>ss. </w:t>
      </w:r>
      <w:r w:rsidR="0091466D" w:rsidRPr="005D43FE">
        <w:rPr>
          <w:i/>
        </w:rPr>
        <w:t>1, 2(a).</w:t>
      </w:r>
    </w:p>
    <w:p w:rsidR="0091466D" w:rsidRPr="005D43FE" w:rsidRDefault="0091466D" w:rsidP="000A4ED8">
      <w:pPr>
        <w:pStyle w:val="SCCNormalDoubleSpacing"/>
        <w:spacing w:before="480" w:after="480"/>
        <w:rPr>
          <w:i/>
        </w:rPr>
      </w:pPr>
      <w:r w:rsidRPr="005D43FE">
        <w:rPr>
          <w:i/>
        </w:rPr>
        <w:tab/>
        <w:t xml:space="preserve">Constitutional law </w:t>
      </w:r>
      <w:r w:rsidR="000A4ED8" w:rsidRPr="005D43FE">
        <w:rPr>
          <w:i/>
        </w:rPr>
        <w:t>—</w:t>
      </w:r>
      <w:r w:rsidRPr="005D43FE">
        <w:rPr>
          <w:i/>
        </w:rPr>
        <w:t xml:space="preserve"> Charter of Rights </w:t>
      </w:r>
      <w:r w:rsidR="000A4ED8" w:rsidRPr="005D43FE">
        <w:rPr>
          <w:i/>
        </w:rPr>
        <w:t>—</w:t>
      </w:r>
      <w:r w:rsidRPr="005D43FE">
        <w:rPr>
          <w:i/>
        </w:rPr>
        <w:t xml:space="preserve"> Freedom of expression </w:t>
      </w:r>
      <w:r w:rsidR="000A4ED8" w:rsidRPr="005D43FE">
        <w:rPr>
          <w:i/>
        </w:rPr>
        <w:t>—</w:t>
      </w:r>
      <w:r w:rsidRPr="005D43FE">
        <w:rPr>
          <w:i/>
        </w:rPr>
        <w:t xml:space="preserve"> Hate publications </w:t>
      </w:r>
      <w:r w:rsidR="000A4ED8" w:rsidRPr="005D43FE">
        <w:rPr>
          <w:i/>
        </w:rPr>
        <w:t>—</w:t>
      </w:r>
      <w:r w:rsidRPr="005D43FE">
        <w:rPr>
          <w:i/>
        </w:rPr>
        <w:t xml:space="preserve"> Whether provincial human rights legislation prohibiting publications that expose or tend to expose to hatred, ridicule, belittle or otherwise affront dignity of persons on basis of prohibited ground infringes guaranteed freedom of expression </w:t>
      </w:r>
      <w:r w:rsidR="000A4ED8" w:rsidRPr="005D43FE">
        <w:rPr>
          <w:i/>
        </w:rPr>
        <w:t>—</w:t>
      </w:r>
      <w:r w:rsidRPr="005D43FE">
        <w:rPr>
          <w:i/>
        </w:rPr>
        <w:t xml:space="preserve"> If so, whether infringement justified </w:t>
      </w:r>
      <w:r w:rsidR="000A4ED8" w:rsidRPr="005D43FE">
        <w:rPr>
          <w:i/>
        </w:rPr>
        <w:t>—</w:t>
      </w:r>
      <w:r w:rsidRPr="005D43FE">
        <w:rPr>
          <w:i/>
        </w:rPr>
        <w:t xml:space="preserve"> Saskatchewan Human Rights Code, S.S. 1979, c. S</w:t>
      </w:r>
      <w:r w:rsidR="00A9480F" w:rsidRPr="005D43FE">
        <w:rPr>
          <w:i/>
        </w:rPr>
        <w:noBreakHyphen/>
      </w:r>
      <w:r w:rsidRPr="005D43FE">
        <w:rPr>
          <w:i/>
        </w:rPr>
        <w:t xml:space="preserve">24.1, s. 14(1)(b) </w:t>
      </w:r>
      <w:r w:rsidR="000A4ED8" w:rsidRPr="005D43FE">
        <w:rPr>
          <w:i/>
        </w:rPr>
        <w:t>—</w:t>
      </w:r>
      <w:r w:rsidRPr="005D43FE">
        <w:rPr>
          <w:i/>
        </w:rPr>
        <w:t xml:space="preserve"> Canadian Charter of Rights and Freedoms, </w:t>
      </w:r>
      <w:r w:rsidR="00A9480F" w:rsidRPr="005D43FE">
        <w:rPr>
          <w:i/>
        </w:rPr>
        <w:t>ss. </w:t>
      </w:r>
      <w:r w:rsidRPr="005D43FE">
        <w:rPr>
          <w:i/>
        </w:rPr>
        <w:t>1, 2(b).</w:t>
      </w:r>
    </w:p>
    <w:p w:rsidR="0091466D" w:rsidRPr="005D43FE" w:rsidRDefault="0091466D" w:rsidP="000A4ED8">
      <w:pPr>
        <w:pStyle w:val="SCCNormalDoubleSpacing"/>
        <w:spacing w:before="480" w:after="480"/>
        <w:rPr>
          <w:i/>
        </w:rPr>
      </w:pPr>
      <w:r w:rsidRPr="005D43FE">
        <w:rPr>
          <w:i/>
        </w:rPr>
        <w:tab/>
        <w:t xml:space="preserve">Administrative law </w:t>
      </w:r>
      <w:r w:rsidR="000A4ED8" w:rsidRPr="005D43FE">
        <w:rPr>
          <w:i/>
        </w:rPr>
        <w:t>—</w:t>
      </w:r>
      <w:r w:rsidRPr="005D43FE">
        <w:rPr>
          <w:i/>
        </w:rPr>
        <w:t xml:space="preserve"> Appeals </w:t>
      </w:r>
      <w:r w:rsidR="000A4ED8" w:rsidRPr="005D43FE">
        <w:rPr>
          <w:i/>
        </w:rPr>
        <w:t>—</w:t>
      </w:r>
      <w:r w:rsidRPr="005D43FE">
        <w:rPr>
          <w:i/>
        </w:rPr>
        <w:t xml:space="preserve"> Standard of review </w:t>
      </w:r>
      <w:r w:rsidR="000A4ED8" w:rsidRPr="005D43FE">
        <w:rPr>
          <w:i/>
        </w:rPr>
        <w:t>—</w:t>
      </w:r>
      <w:r w:rsidRPr="005D43FE">
        <w:rPr>
          <w:i/>
        </w:rPr>
        <w:t xml:space="preserve"> Human rights tribunal finding that hate publications infringe provincial human rights legislation and that provincial human rights legislation prohibiting hate publications is constitutional </w:t>
      </w:r>
      <w:r w:rsidR="000A4ED8" w:rsidRPr="005D43FE">
        <w:rPr>
          <w:i/>
        </w:rPr>
        <w:t>—</w:t>
      </w:r>
      <w:r w:rsidRPr="005D43FE">
        <w:rPr>
          <w:i/>
        </w:rPr>
        <w:t xml:space="preserve"> Whether decision reviewable on standard of correctness or reasonableness </w:t>
      </w:r>
      <w:r w:rsidR="000A4ED8" w:rsidRPr="005D43FE">
        <w:rPr>
          <w:i/>
        </w:rPr>
        <w:t>—</w:t>
      </w:r>
      <w:r w:rsidRPr="005D43FE">
        <w:rPr>
          <w:i/>
        </w:rPr>
        <w:t xml:space="preserve"> Whether tribunal made reviewable error. </w:t>
      </w:r>
    </w:p>
    <w:p w:rsidR="0091466D" w:rsidRPr="005D43FE" w:rsidRDefault="0091466D" w:rsidP="000A4ED8">
      <w:pPr>
        <w:pStyle w:val="SCCNormalDoubleSpacing"/>
        <w:spacing w:before="480" w:after="480"/>
      </w:pPr>
      <w:r w:rsidRPr="005D43FE">
        <w:rPr>
          <w:i/>
        </w:rPr>
        <w:tab/>
      </w:r>
      <w:r w:rsidRPr="005D43FE">
        <w:t>Four complaints were filed with the Saskatchewan Human Rights Commission concerning four flyers published and distributed by W</w:t>
      </w:r>
      <w:r w:rsidR="00381AAB" w:rsidRPr="005D43FE">
        <w:t xml:space="preserve">.  </w:t>
      </w:r>
      <w:r w:rsidR="008F6F08" w:rsidRPr="005D43FE">
        <w:t xml:space="preserve">The complainants </w:t>
      </w:r>
      <w:r w:rsidRPr="005D43FE">
        <w:t>alleged that the</w:t>
      </w:r>
      <w:r w:rsidR="008F6F08" w:rsidRPr="005D43FE">
        <w:t xml:space="preserve"> flyers </w:t>
      </w:r>
      <w:r w:rsidRPr="005D43FE">
        <w:t xml:space="preserve">promoted hatred against individuals </w:t>
      </w:r>
      <w:r w:rsidR="008F6F08" w:rsidRPr="005D43FE">
        <w:t xml:space="preserve">on the basis </w:t>
      </w:r>
      <w:r w:rsidRPr="005D43FE">
        <w:t>of their sexual orientation</w:t>
      </w:r>
      <w:r w:rsidR="00381AAB" w:rsidRPr="005D43FE">
        <w:t xml:space="preserve">.  </w:t>
      </w:r>
      <w:r w:rsidRPr="005D43FE">
        <w:t>Th</w:t>
      </w:r>
      <w:r w:rsidR="008F6F08" w:rsidRPr="005D43FE">
        <w:t xml:space="preserve">e first two flyers </w:t>
      </w:r>
      <w:r w:rsidRPr="005D43FE">
        <w:t>were entitled “Keep Homosexuality out of Saskatoon’s Public Schools!” and “Sod</w:t>
      </w:r>
      <w:r w:rsidR="008F6F08" w:rsidRPr="005D43FE">
        <w:t>omites in our Public Schools”</w:t>
      </w:r>
      <w:r w:rsidR="00381AAB" w:rsidRPr="005D43FE">
        <w:t xml:space="preserve">.  </w:t>
      </w:r>
      <w:r w:rsidRPr="005D43FE">
        <w:t xml:space="preserve">The other two flyers were identical </w:t>
      </w:r>
      <w:r w:rsidR="008F6F08" w:rsidRPr="005D43FE">
        <w:t xml:space="preserve">to one another </w:t>
      </w:r>
      <w:r w:rsidRPr="005D43FE">
        <w:t>and were a reprint of a page of classified advertisements to which handwritten comments were added</w:t>
      </w:r>
      <w:r w:rsidR="00381AAB" w:rsidRPr="005D43FE">
        <w:t xml:space="preserve">.  </w:t>
      </w:r>
      <w:r w:rsidRPr="005D43FE">
        <w:t xml:space="preserve">A tribunal </w:t>
      </w:r>
      <w:r w:rsidR="008F6F08" w:rsidRPr="005D43FE">
        <w:t xml:space="preserve">was </w:t>
      </w:r>
      <w:r w:rsidRPr="005D43FE">
        <w:t>appointed to</w:t>
      </w:r>
      <w:r w:rsidR="008F6F08" w:rsidRPr="005D43FE">
        <w:t xml:space="preserve"> hear the complaints</w:t>
      </w:r>
      <w:r w:rsidR="00381AAB" w:rsidRPr="005D43FE">
        <w:t xml:space="preserve">.  </w:t>
      </w:r>
      <w:r w:rsidR="008F6F08" w:rsidRPr="005D43FE">
        <w:t xml:space="preserve">It </w:t>
      </w:r>
      <w:r w:rsidRPr="005D43FE">
        <w:t>held that the flyers constituted p</w:t>
      </w:r>
      <w:r w:rsidR="000A4ED8" w:rsidRPr="005D43FE">
        <w:t>ublications that contravened s. </w:t>
      </w:r>
      <w:r w:rsidRPr="005D43FE">
        <w:t xml:space="preserve">14 of </w:t>
      </w:r>
      <w:r w:rsidRPr="005D43FE">
        <w:rPr>
          <w:i/>
        </w:rPr>
        <w:t>The Saskatchewan Human Rights Code</w:t>
      </w:r>
      <w:r w:rsidRPr="005D43FE">
        <w:t xml:space="preserve"> </w:t>
      </w:r>
      <w:r w:rsidR="008F6F08" w:rsidRPr="005D43FE">
        <w:t xml:space="preserve">because </w:t>
      </w:r>
      <w:r w:rsidRPr="005D43FE">
        <w:t>they exposed persons to hatred and ridicule on the basis of their sexual orientation,</w:t>
      </w:r>
      <w:r w:rsidR="008F6F08" w:rsidRPr="005D43FE">
        <w:t xml:space="preserve"> and </w:t>
      </w:r>
      <w:r w:rsidRPr="005D43FE">
        <w:t xml:space="preserve">concluded that </w:t>
      </w:r>
      <w:r w:rsidR="000A4ED8" w:rsidRPr="005D43FE">
        <w:t>s. </w:t>
      </w:r>
      <w:r w:rsidRPr="005D43FE">
        <w:t xml:space="preserve">14 of the </w:t>
      </w:r>
      <w:r w:rsidRPr="005D43FE">
        <w:rPr>
          <w:i/>
        </w:rPr>
        <w:t>Code</w:t>
      </w:r>
      <w:r w:rsidRPr="005D43FE">
        <w:t xml:space="preserve"> was a reasonable restriction on W’s rights to freedom of religion a</w:t>
      </w:r>
      <w:r w:rsidR="000A4ED8" w:rsidRPr="005D43FE">
        <w:t xml:space="preserve">nd expression guaranteed by </w:t>
      </w:r>
      <w:r w:rsidR="00A9480F" w:rsidRPr="005D43FE">
        <w:t>s. </w:t>
      </w:r>
      <w:r w:rsidRPr="005D43FE">
        <w:t>2(</w:t>
      </w:r>
      <w:r w:rsidRPr="005D43FE">
        <w:rPr>
          <w:i/>
        </w:rPr>
        <w:t>a</w:t>
      </w:r>
      <w:r w:rsidRPr="005D43FE">
        <w:t>) and (</w:t>
      </w:r>
      <w:r w:rsidRPr="005D43FE">
        <w:rPr>
          <w:i/>
        </w:rPr>
        <w:t>b</w:t>
      </w:r>
      <w:r w:rsidRPr="005D43FE">
        <w:t xml:space="preserve">) of the </w:t>
      </w:r>
      <w:r w:rsidRPr="005D43FE">
        <w:rPr>
          <w:i/>
        </w:rPr>
        <w:t>Charter</w:t>
      </w:r>
      <w:r w:rsidR="00381AAB" w:rsidRPr="005D43FE">
        <w:t xml:space="preserve">.  </w:t>
      </w:r>
      <w:r w:rsidRPr="005D43FE">
        <w:t>The Court of Queen’s Bench upheld the t</w:t>
      </w:r>
      <w:r w:rsidR="008F6F08" w:rsidRPr="005D43FE">
        <w:t>ribunal’s decision</w:t>
      </w:r>
      <w:r w:rsidR="00381AAB" w:rsidRPr="005D43FE">
        <w:t xml:space="preserve">.  </w:t>
      </w:r>
      <w:r w:rsidRPr="005D43FE">
        <w:t>The Court of Appeal accepted that the provision</w:t>
      </w:r>
      <w:r w:rsidR="008F6F08" w:rsidRPr="005D43FE">
        <w:t xml:space="preserve"> </w:t>
      </w:r>
      <w:r w:rsidRPr="005D43FE">
        <w:t>was constitutio</w:t>
      </w:r>
      <w:r w:rsidR="008F6F08" w:rsidRPr="005D43FE">
        <w:t xml:space="preserve">nal but held that the flyers </w:t>
      </w:r>
      <w:r w:rsidRPr="005D43FE">
        <w:t>did not contravene it.</w:t>
      </w:r>
    </w:p>
    <w:p w:rsidR="0091466D" w:rsidRPr="005D43FE" w:rsidRDefault="0091466D" w:rsidP="000A4ED8">
      <w:pPr>
        <w:pStyle w:val="SCCNormalDoubleSpacing"/>
        <w:spacing w:before="480" w:after="480"/>
      </w:pPr>
      <w:r w:rsidRPr="005D43FE">
        <w:tab/>
      </w:r>
      <w:r w:rsidRPr="005D43FE">
        <w:rPr>
          <w:i/>
        </w:rPr>
        <w:t>Held</w:t>
      </w:r>
      <w:r w:rsidRPr="00AE6107">
        <w:t>:</w:t>
      </w:r>
      <w:r w:rsidRPr="005D43FE">
        <w:t xml:space="preserve">  The appeal should be allowed in part.</w:t>
      </w:r>
    </w:p>
    <w:p w:rsidR="0091466D" w:rsidRPr="005D43FE" w:rsidRDefault="008F6F08" w:rsidP="000A4ED8">
      <w:pPr>
        <w:pStyle w:val="SCCNormalDoubleSpacing"/>
        <w:spacing w:before="480" w:after="480"/>
      </w:pPr>
      <w:r w:rsidRPr="005D43FE">
        <w:tab/>
        <w:t xml:space="preserve">The definition of “hatred” </w:t>
      </w:r>
      <w:r w:rsidR="0091466D" w:rsidRPr="005D43FE">
        <w:t xml:space="preserve">set out in </w:t>
      </w:r>
      <w:r w:rsidR="0091466D" w:rsidRPr="005D43FE">
        <w:rPr>
          <w:i/>
        </w:rPr>
        <w:t>Canada (Human Rights Commission) v. Taylor</w:t>
      </w:r>
      <w:r w:rsidR="0091466D" w:rsidRPr="005D43FE">
        <w:t>, [1990] 3 S.C.R. 892,</w:t>
      </w:r>
      <w:r w:rsidRPr="005D43FE">
        <w:t xml:space="preserve"> </w:t>
      </w:r>
      <w:r w:rsidR="0091466D" w:rsidRPr="005D43FE">
        <w:t>with some modifications, provides a workable approach to interpreting the word “hatred” as it is used in legisla</w:t>
      </w:r>
      <w:r w:rsidRPr="005D43FE">
        <w:t xml:space="preserve">tive provisions prohibiting </w:t>
      </w:r>
      <w:r w:rsidR="0091466D" w:rsidRPr="005D43FE">
        <w:t>hate spee</w:t>
      </w:r>
      <w:r w:rsidR="00A9480F" w:rsidRPr="005D43FE">
        <w:t>ch</w:t>
      </w:r>
      <w:r w:rsidR="00381AAB" w:rsidRPr="005D43FE">
        <w:t xml:space="preserve">.  </w:t>
      </w:r>
      <w:r w:rsidR="0091466D" w:rsidRPr="005D43FE">
        <w:t xml:space="preserve">Three main prescriptions </w:t>
      </w:r>
      <w:r w:rsidRPr="005D43FE">
        <w:t>must be followed</w:t>
      </w:r>
      <w:r w:rsidR="00381AAB" w:rsidRPr="005D43FE">
        <w:t xml:space="preserve">.  </w:t>
      </w:r>
      <w:r w:rsidR="0091466D" w:rsidRPr="005D43FE">
        <w:t xml:space="preserve">First, courts </w:t>
      </w:r>
      <w:r w:rsidRPr="005D43FE">
        <w:t xml:space="preserve">must </w:t>
      </w:r>
      <w:r w:rsidR="0091466D" w:rsidRPr="005D43FE">
        <w:t>apply the hate speech prohibitions obj</w:t>
      </w:r>
      <w:r w:rsidRPr="005D43FE">
        <w:t>ectively</w:t>
      </w:r>
      <w:r w:rsidR="00381AAB" w:rsidRPr="005D43FE">
        <w:t xml:space="preserve">.  </w:t>
      </w:r>
      <w:r w:rsidR="0091466D" w:rsidRPr="005D43FE">
        <w:t xml:space="preserve">The question courts must ask is whether a reasonable person, aware of the context and circumstances, would view the expression as exposing the </w:t>
      </w:r>
      <w:r w:rsidRPr="005D43FE">
        <w:t>protected group to hatred</w:t>
      </w:r>
      <w:r w:rsidR="00381AAB" w:rsidRPr="005D43FE">
        <w:t xml:space="preserve">.  </w:t>
      </w:r>
      <w:r w:rsidR="0091466D" w:rsidRPr="005D43FE">
        <w:t>Second, the legislative term “h</w:t>
      </w:r>
      <w:r w:rsidRPr="005D43FE">
        <w:t xml:space="preserve">atred” or “hatred </w:t>
      </w:r>
      <w:r w:rsidR="00AE6107">
        <w:t>or</w:t>
      </w:r>
      <w:r w:rsidRPr="005D43FE">
        <w:t xml:space="preserve"> contempt” </w:t>
      </w:r>
      <w:r w:rsidR="0091466D" w:rsidRPr="005D43FE">
        <w:t>must be interpreted as being restricted to those extreme manifestations of the emotion described by the words “detestation” and “vilification”</w:t>
      </w:r>
      <w:r w:rsidR="00381AAB" w:rsidRPr="005D43FE">
        <w:t xml:space="preserve">.  </w:t>
      </w:r>
      <w:r w:rsidR="0091466D" w:rsidRPr="005D43FE">
        <w:t xml:space="preserve">This filters out expression which, while repugnant and offensive, does not incite the level of abhorrence, </w:t>
      </w:r>
      <w:proofErr w:type="spellStart"/>
      <w:r w:rsidR="0091466D" w:rsidRPr="005D43FE">
        <w:t>delegitimization</w:t>
      </w:r>
      <w:proofErr w:type="spellEnd"/>
      <w:r w:rsidR="0091466D" w:rsidRPr="005D43FE">
        <w:t xml:space="preserve"> and rejection </w:t>
      </w:r>
      <w:proofErr w:type="gramStart"/>
      <w:r w:rsidR="0091466D" w:rsidRPr="005D43FE">
        <w:t>that risks</w:t>
      </w:r>
      <w:proofErr w:type="gramEnd"/>
      <w:r w:rsidR="0091466D" w:rsidRPr="005D43FE">
        <w:t xml:space="preserve"> causing discrimination or other harmful effects</w:t>
      </w:r>
      <w:r w:rsidR="00381AAB" w:rsidRPr="005D43FE">
        <w:t xml:space="preserve">.  </w:t>
      </w:r>
      <w:r w:rsidR="0091466D" w:rsidRPr="005D43FE">
        <w:t>Third, tribunals must focus their analysis on the effect of the expression at issue, namely whether it is likely to expose the targeted person or group to hatred by others</w:t>
      </w:r>
      <w:r w:rsidR="00381AAB" w:rsidRPr="005D43FE">
        <w:t xml:space="preserve">.  </w:t>
      </w:r>
      <w:r w:rsidR="0091466D" w:rsidRPr="005D43FE">
        <w:t>The repugnancy of the ideas being expressed is not sufficient to justify restricting the expression, and whether or not the author of the expression intended to incite hatred or discriminatory treatment is irrelevant</w:t>
      </w:r>
      <w:r w:rsidR="00381AAB" w:rsidRPr="005D43FE">
        <w:t xml:space="preserve">.  </w:t>
      </w:r>
      <w:r w:rsidR="0091466D" w:rsidRPr="005D43FE">
        <w:t>The key is to determine the likely effect of the expression on its audience, keeping in mind the legislative objectives to reduce or eliminate discrimination</w:t>
      </w:r>
      <w:r w:rsidR="00381AAB" w:rsidRPr="005D43FE">
        <w:t xml:space="preserve">.  </w:t>
      </w:r>
      <w:r w:rsidR="0091466D" w:rsidRPr="005D43FE">
        <w:t>In light of these three directives, the term “hatred” contained in a legislative hate speech prohibition should be applied objectively to determine whether a reasonable person, aware of the context and circumstances, would view the expression as likely to expose a person or persons to detestation and vilification on the basis of a prohibited ground of discrimination.</w:t>
      </w:r>
    </w:p>
    <w:p w:rsidR="0091466D" w:rsidRPr="005D43FE" w:rsidRDefault="0091466D" w:rsidP="000A4ED8">
      <w:pPr>
        <w:pStyle w:val="SCCNormalDoubleSpacing"/>
        <w:spacing w:before="480" w:after="480"/>
      </w:pPr>
      <w:r w:rsidRPr="005D43FE">
        <w:tab/>
        <w:t>The statutory prohib</w:t>
      </w:r>
      <w:r w:rsidR="00381AAB" w:rsidRPr="005D43FE">
        <w:t>ition against hate speech at s. </w:t>
      </w:r>
      <w:r w:rsidRPr="005D43FE">
        <w:t>14(1</w:t>
      </w:r>
      <w:proofErr w:type="gramStart"/>
      <w:r w:rsidRPr="005D43FE">
        <w:t>)(</w:t>
      </w:r>
      <w:proofErr w:type="gramEnd"/>
      <w:r w:rsidRPr="00AE6107">
        <w:t>b</w:t>
      </w:r>
      <w:r w:rsidRPr="005D43FE">
        <w:t xml:space="preserve">) of the </w:t>
      </w:r>
      <w:r w:rsidRPr="005D43FE">
        <w:rPr>
          <w:i/>
        </w:rPr>
        <w:t>Code</w:t>
      </w:r>
      <w:r w:rsidRPr="005D43FE">
        <w:t xml:space="preserve"> infringes the freedom of</w:t>
      </w:r>
      <w:r w:rsidR="00381AAB" w:rsidRPr="005D43FE">
        <w:t xml:space="preserve"> expression guaranteed under s. </w:t>
      </w:r>
      <w:r w:rsidRPr="005D43FE">
        <w:t>2(</w:t>
      </w:r>
      <w:r w:rsidRPr="005D43FE">
        <w:rPr>
          <w:i/>
        </w:rPr>
        <w:t>b</w:t>
      </w:r>
      <w:r w:rsidRPr="005D43FE">
        <w:t xml:space="preserve">) of the </w:t>
      </w:r>
      <w:r w:rsidRPr="005D43FE">
        <w:rPr>
          <w:i/>
        </w:rPr>
        <w:t>Charter</w:t>
      </w:r>
      <w:r w:rsidR="00381AAB" w:rsidRPr="005D43FE">
        <w:t>.  The activity described in s. </w:t>
      </w:r>
      <w:r w:rsidRPr="005D43FE">
        <w:t>14(1</w:t>
      </w:r>
      <w:proofErr w:type="gramStart"/>
      <w:r w:rsidRPr="005D43FE">
        <w:t>)(</w:t>
      </w:r>
      <w:proofErr w:type="gramEnd"/>
      <w:r w:rsidRPr="00AE6107">
        <w:t>b</w:t>
      </w:r>
      <w:r w:rsidRPr="005D43FE">
        <w:t>) has expressive content and falls w</w:t>
      </w:r>
      <w:r w:rsidR="00381AAB" w:rsidRPr="005D43FE">
        <w:t>ithin the scope of s. </w:t>
      </w:r>
      <w:r w:rsidRPr="005D43FE">
        <w:t>2(</w:t>
      </w:r>
      <w:r w:rsidRPr="005D43FE">
        <w:rPr>
          <w:i/>
        </w:rPr>
        <w:t>b</w:t>
      </w:r>
      <w:r w:rsidRPr="005D43FE">
        <w:t>) protection</w:t>
      </w:r>
      <w:r w:rsidR="00381AAB" w:rsidRPr="005D43FE">
        <w:t>.  The purpose of s. </w:t>
      </w:r>
      <w:r w:rsidRPr="005D43FE">
        <w:t>14(1</w:t>
      </w:r>
      <w:proofErr w:type="gramStart"/>
      <w:r w:rsidRPr="005D43FE">
        <w:t>)(</w:t>
      </w:r>
      <w:proofErr w:type="gramEnd"/>
      <w:r w:rsidRPr="00AE6107">
        <w:t>b</w:t>
      </w:r>
      <w:r w:rsidRPr="005D43FE">
        <w:t>) is to prevent discrimination by curtailing certain types of public expression.</w:t>
      </w:r>
    </w:p>
    <w:p w:rsidR="0091466D" w:rsidRPr="005D43FE" w:rsidRDefault="0091466D" w:rsidP="000A4ED8">
      <w:pPr>
        <w:pStyle w:val="SCCNormalDoubleSpacing"/>
        <w:spacing w:before="480" w:after="480"/>
      </w:pPr>
      <w:r w:rsidRPr="005D43FE">
        <w:tab/>
        <w:t>The limitation imposed on freedom of expr</w:t>
      </w:r>
      <w:r w:rsidR="00381AAB" w:rsidRPr="005D43FE">
        <w:t>ession by the prohibition in s. </w:t>
      </w:r>
      <w:r w:rsidRPr="005D43FE">
        <w:t>14(1</w:t>
      </w:r>
      <w:proofErr w:type="gramStart"/>
      <w:r w:rsidRPr="005D43FE">
        <w:t>)(</w:t>
      </w:r>
      <w:proofErr w:type="gramEnd"/>
      <w:r w:rsidRPr="00AE6107">
        <w:t>b</w:t>
      </w:r>
      <w:r w:rsidRPr="005D43FE">
        <w:t xml:space="preserve">) of the </w:t>
      </w:r>
      <w:r w:rsidRPr="005D43FE">
        <w:rPr>
          <w:i/>
        </w:rPr>
        <w:t>Code</w:t>
      </w:r>
      <w:r w:rsidRPr="005D43FE">
        <w:t xml:space="preserve"> is a limitation prescribed </w:t>
      </w:r>
      <w:r w:rsidR="00381AAB" w:rsidRPr="005D43FE">
        <w:t>by law within the meaning of s. </w:t>
      </w:r>
      <w:r w:rsidRPr="005D43FE">
        <w:t xml:space="preserve">1 of the </w:t>
      </w:r>
      <w:r w:rsidRPr="005D43FE">
        <w:rPr>
          <w:i/>
        </w:rPr>
        <w:t>Charter</w:t>
      </w:r>
      <w:r w:rsidRPr="005D43FE">
        <w:t xml:space="preserve"> and is demonstrably justified in a free and democratic society</w:t>
      </w:r>
      <w:r w:rsidR="00381AAB" w:rsidRPr="005D43FE">
        <w:t xml:space="preserve">.  </w:t>
      </w:r>
      <w:r w:rsidRPr="005D43FE">
        <w:t xml:space="preserve">It appropriately balances the fundamental values underlying freedom of expression with competing </w:t>
      </w:r>
      <w:r w:rsidRPr="005D43FE">
        <w:rPr>
          <w:i/>
        </w:rPr>
        <w:t>Charter</w:t>
      </w:r>
      <w:r w:rsidRPr="005D43FE">
        <w:t xml:space="preserve"> rights and other values essential to a free and democratic society, in this case a commitment to equality and respect for group identity and the inherent dignity owed to all human beings.</w:t>
      </w:r>
    </w:p>
    <w:p w:rsidR="0091466D" w:rsidRPr="005D43FE" w:rsidRDefault="0091466D" w:rsidP="000A4ED8">
      <w:pPr>
        <w:pStyle w:val="SCCNormalDoubleSpacing"/>
        <w:spacing w:before="480" w:after="480"/>
      </w:pPr>
      <w:r w:rsidRPr="005D43FE">
        <w:tab/>
        <w:t>The objective for which the limit is imposed, namely tackling causes of discriminatory activity to reduce the harmful effects and social costs of discrimination, is pressing and substanti</w:t>
      </w:r>
      <w:r w:rsidR="00A9480F" w:rsidRPr="005D43FE">
        <w:t>al</w:t>
      </w:r>
      <w:r w:rsidR="00381AAB" w:rsidRPr="005D43FE">
        <w:t xml:space="preserve">.  </w:t>
      </w:r>
      <w:r w:rsidRPr="005D43FE">
        <w:t>Hate speech is an effort to marginalize individuals based on their membership in a grou</w:t>
      </w:r>
      <w:r w:rsidR="00A9480F" w:rsidRPr="005D43FE">
        <w:t>p</w:t>
      </w:r>
      <w:r w:rsidR="00381AAB" w:rsidRPr="005D43FE">
        <w:t xml:space="preserve">.  </w:t>
      </w:r>
      <w:r w:rsidRPr="005D43FE">
        <w:t>Using expression that exposes the group to hatred, hate speech seeks to delegitimize group members in the eyes of the majority, reducing their social standing and acceptance within society</w:t>
      </w:r>
      <w:r w:rsidR="00381AAB" w:rsidRPr="005D43FE">
        <w:t xml:space="preserve">.  </w:t>
      </w:r>
      <w:r w:rsidRPr="005D43FE">
        <w:t>Hate speech, therefore, rises beyond causing distress to individual group members</w:t>
      </w:r>
      <w:r w:rsidR="00381AAB" w:rsidRPr="005D43FE">
        <w:t xml:space="preserve">.  </w:t>
      </w:r>
      <w:r w:rsidRPr="005D43FE">
        <w:t>It can have a societal impact</w:t>
      </w:r>
      <w:r w:rsidR="00381AAB" w:rsidRPr="005D43FE">
        <w:t xml:space="preserve">.  </w:t>
      </w:r>
      <w:r w:rsidRPr="005D43FE">
        <w:t>Hate speech lays the groundwork for later, broad attacks on vulnerable groups that can range from discrimination, to ostracism, segregation, deportation, violence and, in the most extreme cases, to genocide</w:t>
      </w:r>
      <w:r w:rsidR="00381AAB" w:rsidRPr="005D43FE">
        <w:t xml:space="preserve">.  </w:t>
      </w:r>
      <w:r w:rsidRPr="005D43FE">
        <w:t>Hate speech also impacts on a protected group’s ability to respond to the substantive ideas under debate, thereby placing a serious barrier to their full participation in our democracy.</w:t>
      </w:r>
    </w:p>
    <w:p w:rsidR="0091466D" w:rsidRPr="005D43FE" w:rsidRDefault="000A4ED8" w:rsidP="000A4ED8">
      <w:pPr>
        <w:pStyle w:val="SCCNormalDoubleSpacing"/>
        <w:spacing w:before="480" w:after="480"/>
      </w:pPr>
      <w:r w:rsidRPr="005D43FE">
        <w:tab/>
        <w:t>Section </w:t>
      </w:r>
      <w:r w:rsidR="0091466D" w:rsidRPr="005D43FE">
        <w:t>14(1</w:t>
      </w:r>
      <w:proofErr w:type="gramStart"/>
      <w:r w:rsidR="0091466D" w:rsidRPr="005D43FE">
        <w:t>)(</w:t>
      </w:r>
      <w:proofErr w:type="gramEnd"/>
      <w:r w:rsidR="0091466D" w:rsidRPr="00AE6107">
        <w:t>b</w:t>
      </w:r>
      <w:r w:rsidR="0091466D" w:rsidRPr="005D43FE">
        <w:t xml:space="preserve">) of the </w:t>
      </w:r>
      <w:r w:rsidR="0091466D" w:rsidRPr="005D43FE">
        <w:rPr>
          <w:i/>
        </w:rPr>
        <w:t>Code</w:t>
      </w:r>
      <w:r w:rsidR="0091466D" w:rsidRPr="005D43FE">
        <w:t xml:space="preserve"> is proportionate to its objective</w:t>
      </w:r>
      <w:r w:rsidR="00381AAB" w:rsidRPr="005D43FE">
        <w:t xml:space="preserve">.  </w:t>
      </w:r>
      <w:r w:rsidR="0091466D" w:rsidRPr="005D43FE">
        <w:t>Prohibiting representations that are objectively seen to expose protected groups to hatred is rationally connected to the objective of eliminating discrimination and the other harmful effects of hatred</w:t>
      </w:r>
      <w:r w:rsidR="00381AAB" w:rsidRPr="005D43FE">
        <w:t xml:space="preserve">.  </w:t>
      </w:r>
      <w:r w:rsidR="0091466D" w:rsidRPr="005D43FE">
        <w:t>To satisfy the rational connection requirement, the expression captured under legislation restricting hate speech must rise to a level beyond merely impugning individuals: it must seek to marginalize the group by affecting their social status and acceptance in the eyes of the majority</w:t>
      </w:r>
      <w:r w:rsidR="00381AAB" w:rsidRPr="005D43FE">
        <w:t xml:space="preserve">.  </w:t>
      </w:r>
      <w:r w:rsidR="0091466D" w:rsidRPr="005D43FE">
        <w:t>The societal harm flowing from hate speech must be assessed as objectively as possible and the focus must be on the likely effect of the hate speech on how individuals external to the group might reconsider the social standing of the grou</w:t>
      </w:r>
      <w:r w:rsidR="00A9480F" w:rsidRPr="005D43FE">
        <w:t>p</w:t>
      </w:r>
      <w:r w:rsidR="00381AAB" w:rsidRPr="005D43FE">
        <w:t xml:space="preserve">.  </w:t>
      </w:r>
      <w:r w:rsidR="0091466D" w:rsidRPr="005D43FE">
        <w:t>S</w:t>
      </w:r>
      <w:r w:rsidRPr="005D43FE">
        <w:t>ection </w:t>
      </w:r>
      <w:r w:rsidR="0091466D" w:rsidRPr="005D43FE">
        <w:t>14(1</w:t>
      </w:r>
      <w:proofErr w:type="gramStart"/>
      <w:r w:rsidR="0091466D" w:rsidRPr="005D43FE">
        <w:t>)(</w:t>
      </w:r>
      <w:proofErr w:type="gramEnd"/>
      <w:r w:rsidR="0091466D" w:rsidRPr="00AE6107">
        <w:t>b</w:t>
      </w:r>
      <w:r w:rsidR="0091466D" w:rsidRPr="005D43FE">
        <w:t xml:space="preserve">) of the </w:t>
      </w:r>
      <w:r w:rsidR="0091466D" w:rsidRPr="005D43FE">
        <w:rPr>
          <w:i/>
        </w:rPr>
        <w:t>Code</w:t>
      </w:r>
      <w:r w:rsidR="0091466D" w:rsidRPr="005D43FE">
        <w:t xml:space="preserve"> reflects this approa</w:t>
      </w:r>
      <w:r w:rsidR="00A9480F" w:rsidRPr="005D43FE">
        <w:t>ch</w:t>
      </w:r>
      <w:r w:rsidR="00381AAB" w:rsidRPr="005D43FE">
        <w:t xml:space="preserve">.  </w:t>
      </w:r>
      <w:r w:rsidR="0091466D" w:rsidRPr="005D43FE">
        <w:t>The prohibition only prohibits public communication of hate speech; it does not restrict hateful expression in private communications between individuals</w:t>
      </w:r>
      <w:r w:rsidR="00381AAB" w:rsidRPr="005D43FE">
        <w:t xml:space="preserve">.  </w:t>
      </w:r>
      <w:r w:rsidR="0091466D" w:rsidRPr="005D43FE">
        <w:t>Similarly, the prohibition does not preclude hate speech against an individual on the basis of his or her uniquely personal characteristics, but only on the basis of characteristics that are shared by others and have been legislatively recognized as a prohibited ground of discrimination</w:t>
      </w:r>
      <w:r w:rsidR="00381AAB" w:rsidRPr="005D43FE">
        <w:t xml:space="preserve">.  </w:t>
      </w:r>
      <w:r w:rsidR="0091466D" w:rsidRPr="005D43FE">
        <w:t>However, expression that “ridicules, belittles or otherwise affronts the dignity of” does not rise to the level of ardent and extreme feelings constituting hatred required to uphold the constitutionality of a prohibition of expression in human rights legislation</w:t>
      </w:r>
      <w:r w:rsidR="00381AAB" w:rsidRPr="005D43FE">
        <w:t>.  Accordingly, those words in s. </w:t>
      </w:r>
      <w:r w:rsidR="0091466D" w:rsidRPr="005D43FE">
        <w:t>14(1</w:t>
      </w:r>
      <w:proofErr w:type="gramStart"/>
      <w:r w:rsidR="0091466D" w:rsidRPr="005D43FE">
        <w:t>)(</w:t>
      </w:r>
      <w:proofErr w:type="gramEnd"/>
      <w:r w:rsidR="0091466D" w:rsidRPr="00AE6107">
        <w:t>b</w:t>
      </w:r>
      <w:r w:rsidR="0091466D" w:rsidRPr="005D43FE">
        <w:t xml:space="preserve">) of the </w:t>
      </w:r>
      <w:r w:rsidR="0091466D" w:rsidRPr="005D43FE">
        <w:rPr>
          <w:i/>
        </w:rPr>
        <w:t>Code</w:t>
      </w:r>
      <w:r w:rsidR="0091466D" w:rsidRPr="005D43FE">
        <w:t xml:space="preserve"> are not rationally connected to the legislative purpose of addressing systemic discrimination of protected groups and they unjustifiably infringe freedom of expression</w:t>
      </w:r>
      <w:r w:rsidR="00381AAB" w:rsidRPr="005D43FE">
        <w:t xml:space="preserve">.  </w:t>
      </w:r>
      <w:r w:rsidR="0091466D" w:rsidRPr="005D43FE">
        <w:t>Consequently, they are constitutionally inv</w:t>
      </w:r>
      <w:r w:rsidR="00381AAB" w:rsidRPr="005D43FE">
        <w:t>alid and must be struck from s. </w:t>
      </w:r>
      <w:r w:rsidR="0091466D" w:rsidRPr="005D43FE">
        <w:t>14(1</w:t>
      </w:r>
      <w:proofErr w:type="gramStart"/>
      <w:r w:rsidR="0091466D" w:rsidRPr="005D43FE">
        <w:t>)(</w:t>
      </w:r>
      <w:proofErr w:type="gramEnd"/>
      <w:r w:rsidR="0091466D" w:rsidRPr="00AE6107">
        <w:t>b</w:t>
      </w:r>
      <w:r w:rsidR="0091466D" w:rsidRPr="005D43FE">
        <w:t xml:space="preserve">). </w:t>
      </w:r>
    </w:p>
    <w:p w:rsidR="0091466D" w:rsidRPr="005D43FE" w:rsidRDefault="000A4ED8" w:rsidP="000A4ED8">
      <w:pPr>
        <w:pStyle w:val="SCCNormalDoubleSpacing"/>
        <w:spacing w:before="480" w:after="480"/>
      </w:pPr>
      <w:r w:rsidRPr="005D43FE">
        <w:tab/>
        <w:t>Section </w:t>
      </w:r>
      <w:r w:rsidR="0091466D" w:rsidRPr="005D43FE">
        <w:t>14(1</w:t>
      </w:r>
      <w:proofErr w:type="gramStart"/>
      <w:r w:rsidR="0091466D" w:rsidRPr="005D43FE">
        <w:t>)(</w:t>
      </w:r>
      <w:proofErr w:type="gramEnd"/>
      <w:r w:rsidR="0091466D" w:rsidRPr="00AE6107">
        <w:t>b</w:t>
      </w:r>
      <w:r w:rsidR="0091466D" w:rsidRPr="005D43FE">
        <w:t xml:space="preserve">) of the </w:t>
      </w:r>
      <w:r w:rsidR="0091466D" w:rsidRPr="005D43FE">
        <w:rPr>
          <w:i/>
        </w:rPr>
        <w:t>Code</w:t>
      </w:r>
      <w:r w:rsidR="0091466D" w:rsidRPr="005D43FE">
        <w:t xml:space="preserve"> meets the minimal impairment requirement</w:t>
      </w:r>
      <w:r w:rsidR="00620536" w:rsidRPr="005D43FE">
        <w:t xml:space="preserve">.  </w:t>
      </w:r>
      <w:r w:rsidR="0091466D" w:rsidRPr="005D43FE">
        <w:t>Alternatives proposed were to allow the marketplace of ideas to arrive at the appropriate balance of competing rights or to leave the prosecution of hate speech to the criminal law</w:t>
      </w:r>
      <w:r w:rsidR="00620536" w:rsidRPr="005D43FE">
        <w:t xml:space="preserve">.  </w:t>
      </w:r>
      <w:r w:rsidRPr="005D43FE">
        <w:t>However, the prohibition in s. </w:t>
      </w:r>
      <w:r w:rsidR="0091466D" w:rsidRPr="005D43FE">
        <w:t>14(1</w:t>
      </w:r>
      <w:proofErr w:type="gramStart"/>
      <w:r w:rsidR="0091466D" w:rsidRPr="005D43FE">
        <w:t>)(</w:t>
      </w:r>
      <w:proofErr w:type="gramEnd"/>
      <w:r w:rsidR="0091466D" w:rsidRPr="00AE6107">
        <w:t>b</w:t>
      </w:r>
      <w:r w:rsidR="0091466D" w:rsidRPr="005D43FE">
        <w:t>) is one of the reasonable alternatives that could have been selected by the legislature</w:t>
      </w:r>
      <w:r w:rsidR="00620536" w:rsidRPr="005D43FE">
        <w:t xml:space="preserve">. </w:t>
      </w:r>
      <w:r w:rsidR="009F09B3" w:rsidRPr="005D43FE">
        <w:t>T</w:t>
      </w:r>
      <w:r w:rsidR="0091466D" w:rsidRPr="005D43FE">
        <w:t>he words “ridicules, belittles or otherwise</w:t>
      </w:r>
      <w:r w:rsidRPr="005D43FE">
        <w:t xml:space="preserve"> affronts the dignity of” in s. </w:t>
      </w:r>
      <w:r w:rsidR="0091466D" w:rsidRPr="005D43FE">
        <w:t>14(1</w:t>
      </w:r>
      <w:proofErr w:type="gramStart"/>
      <w:r w:rsidR="0091466D" w:rsidRPr="005D43FE">
        <w:t>)(</w:t>
      </w:r>
      <w:proofErr w:type="gramEnd"/>
      <w:r w:rsidR="0091466D" w:rsidRPr="00AE6107">
        <w:t>b</w:t>
      </w:r>
      <w:r w:rsidR="0091466D" w:rsidRPr="005D43FE">
        <w:t>) are also constitutionally invalid because they do not minimally impair freedom of expression</w:t>
      </w:r>
      <w:r w:rsidR="00620536" w:rsidRPr="005D43FE">
        <w:t xml:space="preserve">.  </w:t>
      </w:r>
      <w:r w:rsidR="0091466D" w:rsidRPr="005D43FE">
        <w:t xml:space="preserve">Once </w:t>
      </w:r>
      <w:r w:rsidRPr="005D43FE">
        <w:t>t</w:t>
      </w:r>
      <w:r w:rsidR="008F6F08" w:rsidRPr="005D43FE">
        <w:t xml:space="preserve">hose </w:t>
      </w:r>
      <w:r w:rsidRPr="005D43FE">
        <w:t>words are severed from s. </w:t>
      </w:r>
      <w:r w:rsidR="0091466D" w:rsidRPr="005D43FE">
        <w:t>14(1</w:t>
      </w:r>
      <w:proofErr w:type="gramStart"/>
      <w:r w:rsidR="0091466D" w:rsidRPr="005D43FE">
        <w:t>)(</w:t>
      </w:r>
      <w:proofErr w:type="gramEnd"/>
      <w:r w:rsidR="0091466D" w:rsidRPr="00AE6107">
        <w:t>b</w:t>
      </w:r>
      <w:r w:rsidR="0091466D" w:rsidRPr="005D43FE">
        <w:t>), the remaining prohibition is not overbroad, but rather tailored to impair freedom of expression as little as possible</w:t>
      </w:r>
      <w:r w:rsidR="00620536" w:rsidRPr="005D43FE">
        <w:t xml:space="preserve">.  </w:t>
      </w:r>
      <w:r w:rsidR="0091466D" w:rsidRPr="005D43FE">
        <w:t xml:space="preserve">The modified provision will not capture all harmful expression, but it is intended to capture expression which, by inspiring hatred, has the potential to cause the type of harm that the legislation is trying to prevent. </w:t>
      </w:r>
    </w:p>
    <w:p w:rsidR="0091466D" w:rsidRPr="005D43FE" w:rsidRDefault="0091466D" w:rsidP="000A4ED8">
      <w:pPr>
        <w:pStyle w:val="SCCNormalDoubleSpacing"/>
        <w:spacing w:before="480" w:after="480"/>
      </w:pPr>
      <w:r w:rsidRPr="005D43FE">
        <w:tab/>
        <w:t>Not all expression will be treated equally in determining an appropriate balancing</w:t>
      </w:r>
      <w:r w:rsidR="00A9480F" w:rsidRPr="005D43FE">
        <w:t xml:space="preserve"> of competing values under </w:t>
      </w:r>
      <w:proofErr w:type="gramStart"/>
      <w:r w:rsidR="00A9480F" w:rsidRPr="005D43FE">
        <w:t>a</w:t>
      </w:r>
      <w:proofErr w:type="gramEnd"/>
      <w:r w:rsidR="00A9480F" w:rsidRPr="005D43FE">
        <w:t xml:space="preserve"> s. </w:t>
      </w:r>
      <w:r w:rsidRPr="005D43FE">
        <w:t>1 analysis, since different types of expression will be relatively closer to or further from the core values behind the freedom, depending on the nature of the expression</w:t>
      </w:r>
      <w:r w:rsidR="00620536" w:rsidRPr="005D43FE">
        <w:t xml:space="preserve">.  </w:t>
      </w:r>
      <w:r w:rsidRPr="005D43FE">
        <w:t xml:space="preserve">Hate speech is at some distance </w:t>
      </w:r>
      <w:r w:rsidR="00A9480F" w:rsidRPr="005D43FE">
        <w:t>from the spirit of s. </w:t>
      </w:r>
      <w:r w:rsidRPr="005D43FE">
        <w:t>2(</w:t>
      </w:r>
      <w:r w:rsidRPr="005D43FE">
        <w:rPr>
          <w:i/>
        </w:rPr>
        <w:t>b</w:t>
      </w:r>
      <w:r w:rsidRPr="005D43FE">
        <w:t>) because it does little to promote, and can in fact impede, the values underlying freedom of expression</w:t>
      </w:r>
      <w:r w:rsidR="00620536" w:rsidRPr="005D43FE">
        <w:t xml:space="preserve">.  </w:t>
      </w:r>
      <w:r w:rsidRPr="005D43FE">
        <w:t>Hate speech can also distort or limit the robust and free exchange of ideas by its tendency to silence the voice of its target grou</w:t>
      </w:r>
      <w:r w:rsidR="00A9480F" w:rsidRPr="005D43FE">
        <w:t>p</w:t>
      </w:r>
      <w:r w:rsidR="00620536" w:rsidRPr="005D43FE">
        <w:t xml:space="preserve">.  </w:t>
      </w:r>
      <w:r w:rsidRPr="005D43FE">
        <w:t xml:space="preserve">These are important considerations in balancing hate speech with competing </w:t>
      </w:r>
      <w:r w:rsidRPr="005D43FE">
        <w:rPr>
          <w:i/>
        </w:rPr>
        <w:t>Charter</w:t>
      </w:r>
      <w:r w:rsidRPr="005D43FE">
        <w:t xml:space="preserve"> rights and in assessing the constitutio</w:t>
      </w:r>
      <w:r w:rsidR="00A9480F" w:rsidRPr="005D43FE">
        <w:t>nality of the prohibition in s. </w:t>
      </w:r>
      <w:r w:rsidRPr="005D43FE">
        <w:t>14(1</w:t>
      </w:r>
      <w:proofErr w:type="gramStart"/>
      <w:r w:rsidRPr="005D43FE">
        <w:t>)(</w:t>
      </w:r>
      <w:proofErr w:type="gramEnd"/>
      <w:r w:rsidRPr="00AE6107">
        <w:t>b</w:t>
      </w:r>
      <w:r w:rsidRPr="005D43FE">
        <w:t xml:space="preserve">) of the </w:t>
      </w:r>
      <w:r w:rsidRPr="005D43FE">
        <w:rPr>
          <w:i/>
        </w:rPr>
        <w:t>Code</w:t>
      </w:r>
      <w:r w:rsidRPr="005D43FE">
        <w:t>.</w:t>
      </w:r>
    </w:p>
    <w:p w:rsidR="0091466D" w:rsidRPr="005D43FE" w:rsidRDefault="0091466D" w:rsidP="000A4ED8">
      <w:pPr>
        <w:pStyle w:val="SCCNormalDoubleSpacing"/>
        <w:spacing w:before="480" w:after="480"/>
      </w:pPr>
      <w:r w:rsidRPr="005D43FE">
        <w:tab/>
        <w:t>Framing speech as arising in a moral context or within a public policy debate does not cleanse it of its harmful effect</w:t>
      </w:r>
      <w:r w:rsidR="00620536" w:rsidRPr="005D43FE">
        <w:t xml:space="preserve">.  </w:t>
      </w:r>
      <w:r w:rsidRPr="005D43FE">
        <w:t>Finding that certain expression falls within political speech does not close off the enquiry into whether the expression constitutes hate spee</w:t>
      </w:r>
      <w:r w:rsidR="00A9480F" w:rsidRPr="005D43FE">
        <w:t>ch</w:t>
      </w:r>
      <w:r w:rsidR="00620536" w:rsidRPr="005D43FE">
        <w:t xml:space="preserve">.  </w:t>
      </w:r>
      <w:r w:rsidRPr="005D43FE">
        <w:t>Hate speech may often arise as a part of a larger public discourse but it is speech of a restrictive and exclusionary kind</w:t>
      </w:r>
      <w:r w:rsidR="00620536" w:rsidRPr="005D43FE">
        <w:t xml:space="preserve">.  </w:t>
      </w:r>
      <w:r w:rsidRPr="005D43FE">
        <w:t>Political expression contributes to our democracy by encouraging the exchange of opposing views</w:t>
      </w:r>
      <w:r w:rsidR="00620536" w:rsidRPr="005D43FE">
        <w:t xml:space="preserve">.  </w:t>
      </w:r>
      <w:r w:rsidRPr="005D43FE">
        <w:t>Hate speech is antithetical to this objective in that it shuts down dialogue by making it difficult or impossible for members of the vulnerable group to respond, thereby stifling discourse</w:t>
      </w:r>
      <w:r w:rsidR="00620536" w:rsidRPr="005D43FE">
        <w:t xml:space="preserve">.  </w:t>
      </w:r>
      <w:r w:rsidRPr="005D43FE">
        <w:t xml:space="preserve">Speech that has the effect of shutting down public debate cannot dodge prohibition on the basis that it promotes debate. </w:t>
      </w:r>
      <w:r w:rsidR="00620536" w:rsidRPr="005D43FE">
        <w:t xml:space="preserve"> Section </w:t>
      </w:r>
      <w:r w:rsidRPr="005D43FE">
        <w:t xml:space="preserve">14 of the </w:t>
      </w:r>
      <w:r w:rsidRPr="005D43FE">
        <w:rPr>
          <w:i/>
        </w:rPr>
        <w:t>Code</w:t>
      </w:r>
      <w:r w:rsidRPr="005D43FE">
        <w:t xml:space="preserve"> provides an appropriate means by which to protect almost the entirety of political discourse as a vital part of freedom of expression</w:t>
      </w:r>
      <w:r w:rsidR="00620536" w:rsidRPr="005D43FE">
        <w:t xml:space="preserve">.  </w:t>
      </w:r>
      <w:r w:rsidRPr="005D43FE">
        <w:t xml:space="preserve">It extricates only an extreme and marginal type of expression which contributes little to the values underlying freedom of expression and whose restriction is therefore easier to justify. </w:t>
      </w:r>
    </w:p>
    <w:p w:rsidR="0091466D" w:rsidRPr="005D43FE" w:rsidRDefault="0091466D" w:rsidP="000A4ED8">
      <w:pPr>
        <w:pStyle w:val="SCCNormalDoubleSpacing"/>
        <w:spacing w:before="480" w:after="480"/>
      </w:pPr>
      <w:r w:rsidRPr="005D43FE">
        <w:tab/>
        <w:t>A prohibition is not overbroad for capturing expression targeting sexual behaviour</w:t>
      </w:r>
      <w:r w:rsidR="00620536" w:rsidRPr="005D43FE">
        <w:t xml:space="preserve">.  </w:t>
      </w:r>
      <w:r w:rsidRPr="005D43FE">
        <w:t>Courts have recognized a strong connection between sexual orientation and sexual conduct and where the conduct targeted by speech is a crucial aspect of the identity of a vulnerable group, attacks on this conduct stand as proxy for attacks on the group itself</w:t>
      </w:r>
      <w:r w:rsidR="00620536" w:rsidRPr="005D43FE">
        <w:t xml:space="preserve">.  </w:t>
      </w:r>
      <w:r w:rsidRPr="005D43FE">
        <w:t>If expression targeting certain sexual behaviour is framed in such a way as to expose persons of an identifiable sexual orientation to what is objectively viewed as detestation and vilification, it cannot be said that such speech only targets the behaviour</w:t>
      </w:r>
      <w:r w:rsidR="00620536" w:rsidRPr="005D43FE">
        <w:t xml:space="preserve">.  </w:t>
      </w:r>
      <w:r w:rsidRPr="005D43FE">
        <w:t>It quite clearly targets the vulnerable grou</w:t>
      </w:r>
      <w:r w:rsidR="00A9480F" w:rsidRPr="005D43FE">
        <w:t>p. </w:t>
      </w:r>
    </w:p>
    <w:p w:rsidR="0091466D" w:rsidRPr="005D43FE" w:rsidRDefault="00620536" w:rsidP="000A4ED8">
      <w:pPr>
        <w:pStyle w:val="SCCNormalDoubleSpacing"/>
        <w:spacing w:before="480" w:after="480"/>
      </w:pPr>
      <w:r w:rsidRPr="005D43FE">
        <w:tab/>
        <w:t>The fact that s. </w:t>
      </w:r>
      <w:r w:rsidR="0091466D" w:rsidRPr="005D43FE">
        <w:t>14(1)(</w:t>
      </w:r>
      <w:r w:rsidR="0091466D" w:rsidRPr="00AE6107">
        <w:t>b</w:t>
      </w:r>
      <w:r w:rsidR="0091466D" w:rsidRPr="005D43FE">
        <w:t xml:space="preserve">) of the </w:t>
      </w:r>
      <w:r w:rsidR="0091466D" w:rsidRPr="005D43FE">
        <w:rPr>
          <w:i/>
        </w:rPr>
        <w:t>Code</w:t>
      </w:r>
      <w:r w:rsidR="0091466D" w:rsidRPr="005D43FE">
        <w:t xml:space="preserve"> does not require intent by the publisher or proof of harm, or provide for any defences does not make it overbroad</w:t>
      </w:r>
      <w:r w:rsidRPr="005D43FE">
        <w:t xml:space="preserve">.  </w:t>
      </w:r>
      <w:r w:rsidR="0091466D" w:rsidRPr="005D43FE">
        <w:t>Systemic discrimination is more widespread than intentional discrimination and the preventive measures found in human rights legislation reasonably centre on effects, rather than intent</w:t>
      </w:r>
      <w:r w:rsidRPr="005D43FE">
        <w:t xml:space="preserve">.  </w:t>
      </w:r>
      <w:r w:rsidR="0091466D" w:rsidRPr="005D43FE">
        <w:t>The difficulty of establishing causality and the seriousness of the harm to vulnerable groups justifies the imposition of preventive measures that do not require proof of actual harm</w:t>
      </w:r>
      <w:r w:rsidRPr="005D43FE">
        <w:t xml:space="preserve">.  </w:t>
      </w:r>
      <w:r w:rsidR="0091466D" w:rsidRPr="005D43FE">
        <w:t>The discriminatory effects of hate speech are part of the everyday knowledge and experience of Canadians</w:t>
      </w:r>
      <w:r w:rsidRPr="005D43FE">
        <w:t xml:space="preserve">.  </w:t>
      </w:r>
      <w:r w:rsidR="0091466D" w:rsidRPr="005D43FE">
        <w:t>As such, the legislature is entitled to a reasonable apprehension of societal harm as a result of hate spee</w:t>
      </w:r>
      <w:r w:rsidR="00A9480F" w:rsidRPr="005D43FE">
        <w:t>ch</w:t>
      </w:r>
      <w:r w:rsidRPr="005D43FE">
        <w:t xml:space="preserve">.  </w:t>
      </w:r>
      <w:r w:rsidR="0091466D" w:rsidRPr="005D43FE">
        <w:t xml:space="preserve">The lack of defences </w:t>
      </w:r>
      <w:r w:rsidR="008F6F08" w:rsidRPr="005D43FE">
        <w:t xml:space="preserve">is </w:t>
      </w:r>
      <w:r w:rsidR="0091466D" w:rsidRPr="005D43FE">
        <w:t>not fatal to the constitutionality of the provision</w:t>
      </w:r>
      <w:r w:rsidRPr="005D43FE">
        <w:t xml:space="preserve">.  </w:t>
      </w:r>
      <w:r w:rsidR="0091466D" w:rsidRPr="005D43FE">
        <w:t>Truthful statements can be presented in a manner that would meet the definition of hate speech, and not all truthful statements must be free from restriction</w:t>
      </w:r>
      <w:r w:rsidRPr="005D43FE">
        <w:t xml:space="preserve">.  </w:t>
      </w:r>
      <w:r w:rsidR="0091466D" w:rsidRPr="005D43FE">
        <w:t>Allowing the dissemination of hate speech to be excused by a sincerely held belief would provide an absolute defence and would gut the prohibition of effectiveness.</w:t>
      </w:r>
    </w:p>
    <w:p w:rsidR="0091466D" w:rsidRPr="005D43FE" w:rsidRDefault="0091466D" w:rsidP="000A4ED8">
      <w:pPr>
        <w:pStyle w:val="SCCNormalDoubleSpacing"/>
        <w:spacing w:before="480" w:after="480"/>
      </w:pPr>
      <w:r w:rsidRPr="005D43FE">
        <w:tab/>
        <w:t xml:space="preserve">The benefits of the suppression of hate speech and its harmful effects outweigh the detrimental effect of restricting expression which, by its nature, does little to promote the values underlying freedom of expression. </w:t>
      </w:r>
      <w:r w:rsidR="00620536" w:rsidRPr="005D43FE">
        <w:t xml:space="preserve"> Section </w:t>
      </w:r>
      <w:r w:rsidRPr="005D43FE">
        <w:t>14(1</w:t>
      </w:r>
      <w:proofErr w:type="gramStart"/>
      <w:r w:rsidRPr="005D43FE">
        <w:t>)(</w:t>
      </w:r>
      <w:proofErr w:type="gramEnd"/>
      <w:r w:rsidRPr="00AE6107">
        <w:t>b</w:t>
      </w:r>
      <w:r w:rsidRPr="005D43FE">
        <w:t xml:space="preserve">) of the </w:t>
      </w:r>
      <w:r w:rsidRPr="005D43FE">
        <w:rPr>
          <w:i/>
        </w:rPr>
        <w:t>Code</w:t>
      </w:r>
      <w:r w:rsidRPr="005D43FE">
        <w:t xml:space="preserve"> represents a choice by the legislature to discourage hate speech in a manner that is conciliatory and remedi</w:t>
      </w:r>
      <w:r w:rsidR="00A9480F" w:rsidRPr="005D43FE">
        <w:t>al</w:t>
      </w:r>
      <w:r w:rsidR="00620536" w:rsidRPr="005D43FE">
        <w:t xml:space="preserve">.  </w:t>
      </w:r>
      <w:r w:rsidRPr="005D43FE">
        <w:t>The protection of vulnerable groups from the harmful effect emanating from hate speech is of such importance as to justify the minimal infringement of expression.</w:t>
      </w:r>
    </w:p>
    <w:p w:rsidR="0091466D" w:rsidRPr="005D43FE" w:rsidRDefault="00A9480F" w:rsidP="000A4ED8">
      <w:pPr>
        <w:pStyle w:val="SCCNormalDoubleSpacing"/>
        <w:spacing w:before="480" w:after="480"/>
      </w:pPr>
      <w:r w:rsidRPr="005D43FE">
        <w:tab/>
        <w:t>Section </w:t>
      </w:r>
      <w:r w:rsidR="0091466D" w:rsidRPr="005D43FE">
        <w:t>14(1</w:t>
      </w:r>
      <w:proofErr w:type="gramStart"/>
      <w:r w:rsidR="0091466D" w:rsidRPr="005D43FE">
        <w:t>)(</w:t>
      </w:r>
      <w:proofErr w:type="gramEnd"/>
      <w:r w:rsidR="0091466D" w:rsidRPr="00AE6107">
        <w:t>b</w:t>
      </w:r>
      <w:r w:rsidR="0091466D" w:rsidRPr="005D43FE">
        <w:t xml:space="preserve">) of the </w:t>
      </w:r>
      <w:r w:rsidR="0091466D" w:rsidRPr="005D43FE">
        <w:rPr>
          <w:i/>
        </w:rPr>
        <w:t>Code</w:t>
      </w:r>
      <w:r w:rsidR="0091466D" w:rsidRPr="005D43FE">
        <w:t xml:space="preserve"> also infringes freedom of conscience and religion as guaranteed under s.</w:t>
      </w:r>
      <w:r w:rsidRPr="005D43FE">
        <w:t> </w:t>
      </w:r>
      <w:r w:rsidR="0091466D" w:rsidRPr="005D43FE">
        <w:t>2(</w:t>
      </w:r>
      <w:r w:rsidR="0091466D" w:rsidRPr="005D43FE">
        <w:rPr>
          <w:i/>
        </w:rPr>
        <w:t>a</w:t>
      </w:r>
      <w:r w:rsidR="0091466D" w:rsidRPr="005D43FE">
        <w:t xml:space="preserve">) of the </w:t>
      </w:r>
      <w:r w:rsidR="0091466D" w:rsidRPr="005D43FE">
        <w:rPr>
          <w:i/>
        </w:rPr>
        <w:t>Charter</w:t>
      </w:r>
      <w:r w:rsidR="00620536" w:rsidRPr="005D43FE">
        <w:t xml:space="preserve">.  </w:t>
      </w:r>
      <w:r w:rsidR="0091466D" w:rsidRPr="005D43FE">
        <w:t xml:space="preserve">An infringement of </w:t>
      </w:r>
      <w:r w:rsidRPr="005D43FE">
        <w:t>s. </w:t>
      </w:r>
      <w:r w:rsidR="0091466D" w:rsidRPr="005D43FE">
        <w:t>2(</w:t>
      </w:r>
      <w:r w:rsidR="0091466D" w:rsidRPr="005D43FE">
        <w:rPr>
          <w:i/>
        </w:rPr>
        <w:t>a</w:t>
      </w:r>
      <w:r w:rsidR="0091466D" w:rsidRPr="005D43FE">
        <w:t>) will be established where:</w:t>
      </w:r>
      <w:r w:rsidRPr="005D43FE">
        <w:t xml:space="preserve">  (1) </w:t>
      </w:r>
      <w:r w:rsidR="0091466D" w:rsidRPr="005D43FE">
        <w:t>the claimant sincerely holds a belief or practice that has</w:t>
      </w:r>
      <w:r w:rsidRPr="005D43FE">
        <w:t xml:space="preserve"> a nexus with religion; and (2) </w:t>
      </w:r>
      <w:r w:rsidR="0091466D" w:rsidRPr="005D43FE">
        <w:t>the provision at issue interferes with the claimant’s ability to act in accordance with his or her religious beliefs</w:t>
      </w:r>
      <w:r w:rsidR="00620536" w:rsidRPr="005D43FE">
        <w:t xml:space="preserve">.  </w:t>
      </w:r>
      <w:r w:rsidR="0091466D" w:rsidRPr="005D43FE">
        <w:t>To the extent that an individual’s choice of expression is caught by t</w:t>
      </w:r>
      <w:r w:rsidRPr="005D43FE">
        <w:t>he definition of “hatred” in s. </w:t>
      </w:r>
      <w:r w:rsidR="0091466D" w:rsidRPr="005D43FE">
        <w:t>14(1</w:t>
      </w:r>
      <w:proofErr w:type="gramStart"/>
      <w:r w:rsidR="0091466D" w:rsidRPr="005D43FE">
        <w:t>)(</w:t>
      </w:r>
      <w:proofErr w:type="gramEnd"/>
      <w:r w:rsidR="0091466D" w:rsidRPr="00AE6107">
        <w:t>b</w:t>
      </w:r>
      <w:r w:rsidR="0091466D" w:rsidRPr="005D43FE">
        <w:t xml:space="preserve">), the prohibition will substantially interfere with that individual’s ability to disseminate his or her belief by display or publication of those representations. </w:t>
      </w:r>
    </w:p>
    <w:p w:rsidR="0091466D" w:rsidRPr="005D43FE" w:rsidRDefault="0091466D" w:rsidP="000A4ED8">
      <w:pPr>
        <w:pStyle w:val="SCCNormalDoubleSpacing"/>
        <w:spacing w:before="480" w:after="480"/>
      </w:pPr>
      <w:r w:rsidRPr="005D43FE">
        <w:tab/>
        <w:t>For the</w:t>
      </w:r>
      <w:r w:rsidR="00620536" w:rsidRPr="005D43FE">
        <w:t xml:space="preserve"> same reasons set out in the s. </w:t>
      </w:r>
      <w:r w:rsidRPr="005D43FE">
        <w:t>1 analysis in the case of freedom of expression, the words “ridicules, belittles or otherwise affronts the dignity of” are not rationally connected to the legislative purpose of addressing systemic discrimination of protected groups, nor tailored to minimally impair freedom of religion</w:t>
      </w:r>
      <w:r w:rsidR="00620536" w:rsidRPr="005D43FE">
        <w:t xml:space="preserve">.  </w:t>
      </w:r>
      <w:r w:rsidRPr="005D43FE">
        <w:t xml:space="preserve">The remaining prohibition of any representation “that exposes or tends to expose to hatred” any person or class of persons on the basis of a prohibited ground is a reasonable limit on freedom of religion and is demonstrably justified in a free and democratic society. </w:t>
      </w:r>
    </w:p>
    <w:p w:rsidR="0091466D" w:rsidRPr="005D43FE" w:rsidRDefault="0091466D" w:rsidP="000A4ED8">
      <w:pPr>
        <w:pStyle w:val="SCCNormalDoubleSpacing"/>
        <w:spacing w:before="480" w:after="480"/>
      </w:pPr>
      <w:r w:rsidRPr="005D43FE">
        <w:tab/>
        <w:t>While the standard of review of the tribunal’s decision on the constitutionality of s.</w:t>
      </w:r>
      <w:r w:rsidR="00A9480F" w:rsidRPr="005D43FE">
        <w:t> </w:t>
      </w:r>
      <w:r w:rsidRPr="005D43FE">
        <w:t xml:space="preserve">14 of the </w:t>
      </w:r>
      <w:r w:rsidRPr="005D43FE">
        <w:rPr>
          <w:i/>
        </w:rPr>
        <w:t>Code</w:t>
      </w:r>
      <w:r w:rsidRPr="005D43FE">
        <w:t xml:space="preserve"> is correctness, the standard of review of the tribunal’s decision that the flyers contravene that provision must be reasonablene</w:t>
      </w:r>
      <w:r w:rsidR="00A9480F" w:rsidRPr="005D43FE">
        <w:t>ss</w:t>
      </w:r>
      <w:r w:rsidR="00620536" w:rsidRPr="005D43FE">
        <w:t xml:space="preserve">.  </w:t>
      </w:r>
      <w:r w:rsidRPr="005D43FE">
        <w:t>The tribunal did not unreasonably fail to give proper weight to the importance of protecting expression that is part of an ongoing debate on sexual morality and public policy</w:t>
      </w:r>
      <w:r w:rsidR="00620536" w:rsidRPr="005D43FE">
        <w:t xml:space="preserve">.  </w:t>
      </w:r>
      <w:r w:rsidRPr="005D43FE">
        <w:t>Nor was it unreasonable in isolating certain excerpts from the flyers for examination, or in finding that the flyers criticize sexual orientation and not simply sexual behaviour</w:t>
      </w:r>
      <w:r w:rsidR="00620536" w:rsidRPr="005D43FE">
        <w:t xml:space="preserve">.  </w:t>
      </w:r>
      <w:r w:rsidRPr="005D43FE">
        <w:t>That the rights of a vulnerable group are a matter of ongoing discussion does not justify greater exposure by that group to hatred and its effects</w:t>
      </w:r>
      <w:r w:rsidR="00620536" w:rsidRPr="005D43FE">
        <w:t xml:space="preserve">.  </w:t>
      </w:r>
      <w:r w:rsidRPr="005D43FE">
        <w:t>The only expressi</w:t>
      </w:r>
      <w:r w:rsidR="00A9480F" w:rsidRPr="005D43FE">
        <w:t>on which should be caught by s. </w:t>
      </w:r>
      <w:r w:rsidRPr="005D43FE">
        <w:t>14(1</w:t>
      </w:r>
      <w:proofErr w:type="gramStart"/>
      <w:r w:rsidRPr="005D43FE">
        <w:t>)(</w:t>
      </w:r>
      <w:proofErr w:type="gramEnd"/>
      <w:r w:rsidRPr="00AE6107">
        <w:t>b</w:t>
      </w:r>
      <w:r w:rsidRPr="005D43FE">
        <w:t xml:space="preserve">) of the </w:t>
      </w:r>
      <w:r w:rsidRPr="005D43FE">
        <w:rPr>
          <w:i/>
        </w:rPr>
        <w:t>Code</w:t>
      </w:r>
      <w:r w:rsidRPr="005D43FE">
        <w:t xml:space="preserve"> is hate</w:t>
      </w:r>
      <w:r w:rsidR="00A9480F" w:rsidRPr="005D43FE">
        <w:noBreakHyphen/>
      </w:r>
      <w:proofErr w:type="spellStart"/>
      <w:r w:rsidRPr="005D43FE">
        <w:t>inspiring</w:t>
      </w:r>
      <w:proofErr w:type="spellEnd"/>
      <w:r w:rsidRPr="005D43FE">
        <w:t xml:space="preserve"> expression that adds little value to the political discourse or to the quest for truth, </w:t>
      </w:r>
      <w:proofErr w:type="spellStart"/>
      <w:r w:rsidRPr="005D43FE">
        <w:t>self</w:t>
      </w:r>
      <w:proofErr w:type="spellEnd"/>
      <w:r w:rsidR="00A9480F" w:rsidRPr="005D43FE">
        <w:noBreakHyphen/>
      </w:r>
      <w:proofErr w:type="spellStart"/>
      <w:r w:rsidRPr="005D43FE">
        <w:t>fulfillment</w:t>
      </w:r>
      <w:proofErr w:type="spellEnd"/>
      <w:r w:rsidRPr="005D43FE">
        <w:t>, and an embracing marketplace of ideas</w:t>
      </w:r>
      <w:r w:rsidR="00620536" w:rsidRPr="005D43FE">
        <w:t xml:space="preserve">.  </w:t>
      </w:r>
      <w:r w:rsidRPr="005D43FE">
        <w:t>The words and phrases in a publication cannot properly be assessed out of context, and the expression must be considered as a whole, to determine the overall impact</w:t>
      </w:r>
      <w:r w:rsidR="00B66EF3" w:rsidRPr="005D43FE">
        <w:t xml:space="preserve"> or effect of the publication</w:t>
      </w:r>
      <w:r w:rsidR="00620536" w:rsidRPr="005D43FE">
        <w:t xml:space="preserve">.  </w:t>
      </w:r>
      <w:r w:rsidRPr="005D43FE">
        <w:t>However, it is also legitimate to proceed with a closer scrutiny of those parts of the expression which draw nearer to the purview of s.</w:t>
      </w:r>
      <w:r w:rsidR="00A9480F" w:rsidRPr="005D43FE">
        <w:t> </w:t>
      </w:r>
      <w:r w:rsidRPr="005D43FE">
        <w:t>14(1</w:t>
      </w:r>
      <w:proofErr w:type="gramStart"/>
      <w:r w:rsidRPr="005D43FE">
        <w:t>)(</w:t>
      </w:r>
      <w:proofErr w:type="gramEnd"/>
      <w:r w:rsidRPr="00AE6107">
        <w:t>b</w:t>
      </w:r>
      <w:r w:rsidRPr="005D43FE">
        <w:t xml:space="preserve">) of the </w:t>
      </w:r>
      <w:r w:rsidRPr="005D43FE">
        <w:rPr>
          <w:i/>
        </w:rPr>
        <w:t>Code</w:t>
      </w:r>
      <w:r w:rsidR="00620536" w:rsidRPr="005D43FE">
        <w:t xml:space="preserve">.  </w:t>
      </w:r>
      <w:r w:rsidRPr="005D43FE">
        <w:t xml:space="preserve">If, despite the context of the entire publication, even one phrase or sentence is found to bring the publication, as a whole, in contravention of the </w:t>
      </w:r>
      <w:r w:rsidRPr="005D43FE">
        <w:rPr>
          <w:i/>
        </w:rPr>
        <w:t>Code</w:t>
      </w:r>
      <w:r w:rsidRPr="005D43FE">
        <w:t xml:space="preserve">, this precludes its publication in its current form. </w:t>
      </w:r>
    </w:p>
    <w:p w:rsidR="0091466D" w:rsidRPr="005D43FE" w:rsidRDefault="0091466D" w:rsidP="000A4ED8">
      <w:pPr>
        <w:pStyle w:val="SCCNormalDoubleSpacing"/>
        <w:spacing w:before="480" w:after="480"/>
      </w:pPr>
      <w:r w:rsidRPr="005D43FE">
        <w:tab/>
        <w:t xml:space="preserve">The tribunal’s conclusions with respect to </w:t>
      </w:r>
      <w:r w:rsidR="00B66EF3" w:rsidRPr="005D43FE">
        <w:t>t</w:t>
      </w:r>
      <w:r w:rsidRPr="005D43FE">
        <w:t>he first two flyers were reasonable</w:t>
      </w:r>
      <w:r w:rsidR="00620536" w:rsidRPr="005D43FE">
        <w:t xml:space="preserve">.  </w:t>
      </w:r>
      <w:r w:rsidRPr="005D43FE">
        <w:t>Passages of these flyers combine many of the hallmarks of hatred identified in the case law</w:t>
      </w:r>
      <w:r w:rsidR="00620536" w:rsidRPr="005D43FE">
        <w:t xml:space="preserve">.  </w:t>
      </w:r>
      <w:r w:rsidRPr="005D43FE">
        <w:t>The expression portrays the targeted group as a menace that threatens the safety and well</w:t>
      </w:r>
      <w:r w:rsidR="00A9480F" w:rsidRPr="005D43FE">
        <w:noBreakHyphen/>
      </w:r>
      <w:r w:rsidRPr="005D43FE">
        <w:t>being of others, makes reference to respected sources in an effort to lend credibility to the negative generalizations, and uses vilifying and derogatory representations to create a tone of hatred</w:t>
      </w:r>
      <w:r w:rsidR="00620536" w:rsidRPr="005D43FE">
        <w:t xml:space="preserve">.  </w:t>
      </w:r>
      <w:r w:rsidR="00B66EF3" w:rsidRPr="005D43FE">
        <w:t xml:space="preserve">The flyers also </w:t>
      </w:r>
      <w:r w:rsidRPr="005D43FE">
        <w:t>expressly call for discriminatory treatment of those of same</w:t>
      </w:r>
      <w:r w:rsidR="00A9480F" w:rsidRPr="005D43FE">
        <w:noBreakHyphen/>
      </w:r>
      <w:proofErr w:type="spellStart"/>
      <w:r w:rsidRPr="005D43FE">
        <w:t>sex</w:t>
      </w:r>
      <w:proofErr w:type="spellEnd"/>
      <w:r w:rsidRPr="005D43FE">
        <w:t xml:space="preserve"> orientation</w:t>
      </w:r>
      <w:r w:rsidR="00620536" w:rsidRPr="005D43FE">
        <w:t xml:space="preserve">.  </w:t>
      </w:r>
      <w:r w:rsidRPr="005D43FE">
        <w:t xml:space="preserve">It was not unreasonable for the tribunal to conclude that this expression was more likely than not to expose homosexuals to hatred. </w:t>
      </w:r>
    </w:p>
    <w:p w:rsidR="00610539" w:rsidRPr="005D43FE" w:rsidRDefault="0091466D" w:rsidP="000A4ED8">
      <w:pPr>
        <w:pStyle w:val="SCCNormalDoubleSpacing"/>
        <w:spacing w:before="480" w:after="480"/>
      </w:pPr>
      <w:r w:rsidRPr="005D43FE">
        <w:tab/>
        <w:t>The tribunal’s decision with respect to the other two flyers was unreasonable and cannot be upheld</w:t>
      </w:r>
      <w:r w:rsidR="00620536" w:rsidRPr="005D43FE">
        <w:t xml:space="preserve">.  </w:t>
      </w:r>
      <w:r w:rsidRPr="005D43FE">
        <w:t>The tribunal erred by failing to apply s.</w:t>
      </w:r>
      <w:r w:rsidR="00A9480F" w:rsidRPr="005D43FE">
        <w:t> </w:t>
      </w:r>
      <w:r w:rsidRPr="005D43FE">
        <w:t>14(1</w:t>
      </w:r>
      <w:proofErr w:type="gramStart"/>
      <w:r w:rsidRPr="005D43FE">
        <w:t>)(</w:t>
      </w:r>
      <w:proofErr w:type="gramEnd"/>
      <w:r w:rsidRPr="00AE6107">
        <w:t>b</w:t>
      </w:r>
      <w:r w:rsidRPr="005D43FE">
        <w:t>) to the facts before it in accordance with the proper legal test</w:t>
      </w:r>
      <w:r w:rsidR="00620536" w:rsidRPr="005D43FE">
        <w:t xml:space="preserve">.  </w:t>
      </w:r>
      <w:r w:rsidRPr="005D43FE">
        <w:t>It cannot reasonably be found that those flyers contain expression that a reasonable person, aware of the relevant context and circumstances, would find as exposing or likely to expose persons of same</w:t>
      </w:r>
      <w:r w:rsidR="00A9480F" w:rsidRPr="005D43FE">
        <w:noBreakHyphen/>
      </w:r>
      <w:proofErr w:type="spellStart"/>
      <w:r w:rsidRPr="005D43FE">
        <w:t>sex</w:t>
      </w:r>
      <w:proofErr w:type="spellEnd"/>
      <w:r w:rsidRPr="005D43FE">
        <w:t xml:space="preserve"> orientation to detestation and vilification</w:t>
      </w:r>
      <w:r w:rsidR="00620536" w:rsidRPr="005D43FE">
        <w:t xml:space="preserve">.  </w:t>
      </w:r>
      <w:r w:rsidRPr="005D43FE">
        <w:t>The expression, while offensive, does not demonstrate the hatred required by the prohibition.</w:t>
      </w:r>
    </w:p>
    <w:p w:rsidR="007E1C47" w:rsidRPr="005D43FE" w:rsidRDefault="002E6705" w:rsidP="00815782">
      <w:pPr>
        <w:pStyle w:val="SCCNormalDoubleSpacing"/>
        <w:keepNext/>
        <w:spacing w:after="720" w:line="240" w:lineRule="auto"/>
        <w:rPr>
          <w:b/>
        </w:rPr>
      </w:pPr>
      <w:r w:rsidRPr="005D43FE">
        <w:rPr>
          <w:b/>
        </w:rPr>
        <w:t>Cases Cited</w:t>
      </w:r>
    </w:p>
    <w:p w:rsidR="004E2C26" w:rsidRPr="005D43FE" w:rsidRDefault="002E6705" w:rsidP="00580F33">
      <w:pPr>
        <w:pStyle w:val="SCCNormalDoubleSpacing"/>
        <w:spacing w:before="480" w:after="480"/>
      </w:pPr>
      <w:r w:rsidRPr="005D43FE">
        <w:tab/>
      </w:r>
      <w:r w:rsidRPr="005D43FE">
        <w:rPr>
          <w:b/>
        </w:rPr>
        <w:t>Referred to:</w:t>
      </w:r>
      <w:r w:rsidR="00BD0E9E" w:rsidRPr="005D43FE">
        <w:t xml:space="preserve"> </w:t>
      </w:r>
      <w:r w:rsidR="00B72A33" w:rsidRPr="005D43FE">
        <w:t xml:space="preserve"> </w:t>
      </w:r>
      <w:r w:rsidR="00973B0F" w:rsidRPr="005D43FE">
        <w:rPr>
          <w:i/>
          <w:spacing w:val="-3"/>
        </w:rPr>
        <w:t>R.</w:t>
      </w:r>
      <w:r w:rsidR="00973B0F" w:rsidRPr="005D43FE">
        <w:rPr>
          <w:i/>
          <w:iCs/>
          <w:spacing w:val="-3"/>
        </w:rPr>
        <w:t xml:space="preserve"> v.</w:t>
      </w:r>
      <w:r w:rsidR="00973B0F" w:rsidRPr="005D43FE">
        <w:rPr>
          <w:i/>
          <w:spacing w:val="-3"/>
        </w:rPr>
        <w:t xml:space="preserve"> </w:t>
      </w:r>
      <w:proofErr w:type="spellStart"/>
      <w:r w:rsidR="00973B0F" w:rsidRPr="005D43FE">
        <w:rPr>
          <w:i/>
          <w:spacing w:val="-3"/>
        </w:rPr>
        <w:t>Keegstra</w:t>
      </w:r>
      <w:proofErr w:type="spellEnd"/>
      <w:r w:rsidR="00973B0F" w:rsidRPr="005D43FE">
        <w:rPr>
          <w:spacing w:val="-3"/>
        </w:rPr>
        <w:t xml:space="preserve">, [1990] 3 S.C.R. 697; </w:t>
      </w:r>
      <w:r w:rsidR="00973B0F" w:rsidRPr="005D43FE">
        <w:rPr>
          <w:i/>
          <w:iCs/>
          <w:spacing w:val="-3"/>
        </w:rPr>
        <w:t>R. v. Andrews</w:t>
      </w:r>
      <w:r w:rsidR="00973B0F" w:rsidRPr="005D43FE">
        <w:rPr>
          <w:spacing w:val="-3"/>
        </w:rPr>
        <w:t xml:space="preserve">, [1990] 3 S.C.R. 870; </w:t>
      </w:r>
      <w:r w:rsidR="00973B0F" w:rsidRPr="005D43FE">
        <w:rPr>
          <w:i/>
        </w:rPr>
        <w:t xml:space="preserve">R. </w:t>
      </w:r>
      <w:r w:rsidR="00973B0F" w:rsidRPr="005D43FE">
        <w:rPr>
          <w:i/>
          <w:iCs/>
        </w:rPr>
        <w:t>v.</w:t>
      </w:r>
      <w:r w:rsidR="00973B0F" w:rsidRPr="005D43FE">
        <w:rPr>
          <w:i/>
        </w:rPr>
        <w:t xml:space="preserve"> </w:t>
      </w:r>
      <w:proofErr w:type="spellStart"/>
      <w:r w:rsidR="00973B0F" w:rsidRPr="005D43FE">
        <w:rPr>
          <w:i/>
        </w:rPr>
        <w:t>Krymowski</w:t>
      </w:r>
      <w:proofErr w:type="spellEnd"/>
      <w:r w:rsidR="00973B0F" w:rsidRPr="005D43FE">
        <w:t xml:space="preserve">, 2005 SCC 7, [2005] 1 S.C.R. 101; </w:t>
      </w:r>
      <w:r w:rsidR="00973B0F" w:rsidRPr="005D43FE">
        <w:rPr>
          <w:i/>
          <w:iCs/>
          <w:spacing w:val="-3"/>
        </w:rPr>
        <w:t>Canada (Human Rights Commission) v. Taylor</w:t>
      </w:r>
      <w:r w:rsidR="00973B0F" w:rsidRPr="005D43FE">
        <w:rPr>
          <w:spacing w:val="-3"/>
        </w:rPr>
        <w:t>, [1990] 3 S.C.R. 892</w:t>
      </w:r>
      <w:r w:rsidR="00D2667C" w:rsidRPr="005D43FE">
        <w:rPr>
          <w:spacing w:val="-3"/>
        </w:rPr>
        <w:t xml:space="preserve">; </w:t>
      </w:r>
      <w:r w:rsidR="00D2667C" w:rsidRPr="005D43FE">
        <w:rPr>
          <w:i/>
          <w:iCs/>
        </w:rPr>
        <w:t xml:space="preserve">Human Rights Commission (Sask.) v. Bell </w:t>
      </w:r>
      <w:r w:rsidR="00D2667C" w:rsidRPr="005D43FE">
        <w:rPr>
          <w:iCs/>
        </w:rPr>
        <w:t>(1994), 120 Sask. R. 122</w:t>
      </w:r>
      <w:r w:rsidR="0021477D" w:rsidRPr="005D43FE">
        <w:rPr>
          <w:iCs/>
        </w:rPr>
        <w:t>;</w:t>
      </w:r>
      <w:r w:rsidR="00D2667C" w:rsidRPr="005D43FE">
        <w:t xml:space="preserve"> </w:t>
      </w:r>
      <w:r w:rsidR="00D2667C" w:rsidRPr="005D43FE">
        <w:rPr>
          <w:i/>
          <w:iCs/>
        </w:rPr>
        <w:t>Owens v. Human Rights Commission (Sask.)</w:t>
      </w:r>
      <w:r w:rsidR="00D2667C" w:rsidRPr="005D43FE">
        <w:rPr>
          <w:iCs/>
        </w:rPr>
        <w:t xml:space="preserve">, </w:t>
      </w:r>
      <w:r w:rsidR="00D2667C" w:rsidRPr="005D43FE">
        <w:rPr>
          <w:bCs/>
          <w:iCs/>
        </w:rPr>
        <w:t xml:space="preserve">2002 SKQB 506, 228 Sask. R. 148, </w:t>
      </w:r>
      <w:proofErr w:type="spellStart"/>
      <w:r w:rsidR="00D2667C" w:rsidRPr="005D43FE">
        <w:rPr>
          <w:bCs/>
          <w:iCs/>
        </w:rPr>
        <w:t>rev</w:t>
      </w:r>
      <w:r w:rsidR="0021477D" w:rsidRPr="005D43FE">
        <w:rPr>
          <w:bCs/>
          <w:iCs/>
        </w:rPr>
        <w:t>’</w:t>
      </w:r>
      <w:r w:rsidR="00D2667C" w:rsidRPr="005D43FE">
        <w:rPr>
          <w:bCs/>
          <w:iCs/>
        </w:rPr>
        <w:t>d</w:t>
      </w:r>
      <w:proofErr w:type="spellEnd"/>
      <w:r w:rsidR="00D2667C" w:rsidRPr="005D43FE">
        <w:rPr>
          <w:bCs/>
          <w:iCs/>
        </w:rPr>
        <w:t xml:space="preserve"> 2006 SKCA 41, 267 D.L.R. (4th) 7</w:t>
      </w:r>
      <w:r w:rsidR="0021477D" w:rsidRPr="005D43FE">
        <w:rPr>
          <w:bCs/>
          <w:iCs/>
        </w:rPr>
        <w:t>3</w:t>
      </w:r>
      <w:r w:rsidR="00D2667C" w:rsidRPr="005D43FE">
        <w:rPr>
          <w:bCs/>
          <w:iCs/>
        </w:rPr>
        <w:t>3</w:t>
      </w:r>
      <w:r w:rsidR="00A40759" w:rsidRPr="005D43FE">
        <w:rPr>
          <w:bCs/>
          <w:iCs/>
        </w:rPr>
        <w:t xml:space="preserve">; </w:t>
      </w:r>
      <w:r w:rsidR="00A40759" w:rsidRPr="005D43FE">
        <w:rPr>
          <w:i/>
        </w:rPr>
        <w:t>Kane v. Alberta Report</w:t>
      </w:r>
      <w:r w:rsidR="001E1C09" w:rsidRPr="005D43FE">
        <w:t>,</w:t>
      </w:r>
      <w:r w:rsidR="00A40759" w:rsidRPr="005D43FE">
        <w:rPr>
          <w:i/>
        </w:rPr>
        <w:t xml:space="preserve"> </w:t>
      </w:r>
      <w:r w:rsidR="00A40759" w:rsidRPr="005D43FE">
        <w:t>2001 ABQB 570</w:t>
      </w:r>
      <w:r w:rsidR="001E1C09" w:rsidRPr="005D43FE">
        <w:t>,</w:t>
      </w:r>
      <w:r w:rsidR="00A40759" w:rsidRPr="005D43FE">
        <w:t xml:space="preserve"> 291 A</w:t>
      </w:r>
      <w:r w:rsidR="001E1C09" w:rsidRPr="005D43FE">
        <w:t>.</w:t>
      </w:r>
      <w:r w:rsidR="00A40759" w:rsidRPr="005D43FE">
        <w:t>R</w:t>
      </w:r>
      <w:r w:rsidR="001E1C09" w:rsidRPr="005D43FE">
        <w:t>.</w:t>
      </w:r>
      <w:r w:rsidR="00A40759" w:rsidRPr="005D43FE">
        <w:t xml:space="preserve"> 71; </w:t>
      </w:r>
      <w:proofErr w:type="spellStart"/>
      <w:r w:rsidR="00A40759" w:rsidRPr="005D43FE">
        <w:rPr>
          <w:i/>
        </w:rPr>
        <w:t>Elmasry</w:t>
      </w:r>
      <w:proofErr w:type="spellEnd"/>
      <w:r w:rsidR="00A40759" w:rsidRPr="005D43FE">
        <w:rPr>
          <w:i/>
        </w:rPr>
        <w:t xml:space="preserve"> v. Rogers Publishing </w:t>
      </w:r>
      <w:r w:rsidR="001E1C09" w:rsidRPr="005D43FE">
        <w:rPr>
          <w:i/>
        </w:rPr>
        <w:t xml:space="preserve">Ltd. </w:t>
      </w:r>
      <w:r w:rsidR="00A40759" w:rsidRPr="005D43FE">
        <w:rPr>
          <w:i/>
        </w:rPr>
        <w:t>(</w:t>
      </w:r>
      <w:r w:rsidR="00A9480F" w:rsidRPr="005D43FE">
        <w:rPr>
          <w:i/>
        </w:rPr>
        <w:t>No. </w:t>
      </w:r>
      <w:r w:rsidR="00A40759" w:rsidRPr="005D43FE">
        <w:rPr>
          <w:i/>
        </w:rPr>
        <w:t>4)</w:t>
      </w:r>
      <w:r w:rsidR="00A40759" w:rsidRPr="005D43FE">
        <w:t>, 2008 BCHRT 378</w:t>
      </w:r>
      <w:r w:rsidR="001E1C09" w:rsidRPr="005D43FE">
        <w:t>, 64 C.H.R.R. D/509</w:t>
      </w:r>
      <w:r w:rsidR="007073E1" w:rsidRPr="005D43FE">
        <w:t xml:space="preserve">; </w:t>
      </w:r>
      <w:proofErr w:type="spellStart"/>
      <w:r w:rsidR="007073E1" w:rsidRPr="005D43FE">
        <w:rPr>
          <w:i/>
        </w:rPr>
        <w:t>Nealy</w:t>
      </w:r>
      <w:proofErr w:type="spellEnd"/>
      <w:r w:rsidR="007073E1" w:rsidRPr="005D43FE">
        <w:rPr>
          <w:i/>
        </w:rPr>
        <w:t xml:space="preserve"> v. Johnston </w:t>
      </w:r>
      <w:r w:rsidR="007073E1" w:rsidRPr="005D43FE">
        <w:t>(1989), 10 C.H.R.R. D/6450</w:t>
      </w:r>
      <w:r w:rsidR="00924B39" w:rsidRPr="005D43FE">
        <w:t xml:space="preserve">; </w:t>
      </w:r>
      <w:proofErr w:type="spellStart"/>
      <w:r w:rsidR="00924B39" w:rsidRPr="005D43FE">
        <w:rPr>
          <w:i/>
        </w:rPr>
        <w:t>Warman</w:t>
      </w:r>
      <w:proofErr w:type="spellEnd"/>
      <w:r w:rsidR="00924B39" w:rsidRPr="005D43FE">
        <w:rPr>
          <w:i/>
        </w:rPr>
        <w:t xml:space="preserve"> v. </w:t>
      </w:r>
      <w:proofErr w:type="spellStart"/>
      <w:r w:rsidR="00924B39" w:rsidRPr="005D43FE">
        <w:rPr>
          <w:i/>
        </w:rPr>
        <w:t>Kouba</w:t>
      </w:r>
      <w:proofErr w:type="spellEnd"/>
      <w:r w:rsidR="00924B39" w:rsidRPr="005D43FE">
        <w:t>, 2006 CHRT 50 (CanLII)</w:t>
      </w:r>
      <w:r w:rsidR="007D68B0" w:rsidRPr="005D43FE">
        <w:t xml:space="preserve">; </w:t>
      </w:r>
      <w:r w:rsidR="007D68B0" w:rsidRPr="005D43FE">
        <w:rPr>
          <w:i/>
        </w:rPr>
        <w:t xml:space="preserve">Citron v. </w:t>
      </w:r>
      <w:proofErr w:type="spellStart"/>
      <w:r w:rsidR="007D68B0" w:rsidRPr="005D43FE">
        <w:rPr>
          <w:i/>
        </w:rPr>
        <w:t>Zündel</w:t>
      </w:r>
      <w:proofErr w:type="spellEnd"/>
      <w:r w:rsidR="007D68B0" w:rsidRPr="005D43FE">
        <w:rPr>
          <w:i/>
        </w:rPr>
        <w:t xml:space="preserve"> (</w:t>
      </w:r>
      <w:r w:rsidR="00A9480F" w:rsidRPr="005D43FE">
        <w:rPr>
          <w:i/>
        </w:rPr>
        <w:t>No. </w:t>
      </w:r>
      <w:r w:rsidR="007D68B0" w:rsidRPr="005D43FE">
        <w:rPr>
          <w:i/>
        </w:rPr>
        <w:t>4)</w:t>
      </w:r>
      <w:r w:rsidR="007D68B0" w:rsidRPr="005D43FE">
        <w:t xml:space="preserve"> (2002), 41 C.H.R.R. D/274; </w:t>
      </w:r>
      <w:proofErr w:type="spellStart"/>
      <w:r w:rsidR="007D68B0" w:rsidRPr="005D43FE">
        <w:rPr>
          <w:i/>
          <w:iCs/>
        </w:rPr>
        <w:t>Warman</w:t>
      </w:r>
      <w:proofErr w:type="spellEnd"/>
      <w:r w:rsidR="007D68B0" w:rsidRPr="005D43FE">
        <w:rPr>
          <w:i/>
          <w:iCs/>
        </w:rPr>
        <w:t xml:space="preserve"> v. </w:t>
      </w:r>
      <w:proofErr w:type="spellStart"/>
      <w:r w:rsidR="007D68B0" w:rsidRPr="005D43FE">
        <w:rPr>
          <w:i/>
          <w:iCs/>
        </w:rPr>
        <w:t>Tremaine</w:t>
      </w:r>
      <w:proofErr w:type="spellEnd"/>
      <w:r w:rsidR="00C572D3" w:rsidRPr="005D43FE">
        <w:rPr>
          <w:i/>
          <w:iCs/>
        </w:rPr>
        <w:t xml:space="preserve"> (</w:t>
      </w:r>
      <w:r w:rsidR="00A9480F" w:rsidRPr="005D43FE">
        <w:rPr>
          <w:i/>
          <w:iCs/>
        </w:rPr>
        <w:t>No. </w:t>
      </w:r>
      <w:r w:rsidR="00C572D3" w:rsidRPr="005D43FE">
        <w:rPr>
          <w:i/>
          <w:iCs/>
        </w:rPr>
        <w:t>2)</w:t>
      </w:r>
      <w:r w:rsidR="007D68B0" w:rsidRPr="005D43FE">
        <w:t xml:space="preserve">, 2007 CHRT 2, 59 C.H.R.R. </w:t>
      </w:r>
      <w:r w:rsidR="00B42FF5" w:rsidRPr="005D43FE">
        <w:t>D/</w:t>
      </w:r>
      <w:r w:rsidR="007D68B0" w:rsidRPr="005D43FE">
        <w:t>391</w:t>
      </w:r>
      <w:r w:rsidR="000274F3" w:rsidRPr="005D43FE">
        <w:t xml:space="preserve">; </w:t>
      </w:r>
      <w:proofErr w:type="spellStart"/>
      <w:r w:rsidR="000274F3" w:rsidRPr="005D43FE">
        <w:rPr>
          <w:i/>
        </w:rPr>
        <w:t>Payzant</w:t>
      </w:r>
      <w:proofErr w:type="spellEnd"/>
      <w:r w:rsidR="000274F3" w:rsidRPr="005D43FE">
        <w:rPr>
          <w:i/>
        </w:rPr>
        <w:t xml:space="preserve"> v. </w:t>
      </w:r>
      <w:proofErr w:type="spellStart"/>
      <w:r w:rsidR="000274F3" w:rsidRPr="005D43FE">
        <w:rPr>
          <w:i/>
        </w:rPr>
        <w:t>McAleer</w:t>
      </w:r>
      <w:proofErr w:type="spellEnd"/>
      <w:r w:rsidR="000274F3" w:rsidRPr="005D43FE">
        <w:rPr>
          <w:i/>
        </w:rPr>
        <w:t xml:space="preserve"> </w:t>
      </w:r>
      <w:r w:rsidR="000274F3" w:rsidRPr="005D43FE">
        <w:t xml:space="preserve">(1994), 26 C.H.R.R. D/271, </w:t>
      </w:r>
      <w:proofErr w:type="spellStart"/>
      <w:r w:rsidR="000274F3" w:rsidRPr="005D43FE">
        <w:t>aff’d</w:t>
      </w:r>
      <w:proofErr w:type="spellEnd"/>
      <w:r w:rsidR="000274F3" w:rsidRPr="005D43FE">
        <w:t xml:space="preserve"> </w:t>
      </w:r>
      <w:r w:rsidR="00185CB8" w:rsidRPr="005D43FE">
        <w:t xml:space="preserve">(1996), </w:t>
      </w:r>
      <w:r w:rsidR="000274F3" w:rsidRPr="005D43FE">
        <w:t xml:space="preserve">26 C.H.R.R. D/280; </w:t>
      </w:r>
      <w:proofErr w:type="spellStart"/>
      <w:r w:rsidR="000274F3" w:rsidRPr="005D43FE">
        <w:rPr>
          <w:i/>
        </w:rPr>
        <w:t>Warman</w:t>
      </w:r>
      <w:proofErr w:type="spellEnd"/>
      <w:r w:rsidR="000274F3" w:rsidRPr="005D43FE">
        <w:rPr>
          <w:i/>
        </w:rPr>
        <w:t xml:space="preserve"> v. Northern Alliance</w:t>
      </w:r>
      <w:r w:rsidR="000274F3" w:rsidRPr="005D43FE">
        <w:t xml:space="preserve">, 2009 CHRT 10 (CanLII); </w:t>
      </w:r>
      <w:r w:rsidR="000274F3" w:rsidRPr="005D43FE">
        <w:rPr>
          <w:i/>
        </w:rPr>
        <w:t>Cent</w:t>
      </w:r>
      <w:r w:rsidR="00AC44BB" w:rsidRPr="005D43FE">
        <w:rPr>
          <w:i/>
        </w:rPr>
        <w:t>e</w:t>
      </w:r>
      <w:r w:rsidR="000274F3" w:rsidRPr="005D43FE">
        <w:rPr>
          <w:i/>
        </w:rPr>
        <w:t>r for Research</w:t>
      </w:r>
      <w:r w:rsidR="00A9480F" w:rsidRPr="005D43FE">
        <w:rPr>
          <w:i/>
        </w:rPr>
        <w:noBreakHyphen/>
      </w:r>
      <w:proofErr w:type="spellStart"/>
      <w:r w:rsidR="000274F3" w:rsidRPr="005D43FE">
        <w:rPr>
          <w:i/>
        </w:rPr>
        <w:t>Action</w:t>
      </w:r>
      <w:proofErr w:type="spellEnd"/>
      <w:r w:rsidR="000274F3" w:rsidRPr="005D43FE">
        <w:rPr>
          <w:i/>
        </w:rPr>
        <w:t xml:space="preserve"> on Race Relations v. www.</w:t>
      </w:r>
      <w:r w:rsidR="00AC44BB" w:rsidRPr="005D43FE">
        <w:rPr>
          <w:i/>
        </w:rPr>
        <w:t>b</w:t>
      </w:r>
      <w:r w:rsidR="000274F3" w:rsidRPr="005D43FE">
        <w:rPr>
          <w:i/>
        </w:rPr>
        <w:t>cwhitepride.com</w:t>
      </w:r>
      <w:r w:rsidR="000274F3" w:rsidRPr="005D43FE">
        <w:t xml:space="preserve">, 2008 CHRT 1 (CanLII); </w:t>
      </w:r>
      <w:proofErr w:type="spellStart"/>
      <w:r w:rsidR="000274F3" w:rsidRPr="005D43FE">
        <w:rPr>
          <w:i/>
        </w:rPr>
        <w:t>Warman</w:t>
      </w:r>
      <w:proofErr w:type="spellEnd"/>
      <w:r w:rsidR="000274F3" w:rsidRPr="005D43FE">
        <w:rPr>
          <w:i/>
        </w:rPr>
        <w:t xml:space="preserve"> v. </w:t>
      </w:r>
      <w:proofErr w:type="spellStart"/>
      <w:r w:rsidR="000274F3" w:rsidRPr="005D43FE">
        <w:rPr>
          <w:i/>
        </w:rPr>
        <w:t>Winnicki</w:t>
      </w:r>
      <w:proofErr w:type="spellEnd"/>
      <w:r w:rsidR="00881DED" w:rsidRPr="005D43FE">
        <w:rPr>
          <w:i/>
        </w:rPr>
        <w:t xml:space="preserve"> </w:t>
      </w:r>
      <w:r w:rsidR="008F7F38" w:rsidRPr="005D43FE">
        <w:rPr>
          <w:i/>
        </w:rPr>
        <w:t>(</w:t>
      </w:r>
      <w:r w:rsidR="00A9480F" w:rsidRPr="005D43FE">
        <w:rPr>
          <w:i/>
        </w:rPr>
        <w:t>No. </w:t>
      </w:r>
      <w:r w:rsidR="00881DED" w:rsidRPr="005D43FE">
        <w:rPr>
          <w:i/>
        </w:rPr>
        <w:t>2</w:t>
      </w:r>
      <w:r w:rsidR="008F7F38" w:rsidRPr="005D43FE">
        <w:rPr>
          <w:i/>
        </w:rPr>
        <w:t>)</w:t>
      </w:r>
      <w:r w:rsidR="00881DED" w:rsidRPr="005D43FE">
        <w:t xml:space="preserve">, </w:t>
      </w:r>
      <w:r w:rsidR="000274F3" w:rsidRPr="005D43FE">
        <w:t>2006</w:t>
      </w:r>
      <w:r w:rsidR="00881DED" w:rsidRPr="005D43FE">
        <w:t xml:space="preserve"> CHRT 20,</w:t>
      </w:r>
      <w:r w:rsidR="000274F3" w:rsidRPr="005D43FE">
        <w:t xml:space="preserve"> 56 C.H.R.R. D/381</w:t>
      </w:r>
      <w:r w:rsidR="00B918C6" w:rsidRPr="005D43FE">
        <w:t xml:space="preserve">; </w:t>
      </w:r>
      <w:r w:rsidR="00B918C6" w:rsidRPr="005D43FE">
        <w:rPr>
          <w:i/>
        </w:rPr>
        <w:t>Irwin Toy Ltd. v. Quebec (Attorney General)</w:t>
      </w:r>
      <w:r w:rsidR="00B918C6" w:rsidRPr="005D43FE">
        <w:t>, [1989] 1 S.C.R. 927</w:t>
      </w:r>
      <w:r w:rsidR="00A4527C" w:rsidRPr="005D43FE">
        <w:t xml:space="preserve">; </w:t>
      </w:r>
      <w:r w:rsidR="00A4527C" w:rsidRPr="005D43FE">
        <w:rPr>
          <w:i/>
          <w:szCs w:val="24"/>
          <w:lang w:val="en-US"/>
        </w:rPr>
        <w:t xml:space="preserve">Dunsmuir </w:t>
      </w:r>
      <w:r w:rsidR="00A4527C" w:rsidRPr="005D43FE">
        <w:rPr>
          <w:i/>
          <w:iCs/>
          <w:szCs w:val="24"/>
          <w:lang w:val="en-US"/>
        </w:rPr>
        <w:t>v</w:t>
      </w:r>
      <w:r w:rsidR="00A4527C" w:rsidRPr="005D43FE">
        <w:rPr>
          <w:i/>
          <w:szCs w:val="24"/>
          <w:lang w:val="en-US"/>
        </w:rPr>
        <w:t xml:space="preserve">. </w:t>
      </w:r>
      <w:proofErr w:type="gramStart"/>
      <w:r w:rsidR="00A4527C" w:rsidRPr="005D43FE">
        <w:rPr>
          <w:i/>
          <w:szCs w:val="24"/>
          <w:lang w:val="en-US"/>
        </w:rPr>
        <w:t>New Brunswick</w:t>
      </w:r>
      <w:r w:rsidR="00A4527C" w:rsidRPr="005D43FE">
        <w:rPr>
          <w:szCs w:val="24"/>
          <w:lang w:val="en-US"/>
        </w:rPr>
        <w:t xml:space="preserve">, 2008 SCC 9, [2008] 1 S.C.R. 190; </w:t>
      </w:r>
      <w:r w:rsidR="00A4527C" w:rsidRPr="005D43FE">
        <w:rPr>
          <w:i/>
        </w:rPr>
        <w:t>Canadian Broadcasting Cor</w:t>
      </w:r>
      <w:r w:rsidR="00A9480F" w:rsidRPr="005D43FE">
        <w:rPr>
          <w:i/>
        </w:rPr>
        <w:t>p. </w:t>
      </w:r>
      <w:r w:rsidR="00A4527C" w:rsidRPr="005D43FE">
        <w:rPr>
          <w:i/>
        </w:rPr>
        <w:t>v. Canada (Attorney General)</w:t>
      </w:r>
      <w:r w:rsidR="00A4527C" w:rsidRPr="005D43FE">
        <w:t xml:space="preserve">, 2011 SCC 2, [2011] 1 S.C.R. 19; </w:t>
      </w:r>
      <w:r w:rsidR="00A4527C" w:rsidRPr="005D43FE">
        <w:rPr>
          <w:i/>
        </w:rPr>
        <w:t>R. v. Butler</w:t>
      </w:r>
      <w:r w:rsidR="00A4527C" w:rsidRPr="005D43FE">
        <w:t>,</w:t>
      </w:r>
      <w:r w:rsidR="00A4527C" w:rsidRPr="005D43FE">
        <w:rPr>
          <w:i/>
        </w:rPr>
        <w:t xml:space="preserve"> </w:t>
      </w:r>
      <w:r w:rsidR="00A4527C" w:rsidRPr="005D43FE">
        <w:t>[</w:t>
      </w:r>
      <w:r w:rsidR="00A4527C" w:rsidRPr="005D43FE">
        <w:rPr>
          <w:spacing w:val="-3"/>
        </w:rPr>
        <w:t xml:space="preserve">1992] 1 S.C.R. 452; </w:t>
      </w:r>
      <w:r w:rsidR="00A4527C" w:rsidRPr="005D43FE">
        <w:rPr>
          <w:i/>
        </w:rPr>
        <w:t>R. v.</w:t>
      </w:r>
      <w:r w:rsidR="00A4527C" w:rsidRPr="005D43FE">
        <w:t xml:space="preserve"> </w:t>
      </w:r>
      <w:r w:rsidR="00A4527C" w:rsidRPr="005D43FE">
        <w:rPr>
          <w:i/>
        </w:rPr>
        <w:t>Sharpe</w:t>
      </w:r>
      <w:r w:rsidR="00A4527C" w:rsidRPr="005D43FE">
        <w:t>,</w:t>
      </w:r>
      <w:r w:rsidR="00A4527C" w:rsidRPr="005D43FE">
        <w:rPr>
          <w:i/>
        </w:rPr>
        <w:t xml:space="preserve"> </w:t>
      </w:r>
      <w:r w:rsidR="00A4527C" w:rsidRPr="005D43FE">
        <w:t>2001 SCC 2</w:t>
      </w:r>
      <w:r w:rsidR="00B8626D" w:rsidRPr="005D43FE">
        <w:t xml:space="preserve">, [2001] 1 S.C.R. 45; </w:t>
      </w:r>
      <w:r w:rsidR="007753E0" w:rsidRPr="005D43FE">
        <w:rPr>
          <w:i/>
        </w:rPr>
        <w:t>R. v.</w:t>
      </w:r>
      <w:r w:rsidR="007753E0" w:rsidRPr="005D43FE">
        <w:t xml:space="preserve"> </w:t>
      </w:r>
      <w:r w:rsidR="007753E0" w:rsidRPr="005D43FE">
        <w:rPr>
          <w:i/>
        </w:rPr>
        <w:t>Oakes</w:t>
      </w:r>
      <w:r w:rsidR="007753E0" w:rsidRPr="005D43FE">
        <w:t xml:space="preserve">, [1986] 1 S.C.R. 103; </w:t>
      </w:r>
      <w:r w:rsidR="007753E0" w:rsidRPr="005D43FE">
        <w:rPr>
          <w:i/>
        </w:rPr>
        <w:t>Ross v.</w:t>
      </w:r>
      <w:proofErr w:type="gramEnd"/>
      <w:r w:rsidR="007753E0" w:rsidRPr="005D43FE">
        <w:rPr>
          <w:i/>
        </w:rPr>
        <w:t xml:space="preserve"> New Brunswick School District </w:t>
      </w:r>
      <w:r w:rsidR="00A9480F" w:rsidRPr="005D43FE">
        <w:rPr>
          <w:i/>
        </w:rPr>
        <w:t>No. </w:t>
      </w:r>
      <w:r w:rsidR="007753E0" w:rsidRPr="005D43FE">
        <w:rPr>
          <w:i/>
        </w:rPr>
        <w:t>15</w:t>
      </w:r>
      <w:r w:rsidR="007753E0" w:rsidRPr="005D43FE">
        <w:t>, [1996] 1 S.C.R. 825</w:t>
      </w:r>
      <w:r w:rsidR="002F2F37" w:rsidRPr="005D43FE">
        <w:t xml:space="preserve">; </w:t>
      </w:r>
      <w:proofErr w:type="spellStart"/>
      <w:r w:rsidR="002F2F37" w:rsidRPr="005D43FE">
        <w:rPr>
          <w:i/>
        </w:rPr>
        <w:t>Mugesera</w:t>
      </w:r>
      <w:proofErr w:type="spellEnd"/>
      <w:r w:rsidR="002F2F37" w:rsidRPr="005D43FE">
        <w:rPr>
          <w:i/>
        </w:rPr>
        <w:t xml:space="preserve"> v. Canada (Minister of Citizenship and Immigration)</w:t>
      </w:r>
      <w:r w:rsidR="002F2F37" w:rsidRPr="005D43FE">
        <w:t>, 2005 SCC 40, [2005] 2 S.C.R</w:t>
      </w:r>
      <w:r w:rsidR="00ED5258">
        <w:t>.</w:t>
      </w:r>
      <w:r w:rsidR="002F2F37" w:rsidRPr="005D43FE">
        <w:t xml:space="preserve"> 100</w:t>
      </w:r>
      <w:r w:rsidR="00155714" w:rsidRPr="005D43FE">
        <w:t xml:space="preserve">; </w:t>
      </w:r>
      <w:r w:rsidR="00155714" w:rsidRPr="005D43FE">
        <w:rPr>
          <w:i/>
        </w:rPr>
        <w:t xml:space="preserve">Thomson Newspapers Co. </w:t>
      </w:r>
      <w:r w:rsidR="00155714" w:rsidRPr="005D43FE">
        <w:rPr>
          <w:i/>
          <w:iCs/>
        </w:rPr>
        <w:t>v</w:t>
      </w:r>
      <w:r w:rsidR="00155714" w:rsidRPr="005D43FE">
        <w:rPr>
          <w:i/>
        </w:rPr>
        <w:t>. Canada (Attorney General)</w:t>
      </w:r>
      <w:r w:rsidR="00155714" w:rsidRPr="005D43FE">
        <w:t>, [1998] 1 S.C.R. 877</w:t>
      </w:r>
      <w:r w:rsidR="00FE44BA" w:rsidRPr="005D43FE">
        <w:t xml:space="preserve">; </w:t>
      </w:r>
      <w:r w:rsidR="00FE44BA" w:rsidRPr="005D43FE">
        <w:rPr>
          <w:i/>
        </w:rPr>
        <w:t xml:space="preserve">Canada (Attorney General) </w:t>
      </w:r>
      <w:r w:rsidR="00FE44BA" w:rsidRPr="005D43FE">
        <w:rPr>
          <w:i/>
          <w:iCs/>
        </w:rPr>
        <w:t>v.</w:t>
      </w:r>
      <w:r w:rsidR="00FE44BA" w:rsidRPr="005D43FE">
        <w:rPr>
          <w:i/>
        </w:rPr>
        <w:t xml:space="preserve"> JTI</w:t>
      </w:r>
      <w:r w:rsidR="00A9480F" w:rsidRPr="005D43FE">
        <w:rPr>
          <w:i/>
        </w:rPr>
        <w:noBreakHyphen/>
      </w:r>
      <w:proofErr w:type="spellStart"/>
      <w:r w:rsidR="00FE44BA" w:rsidRPr="005D43FE">
        <w:rPr>
          <w:i/>
        </w:rPr>
        <w:t>Macdonald</w:t>
      </w:r>
      <w:proofErr w:type="spellEnd"/>
      <w:r w:rsidR="00FE44BA" w:rsidRPr="005D43FE">
        <w:rPr>
          <w:i/>
        </w:rPr>
        <w:t xml:space="preserve"> Corp</w:t>
      </w:r>
      <w:r w:rsidR="00FE44BA" w:rsidRPr="00ED5258">
        <w:rPr>
          <w:i/>
        </w:rPr>
        <w:t>.</w:t>
      </w:r>
      <w:r w:rsidR="00FE44BA" w:rsidRPr="005D43FE">
        <w:t xml:space="preserve">, 2007 SCC 30, [2007] 2 S.C.R. 610; </w:t>
      </w:r>
      <w:r w:rsidR="00FE44BA" w:rsidRPr="005D43FE">
        <w:rPr>
          <w:i/>
        </w:rPr>
        <w:t>R. v. Edwards Books and Art Ltd</w:t>
      </w:r>
      <w:r w:rsidR="00FE44BA" w:rsidRPr="00ED5258">
        <w:rPr>
          <w:i/>
        </w:rPr>
        <w:t>.</w:t>
      </w:r>
      <w:r w:rsidR="00FE44BA" w:rsidRPr="005D43FE">
        <w:t xml:space="preserve">, [1986] 2 S.C.R. 713; </w:t>
      </w:r>
      <w:proofErr w:type="spellStart"/>
      <w:r w:rsidR="00FE44BA" w:rsidRPr="005D43FE">
        <w:rPr>
          <w:i/>
        </w:rPr>
        <w:t>Withler</w:t>
      </w:r>
      <w:proofErr w:type="spellEnd"/>
      <w:r w:rsidR="00FE44BA" w:rsidRPr="005D43FE">
        <w:rPr>
          <w:i/>
        </w:rPr>
        <w:t xml:space="preserve"> v. Canada (Attorney General)</w:t>
      </w:r>
      <w:r w:rsidR="00FE44BA" w:rsidRPr="005D43FE">
        <w:t>, 2011 SCC 12, [2011] 1 S.C.R. 396</w:t>
      </w:r>
      <w:r w:rsidR="00BF7798" w:rsidRPr="005D43FE">
        <w:t xml:space="preserve">; </w:t>
      </w:r>
      <w:r w:rsidR="00BF7798" w:rsidRPr="005D43FE">
        <w:rPr>
          <w:i/>
        </w:rPr>
        <w:t>Human Rights Commission (Sask.) v. Engineering Students’ Society, University of Saskatchewan</w:t>
      </w:r>
      <w:r w:rsidR="00BF7798" w:rsidRPr="005D43FE">
        <w:t xml:space="preserve"> (1989), 72 Sask. R. 161;</w:t>
      </w:r>
      <w:r w:rsidR="00E3657A" w:rsidRPr="005D43FE">
        <w:t xml:space="preserve"> </w:t>
      </w:r>
      <w:r w:rsidR="00E3657A" w:rsidRPr="005D43FE">
        <w:rPr>
          <w:i/>
          <w:szCs w:val="24"/>
          <w:lang w:val="en-US"/>
        </w:rPr>
        <w:t xml:space="preserve">Alberta </w:t>
      </w:r>
      <w:r w:rsidR="00E3657A" w:rsidRPr="005D43FE">
        <w:rPr>
          <w:i/>
          <w:iCs/>
          <w:szCs w:val="24"/>
          <w:lang w:val="en-US"/>
        </w:rPr>
        <w:t>v</w:t>
      </w:r>
      <w:r w:rsidR="00E3657A" w:rsidRPr="005D43FE">
        <w:rPr>
          <w:i/>
          <w:szCs w:val="24"/>
          <w:lang w:val="en-US"/>
        </w:rPr>
        <w:t xml:space="preserve">. </w:t>
      </w:r>
      <w:proofErr w:type="spellStart"/>
      <w:r w:rsidR="00E3657A" w:rsidRPr="005D43FE">
        <w:rPr>
          <w:i/>
          <w:szCs w:val="24"/>
          <w:lang w:val="en-US"/>
        </w:rPr>
        <w:t>Hutterian</w:t>
      </w:r>
      <w:proofErr w:type="spellEnd"/>
      <w:r w:rsidR="00E3657A" w:rsidRPr="005D43FE">
        <w:rPr>
          <w:i/>
          <w:szCs w:val="24"/>
          <w:lang w:val="en-US"/>
        </w:rPr>
        <w:t xml:space="preserve"> Brethren of Wilson Colony</w:t>
      </w:r>
      <w:r w:rsidR="00E3657A" w:rsidRPr="005D43FE">
        <w:rPr>
          <w:szCs w:val="24"/>
          <w:lang w:val="en-US"/>
        </w:rPr>
        <w:t>, 2009 SCC 37, [2009] 2 S.C.R. 567</w:t>
      </w:r>
      <w:r w:rsidR="00E42932" w:rsidRPr="005D43FE">
        <w:rPr>
          <w:szCs w:val="24"/>
          <w:lang w:val="en-US"/>
        </w:rPr>
        <w:t xml:space="preserve">; </w:t>
      </w:r>
      <w:r w:rsidR="00E42932" w:rsidRPr="005D43FE">
        <w:rPr>
          <w:i/>
          <w:iCs/>
        </w:rPr>
        <w:t>Abrams v. United States</w:t>
      </w:r>
      <w:r w:rsidR="00E42932" w:rsidRPr="005D43FE">
        <w:t>, 250 U.S</w:t>
      </w:r>
      <w:r w:rsidR="008F7F38" w:rsidRPr="005D43FE">
        <w:rPr>
          <w:iCs/>
        </w:rPr>
        <w:t>. 616</w:t>
      </w:r>
      <w:r w:rsidR="00E42932" w:rsidRPr="005D43FE">
        <w:rPr>
          <w:iCs/>
        </w:rPr>
        <w:t xml:space="preserve"> (1919</w:t>
      </w:r>
      <w:r w:rsidR="000A2A16" w:rsidRPr="005D43FE">
        <w:rPr>
          <w:iCs/>
        </w:rPr>
        <w:t xml:space="preserve">); </w:t>
      </w:r>
      <w:r w:rsidR="000A2A16" w:rsidRPr="005D43FE">
        <w:rPr>
          <w:i/>
        </w:rPr>
        <w:t>Zurich Insurance Co. v. Ontario (Human Rights Commission)</w:t>
      </w:r>
      <w:r w:rsidR="000A2A16" w:rsidRPr="005D43FE">
        <w:t>, [1992] 2 S.C.R. 321</w:t>
      </w:r>
      <w:r w:rsidR="003E3459" w:rsidRPr="005D43FE">
        <w:t xml:space="preserve">; </w:t>
      </w:r>
      <w:r w:rsidR="003E3459" w:rsidRPr="005D43FE">
        <w:rPr>
          <w:i/>
        </w:rPr>
        <w:t xml:space="preserve">R. v. </w:t>
      </w:r>
      <w:proofErr w:type="spellStart"/>
      <w:r w:rsidR="003E3459" w:rsidRPr="005D43FE">
        <w:rPr>
          <w:i/>
        </w:rPr>
        <w:t>Khawaja</w:t>
      </w:r>
      <w:proofErr w:type="spellEnd"/>
      <w:r w:rsidR="003E3459" w:rsidRPr="005D43FE">
        <w:t>, 2012 SCC 69</w:t>
      </w:r>
      <w:r w:rsidR="00ED5258">
        <w:t>, [2012] 3 S.C.R. 555</w:t>
      </w:r>
      <w:r w:rsidR="00F0315C" w:rsidRPr="005D43FE">
        <w:t xml:space="preserve">; </w:t>
      </w:r>
      <w:proofErr w:type="spellStart"/>
      <w:r w:rsidR="00F0315C" w:rsidRPr="005D43FE">
        <w:rPr>
          <w:i/>
        </w:rPr>
        <w:t>Kempling</w:t>
      </w:r>
      <w:proofErr w:type="spellEnd"/>
      <w:r w:rsidR="00F0315C" w:rsidRPr="005D43FE">
        <w:rPr>
          <w:i/>
        </w:rPr>
        <w:t xml:space="preserve"> v. College of Teachers (British Columbia)</w:t>
      </w:r>
      <w:r w:rsidR="00F0315C" w:rsidRPr="005D43FE">
        <w:t>, 2005 BCCA 327, 43 B.C.L.R. (4th) 41</w:t>
      </w:r>
      <w:r w:rsidR="00800445" w:rsidRPr="005D43FE">
        <w:t xml:space="preserve">; </w:t>
      </w:r>
      <w:r w:rsidR="00800445" w:rsidRPr="005D43FE">
        <w:rPr>
          <w:i/>
        </w:rPr>
        <w:t>Snyder v. Phelps</w:t>
      </w:r>
      <w:r w:rsidR="00800445" w:rsidRPr="005D43FE">
        <w:t>, 131 S. Ct. 1207 (2011)</w:t>
      </w:r>
      <w:r w:rsidR="0060014F" w:rsidRPr="005D43FE">
        <w:t xml:space="preserve">; </w:t>
      </w:r>
      <w:r w:rsidR="0060014F" w:rsidRPr="005D43FE">
        <w:rPr>
          <w:i/>
        </w:rPr>
        <w:t>Rocket v. Royal College of Dental Surgeons of Ontario</w:t>
      </w:r>
      <w:r w:rsidR="0060014F" w:rsidRPr="005D43FE">
        <w:t xml:space="preserve">, [1990] 2 S.C.R. 232; </w:t>
      </w:r>
      <w:r w:rsidR="0060014F" w:rsidRPr="005D43FE">
        <w:rPr>
          <w:i/>
        </w:rPr>
        <w:t>Trinity Western University v. British Columbia College of Teachers</w:t>
      </w:r>
      <w:r w:rsidR="0060014F" w:rsidRPr="005D43FE">
        <w:t xml:space="preserve">, 2001 SCC 31, [2001] 1 S.C.R. 772; </w:t>
      </w:r>
      <w:r w:rsidR="008F7F38" w:rsidRPr="005D43FE">
        <w:rPr>
          <w:i/>
        </w:rPr>
        <w:t>Egan v. Canada</w:t>
      </w:r>
      <w:r w:rsidR="008F7F38" w:rsidRPr="005D43FE">
        <w:t xml:space="preserve">, [1995] 2 S.C.R. 513; </w:t>
      </w:r>
      <w:r w:rsidR="0060014F" w:rsidRPr="005D43FE">
        <w:rPr>
          <w:i/>
        </w:rPr>
        <w:t>R. v. Big M Drug Mart Ltd.</w:t>
      </w:r>
      <w:r w:rsidR="0060014F" w:rsidRPr="005D43FE">
        <w:t>, [1985] 1 S.C.R. 295</w:t>
      </w:r>
      <w:r w:rsidR="00753FF1" w:rsidRPr="005D43FE">
        <w:t xml:space="preserve">; </w:t>
      </w:r>
      <w:proofErr w:type="spellStart"/>
      <w:r w:rsidR="00753FF1" w:rsidRPr="005D43FE">
        <w:rPr>
          <w:i/>
        </w:rPr>
        <w:t>Multani</w:t>
      </w:r>
      <w:proofErr w:type="spellEnd"/>
      <w:r w:rsidR="00753FF1" w:rsidRPr="005D43FE">
        <w:rPr>
          <w:i/>
        </w:rPr>
        <w:t xml:space="preserve"> v. Commission </w:t>
      </w:r>
      <w:proofErr w:type="spellStart"/>
      <w:r w:rsidR="00753FF1" w:rsidRPr="005D43FE">
        <w:rPr>
          <w:i/>
        </w:rPr>
        <w:t>scolaire</w:t>
      </w:r>
      <w:proofErr w:type="spellEnd"/>
      <w:r w:rsidR="00753FF1" w:rsidRPr="005D43FE">
        <w:rPr>
          <w:i/>
        </w:rPr>
        <w:t xml:space="preserve"> Marguerite</w:t>
      </w:r>
      <w:r w:rsidR="00A9480F" w:rsidRPr="005D43FE">
        <w:rPr>
          <w:i/>
        </w:rPr>
        <w:noBreakHyphen/>
      </w:r>
      <w:proofErr w:type="spellStart"/>
      <w:r w:rsidR="00753FF1" w:rsidRPr="005D43FE">
        <w:rPr>
          <w:i/>
        </w:rPr>
        <w:t>Bourgeoys</w:t>
      </w:r>
      <w:proofErr w:type="spellEnd"/>
      <w:r w:rsidR="00753FF1" w:rsidRPr="005D43FE">
        <w:t>, 2006 SCC 6, [2006] 1 S.C.R. 256</w:t>
      </w:r>
      <w:r w:rsidR="0060014F" w:rsidRPr="005D43FE">
        <w:t>;</w:t>
      </w:r>
      <w:r w:rsidR="00753FF1" w:rsidRPr="005D43FE">
        <w:t xml:space="preserve"> </w:t>
      </w:r>
      <w:r w:rsidR="00753FF1" w:rsidRPr="005D43FE">
        <w:rPr>
          <w:i/>
        </w:rPr>
        <w:t>B. (R</w:t>
      </w:r>
      <w:r w:rsidR="0027648C" w:rsidRPr="005D43FE">
        <w:rPr>
          <w:i/>
        </w:rPr>
        <w:t>.</w:t>
      </w:r>
      <w:r w:rsidR="00753FF1" w:rsidRPr="005D43FE">
        <w:rPr>
          <w:i/>
        </w:rPr>
        <w:t>) v. Children’s Aid Society of Metropolitan Toronto</w:t>
      </w:r>
      <w:r w:rsidR="00753FF1" w:rsidRPr="005D43FE">
        <w:t xml:space="preserve">, [1995] 1 S.C.R. 315; </w:t>
      </w:r>
      <w:proofErr w:type="spellStart"/>
      <w:r w:rsidR="0060014F" w:rsidRPr="005D43FE">
        <w:rPr>
          <w:i/>
        </w:rPr>
        <w:t>Syndicat</w:t>
      </w:r>
      <w:proofErr w:type="spellEnd"/>
      <w:r w:rsidR="0060014F" w:rsidRPr="005D43FE">
        <w:rPr>
          <w:i/>
        </w:rPr>
        <w:t xml:space="preserve"> </w:t>
      </w:r>
      <w:proofErr w:type="spellStart"/>
      <w:r w:rsidR="0060014F" w:rsidRPr="005D43FE">
        <w:rPr>
          <w:i/>
        </w:rPr>
        <w:t>Northcrest</w:t>
      </w:r>
      <w:proofErr w:type="spellEnd"/>
      <w:r w:rsidR="0060014F" w:rsidRPr="005D43FE">
        <w:rPr>
          <w:i/>
        </w:rPr>
        <w:t xml:space="preserve"> v. </w:t>
      </w:r>
      <w:proofErr w:type="spellStart"/>
      <w:r w:rsidR="0060014F" w:rsidRPr="005D43FE">
        <w:rPr>
          <w:i/>
        </w:rPr>
        <w:t>Amselem</w:t>
      </w:r>
      <w:proofErr w:type="spellEnd"/>
      <w:r w:rsidR="0060014F" w:rsidRPr="005D43FE">
        <w:t>, 2004 SCC 47, [2004] 2 S.C.R. 551</w:t>
      </w:r>
      <w:r w:rsidR="00E901BC" w:rsidRPr="005D43FE">
        <w:t xml:space="preserve">; </w:t>
      </w:r>
      <w:r w:rsidR="00E901BC" w:rsidRPr="005D43FE">
        <w:rPr>
          <w:i/>
        </w:rPr>
        <w:t>Smith v. Alliance Pipeline Ltd.</w:t>
      </w:r>
      <w:r w:rsidR="00E901BC" w:rsidRPr="005D43FE">
        <w:t xml:space="preserve">, 2011 SCC 7, [2011] 1 S.C.R. 160; </w:t>
      </w:r>
      <w:r w:rsidR="00E901BC" w:rsidRPr="005D43FE">
        <w:rPr>
          <w:i/>
        </w:rPr>
        <w:t>Alberta (Information and Privacy Commissioner) v. Alberta Teachers’ Association</w:t>
      </w:r>
      <w:r w:rsidR="00E901BC" w:rsidRPr="005D43FE">
        <w:t>, 2011 SCC 61, [2011] 3 S.C.R. 654</w:t>
      </w:r>
      <w:r w:rsidR="0060014F" w:rsidRPr="005D43FE">
        <w:t>.</w:t>
      </w:r>
    </w:p>
    <w:p w:rsidR="003B215F" w:rsidRPr="005D43FE" w:rsidRDefault="002E6705" w:rsidP="00580F33">
      <w:pPr>
        <w:pStyle w:val="SCCNormalDoubleSpacing"/>
        <w:keepNext/>
        <w:spacing w:after="720" w:line="240" w:lineRule="auto"/>
      </w:pPr>
      <w:r w:rsidRPr="005D43FE">
        <w:rPr>
          <w:b/>
        </w:rPr>
        <w:t>Statutes and Regulations Cite</w:t>
      </w:r>
      <w:r w:rsidR="00A41805" w:rsidRPr="005D43FE">
        <w:rPr>
          <w:b/>
        </w:rPr>
        <w:t>d</w:t>
      </w:r>
    </w:p>
    <w:p w:rsidR="00ED5258" w:rsidRPr="00ED5258" w:rsidRDefault="00ED5258" w:rsidP="00580F33">
      <w:pPr>
        <w:pStyle w:val="SCCNormalDoubleSpacing"/>
        <w:spacing w:after="240" w:line="240" w:lineRule="auto"/>
        <w:ind w:left="547" w:hanging="547"/>
      </w:pPr>
      <w:proofErr w:type="gramStart"/>
      <w:r>
        <w:t xml:space="preserve">Bill C-304, </w:t>
      </w:r>
      <w:r>
        <w:rPr>
          <w:i/>
        </w:rPr>
        <w:t>An Act to amend the Canadian Human Rights Act (protecting freedom)</w:t>
      </w:r>
      <w:r>
        <w:t>, 1</w:t>
      </w:r>
      <w:r w:rsidRPr="00ED5258">
        <w:t>st</w:t>
      </w:r>
      <w:r>
        <w:rPr>
          <w:vertAlign w:val="superscript"/>
        </w:rPr>
        <w:t xml:space="preserve"> </w:t>
      </w:r>
      <w:r>
        <w:t>Sess., 41</w:t>
      </w:r>
      <w:r w:rsidRPr="00ED5258">
        <w:t>st</w:t>
      </w:r>
      <w:r>
        <w:t xml:space="preserve"> Parl., June 6, 2012.</w:t>
      </w:r>
      <w:proofErr w:type="gramEnd"/>
    </w:p>
    <w:p w:rsidR="00A149DF" w:rsidRPr="005D43FE" w:rsidRDefault="00725B10" w:rsidP="00580F33">
      <w:pPr>
        <w:pStyle w:val="SCCNormalDoubleSpacing"/>
        <w:spacing w:after="240" w:line="240" w:lineRule="auto"/>
        <w:ind w:left="547" w:hanging="547"/>
      </w:pPr>
      <w:proofErr w:type="gramStart"/>
      <w:r w:rsidRPr="005D43FE">
        <w:rPr>
          <w:i/>
        </w:rPr>
        <w:t>Canadian Charter of Rights and Freedoms</w:t>
      </w:r>
      <w:r w:rsidRPr="005D43FE">
        <w:t xml:space="preserve">, </w:t>
      </w:r>
      <w:r w:rsidR="00A9480F" w:rsidRPr="005D43FE">
        <w:t>ss. </w:t>
      </w:r>
      <w:r w:rsidR="00D2667C" w:rsidRPr="005D43FE">
        <w:t xml:space="preserve">1, </w:t>
      </w:r>
      <w:r w:rsidRPr="005D43FE">
        <w:t>2</w:t>
      </w:r>
      <w:r w:rsidR="00D2667C" w:rsidRPr="005D43FE">
        <w:t>, 15</w:t>
      </w:r>
      <w:r w:rsidRPr="005D43FE">
        <w:t>.</w:t>
      </w:r>
      <w:proofErr w:type="gramEnd"/>
    </w:p>
    <w:p w:rsidR="00D2667C" w:rsidRPr="005D43FE" w:rsidRDefault="00D2667C" w:rsidP="00580F33">
      <w:pPr>
        <w:pStyle w:val="SCCNormalDoubleSpacing"/>
        <w:spacing w:after="240" w:line="240" w:lineRule="auto"/>
        <w:ind w:left="547" w:hanging="547"/>
      </w:pPr>
      <w:r w:rsidRPr="005D43FE">
        <w:rPr>
          <w:i/>
        </w:rPr>
        <w:t>Canadian Human Rights Act</w:t>
      </w:r>
      <w:r w:rsidRPr="005D43FE">
        <w:t>, S.C. 19</w:t>
      </w:r>
      <w:r w:rsidR="00A610F1" w:rsidRPr="005D43FE">
        <w:t>76</w:t>
      </w:r>
      <w:r w:rsidR="00A9480F" w:rsidRPr="005D43FE">
        <w:noBreakHyphen/>
      </w:r>
      <w:r w:rsidR="00A610F1" w:rsidRPr="005D43FE">
        <w:t>77</w:t>
      </w:r>
      <w:r w:rsidR="00580F33" w:rsidRPr="005D43FE">
        <w:t>, c. </w:t>
      </w:r>
      <w:r w:rsidR="00A610F1" w:rsidRPr="005D43FE">
        <w:t>33</w:t>
      </w:r>
      <w:r w:rsidR="00056AB6">
        <w:t xml:space="preserve"> [now R.S.C. 1985, c. H-6]</w:t>
      </w:r>
      <w:r w:rsidR="00580F33" w:rsidRPr="005D43FE">
        <w:t>, s. </w:t>
      </w:r>
      <w:r w:rsidRPr="005D43FE">
        <w:t>13(1).</w:t>
      </w:r>
    </w:p>
    <w:p w:rsidR="00973B0F" w:rsidRPr="005D43FE" w:rsidRDefault="00973B0F" w:rsidP="00580F33">
      <w:pPr>
        <w:pStyle w:val="SCCNormalDoubleSpacing"/>
        <w:spacing w:after="240" w:line="240" w:lineRule="auto"/>
        <w:ind w:left="547" w:hanging="547"/>
        <w:rPr>
          <w:lang w:val="fr-CA"/>
        </w:rPr>
      </w:pPr>
      <w:proofErr w:type="spellStart"/>
      <w:r w:rsidRPr="005D43FE">
        <w:rPr>
          <w:i/>
          <w:lang w:val="fr-CA"/>
        </w:rPr>
        <w:t>Criminal</w:t>
      </w:r>
      <w:proofErr w:type="spellEnd"/>
      <w:r w:rsidRPr="005D43FE">
        <w:rPr>
          <w:i/>
          <w:lang w:val="fr-CA"/>
        </w:rPr>
        <w:t xml:space="preserve"> Code</w:t>
      </w:r>
      <w:r w:rsidRPr="005D43FE">
        <w:rPr>
          <w:lang w:val="fr-CA"/>
        </w:rPr>
        <w:t>, R.S.C</w:t>
      </w:r>
      <w:r w:rsidR="00580F33" w:rsidRPr="005D43FE">
        <w:rPr>
          <w:lang w:val="fr-CA"/>
        </w:rPr>
        <w:t>. 1985, c. </w:t>
      </w:r>
      <w:r w:rsidRPr="005D43FE">
        <w:rPr>
          <w:lang w:val="fr-CA"/>
        </w:rPr>
        <w:t>C</w:t>
      </w:r>
      <w:r w:rsidR="00A9480F" w:rsidRPr="005D43FE">
        <w:rPr>
          <w:lang w:val="fr-CA"/>
        </w:rPr>
        <w:noBreakHyphen/>
      </w:r>
      <w:r w:rsidRPr="005D43FE">
        <w:rPr>
          <w:lang w:val="fr-CA"/>
        </w:rPr>
        <w:t>46.</w:t>
      </w:r>
    </w:p>
    <w:p w:rsidR="00973B0F" w:rsidRDefault="008E4B69" w:rsidP="00056AB6">
      <w:pPr>
        <w:pStyle w:val="SCCNormalDoubleSpacing"/>
        <w:spacing w:after="240" w:line="240" w:lineRule="auto"/>
        <w:ind w:left="547" w:hanging="547"/>
      </w:pPr>
      <w:r w:rsidRPr="005D43FE">
        <w:rPr>
          <w:i/>
        </w:rPr>
        <w:t>Saskatchewan Human Rights Code</w:t>
      </w:r>
      <w:r w:rsidRPr="005D43FE">
        <w:t xml:space="preserve">, </w:t>
      </w:r>
      <w:r w:rsidR="00580F33" w:rsidRPr="005D43FE">
        <w:t xml:space="preserve">S.S. </w:t>
      </w:r>
      <w:r w:rsidR="00580F33" w:rsidRPr="00084D90">
        <w:rPr>
          <w:lang w:val="en-US"/>
        </w:rPr>
        <w:t>1979</w:t>
      </w:r>
      <w:r w:rsidR="00580F33" w:rsidRPr="005D43FE">
        <w:t>, c. </w:t>
      </w:r>
      <w:r w:rsidRPr="005D43FE">
        <w:t>S</w:t>
      </w:r>
      <w:r w:rsidR="00A9480F" w:rsidRPr="005D43FE">
        <w:noBreakHyphen/>
      </w:r>
      <w:r w:rsidRPr="005D43FE">
        <w:t xml:space="preserve">24.1, </w:t>
      </w:r>
      <w:r w:rsidR="00A9480F" w:rsidRPr="005D43FE">
        <w:t>ss. </w:t>
      </w:r>
      <w:r w:rsidRPr="005D43FE">
        <w:t>2(1</w:t>
      </w:r>
      <w:proofErr w:type="gramStart"/>
      <w:r w:rsidRPr="005D43FE">
        <w:t>)(</w:t>
      </w:r>
      <w:proofErr w:type="gramEnd"/>
      <w:r w:rsidRPr="00056AB6">
        <w:t>m.01</w:t>
      </w:r>
      <w:r w:rsidRPr="005D43FE">
        <w:t>)</w:t>
      </w:r>
      <w:r w:rsidR="00D2667C" w:rsidRPr="005D43FE">
        <w:t>(vi), 3, 4, 5, 14</w:t>
      </w:r>
      <w:r w:rsidR="00226144" w:rsidRPr="005D43FE">
        <w:t>, 31(4)</w:t>
      </w:r>
      <w:r w:rsidR="00056AB6">
        <w:t xml:space="preserve"> [rep. 2011, c. 17, s. 15]</w:t>
      </w:r>
      <w:r w:rsidR="00226144" w:rsidRPr="005D43FE">
        <w:t>, 31.4(</w:t>
      </w:r>
      <w:r w:rsidR="00226144" w:rsidRPr="00056AB6">
        <w:t>a</w:t>
      </w:r>
      <w:r w:rsidR="00226144" w:rsidRPr="005D43FE">
        <w:t>), (</w:t>
      </w:r>
      <w:r w:rsidR="00226144" w:rsidRPr="00056AB6">
        <w:t>b</w:t>
      </w:r>
      <w:r w:rsidR="00226144" w:rsidRPr="005D43FE">
        <w:t>)</w:t>
      </w:r>
      <w:r w:rsidR="008A3C17" w:rsidRPr="005D43FE">
        <w:t>, 32(1)</w:t>
      </w:r>
      <w:r w:rsidRPr="005D43FE">
        <w:t>.</w:t>
      </w:r>
    </w:p>
    <w:p w:rsidR="00056AB6" w:rsidRDefault="00056AB6" w:rsidP="00056AB6">
      <w:pPr>
        <w:pStyle w:val="SCCNormalDoubleSpacing"/>
        <w:spacing w:after="240" w:line="240" w:lineRule="auto"/>
        <w:ind w:left="547" w:hanging="547"/>
      </w:pPr>
      <w:proofErr w:type="gramStart"/>
      <w:r>
        <w:rPr>
          <w:i/>
        </w:rPr>
        <w:t>Saskatchewan Human Rights Code Amendment Act, 2000</w:t>
      </w:r>
      <w:r>
        <w:t>, S.S. 2000, c. 26.</w:t>
      </w:r>
      <w:proofErr w:type="gramEnd"/>
    </w:p>
    <w:p w:rsidR="00056AB6" w:rsidRPr="00056AB6" w:rsidRDefault="00056AB6" w:rsidP="00056AB6">
      <w:pPr>
        <w:pStyle w:val="SCCNormalDoubleSpacing"/>
        <w:spacing w:after="240" w:line="240" w:lineRule="auto"/>
        <w:ind w:left="547" w:hanging="547"/>
      </w:pPr>
      <w:proofErr w:type="gramStart"/>
      <w:r>
        <w:rPr>
          <w:i/>
        </w:rPr>
        <w:t>Saskatchewan Human Rights Code Amendment Act, 2011</w:t>
      </w:r>
      <w:r>
        <w:t>, S.S. 2011, c. 17.</w:t>
      </w:r>
      <w:proofErr w:type="gramEnd"/>
    </w:p>
    <w:p w:rsidR="00056AB6" w:rsidRPr="005D43FE" w:rsidRDefault="00056AB6" w:rsidP="00580F33">
      <w:pPr>
        <w:pStyle w:val="SCCNormalDoubleSpacing"/>
        <w:spacing w:after="720" w:line="240" w:lineRule="auto"/>
        <w:ind w:left="547" w:hanging="547"/>
      </w:pPr>
    </w:p>
    <w:p w:rsidR="002E6705" w:rsidRPr="005D43FE" w:rsidRDefault="002E6705" w:rsidP="00580F33">
      <w:pPr>
        <w:pStyle w:val="SCCNormalDoubleSpacing"/>
        <w:keepNext/>
        <w:spacing w:after="720" w:line="240" w:lineRule="auto"/>
        <w:rPr>
          <w:b/>
        </w:rPr>
      </w:pPr>
      <w:r w:rsidRPr="005D43FE">
        <w:rPr>
          <w:b/>
        </w:rPr>
        <w:t>Authors Cited</w:t>
      </w:r>
    </w:p>
    <w:p w:rsidR="00405010" w:rsidRPr="005D43FE" w:rsidRDefault="00405010" w:rsidP="007E0AAB">
      <w:pPr>
        <w:spacing w:after="240"/>
        <w:ind w:left="540" w:hanging="540"/>
      </w:pPr>
      <w:r w:rsidRPr="005D43FE">
        <w:t xml:space="preserve">Canada.  </w:t>
      </w:r>
      <w:proofErr w:type="gramStart"/>
      <w:r w:rsidRPr="005D43FE">
        <w:t>Special Committee on Hate Propaganda in Canada.</w:t>
      </w:r>
      <w:proofErr w:type="gramEnd"/>
      <w:r w:rsidRPr="005D43FE">
        <w:t xml:space="preserve">  </w:t>
      </w:r>
      <w:proofErr w:type="gramStart"/>
      <w:r w:rsidRPr="005D43FE">
        <w:rPr>
          <w:i/>
        </w:rPr>
        <w:t>Report of the Special Committee on Hate Propaganda in Canada</w:t>
      </w:r>
      <w:r w:rsidRPr="005D43FE">
        <w:t>.</w:t>
      </w:r>
      <w:proofErr w:type="gramEnd"/>
      <w:r w:rsidRPr="005D43FE">
        <w:t xml:space="preserve">  Ottawa:  Queen’s Printer, 1966.</w:t>
      </w:r>
    </w:p>
    <w:p w:rsidR="00A40759" w:rsidRPr="005D43FE" w:rsidRDefault="00A40759" w:rsidP="007E0AAB">
      <w:pPr>
        <w:pStyle w:val="SCCNormalDoubleSpacing"/>
        <w:spacing w:after="240" w:line="240" w:lineRule="auto"/>
        <w:ind w:left="540" w:hanging="540"/>
      </w:pPr>
      <w:r w:rsidRPr="005D43FE">
        <w:t>Cardozo</w:t>
      </w:r>
      <w:r w:rsidR="000552E2" w:rsidRPr="005D43FE">
        <w:t>, Benjamin</w:t>
      </w:r>
      <w:r w:rsidR="007E0AAB" w:rsidRPr="005D43FE">
        <w:t> </w:t>
      </w:r>
      <w:r w:rsidRPr="005D43FE">
        <w:t xml:space="preserve">N.  </w:t>
      </w:r>
      <w:proofErr w:type="gramStart"/>
      <w:r w:rsidRPr="005D43FE">
        <w:rPr>
          <w:rFonts w:eastAsiaTheme="minorEastAsia"/>
          <w:i/>
          <w:szCs w:val="22"/>
          <w:lang w:eastAsia="en-US"/>
        </w:rPr>
        <w:t>The Nature of the Judicial Proce</w:t>
      </w:r>
      <w:r w:rsidR="00A9480F" w:rsidRPr="005D43FE">
        <w:rPr>
          <w:rFonts w:eastAsiaTheme="minorEastAsia"/>
          <w:i/>
          <w:szCs w:val="22"/>
          <w:lang w:eastAsia="en-US"/>
        </w:rPr>
        <w:t>ss</w:t>
      </w:r>
      <w:r w:rsidR="00A9480F" w:rsidRPr="00491FEB">
        <w:rPr>
          <w:rFonts w:eastAsiaTheme="minorEastAsia"/>
          <w:szCs w:val="22"/>
          <w:lang w:eastAsia="en-US"/>
        </w:rPr>
        <w:t>.</w:t>
      </w:r>
      <w:proofErr w:type="gramEnd"/>
      <w:r w:rsidR="00580F33" w:rsidRPr="005D43FE">
        <w:rPr>
          <w:rFonts w:eastAsiaTheme="minorEastAsia"/>
          <w:i/>
          <w:szCs w:val="22"/>
          <w:lang w:eastAsia="en-US"/>
        </w:rPr>
        <w:t xml:space="preserve"> </w:t>
      </w:r>
      <w:r w:rsidRPr="005D43FE">
        <w:t xml:space="preserve"> New Haven</w:t>
      </w:r>
      <w:r w:rsidR="00491FEB">
        <w:t>, Conn.</w:t>
      </w:r>
      <w:r w:rsidRPr="005D43FE">
        <w:t>:  Yale University Press, 1921.</w:t>
      </w:r>
    </w:p>
    <w:p w:rsidR="000C63BC" w:rsidRPr="005D43FE" w:rsidRDefault="000C63BC" w:rsidP="007E0AAB">
      <w:pPr>
        <w:pStyle w:val="SCCNormalDoubleSpacing"/>
        <w:spacing w:after="240" w:line="240" w:lineRule="auto"/>
        <w:ind w:left="540" w:hanging="540"/>
        <w:rPr>
          <w:iCs/>
        </w:rPr>
      </w:pPr>
      <w:proofErr w:type="spellStart"/>
      <w:r w:rsidRPr="005D43FE">
        <w:rPr>
          <w:iCs/>
        </w:rPr>
        <w:t>Dworkin</w:t>
      </w:r>
      <w:proofErr w:type="spellEnd"/>
      <w:r w:rsidRPr="005D43FE">
        <w:rPr>
          <w:iCs/>
        </w:rPr>
        <w:t xml:space="preserve">, Ronald.  </w:t>
      </w:r>
      <w:proofErr w:type="gramStart"/>
      <w:r w:rsidRPr="005D43FE">
        <w:rPr>
          <w:iCs/>
        </w:rPr>
        <w:t xml:space="preserve">“Foreword”, in Ivan Hare and James Weinstein, eds., </w:t>
      </w:r>
      <w:r w:rsidRPr="005D43FE">
        <w:rPr>
          <w:i/>
          <w:iCs/>
        </w:rPr>
        <w:t>Extreme Speech and Democracy</w:t>
      </w:r>
      <w:r w:rsidRPr="005D43FE">
        <w:rPr>
          <w:iCs/>
        </w:rPr>
        <w:t>.</w:t>
      </w:r>
      <w:proofErr w:type="gramEnd"/>
      <w:r w:rsidRPr="005D43FE">
        <w:rPr>
          <w:iCs/>
        </w:rPr>
        <w:t xml:space="preserve">  New York:  Oxford University Press, 2009</w:t>
      </w:r>
      <w:r w:rsidR="0031056D">
        <w:rPr>
          <w:iCs/>
        </w:rPr>
        <w:t>, v</w:t>
      </w:r>
      <w:r w:rsidRPr="005D43FE">
        <w:rPr>
          <w:iCs/>
        </w:rPr>
        <w:t>.</w:t>
      </w:r>
    </w:p>
    <w:p w:rsidR="00A40759" w:rsidRPr="005D43FE" w:rsidRDefault="00F1057D" w:rsidP="007E0AAB">
      <w:pPr>
        <w:pStyle w:val="SCCNormalDoubleSpacing"/>
        <w:spacing w:after="240" w:line="240" w:lineRule="auto"/>
        <w:ind w:left="540" w:hanging="540"/>
      </w:pPr>
      <w:r w:rsidRPr="005D43FE">
        <w:t xml:space="preserve">McNamara, Luke.  “Negotiating the Contours of Unlawful Hate Speech:  Regulation Under Provincial Human Rights Laws in Canada” (2005), 38 </w:t>
      </w:r>
      <w:r w:rsidRPr="005D43FE">
        <w:rPr>
          <w:i/>
        </w:rPr>
        <w:t>U.B.C.</w:t>
      </w:r>
      <w:r w:rsidR="00491FEB">
        <w:rPr>
          <w:i/>
        </w:rPr>
        <w:t xml:space="preserve"> </w:t>
      </w:r>
      <w:r w:rsidRPr="005D43FE">
        <w:rPr>
          <w:i/>
        </w:rPr>
        <w:t>L. Rev</w:t>
      </w:r>
      <w:r w:rsidRPr="00491FEB">
        <w:rPr>
          <w:i/>
        </w:rPr>
        <w:t>.</w:t>
      </w:r>
      <w:r w:rsidRPr="005D43FE">
        <w:t xml:space="preserve"> 1.</w:t>
      </w:r>
    </w:p>
    <w:p w:rsidR="00E10F2C" w:rsidRPr="005D43FE" w:rsidRDefault="00E10F2C" w:rsidP="007E0AAB">
      <w:pPr>
        <w:pStyle w:val="SCCNormalDoubleSpacing"/>
        <w:spacing w:after="240" w:line="240" w:lineRule="auto"/>
        <w:ind w:left="540" w:hanging="540"/>
      </w:pPr>
      <w:r w:rsidRPr="005D43FE">
        <w:t xml:space="preserve">Moon, Richard.  </w:t>
      </w:r>
      <w:r w:rsidRPr="005D43FE">
        <w:rPr>
          <w:i/>
        </w:rPr>
        <w:t>Report to the Canadian Human Right</w:t>
      </w:r>
      <w:r w:rsidR="009A05A8" w:rsidRPr="005D43FE">
        <w:rPr>
          <w:i/>
        </w:rPr>
        <w:t>s Commission Concerning Section </w:t>
      </w:r>
      <w:r w:rsidRPr="005D43FE">
        <w:rPr>
          <w:i/>
        </w:rPr>
        <w:t>13 of the Canadian Human Rights Act and the Regulation of Hate Speech on the Internet</w:t>
      </w:r>
      <w:r w:rsidRPr="005D43FE">
        <w:t>.  Ottawa:  Canadian Human Rights Commission, 2008.</w:t>
      </w:r>
    </w:p>
    <w:p w:rsidR="00D311AE" w:rsidRPr="005D43FE" w:rsidRDefault="00D311AE" w:rsidP="007E0AAB">
      <w:pPr>
        <w:pStyle w:val="SCCNormalDoubleSpacing"/>
        <w:spacing w:after="240" w:line="240" w:lineRule="auto"/>
        <w:ind w:left="540" w:hanging="540"/>
      </w:pPr>
      <w:r w:rsidRPr="005D43FE">
        <w:t xml:space="preserve">Moon, Richard.  </w:t>
      </w:r>
      <w:proofErr w:type="gramStart"/>
      <w:r w:rsidRPr="005D43FE">
        <w:rPr>
          <w:i/>
        </w:rPr>
        <w:t>The Constitutional Protection of Freedom of Expression</w:t>
      </w:r>
      <w:r w:rsidRPr="005D43FE">
        <w:t>.</w:t>
      </w:r>
      <w:proofErr w:type="gramEnd"/>
      <w:r w:rsidRPr="005D43FE">
        <w:t xml:space="preserve">  Toronto:  University of Toronto Press, 2000.</w:t>
      </w:r>
    </w:p>
    <w:p w:rsidR="007073E1" w:rsidRPr="005D43FE" w:rsidRDefault="007073E1" w:rsidP="007E0AAB">
      <w:pPr>
        <w:spacing w:after="240"/>
      </w:pPr>
      <w:r w:rsidRPr="005D43FE">
        <w:rPr>
          <w:i/>
        </w:rPr>
        <w:t>Oxford English Dictionary</w:t>
      </w:r>
      <w:r w:rsidRPr="005D43FE">
        <w:t xml:space="preserve"> (online:  www.oed.com), </w:t>
      </w:r>
      <w:r w:rsidR="00703A8D" w:rsidRPr="005D43FE">
        <w:t xml:space="preserve">“calumny”, </w:t>
      </w:r>
      <w:r w:rsidRPr="005D43FE">
        <w:t>“emotion”.</w:t>
      </w:r>
    </w:p>
    <w:p w:rsidR="00E10F2C" w:rsidRPr="005D43FE" w:rsidRDefault="00E10F2C" w:rsidP="007E0AAB">
      <w:pPr>
        <w:pStyle w:val="SCCNormalDoubleSpacing"/>
        <w:spacing w:after="720" w:line="240" w:lineRule="auto"/>
        <w:ind w:left="547" w:hanging="547"/>
      </w:pPr>
      <w:r w:rsidRPr="005D43FE">
        <w:t>Sumner,</w:t>
      </w:r>
      <w:r w:rsidR="007E0AAB" w:rsidRPr="005D43FE">
        <w:t xml:space="preserve"> L. </w:t>
      </w:r>
      <w:r w:rsidRPr="005D43FE">
        <w:t xml:space="preserve">W.  </w:t>
      </w:r>
      <w:r w:rsidRPr="005D43FE">
        <w:rPr>
          <w:i/>
        </w:rPr>
        <w:t>The Hateful and the Obscene:  Studies in the Limits of Free Expression</w:t>
      </w:r>
      <w:r w:rsidRPr="005D43FE">
        <w:t>.  Toronto:  University of Toronto Press, 2004.</w:t>
      </w:r>
    </w:p>
    <w:p w:rsidR="00656313" w:rsidRPr="005D43FE" w:rsidRDefault="00AB5C6E" w:rsidP="007E0AAB">
      <w:pPr>
        <w:pStyle w:val="SCCNormalDoubleSpacing"/>
        <w:spacing w:before="480" w:after="480"/>
      </w:pPr>
      <w:r w:rsidRPr="005D43FE">
        <w:tab/>
      </w:r>
      <w:r w:rsidR="009B57B3" w:rsidRPr="005D43FE">
        <w:t>APPEAL from a judgment of the Saskatchewan</w:t>
      </w:r>
      <w:r w:rsidRPr="005D43FE">
        <w:t xml:space="preserve"> Court of Appeal (</w:t>
      </w:r>
      <w:proofErr w:type="spellStart"/>
      <w:r w:rsidRPr="005D43FE">
        <w:t>Sherstobitoff</w:t>
      </w:r>
      <w:proofErr w:type="spellEnd"/>
      <w:r w:rsidRPr="005D43FE">
        <w:t>, Smith and Hunter</w:t>
      </w:r>
      <w:r w:rsidR="007E0AAB" w:rsidRPr="005D43FE">
        <w:t> </w:t>
      </w:r>
      <w:r w:rsidRPr="005D43FE">
        <w:t xml:space="preserve">JJ.A.), 2010 SKCA 26, 346 Sask. R. 210, 477 W.A.C. 210, 317 D.L.R. (4th) 69, 218 C.R.R. (2d) 145, </w:t>
      </w:r>
      <w:r w:rsidR="008170AD" w:rsidRPr="005D43FE">
        <w:t xml:space="preserve">[2010] 4 W.W.R. 403, </w:t>
      </w:r>
      <w:r w:rsidRPr="005D43FE">
        <w:t xml:space="preserve">[2010] S.J. </w:t>
      </w:r>
      <w:r w:rsidR="00A9480F" w:rsidRPr="005D43FE">
        <w:t>No. </w:t>
      </w:r>
      <w:r w:rsidRPr="005D43FE">
        <w:t xml:space="preserve">108 (QL), 2010 </w:t>
      </w:r>
      <w:proofErr w:type="spellStart"/>
      <w:r w:rsidRPr="005D43FE">
        <w:t>CarswellSask</w:t>
      </w:r>
      <w:proofErr w:type="spellEnd"/>
      <w:r w:rsidRPr="005D43FE">
        <w:t xml:space="preserve"> 109, </w:t>
      </w:r>
      <w:r w:rsidR="00491FEB">
        <w:t>setting aside</w:t>
      </w:r>
      <w:r w:rsidR="004463D0" w:rsidRPr="005D43FE">
        <w:t xml:space="preserve"> a decision of Kovach J., 2007 SKQB 450, 306 Sask. R. 186, </w:t>
      </w:r>
      <w:r w:rsidR="005D0C78" w:rsidRPr="005D43FE">
        <w:t>61 C.H.</w:t>
      </w:r>
      <w:r w:rsidR="00491FEB">
        <w:t>R</w:t>
      </w:r>
      <w:r w:rsidR="005D0C78" w:rsidRPr="005D43FE">
        <w:t xml:space="preserve">.R. D/401, </w:t>
      </w:r>
      <w:r w:rsidR="004463D0" w:rsidRPr="005D43FE">
        <w:t xml:space="preserve">[2007] S.J. </w:t>
      </w:r>
      <w:r w:rsidR="00A9480F" w:rsidRPr="005D43FE">
        <w:t>No. </w:t>
      </w:r>
      <w:r w:rsidR="004463D0" w:rsidRPr="005D43FE">
        <w:t xml:space="preserve">672 (QL), 2007 </w:t>
      </w:r>
      <w:proofErr w:type="spellStart"/>
      <w:r w:rsidR="004463D0" w:rsidRPr="005D43FE">
        <w:t>CarswellSask</w:t>
      </w:r>
      <w:proofErr w:type="spellEnd"/>
      <w:r w:rsidR="004463D0" w:rsidRPr="005D43FE">
        <w:t xml:space="preserve"> 836, </w:t>
      </w:r>
      <w:r w:rsidR="00C0697B" w:rsidRPr="005D43FE">
        <w:t>upholding</w:t>
      </w:r>
      <w:r w:rsidR="008A66D6" w:rsidRPr="005D43FE">
        <w:t xml:space="preserve"> a decision of the Saskatchewan Human Ri</w:t>
      </w:r>
      <w:r w:rsidR="00784190" w:rsidRPr="005D43FE">
        <w:t>ghts Tribunal</w:t>
      </w:r>
      <w:r w:rsidR="008A66D6" w:rsidRPr="005D43FE">
        <w:t xml:space="preserve"> </w:t>
      </w:r>
      <w:r w:rsidR="00784190" w:rsidRPr="005D43FE">
        <w:t xml:space="preserve">(2005), 52 C.H.R.R. D/264, </w:t>
      </w:r>
      <w:r w:rsidR="008A66D6" w:rsidRPr="005D43FE">
        <w:t>2005</w:t>
      </w:r>
      <w:r w:rsidR="00C0697B" w:rsidRPr="005D43FE">
        <w:t xml:space="preserve"> </w:t>
      </w:r>
      <w:proofErr w:type="spellStart"/>
      <w:r w:rsidR="00C0697B" w:rsidRPr="005D43FE">
        <w:t>CarswellSask</w:t>
      </w:r>
      <w:proofErr w:type="spellEnd"/>
      <w:r w:rsidR="00C0697B" w:rsidRPr="005D43FE">
        <w:t xml:space="preserve"> 480.  Appeal allowed in part</w:t>
      </w:r>
      <w:r w:rsidR="008A66D6" w:rsidRPr="005D43FE">
        <w:t>.</w:t>
      </w:r>
    </w:p>
    <w:p w:rsidR="00304A7B" w:rsidRPr="005D43FE" w:rsidRDefault="007E0AAB" w:rsidP="007E0AAB">
      <w:pPr>
        <w:pStyle w:val="SCCNormalDoubleSpacing"/>
        <w:spacing w:before="480" w:after="480"/>
      </w:pPr>
      <w:r w:rsidRPr="005D43FE">
        <w:rPr>
          <w:i/>
        </w:rPr>
        <w:tab/>
      </w:r>
      <w:proofErr w:type="gramStart"/>
      <w:r w:rsidRPr="005D43FE">
        <w:rPr>
          <w:i/>
        </w:rPr>
        <w:t>Grant </w:t>
      </w:r>
      <w:r w:rsidR="00B83E7B" w:rsidRPr="005D43FE">
        <w:rPr>
          <w:i/>
        </w:rPr>
        <w:t xml:space="preserve">J. </w:t>
      </w:r>
      <w:proofErr w:type="spellStart"/>
      <w:r w:rsidR="00B83E7B" w:rsidRPr="005D43FE">
        <w:rPr>
          <w:i/>
        </w:rPr>
        <w:t>Scharfstein</w:t>
      </w:r>
      <w:proofErr w:type="spellEnd"/>
      <w:r w:rsidR="00B83E7B" w:rsidRPr="00491FEB">
        <w:t>,</w:t>
      </w:r>
      <w:r w:rsidR="00B83E7B" w:rsidRPr="005D43FE">
        <w:rPr>
          <w:i/>
        </w:rPr>
        <w:t xml:space="preserve"> Q.C</w:t>
      </w:r>
      <w:r w:rsidR="00B83E7B" w:rsidRPr="00491FEB">
        <w:rPr>
          <w:i/>
        </w:rPr>
        <w:t>.</w:t>
      </w:r>
      <w:r w:rsidR="00292E91" w:rsidRPr="00491FEB">
        <w:t>,</w:t>
      </w:r>
      <w:r w:rsidR="00B83E7B" w:rsidRPr="005D43FE">
        <w:t xml:space="preserve"> </w:t>
      </w:r>
      <w:r w:rsidR="009643E7" w:rsidRPr="005D43FE">
        <w:t xml:space="preserve">and </w:t>
      </w:r>
      <w:r w:rsidR="00AB2709" w:rsidRPr="005D43FE">
        <w:rPr>
          <w:i/>
        </w:rPr>
        <w:t>Deidre </w:t>
      </w:r>
      <w:r w:rsidR="00B83E7B" w:rsidRPr="005D43FE">
        <w:rPr>
          <w:i/>
        </w:rPr>
        <w:t xml:space="preserve">L. </w:t>
      </w:r>
      <w:proofErr w:type="spellStart"/>
      <w:r w:rsidR="00B83E7B" w:rsidRPr="005D43FE">
        <w:rPr>
          <w:i/>
        </w:rPr>
        <w:t>Aldcorn</w:t>
      </w:r>
      <w:proofErr w:type="spellEnd"/>
      <w:r w:rsidR="00B83E7B" w:rsidRPr="005D43FE">
        <w:t>, for the appellant.</w:t>
      </w:r>
      <w:proofErr w:type="gramEnd"/>
      <w:r w:rsidR="009643E7" w:rsidRPr="005D43FE">
        <w:t xml:space="preserve"> </w:t>
      </w:r>
    </w:p>
    <w:p w:rsidR="00304A7B" w:rsidRPr="005D43FE" w:rsidRDefault="00B83E7B" w:rsidP="007E0AAB">
      <w:pPr>
        <w:pStyle w:val="SCCNormalDoubleSpacing"/>
        <w:spacing w:before="480" w:after="480"/>
      </w:pPr>
      <w:r w:rsidRPr="005D43FE">
        <w:rPr>
          <w:i/>
        </w:rPr>
        <w:tab/>
      </w:r>
      <w:proofErr w:type="gramStart"/>
      <w:r w:rsidRPr="005D43FE">
        <w:rPr>
          <w:i/>
        </w:rPr>
        <w:t>Thomas</w:t>
      </w:r>
      <w:r w:rsidR="007E0AAB" w:rsidRPr="005D43FE">
        <w:rPr>
          <w:i/>
        </w:rPr>
        <w:t> </w:t>
      </w:r>
      <w:r w:rsidRPr="005D43FE">
        <w:rPr>
          <w:i/>
        </w:rPr>
        <w:t xml:space="preserve">A. </w:t>
      </w:r>
      <w:proofErr w:type="spellStart"/>
      <w:r w:rsidRPr="005D43FE">
        <w:rPr>
          <w:i/>
        </w:rPr>
        <w:t>Schuck</w:t>
      </w:r>
      <w:proofErr w:type="spellEnd"/>
      <w:r w:rsidRPr="005D43FE">
        <w:t xml:space="preserve">, </w:t>
      </w:r>
      <w:r w:rsidR="00715D79" w:rsidRPr="005D43FE">
        <w:rPr>
          <w:i/>
        </w:rPr>
        <w:t>Iain Benson</w:t>
      </w:r>
      <w:r w:rsidR="00715D79" w:rsidRPr="00491FEB">
        <w:t>,</w:t>
      </w:r>
      <w:r w:rsidR="00715D79" w:rsidRPr="005D43FE">
        <w:rPr>
          <w:i/>
        </w:rPr>
        <w:t xml:space="preserve"> John </w:t>
      </w:r>
      <w:proofErr w:type="spellStart"/>
      <w:r w:rsidR="00715D79" w:rsidRPr="005D43FE">
        <w:rPr>
          <w:i/>
        </w:rPr>
        <w:t>Carpay</w:t>
      </w:r>
      <w:proofErr w:type="spellEnd"/>
      <w:r w:rsidRPr="005D43FE">
        <w:rPr>
          <w:i/>
        </w:rPr>
        <w:t xml:space="preserve"> </w:t>
      </w:r>
      <w:r w:rsidRPr="005D43FE">
        <w:t xml:space="preserve">and </w:t>
      </w:r>
      <w:r w:rsidRPr="005D43FE">
        <w:rPr>
          <w:i/>
        </w:rPr>
        <w:t>Daniel Mol</w:t>
      </w:r>
      <w:r w:rsidRPr="005D43FE">
        <w:t>, for the respondent.</w:t>
      </w:r>
      <w:proofErr w:type="gramEnd"/>
      <w:r w:rsidR="00715D79" w:rsidRPr="005D43FE">
        <w:t xml:space="preserve"> </w:t>
      </w:r>
    </w:p>
    <w:p w:rsidR="00304A7B" w:rsidRPr="005D43FE" w:rsidRDefault="00B83E7B" w:rsidP="007E0AAB">
      <w:pPr>
        <w:pStyle w:val="SCCNormalDoubleSpacing"/>
        <w:spacing w:before="480" w:after="480"/>
      </w:pPr>
      <w:r w:rsidRPr="005D43FE">
        <w:rPr>
          <w:i/>
        </w:rPr>
        <w:tab/>
        <w:t>Thomson Irvine</w:t>
      </w:r>
      <w:r w:rsidRPr="005D43FE">
        <w:t xml:space="preserve">, for the </w:t>
      </w:r>
      <w:r w:rsidR="0037353B" w:rsidRPr="005D43FE">
        <w:t>intervener</w:t>
      </w:r>
      <w:r w:rsidR="00212BF5" w:rsidRPr="005D43FE">
        <w:t xml:space="preserve"> the Attorney General for Saskatchewan</w:t>
      </w:r>
      <w:r w:rsidRPr="005D43FE">
        <w:t>.</w:t>
      </w:r>
    </w:p>
    <w:p w:rsidR="00212BF5" w:rsidRPr="005D43FE" w:rsidRDefault="007E0AAB" w:rsidP="007E0AAB">
      <w:pPr>
        <w:pStyle w:val="SCCNormalDoubleSpacing"/>
        <w:spacing w:before="480" w:after="480"/>
      </w:pPr>
      <w:r w:rsidRPr="005D43FE">
        <w:rPr>
          <w:i/>
        </w:rPr>
        <w:tab/>
      </w:r>
      <w:proofErr w:type="gramStart"/>
      <w:r w:rsidRPr="005D43FE">
        <w:rPr>
          <w:i/>
        </w:rPr>
        <w:t>David </w:t>
      </w:r>
      <w:r w:rsidR="00212BF5" w:rsidRPr="005D43FE">
        <w:rPr>
          <w:i/>
        </w:rPr>
        <w:t xml:space="preserve">N. </w:t>
      </w:r>
      <w:proofErr w:type="spellStart"/>
      <w:r w:rsidR="00212BF5" w:rsidRPr="005D43FE">
        <w:rPr>
          <w:i/>
        </w:rPr>
        <w:t>Kamal</w:t>
      </w:r>
      <w:proofErr w:type="spellEnd"/>
      <w:r w:rsidR="00212BF5" w:rsidRPr="005D43FE">
        <w:t>, for the intervener the Attorney General of Alberta.</w:t>
      </w:r>
      <w:proofErr w:type="gramEnd"/>
    </w:p>
    <w:p w:rsidR="00304A7B" w:rsidRPr="005D43FE" w:rsidRDefault="00AB2453" w:rsidP="007E0AAB">
      <w:pPr>
        <w:pStyle w:val="SCCNormalDoubleSpacing"/>
        <w:spacing w:before="480" w:after="480"/>
      </w:pPr>
      <w:r w:rsidRPr="005D43FE">
        <w:rPr>
          <w:i/>
        </w:rPr>
        <w:tab/>
      </w:r>
      <w:proofErr w:type="gramStart"/>
      <w:r w:rsidRPr="005D43FE">
        <w:rPr>
          <w:i/>
        </w:rPr>
        <w:t>Mark </w:t>
      </w:r>
      <w:r w:rsidR="00B83E7B" w:rsidRPr="005D43FE">
        <w:rPr>
          <w:i/>
        </w:rPr>
        <w:t xml:space="preserve">A. </w:t>
      </w:r>
      <w:proofErr w:type="spellStart"/>
      <w:r w:rsidR="00B83E7B" w:rsidRPr="005D43FE">
        <w:rPr>
          <w:i/>
        </w:rPr>
        <w:t>Gelowitz</w:t>
      </w:r>
      <w:proofErr w:type="spellEnd"/>
      <w:r w:rsidR="00B83E7B" w:rsidRPr="005D43FE">
        <w:t xml:space="preserve"> and </w:t>
      </w:r>
      <w:r w:rsidR="00B83E7B" w:rsidRPr="005D43FE">
        <w:rPr>
          <w:i/>
        </w:rPr>
        <w:t>Jason MacLean</w:t>
      </w:r>
      <w:r w:rsidR="00B83E7B" w:rsidRPr="005D43FE">
        <w:t xml:space="preserve">, for the intervener </w:t>
      </w:r>
      <w:r w:rsidR="008B0156" w:rsidRPr="005D43FE">
        <w:t xml:space="preserve">the </w:t>
      </w:r>
      <w:r w:rsidR="00B83E7B" w:rsidRPr="005D43FE">
        <w:t>Canadian Constitution Foundation.</w:t>
      </w:r>
      <w:proofErr w:type="gramEnd"/>
    </w:p>
    <w:p w:rsidR="00304A7B" w:rsidRPr="005D43FE" w:rsidRDefault="00AB2453" w:rsidP="007E0AAB">
      <w:pPr>
        <w:pStyle w:val="SCCNormalDoubleSpacing"/>
        <w:spacing w:before="480" w:after="480"/>
      </w:pPr>
      <w:r w:rsidRPr="005D43FE">
        <w:rPr>
          <w:i/>
        </w:rPr>
        <w:tab/>
      </w:r>
      <w:proofErr w:type="gramStart"/>
      <w:r w:rsidRPr="005D43FE">
        <w:rPr>
          <w:i/>
        </w:rPr>
        <w:t>Andrew </w:t>
      </w:r>
      <w:r w:rsidR="00B83E7B" w:rsidRPr="005D43FE">
        <w:rPr>
          <w:i/>
        </w:rPr>
        <w:t xml:space="preserve">K. </w:t>
      </w:r>
      <w:proofErr w:type="spellStart"/>
      <w:r w:rsidR="00B83E7B" w:rsidRPr="005D43FE">
        <w:rPr>
          <w:i/>
        </w:rPr>
        <w:t>Lokan</w:t>
      </w:r>
      <w:proofErr w:type="spellEnd"/>
      <w:r w:rsidR="00B83E7B" w:rsidRPr="005D43FE">
        <w:t xml:space="preserve"> and </w:t>
      </w:r>
      <w:r w:rsidR="00B83E7B" w:rsidRPr="005D43FE">
        <w:rPr>
          <w:i/>
        </w:rPr>
        <w:t>Jodi Martin</w:t>
      </w:r>
      <w:r w:rsidR="00B83E7B" w:rsidRPr="005D43FE">
        <w:t xml:space="preserve">, for the intervener </w:t>
      </w:r>
      <w:r w:rsidR="008B0156" w:rsidRPr="005D43FE">
        <w:t xml:space="preserve">the </w:t>
      </w:r>
      <w:r w:rsidR="00B83E7B" w:rsidRPr="005D43FE">
        <w:t>Canadian Civil Liberties Association.</w:t>
      </w:r>
      <w:proofErr w:type="gramEnd"/>
    </w:p>
    <w:p w:rsidR="00304A7B" w:rsidRPr="005D43FE" w:rsidRDefault="00B83E7B" w:rsidP="007E0AAB">
      <w:pPr>
        <w:pStyle w:val="SCCNormalDoubleSpacing"/>
        <w:spacing w:before="480" w:after="480"/>
      </w:pPr>
      <w:r w:rsidRPr="005D43FE">
        <w:rPr>
          <w:i/>
        </w:rPr>
        <w:tab/>
      </w:r>
      <w:proofErr w:type="gramStart"/>
      <w:r w:rsidRPr="005D43FE">
        <w:rPr>
          <w:i/>
        </w:rPr>
        <w:t xml:space="preserve">Philippe </w:t>
      </w:r>
      <w:proofErr w:type="spellStart"/>
      <w:r w:rsidRPr="005D43FE">
        <w:rPr>
          <w:i/>
        </w:rPr>
        <w:t>Dufresne</w:t>
      </w:r>
      <w:proofErr w:type="spellEnd"/>
      <w:r w:rsidRPr="005D43FE">
        <w:t xml:space="preserve"> and </w:t>
      </w:r>
      <w:r w:rsidRPr="005D43FE">
        <w:rPr>
          <w:i/>
        </w:rPr>
        <w:t>Brian Smith</w:t>
      </w:r>
      <w:r w:rsidRPr="005D43FE">
        <w:t xml:space="preserve">, for the intervener </w:t>
      </w:r>
      <w:r w:rsidR="001B0236" w:rsidRPr="005D43FE">
        <w:t xml:space="preserve">the </w:t>
      </w:r>
      <w:r w:rsidRPr="005D43FE">
        <w:t>Canadian Human Rights Commission.</w:t>
      </w:r>
      <w:proofErr w:type="gramEnd"/>
    </w:p>
    <w:p w:rsidR="00304A7B" w:rsidRPr="005D43FE" w:rsidRDefault="00B83E7B" w:rsidP="007E0AAB">
      <w:pPr>
        <w:pStyle w:val="SCCNormalDoubleSpacing"/>
        <w:spacing w:before="480" w:after="480"/>
      </w:pPr>
      <w:r w:rsidRPr="005D43FE">
        <w:rPr>
          <w:i/>
        </w:rPr>
        <w:tab/>
      </w:r>
      <w:proofErr w:type="gramStart"/>
      <w:r w:rsidRPr="005D43FE">
        <w:rPr>
          <w:i/>
        </w:rPr>
        <w:t>Audrey Dean</w:t>
      </w:r>
      <w:r w:rsidR="001B0236" w:rsidRPr="005D43FE">
        <w:rPr>
          <w:i/>
        </w:rPr>
        <w:t xml:space="preserve"> </w:t>
      </w:r>
      <w:r w:rsidR="001B0236" w:rsidRPr="00491FEB">
        <w:t>and</w:t>
      </w:r>
      <w:r w:rsidR="00AB2453" w:rsidRPr="005D43FE">
        <w:rPr>
          <w:i/>
        </w:rPr>
        <w:t xml:space="preserve"> Henry </w:t>
      </w:r>
      <w:r w:rsidR="001B0236" w:rsidRPr="005D43FE">
        <w:rPr>
          <w:i/>
        </w:rPr>
        <w:t>S. Brown</w:t>
      </w:r>
      <w:r w:rsidR="001B0236" w:rsidRPr="00491FEB">
        <w:t>,</w:t>
      </w:r>
      <w:r w:rsidR="001B0236" w:rsidRPr="005D43FE">
        <w:rPr>
          <w:i/>
        </w:rPr>
        <w:t xml:space="preserve"> Q.C.</w:t>
      </w:r>
      <w:r w:rsidRPr="005D43FE">
        <w:t xml:space="preserve">, for the intervener </w:t>
      </w:r>
      <w:r w:rsidR="001B0236" w:rsidRPr="005D43FE">
        <w:t xml:space="preserve">the </w:t>
      </w:r>
      <w:r w:rsidRPr="005D43FE">
        <w:t>Alberta Human Rights Commission.</w:t>
      </w:r>
      <w:proofErr w:type="gramEnd"/>
    </w:p>
    <w:p w:rsidR="00304A7B" w:rsidRPr="005D43FE" w:rsidRDefault="00B83E7B" w:rsidP="007E0AAB">
      <w:pPr>
        <w:pStyle w:val="SCCNormalDoubleSpacing"/>
        <w:spacing w:before="480" w:after="480"/>
      </w:pPr>
      <w:r w:rsidRPr="005D43FE">
        <w:rPr>
          <w:i/>
        </w:rPr>
        <w:tab/>
      </w:r>
      <w:proofErr w:type="gramStart"/>
      <w:r w:rsidRPr="005D43FE">
        <w:rPr>
          <w:i/>
        </w:rPr>
        <w:t>Cynthia Petersen</w:t>
      </w:r>
      <w:r w:rsidR="00E30277" w:rsidRPr="005D43FE">
        <w:rPr>
          <w:i/>
        </w:rPr>
        <w:t xml:space="preserve"> </w:t>
      </w:r>
      <w:r w:rsidR="00E30277" w:rsidRPr="00491FEB">
        <w:t xml:space="preserve">and </w:t>
      </w:r>
      <w:r w:rsidR="00E30277" w:rsidRPr="005D43FE">
        <w:rPr>
          <w:i/>
        </w:rPr>
        <w:t>Christine Davies</w:t>
      </w:r>
      <w:r w:rsidRPr="005D43FE">
        <w:t xml:space="preserve">, for the intervener </w:t>
      </w:r>
      <w:proofErr w:type="spellStart"/>
      <w:r w:rsidRPr="005D43FE">
        <w:t>Egale</w:t>
      </w:r>
      <w:proofErr w:type="spellEnd"/>
      <w:r w:rsidRPr="005D43FE">
        <w:t xml:space="preserve"> Canada Inc.</w:t>
      </w:r>
      <w:proofErr w:type="gramEnd"/>
    </w:p>
    <w:p w:rsidR="00304A7B" w:rsidRPr="005D43FE" w:rsidRDefault="00B83E7B" w:rsidP="007E0AAB">
      <w:pPr>
        <w:pStyle w:val="SCCNormalDoubleSpacing"/>
        <w:spacing w:before="480" w:after="480"/>
      </w:pPr>
      <w:r w:rsidRPr="005D43FE">
        <w:rPr>
          <w:i/>
        </w:rPr>
        <w:tab/>
      </w:r>
      <w:proofErr w:type="gramStart"/>
      <w:r w:rsidR="00AB2453" w:rsidRPr="005D43FE">
        <w:rPr>
          <w:i/>
        </w:rPr>
        <w:t>Anthony </w:t>
      </w:r>
      <w:r w:rsidR="00E30277" w:rsidRPr="005D43FE">
        <w:rPr>
          <w:i/>
        </w:rPr>
        <w:t>D.</w:t>
      </w:r>
      <w:r w:rsidRPr="005D43FE">
        <w:rPr>
          <w:i/>
        </w:rPr>
        <w:t xml:space="preserve"> Griffin</w:t>
      </w:r>
      <w:r w:rsidRPr="005D43FE">
        <w:t xml:space="preserve">, for the intervener </w:t>
      </w:r>
      <w:r w:rsidR="00432089" w:rsidRPr="005D43FE">
        <w:t xml:space="preserve">the </w:t>
      </w:r>
      <w:r w:rsidRPr="005D43FE">
        <w:t>Ontario Human Rights Commission.</w:t>
      </w:r>
      <w:proofErr w:type="gramEnd"/>
      <w:r w:rsidR="00E30277" w:rsidRPr="005D43FE">
        <w:t xml:space="preserve"> </w:t>
      </w:r>
    </w:p>
    <w:p w:rsidR="00304A7B" w:rsidRPr="005D43FE" w:rsidRDefault="00AB2453" w:rsidP="007E0AAB">
      <w:pPr>
        <w:pStyle w:val="SCCNormalDoubleSpacing"/>
        <w:spacing w:before="480" w:after="480"/>
      </w:pPr>
      <w:r w:rsidRPr="005D43FE">
        <w:rPr>
          <w:i/>
        </w:rPr>
        <w:tab/>
      </w:r>
      <w:proofErr w:type="gramStart"/>
      <w:r w:rsidRPr="005D43FE">
        <w:rPr>
          <w:i/>
        </w:rPr>
        <w:t>Mark </w:t>
      </w:r>
      <w:r w:rsidR="00B83E7B" w:rsidRPr="005D43FE">
        <w:rPr>
          <w:i/>
        </w:rPr>
        <w:t xml:space="preserve">J. </w:t>
      </w:r>
      <w:proofErr w:type="spellStart"/>
      <w:r w:rsidR="00B83E7B" w:rsidRPr="005D43FE">
        <w:rPr>
          <w:i/>
        </w:rPr>
        <w:t>Freiman</w:t>
      </w:r>
      <w:proofErr w:type="spellEnd"/>
      <w:r w:rsidR="00B83E7B" w:rsidRPr="005D43FE">
        <w:t xml:space="preserve">, for the intervener </w:t>
      </w:r>
      <w:r w:rsidR="00E30277" w:rsidRPr="005D43FE">
        <w:t xml:space="preserve">the </w:t>
      </w:r>
      <w:r w:rsidR="00B83E7B" w:rsidRPr="005D43FE">
        <w:t>Canadian Jewish Congre</w:t>
      </w:r>
      <w:r w:rsidR="00A9480F" w:rsidRPr="005D43FE">
        <w:t>ss.</w:t>
      </w:r>
      <w:proofErr w:type="gramEnd"/>
      <w:r w:rsidR="00A9480F" w:rsidRPr="005D43FE">
        <w:t> </w:t>
      </w:r>
    </w:p>
    <w:p w:rsidR="00304A7B" w:rsidRPr="005D43FE" w:rsidRDefault="00B83E7B" w:rsidP="007E0AAB">
      <w:pPr>
        <w:pStyle w:val="SCCNormalDoubleSpacing"/>
        <w:spacing w:before="480" w:after="480"/>
      </w:pPr>
      <w:r w:rsidRPr="005D43FE">
        <w:rPr>
          <w:i/>
        </w:rPr>
        <w:tab/>
      </w:r>
      <w:proofErr w:type="spellStart"/>
      <w:proofErr w:type="gramStart"/>
      <w:r w:rsidRPr="005D43FE">
        <w:rPr>
          <w:i/>
        </w:rPr>
        <w:t>Arif</w:t>
      </w:r>
      <w:proofErr w:type="spellEnd"/>
      <w:r w:rsidRPr="005D43FE">
        <w:rPr>
          <w:i/>
        </w:rPr>
        <w:t xml:space="preserve"> </w:t>
      </w:r>
      <w:proofErr w:type="spellStart"/>
      <w:r w:rsidRPr="005D43FE">
        <w:rPr>
          <w:i/>
        </w:rPr>
        <w:t>Chowdhury</w:t>
      </w:r>
      <w:proofErr w:type="spellEnd"/>
      <w:r w:rsidRPr="005D43FE">
        <w:t>, for the intervener</w:t>
      </w:r>
      <w:r w:rsidR="00814A07" w:rsidRPr="005D43FE">
        <w:t>s</w:t>
      </w:r>
      <w:r w:rsidRPr="005D43FE">
        <w:t xml:space="preserve"> </w:t>
      </w:r>
      <w:r w:rsidR="00814A07" w:rsidRPr="005D43FE">
        <w:t xml:space="preserve">the </w:t>
      </w:r>
      <w:r w:rsidRPr="005D43FE">
        <w:t xml:space="preserve">Unitarian Congregation of Saskatoon and </w:t>
      </w:r>
      <w:r w:rsidR="00814A07" w:rsidRPr="005D43FE">
        <w:t xml:space="preserve">the </w:t>
      </w:r>
      <w:r w:rsidRPr="005D43FE">
        <w:t>Canadian Unitarian Council.</w:t>
      </w:r>
      <w:proofErr w:type="gramEnd"/>
      <w:r w:rsidR="00814A07" w:rsidRPr="005D43FE">
        <w:t xml:space="preserve"> </w:t>
      </w:r>
    </w:p>
    <w:p w:rsidR="00304A7B" w:rsidRPr="005D43FE" w:rsidRDefault="00B83E7B" w:rsidP="007E0AAB">
      <w:pPr>
        <w:pStyle w:val="SCCNormalDoubleSpacing"/>
        <w:spacing w:before="480" w:after="480"/>
      </w:pPr>
      <w:r w:rsidRPr="005D43FE">
        <w:rPr>
          <w:i/>
        </w:rPr>
        <w:tab/>
      </w:r>
      <w:proofErr w:type="gramStart"/>
      <w:r w:rsidR="00AB2453" w:rsidRPr="005D43FE">
        <w:rPr>
          <w:i/>
        </w:rPr>
        <w:t>Kathleen </w:t>
      </w:r>
      <w:r w:rsidR="00417303" w:rsidRPr="005D43FE">
        <w:rPr>
          <w:i/>
        </w:rPr>
        <w:t>E. Mahoney</w:t>
      </w:r>
      <w:r w:rsidR="003001C5" w:rsidRPr="005D43FE">
        <w:t xml:space="preserve"> and </w:t>
      </w:r>
      <w:r w:rsidR="003001C5" w:rsidRPr="005D43FE">
        <w:rPr>
          <w:i/>
        </w:rPr>
        <w:t>Jo</w:t>
      </w:r>
      <w:r w:rsidR="003001C5" w:rsidRPr="005D43FE">
        <w:rPr>
          <w:i/>
        </w:rPr>
        <w:noBreakHyphen/>
        <w:t xml:space="preserve">Ann R. </w:t>
      </w:r>
      <w:proofErr w:type="spellStart"/>
      <w:r w:rsidR="003001C5" w:rsidRPr="005D43FE">
        <w:rPr>
          <w:i/>
        </w:rPr>
        <w:t>Kolmes</w:t>
      </w:r>
      <w:proofErr w:type="spellEnd"/>
      <w:r w:rsidR="003001C5" w:rsidRPr="00491FEB">
        <w:t>,</w:t>
      </w:r>
      <w:r w:rsidRPr="005D43FE">
        <w:t xml:space="preserve"> for the intervener </w:t>
      </w:r>
      <w:r w:rsidR="009A12AD" w:rsidRPr="005D43FE">
        <w:t xml:space="preserve">the </w:t>
      </w:r>
      <w:r w:rsidRPr="005D43FE">
        <w:t>Women</w:t>
      </w:r>
      <w:r w:rsidR="001C3B3D" w:rsidRPr="005D43FE">
        <w:t>’</w:t>
      </w:r>
      <w:r w:rsidRPr="005D43FE">
        <w:t>s Legal Education and Action Fund.</w:t>
      </w:r>
      <w:proofErr w:type="gramEnd"/>
      <w:r w:rsidR="00814A07" w:rsidRPr="005D43FE">
        <w:t xml:space="preserve"> </w:t>
      </w:r>
    </w:p>
    <w:p w:rsidR="00304A7B" w:rsidRPr="005D43FE" w:rsidRDefault="00AB2453" w:rsidP="007E0AAB">
      <w:pPr>
        <w:pStyle w:val="SCCNormalDoubleSpacing"/>
        <w:spacing w:before="480" w:after="480"/>
      </w:pPr>
      <w:r w:rsidRPr="005D43FE">
        <w:rPr>
          <w:i/>
        </w:rPr>
        <w:tab/>
      </w:r>
      <w:proofErr w:type="gramStart"/>
      <w:r w:rsidRPr="005D43FE">
        <w:rPr>
          <w:i/>
        </w:rPr>
        <w:t>M. </w:t>
      </w:r>
      <w:r w:rsidR="00B83E7B" w:rsidRPr="005D43FE">
        <w:rPr>
          <w:i/>
        </w:rPr>
        <w:t xml:space="preserve">Philip </w:t>
      </w:r>
      <w:proofErr w:type="spellStart"/>
      <w:r w:rsidR="00B83E7B" w:rsidRPr="005D43FE">
        <w:rPr>
          <w:i/>
        </w:rPr>
        <w:t>Tunley</w:t>
      </w:r>
      <w:proofErr w:type="spellEnd"/>
      <w:r w:rsidR="00AE2936" w:rsidRPr="005D43FE">
        <w:rPr>
          <w:i/>
        </w:rPr>
        <w:t xml:space="preserve"> </w:t>
      </w:r>
      <w:r w:rsidR="00AE2936" w:rsidRPr="00491FEB">
        <w:t>and</w:t>
      </w:r>
      <w:r w:rsidRPr="00491FEB">
        <w:t xml:space="preserve"> </w:t>
      </w:r>
      <w:r w:rsidRPr="005D43FE">
        <w:rPr>
          <w:i/>
        </w:rPr>
        <w:t>Paul </w:t>
      </w:r>
      <w:r w:rsidR="00AE2936" w:rsidRPr="005D43FE">
        <w:rPr>
          <w:i/>
        </w:rPr>
        <w:t xml:space="preserve">J. </w:t>
      </w:r>
      <w:proofErr w:type="spellStart"/>
      <w:r w:rsidR="00AE2936" w:rsidRPr="005D43FE">
        <w:rPr>
          <w:i/>
        </w:rPr>
        <w:t>Saguil</w:t>
      </w:r>
      <w:proofErr w:type="spellEnd"/>
      <w:r w:rsidR="00B83E7B" w:rsidRPr="005D43FE">
        <w:t xml:space="preserve">, for the intervener </w:t>
      </w:r>
      <w:r w:rsidR="00AE2936" w:rsidRPr="005D43FE">
        <w:t xml:space="preserve">the </w:t>
      </w:r>
      <w:r w:rsidR="00B83E7B" w:rsidRPr="005D43FE">
        <w:t>Canadian Journalists for Free Expression.</w:t>
      </w:r>
      <w:proofErr w:type="gramEnd"/>
    </w:p>
    <w:p w:rsidR="00304A7B" w:rsidRPr="005D43FE" w:rsidRDefault="00B83E7B" w:rsidP="007E0AAB">
      <w:pPr>
        <w:pStyle w:val="SCCNormalDoubleSpacing"/>
        <w:spacing w:before="480" w:after="480"/>
      </w:pPr>
      <w:r w:rsidRPr="005D43FE">
        <w:rPr>
          <w:i/>
        </w:rPr>
        <w:tab/>
      </w:r>
      <w:proofErr w:type="gramStart"/>
      <w:r w:rsidRPr="005D43FE">
        <w:rPr>
          <w:i/>
        </w:rPr>
        <w:t xml:space="preserve">David </w:t>
      </w:r>
      <w:proofErr w:type="spellStart"/>
      <w:r w:rsidRPr="005D43FE">
        <w:rPr>
          <w:i/>
        </w:rPr>
        <w:t>Matas</w:t>
      </w:r>
      <w:proofErr w:type="spellEnd"/>
      <w:r w:rsidRPr="005D43FE">
        <w:t>, for the intervener</w:t>
      </w:r>
      <w:r w:rsidR="00AE2936" w:rsidRPr="005D43FE">
        <w:t xml:space="preserve"> the</w:t>
      </w:r>
      <w:r w:rsidRPr="005D43FE">
        <w:t xml:space="preserve"> Canadian Bar Association.</w:t>
      </w:r>
      <w:proofErr w:type="gramEnd"/>
    </w:p>
    <w:p w:rsidR="00304A7B" w:rsidRPr="005D43FE" w:rsidRDefault="00B83E7B" w:rsidP="007E0AAB">
      <w:pPr>
        <w:pStyle w:val="SCCNormalDoubleSpacing"/>
        <w:spacing w:before="480" w:after="480"/>
      </w:pPr>
      <w:r w:rsidRPr="005D43FE">
        <w:rPr>
          <w:i/>
        </w:rPr>
        <w:tab/>
      </w:r>
      <w:r w:rsidR="00AE2936" w:rsidRPr="00491FEB">
        <w:t>Written submissions only by</w:t>
      </w:r>
      <w:r w:rsidR="00AE2936" w:rsidRPr="005D43FE">
        <w:rPr>
          <w:i/>
        </w:rPr>
        <w:t xml:space="preserve"> </w:t>
      </w:r>
      <w:proofErr w:type="spellStart"/>
      <w:r w:rsidRPr="005D43FE">
        <w:rPr>
          <w:i/>
        </w:rPr>
        <w:t>Shaunt</w:t>
      </w:r>
      <w:proofErr w:type="spellEnd"/>
      <w:r w:rsidRPr="005D43FE">
        <w:rPr>
          <w:i/>
        </w:rPr>
        <w:t xml:space="preserve"> </w:t>
      </w:r>
      <w:proofErr w:type="spellStart"/>
      <w:r w:rsidRPr="005D43FE">
        <w:rPr>
          <w:i/>
        </w:rPr>
        <w:t>Parthev</w:t>
      </w:r>
      <w:proofErr w:type="spellEnd"/>
      <w:r w:rsidRPr="00857784">
        <w:t>,</w:t>
      </w:r>
      <w:r w:rsidRPr="005D43FE">
        <w:rPr>
          <w:i/>
        </w:rPr>
        <w:t xml:space="preserve"> Q.C</w:t>
      </w:r>
      <w:r w:rsidR="003001C5" w:rsidRPr="005D43FE">
        <w:rPr>
          <w:i/>
        </w:rPr>
        <w:t>.</w:t>
      </w:r>
      <w:r w:rsidR="00292E91" w:rsidRPr="00857784">
        <w:t>,</w:t>
      </w:r>
      <w:r w:rsidRPr="005D43FE">
        <w:t xml:space="preserve"> and </w:t>
      </w:r>
      <w:r w:rsidR="00AB2709" w:rsidRPr="005D43FE">
        <w:rPr>
          <w:i/>
        </w:rPr>
        <w:t>Ashley </w:t>
      </w:r>
      <w:r w:rsidRPr="005D43FE">
        <w:rPr>
          <w:i/>
        </w:rPr>
        <w:t>M. Smith</w:t>
      </w:r>
      <w:r w:rsidR="009D102F" w:rsidRPr="00857784">
        <w:t>,</w:t>
      </w:r>
      <w:r w:rsidR="00AE2936" w:rsidRPr="005D43FE">
        <w:t xml:space="preserve"> </w:t>
      </w:r>
      <w:r w:rsidRPr="005D43FE">
        <w:t>for the intervener</w:t>
      </w:r>
      <w:r w:rsidR="00C921AD" w:rsidRPr="005D43FE">
        <w:t>s</w:t>
      </w:r>
      <w:r w:rsidR="003A2AE5" w:rsidRPr="005D43FE">
        <w:t xml:space="preserve"> the</w:t>
      </w:r>
      <w:r w:rsidRPr="005D43FE">
        <w:t xml:space="preserve"> Northwest Territories Human Rights Commission and </w:t>
      </w:r>
      <w:r w:rsidR="003A2AE5" w:rsidRPr="005D43FE">
        <w:t xml:space="preserve">the </w:t>
      </w:r>
      <w:r w:rsidRPr="005D43FE">
        <w:t>Yukon Human Rights Commission.</w:t>
      </w:r>
    </w:p>
    <w:p w:rsidR="00304A7B" w:rsidRPr="005D43FE" w:rsidRDefault="00B83E7B" w:rsidP="007E0AAB">
      <w:pPr>
        <w:pStyle w:val="SCCNormalDoubleSpacing"/>
        <w:spacing w:before="480" w:after="480"/>
      </w:pPr>
      <w:r w:rsidRPr="005D43FE">
        <w:rPr>
          <w:i/>
        </w:rPr>
        <w:tab/>
      </w:r>
      <w:proofErr w:type="gramStart"/>
      <w:r w:rsidR="00AB2453" w:rsidRPr="005D43FE">
        <w:rPr>
          <w:i/>
        </w:rPr>
        <w:t>Derek </w:t>
      </w:r>
      <w:r w:rsidR="003A2AE5" w:rsidRPr="005D43FE">
        <w:rPr>
          <w:i/>
        </w:rPr>
        <w:t>J. Bell</w:t>
      </w:r>
      <w:r w:rsidR="003A2AE5" w:rsidRPr="00857784">
        <w:t>,</w:t>
      </w:r>
      <w:r w:rsidR="003A2AE5" w:rsidRPr="005D43FE">
        <w:t xml:space="preserve"> </w:t>
      </w:r>
      <w:proofErr w:type="spellStart"/>
      <w:r w:rsidR="00AB2453" w:rsidRPr="005D43FE">
        <w:rPr>
          <w:i/>
        </w:rPr>
        <w:t>Ranjan</w:t>
      </w:r>
      <w:proofErr w:type="spellEnd"/>
      <w:r w:rsidR="00AB2453" w:rsidRPr="005D43FE">
        <w:rPr>
          <w:i/>
        </w:rPr>
        <w:t> </w:t>
      </w:r>
      <w:r w:rsidR="003A2AE5" w:rsidRPr="005D43FE">
        <w:rPr>
          <w:i/>
        </w:rPr>
        <w:t xml:space="preserve">K. </w:t>
      </w:r>
      <w:proofErr w:type="spellStart"/>
      <w:r w:rsidR="003A2AE5" w:rsidRPr="005D43FE">
        <w:rPr>
          <w:i/>
        </w:rPr>
        <w:t>Agarwal</w:t>
      </w:r>
      <w:proofErr w:type="spellEnd"/>
      <w:r w:rsidR="003A2AE5" w:rsidRPr="005D43FE">
        <w:rPr>
          <w:i/>
        </w:rPr>
        <w:t xml:space="preserve"> </w:t>
      </w:r>
      <w:r w:rsidR="003A2AE5" w:rsidRPr="00857784">
        <w:t xml:space="preserve">and </w:t>
      </w:r>
      <w:r w:rsidR="00AB2453" w:rsidRPr="005D43FE">
        <w:rPr>
          <w:i/>
        </w:rPr>
        <w:t>Ruth A. </w:t>
      </w:r>
      <w:r w:rsidR="003A2AE5" w:rsidRPr="005D43FE">
        <w:rPr>
          <w:i/>
        </w:rPr>
        <w:t>M. Ross</w:t>
      </w:r>
      <w:r w:rsidRPr="005D43FE">
        <w:t xml:space="preserve">, for the intervener </w:t>
      </w:r>
      <w:r w:rsidR="00517956" w:rsidRPr="005D43FE">
        <w:t xml:space="preserve">the </w:t>
      </w:r>
      <w:r w:rsidRPr="005D43FE">
        <w:t>Christian Legal Fellowship.</w:t>
      </w:r>
      <w:proofErr w:type="gramEnd"/>
    </w:p>
    <w:p w:rsidR="00304A7B" w:rsidRPr="005D43FE" w:rsidRDefault="00B83E7B" w:rsidP="007E0AAB">
      <w:pPr>
        <w:pStyle w:val="SCCNormalDoubleSpacing"/>
        <w:spacing w:before="480" w:after="480"/>
      </w:pPr>
      <w:r w:rsidRPr="005D43FE">
        <w:rPr>
          <w:i/>
        </w:rPr>
        <w:tab/>
      </w:r>
      <w:proofErr w:type="gramStart"/>
      <w:r w:rsidRPr="005D43FE">
        <w:rPr>
          <w:i/>
        </w:rPr>
        <w:t xml:space="preserve">Marvin </w:t>
      </w:r>
      <w:proofErr w:type="spellStart"/>
      <w:r w:rsidRPr="005D43FE">
        <w:rPr>
          <w:i/>
        </w:rPr>
        <w:t>Kurz</w:t>
      </w:r>
      <w:proofErr w:type="spellEnd"/>
      <w:r w:rsidRPr="005D43FE">
        <w:t xml:space="preserve">, for the intervener </w:t>
      </w:r>
      <w:r w:rsidR="00517956" w:rsidRPr="005D43FE">
        <w:t>the League for Human Rights of B’</w:t>
      </w:r>
      <w:r w:rsidRPr="005D43FE">
        <w:t xml:space="preserve">nai </w:t>
      </w:r>
      <w:proofErr w:type="spellStart"/>
      <w:r w:rsidRPr="005D43FE">
        <w:t>Brith</w:t>
      </w:r>
      <w:proofErr w:type="spellEnd"/>
      <w:r w:rsidRPr="005D43FE">
        <w:t xml:space="preserve"> Canada.</w:t>
      </w:r>
      <w:proofErr w:type="gramEnd"/>
    </w:p>
    <w:p w:rsidR="00304A7B" w:rsidRPr="005D43FE" w:rsidRDefault="00107915" w:rsidP="007E0AAB">
      <w:pPr>
        <w:pStyle w:val="SCCNormalDoubleSpacing"/>
        <w:spacing w:before="480" w:after="480"/>
      </w:pPr>
      <w:r w:rsidRPr="005D43FE">
        <w:rPr>
          <w:i/>
        </w:rPr>
        <w:tab/>
      </w:r>
      <w:proofErr w:type="gramStart"/>
      <w:r w:rsidRPr="005D43FE">
        <w:rPr>
          <w:i/>
        </w:rPr>
        <w:t>Donald </w:t>
      </w:r>
      <w:r w:rsidR="00B83E7B" w:rsidRPr="005D43FE">
        <w:rPr>
          <w:i/>
        </w:rPr>
        <w:t>E.</w:t>
      </w:r>
      <w:r w:rsidRPr="005D43FE">
        <w:rPr>
          <w:i/>
        </w:rPr>
        <w:t> </w:t>
      </w:r>
      <w:r w:rsidR="00B83E7B" w:rsidRPr="005D43FE">
        <w:rPr>
          <w:i/>
        </w:rPr>
        <w:t>L. Hutchinson</w:t>
      </w:r>
      <w:r w:rsidR="003E09D5" w:rsidRPr="005D43FE">
        <w:rPr>
          <w:i/>
        </w:rPr>
        <w:t xml:space="preserve"> </w:t>
      </w:r>
      <w:r w:rsidR="003E09D5" w:rsidRPr="00857784">
        <w:t xml:space="preserve">and </w:t>
      </w:r>
      <w:r w:rsidR="003E09D5" w:rsidRPr="005D43FE">
        <w:rPr>
          <w:i/>
        </w:rPr>
        <w:t>André Schutten</w:t>
      </w:r>
      <w:r w:rsidR="00B83E7B" w:rsidRPr="005D43FE">
        <w:t xml:space="preserve">, for the intervener </w:t>
      </w:r>
      <w:r w:rsidR="00517956" w:rsidRPr="005D43FE">
        <w:t xml:space="preserve">the </w:t>
      </w:r>
      <w:r w:rsidR="00B83E7B" w:rsidRPr="005D43FE">
        <w:t>Evangelical Fellowship of Canada.</w:t>
      </w:r>
      <w:proofErr w:type="gramEnd"/>
    </w:p>
    <w:p w:rsidR="00304A7B" w:rsidRPr="005D43FE" w:rsidRDefault="00B83E7B" w:rsidP="007E0AAB">
      <w:pPr>
        <w:pStyle w:val="SCCNormalDoubleSpacing"/>
        <w:spacing w:before="480" w:after="480"/>
      </w:pPr>
      <w:r w:rsidRPr="005D43FE">
        <w:rPr>
          <w:i/>
        </w:rPr>
        <w:tab/>
      </w:r>
      <w:proofErr w:type="gramStart"/>
      <w:r w:rsidRPr="005D43FE">
        <w:rPr>
          <w:i/>
        </w:rPr>
        <w:t>Ben Millard</w:t>
      </w:r>
      <w:r w:rsidRPr="005D43FE">
        <w:t xml:space="preserve">, for the intervener </w:t>
      </w:r>
      <w:r w:rsidR="003E09D5" w:rsidRPr="005D43FE">
        <w:t xml:space="preserve">the </w:t>
      </w:r>
      <w:r w:rsidRPr="005D43FE">
        <w:t>United Church of Canada.</w:t>
      </w:r>
      <w:proofErr w:type="gramEnd"/>
    </w:p>
    <w:p w:rsidR="00304A7B" w:rsidRPr="005D43FE" w:rsidRDefault="00B83E7B" w:rsidP="007E0AAB">
      <w:pPr>
        <w:pStyle w:val="SCCNormalDoubleSpacing"/>
        <w:spacing w:before="480" w:after="480"/>
      </w:pPr>
      <w:r w:rsidRPr="005D43FE">
        <w:rPr>
          <w:i/>
        </w:rPr>
        <w:tab/>
      </w:r>
      <w:proofErr w:type="gramStart"/>
      <w:r w:rsidR="006F2EC3" w:rsidRPr="00857784">
        <w:t>Written submissions only by</w:t>
      </w:r>
      <w:r w:rsidR="006F2EC3" w:rsidRPr="005D43FE">
        <w:rPr>
          <w:i/>
        </w:rPr>
        <w:t xml:space="preserve"> </w:t>
      </w:r>
      <w:r w:rsidR="00107915" w:rsidRPr="005D43FE">
        <w:rPr>
          <w:i/>
        </w:rPr>
        <w:t>David M. </w:t>
      </w:r>
      <w:r w:rsidRPr="005D43FE">
        <w:rPr>
          <w:i/>
        </w:rPr>
        <w:t>A. Stack</w:t>
      </w:r>
      <w:r w:rsidRPr="005D43FE">
        <w:t>, for the intervener</w:t>
      </w:r>
      <w:r w:rsidR="006F2EC3" w:rsidRPr="005D43FE">
        <w:t>s</w:t>
      </w:r>
      <w:r w:rsidRPr="005D43FE">
        <w:t xml:space="preserve"> </w:t>
      </w:r>
      <w:r w:rsidR="006F2EC3" w:rsidRPr="005D43FE">
        <w:t xml:space="preserve">the </w:t>
      </w:r>
      <w:r w:rsidRPr="005D43FE">
        <w:t xml:space="preserve">Assembly of First Nations, </w:t>
      </w:r>
      <w:r w:rsidR="006F2EC3" w:rsidRPr="005D43FE">
        <w:t xml:space="preserve">the </w:t>
      </w:r>
      <w:r w:rsidRPr="005D43FE">
        <w:t xml:space="preserve">Federation of Saskatchewan Indian Nations and </w:t>
      </w:r>
      <w:r w:rsidR="006F2EC3" w:rsidRPr="005D43FE">
        <w:t xml:space="preserve">the </w:t>
      </w:r>
      <w:r w:rsidRPr="005D43FE">
        <w:t>Métis Nation</w:t>
      </w:r>
      <w:r w:rsidR="00857784">
        <w:t xml:space="preserve"> — </w:t>
      </w:r>
      <w:r w:rsidRPr="005D43FE">
        <w:t>Saskatchewan.</w:t>
      </w:r>
      <w:proofErr w:type="gramEnd"/>
      <w:r w:rsidR="006F2EC3" w:rsidRPr="005D43FE">
        <w:t xml:space="preserve"> </w:t>
      </w:r>
    </w:p>
    <w:p w:rsidR="00304A7B" w:rsidRPr="005D43FE" w:rsidRDefault="00107915" w:rsidP="007E0AAB">
      <w:pPr>
        <w:pStyle w:val="SCCNormalDoubleSpacing"/>
        <w:spacing w:before="480" w:after="480"/>
      </w:pPr>
      <w:r w:rsidRPr="005D43FE">
        <w:rPr>
          <w:i/>
        </w:rPr>
        <w:tab/>
      </w:r>
      <w:proofErr w:type="gramStart"/>
      <w:r w:rsidRPr="005D43FE">
        <w:rPr>
          <w:i/>
        </w:rPr>
        <w:t>Ryan </w:t>
      </w:r>
      <w:r w:rsidR="00B83E7B" w:rsidRPr="005D43FE">
        <w:rPr>
          <w:i/>
        </w:rPr>
        <w:t>D.</w:t>
      </w:r>
      <w:r w:rsidRPr="005D43FE">
        <w:rPr>
          <w:i/>
        </w:rPr>
        <w:t> </w:t>
      </w:r>
      <w:r w:rsidR="00B83E7B" w:rsidRPr="005D43FE">
        <w:rPr>
          <w:i/>
        </w:rPr>
        <w:t xml:space="preserve">W. </w:t>
      </w:r>
      <w:proofErr w:type="spellStart"/>
      <w:r w:rsidR="00B83E7B" w:rsidRPr="005D43FE">
        <w:rPr>
          <w:i/>
        </w:rPr>
        <w:t>Dalziel</w:t>
      </w:r>
      <w:proofErr w:type="spellEnd"/>
      <w:r w:rsidR="00B83E7B" w:rsidRPr="005D43FE">
        <w:t xml:space="preserve"> and </w:t>
      </w:r>
      <w:r w:rsidRPr="005D43FE">
        <w:rPr>
          <w:i/>
        </w:rPr>
        <w:t>Micah </w:t>
      </w:r>
      <w:r w:rsidR="008A0012" w:rsidRPr="005D43FE">
        <w:rPr>
          <w:i/>
        </w:rPr>
        <w:t>B. Rankin</w:t>
      </w:r>
      <w:r w:rsidR="00B83E7B" w:rsidRPr="005D43FE">
        <w:t>, for the intervener</w:t>
      </w:r>
      <w:r w:rsidR="00951CFC" w:rsidRPr="005D43FE">
        <w:t>s</w:t>
      </w:r>
      <w:r w:rsidR="00B83E7B" w:rsidRPr="005D43FE">
        <w:t xml:space="preserve"> </w:t>
      </w:r>
      <w:r w:rsidR="008A0012" w:rsidRPr="005D43FE">
        <w:t xml:space="preserve">the </w:t>
      </w:r>
      <w:r w:rsidR="00B83E7B" w:rsidRPr="005D43FE">
        <w:t xml:space="preserve">Catholic Civil Rights League and </w:t>
      </w:r>
      <w:r w:rsidR="008A0012" w:rsidRPr="005D43FE">
        <w:t xml:space="preserve">the </w:t>
      </w:r>
      <w:r w:rsidR="00B83E7B" w:rsidRPr="005D43FE">
        <w:t>Faith and Freedom Alliance.</w:t>
      </w:r>
      <w:proofErr w:type="gramEnd"/>
      <w:r w:rsidR="008A0012" w:rsidRPr="005D43FE">
        <w:t xml:space="preserve"> </w:t>
      </w:r>
    </w:p>
    <w:p w:rsidR="00304A7B" w:rsidRPr="005D43FE" w:rsidRDefault="00B83E7B" w:rsidP="007E0AAB">
      <w:pPr>
        <w:pStyle w:val="SCCNormalDoubleSpacing"/>
        <w:spacing w:before="480" w:after="480"/>
      </w:pPr>
      <w:r w:rsidRPr="005D43FE">
        <w:rPr>
          <w:i/>
        </w:rPr>
        <w:tab/>
      </w:r>
      <w:proofErr w:type="gramStart"/>
      <w:r w:rsidRPr="005D43FE">
        <w:rPr>
          <w:i/>
        </w:rPr>
        <w:t xml:space="preserve">Sunil </w:t>
      </w:r>
      <w:proofErr w:type="spellStart"/>
      <w:r w:rsidRPr="005D43FE">
        <w:rPr>
          <w:i/>
        </w:rPr>
        <w:t>Gurmukh</w:t>
      </w:r>
      <w:proofErr w:type="spellEnd"/>
      <w:r w:rsidR="00705716">
        <w:rPr>
          <w:i/>
        </w:rPr>
        <w:t xml:space="preserve"> </w:t>
      </w:r>
      <w:r w:rsidR="00705716" w:rsidRPr="00705716">
        <w:t xml:space="preserve">and </w:t>
      </w:r>
      <w:proofErr w:type="spellStart"/>
      <w:r w:rsidRPr="005D43FE">
        <w:rPr>
          <w:i/>
        </w:rPr>
        <w:t>Moya</w:t>
      </w:r>
      <w:proofErr w:type="spellEnd"/>
      <w:r w:rsidRPr="005D43FE">
        <w:rPr>
          <w:i/>
        </w:rPr>
        <w:t xml:space="preserve"> </w:t>
      </w:r>
      <w:proofErr w:type="spellStart"/>
      <w:r w:rsidRPr="005D43FE">
        <w:rPr>
          <w:i/>
        </w:rPr>
        <w:t>Teklu</w:t>
      </w:r>
      <w:proofErr w:type="spellEnd"/>
      <w:r w:rsidRPr="005D43FE">
        <w:t xml:space="preserve"> for the intervener </w:t>
      </w:r>
      <w:r w:rsidR="00CA2AB7" w:rsidRPr="005D43FE">
        <w:t xml:space="preserve">the </w:t>
      </w:r>
      <w:r w:rsidRPr="005D43FE">
        <w:t>African Canadian Legal Clinic.</w:t>
      </w:r>
      <w:proofErr w:type="gramEnd"/>
      <w:r w:rsidR="00CA2AB7" w:rsidRPr="005D43FE">
        <w:t xml:space="preserve"> </w:t>
      </w:r>
    </w:p>
    <w:p w:rsidR="00BB1957" w:rsidRDefault="00857784" w:rsidP="007E0AAB">
      <w:pPr>
        <w:pStyle w:val="SCCNormalDoubleSpacing"/>
        <w:spacing w:before="480" w:after="480"/>
      </w:pPr>
      <w:r>
        <w:tab/>
        <w:t>The judgment of the Court was delivered by</w:t>
      </w:r>
    </w:p>
    <w:p w:rsidR="00BB1957" w:rsidRPr="00804A2C" w:rsidRDefault="00BB1957" w:rsidP="00BB1957">
      <w:pPr>
        <w:pStyle w:val="JudgeJuge"/>
      </w:pPr>
      <w:r w:rsidRPr="00804A2C">
        <w:tab/>
        <w:t xml:space="preserve">Rothstein J. — </w:t>
      </w:r>
    </w:p>
    <w:tbl>
      <w:tblPr>
        <w:tblStyle w:val="TableGrid1"/>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8460"/>
      </w:tblGrid>
      <w:tr w:rsidR="007F5F2F" w:rsidRPr="00C462CB" w:rsidTr="007F5F2F">
        <w:tc>
          <w:tcPr>
            <w:tcW w:w="8460" w:type="dxa"/>
          </w:tcPr>
          <w:p w:rsidR="007F5F2F" w:rsidRPr="00C462CB" w:rsidRDefault="007F5F2F" w:rsidP="009B1CE9">
            <w:pPr>
              <w:tabs>
                <w:tab w:val="center" w:pos="4050"/>
              </w:tabs>
              <w:rPr>
                <w:b/>
              </w:rPr>
            </w:pPr>
            <w:bookmarkStart w:id="0" w:name="_Toc341432487"/>
            <w:bookmarkStart w:id="1" w:name="_Toc341686966"/>
            <w:bookmarkStart w:id="2" w:name="_Toc346006789"/>
            <w:bookmarkStart w:id="3" w:name="_Toc349051249"/>
            <w:bookmarkStart w:id="4" w:name="_Toc349051327"/>
            <w:bookmarkStart w:id="5" w:name="_Toc349306882"/>
            <w:bookmarkStart w:id="6" w:name="_Toc349638198"/>
            <w:r w:rsidRPr="00C462CB">
              <w:rPr>
                <w:b/>
              </w:rPr>
              <w:tab/>
              <w:t>TABLE OF CONTENTS</w:t>
            </w:r>
          </w:p>
        </w:tc>
      </w:tr>
      <w:tr w:rsidR="007F5F2F" w:rsidRPr="00C462CB" w:rsidTr="007F5F2F">
        <w:tc>
          <w:tcPr>
            <w:tcW w:w="8460" w:type="dxa"/>
          </w:tcPr>
          <w:p w:rsidR="007F5F2F" w:rsidRPr="00C462CB" w:rsidRDefault="007F5F2F" w:rsidP="009B1CE9">
            <w:pPr>
              <w:tabs>
                <w:tab w:val="right" w:pos="8460"/>
              </w:tabs>
            </w:pPr>
          </w:p>
        </w:tc>
      </w:tr>
      <w:tr w:rsidR="007F5F2F" w:rsidRPr="00C462CB" w:rsidTr="007F5F2F">
        <w:tc>
          <w:tcPr>
            <w:tcW w:w="8460" w:type="dxa"/>
          </w:tcPr>
          <w:p w:rsidR="007F5F2F" w:rsidRDefault="007F5F2F">
            <w:pPr>
              <w:pStyle w:val="TOC1"/>
              <w:rPr>
                <w:rFonts w:asciiTheme="minorHAnsi" w:eastAsiaTheme="minorEastAsia" w:hAnsiTheme="minorHAnsi" w:cstheme="minorBidi"/>
                <w:sz w:val="22"/>
                <w:szCs w:val="22"/>
                <w:lang w:val="en-US" w:eastAsia="en-US"/>
              </w:rPr>
            </w:pPr>
            <w:r w:rsidRPr="009469E1">
              <w:rPr>
                <w:rFonts w:eastAsiaTheme="minorEastAsia" w:cstheme="minorBidi"/>
                <w:szCs w:val="22"/>
                <w:lang w:eastAsia="en-US" w:bidi="en-US"/>
              </w:rPr>
              <w:fldChar w:fldCharType="begin"/>
            </w:r>
            <w:r w:rsidRPr="00C462CB">
              <w:instrText xml:space="preserve"> TOC \h \z \t "Title 1 Level / Titre 1 Niveau - Alt L,1,Title 2 Level / Titre 2 Niveau,2,Title 3 Level / Titre 3 Niveau,3,Title 4 Level / Titre 4 Niveau,4,Title 5 Level / Titre 5 Niveau,5,Title / Titre - Alt T,1" </w:instrText>
            </w:r>
            <w:r w:rsidRPr="009469E1">
              <w:rPr>
                <w:rFonts w:eastAsiaTheme="minorEastAsia" w:cstheme="minorBidi"/>
                <w:szCs w:val="22"/>
                <w:lang w:eastAsia="en-US" w:bidi="en-US"/>
              </w:rPr>
              <w:fldChar w:fldCharType="separate"/>
            </w:r>
            <w:hyperlink w:anchor="_Toc408212117" w:history="1">
              <w:r w:rsidRPr="00537C13">
                <w:rPr>
                  <w:rStyle w:val="Hyperlink"/>
                </w:rPr>
                <w:t>I.</w:t>
              </w:r>
              <w:r>
                <w:rPr>
                  <w:rFonts w:asciiTheme="minorHAnsi" w:eastAsiaTheme="minorEastAsia" w:hAnsiTheme="minorHAnsi" w:cstheme="minorBidi"/>
                  <w:sz w:val="22"/>
                  <w:szCs w:val="22"/>
                  <w:lang w:val="en-US" w:eastAsia="en-US"/>
                </w:rPr>
                <w:tab/>
              </w:r>
              <w:r w:rsidRPr="00537C13">
                <w:rPr>
                  <w:rStyle w:val="Hyperlink"/>
                </w:rPr>
                <w:t>Introduction</w:t>
              </w:r>
            </w:hyperlink>
          </w:p>
          <w:p w:rsidR="007F5F2F" w:rsidRDefault="007F5F2F">
            <w:pPr>
              <w:pStyle w:val="TOC1"/>
              <w:rPr>
                <w:rFonts w:asciiTheme="minorHAnsi" w:eastAsiaTheme="minorEastAsia" w:hAnsiTheme="minorHAnsi" w:cstheme="minorBidi"/>
                <w:sz w:val="22"/>
                <w:szCs w:val="22"/>
                <w:lang w:val="en-US" w:eastAsia="en-US"/>
              </w:rPr>
            </w:pPr>
            <w:hyperlink w:anchor="_Toc408212118" w:history="1">
              <w:r w:rsidRPr="00537C13">
                <w:rPr>
                  <w:rStyle w:val="Hyperlink"/>
                </w:rPr>
                <w:t>II.</w:t>
              </w:r>
              <w:r>
                <w:rPr>
                  <w:rFonts w:asciiTheme="minorHAnsi" w:eastAsiaTheme="minorEastAsia" w:hAnsiTheme="minorHAnsi" w:cstheme="minorBidi"/>
                  <w:sz w:val="22"/>
                  <w:szCs w:val="22"/>
                  <w:lang w:val="en-US" w:eastAsia="en-US"/>
                </w:rPr>
                <w:tab/>
              </w:r>
              <w:r w:rsidRPr="00537C13">
                <w:rPr>
                  <w:rStyle w:val="Hyperlink"/>
                </w:rPr>
                <w:t>Facts</w:t>
              </w:r>
              <w:r>
                <w:rPr>
                  <w:webHidden/>
                </w:rPr>
                <w:tab/>
              </w:r>
            </w:hyperlink>
          </w:p>
          <w:p w:rsidR="007F5F2F" w:rsidRDefault="007F5F2F">
            <w:pPr>
              <w:pStyle w:val="TOC1"/>
              <w:rPr>
                <w:rFonts w:asciiTheme="minorHAnsi" w:eastAsiaTheme="minorEastAsia" w:hAnsiTheme="minorHAnsi" w:cstheme="minorBidi"/>
                <w:sz w:val="22"/>
                <w:szCs w:val="22"/>
                <w:lang w:val="en-US" w:eastAsia="en-US"/>
              </w:rPr>
            </w:pPr>
            <w:hyperlink w:anchor="_Toc408212119" w:history="1">
              <w:r w:rsidRPr="00537C13">
                <w:rPr>
                  <w:rStyle w:val="Hyperlink"/>
                </w:rPr>
                <w:t>III.</w:t>
              </w:r>
              <w:r>
                <w:rPr>
                  <w:rFonts w:asciiTheme="minorHAnsi" w:eastAsiaTheme="minorEastAsia" w:hAnsiTheme="minorHAnsi" w:cstheme="minorBidi"/>
                  <w:sz w:val="22"/>
                  <w:szCs w:val="22"/>
                  <w:lang w:val="en-US" w:eastAsia="en-US"/>
                </w:rPr>
                <w:tab/>
              </w:r>
              <w:r w:rsidRPr="00537C13">
                <w:rPr>
                  <w:rStyle w:val="Hyperlink"/>
                </w:rPr>
                <w:t>Relevant Statutory Provisions</w:t>
              </w:r>
            </w:hyperlink>
          </w:p>
          <w:p w:rsidR="007F5F2F" w:rsidRDefault="007F5F2F">
            <w:pPr>
              <w:pStyle w:val="TOC1"/>
              <w:rPr>
                <w:rFonts w:asciiTheme="minorHAnsi" w:eastAsiaTheme="minorEastAsia" w:hAnsiTheme="minorHAnsi" w:cstheme="minorBidi"/>
                <w:sz w:val="22"/>
                <w:szCs w:val="22"/>
                <w:lang w:val="en-US" w:eastAsia="en-US"/>
              </w:rPr>
            </w:pPr>
            <w:hyperlink w:anchor="_Toc408212120" w:history="1">
              <w:r w:rsidRPr="00537C13">
                <w:rPr>
                  <w:rStyle w:val="Hyperlink"/>
                </w:rPr>
                <w:t>IV.</w:t>
              </w:r>
              <w:r>
                <w:rPr>
                  <w:rFonts w:asciiTheme="minorHAnsi" w:eastAsiaTheme="minorEastAsia" w:hAnsiTheme="minorHAnsi" w:cstheme="minorBidi"/>
                  <w:sz w:val="22"/>
                  <w:szCs w:val="22"/>
                  <w:lang w:val="en-US" w:eastAsia="en-US"/>
                </w:rPr>
                <w:tab/>
              </w:r>
              <w:r w:rsidRPr="00537C13">
                <w:rPr>
                  <w:rStyle w:val="Hyperlink"/>
                </w:rPr>
                <w:t>Judicial History</w:t>
              </w:r>
            </w:hyperlink>
          </w:p>
          <w:p w:rsidR="007F5F2F" w:rsidRDefault="007F5F2F">
            <w:pPr>
              <w:pStyle w:val="TOC1"/>
              <w:rPr>
                <w:rFonts w:asciiTheme="minorHAnsi" w:eastAsiaTheme="minorEastAsia" w:hAnsiTheme="minorHAnsi" w:cstheme="minorBidi"/>
                <w:sz w:val="22"/>
                <w:szCs w:val="22"/>
                <w:lang w:val="en-US" w:eastAsia="en-US"/>
              </w:rPr>
            </w:pPr>
            <w:hyperlink w:anchor="_Toc408212121" w:history="1">
              <w:r w:rsidRPr="00537C13">
                <w:rPr>
                  <w:rStyle w:val="Hyperlink"/>
                </w:rPr>
                <w:t>A.</w:t>
              </w:r>
              <w:r>
                <w:rPr>
                  <w:rFonts w:asciiTheme="minorHAnsi" w:eastAsiaTheme="minorEastAsia" w:hAnsiTheme="minorHAnsi" w:cstheme="minorBidi"/>
                  <w:sz w:val="22"/>
                  <w:szCs w:val="22"/>
                  <w:lang w:val="en-US" w:eastAsia="en-US"/>
                </w:rPr>
                <w:tab/>
              </w:r>
              <w:r w:rsidRPr="00537C13">
                <w:rPr>
                  <w:rStyle w:val="Hyperlink"/>
                  <w:i/>
                </w:rPr>
                <w:t>Saskatchewan Court of Queen’s Bench,</w:t>
              </w:r>
              <w:r w:rsidRPr="00537C13">
                <w:rPr>
                  <w:rStyle w:val="Hyperlink"/>
                </w:rPr>
                <w:t xml:space="preserve"> </w:t>
              </w:r>
              <w:r w:rsidRPr="00537C13">
                <w:rPr>
                  <w:rStyle w:val="Hyperlink"/>
                  <w:i/>
                </w:rPr>
                <w:t>2007 SKQB 450, 306 Sask. R. 186</w:t>
              </w:r>
            </w:hyperlink>
          </w:p>
          <w:p w:rsidR="007F5F2F" w:rsidRDefault="007F5F2F">
            <w:pPr>
              <w:pStyle w:val="TOC1"/>
              <w:rPr>
                <w:rFonts w:asciiTheme="minorHAnsi" w:eastAsiaTheme="minorEastAsia" w:hAnsiTheme="minorHAnsi" w:cstheme="minorBidi"/>
                <w:sz w:val="22"/>
                <w:szCs w:val="22"/>
                <w:lang w:val="en-US" w:eastAsia="en-US"/>
              </w:rPr>
            </w:pPr>
            <w:hyperlink w:anchor="_Toc408212122" w:history="1">
              <w:r w:rsidRPr="00537C13">
                <w:rPr>
                  <w:rStyle w:val="Hyperlink"/>
                </w:rPr>
                <w:t>B.</w:t>
              </w:r>
              <w:r>
                <w:rPr>
                  <w:rFonts w:asciiTheme="minorHAnsi" w:eastAsiaTheme="minorEastAsia" w:hAnsiTheme="minorHAnsi" w:cstheme="minorBidi"/>
                  <w:sz w:val="22"/>
                  <w:szCs w:val="22"/>
                  <w:lang w:val="en-US" w:eastAsia="en-US"/>
                </w:rPr>
                <w:tab/>
              </w:r>
              <w:r w:rsidRPr="00537C13">
                <w:rPr>
                  <w:rStyle w:val="Hyperlink"/>
                  <w:i/>
                </w:rPr>
                <w:t>Saskatchewan Court of Appeal, 2010 SKCA 26, 346 Sask. R. 210</w:t>
              </w:r>
            </w:hyperlink>
          </w:p>
          <w:p w:rsidR="007F5F2F" w:rsidRDefault="007F5F2F">
            <w:pPr>
              <w:pStyle w:val="TOC1"/>
              <w:rPr>
                <w:rFonts w:asciiTheme="minorHAnsi" w:eastAsiaTheme="minorEastAsia" w:hAnsiTheme="minorHAnsi" w:cstheme="minorBidi"/>
                <w:sz w:val="22"/>
                <w:szCs w:val="22"/>
                <w:lang w:val="en-US" w:eastAsia="en-US"/>
              </w:rPr>
            </w:pPr>
            <w:hyperlink w:anchor="_Toc408212123" w:history="1">
              <w:r w:rsidRPr="00537C13">
                <w:rPr>
                  <w:rStyle w:val="Hyperlink"/>
                </w:rPr>
                <w:t>V.</w:t>
              </w:r>
              <w:r>
                <w:rPr>
                  <w:rFonts w:asciiTheme="minorHAnsi" w:eastAsiaTheme="minorEastAsia" w:hAnsiTheme="minorHAnsi" w:cstheme="minorBidi"/>
                  <w:sz w:val="22"/>
                  <w:szCs w:val="22"/>
                  <w:lang w:val="en-US" w:eastAsia="en-US"/>
                </w:rPr>
                <w:tab/>
              </w:r>
              <w:r w:rsidRPr="00537C13">
                <w:rPr>
                  <w:rStyle w:val="Hyperlink"/>
                </w:rPr>
                <w:t>Issues</w:t>
              </w:r>
            </w:hyperlink>
          </w:p>
          <w:p w:rsidR="007F5F2F" w:rsidRDefault="007F5F2F">
            <w:pPr>
              <w:pStyle w:val="TOC1"/>
              <w:rPr>
                <w:rFonts w:asciiTheme="minorHAnsi" w:eastAsiaTheme="minorEastAsia" w:hAnsiTheme="minorHAnsi" w:cstheme="minorBidi"/>
                <w:sz w:val="22"/>
                <w:szCs w:val="22"/>
                <w:lang w:val="en-US" w:eastAsia="en-US"/>
              </w:rPr>
            </w:pPr>
            <w:hyperlink w:anchor="_Toc408212124" w:history="1">
              <w:r w:rsidRPr="00537C13">
                <w:rPr>
                  <w:rStyle w:val="Hyperlink"/>
                </w:rPr>
                <w:t>VI.</w:t>
              </w:r>
              <w:r>
                <w:rPr>
                  <w:rFonts w:asciiTheme="minorHAnsi" w:eastAsiaTheme="minorEastAsia" w:hAnsiTheme="minorHAnsi" w:cstheme="minorBidi"/>
                  <w:sz w:val="22"/>
                  <w:szCs w:val="22"/>
                  <w:lang w:val="en-US" w:eastAsia="en-US"/>
                </w:rPr>
                <w:tab/>
              </w:r>
              <w:r w:rsidRPr="00537C13">
                <w:rPr>
                  <w:rStyle w:val="Hyperlink"/>
                </w:rPr>
                <w:t>The Definition of “Hatred”</w:t>
              </w:r>
            </w:hyperlink>
            <w:r>
              <w:rPr>
                <w:rFonts w:asciiTheme="minorHAnsi" w:eastAsiaTheme="minorEastAsia" w:hAnsiTheme="minorHAnsi" w:cstheme="minorBidi"/>
                <w:sz w:val="22"/>
                <w:szCs w:val="22"/>
                <w:lang w:val="en-US" w:eastAsia="en-US"/>
              </w:rPr>
              <w:t xml:space="preserve"> </w:t>
            </w:r>
          </w:p>
          <w:p w:rsidR="007F5F2F" w:rsidRDefault="007F5F2F">
            <w:pPr>
              <w:pStyle w:val="TOC1"/>
              <w:rPr>
                <w:rFonts w:asciiTheme="minorHAnsi" w:eastAsiaTheme="minorEastAsia" w:hAnsiTheme="minorHAnsi" w:cstheme="minorBidi"/>
                <w:sz w:val="22"/>
                <w:szCs w:val="22"/>
                <w:lang w:val="en-US" w:eastAsia="en-US"/>
              </w:rPr>
            </w:pPr>
            <w:hyperlink w:anchor="_Toc408212125" w:history="1">
              <w:r w:rsidRPr="00537C13">
                <w:rPr>
                  <w:rStyle w:val="Hyperlink"/>
                </w:rPr>
                <w:t>A.</w:t>
              </w:r>
              <w:r>
                <w:rPr>
                  <w:rFonts w:asciiTheme="minorHAnsi" w:eastAsiaTheme="minorEastAsia" w:hAnsiTheme="minorHAnsi" w:cstheme="minorBidi"/>
                  <w:sz w:val="22"/>
                  <w:szCs w:val="22"/>
                  <w:lang w:val="en-US" w:eastAsia="en-US"/>
                </w:rPr>
                <w:tab/>
              </w:r>
              <w:r w:rsidRPr="00537C13">
                <w:rPr>
                  <w:rStyle w:val="Hyperlink"/>
                  <w:i/>
                </w:rPr>
                <w:t>Summary of the Decision in</w:t>
              </w:r>
              <w:r w:rsidRPr="00537C13">
                <w:rPr>
                  <w:rStyle w:val="Hyperlink"/>
                </w:rPr>
                <w:t xml:space="preserve"> </w:t>
              </w:r>
              <w:r w:rsidRPr="00537C13">
                <w:rPr>
                  <w:rStyle w:val="Hyperlink"/>
                  <w:i/>
                </w:rPr>
                <w:t>Canada</w:t>
              </w:r>
              <w:r w:rsidRPr="00537C13">
                <w:rPr>
                  <w:rStyle w:val="Hyperlink"/>
                </w:rPr>
                <w:t xml:space="preserve"> </w:t>
              </w:r>
              <w:r w:rsidRPr="00537C13">
                <w:rPr>
                  <w:rStyle w:val="Hyperlink"/>
                  <w:i/>
                </w:rPr>
                <w:t>(Human Rights Commission) v. Taylor</w:t>
              </w:r>
            </w:hyperlink>
          </w:p>
          <w:p w:rsidR="007F5F2F" w:rsidRDefault="007F5F2F">
            <w:pPr>
              <w:pStyle w:val="TOC1"/>
              <w:rPr>
                <w:rFonts w:asciiTheme="minorHAnsi" w:eastAsiaTheme="minorEastAsia" w:hAnsiTheme="minorHAnsi" w:cstheme="minorBidi"/>
                <w:sz w:val="22"/>
                <w:szCs w:val="22"/>
                <w:lang w:val="en-US" w:eastAsia="en-US"/>
              </w:rPr>
            </w:pPr>
            <w:hyperlink w:anchor="_Toc408212126" w:history="1">
              <w:r w:rsidRPr="00537C13">
                <w:rPr>
                  <w:rStyle w:val="Hyperlink"/>
                </w:rPr>
                <w:t>B.</w:t>
              </w:r>
              <w:r>
                <w:rPr>
                  <w:rFonts w:asciiTheme="minorHAnsi" w:eastAsiaTheme="minorEastAsia" w:hAnsiTheme="minorHAnsi" w:cstheme="minorBidi"/>
                  <w:sz w:val="22"/>
                  <w:szCs w:val="22"/>
                  <w:lang w:val="en-US" w:eastAsia="en-US"/>
                </w:rPr>
                <w:tab/>
              </w:r>
              <w:r w:rsidRPr="00537C13">
                <w:rPr>
                  <w:rStyle w:val="Hyperlink"/>
                  <w:i/>
                </w:rPr>
                <w:t>Criticisms of the Taylor Definition of Hatred</w:t>
              </w:r>
            </w:hyperlink>
          </w:p>
          <w:p w:rsidR="007F5F2F" w:rsidRDefault="007F5F2F">
            <w:pPr>
              <w:pStyle w:val="TOC1"/>
              <w:rPr>
                <w:rFonts w:asciiTheme="minorHAnsi" w:eastAsiaTheme="minorEastAsia" w:hAnsiTheme="minorHAnsi" w:cstheme="minorBidi"/>
                <w:sz w:val="22"/>
                <w:szCs w:val="22"/>
                <w:lang w:val="en-US" w:eastAsia="en-US"/>
              </w:rPr>
            </w:pPr>
            <w:hyperlink w:anchor="_Toc408212127" w:history="1">
              <w:r w:rsidRPr="00537C13">
                <w:rPr>
                  <w:rStyle w:val="Hyperlink"/>
                </w:rPr>
                <w:t>C.</w:t>
              </w:r>
              <w:r>
                <w:rPr>
                  <w:rFonts w:asciiTheme="minorHAnsi" w:eastAsiaTheme="minorEastAsia" w:hAnsiTheme="minorHAnsi" w:cstheme="minorBidi"/>
                  <w:sz w:val="22"/>
                  <w:szCs w:val="22"/>
                  <w:lang w:val="en-US" w:eastAsia="en-US"/>
                </w:rPr>
                <w:tab/>
              </w:r>
              <w:r w:rsidRPr="00537C13">
                <w:rPr>
                  <w:rStyle w:val="Hyperlink"/>
                  <w:i/>
                </w:rPr>
                <w:t>Subjectivity</w:t>
              </w:r>
              <w:r>
                <w:rPr>
                  <w:webHidden/>
                </w:rPr>
                <w:tab/>
              </w:r>
            </w:hyperlink>
          </w:p>
          <w:p w:rsidR="007F5F2F" w:rsidRDefault="007F5F2F">
            <w:pPr>
              <w:pStyle w:val="TOC1"/>
              <w:rPr>
                <w:rFonts w:asciiTheme="minorHAnsi" w:eastAsiaTheme="minorEastAsia" w:hAnsiTheme="minorHAnsi" w:cstheme="minorBidi"/>
                <w:sz w:val="22"/>
                <w:szCs w:val="22"/>
                <w:lang w:val="en-US" w:eastAsia="en-US"/>
              </w:rPr>
            </w:pPr>
            <w:hyperlink w:anchor="_Toc408212128" w:history="1">
              <w:r w:rsidRPr="00537C13">
                <w:rPr>
                  <w:rStyle w:val="Hyperlink"/>
                </w:rPr>
                <w:t>(1)</w:t>
              </w:r>
              <w:r>
                <w:rPr>
                  <w:rFonts w:asciiTheme="minorHAnsi" w:eastAsiaTheme="minorEastAsia" w:hAnsiTheme="minorHAnsi" w:cstheme="minorBidi"/>
                  <w:sz w:val="22"/>
                  <w:szCs w:val="22"/>
                  <w:lang w:val="en-US" w:eastAsia="en-US"/>
                </w:rPr>
                <w:tab/>
              </w:r>
              <w:r w:rsidRPr="00537C13">
                <w:rPr>
                  <w:rStyle w:val="Hyperlink"/>
                </w:rPr>
                <w:t>The Reasonable Person</w:t>
              </w:r>
            </w:hyperlink>
          </w:p>
          <w:p w:rsidR="007F5F2F" w:rsidRDefault="007F5F2F">
            <w:pPr>
              <w:pStyle w:val="TOC1"/>
              <w:rPr>
                <w:rFonts w:asciiTheme="minorHAnsi" w:eastAsiaTheme="minorEastAsia" w:hAnsiTheme="minorHAnsi" w:cstheme="minorBidi"/>
                <w:sz w:val="22"/>
                <w:szCs w:val="22"/>
                <w:lang w:val="en-US" w:eastAsia="en-US"/>
              </w:rPr>
            </w:pPr>
            <w:hyperlink w:anchor="_Toc408212129" w:history="1">
              <w:r w:rsidRPr="00537C13">
                <w:rPr>
                  <w:rStyle w:val="Hyperlink"/>
                </w:rPr>
                <w:t>(2)</w:t>
              </w:r>
              <w:r>
                <w:rPr>
                  <w:rFonts w:asciiTheme="minorHAnsi" w:eastAsiaTheme="minorEastAsia" w:hAnsiTheme="minorHAnsi" w:cstheme="minorBidi"/>
                  <w:sz w:val="22"/>
                  <w:szCs w:val="22"/>
                  <w:lang w:val="en-US" w:eastAsia="en-US"/>
                </w:rPr>
                <w:tab/>
              </w:r>
              <w:r w:rsidRPr="00537C13">
                <w:rPr>
                  <w:rStyle w:val="Hyperlink"/>
                </w:rPr>
                <w:t>Dealing With the Inherent Subjectivity of the Emotion of Hatred</w:t>
              </w:r>
            </w:hyperlink>
          </w:p>
          <w:p w:rsidR="007F5F2F" w:rsidRDefault="007F5F2F">
            <w:pPr>
              <w:pStyle w:val="TOC1"/>
              <w:rPr>
                <w:rFonts w:asciiTheme="minorHAnsi" w:eastAsiaTheme="minorEastAsia" w:hAnsiTheme="minorHAnsi" w:cstheme="minorBidi"/>
                <w:sz w:val="22"/>
                <w:szCs w:val="22"/>
                <w:lang w:val="en-US" w:eastAsia="en-US"/>
              </w:rPr>
            </w:pPr>
            <w:hyperlink w:anchor="_Toc408212130" w:history="1">
              <w:r w:rsidRPr="00537C13">
                <w:rPr>
                  <w:rStyle w:val="Hyperlink"/>
                </w:rPr>
                <w:t>(a)</w:t>
              </w:r>
              <w:r>
                <w:rPr>
                  <w:rFonts w:asciiTheme="minorHAnsi" w:eastAsiaTheme="minorEastAsia" w:hAnsiTheme="minorHAnsi" w:cstheme="minorBidi"/>
                  <w:sz w:val="22"/>
                  <w:szCs w:val="22"/>
                  <w:lang w:val="en-US" w:eastAsia="en-US"/>
                </w:rPr>
                <w:tab/>
              </w:r>
              <w:r w:rsidRPr="00537C13">
                <w:rPr>
                  <w:rStyle w:val="Hyperlink"/>
                  <w:i/>
                </w:rPr>
                <w:t>The Meaning of “Hatred or Contempt”</w:t>
              </w:r>
            </w:hyperlink>
            <w:r>
              <w:rPr>
                <w:rFonts w:asciiTheme="minorHAnsi" w:eastAsiaTheme="minorEastAsia" w:hAnsiTheme="minorHAnsi" w:cstheme="minorBidi"/>
                <w:sz w:val="22"/>
                <w:szCs w:val="22"/>
                <w:lang w:val="en-US" w:eastAsia="en-US"/>
              </w:rPr>
              <w:t xml:space="preserve"> </w:t>
            </w:r>
          </w:p>
          <w:p w:rsidR="007F5F2F" w:rsidRDefault="007F5F2F">
            <w:pPr>
              <w:pStyle w:val="TOC1"/>
              <w:rPr>
                <w:rFonts w:asciiTheme="minorHAnsi" w:eastAsiaTheme="minorEastAsia" w:hAnsiTheme="minorHAnsi" w:cstheme="minorBidi"/>
                <w:sz w:val="22"/>
                <w:szCs w:val="22"/>
                <w:lang w:val="en-US" w:eastAsia="en-US"/>
              </w:rPr>
            </w:pPr>
            <w:hyperlink w:anchor="_Toc408212131" w:history="1">
              <w:r w:rsidRPr="00537C13">
                <w:rPr>
                  <w:rStyle w:val="Hyperlink"/>
                </w:rPr>
                <w:t>(b)</w:t>
              </w:r>
              <w:r>
                <w:rPr>
                  <w:rFonts w:asciiTheme="minorHAnsi" w:eastAsiaTheme="minorEastAsia" w:hAnsiTheme="minorHAnsi" w:cstheme="minorBidi"/>
                  <w:sz w:val="22"/>
                  <w:szCs w:val="22"/>
                  <w:lang w:val="en-US" w:eastAsia="en-US"/>
                </w:rPr>
                <w:tab/>
              </w:r>
              <w:r w:rsidRPr="00537C13">
                <w:rPr>
                  <w:rStyle w:val="Hyperlink"/>
                  <w:i/>
                </w:rPr>
                <w:t>The Legislative Objectives</w:t>
              </w:r>
            </w:hyperlink>
          </w:p>
          <w:p w:rsidR="007F5F2F" w:rsidRDefault="007F5F2F">
            <w:pPr>
              <w:pStyle w:val="TOC1"/>
              <w:rPr>
                <w:rFonts w:asciiTheme="minorHAnsi" w:eastAsiaTheme="minorEastAsia" w:hAnsiTheme="minorHAnsi" w:cstheme="minorBidi"/>
                <w:sz w:val="22"/>
                <w:szCs w:val="22"/>
                <w:lang w:val="en-US" w:eastAsia="en-US"/>
              </w:rPr>
            </w:pPr>
            <w:hyperlink w:anchor="_Toc408212132" w:history="1">
              <w:r w:rsidRPr="00537C13">
                <w:rPr>
                  <w:rStyle w:val="Hyperlink"/>
                </w:rPr>
                <w:t>D.</w:t>
              </w:r>
              <w:r>
                <w:rPr>
                  <w:rFonts w:asciiTheme="minorHAnsi" w:eastAsiaTheme="minorEastAsia" w:hAnsiTheme="minorHAnsi" w:cstheme="minorBidi"/>
                  <w:sz w:val="22"/>
                  <w:szCs w:val="22"/>
                  <w:lang w:val="en-US" w:eastAsia="en-US"/>
                </w:rPr>
                <w:tab/>
              </w:r>
              <w:r w:rsidRPr="00537C13">
                <w:rPr>
                  <w:rStyle w:val="Hyperlink"/>
                  <w:i/>
                </w:rPr>
                <w:t>Focusing on the Effects of Hate Speech</w:t>
              </w:r>
            </w:hyperlink>
          </w:p>
          <w:p w:rsidR="007F5F2F" w:rsidRDefault="007F5F2F">
            <w:pPr>
              <w:pStyle w:val="TOC1"/>
              <w:rPr>
                <w:rFonts w:asciiTheme="minorHAnsi" w:eastAsiaTheme="minorEastAsia" w:hAnsiTheme="minorHAnsi" w:cstheme="minorBidi"/>
                <w:sz w:val="22"/>
                <w:szCs w:val="22"/>
                <w:lang w:val="en-US" w:eastAsia="en-US"/>
              </w:rPr>
            </w:pPr>
            <w:hyperlink w:anchor="_Toc408212133" w:history="1">
              <w:r w:rsidRPr="00537C13">
                <w:rPr>
                  <w:rStyle w:val="Hyperlink"/>
                </w:rPr>
                <w:t>E.</w:t>
              </w:r>
              <w:r>
                <w:rPr>
                  <w:rFonts w:asciiTheme="minorHAnsi" w:eastAsiaTheme="minorEastAsia" w:hAnsiTheme="minorHAnsi" w:cstheme="minorBidi"/>
                  <w:sz w:val="22"/>
                  <w:szCs w:val="22"/>
                  <w:lang w:val="en-US" w:eastAsia="en-US"/>
                </w:rPr>
                <w:tab/>
              </w:r>
              <w:r w:rsidRPr="00537C13">
                <w:rPr>
                  <w:rStyle w:val="Hyperlink"/>
                  <w:i/>
                </w:rPr>
                <w:t>Confirming a Modified Definition of “Hatred”</w:t>
              </w:r>
            </w:hyperlink>
            <w:r>
              <w:rPr>
                <w:rFonts w:asciiTheme="minorHAnsi" w:eastAsiaTheme="minorEastAsia" w:hAnsiTheme="minorHAnsi" w:cstheme="minorBidi"/>
                <w:sz w:val="22"/>
                <w:szCs w:val="22"/>
                <w:lang w:val="en-US" w:eastAsia="en-US"/>
              </w:rPr>
              <w:t xml:space="preserve"> </w:t>
            </w:r>
          </w:p>
          <w:p w:rsidR="007F5F2F" w:rsidRDefault="007F5F2F">
            <w:pPr>
              <w:pStyle w:val="TOC1"/>
              <w:rPr>
                <w:rFonts w:asciiTheme="minorHAnsi" w:eastAsiaTheme="minorEastAsia" w:hAnsiTheme="minorHAnsi" w:cstheme="minorBidi"/>
                <w:sz w:val="22"/>
                <w:szCs w:val="22"/>
                <w:lang w:val="en-US" w:eastAsia="en-US"/>
              </w:rPr>
            </w:pPr>
            <w:hyperlink w:anchor="_Toc408212134" w:history="1">
              <w:r w:rsidRPr="00537C13">
                <w:rPr>
                  <w:rStyle w:val="Hyperlink"/>
                </w:rPr>
                <w:t>VII.</w:t>
              </w:r>
              <w:r>
                <w:rPr>
                  <w:rFonts w:asciiTheme="minorHAnsi" w:eastAsiaTheme="minorEastAsia" w:hAnsiTheme="minorHAnsi" w:cstheme="minorBidi"/>
                  <w:sz w:val="22"/>
                  <w:szCs w:val="22"/>
                  <w:lang w:val="en-US" w:eastAsia="en-US"/>
                </w:rPr>
                <w:tab/>
              </w:r>
              <w:r w:rsidRPr="00537C13">
                <w:rPr>
                  <w:rStyle w:val="Hyperlink"/>
                </w:rPr>
                <w:t xml:space="preserve"> Standard of Review in Constitutional Questions</w:t>
              </w:r>
            </w:hyperlink>
          </w:p>
          <w:p w:rsidR="007F5F2F" w:rsidRDefault="007F5F2F">
            <w:pPr>
              <w:pStyle w:val="TOC1"/>
              <w:rPr>
                <w:rFonts w:asciiTheme="minorHAnsi" w:eastAsiaTheme="minorEastAsia" w:hAnsiTheme="minorHAnsi" w:cstheme="minorBidi"/>
                <w:sz w:val="22"/>
                <w:szCs w:val="22"/>
                <w:lang w:val="en-US" w:eastAsia="en-US"/>
              </w:rPr>
            </w:pPr>
            <w:hyperlink w:anchor="_Toc408212135" w:history="1">
              <w:r w:rsidRPr="00537C13">
                <w:rPr>
                  <w:rStyle w:val="Hyperlink"/>
                </w:rPr>
                <w:t>VIII.</w:t>
              </w:r>
              <w:r>
                <w:rPr>
                  <w:rFonts w:asciiTheme="minorHAnsi" w:eastAsiaTheme="minorEastAsia" w:hAnsiTheme="minorHAnsi" w:cstheme="minorBidi"/>
                  <w:sz w:val="22"/>
                  <w:szCs w:val="22"/>
                  <w:lang w:val="en-US" w:eastAsia="en-US"/>
                </w:rPr>
                <w:tab/>
              </w:r>
              <w:r w:rsidRPr="00537C13">
                <w:rPr>
                  <w:rStyle w:val="Hyperlink"/>
                </w:rPr>
                <w:t>Constitutional Analysis</w:t>
              </w:r>
            </w:hyperlink>
          </w:p>
          <w:p w:rsidR="007F5F2F" w:rsidRDefault="007F5F2F">
            <w:pPr>
              <w:pStyle w:val="TOC1"/>
              <w:rPr>
                <w:rFonts w:asciiTheme="minorHAnsi" w:eastAsiaTheme="minorEastAsia" w:hAnsiTheme="minorHAnsi" w:cstheme="minorBidi"/>
                <w:sz w:val="22"/>
                <w:szCs w:val="22"/>
                <w:lang w:val="en-US" w:eastAsia="en-US"/>
              </w:rPr>
            </w:pPr>
            <w:hyperlink w:anchor="_Toc408212136" w:history="1">
              <w:r w:rsidRPr="00537C13">
                <w:rPr>
                  <w:rStyle w:val="Hyperlink"/>
                </w:rPr>
                <w:t>A.</w:t>
              </w:r>
              <w:r>
                <w:rPr>
                  <w:rFonts w:asciiTheme="minorHAnsi" w:eastAsiaTheme="minorEastAsia" w:hAnsiTheme="minorHAnsi" w:cstheme="minorBidi"/>
                  <w:sz w:val="22"/>
                  <w:szCs w:val="22"/>
                  <w:lang w:val="en-US" w:eastAsia="en-US"/>
                </w:rPr>
                <w:tab/>
              </w:r>
              <w:r w:rsidRPr="00537C13">
                <w:rPr>
                  <w:rStyle w:val="Hyperlink"/>
                  <w:i/>
                </w:rPr>
                <w:t>Whether Section 14(1)(b) Infringes Freedom of Expression Under Section 2(b) of the Charter</w:t>
              </w:r>
            </w:hyperlink>
          </w:p>
          <w:p w:rsidR="007F5F2F" w:rsidRDefault="007F5F2F">
            <w:pPr>
              <w:pStyle w:val="TOC1"/>
              <w:rPr>
                <w:rFonts w:asciiTheme="minorHAnsi" w:eastAsiaTheme="minorEastAsia" w:hAnsiTheme="minorHAnsi" w:cstheme="minorBidi"/>
                <w:sz w:val="22"/>
                <w:szCs w:val="22"/>
                <w:lang w:val="en-US" w:eastAsia="en-US"/>
              </w:rPr>
            </w:pPr>
            <w:hyperlink w:anchor="_Toc408212137" w:history="1">
              <w:r w:rsidRPr="00537C13">
                <w:rPr>
                  <w:rStyle w:val="Hyperlink"/>
                </w:rPr>
                <w:t>B.</w:t>
              </w:r>
              <w:r>
                <w:rPr>
                  <w:rFonts w:asciiTheme="minorHAnsi" w:eastAsiaTheme="minorEastAsia" w:hAnsiTheme="minorHAnsi" w:cstheme="minorBidi"/>
                  <w:sz w:val="22"/>
                  <w:szCs w:val="22"/>
                  <w:lang w:val="en-US" w:eastAsia="en-US"/>
                </w:rPr>
                <w:tab/>
              </w:r>
              <w:r w:rsidRPr="00537C13">
                <w:rPr>
                  <w:rStyle w:val="Hyperlink"/>
                  <w:i/>
                </w:rPr>
                <w:t>Section 1 — Whether the Infringement Is Demonstrably Justified in a Free and Democratic Society</w:t>
              </w:r>
            </w:hyperlink>
          </w:p>
          <w:p w:rsidR="007F5F2F" w:rsidRDefault="007F5F2F">
            <w:pPr>
              <w:pStyle w:val="TOC1"/>
              <w:rPr>
                <w:rFonts w:asciiTheme="minorHAnsi" w:eastAsiaTheme="minorEastAsia" w:hAnsiTheme="minorHAnsi" w:cstheme="minorBidi"/>
                <w:sz w:val="22"/>
                <w:szCs w:val="22"/>
                <w:lang w:val="en-US" w:eastAsia="en-US"/>
              </w:rPr>
            </w:pPr>
            <w:hyperlink w:anchor="_Toc408212138" w:history="1">
              <w:r w:rsidRPr="00537C13">
                <w:rPr>
                  <w:rStyle w:val="Hyperlink"/>
                </w:rPr>
                <w:t>(1)</w:t>
              </w:r>
              <w:r>
                <w:rPr>
                  <w:rFonts w:asciiTheme="minorHAnsi" w:eastAsiaTheme="minorEastAsia" w:hAnsiTheme="minorHAnsi" w:cstheme="minorBidi"/>
                  <w:sz w:val="22"/>
                  <w:szCs w:val="22"/>
                  <w:lang w:val="en-US" w:eastAsia="en-US"/>
                </w:rPr>
                <w:tab/>
              </w:r>
              <w:r w:rsidRPr="00537C13">
                <w:rPr>
                  <w:rStyle w:val="Hyperlink"/>
                </w:rPr>
                <w:t>The Approach to Freedom of Expression Under Section 1</w:t>
              </w:r>
            </w:hyperlink>
          </w:p>
          <w:p w:rsidR="007F5F2F" w:rsidRDefault="007F5F2F">
            <w:pPr>
              <w:pStyle w:val="TOC1"/>
              <w:rPr>
                <w:rFonts w:asciiTheme="minorHAnsi" w:eastAsiaTheme="minorEastAsia" w:hAnsiTheme="minorHAnsi" w:cstheme="minorBidi"/>
                <w:sz w:val="22"/>
                <w:szCs w:val="22"/>
                <w:lang w:val="en-US" w:eastAsia="en-US"/>
              </w:rPr>
            </w:pPr>
            <w:hyperlink w:anchor="_Toc408212139" w:history="1">
              <w:r w:rsidRPr="00537C13">
                <w:rPr>
                  <w:rStyle w:val="Hyperlink"/>
                </w:rPr>
                <w:t>(2)</w:t>
              </w:r>
              <w:r>
                <w:rPr>
                  <w:rFonts w:asciiTheme="minorHAnsi" w:eastAsiaTheme="minorEastAsia" w:hAnsiTheme="minorHAnsi" w:cstheme="minorBidi"/>
                  <w:sz w:val="22"/>
                  <w:szCs w:val="22"/>
                  <w:lang w:val="en-US" w:eastAsia="en-US"/>
                </w:rPr>
                <w:tab/>
              </w:r>
              <w:r w:rsidRPr="00537C13">
                <w:rPr>
                  <w:rStyle w:val="Hyperlink"/>
                </w:rPr>
                <w:t>Is the Objective for Which the Limit Is Imposed Pressing and Substantial?</w:t>
              </w:r>
            </w:hyperlink>
            <w:r>
              <w:rPr>
                <w:rFonts w:asciiTheme="minorHAnsi" w:eastAsiaTheme="minorEastAsia" w:hAnsiTheme="minorHAnsi" w:cstheme="minorBidi"/>
                <w:sz w:val="22"/>
                <w:szCs w:val="22"/>
                <w:lang w:val="en-US" w:eastAsia="en-US"/>
              </w:rPr>
              <w:t xml:space="preserve"> </w:t>
            </w:r>
          </w:p>
          <w:p w:rsidR="007F5F2F" w:rsidRDefault="007F5F2F">
            <w:pPr>
              <w:pStyle w:val="TOC1"/>
              <w:rPr>
                <w:rFonts w:asciiTheme="minorHAnsi" w:eastAsiaTheme="minorEastAsia" w:hAnsiTheme="minorHAnsi" w:cstheme="minorBidi"/>
                <w:sz w:val="22"/>
                <w:szCs w:val="22"/>
                <w:lang w:val="en-US" w:eastAsia="en-US"/>
              </w:rPr>
            </w:pPr>
            <w:hyperlink w:anchor="_Toc408212140" w:history="1">
              <w:r w:rsidRPr="00537C13">
                <w:rPr>
                  <w:rStyle w:val="Hyperlink"/>
                </w:rPr>
                <w:t>(3)</w:t>
              </w:r>
              <w:r>
                <w:rPr>
                  <w:rFonts w:asciiTheme="minorHAnsi" w:eastAsiaTheme="minorEastAsia" w:hAnsiTheme="minorHAnsi" w:cstheme="minorBidi"/>
                  <w:sz w:val="22"/>
                  <w:szCs w:val="22"/>
                  <w:lang w:val="en-US" w:eastAsia="en-US"/>
                </w:rPr>
                <w:tab/>
              </w:r>
              <w:r w:rsidRPr="00537C13">
                <w:rPr>
                  <w:rStyle w:val="Hyperlink"/>
                </w:rPr>
                <w:t>Proportionality</w:t>
              </w:r>
            </w:hyperlink>
          </w:p>
          <w:p w:rsidR="007F5F2F" w:rsidRDefault="007F5F2F">
            <w:pPr>
              <w:pStyle w:val="TOC1"/>
              <w:rPr>
                <w:rFonts w:asciiTheme="minorHAnsi" w:eastAsiaTheme="minorEastAsia" w:hAnsiTheme="minorHAnsi" w:cstheme="minorBidi"/>
                <w:sz w:val="22"/>
                <w:szCs w:val="22"/>
                <w:lang w:val="en-US" w:eastAsia="en-US"/>
              </w:rPr>
            </w:pPr>
            <w:hyperlink w:anchor="_Toc408212141" w:history="1">
              <w:r w:rsidRPr="00537C13">
                <w:rPr>
                  <w:rStyle w:val="Hyperlink"/>
                </w:rPr>
                <w:t>(a)</w:t>
              </w:r>
              <w:r>
                <w:rPr>
                  <w:rFonts w:asciiTheme="minorHAnsi" w:eastAsiaTheme="minorEastAsia" w:hAnsiTheme="minorHAnsi" w:cstheme="minorBidi"/>
                  <w:sz w:val="22"/>
                  <w:szCs w:val="22"/>
                  <w:lang w:val="en-US" w:eastAsia="en-US"/>
                </w:rPr>
                <w:tab/>
              </w:r>
              <w:r w:rsidRPr="00537C13">
                <w:rPr>
                  <w:rStyle w:val="Hyperlink"/>
                  <w:i/>
                </w:rPr>
                <w:t>Is the Limit Rationally Connected to the Objective?</w:t>
              </w:r>
            </w:hyperlink>
            <w:r>
              <w:rPr>
                <w:rFonts w:asciiTheme="minorHAnsi" w:eastAsiaTheme="minorEastAsia" w:hAnsiTheme="minorHAnsi" w:cstheme="minorBidi"/>
                <w:sz w:val="22"/>
                <w:szCs w:val="22"/>
                <w:lang w:val="en-US" w:eastAsia="en-US"/>
              </w:rPr>
              <w:t xml:space="preserve"> </w:t>
            </w:r>
          </w:p>
          <w:p w:rsidR="007F5F2F" w:rsidRDefault="007F5F2F">
            <w:pPr>
              <w:pStyle w:val="TOC1"/>
              <w:rPr>
                <w:rFonts w:asciiTheme="minorHAnsi" w:eastAsiaTheme="minorEastAsia" w:hAnsiTheme="minorHAnsi" w:cstheme="minorBidi"/>
                <w:sz w:val="22"/>
                <w:szCs w:val="22"/>
                <w:lang w:val="en-US" w:eastAsia="en-US"/>
              </w:rPr>
            </w:pPr>
            <w:hyperlink w:anchor="_Toc408212142" w:history="1">
              <w:r w:rsidRPr="00537C13">
                <w:rPr>
                  <w:rStyle w:val="Hyperlink"/>
                </w:rPr>
                <w:t>(i)</w:t>
              </w:r>
              <w:r>
                <w:rPr>
                  <w:rFonts w:asciiTheme="minorHAnsi" w:eastAsiaTheme="minorEastAsia" w:hAnsiTheme="minorHAnsi" w:cstheme="minorBidi"/>
                  <w:sz w:val="22"/>
                  <w:szCs w:val="22"/>
                  <w:lang w:val="en-US" w:eastAsia="en-US"/>
                </w:rPr>
                <w:tab/>
              </w:r>
              <w:r w:rsidRPr="00537C13">
                <w:rPr>
                  <w:rStyle w:val="Hyperlink"/>
                </w:rPr>
                <w:t>Societal Versus Individual Harm</w:t>
              </w:r>
            </w:hyperlink>
          </w:p>
          <w:p w:rsidR="007F5F2F" w:rsidRDefault="007F5F2F">
            <w:pPr>
              <w:pStyle w:val="TOC1"/>
              <w:rPr>
                <w:rFonts w:asciiTheme="minorHAnsi" w:eastAsiaTheme="minorEastAsia" w:hAnsiTheme="minorHAnsi" w:cstheme="minorBidi"/>
                <w:sz w:val="22"/>
                <w:szCs w:val="22"/>
                <w:lang w:val="en-US" w:eastAsia="en-US"/>
              </w:rPr>
            </w:pPr>
            <w:hyperlink w:anchor="_Toc408212143" w:history="1">
              <w:r w:rsidRPr="00537C13">
                <w:rPr>
                  <w:rStyle w:val="Hyperlink"/>
                </w:rPr>
                <w:t>(ii)</w:t>
              </w:r>
              <w:r>
                <w:rPr>
                  <w:rFonts w:asciiTheme="minorHAnsi" w:eastAsiaTheme="minorEastAsia" w:hAnsiTheme="minorHAnsi" w:cstheme="minorBidi"/>
                  <w:sz w:val="22"/>
                  <w:szCs w:val="22"/>
                  <w:lang w:val="en-US" w:eastAsia="en-US"/>
                </w:rPr>
                <w:tab/>
              </w:r>
              <w:r w:rsidRPr="00537C13">
                <w:rPr>
                  <w:rStyle w:val="Hyperlink"/>
                </w:rPr>
                <w:t>Wording of Section 14(1)(b) of the</w:t>
              </w:r>
              <w:r w:rsidRPr="00537C13">
                <w:rPr>
                  <w:rStyle w:val="Hyperlink"/>
                  <w:i/>
                </w:rPr>
                <w:t xml:space="preserve"> Code</w:t>
              </w:r>
            </w:hyperlink>
          </w:p>
          <w:p w:rsidR="007F5F2F" w:rsidRDefault="007F5F2F">
            <w:pPr>
              <w:pStyle w:val="TOC1"/>
              <w:rPr>
                <w:rFonts w:asciiTheme="minorHAnsi" w:eastAsiaTheme="minorEastAsia" w:hAnsiTheme="minorHAnsi" w:cstheme="minorBidi"/>
                <w:sz w:val="22"/>
                <w:szCs w:val="22"/>
                <w:lang w:val="en-US" w:eastAsia="en-US"/>
              </w:rPr>
            </w:pPr>
            <w:hyperlink w:anchor="_Toc408212144" w:history="1">
              <w:r w:rsidRPr="00537C13">
                <w:rPr>
                  <w:rStyle w:val="Hyperlink"/>
                </w:rPr>
                <w:t>(iii)</w:t>
              </w:r>
              <w:r>
                <w:rPr>
                  <w:rFonts w:asciiTheme="minorHAnsi" w:eastAsiaTheme="minorEastAsia" w:hAnsiTheme="minorHAnsi" w:cstheme="minorBidi"/>
                  <w:sz w:val="22"/>
                  <w:szCs w:val="22"/>
                  <w:lang w:val="en-US" w:eastAsia="en-US"/>
                </w:rPr>
                <w:tab/>
              </w:r>
              <w:r w:rsidRPr="00537C13">
                <w:rPr>
                  <w:rStyle w:val="Hyperlink"/>
                </w:rPr>
                <w:t>Effectiveness</w:t>
              </w:r>
            </w:hyperlink>
          </w:p>
          <w:p w:rsidR="007F5F2F" w:rsidRDefault="007F5F2F">
            <w:pPr>
              <w:pStyle w:val="TOC1"/>
              <w:rPr>
                <w:rFonts w:asciiTheme="minorHAnsi" w:eastAsiaTheme="minorEastAsia" w:hAnsiTheme="minorHAnsi" w:cstheme="minorBidi"/>
                <w:sz w:val="22"/>
                <w:szCs w:val="22"/>
                <w:lang w:val="en-US" w:eastAsia="en-US"/>
              </w:rPr>
            </w:pPr>
            <w:hyperlink w:anchor="_Toc408212145" w:history="1">
              <w:r w:rsidRPr="00537C13">
                <w:rPr>
                  <w:rStyle w:val="Hyperlink"/>
                </w:rPr>
                <w:t>(iv)</w:t>
              </w:r>
              <w:r>
                <w:rPr>
                  <w:rFonts w:asciiTheme="minorHAnsi" w:eastAsiaTheme="minorEastAsia" w:hAnsiTheme="minorHAnsi" w:cstheme="minorBidi"/>
                  <w:sz w:val="22"/>
                  <w:szCs w:val="22"/>
                  <w:lang w:val="en-US" w:eastAsia="en-US"/>
                </w:rPr>
                <w:tab/>
              </w:r>
              <w:r w:rsidRPr="00537C13">
                <w:rPr>
                  <w:rStyle w:val="Hyperlink"/>
                </w:rPr>
                <w:t>Conclusion in Respect of Rational Connection</w:t>
              </w:r>
            </w:hyperlink>
          </w:p>
          <w:p w:rsidR="007F5F2F" w:rsidRDefault="007F5F2F">
            <w:pPr>
              <w:pStyle w:val="TOC1"/>
              <w:rPr>
                <w:rFonts w:asciiTheme="minorHAnsi" w:eastAsiaTheme="minorEastAsia" w:hAnsiTheme="minorHAnsi" w:cstheme="minorBidi"/>
                <w:sz w:val="22"/>
                <w:szCs w:val="22"/>
                <w:lang w:val="en-US" w:eastAsia="en-US"/>
              </w:rPr>
            </w:pPr>
            <w:hyperlink w:anchor="_Toc408212146" w:history="1">
              <w:r w:rsidRPr="00537C13">
                <w:rPr>
                  <w:rStyle w:val="Hyperlink"/>
                </w:rPr>
                <w:t>(b)</w:t>
              </w:r>
              <w:r>
                <w:rPr>
                  <w:rFonts w:asciiTheme="minorHAnsi" w:eastAsiaTheme="minorEastAsia" w:hAnsiTheme="minorHAnsi" w:cstheme="minorBidi"/>
                  <w:sz w:val="22"/>
                  <w:szCs w:val="22"/>
                  <w:lang w:val="en-US" w:eastAsia="en-US"/>
                </w:rPr>
                <w:tab/>
              </w:r>
              <w:r w:rsidRPr="00537C13">
                <w:rPr>
                  <w:rStyle w:val="Hyperlink"/>
                  <w:i/>
                </w:rPr>
                <w:t>Minimal Impairment</w:t>
              </w:r>
            </w:hyperlink>
          </w:p>
          <w:p w:rsidR="007F5F2F" w:rsidRDefault="007F5F2F">
            <w:pPr>
              <w:pStyle w:val="TOC1"/>
              <w:rPr>
                <w:rFonts w:asciiTheme="minorHAnsi" w:eastAsiaTheme="minorEastAsia" w:hAnsiTheme="minorHAnsi" w:cstheme="minorBidi"/>
                <w:sz w:val="22"/>
                <w:szCs w:val="22"/>
                <w:lang w:val="en-US" w:eastAsia="en-US"/>
              </w:rPr>
            </w:pPr>
            <w:hyperlink w:anchor="_Toc408212147" w:history="1">
              <w:r w:rsidRPr="00537C13">
                <w:rPr>
                  <w:rStyle w:val="Hyperlink"/>
                </w:rPr>
                <w:t>(i)</w:t>
              </w:r>
              <w:r>
                <w:rPr>
                  <w:rFonts w:asciiTheme="minorHAnsi" w:eastAsiaTheme="minorEastAsia" w:hAnsiTheme="minorHAnsi" w:cstheme="minorBidi"/>
                  <w:sz w:val="22"/>
                  <w:szCs w:val="22"/>
                  <w:lang w:val="en-US" w:eastAsia="en-US"/>
                </w:rPr>
                <w:tab/>
              </w:r>
              <w:r w:rsidRPr="00537C13">
                <w:rPr>
                  <w:rStyle w:val="Hyperlink"/>
                </w:rPr>
                <w:t>Alternative Methods of Furthering the Legislature’s Objectives</w:t>
              </w:r>
            </w:hyperlink>
          </w:p>
          <w:p w:rsidR="007F5F2F" w:rsidRDefault="007F5F2F">
            <w:pPr>
              <w:pStyle w:val="TOC1"/>
              <w:rPr>
                <w:rFonts w:asciiTheme="minorHAnsi" w:eastAsiaTheme="minorEastAsia" w:hAnsiTheme="minorHAnsi" w:cstheme="minorBidi"/>
                <w:sz w:val="22"/>
                <w:szCs w:val="22"/>
                <w:lang w:val="en-US" w:eastAsia="en-US"/>
              </w:rPr>
            </w:pPr>
            <w:hyperlink w:anchor="_Toc408212148" w:history="1">
              <w:r w:rsidRPr="00537C13">
                <w:rPr>
                  <w:rStyle w:val="Hyperlink"/>
                </w:rPr>
                <w:t>(ii)</w:t>
              </w:r>
              <w:r>
                <w:rPr>
                  <w:rFonts w:asciiTheme="minorHAnsi" w:eastAsiaTheme="minorEastAsia" w:hAnsiTheme="minorHAnsi" w:cstheme="minorBidi"/>
                  <w:sz w:val="22"/>
                  <w:szCs w:val="22"/>
                  <w:lang w:val="en-US" w:eastAsia="en-US"/>
                </w:rPr>
                <w:tab/>
              </w:r>
              <w:r w:rsidRPr="00537C13">
                <w:rPr>
                  <w:rStyle w:val="Hyperlink"/>
                </w:rPr>
                <w:t>Overbreadth</w:t>
              </w:r>
            </w:hyperlink>
          </w:p>
          <w:p w:rsidR="007F5F2F" w:rsidRDefault="007F5F2F">
            <w:pPr>
              <w:pStyle w:val="TOC1"/>
              <w:rPr>
                <w:rFonts w:asciiTheme="minorHAnsi" w:eastAsiaTheme="minorEastAsia" w:hAnsiTheme="minorHAnsi" w:cstheme="minorBidi"/>
                <w:sz w:val="22"/>
                <w:szCs w:val="22"/>
                <w:lang w:val="en-US" w:eastAsia="en-US"/>
              </w:rPr>
            </w:pPr>
            <w:hyperlink w:anchor="_Toc408212149" w:history="1">
              <w:r w:rsidRPr="00537C13">
                <w:rPr>
                  <w:rStyle w:val="Hyperlink"/>
                </w:rPr>
                <w:t>1.</w:t>
              </w:r>
              <w:r>
                <w:rPr>
                  <w:rFonts w:asciiTheme="minorHAnsi" w:eastAsiaTheme="minorEastAsia" w:hAnsiTheme="minorHAnsi" w:cstheme="minorBidi"/>
                  <w:sz w:val="22"/>
                  <w:szCs w:val="22"/>
                  <w:lang w:val="en-US" w:eastAsia="en-US"/>
                </w:rPr>
                <w:tab/>
              </w:r>
              <w:r w:rsidRPr="00537C13">
                <w:rPr>
                  <w:rStyle w:val="Hyperlink"/>
                  <w:i/>
                </w:rPr>
                <w:t>Wording of Section 14 of the Code</w:t>
              </w:r>
            </w:hyperlink>
          </w:p>
          <w:p w:rsidR="007F5F2F" w:rsidRDefault="007F5F2F">
            <w:pPr>
              <w:pStyle w:val="TOC1"/>
              <w:rPr>
                <w:rFonts w:asciiTheme="minorHAnsi" w:eastAsiaTheme="minorEastAsia" w:hAnsiTheme="minorHAnsi" w:cstheme="minorBidi"/>
                <w:sz w:val="22"/>
                <w:szCs w:val="22"/>
                <w:lang w:val="en-US" w:eastAsia="en-US"/>
              </w:rPr>
            </w:pPr>
            <w:hyperlink w:anchor="_Toc408212150" w:history="1">
              <w:r w:rsidRPr="00537C13">
                <w:rPr>
                  <w:rStyle w:val="Hyperlink"/>
                </w:rPr>
                <w:t>2.</w:t>
              </w:r>
              <w:r>
                <w:rPr>
                  <w:rFonts w:asciiTheme="minorHAnsi" w:eastAsiaTheme="minorEastAsia" w:hAnsiTheme="minorHAnsi" w:cstheme="minorBidi"/>
                  <w:sz w:val="22"/>
                  <w:szCs w:val="22"/>
                  <w:lang w:val="en-US" w:eastAsia="en-US"/>
                </w:rPr>
                <w:tab/>
              </w:r>
              <w:r w:rsidRPr="00537C13">
                <w:rPr>
                  <w:rStyle w:val="Hyperlink"/>
                  <w:i/>
                </w:rPr>
                <w:t>Nature of the Expression</w:t>
              </w:r>
            </w:hyperlink>
          </w:p>
          <w:p w:rsidR="007F5F2F" w:rsidRDefault="007F5F2F">
            <w:pPr>
              <w:pStyle w:val="TOC1"/>
              <w:rPr>
                <w:rFonts w:asciiTheme="minorHAnsi" w:eastAsiaTheme="minorEastAsia" w:hAnsiTheme="minorHAnsi" w:cstheme="minorBidi"/>
                <w:sz w:val="22"/>
                <w:szCs w:val="22"/>
                <w:lang w:val="en-US" w:eastAsia="en-US"/>
              </w:rPr>
            </w:pPr>
            <w:hyperlink w:anchor="_Toc408212151" w:history="1">
              <w:r w:rsidRPr="00537C13">
                <w:rPr>
                  <w:rStyle w:val="Hyperlink"/>
                </w:rPr>
                <w:t>3.</w:t>
              </w:r>
              <w:r>
                <w:rPr>
                  <w:rFonts w:asciiTheme="minorHAnsi" w:eastAsiaTheme="minorEastAsia" w:hAnsiTheme="minorHAnsi" w:cstheme="minorBidi"/>
                  <w:sz w:val="22"/>
                  <w:szCs w:val="22"/>
                  <w:lang w:val="en-US" w:eastAsia="en-US"/>
                </w:rPr>
                <w:tab/>
              </w:r>
              <w:r w:rsidRPr="00537C13">
                <w:rPr>
                  <w:rStyle w:val="Hyperlink"/>
                  <w:i/>
                </w:rPr>
                <w:t>Political Discourse</w:t>
              </w:r>
            </w:hyperlink>
          </w:p>
          <w:p w:rsidR="007F5F2F" w:rsidRDefault="007F5F2F">
            <w:pPr>
              <w:pStyle w:val="TOC1"/>
              <w:rPr>
                <w:rFonts w:asciiTheme="minorHAnsi" w:eastAsiaTheme="minorEastAsia" w:hAnsiTheme="minorHAnsi" w:cstheme="minorBidi"/>
                <w:sz w:val="22"/>
                <w:szCs w:val="22"/>
                <w:lang w:val="en-US" w:eastAsia="en-US"/>
              </w:rPr>
            </w:pPr>
            <w:hyperlink w:anchor="_Toc408212152" w:history="1">
              <w:r w:rsidRPr="00537C13">
                <w:rPr>
                  <w:rStyle w:val="Hyperlink"/>
                </w:rPr>
                <w:t>4</w:t>
              </w:r>
              <w:r w:rsidRPr="00537C13">
                <w:rPr>
                  <w:rStyle w:val="Hyperlink"/>
                  <w:i/>
                </w:rPr>
                <w:t>.</w:t>
              </w:r>
              <w:r>
                <w:rPr>
                  <w:rFonts w:asciiTheme="minorHAnsi" w:eastAsiaTheme="minorEastAsia" w:hAnsiTheme="minorHAnsi" w:cstheme="minorBidi"/>
                  <w:sz w:val="22"/>
                  <w:szCs w:val="22"/>
                  <w:lang w:val="en-US" w:eastAsia="en-US"/>
                </w:rPr>
                <w:tab/>
              </w:r>
              <w:r w:rsidRPr="00537C13">
                <w:rPr>
                  <w:rStyle w:val="Hyperlink"/>
                  <w:i/>
                </w:rPr>
                <w:t>Sexual Orientation Versus Sexual Behaviour</w:t>
              </w:r>
            </w:hyperlink>
          </w:p>
          <w:p w:rsidR="007F5F2F" w:rsidRDefault="007F5F2F">
            <w:pPr>
              <w:pStyle w:val="TOC1"/>
              <w:rPr>
                <w:rFonts w:asciiTheme="minorHAnsi" w:eastAsiaTheme="minorEastAsia" w:hAnsiTheme="minorHAnsi" w:cstheme="minorBidi"/>
                <w:sz w:val="22"/>
                <w:szCs w:val="22"/>
                <w:lang w:val="en-US" w:eastAsia="en-US"/>
              </w:rPr>
            </w:pPr>
            <w:hyperlink w:anchor="_Toc408212153" w:history="1">
              <w:r w:rsidRPr="00537C13">
                <w:rPr>
                  <w:rStyle w:val="Hyperlink"/>
                </w:rPr>
                <w:t>(iii)</w:t>
              </w:r>
              <w:r>
                <w:rPr>
                  <w:rFonts w:asciiTheme="minorHAnsi" w:eastAsiaTheme="minorEastAsia" w:hAnsiTheme="minorHAnsi" w:cstheme="minorBidi"/>
                  <w:sz w:val="22"/>
                  <w:szCs w:val="22"/>
                  <w:lang w:val="en-US" w:eastAsia="en-US"/>
                </w:rPr>
                <w:tab/>
              </w:r>
              <w:r w:rsidRPr="00537C13">
                <w:rPr>
                  <w:rStyle w:val="Hyperlink"/>
                </w:rPr>
                <w:t>Intent, Proof, and Defences</w:t>
              </w:r>
            </w:hyperlink>
          </w:p>
          <w:p w:rsidR="007F5F2F" w:rsidRDefault="007F5F2F">
            <w:pPr>
              <w:pStyle w:val="TOC1"/>
              <w:rPr>
                <w:rFonts w:asciiTheme="minorHAnsi" w:eastAsiaTheme="minorEastAsia" w:hAnsiTheme="minorHAnsi" w:cstheme="minorBidi"/>
                <w:sz w:val="22"/>
                <w:szCs w:val="22"/>
                <w:lang w:val="en-US" w:eastAsia="en-US"/>
              </w:rPr>
            </w:pPr>
            <w:hyperlink w:anchor="_Toc408212154" w:history="1">
              <w:r w:rsidRPr="00537C13">
                <w:rPr>
                  <w:rStyle w:val="Hyperlink"/>
                </w:rPr>
                <w:t>1.</w:t>
              </w:r>
              <w:r>
                <w:rPr>
                  <w:rFonts w:asciiTheme="minorHAnsi" w:eastAsiaTheme="minorEastAsia" w:hAnsiTheme="minorHAnsi" w:cstheme="minorBidi"/>
                  <w:sz w:val="22"/>
                  <w:szCs w:val="22"/>
                  <w:lang w:val="en-US" w:eastAsia="en-US"/>
                </w:rPr>
                <w:tab/>
              </w:r>
              <w:r w:rsidRPr="00537C13">
                <w:rPr>
                  <w:rStyle w:val="Hyperlink"/>
                  <w:i/>
                </w:rPr>
                <w:t>Intent</w:t>
              </w:r>
            </w:hyperlink>
          </w:p>
          <w:p w:rsidR="007F5F2F" w:rsidRDefault="007F5F2F">
            <w:pPr>
              <w:pStyle w:val="TOC1"/>
              <w:rPr>
                <w:rFonts w:asciiTheme="minorHAnsi" w:eastAsiaTheme="minorEastAsia" w:hAnsiTheme="minorHAnsi" w:cstheme="minorBidi"/>
                <w:sz w:val="22"/>
                <w:szCs w:val="22"/>
                <w:lang w:val="en-US" w:eastAsia="en-US"/>
              </w:rPr>
            </w:pPr>
            <w:hyperlink w:anchor="_Toc408212155" w:history="1">
              <w:r w:rsidRPr="00537C13">
                <w:rPr>
                  <w:rStyle w:val="Hyperlink"/>
                </w:rPr>
                <w:t>2.</w:t>
              </w:r>
              <w:r>
                <w:rPr>
                  <w:rFonts w:asciiTheme="minorHAnsi" w:eastAsiaTheme="minorEastAsia" w:hAnsiTheme="minorHAnsi" w:cstheme="minorBidi"/>
                  <w:sz w:val="22"/>
                  <w:szCs w:val="22"/>
                  <w:lang w:val="en-US" w:eastAsia="en-US"/>
                </w:rPr>
                <w:tab/>
              </w:r>
              <w:r w:rsidRPr="00537C13">
                <w:rPr>
                  <w:rStyle w:val="Hyperlink"/>
                  <w:i/>
                </w:rPr>
                <w:t>Proof of Harm</w:t>
              </w:r>
            </w:hyperlink>
          </w:p>
          <w:p w:rsidR="007F5F2F" w:rsidRDefault="007F5F2F">
            <w:pPr>
              <w:pStyle w:val="TOC1"/>
              <w:rPr>
                <w:rFonts w:asciiTheme="minorHAnsi" w:eastAsiaTheme="minorEastAsia" w:hAnsiTheme="minorHAnsi" w:cstheme="minorBidi"/>
                <w:sz w:val="22"/>
                <w:szCs w:val="22"/>
                <w:lang w:val="en-US" w:eastAsia="en-US"/>
              </w:rPr>
            </w:pPr>
            <w:hyperlink w:anchor="_Toc408212156" w:history="1">
              <w:r w:rsidRPr="00537C13">
                <w:rPr>
                  <w:rStyle w:val="Hyperlink"/>
                </w:rPr>
                <w:t>3.</w:t>
              </w:r>
              <w:r>
                <w:rPr>
                  <w:rFonts w:asciiTheme="minorHAnsi" w:eastAsiaTheme="minorEastAsia" w:hAnsiTheme="minorHAnsi" w:cstheme="minorBidi"/>
                  <w:sz w:val="22"/>
                  <w:szCs w:val="22"/>
                  <w:lang w:val="en-US" w:eastAsia="en-US"/>
                </w:rPr>
                <w:tab/>
              </w:r>
              <w:r w:rsidRPr="00537C13">
                <w:rPr>
                  <w:rStyle w:val="Hyperlink"/>
                  <w:i/>
                </w:rPr>
                <w:t>Lack of Defences</w:t>
              </w:r>
            </w:hyperlink>
          </w:p>
          <w:p w:rsidR="007F5F2F" w:rsidRDefault="007F5F2F">
            <w:pPr>
              <w:pStyle w:val="TOC1"/>
              <w:rPr>
                <w:rFonts w:asciiTheme="minorHAnsi" w:eastAsiaTheme="minorEastAsia" w:hAnsiTheme="minorHAnsi" w:cstheme="minorBidi"/>
                <w:sz w:val="22"/>
                <w:szCs w:val="22"/>
                <w:lang w:val="en-US" w:eastAsia="en-US"/>
              </w:rPr>
            </w:pPr>
            <w:hyperlink w:anchor="_Toc408212157" w:history="1">
              <w:r w:rsidRPr="00537C13">
                <w:rPr>
                  <w:rStyle w:val="Hyperlink"/>
                </w:rPr>
                <w:t>(iv)</w:t>
              </w:r>
              <w:r>
                <w:rPr>
                  <w:rFonts w:asciiTheme="minorHAnsi" w:eastAsiaTheme="minorEastAsia" w:hAnsiTheme="minorHAnsi" w:cstheme="minorBidi"/>
                  <w:sz w:val="22"/>
                  <w:szCs w:val="22"/>
                  <w:lang w:val="en-US" w:eastAsia="en-US"/>
                </w:rPr>
                <w:tab/>
              </w:r>
              <w:r w:rsidRPr="00537C13">
                <w:rPr>
                  <w:rStyle w:val="Hyperlink"/>
                </w:rPr>
                <w:t>Conclusion on Minimal Impairment</w:t>
              </w:r>
            </w:hyperlink>
          </w:p>
          <w:p w:rsidR="007F5F2F" w:rsidRDefault="007F5F2F">
            <w:pPr>
              <w:pStyle w:val="TOC1"/>
              <w:rPr>
                <w:rFonts w:asciiTheme="minorHAnsi" w:eastAsiaTheme="minorEastAsia" w:hAnsiTheme="minorHAnsi" w:cstheme="minorBidi"/>
                <w:sz w:val="22"/>
                <w:szCs w:val="22"/>
                <w:lang w:val="en-US" w:eastAsia="en-US"/>
              </w:rPr>
            </w:pPr>
            <w:hyperlink w:anchor="_Toc408212158" w:history="1">
              <w:r w:rsidRPr="00537C13">
                <w:rPr>
                  <w:rStyle w:val="Hyperlink"/>
                </w:rPr>
                <w:t>(c)</w:t>
              </w:r>
              <w:r>
                <w:rPr>
                  <w:rFonts w:asciiTheme="minorHAnsi" w:eastAsiaTheme="minorEastAsia" w:hAnsiTheme="minorHAnsi" w:cstheme="minorBidi"/>
                  <w:sz w:val="22"/>
                  <w:szCs w:val="22"/>
                  <w:lang w:val="en-US" w:eastAsia="en-US"/>
                </w:rPr>
                <w:tab/>
              </w:r>
              <w:r w:rsidRPr="00537C13">
                <w:rPr>
                  <w:rStyle w:val="Hyperlink"/>
                  <w:i/>
                </w:rPr>
                <w:t>Whether the Benefits Outweigh the Deleterious Effects</w:t>
              </w:r>
            </w:hyperlink>
          </w:p>
          <w:p w:rsidR="007F5F2F" w:rsidRDefault="007F5F2F">
            <w:pPr>
              <w:pStyle w:val="TOC1"/>
              <w:rPr>
                <w:rFonts w:asciiTheme="minorHAnsi" w:eastAsiaTheme="minorEastAsia" w:hAnsiTheme="minorHAnsi" w:cstheme="minorBidi"/>
                <w:sz w:val="22"/>
                <w:szCs w:val="22"/>
                <w:lang w:val="en-US" w:eastAsia="en-US"/>
              </w:rPr>
            </w:pPr>
            <w:hyperlink w:anchor="_Toc408212159" w:history="1">
              <w:r w:rsidRPr="00537C13">
                <w:rPr>
                  <w:rStyle w:val="Hyperlink"/>
                </w:rPr>
                <w:t>(d)</w:t>
              </w:r>
              <w:r>
                <w:rPr>
                  <w:rFonts w:asciiTheme="minorHAnsi" w:eastAsiaTheme="minorEastAsia" w:hAnsiTheme="minorHAnsi" w:cstheme="minorBidi"/>
                  <w:sz w:val="22"/>
                  <w:szCs w:val="22"/>
                  <w:lang w:val="en-US" w:eastAsia="en-US"/>
                </w:rPr>
                <w:tab/>
              </w:r>
              <w:r w:rsidRPr="00537C13">
                <w:rPr>
                  <w:rStyle w:val="Hyperlink"/>
                  <w:i/>
                </w:rPr>
                <w:t>Conclusion on Section 1 Analysis</w:t>
              </w:r>
            </w:hyperlink>
          </w:p>
          <w:p w:rsidR="007F5F2F" w:rsidRDefault="007F5F2F">
            <w:pPr>
              <w:pStyle w:val="TOC1"/>
              <w:rPr>
                <w:rFonts w:asciiTheme="minorHAnsi" w:eastAsiaTheme="minorEastAsia" w:hAnsiTheme="minorHAnsi" w:cstheme="minorBidi"/>
                <w:sz w:val="22"/>
                <w:szCs w:val="22"/>
                <w:lang w:val="en-US" w:eastAsia="en-US"/>
              </w:rPr>
            </w:pPr>
            <w:hyperlink w:anchor="_Toc408212160" w:history="1">
              <w:r w:rsidRPr="00537C13">
                <w:rPr>
                  <w:rStyle w:val="Hyperlink"/>
                </w:rPr>
                <w:t>C.</w:t>
              </w:r>
              <w:r>
                <w:rPr>
                  <w:rFonts w:asciiTheme="minorHAnsi" w:eastAsiaTheme="minorEastAsia" w:hAnsiTheme="minorHAnsi" w:cstheme="minorBidi"/>
                  <w:sz w:val="22"/>
                  <w:szCs w:val="22"/>
                  <w:lang w:val="en-US" w:eastAsia="en-US"/>
                </w:rPr>
                <w:tab/>
              </w:r>
              <w:r w:rsidRPr="00537C13">
                <w:rPr>
                  <w:rStyle w:val="Hyperlink"/>
                  <w:i/>
                </w:rPr>
                <w:t>Section 2(a) of the Charter</w:t>
              </w:r>
            </w:hyperlink>
          </w:p>
          <w:p w:rsidR="007F5F2F" w:rsidRDefault="007F5F2F">
            <w:pPr>
              <w:pStyle w:val="TOC1"/>
              <w:rPr>
                <w:rFonts w:asciiTheme="minorHAnsi" w:eastAsiaTheme="minorEastAsia" w:hAnsiTheme="minorHAnsi" w:cstheme="minorBidi"/>
                <w:sz w:val="22"/>
                <w:szCs w:val="22"/>
                <w:lang w:val="en-US" w:eastAsia="en-US"/>
              </w:rPr>
            </w:pPr>
            <w:hyperlink w:anchor="_Toc408212161" w:history="1">
              <w:r w:rsidRPr="00537C13">
                <w:rPr>
                  <w:rStyle w:val="Hyperlink"/>
                </w:rPr>
                <w:t>D.</w:t>
              </w:r>
              <w:r>
                <w:rPr>
                  <w:rFonts w:asciiTheme="minorHAnsi" w:eastAsiaTheme="minorEastAsia" w:hAnsiTheme="minorHAnsi" w:cstheme="minorBidi"/>
                  <w:sz w:val="22"/>
                  <w:szCs w:val="22"/>
                  <w:lang w:val="en-US" w:eastAsia="en-US"/>
                </w:rPr>
                <w:tab/>
              </w:r>
              <w:r w:rsidRPr="00537C13">
                <w:rPr>
                  <w:rStyle w:val="Hyperlink"/>
                  <w:i/>
                </w:rPr>
                <w:t>Section 1 Analysis</w:t>
              </w:r>
            </w:hyperlink>
          </w:p>
          <w:p w:rsidR="007F5F2F" w:rsidRDefault="007F5F2F">
            <w:pPr>
              <w:pStyle w:val="TOC1"/>
              <w:rPr>
                <w:rFonts w:asciiTheme="minorHAnsi" w:eastAsiaTheme="minorEastAsia" w:hAnsiTheme="minorHAnsi" w:cstheme="minorBidi"/>
                <w:sz w:val="22"/>
                <w:szCs w:val="22"/>
                <w:lang w:val="en-US" w:eastAsia="en-US"/>
              </w:rPr>
            </w:pPr>
            <w:hyperlink w:anchor="_Toc408212162" w:history="1">
              <w:r w:rsidRPr="00537C13">
                <w:rPr>
                  <w:rStyle w:val="Hyperlink"/>
                </w:rPr>
                <w:t>IX.</w:t>
              </w:r>
              <w:r>
                <w:rPr>
                  <w:rFonts w:asciiTheme="minorHAnsi" w:eastAsiaTheme="minorEastAsia" w:hAnsiTheme="minorHAnsi" w:cstheme="minorBidi"/>
                  <w:sz w:val="22"/>
                  <w:szCs w:val="22"/>
                  <w:lang w:val="en-US" w:eastAsia="en-US"/>
                </w:rPr>
                <w:tab/>
              </w:r>
              <w:r w:rsidRPr="00537C13">
                <w:rPr>
                  <w:rStyle w:val="Hyperlink"/>
                </w:rPr>
                <w:t>Application of Section 14(1)(b) to Mr. Whatcott’s Flyers</w:t>
              </w:r>
            </w:hyperlink>
          </w:p>
          <w:p w:rsidR="007F5F2F" w:rsidRDefault="007F5F2F">
            <w:pPr>
              <w:pStyle w:val="TOC1"/>
              <w:rPr>
                <w:rFonts w:asciiTheme="minorHAnsi" w:eastAsiaTheme="minorEastAsia" w:hAnsiTheme="minorHAnsi" w:cstheme="minorBidi"/>
                <w:sz w:val="22"/>
                <w:szCs w:val="22"/>
                <w:lang w:val="en-US" w:eastAsia="en-US"/>
              </w:rPr>
            </w:pPr>
            <w:hyperlink w:anchor="_Toc408212163" w:history="1">
              <w:r w:rsidRPr="00537C13">
                <w:rPr>
                  <w:rStyle w:val="Hyperlink"/>
                </w:rPr>
                <w:t>A.</w:t>
              </w:r>
              <w:r>
                <w:rPr>
                  <w:rFonts w:asciiTheme="minorHAnsi" w:eastAsiaTheme="minorEastAsia" w:hAnsiTheme="minorHAnsi" w:cstheme="minorBidi"/>
                  <w:sz w:val="22"/>
                  <w:szCs w:val="22"/>
                  <w:lang w:val="en-US" w:eastAsia="en-US"/>
                </w:rPr>
                <w:tab/>
              </w:r>
              <w:r w:rsidRPr="00537C13">
                <w:rPr>
                  <w:rStyle w:val="Hyperlink"/>
                  <w:i/>
                </w:rPr>
                <w:t>Standard of Review of Tribunal Decision</w:t>
              </w:r>
            </w:hyperlink>
          </w:p>
          <w:p w:rsidR="007F5F2F" w:rsidRDefault="007F5F2F">
            <w:pPr>
              <w:pStyle w:val="TOC1"/>
              <w:rPr>
                <w:rFonts w:asciiTheme="minorHAnsi" w:eastAsiaTheme="minorEastAsia" w:hAnsiTheme="minorHAnsi" w:cstheme="minorBidi"/>
                <w:sz w:val="22"/>
                <w:szCs w:val="22"/>
                <w:lang w:val="en-US" w:eastAsia="en-US"/>
              </w:rPr>
            </w:pPr>
            <w:hyperlink w:anchor="_Toc408212164" w:history="1">
              <w:r w:rsidRPr="00537C13">
                <w:rPr>
                  <w:rStyle w:val="Hyperlink"/>
                </w:rPr>
                <w:t>B.</w:t>
              </w:r>
              <w:r>
                <w:rPr>
                  <w:rFonts w:asciiTheme="minorHAnsi" w:eastAsiaTheme="minorEastAsia" w:hAnsiTheme="minorHAnsi" w:cstheme="minorBidi"/>
                  <w:sz w:val="22"/>
                  <w:szCs w:val="22"/>
                  <w:lang w:val="en-US" w:eastAsia="en-US"/>
                </w:rPr>
                <w:tab/>
              </w:r>
              <w:r w:rsidRPr="00537C13">
                <w:rPr>
                  <w:rStyle w:val="Hyperlink"/>
                  <w:i/>
                </w:rPr>
                <w:t>Context</w:t>
              </w:r>
            </w:hyperlink>
          </w:p>
          <w:p w:rsidR="007F5F2F" w:rsidRDefault="007F5F2F">
            <w:pPr>
              <w:pStyle w:val="TOC1"/>
              <w:rPr>
                <w:rFonts w:asciiTheme="minorHAnsi" w:eastAsiaTheme="minorEastAsia" w:hAnsiTheme="minorHAnsi" w:cstheme="minorBidi"/>
                <w:sz w:val="22"/>
                <w:szCs w:val="22"/>
                <w:lang w:val="en-US" w:eastAsia="en-US"/>
              </w:rPr>
            </w:pPr>
            <w:hyperlink w:anchor="_Toc408212165" w:history="1">
              <w:r w:rsidRPr="00537C13">
                <w:rPr>
                  <w:rStyle w:val="Hyperlink"/>
                </w:rPr>
                <w:t>C.</w:t>
              </w:r>
              <w:r>
                <w:rPr>
                  <w:rFonts w:asciiTheme="minorHAnsi" w:eastAsiaTheme="minorEastAsia" w:hAnsiTheme="minorHAnsi" w:cstheme="minorBidi"/>
                  <w:sz w:val="22"/>
                  <w:szCs w:val="22"/>
                  <w:lang w:val="en-US" w:eastAsia="en-US"/>
                </w:rPr>
                <w:tab/>
              </w:r>
              <w:r w:rsidRPr="00537C13">
                <w:rPr>
                  <w:rStyle w:val="Hyperlink"/>
                  <w:i/>
                </w:rPr>
                <w:t>The Tribunal’s Decision</w:t>
              </w:r>
            </w:hyperlink>
          </w:p>
          <w:p w:rsidR="007F5F2F" w:rsidRDefault="007F5F2F">
            <w:pPr>
              <w:pStyle w:val="TOC1"/>
              <w:rPr>
                <w:rFonts w:asciiTheme="minorHAnsi" w:eastAsiaTheme="minorEastAsia" w:hAnsiTheme="minorHAnsi" w:cstheme="minorBidi"/>
                <w:sz w:val="22"/>
                <w:szCs w:val="22"/>
                <w:lang w:val="en-US" w:eastAsia="en-US"/>
              </w:rPr>
            </w:pPr>
            <w:hyperlink w:anchor="_Toc408212166" w:history="1">
              <w:r w:rsidRPr="00537C13">
                <w:rPr>
                  <w:rStyle w:val="Hyperlink"/>
                </w:rPr>
                <w:t>D.</w:t>
              </w:r>
              <w:r>
                <w:rPr>
                  <w:rFonts w:asciiTheme="minorHAnsi" w:eastAsiaTheme="minorEastAsia" w:hAnsiTheme="minorHAnsi" w:cstheme="minorBidi"/>
                  <w:sz w:val="22"/>
                  <w:szCs w:val="22"/>
                  <w:lang w:val="en-US" w:eastAsia="en-US"/>
                </w:rPr>
                <w:tab/>
              </w:r>
              <w:r w:rsidRPr="00537C13">
                <w:rPr>
                  <w:rStyle w:val="Hyperlink"/>
                  <w:i/>
                </w:rPr>
                <w:t>Remedy</w:t>
              </w:r>
            </w:hyperlink>
          </w:p>
          <w:p w:rsidR="007F5F2F" w:rsidRDefault="007F5F2F" w:rsidP="00124BCE">
            <w:pPr>
              <w:pStyle w:val="TOC1"/>
            </w:pPr>
            <w:hyperlink w:anchor="_Toc408212167" w:history="1">
              <w:r w:rsidRPr="00537C13">
                <w:rPr>
                  <w:rStyle w:val="Hyperlink"/>
                </w:rPr>
                <w:t>X.</w:t>
              </w:r>
              <w:r>
                <w:rPr>
                  <w:rFonts w:asciiTheme="minorHAnsi" w:eastAsiaTheme="minorEastAsia" w:hAnsiTheme="minorHAnsi" w:cstheme="minorBidi"/>
                  <w:sz w:val="22"/>
                  <w:szCs w:val="22"/>
                  <w:lang w:val="en-US" w:eastAsia="en-US"/>
                </w:rPr>
                <w:tab/>
              </w:r>
              <w:r w:rsidRPr="00537C13">
                <w:rPr>
                  <w:rStyle w:val="Hyperlink"/>
                </w:rPr>
                <w:t>Conclusion</w:t>
              </w:r>
            </w:hyperlink>
            <w:r w:rsidRPr="00C462CB">
              <w:fldChar w:fldCharType="end"/>
            </w:r>
          </w:p>
          <w:p w:rsidR="007F5F2F" w:rsidRDefault="007F5F2F" w:rsidP="00124BCE"/>
          <w:p w:rsidR="007F5F2F" w:rsidRDefault="007F5F2F" w:rsidP="00124BCE">
            <w:pPr>
              <w:tabs>
                <w:tab w:val="left" w:pos="720"/>
                <w:tab w:val="right" w:leader="dot" w:pos="8266"/>
              </w:tabs>
              <w:spacing w:before="120" w:after="120"/>
              <w:ind w:left="720" w:hanging="720"/>
              <w:rPr>
                <w:noProof/>
              </w:rPr>
            </w:pPr>
            <w:r w:rsidRPr="00EA73F5">
              <w:rPr>
                <w:b/>
                <w:noProof/>
              </w:rPr>
              <w:t>APPENDIX A</w:t>
            </w:r>
            <w:r w:rsidRPr="00857784">
              <w:rPr>
                <w:b/>
                <w:noProof/>
              </w:rPr>
              <w:t xml:space="preserve">: </w:t>
            </w:r>
            <w:r w:rsidRPr="00EA73F5">
              <w:rPr>
                <w:noProof/>
              </w:rPr>
              <w:t xml:space="preserve"> Relevant Statutory Provisions</w:t>
            </w:r>
          </w:p>
          <w:p w:rsidR="007F5F2F" w:rsidRPr="00124BCE" w:rsidRDefault="007F5F2F" w:rsidP="00124BCE">
            <w:r w:rsidRPr="00804A2C">
              <w:rPr>
                <w:b/>
                <w:noProof/>
              </w:rPr>
              <w:t>APPENDIX B:</w:t>
            </w:r>
            <w:r w:rsidRPr="00804A2C">
              <w:rPr>
                <w:noProof/>
              </w:rPr>
              <w:t xml:space="preserve">  Flyers</w:t>
            </w:r>
          </w:p>
        </w:tc>
      </w:tr>
    </w:tbl>
    <w:p w:rsidR="00124BCE" w:rsidRDefault="00124BCE" w:rsidP="00124BCE">
      <w:pPr>
        <w:pStyle w:val="ParaNoNdepar-AltN"/>
        <w:numPr>
          <w:ilvl w:val="0"/>
          <w:numId w:val="0"/>
        </w:numPr>
      </w:pPr>
    </w:p>
    <w:p w:rsidR="00124BCE" w:rsidRPr="00124BCE" w:rsidRDefault="00124BCE" w:rsidP="00124BCE">
      <w:pPr>
        <w:pStyle w:val="ParaNoNdepar-AltN"/>
        <w:numPr>
          <w:ilvl w:val="0"/>
          <w:numId w:val="0"/>
        </w:numPr>
      </w:pPr>
    </w:p>
    <w:p w:rsidR="00BB1957" w:rsidRPr="00804A2C" w:rsidRDefault="00BB1957" w:rsidP="00705716">
      <w:pPr>
        <w:pStyle w:val="TitleTitre-AltT"/>
        <w:tabs>
          <w:tab w:val="clear" w:pos="360"/>
          <w:tab w:val="left" w:pos="540"/>
        </w:tabs>
        <w:ind w:left="540" w:hanging="540"/>
        <w:rPr>
          <w:rFonts w:cs="Times New Roman"/>
          <w:u w:val="single"/>
        </w:rPr>
      </w:pPr>
      <w:bookmarkStart w:id="7" w:name="_Toc408212117"/>
      <w:r w:rsidRPr="00804A2C">
        <w:rPr>
          <w:rFonts w:cs="Times New Roman"/>
        </w:rPr>
        <w:t>I.</w:t>
      </w:r>
      <w:r w:rsidRPr="00804A2C">
        <w:rPr>
          <w:rFonts w:cs="Times New Roman"/>
        </w:rPr>
        <w:tab/>
      </w:r>
      <w:r w:rsidRPr="00804A2C">
        <w:rPr>
          <w:rFonts w:cs="Times New Roman"/>
          <w:u w:val="single"/>
        </w:rPr>
        <w:t>Introduction</w:t>
      </w:r>
      <w:bookmarkEnd w:id="0"/>
      <w:bookmarkEnd w:id="1"/>
      <w:bookmarkEnd w:id="2"/>
      <w:bookmarkEnd w:id="3"/>
      <w:bookmarkEnd w:id="4"/>
      <w:bookmarkEnd w:id="5"/>
      <w:bookmarkEnd w:id="6"/>
      <w:bookmarkEnd w:id="7"/>
    </w:p>
    <w:p w:rsidR="00BB1957" w:rsidRPr="00804A2C" w:rsidRDefault="00BB1957" w:rsidP="00BB1957">
      <w:pPr>
        <w:pStyle w:val="ParaNoNdepar-AltN"/>
        <w:rPr>
          <w:rFonts w:cs="Times New Roman"/>
        </w:rPr>
      </w:pPr>
      <w:r w:rsidRPr="00804A2C">
        <w:rPr>
          <w:rFonts w:cs="Times New Roman"/>
        </w:rPr>
        <w:t xml:space="preserve">All rights guaranteed under the </w:t>
      </w:r>
      <w:r w:rsidRPr="00804A2C">
        <w:rPr>
          <w:rFonts w:cs="Times New Roman"/>
          <w:i/>
        </w:rPr>
        <w:t xml:space="preserve">Canadian Charter of Rights and Freedoms </w:t>
      </w:r>
      <w:r w:rsidRPr="00804A2C">
        <w:rPr>
          <w:rFonts w:cs="Times New Roman"/>
        </w:rPr>
        <w:t>are subject to reasonable limitations.  This balancing of rights and limitations gives rise to a tension between freedom of expression constitutionally guaranteed under s. 2(</w:t>
      </w:r>
      <w:r w:rsidRPr="00804A2C">
        <w:rPr>
          <w:rFonts w:cs="Times New Roman"/>
          <w:i/>
        </w:rPr>
        <w:t>b</w:t>
      </w:r>
      <w:r w:rsidRPr="00804A2C">
        <w:rPr>
          <w:rFonts w:cs="Times New Roman"/>
        </w:rPr>
        <w:t xml:space="preserve">) of the </w:t>
      </w:r>
      <w:r w:rsidRPr="00804A2C">
        <w:rPr>
          <w:rFonts w:cs="Times New Roman"/>
          <w:i/>
        </w:rPr>
        <w:t xml:space="preserve">Charter </w:t>
      </w:r>
      <w:r w:rsidRPr="00804A2C">
        <w:rPr>
          <w:rFonts w:cs="Times New Roman"/>
        </w:rPr>
        <w:t xml:space="preserve">and legislative provisions prohibiting the promotion of hatred or the publication of hate speech. That tension has been considered by this Court in the context of the </w:t>
      </w:r>
      <w:r w:rsidRPr="00804A2C">
        <w:rPr>
          <w:rFonts w:eastAsia="Times New Roman" w:cs="Times New Roman"/>
          <w:i/>
          <w:iCs/>
          <w:spacing w:val="-3"/>
        </w:rPr>
        <w:t>Criminal Code</w:t>
      </w:r>
      <w:r w:rsidRPr="00804A2C">
        <w:rPr>
          <w:rFonts w:eastAsia="Times New Roman" w:cs="Times New Roman"/>
          <w:spacing w:val="-3"/>
        </w:rPr>
        <w:t>, R.S.C. 1985, c. C-46</w:t>
      </w:r>
      <w:r w:rsidRPr="00804A2C">
        <w:rPr>
          <w:rFonts w:cs="Times New Roman"/>
        </w:rPr>
        <w:t xml:space="preserve"> (</w:t>
      </w:r>
      <w:r w:rsidRPr="00804A2C">
        <w:rPr>
          <w:rFonts w:eastAsia="Times New Roman" w:cs="Times New Roman"/>
          <w:i/>
          <w:spacing w:val="-3"/>
        </w:rPr>
        <w:t>R.</w:t>
      </w:r>
      <w:r w:rsidRPr="00804A2C">
        <w:rPr>
          <w:rFonts w:eastAsia="Times New Roman" w:cs="Times New Roman"/>
          <w:i/>
          <w:iCs/>
          <w:spacing w:val="-3"/>
        </w:rPr>
        <w:t xml:space="preserve"> v.</w:t>
      </w:r>
      <w:r w:rsidRPr="00804A2C">
        <w:rPr>
          <w:rFonts w:eastAsia="Times New Roman" w:cs="Times New Roman"/>
          <w:i/>
          <w:spacing w:val="-3"/>
        </w:rPr>
        <w:t xml:space="preserve"> </w:t>
      </w:r>
      <w:proofErr w:type="spellStart"/>
      <w:r w:rsidRPr="00804A2C">
        <w:rPr>
          <w:rFonts w:eastAsia="Times New Roman" w:cs="Times New Roman"/>
          <w:i/>
          <w:spacing w:val="-3"/>
        </w:rPr>
        <w:t>Keegstra</w:t>
      </w:r>
      <w:proofErr w:type="spellEnd"/>
      <w:r w:rsidRPr="00804A2C">
        <w:rPr>
          <w:rFonts w:eastAsia="Times New Roman" w:cs="Times New Roman"/>
          <w:spacing w:val="-3"/>
        </w:rPr>
        <w:t xml:space="preserve">, [1990] 3 S.C.R. 697; </w:t>
      </w:r>
      <w:r w:rsidRPr="00804A2C">
        <w:rPr>
          <w:rFonts w:eastAsia="Times New Roman" w:cs="Times New Roman"/>
          <w:i/>
          <w:iCs/>
          <w:spacing w:val="-3"/>
        </w:rPr>
        <w:t>R. v. Andrews</w:t>
      </w:r>
      <w:r w:rsidRPr="00804A2C">
        <w:rPr>
          <w:rFonts w:eastAsia="Times New Roman" w:cs="Times New Roman"/>
          <w:spacing w:val="-3"/>
        </w:rPr>
        <w:t>, [1990] 3 S.C.R. 870; and</w:t>
      </w:r>
      <w:r w:rsidRPr="00804A2C">
        <w:rPr>
          <w:rFonts w:cs="Times New Roman"/>
        </w:rPr>
        <w:t xml:space="preserve"> </w:t>
      </w:r>
      <w:r w:rsidRPr="00804A2C">
        <w:rPr>
          <w:rFonts w:eastAsia="Times New Roman" w:cs="Times New Roman"/>
          <w:i/>
        </w:rPr>
        <w:t xml:space="preserve">R. </w:t>
      </w:r>
      <w:r w:rsidRPr="00804A2C">
        <w:rPr>
          <w:rFonts w:eastAsia="Times New Roman" w:cs="Times New Roman"/>
          <w:i/>
          <w:iCs/>
        </w:rPr>
        <w:t>v.</w:t>
      </w:r>
      <w:r w:rsidRPr="00804A2C">
        <w:rPr>
          <w:rFonts w:eastAsia="Times New Roman" w:cs="Times New Roman"/>
          <w:i/>
        </w:rPr>
        <w:t xml:space="preserve"> </w:t>
      </w:r>
      <w:proofErr w:type="spellStart"/>
      <w:r w:rsidRPr="00804A2C">
        <w:rPr>
          <w:rFonts w:eastAsia="Times New Roman" w:cs="Times New Roman"/>
          <w:i/>
        </w:rPr>
        <w:t>Krymowski</w:t>
      </w:r>
      <w:proofErr w:type="spellEnd"/>
      <w:r w:rsidRPr="00804A2C">
        <w:rPr>
          <w:rFonts w:eastAsia="Times New Roman" w:cs="Times New Roman"/>
        </w:rPr>
        <w:t xml:space="preserve">, 2005 SCC 7, [2005] 1 S.C.R. 101) and </w:t>
      </w:r>
      <w:r w:rsidRPr="00804A2C">
        <w:rPr>
          <w:rFonts w:cs="Times New Roman"/>
        </w:rPr>
        <w:t>in the context of human rights legislation (</w:t>
      </w:r>
      <w:r w:rsidRPr="00804A2C">
        <w:rPr>
          <w:rFonts w:eastAsia="Times New Roman" w:cs="Times New Roman"/>
          <w:i/>
          <w:iCs/>
          <w:spacing w:val="-3"/>
        </w:rPr>
        <w:t>Canada (Human Rights Commission) v. Taylor</w:t>
      </w:r>
      <w:r w:rsidRPr="00804A2C">
        <w:rPr>
          <w:rFonts w:eastAsia="Times New Roman" w:cs="Times New Roman"/>
          <w:spacing w:val="-3"/>
        </w:rPr>
        <w:t xml:space="preserve">, [1990] 3 S.C.R. 892). </w:t>
      </w:r>
      <w:r w:rsidRPr="00804A2C">
        <w:rPr>
          <w:rFonts w:cs="Times New Roman"/>
        </w:rPr>
        <w:t xml:space="preserve"> It is in this latter context that the Court is asked to revisit the matter in the present appeal.  We are also asked to decide whether the statutory prohibition at issue infringes freedom of religion as guaranteed by s. 2(</w:t>
      </w:r>
      <w:r w:rsidRPr="00804A2C">
        <w:rPr>
          <w:rFonts w:cs="Times New Roman"/>
          <w:i/>
        </w:rPr>
        <w:t>a</w:t>
      </w:r>
      <w:r w:rsidRPr="00804A2C">
        <w:rPr>
          <w:rFonts w:cs="Times New Roman"/>
        </w:rPr>
        <w:t xml:space="preserve">) of the </w:t>
      </w:r>
      <w:r w:rsidRPr="00804A2C">
        <w:rPr>
          <w:rFonts w:cs="Times New Roman"/>
          <w:i/>
        </w:rPr>
        <w:t>Charter</w:t>
      </w:r>
      <w:r w:rsidRPr="00804A2C">
        <w:rPr>
          <w:rFonts w:cs="Times New Roman"/>
        </w:rPr>
        <w:t>.</w:t>
      </w:r>
    </w:p>
    <w:p w:rsidR="00BB1957" w:rsidRPr="00804A2C" w:rsidRDefault="00BB1957" w:rsidP="00BB1957">
      <w:pPr>
        <w:pStyle w:val="ParaNoNdepar-AltN"/>
        <w:rPr>
          <w:rFonts w:cs="Times New Roman"/>
        </w:rPr>
      </w:pPr>
      <w:r w:rsidRPr="00804A2C">
        <w:rPr>
          <w:rFonts w:cs="Times New Roman"/>
        </w:rPr>
        <w:t>The Saskatchewan legislature included a provision in its human rights legislation prohibiting hate publications.  While emphasizing the importance of freedom of expression in a subsection of the provision, the intent of the statute is to suppress a certain type of expression which represents a potential cause of the discriminatory practices the human rights legislation seeks to eliminate. Our task is to determine whether the legislature’s approach is constitutional.</w:t>
      </w:r>
    </w:p>
    <w:p w:rsidR="00BB1957" w:rsidRPr="00804A2C" w:rsidRDefault="00BB1957" w:rsidP="00BB1957">
      <w:pPr>
        <w:pStyle w:val="ParaNoNdepar-AltN"/>
        <w:rPr>
          <w:rFonts w:cs="Times New Roman"/>
        </w:rPr>
      </w:pPr>
      <w:r w:rsidRPr="00804A2C">
        <w:rPr>
          <w:rFonts w:cs="Times New Roman"/>
        </w:rPr>
        <w:t xml:space="preserve">Four complaints were filed with the Saskatchewan Human Rights Commission (“Commission”) concerning four flyers published and distributed by the respondent, William </w:t>
      </w:r>
      <w:proofErr w:type="spellStart"/>
      <w:r w:rsidRPr="00804A2C">
        <w:rPr>
          <w:rFonts w:cs="Times New Roman"/>
        </w:rPr>
        <w:t>Whatcott</w:t>
      </w:r>
      <w:proofErr w:type="spellEnd"/>
      <w:r w:rsidRPr="00804A2C">
        <w:rPr>
          <w:rFonts w:cs="Times New Roman"/>
        </w:rPr>
        <w:t xml:space="preserve">. The flyers were distributed to the public and targeted homosexuals and were challenged by the complainants on the basis that they promoted hatred against individuals because of their sexual orientation. The Saskatchewan Human Rights Tribunal (“Tribunal”) held that the flyers constituted publications that contravened s. 14 of </w:t>
      </w:r>
      <w:r w:rsidRPr="00804A2C">
        <w:rPr>
          <w:rFonts w:cs="Times New Roman"/>
          <w:i/>
        </w:rPr>
        <w:t>The Saskatchewan Human Rights Code</w:t>
      </w:r>
      <w:r w:rsidRPr="00804A2C">
        <w:rPr>
          <w:rFonts w:cs="Times New Roman"/>
        </w:rPr>
        <w:t>,</w:t>
      </w:r>
      <w:r w:rsidRPr="00804A2C">
        <w:rPr>
          <w:rFonts w:cs="Times New Roman"/>
          <w:i/>
        </w:rPr>
        <w:t xml:space="preserve"> </w:t>
      </w:r>
      <w:r w:rsidRPr="00804A2C">
        <w:rPr>
          <w:rFonts w:cs="Times New Roman"/>
        </w:rPr>
        <w:t>S.S. 1979, c. S-24.1 (“</w:t>
      </w:r>
      <w:r w:rsidRPr="00804A2C">
        <w:rPr>
          <w:rFonts w:cs="Times New Roman"/>
          <w:i/>
        </w:rPr>
        <w:t>Code</w:t>
      </w:r>
      <w:r w:rsidRPr="00804A2C">
        <w:rPr>
          <w:rFonts w:cs="Times New Roman"/>
        </w:rPr>
        <w:t>”) as they exposed persons to hatred and ridicule on the basis of their sexual orientation</w:t>
      </w:r>
      <w:r>
        <w:rPr>
          <w:rFonts w:cs="Times New Roman"/>
        </w:rPr>
        <w:t>:</w:t>
      </w:r>
      <w:r w:rsidRPr="00804A2C">
        <w:rPr>
          <w:rFonts w:cs="Times New Roman"/>
        </w:rPr>
        <w:t xml:space="preserve"> (2005), 52 C.H.R.R. D/264</w:t>
      </w:r>
      <w:r>
        <w:rPr>
          <w:rFonts w:cs="Times New Roman"/>
        </w:rPr>
        <w:t>.</w:t>
      </w:r>
      <w:r w:rsidRPr="00804A2C">
        <w:rPr>
          <w:rFonts w:cs="Times New Roman"/>
        </w:rPr>
        <w:t xml:space="preserve"> Section 14(1</w:t>
      </w:r>
      <w:proofErr w:type="gramStart"/>
      <w:r w:rsidRPr="00804A2C">
        <w:rPr>
          <w:rFonts w:cs="Times New Roman"/>
        </w:rPr>
        <w:t>)(</w:t>
      </w:r>
      <w:proofErr w:type="gramEnd"/>
      <w:r w:rsidRPr="00857784">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prohibits the publication or display of any representation “that exposes or tends to expose to hatred, ridicules, belittles or otherwise affronts the dignity of any person or class of persons on the basis of a prohibited ground”. The </w:t>
      </w:r>
      <w:r w:rsidRPr="00804A2C">
        <w:rPr>
          <w:rFonts w:cs="Times New Roman"/>
          <w:i/>
        </w:rPr>
        <w:t>Code</w:t>
      </w:r>
      <w:r w:rsidRPr="00804A2C">
        <w:rPr>
          <w:rFonts w:cs="Times New Roman"/>
        </w:rPr>
        <w:t xml:space="preserve"> lists “sexual orientation” as a prohibited ground (s. 2(1</w:t>
      </w:r>
      <w:proofErr w:type="gramStart"/>
      <w:r w:rsidRPr="00804A2C">
        <w:rPr>
          <w:rFonts w:cs="Times New Roman"/>
        </w:rPr>
        <w:t>)(</w:t>
      </w:r>
      <w:proofErr w:type="gramEnd"/>
      <w:r w:rsidRPr="00857784">
        <w:rPr>
          <w:rFonts w:cs="Times New Roman"/>
        </w:rPr>
        <w:t>m.01</w:t>
      </w:r>
      <w:r w:rsidRPr="00804A2C">
        <w:rPr>
          <w:rFonts w:cs="Times New Roman"/>
        </w:rPr>
        <w:t>)(vi)).  All statutory provisions referred to in these reasons are reproduced in Appendix A.</w:t>
      </w:r>
    </w:p>
    <w:p w:rsidR="00BB1957" w:rsidRPr="00804A2C" w:rsidRDefault="00BB1957" w:rsidP="00BB1957">
      <w:pPr>
        <w:pStyle w:val="ParaNoNdepar-AltN"/>
        <w:rPr>
          <w:rFonts w:cs="Times New Roman"/>
        </w:rPr>
      </w:pPr>
      <w:r w:rsidRPr="00804A2C">
        <w:rPr>
          <w:rFonts w:cs="Times New Roman"/>
        </w:rPr>
        <w:t xml:space="preserve">The Saskatchewan Court of Queen’s Bench upheld the Tribunal’s decision: 2007 SKQB 450, 306 Sask. R. 186.  That decision was reversed by the Saskatchewan Court of Appeal </w:t>
      </w:r>
      <w:r w:rsidR="00BE53AB">
        <w:rPr>
          <w:rFonts w:cs="Times New Roman"/>
        </w:rPr>
        <w:t>(</w:t>
      </w:r>
      <w:r w:rsidRPr="00804A2C">
        <w:rPr>
          <w:rFonts w:cs="Times New Roman"/>
        </w:rPr>
        <w:t>2010 SKCA 26, 346 Sask. R. 210 (“</w:t>
      </w:r>
      <w:proofErr w:type="spellStart"/>
      <w:r w:rsidRPr="00804A2C">
        <w:rPr>
          <w:rFonts w:cs="Times New Roman"/>
          <w:i/>
        </w:rPr>
        <w:t>Whatcott</w:t>
      </w:r>
      <w:proofErr w:type="spellEnd"/>
      <w:r w:rsidRPr="00804A2C">
        <w:rPr>
          <w:rFonts w:cs="Times New Roman"/>
          <w:i/>
        </w:rPr>
        <w:t xml:space="preserve"> </w:t>
      </w:r>
      <w:r w:rsidRPr="00857784">
        <w:rPr>
          <w:rFonts w:cs="Times New Roman"/>
          <w:i/>
        </w:rPr>
        <w:t>(</w:t>
      </w:r>
      <w:r w:rsidRPr="00804A2C">
        <w:rPr>
          <w:rFonts w:cs="Times New Roman"/>
          <w:i/>
        </w:rPr>
        <w:t>C.A.</w:t>
      </w:r>
      <w:r w:rsidRPr="00857784">
        <w:rPr>
          <w:rFonts w:cs="Times New Roman"/>
          <w:i/>
        </w:rPr>
        <w:t>)</w:t>
      </w:r>
      <w:r w:rsidRPr="00804A2C">
        <w:rPr>
          <w:rFonts w:cs="Times New Roman"/>
        </w:rPr>
        <w:t>”).  The appellate court accepted that s. 14(1</w:t>
      </w:r>
      <w:proofErr w:type="gramStart"/>
      <w:r w:rsidRPr="00804A2C">
        <w:rPr>
          <w:rFonts w:cs="Times New Roman"/>
        </w:rPr>
        <w:t>)(</w:t>
      </w:r>
      <w:proofErr w:type="gramEnd"/>
      <w:r w:rsidRPr="00857784">
        <w:rPr>
          <w:rFonts w:cs="Times New Roman"/>
        </w:rPr>
        <w:t>b</w:t>
      </w:r>
      <w:r w:rsidRPr="00804A2C">
        <w:rPr>
          <w:rFonts w:cs="Times New Roman"/>
        </w:rPr>
        <w:t>) was constitutional but held that the flyers at issue did not meet the test for hatred and were not prohibited publications within the meaning of s. 14(1)(</w:t>
      </w:r>
      <w:r w:rsidRPr="00857784">
        <w:rPr>
          <w:rFonts w:cs="Times New Roman"/>
        </w:rPr>
        <w:t>b</w:t>
      </w:r>
      <w:r w:rsidRPr="00804A2C">
        <w:rPr>
          <w:rFonts w:cs="Times New Roman"/>
        </w:rPr>
        <w:t xml:space="preserve">) of the </w:t>
      </w:r>
      <w:r w:rsidRPr="00804A2C">
        <w:rPr>
          <w:rFonts w:cs="Times New Roman"/>
          <w:i/>
        </w:rPr>
        <w:t>Code</w:t>
      </w:r>
      <w:r w:rsidRPr="00804A2C">
        <w:rPr>
          <w:rFonts w:cs="Times New Roman"/>
        </w:rPr>
        <w:t>.</w:t>
      </w:r>
    </w:p>
    <w:p w:rsidR="00BB1957" w:rsidRPr="00804A2C" w:rsidRDefault="00BB1957" w:rsidP="00BB1957">
      <w:pPr>
        <w:pStyle w:val="ParaNoNdepar-AltN"/>
        <w:rPr>
          <w:rFonts w:cs="Times New Roman"/>
        </w:rPr>
      </w:pPr>
      <w:r w:rsidRPr="00804A2C">
        <w:rPr>
          <w:rFonts w:cs="Times New Roman"/>
        </w:rPr>
        <w:t>Two issues arise in this appeal.  The first is whether s. 14(1</w:t>
      </w:r>
      <w:proofErr w:type="gramStart"/>
      <w:r w:rsidRPr="00804A2C">
        <w:rPr>
          <w:rFonts w:cs="Times New Roman"/>
        </w:rPr>
        <w:t>)(</w:t>
      </w:r>
      <w:proofErr w:type="gramEnd"/>
      <w:r w:rsidRPr="00857784">
        <w:rPr>
          <w:rFonts w:cs="Times New Roman"/>
        </w:rPr>
        <w:t>b</w:t>
      </w:r>
      <w:r w:rsidRPr="00804A2C">
        <w:rPr>
          <w:rFonts w:cs="Times New Roman"/>
        </w:rPr>
        <w:t xml:space="preserve">) of the </w:t>
      </w:r>
      <w:r w:rsidRPr="00804A2C">
        <w:rPr>
          <w:rFonts w:cs="Times New Roman"/>
          <w:i/>
        </w:rPr>
        <w:t xml:space="preserve">Code </w:t>
      </w:r>
      <w:r w:rsidRPr="00804A2C">
        <w:rPr>
          <w:rFonts w:cs="Times New Roman"/>
        </w:rPr>
        <w:t xml:space="preserve">is constitutional.  If so, a second issue arises as to whether the Tribunal’s application of that provision in the context of this case should have been upheld. </w:t>
      </w:r>
    </w:p>
    <w:p w:rsidR="00BB1957" w:rsidRPr="00804A2C" w:rsidRDefault="00BB1957" w:rsidP="00BB1957">
      <w:pPr>
        <w:pStyle w:val="ParaNoNdepar-AltN"/>
        <w:spacing w:before="240"/>
        <w:rPr>
          <w:rFonts w:cs="Times New Roman"/>
        </w:rPr>
      </w:pPr>
      <w:r w:rsidRPr="00804A2C">
        <w:rPr>
          <w:rFonts w:cs="Times New Roman"/>
        </w:rPr>
        <w:t>I conclude that although</w:t>
      </w:r>
      <w:r w:rsidRPr="00804A2C">
        <w:rPr>
          <w:rFonts w:cs="Times New Roman"/>
          <w:i/>
        </w:rPr>
        <w:t xml:space="preserve"> </w:t>
      </w:r>
      <w:r w:rsidRPr="00804A2C">
        <w:rPr>
          <w:rFonts w:cs="Times New Roman"/>
        </w:rPr>
        <w:t>s. 14(1</w:t>
      </w:r>
      <w:proofErr w:type="gramStart"/>
      <w:r w:rsidRPr="00804A2C">
        <w:rPr>
          <w:rFonts w:cs="Times New Roman"/>
        </w:rPr>
        <w:t>)(</w:t>
      </w:r>
      <w:proofErr w:type="gramEnd"/>
      <w:r w:rsidRPr="00857784">
        <w:rPr>
          <w:rFonts w:cs="Times New Roman"/>
        </w:rPr>
        <w:t>b</w:t>
      </w:r>
      <w:r w:rsidRPr="00804A2C">
        <w:rPr>
          <w:rFonts w:cs="Times New Roman"/>
        </w:rPr>
        <w:t xml:space="preserve">) of the </w:t>
      </w:r>
      <w:r w:rsidRPr="00804A2C">
        <w:rPr>
          <w:rFonts w:cs="Times New Roman"/>
          <w:i/>
        </w:rPr>
        <w:t xml:space="preserve">Code </w:t>
      </w:r>
      <w:r w:rsidRPr="00804A2C">
        <w:rPr>
          <w:rFonts w:cs="Times New Roman"/>
        </w:rPr>
        <w:t xml:space="preserve">infringes Mr. </w:t>
      </w:r>
      <w:proofErr w:type="spellStart"/>
      <w:r w:rsidRPr="00804A2C">
        <w:rPr>
          <w:rFonts w:cs="Times New Roman"/>
        </w:rPr>
        <w:t>Whatcott’s</w:t>
      </w:r>
      <w:proofErr w:type="spellEnd"/>
      <w:r w:rsidRPr="00804A2C">
        <w:rPr>
          <w:rFonts w:cs="Times New Roman"/>
        </w:rPr>
        <w:t xml:space="preserve"> rights under both ss. 2(</w:t>
      </w:r>
      <w:r w:rsidRPr="00804A2C">
        <w:rPr>
          <w:rFonts w:cs="Times New Roman"/>
          <w:i/>
        </w:rPr>
        <w:t>a</w:t>
      </w:r>
      <w:r w:rsidRPr="00804A2C">
        <w:rPr>
          <w:rFonts w:cs="Times New Roman"/>
        </w:rPr>
        <w:t>)</w:t>
      </w:r>
      <w:r w:rsidRPr="00804A2C">
        <w:rPr>
          <w:rFonts w:cs="Times New Roman"/>
          <w:i/>
        </w:rPr>
        <w:t xml:space="preserve"> </w:t>
      </w:r>
      <w:r w:rsidRPr="00804A2C">
        <w:rPr>
          <w:rFonts w:cs="Times New Roman"/>
        </w:rPr>
        <w:t>and 2(</w:t>
      </w:r>
      <w:r w:rsidRPr="00804A2C">
        <w:rPr>
          <w:rFonts w:cs="Times New Roman"/>
          <w:i/>
        </w:rPr>
        <w:t>b</w:t>
      </w:r>
      <w:r w:rsidRPr="00804A2C">
        <w:rPr>
          <w:rFonts w:cs="Times New Roman"/>
        </w:rPr>
        <w:t xml:space="preserve">) of the </w:t>
      </w:r>
      <w:r w:rsidRPr="00804A2C">
        <w:rPr>
          <w:rFonts w:cs="Times New Roman"/>
          <w:i/>
        </w:rPr>
        <w:t>Charter</w:t>
      </w:r>
      <w:r w:rsidRPr="00804A2C">
        <w:rPr>
          <w:rFonts w:cs="Times New Roman"/>
        </w:rPr>
        <w:t>, the infringement is justified</w:t>
      </w:r>
      <w:r w:rsidRPr="00804A2C">
        <w:rPr>
          <w:rFonts w:cs="Times New Roman"/>
          <w:i/>
        </w:rPr>
        <w:t xml:space="preserve"> </w:t>
      </w:r>
      <w:r w:rsidRPr="00804A2C">
        <w:rPr>
          <w:rFonts w:cs="Times New Roman"/>
        </w:rPr>
        <w:t xml:space="preserve">under s. 1 of the </w:t>
      </w:r>
      <w:r w:rsidRPr="00804A2C">
        <w:rPr>
          <w:rFonts w:cs="Times New Roman"/>
          <w:i/>
        </w:rPr>
        <w:t>Charter</w:t>
      </w:r>
      <w:r w:rsidRPr="00804A2C">
        <w:rPr>
          <w:rFonts w:cs="Times New Roman"/>
        </w:rPr>
        <w:t>.  This Court’s approach</w:t>
      </w:r>
      <w:r w:rsidRPr="00804A2C">
        <w:rPr>
          <w:rFonts w:cs="Times New Roman"/>
          <w:i/>
        </w:rPr>
        <w:t xml:space="preserve"> </w:t>
      </w:r>
      <w:r w:rsidRPr="00804A2C">
        <w:rPr>
          <w:rFonts w:cs="Times New Roman"/>
        </w:rPr>
        <w:t xml:space="preserve">in </w:t>
      </w:r>
      <w:proofErr w:type="spellStart"/>
      <w:r w:rsidRPr="00804A2C">
        <w:rPr>
          <w:rFonts w:cs="Times New Roman"/>
          <w:i/>
        </w:rPr>
        <w:t>Keegstra</w:t>
      </w:r>
      <w:proofErr w:type="spellEnd"/>
      <w:r w:rsidRPr="00804A2C">
        <w:rPr>
          <w:rFonts w:cs="Times New Roman"/>
        </w:rPr>
        <w:t xml:space="preserve"> and </w:t>
      </w:r>
      <w:r w:rsidRPr="00804A2C">
        <w:rPr>
          <w:rFonts w:cs="Times New Roman"/>
          <w:i/>
        </w:rPr>
        <w:t>Taylor</w:t>
      </w:r>
      <w:r w:rsidRPr="00804A2C">
        <w:rPr>
          <w:rFonts w:cs="Times New Roman"/>
        </w:rPr>
        <w:t>,</w:t>
      </w:r>
      <w:r w:rsidRPr="00804A2C">
        <w:rPr>
          <w:rFonts w:cs="Times New Roman"/>
          <w:i/>
        </w:rPr>
        <w:t xml:space="preserve"> </w:t>
      </w:r>
      <w:r w:rsidRPr="00804A2C">
        <w:rPr>
          <w:rFonts w:cs="Times New Roman"/>
        </w:rPr>
        <w:t>with some modification, sets out an acceptable method for determining how to balance the competing rights and interests at play.</w:t>
      </w:r>
    </w:p>
    <w:p w:rsidR="00BB1957" w:rsidRPr="00804A2C" w:rsidRDefault="00BB1957" w:rsidP="00BB1957">
      <w:pPr>
        <w:pStyle w:val="ParaNoNdepar-AltN"/>
        <w:rPr>
          <w:rFonts w:cs="Times New Roman"/>
        </w:rPr>
      </w:pPr>
      <w:r w:rsidRPr="00804A2C">
        <w:rPr>
          <w:rFonts w:cs="Times New Roman"/>
        </w:rPr>
        <w:t>In my respectful view, the Saskatchewan Court of Appeal erred, in part, in overturning the decision of the Tribunal. I would therefore allow the appeal and reinstate the decision of the Tribunal with respect to two of the flyers.  I would dismiss the appeal in regard to the other two.</w:t>
      </w:r>
    </w:p>
    <w:p w:rsidR="00BB1957" w:rsidRPr="00804A2C" w:rsidRDefault="00BB1957" w:rsidP="00705716">
      <w:pPr>
        <w:pStyle w:val="TitleTitre-AltT"/>
        <w:tabs>
          <w:tab w:val="clear" w:pos="360"/>
          <w:tab w:val="left" w:pos="540"/>
        </w:tabs>
        <w:ind w:left="540" w:hanging="540"/>
        <w:rPr>
          <w:rFonts w:cs="Times New Roman"/>
        </w:rPr>
      </w:pPr>
      <w:bookmarkStart w:id="8" w:name="_Toc341432488"/>
      <w:bookmarkStart w:id="9" w:name="_Toc341686967"/>
      <w:bookmarkStart w:id="10" w:name="_Toc346006790"/>
      <w:bookmarkStart w:id="11" w:name="_Toc349051250"/>
      <w:bookmarkStart w:id="12" w:name="_Toc349051328"/>
      <w:bookmarkStart w:id="13" w:name="_Toc349306883"/>
      <w:bookmarkStart w:id="14" w:name="_Toc349638199"/>
      <w:bookmarkStart w:id="15" w:name="_Toc408212118"/>
      <w:r w:rsidRPr="00804A2C">
        <w:rPr>
          <w:rFonts w:cs="Times New Roman"/>
        </w:rPr>
        <w:t>II.</w:t>
      </w:r>
      <w:r w:rsidRPr="00804A2C">
        <w:rPr>
          <w:rFonts w:cs="Times New Roman"/>
        </w:rPr>
        <w:tab/>
      </w:r>
      <w:r w:rsidRPr="00804A2C">
        <w:rPr>
          <w:rFonts w:cs="Times New Roman"/>
          <w:u w:val="single"/>
        </w:rPr>
        <w:t>Facts</w:t>
      </w:r>
      <w:bookmarkEnd w:id="8"/>
      <w:bookmarkEnd w:id="9"/>
      <w:bookmarkEnd w:id="10"/>
      <w:bookmarkEnd w:id="11"/>
      <w:bookmarkEnd w:id="12"/>
      <w:bookmarkEnd w:id="13"/>
      <w:bookmarkEnd w:id="14"/>
      <w:bookmarkEnd w:id="15"/>
    </w:p>
    <w:p w:rsidR="00BB1957" w:rsidRPr="00804A2C" w:rsidRDefault="00BB1957" w:rsidP="00BB1957">
      <w:pPr>
        <w:pStyle w:val="ParaNoNdepar-AltN"/>
        <w:rPr>
          <w:rFonts w:cs="Times New Roman"/>
        </w:rPr>
      </w:pPr>
      <w:r w:rsidRPr="00804A2C">
        <w:rPr>
          <w:rFonts w:cs="Times New Roman"/>
        </w:rPr>
        <w:t xml:space="preserve">In 2001 and 2002, Mr. </w:t>
      </w:r>
      <w:proofErr w:type="spellStart"/>
      <w:r w:rsidRPr="00804A2C">
        <w:rPr>
          <w:rFonts w:cs="Times New Roman"/>
        </w:rPr>
        <w:t>Whatcott</w:t>
      </w:r>
      <w:proofErr w:type="spellEnd"/>
      <w:r w:rsidRPr="00804A2C">
        <w:rPr>
          <w:rFonts w:cs="Times New Roman"/>
        </w:rPr>
        <w:t xml:space="preserve"> distributed four flyers in Regina and Saskatoon on behalf of the Christian Truth Activists. Two of the flyers, marked as exhibits D and E at the Tribunal hearing, were entitled “Keep Homosexuality out of Saskatoon’s Public Schools!” (“Flyer D”) and “Sodomites in our Public Schools” (“Flyer E”), respectively. The other two flyers, marked as exhibits F and G, were identical, and were a reprint of a page of classified advertisements to which handwritten comments were added (“Flyer F” and “Flyer G”). The flyers are reproduced in Appendix B.</w:t>
      </w:r>
    </w:p>
    <w:p w:rsidR="00BB1957" w:rsidRPr="00804A2C" w:rsidRDefault="00BB1957" w:rsidP="00BB1957">
      <w:pPr>
        <w:pStyle w:val="ParaNoNdepar-AltN"/>
        <w:rPr>
          <w:rFonts w:cs="Times New Roman"/>
        </w:rPr>
      </w:pPr>
      <w:r w:rsidRPr="00804A2C">
        <w:rPr>
          <w:rFonts w:cs="Times New Roman"/>
        </w:rPr>
        <w:t xml:space="preserve">Four individuals, who received these flyers at their homes, filed complaints with the Commission.  They alleged that the material promoted hatred against individuals because of their sexual orientation, thereby violating s. 14 of the </w:t>
      </w:r>
      <w:r w:rsidRPr="00804A2C">
        <w:rPr>
          <w:rFonts w:cs="Times New Roman"/>
          <w:i/>
        </w:rPr>
        <w:t>Code</w:t>
      </w:r>
      <w:r w:rsidRPr="00804A2C">
        <w:rPr>
          <w:rFonts w:cs="Times New Roman"/>
        </w:rPr>
        <w:t>.  The Commission appointed a human rights tribunal to hear the complaints.</w:t>
      </w:r>
    </w:p>
    <w:p w:rsidR="00BB1957" w:rsidRPr="00804A2C" w:rsidRDefault="00BB1957" w:rsidP="00BB1957">
      <w:pPr>
        <w:pStyle w:val="ParaNoNdepar-AltN"/>
        <w:rPr>
          <w:rFonts w:cs="Times New Roman"/>
          <w:bCs/>
          <w:iCs/>
        </w:rPr>
      </w:pPr>
      <w:r w:rsidRPr="00804A2C">
        <w:rPr>
          <w:rFonts w:cs="Times New Roman"/>
          <w:iCs/>
        </w:rPr>
        <w:t xml:space="preserve">Relying on </w:t>
      </w:r>
      <w:r w:rsidRPr="00804A2C">
        <w:rPr>
          <w:rFonts w:cs="Times New Roman"/>
          <w:i/>
          <w:iCs/>
        </w:rPr>
        <w:t xml:space="preserve">Human Rights Commission (Sask.) v. Bell </w:t>
      </w:r>
      <w:r w:rsidRPr="00804A2C">
        <w:rPr>
          <w:rFonts w:cs="Times New Roman"/>
          <w:iCs/>
        </w:rPr>
        <w:t>(1994), 120 Sask. R. 122</w:t>
      </w:r>
      <w:r w:rsidRPr="00804A2C">
        <w:rPr>
          <w:rFonts w:cs="Times New Roman"/>
        </w:rPr>
        <w:t xml:space="preserve"> (C.A.) (“</w:t>
      </w:r>
      <w:r w:rsidRPr="00804A2C">
        <w:rPr>
          <w:rFonts w:cs="Times New Roman"/>
          <w:i/>
        </w:rPr>
        <w:t>Bell</w:t>
      </w:r>
      <w:r w:rsidRPr="00804A2C">
        <w:rPr>
          <w:rFonts w:cs="Times New Roman"/>
        </w:rPr>
        <w:t xml:space="preserve">”), and on the Court of Queen’s Bench decision in </w:t>
      </w:r>
      <w:r w:rsidRPr="00804A2C">
        <w:rPr>
          <w:rFonts w:cs="Times New Roman"/>
          <w:i/>
          <w:iCs/>
        </w:rPr>
        <w:t>Owens v. Human Rights Commission (Sask.)</w:t>
      </w:r>
      <w:r w:rsidRPr="00804A2C">
        <w:rPr>
          <w:rFonts w:cs="Times New Roman"/>
          <w:iCs/>
        </w:rPr>
        <w:t>,</w:t>
      </w:r>
      <w:r w:rsidRPr="00804A2C">
        <w:rPr>
          <w:rFonts w:cs="Times New Roman"/>
          <w:i/>
          <w:iCs/>
        </w:rPr>
        <w:t xml:space="preserve"> </w:t>
      </w:r>
      <w:r w:rsidRPr="00804A2C">
        <w:rPr>
          <w:rFonts w:cs="Times New Roman"/>
          <w:bCs/>
          <w:iCs/>
        </w:rPr>
        <w:t xml:space="preserve">2002 SKQB 506, 228 Sask. R. 148, </w:t>
      </w:r>
      <w:proofErr w:type="spellStart"/>
      <w:r w:rsidRPr="00804A2C">
        <w:rPr>
          <w:rFonts w:cs="Times New Roman"/>
          <w:bCs/>
          <w:iCs/>
        </w:rPr>
        <w:t>rev’d</w:t>
      </w:r>
      <w:proofErr w:type="spellEnd"/>
      <w:r w:rsidRPr="00804A2C">
        <w:rPr>
          <w:rFonts w:cs="Times New Roman"/>
          <w:bCs/>
          <w:iCs/>
        </w:rPr>
        <w:t xml:space="preserve"> 2006 SKCA 41, 267 D.L.R. (4th) 733, </w:t>
      </w:r>
      <w:r w:rsidRPr="00804A2C">
        <w:rPr>
          <w:rFonts w:cs="Times New Roman"/>
        </w:rPr>
        <w:t xml:space="preserve">the </w:t>
      </w:r>
      <w:r w:rsidRPr="00804A2C">
        <w:rPr>
          <w:rFonts w:cs="Times New Roman"/>
          <w:iCs/>
        </w:rPr>
        <w:t xml:space="preserve">Tribunal concluded that s. 14 of the </w:t>
      </w:r>
      <w:r w:rsidRPr="00804A2C">
        <w:rPr>
          <w:rFonts w:cs="Times New Roman"/>
          <w:i/>
          <w:iCs/>
        </w:rPr>
        <w:t>Code</w:t>
      </w:r>
      <w:r w:rsidRPr="00804A2C">
        <w:rPr>
          <w:rFonts w:cs="Times New Roman"/>
          <w:iCs/>
        </w:rPr>
        <w:t xml:space="preserve"> was a reasonable restriction on Mr. </w:t>
      </w:r>
      <w:proofErr w:type="spellStart"/>
      <w:r w:rsidRPr="00804A2C">
        <w:rPr>
          <w:rFonts w:cs="Times New Roman"/>
          <w:iCs/>
        </w:rPr>
        <w:t>Whatcott’s</w:t>
      </w:r>
      <w:proofErr w:type="spellEnd"/>
      <w:r w:rsidRPr="00804A2C">
        <w:rPr>
          <w:rFonts w:cs="Times New Roman"/>
          <w:iCs/>
        </w:rPr>
        <w:t xml:space="preserve"> rights to freedom of religion and expression as guaranteed by s. 2</w:t>
      </w:r>
      <w:r w:rsidRPr="00804A2C">
        <w:rPr>
          <w:rFonts w:cs="Times New Roman"/>
        </w:rPr>
        <w:t>(</w:t>
      </w:r>
      <w:r w:rsidRPr="00804A2C">
        <w:rPr>
          <w:rFonts w:cs="Times New Roman"/>
          <w:i/>
        </w:rPr>
        <w:t>a</w:t>
      </w:r>
      <w:r w:rsidRPr="00804A2C">
        <w:rPr>
          <w:rFonts w:cs="Times New Roman"/>
        </w:rPr>
        <w:t>) and (</w:t>
      </w:r>
      <w:r w:rsidRPr="00804A2C">
        <w:rPr>
          <w:rFonts w:cs="Times New Roman"/>
          <w:i/>
        </w:rPr>
        <w:t>b</w:t>
      </w:r>
      <w:r w:rsidRPr="00804A2C">
        <w:rPr>
          <w:rFonts w:cs="Times New Roman"/>
        </w:rPr>
        <w:t xml:space="preserve">) </w:t>
      </w:r>
      <w:r w:rsidRPr="00804A2C">
        <w:rPr>
          <w:rFonts w:cs="Times New Roman"/>
          <w:iCs/>
        </w:rPr>
        <w:t xml:space="preserve">of the </w:t>
      </w:r>
      <w:r w:rsidRPr="00804A2C">
        <w:rPr>
          <w:rFonts w:cs="Times New Roman"/>
          <w:i/>
          <w:iCs/>
        </w:rPr>
        <w:t>Charter</w:t>
      </w:r>
      <w:r w:rsidRPr="00804A2C">
        <w:rPr>
          <w:rFonts w:cs="Times New Roman"/>
          <w:iCs/>
        </w:rPr>
        <w:t xml:space="preserve">. With respect to the issue of whether the materials distributed by Mr. </w:t>
      </w:r>
      <w:proofErr w:type="spellStart"/>
      <w:r w:rsidRPr="00804A2C">
        <w:rPr>
          <w:rFonts w:cs="Times New Roman"/>
          <w:iCs/>
        </w:rPr>
        <w:t>Whatcott</w:t>
      </w:r>
      <w:proofErr w:type="spellEnd"/>
      <w:r w:rsidRPr="00804A2C">
        <w:rPr>
          <w:rFonts w:cs="Times New Roman"/>
          <w:iCs/>
        </w:rPr>
        <w:t xml:space="preserve"> constituted a breach of s. 14 of the </w:t>
      </w:r>
      <w:r w:rsidRPr="00804A2C">
        <w:rPr>
          <w:rFonts w:cs="Times New Roman"/>
          <w:i/>
          <w:iCs/>
        </w:rPr>
        <w:t>Code</w:t>
      </w:r>
      <w:r w:rsidRPr="00804A2C">
        <w:rPr>
          <w:rFonts w:cs="Times New Roman"/>
          <w:iCs/>
        </w:rPr>
        <w:t>, t</w:t>
      </w:r>
      <w:r w:rsidRPr="00804A2C">
        <w:rPr>
          <w:rFonts w:cs="Times New Roman"/>
          <w:bCs/>
          <w:iCs/>
        </w:rPr>
        <w:t>he Tribunal isolated certain passages from each of the flyers and concluded that the material contained in each flyer could objectively be viewed as exposing homosexuals to hatred and ridicule.</w:t>
      </w:r>
    </w:p>
    <w:p w:rsidR="00BB1957" w:rsidRPr="00804A2C" w:rsidRDefault="00BB1957" w:rsidP="00BB1957">
      <w:pPr>
        <w:pStyle w:val="ParaNoNdepar-AltN"/>
        <w:rPr>
          <w:rFonts w:cs="Times New Roman"/>
        </w:rPr>
      </w:pPr>
      <w:r w:rsidRPr="00804A2C">
        <w:rPr>
          <w:rFonts w:cs="Times New Roman"/>
          <w:bCs/>
        </w:rPr>
        <w:t xml:space="preserve">The Tribunal </w:t>
      </w:r>
      <w:r w:rsidRPr="00804A2C">
        <w:rPr>
          <w:rFonts w:cs="Times New Roman"/>
        </w:rPr>
        <w:t xml:space="preserve">issued an order prohibiting Mr. </w:t>
      </w:r>
      <w:proofErr w:type="spellStart"/>
      <w:r w:rsidRPr="00804A2C">
        <w:rPr>
          <w:rFonts w:cs="Times New Roman"/>
        </w:rPr>
        <w:t>Whatcott</w:t>
      </w:r>
      <w:proofErr w:type="spellEnd"/>
      <w:r w:rsidRPr="00804A2C">
        <w:rPr>
          <w:rFonts w:cs="Times New Roman"/>
        </w:rPr>
        <w:t xml:space="preserve"> and the Christian Truth Activists from distributing the flyers or any similar materials promoting hatred against individuals because of their sexual orientation.  It also ordered Mr. </w:t>
      </w:r>
      <w:proofErr w:type="spellStart"/>
      <w:r w:rsidRPr="00804A2C">
        <w:rPr>
          <w:rFonts w:cs="Times New Roman"/>
        </w:rPr>
        <w:t>Whatcott</w:t>
      </w:r>
      <w:proofErr w:type="spellEnd"/>
      <w:r w:rsidRPr="00804A2C">
        <w:rPr>
          <w:rFonts w:cs="Times New Roman"/>
        </w:rPr>
        <w:t xml:space="preserve"> to pay compensation in the amount of $2,500 to one complainant and $5,000 to each of the remaining three complainants.</w:t>
      </w:r>
    </w:p>
    <w:p w:rsidR="00BB1957" w:rsidRPr="00804A2C" w:rsidRDefault="00BB1957" w:rsidP="00705716">
      <w:pPr>
        <w:pStyle w:val="TitleTitre-AltT"/>
        <w:tabs>
          <w:tab w:val="clear" w:pos="360"/>
          <w:tab w:val="left" w:pos="540"/>
        </w:tabs>
        <w:ind w:left="540" w:hanging="540"/>
        <w:rPr>
          <w:rFonts w:cs="Times New Roman"/>
        </w:rPr>
      </w:pPr>
      <w:bookmarkStart w:id="16" w:name="_Toc341432489"/>
      <w:bookmarkStart w:id="17" w:name="_Toc341686968"/>
      <w:bookmarkStart w:id="18" w:name="_Toc346006791"/>
      <w:bookmarkStart w:id="19" w:name="_Toc349051251"/>
      <w:bookmarkStart w:id="20" w:name="_Toc349051329"/>
      <w:bookmarkStart w:id="21" w:name="_Toc349306884"/>
      <w:bookmarkStart w:id="22" w:name="_Toc349638200"/>
      <w:bookmarkStart w:id="23" w:name="_Toc408212119"/>
      <w:r w:rsidRPr="00804A2C">
        <w:rPr>
          <w:rFonts w:cs="Times New Roman"/>
        </w:rPr>
        <w:t>III.</w:t>
      </w:r>
      <w:r w:rsidRPr="00804A2C">
        <w:rPr>
          <w:rFonts w:cs="Times New Roman"/>
        </w:rPr>
        <w:tab/>
      </w:r>
      <w:r w:rsidRPr="00804A2C">
        <w:rPr>
          <w:rFonts w:cs="Times New Roman"/>
          <w:u w:val="single"/>
        </w:rPr>
        <w:t>Relevant Statutory Provisions</w:t>
      </w:r>
      <w:bookmarkEnd w:id="16"/>
      <w:bookmarkEnd w:id="17"/>
      <w:bookmarkEnd w:id="18"/>
      <w:bookmarkEnd w:id="19"/>
      <w:bookmarkEnd w:id="20"/>
      <w:bookmarkEnd w:id="21"/>
      <w:bookmarkEnd w:id="22"/>
      <w:bookmarkEnd w:id="23"/>
    </w:p>
    <w:p w:rsidR="00BB1957" w:rsidRPr="00804A2C" w:rsidRDefault="00BB1957" w:rsidP="00BB1957">
      <w:pPr>
        <w:pStyle w:val="ParaNoNdepar-AltN"/>
        <w:rPr>
          <w:rFonts w:cs="Times New Roman"/>
        </w:rPr>
      </w:pPr>
      <w:r w:rsidRPr="00804A2C">
        <w:rPr>
          <w:rFonts w:cs="Times New Roman"/>
        </w:rPr>
        <w:t>At issue is s. 14 of</w:t>
      </w:r>
      <w:r>
        <w:rPr>
          <w:rFonts w:cs="Times New Roman"/>
        </w:rPr>
        <w:t xml:space="preserve"> the</w:t>
      </w:r>
      <w:r w:rsidRPr="00804A2C">
        <w:rPr>
          <w:rFonts w:cs="Times New Roman"/>
        </w:rPr>
        <w:t xml:space="preserve"> </w:t>
      </w:r>
      <w:r w:rsidRPr="00804A2C">
        <w:rPr>
          <w:rFonts w:cs="Times New Roman"/>
          <w:i/>
        </w:rPr>
        <w:t>Code</w:t>
      </w:r>
      <w:r w:rsidRPr="00804A2C">
        <w:rPr>
          <w:rFonts w:cs="Times New Roman"/>
        </w:rPr>
        <w:t xml:space="preserve">.  </w:t>
      </w:r>
      <w:r>
        <w:rPr>
          <w:rFonts w:cs="Times New Roman"/>
        </w:rPr>
        <w:t>It</w:t>
      </w:r>
      <w:r w:rsidRPr="00804A2C">
        <w:rPr>
          <w:rFonts w:cs="Times New Roman"/>
        </w:rPr>
        <w:t xml:space="preserve"> provides:</w:t>
      </w:r>
    </w:p>
    <w:p w:rsidR="00BB1957" w:rsidRPr="00804A2C" w:rsidRDefault="00BB1957" w:rsidP="00705716">
      <w:pPr>
        <w:pStyle w:val="Citation-AltC"/>
        <w:tabs>
          <w:tab w:val="left" w:pos="1800"/>
        </w:tabs>
      </w:pPr>
      <w:r w:rsidRPr="00804A2C">
        <w:rPr>
          <w:b/>
        </w:rPr>
        <w:tab/>
        <w:t xml:space="preserve">14. </w:t>
      </w:r>
      <w:r w:rsidRPr="00804A2C">
        <w:t xml:space="preserve">(1) </w:t>
      </w:r>
      <w:r w:rsidRPr="00804A2C">
        <w:rPr>
          <w:u w:val="single"/>
        </w:rPr>
        <w:t>No person shall publish or display</w:t>
      </w:r>
      <w:r w:rsidRPr="00804A2C">
        <w:t xml:space="preserve">, or cause or permit to be published or displayed, on any lands or premises or in a newspaper, through a television or radio broadcasting station or any other broadcasting device, or in any printed matter or publication or by means of any other medium that the person owns, controls, distributes or sells, </w:t>
      </w:r>
      <w:r w:rsidRPr="00804A2C">
        <w:rPr>
          <w:u w:val="single"/>
        </w:rPr>
        <w:t>any representation</w:t>
      </w:r>
      <w:r w:rsidRPr="00804A2C">
        <w:t>, including any notice, sign, symbol, emblem, article, statement or other representation:</w:t>
      </w:r>
    </w:p>
    <w:p w:rsidR="00BB1957" w:rsidRPr="00804A2C" w:rsidRDefault="00BB1957" w:rsidP="00BB1957">
      <w:pPr>
        <w:pStyle w:val="Citation-AltC"/>
      </w:pPr>
    </w:p>
    <w:p w:rsidR="00BB1957" w:rsidRPr="00804A2C" w:rsidRDefault="00705716" w:rsidP="00705716">
      <w:pPr>
        <w:pStyle w:val="Citation-AltC"/>
        <w:tabs>
          <w:tab w:val="left" w:pos="1800"/>
        </w:tabs>
        <w:spacing w:before="240"/>
        <w:ind w:left="1800" w:hanging="630"/>
      </w:pPr>
      <w:r>
        <w:tab/>
      </w:r>
      <w:r w:rsidR="00BB1957" w:rsidRPr="00804A2C">
        <w:t>(</w:t>
      </w:r>
      <w:r w:rsidR="00BB1957" w:rsidRPr="00857784">
        <w:t>a</w:t>
      </w:r>
      <w:r w:rsidR="00BB1957" w:rsidRPr="00804A2C">
        <w:t>)</w:t>
      </w:r>
      <w:r w:rsidR="00BB1957" w:rsidRPr="00804A2C">
        <w:tab/>
        <w:t>tending or likely to tend to deprive, abridge or otherwise restrict the enjoyment by any person or class of persons, on the basis of a prohibited ground, of any right to which that person or class of persons is entitled under law; or</w:t>
      </w:r>
    </w:p>
    <w:p w:rsidR="00BB1957" w:rsidRPr="00804A2C" w:rsidRDefault="00BB1957" w:rsidP="00BB1957">
      <w:pPr>
        <w:pStyle w:val="Citation-AltC"/>
        <w:ind w:left="1526"/>
      </w:pPr>
    </w:p>
    <w:p w:rsidR="00BB1957" w:rsidRPr="00804A2C" w:rsidRDefault="00705716" w:rsidP="00705716">
      <w:pPr>
        <w:pStyle w:val="Citation-AltC"/>
        <w:tabs>
          <w:tab w:val="left" w:pos="1800"/>
        </w:tabs>
        <w:spacing w:before="240"/>
        <w:ind w:left="1800" w:hanging="630"/>
      </w:pPr>
      <w:r>
        <w:tab/>
      </w:r>
      <w:r w:rsidR="00BB1957" w:rsidRPr="00804A2C">
        <w:t>(</w:t>
      </w:r>
      <w:r w:rsidR="00BB1957" w:rsidRPr="00857784">
        <w:t>b</w:t>
      </w:r>
      <w:r w:rsidR="00BB1957" w:rsidRPr="00804A2C">
        <w:t>)</w:t>
      </w:r>
      <w:r w:rsidR="00BB1957" w:rsidRPr="00804A2C">
        <w:tab/>
      </w:r>
      <w:proofErr w:type="gramStart"/>
      <w:r w:rsidR="00BB1957" w:rsidRPr="00804A2C">
        <w:rPr>
          <w:u w:val="single"/>
        </w:rPr>
        <w:t>that</w:t>
      </w:r>
      <w:proofErr w:type="gramEnd"/>
      <w:r w:rsidR="00BB1957" w:rsidRPr="00804A2C">
        <w:rPr>
          <w:u w:val="single"/>
        </w:rPr>
        <w:t xml:space="preserve"> exposes or tends to expose to hatred, ridicules, belittles or otherwise affronts the dignity of any person or class of persons on the basis of a prohibited ground</w:t>
      </w:r>
      <w:r w:rsidR="00BB1957" w:rsidRPr="00804A2C">
        <w:t>.</w:t>
      </w:r>
    </w:p>
    <w:p w:rsidR="00BB1957" w:rsidRPr="00804A2C" w:rsidRDefault="00BB1957" w:rsidP="00BB1957">
      <w:pPr>
        <w:pStyle w:val="Citation-AltC"/>
        <w:ind w:left="0"/>
      </w:pPr>
    </w:p>
    <w:p w:rsidR="00BB1957" w:rsidRPr="00804A2C" w:rsidRDefault="00705716" w:rsidP="00705716">
      <w:pPr>
        <w:pStyle w:val="Citation-AltC"/>
        <w:tabs>
          <w:tab w:val="left" w:pos="1800"/>
        </w:tabs>
      </w:pPr>
      <w:r>
        <w:tab/>
      </w:r>
      <w:r w:rsidR="00BB1957" w:rsidRPr="00804A2C">
        <w:t xml:space="preserve">(2) </w:t>
      </w:r>
      <w:r w:rsidR="00BB1957" w:rsidRPr="00804A2C">
        <w:rPr>
          <w:u w:val="single"/>
        </w:rPr>
        <w:t>Nothing in subsection (1) restricts the right to freedom of expression under the law upon any subject.</w:t>
      </w:r>
    </w:p>
    <w:p w:rsidR="00BB1957" w:rsidRPr="00804A2C" w:rsidRDefault="00BB1957" w:rsidP="00705716">
      <w:pPr>
        <w:pStyle w:val="TitleTitre-AltT"/>
        <w:tabs>
          <w:tab w:val="clear" w:pos="360"/>
          <w:tab w:val="left" w:pos="540"/>
        </w:tabs>
        <w:ind w:left="540" w:hanging="540"/>
        <w:rPr>
          <w:rFonts w:cs="Times New Roman"/>
        </w:rPr>
      </w:pPr>
      <w:bookmarkStart w:id="24" w:name="_Toc341432490"/>
      <w:bookmarkStart w:id="25" w:name="_Toc341686969"/>
      <w:bookmarkStart w:id="26" w:name="_Toc346006792"/>
      <w:bookmarkStart w:id="27" w:name="_Toc349051252"/>
      <w:bookmarkStart w:id="28" w:name="_Toc349051330"/>
      <w:bookmarkStart w:id="29" w:name="_Toc349306885"/>
      <w:bookmarkStart w:id="30" w:name="_Toc349638201"/>
      <w:bookmarkStart w:id="31" w:name="_Toc408212120"/>
      <w:r w:rsidRPr="00804A2C">
        <w:rPr>
          <w:rFonts w:cs="Times New Roman"/>
        </w:rPr>
        <w:t>IV.</w:t>
      </w:r>
      <w:r w:rsidRPr="00804A2C">
        <w:rPr>
          <w:rFonts w:cs="Times New Roman"/>
        </w:rPr>
        <w:tab/>
      </w:r>
      <w:r w:rsidRPr="00804A2C">
        <w:rPr>
          <w:rFonts w:cs="Times New Roman"/>
          <w:u w:val="single"/>
        </w:rPr>
        <w:t>Judicial History</w:t>
      </w:r>
      <w:bookmarkEnd w:id="24"/>
      <w:bookmarkEnd w:id="25"/>
      <w:bookmarkEnd w:id="26"/>
      <w:bookmarkEnd w:id="27"/>
      <w:bookmarkEnd w:id="28"/>
      <w:bookmarkEnd w:id="29"/>
      <w:bookmarkEnd w:id="30"/>
      <w:bookmarkEnd w:id="31"/>
    </w:p>
    <w:p w:rsidR="00BB1957" w:rsidRPr="00804A2C" w:rsidRDefault="00BB1957" w:rsidP="00705716">
      <w:pPr>
        <w:pStyle w:val="TitleTitre-AltT"/>
        <w:tabs>
          <w:tab w:val="clear" w:pos="360"/>
          <w:tab w:val="left" w:pos="540"/>
        </w:tabs>
        <w:ind w:left="540" w:hanging="540"/>
        <w:rPr>
          <w:rFonts w:cs="Times New Roman"/>
        </w:rPr>
      </w:pPr>
      <w:bookmarkStart w:id="32" w:name="_Toc341432491"/>
      <w:bookmarkStart w:id="33" w:name="_Toc341686970"/>
      <w:bookmarkStart w:id="34" w:name="_Toc346006793"/>
      <w:bookmarkStart w:id="35" w:name="_Toc349051253"/>
      <w:bookmarkStart w:id="36" w:name="_Toc349051331"/>
      <w:bookmarkStart w:id="37" w:name="_Toc349306886"/>
      <w:bookmarkStart w:id="38" w:name="_Toc349638202"/>
      <w:bookmarkStart w:id="39" w:name="_Toc408212121"/>
      <w:r w:rsidRPr="00804A2C">
        <w:rPr>
          <w:rFonts w:cs="Times New Roman"/>
        </w:rPr>
        <w:t>A.</w:t>
      </w:r>
      <w:r w:rsidRPr="00804A2C">
        <w:rPr>
          <w:rFonts w:cs="Times New Roman"/>
        </w:rPr>
        <w:tab/>
      </w:r>
      <w:r w:rsidRPr="00804A2C">
        <w:rPr>
          <w:rFonts w:cs="Times New Roman"/>
          <w:i/>
        </w:rPr>
        <w:t>Saskatchewan Court of Queen’s Bench</w:t>
      </w:r>
      <w:r w:rsidRPr="00857784">
        <w:rPr>
          <w:rFonts w:cs="Times New Roman"/>
          <w:i/>
        </w:rPr>
        <w:t>,</w:t>
      </w:r>
      <w:r w:rsidRPr="00804A2C">
        <w:rPr>
          <w:rFonts w:cs="Times New Roman"/>
        </w:rPr>
        <w:t xml:space="preserve"> </w:t>
      </w:r>
      <w:r w:rsidRPr="00804A2C">
        <w:rPr>
          <w:rFonts w:cs="Times New Roman"/>
          <w:i/>
        </w:rPr>
        <w:t>2007 SKQB 450</w:t>
      </w:r>
      <w:bookmarkEnd w:id="32"/>
      <w:bookmarkEnd w:id="33"/>
      <w:bookmarkEnd w:id="34"/>
      <w:bookmarkEnd w:id="35"/>
      <w:bookmarkEnd w:id="36"/>
      <w:r w:rsidRPr="00804A2C">
        <w:rPr>
          <w:rFonts w:cs="Times New Roman"/>
          <w:i/>
        </w:rPr>
        <w:t>, 306 Sask. R. 186</w:t>
      </w:r>
      <w:bookmarkEnd w:id="37"/>
      <w:bookmarkEnd w:id="38"/>
      <w:bookmarkEnd w:id="39"/>
    </w:p>
    <w:p w:rsidR="00BB1957" w:rsidRPr="00804A2C" w:rsidRDefault="00BB1957" w:rsidP="00BB1957">
      <w:pPr>
        <w:pStyle w:val="ParaNoNdepar-AltN"/>
        <w:rPr>
          <w:rFonts w:cs="Times New Roman"/>
        </w:rPr>
      </w:pPr>
      <w:r w:rsidRPr="00804A2C">
        <w:rPr>
          <w:rFonts w:cs="Times New Roman"/>
        </w:rPr>
        <w:t>Kovach J. concluded that s. 14(1</w:t>
      </w:r>
      <w:proofErr w:type="gramStart"/>
      <w:r w:rsidRPr="00804A2C">
        <w:rPr>
          <w:rFonts w:cs="Times New Roman"/>
        </w:rPr>
        <w:t>)(</w:t>
      </w:r>
      <w:proofErr w:type="gramEnd"/>
      <w:r w:rsidRPr="00857784">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must be interpreted in accordance with the standard of hatred and contempt set out in </w:t>
      </w:r>
      <w:r w:rsidRPr="00804A2C">
        <w:rPr>
          <w:rFonts w:cs="Times New Roman"/>
          <w:i/>
        </w:rPr>
        <w:t>Taylor</w:t>
      </w:r>
      <w:r w:rsidRPr="00804A2C">
        <w:rPr>
          <w:rFonts w:cs="Times New Roman"/>
        </w:rPr>
        <w:t xml:space="preserve"> so as to prohibit only “communication that involves extreme feelings and strong emotions of detestation, calumny and vilification” (</w:t>
      </w:r>
      <w:proofErr w:type="spellStart"/>
      <w:r w:rsidRPr="00804A2C">
        <w:rPr>
          <w:rFonts w:cs="Times New Roman"/>
        </w:rPr>
        <w:t>para</w:t>
      </w:r>
      <w:proofErr w:type="spellEnd"/>
      <w:r w:rsidRPr="00804A2C">
        <w:rPr>
          <w:rFonts w:cs="Times New Roman"/>
        </w:rPr>
        <w:t xml:space="preserve">. 21). He upheld the Tribunal’s conclusion that the flyers contravened the provision, largely on the basis that the flyers equated homosexuals with pedophiles and child abusers. </w:t>
      </w:r>
    </w:p>
    <w:p w:rsidR="00BB1957" w:rsidRPr="00804A2C" w:rsidRDefault="00BB1957" w:rsidP="00BB1957">
      <w:pPr>
        <w:pStyle w:val="ParaNoNdepar-AltN"/>
        <w:rPr>
          <w:rFonts w:cs="Times New Roman"/>
        </w:rPr>
      </w:pPr>
      <w:r w:rsidRPr="00804A2C">
        <w:rPr>
          <w:rFonts w:cs="Times New Roman"/>
        </w:rPr>
        <w:t>With respect to the constitutionality of s. 14(1</w:t>
      </w:r>
      <w:proofErr w:type="gramStart"/>
      <w:r w:rsidRPr="00804A2C">
        <w:rPr>
          <w:rFonts w:cs="Times New Roman"/>
        </w:rPr>
        <w:t>)(</w:t>
      </w:r>
      <w:proofErr w:type="gramEnd"/>
      <w:r w:rsidRPr="00857784">
        <w:rPr>
          <w:rFonts w:cs="Times New Roman"/>
        </w:rPr>
        <w:t>b</w:t>
      </w:r>
      <w:r w:rsidRPr="00804A2C">
        <w:rPr>
          <w:rFonts w:cs="Times New Roman"/>
        </w:rPr>
        <w:t xml:space="preserve">), he held that while the provision may violate Mr. </w:t>
      </w:r>
      <w:proofErr w:type="spellStart"/>
      <w:r w:rsidRPr="00804A2C">
        <w:rPr>
          <w:rFonts w:cs="Times New Roman"/>
        </w:rPr>
        <w:t>Whatcott’s</w:t>
      </w:r>
      <w:proofErr w:type="spellEnd"/>
      <w:r w:rsidRPr="00804A2C">
        <w:rPr>
          <w:rFonts w:cs="Times New Roman"/>
        </w:rPr>
        <w:t xml:space="preserve"> freedom of religion, the limit was justifiable.</w:t>
      </w:r>
    </w:p>
    <w:p w:rsidR="00BB1957" w:rsidRPr="00804A2C" w:rsidRDefault="00BB1957" w:rsidP="00705716">
      <w:pPr>
        <w:pStyle w:val="TitleTitre-AltT"/>
        <w:tabs>
          <w:tab w:val="clear" w:pos="360"/>
          <w:tab w:val="left" w:pos="540"/>
        </w:tabs>
        <w:ind w:left="540" w:hanging="540"/>
        <w:rPr>
          <w:rFonts w:cs="Times New Roman"/>
        </w:rPr>
      </w:pPr>
      <w:bookmarkStart w:id="40" w:name="_Toc341432492"/>
      <w:bookmarkStart w:id="41" w:name="_Toc341686971"/>
      <w:bookmarkStart w:id="42" w:name="_Toc346006794"/>
      <w:bookmarkStart w:id="43" w:name="_Toc349051254"/>
      <w:bookmarkStart w:id="44" w:name="_Toc349051332"/>
      <w:bookmarkStart w:id="45" w:name="_Toc349306887"/>
      <w:bookmarkStart w:id="46" w:name="_Toc349638203"/>
      <w:bookmarkStart w:id="47" w:name="_Toc408212122"/>
      <w:r w:rsidRPr="00804A2C">
        <w:rPr>
          <w:rFonts w:cs="Times New Roman"/>
        </w:rPr>
        <w:t>B.</w:t>
      </w:r>
      <w:r w:rsidRPr="00804A2C">
        <w:rPr>
          <w:rFonts w:cs="Times New Roman"/>
        </w:rPr>
        <w:tab/>
      </w:r>
      <w:r w:rsidRPr="00804A2C">
        <w:rPr>
          <w:rFonts w:cs="Times New Roman"/>
          <w:i/>
        </w:rPr>
        <w:t>Saskatchewan Court of Appeal, 2010 SKCA 26</w:t>
      </w:r>
      <w:bookmarkEnd w:id="40"/>
      <w:bookmarkEnd w:id="41"/>
      <w:bookmarkEnd w:id="42"/>
      <w:bookmarkEnd w:id="43"/>
      <w:bookmarkEnd w:id="44"/>
      <w:r w:rsidRPr="00804A2C">
        <w:rPr>
          <w:rFonts w:cs="Times New Roman"/>
          <w:i/>
        </w:rPr>
        <w:t>, 346 Sask. R. 210</w:t>
      </w:r>
      <w:bookmarkEnd w:id="45"/>
      <w:bookmarkEnd w:id="46"/>
      <w:bookmarkEnd w:id="47"/>
    </w:p>
    <w:p w:rsidR="00BB1957" w:rsidRPr="00804A2C" w:rsidRDefault="00BB1957" w:rsidP="00BB1957">
      <w:pPr>
        <w:pStyle w:val="ParaNoNdepar-AltN"/>
        <w:rPr>
          <w:rFonts w:cs="Times New Roman"/>
        </w:rPr>
      </w:pPr>
      <w:r w:rsidRPr="00804A2C">
        <w:rPr>
          <w:rFonts w:cs="Times New Roman"/>
        </w:rPr>
        <w:t xml:space="preserve">The Saskatchewan Court of Appeal issued concurring judgments by Smith and Hunter JJ.A., with </w:t>
      </w:r>
      <w:proofErr w:type="spellStart"/>
      <w:r w:rsidRPr="00804A2C">
        <w:rPr>
          <w:rFonts w:cs="Times New Roman"/>
        </w:rPr>
        <w:t>Sherstobitoff</w:t>
      </w:r>
      <w:proofErr w:type="spellEnd"/>
      <w:r w:rsidRPr="00804A2C">
        <w:rPr>
          <w:rFonts w:cs="Times New Roman"/>
        </w:rPr>
        <w:t xml:space="preserve"> J.A. concurring in both. Hunter J.A. reaffirmed that s. 14(1)(</w:t>
      </w:r>
      <w:r w:rsidRPr="00857784">
        <w:rPr>
          <w:rFonts w:cs="Times New Roman"/>
        </w:rPr>
        <w:t>b</w:t>
      </w:r>
      <w:r w:rsidRPr="00804A2C">
        <w:rPr>
          <w:rFonts w:cs="Times New Roman"/>
        </w:rPr>
        <w:t xml:space="preserve">) of the </w:t>
      </w:r>
      <w:r w:rsidRPr="00804A2C">
        <w:rPr>
          <w:rFonts w:cs="Times New Roman"/>
          <w:i/>
        </w:rPr>
        <w:t xml:space="preserve">Code </w:t>
      </w:r>
      <w:r w:rsidRPr="00804A2C">
        <w:rPr>
          <w:rFonts w:cs="Times New Roman"/>
        </w:rPr>
        <w:t>must be interpreted and applied so as to only prohibit communications involving extreme feelings and strong emotions of detestation, calumny and vilification. She cautioned that language used to debate the morality of an individual’s behaviour must attract a relatively high degree of tolerance.</w:t>
      </w:r>
    </w:p>
    <w:p w:rsidR="00BB1957" w:rsidRPr="00804A2C" w:rsidRDefault="00BB1957" w:rsidP="00BB1957">
      <w:pPr>
        <w:pStyle w:val="ParaNoNdepar-AltN"/>
        <w:rPr>
          <w:rFonts w:cs="Times New Roman"/>
        </w:rPr>
      </w:pPr>
      <w:r w:rsidRPr="00804A2C">
        <w:rPr>
          <w:rFonts w:cs="Times New Roman"/>
        </w:rPr>
        <w:t>Hunter J.A. found that the Tribunal and Court of Queen’s Bench had failed to take the moral context of the flyers properly into account and had also failed to balance the limitation on freedom of expression</w:t>
      </w:r>
      <w:r w:rsidRPr="00804A2C">
        <w:rPr>
          <w:rFonts w:cs="Times New Roman"/>
          <w:i/>
        </w:rPr>
        <w:t xml:space="preserve"> </w:t>
      </w:r>
      <w:r w:rsidRPr="00804A2C">
        <w:rPr>
          <w:rFonts w:cs="Times New Roman"/>
        </w:rPr>
        <w:t>in s. 14(1)(</w:t>
      </w:r>
      <w:r w:rsidRPr="00857784">
        <w:rPr>
          <w:rFonts w:cs="Times New Roman"/>
        </w:rPr>
        <w:t>b</w:t>
      </w:r>
      <w:r w:rsidRPr="00804A2C">
        <w:rPr>
          <w:rFonts w:cs="Times New Roman"/>
        </w:rPr>
        <w:t>) with the confirmation of the importance of expression set out in s. 14(2). In her view, the Tribunal and Kovach J. had erred in selecting specific phrases from the flyers, rather than dealing with the content and context of each flyer as a whole.</w:t>
      </w:r>
    </w:p>
    <w:p w:rsidR="00BB1957" w:rsidRPr="00804A2C" w:rsidRDefault="00BB1957" w:rsidP="00BB1957">
      <w:pPr>
        <w:pStyle w:val="ParaNoNdepar-AltN"/>
        <w:rPr>
          <w:rFonts w:cs="Times New Roman"/>
        </w:rPr>
      </w:pPr>
      <w:r w:rsidRPr="00804A2C">
        <w:rPr>
          <w:rFonts w:cs="Times New Roman"/>
        </w:rPr>
        <w:t xml:space="preserve">She held that the words and phrases isolated by the Tribunal from Flyer D would not meet the definition of “hatred” set out in </w:t>
      </w:r>
      <w:r w:rsidRPr="00804A2C">
        <w:rPr>
          <w:rFonts w:cs="Times New Roman"/>
          <w:i/>
        </w:rPr>
        <w:t>Taylor</w:t>
      </w:r>
      <w:r w:rsidRPr="00804A2C">
        <w:rPr>
          <w:rFonts w:cs="Times New Roman"/>
        </w:rPr>
        <w:t xml:space="preserve"> and that, in the context of a debate about the school </w:t>
      </w:r>
      <w:proofErr w:type="gramStart"/>
      <w:r w:rsidRPr="00804A2C">
        <w:rPr>
          <w:rFonts w:cs="Times New Roman"/>
        </w:rPr>
        <w:t>curriculum,</w:t>
      </w:r>
      <w:proofErr w:type="gramEnd"/>
      <w:r w:rsidRPr="00804A2C">
        <w:rPr>
          <w:rFonts w:cs="Times New Roman"/>
        </w:rPr>
        <w:t xml:space="preserve"> the entire flyer could not be considered a hate publication. She found that Flyer E was part of the ongoing debate about teaching homosexuality in public schools, and that the comment “Sodomites are 430 times more likely to acquire Aids &amp; 3 times more likely to sexually abuse children!” was merely hyperbole and did not taint the entire publication. Finally, she found that the ambiguity of the handwritten statements in Flyers F and G made it difficult to conclude from an objective perspective that the publication exposed homosexuals to hatred. She concluded that the flyers were not prohibited publications.</w:t>
      </w:r>
    </w:p>
    <w:p w:rsidR="00BB1957" w:rsidRPr="00804A2C" w:rsidRDefault="00BB1957" w:rsidP="00BB1957">
      <w:pPr>
        <w:pStyle w:val="ParaNoNdepar-AltN"/>
        <w:rPr>
          <w:rFonts w:cs="Times New Roman"/>
        </w:rPr>
      </w:pPr>
      <w:r w:rsidRPr="00804A2C">
        <w:rPr>
          <w:rFonts w:cs="Times New Roman"/>
        </w:rPr>
        <w:t>Smith J.A. agreed that the flyers did not offend the prohibition at s.</w:t>
      </w:r>
      <w:r>
        <w:rPr>
          <w:rFonts w:cs="Times New Roman"/>
        </w:rPr>
        <w:t> </w:t>
      </w:r>
      <w:r w:rsidRPr="00804A2C">
        <w:rPr>
          <w:rFonts w:cs="Times New Roman"/>
        </w:rPr>
        <w:t>14(1</w:t>
      </w:r>
      <w:proofErr w:type="gramStart"/>
      <w:r w:rsidRPr="00804A2C">
        <w:rPr>
          <w:rFonts w:cs="Times New Roman"/>
        </w:rPr>
        <w:t>)(</w:t>
      </w:r>
      <w:proofErr w:type="gramEnd"/>
      <w:r w:rsidRPr="00857784">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against hate publications. She found it significant that it was the activity (a type of sexual conduct) rather than the individuals (those of same-sex orientation) to which the flyers were directed.  Questions of sexual morality, being linked to both public policy and individual autonomy, lay at the heart of protected speech.  She concluded that “where, on an objective interpretation, the impugned expression is essentially directed to disapprobation of same-sex sexual conduct in a context of comment on issues of public policy or sexual morality, its limitation is not justifiable in a free and democratic society” (</w:t>
      </w:r>
      <w:proofErr w:type="spellStart"/>
      <w:r w:rsidRPr="00804A2C">
        <w:rPr>
          <w:rFonts w:cs="Times New Roman"/>
        </w:rPr>
        <w:t>para</w:t>
      </w:r>
      <w:proofErr w:type="spellEnd"/>
      <w:r w:rsidRPr="00804A2C">
        <w:rPr>
          <w:rFonts w:cs="Times New Roman"/>
        </w:rPr>
        <w:t>. 138).</w:t>
      </w:r>
    </w:p>
    <w:p w:rsidR="00BB1957" w:rsidRPr="00804A2C" w:rsidRDefault="00BB1957" w:rsidP="00705716">
      <w:pPr>
        <w:pStyle w:val="TitleTitre-AltT"/>
        <w:tabs>
          <w:tab w:val="clear" w:pos="360"/>
          <w:tab w:val="left" w:pos="540"/>
        </w:tabs>
        <w:ind w:left="540" w:hanging="540"/>
        <w:rPr>
          <w:rFonts w:cs="Times New Roman"/>
        </w:rPr>
      </w:pPr>
      <w:bookmarkStart w:id="48" w:name="_Toc341686972"/>
      <w:bookmarkStart w:id="49" w:name="_Toc346006795"/>
      <w:bookmarkStart w:id="50" w:name="_Toc349051255"/>
      <w:bookmarkStart w:id="51" w:name="_Toc349051333"/>
      <w:bookmarkStart w:id="52" w:name="_Toc349306888"/>
      <w:bookmarkStart w:id="53" w:name="_Toc349638204"/>
      <w:bookmarkStart w:id="54" w:name="_Toc408212123"/>
      <w:r w:rsidRPr="00804A2C">
        <w:rPr>
          <w:rFonts w:cs="Times New Roman"/>
        </w:rPr>
        <w:t>V.</w:t>
      </w:r>
      <w:r w:rsidRPr="00804A2C">
        <w:rPr>
          <w:rFonts w:cs="Times New Roman"/>
        </w:rPr>
        <w:tab/>
      </w:r>
      <w:r w:rsidRPr="00804A2C">
        <w:rPr>
          <w:rFonts w:cs="Times New Roman"/>
          <w:u w:val="single"/>
        </w:rPr>
        <w:t>Issues</w:t>
      </w:r>
      <w:bookmarkEnd w:id="48"/>
      <w:bookmarkEnd w:id="49"/>
      <w:bookmarkEnd w:id="50"/>
      <w:bookmarkEnd w:id="51"/>
      <w:bookmarkEnd w:id="52"/>
      <w:bookmarkEnd w:id="53"/>
      <w:bookmarkEnd w:id="54"/>
    </w:p>
    <w:p w:rsidR="00BB1957" w:rsidRPr="00804A2C" w:rsidRDefault="00BB1957" w:rsidP="00BB1957">
      <w:pPr>
        <w:pStyle w:val="ParaNoNdepar-AltN"/>
        <w:rPr>
          <w:rFonts w:cs="Times New Roman"/>
        </w:rPr>
      </w:pPr>
      <w:r w:rsidRPr="00804A2C">
        <w:rPr>
          <w:rFonts w:cs="Times New Roman"/>
        </w:rPr>
        <w:t>The issues on appeal are whether s. 14(1</w:t>
      </w:r>
      <w:proofErr w:type="gramStart"/>
      <w:r w:rsidRPr="00804A2C">
        <w:rPr>
          <w:rFonts w:cs="Times New Roman"/>
        </w:rPr>
        <w:t>)(</w:t>
      </w:r>
      <w:proofErr w:type="gramEnd"/>
      <w:r w:rsidRPr="00857784">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infringes s. 2(</w:t>
      </w:r>
      <w:r w:rsidRPr="00804A2C">
        <w:rPr>
          <w:rFonts w:cs="Times New Roman"/>
          <w:i/>
        </w:rPr>
        <w:t>a</w:t>
      </w:r>
      <w:r w:rsidRPr="00804A2C">
        <w:rPr>
          <w:rFonts w:cs="Times New Roman"/>
        </w:rPr>
        <w:t>) and/or s. 2(</w:t>
      </w:r>
      <w:r w:rsidRPr="00804A2C">
        <w:rPr>
          <w:rFonts w:cs="Times New Roman"/>
          <w:i/>
        </w:rPr>
        <w:t>b</w:t>
      </w:r>
      <w:r w:rsidRPr="00804A2C">
        <w:rPr>
          <w:rFonts w:cs="Times New Roman"/>
        </w:rPr>
        <w:t xml:space="preserve">) of the </w:t>
      </w:r>
      <w:r w:rsidRPr="00804A2C">
        <w:rPr>
          <w:rFonts w:cs="Times New Roman"/>
          <w:i/>
        </w:rPr>
        <w:t>Charter</w:t>
      </w:r>
      <w:r w:rsidRPr="00804A2C">
        <w:rPr>
          <w:rFonts w:cs="Times New Roman"/>
        </w:rPr>
        <w:t xml:space="preserve"> and, if so, whether the infringement is demonstrably justified under s. 1 of the </w:t>
      </w:r>
      <w:r w:rsidRPr="00804A2C">
        <w:rPr>
          <w:rFonts w:cs="Times New Roman"/>
          <w:i/>
        </w:rPr>
        <w:t>Charter</w:t>
      </w:r>
      <w:r w:rsidRPr="00804A2C">
        <w:rPr>
          <w:rFonts w:cs="Times New Roman"/>
        </w:rPr>
        <w:t>. If s. 14(1</w:t>
      </w:r>
      <w:proofErr w:type="gramStart"/>
      <w:r w:rsidRPr="00804A2C">
        <w:rPr>
          <w:rFonts w:cs="Times New Roman"/>
        </w:rPr>
        <w:t>)(</w:t>
      </w:r>
      <w:proofErr w:type="gramEnd"/>
      <w:r w:rsidRPr="00857784">
        <w:rPr>
          <w:rFonts w:cs="Times New Roman"/>
        </w:rPr>
        <w:t>b</w:t>
      </w:r>
      <w:r w:rsidRPr="00804A2C">
        <w:rPr>
          <w:rFonts w:cs="Times New Roman"/>
        </w:rPr>
        <w:t xml:space="preserve">) is found to survive the constitutional challenge, the issue will be whether the Tribunal’s decision should have been upheld on appeal under s. 32(1) of the </w:t>
      </w:r>
      <w:r w:rsidRPr="00804A2C">
        <w:rPr>
          <w:rFonts w:cs="Times New Roman"/>
          <w:i/>
        </w:rPr>
        <w:t>Code</w:t>
      </w:r>
      <w:r w:rsidRPr="00804A2C">
        <w:rPr>
          <w:rFonts w:cs="Times New Roman"/>
        </w:rPr>
        <w:t>.</w:t>
      </w:r>
    </w:p>
    <w:p w:rsidR="00BB1957" w:rsidRPr="00804A2C" w:rsidRDefault="00BB1957" w:rsidP="00705716">
      <w:pPr>
        <w:pStyle w:val="TitleTitre-AltT"/>
        <w:tabs>
          <w:tab w:val="clear" w:pos="360"/>
          <w:tab w:val="left" w:pos="540"/>
        </w:tabs>
        <w:ind w:left="540" w:hanging="540"/>
        <w:rPr>
          <w:rFonts w:cs="Times New Roman"/>
        </w:rPr>
      </w:pPr>
      <w:bookmarkStart w:id="55" w:name="_Toc341432493"/>
      <w:bookmarkStart w:id="56" w:name="_Toc341686973"/>
      <w:bookmarkStart w:id="57" w:name="_Toc346006796"/>
      <w:bookmarkStart w:id="58" w:name="_Toc349051256"/>
      <w:bookmarkStart w:id="59" w:name="_Toc349051334"/>
      <w:bookmarkStart w:id="60" w:name="_Toc349306889"/>
      <w:bookmarkStart w:id="61" w:name="_Toc349638205"/>
      <w:bookmarkStart w:id="62" w:name="_Toc408212124"/>
      <w:r w:rsidRPr="00804A2C">
        <w:rPr>
          <w:rFonts w:cs="Times New Roman"/>
        </w:rPr>
        <w:t>VI.</w:t>
      </w:r>
      <w:r w:rsidRPr="00804A2C">
        <w:rPr>
          <w:rFonts w:cs="Times New Roman"/>
        </w:rPr>
        <w:tab/>
      </w:r>
      <w:r w:rsidRPr="00804A2C">
        <w:rPr>
          <w:rFonts w:cs="Times New Roman"/>
          <w:u w:val="single"/>
        </w:rPr>
        <w:t>The Definition of “Hatred”</w:t>
      </w:r>
      <w:bookmarkEnd w:id="55"/>
      <w:bookmarkEnd w:id="56"/>
      <w:bookmarkEnd w:id="57"/>
      <w:bookmarkEnd w:id="58"/>
      <w:bookmarkEnd w:id="59"/>
      <w:bookmarkEnd w:id="60"/>
      <w:bookmarkEnd w:id="61"/>
      <w:bookmarkEnd w:id="62"/>
    </w:p>
    <w:p w:rsidR="00BB1957" w:rsidRPr="00804A2C" w:rsidRDefault="00BB1957" w:rsidP="00BB1957">
      <w:pPr>
        <w:pStyle w:val="ParaNoNdepar-AltN"/>
        <w:rPr>
          <w:rFonts w:cs="Times New Roman"/>
          <w:i/>
        </w:rPr>
      </w:pPr>
      <w:r w:rsidRPr="00804A2C">
        <w:rPr>
          <w:rFonts w:eastAsiaTheme="minorHAnsi" w:cs="Times New Roman"/>
        </w:rPr>
        <w:t xml:space="preserve">The Saskatchewan courts have consistently followed the approach to defining “hatred” set out in </w:t>
      </w:r>
      <w:r w:rsidRPr="00804A2C">
        <w:rPr>
          <w:rFonts w:eastAsiaTheme="minorHAnsi" w:cs="Times New Roman"/>
          <w:i/>
        </w:rPr>
        <w:t>Taylor</w:t>
      </w:r>
      <w:r w:rsidRPr="00804A2C">
        <w:rPr>
          <w:rFonts w:eastAsiaTheme="minorHAnsi" w:cs="Times New Roman"/>
        </w:rPr>
        <w:t xml:space="preserve"> when interpreting and applying s.</w:t>
      </w:r>
      <w:r w:rsidRPr="00804A2C">
        <w:rPr>
          <w:rFonts w:cs="Times New Roman"/>
        </w:rPr>
        <w:t xml:space="preserve"> 14(1</w:t>
      </w:r>
      <w:proofErr w:type="gramStart"/>
      <w:r w:rsidRPr="00804A2C">
        <w:rPr>
          <w:rFonts w:cs="Times New Roman"/>
        </w:rPr>
        <w:t>)(</w:t>
      </w:r>
      <w:proofErr w:type="gramEnd"/>
      <w:r w:rsidRPr="00857784">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Before embarking on a constitutional analysis of that provision, it will be useful to consider the </w:t>
      </w:r>
      <w:r w:rsidRPr="00804A2C">
        <w:rPr>
          <w:rFonts w:cs="Times New Roman"/>
          <w:i/>
        </w:rPr>
        <w:t xml:space="preserve">Taylor </w:t>
      </w:r>
      <w:r w:rsidRPr="00804A2C">
        <w:rPr>
          <w:rFonts w:cs="Times New Roman"/>
        </w:rPr>
        <w:t>definition of “hatred” and whether, in light of the criticisms of it, the definition should be rejected or modified.</w:t>
      </w:r>
    </w:p>
    <w:p w:rsidR="00BB1957" w:rsidRPr="00804A2C" w:rsidRDefault="00BB1957" w:rsidP="00705716">
      <w:pPr>
        <w:pStyle w:val="TitleTitre-AltT"/>
        <w:tabs>
          <w:tab w:val="clear" w:pos="360"/>
          <w:tab w:val="left" w:pos="540"/>
        </w:tabs>
        <w:ind w:left="540" w:hanging="540"/>
        <w:rPr>
          <w:rFonts w:cs="Times New Roman"/>
        </w:rPr>
      </w:pPr>
      <w:bookmarkStart w:id="63" w:name="_Toc341432494"/>
      <w:bookmarkStart w:id="64" w:name="_Toc341686974"/>
      <w:bookmarkStart w:id="65" w:name="_Toc346006797"/>
      <w:bookmarkStart w:id="66" w:name="_Toc349051257"/>
      <w:bookmarkStart w:id="67" w:name="_Toc349051335"/>
      <w:bookmarkStart w:id="68" w:name="_Toc349306890"/>
      <w:bookmarkStart w:id="69" w:name="_Toc349638206"/>
      <w:bookmarkStart w:id="70" w:name="_Toc408212125"/>
      <w:r w:rsidRPr="00804A2C">
        <w:rPr>
          <w:rFonts w:cs="Times New Roman"/>
        </w:rPr>
        <w:t>A.</w:t>
      </w:r>
      <w:r w:rsidRPr="00804A2C">
        <w:rPr>
          <w:rFonts w:cs="Times New Roman"/>
        </w:rPr>
        <w:tab/>
      </w:r>
      <w:r w:rsidRPr="00804A2C">
        <w:rPr>
          <w:rFonts w:cs="Times New Roman"/>
          <w:i/>
        </w:rPr>
        <w:t>Summary of the Decision in</w:t>
      </w:r>
      <w:r w:rsidRPr="00804A2C">
        <w:rPr>
          <w:rFonts w:cs="Times New Roman"/>
        </w:rPr>
        <w:t xml:space="preserve"> </w:t>
      </w:r>
      <w:r w:rsidRPr="00804A2C">
        <w:rPr>
          <w:rFonts w:cs="Times New Roman"/>
          <w:i/>
        </w:rPr>
        <w:t>Canada</w:t>
      </w:r>
      <w:r w:rsidRPr="00804A2C">
        <w:rPr>
          <w:rFonts w:cs="Times New Roman"/>
        </w:rPr>
        <w:t xml:space="preserve"> </w:t>
      </w:r>
      <w:r w:rsidRPr="00804A2C">
        <w:rPr>
          <w:rFonts w:cs="Times New Roman"/>
          <w:i/>
        </w:rPr>
        <w:t>(Human Rights Commission) v. Taylor</w:t>
      </w:r>
      <w:bookmarkEnd w:id="63"/>
      <w:bookmarkEnd w:id="64"/>
      <w:bookmarkEnd w:id="65"/>
      <w:bookmarkEnd w:id="66"/>
      <w:bookmarkEnd w:id="67"/>
      <w:bookmarkEnd w:id="68"/>
      <w:bookmarkEnd w:id="69"/>
      <w:bookmarkEnd w:id="70"/>
    </w:p>
    <w:p w:rsidR="00BB1957" w:rsidRPr="00804A2C" w:rsidRDefault="00BB1957" w:rsidP="00BB1957">
      <w:pPr>
        <w:pStyle w:val="ParaNoNdepar-AltN"/>
        <w:rPr>
          <w:rFonts w:cs="Times New Roman"/>
        </w:rPr>
      </w:pPr>
      <w:r w:rsidRPr="00804A2C">
        <w:rPr>
          <w:rFonts w:cs="Times New Roman"/>
          <w:i/>
        </w:rPr>
        <w:t>Taylor</w:t>
      </w:r>
      <w:r w:rsidRPr="00804A2C">
        <w:rPr>
          <w:rFonts w:cs="Times New Roman"/>
        </w:rPr>
        <w:t xml:space="preserve"> was part of a trilogy of hate speech cases considered by this Court in 1990, along with </w:t>
      </w:r>
      <w:proofErr w:type="spellStart"/>
      <w:r w:rsidRPr="00804A2C">
        <w:rPr>
          <w:rFonts w:cs="Times New Roman"/>
          <w:i/>
        </w:rPr>
        <w:t>Keegstra</w:t>
      </w:r>
      <w:proofErr w:type="spellEnd"/>
      <w:r w:rsidRPr="00804A2C">
        <w:rPr>
          <w:rFonts w:cs="Times New Roman"/>
        </w:rPr>
        <w:t xml:space="preserve"> and </w:t>
      </w:r>
      <w:r w:rsidRPr="00804A2C">
        <w:rPr>
          <w:rFonts w:cs="Times New Roman"/>
          <w:i/>
        </w:rPr>
        <w:t>Andrews</w:t>
      </w:r>
      <w:r w:rsidRPr="00804A2C">
        <w:rPr>
          <w:rFonts w:cs="Times New Roman"/>
        </w:rPr>
        <w:t xml:space="preserve">. </w:t>
      </w:r>
      <w:r w:rsidRPr="00804A2C">
        <w:rPr>
          <w:rFonts w:cs="Times New Roman"/>
          <w:szCs w:val="24"/>
        </w:rPr>
        <w:t>T</w:t>
      </w:r>
      <w:r w:rsidRPr="00804A2C">
        <w:rPr>
          <w:rFonts w:cs="Times New Roman"/>
        </w:rPr>
        <w:t xml:space="preserve">he main issue facing the Court in those cases was whether s. 13(1) of the </w:t>
      </w:r>
      <w:r w:rsidRPr="00804A2C">
        <w:rPr>
          <w:rFonts w:cs="Times New Roman"/>
          <w:i/>
        </w:rPr>
        <w:t>Canadian Human Rights Act</w:t>
      </w:r>
      <w:r w:rsidRPr="00804A2C">
        <w:rPr>
          <w:rFonts w:cs="Times New Roman"/>
        </w:rPr>
        <w:t>, S.C. 1976-77, c. 33 (“</w:t>
      </w:r>
      <w:r w:rsidRPr="00804A2C">
        <w:rPr>
          <w:rFonts w:cs="Times New Roman"/>
          <w:i/>
        </w:rPr>
        <w:t>CHRA</w:t>
      </w:r>
      <w:r w:rsidRPr="00804A2C">
        <w:rPr>
          <w:rFonts w:cs="Times New Roman"/>
        </w:rPr>
        <w:t>”)</w:t>
      </w:r>
      <w:r w:rsidR="00705716">
        <w:rPr>
          <w:rFonts w:cs="Times New Roman"/>
        </w:rPr>
        <w:t xml:space="preserve"> (now R.S.C.</w:t>
      </w:r>
      <w:r w:rsidR="00857784">
        <w:rPr>
          <w:rFonts w:cs="Times New Roman"/>
        </w:rPr>
        <w:t xml:space="preserve"> 1985, c. H-6)</w:t>
      </w:r>
      <w:r w:rsidRPr="00804A2C">
        <w:rPr>
          <w:rFonts w:cs="Times New Roman"/>
        </w:rPr>
        <w:t>, violated freedom of expression guaranteed under s. 2(</w:t>
      </w:r>
      <w:r w:rsidRPr="00804A2C">
        <w:rPr>
          <w:rFonts w:cs="Times New Roman"/>
          <w:i/>
        </w:rPr>
        <w:t>b</w:t>
      </w:r>
      <w:r w:rsidRPr="00804A2C">
        <w:rPr>
          <w:rFonts w:cs="Times New Roman"/>
        </w:rPr>
        <w:t xml:space="preserve">) of the </w:t>
      </w:r>
      <w:r w:rsidRPr="00804A2C">
        <w:rPr>
          <w:rFonts w:cs="Times New Roman"/>
          <w:i/>
        </w:rPr>
        <w:t>Charter</w:t>
      </w:r>
      <w:r w:rsidRPr="00804A2C">
        <w:rPr>
          <w:rFonts w:cs="Times New Roman"/>
        </w:rPr>
        <w:t xml:space="preserve">, by restricting telephonic communications of matters likely to expose persons who are identifiable on the basis of a prohibited ground of discrimination, to </w:t>
      </w:r>
      <w:r w:rsidRPr="00804A2C">
        <w:rPr>
          <w:rFonts w:cs="Times New Roman"/>
          <w:i/>
        </w:rPr>
        <w:t>hatred or contempt</w:t>
      </w:r>
      <w:r w:rsidRPr="00804A2C">
        <w:rPr>
          <w:rFonts w:cs="Times New Roman"/>
        </w:rPr>
        <w:t xml:space="preserve">. The case arose from complaints regarding a telephone message service offering pre-recorded messages alleging, </w:t>
      </w:r>
      <w:r w:rsidRPr="00804A2C">
        <w:rPr>
          <w:rFonts w:cs="Times New Roman"/>
          <w:i/>
        </w:rPr>
        <w:t>inter alia</w:t>
      </w:r>
      <w:r w:rsidRPr="00804A2C">
        <w:rPr>
          <w:rFonts w:cs="Times New Roman"/>
        </w:rPr>
        <w:t>, a conspiracy by Jews to control Canadian society.</w:t>
      </w:r>
    </w:p>
    <w:p w:rsidR="00BB1957" w:rsidRPr="00804A2C" w:rsidRDefault="00BB1957" w:rsidP="00BB1957">
      <w:pPr>
        <w:pStyle w:val="ParaNoNdepar-AltN"/>
        <w:rPr>
          <w:rFonts w:cs="Times New Roman"/>
        </w:rPr>
      </w:pPr>
      <w:r w:rsidRPr="00804A2C">
        <w:rPr>
          <w:rFonts w:cs="Times New Roman"/>
        </w:rPr>
        <w:t xml:space="preserve">Dickson C.J., writing for the majority, held that Mr. Taylor’s freedom of expression was breached by s. 13(1) of the </w:t>
      </w:r>
      <w:r w:rsidRPr="00804A2C">
        <w:rPr>
          <w:rFonts w:cs="Times New Roman"/>
          <w:i/>
        </w:rPr>
        <w:t>CHRA</w:t>
      </w:r>
      <w:r w:rsidRPr="00804A2C">
        <w:rPr>
          <w:rFonts w:cs="Times New Roman"/>
        </w:rPr>
        <w:t>. However, the infringement was justified under s. 1</w:t>
      </w:r>
      <w:r w:rsidR="00F77128">
        <w:rPr>
          <w:rFonts w:cs="Times New Roman"/>
        </w:rPr>
        <w:t xml:space="preserve"> of the </w:t>
      </w:r>
      <w:r w:rsidR="00F77128">
        <w:rPr>
          <w:rFonts w:cs="Times New Roman"/>
          <w:i/>
        </w:rPr>
        <w:t>Charter</w:t>
      </w:r>
      <w:r w:rsidRPr="00804A2C">
        <w:rPr>
          <w:rFonts w:cs="Times New Roman"/>
        </w:rPr>
        <w:t>.</w:t>
      </w:r>
    </w:p>
    <w:p w:rsidR="00BB1957" w:rsidRPr="00804A2C" w:rsidRDefault="00BB1957" w:rsidP="00BB1957">
      <w:pPr>
        <w:pStyle w:val="ParaNoNdepar-AltN"/>
        <w:rPr>
          <w:rFonts w:cs="Times New Roman"/>
        </w:rPr>
      </w:pPr>
      <w:r w:rsidRPr="00804A2C">
        <w:rPr>
          <w:rFonts w:cs="Times New Roman"/>
        </w:rPr>
        <w:t xml:space="preserve">He found that s. 13(1) was a limitation “prescribed by law” (p. 916) and that Parliament’s objective behind s. 13(1) (preventing the harms caused by hate propaganda) was of pressing and substantial importance sufficient to justify some limitation on freedom of expression.  Dickson C.J. also reiterated his comment in </w:t>
      </w:r>
      <w:proofErr w:type="spellStart"/>
      <w:r w:rsidRPr="00804A2C">
        <w:rPr>
          <w:rFonts w:cs="Times New Roman"/>
          <w:i/>
        </w:rPr>
        <w:t>Keegstra</w:t>
      </w:r>
      <w:proofErr w:type="spellEnd"/>
      <w:r w:rsidRPr="00804A2C">
        <w:rPr>
          <w:rFonts w:cs="Times New Roman"/>
        </w:rPr>
        <w:t xml:space="preserve"> (at p. 766) that, contextually, hate propaganda strays some distance from the spirit of s. 2(</w:t>
      </w:r>
      <w:r w:rsidRPr="00804A2C">
        <w:rPr>
          <w:rFonts w:cs="Times New Roman"/>
          <w:i/>
        </w:rPr>
        <w:t>b</w:t>
      </w:r>
      <w:r w:rsidRPr="00804A2C">
        <w:rPr>
          <w:rFonts w:cs="Times New Roman"/>
        </w:rPr>
        <w:t xml:space="preserve">) of the </w:t>
      </w:r>
      <w:r w:rsidRPr="00804A2C">
        <w:rPr>
          <w:rFonts w:cs="Times New Roman"/>
          <w:i/>
        </w:rPr>
        <w:t>Charter</w:t>
      </w:r>
      <w:r w:rsidRPr="00804A2C">
        <w:rPr>
          <w:rFonts w:cs="Times New Roman"/>
        </w:rPr>
        <w:t>, and reconfirmed that its suppression does not severely curtail the values underlying freedom of expression. He reasoned that, when conjoined with the remedial provisions of the</w:t>
      </w:r>
      <w:r w:rsidRPr="00804A2C">
        <w:rPr>
          <w:rFonts w:cs="Times New Roman"/>
          <w:i/>
        </w:rPr>
        <w:t xml:space="preserve"> CHRA</w:t>
      </w:r>
      <w:r w:rsidRPr="00804A2C">
        <w:rPr>
          <w:rFonts w:cs="Times New Roman"/>
        </w:rPr>
        <w:t>, s. 13(1) operates to suppress hate propaganda and its harmful effects, and is thereby rationally connected to Parliament’s objective. He rejected the argument that there could be no rational connection</w:t>
      </w:r>
      <w:r w:rsidRPr="00804A2C">
        <w:rPr>
          <w:rFonts w:cs="Times New Roman"/>
          <w:i/>
        </w:rPr>
        <w:t xml:space="preserve"> </w:t>
      </w:r>
      <w:r w:rsidRPr="00804A2C">
        <w:rPr>
          <w:rFonts w:cs="Times New Roman"/>
        </w:rPr>
        <w:t>because it was questionable whether s. 13(1) actually reduces the incidence of hate</w:t>
      </w:r>
      <w:r w:rsidRPr="00804A2C">
        <w:rPr>
          <w:rFonts w:cs="Times New Roman"/>
          <w:i/>
        </w:rPr>
        <w:t xml:space="preserve"> </w:t>
      </w:r>
      <w:r w:rsidRPr="00804A2C">
        <w:rPr>
          <w:rFonts w:cs="Times New Roman"/>
        </w:rPr>
        <w:t>propaganda.  In Dickson C.J.’s view, the process of hearing a complaint and, if substantiated, issuing a cease and desist order, “reminds Canadians of our fundamental commitment to equality of opportunity and the eradication of racial and religious intolerance” (p. 924).</w:t>
      </w:r>
    </w:p>
    <w:p w:rsidR="00BB1957" w:rsidRPr="00804A2C" w:rsidRDefault="00BB1957" w:rsidP="00BB1957">
      <w:pPr>
        <w:pStyle w:val="ParaNoNdepar-AltN"/>
        <w:rPr>
          <w:rFonts w:cs="Times New Roman"/>
        </w:rPr>
      </w:pPr>
      <w:r w:rsidRPr="00804A2C">
        <w:rPr>
          <w:rFonts w:cs="Times New Roman"/>
        </w:rPr>
        <w:t>In assessing whether s. 13(1) minimally impairs freedom of expression, Dickson C.J. rejected the submission that it was overbroad and excessively vague.  In his view, there was no conflict between providing a meaningful interpretation of s.</w:t>
      </w:r>
      <w:r>
        <w:rPr>
          <w:rFonts w:cs="Times New Roman"/>
        </w:rPr>
        <w:t> </w:t>
      </w:r>
      <w:r w:rsidRPr="00804A2C">
        <w:rPr>
          <w:rFonts w:cs="Times New Roman"/>
        </w:rPr>
        <w:t>13(1) and protecting freedom of expression “so long as the interpretation of the words ‘hatred’ and ‘contempt’ is fully informed by an awareness that Parliament’s objective is to protect the equality and dignity of all individuals by reducing the incidence of harm-causing expression” (p. 927).  Dickson C.J. concluded that s. 13(1) “</w:t>
      </w:r>
      <w:r w:rsidRPr="00804A2C">
        <w:rPr>
          <w:rFonts w:cs="Times New Roman"/>
          <w:u w:val="single"/>
        </w:rPr>
        <w:t>refers to unusually strong and deep-felt emotions of detestation, calumny and vilification</w:t>
      </w:r>
      <w:r w:rsidRPr="00804A2C">
        <w:rPr>
          <w:rFonts w:cs="Times New Roman"/>
        </w:rPr>
        <w:t>” (p. 928 (emphasis added)).  In his view, as long as tribunals required the ardent and extreme nature of feeling described by “hatred or contempt”, there was “little danger that subjective opinion as to offensiveness will supplant the proper meaning of the section” (p. 929).</w:t>
      </w:r>
    </w:p>
    <w:p w:rsidR="00BB1957" w:rsidRPr="00804A2C" w:rsidRDefault="00BB1957" w:rsidP="00BB1957">
      <w:pPr>
        <w:pStyle w:val="ParaNoNdepar-AltN"/>
        <w:rPr>
          <w:rFonts w:cs="Times New Roman"/>
        </w:rPr>
      </w:pPr>
      <w:r w:rsidRPr="00804A2C">
        <w:rPr>
          <w:rFonts w:cs="Times New Roman"/>
        </w:rPr>
        <w:t>Finally, Dickson C.J. concluded that the effects of s. 13(1) on freedom of expression were not so deleterious as to make it an unacceptable abridgement of freedom of expression. The Court held that, although s. 13(1) infringed s. 2(</w:t>
      </w:r>
      <w:r w:rsidRPr="00804A2C">
        <w:rPr>
          <w:rFonts w:cs="Times New Roman"/>
          <w:i/>
        </w:rPr>
        <w:t>b</w:t>
      </w:r>
      <w:r w:rsidRPr="00804A2C">
        <w:rPr>
          <w:rFonts w:cs="Times New Roman"/>
        </w:rPr>
        <w:t xml:space="preserve">) of the </w:t>
      </w:r>
      <w:r w:rsidRPr="00804A2C">
        <w:rPr>
          <w:rFonts w:cs="Times New Roman"/>
          <w:i/>
        </w:rPr>
        <w:t>Charter</w:t>
      </w:r>
      <w:r w:rsidRPr="00804A2C">
        <w:rPr>
          <w:rFonts w:cs="Times New Roman"/>
        </w:rPr>
        <w:t>, it was justified under s. 1 as an infringement justifiable in a free and democratic society.</w:t>
      </w:r>
    </w:p>
    <w:p w:rsidR="00BB1957" w:rsidRPr="00804A2C" w:rsidRDefault="00BB1957" w:rsidP="00705716">
      <w:pPr>
        <w:pStyle w:val="TitleTitre-AltT"/>
        <w:tabs>
          <w:tab w:val="clear" w:pos="360"/>
          <w:tab w:val="left" w:pos="540"/>
        </w:tabs>
        <w:ind w:left="540" w:hanging="540"/>
        <w:rPr>
          <w:rFonts w:cs="Times New Roman"/>
        </w:rPr>
      </w:pPr>
      <w:bookmarkStart w:id="71" w:name="_Toc341432495"/>
      <w:bookmarkStart w:id="72" w:name="_Toc341686975"/>
      <w:bookmarkStart w:id="73" w:name="_Toc346006798"/>
      <w:bookmarkStart w:id="74" w:name="_Toc349051258"/>
      <w:bookmarkStart w:id="75" w:name="_Toc349051336"/>
      <w:bookmarkStart w:id="76" w:name="_Toc349306891"/>
      <w:bookmarkStart w:id="77" w:name="_Toc349638207"/>
      <w:bookmarkStart w:id="78" w:name="_Toc408212126"/>
      <w:r w:rsidRPr="00804A2C">
        <w:rPr>
          <w:rFonts w:cs="Times New Roman"/>
        </w:rPr>
        <w:t>B.</w:t>
      </w:r>
      <w:r w:rsidRPr="00804A2C">
        <w:rPr>
          <w:rFonts w:cs="Times New Roman"/>
        </w:rPr>
        <w:tab/>
      </w:r>
      <w:r w:rsidRPr="00804A2C">
        <w:rPr>
          <w:rFonts w:cs="Times New Roman"/>
          <w:i/>
        </w:rPr>
        <w:t>Criticisms of the Taylor Definition of Hatred</w:t>
      </w:r>
      <w:bookmarkEnd w:id="71"/>
      <w:bookmarkEnd w:id="72"/>
      <w:bookmarkEnd w:id="73"/>
      <w:bookmarkEnd w:id="74"/>
      <w:bookmarkEnd w:id="75"/>
      <w:bookmarkEnd w:id="76"/>
      <w:bookmarkEnd w:id="77"/>
      <w:bookmarkEnd w:id="78"/>
    </w:p>
    <w:p w:rsidR="00BB1957" w:rsidRPr="00804A2C" w:rsidRDefault="00BB1957" w:rsidP="00BB1957">
      <w:pPr>
        <w:pStyle w:val="ParaNoNdepar-AltN"/>
        <w:rPr>
          <w:rFonts w:cs="Times New Roman"/>
        </w:rPr>
      </w:pPr>
      <w:r w:rsidRPr="00804A2C">
        <w:rPr>
          <w:rFonts w:cs="Times New Roman"/>
        </w:rPr>
        <w:t xml:space="preserve">The conclusion in </w:t>
      </w:r>
      <w:r w:rsidRPr="00804A2C">
        <w:rPr>
          <w:rFonts w:cs="Times New Roman"/>
          <w:i/>
        </w:rPr>
        <w:t>Taylor</w:t>
      </w:r>
      <w:r w:rsidRPr="00804A2C">
        <w:rPr>
          <w:rFonts w:cs="Times New Roman"/>
        </w:rPr>
        <w:t xml:space="preserve"> about legislation similar to what is at issue in this case is not, however, determinative.  Mr. </w:t>
      </w:r>
      <w:proofErr w:type="spellStart"/>
      <w:r w:rsidRPr="00804A2C">
        <w:rPr>
          <w:rFonts w:cs="Times New Roman"/>
        </w:rPr>
        <w:t>Whatcott</w:t>
      </w:r>
      <w:proofErr w:type="spellEnd"/>
      <w:r w:rsidRPr="00804A2C">
        <w:rPr>
          <w:rFonts w:cs="Times New Roman"/>
        </w:rPr>
        <w:t xml:space="preserve"> challenges the constitutionality of a different legislative provision, interpreted and applied over </w:t>
      </w:r>
      <w:r w:rsidR="00F77128">
        <w:rPr>
          <w:rFonts w:cs="Times New Roman"/>
        </w:rPr>
        <w:t xml:space="preserve">20 </w:t>
      </w:r>
      <w:r w:rsidRPr="00804A2C">
        <w:rPr>
          <w:rFonts w:cs="Times New Roman"/>
        </w:rPr>
        <w:t>years later, and in the context of a different prohibited ground.</w:t>
      </w:r>
    </w:p>
    <w:p w:rsidR="00BB1957" w:rsidRPr="00804A2C" w:rsidRDefault="00BB1957" w:rsidP="00BB1957">
      <w:pPr>
        <w:pStyle w:val="ParaNoNdepar-AltN"/>
        <w:rPr>
          <w:rFonts w:cs="Times New Roman"/>
        </w:rPr>
      </w:pPr>
      <w:r w:rsidRPr="00804A2C">
        <w:rPr>
          <w:rFonts w:cs="Times New Roman"/>
        </w:rPr>
        <w:t xml:space="preserve">Mr. </w:t>
      </w:r>
      <w:proofErr w:type="spellStart"/>
      <w:r w:rsidRPr="00804A2C">
        <w:rPr>
          <w:rFonts w:cs="Times New Roman"/>
        </w:rPr>
        <w:t>Whatcott</w:t>
      </w:r>
      <w:proofErr w:type="spellEnd"/>
      <w:r w:rsidRPr="00804A2C">
        <w:rPr>
          <w:rFonts w:cs="Times New Roman"/>
        </w:rPr>
        <w:t xml:space="preserve"> and some interveners argue that there are a number of problems with the </w:t>
      </w:r>
      <w:r w:rsidRPr="00804A2C">
        <w:rPr>
          <w:rFonts w:cs="Times New Roman"/>
          <w:i/>
        </w:rPr>
        <w:t xml:space="preserve">Taylor </w:t>
      </w:r>
      <w:r w:rsidRPr="00804A2C">
        <w:rPr>
          <w:rFonts w:cs="Times New Roman"/>
        </w:rPr>
        <w:t xml:space="preserve">interpretation of “hatred” and with prohibiting hate speech generally.  The criticisms tend to fall within two general categories, relating to either subjectivity or </w:t>
      </w:r>
      <w:proofErr w:type="spellStart"/>
      <w:r w:rsidRPr="00804A2C">
        <w:rPr>
          <w:rFonts w:cs="Times New Roman"/>
        </w:rPr>
        <w:t>overbreadth</w:t>
      </w:r>
      <w:proofErr w:type="spellEnd"/>
      <w:r w:rsidRPr="00804A2C">
        <w:rPr>
          <w:rFonts w:cs="Times New Roman"/>
        </w:rPr>
        <w:t>.  Criticisms concerning subjectivity are that the definition</w:t>
      </w:r>
    </w:p>
    <w:p w:rsidR="00BB1957" w:rsidRPr="00804A2C" w:rsidRDefault="00BB1957" w:rsidP="00A86D4C">
      <w:pPr>
        <w:pStyle w:val="Citation-AltC"/>
        <w:numPr>
          <w:ilvl w:val="0"/>
          <w:numId w:val="41"/>
        </w:numPr>
        <w:spacing w:line="480" w:lineRule="auto"/>
        <w:ind w:left="720" w:hanging="720"/>
      </w:pPr>
      <w:r w:rsidRPr="00804A2C">
        <w:t xml:space="preserve">leads to arbitrary and inconsistent results because it captures expression that an arbitrator or judge subjectively finds offensive or repugnant; </w:t>
      </w:r>
    </w:p>
    <w:p w:rsidR="00BB1957" w:rsidRPr="00804A2C" w:rsidRDefault="00BB1957" w:rsidP="00BB1957">
      <w:pPr>
        <w:pStyle w:val="Citation-AltC"/>
        <w:spacing w:line="480" w:lineRule="auto"/>
        <w:ind w:left="1800" w:hanging="360"/>
      </w:pPr>
    </w:p>
    <w:p w:rsidR="00BB1957" w:rsidRPr="00804A2C" w:rsidRDefault="00BB1957" w:rsidP="00A86D4C">
      <w:pPr>
        <w:pStyle w:val="Citation-AltC"/>
        <w:numPr>
          <w:ilvl w:val="0"/>
          <w:numId w:val="41"/>
        </w:numPr>
        <w:spacing w:line="480" w:lineRule="auto"/>
        <w:ind w:left="720" w:hanging="720"/>
      </w:pPr>
      <w:r w:rsidRPr="00804A2C">
        <w:t>is a vague, emotive concept that is inherently subjective and unworkable; and</w:t>
      </w:r>
    </w:p>
    <w:p w:rsidR="00BB1957" w:rsidRPr="00804A2C" w:rsidRDefault="00BB1957" w:rsidP="00BB1957">
      <w:pPr>
        <w:pStyle w:val="Citation-AltC"/>
        <w:spacing w:line="480" w:lineRule="auto"/>
        <w:ind w:left="1800" w:hanging="360"/>
      </w:pPr>
    </w:p>
    <w:p w:rsidR="00BB1957" w:rsidRPr="00804A2C" w:rsidRDefault="00BB1957" w:rsidP="00A86D4C">
      <w:pPr>
        <w:pStyle w:val="Citation-AltC"/>
        <w:numPr>
          <w:ilvl w:val="0"/>
          <w:numId w:val="41"/>
        </w:numPr>
        <w:spacing w:line="480" w:lineRule="auto"/>
        <w:ind w:left="720" w:hanging="720"/>
      </w:pPr>
      <w:proofErr w:type="gramStart"/>
      <w:r w:rsidRPr="00804A2C">
        <w:t>infringes</w:t>
      </w:r>
      <w:proofErr w:type="gramEnd"/>
      <w:r w:rsidRPr="00804A2C">
        <w:t xml:space="preserve"> freedom of expression in irrational ways not tied to the legislative objectives.</w:t>
      </w:r>
    </w:p>
    <w:p w:rsidR="00BB1957" w:rsidRPr="00804A2C" w:rsidRDefault="00BB1957" w:rsidP="00BB1957">
      <w:pPr>
        <w:pStyle w:val="ParaNoNdepar-AltN"/>
        <w:rPr>
          <w:rFonts w:cs="Times New Roman"/>
        </w:rPr>
      </w:pPr>
      <w:r w:rsidRPr="00804A2C">
        <w:rPr>
          <w:rFonts w:cs="Times New Roman"/>
        </w:rPr>
        <w:t xml:space="preserve">Criticisms relating to </w:t>
      </w:r>
      <w:proofErr w:type="spellStart"/>
      <w:r w:rsidRPr="00804A2C">
        <w:rPr>
          <w:rFonts w:cs="Times New Roman"/>
        </w:rPr>
        <w:t>overbreadth</w:t>
      </w:r>
      <w:proofErr w:type="spellEnd"/>
      <w:r w:rsidRPr="00804A2C">
        <w:rPr>
          <w:rFonts w:cs="Times New Roman"/>
        </w:rPr>
        <w:t xml:space="preserve"> are that the definition or a particular legislative prohibition</w:t>
      </w:r>
    </w:p>
    <w:p w:rsidR="00BB1957" w:rsidRPr="00804A2C" w:rsidRDefault="00BB1957" w:rsidP="00A86D4C">
      <w:pPr>
        <w:pStyle w:val="Citation-AltC"/>
        <w:numPr>
          <w:ilvl w:val="4"/>
          <w:numId w:val="49"/>
        </w:numPr>
        <w:spacing w:line="480" w:lineRule="auto"/>
        <w:ind w:left="720" w:hanging="720"/>
      </w:pPr>
      <w:r w:rsidRPr="00804A2C">
        <w:t>is overreaching and captures more expression than is intended or necessary;</w:t>
      </w:r>
    </w:p>
    <w:p w:rsidR="00BB1957" w:rsidRPr="00804A2C" w:rsidRDefault="00BB1957" w:rsidP="00BB1957">
      <w:pPr>
        <w:pStyle w:val="Citation-AltC"/>
        <w:spacing w:line="480" w:lineRule="auto"/>
        <w:ind w:left="1800"/>
      </w:pPr>
    </w:p>
    <w:p w:rsidR="00BB1957" w:rsidRPr="00804A2C" w:rsidRDefault="00BB1957" w:rsidP="00A86D4C">
      <w:pPr>
        <w:pStyle w:val="Citation-AltC"/>
        <w:numPr>
          <w:ilvl w:val="4"/>
          <w:numId w:val="49"/>
        </w:numPr>
        <w:spacing w:line="480" w:lineRule="auto"/>
        <w:ind w:left="720" w:hanging="720"/>
      </w:pPr>
      <w:r w:rsidRPr="00804A2C">
        <w:t>has a chilling effect on public debate, religious expression and media coverage of issues about moral conduct and social policy;</w:t>
      </w:r>
    </w:p>
    <w:p w:rsidR="00BB1957" w:rsidRPr="00804A2C" w:rsidRDefault="00BB1957" w:rsidP="00BB1957">
      <w:pPr>
        <w:pStyle w:val="Citation-AltC"/>
        <w:spacing w:line="480" w:lineRule="auto"/>
        <w:ind w:left="1800"/>
      </w:pPr>
    </w:p>
    <w:p w:rsidR="00BB1957" w:rsidRPr="00804A2C" w:rsidRDefault="00BB1957" w:rsidP="00A86D4C">
      <w:pPr>
        <w:pStyle w:val="Citation-AltC"/>
        <w:numPr>
          <w:ilvl w:val="4"/>
          <w:numId w:val="49"/>
        </w:numPr>
        <w:spacing w:line="480" w:lineRule="auto"/>
        <w:ind w:left="720" w:hanging="720"/>
      </w:pPr>
      <w:r w:rsidRPr="00804A2C">
        <w:t>does not give legislative priority to freedom of expression;</w:t>
      </w:r>
    </w:p>
    <w:p w:rsidR="00BB1957" w:rsidRPr="00804A2C" w:rsidRDefault="00BB1957" w:rsidP="00BB1957">
      <w:pPr>
        <w:pStyle w:val="Citation-AltC"/>
        <w:spacing w:line="480" w:lineRule="auto"/>
        <w:ind w:left="1800"/>
      </w:pPr>
    </w:p>
    <w:p w:rsidR="00BB1957" w:rsidRPr="00804A2C" w:rsidRDefault="00BB1957" w:rsidP="00A86D4C">
      <w:pPr>
        <w:pStyle w:val="Citation-AltC"/>
        <w:numPr>
          <w:ilvl w:val="4"/>
          <w:numId w:val="49"/>
        </w:numPr>
        <w:spacing w:line="480" w:lineRule="auto"/>
        <w:ind w:left="720" w:hanging="720"/>
      </w:pPr>
      <w:r w:rsidRPr="00804A2C">
        <w:t>restricts private communications;</w:t>
      </w:r>
    </w:p>
    <w:p w:rsidR="00BB1957" w:rsidRPr="00804A2C" w:rsidRDefault="00BB1957" w:rsidP="00BB1957">
      <w:pPr>
        <w:pStyle w:val="Citation-AltC"/>
        <w:spacing w:line="480" w:lineRule="auto"/>
        <w:ind w:left="1800"/>
      </w:pPr>
    </w:p>
    <w:p w:rsidR="00BB1957" w:rsidRPr="00804A2C" w:rsidRDefault="00BB1957" w:rsidP="00A86D4C">
      <w:pPr>
        <w:pStyle w:val="Citation-AltC"/>
        <w:numPr>
          <w:ilvl w:val="4"/>
          <w:numId w:val="49"/>
        </w:numPr>
        <w:spacing w:line="480" w:lineRule="auto"/>
        <w:ind w:left="720" w:hanging="720"/>
      </w:pPr>
      <w:r w:rsidRPr="00804A2C">
        <w:t>should require intention;</w:t>
      </w:r>
    </w:p>
    <w:p w:rsidR="00BB1957" w:rsidRPr="00804A2C" w:rsidRDefault="00BB1957" w:rsidP="00BB1957">
      <w:pPr>
        <w:pStyle w:val="Citation-AltC"/>
        <w:spacing w:line="480" w:lineRule="auto"/>
        <w:ind w:left="1800"/>
      </w:pPr>
    </w:p>
    <w:p w:rsidR="00BB1957" w:rsidRPr="00804A2C" w:rsidRDefault="00BB1957" w:rsidP="00A86D4C">
      <w:pPr>
        <w:pStyle w:val="Citation-AltC"/>
        <w:numPr>
          <w:ilvl w:val="4"/>
          <w:numId w:val="49"/>
        </w:numPr>
        <w:spacing w:line="480" w:lineRule="auto"/>
        <w:ind w:left="720" w:hanging="720"/>
      </w:pPr>
      <w:r w:rsidRPr="00804A2C">
        <w:t>should require proof of actual harm or discrimination; and</w:t>
      </w:r>
    </w:p>
    <w:p w:rsidR="00BB1957" w:rsidRPr="00804A2C" w:rsidRDefault="00BB1957" w:rsidP="00BB1957">
      <w:pPr>
        <w:pStyle w:val="Citation-AltC"/>
        <w:spacing w:line="480" w:lineRule="auto"/>
        <w:ind w:left="1800"/>
      </w:pPr>
    </w:p>
    <w:p w:rsidR="00BB1957" w:rsidRPr="00804A2C" w:rsidRDefault="00BB1957" w:rsidP="00A86D4C">
      <w:pPr>
        <w:pStyle w:val="Citation-AltC"/>
        <w:numPr>
          <w:ilvl w:val="4"/>
          <w:numId w:val="49"/>
        </w:numPr>
        <w:spacing w:line="480" w:lineRule="auto"/>
        <w:ind w:left="720" w:hanging="720"/>
      </w:pPr>
      <w:proofErr w:type="gramStart"/>
      <w:r w:rsidRPr="00804A2C">
        <w:t>should</w:t>
      </w:r>
      <w:proofErr w:type="gramEnd"/>
      <w:r w:rsidRPr="00804A2C">
        <w:t xml:space="preserve"> provide for defences, such as a defence of truth.</w:t>
      </w:r>
    </w:p>
    <w:p w:rsidR="00BB1957" w:rsidRPr="00804A2C" w:rsidRDefault="00BB1957" w:rsidP="00BB1957">
      <w:pPr>
        <w:pStyle w:val="ParaNoNdepar-AltN"/>
        <w:rPr>
          <w:rFonts w:cs="Times New Roman"/>
        </w:rPr>
      </w:pPr>
      <w:r w:rsidRPr="00804A2C">
        <w:rPr>
          <w:rFonts w:cs="Times New Roman"/>
        </w:rPr>
        <w:t>Some of these criticisms are directed to the manner in which a specific legislative prohibition is formulated.  To the extent that they apply to s. 14(1</w:t>
      </w:r>
      <w:proofErr w:type="gramStart"/>
      <w:r w:rsidRPr="00804A2C">
        <w:rPr>
          <w:rFonts w:cs="Times New Roman"/>
        </w:rPr>
        <w:t>)(</w:t>
      </w:r>
      <w:proofErr w:type="gramEnd"/>
      <w:r w:rsidRPr="00F77128">
        <w:rPr>
          <w:rFonts w:cs="Times New Roman"/>
        </w:rPr>
        <w:t>b</w:t>
      </w:r>
      <w:r w:rsidRPr="00804A2C">
        <w:rPr>
          <w:rFonts w:cs="Times New Roman"/>
        </w:rPr>
        <w:t xml:space="preserve">) of the </w:t>
      </w:r>
      <w:r w:rsidRPr="00804A2C">
        <w:rPr>
          <w:rFonts w:cs="Times New Roman"/>
          <w:i/>
        </w:rPr>
        <w:t>Code</w:t>
      </w:r>
      <w:r w:rsidRPr="00804A2C">
        <w:rPr>
          <w:rFonts w:cs="Times New Roman"/>
        </w:rPr>
        <w:t>, they will be addressed in the course of analyzing the constitutionality of that provision.</w:t>
      </w:r>
    </w:p>
    <w:p w:rsidR="00BB1957" w:rsidRPr="00804A2C" w:rsidRDefault="00BB1957" w:rsidP="00BB1957">
      <w:pPr>
        <w:pStyle w:val="ParaNoNdepar-AltN"/>
        <w:rPr>
          <w:rFonts w:cs="Times New Roman"/>
        </w:rPr>
      </w:pPr>
      <w:r w:rsidRPr="00804A2C">
        <w:rPr>
          <w:rFonts w:cs="Times New Roman"/>
        </w:rPr>
        <w:t xml:space="preserve">However, I will first consider whether, in light of the criticisms, the definition of “hatred” established in </w:t>
      </w:r>
      <w:r w:rsidRPr="00804A2C">
        <w:rPr>
          <w:rFonts w:cs="Times New Roman"/>
          <w:i/>
        </w:rPr>
        <w:t>Taylor</w:t>
      </w:r>
      <w:r w:rsidRPr="00804A2C">
        <w:rPr>
          <w:rFonts w:cs="Times New Roman"/>
        </w:rPr>
        <w:t xml:space="preserve"> remains valid, or should be modified or rejected.</w:t>
      </w:r>
    </w:p>
    <w:p w:rsidR="00BB1957" w:rsidRPr="00804A2C" w:rsidRDefault="00BB1957" w:rsidP="00705716">
      <w:pPr>
        <w:pStyle w:val="TitleTitre-AltT"/>
        <w:tabs>
          <w:tab w:val="clear" w:pos="360"/>
          <w:tab w:val="left" w:pos="540"/>
        </w:tabs>
        <w:ind w:left="540" w:hanging="540"/>
        <w:rPr>
          <w:rFonts w:cs="Times New Roman"/>
        </w:rPr>
      </w:pPr>
      <w:bookmarkStart w:id="79" w:name="_Toc341432496"/>
      <w:bookmarkStart w:id="80" w:name="_Toc341686976"/>
      <w:bookmarkStart w:id="81" w:name="_Toc346006799"/>
      <w:bookmarkStart w:id="82" w:name="_Toc349051259"/>
      <w:bookmarkStart w:id="83" w:name="_Toc349051337"/>
      <w:bookmarkStart w:id="84" w:name="_Toc349306892"/>
      <w:bookmarkStart w:id="85" w:name="_Toc349638208"/>
      <w:bookmarkStart w:id="86" w:name="_Toc408212127"/>
      <w:r w:rsidRPr="00804A2C">
        <w:rPr>
          <w:rFonts w:cs="Times New Roman"/>
        </w:rPr>
        <w:t>C.</w:t>
      </w:r>
      <w:r w:rsidRPr="00804A2C">
        <w:rPr>
          <w:rFonts w:cs="Times New Roman"/>
        </w:rPr>
        <w:tab/>
      </w:r>
      <w:r w:rsidRPr="00804A2C">
        <w:rPr>
          <w:rFonts w:cs="Times New Roman"/>
          <w:i/>
        </w:rPr>
        <w:t>Subjectivity</w:t>
      </w:r>
      <w:bookmarkEnd w:id="79"/>
      <w:bookmarkEnd w:id="80"/>
      <w:bookmarkEnd w:id="81"/>
      <w:bookmarkEnd w:id="82"/>
      <w:bookmarkEnd w:id="83"/>
      <w:bookmarkEnd w:id="84"/>
      <w:bookmarkEnd w:id="85"/>
      <w:bookmarkEnd w:id="86"/>
    </w:p>
    <w:p w:rsidR="00BB1957" w:rsidRPr="00804A2C" w:rsidRDefault="00BB1957" w:rsidP="00BB1957">
      <w:pPr>
        <w:pStyle w:val="ParaNoNdepar-AltN"/>
        <w:rPr>
          <w:rFonts w:cs="Times New Roman"/>
        </w:rPr>
      </w:pPr>
      <w:r w:rsidRPr="00804A2C">
        <w:rPr>
          <w:rFonts w:cs="Times New Roman"/>
        </w:rPr>
        <w:t xml:space="preserve">In my view, the criticisms point to two conceptual challenges to achieving a consistent application of a prohibition against hate speech. One is how to deal with the inherent subjectivity of the concept of “hatred”.  Another is a mistaken propensity to focus on the ideas being expressed, rather than on the </w:t>
      </w:r>
      <w:r w:rsidRPr="00804A2C">
        <w:rPr>
          <w:rFonts w:cs="Times New Roman"/>
          <w:i/>
        </w:rPr>
        <w:t>effect</w:t>
      </w:r>
      <w:r w:rsidRPr="00804A2C">
        <w:rPr>
          <w:rFonts w:cs="Times New Roman"/>
        </w:rPr>
        <w:t xml:space="preserve"> of the expression.</w:t>
      </w:r>
    </w:p>
    <w:p w:rsidR="00BB1957" w:rsidRPr="00804A2C" w:rsidRDefault="00BB1957" w:rsidP="00BB1957">
      <w:pPr>
        <w:pStyle w:val="ParaNoNdepar-AltN"/>
        <w:rPr>
          <w:rFonts w:cs="Times New Roman"/>
        </w:rPr>
      </w:pPr>
      <w:r w:rsidRPr="00804A2C">
        <w:rPr>
          <w:rFonts w:cs="Times New Roman"/>
        </w:rPr>
        <w:t>Criticisms about the inherent subjectivity of “hatred” can be broken into two separate concerns.  The first is that the prohibition will lead to arbitrary and inconsistent results, depending on the subjective views of judges and arbitrators. The second is that a prohibition predicated on “hatred” is too vague and inherently subjective to ever be applied objectively. The resulting uncertainty about its application will have a chilling effect on expression. I will deal with each of these concerns in turn.</w:t>
      </w:r>
    </w:p>
    <w:p w:rsidR="00BB1957" w:rsidRDefault="00BB1957" w:rsidP="00BD57A0">
      <w:pPr>
        <w:pStyle w:val="TitleTitre-AltT"/>
        <w:tabs>
          <w:tab w:val="clear" w:pos="360"/>
          <w:tab w:val="left" w:pos="1170"/>
        </w:tabs>
        <w:ind w:left="1170" w:hanging="630"/>
        <w:rPr>
          <w:rFonts w:cs="Times New Roman"/>
          <w:u w:val="single"/>
        </w:rPr>
      </w:pPr>
      <w:bookmarkStart w:id="87" w:name="_Toc341432497"/>
      <w:bookmarkStart w:id="88" w:name="_Toc341686977"/>
      <w:bookmarkStart w:id="89" w:name="_Toc346006800"/>
      <w:bookmarkStart w:id="90" w:name="_Toc349051260"/>
      <w:bookmarkStart w:id="91" w:name="_Toc349051338"/>
      <w:bookmarkStart w:id="92" w:name="_Toc349306893"/>
      <w:bookmarkStart w:id="93" w:name="_Toc349638209"/>
      <w:bookmarkStart w:id="94" w:name="_Toc408212128"/>
      <w:r>
        <w:rPr>
          <w:rFonts w:cs="Times New Roman"/>
        </w:rPr>
        <w:t>(1)</w:t>
      </w:r>
      <w:r>
        <w:rPr>
          <w:rFonts w:cs="Times New Roman"/>
        </w:rPr>
        <w:tab/>
      </w:r>
      <w:r w:rsidRPr="00804A2C">
        <w:rPr>
          <w:rFonts w:cs="Times New Roman"/>
          <w:u w:val="single"/>
        </w:rPr>
        <w:t>The Reasonable Person</w:t>
      </w:r>
      <w:bookmarkEnd w:id="87"/>
      <w:bookmarkEnd w:id="88"/>
      <w:bookmarkEnd w:id="89"/>
      <w:bookmarkEnd w:id="90"/>
      <w:bookmarkEnd w:id="91"/>
      <w:bookmarkEnd w:id="92"/>
      <w:bookmarkEnd w:id="93"/>
      <w:bookmarkEnd w:id="94"/>
    </w:p>
    <w:p w:rsidR="00BB1957" w:rsidRPr="00804A2C" w:rsidRDefault="00BB1957" w:rsidP="00BB1957">
      <w:pPr>
        <w:pStyle w:val="ParaNoNdepar-AltN"/>
        <w:rPr>
          <w:rFonts w:cs="Times New Roman"/>
        </w:rPr>
      </w:pPr>
      <w:r w:rsidRPr="00804A2C">
        <w:rPr>
          <w:rFonts w:cs="Times New Roman"/>
        </w:rPr>
        <w:t>Subjectivity is not unique to the application of standards within human rights legislation. As long as human beings act in the role of judge or arbitrator, there will be a subjective element in the application of any standard or test to a given fact situation.  In the words of Cardozo J.: “. .</w:t>
      </w:r>
      <w:r w:rsidRPr="00804A2C">
        <w:rPr>
          <w:rFonts w:cs="Times New Roman"/>
          <w:sz w:val="28"/>
        </w:rPr>
        <w:t> . </w:t>
      </w:r>
      <w:r w:rsidRPr="00804A2C">
        <w:rPr>
          <w:rFonts w:cs="Times New Roman"/>
        </w:rPr>
        <w:t>the traditions of our jurisprudence commit us to the objective standard. I do not mean, of course, that this ideal of objective vision is ever perfectly attained” but rather, inescapably, that “[t]</w:t>
      </w:r>
      <w:proofErr w:type="gramStart"/>
      <w:r w:rsidRPr="00804A2C">
        <w:rPr>
          <w:rFonts w:cs="Times New Roman"/>
        </w:rPr>
        <w:t>he</w:t>
      </w:r>
      <w:proofErr w:type="gramEnd"/>
      <w:r w:rsidRPr="00804A2C">
        <w:rPr>
          <w:rFonts w:cs="Times New Roman"/>
        </w:rPr>
        <w:t xml:space="preserve"> perception of objective right takes the color of the subjective mind”: </w:t>
      </w:r>
      <w:r w:rsidRPr="00804A2C">
        <w:rPr>
          <w:rFonts w:cs="Times New Roman"/>
          <w:i/>
        </w:rPr>
        <w:t>The Nature of the Judicial Process</w:t>
      </w:r>
      <w:r w:rsidRPr="00804A2C">
        <w:rPr>
          <w:rFonts w:cs="Times New Roman"/>
        </w:rPr>
        <w:t xml:space="preserve"> (1921), at pp. 106 and 110.</w:t>
      </w:r>
    </w:p>
    <w:p w:rsidR="00BB1957" w:rsidRPr="00804A2C" w:rsidRDefault="00BB1957" w:rsidP="00BB1957">
      <w:pPr>
        <w:pStyle w:val="ParaNoNdepar-AltN"/>
        <w:rPr>
          <w:rFonts w:cs="Times New Roman"/>
        </w:rPr>
      </w:pPr>
      <w:r w:rsidRPr="00804A2C">
        <w:rPr>
          <w:rFonts w:cs="Times New Roman"/>
        </w:rPr>
        <w:t>In response to this reality, courts develop legal principles for the purpose of providing a method of dealing with similar issues consistently. They follow precedent by looking to the manner in which a principle or standard was applied in comparable fact situations.  Where the applicable standard or test is an objective one, courts and tribunals apply it on the basis of how a reasonable person in the same position or circumstances would act or think.</w:t>
      </w:r>
    </w:p>
    <w:p w:rsidR="00BB1957" w:rsidRPr="00804A2C" w:rsidRDefault="00BB1957" w:rsidP="00BB1957">
      <w:pPr>
        <w:pStyle w:val="ParaNoNdepar-AltN"/>
        <w:rPr>
          <w:rFonts w:eastAsia="Times New Roman" w:cs="Times New Roman"/>
        </w:rPr>
      </w:pPr>
      <w:r w:rsidRPr="00804A2C">
        <w:rPr>
          <w:rFonts w:cs="Times New Roman"/>
        </w:rPr>
        <w:t>In the present context, the courts have confirmed that w</w:t>
      </w:r>
      <w:r w:rsidRPr="00804A2C">
        <w:rPr>
          <w:rFonts w:eastAsia="Times New Roman" w:cs="Times New Roman"/>
        </w:rPr>
        <w:t xml:space="preserve">hen applying a prohibition based on hatred, the outcome does not depend on the subjective views of the publisher or of the victim of the alleged hate publication, but rather on an objective application of the test: see </w:t>
      </w:r>
      <w:r w:rsidRPr="00804A2C">
        <w:rPr>
          <w:rFonts w:eastAsia="Times New Roman" w:cs="Times New Roman"/>
          <w:i/>
        </w:rPr>
        <w:t>Owens</w:t>
      </w:r>
      <w:r w:rsidR="00FF13F6">
        <w:rPr>
          <w:rFonts w:eastAsia="Times New Roman" w:cs="Times New Roman"/>
          <w:i/>
        </w:rPr>
        <w:t xml:space="preserve"> (C.A.)</w:t>
      </w:r>
      <w:r w:rsidRPr="00804A2C">
        <w:rPr>
          <w:rFonts w:eastAsia="Times New Roman" w:cs="Times New Roman"/>
        </w:rPr>
        <w:t xml:space="preserve">, at </w:t>
      </w:r>
      <w:proofErr w:type="spellStart"/>
      <w:r w:rsidRPr="00804A2C">
        <w:rPr>
          <w:rFonts w:eastAsia="Times New Roman" w:cs="Times New Roman"/>
        </w:rPr>
        <w:t>paras</w:t>
      </w:r>
      <w:proofErr w:type="spellEnd"/>
      <w:r w:rsidRPr="00804A2C">
        <w:rPr>
          <w:rFonts w:eastAsia="Times New Roman" w:cs="Times New Roman"/>
        </w:rPr>
        <w:t xml:space="preserve">. 58-59; </w:t>
      </w:r>
      <w:r w:rsidRPr="00804A2C">
        <w:rPr>
          <w:rFonts w:cs="Times New Roman"/>
          <w:i/>
        </w:rPr>
        <w:t>Kane v. Alberta Report</w:t>
      </w:r>
      <w:r w:rsidRPr="00804A2C">
        <w:rPr>
          <w:rFonts w:cs="Times New Roman"/>
        </w:rPr>
        <w:t>,</w:t>
      </w:r>
      <w:r w:rsidRPr="00804A2C">
        <w:rPr>
          <w:rFonts w:cs="Times New Roman"/>
          <w:i/>
        </w:rPr>
        <w:t xml:space="preserve"> </w:t>
      </w:r>
      <w:r w:rsidRPr="00804A2C">
        <w:rPr>
          <w:rFonts w:cs="Times New Roman"/>
        </w:rPr>
        <w:t xml:space="preserve">2001 ABQB 570, 291 A.R. 71, at </w:t>
      </w:r>
      <w:proofErr w:type="spellStart"/>
      <w:r w:rsidRPr="00804A2C">
        <w:rPr>
          <w:rFonts w:cs="Times New Roman"/>
        </w:rPr>
        <w:t>para</w:t>
      </w:r>
      <w:proofErr w:type="spellEnd"/>
      <w:r w:rsidRPr="00804A2C">
        <w:rPr>
          <w:rFonts w:cs="Times New Roman"/>
        </w:rPr>
        <w:t xml:space="preserve">. 125; </w:t>
      </w:r>
      <w:proofErr w:type="spellStart"/>
      <w:r w:rsidRPr="00804A2C">
        <w:rPr>
          <w:rFonts w:cs="Times New Roman"/>
          <w:i/>
        </w:rPr>
        <w:t>Elmasry</w:t>
      </w:r>
      <w:proofErr w:type="spellEnd"/>
      <w:r w:rsidRPr="00804A2C">
        <w:rPr>
          <w:rFonts w:cs="Times New Roman"/>
          <w:i/>
        </w:rPr>
        <w:t xml:space="preserve"> v. Rogers Publishing Ltd. (No. 4)</w:t>
      </w:r>
      <w:r w:rsidRPr="00804A2C">
        <w:rPr>
          <w:rFonts w:cs="Times New Roman"/>
        </w:rPr>
        <w:t xml:space="preserve">, 2008 BCHRT 378, 64 C.H.R.R. D/509, at </w:t>
      </w:r>
      <w:proofErr w:type="spellStart"/>
      <w:r w:rsidRPr="00804A2C">
        <w:rPr>
          <w:rFonts w:cs="Times New Roman"/>
        </w:rPr>
        <w:t>paras</w:t>
      </w:r>
      <w:proofErr w:type="spellEnd"/>
      <w:r w:rsidRPr="00804A2C">
        <w:rPr>
          <w:rFonts w:cs="Times New Roman"/>
        </w:rPr>
        <w:t>. 79-80; a</w:t>
      </w:r>
      <w:r w:rsidRPr="00804A2C">
        <w:rPr>
          <w:rFonts w:eastAsia="Times New Roman" w:cs="Times New Roman"/>
        </w:rPr>
        <w:t xml:space="preserve">nd </w:t>
      </w:r>
      <w:proofErr w:type="spellStart"/>
      <w:r w:rsidRPr="00804A2C">
        <w:rPr>
          <w:rFonts w:eastAsia="Times New Roman" w:cs="Times New Roman"/>
          <w:i/>
        </w:rPr>
        <w:t>Whatcott</w:t>
      </w:r>
      <w:proofErr w:type="spellEnd"/>
      <w:r w:rsidRPr="00804A2C">
        <w:rPr>
          <w:rFonts w:eastAsia="Times New Roman" w:cs="Times New Roman"/>
        </w:rPr>
        <w:t xml:space="preserve"> </w:t>
      </w:r>
      <w:r w:rsidRPr="00FF13F6">
        <w:rPr>
          <w:rFonts w:eastAsia="Times New Roman" w:cs="Times New Roman"/>
          <w:i/>
        </w:rPr>
        <w:t>(</w:t>
      </w:r>
      <w:r w:rsidRPr="00804A2C">
        <w:rPr>
          <w:rFonts w:eastAsia="Times New Roman" w:cs="Times New Roman"/>
          <w:i/>
        </w:rPr>
        <w:t>C.A.</w:t>
      </w:r>
      <w:r w:rsidRPr="00FF13F6">
        <w:rPr>
          <w:rFonts w:eastAsia="Times New Roman" w:cs="Times New Roman"/>
          <w:i/>
        </w:rPr>
        <w:t>)</w:t>
      </w:r>
      <w:r w:rsidRPr="00804A2C">
        <w:rPr>
          <w:rFonts w:eastAsia="Times New Roman" w:cs="Times New Roman"/>
        </w:rPr>
        <w:t xml:space="preserve">, at </w:t>
      </w:r>
      <w:proofErr w:type="spellStart"/>
      <w:r w:rsidRPr="00804A2C">
        <w:rPr>
          <w:rFonts w:eastAsia="Times New Roman" w:cs="Times New Roman"/>
        </w:rPr>
        <w:t>para</w:t>
      </w:r>
      <w:proofErr w:type="spellEnd"/>
      <w:r w:rsidRPr="00804A2C">
        <w:rPr>
          <w:rFonts w:eastAsia="Times New Roman" w:cs="Times New Roman"/>
        </w:rPr>
        <w:t>. 55.  The courts pose the question of whether</w:t>
      </w:r>
      <w:r w:rsidR="00FF13F6">
        <w:rPr>
          <w:rFonts w:eastAsia="Times New Roman" w:cs="Times New Roman"/>
        </w:rPr>
        <w:t>,</w:t>
      </w:r>
      <w:r w:rsidRPr="00804A2C">
        <w:rPr>
          <w:rFonts w:eastAsia="Times New Roman" w:cs="Times New Roman"/>
        </w:rPr>
        <w:t xml:space="preserve"> “when considered objectively by a reasonable person aware of the relevant context and circumstances, the speech in question would be understood as exposing or tending to expose members of the target group to hatred”: </w:t>
      </w:r>
      <w:r w:rsidRPr="00804A2C">
        <w:rPr>
          <w:rFonts w:eastAsia="Times New Roman" w:cs="Times New Roman"/>
          <w:i/>
        </w:rPr>
        <w:t>Owens</w:t>
      </w:r>
      <w:r w:rsidR="00DF32B7">
        <w:rPr>
          <w:rFonts w:eastAsia="Times New Roman" w:cs="Times New Roman"/>
          <w:i/>
        </w:rPr>
        <w:t xml:space="preserve"> (C.A.)</w:t>
      </w:r>
      <w:r w:rsidRPr="00804A2C">
        <w:rPr>
          <w:rFonts w:eastAsia="Times New Roman" w:cs="Times New Roman"/>
        </w:rPr>
        <w:t xml:space="preserve">, at </w:t>
      </w:r>
      <w:proofErr w:type="spellStart"/>
      <w:r w:rsidRPr="00804A2C">
        <w:rPr>
          <w:rFonts w:eastAsia="Times New Roman" w:cs="Times New Roman"/>
        </w:rPr>
        <w:t>para</w:t>
      </w:r>
      <w:proofErr w:type="spellEnd"/>
      <w:r w:rsidRPr="00804A2C">
        <w:rPr>
          <w:rFonts w:eastAsia="Times New Roman" w:cs="Times New Roman"/>
        </w:rPr>
        <w:t>. 60. In the course of this assessment, a judge or adjudicator is expected to put his or her personal views aside and to base the determination on what he or she perceives to be the rational views of an informed member of society, viewing the matter realistically and practically.</w:t>
      </w:r>
    </w:p>
    <w:p w:rsidR="00BB1957" w:rsidRPr="00F32023" w:rsidRDefault="00BB1957" w:rsidP="00BB1957">
      <w:pPr>
        <w:pStyle w:val="ParaNoNdepar-AltN"/>
        <w:rPr>
          <w:rFonts w:cs="Times New Roman"/>
        </w:rPr>
      </w:pPr>
      <w:r w:rsidRPr="00804A2C">
        <w:rPr>
          <w:rFonts w:eastAsia="Times New Roman" w:cs="Times New Roman"/>
        </w:rPr>
        <w:t xml:space="preserve">Even Cardozo J., despite his acknowledgement of the inherent subjectivity involved in the judicial process, concedes that the objective ideal “is one to be striven for within the limits of our capacity” and warns that “[a] jurisprudence that is not constantly brought into relation to objective or external standards incurs the risk of degenerating </w:t>
      </w:r>
      <w:proofErr w:type="gramStart"/>
      <w:r w:rsidRPr="00804A2C">
        <w:rPr>
          <w:rFonts w:eastAsia="Times New Roman" w:cs="Times New Roman"/>
        </w:rPr>
        <w:t>into .</w:t>
      </w:r>
      <w:proofErr w:type="gramEnd"/>
      <w:r w:rsidRPr="00804A2C">
        <w:rPr>
          <w:rFonts w:eastAsia="Times New Roman" w:cs="Times New Roman"/>
        </w:rPr>
        <w:t xml:space="preserve"> . . a jurisprudence of mere sentiment or feeling” (p. 106). Although developing legal principles, following precedent and applying objective standards will not completely eliminate subjectivity from the adjudicative </w:t>
      </w:r>
      <w:proofErr w:type="gramStart"/>
      <w:r w:rsidRPr="00804A2C">
        <w:rPr>
          <w:rFonts w:eastAsia="Times New Roman" w:cs="Times New Roman"/>
        </w:rPr>
        <w:t>process,</w:t>
      </w:r>
      <w:proofErr w:type="gramEnd"/>
      <w:r w:rsidRPr="00804A2C">
        <w:rPr>
          <w:rFonts w:eastAsia="Times New Roman" w:cs="Times New Roman"/>
        </w:rPr>
        <w:t xml:space="preserve"> these common law traditions reflect an awareness of the problem and provide a ground for appeal in cases of unjustifiable departure.</w:t>
      </w:r>
    </w:p>
    <w:p w:rsidR="00BB1957" w:rsidRPr="00804A2C" w:rsidRDefault="00BB1957" w:rsidP="00DF32B7">
      <w:pPr>
        <w:pStyle w:val="TitleTitre-AltT"/>
        <w:tabs>
          <w:tab w:val="clear" w:pos="360"/>
          <w:tab w:val="left" w:pos="1170"/>
        </w:tabs>
        <w:ind w:left="1170" w:hanging="630"/>
        <w:rPr>
          <w:rFonts w:cs="Times New Roman"/>
        </w:rPr>
      </w:pPr>
      <w:bookmarkStart w:id="95" w:name="_Toc341432498"/>
      <w:bookmarkStart w:id="96" w:name="_Toc341686978"/>
      <w:bookmarkStart w:id="97" w:name="_Toc346006801"/>
      <w:bookmarkStart w:id="98" w:name="_Toc349051261"/>
      <w:bookmarkStart w:id="99" w:name="_Toc349051339"/>
      <w:bookmarkStart w:id="100" w:name="_Toc349306894"/>
      <w:bookmarkStart w:id="101" w:name="_Toc349638210"/>
      <w:bookmarkStart w:id="102" w:name="_Toc408212129"/>
      <w:r>
        <w:rPr>
          <w:rFonts w:cs="Times New Roman"/>
        </w:rPr>
        <w:t>(2)</w:t>
      </w:r>
      <w:r>
        <w:rPr>
          <w:rFonts w:cs="Times New Roman"/>
        </w:rPr>
        <w:tab/>
      </w:r>
      <w:r w:rsidRPr="00804A2C">
        <w:rPr>
          <w:rFonts w:cs="Times New Roman"/>
          <w:u w:val="single"/>
        </w:rPr>
        <w:t xml:space="preserve">Dealing </w:t>
      </w:r>
      <w:proofErr w:type="gramStart"/>
      <w:r w:rsidR="00DF32B7">
        <w:rPr>
          <w:rFonts w:cs="Times New Roman"/>
          <w:u w:val="single"/>
        </w:rPr>
        <w:t>W</w:t>
      </w:r>
      <w:r w:rsidRPr="00804A2C">
        <w:rPr>
          <w:rFonts w:cs="Times New Roman"/>
          <w:u w:val="single"/>
        </w:rPr>
        <w:t>ith</w:t>
      </w:r>
      <w:proofErr w:type="gramEnd"/>
      <w:r w:rsidRPr="00804A2C">
        <w:rPr>
          <w:rFonts w:cs="Times New Roman"/>
          <w:u w:val="single"/>
        </w:rPr>
        <w:t xml:space="preserve"> the Inherent Subjectivity of the Emotion of Hatred</w:t>
      </w:r>
      <w:bookmarkEnd w:id="95"/>
      <w:bookmarkEnd w:id="96"/>
      <w:bookmarkEnd w:id="97"/>
      <w:bookmarkEnd w:id="98"/>
      <w:bookmarkEnd w:id="99"/>
      <w:bookmarkEnd w:id="100"/>
      <w:bookmarkEnd w:id="101"/>
      <w:bookmarkEnd w:id="102"/>
    </w:p>
    <w:p w:rsidR="00BB1957" w:rsidRPr="00804A2C" w:rsidRDefault="00BB1957" w:rsidP="00BB1957">
      <w:pPr>
        <w:pStyle w:val="ParaNoNdepar-AltN"/>
        <w:rPr>
          <w:rFonts w:cs="Times New Roman"/>
        </w:rPr>
      </w:pPr>
      <w:r w:rsidRPr="00804A2C">
        <w:rPr>
          <w:rFonts w:cs="Times New Roman"/>
        </w:rPr>
        <w:t xml:space="preserve">Nonetheless, is the emotion “hatred” too inherently subjective to be capable of an objective or consistent application?  The argument, as I understand it, is that our perception and understanding of hatred, like any emotion, will depend in part on our different, personal experiences. Emotion is an “instinctive feeling as distinguished from reasoning or knowledge” and is therefore subjective: </w:t>
      </w:r>
      <w:r w:rsidRPr="00804A2C">
        <w:rPr>
          <w:rFonts w:cs="Times New Roman"/>
          <w:i/>
        </w:rPr>
        <w:t>Oxford English Dictionary</w:t>
      </w:r>
      <w:r w:rsidRPr="00804A2C">
        <w:rPr>
          <w:rFonts w:cs="Times New Roman"/>
        </w:rPr>
        <w:t xml:space="preserve"> (online). Therefore, a test predicated on a vague emotion makes subjective application inevitable.</w:t>
      </w:r>
    </w:p>
    <w:p w:rsidR="00BB1957" w:rsidRPr="00804A2C" w:rsidRDefault="00BB1957" w:rsidP="00BB1957">
      <w:pPr>
        <w:pStyle w:val="ParaNoNdepar-AltN"/>
        <w:rPr>
          <w:rFonts w:cs="Times New Roman"/>
        </w:rPr>
      </w:pPr>
      <w:r w:rsidRPr="00804A2C">
        <w:rPr>
          <w:rFonts w:cs="Times New Roman"/>
        </w:rPr>
        <w:t xml:space="preserve">In </w:t>
      </w:r>
      <w:r w:rsidRPr="00804A2C">
        <w:rPr>
          <w:rFonts w:cs="Times New Roman"/>
          <w:i/>
        </w:rPr>
        <w:t>Taylor</w:t>
      </w:r>
      <w:r w:rsidRPr="00804A2C">
        <w:rPr>
          <w:rFonts w:cs="Times New Roman"/>
        </w:rPr>
        <w:t xml:space="preserve">, Dickson C.J. reasoned that the subjectivity and arbitrariness of a prohibition based on “hatred” could be reduced by giving full effect to the legislative intent.  His reasoning suggests that this can be achieved in two ways: by adhering to the proper meaning of the words chosen by the legislature; and by applying the prohibition in a manner that is consistent with its legislative objectives.  Because of the centrality of both the meaning of “hatred” and the legislative objectives, further elaboration will be useful. </w:t>
      </w:r>
    </w:p>
    <w:p w:rsidR="00BB1957" w:rsidRDefault="00BB1957" w:rsidP="00BB1957">
      <w:pPr>
        <w:pStyle w:val="TitleTitre-AltT"/>
        <w:tabs>
          <w:tab w:val="clear" w:pos="360"/>
          <w:tab w:val="left" w:pos="1800"/>
        </w:tabs>
        <w:ind w:left="1800" w:hanging="630"/>
        <w:rPr>
          <w:rFonts w:cs="Times New Roman"/>
          <w:i/>
        </w:rPr>
      </w:pPr>
      <w:bookmarkStart w:id="103" w:name="_Toc341432499"/>
      <w:bookmarkStart w:id="104" w:name="_Toc341686979"/>
      <w:bookmarkStart w:id="105" w:name="_Toc346006802"/>
      <w:bookmarkStart w:id="106" w:name="_Toc349051262"/>
      <w:bookmarkStart w:id="107" w:name="_Toc349051340"/>
      <w:bookmarkStart w:id="108" w:name="_Toc349306895"/>
      <w:bookmarkStart w:id="109" w:name="_Toc349638211"/>
      <w:bookmarkStart w:id="110" w:name="_Toc408212130"/>
      <w:r w:rsidRPr="00804A2C">
        <w:rPr>
          <w:rFonts w:cs="Times New Roman"/>
        </w:rPr>
        <w:t>(a)</w:t>
      </w:r>
      <w:r w:rsidRPr="00804A2C">
        <w:rPr>
          <w:rFonts w:cs="Times New Roman"/>
        </w:rPr>
        <w:tab/>
      </w:r>
      <w:r w:rsidRPr="00804A2C">
        <w:rPr>
          <w:rFonts w:cs="Times New Roman"/>
          <w:i/>
        </w:rPr>
        <w:t xml:space="preserve">The Meaning of “Hatred </w:t>
      </w:r>
      <w:r w:rsidR="00DF32B7">
        <w:rPr>
          <w:rFonts w:cs="Times New Roman"/>
          <w:i/>
        </w:rPr>
        <w:t>or</w:t>
      </w:r>
      <w:r w:rsidRPr="00804A2C">
        <w:rPr>
          <w:rFonts w:cs="Times New Roman"/>
          <w:i/>
        </w:rPr>
        <w:t xml:space="preserve"> Contempt”</w:t>
      </w:r>
      <w:bookmarkEnd w:id="103"/>
      <w:bookmarkEnd w:id="104"/>
      <w:bookmarkEnd w:id="105"/>
      <w:bookmarkEnd w:id="106"/>
      <w:bookmarkEnd w:id="107"/>
      <w:bookmarkEnd w:id="108"/>
      <w:bookmarkEnd w:id="109"/>
      <w:bookmarkEnd w:id="110"/>
    </w:p>
    <w:p w:rsidR="00BB1957" w:rsidRPr="00804A2C" w:rsidRDefault="00BB1957" w:rsidP="00BB1957">
      <w:pPr>
        <w:pStyle w:val="ParaNoNdepar-AltN"/>
        <w:rPr>
          <w:rFonts w:cs="Times New Roman"/>
        </w:rPr>
      </w:pPr>
      <w:r w:rsidRPr="00804A2C">
        <w:rPr>
          <w:rFonts w:cs="Times New Roman"/>
        </w:rPr>
        <w:t xml:space="preserve">In order to adhere to the legislative choice of the words “hatred </w:t>
      </w:r>
      <w:r w:rsidR="00DF32B7">
        <w:rPr>
          <w:rFonts w:cs="Times New Roman"/>
        </w:rPr>
        <w:t>or</w:t>
      </w:r>
      <w:r w:rsidRPr="00804A2C">
        <w:rPr>
          <w:rFonts w:cs="Times New Roman"/>
        </w:rPr>
        <w:t xml:space="preserve"> contempt”, Dickson C.J. emphasized the importance of interpreting them in a manner that did not include emotions of lesser intensities.  In his view, prohibitions of hate speech should not be triggered by lesser gradations of disapprobation, so as to capture offensive comments or expressions of dislike.  Interpreting “hatred </w:t>
      </w:r>
      <w:r w:rsidR="00DF32B7">
        <w:rPr>
          <w:rFonts w:cs="Times New Roman"/>
        </w:rPr>
        <w:t>or</w:t>
      </w:r>
      <w:r w:rsidRPr="00804A2C">
        <w:rPr>
          <w:rFonts w:cs="Times New Roman"/>
        </w:rPr>
        <w:t xml:space="preserve"> contempt” to include feelings of dislike would expand their meaning beyond what was contemplated by the legislature and could capture expression which, while derogatory, does not cause the type of harm that human rights legislation seeks to eliminate.  As long as a tribunal is aware of the purpose behind s. 13(1) of the </w:t>
      </w:r>
      <w:r w:rsidRPr="00804A2C">
        <w:rPr>
          <w:rFonts w:cs="Times New Roman"/>
          <w:i/>
        </w:rPr>
        <w:t>CHRA</w:t>
      </w:r>
      <w:r w:rsidRPr="00804A2C">
        <w:rPr>
          <w:rFonts w:cs="Times New Roman"/>
        </w:rPr>
        <w:t xml:space="preserve"> and “pays heed to the ardent and extreme nature of feeling described in the phrase ‘hatred </w:t>
      </w:r>
      <w:r w:rsidR="00DF32B7">
        <w:rPr>
          <w:rFonts w:cs="Times New Roman"/>
        </w:rPr>
        <w:t>or</w:t>
      </w:r>
      <w:r w:rsidRPr="00804A2C">
        <w:rPr>
          <w:rFonts w:cs="Times New Roman"/>
        </w:rPr>
        <w:t xml:space="preserve"> contempt’”, Dickson C.J. reasoned that “there is little danger that subjective opinion as to offensiveness will supplant the proper meaning of the section”</w:t>
      </w:r>
      <w:r w:rsidR="008C2BE6">
        <w:rPr>
          <w:rFonts w:cs="Times New Roman"/>
        </w:rPr>
        <w:t xml:space="preserve">: </w:t>
      </w:r>
      <w:r w:rsidR="00DF32B7" w:rsidRPr="00DF32B7">
        <w:rPr>
          <w:rFonts w:cs="Times New Roman"/>
          <w:i/>
        </w:rPr>
        <w:t>Taylor</w:t>
      </w:r>
      <w:r w:rsidR="00DF32B7">
        <w:rPr>
          <w:rFonts w:cs="Times New Roman"/>
        </w:rPr>
        <w:t xml:space="preserve">, at </w:t>
      </w:r>
      <w:r w:rsidRPr="00DF32B7">
        <w:rPr>
          <w:rFonts w:cs="Times New Roman"/>
        </w:rPr>
        <w:t>p</w:t>
      </w:r>
      <w:r w:rsidRPr="00804A2C">
        <w:rPr>
          <w:rFonts w:cs="Times New Roman"/>
        </w:rPr>
        <w:t>. 929.</w:t>
      </w:r>
    </w:p>
    <w:p w:rsidR="00BB1957" w:rsidRPr="00804A2C" w:rsidRDefault="00BB1957" w:rsidP="00BB1957">
      <w:pPr>
        <w:pStyle w:val="ParaNoNdepar-AltN"/>
        <w:rPr>
          <w:rFonts w:cs="Times New Roman"/>
        </w:rPr>
      </w:pPr>
      <w:r w:rsidRPr="00804A2C">
        <w:rPr>
          <w:rFonts w:cs="Times New Roman"/>
        </w:rPr>
        <w:t xml:space="preserve">Dickson C.J. analyzed the meaning of the words “hatred </w:t>
      </w:r>
      <w:r w:rsidR="00DF32B7">
        <w:rPr>
          <w:rFonts w:cs="Times New Roman"/>
        </w:rPr>
        <w:t>or</w:t>
      </w:r>
      <w:r w:rsidRPr="00804A2C">
        <w:rPr>
          <w:rFonts w:cs="Times New Roman"/>
        </w:rPr>
        <w:t xml:space="preserve"> contempt” as they are used in s. 13(1).  He discussed with approval the approach of the human rights tribunal in </w:t>
      </w:r>
      <w:proofErr w:type="spellStart"/>
      <w:r w:rsidRPr="00804A2C">
        <w:rPr>
          <w:rFonts w:cs="Times New Roman"/>
          <w:i/>
        </w:rPr>
        <w:t>Nealy</w:t>
      </w:r>
      <w:proofErr w:type="spellEnd"/>
      <w:r w:rsidRPr="00804A2C">
        <w:rPr>
          <w:rFonts w:cs="Times New Roman"/>
          <w:i/>
        </w:rPr>
        <w:t xml:space="preserve"> v. Johnston </w:t>
      </w:r>
      <w:r w:rsidRPr="00804A2C">
        <w:rPr>
          <w:rFonts w:cs="Times New Roman"/>
        </w:rPr>
        <w:t>(1989), 10 C.H.R.R. D/6450</w:t>
      </w:r>
      <w:r w:rsidR="00DF32B7">
        <w:rPr>
          <w:rFonts w:cs="Times New Roman"/>
        </w:rPr>
        <w:t xml:space="preserve"> (C.H.R.T.)</w:t>
      </w:r>
      <w:r w:rsidRPr="00804A2C">
        <w:rPr>
          <w:rFonts w:cs="Times New Roman"/>
        </w:rPr>
        <w:t>, at p. D/6469, which acknowledged that while those words “have a potentially emotive content” that could vary for each individual, there is “an important core of meaning in both”</w:t>
      </w:r>
      <w:r w:rsidR="00DF32B7">
        <w:rPr>
          <w:rFonts w:cs="Times New Roman"/>
        </w:rPr>
        <w:t xml:space="preserve">: </w:t>
      </w:r>
      <w:r w:rsidRPr="00804A2C">
        <w:rPr>
          <w:rFonts w:cs="Times New Roman"/>
          <w:i/>
        </w:rPr>
        <w:t>Taylor</w:t>
      </w:r>
      <w:r w:rsidRPr="00804A2C">
        <w:rPr>
          <w:rFonts w:cs="Times New Roman"/>
        </w:rPr>
        <w:t>, at p. 928.  The tribunal found that “hatred” involves detestation, extreme ill-will and the failure to find any redeeming qualities in the target of the expression.  “Contempt” involves looking down on someone or treating them as inferior.  Dickson C.J. found that, according to the tribunal, s. 13(1) refers to “unusually strong and deep-felt emotions of detesta</w:t>
      </w:r>
      <w:r w:rsidR="00DF32B7">
        <w:rPr>
          <w:rFonts w:cs="Times New Roman"/>
        </w:rPr>
        <w:t xml:space="preserve">tion, calumny and vilification”: </w:t>
      </w:r>
      <w:r w:rsidRPr="00804A2C">
        <w:rPr>
          <w:rFonts w:cs="Times New Roman"/>
          <w:i/>
        </w:rPr>
        <w:t>Taylor</w:t>
      </w:r>
      <w:r w:rsidRPr="00804A2C">
        <w:rPr>
          <w:rFonts w:cs="Times New Roman"/>
        </w:rPr>
        <w:t>, at p. 928.  The legislative prohibition should therefore only apply to expression of an unusual and extreme nature.</w:t>
      </w:r>
    </w:p>
    <w:p w:rsidR="00BB1957" w:rsidRPr="00804A2C" w:rsidRDefault="00BB1957" w:rsidP="00BB1957">
      <w:pPr>
        <w:pStyle w:val="ParaNoNdepar-AltN"/>
        <w:rPr>
          <w:rFonts w:cs="Times New Roman"/>
        </w:rPr>
      </w:pPr>
      <w:r w:rsidRPr="00804A2C">
        <w:rPr>
          <w:rFonts w:cs="Times New Roman"/>
        </w:rPr>
        <w:t xml:space="preserve">In my view, “detestation” and “vilification” aptly describe the harmful effect that the </w:t>
      </w:r>
      <w:r w:rsidRPr="00804A2C">
        <w:rPr>
          <w:rFonts w:cs="Times New Roman"/>
          <w:i/>
        </w:rPr>
        <w:t>Code</w:t>
      </w:r>
      <w:r w:rsidRPr="00804A2C">
        <w:rPr>
          <w:rFonts w:cs="Times New Roman"/>
        </w:rPr>
        <w:t xml:space="preserve"> seeks to eliminate.  Representations that expose a target group to detestation tend to inspire enmity and extreme ill-will against them, which goes beyond mere disdain or dislike. Representations vilifying a person or group will seek to abuse, denigrate or delegitimize them, to render them lawless, dangerous, unworthy or unacceptable in the eyes of the audience.  Expression exposing vulnerable groups to detestation and vilification goes far beyond merely discrediting, humiliating or offending the victims.</w:t>
      </w:r>
    </w:p>
    <w:p w:rsidR="00BB1957" w:rsidRPr="00804A2C" w:rsidRDefault="00BB1957" w:rsidP="00BB1957">
      <w:pPr>
        <w:pStyle w:val="ParaNoNdepar-AltN"/>
        <w:rPr>
          <w:rFonts w:cs="Times New Roman"/>
        </w:rPr>
      </w:pPr>
      <w:r w:rsidRPr="00804A2C">
        <w:rPr>
          <w:rFonts w:cs="Times New Roman"/>
        </w:rPr>
        <w:t xml:space="preserve">On the other hand, the reference in the </w:t>
      </w:r>
      <w:r w:rsidRPr="00804A2C">
        <w:rPr>
          <w:rFonts w:cs="Times New Roman"/>
          <w:i/>
        </w:rPr>
        <w:t xml:space="preserve">Taylor </w:t>
      </w:r>
      <w:r w:rsidRPr="00804A2C">
        <w:rPr>
          <w:rFonts w:cs="Times New Roman"/>
        </w:rPr>
        <w:t>definition to calumny is unnecessary. “Calumny” is defined as a “[f]</w:t>
      </w:r>
      <w:proofErr w:type="spellStart"/>
      <w:r w:rsidRPr="00804A2C">
        <w:rPr>
          <w:rFonts w:cs="Times New Roman"/>
        </w:rPr>
        <w:t>alse</w:t>
      </w:r>
      <w:proofErr w:type="spellEnd"/>
      <w:r w:rsidRPr="00804A2C">
        <w:rPr>
          <w:rFonts w:cs="Times New Roman"/>
        </w:rPr>
        <w:t xml:space="preserve"> and malicious misrepresentation of the words or actions of others, calculated to injure their reputation; libellous detraction, slander”: </w:t>
      </w:r>
      <w:r w:rsidRPr="00804A2C">
        <w:rPr>
          <w:rFonts w:cs="Times New Roman"/>
          <w:i/>
        </w:rPr>
        <w:t>Oxford English Dictionary</w:t>
      </w:r>
      <w:r w:rsidRPr="00804A2C">
        <w:rPr>
          <w:rFonts w:cs="Times New Roman"/>
        </w:rPr>
        <w:t xml:space="preserve"> (online).  While hate speech often uses the device of inflammatory falsehoods and misrepresentations to persuade and galvanize its audience, the use of such tools is not necessary to a finding that the expression exposes its targeted group to hatred.  Nor would false misrepresentations, alone, be sufficient to constitute hate speech.  In light of the general disuse of the word “calumny” in everyday vocabulary, in my view its inclusion in the definition is unnecessary.</w:t>
      </w:r>
    </w:p>
    <w:p w:rsidR="00BB1957" w:rsidRPr="00804A2C" w:rsidRDefault="00BB1957" w:rsidP="00BB1957">
      <w:pPr>
        <w:pStyle w:val="ParaNoNdepar-AltN"/>
        <w:rPr>
          <w:rFonts w:cs="Times New Roman"/>
        </w:rPr>
      </w:pPr>
      <w:r w:rsidRPr="00804A2C">
        <w:rPr>
          <w:rFonts w:cs="Times New Roman"/>
        </w:rPr>
        <w:t>Not all prohibitions of hate speech include the word “contempt”, and s.</w:t>
      </w:r>
      <w:r>
        <w:rPr>
          <w:rFonts w:cs="Times New Roman"/>
        </w:rPr>
        <w:t> </w:t>
      </w:r>
      <w:r w:rsidRPr="00804A2C">
        <w:rPr>
          <w:rFonts w:cs="Times New Roman"/>
        </w:rPr>
        <w:t>14(1</w:t>
      </w:r>
      <w:proofErr w:type="gramStart"/>
      <w:r w:rsidRPr="00804A2C">
        <w:rPr>
          <w:rFonts w:cs="Times New Roman"/>
        </w:rPr>
        <w:t>)(</w:t>
      </w:r>
      <w:proofErr w:type="gramEnd"/>
      <w:r w:rsidRPr="00DB6508">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does not.  The tribunal in </w:t>
      </w:r>
      <w:proofErr w:type="spellStart"/>
      <w:r w:rsidRPr="00804A2C">
        <w:rPr>
          <w:rFonts w:cs="Times New Roman"/>
          <w:i/>
        </w:rPr>
        <w:t>Nealy</w:t>
      </w:r>
      <w:proofErr w:type="spellEnd"/>
      <w:r w:rsidRPr="00804A2C">
        <w:rPr>
          <w:rFonts w:cs="Times New Roman"/>
        </w:rPr>
        <w:t xml:space="preserve"> noted that the concept of “hatred” does not mandate a particular motive for the emotion, and that the word “contempt” added an element of looking down on or treating the object as inferior.  While I agree with the tribunal that it is possible to hate someone one considers “superior”, in my view the term “hatred” in the context of human rights legislation includes a component of looking down on or denying the worth of another.  The act of vilifying a person or group connotes accusing them of disgusting characteristics, inherent deficiencies or immoral propensities which are too vile in nature to be shared by the person who vilifies.  Even without the word “contempt” in the legislative prohibition, delegitimizing a group as unworthy, useless or inferior can be a component of exposing them to hatred. Such </w:t>
      </w:r>
      <w:proofErr w:type="spellStart"/>
      <w:r w:rsidRPr="00804A2C">
        <w:rPr>
          <w:rFonts w:cs="Times New Roman"/>
        </w:rPr>
        <w:t>delegitimization</w:t>
      </w:r>
      <w:proofErr w:type="spellEnd"/>
      <w:r w:rsidRPr="00804A2C">
        <w:rPr>
          <w:rFonts w:cs="Times New Roman"/>
        </w:rPr>
        <w:t xml:space="preserve"> reduces the target group’s credibility, social standing and acceptance within society and is a key aspect of the social harm caused by hate speech.</w:t>
      </w:r>
    </w:p>
    <w:p w:rsidR="00BB1957" w:rsidRPr="00804A2C" w:rsidRDefault="00BB1957" w:rsidP="00BB1957">
      <w:pPr>
        <w:pStyle w:val="ParaNoNdepar-AltN"/>
        <w:rPr>
          <w:rFonts w:cs="Times New Roman"/>
        </w:rPr>
      </w:pPr>
      <w:r w:rsidRPr="00804A2C">
        <w:rPr>
          <w:rFonts w:cs="Times New Roman"/>
        </w:rPr>
        <w:t xml:space="preserve">In the years following </w:t>
      </w:r>
      <w:r w:rsidRPr="00804A2C">
        <w:rPr>
          <w:rFonts w:cs="Times New Roman"/>
          <w:i/>
        </w:rPr>
        <w:t>Taylor</w:t>
      </w:r>
      <w:r w:rsidRPr="00804A2C">
        <w:rPr>
          <w:rFonts w:cs="Times New Roman"/>
        </w:rPr>
        <w:t xml:space="preserve">, there has been considerable human rights jurisprudence and academic commentary about what constitutes hate speech. The types of expression and devices used to expose groups to hatred were summarized as the “hallmarks of hate” enumerated in </w:t>
      </w:r>
      <w:proofErr w:type="spellStart"/>
      <w:r w:rsidRPr="00804A2C">
        <w:rPr>
          <w:rFonts w:cs="Times New Roman"/>
          <w:i/>
        </w:rPr>
        <w:t>Warman</w:t>
      </w:r>
      <w:proofErr w:type="spellEnd"/>
      <w:r w:rsidRPr="00804A2C">
        <w:rPr>
          <w:rFonts w:cs="Times New Roman"/>
          <w:i/>
        </w:rPr>
        <w:t xml:space="preserve"> v. </w:t>
      </w:r>
      <w:proofErr w:type="spellStart"/>
      <w:r w:rsidRPr="00804A2C">
        <w:rPr>
          <w:rFonts w:cs="Times New Roman"/>
          <w:i/>
        </w:rPr>
        <w:t>Kouba</w:t>
      </w:r>
      <w:proofErr w:type="spellEnd"/>
      <w:r w:rsidRPr="00804A2C">
        <w:rPr>
          <w:rFonts w:cs="Times New Roman"/>
        </w:rPr>
        <w:t>, 200</w:t>
      </w:r>
      <w:r w:rsidR="00DF32B7">
        <w:rPr>
          <w:rFonts w:cs="Times New Roman"/>
        </w:rPr>
        <w:t xml:space="preserve">6 CHRT 50 (CanLII), at </w:t>
      </w:r>
      <w:proofErr w:type="spellStart"/>
      <w:r w:rsidR="00DF32B7">
        <w:rPr>
          <w:rFonts w:cs="Times New Roman"/>
        </w:rPr>
        <w:t>paras</w:t>
      </w:r>
      <w:proofErr w:type="spellEnd"/>
      <w:r w:rsidR="00DF32B7">
        <w:rPr>
          <w:rFonts w:cs="Times New Roman"/>
        </w:rPr>
        <w:t>. 24-</w:t>
      </w:r>
      <w:r w:rsidRPr="00804A2C">
        <w:rPr>
          <w:rFonts w:cs="Times New Roman"/>
        </w:rPr>
        <w:t>81</w:t>
      </w:r>
      <w:proofErr w:type="gramStart"/>
      <w:r w:rsidRPr="00804A2C">
        <w:rPr>
          <w:rFonts w:cs="Times New Roman"/>
        </w:rPr>
        <w:t>.  Hate</w:t>
      </w:r>
      <w:proofErr w:type="gramEnd"/>
      <w:r w:rsidRPr="00804A2C">
        <w:rPr>
          <w:rFonts w:cs="Times New Roman"/>
        </w:rPr>
        <w:t xml:space="preserve"> speech often vilifies the targeted group by blaming its members for the current problems in society, alleging that they are a “powerful menace” (</w:t>
      </w:r>
      <w:proofErr w:type="spellStart"/>
      <w:r w:rsidRPr="00804A2C">
        <w:rPr>
          <w:rFonts w:cs="Times New Roman"/>
        </w:rPr>
        <w:t>para</w:t>
      </w:r>
      <w:proofErr w:type="spellEnd"/>
      <w:r w:rsidRPr="00804A2C">
        <w:rPr>
          <w:rFonts w:cs="Times New Roman"/>
        </w:rPr>
        <w:t>. 2</w:t>
      </w:r>
      <w:r w:rsidR="00DF32B7">
        <w:rPr>
          <w:rFonts w:cs="Times New Roman"/>
        </w:rPr>
        <w:t>4</w:t>
      </w:r>
      <w:r w:rsidRPr="00804A2C">
        <w:rPr>
          <w:rFonts w:cs="Times New Roman"/>
        </w:rPr>
        <w:t>); that they are carrying out secret conspiracies to gain global control (</w:t>
      </w:r>
      <w:r w:rsidRPr="00804A2C">
        <w:rPr>
          <w:rFonts w:cs="Times New Roman"/>
          <w:i/>
        </w:rPr>
        <w:t xml:space="preserve">Citron v. </w:t>
      </w:r>
      <w:proofErr w:type="spellStart"/>
      <w:r w:rsidRPr="00804A2C">
        <w:rPr>
          <w:rFonts w:cs="Times New Roman"/>
          <w:i/>
        </w:rPr>
        <w:t>Zündel</w:t>
      </w:r>
      <w:proofErr w:type="spellEnd"/>
      <w:r w:rsidRPr="00804A2C">
        <w:rPr>
          <w:rFonts w:cs="Times New Roman"/>
          <w:i/>
        </w:rPr>
        <w:t xml:space="preserve"> (No. 4)</w:t>
      </w:r>
      <w:r w:rsidRPr="00804A2C">
        <w:rPr>
          <w:rFonts w:cs="Times New Roman"/>
        </w:rPr>
        <w:t xml:space="preserve"> (2002), 41 C.H.R.R. D/274</w:t>
      </w:r>
      <w:r w:rsidR="00DF32B7">
        <w:rPr>
          <w:rFonts w:cs="Times New Roman"/>
        </w:rPr>
        <w:t xml:space="preserve"> (C.H.R.T.</w:t>
      </w:r>
      <w:r w:rsidR="00AA6585">
        <w:rPr>
          <w:rFonts w:cs="Times New Roman"/>
        </w:rPr>
        <w:t>)</w:t>
      </w:r>
      <w:r w:rsidRPr="00804A2C">
        <w:rPr>
          <w:rFonts w:cs="Times New Roman"/>
        </w:rPr>
        <w:t>); or plotting to destroy western civilization (</w:t>
      </w:r>
      <w:r w:rsidRPr="00804A2C">
        <w:rPr>
          <w:rFonts w:cs="Times New Roman"/>
          <w:i/>
        </w:rPr>
        <w:t>Taylor</w:t>
      </w:r>
      <w:r w:rsidRPr="00804A2C">
        <w:rPr>
          <w:rFonts w:cs="Times New Roman"/>
        </w:rPr>
        <w:t>). Hate speech also further delegitimizes the targeted group by suggesting its members are illegal or unlawful, such as by labelling them “liars, cheats, criminals and thugs” (</w:t>
      </w:r>
      <w:r w:rsidRPr="00804A2C">
        <w:rPr>
          <w:rFonts w:cs="Times New Roman"/>
          <w:i/>
        </w:rPr>
        <w:t>Citron</w:t>
      </w:r>
      <w:r w:rsidRPr="00DF32B7">
        <w:rPr>
          <w:rFonts w:cs="Times New Roman"/>
        </w:rPr>
        <w:t>,</w:t>
      </w:r>
      <w:r w:rsidRPr="00804A2C">
        <w:rPr>
          <w:rFonts w:cs="Times New Roman"/>
        </w:rPr>
        <w:t xml:space="preserve"> at </w:t>
      </w:r>
      <w:proofErr w:type="spellStart"/>
      <w:r w:rsidRPr="00804A2C">
        <w:rPr>
          <w:rFonts w:cs="Times New Roman"/>
        </w:rPr>
        <w:t>para</w:t>
      </w:r>
      <w:proofErr w:type="spellEnd"/>
      <w:r w:rsidRPr="00804A2C">
        <w:rPr>
          <w:rFonts w:cs="Times New Roman"/>
        </w:rPr>
        <w:t>. 140); a “parasitic race” or “pure evil”</w:t>
      </w:r>
      <w:r w:rsidR="00DF32B7">
        <w:rPr>
          <w:rFonts w:cs="Times New Roman"/>
        </w:rPr>
        <w:t>:</w:t>
      </w:r>
      <w:r w:rsidRPr="00804A2C">
        <w:rPr>
          <w:rFonts w:cs="Times New Roman"/>
        </w:rPr>
        <w:t xml:space="preserve"> </w:t>
      </w:r>
      <w:proofErr w:type="spellStart"/>
      <w:r w:rsidRPr="00804A2C">
        <w:rPr>
          <w:rFonts w:cs="Times New Roman"/>
          <w:i/>
          <w:iCs/>
        </w:rPr>
        <w:t>Warman</w:t>
      </w:r>
      <w:proofErr w:type="spellEnd"/>
      <w:r w:rsidRPr="00804A2C">
        <w:rPr>
          <w:rFonts w:cs="Times New Roman"/>
          <w:i/>
          <w:iCs/>
        </w:rPr>
        <w:t xml:space="preserve"> v. </w:t>
      </w:r>
      <w:proofErr w:type="spellStart"/>
      <w:r w:rsidRPr="00804A2C">
        <w:rPr>
          <w:rFonts w:cs="Times New Roman"/>
          <w:i/>
          <w:iCs/>
        </w:rPr>
        <w:t>Tremaine</w:t>
      </w:r>
      <w:proofErr w:type="spellEnd"/>
      <w:r w:rsidRPr="00804A2C">
        <w:rPr>
          <w:rFonts w:cs="Times New Roman"/>
        </w:rPr>
        <w:t xml:space="preserve"> </w:t>
      </w:r>
      <w:r w:rsidRPr="00804A2C">
        <w:rPr>
          <w:rFonts w:cs="Times New Roman"/>
          <w:i/>
        </w:rPr>
        <w:t>(No. 2)</w:t>
      </w:r>
      <w:r w:rsidRPr="00804A2C">
        <w:rPr>
          <w:rFonts w:cs="Times New Roman"/>
        </w:rPr>
        <w:t xml:space="preserve">, 2007 CHRT 2, 59 C.H.R.R. D/391, at </w:t>
      </w:r>
      <w:proofErr w:type="spellStart"/>
      <w:r w:rsidRPr="00804A2C">
        <w:rPr>
          <w:rFonts w:cs="Times New Roman"/>
        </w:rPr>
        <w:t>para</w:t>
      </w:r>
      <w:proofErr w:type="spellEnd"/>
      <w:r w:rsidRPr="00804A2C">
        <w:rPr>
          <w:rFonts w:cs="Times New Roman"/>
        </w:rPr>
        <w:t>. 136.</w:t>
      </w:r>
    </w:p>
    <w:p w:rsidR="00BB1957" w:rsidRPr="00804A2C" w:rsidRDefault="00BB1957" w:rsidP="00BB1957">
      <w:pPr>
        <w:pStyle w:val="ParaNoNdepar-AltN"/>
        <w:rPr>
          <w:rFonts w:cs="Times New Roman"/>
        </w:rPr>
      </w:pPr>
      <w:r w:rsidRPr="00804A2C">
        <w:rPr>
          <w:rFonts w:cs="Times New Roman"/>
        </w:rPr>
        <w:t>Exposure to hatred can also result from expression that equates the targeted group with groups traditionally reviled in society, such as child abusers, pedophiles (</w:t>
      </w:r>
      <w:proofErr w:type="spellStart"/>
      <w:r w:rsidRPr="00804A2C">
        <w:rPr>
          <w:rFonts w:cs="Times New Roman"/>
          <w:i/>
        </w:rPr>
        <w:t>Payzant</w:t>
      </w:r>
      <w:proofErr w:type="spellEnd"/>
      <w:r w:rsidRPr="00804A2C">
        <w:rPr>
          <w:rFonts w:cs="Times New Roman"/>
          <w:i/>
        </w:rPr>
        <w:t xml:space="preserve"> v. </w:t>
      </w:r>
      <w:proofErr w:type="spellStart"/>
      <w:r w:rsidRPr="00804A2C">
        <w:rPr>
          <w:rFonts w:cs="Times New Roman"/>
          <w:i/>
        </w:rPr>
        <w:t>McAleer</w:t>
      </w:r>
      <w:proofErr w:type="spellEnd"/>
      <w:r w:rsidRPr="00804A2C">
        <w:rPr>
          <w:rFonts w:cs="Times New Roman"/>
          <w:i/>
        </w:rPr>
        <w:t xml:space="preserve"> </w:t>
      </w:r>
      <w:r w:rsidRPr="00804A2C">
        <w:rPr>
          <w:rFonts w:cs="Times New Roman"/>
        </w:rPr>
        <w:t>(1994), 26 C.H.R.R. D/271</w:t>
      </w:r>
      <w:r w:rsidR="00DF32B7">
        <w:rPr>
          <w:rFonts w:cs="Times New Roman"/>
        </w:rPr>
        <w:t xml:space="preserve"> (C.H.R.T.)</w:t>
      </w:r>
      <w:r w:rsidRPr="00804A2C">
        <w:rPr>
          <w:rFonts w:cs="Times New Roman"/>
        </w:rPr>
        <w:t xml:space="preserve">, </w:t>
      </w:r>
      <w:proofErr w:type="spellStart"/>
      <w:r w:rsidRPr="00804A2C">
        <w:rPr>
          <w:rFonts w:cs="Times New Roman"/>
        </w:rPr>
        <w:t>aff’d</w:t>
      </w:r>
      <w:proofErr w:type="spellEnd"/>
      <w:r w:rsidRPr="00804A2C">
        <w:rPr>
          <w:rFonts w:cs="Times New Roman"/>
        </w:rPr>
        <w:t xml:space="preserve"> (1996), 26 C.H.R.R. D/280 (F.C.T.D.)</w:t>
      </w:r>
      <w:r w:rsidR="00DF32B7">
        <w:rPr>
          <w:rFonts w:cs="Times New Roman"/>
        </w:rPr>
        <w:t>)</w:t>
      </w:r>
      <w:r w:rsidRPr="00804A2C">
        <w:rPr>
          <w:rFonts w:cs="Times New Roman"/>
        </w:rPr>
        <w:t>, or “deviant criminals who prey on children”</w:t>
      </w:r>
      <w:r w:rsidR="00DF32B7">
        <w:rPr>
          <w:rFonts w:cs="Times New Roman"/>
        </w:rPr>
        <w:t>:</w:t>
      </w:r>
      <w:r w:rsidRPr="00804A2C">
        <w:rPr>
          <w:rFonts w:cs="Times New Roman"/>
        </w:rPr>
        <w:t xml:space="preserve"> </w:t>
      </w:r>
      <w:proofErr w:type="spellStart"/>
      <w:r w:rsidRPr="00804A2C">
        <w:rPr>
          <w:rFonts w:cs="Times New Roman"/>
          <w:i/>
        </w:rPr>
        <w:t>Warman</w:t>
      </w:r>
      <w:proofErr w:type="spellEnd"/>
      <w:r w:rsidRPr="00804A2C">
        <w:rPr>
          <w:rFonts w:cs="Times New Roman"/>
          <w:i/>
        </w:rPr>
        <w:t xml:space="preserve"> v. Northern Alliance</w:t>
      </w:r>
      <w:r w:rsidRPr="00804A2C">
        <w:rPr>
          <w:rFonts w:cs="Times New Roman"/>
        </w:rPr>
        <w:t>,</w:t>
      </w:r>
      <w:r w:rsidRPr="00804A2C">
        <w:rPr>
          <w:rFonts w:cs="Times New Roman"/>
          <w:i/>
        </w:rPr>
        <w:t xml:space="preserve"> </w:t>
      </w:r>
      <w:r w:rsidRPr="00804A2C">
        <w:rPr>
          <w:rFonts w:cs="Times New Roman"/>
        </w:rPr>
        <w:t xml:space="preserve">2009 CHRT 10 (CanLII), at </w:t>
      </w:r>
      <w:proofErr w:type="spellStart"/>
      <w:r w:rsidRPr="00804A2C">
        <w:rPr>
          <w:rFonts w:cs="Times New Roman"/>
        </w:rPr>
        <w:t>para</w:t>
      </w:r>
      <w:proofErr w:type="spellEnd"/>
      <w:r w:rsidRPr="00804A2C">
        <w:rPr>
          <w:rFonts w:cs="Times New Roman"/>
        </w:rPr>
        <w:t xml:space="preserve">. 43. One of the most extreme forms of vilification is to dehumanize a protected group by describing its members as animals or as subhuman.  References to a group as “horrible creatures who ought not </w:t>
      </w:r>
      <w:r w:rsidR="00DF32B7">
        <w:rPr>
          <w:rFonts w:cs="Times New Roman"/>
        </w:rPr>
        <w:t xml:space="preserve">to </w:t>
      </w:r>
      <w:r w:rsidRPr="00804A2C">
        <w:rPr>
          <w:rFonts w:cs="Times New Roman"/>
        </w:rPr>
        <w:t>be allowed to live” (</w:t>
      </w:r>
      <w:r w:rsidRPr="00804A2C">
        <w:rPr>
          <w:rFonts w:cs="Times New Roman"/>
          <w:i/>
        </w:rPr>
        <w:t>Northern Alliance</w:t>
      </w:r>
      <w:r w:rsidR="00DF32B7">
        <w:rPr>
          <w:rFonts w:cs="Times New Roman"/>
        </w:rPr>
        <w:t xml:space="preserve">, at </w:t>
      </w:r>
      <w:proofErr w:type="spellStart"/>
      <w:r w:rsidR="00DF32B7">
        <w:rPr>
          <w:rFonts w:cs="Times New Roman"/>
        </w:rPr>
        <w:t>para</w:t>
      </w:r>
      <w:proofErr w:type="spellEnd"/>
      <w:r w:rsidR="00DF32B7">
        <w:rPr>
          <w:rFonts w:cs="Times New Roman"/>
        </w:rPr>
        <w:t>. 43</w:t>
      </w:r>
      <w:r w:rsidRPr="00804A2C">
        <w:rPr>
          <w:rFonts w:cs="Times New Roman"/>
        </w:rPr>
        <w:t>); “incognizant primates”, “genetically inferior” and “lesser beasts” (</w:t>
      </w:r>
      <w:r w:rsidRPr="00804A2C">
        <w:rPr>
          <w:rFonts w:cs="Times New Roman"/>
          <w:i/>
        </w:rPr>
        <w:t>Center for Research-Action on Race Relations v. www.bcwhitepride.com</w:t>
      </w:r>
      <w:r w:rsidRPr="00804A2C">
        <w:rPr>
          <w:rFonts w:cs="Times New Roman"/>
        </w:rPr>
        <w:t>,</w:t>
      </w:r>
      <w:r w:rsidRPr="00804A2C">
        <w:rPr>
          <w:rFonts w:cs="Times New Roman"/>
          <w:i/>
        </w:rPr>
        <w:t xml:space="preserve"> </w:t>
      </w:r>
      <w:r w:rsidRPr="00804A2C">
        <w:rPr>
          <w:rFonts w:cs="Times New Roman"/>
        </w:rPr>
        <w:t xml:space="preserve">2008 CHRT 1 (CanLII), at </w:t>
      </w:r>
      <w:proofErr w:type="spellStart"/>
      <w:r w:rsidRPr="00804A2C">
        <w:rPr>
          <w:rFonts w:cs="Times New Roman"/>
        </w:rPr>
        <w:t>para</w:t>
      </w:r>
      <w:proofErr w:type="spellEnd"/>
      <w:r w:rsidRPr="00804A2C">
        <w:rPr>
          <w:rFonts w:cs="Times New Roman"/>
        </w:rPr>
        <w:t>. 53); or “sub-human filth” (</w:t>
      </w:r>
      <w:proofErr w:type="spellStart"/>
      <w:r w:rsidRPr="00804A2C">
        <w:rPr>
          <w:rFonts w:cs="Times New Roman"/>
          <w:i/>
        </w:rPr>
        <w:t>Warman</w:t>
      </w:r>
      <w:proofErr w:type="spellEnd"/>
      <w:r w:rsidRPr="00804A2C">
        <w:rPr>
          <w:rFonts w:cs="Times New Roman"/>
          <w:i/>
        </w:rPr>
        <w:t xml:space="preserve"> v. </w:t>
      </w:r>
      <w:proofErr w:type="spellStart"/>
      <w:r w:rsidRPr="00804A2C">
        <w:rPr>
          <w:rFonts w:cs="Times New Roman"/>
          <w:i/>
        </w:rPr>
        <w:t>Winnicki</w:t>
      </w:r>
      <w:proofErr w:type="spellEnd"/>
      <w:r w:rsidRPr="00804A2C">
        <w:rPr>
          <w:rFonts w:cs="Times New Roman"/>
          <w:i/>
        </w:rPr>
        <w:t xml:space="preserve"> (No. 2)</w:t>
      </w:r>
      <w:r w:rsidRPr="00804A2C">
        <w:rPr>
          <w:rFonts w:cs="Times New Roman"/>
        </w:rPr>
        <w:t xml:space="preserve">, 2006 CHRT 20, 56 C.H.R.R. D/381, at </w:t>
      </w:r>
      <w:proofErr w:type="spellStart"/>
      <w:r w:rsidRPr="00804A2C">
        <w:rPr>
          <w:rFonts w:cs="Times New Roman"/>
        </w:rPr>
        <w:t>para</w:t>
      </w:r>
      <w:proofErr w:type="spellEnd"/>
      <w:r w:rsidRPr="00804A2C">
        <w:rPr>
          <w:rFonts w:cs="Times New Roman"/>
        </w:rPr>
        <w:t xml:space="preserve">. 101) are examples of dehumanizing expression that calls into question whether group members qualify as human beings. </w:t>
      </w:r>
    </w:p>
    <w:p w:rsidR="00BB1957" w:rsidRPr="00804A2C" w:rsidRDefault="00BB1957" w:rsidP="00BB1957">
      <w:pPr>
        <w:pStyle w:val="ParaNoNdepar-AltN"/>
        <w:rPr>
          <w:rFonts w:cs="Times New Roman"/>
        </w:rPr>
      </w:pPr>
      <w:r w:rsidRPr="00804A2C">
        <w:rPr>
          <w:rFonts w:cs="Times New Roman"/>
        </w:rPr>
        <w:t xml:space="preserve">As these examples illustrate, courts have been guided by the </w:t>
      </w:r>
      <w:r w:rsidRPr="00804A2C">
        <w:rPr>
          <w:rFonts w:cs="Times New Roman"/>
          <w:i/>
        </w:rPr>
        <w:t xml:space="preserve">Taylor </w:t>
      </w:r>
      <w:r w:rsidRPr="00804A2C">
        <w:rPr>
          <w:rFonts w:cs="Times New Roman"/>
        </w:rPr>
        <w:t>definition of hatred and have generally identified only extreme and egregious examples of delegitimizing expression as hate speech.  This approach excludes merely offensive or hurtful expression from the ambit of the provision and respects the legislature’s choice of a prohibition predicated on “hatred”.</w:t>
      </w:r>
    </w:p>
    <w:p w:rsidR="00BB1957" w:rsidRPr="00804A2C" w:rsidRDefault="00BB1957" w:rsidP="005B4D0F">
      <w:pPr>
        <w:pStyle w:val="TitleTitre-AltT"/>
        <w:tabs>
          <w:tab w:val="clear" w:pos="360"/>
          <w:tab w:val="left" w:pos="1170"/>
        </w:tabs>
        <w:ind w:left="1800" w:hanging="1800"/>
        <w:rPr>
          <w:rFonts w:cs="Times New Roman"/>
          <w:i/>
        </w:rPr>
      </w:pPr>
      <w:bookmarkStart w:id="111" w:name="_Toc341432500"/>
      <w:bookmarkStart w:id="112" w:name="_Toc341686980"/>
      <w:bookmarkStart w:id="113" w:name="_Toc346006803"/>
      <w:bookmarkStart w:id="114" w:name="_Toc349051263"/>
      <w:bookmarkStart w:id="115" w:name="_Toc349051341"/>
      <w:r w:rsidRPr="00804A2C">
        <w:rPr>
          <w:rFonts w:cs="Times New Roman"/>
        </w:rPr>
        <w:tab/>
      </w:r>
      <w:bookmarkStart w:id="116" w:name="_Toc349306896"/>
      <w:bookmarkStart w:id="117" w:name="_Toc349638212"/>
      <w:bookmarkStart w:id="118" w:name="_Toc408212131"/>
      <w:r w:rsidRPr="00804A2C">
        <w:rPr>
          <w:rFonts w:cs="Times New Roman"/>
        </w:rPr>
        <w:t>(b)</w:t>
      </w:r>
      <w:r w:rsidRPr="00804A2C">
        <w:rPr>
          <w:rFonts w:cs="Times New Roman"/>
        </w:rPr>
        <w:tab/>
      </w:r>
      <w:r w:rsidRPr="00804A2C">
        <w:rPr>
          <w:rFonts w:cs="Times New Roman"/>
          <w:i/>
        </w:rPr>
        <w:t>The Legislative Objectives</w:t>
      </w:r>
      <w:bookmarkEnd w:id="111"/>
      <w:bookmarkEnd w:id="112"/>
      <w:bookmarkEnd w:id="113"/>
      <w:bookmarkEnd w:id="114"/>
      <w:bookmarkEnd w:id="115"/>
      <w:bookmarkEnd w:id="116"/>
      <w:bookmarkEnd w:id="117"/>
      <w:bookmarkEnd w:id="118"/>
    </w:p>
    <w:p w:rsidR="00BB1957" w:rsidRPr="00804A2C" w:rsidRDefault="00BB1957" w:rsidP="00BB1957">
      <w:pPr>
        <w:pStyle w:val="ParaNoNdepar-AltN"/>
        <w:rPr>
          <w:rFonts w:cs="Times New Roman"/>
        </w:rPr>
      </w:pPr>
      <w:r w:rsidRPr="00804A2C">
        <w:rPr>
          <w:rFonts w:cs="Times New Roman"/>
        </w:rPr>
        <w:t>As to giving effect to the legislative objectives behind the prohibition, Dickson C.J. stated that there should be “no conflict between providing a meaningful interpretation of s. 13(1) and protecting the s. 2(</w:t>
      </w:r>
      <w:r w:rsidRPr="00804A2C">
        <w:rPr>
          <w:rFonts w:cs="Times New Roman"/>
          <w:i/>
        </w:rPr>
        <w:t>b</w:t>
      </w:r>
      <w:r w:rsidRPr="00804A2C">
        <w:rPr>
          <w:rFonts w:cs="Times New Roman"/>
        </w:rPr>
        <w:t xml:space="preserve">) freedom of expression” guaranteed by the </w:t>
      </w:r>
      <w:r w:rsidRPr="00804A2C">
        <w:rPr>
          <w:rFonts w:cs="Times New Roman"/>
          <w:i/>
        </w:rPr>
        <w:t>Charter</w:t>
      </w:r>
      <w:r w:rsidRPr="00804A2C">
        <w:rPr>
          <w:rFonts w:cs="Times New Roman"/>
        </w:rPr>
        <w:t>, provided that “the interpretation of the words ‘hatred’ and ‘contempt’ is fully informed by an awareness that Parliament’s objective is to protect the equality and dignity of all individuals by reducing the incidence of harm-causing expression”</w:t>
      </w:r>
      <w:r w:rsidR="005B4D0F">
        <w:rPr>
          <w:rFonts w:cs="Times New Roman"/>
        </w:rPr>
        <w:t xml:space="preserve">: </w:t>
      </w:r>
      <w:r w:rsidR="005B4D0F">
        <w:rPr>
          <w:rFonts w:cs="Times New Roman"/>
          <w:i/>
        </w:rPr>
        <w:t>Taylor</w:t>
      </w:r>
      <w:r w:rsidR="005B4D0F">
        <w:rPr>
          <w:rFonts w:cs="Times New Roman"/>
        </w:rPr>
        <w:t xml:space="preserve">, at </w:t>
      </w:r>
      <w:r w:rsidRPr="00804A2C">
        <w:rPr>
          <w:rFonts w:cs="Times New Roman"/>
        </w:rPr>
        <w:t xml:space="preserve">p. 927. Linking the test for hate speech to the specific legislative objectives is </w:t>
      </w:r>
      <w:proofErr w:type="gramStart"/>
      <w:r w:rsidRPr="00804A2C">
        <w:rPr>
          <w:rFonts w:cs="Times New Roman"/>
        </w:rPr>
        <w:t>key</w:t>
      </w:r>
      <w:proofErr w:type="gramEnd"/>
      <w:r w:rsidRPr="00804A2C">
        <w:rPr>
          <w:rFonts w:cs="Times New Roman"/>
        </w:rPr>
        <w:t xml:space="preserve"> to minimizing both subjectivity and </w:t>
      </w:r>
      <w:proofErr w:type="spellStart"/>
      <w:r w:rsidRPr="00804A2C">
        <w:rPr>
          <w:rFonts w:cs="Times New Roman"/>
        </w:rPr>
        <w:t>overbreadth</w:t>
      </w:r>
      <w:proofErr w:type="spellEnd"/>
      <w:r w:rsidRPr="00804A2C">
        <w:rPr>
          <w:rFonts w:cs="Times New Roman"/>
        </w:rPr>
        <w:t xml:space="preserve">. Preventive measures should only prohibit the type of expression expected to cause the harm targeted. Since the decision in </w:t>
      </w:r>
      <w:r w:rsidRPr="00804A2C">
        <w:rPr>
          <w:rFonts w:cs="Times New Roman"/>
          <w:i/>
        </w:rPr>
        <w:t>Taylor</w:t>
      </w:r>
      <w:r w:rsidRPr="00804A2C">
        <w:rPr>
          <w:rFonts w:cs="Times New Roman"/>
        </w:rPr>
        <w:t xml:space="preserve">, courts have confirmed that the “harm” these legislative prohibitions seek to prevent is more than hurt feelings, humiliation or offensiveness: </w:t>
      </w:r>
      <w:r w:rsidRPr="00804A2C">
        <w:rPr>
          <w:rFonts w:cs="Times New Roman"/>
          <w:i/>
        </w:rPr>
        <w:t>Owens</w:t>
      </w:r>
      <w:r w:rsidR="005B4D0F">
        <w:rPr>
          <w:rFonts w:cs="Times New Roman"/>
          <w:i/>
        </w:rPr>
        <w:t xml:space="preserve"> (C.A.)</w:t>
      </w:r>
      <w:r w:rsidRPr="00804A2C">
        <w:rPr>
          <w:rFonts w:cs="Times New Roman"/>
        </w:rPr>
        <w:t xml:space="preserve">, at </w:t>
      </w:r>
      <w:proofErr w:type="spellStart"/>
      <w:r w:rsidRPr="00804A2C">
        <w:rPr>
          <w:rFonts w:cs="Times New Roman"/>
        </w:rPr>
        <w:t>paras</w:t>
      </w:r>
      <w:proofErr w:type="spellEnd"/>
      <w:r w:rsidRPr="00804A2C">
        <w:rPr>
          <w:rFonts w:cs="Times New Roman"/>
        </w:rPr>
        <w:t xml:space="preserve">. 52-53 and 58-60; and </w:t>
      </w:r>
      <w:proofErr w:type="spellStart"/>
      <w:r w:rsidRPr="00804A2C">
        <w:rPr>
          <w:rFonts w:cs="Times New Roman"/>
          <w:i/>
        </w:rPr>
        <w:t>Elmasry</w:t>
      </w:r>
      <w:proofErr w:type="spellEnd"/>
      <w:r w:rsidRPr="00804A2C">
        <w:rPr>
          <w:rFonts w:cs="Times New Roman"/>
        </w:rPr>
        <w:t xml:space="preserve">, at </w:t>
      </w:r>
      <w:proofErr w:type="spellStart"/>
      <w:r w:rsidRPr="00804A2C">
        <w:rPr>
          <w:rFonts w:cs="Times New Roman"/>
        </w:rPr>
        <w:t>paras</w:t>
      </w:r>
      <w:proofErr w:type="spellEnd"/>
      <w:r w:rsidRPr="00804A2C">
        <w:rPr>
          <w:rFonts w:cs="Times New Roman"/>
        </w:rPr>
        <w:t>. 79, 147 and 150.</w:t>
      </w:r>
    </w:p>
    <w:p w:rsidR="00BB1957" w:rsidRPr="00804A2C" w:rsidRDefault="00BB1957" w:rsidP="00BB1957">
      <w:pPr>
        <w:pStyle w:val="ParaNoNdepar-AltN"/>
        <w:rPr>
          <w:rFonts w:cs="Times New Roman"/>
        </w:rPr>
      </w:pPr>
      <w:r w:rsidRPr="00804A2C">
        <w:rPr>
          <w:rFonts w:cs="Times New Roman"/>
        </w:rPr>
        <w:t>A prohibition of hate speech will not eliminate the emotion of hatred from the human experience. Employed in the context of human rights legislation, these prohibitions aim to eliminate the most extreme type of expression that has the potential to incite or inspire discriminatory treatment against protected groups on the basis of a prohibited ground.  In applying hate prohibitions, courts must assess whether the impugned expression is likely to expose a protected group to hatred and potentially lead to the activity that the legislature seeks to eliminate. This ties the analysis to the legislative purpose and works to prevent the prohibition from capturing more expressive activity than is necessary to achieve that objective.</w:t>
      </w:r>
    </w:p>
    <w:p w:rsidR="00BB1957" w:rsidRPr="00804A2C" w:rsidRDefault="00BB1957" w:rsidP="005B4D0F">
      <w:pPr>
        <w:pStyle w:val="TitleTitre-AltT"/>
        <w:tabs>
          <w:tab w:val="clear" w:pos="360"/>
          <w:tab w:val="left" w:pos="540"/>
        </w:tabs>
        <w:ind w:left="540" w:hanging="540"/>
        <w:rPr>
          <w:rFonts w:cs="Times New Roman"/>
        </w:rPr>
      </w:pPr>
      <w:bookmarkStart w:id="119" w:name="_Toc341432501"/>
      <w:bookmarkStart w:id="120" w:name="_Toc341686981"/>
      <w:bookmarkStart w:id="121" w:name="_Toc346006804"/>
      <w:bookmarkStart w:id="122" w:name="_Toc349051264"/>
      <w:bookmarkStart w:id="123" w:name="_Toc349051342"/>
      <w:bookmarkStart w:id="124" w:name="_Toc349306897"/>
      <w:bookmarkStart w:id="125" w:name="_Toc349638213"/>
      <w:bookmarkStart w:id="126" w:name="_Toc408212132"/>
      <w:r w:rsidRPr="00804A2C">
        <w:rPr>
          <w:rFonts w:cs="Times New Roman"/>
        </w:rPr>
        <w:t>D.</w:t>
      </w:r>
      <w:r w:rsidRPr="00804A2C">
        <w:rPr>
          <w:rFonts w:cs="Times New Roman"/>
        </w:rPr>
        <w:tab/>
      </w:r>
      <w:r w:rsidRPr="00804A2C">
        <w:rPr>
          <w:rFonts w:cs="Times New Roman"/>
          <w:i/>
        </w:rPr>
        <w:t>Focusing on the Effects of Hate Speech</w:t>
      </w:r>
      <w:bookmarkEnd w:id="119"/>
      <w:bookmarkEnd w:id="120"/>
      <w:bookmarkEnd w:id="121"/>
      <w:bookmarkEnd w:id="122"/>
      <w:bookmarkEnd w:id="123"/>
      <w:bookmarkEnd w:id="124"/>
      <w:bookmarkEnd w:id="125"/>
      <w:bookmarkEnd w:id="126"/>
    </w:p>
    <w:p w:rsidR="00BB1957" w:rsidRPr="00804A2C" w:rsidRDefault="00BB1957" w:rsidP="00BB1957">
      <w:pPr>
        <w:pStyle w:val="ParaNoNdepar-AltN"/>
        <w:rPr>
          <w:rFonts w:cs="Times New Roman"/>
        </w:rPr>
      </w:pPr>
      <w:r w:rsidRPr="00804A2C">
        <w:rPr>
          <w:rFonts w:cs="Times New Roman"/>
        </w:rPr>
        <w:t>A separate but related conceptual challenge that impedes the proper application of hate speech prohibitions is a mistaken propensity to focus on the nature of the ideas expressed, rather than on the likely effects of the expression. The repugnant content of expression may sidetrack litigants from the proper focus of the analysis.</w:t>
      </w:r>
    </w:p>
    <w:p w:rsidR="00BB1957" w:rsidRPr="00804A2C" w:rsidRDefault="00BB1957" w:rsidP="00BB1957">
      <w:pPr>
        <w:pStyle w:val="ParaNoNdepar-AltN"/>
        <w:rPr>
          <w:rFonts w:cs="Times New Roman"/>
        </w:rPr>
      </w:pPr>
      <w:r w:rsidRPr="00804A2C">
        <w:rPr>
          <w:rFonts w:cs="Times New Roman"/>
        </w:rPr>
        <w:t xml:space="preserve">As explained in </w:t>
      </w:r>
      <w:r w:rsidRPr="00804A2C">
        <w:rPr>
          <w:rFonts w:cs="Times New Roman"/>
          <w:i/>
        </w:rPr>
        <w:t>Irwin Toy Ltd. v. Quebec (Attorney General)</w:t>
      </w:r>
      <w:r w:rsidRPr="00804A2C">
        <w:rPr>
          <w:rFonts w:cs="Times New Roman"/>
        </w:rPr>
        <w:t>,</w:t>
      </w:r>
      <w:r w:rsidRPr="00804A2C">
        <w:rPr>
          <w:rFonts w:cs="Times New Roman"/>
          <w:i/>
        </w:rPr>
        <w:t xml:space="preserve"> </w:t>
      </w:r>
      <w:r w:rsidRPr="00804A2C">
        <w:rPr>
          <w:rFonts w:cs="Times New Roman"/>
        </w:rPr>
        <w:t xml:space="preserve">[1989] 1 S.C.R. 927, at p. 968, freedom of expression was guaranteed in the </w:t>
      </w:r>
      <w:r w:rsidRPr="00804A2C">
        <w:rPr>
          <w:rFonts w:cs="Times New Roman"/>
          <w:i/>
        </w:rPr>
        <w:t>Charter</w:t>
      </w:r>
      <w:r w:rsidRPr="00804A2C">
        <w:rPr>
          <w:rFonts w:cs="Times New Roman"/>
        </w:rPr>
        <w:t xml:space="preserve"> “so as to ensure that everyone can manifest their thoughts, opinions, beliefs, indeed all expressions of the heart and mind, however unpopular, distasteful or contrary to the mainstream”.  If the repugnancy or offensiveness of an idea does not exclude it from </w:t>
      </w:r>
      <w:r w:rsidRPr="00804A2C">
        <w:rPr>
          <w:rFonts w:cs="Times New Roman"/>
          <w:i/>
        </w:rPr>
        <w:t>Charter</w:t>
      </w:r>
      <w:r w:rsidRPr="00804A2C">
        <w:rPr>
          <w:rFonts w:cs="Times New Roman"/>
        </w:rPr>
        <w:t xml:space="preserve"> protection under s. 2(</w:t>
      </w:r>
      <w:r w:rsidRPr="00804A2C">
        <w:rPr>
          <w:rFonts w:cs="Times New Roman"/>
          <w:i/>
        </w:rPr>
        <w:t>b</w:t>
      </w:r>
      <w:r w:rsidRPr="00804A2C">
        <w:rPr>
          <w:rFonts w:cs="Times New Roman"/>
        </w:rPr>
        <w:t xml:space="preserve">), </w:t>
      </w:r>
      <w:r w:rsidR="00876DA4">
        <w:rPr>
          <w:rFonts w:cs="Times New Roman"/>
        </w:rPr>
        <w:t>it</w:t>
      </w:r>
      <w:r w:rsidRPr="00804A2C">
        <w:rPr>
          <w:rFonts w:cs="Times New Roman"/>
        </w:rPr>
        <w:t xml:space="preserve"> cannot, in </w:t>
      </w:r>
      <w:r w:rsidR="00876DA4">
        <w:rPr>
          <w:rFonts w:cs="Times New Roman"/>
        </w:rPr>
        <w:t>itself</w:t>
      </w:r>
      <w:r w:rsidRPr="00804A2C">
        <w:rPr>
          <w:rFonts w:cs="Times New Roman"/>
        </w:rPr>
        <w:t xml:space="preserve">, be sufficient to justify a limitation on expression under </w:t>
      </w:r>
      <w:proofErr w:type="gramStart"/>
      <w:r w:rsidRPr="00804A2C">
        <w:rPr>
          <w:rFonts w:cs="Times New Roman"/>
        </w:rPr>
        <w:t>a</w:t>
      </w:r>
      <w:proofErr w:type="gramEnd"/>
      <w:r w:rsidRPr="00804A2C">
        <w:rPr>
          <w:rFonts w:cs="Times New Roman"/>
        </w:rPr>
        <w:t xml:space="preserve"> s. 1 analysis. A blanket prohibition on the communication of repugnant ideas would offend the core of freedom of expression and could not be viewed as a minimal impairment of that right.</w:t>
      </w:r>
    </w:p>
    <w:p w:rsidR="00BB1957" w:rsidRPr="00804A2C" w:rsidRDefault="00BB1957" w:rsidP="00BB1957">
      <w:pPr>
        <w:pStyle w:val="ParaNoNdepar-AltN"/>
        <w:rPr>
          <w:rFonts w:cs="Times New Roman"/>
        </w:rPr>
      </w:pPr>
      <w:r w:rsidRPr="00804A2C">
        <w:rPr>
          <w:rFonts w:cs="Times New Roman"/>
        </w:rPr>
        <w:t>The distinction between the expression of repugnant ideas and expression which exposes groups to hatred is crucial to understanding the proper application of hate speech prohibitions. Hate speech legislation is not aimed at discouraging repugnant or offensive ideas.  It does not, for example, prohibit expression which debates the merits of reducing the rights of vulnerable groups in society.  It only restricts the use of expression exposing them to hatred as a part of that debate. It does not target the ideas, but their mode of expression in public and the effect that this mode of expression may have.</w:t>
      </w:r>
    </w:p>
    <w:p w:rsidR="00BB1957" w:rsidRPr="00804A2C" w:rsidRDefault="00BB1957" w:rsidP="00BB1957">
      <w:pPr>
        <w:pStyle w:val="ParaNoNdepar-AltN"/>
        <w:rPr>
          <w:rFonts w:eastAsia="Times New Roman" w:cs="Times New Roman"/>
          <w:szCs w:val="24"/>
        </w:rPr>
      </w:pPr>
      <w:r w:rsidRPr="00804A2C">
        <w:rPr>
          <w:rFonts w:cs="Times New Roman"/>
        </w:rPr>
        <w:t>An assessment of whether expression exposes a protected group to hatred must therefore include an evaluation of the likely effects of the expression on its audience. W</w:t>
      </w:r>
      <w:r w:rsidRPr="00804A2C">
        <w:rPr>
          <w:rFonts w:eastAsia="Times New Roman" w:cs="Times New Roman"/>
          <w:szCs w:val="24"/>
        </w:rPr>
        <w:t>ould a reasonable person consider that the expression vilifying a protected group has the potential to lead to discrimination and other harmful effects? This assessment will depend largely on the context and circumstances of each case.</w:t>
      </w:r>
    </w:p>
    <w:p w:rsidR="00BB1957" w:rsidRPr="00804A2C" w:rsidRDefault="00BB1957" w:rsidP="00BB1957">
      <w:pPr>
        <w:pStyle w:val="ParaNoNdepar-AltN"/>
        <w:rPr>
          <w:rFonts w:eastAsia="Times New Roman" w:cs="Times New Roman"/>
          <w:szCs w:val="24"/>
        </w:rPr>
      </w:pPr>
      <w:r w:rsidRPr="00804A2C">
        <w:rPr>
          <w:rFonts w:cs="Times New Roman"/>
        </w:rPr>
        <w:t>For example, in the normal course of events, expression that targets a protected group in the context of satire, or news reports about hate speech perpetrated by someone else, would not likely constitute hate speech. Representations made in private settings would also not be captured by provisions prohibiting publication, display or broadcast of the expression, such as in s. 14(1</w:t>
      </w:r>
      <w:proofErr w:type="gramStart"/>
      <w:r w:rsidRPr="00804A2C">
        <w:rPr>
          <w:rFonts w:cs="Times New Roman"/>
        </w:rPr>
        <w:t>)(</w:t>
      </w:r>
      <w:proofErr w:type="gramEnd"/>
      <w:r w:rsidRPr="005B4D0F">
        <w:rPr>
          <w:rFonts w:cs="Times New Roman"/>
        </w:rPr>
        <w:t>b</w:t>
      </w:r>
      <w:r w:rsidRPr="00804A2C">
        <w:rPr>
          <w:rFonts w:cs="Times New Roman"/>
        </w:rPr>
        <w:t xml:space="preserve">) of the </w:t>
      </w:r>
      <w:r w:rsidRPr="00804A2C">
        <w:rPr>
          <w:rFonts w:cs="Times New Roman"/>
          <w:i/>
        </w:rPr>
        <w:t>Code</w:t>
      </w:r>
      <w:r w:rsidRPr="00804A2C">
        <w:rPr>
          <w:rFonts w:cs="Times New Roman"/>
        </w:rPr>
        <w:t>.  It may also make a difference whether the expression contains a singular remark that comes close to violating the prohibition, or contains a multitude of or repeated, delegitimizing attacks.</w:t>
      </w:r>
    </w:p>
    <w:p w:rsidR="00BB1957" w:rsidRPr="00804A2C" w:rsidRDefault="00BB1957" w:rsidP="00BB1957">
      <w:pPr>
        <w:pStyle w:val="ParaNoNdepar-AltN"/>
        <w:rPr>
          <w:rFonts w:eastAsia="Times New Roman" w:cs="Times New Roman"/>
          <w:szCs w:val="24"/>
        </w:rPr>
      </w:pPr>
      <w:r w:rsidRPr="00804A2C">
        <w:rPr>
          <w:rFonts w:cs="Times New Roman"/>
        </w:rPr>
        <w:t xml:space="preserve">Dickson C.J. emphasized this need to focus on </w:t>
      </w:r>
      <w:r w:rsidRPr="00804A2C">
        <w:rPr>
          <w:rFonts w:cs="Times New Roman"/>
          <w:i/>
        </w:rPr>
        <w:t>the effects</w:t>
      </w:r>
      <w:r w:rsidRPr="00804A2C">
        <w:rPr>
          <w:rFonts w:cs="Times New Roman"/>
        </w:rPr>
        <w:t xml:space="preserve"> of the expression in his reasons in </w:t>
      </w:r>
      <w:r w:rsidRPr="00804A2C">
        <w:rPr>
          <w:rFonts w:cs="Times New Roman"/>
          <w:i/>
        </w:rPr>
        <w:t xml:space="preserve">Taylor.  </w:t>
      </w:r>
      <w:r w:rsidRPr="00804A2C">
        <w:rPr>
          <w:rFonts w:cs="Times New Roman"/>
        </w:rPr>
        <w:t xml:space="preserve">He noted that “the purpose and impact of human rights codes is to </w:t>
      </w:r>
      <w:r w:rsidRPr="00804A2C">
        <w:rPr>
          <w:rFonts w:cs="Times New Roman"/>
          <w:u w:val="single"/>
        </w:rPr>
        <w:t>prevent discriminatory effects</w:t>
      </w:r>
      <w:r w:rsidRPr="00804A2C">
        <w:rPr>
          <w:rFonts w:cs="Times New Roman"/>
        </w:rPr>
        <w:t xml:space="preserve"> rather than to stigmatize and punish those who discriminate” (p. 933 (emphasis added)). The focus of the prohibition against hate propaganda in s. 13(1) of the </w:t>
      </w:r>
      <w:r w:rsidRPr="00804A2C">
        <w:rPr>
          <w:rFonts w:cs="Times New Roman"/>
          <w:i/>
        </w:rPr>
        <w:t>CHRA</w:t>
      </w:r>
      <w:r w:rsidRPr="00804A2C">
        <w:rPr>
          <w:rFonts w:cs="Times New Roman"/>
        </w:rPr>
        <w:t xml:space="preserve"> is “solely upon [its] likely effects” (p. 931). Dickson C.J. reasoned that the preoccupation with the discriminatory effects was understandable, given that systemic discrimination is more widespread than intentional discrimination. Tribunals must focus on the likely effects of impugned expression in order to achieve the preventive goals of anti-discrimination statutes. </w:t>
      </w:r>
    </w:p>
    <w:p w:rsidR="00BB1957" w:rsidRPr="00804A2C" w:rsidRDefault="00BB1957" w:rsidP="005B4D0F">
      <w:pPr>
        <w:pStyle w:val="TitleTitre-AltT"/>
        <w:tabs>
          <w:tab w:val="clear" w:pos="360"/>
          <w:tab w:val="left" w:pos="540"/>
        </w:tabs>
        <w:ind w:left="540" w:hanging="540"/>
        <w:rPr>
          <w:rFonts w:cs="Times New Roman"/>
        </w:rPr>
      </w:pPr>
      <w:bookmarkStart w:id="127" w:name="_Toc341432502"/>
      <w:bookmarkStart w:id="128" w:name="_Toc341686982"/>
      <w:bookmarkStart w:id="129" w:name="_Toc346006805"/>
      <w:bookmarkStart w:id="130" w:name="_Toc349051265"/>
      <w:bookmarkStart w:id="131" w:name="_Toc349051343"/>
      <w:bookmarkStart w:id="132" w:name="_Toc349306898"/>
      <w:bookmarkStart w:id="133" w:name="_Toc349638214"/>
      <w:bookmarkStart w:id="134" w:name="_Toc408212133"/>
      <w:r w:rsidRPr="00804A2C">
        <w:rPr>
          <w:rFonts w:cs="Times New Roman"/>
        </w:rPr>
        <w:t>E.</w:t>
      </w:r>
      <w:r w:rsidRPr="00804A2C">
        <w:rPr>
          <w:rFonts w:cs="Times New Roman"/>
        </w:rPr>
        <w:tab/>
      </w:r>
      <w:r w:rsidRPr="00804A2C">
        <w:rPr>
          <w:rFonts w:cs="Times New Roman"/>
          <w:i/>
        </w:rPr>
        <w:t>Confirming a Modified Definition of “Hatred”</w:t>
      </w:r>
      <w:bookmarkEnd w:id="127"/>
      <w:bookmarkEnd w:id="128"/>
      <w:bookmarkEnd w:id="129"/>
      <w:bookmarkEnd w:id="130"/>
      <w:bookmarkEnd w:id="131"/>
      <w:bookmarkEnd w:id="132"/>
      <w:bookmarkEnd w:id="133"/>
      <w:bookmarkEnd w:id="134"/>
    </w:p>
    <w:p w:rsidR="00BB1957" w:rsidRPr="00804A2C" w:rsidRDefault="00BB1957" w:rsidP="00BB1957">
      <w:pPr>
        <w:pStyle w:val="ParaNoNdepar-AltN"/>
        <w:rPr>
          <w:rFonts w:cs="Times New Roman"/>
        </w:rPr>
      </w:pPr>
      <w:r w:rsidRPr="00804A2C">
        <w:rPr>
          <w:rFonts w:cs="Times New Roman"/>
        </w:rPr>
        <w:t xml:space="preserve">As will be apparent from the preceding discussion, in my view the </w:t>
      </w:r>
      <w:r w:rsidRPr="00804A2C">
        <w:rPr>
          <w:rFonts w:cs="Times New Roman"/>
          <w:i/>
        </w:rPr>
        <w:t>Taylor</w:t>
      </w:r>
      <w:r w:rsidRPr="00804A2C">
        <w:rPr>
          <w:rFonts w:cs="Times New Roman"/>
        </w:rPr>
        <w:t xml:space="preserve"> definition of “hatred”, with some modifications, provides a workable approach to interpreting the word “hatred” as it is used in prohibitions of hate speech. The guidance provided by </w:t>
      </w:r>
      <w:r w:rsidRPr="00804A2C">
        <w:rPr>
          <w:rFonts w:cs="Times New Roman"/>
          <w:i/>
        </w:rPr>
        <w:t xml:space="preserve">Taylor </w:t>
      </w:r>
      <w:r w:rsidRPr="00804A2C">
        <w:rPr>
          <w:rFonts w:cs="Times New Roman"/>
        </w:rPr>
        <w:t>should reduce the risk of subjective applications of such legislative restrictions, provided that three main prescriptions are followed.</w:t>
      </w:r>
    </w:p>
    <w:p w:rsidR="00BB1957" w:rsidRPr="00804A2C" w:rsidRDefault="00BB1957" w:rsidP="00BB1957">
      <w:pPr>
        <w:pStyle w:val="ParaNoNdepar-AltN"/>
        <w:rPr>
          <w:rFonts w:cs="Times New Roman"/>
        </w:rPr>
      </w:pPr>
      <w:r w:rsidRPr="00804A2C">
        <w:rPr>
          <w:rFonts w:cs="Times New Roman"/>
        </w:rPr>
        <w:t xml:space="preserve">First, courts are directed to apply the hate speech prohibitions </w:t>
      </w:r>
      <w:r w:rsidRPr="00804A2C">
        <w:rPr>
          <w:rFonts w:cs="Times New Roman"/>
          <w:i/>
        </w:rPr>
        <w:t>objectively</w:t>
      </w:r>
      <w:r w:rsidRPr="00804A2C">
        <w:rPr>
          <w:rFonts w:cs="Times New Roman"/>
        </w:rPr>
        <w:t xml:space="preserve">. In my view, the reference in </w:t>
      </w:r>
      <w:r w:rsidRPr="00804A2C">
        <w:rPr>
          <w:rFonts w:cs="Times New Roman"/>
          <w:i/>
        </w:rPr>
        <w:t>Taylor</w:t>
      </w:r>
      <w:r w:rsidRPr="00804A2C">
        <w:rPr>
          <w:rFonts w:cs="Times New Roman"/>
        </w:rPr>
        <w:t xml:space="preserve"> to “unusually strong and deep-felt emotions” (at p. 928) should not be interpreted as imposing a subjective test or limiting the analysis to the intensity with which the author of the expression feels the emotion. The question courts must ask is whether a reasonable person, aware of the context and circumstances surrounding the expression, would view it as exposing the protected group to hatred. </w:t>
      </w:r>
    </w:p>
    <w:p w:rsidR="00BB1957" w:rsidRPr="00804A2C" w:rsidRDefault="00BB1957" w:rsidP="00BB1957">
      <w:pPr>
        <w:pStyle w:val="ParaNoNdepar-AltN"/>
        <w:rPr>
          <w:rFonts w:cs="Times New Roman"/>
        </w:rPr>
      </w:pPr>
      <w:r w:rsidRPr="00804A2C">
        <w:rPr>
          <w:rFonts w:cs="Times New Roman"/>
        </w:rPr>
        <w:t xml:space="preserve">Second, the legislative term “hatred” or “hatred </w:t>
      </w:r>
      <w:r w:rsidR="005B4D0F">
        <w:rPr>
          <w:rFonts w:cs="Times New Roman"/>
        </w:rPr>
        <w:t>or</w:t>
      </w:r>
      <w:r w:rsidRPr="00804A2C">
        <w:rPr>
          <w:rFonts w:cs="Times New Roman"/>
        </w:rPr>
        <w:t xml:space="preserve"> contempt” is to be interpreted as being restricted to those extreme manifestations of the emotion described by the words “detestation” and “vilification”.  This filters out expression which, while repugnant and offensive, does not incite the level of abhorrence, </w:t>
      </w:r>
      <w:proofErr w:type="spellStart"/>
      <w:r w:rsidRPr="00804A2C">
        <w:rPr>
          <w:rFonts w:cs="Times New Roman"/>
        </w:rPr>
        <w:t>delegitimization</w:t>
      </w:r>
      <w:proofErr w:type="spellEnd"/>
      <w:r w:rsidRPr="00804A2C">
        <w:rPr>
          <w:rFonts w:cs="Times New Roman"/>
        </w:rPr>
        <w:t xml:space="preserve"> and rejection </w:t>
      </w:r>
      <w:proofErr w:type="gramStart"/>
      <w:r w:rsidRPr="00804A2C">
        <w:rPr>
          <w:rFonts w:cs="Times New Roman"/>
        </w:rPr>
        <w:t>that risks</w:t>
      </w:r>
      <w:proofErr w:type="gramEnd"/>
      <w:r w:rsidRPr="00804A2C">
        <w:rPr>
          <w:rFonts w:cs="Times New Roman"/>
        </w:rPr>
        <w:t xml:space="preserve"> causing discrimination or other harmful effects. </w:t>
      </w:r>
    </w:p>
    <w:p w:rsidR="00BB1957" w:rsidRPr="00804A2C" w:rsidRDefault="00BB1957" w:rsidP="00BB1957">
      <w:pPr>
        <w:pStyle w:val="ParaNoNdepar-AltN"/>
        <w:rPr>
          <w:rFonts w:cs="Times New Roman"/>
        </w:rPr>
      </w:pPr>
      <w:r w:rsidRPr="00804A2C">
        <w:rPr>
          <w:rFonts w:cs="Times New Roman"/>
        </w:rPr>
        <w:t>Third, tribunals must focus their analysis on the effect of the expression at issue. Is the expression likely to expose the targeted person or group to hatred by others?  The repugnancy of the ideas being expressed is not, in itself, sufficient to justify restricting the expression. The prohibition of hate speech is not designed to censor ideas or to compel anyone to think “correctly”. Similarly, it is irrelevant whether the author of the expression intended to incite hatred or discriminatory treatment or other harmful conduct towards the protected group.  The key is to determine the likely effect of the expression on its audience, keeping in mind the legislative objectives to reduce or eliminate discrimination.</w:t>
      </w:r>
    </w:p>
    <w:p w:rsidR="00BB1957" w:rsidRPr="00804A2C" w:rsidRDefault="00BB1957" w:rsidP="00BB1957">
      <w:pPr>
        <w:pStyle w:val="ParaNoNdepar-AltN"/>
        <w:rPr>
          <w:rFonts w:cs="Times New Roman"/>
        </w:rPr>
      </w:pPr>
      <w:r w:rsidRPr="00804A2C">
        <w:rPr>
          <w:rFonts w:cs="Times New Roman"/>
        </w:rPr>
        <w:t xml:space="preserve"> In light of these three principles, where the term “hatred” is used in the context of a prohibition of expression in human rights legislation, it should be applied objectively to determine whether a reasonable person, aware of the context and circumstances, would view the expression as likely to expose a person or persons to detestation and vilification on the basis of a prohibited ground of discrimination.</w:t>
      </w:r>
    </w:p>
    <w:p w:rsidR="00BB1957" w:rsidRPr="00804A2C" w:rsidRDefault="00BB1957" w:rsidP="00BB1957">
      <w:pPr>
        <w:pStyle w:val="ParaNoNdepar-AltN"/>
        <w:rPr>
          <w:rFonts w:cs="Times New Roman"/>
        </w:rPr>
      </w:pPr>
      <w:r w:rsidRPr="00804A2C">
        <w:rPr>
          <w:rFonts w:cs="Times New Roman"/>
        </w:rPr>
        <w:t>I turn now to the constitutionality of s. 14(1</w:t>
      </w:r>
      <w:proofErr w:type="gramStart"/>
      <w:r w:rsidRPr="00804A2C">
        <w:rPr>
          <w:rFonts w:cs="Times New Roman"/>
        </w:rPr>
        <w:t>)(</w:t>
      </w:r>
      <w:proofErr w:type="gramEnd"/>
      <w:r w:rsidRPr="005B4D0F">
        <w:rPr>
          <w:rFonts w:cs="Times New Roman"/>
        </w:rPr>
        <w:t>b</w:t>
      </w:r>
      <w:r w:rsidRPr="00804A2C">
        <w:rPr>
          <w:rFonts w:cs="Times New Roman"/>
        </w:rPr>
        <w:t xml:space="preserve">) of the </w:t>
      </w:r>
      <w:r w:rsidRPr="00804A2C">
        <w:rPr>
          <w:rFonts w:cs="Times New Roman"/>
          <w:i/>
        </w:rPr>
        <w:t>Code</w:t>
      </w:r>
      <w:r w:rsidRPr="00804A2C">
        <w:rPr>
          <w:rFonts w:cs="Times New Roman"/>
        </w:rPr>
        <w:t>.</w:t>
      </w:r>
    </w:p>
    <w:p w:rsidR="00BB1957" w:rsidRPr="00804A2C" w:rsidRDefault="00BB1957" w:rsidP="0058198E">
      <w:pPr>
        <w:pStyle w:val="TitleTitre-AltT"/>
        <w:tabs>
          <w:tab w:val="clear" w:pos="360"/>
        </w:tabs>
        <w:ind w:left="540" w:hanging="540"/>
        <w:rPr>
          <w:rFonts w:cs="Times New Roman"/>
        </w:rPr>
      </w:pPr>
      <w:bookmarkStart w:id="135" w:name="_Toc341432503"/>
      <w:bookmarkStart w:id="136" w:name="_Toc341686983"/>
      <w:bookmarkStart w:id="137" w:name="_Toc346006806"/>
      <w:bookmarkStart w:id="138" w:name="_Toc349051266"/>
      <w:bookmarkStart w:id="139" w:name="_Toc349051344"/>
      <w:bookmarkStart w:id="140" w:name="_Toc349306899"/>
      <w:bookmarkStart w:id="141" w:name="_Toc349638215"/>
      <w:bookmarkStart w:id="142" w:name="_Toc408212134"/>
      <w:r w:rsidRPr="00804A2C">
        <w:rPr>
          <w:rFonts w:cs="Times New Roman"/>
        </w:rPr>
        <w:t>VII.</w:t>
      </w:r>
      <w:r w:rsidRPr="00804A2C">
        <w:rPr>
          <w:rFonts w:cs="Times New Roman"/>
        </w:rPr>
        <w:tab/>
      </w:r>
      <w:r w:rsidR="0058198E">
        <w:rPr>
          <w:rFonts w:cs="Times New Roman"/>
        </w:rPr>
        <w:tab/>
      </w:r>
      <w:r w:rsidRPr="00804A2C">
        <w:rPr>
          <w:rFonts w:cs="Times New Roman"/>
          <w:u w:val="single"/>
        </w:rPr>
        <w:t>Standard of Review in Constitutional Questions</w:t>
      </w:r>
      <w:bookmarkEnd w:id="135"/>
      <w:bookmarkEnd w:id="136"/>
      <w:bookmarkEnd w:id="137"/>
      <w:bookmarkEnd w:id="138"/>
      <w:bookmarkEnd w:id="139"/>
      <w:bookmarkEnd w:id="140"/>
      <w:bookmarkEnd w:id="141"/>
      <w:bookmarkEnd w:id="142"/>
    </w:p>
    <w:p w:rsidR="00BB1957" w:rsidRPr="00804A2C" w:rsidRDefault="00BB1957" w:rsidP="00BB1957">
      <w:pPr>
        <w:pStyle w:val="ParaNoNdepar-AltN"/>
        <w:rPr>
          <w:rFonts w:cs="Times New Roman"/>
          <w:szCs w:val="24"/>
          <w:lang w:val="en-US"/>
        </w:rPr>
      </w:pPr>
      <w:r w:rsidRPr="00804A2C">
        <w:rPr>
          <w:rFonts w:cs="Times New Roman"/>
        </w:rPr>
        <w:t>The standard of review on the constitutionality of s. 14(1</w:t>
      </w:r>
      <w:proofErr w:type="gramStart"/>
      <w:r w:rsidRPr="00804A2C">
        <w:rPr>
          <w:rFonts w:cs="Times New Roman"/>
        </w:rPr>
        <w:t>)(</w:t>
      </w:r>
      <w:proofErr w:type="gramEnd"/>
      <w:r w:rsidRPr="005B4D0F">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is correctness</w:t>
      </w:r>
      <w:r w:rsidR="005B4D0F">
        <w:rPr>
          <w:rFonts w:cs="Times New Roman"/>
        </w:rPr>
        <w:t>:</w:t>
      </w:r>
      <w:r w:rsidRPr="00804A2C">
        <w:rPr>
          <w:rFonts w:cs="Times New Roman"/>
        </w:rPr>
        <w:t xml:space="preserve"> see </w:t>
      </w:r>
      <w:r w:rsidRPr="00804A2C">
        <w:rPr>
          <w:rFonts w:cs="Times New Roman"/>
          <w:i/>
          <w:szCs w:val="24"/>
          <w:lang w:val="en-US"/>
        </w:rPr>
        <w:t xml:space="preserve">Dunsmuir </w:t>
      </w:r>
      <w:r w:rsidRPr="00804A2C">
        <w:rPr>
          <w:rFonts w:cs="Times New Roman"/>
          <w:i/>
          <w:iCs/>
          <w:szCs w:val="24"/>
          <w:lang w:val="en-US"/>
        </w:rPr>
        <w:t>v</w:t>
      </w:r>
      <w:r w:rsidRPr="00804A2C">
        <w:rPr>
          <w:rFonts w:cs="Times New Roman"/>
          <w:i/>
          <w:szCs w:val="24"/>
          <w:lang w:val="en-US"/>
        </w:rPr>
        <w:t>. New Brunswick</w:t>
      </w:r>
      <w:r w:rsidRPr="00804A2C">
        <w:rPr>
          <w:rFonts w:cs="Times New Roman"/>
          <w:szCs w:val="24"/>
          <w:lang w:val="en-US"/>
        </w:rPr>
        <w:t xml:space="preserve">, 2008 SCC 9, [2008] 1 S.C.R. 190, at </w:t>
      </w:r>
      <w:proofErr w:type="spellStart"/>
      <w:r w:rsidRPr="00804A2C">
        <w:rPr>
          <w:rFonts w:cs="Times New Roman"/>
          <w:szCs w:val="24"/>
          <w:lang w:val="en-US"/>
        </w:rPr>
        <w:t>para</w:t>
      </w:r>
      <w:proofErr w:type="spellEnd"/>
      <w:r w:rsidRPr="00804A2C">
        <w:rPr>
          <w:rFonts w:cs="Times New Roman"/>
          <w:szCs w:val="24"/>
          <w:lang w:val="en-US"/>
        </w:rPr>
        <w:t>. 58.</w:t>
      </w:r>
    </w:p>
    <w:p w:rsidR="00BB1957" w:rsidRPr="00804A2C" w:rsidRDefault="00BB1957" w:rsidP="005B4D0F">
      <w:pPr>
        <w:pStyle w:val="TitleTitre-AltT"/>
        <w:tabs>
          <w:tab w:val="clear" w:pos="360"/>
          <w:tab w:val="left" w:pos="540"/>
        </w:tabs>
        <w:ind w:left="540" w:hanging="540"/>
        <w:rPr>
          <w:rFonts w:cs="Times New Roman"/>
        </w:rPr>
      </w:pPr>
      <w:bookmarkStart w:id="143" w:name="_Toc341432504"/>
      <w:bookmarkStart w:id="144" w:name="_Toc341686984"/>
      <w:bookmarkStart w:id="145" w:name="_Toc346006807"/>
      <w:bookmarkStart w:id="146" w:name="_Toc349051267"/>
      <w:bookmarkStart w:id="147" w:name="_Toc349051345"/>
      <w:bookmarkStart w:id="148" w:name="_Toc349306900"/>
      <w:bookmarkStart w:id="149" w:name="_Toc349638216"/>
      <w:bookmarkStart w:id="150" w:name="_Toc408212135"/>
      <w:r w:rsidRPr="00804A2C">
        <w:rPr>
          <w:rFonts w:cs="Times New Roman"/>
        </w:rPr>
        <w:t>VIII.</w:t>
      </w:r>
      <w:r w:rsidRPr="00804A2C">
        <w:rPr>
          <w:rFonts w:cs="Times New Roman"/>
        </w:rPr>
        <w:tab/>
      </w:r>
      <w:r w:rsidRPr="00804A2C">
        <w:rPr>
          <w:rFonts w:cs="Times New Roman"/>
          <w:u w:val="single"/>
        </w:rPr>
        <w:t>Constitutional Analysis</w:t>
      </w:r>
      <w:bookmarkEnd w:id="143"/>
      <w:bookmarkEnd w:id="144"/>
      <w:bookmarkEnd w:id="145"/>
      <w:bookmarkEnd w:id="146"/>
      <w:bookmarkEnd w:id="147"/>
      <w:bookmarkEnd w:id="148"/>
      <w:bookmarkEnd w:id="149"/>
      <w:bookmarkEnd w:id="150"/>
    </w:p>
    <w:p w:rsidR="00BB1957" w:rsidRPr="00804A2C" w:rsidRDefault="00BB1957" w:rsidP="005B4D0F">
      <w:pPr>
        <w:pStyle w:val="TitleTitre-AltT"/>
        <w:tabs>
          <w:tab w:val="clear" w:pos="360"/>
          <w:tab w:val="left" w:pos="540"/>
          <w:tab w:val="left" w:pos="1170"/>
        </w:tabs>
        <w:ind w:left="540" w:hanging="540"/>
        <w:rPr>
          <w:rFonts w:cs="Times New Roman"/>
        </w:rPr>
      </w:pPr>
      <w:bookmarkStart w:id="151" w:name="_Toc341432505"/>
      <w:bookmarkStart w:id="152" w:name="_Toc341686985"/>
      <w:bookmarkStart w:id="153" w:name="_Toc346006808"/>
      <w:bookmarkStart w:id="154" w:name="_Toc349051268"/>
      <w:bookmarkStart w:id="155" w:name="_Toc349051346"/>
      <w:bookmarkStart w:id="156" w:name="_Toc349306901"/>
      <w:bookmarkStart w:id="157" w:name="_Toc349638217"/>
      <w:bookmarkStart w:id="158" w:name="_Toc408212136"/>
      <w:r w:rsidRPr="00804A2C">
        <w:rPr>
          <w:rFonts w:cs="Times New Roman"/>
        </w:rPr>
        <w:t>A.</w:t>
      </w:r>
      <w:r w:rsidRPr="00804A2C">
        <w:rPr>
          <w:rFonts w:cs="Times New Roman"/>
        </w:rPr>
        <w:tab/>
      </w:r>
      <w:r w:rsidRPr="00804A2C">
        <w:rPr>
          <w:rFonts w:cs="Times New Roman"/>
          <w:i/>
        </w:rPr>
        <w:t>Whether Section 14(1</w:t>
      </w:r>
      <w:proofErr w:type="gramStart"/>
      <w:r w:rsidRPr="00804A2C">
        <w:rPr>
          <w:rFonts w:cs="Times New Roman"/>
          <w:i/>
        </w:rPr>
        <w:t>)(</w:t>
      </w:r>
      <w:proofErr w:type="gramEnd"/>
      <w:r w:rsidRPr="00804A2C">
        <w:rPr>
          <w:rFonts w:cs="Times New Roman"/>
          <w:i/>
        </w:rPr>
        <w:t>b) Infringes Freedom of Expression Under Section 2(b) of the Charter</w:t>
      </w:r>
      <w:bookmarkEnd w:id="151"/>
      <w:bookmarkEnd w:id="152"/>
      <w:bookmarkEnd w:id="153"/>
      <w:bookmarkEnd w:id="154"/>
      <w:bookmarkEnd w:id="155"/>
      <w:bookmarkEnd w:id="156"/>
      <w:bookmarkEnd w:id="157"/>
      <w:bookmarkEnd w:id="158"/>
    </w:p>
    <w:p w:rsidR="00BB1957" w:rsidRPr="00804A2C" w:rsidRDefault="00BB1957" w:rsidP="00BB1957">
      <w:pPr>
        <w:pStyle w:val="ParaNoNdepar-AltN"/>
        <w:rPr>
          <w:rFonts w:cs="Times New Roman"/>
        </w:rPr>
      </w:pPr>
      <w:r w:rsidRPr="00804A2C">
        <w:rPr>
          <w:rFonts w:cs="Times New Roman"/>
        </w:rPr>
        <w:t xml:space="preserve">Applying the framework most recently described by this Court in </w:t>
      </w:r>
      <w:r w:rsidRPr="00804A2C">
        <w:rPr>
          <w:rFonts w:cs="Times New Roman"/>
          <w:i/>
        </w:rPr>
        <w:t>Canadian Broadcasting Corp. v. Canada (Attorney General)</w:t>
      </w:r>
      <w:r w:rsidRPr="00804A2C">
        <w:rPr>
          <w:rFonts w:cs="Times New Roman"/>
        </w:rPr>
        <w:t>, 2011 SCC 2, [2011] 1 S.C.R. 19 (“</w:t>
      </w:r>
      <w:r w:rsidRPr="00804A2C">
        <w:rPr>
          <w:rFonts w:cs="Times New Roman"/>
          <w:i/>
        </w:rPr>
        <w:t>CBC</w:t>
      </w:r>
      <w:r w:rsidRPr="00804A2C">
        <w:rPr>
          <w:rFonts w:cs="Times New Roman"/>
        </w:rPr>
        <w:t>”), I agree with the concession by the Commission that</w:t>
      </w:r>
      <w:r w:rsidRPr="00804A2C">
        <w:rPr>
          <w:rFonts w:eastAsia="Times New Roman" w:cs="Times New Roman"/>
        </w:rPr>
        <w:t xml:space="preserve"> the statutory prohibition against hate </w:t>
      </w:r>
      <w:r w:rsidRPr="00804A2C">
        <w:rPr>
          <w:rFonts w:cs="Times New Roman"/>
        </w:rPr>
        <w:t>speech infringes the freedom of expression guaranteed under s. 2(</w:t>
      </w:r>
      <w:r w:rsidRPr="00804A2C">
        <w:rPr>
          <w:rFonts w:cs="Times New Roman"/>
          <w:i/>
        </w:rPr>
        <w:t>b</w:t>
      </w:r>
      <w:r w:rsidRPr="00804A2C">
        <w:rPr>
          <w:rFonts w:cs="Times New Roman"/>
        </w:rPr>
        <w:t xml:space="preserve">) of the </w:t>
      </w:r>
      <w:r w:rsidRPr="00804A2C">
        <w:rPr>
          <w:rFonts w:cs="Times New Roman"/>
          <w:i/>
        </w:rPr>
        <w:t>Charter</w:t>
      </w:r>
      <w:r w:rsidRPr="00804A2C">
        <w:rPr>
          <w:rFonts w:cs="Times New Roman"/>
        </w:rPr>
        <w:t>. The activity described in s. 14(1</w:t>
      </w:r>
      <w:proofErr w:type="gramStart"/>
      <w:r w:rsidRPr="00804A2C">
        <w:rPr>
          <w:rFonts w:cs="Times New Roman"/>
        </w:rPr>
        <w:t>)(</w:t>
      </w:r>
      <w:proofErr w:type="gramEnd"/>
      <w:r w:rsidRPr="005B4D0F">
        <w:rPr>
          <w:rFonts w:cs="Times New Roman"/>
        </w:rPr>
        <w:t>b</w:t>
      </w:r>
      <w:r w:rsidRPr="00804A2C">
        <w:rPr>
          <w:rFonts w:cs="Times New Roman"/>
        </w:rPr>
        <w:t>) — the publication or display of certain types of expression — has expressive content and falls within the scope of s. 2(</w:t>
      </w:r>
      <w:r w:rsidRPr="00804A2C">
        <w:rPr>
          <w:rFonts w:cs="Times New Roman"/>
          <w:i/>
          <w:iCs/>
        </w:rPr>
        <w:t>b</w:t>
      </w:r>
      <w:r w:rsidRPr="00804A2C">
        <w:rPr>
          <w:rFonts w:cs="Times New Roman"/>
        </w:rPr>
        <w:t>) protection. The purpose of s. 14(1</w:t>
      </w:r>
      <w:proofErr w:type="gramStart"/>
      <w:r w:rsidRPr="00804A2C">
        <w:rPr>
          <w:rFonts w:cs="Times New Roman"/>
        </w:rPr>
        <w:t>)(</w:t>
      </w:r>
      <w:proofErr w:type="gramEnd"/>
      <w:r w:rsidRPr="005B4D0F">
        <w:rPr>
          <w:rFonts w:cs="Times New Roman"/>
        </w:rPr>
        <w:t>b</w:t>
      </w:r>
      <w:r w:rsidRPr="00804A2C">
        <w:rPr>
          <w:rFonts w:cs="Times New Roman"/>
        </w:rPr>
        <w:t>) is to prevent discrimination by curtailing certain types of public expression.</w:t>
      </w:r>
    </w:p>
    <w:p w:rsidR="00BB1957" w:rsidRPr="00804A2C" w:rsidRDefault="00BB1957" w:rsidP="005B4D0F">
      <w:pPr>
        <w:pStyle w:val="TitleTitre-AltT"/>
        <w:tabs>
          <w:tab w:val="clear" w:pos="360"/>
          <w:tab w:val="left" w:pos="540"/>
        </w:tabs>
        <w:ind w:left="540" w:hanging="540"/>
        <w:rPr>
          <w:rFonts w:cs="Times New Roman"/>
          <w:u w:val="single"/>
        </w:rPr>
      </w:pPr>
      <w:bookmarkStart w:id="159" w:name="_Toc341432506"/>
      <w:bookmarkStart w:id="160" w:name="_Toc341686986"/>
      <w:bookmarkStart w:id="161" w:name="_Toc346006809"/>
      <w:bookmarkStart w:id="162" w:name="_Toc349051269"/>
      <w:bookmarkStart w:id="163" w:name="_Toc349051347"/>
      <w:bookmarkStart w:id="164" w:name="_Toc349306902"/>
      <w:bookmarkStart w:id="165" w:name="_Toc349638218"/>
      <w:bookmarkStart w:id="166" w:name="_Toc408212137"/>
      <w:r w:rsidRPr="00804A2C">
        <w:rPr>
          <w:rFonts w:cs="Times New Roman"/>
        </w:rPr>
        <w:t>B.</w:t>
      </w:r>
      <w:r w:rsidRPr="00804A2C">
        <w:rPr>
          <w:rFonts w:cs="Times New Roman"/>
        </w:rPr>
        <w:tab/>
      </w:r>
      <w:r w:rsidRPr="00804A2C">
        <w:rPr>
          <w:rFonts w:cs="Times New Roman"/>
          <w:i/>
        </w:rPr>
        <w:t>Section 1 — Whether the Infringement Is Demonstrably Justified in a Free and Democratic Society</w:t>
      </w:r>
      <w:bookmarkEnd w:id="159"/>
      <w:bookmarkEnd w:id="160"/>
      <w:bookmarkEnd w:id="161"/>
      <w:bookmarkEnd w:id="162"/>
      <w:bookmarkEnd w:id="163"/>
      <w:bookmarkEnd w:id="164"/>
      <w:bookmarkEnd w:id="165"/>
      <w:bookmarkEnd w:id="166"/>
    </w:p>
    <w:p w:rsidR="00BB1957" w:rsidRPr="00804A2C" w:rsidRDefault="00BB1957" w:rsidP="00BB1957">
      <w:pPr>
        <w:pStyle w:val="ParaNoNdepar-AltN"/>
        <w:rPr>
          <w:rFonts w:cs="Times New Roman"/>
        </w:rPr>
      </w:pPr>
      <w:r w:rsidRPr="00804A2C">
        <w:rPr>
          <w:rFonts w:cs="Times New Roman"/>
        </w:rPr>
        <w:t>Having found that the provision infringes s. 2(</w:t>
      </w:r>
      <w:r w:rsidRPr="00804A2C">
        <w:rPr>
          <w:rFonts w:cs="Times New Roman"/>
          <w:i/>
        </w:rPr>
        <w:t>b</w:t>
      </w:r>
      <w:r w:rsidRPr="00804A2C">
        <w:rPr>
          <w:rFonts w:cs="Times New Roman"/>
        </w:rPr>
        <w:t xml:space="preserve">) of the </w:t>
      </w:r>
      <w:r w:rsidRPr="00804A2C">
        <w:rPr>
          <w:rFonts w:cs="Times New Roman"/>
          <w:i/>
        </w:rPr>
        <w:t>Charter</w:t>
      </w:r>
      <w:r w:rsidRPr="00804A2C">
        <w:rPr>
          <w:rFonts w:cs="Times New Roman"/>
        </w:rPr>
        <w:t>, I turn to whether it may be saved under s. 1.</w:t>
      </w:r>
    </w:p>
    <w:p w:rsidR="00BB1957" w:rsidRDefault="00BB1957" w:rsidP="00BB1957">
      <w:pPr>
        <w:pStyle w:val="TitleTitre-AltT"/>
        <w:tabs>
          <w:tab w:val="clear" w:pos="360"/>
          <w:tab w:val="left" w:pos="1800"/>
        </w:tabs>
        <w:ind w:left="1800" w:hanging="630"/>
        <w:rPr>
          <w:rFonts w:cs="Times New Roman"/>
          <w:u w:val="single"/>
        </w:rPr>
      </w:pPr>
      <w:bookmarkStart w:id="167" w:name="_Toc341432507"/>
      <w:bookmarkStart w:id="168" w:name="_Toc341686987"/>
      <w:bookmarkStart w:id="169" w:name="_Toc346006810"/>
      <w:bookmarkStart w:id="170" w:name="_Toc349051270"/>
      <w:bookmarkStart w:id="171" w:name="_Toc349051348"/>
      <w:bookmarkStart w:id="172" w:name="_Toc349306903"/>
      <w:bookmarkStart w:id="173" w:name="_Toc349638219"/>
      <w:bookmarkStart w:id="174" w:name="_Toc408212138"/>
      <w:r>
        <w:rPr>
          <w:rFonts w:cs="Times New Roman"/>
        </w:rPr>
        <w:t>(1)</w:t>
      </w:r>
      <w:r>
        <w:rPr>
          <w:rFonts w:cs="Times New Roman"/>
        </w:rPr>
        <w:tab/>
      </w:r>
      <w:r w:rsidRPr="00804A2C">
        <w:rPr>
          <w:rFonts w:cs="Times New Roman"/>
          <w:u w:val="single"/>
        </w:rPr>
        <w:t xml:space="preserve">The Approach to Freedom of Expression </w:t>
      </w:r>
      <w:proofErr w:type="gramStart"/>
      <w:r w:rsidR="005B4D0F">
        <w:rPr>
          <w:rFonts w:cs="Times New Roman"/>
          <w:u w:val="single"/>
        </w:rPr>
        <w:t>U</w:t>
      </w:r>
      <w:r w:rsidRPr="00804A2C">
        <w:rPr>
          <w:rFonts w:cs="Times New Roman"/>
          <w:u w:val="single"/>
        </w:rPr>
        <w:t>nder</w:t>
      </w:r>
      <w:proofErr w:type="gramEnd"/>
      <w:r w:rsidRPr="00804A2C">
        <w:rPr>
          <w:rFonts w:cs="Times New Roman"/>
          <w:u w:val="single"/>
        </w:rPr>
        <w:t xml:space="preserve"> Section 1</w:t>
      </w:r>
      <w:bookmarkEnd w:id="167"/>
      <w:bookmarkEnd w:id="168"/>
      <w:bookmarkEnd w:id="169"/>
      <w:bookmarkEnd w:id="170"/>
      <w:bookmarkEnd w:id="171"/>
      <w:bookmarkEnd w:id="172"/>
      <w:bookmarkEnd w:id="173"/>
      <w:bookmarkEnd w:id="174"/>
    </w:p>
    <w:p w:rsidR="00BB1957" w:rsidRPr="00804A2C" w:rsidRDefault="00BB1957" w:rsidP="00BB1957">
      <w:pPr>
        <w:pStyle w:val="ParaNoNdepar-AltN"/>
        <w:rPr>
          <w:rFonts w:cs="Times New Roman"/>
          <w:spacing w:val="-3"/>
        </w:rPr>
      </w:pPr>
      <w:r w:rsidRPr="00804A2C">
        <w:rPr>
          <w:rFonts w:cs="Times New Roman"/>
        </w:rPr>
        <w:t xml:space="preserve">Freedom of expression is central to our democracy.  Nonetheless, this Court has consistently found that </w:t>
      </w:r>
      <w:r w:rsidRPr="00804A2C">
        <w:rPr>
          <w:rFonts w:eastAsia="Times New Roman" w:cs="Times New Roman"/>
        </w:rPr>
        <w:t xml:space="preserve">the right to freedom of expression is not absolute and limitations of freedom of expression may be justified under s. 1: see </w:t>
      </w:r>
      <w:r w:rsidRPr="00804A2C">
        <w:rPr>
          <w:rFonts w:eastAsia="Times New Roman" w:cs="Times New Roman"/>
          <w:i/>
        </w:rPr>
        <w:t>Irwin Toy</w:t>
      </w:r>
      <w:r w:rsidRPr="00804A2C">
        <w:rPr>
          <w:rFonts w:eastAsia="Times New Roman" w:cs="Times New Roman"/>
        </w:rPr>
        <w:t>;</w:t>
      </w:r>
      <w:r w:rsidRPr="00804A2C">
        <w:rPr>
          <w:rFonts w:eastAsia="Times New Roman" w:cs="Times New Roman"/>
          <w:i/>
        </w:rPr>
        <w:t xml:space="preserve"> </w:t>
      </w:r>
      <w:proofErr w:type="spellStart"/>
      <w:r w:rsidRPr="00804A2C">
        <w:rPr>
          <w:rFonts w:eastAsia="Times New Roman" w:cs="Times New Roman"/>
          <w:i/>
        </w:rPr>
        <w:t>Keegstra</w:t>
      </w:r>
      <w:proofErr w:type="spellEnd"/>
      <w:r w:rsidRPr="00804A2C">
        <w:rPr>
          <w:rFonts w:eastAsia="Times New Roman" w:cs="Times New Roman"/>
        </w:rPr>
        <w:t>;</w:t>
      </w:r>
      <w:r w:rsidRPr="00804A2C">
        <w:rPr>
          <w:rFonts w:eastAsia="Times New Roman" w:cs="Times New Roman"/>
          <w:i/>
        </w:rPr>
        <w:t xml:space="preserve"> Taylor</w:t>
      </w:r>
      <w:r w:rsidRPr="00804A2C">
        <w:rPr>
          <w:rFonts w:eastAsia="Times New Roman" w:cs="Times New Roman"/>
        </w:rPr>
        <w:t>;</w:t>
      </w:r>
      <w:r w:rsidRPr="00804A2C">
        <w:rPr>
          <w:rFonts w:eastAsia="Times New Roman" w:cs="Times New Roman"/>
          <w:i/>
        </w:rPr>
        <w:t xml:space="preserve"> R. v. Butler</w:t>
      </w:r>
      <w:r w:rsidRPr="00804A2C">
        <w:rPr>
          <w:rFonts w:eastAsia="Times New Roman" w:cs="Times New Roman"/>
        </w:rPr>
        <w:t>,</w:t>
      </w:r>
      <w:r w:rsidRPr="00804A2C">
        <w:rPr>
          <w:rFonts w:eastAsia="Times New Roman" w:cs="Times New Roman"/>
          <w:i/>
        </w:rPr>
        <w:t xml:space="preserve"> </w:t>
      </w:r>
      <w:r w:rsidRPr="00804A2C">
        <w:rPr>
          <w:rFonts w:eastAsia="Times New Roman" w:cs="Times New Roman"/>
        </w:rPr>
        <w:t>[</w:t>
      </w:r>
      <w:r w:rsidRPr="00804A2C">
        <w:rPr>
          <w:rFonts w:eastAsia="Times New Roman" w:cs="Times New Roman"/>
          <w:spacing w:val="-3"/>
        </w:rPr>
        <w:t xml:space="preserve">1992] 1 S.C.R. 452; </w:t>
      </w:r>
      <w:r w:rsidRPr="00804A2C">
        <w:rPr>
          <w:rFonts w:cs="Times New Roman"/>
          <w:i/>
        </w:rPr>
        <w:t>R. v.</w:t>
      </w:r>
      <w:r w:rsidRPr="00804A2C">
        <w:rPr>
          <w:rFonts w:cs="Times New Roman"/>
        </w:rPr>
        <w:t xml:space="preserve"> </w:t>
      </w:r>
      <w:r w:rsidRPr="00804A2C">
        <w:rPr>
          <w:rFonts w:cs="Times New Roman"/>
          <w:i/>
        </w:rPr>
        <w:t>Sharpe</w:t>
      </w:r>
      <w:r w:rsidRPr="00804A2C">
        <w:rPr>
          <w:rFonts w:cs="Times New Roman"/>
        </w:rPr>
        <w:t>,</w:t>
      </w:r>
      <w:r w:rsidRPr="00804A2C">
        <w:rPr>
          <w:rFonts w:cs="Times New Roman"/>
          <w:i/>
        </w:rPr>
        <w:t xml:space="preserve"> </w:t>
      </w:r>
      <w:r w:rsidRPr="00804A2C">
        <w:rPr>
          <w:rFonts w:cs="Times New Roman"/>
        </w:rPr>
        <w:t xml:space="preserve">2001 SCC 2, [2001] 1 S.C.R. 45; and </w:t>
      </w:r>
      <w:r w:rsidRPr="00804A2C">
        <w:rPr>
          <w:rFonts w:eastAsia="Times New Roman" w:cs="Times New Roman"/>
          <w:i/>
        </w:rPr>
        <w:t>CBC</w:t>
      </w:r>
      <w:r w:rsidRPr="00804A2C">
        <w:rPr>
          <w:rFonts w:eastAsia="Times New Roman" w:cs="Times New Roman"/>
        </w:rPr>
        <w:t xml:space="preserve">.  </w:t>
      </w:r>
      <w:r w:rsidRPr="00804A2C">
        <w:rPr>
          <w:rFonts w:cs="Times New Roman"/>
        </w:rPr>
        <w:t xml:space="preserve">Section 1 both “guarantees and limits </w:t>
      </w:r>
      <w:r w:rsidRPr="00804A2C">
        <w:rPr>
          <w:rFonts w:cs="Times New Roman"/>
          <w:i/>
        </w:rPr>
        <w:t>Charter</w:t>
      </w:r>
      <w:r w:rsidRPr="00804A2C">
        <w:rPr>
          <w:rFonts w:cs="Times New Roman"/>
        </w:rPr>
        <w:t xml:space="preserve"> rights and freedoms by reference to principles fundamental in a free and democratic society”</w:t>
      </w:r>
      <w:r w:rsidR="005B4D0F">
        <w:rPr>
          <w:rFonts w:cs="Times New Roman"/>
        </w:rPr>
        <w:t>:</w:t>
      </w:r>
      <w:r w:rsidRPr="00804A2C">
        <w:rPr>
          <w:rFonts w:cs="Times New Roman"/>
        </w:rPr>
        <w:t xml:space="preserve"> </w:t>
      </w:r>
      <w:r w:rsidRPr="00804A2C">
        <w:rPr>
          <w:rFonts w:cs="Times New Roman"/>
          <w:i/>
        </w:rPr>
        <w:t>Taylor</w:t>
      </w:r>
      <w:r w:rsidRPr="00804A2C">
        <w:rPr>
          <w:rFonts w:cs="Times New Roman"/>
        </w:rPr>
        <w:t>, at</w:t>
      </w:r>
      <w:r w:rsidRPr="00804A2C">
        <w:rPr>
          <w:rFonts w:cs="Times New Roman"/>
          <w:i/>
        </w:rPr>
        <w:t xml:space="preserve"> </w:t>
      </w:r>
      <w:r w:rsidRPr="00804A2C">
        <w:rPr>
          <w:rFonts w:cs="Times New Roman"/>
        </w:rPr>
        <w:t xml:space="preserve">p. 916, </w:t>
      </w:r>
      <w:r w:rsidRPr="00804A2C">
        <w:rPr>
          <w:rFonts w:cs="Times New Roman"/>
          <w:i/>
        </w:rPr>
        <w:t>per</w:t>
      </w:r>
      <w:r w:rsidRPr="00804A2C">
        <w:rPr>
          <w:rFonts w:cs="Times New Roman"/>
        </w:rPr>
        <w:t xml:space="preserve"> Dickson C.J.</w:t>
      </w:r>
    </w:p>
    <w:p w:rsidR="00BB1957" w:rsidRPr="00804A2C" w:rsidRDefault="00BB1957" w:rsidP="00BB1957">
      <w:pPr>
        <w:pStyle w:val="ParaNoNdepar-AltN"/>
        <w:rPr>
          <w:rFonts w:cs="Times New Roman"/>
        </w:rPr>
      </w:pPr>
      <w:r w:rsidRPr="00804A2C">
        <w:rPr>
          <w:rFonts w:cs="Times New Roman"/>
        </w:rPr>
        <w:t>The justification of a limit on freedom of expression under s. 1 requires a contextual and purposive approach.  The values underlying freedom of expression will inform the context of the violation</w:t>
      </w:r>
      <w:r w:rsidR="005B4D0F">
        <w:rPr>
          <w:rFonts w:cs="Times New Roman"/>
        </w:rPr>
        <w:t>:</w:t>
      </w:r>
      <w:r w:rsidRPr="00804A2C">
        <w:rPr>
          <w:rFonts w:cs="Times New Roman"/>
        </w:rPr>
        <w:t xml:space="preserve"> see </w:t>
      </w:r>
      <w:r w:rsidRPr="00804A2C">
        <w:rPr>
          <w:rFonts w:cs="Times New Roman"/>
          <w:i/>
        </w:rPr>
        <w:t>Taylor</w:t>
      </w:r>
      <w:r w:rsidRPr="00804A2C">
        <w:rPr>
          <w:rFonts w:cs="Times New Roman"/>
        </w:rPr>
        <w:t>,</w:t>
      </w:r>
      <w:r w:rsidRPr="00804A2C">
        <w:rPr>
          <w:rFonts w:cs="Times New Roman"/>
          <w:i/>
        </w:rPr>
        <w:t xml:space="preserve"> </w:t>
      </w:r>
      <w:proofErr w:type="spellStart"/>
      <w:r w:rsidRPr="00804A2C">
        <w:rPr>
          <w:rFonts w:cs="Times New Roman"/>
          <w:i/>
        </w:rPr>
        <w:t>Keegstra</w:t>
      </w:r>
      <w:proofErr w:type="spellEnd"/>
      <w:r w:rsidRPr="00804A2C">
        <w:rPr>
          <w:rFonts w:cs="Times New Roman"/>
        </w:rPr>
        <w:t xml:space="preserve"> and</w:t>
      </w:r>
      <w:r w:rsidRPr="00804A2C">
        <w:rPr>
          <w:rFonts w:cs="Times New Roman"/>
          <w:i/>
        </w:rPr>
        <w:t xml:space="preserve"> Sharpe</w:t>
      </w:r>
      <w:r w:rsidRPr="00804A2C">
        <w:rPr>
          <w:rFonts w:cs="Times New Roman"/>
        </w:rPr>
        <w:t xml:space="preserve">.  McLachlin C.J., writing for the majority in </w:t>
      </w:r>
      <w:r w:rsidRPr="00804A2C">
        <w:rPr>
          <w:rFonts w:cs="Times New Roman"/>
          <w:i/>
        </w:rPr>
        <w:t>Sharpe</w:t>
      </w:r>
      <w:r w:rsidRPr="00804A2C">
        <w:rPr>
          <w:rFonts w:cs="Times New Roman"/>
        </w:rPr>
        <w:t xml:space="preserve">, explained succinctly the values underlying freedom of expression first recognized in </w:t>
      </w:r>
      <w:r w:rsidRPr="00804A2C">
        <w:rPr>
          <w:rFonts w:cs="Times New Roman"/>
          <w:i/>
        </w:rPr>
        <w:t>Irwin Toy</w:t>
      </w:r>
      <w:r w:rsidRPr="00804A2C">
        <w:rPr>
          <w:rFonts w:cs="Times New Roman"/>
        </w:rPr>
        <w:t>, being “individual self-fulfilment, finding the truth through the open exchange of ideas, and the political discourse fundamental to democracy” (</w:t>
      </w:r>
      <w:proofErr w:type="spellStart"/>
      <w:r w:rsidRPr="00804A2C">
        <w:rPr>
          <w:rFonts w:cs="Times New Roman"/>
        </w:rPr>
        <w:t>para</w:t>
      </w:r>
      <w:proofErr w:type="spellEnd"/>
      <w:r w:rsidRPr="00804A2C">
        <w:rPr>
          <w:rFonts w:cs="Times New Roman"/>
        </w:rPr>
        <w:t>. 23).</w:t>
      </w:r>
    </w:p>
    <w:p w:rsidR="00BB1957" w:rsidRPr="00804A2C" w:rsidRDefault="00BB1957" w:rsidP="00BB1957">
      <w:pPr>
        <w:pStyle w:val="ParaNoNdepar-AltN"/>
        <w:rPr>
          <w:rFonts w:cs="Times New Roman"/>
        </w:rPr>
      </w:pPr>
      <w:r w:rsidRPr="00804A2C">
        <w:rPr>
          <w:rFonts w:cs="Times New Roman"/>
        </w:rPr>
        <w:t xml:space="preserve">We are therefore required to balance the fundamental values underlying freedom of expression (and, later, freedom of religion) in the context in which they are invoked, with competing </w:t>
      </w:r>
      <w:r w:rsidRPr="00804A2C">
        <w:rPr>
          <w:rFonts w:cs="Times New Roman"/>
          <w:i/>
        </w:rPr>
        <w:t>Charter</w:t>
      </w:r>
      <w:r w:rsidRPr="00804A2C">
        <w:rPr>
          <w:rFonts w:cs="Times New Roman"/>
        </w:rPr>
        <w:t xml:space="preserve"> rights and other values essential to a free and democratic society, in this case, a commitment to equality and respect for group identity and the inherent dignity owed to all human beings: s. 15 of the </w:t>
      </w:r>
      <w:r w:rsidRPr="00804A2C">
        <w:rPr>
          <w:rFonts w:cs="Times New Roman"/>
          <w:i/>
        </w:rPr>
        <w:t>Charter</w:t>
      </w:r>
      <w:r w:rsidRPr="00804A2C">
        <w:rPr>
          <w:rFonts w:cs="Times New Roman"/>
        </w:rPr>
        <w:t xml:space="preserve"> and </w:t>
      </w:r>
      <w:r w:rsidRPr="00804A2C">
        <w:rPr>
          <w:rFonts w:cs="Times New Roman"/>
          <w:i/>
        </w:rPr>
        <w:t>R. v.</w:t>
      </w:r>
      <w:r w:rsidRPr="00804A2C">
        <w:rPr>
          <w:rFonts w:cs="Times New Roman"/>
        </w:rPr>
        <w:t xml:space="preserve"> </w:t>
      </w:r>
      <w:r w:rsidRPr="00804A2C">
        <w:rPr>
          <w:rFonts w:cs="Times New Roman"/>
          <w:i/>
        </w:rPr>
        <w:t>Oakes</w:t>
      </w:r>
      <w:r w:rsidRPr="00804A2C">
        <w:rPr>
          <w:rFonts w:cs="Times New Roman"/>
        </w:rPr>
        <w:t xml:space="preserve">, [1986] 1 S.C.R. 103, at p. 136; </w:t>
      </w:r>
      <w:r w:rsidRPr="00804A2C">
        <w:rPr>
          <w:rFonts w:cs="Times New Roman"/>
          <w:i/>
        </w:rPr>
        <w:t>Ross v. New Brunswick School District No. 15</w:t>
      </w:r>
      <w:r w:rsidRPr="00804A2C">
        <w:rPr>
          <w:rFonts w:cs="Times New Roman"/>
        </w:rPr>
        <w:t xml:space="preserve">, [1996] 1 S.C.R. 825, at </w:t>
      </w:r>
      <w:proofErr w:type="spellStart"/>
      <w:r w:rsidRPr="00804A2C">
        <w:rPr>
          <w:rFonts w:cs="Times New Roman"/>
        </w:rPr>
        <w:t>para</w:t>
      </w:r>
      <w:proofErr w:type="spellEnd"/>
      <w:r w:rsidRPr="00804A2C">
        <w:rPr>
          <w:rFonts w:cs="Times New Roman"/>
        </w:rPr>
        <w:t xml:space="preserve">. 78; and </w:t>
      </w:r>
      <w:r w:rsidRPr="00804A2C">
        <w:rPr>
          <w:rFonts w:cs="Times New Roman"/>
          <w:i/>
        </w:rPr>
        <w:t>Taylor</w:t>
      </w:r>
      <w:r w:rsidRPr="005B4D0F">
        <w:rPr>
          <w:rFonts w:cs="Times New Roman"/>
        </w:rPr>
        <w:t>,</w:t>
      </w:r>
      <w:r w:rsidRPr="00804A2C">
        <w:rPr>
          <w:rFonts w:cs="Times New Roman"/>
        </w:rPr>
        <w:t xml:space="preserve"> at pp. 916 and 920.</w:t>
      </w:r>
    </w:p>
    <w:p w:rsidR="00BB1957" w:rsidRPr="00804A2C" w:rsidRDefault="00BB1957" w:rsidP="00BB1957">
      <w:pPr>
        <w:pStyle w:val="ParaNoNdepar-AltN"/>
        <w:rPr>
          <w:rFonts w:cs="Times New Roman"/>
        </w:rPr>
      </w:pPr>
      <w:r w:rsidRPr="00804A2C">
        <w:rPr>
          <w:rFonts w:cs="Times New Roman"/>
        </w:rPr>
        <w:t xml:space="preserve">The balancing of competing </w:t>
      </w:r>
      <w:r w:rsidRPr="00804A2C">
        <w:rPr>
          <w:rFonts w:cs="Times New Roman"/>
          <w:i/>
        </w:rPr>
        <w:t>Charter</w:t>
      </w:r>
      <w:r w:rsidRPr="00804A2C">
        <w:rPr>
          <w:rFonts w:cs="Times New Roman"/>
        </w:rPr>
        <w:t xml:space="preserve"> rights should also take into account Canada’s international obligations with respect to international law treaty commitments</w:t>
      </w:r>
      <w:r w:rsidR="005B4D0F">
        <w:rPr>
          <w:rFonts w:cs="Times New Roman"/>
        </w:rPr>
        <w:t>:</w:t>
      </w:r>
      <w:r w:rsidRPr="00804A2C">
        <w:rPr>
          <w:rFonts w:cs="Times New Roman"/>
        </w:rPr>
        <w:t xml:space="preserve"> </w:t>
      </w:r>
      <w:r w:rsidRPr="00804A2C">
        <w:rPr>
          <w:rFonts w:cs="Times New Roman"/>
          <w:i/>
        </w:rPr>
        <w:t>Taylor</w:t>
      </w:r>
      <w:r w:rsidRPr="00804A2C">
        <w:rPr>
          <w:rFonts w:cs="Times New Roman"/>
        </w:rPr>
        <w:t xml:space="preserve">, at p. 916, </w:t>
      </w:r>
      <w:r w:rsidRPr="00804A2C">
        <w:rPr>
          <w:rFonts w:cs="Times New Roman"/>
          <w:i/>
        </w:rPr>
        <w:t>per</w:t>
      </w:r>
      <w:r w:rsidRPr="00804A2C">
        <w:rPr>
          <w:rFonts w:cs="Times New Roman"/>
        </w:rPr>
        <w:t xml:space="preserve"> Dickson C.J.  Those commitments reflect an international recognition that certain types of expression may be limited in furtherance of other fundamental values</w:t>
      </w:r>
      <w:r w:rsidR="0043411E">
        <w:rPr>
          <w:rFonts w:cs="Times New Roman"/>
        </w:rPr>
        <w:t>:</w:t>
      </w:r>
      <w:r w:rsidRPr="00804A2C">
        <w:rPr>
          <w:rFonts w:cs="Times New Roman"/>
        </w:rPr>
        <w:t xml:space="preserve"> </w:t>
      </w:r>
      <w:r w:rsidRPr="00804A2C">
        <w:rPr>
          <w:rFonts w:cs="Times New Roman"/>
          <w:i/>
        </w:rPr>
        <w:t>Taylor</w:t>
      </w:r>
      <w:r w:rsidRPr="00804A2C">
        <w:rPr>
          <w:rFonts w:cs="Times New Roman"/>
        </w:rPr>
        <w:t>,</w:t>
      </w:r>
      <w:r w:rsidRPr="00804A2C">
        <w:rPr>
          <w:rFonts w:cs="Times New Roman"/>
          <w:i/>
        </w:rPr>
        <w:t xml:space="preserve"> </w:t>
      </w:r>
      <w:r w:rsidRPr="00804A2C">
        <w:rPr>
          <w:rFonts w:cs="Times New Roman"/>
        </w:rPr>
        <w:t>at pp. 919</w:t>
      </w:r>
      <w:r w:rsidR="005B4D0F">
        <w:rPr>
          <w:rFonts w:cs="Times New Roman"/>
        </w:rPr>
        <w:t>-</w:t>
      </w:r>
      <w:r w:rsidRPr="00804A2C">
        <w:rPr>
          <w:rFonts w:cs="Times New Roman"/>
        </w:rPr>
        <w:t xml:space="preserve">20, </w:t>
      </w:r>
      <w:r w:rsidRPr="00804A2C">
        <w:rPr>
          <w:rFonts w:cs="Times New Roman"/>
          <w:i/>
        </w:rPr>
        <w:t>per</w:t>
      </w:r>
      <w:r w:rsidRPr="00804A2C">
        <w:rPr>
          <w:rFonts w:cs="Times New Roman"/>
        </w:rPr>
        <w:t xml:space="preserve"> Dickson C.J.</w:t>
      </w:r>
    </w:p>
    <w:p w:rsidR="00BB1957" w:rsidRPr="00804A2C" w:rsidRDefault="00BB1957" w:rsidP="00BB1957">
      <w:pPr>
        <w:pStyle w:val="ParaNoNdepar-AltN"/>
        <w:rPr>
          <w:rFonts w:cs="Times New Roman"/>
        </w:rPr>
      </w:pPr>
      <w:r w:rsidRPr="00804A2C">
        <w:rPr>
          <w:rFonts w:cs="Times New Roman"/>
        </w:rPr>
        <w:t xml:space="preserve">It is in the context of balancing these </w:t>
      </w:r>
      <w:r w:rsidRPr="00804A2C">
        <w:rPr>
          <w:rFonts w:cs="Times New Roman"/>
          <w:i/>
        </w:rPr>
        <w:t>Charter</w:t>
      </w:r>
      <w:r w:rsidRPr="00804A2C">
        <w:rPr>
          <w:rFonts w:cs="Times New Roman"/>
        </w:rPr>
        <w:t xml:space="preserve"> rights that the Saskatchewan legislature has chosen to suppress expression of a certain kind.  </w:t>
      </w:r>
      <w:r w:rsidRPr="00804A2C">
        <w:rPr>
          <w:rFonts w:eastAsia="Times New Roman" w:cs="Times New Roman"/>
        </w:rPr>
        <w:t>The prohibition set out under s. 14(1</w:t>
      </w:r>
      <w:proofErr w:type="gramStart"/>
      <w:r w:rsidRPr="00804A2C">
        <w:rPr>
          <w:rFonts w:eastAsia="Times New Roman" w:cs="Times New Roman"/>
        </w:rPr>
        <w:t>)(</w:t>
      </w:r>
      <w:proofErr w:type="gramEnd"/>
      <w:r w:rsidRPr="0043411E">
        <w:rPr>
          <w:rFonts w:eastAsia="Times New Roman" w:cs="Times New Roman"/>
        </w:rPr>
        <w:t>b</w:t>
      </w:r>
      <w:r w:rsidRPr="00804A2C">
        <w:rPr>
          <w:rFonts w:eastAsia="Times New Roman" w:cs="Times New Roman"/>
        </w:rPr>
        <w:t xml:space="preserve">) of the </w:t>
      </w:r>
      <w:r w:rsidRPr="00804A2C">
        <w:rPr>
          <w:rFonts w:eastAsia="Times New Roman" w:cs="Times New Roman"/>
          <w:i/>
        </w:rPr>
        <w:t>Code</w:t>
      </w:r>
      <w:r w:rsidRPr="00804A2C">
        <w:rPr>
          <w:rFonts w:eastAsia="Times New Roman" w:cs="Times New Roman"/>
        </w:rPr>
        <w:t xml:space="preserve"> is clearly a “limit[</w:t>
      </w:r>
      <w:proofErr w:type="spellStart"/>
      <w:r w:rsidRPr="00804A2C">
        <w:rPr>
          <w:rFonts w:eastAsia="Times New Roman" w:cs="Times New Roman"/>
        </w:rPr>
        <w:t>ation</w:t>
      </w:r>
      <w:proofErr w:type="spellEnd"/>
      <w:r w:rsidRPr="00804A2C">
        <w:rPr>
          <w:rFonts w:eastAsia="Times New Roman" w:cs="Times New Roman"/>
        </w:rPr>
        <w:t xml:space="preserve">] prescribed by law” within the meaning of s. 1 of the </w:t>
      </w:r>
      <w:r w:rsidRPr="00804A2C">
        <w:rPr>
          <w:rFonts w:eastAsia="Times New Roman" w:cs="Times New Roman"/>
          <w:i/>
        </w:rPr>
        <w:t>Charter</w:t>
      </w:r>
      <w:r w:rsidRPr="00804A2C">
        <w:rPr>
          <w:rFonts w:eastAsia="Times New Roman" w:cs="Times New Roman"/>
        </w:rPr>
        <w:t>. The issue is whether the infringement of s. 2(</w:t>
      </w:r>
      <w:r w:rsidRPr="00804A2C">
        <w:rPr>
          <w:rFonts w:eastAsia="Times New Roman" w:cs="Times New Roman"/>
          <w:i/>
        </w:rPr>
        <w:t>b</w:t>
      </w:r>
      <w:r w:rsidRPr="00804A2C">
        <w:rPr>
          <w:rFonts w:eastAsia="Times New Roman" w:cs="Times New Roman"/>
        </w:rPr>
        <w:t xml:space="preserve">) is demonstrably justified: </w:t>
      </w:r>
      <w:r w:rsidRPr="00804A2C">
        <w:rPr>
          <w:rFonts w:eastAsia="Times New Roman" w:cs="Times New Roman"/>
          <w:i/>
        </w:rPr>
        <w:t>Oakes</w:t>
      </w:r>
      <w:r w:rsidRPr="00804A2C">
        <w:rPr>
          <w:rFonts w:eastAsia="Times New Roman" w:cs="Times New Roman"/>
        </w:rPr>
        <w:t xml:space="preserve">; </w:t>
      </w:r>
      <w:r w:rsidRPr="00804A2C">
        <w:rPr>
          <w:rFonts w:eastAsia="Times New Roman" w:cs="Times New Roman"/>
          <w:i/>
        </w:rPr>
        <w:t>CBC</w:t>
      </w:r>
      <w:r w:rsidRPr="00804A2C">
        <w:rPr>
          <w:rFonts w:eastAsia="Times New Roman" w:cs="Times New Roman"/>
        </w:rPr>
        <w:t xml:space="preserve">, at </w:t>
      </w:r>
      <w:proofErr w:type="spellStart"/>
      <w:r w:rsidRPr="00804A2C">
        <w:rPr>
          <w:rFonts w:eastAsia="Times New Roman" w:cs="Times New Roman"/>
        </w:rPr>
        <w:t>para</w:t>
      </w:r>
      <w:proofErr w:type="spellEnd"/>
      <w:r w:rsidRPr="00804A2C">
        <w:rPr>
          <w:rFonts w:eastAsia="Times New Roman" w:cs="Times New Roman"/>
        </w:rPr>
        <w:t>. 64.</w:t>
      </w:r>
      <w:r w:rsidRPr="00804A2C">
        <w:rPr>
          <w:rFonts w:cs="Times New Roman"/>
        </w:rPr>
        <w:tab/>
      </w:r>
    </w:p>
    <w:p w:rsidR="00BB1957" w:rsidRPr="00804A2C" w:rsidRDefault="00BB1957" w:rsidP="0043411E">
      <w:pPr>
        <w:pStyle w:val="TitleTitre-AltT"/>
        <w:tabs>
          <w:tab w:val="left" w:pos="1170"/>
          <w:tab w:val="left" w:pos="1800"/>
        </w:tabs>
        <w:ind w:left="1800" w:hanging="1800"/>
        <w:rPr>
          <w:rFonts w:cs="Times New Roman"/>
        </w:rPr>
      </w:pPr>
      <w:r w:rsidRPr="00804A2C">
        <w:rPr>
          <w:rFonts w:cs="Times New Roman"/>
          <w:b/>
        </w:rPr>
        <w:tab/>
      </w:r>
      <w:r w:rsidRPr="00804A2C">
        <w:rPr>
          <w:rFonts w:cs="Times New Roman"/>
          <w:b/>
        </w:rPr>
        <w:tab/>
      </w:r>
      <w:bookmarkStart w:id="175" w:name="_Toc341432508"/>
      <w:bookmarkStart w:id="176" w:name="_Toc341686988"/>
      <w:bookmarkStart w:id="177" w:name="_Toc346006811"/>
      <w:bookmarkStart w:id="178" w:name="_Toc349051271"/>
      <w:bookmarkStart w:id="179" w:name="_Toc349051349"/>
      <w:bookmarkStart w:id="180" w:name="_Toc349306904"/>
      <w:bookmarkStart w:id="181" w:name="_Toc349638220"/>
      <w:bookmarkStart w:id="182" w:name="_Toc408212139"/>
      <w:r w:rsidRPr="00804A2C">
        <w:rPr>
          <w:rFonts w:cs="Times New Roman"/>
        </w:rPr>
        <w:t>(2)</w:t>
      </w:r>
      <w:r w:rsidRPr="00804A2C">
        <w:rPr>
          <w:rFonts w:cs="Times New Roman"/>
        </w:rPr>
        <w:tab/>
      </w:r>
      <w:r w:rsidRPr="00804A2C">
        <w:rPr>
          <w:rFonts w:cs="Times New Roman"/>
          <w:u w:val="single"/>
        </w:rPr>
        <w:t>Is the Objective for Which the Limit Is Imposed Pressing and Substantial?</w:t>
      </w:r>
      <w:bookmarkEnd w:id="175"/>
      <w:bookmarkEnd w:id="176"/>
      <w:bookmarkEnd w:id="177"/>
      <w:bookmarkEnd w:id="178"/>
      <w:bookmarkEnd w:id="179"/>
      <w:bookmarkEnd w:id="180"/>
      <w:bookmarkEnd w:id="181"/>
      <w:bookmarkEnd w:id="182"/>
    </w:p>
    <w:p w:rsidR="00BB1957" w:rsidRPr="00804A2C" w:rsidRDefault="00BB1957" w:rsidP="00BB1957">
      <w:pPr>
        <w:pStyle w:val="ParaNoNdepar-AltN"/>
        <w:rPr>
          <w:rFonts w:cs="Times New Roman"/>
        </w:rPr>
      </w:pPr>
      <w:r w:rsidRPr="00804A2C">
        <w:rPr>
          <w:rFonts w:eastAsia="Times New Roman" w:cs="Times New Roman"/>
        </w:rPr>
        <w:t xml:space="preserve">Following the </w:t>
      </w:r>
      <w:r w:rsidRPr="00804A2C">
        <w:rPr>
          <w:rFonts w:eastAsia="Times New Roman" w:cs="Times New Roman"/>
          <w:i/>
        </w:rPr>
        <w:t>Oakes</w:t>
      </w:r>
      <w:r w:rsidRPr="00804A2C">
        <w:rPr>
          <w:rFonts w:eastAsia="Times New Roman" w:cs="Times New Roman"/>
        </w:rPr>
        <w:t xml:space="preserve"> test, the first step is to determine whether </w:t>
      </w:r>
      <w:r w:rsidRPr="00804A2C">
        <w:rPr>
          <w:rFonts w:cs="Times New Roman"/>
        </w:rPr>
        <w:t>the objective of s. 14(1</w:t>
      </w:r>
      <w:proofErr w:type="gramStart"/>
      <w:r w:rsidRPr="00804A2C">
        <w:rPr>
          <w:rFonts w:cs="Times New Roman"/>
        </w:rPr>
        <w:t>)(</w:t>
      </w:r>
      <w:proofErr w:type="gramEnd"/>
      <w:r w:rsidRPr="0043411E">
        <w:rPr>
          <w:rFonts w:cs="Times New Roman"/>
        </w:rPr>
        <w:t>b</w:t>
      </w:r>
      <w:r w:rsidRPr="00804A2C">
        <w:rPr>
          <w:rFonts w:cs="Times New Roman"/>
        </w:rPr>
        <w:t>) advances concerns that are of sufficient importance to warrant overriding the constitutional guarantee of freedom of expression.</w:t>
      </w:r>
    </w:p>
    <w:p w:rsidR="00BB1957" w:rsidRPr="00804A2C" w:rsidRDefault="00BB1957" w:rsidP="00BB1957">
      <w:pPr>
        <w:pStyle w:val="ParaNoNdepar-AltN"/>
        <w:rPr>
          <w:rFonts w:cs="Times New Roman"/>
        </w:rPr>
      </w:pPr>
      <w:r w:rsidRPr="00804A2C">
        <w:rPr>
          <w:rFonts w:cs="Times New Roman"/>
        </w:rPr>
        <w:t>The objective of s. 14(1</w:t>
      </w:r>
      <w:proofErr w:type="gramStart"/>
      <w:r w:rsidRPr="00804A2C">
        <w:rPr>
          <w:rFonts w:cs="Times New Roman"/>
        </w:rPr>
        <w:t>)(</w:t>
      </w:r>
      <w:proofErr w:type="gramEnd"/>
      <w:r w:rsidRPr="0043411E">
        <w:rPr>
          <w:rFonts w:cs="Times New Roman"/>
        </w:rPr>
        <w:t>b</w:t>
      </w:r>
      <w:r w:rsidRPr="00804A2C">
        <w:rPr>
          <w:rFonts w:cs="Times New Roman"/>
        </w:rPr>
        <w:t xml:space="preserve">) may be ascertained directly from the </w:t>
      </w:r>
      <w:r w:rsidRPr="00804A2C">
        <w:rPr>
          <w:rFonts w:cs="Times New Roman"/>
          <w:i/>
        </w:rPr>
        <w:t>Code</w:t>
      </w:r>
      <w:r w:rsidRPr="00804A2C">
        <w:rPr>
          <w:rFonts w:cs="Times New Roman"/>
        </w:rPr>
        <w:t xml:space="preserve"> in which it is found.  Section 3 states that the objectives of the </w:t>
      </w:r>
      <w:r w:rsidRPr="00804A2C">
        <w:rPr>
          <w:rFonts w:cs="Times New Roman"/>
          <w:i/>
        </w:rPr>
        <w:t>Code</w:t>
      </w:r>
      <w:r w:rsidR="0043411E">
        <w:rPr>
          <w:rFonts w:cs="Times New Roman"/>
        </w:rPr>
        <w:t xml:space="preserve"> are</w:t>
      </w:r>
      <w:r w:rsidRPr="00804A2C">
        <w:rPr>
          <w:rFonts w:cs="Times New Roman"/>
        </w:rPr>
        <w:t xml:space="preserve"> </w:t>
      </w:r>
    </w:p>
    <w:p w:rsidR="00BB1957" w:rsidRPr="00804A2C" w:rsidRDefault="00BB1957" w:rsidP="003D3231">
      <w:pPr>
        <w:pStyle w:val="Citation-AltC"/>
        <w:tabs>
          <w:tab w:val="left" w:pos="1620"/>
        </w:tabs>
        <w:ind w:left="1170"/>
      </w:pPr>
      <w:r w:rsidRPr="00804A2C">
        <w:t>(</w:t>
      </w:r>
      <w:r w:rsidRPr="0043411E">
        <w:t>a</w:t>
      </w:r>
      <w:r w:rsidRPr="00804A2C">
        <w:t>)</w:t>
      </w:r>
      <w:r w:rsidRPr="00804A2C">
        <w:tab/>
      </w:r>
      <w:proofErr w:type="gramStart"/>
      <w:r w:rsidRPr="00804A2C">
        <w:t>to</w:t>
      </w:r>
      <w:proofErr w:type="gramEnd"/>
      <w:r w:rsidRPr="00804A2C">
        <w:t xml:space="preserve"> promote recognition of the inherent dignity and the equal inalienable rights of all members of the human family; and </w:t>
      </w:r>
    </w:p>
    <w:p w:rsidR="00BB1957" w:rsidRPr="00804A2C" w:rsidRDefault="00BB1957" w:rsidP="00BB1957">
      <w:pPr>
        <w:pStyle w:val="Citation-AltC"/>
        <w:ind w:left="1980" w:hanging="630"/>
      </w:pPr>
    </w:p>
    <w:p w:rsidR="00BB1957" w:rsidRPr="00804A2C" w:rsidRDefault="00BB1957" w:rsidP="003D3231">
      <w:pPr>
        <w:pStyle w:val="Citation-AltC"/>
        <w:tabs>
          <w:tab w:val="left" w:pos="1620"/>
        </w:tabs>
        <w:ind w:left="1170"/>
      </w:pPr>
      <w:r w:rsidRPr="00804A2C">
        <w:t>(</w:t>
      </w:r>
      <w:r w:rsidRPr="0043411E">
        <w:t>b</w:t>
      </w:r>
      <w:r w:rsidRPr="00804A2C">
        <w:t>)</w:t>
      </w:r>
      <w:r w:rsidRPr="00804A2C">
        <w:tab/>
      </w:r>
      <w:proofErr w:type="gramStart"/>
      <w:r w:rsidRPr="00804A2C">
        <w:t>to</w:t>
      </w:r>
      <w:proofErr w:type="gramEnd"/>
      <w:r w:rsidRPr="00804A2C">
        <w:t xml:space="preserve"> further public policy in Saskatchewan that every person is free and equal in dignity and rights and to discourage and eliminate discrimination. </w:t>
      </w:r>
    </w:p>
    <w:p w:rsidR="00BB1957" w:rsidRPr="00804A2C" w:rsidRDefault="00BB1957" w:rsidP="00BB1957">
      <w:pPr>
        <w:pStyle w:val="ParaNoNdepar-AltN"/>
        <w:rPr>
          <w:rFonts w:cs="Times New Roman"/>
        </w:rPr>
      </w:pPr>
      <w:r w:rsidRPr="00804A2C">
        <w:rPr>
          <w:rFonts w:cs="Times New Roman"/>
        </w:rPr>
        <w:t>Hate speech is, at its core, an effort to marginalize individuals based on their membership in a group.  Using expression that exposes the group to hatred, hate speech seeks to delegitimize group members in the eyes of the majority, reducing their social standing and acceptance within society. When people are vilified as blameworthy or undeserving, it is easier to justify discriminatory treatment.  The objective of s. 14(1</w:t>
      </w:r>
      <w:proofErr w:type="gramStart"/>
      <w:r w:rsidRPr="00804A2C">
        <w:rPr>
          <w:rFonts w:cs="Times New Roman"/>
        </w:rPr>
        <w:t>)(</w:t>
      </w:r>
      <w:proofErr w:type="gramEnd"/>
      <w:r w:rsidRPr="0043411E">
        <w:rPr>
          <w:rFonts w:cs="Times New Roman"/>
        </w:rPr>
        <w:t>b</w:t>
      </w:r>
      <w:r w:rsidRPr="00804A2C">
        <w:rPr>
          <w:rFonts w:cs="Times New Roman"/>
        </w:rPr>
        <w:t>) may be understood as reducing the harmful effects and social costs of discrimination by tackling certain causes of discriminatory activity.</w:t>
      </w:r>
    </w:p>
    <w:p w:rsidR="00BB1957" w:rsidRPr="00804A2C" w:rsidRDefault="00BB1957" w:rsidP="00BB1957">
      <w:pPr>
        <w:pStyle w:val="ParaNoNdepar-AltN"/>
        <w:rPr>
          <w:rFonts w:cs="Times New Roman"/>
        </w:rPr>
      </w:pPr>
      <w:r w:rsidRPr="00804A2C">
        <w:rPr>
          <w:rFonts w:cs="Times New Roman"/>
        </w:rPr>
        <w:t xml:space="preserve">The majority in </w:t>
      </w:r>
      <w:proofErr w:type="spellStart"/>
      <w:r w:rsidRPr="00804A2C">
        <w:rPr>
          <w:rFonts w:cs="Times New Roman"/>
          <w:i/>
        </w:rPr>
        <w:t>Keegstra</w:t>
      </w:r>
      <w:proofErr w:type="spellEnd"/>
      <w:r w:rsidRPr="00804A2C">
        <w:rPr>
          <w:rFonts w:cs="Times New Roman"/>
        </w:rPr>
        <w:t xml:space="preserve"> and </w:t>
      </w:r>
      <w:r w:rsidRPr="00804A2C">
        <w:rPr>
          <w:rFonts w:cs="Times New Roman"/>
          <w:i/>
        </w:rPr>
        <w:t>Taylor</w:t>
      </w:r>
      <w:r w:rsidRPr="00804A2C">
        <w:rPr>
          <w:rFonts w:cs="Times New Roman"/>
        </w:rPr>
        <w:t xml:space="preserve"> reviewed evidence detailing the potential risks of harm from the dissemination of messages of hate, including the 1966 </w:t>
      </w:r>
      <w:r w:rsidRPr="00804A2C">
        <w:rPr>
          <w:rFonts w:cs="Times New Roman"/>
          <w:i/>
        </w:rPr>
        <w:t>Report of the Special Committee on Hate Propaganda in Canada</w:t>
      </w:r>
      <w:r w:rsidRPr="00804A2C">
        <w:rPr>
          <w:rFonts w:cs="Times New Roman"/>
        </w:rPr>
        <w:t xml:space="preserve">, commonly known as the Cohen Committee.  The Cohen Committee wrote at a time when the experiences of fascism in Italy and National Socialism in Germany were in recent memory.  Almost </w:t>
      </w:r>
      <w:r w:rsidR="0043411E">
        <w:rPr>
          <w:rFonts w:cs="Times New Roman"/>
        </w:rPr>
        <w:t>50</w:t>
      </w:r>
      <w:r w:rsidRPr="00804A2C">
        <w:rPr>
          <w:rFonts w:cs="Times New Roman"/>
        </w:rPr>
        <w:t xml:space="preserve"> years later, I cannot say that those examples have proven to be isolated and unrepeated at our current point in history.  One need only look to the former Yugoslavia, Cambodia, Rwanda, Darfur, or Uganda to see more recent examples of attempted cleansing or genocide on the basis of religion, ethnicity or sexual orientation.  In terms of the effects of disseminating hateful messages, there is today the added impact of the Internet. </w:t>
      </w:r>
    </w:p>
    <w:p w:rsidR="00BB1957" w:rsidRPr="00804A2C" w:rsidRDefault="00BB1957" w:rsidP="00BB1957">
      <w:pPr>
        <w:pStyle w:val="ParaNoNdepar-AltN"/>
        <w:rPr>
          <w:rFonts w:cs="Times New Roman"/>
        </w:rPr>
      </w:pPr>
      <w:r w:rsidRPr="00804A2C">
        <w:rPr>
          <w:rFonts w:cs="Times New Roman"/>
        </w:rPr>
        <w:t xml:space="preserve">In </w:t>
      </w:r>
      <w:proofErr w:type="spellStart"/>
      <w:r w:rsidRPr="00804A2C">
        <w:rPr>
          <w:rFonts w:cs="Times New Roman"/>
          <w:i/>
        </w:rPr>
        <w:t>Keegstra</w:t>
      </w:r>
      <w:proofErr w:type="spellEnd"/>
      <w:r w:rsidRPr="00804A2C">
        <w:rPr>
          <w:rFonts w:cs="Times New Roman"/>
        </w:rPr>
        <w:t xml:space="preserve">, at </w:t>
      </w:r>
      <w:r w:rsidR="0043411E">
        <w:rPr>
          <w:rFonts w:cs="Times New Roman"/>
        </w:rPr>
        <w:t>p</w:t>
      </w:r>
      <w:r w:rsidRPr="00804A2C">
        <w:rPr>
          <w:rFonts w:cs="Times New Roman"/>
        </w:rPr>
        <w:t>p. 746-47, Dickson C.J. found that two types of harm were of a pressing and substantial concern.  First, he referred to the grave psychological and social consequences to individual members of the targeted group from the humiliation and degradation caused by hate propaganda. Second, he noted the harmful effects on society at large by increasing discord and by affecting a subtle and unconscious alteration of views concerning the inferiority of the targeted group.</w:t>
      </w:r>
    </w:p>
    <w:p w:rsidR="00BB1957" w:rsidRPr="00804A2C" w:rsidRDefault="00BB1957" w:rsidP="00BB1957">
      <w:pPr>
        <w:pStyle w:val="ParaNoNdepar-AltN"/>
        <w:rPr>
          <w:rFonts w:cs="Times New Roman"/>
        </w:rPr>
      </w:pPr>
      <w:r w:rsidRPr="00804A2C">
        <w:rPr>
          <w:rFonts w:cs="Times New Roman"/>
        </w:rPr>
        <w:t xml:space="preserve">Hate speech, therefore, rises beyond causing emotional distress to individual group members.  It can have a societal impact. If a group of people are considered inferior, subhuman, or lawless, it is easier to justify denying the group and its </w:t>
      </w:r>
      <w:proofErr w:type="gramStart"/>
      <w:r w:rsidRPr="00804A2C">
        <w:rPr>
          <w:rFonts w:cs="Times New Roman"/>
        </w:rPr>
        <w:t>members</w:t>
      </w:r>
      <w:proofErr w:type="gramEnd"/>
      <w:r w:rsidRPr="00804A2C">
        <w:rPr>
          <w:rFonts w:cs="Times New Roman"/>
        </w:rPr>
        <w:t xml:space="preserve"> equal rights or status.  As observed by this Court in </w:t>
      </w:r>
      <w:proofErr w:type="spellStart"/>
      <w:r w:rsidRPr="00804A2C">
        <w:rPr>
          <w:rFonts w:cs="Times New Roman"/>
          <w:i/>
        </w:rPr>
        <w:t>Mugesera</w:t>
      </w:r>
      <w:proofErr w:type="spellEnd"/>
      <w:r w:rsidRPr="00804A2C">
        <w:rPr>
          <w:rFonts w:cs="Times New Roman"/>
          <w:i/>
        </w:rPr>
        <w:t xml:space="preserve"> v. Canada (Minister of Citizenship and Immigration)</w:t>
      </w:r>
      <w:r w:rsidRPr="00804A2C">
        <w:rPr>
          <w:rFonts w:cs="Times New Roman"/>
        </w:rPr>
        <w:t>, 2005 SCC 40, [2005] 2 S.C.R</w:t>
      </w:r>
      <w:r w:rsidR="0043411E">
        <w:rPr>
          <w:rFonts w:cs="Times New Roman"/>
        </w:rPr>
        <w:t>.</w:t>
      </w:r>
      <w:r w:rsidRPr="00804A2C">
        <w:rPr>
          <w:rFonts w:cs="Times New Roman"/>
        </w:rPr>
        <w:t xml:space="preserve"> 100, at </w:t>
      </w:r>
      <w:proofErr w:type="spellStart"/>
      <w:r w:rsidRPr="00804A2C">
        <w:rPr>
          <w:rFonts w:cs="Times New Roman"/>
        </w:rPr>
        <w:t>para</w:t>
      </w:r>
      <w:proofErr w:type="spellEnd"/>
      <w:r w:rsidRPr="00804A2C">
        <w:rPr>
          <w:rFonts w:cs="Times New Roman"/>
        </w:rPr>
        <w:t xml:space="preserve">. 147, the findings in </w:t>
      </w:r>
      <w:proofErr w:type="spellStart"/>
      <w:r w:rsidRPr="00804A2C">
        <w:rPr>
          <w:rFonts w:cs="Times New Roman"/>
          <w:i/>
        </w:rPr>
        <w:t>Keegstra</w:t>
      </w:r>
      <w:proofErr w:type="spellEnd"/>
      <w:r w:rsidRPr="00804A2C">
        <w:rPr>
          <w:rFonts w:cs="Times New Roman"/>
        </w:rPr>
        <w:t xml:space="preserve"> suggest “that hate speech always denies fundamental rights”.  As the majority becomes desensitized by the effects of hate speech, the concern is that some members of society will demonstrate their rejection of the vulnerable group through conduct.  Hate speech lays the groundwork for later, broad attacks on vulnerable groups. These attacks can range from discrimination, to ostracism, segregation, deportation, violence and, in the most extreme cases, to genocide</w:t>
      </w:r>
      <w:r w:rsidR="0043411E">
        <w:rPr>
          <w:rFonts w:cs="Times New Roman"/>
        </w:rPr>
        <w:t>:</w:t>
      </w:r>
      <w:r w:rsidRPr="00804A2C">
        <w:rPr>
          <w:rFonts w:cs="Times New Roman"/>
        </w:rPr>
        <w:t xml:space="preserve"> see </w:t>
      </w:r>
      <w:r w:rsidRPr="00804A2C">
        <w:rPr>
          <w:rFonts w:cs="Times New Roman"/>
          <w:i/>
        </w:rPr>
        <w:t>Taylor</w:t>
      </w:r>
      <w:r w:rsidRPr="00804A2C">
        <w:rPr>
          <w:rFonts w:cs="Times New Roman"/>
        </w:rPr>
        <w:t xml:space="preserve"> and </w:t>
      </w:r>
      <w:proofErr w:type="spellStart"/>
      <w:r w:rsidRPr="00804A2C">
        <w:rPr>
          <w:rFonts w:cs="Times New Roman"/>
          <w:i/>
        </w:rPr>
        <w:t>Keegstra</w:t>
      </w:r>
      <w:proofErr w:type="spellEnd"/>
      <w:r w:rsidRPr="00804A2C">
        <w:rPr>
          <w:rFonts w:cs="Times New Roman"/>
        </w:rPr>
        <w:t>.</w:t>
      </w:r>
    </w:p>
    <w:p w:rsidR="00BB1957" w:rsidRPr="00804A2C" w:rsidRDefault="00BB1957" w:rsidP="00BB1957">
      <w:pPr>
        <w:pStyle w:val="ParaNoNdepar-AltN"/>
        <w:rPr>
          <w:rFonts w:cs="Times New Roman"/>
        </w:rPr>
      </w:pPr>
      <w:r w:rsidRPr="00804A2C">
        <w:rPr>
          <w:rFonts w:cs="Times New Roman"/>
        </w:rPr>
        <w:t>Hate speech is not only used to justify restrictions or attacks on the rights of protected groups on prohibited grounds. As noted by Dickson C.J.</w:t>
      </w:r>
      <w:r w:rsidR="0043411E">
        <w:rPr>
          <w:rFonts w:cs="Times New Roman"/>
        </w:rPr>
        <w:t>,</w:t>
      </w:r>
      <w:r w:rsidRPr="00804A2C">
        <w:rPr>
          <w:rFonts w:cs="Times New Roman"/>
        </w:rPr>
        <w:t xml:space="preserve"> at p. 763 of </w:t>
      </w:r>
      <w:proofErr w:type="spellStart"/>
      <w:r w:rsidRPr="00804A2C">
        <w:rPr>
          <w:rFonts w:cs="Times New Roman"/>
          <w:i/>
        </w:rPr>
        <w:t>Keegstra</w:t>
      </w:r>
      <w:proofErr w:type="spellEnd"/>
      <w:r w:rsidRPr="00804A2C">
        <w:rPr>
          <w:rFonts w:cs="Times New Roman"/>
        </w:rPr>
        <w:t>, hate propaganda opposes the targeted group’s ability to find self-fulfillment by articulating their thoughts and ideas. It impacts on that group’s ability to respond to the substantive ideas under debate, thereby placing a serious barrier to their full participation in our democracy. Indeed, a particularly insidious aspect of hate speech is that it acts to cut off any path of reply by the group under attack.  It does this not only by attempting to marginalize the group so that their reply will be ignored: it also forces the group to argue for their basic humanity or social standing, as a precondition to participating in the deliberative aspects of our democracy.</w:t>
      </w:r>
    </w:p>
    <w:p w:rsidR="00BB1957" w:rsidRPr="00804A2C" w:rsidRDefault="00BB1957" w:rsidP="00BB1957">
      <w:pPr>
        <w:pStyle w:val="ParaNoNdepar-AltN"/>
        <w:rPr>
          <w:rFonts w:cs="Times New Roman"/>
        </w:rPr>
      </w:pPr>
      <w:r w:rsidRPr="00804A2C">
        <w:rPr>
          <w:rFonts w:cs="Times New Roman"/>
        </w:rPr>
        <w:t>To use an example related to the present case, the suggestion that homosexual conduct should not be discussed in schools because homosexuals are pedophiles requires the protected group to first defeat the absolutist position that all homosexuals are pedophiles in order to justify a level of societal standing that would then permit participation in the larger debate of whether homosexual conduct should be discussed in schools.  In this way, the expression inhibits the protected group from interacting and participating in free expression and public debate.</w:t>
      </w:r>
    </w:p>
    <w:p w:rsidR="00BB1957" w:rsidRPr="00804A2C" w:rsidRDefault="00BB1957" w:rsidP="00BB1957">
      <w:pPr>
        <w:pStyle w:val="ParaNoNdepar-AltN"/>
        <w:tabs>
          <w:tab w:val="num" w:pos="1602"/>
        </w:tabs>
        <w:rPr>
          <w:rFonts w:cs="Times New Roman"/>
        </w:rPr>
      </w:pPr>
      <w:r w:rsidRPr="00804A2C">
        <w:rPr>
          <w:rFonts w:cs="Times New Roman"/>
        </w:rPr>
        <w:t xml:space="preserve">This Court has recognized the harm caused by hate speech in a number of subsequent cases including </w:t>
      </w:r>
      <w:r w:rsidRPr="00804A2C">
        <w:rPr>
          <w:rFonts w:cs="Times New Roman"/>
          <w:i/>
        </w:rPr>
        <w:t>Ross</w:t>
      </w:r>
      <w:r w:rsidRPr="00804A2C">
        <w:rPr>
          <w:rFonts w:cs="Times New Roman"/>
        </w:rPr>
        <w:t>,</w:t>
      </w:r>
      <w:r w:rsidRPr="00804A2C">
        <w:rPr>
          <w:rFonts w:cs="Times New Roman"/>
          <w:i/>
        </w:rPr>
        <w:t xml:space="preserve"> Sharpe</w:t>
      </w:r>
      <w:r w:rsidRPr="00804A2C">
        <w:rPr>
          <w:rFonts w:cs="Times New Roman"/>
        </w:rPr>
        <w:t xml:space="preserve">, and </w:t>
      </w:r>
      <w:r w:rsidRPr="00804A2C">
        <w:rPr>
          <w:rFonts w:cs="Times New Roman"/>
          <w:i/>
        </w:rPr>
        <w:t>Thomson Newspapers Co. v. Canada (Attorney General)</w:t>
      </w:r>
      <w:r w:rsidRPr="00804A2C">
        <w:rPr>
          <w:rFonts w:cs="Times New Roman"/>
        </w:rPr>
        <w:t>, [1998] 1 S.C.R. 877</w:t>
      </w:r>
      <w:r w:rsidRPr="00804A2C">
        <w:rPr>
          <w:rFonts w:cs="Times New Roman"/>
          <w:i/>
        </w:rPr>
        <w:t>.</w:t>
      </w:r>
      <w:r w:rsidRPr="00804A2C">
        <w:rPr>
          <w:rFonts w:cs="Times New Roman"/>
        </w:rPr>
        <w:t xml:space="preserve">  I therefore have no difficulty in determining that the purpose of the legislation is pressing and substantial.</w:t>
      </w:r>
    </w:p>
    <w:p w:rsidR="00BB1957" w:rsidRPr="00804A2C" w:rsidRDefault="00BB1957" w:rsidP="0043411E">
      <w:pPr>
        <w:pStyle w:val="TitleTitre-AltT"/>
        <w:tabs>
          <w:tab w:val="left" w:pos="1170"/>
          <w:tab w:val="left" w:pos="1800"/>
        </w:tabs>
        <w:ind w:left="1800" w:hanging="1800"/>
        <w:rPr>
          <w:rFonts w:cs="Times New Roman"/>
        </w:rPr>
      </w:pPr>
      <w:r w:rsidRPr="00804A2C">
        <w:rPr>
          <w:rFonts w:cs="Times New Roman"/>
          <w:b/>
        </w:rPr>
        <w:tab/>
      </w:r>
      <w:bookmarkStart w:id="183" w:name="_Toc341432509"/>
      <w:bookmarkStart w:id="184" w:name="_Toc341686989"/>
      <w:bookmarkStart w:id="185" w:name="_Toc346006812"/>
      <w:bookmarkStart w:id="186" w:name="_Toc349051272"/>
      <w:bookmarkStart w:id="187" w:name="_Toc349051350"/>
      <w:r w:rsidRPr="00804A2C">
        <w:rPr>
          <w:rFonts w:cs="Times New Roman"/>
          <w:b/>
        </w:rPr>
        <w:tab/>
      </w:r>
      <w:bookmarkStart w:id="188" w:name="_Toc349306905"/>
      <w:bookmarkStart w:id="189" w:name="_Toc349638221"/>
      <w:bookmarkStart w:id="190" w:name="_Toc408212140"/>
      <w:r w:rsidRPr="00804A2C">
        <w:rPr>
          <w:rFonts w:cs="Times New Roman"/>
        </w:rPr>
        <w:t>(3)</w:t>
      </w:r>
      <w:r w:rsidRPr="00804A2C">
        <w:rPr>
          <w:rFonts w:cs="Times New Roman"/>
        </w:rPr>
        <w:tab/>
      </w:r>
      <w:r w:rsidRPr="00804A2C">
        <w:rPr>
          <w:rFonts w:cs="Times New Roman"/>
          <w:u w:val="single"/>
        </w:rPr>
        <w:t>Proportionality</w:t>
      </w:r>
      <w:bookmarkEnd w:id="183"/>
      <w:bookmarkEnd w:id="184"/>
      <w:bookmarkEnd w:id="185"/>
      <w:bookmarkEnd w:id="186"/>
      <w:bookmarkEnd w:id="187"/>
      <w:bookmarkEnd w:id="188"/>
      <w:bookmarkEnd w:id="189"/>
      <w:bookmarkEnd w:id="190"/>
    </w:p>
    <w:p w:rsidR="00BB1957" w:rsidRPr="00804A2C" w:rsidRDefault="00BB1957" w:rsidP="00BB1957">
      <w:pPr>
        <w:pStyle w:val="ParaNoNdepar-AltN"/>
        <w:rPr>
          <w:rFonts w:cs="Times New Roman"/>
        </w:rPr>
      </w:pPr>
      <w:r w:rsidRPr="00804A2C">
        <w:rPr>
          <w:rFonts w:cs="Times New Roman"/>
        </w:rPr>
        <w:t>It is next necessary to consider whether s. 14(1</w:t>
      </w:r>
      <w:proofErr w:type="gramStart"/>
      <w:r w:rsidRPr="00804A2C">
        <w:rPr>
          <w:rFonts w:cs="Times New Roman"/>
        </w:rPr>
        <w:t>)(</w:t>
      </w:r>
      <w:proofErr w:type="gramEnd"/>
      <w:r w:rsidRPr="0043411E">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is proportionate to its objective.  Here perfection is not required. Rather the legislature’s chosen approach must be accorded considerable deference. As McLachlin C.J. explained in </w:t>
      </w:r>
      <w:r w:rsidRPr="00804A2C">
        <w:rPr>
          <w:rFonts w:eastAsia="Times New Roman" w:cs="Times New Roman"/>
          <w:i/>
        </w:rPr>
        <w:t xml:space="preserve">Canada (Attorney General) </w:t>
      </w:r>
      <w:r w:rsidRPr="00804A2C">
        <w:rPr>
          <w:rFonts w:eastAsia="Times New Roman" w:cs="Times New Roman"/>
          <w:i/>
          <w:iCs/>
        </w:rPr>
        <w:t>v.</w:t>
      </w:r>
      <w:r w:rsidRPr="00804A2C">
        <w:rPr>
          <w:rFonts w:eastAsia="Times New Roman" w:cs="Times New Roman"/>
          <w:i/>
        </w:rPr>
        <w:t xml:space="preserve"> JTI-Macdonald Corp</w:t>
      </w:r>
      <w:r w:rsidRPr="0043411E">
        <w:rPr>
          <w:rFonts w:eastAsia="Times New Roman" w:cs="Times New Roman"/>
          <w:i/>
        </w:rPr>
        <w:t>.</w:t>
      </w:r>
      <w:r w:rsidRPr="00804A2C">
        <w:rPr>
          <w:rFonts w:eastAsia="Times New Roman" w:cs="Times New Roman"/>
        </w:rPr>
        <w:t>, 2007 SCC 30</w:t>
      </w:r>
      <w:r w:rsidR="0043411E">
        <w:rPr>
          <w:rFonts w:eastAsia="Times New Roman" w:cs="Times New Roman"/>
        </w:rPr>
        <w:t>,</w:t>
      </w:r>
      <w:r w:rsidRPr="00804A2C">
        <w:rPr>
          <w:rFonts w:eastAsia="Times New Roman" w:cs="Times New Roman"/>
        </w:rPr>
        <w:t xml:space="preserve"> [2007] 2 S.C.R. 610 (“</w:t>
      </w:r>
      <w:r w:rsidRPr="00804A2C">
        <w:rPr>
          <w:rFonts w:eastAsia="Times New Roman" w:cs="Times New Roman"/>
          <w:i/>
        </w:rPr>
        <w:t>JTI</w:t>
      </w:r>
      <w:r w:rsidRPr="00804A2C">
        <w:rPr>
          <w:rFonts w:eastAsia="Times New Roman" w:cs="Times New Roman"/>
        </w:rPr>
        <w:t xml:space="preserve">”), </w:t>
      </w:r>
      <w:r w:rsidRPr="00804A2C">
        <w:rPr>
          <w:rFonts w:cs="Times New Roman"/>
        </w:rPr>
        <w:t xml:space="preserve">at </w:t>
      </w:r>
      <w:proofErr w:type="spellStart"/>
      <w:r w:rsidRPr="00804A2C">
        <w:rPr>
          <w:rFonts w:cs="Times New Roman"/>
        </w:rPr>
        <w:t>para</w:t>
      </w:r>
      <w:proofErr w:type="spellEnd"/>
      <w:r w:rsidRPr="00804A2C">
        <w:rPr>
          <w:rFonts w:cs="Times New Roman"/>
        </w:rPr>
        <w:t>. 41, “[e]</w:t>
      </w:r>
      <w:proofErr w:type="spellStart"/>
      <w:r w:rsidRPr="00804A2C">
        <w:rPr>
          <w:rFonts w:cs="Times New Roman"/>
        </w:rPr>
        <w:t>ffective</w:t>
      </w:r>
      <w:proofErr w:type="spellEnd"/>
      <w:r w:rsidRPr="00804A2C">
        <w:rPr>
          <w:rFonts w:cs="Times New Roman"/>
        </w:rPr>
        <w:t xml:space="preserve"> answers to complex social problems </w:t>
      </w:r>
      <w:r w:rsidR="0043411E">
        <w:rPr>
          <w:rFonts w:cs="Times New Roman"/>
        </w:rPr>
        <w:t xml:space="preserve">. . . </w:t>
      </w:r>
      <w:r w:rsidRPr="00804A2C">
        <w:rPr>
          <w:rFonts w:cs="Times New Roman"/>
        </w:rPr>
        <w:t>may not be simple or evident.  There may be room for debate about what will work and what will not, and the outcome may not be scientifically measurable</w:t>
      </w:r>
      <w:r w:rsidR="0043411E">
        <w:rPr>
          <w:rFonts w:cs="Times New Roman"/>
        </w:rPr>
        <w:t>.</w:t>
      </w:r>
      <w:r w:rsidRPr="00804A2C">
        <w:rPr>
          <w:rFonts w:cs="Times New Roman"/>
        </w:rPr>
        <w:t xml:space="preserve">” We must ask whether Parliament has chosen one of several reasonable alternatives: </w:t>
      </w:r>
      <w:r w:rsidRPr="00804A2C">
        <w:rPr>
          <w:rFonts w:cs="Times New Roman"/>
          <w:i/>
        </w:rPr>
        <w:t>R. v. Edwards Books and Art Ltd</w:t>
      </w:r>
      <w:r w:rsidRPr="0043411E">
        <w:rPr>
          <w:rFonts w:cs="Times New Roman"/>
          <w:i/>
        </w:rPr>
        <w:t>.</w:t>
      </w:r>
      <w:r w:rsidRPr="00804A2C">
        <w:rPr>
          <w:rFonts w:cs="Times New Roman"/>
        </w:rPr>
        <w:t xml:space="preserve">, [1986] 2 S.C.R. 713, at pp. 781-83; </w:t>
      </w:r>
      <w:r w:rsidRPr="00804A2C">
        <w:rPr>
          <w:rFonts w:cs="Times New Roman"/>
          <w:i/>
        </w:rPr>
        <w:t>Irwin Toy</w:t>
      </w:r>
      <w:r w:rsidRPr="00804A2C">
        <w:rPr>
          <w:rFonts w:cs="Times New Roman"/>
        </w:rPr>
        <w:t xml:space="preserve">, at p. 989; </w:t>
      </w:r>
      <w:r w:rsidRPr="00804A2C">
        <w:rPr>
          <w:rFonts w:cs="Times New Roman"/>
          <w:i/>
        </w:rPr>
        <w:t>JTI</w:t>
      </w:r>
      <w:r w:rsidRPr="00804A2C">
        <w:rPr>
          <w:rFonts w:cs="Times New Roman"/>
        </w:rPr>
        <w:t>,</w:t>
      </w:r>
      <w:r w:rsidRPr="00804A2C">
        <w:rPr>
          <w:rFonts w:cs="Times New Roman"/>
          <w:i/>
        </w:rPr>
        <w:t xml:space="preserve"> </w:t>
      </w:r>
      <w:r w:rsidRPr="00804A2C">
        <w:rPr>
          <w:rFonts w:cs="Times New Roman"/>
        </w:rPr>
        <w:t xml:space="preserve">at </w:t>
      </w:r>
      <w:proofErr w:type="spellStart"/>
      <w:r w:rsidRPr="00804A2C">
        <w:rPr>
          <w:rFonts w:cs="Times New Roman"/>
        </w:rPr>
        <w:t>para</w:t>
      </w:r>
      <w:proofErr w:type="spellEnd"/>
      <w:r w:rsidRPr="00804A2C">
        <w:rPr>
          <w:rFonts w:cs="Times New Roman"/>
        </w:rPr>
        <w:t xml:space="preserve">. 43. </w:t>
      </w:r>
    </w:p>
    <w:p w:rsidR="00BB1957" w:rsidRPr="00804A2C" w:rsidRDefault="00BB1957" w:rsidP="0043411E">
      <w:pPr>
        <w:pStyle w:val="TitleTitre-AltT"/>
        <w:tabs>
          <w:tab w:val="left" w:pos="1170"/>
        </w:tabs>
        <w:ind w:left="1800" w:hanging="1800"/>
        <w:rPr>
          <w:rFonts w:cs="Times New Roman"/>
        </w:rPr>
      </w:pPr>
      <w:bookmarkStart w:id="191" w:name="_Toc341432510"/>
      <w:bookmarkStart w:id="192" w:name="_Toc341686990"/>
      <w:bookmarkStart w:id="193" w:name="_Toc346006813"/>
      <w:bookmarkStart w:id="194" w:name="_Toc349051273"/>
      <w:bookmarkStart w:id="195" w:name="_Toc349051351"/>
      <w:r w:rsidRPr="00804A2C">
        <w:rPr>
          <w:rFonts w:cs="Times New Roman"/>
        </w:rPr>
        <w:tab/>
      </w:r>
      <w:r w:rsidRPr="00804A2C">
        <w:rPr>
          <w:rFonts w:cs="Times New Roman"/>
        </w:rPr>
        <w:tab/>
      </w:r>
      <w:bookmarkStart w:id="196" w:name="_Toc349306906"/>
      <w:bookmarkStart w:id="197" w:name="_Toc349638222"/>
      <w:bookmarkStart w:id="198" w:name="_Toc408212141"/>
      <w:r w:rsidRPr="00804A2C">
        <w:rPr>
          <w:rFonts w:cs="Times New Roman"/>
        </w:rPr>
        <w:t>(a)</w:t>
      </w:r>
      <w:r w:rsidRPr="00804A2C">
        <w:rPr>
          <w:rFonts w:cs="Times New Roman"/>
        </w:rPr>
        <w:tab/>
      </w:r>
      <w:r w:rsidRPr="00804A2C">
        <w:rPr>
          <w:rFonts w:cs="Times New Roman"/>
          <w:i/>
        </w:rPr>
        <w:t>Is the Limit Rationally Connected to the Objective?</w:t>
      </w:r>
      <w:bookmarkEnd w:id="191"/>
      <w:bookmarkEnd w:id="192"/>
      <w:bookmarkEnd w:id="193"/>
      <w:bookmarkEnd w:id="194"/>
      <w:bookmarkEnd w:id="195"/>
      <w:bookmarkEnd w:id="196"/>
      <w:bookmarkEnd w:id="197"/>
      <w:bookmarkEnd w:id="198"/>
    </w:p>
    <w:p w:rsidR="00BB1957" w:rsidRPr="00804A2C" w:rsidRDefault="00BB1957" w:rsidP="0043411E">
      <w:pPr>
        <w:pStyle w:val="TitleTitre-AltT"/>
        <w:tabs>
          <w:tab w:val="left" w:pos="1170"/>
        </w:tabs>
        <w:ind w:left="1800" w:hanging="1800"/>
        <w:rPr>
          <w:rFonts w:cs="Times New Roman"/>
          <w:i/>
        </w:rPr>
      </w:pPr>
      <w:bookmarkStart w:id="199" w:name="_Toc341432511"/>
      <w:r w:rsidRPr="00804A2C">
        <w:rPr>
          <w:rFonts w:cs="Times New Roman"/>
          <w:i/>
        </w:rPr>
        <w:tab/>
      </w:r>
      <w:r w:rsidRPr="00804A2C">
        <w:rPr>
          <w:rFonts w:cs="Times New Roman"/>
          <w:i/>
        </w:rPr>
        <w:tab/>
      </w:r>
      <w:bookmarkStart w:id="200" w:name="_Toc341686991"/>
      <w:bookmarkStart w:id="201" w:name="_Toc346006814"/>
      <w:bookmarkStart w:id="202" w:name="_Toc349051274"/>
      <w:bookmarkStart w:id="203" w:name="_Toc349051352"/>
      <w:bookmarkStart w:id="204" w:name="_Toc349306907"/>
      <w:bookmarkStart w:id="205" w:name="_Toc349638223"/>
      <w:bookmarkStart w:id="206" w:name="_Toc408212142"/>
      <w:r w:rsidRPr="00804A2C">
        <w:rPr>
          <w:rFonts w:cs="Times New Roman"/>
        </w:rPr>
        <w:t>(</w:t>
      </w:r>
      <w:proofErr w:type="spellStart"/>
      <w:r w:rsidRPr="00804A2C">
        <w:rPr>
          <w:rFonts w:cs="Times New Roman"/>
        </w:rPr>
        <w:t>i</w:t>
      </w:r>
      <w:proofErr w:type="spellEnd"/>
      <w:r w:rsidRPr="00804A2C">
        <w:rPr>
          <w:rFonts w:cs="Times New Roman"/>
        </w:rPr>
        <w:t>)</w:t>
      </w:r>
      <w:r w:rsidRPr="00804A2C">
        <w:rPr>
          <w:rFonts w:cs="Times New Roman"/>
          <w:i/>
        </w:rPr>
        <w:tab/>
      </w:r>
      <w:r w:rsidRPr="00804A2C">
        <w:rPr>
          <w:rFonts w:cs="Times New Roman"/>
          <w:u w:val="single"/>
        </w:rPr>
        <w:t>Societal Versus Individual Harm</w:t>
      </w:r>
      <w:bookmarkEnd w:id="199"/>
      <w:bookmarkEnd w:id="200"/>
      <w:bookmarkEnd w:id="201"/>
      <w:bookmarkEnd w:id="202"/>
      <w:bookmarkEnd w:id="203"/>
      <w:bookmarkEnd w:id="204"/>
      <w:bookmarkEnd w:id="205"/>
      <w:bookmarkEnd w:id="206"/>
    </w:p>
    <w:p w:rsidR="00BB1957" w:rsidRPr="00804A2C" w:rsidRDefault="00BB1957" w:rsidP="00BB1957">
      <w:pPr>
        <w:pStyle w:val="ParaNoNdepar-AltN"/>
        <w:rPr>
          <w:rFonts w:cs="Times New Roman"/>
        </w:rPr>
      </w:pPr>
      <w:r w:rsidRPr="00804A2C">
        <w:rPr>
          <w:rFonts w:cs="Times New Roman"/>
        </w:rPr>
        <w:t>As determined with respect to s. 15(1) of the</w:t>
      </w:r>
      <w:r w:rsidRPr="00804A2C">
        <w:rPr>
          <w:rFonts w:cs="Times New Roman"/>
          <w:i/>
        </w:rPr>
        <w:t xml:space="preserve"> Charter</w:t>
      </w:r>
      <w:r w:rsidRPr="00804A2C">
        <w:rPr>
          <w:rFonts w:cs="Times New Roman"/>
        </w:rPr>
        <w:t xml:space="preserve"> in</w:t>
      </w:r>
      <w:r w:rsidRPr="00804A2C">
        <w:rPr>
          <w:rFonts w:cs="Times New Roman"/>
          <w:i/>
        </w:rPr>
        <w:t xml:space="preserve"> </w:t>
      </w:r>
      <w:proofErr w:type="spellStart"/>
      <w:r w:rsidRPr="00804A2C">
        <w:rPr>
          <w:rFonts w:cs="Times New Roman"/>
          <w:i/>
        </w:rPr>
        <w:t>Withler</w:t>
      </w:r>
      <w:proofErr w:type="spellEnd"/>
      <w:r w:rsidRPr="00804A2C">
        <w:rPr>
          <w:rFonts w:cs="Times New Roman"/>
          <w:i/>
        </w:rPr>
        <w:t xml:space="preserve"> v. Canada (Attorney General)</w:t>
      </w:r>
      <w:r w:rsidRPr="00804A2C">
        <w:rPr>
          <w:rFonts w:cs="Times New Roman"/>
        </w:rPr>
        <w:t xml:space="preserve">, 2011 SCC 12, [2011] 1 S.C.R. 396, at </w:t>
      </w:r>
      <w:proofErr w:type="spellStart"/>
      <w:r w:rsidRPr="00804A2C">
        <w:rPr>
          <w:rFonts w:cs="Times New Roman"/>
        </w:rPr>
        <w:t>paras</w:t>
      </w:r>
      <w:proofErr w:type="spellEnd"/>
      <w:r w:rsidRPr="00804A2C">
        <w:rPr>
          <w:rFonts w:cs="Times New Roman"/>
        </w:rPr>
        <w:t>. 35-36, the objective of eliminating discrimination and substantive inequality generally focuses on reducing the perpetuation of prejudice and disadvantage to members of a group on the basis of statutorily enumerated (or analogous) personal characteristics, or on the perpetuation of stereotyping that does not correspond to the actual circumstances and characteristics of the claimant group.  When hate speech pertains to a vulnerable group, the concern is that it will perpetuate historical prejudice, disadvantage and stereotyping and result in social disharmony as well as harm to the rights of the vulnerable group.</w:t>
      </w:r>
    </w:p>
    <w:p w:rsidR="00BB1957" w:rsidRPr="00804A2C" w:rsidRDefault="00BB1957" w:rsidP="00BB1957">
      <w:pPr>
        <w:pStyle w:val="ParaNoNdepar-AltN"/>
        <w:rPr>
          <w:rFonts w:cs="Times New Roman"/>
        </w:rPr>
      </w:pPr>
      <w:r w:rsidRPr="00804A2C">
        <w:rPr>
          <w:rFonts w:cs="Times New Roman"/>
        </w:rPr>
        <w:t>Therefore, the question of whether a restriction on hate speech is rationally connected to the legislative goal of reducing discrimination must focus on the group rather than on the individual and depends on demonstrating that the likely harm is to the group rather than an individual alone.  Hate speech seeks to marginalize individuals based on their group characteristics.  As such, in order to satisfy the rational connection requirement, the expression captured under legislation restricting hate speech must rise to a level beyond merely impugning individuals: it must seek to marginalize the group by affecting its social status and acceptance in the eyes of the majority.</w:t>
      </w:r>
    </w:p>
    <w:p w:rsidR="00BB1957" w:rsidRPr="00804A2C" w:rsidRDefault="00BB1957" w:rsidP="00BB1957">
      <w:pPr>
        <w:pStyle w:val="ParaNoNdepar-AltN"/>
        <w:rPr>
          <w:rFonts w:cs="Times New Roman"/>
        </w:rPr>
      </w:pPr>
      <w:r w:rsidRPr="00804A2C">
        <w:rPr>
          <w:rFonts w:cs="Times New Roman"/>
        </w:rPr>
        <w:t xml:space="preserve">This is not to diminish the harm that might occur to individuals through attacks on their group. As Dickson C.J. noted in </w:t>
      </w:r>
      <w:proofErr w:type="spellStart"/>
      <w:r w:rsidRPr="00804A2C">
        <w:rPr>
          <w:rFonts w:cs="Times New Roman"/>
          <w:i/>
        </w:rPr>
        <w:t>Keegstra</w:t>
      </w:r>
      <w:proofErr w:type="spellEnd"/>
      <w:r w:rsidRPr="00804A2C">
        <w:rPr>
          <w:rFonts w:cs="Times New Roman"/>
        </w:rPr>
        <w:t>,</w:t>
      </w:r>
      <w:r w:rsidRPr="00804A2C">
        <w:rPr>
          <w:rFonts w:cs="Times New Roman"/>
          <w:i/>
        </w:rPr>
        <w:t xml:space="preserve"> </w:t>
      </w:r>
      <w:r w:rsidRPr="00804A2C">
        <w:rPr>
          <w:rFonts w:cs="Times New Roman"/>
        </w:rPr>
        <w:t>at p. 746, “[a]</w:t>
      </w:r>
      <w:r w:rsidRPr="00804A2C">
        <w:rPr>
          <w:rFonts w:cs="Times New Roman"/>
          <w:szCs w:val="24"/>
        </w:rPr>
        <w:t xml:space="preserve"> person’s sense of human dignity and belonging to the community at large is closely linked to the concern and respect accorded the groups to which he or she belongs (see I. Berlin, ‘Two Concepts of Liberty’, in </w:t>
      </w:r>
      <w:r w:rsidRPr="00804A2C">
        <w:rPr>
          <w:rFonts w:cs="Times New Roman"/>
          <w:i/>
          <w:iCs/>
          <w:szCs w:val="24"/>
        </w:rPr>
        <w:t xml:space="preserve">Four Essays on Liberty </w:t>
      </w:r>
      <w:r w:rsidRPr="00804A2C">
        <w:rPr>
          <w:rFonts w:cs="Times New Roman"/>
          <w:szCs w:val="24"/>
        </w:rPr>
        <w:t xml:space="preserve">(1969), 118, at p. 155).”  However, in the context of hate </w:t>
      </w:r>
      <w:r w:rsidRPr="00804A2C">
        <w:rPr>
          <w:rFonts w:cs="Times New Roman"/>
        </w:rPr>
        <w:t>speech</w:t>
      </w:r>
      <w:r w:rsidRPr="00804A2C">
        <w:rPr>
          <w:rFonts w:cs="Times New Roman"/>
          <w:szCs w:val="24"/>
        </w:rPr>
        <w:t xml:space="preserve">, this harm is derivative of the larger harm inflicted on the group, rather than </w:t>
      </w:r>
      <w:r w:rsidRPr="00804A2C">
        <w:rPr>
          <w:rFonts w:cs="Times New Roman"/>
        </w:rPr>
        <w:t>purely individual.</w:t>
      </w:r>
    </w:p>
    <w:p w:rsidR="00BB1957" w:rsidRPr="00804A2C" w:rsidRDefault="00BB1957" w:rsidP="00BB1957">
      <w:pPr>
        <w:pStyle w:val="ParaNoNdepar-AltN"/>
        <w:rPr>
          <w:rFonts w:cs="Times New Roman"/>
        </w:rPr>
      </w:pPr>
      <w:r w:rsidRPr="00804A2C">
        <w:rPr>
          <w:rFonts w:cs="Times New Roman"/>
        </w:rPr>
        <w:t xml:space="preserve">Societal harm flowing from hate speech must be assessed as objectively as possible. The feelings of the publisher or victim are not the test: </w:t>
      </w:r>
      <w:r w:rsidRPr="00804A2C">
        <w:rPr>
          <w:rFonts w:cs="Times New Roman"/>
          <w:i/>
        </w:rPr>
        <w:t>Owens</w:t>
      </w:r>
      <w:r w:rsidR="0043411E">
        <w:rPr>
          <w:rFonts w:cs="Times New Roman"/>
          <w:i/>
        </w:rPr>
        <w:t xml:space="preserve"> (C.A.)</w:t>
      </w:r>
      <w:r w:rsidRPr="00804A2C">
        <w:rPr>
          <w:rFonts w:cs="Times New Roman"/>
        </w:rPr>
        <w:t xml:space="preserve">, at </w:t>
      </w:r>
      <w:proofErr w:type="spellStart"/>
      <w:r w:rsidRPr="00804A2C">
        <w:rPr>
          <w:rFonts w:cs="Times New Roman"/>
        </w:rPr>
        <w:t>paras</w:t>
      </w:r>
      <w:proofErr w:type="spellEnd"/>
      <w:r w:rsidRPr="00804A2C">
        <w:rPr>
          <w:rFonts w:cs="Times New Roman"/>
        </w:rPr>
        <w:t xml:space="preserve">. 58-60. </w:t>
      </w:r>
      <w:proofErr w:type="gramStart"/>
      <w:r w:rsidRPr="00804A2C">
        <w:rPr>
          <w:rFonts w:cs="Times New Roman"/>
        </w:rPr>
        <w:t>While</w:t>
      </w:r>
      <w:proofErr w:type="gramEnd"/>
      <w:r w:rsidRPr="00804A2C">
        <w:rPr>
          <w:rFonts w:cs="Times New Roman"/>
        </w:rPr>
        <w:t xml:space="preserve"> the emotional damage from hate speech is indeed troubling, protecting the emotions of an individual group member is not rationally connected to the overall purpose of reducing discrimination.  While it would certainly be expected that hate speech would prompt emotional reactions from members of the targeted group, in the context of hate speech legislation, these reactions are only relevant as a derivative effect of the attack on the group.  As a derivative effect, these are not sufficient to justify an infringement of s. 2(</w:t>
      </w:r>
      <w:r w:rsidRPr="00804A2C">
        <w:rPr>
          <w:rFonts w:cs="Times New Roman"/>
          <w:i/>
        </w:rPr>
        <w:t>b</w:t>
      </w:r>
      <w:r w:rsidRPr="00804A2C">
        <w:rPr>
          <w:rFonts w:cs="Times New Roman"/>
        </w:rPr>
        <w:t>).  Instead, the focus must be on the likely effect of the hate speech on how individuals external to the group might reconsider the social standing of the group. Ultimately, it is the need to protect the societal standing of vulnerable groups that is the objective of legislation restricting hate speech.</w:t>
      </w:r>
    </w:p>
    <w:p w:rsidR="00BB1957" w:rsidRPr="00804A2C" w:rsidRDefault="00BB1957" w:rsidP="00BB1957">
      <w:pPr>
        <w:pStyle w:val="ParaNoNdepar-AltN"/>
        <w:rPr>
          <w:rFonts w:cs="Times New Roman"/>
        </w:rPr>
      </w:pPr>
      <w:r w:rsidRPr="00804A2C">
        <w:rPr>
          <w:rFonts w:cs="Times New Roman"/>
        </w:rPr>
        <w:t>Section 14(1</w:t>
      </w:r>
      <w:proofErr w:type="gramStart"/>
      <w:r w:rsidRPr="00804A2C">
        <w:rPr>
          <w:rFonts w:cs="Times New Roman"/>
        </w:rPr>
        <w:t>)(</w:t>
      </w:r>
      <w:proofErr w:type="gramEnd"/>
      <w:r w:rsidRPr="0043411E">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reflects this approach.  The prohibition only limits the display or publication of representations, such as through newspapers or other printed matter, or through television or radio broadcasting. In other words, it only prohibits </w:t>
      </w:r>
      <w:r w:rsidRPr="00804A2C">
        <w:rPr>
          <w:rFonts w:cs="Times New Roman"/>
          <w:i/>
        </w:rPr>
        <w:t>public</w:t>
      </w:r>
      <w:r w:rsidRPr="00804A2C">
        <w:rPr>
          <w:rFonts w:cs="Times New Roman"/>
        </w:rPr>
        <w:t xml:space="preserve"> communications of hate speech.  The Saskatchewan legislature does not restrict hateful expression in private communications between individuals. While one would expect private expressions of hateful messages might inflict significant emotional harm, they do not impact the societal status of the protected group.</w:t>
      </w:r>
    </w:p>
    <w:p w:rsidR="00BB1957" w:rsidRPr="00804A2C" w:rsidRDefault="00BB1957" w:rsidP="00BB1957">
      <w:pPr>
        <w:pStyle w:val="ParaNoNdepar-AltN"/>
        <w:rPr>
          <w:rFonts w:cs="Times New Roman"/>
        </w:rPr>
      </w:pPr>
      <w:r w:rsidRPr="00804A2C">
        <w:rPr>
          <w:rFonts w:cs="Times New Roman"/>
        </w:rPr>
        <w:t>Similarly, the prohibition does not preclude hate speech against an individual on the basis of his or her uniquely personal characteristics, but only on the basis of characteristics that are shared by others and have been legislatively recognized as a prohibited ground of discrimination. Although human rights legislation prohibits discrimination of both majority and minority subgroups identifiable by an enumerated characteristic, historical and jurisprudential experience demonstrates that hate speech is virtually always aimed at the minority subgroup. A prohibition of hate speech will only be rationally connected to the objective if its ambit is limited to expression publicly directed at a protected group, or at an individual on the basis that he or she is a member of that group.</w:t>
      </w:r>
    </w:p>
    <w:p w:rsidR="00BB1957" w:rsidRPr="00804A2C" w:rsidRDefault="00BB1957" w:rsidP="0043411E">
      <w:pPr>
        <w:pStyle w:val="TitleTitre-AltT"/>
        <w:tabs>
          <w:tab w:val="left" w:pos="1170"/>
        </w:tabs>
        <w:ind w:left="1800" w:hanging="1800"/>
        <w:rPr>
          <w:rFonts w:cs="Times New Roman"/>
          <w:i/>
        </w:rPr>
      </w:pPr>
      <w:bookmarkStart w:id="207" w:name="_Toc341432512"/>
      <w:r w:rsidRPr="00804A2C">
        <w:rPr>
          <w:rFonts w:cs="Times New Roman"/>
          <w:i/>
        </w:rPr>
        <w:tab/>
      </w:r>
      <w:r w:rsidRPr="00804A2C">
        <w:rPr>
          <w:rFonts w:cs="Times New Roman"/>
          <w:i/>
        </w:rPr>
        <w:tab/>
      </w:r>
      <w:bookmarkStart w:id="208" w:name="_Toc341686992"/>
      <w:bookmarkStart w:id="209" w:name="_Toc346006815"/>
      <w:bookmarkStart w:id="210" w:name="_Toc349051275"/>
      <w:bookmarkStart w:id="211" w:name="_Toc349051353"/>
      <w:bookmarkStart w:id="212" w:name="_Toc349306908"/>
      <w:bookmarkStart w:id="213" w:name="_Toc349638224"/>
      <w:bookmarkStart w:id="214" w:name="_Toc408212143"/>
      <w:r w:rsidRPr="00804A2C">
        <w:rPr>
          <w:rFonts w:cs="Times New Roman"/>
        </w:rPr>
        <w:t>(ii)</w:t>
      </w:r>
      <w:r w:rsidRPr="00804A2C">
        <w:rPr>
          <w:rFonts w:cs="Times New Roman"/>
          <w:i/>
        </w:rPr>
        <w:tab/>
      </w:r>
      <w:r w:rsidRPr="00804A2C">
        <w:rPr>
          <w:rFonts w:cs="Times New Roman"/>
          <w:u w:val="single"/>
        </w:rPr>
        <w:t>Wording of Section 14(1</w:t>
      </w:r>
      <w:proofErr w:type="gramStart"/>
      <w:r w:rsidRPr="00804A2C">
        <w:rPr>
          <w:rFonts w:cs="Times New Roman"/>
          <w:u w:val="single"/>
        </w:rPr>
        <w:t>)(</w:t>
      </w:r>
      <w:proofErr w:type="gramEnd"/>
      <w:r w:rsidRPr="0043411E">
        <w:rPr>
          <w:rFonts w:cs="Times New Roman"/>
          <w:u w:val="single"/>
        </w:rPr>
        <w:t>b</w:t>
      </w:r>
      <w:r w:rsidRPr="00804A2C">
        <w:rPr>
          <w:rFonts w:cs="Times New Roman"/>
          <w:u w:val="single"/>
        </w:rPr>
        <w:t>) of the</w:t>
      </w:r>
      <w:r w:rsidRPr="00804A2C">
        <w:rPr>
          <w:rFonts w:cs="Times New Roman"/>
          <w:i/>
          <w:u w:val="single"/>
        </w:rPr>
        <w:t xml:space="preserve"> Code</w:t>
      </w:r>
      <w:bookmarkEnd w:id="207"/>
      <w:bookmarkEnd w:id="208"/>
      <w:bookmarkEnd w:id="209"/>
      <w:bookmarkEnd w:id="210"/>
      <w:bookmarkEnd w:id="211"/>
      <w:bookmarkEnd w:id="212"/>
      <w:bookmarkEnd w:id="213"/>
      <w:bookmarkEnd w:id="214"/>
    </w:p>
    <w:p w:rsidR="00BB1957" w:rsidRPr="00804A2C" w:rsidRDefault="00BB1957" w:rsidP="00BB1957">
      <w:pPr>
        <w:pStyle w:val="ParaNoNdepar-AltN"/>
        <w:rPr>
          <w:rFonts w:cs="Times New Roman"/>
        </w:rPr>
      </w:pPr>
      <w:r w:rsidRPr="00804A2C">
        <w:rPr>
          <w:rFonts w:cs="Times New Roman"/>
        </w:rPr>
        <w:t>The wording of s. 14(1)(</w:t>
      </w:r>
      <w:r w:rsidRPr="0043411E">
        <w:rPr>
          <w:rFonts w:cs="Times New Roman"/>
        </w:rPr>
        <w:t>b</w:t>
      </w:r>
      <w:r w:rsidRPr="00804A2C">
        <w:rPr>
          <w:rFonts w:cs="Times New Roman"/>
        </w:rPr>
        <w:t xml:space="preserve">) of the </w:t>
      </w:r>
      <w:r w:rsidRPr="00804A2C">
        <w:rPr>
          <w:rFonts w:cs="Times New Roman"/>
          <w:i/>
        </w:rPr>
        <w:t xml:space="preserve">Code </w:t>
      </w:r>
      <w:r w:rsidRPr="00804A2C">
        <w:rPr>
          <w:rFonts w:cs="Times New Roman"/>
        </w:rPr>
        <w:t>has been criticized</w:t>
      </w:r>
      <w:r w:rsidRPr="00804A2C">
        <w:rPr>
          <w:rFonts w:cs="Times New Roman"/>
          <w:i/>
        </w:rPr>
        <w:t xml:space="preserve"> </w:t>
      </w:r>
      <w:r w:rsidRPr="00804A2C">
        <w:rPr>
          <w:rFonts w:cs="Times New Roman"/>
        </w:rPr>
        <w:t>for</w:t>
      </w:r>
      <w:r w:rsidRPr="00804A2C">
        <w:rPr>
          <w:rFonts w:cs="Times New Roman"/>
          <w:i/>
        </w:rPr>
        <w:t xml:space="preserve"> </w:t>
      </w:r>
      <w:r w:rsidRPr="00804A2C">
        <w:rPr>
          <w:rFonts w:cs="Times New Roman"/>
        </w:rPr>
        <w:t>prohibiting not only publications with representations exposing the target group to “hatred”, but any representation which “ridicules, belittles or otherwise affronts the dignity of” any person or class of persons on the basis of a prohibited ground.  The words “ridicules”, “belittles” or “affronts the dignity of” are said to lower the threshold of the test to capture “hurt feelings” and “affronts to dignity” that are not tied to the objective of eliminating discrimination. To the extent that they do, they are said to infringe freedom of expression in ways not rationally connected to the legislative objectives.</w:t>
      </w:r>
    </w:p>
    <w:p w:rsidR="00BB1957" w:rsidRPr="00804A2C" w:rsidRDefault="00BB1957" w:rsidP="00BB1957">
      <w:pPr>
        <w:pStyle w:val="ParaNoNdepar-AltN"/>
        <w:rPr>
          <w:rFonts w:cs="Times New Roman"/>
        </w:rPr>
      </w:pPr>
      <w:r w:rsidRPr="00804A2C">
        <w:rPr>
          <w:rFonts w:cs="Times New Roman"/>
        </w:rPr>
        <w:t>In actual fact, the additional words in s. 14(1</w:t>
      </w:r>
      <w:proofErr w:type="gramStart"/>
      <w:r w:rsidRPr="00804A2C">
        <w:rPr>
          <w:rFonts w:cs="Times New Roman"/>
        </w:rPr>
        <w:t>)(</w:t>
      </w:r>
      <w:proofErr w:type="gramEnd"/>
      <w:r w:rsidRPr="0043411E">
        <w:rPr>
          <w:rFonts w:cs="Times New Roman"/>
        </w:rPr>
        <w:t>b</w:t>
      </w:r>
      <w:r w:rsidRPr="00804A2C">
        <w:rPr>
          <w:rFonts w:cs="Times New Roman"/>
        </w:rPr>
        <w:t xml:space="preserve">) have not explicitly been used to lower its threshold below what was set in </w:t>
      </w:r>
      <w:r w:rsidRPr="00804A2C">
        <w:rPr>
          <w:rFonts w:cs="Times New Roman"/>
          <w:i/>
        </w:rPr>
        <w:t>Taylor</w:t>
      </w:r>
      <w:r w:rsidRPr="00804A2C">
        <w:rPr>
          <w:rFonts w:cs="Times New Roman"/>
        </w:rPr>
        <w:t xml:space="preserve">.  Even before this Court’s decision in </w:t>
      </w:r>
      <w:r w:rsidRPr="00804A2C">
        <w:rPr>
          <w:rFonts w:cs="Times New Roman"/>
          <w:i/>
        </w:rPr>
        <w:t>Taylor</w:t>
      </w:r>
      <w:r w:rsidRPr="00804A2C">
        <w:rPr>
          <w:rFonts w:cs="Times New Roman"/>
        </w:rPr>
        <w:t>, the Saskatchewan Court of Appeal narrowly applied the wording in s. 14(1</w:t>
      </w:r>
      <w:proofErr w:type="gramStart"/>
      <w:r w:rsidRPr="00804A2C">
        <w:rPr>
          <w:rFonts w:cs="Times New Roman"/>
        </w:rPr>
        <w:t>)(</w:t>
      </w:r>
      <w:proofErr w:type="gramEnd"/>
      <w:r w:rsidRPr="0043411E">
        <w:rPr>
          <w:rFonts w:cs="Times New Roman"/>
        </w:rPr>
        <w:t>b</w:t>
      </w:r>
      <w:r w:rsidRPr="00804A2C">
        <w:rPr>
          <w:rFonts w:cs="Times New Roman"/>
        </w:rPr>
        <w:t xml:space="preserve">): </w:t>
      </w:r>
      <w:r w:rsidRPr="00804A2C">
        <w:rPr>
          <w:rFonts w:cs="Times New Roman"/>
          <w:i/>
        </w:rPr>
        <w:t>Human Rights Commission (Sask.) v. Engineering Students’ Society, University of Saskatchewan</w:t>
      </w:r>
      <w:r w:rsidRPr="00804A2C">
        <w:rPr>
          <w:rFonts w:cs="Times New Roman"/>
        </w:rPr>
        <w:t xml:space="preserve"> (1989), 72 Sask. R. 161; see also L. McNamara, “Negotiating the Contours of Unlawful Hate Speech: Regulation Under Provincial Human Rights Laws in Canada” (2005), 38 </w:t>
      </w:r>
      <w:r w:rsidRPr="00804A2C">
        <w:rPr>
          <w:rFonts w:cs="Times New Roman"/>
          <w:i/>
        </w:rPr>
        <w:t>U.B.C.</w:t>
      </w:r>
      <w:r w:rsidR="0043411E">
        <w:rPr>
          <w:rFonts w:cs="Times New Roman"/>
          <w:i/>
        </w:rPr>
        <w:t xml:space="preserve"> </w:t>
      </w:r>
      <w:r w:rsidRPr="00804A2C">
        <w:rPr>
          <w:rFonts w:cs="Times New Roman"/>
          <w:i/>
        </w:rPr>
        <w:t>L. Rev</w:t>
      </w:r>
      <w:r w:rsidRPr="00804A2C">
        <w:rPr>
          <w:rFonts w:cs="Times New Roman"/>
        </w:rPr>
        <w:t xml:space="preserve">. 1, at p. 57. </w:t>
      </w:r>
    </w:p>
    <w:p w:rsidR="00BB1957" w:rsidRPr="00804A2C" w:rsidRDefault="00BB1957" w:rsidP="00BB1957">
      <w:pPr>
        <w:pStyle w:val="ParaNoNdepar-AltN"/>
        <w:rPr>
          <w:rFonts w:cs="Times New Roman"/>
        </w:rPr>
      </w:pPr>
      <w:r w:rsidRPr="00804A2C">
        <w:rPr>
          <w:rFonts w:cs="Times New Roman"/>
        </w:rPr>
        <w:t xml:space="preserve">Since the decision in </w:t>
      </w:r>
      <w:r w:rsidRPr="00804A2C">
        <w:rPr>
          <w:rFonts w:cs="Times New Roman"/>
          <w:i/>
        </w:rPr>
        <w:t>Taylor</w:t>
      </w:r>
      <w:r w:rsidRPr="00804A2C">
        <w:rPr>
          <w:rFonts w:cs="Times New Roman"/>
        </w:rPr>
        <w:t>, the Saskatchewan Court of Appeal has interpreted s. 14(1</w:t>
      </w:r>
      <w:proofErr w:type="gramStart"/>
      <w:r w:rsidRPr="00804A2C">
        <w:rPr>
          <w:rFonts w:cs="Times New Roman"/>
        </w:rPr>
        <w:t>)(</w:t>
      </w:r>
      <w:proofErr w:type="gramEnd"/>
      <w:r w:rsidRPr="0043411E">
        <w:rPr>
          <w:rFonts w:cs="Times New Roman"/>
        </w:rPr>
        <w:t>b</w:t>
      </w:r>
      <w:r w:rsidRPr="00804A2C">
        <w:rPr>
          <w:rFonts w:cs="Times New Roman"/>
        </w:rPr>
        <w:t xml:space="preserve">) of the </w:t>
      </w:r>
      <w:r w:rsidRPr="00804A2C">
        <w:rPr>
          <w:rFonts w:cs="Times New Roman"/>
          <w:i/>
        </w:rPr>
        <w:t>Code</w:t>
      </w:r>
      <w:r w:rsidRPr="00804A2C">
        <w:rPr>
          <w:rFonts w:cs="Times New Roman"/>
        </w:rPr>
        <w:t>, including the words “ridicules, belittles or otherwise affronts the dignity of”, to prohibit only those publications involving unusually strong and deep-felt emotions of detestation, calumny and vilification: see</w:t>
      </w:r>
      <w:r w:rsidRPr="00804A2C">
        <w:rPr>
          <w:rFonts w:eastAsia="Times New Roman" w:cs="Times New Roman"/>
        </w:rPr>
        <w:t xml:space="preserve"> </w:t>
      </w:r>
      <w:r w:rsidRPr="00804A2C">
        <w:rPr>
          <w:rFonts w:eastAsia="Times New Roman" w:cs="Times New Roman"/>
          <w:i/>
        </w:rPr>
        <w:t>Bell</w:t>
      </w:r>
      <w:r w:rsidR="0043411E">
        <w:rPr>
          <w:rFonts w:eastAsia="Times New Roman" w:cs="Times New Roman"/>
        </w:rPr>
        <w:t>,</w:t>
      </w:r>
      <w:r w:rsidRPr="00804A2C">
        <w:rPr>
          <w:rFonts w:eastAsia="Times New Roman" w:cs="Times New Roman"/>
          <w:i/>
        </w:rPr>
        <w:t xml:space="preserve"> </w:t>
      </w:r>
      <w:r w:rsidRPr="00804A2C">
        <w:rPr>
          <w:rFonts w:eastAsia="Times New Roman" w:cs="Times New Roman"/>
        </w:rPr>
        <w:t xml:space="preserve">at </w:t>
      </w:r>
      <w:proofErr w:type="spellStart"/>
      <w:r w:rsidRPr="00804A2C">
        <w:rPr>
          <w:rFonts w:eastAsia="Times New Roman" w:cs="Times New Roman"/>
        </w:rPr>
        <w:t>para</w:t>
      </w:r>
      <w:proofErr w:type="spellEnd"/>
      <w:r w:rsidRPr="00804A2C">
        <w:rPr>
          <w:rFonts w:eastAsia="Times New Roman" w:cs="Times New Roman"/>
        </w:rPr>
        <w:t xml:space="preserve">. 31; </w:t>
      </w:r>
      <w:r w:rsidRPr="00804A2C">
        <w:rPr>
          <w:rFonts w:eastAsia="Times New Roman" w:cs="Times New Roman"/>
          <w:i/>
        </w:rPr>
        <w:t>Owens</w:t>
      </w:r>
      <w:r w:rsidRPr="00804A2C">
        <w:rPr>
          <w:rFonts w:eastAsia="Times New Roman" w:cs="Times New Roman"/>
        </w:rPr>
        <w:t>,</w:t>
      </w:r>
      <w:r w:rsidRPr="00804A2C">
        <w:rPr>
          <w:rFonts w:eastAsia="Times New Roman" w:cs="Times New Roman"/>
          <w:i/>
        </w:rPr>
        <w:t xml:space="preserve"> </w:t>
      </w:r>
      <w:r w:rsidRPr="00804A2C">
        <w:rPr>
          <w:rFonts w:eastAsia="Times New Roman" w:cs="Times New Roman"/>
        </w:rPr>
        <w:t xml:space="preserve">at </w:t>
      </w:r>
      <w:proofErr w:type="spellStart"/>
      <w:r w:rsidRPr="00804A2C">
        <w:rPr>
          <w:rFonts w:eastAsia="Times New Roman" w:cs="Times New Roman"/>
        </w:rPr>
        <w:t>para</w:t>
      </w:r>
      <w:proofErr w:type="spellEnd"/>
      <w:r w:rsidRPr="00804A2C">
        <w:rPr>
          <w:rFonts w:eastAsia="Times New Roman" w:cs="Times New Roman"/>
        </w:rPr>
        <w:t>. 53</w:t>
      </w:r>
      <w:r w:rsidR="0043411E">
        <w:rPr>
          <w:rFonts w:eastAsia="Times New Roman" w:cs="Times New Roman"/>
        </w:rPr>
        <w:t>;</w:t>
      </w:r>
      <w:r w:rsidRPr="00804A2C">
        <w:rPr>
          <w:rFonts w:eastAsia="Times New Roman" w:cs="Times New Roman"/>
          <w:i/>
        </w:rPr>
        <w:t xml:space="preserve"> </w:t>
      </w:r>
      <w:r w:rsidRPr="00804A2C">
        <w:rPr>
          <w:rFonts w:eastAsia="Times New Roman" w:cs="Times New Roman"/>
        </w:rPr>
        <w:t xml:space="preserve">and </w:t>
      </w:r>
      <w:proofErr w:type="spellStart"/>
      <w:r w:rsidRPr="00804A2C">
        <w:rPr>
          <w:rFonts w:eastAsia="Times New Roman" w:cs="Times New Roman"/>
          <w:i/>
        </w:rPr>
        <w:t>Whatcott</w:t>
      </w:r>
      <w:proofErr w:type="spellEnd"/>
      <w:r w:rsidRPr="00804A2C">
        <w:rPr>
          <w:rFonts w:eastAsia="Times New Roman" w:cs="Times New Roman"/>
        </w:rPr>
        <w:t xml:space="preserve"> </w:t>
      </w:r>
      <w:r w:rsidRPr="0043411E">
        <w:rPr>
          <w:rFonts w:eastAsia="Times New Roman" w:cs="Times New Roman"/>
          <w:i/>
        </w:rPr>
        <w:t>(</w:t>
      </w:r>
      <w:r w:rsidRPr="00804A2C">
        <w:rPr>
          <w:rFonts w:eastAsia="Times New Roman" w:cs="Times New Roman"/>
          <w:i/>
        </w:rPr>
        <w:t>C.A.</w:t>
      </w:r>
      <w:r w:rsidRPr="0043411E">
        <w:rPr>
          <w:rFonts w:eastAsia="Times New Roman" w:cs="Times New Roman"/>
          <w:i/>
        </w:rPr>
        <w:t>)</w:t>
      </w:r>
      <w:r w:rsidRPr="00804A2C">
        <w:rPr>
          <w:rFonts w:eastAsia="Times New Roman" w:cs="Times New Roman"/>
        </w:rPr>
        <w:t xml:space="preserve">, at </w:t>
      </w:r>
      <w:proofErr w:type="spellStart"/>
      <w:r w:rsidRPr="00804A2C">
        <w:rPr>
          <w:rFonts w:eastAsia="Times New Roman" w:cs="Times New Roman"/>
        </w:rPr>
        <w:t>paras</w:t>
      </w:r>
      <w:proofErr w:type="spellEnd"/>
      <w:r w:rsidRPr="00804A2C">
        <w:rPr>
          <w:rFonts w:eastAsia="Times New Roman" w:cs="Times New Roman"/>
        </w:rPr>
        <w:t xml:space="preserve">. 53-55. </w:t>
      </w:r>
    </w:p>
    <w:p w:rsidR="00BB1957" w:rsidRPr="00804A2C" w:rsidRDefault="00BB1957" w:rsidP="00BB1957">
      <w:pPr>
        <w:pStyle w:val="ParaNoNdepar-AltN"/>
        <w:rPr>
          <w:rFonts w:cs="Times New Roman"/>
        </w:rPr>
      </w:pPr>
      <w:r w:rsidRPr="00804A2C">
        <w:rPr>
          <w:rFonts w:eastAsia="Times New Roman" w:cs="Times New Roman"/>
        </w:rPr>
        <w:t xml:space="preserve">Although the expansive words </w:t>
      </w:r>
      <w:r w:rsidRPr="00804A2C">
        <w:rPr>
          <w:rFonts w:cs="Times New Roman"/>
        </w:rPr>
        <w:t xml:space="preserve">“ridicules, belittles or otherwise affronts the dignity of” have </w:t>
      </w:r>
      <w:r w:rsidRPr="00804A2C">
        <w:rPr>
          <w:rFonts w:eastAsia="Times New Roman" w:cs="Times New Roman"/>
        </w:rPr>
        <w:t xml:space="preserve">essentially been ignored when applying </w:t>
      </w:r>
      <w:r w:rsidRPr="00804A2C">
        <w:rPr>
          <w:rFonts w:cs="Times New Roman"/>
        </w:rPr>
        <w:t>s. 14(1</w:t>
      </w:r>
      <w:proofErr w:type="gramStart"/>
      <w:r w:rsidRPr="00804A2C">
        <w:rPr>
          <w:rFonts w:cs="Times New Roman"/>
        </w:rPr>
        <w:t>)(</w:t>
      </w:r>
      <w:proofErr w:type="gramEnd"/>
      <w:r w:rsidRPr="0043411E">
        <w:rPr>
          <w:rFonts w:cs="Times New Roman"/>
        </w:rPr>
        <w:t>b</w:t>
      </w:r>
      <w:r w:rsidRPr="00804A2C">
        <w:rPr>
          <w:rFonts w:cs="Times New Roman"/>
        </w:rPr>
        <w:t xml:space="preserve">), it is a matter of concern to some interveners that “the legislation has never been amended, and no declaration has ever been made to read down the impugned law” (Christian Legal Fellowship factum, at </w:t>
      </w:r>
      <w:proofErr w:type="spellStart"/>
      <w:r w:rsidRPr="00804A2C">
        <w:rPr>
          <w:rFonts w:cs="Times New Roman"/>
        </w:rPr>
        <w:t>para</w:t>
      </w:r>
      <w:proofErr w:type="spellEnd"/>
      <w:r w:rsidRPr="00804A2C">
        <w:rPr>
          <w:rFonts w:cs="Times New Roman"/>
        </w:rPr>
        <w:t>. 22), and that the express wording of the provision contributes to its chilling effect</w:t>
      </w:r>
      <w:r w:rsidR="0043411E">
        <w:rPr>
          <w:rFonts w:cs="Times New Roman"/>
        </w:rPr>
        <w:t>:</w:t>
      </w:r>
      <w:r w:rsidRPr="00804A2C">
        <w:rPr>
          <w:rFonts w:cs="Times New Roman"/>
        </w:rPr>
        <w:t xml:space="preserve"> Canadian Journalists for Free Expression factum, at </w:t>
      </w:r>
      <w:proofErr w:type="spellStart"/>
      <w:r w:rsidRPr="00804A2C">
        <w:rPr>
          <w:rFonts w:cs="Times New Roman"/>
        </w:rPr>
        <w:t>para</w:t>
      </w:r>
      <w:proofErr w:type="spellEnd"/>
      <w:r w:rsidRPr="00804A2C">
        <w:rPr>
          <w:rFonts w:cs="Times New Roman"/>
        </w:rPr>
        <w:t>. 5.</w:t>
      </w:r>
    </w:p>
    <w:p w:rsidR="00BB1957" w:rsidRPr="00804A2C" w:rsidRDefault="00BB1957" w:rsidP="00BB1957">
      <w:pPr>
        <w:pStyle w:val="ParaNoNdepar-AltN"/>
        <w:rPr>
          <w:rFonts w:cs="Times New Roman"/>
        </w:rPr>
      </w:pPr>
      <w:r w:rsidRPr="00804A2C">
        <w:rPr>
          <w:rFonts w:cs="Times New Roman"/>
        </w:rPr>
        <w:t xml:space="preserve">In my view, expression that “ridicules, belittles or otherwise affronts the dignity of” does not rise to the level of ardent and extreme feelings that were found essential to the constitutionality of s. 13(1) of the </w:t>
      </w:r>
      <w:r w:rsidRPr="00804A2C">
        <w:rPr>
          <w:rFonts w:cs="Times New Roman"/>
          <w:i/>
        </w:rPr>
        <w:t>CHRA</w:t>
      </w:r>
      <w:r w:rsidRPr="00804A2C">
        <w:rPr>
          <w:rFonts w:cs="Times New Roman"/>
        </w:rPr>
        <w:t xml:space="preserve"> in </w:t>
      </w:r>
      <w:r w:rsidRPr="00804A2C">
        <w:rPr>
          <w:rFonts w:cs="Times New Roman"/>
          <w:i/>
        </w:rPr>
        <w:t>Taylor</w:t>
      </w:r>
      <w:r w:rsidRPr="00804A2C">
        <w:rPr>
          <w:rFonts w:cs="Times New Roman"/>
        </w:rPr>
        <w:t xml:space="preserve">.  Those words are not synonymous with “hatred” or “contempt”. Rather, they refer to expression which is derogatory and insensitive, such as representations criticizing or making fun of protected groups on the basis of their commonly shared characteristics and practices, or on stereotypes.  As Richards J.A. observed in </w:t>
      </w:r>
      <w:r w:rsidRPr="00804A2C">
        <w:rPr>
          <w:rFonts w:cs="Times New Roman"/>
          <w:i/>
        </w:rPr>
        <w:t>Owens</w:t>
      </w:r>
      <w:r w:rsidRPr="00804A2C">
        <w:rPr>
          <w:rFonts w:cs="Times New Roman"/>
        </w:rPr>
        <w:t xml:space="preserve">, at </w:t>
      </w:r>
      <w:proofErr w:type="spellStart"/>
      <w:r w:rsidRPr="00804A2C">
        <w:rPr>
          <w:rFonts w:cs="Times New Roman"/>
        </w:rPr>
        <w:t>para</w:t>
      </w:r>
      <w:proofErr w:type="spellEnd"/>
      <w:r w:rsidRPr="00804A2C">
        <w:rPr>
          <w:rFonts w:cs="Times New Roman"/>
        </w:rPr>
        <w:t>. 53:</w:t>
      </w:r>
    </w:p>
    <w:p w:rsidR="00BB1957" w:rsidRPr="00804A2C" w:rsidRDefault="00BB1957" w:rsidP="00BB1957">
      <w:pPr>
        <w:pStyle w:val="Citation-AltC"/>
      </w:pPr>
      <w:r w:rsidRPr="00804A2C">
        <w:t xml:space="preserve">Much speech which is self-evidently constitutionally protected involves some measure of ridicule, belittlement or an affront to dignity grounded in characteristics like race, religion and so forth. I have in mind, by way of general illustration, the editorial cartoon which satirizes people from a particular country, the magazine piece which criticizes the social policy agenda of a religious group and so forth. Freedom of speech in a healthy and robust democracy must make space for that kind of </w:t>
      </w:r>
      <w:proofErr w:type="gramStart"/>
      <w:r w:rsidRPr="00804A2C">
        <w:t>discourse</w:t>
      </w:r>
      <w:r w:rsidR="0043411E">
        <w:t xml:space="preserve"> </w:t>
      </w:r>
      <w:r w:rsidRPr="00804A2C">
        <w:t>.</w:t>
      </w:r>
      <w:proofErr w:type="gramEnd"/>
      <w:r w:rsidRPr="00804A2C">
        <w:t> . . . </w:t>
      </w:r>
    </w:p>
    <w:p w:rsidR="00BB1957" w:rsidRPr="00804A2C" w:rsidRDefault="00BB1957" w:rsidP="00BB1957">
      <w:pPr>
        <w:pStyle w:val="ParaNoNdepar-AltN"/>
        <w:rPr>
          <w:rFonts w:cs="Times New Roman"/>
        </w:rPr>
      </w:pPr>
      <w:r w:rsidRPr="00804A2C">
        <w:rPr>
          <w:rFonts w:cs="Times New Roman"/>
        </w:rPr>
        <w:t>I agree.  Expression criticizing or creating humour at the expense of others can be derogatory to the extent of being repugnant. Representations belittling a minority group or attacking its dignity through jokes, ridicule or insults may be hurtful and offensive.  However, for the reasons discussed above, offensive ideas are not sufficient to ground a justification for infringing on freedom of expression.  While such expression may inspire feelings of dis</w:t>
      </w:r>
      <w:r w:rsidR="0043411E">
        <w:rPr>
          <w:rFonts w:cs="Times New Roman"/>
        </w:rPr>
        <w:t>d</w:t>
      </w:r>
      <w:r w:rsidRPr="00804A2C">
        <w:rPr>
          <w:rFonts w:cs="Times New Roman"/>
        </w:rPr>
        <w:t>ain or superiority, it does not expose the targeted group to hatred.</w:t>
      </w:r>
    </w:p>
    <w:p w:rsidR="00BB1957" w:rsidRPr="00804A2C" w:rsidRDefault="00BB1957" w:rsidP="00BB1957">
      <w:pPr>
        <w:pStyle w:val="ParaNoNdepar-AltN"/>
        <w:rPr>
          <w:rFonts w:cs="Times New Roman"/>
        </w:rPr>
      </w:pPr>
      <w:r w:rsidRPr="00804A2C">
        <w:rPr>
          <w:rFonts w:cs="Times New Roman"/>
        </w:rPr>
        <w:t>There may be circumstances where expression that “ridicules” members of a protected group goes beyond humour or satire and risks exposing the person to detestation and vilification on the basis of a prohibited ground of discrimination.  In such circumstances, however, the risk results from the intensity of the ridicule reaching a level where the target becomes exposed to hatred.  While ridicule, taken to the extreme, can conceivably lead to exposure to hatred, in my view, “ridicule” in its ordinary sense would not typically have the potential to lead to the discrimination that the legislature seeks to address.</w:t>
      </w:r>
    </w:p>
    <w:p w:rsidR="00BB1957" w:rsidRPr="00804A2C" w:rsidRDefault="00BB1957" w:rsidP="00BB1957">
      <w:pPr>
        <w:pStyle w:val="ParaNoNdepar-AltN"/>
        <w:rPr>
          <w:rFonts w:cs="Times New Roman"/>
        </w:rPr>
      </w:pPr>
      <w:r w:rsidRPr="00804A2C">
        <w:rPr>
          <w:rFonts w:cs="Times New Roman"/>
        </w:rPr>
        <w:t>Thus, in order to be rationally connected to the legislative objective of eliminating discrimination and the other societal harms of hate speech, s. 14(1</w:t>
      </w:r>
      <w:proofErr w:type="gramStart"/>
      <w:r w:rsidRPr="00804A2C">
        <w:rPr>
          <w:rFonts w:cs="Times New Roman"/>
        </w:rPr>
        <w:t>)(</w:t>
      </w:r>
      <w:proofErr w:type="gramEnd"/>
      <w:r w:rsidRPr="0043411E">
        <w:rPr>
          <w:rFonts w:cs="Times New Roman"/>
        </w:rPr>
        <w:t>b</w:t>
      </w:r>
      <w:r w:rsidRPr="00804A2C">
        <w:rPr>
          <w:rFonts w:cs="Times New Roman"/>
        </w:rPr>
        <w:t>) must only prohibit expression that is likely to cause those effects through exposure to hatred.  I find that the words “ridicules, belittles or otherwise affronts the dignity of” in s. 14(1</w:t>
      </w:r>
      <w:proofErr w:type="gramStart"/>
      <w:r w:rsidRPr="00804A2C">
        <w:rPr>
          <w:rFonts w:cs="Times New Roman"/>
        </w:rPr>
        <w:t>)(</w:t>
      </w:r>
      <w:proofErr w:type="gramEnd"/>
      <w:r w:rsidRPr="0043411E">
        <w:rPr>
          <w:rFonts w:cs="Times New Roman"/>
        </w:rPr>
        <w:t>b</w:t>
      </w:r>
      <w:r w:rsidRPr="00804A2C">
        <w:rPr>
          <w:rFonts w:cs="Times New Roman"/>
        </w:rPr>
        <w:t xml:space="preserve">) are not rationally connected to the legislative purpose of addressing systemic discrimination of protected groups. The manner in which they infringe freedom of expression cannot be justified under s. 1 of the </w:t>
      </w:r>
      <w:r w:rsidRPr="00804A2C">
        <w:rPr>
          <w:rFonts w:cs="Times New Roman"/>
          <w:i/>
        </w:rPr>
        <w:t xml:space="preserve">Charter </w:t>
      </w:r>
      <w:r w:rsidRPr="00804A2C">
        <w:rPr>
          <w:rFonts w:cs="Times New Roman"/>
        </w:rPr>
        <w:t>and, consequently, they are constitutionally invalid.</w:t>
      </w:r>
    </w:p>
    <w:p w:rsidR="00BB1957" w:rsidRPr="00804A2C" w:rsidRDefault="00BB1957" w:rsidP="00BB1957">
      <w:pPr>
        <w:pStyle w:val="ParaNoNdepar-AltN"/>
        <w:rPr>
          <w:rFonts w:cs="Times New Roman"/>
        </w:rPr>
      </w:pPr>
      <w:r w:rsidRPr="00804A2C">
        <w:rPr>
          <w:rFonts w:eastAsia="Times New Roman" w:cs="Times New Roman"/>
        </w:rPr>
        <w:t>It remains to determine whether the words “ridicules, belittles or otherwise affronts the dignity of” can be severed from s. 14(1)(</w:t>
      </w:r>
      <w:r w:rsidRPr="0043411E">
        <w:rPr>
          <w:rFonts w:eastAsia="Times New Roman" w:cs="Times New Roman"/>
        </w:rPr>
        <w:t>b</w:t>
      </w:r>
      <w:r w:rsidRPr="00804A2C">
        <w:rPr>
          <w:rFonts w:eastAsia="Times New Roman" w:cs="Times New Roman"/>
        </w:rPr>
        <w:t xml:space="preserve">) of the </w:t>
      </w:r>
      <w:r w:rsidRPr="00804A2C">
        <w:rPr>
          <w:rFonts w:eastAsia="Times New Roman" w:cs="Times New Roman"/>
          <w:i/>
        </w:rPr>
        <w:t>Code</w:t>
      </w:r>
      <w:r w:rsidRPr="00804A2C">
        <w:rPr>
          <w:rFonts w:eastAsia="Times New Roman" w:cs="Times New Roman"/>
        </w:rPr>
        <w:t xml:space="preserve">, or whether their removal would transform the provision into something which was clearly outside the intention of the legislature. It is significant that in the course of oral argument before this Court, </w:t>
      </w:r>
      <w:r w:rsidRPr="00804A2C">
        <w:rPr>
          <w:rFonts w:cs="Times New Roman"/>
        </w:rPr>
        <w:t xml:space="preserve">the Attorney General for Saskatchewan endorsed the manner in which the words “ridicules, belittles or otherwise affronts the dignity of” were read out in </w:t>
      </w:r>
      <w:r w:rsidRPr="00804A2C">
        <w:rPr>
          <w:rFonts w:cs="Times New Roman"/>
          <w:i/>
        </w:rPr>
        <w:t>Bell</w:t>
      </w:r>
      <w:r w:rsidRPr="00804A2C">
        <w:rPr>
          <w:rFonts w:cs="Times New Roman"/>
        </w:rPr>
        <w:t>. I accept his view that the offending words can be severed without contravening the legislative intent.</w:t>
      </w:r>
    </w:p>
    <w:p w:rsidR="00BB1957" w:rsidRPr="00804A2C" w:rsidRDefault="00BB1957" w:rsidP="00BB1957">
      <w:pPr>
        <w:pStyle w:val="ParaNoNdepar-AltN"/>
        <w:rPr>
          <w:rFonts w:cs="Times New Roman"/>
        </w:rPr>
      </w:pPr>
      <w:r w:rsidRPr="00804A2C">
        <w:rPr>
          <w:rFonts w:cs="Times New Roman"/>
        </w:rPr>
        <w:t>Given my determination that these words are unconstitutional, it is time to formally strike out those words from s. 14(1</w:t>
      </w:r>
      <w:proofErr w:type="gramStart"/>
      <w:r w:rsidRPr="00804A2C">
        <w:rPr>
          <w:rFonts w:cs="Times New Roman"/>
        </w:rPr>
        <w:t>)(</w:t>
      </w:r>
      <w:proofErr w:type="gramEnd"/>
      <w:r w:rsidRPr="0043411E">
        <w:rPr>
          <w:rFonts w:cs="Times New Roman"/>
        </w:rPr>
        <w:t>b</w:t>
      </w:r>
      <w:r w:rsidRPr="00804A2C">
        <w:rPr>
          <w:rFonts w:cs="Times New Roman"/>
        </w:rPr>
        <w:t xml:space="preserve">) of the </w:t>
      </w:r>
      <w:r w:rsidRPr="00804A2C">
        <w:rPr>
          <w:rFonts w:cs="Times New Roman"/>
          <w:i/>
        </w:rPr>
        <w:t>Code</w:t>
      </w:r>
      <w:r w:rsidRPr="00804A2C">
        <w:rPr>
          <w:rFonts w:cs="Times New Roman"/>
        </w:rPr>
        <w:t>.  The provision would therefore read:</w:t>
      </w:r>
    </w:p>
    <w:p w:rsidR="00BB1957" w:rsidRPr="00804A2C" w:rsidRDefault="00BB1957" w:rsidP="00BB1957">
      <w:pPr>
        <w:pStyle w:val="Citation-AltC"/>
      </w:pPr>
      <w:r w:rsidRPr="00804A2C">
        <w:t>(</w:t>
      </w:r>
      <w:r w:rsidRPr="0043411E">
        <w:t>b</w:t>
      </w:r>
      <w:r w:rsidRPr="00804A2C">
        <w:t xml:space="preserve">) </w:t>
      </w:r>
      <w:proofErr w:type="gramStart"/>
      <w:r w:rsidRPr="00804A2C">
        <w:t>that</w:t>
      </w:r>
      <w:proofErr w:type="gramEnd"/>
      <w:r w:rsidRPr="00804A2C">
        <w:t xml:space="preserve"> exposes or tends to expose to hatred any person or class of persons on the basis of a prohibited ground.</w:t>
      </w:r>
    </w:p>
    <w:p w:rsidR="00BB1957" w:rsidRPr="0043411E" w:rsidRDefault="00BB1957" w:rsidP="00BB1957">
      <w:pPr>
        <w:pStyle w:val="ParaNoNdepar-AltN"/>
        <w:rPr>
          <w:rFonts w:cs="Times New Roman"/>
          <w:b/>
        </w:rPr>
      </w:pPr>
      <w:r w:rsidRPr="00804A2C">
        <w:rPr>
          <w:rFonts w:cs="Times New Roman"/>
        </w:rPr>
        <w:t xml:space="preserve">Accordingly, I will proceed on the basis that the only word in issue on this appeal is “hatred”.  Interpreting that term in accordance with the modified </w:t>
      </w:r>
      <w:r w:rsidRPr="00804A2C">
        <w:rPr>
          <w:rFonts w:cs="Times New Roman"/>
          <w:i/>
        </w:rPr>
        <w:t>Taylor</w:t>
      </w:r>
      <w:r w:rsidRPr="00804A2C">
        <w:rPr>
          <w:rFonts w:cs="Times New Roman"/>
        </w:rPr>
        <w:t xml:space="preserve"> definition of “hatred”, the prohibition under s. 14(1</w:t>
      </w:r>
      <w:proofErr w:type="gramStart"/>
      <w:r w:rsidRPr="00804A2C">
        <w:rPr>
          <w:rFonts w:cs="Times New Roman"/>
        </w:rPr>
        <w:t>)(</w:t>
      </w:r>
      <w:proofErr w:type="gramEnd"/>
      <w:r w:rsidRPr="0043411E">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is applied by inquiring whether, </w:t>
      </w:r>
      <w:r w:rsidRPr="00804A2C">
        <w:rPr>
          <w:rFonts w:cs="Times New Roman"/>
          <w:i/>
        </w:rPr>
        <w:t>in the view of a reasonable person aware of the context and circumstances, the representation exposes or tends to expose any person or class of persons to detestation and vilification on the basis of a prohibited ground of discrimination</w:t>
      </w:r>
      <w:r w:rsidRPr="0043411E">
        <w:rPr>
          <w:rFonts w:cs="Times New Roman"/>
        </w:rPr>
        <w:t>.</w:t>
      </w:r>
    </w:p>
    <w:p w:rsidR="00BB1957" w:rsidRPr="00804A2C" w:rsidRDefault="00BB1957" w:rsidP="0043411E">
      <w:pPr>
        <w:pStyle w:val="TitleTitre-AltT"/>
        <w:tabs>
          <w:tab w:val="clear" w:pos="360"/>
          <w:tab w:val="left" w:pos="1170"/>
        </w:tabs>
        <w:ind w:left="1800" w:hanging="1800"/>
        <w:rPr>
          <w:rFonts w:cs="Times New Roman"/>
          <w:i/>
        </w:rPr>
      </w:pPr>
      <w:bookmarkStart w:id="215" w:name="_Toc341432513"/>
      <w:bookmarkStart w:id="216" w:name="_Toc341686993"/>
      <w:bookmarkStart w:id="217" w:name="_Toc346006816"/>
      <w:bookmarkStart w:id="218" w:name="_Toc349051276"/>
      <w:bookmarkStart w:id="219" w:name="_Toc349051354"/>
      <w:r w:rsidRPr="00804A2C">
        <w:rPr>
          <w:rFonts w:cs="Times New Roman"/>
        </w:rPr>
        <w:tab/>
      </w:r>
      <w:bookmarkStart w:id="220" w:name="_Toc349306909"/>
      <w:bookmarkStart w:id="221" w:name="_Toc349638225"/>
      <w:bookmarkStart w:id="222" w:name="_Toc408212144"/>
      <w:r w:rsidRPr="00804A2C">
        <w:rPr>
          <w:rFonts w:cs="Times New Roman"/>
        </w:rPr>
        <w:t>(iii)</w:t>
      </w:r>
      <w:r w:rsidRPr="00804A2C">
        <w:rPr>
          <w:rFonts w:cs="Times New Roman"/>
        </w:rPr>
        <w:tab/>
      </w:r>
      <w:r w:rsidRPr="00804A2C">
        <w:rPr>
          <w:rFonts w:cs="Times New Roman"/>
          <w:u w:val="single"/>
        </w:rPr>
        <w:t>Effectiveness</w:t>
      </w:r>
      <w:bookmarkEnd w:id="215"/>
      <w:bookmarkEnd w:id="216"/>
      <w:bookmarkEnd w:id="217"/>
      <w:bookmarkEnd w:id="218"/>
      <w:bookmarkEnd w:id="219"/>
      <w:bookmarkEnd w:id="220"/>
      <w:bookmarkEnd w:id="221"/>
      <w:bookmarkEnd w:id="222"/>
    </w:p>
    <w:p w:rsidR="00BB1957" w:rsidRPr="00804A2C" w:rsidRDefault="00BB1957" w:rsidP="00BB1957">
      <w:pPr>
        <w:pStyle w:val="ParaNoNdepar-AltN"/>
        <w:rPr>
          <w:rFonts w:cs="Times New Roman"/>
        </w:rPr>
      </w:pPr>
      <w:r w:rsidRPr="00804A2C">
        <w:rPr>
          <w:rFonts w:cs="Times New Roman"/>
        </w:rPr>
        <w:t xml:space="preserve">Mr. </w:t>
      </w:r>
      <w:proofErr w:type="spellStart"/>
      <w:r w:rsidRPr="00804A2C">
        <w:rPr>
          <w:rFonts w:cs="Times New Roman"/>
        </w:rPr>
        <w:t>Whatcott</w:t>
      </w:r>
      <w:proofErr w:type="spellEnd"/>
      <w:r w:rsidRPr="00804A2C">
        <w:rPr>
          <w:rFonts w:cs="Times New Roman"/>
        </w:rPr>
        <w:t xml:space="preserve"> contends that s. 14(1</w:t>
      </w:r>
      <w:proofErr w:type="gramStart"/>
      <w:r w:rsidRPr="00804A2C">
        <w:rPr>
          <w:rFonts w:cs="Times New Roman"/>
        </w:rPr>
        <w:t>)(</w:t>
      </w:r>
      <w:proofErr w:type="gramEnd"/>
      <w:r w:rsidRPr="0043411E">
        <w:rPr>
          <w:rFonts w:cs="Times New Roman"/>
        </w:rPr>
        <w:t>b</w:t>
      </w:r>
      <w:r w:rsidRPr="00804A2C">
        <w:rPr>
          <w:rFonts w:cs="Times New Roman"/>
        </w:rPr>
        <w:t>) is not rationally connected to its objective because its effect runs counter to that objective.  While the legislative objective is to stop hate speech, he submits that the effect of the prohibition has been to (a) allow the Commission to discriminate against religious speech on sexual behaviour; (b) grant those found in contravention of s. 14(1</w:t>
      </w:r>
      <w:proofErr w:type="gramStart"/>
      <w:r w:rsidRPr="00804A2C">
        <w:rPr>
          <w:rFonts w:cs="Times New Roman"/>
        </w:rPr>
        <w:t>)(</w:t>
      </w:r>
      <w:proofErr w:type="gramEnd"/>
      <w:r w:rsidRPr="0043411E">
        <w:rPr>
          <w:rFonts w:cs="Times New Roman"/>
        </w:rPr>
        <w:t>b</w:t>
      </w:r>
      <w:r w:rsidRPr="00804A2C">
        <w:rPr>
          <w:rFonts w:cs="Times New Roman"/>
        </w:rPr>
        <w:t>) an audience before which to promote their martyrdom; (c) increase hate crimes, as acknowledged by the Commission; and (d) increase hatred against Christian people due to their demonization by the Commission.</w:t>
      </w:r>
    </w:p>
    <w:p w:rsidR="00BB1957" w:rsidRPr="00804A2C" w:rsidRDefault="00BB1957" w:rsidP="00BB1957">
      <w:pPr>
        <w:pStyle w:val="ParaNoNdepar-AltN"/>
        <w:rPr>
          <w:rFonts w:cs="Times New Roman"/>
        </w:rPr>
      </w:pPr>
      <w:r w:rsidRPr="00804A2C">
        <w:rPr>
          <w:rFonts w:cs="Times New Roman"/>
        </w:rPr>
        <w:t>As will be discussed more fully below, the extent to which s. 14(1</w:t>
      </w:r>
      <w:proofErr w:type="gramStart"/>
      <w:r w:rsidRPr="00804A2C">
        <w:rPr>
          <w:rFonts w:cs="Times New Roman"/>
        </w:rPr>
        <w:t>)(</w:t>
      </w:r>
      <w:proofErr w:type="gramEnd"/>
      <w:r w:rsidRPr="0043411E">
        <w:rPr>
          <w:rFonts w:cs="Times New Roman"/>
        </w:rPr>
        <w:t>b</w:t>
      </w:r>
      <w:r w:rsidRPr="00804A2C">
        <w:rPr>
          <w:rFonts w:cs="Times New Roman"/>
        </w:rPr>
        <w:t>) has a discriminatory effect on religious speech by precluding certain types of expression is, in my view, minimal and reasonably justified. Freedom of religious speech and the freedom to teach or share religious beliefs are unlimited, except by the discrete and narrow requirement that this not be conveyed through hate speech.</w:t>
      </w:r>
    </w:p>
    <w:p w:rsidR="00BB1957" w:rsidRPr="00804A2C" w:rsidRDefault="00BB1957" w:rsidP="00BB1957">
      <w:pPr>
        <w:pStyle w:val="ParaNoNdepar-AltN"/>
        <w:rPr>
          <w:rFonts w:cs="Times New Roman"/>
          <w:szCs w:val="24"/>
          <w:lang w:val="en-US"/>
        </w:rPr>
      </w:pPr>
      <w:r w:rsidRPr="00804A2C">
        <w:rPr>
          <w:rFonts w:cs="Times New Roman"/>
        </w:rPr>
        <w:t xml:space="preserve">As to effectiveness, Dickson C.J. indicated, at pp. 923-24 of </w:t>
      </w:r>
      <w:r w:rsidRPr="00804A2C">
        <w:rPr>
          <w:rFonts w:cs="Times New Roman"/>
          <w:i/>
        </w:rPr>
        <w:t>Taylor</w:t>
      </w:r>
      <w:r w:rsidRPr="00804A2C">
        <w:rPr>
          <w:rFonts w:cs="Times New Roman"/>
        </w:rPr>
        <w:t xml:space="preserve">, that one should not be quick to assume that prohibitions against hate speech are ineffectual. In his view, the process of hearing a complaint and, if necessary, of issuing a cease and desist order, “reminds Canadians of our fundamental commitment to equality of opportunity” and the eradication of intolerance.  The failure of the prohibition to render hate speech extinct or stop hate crimes is not fatal.  As McLachlin C.J. noted for the majority in </w:t>
      </w:r>
      <w:r w:rsidRPr="00804A2C">
        <w:rPr>
          <w:rFonts w:cs="Times New Roman"/>
          <w:i/>
          <w:szCs w:val="24"/>
          <w:lang w:val="en-US"/>
        </w:rPr>
        <w:t xml:space="preserve">Alberta </w:t>
      </w:r>
      <w:r w:rsidRPr="00804A2C">
        <w:rPr>
          <w:rFonts w:cs="Times New Roman"/>
          <w:i/>
          <w:iCs/>
          <w:szCs w:val="24"/>
          <w:lang w:val="en-US"/>
        </w:rPr>
        <w:t>v</w:t>
      </w:r>
      <w:r w:rsidRPr="00804A2C">
        <w:rPr>
          <w:rFonts w:cs="Times New Roman"/>
          <w:i/>
          <w:szCs w:val="24"/>
          <w:lang w:val="en-US"/>
        </w:rPr>
        <w:t xml:space="preserve">. </w:t>
      </w:r>
      <w:proofErr w:type="spellStart"/>
      <w:r w:rsidRPr="00804A2C">
        <w:rPr>
          <w:rFonts w:cs="Times New Roman"/>
          <w:i/>
          <w:szCs w:val="24"/>
          <w:lang w:val="en-US"/>
        </w:rPr>
        <w:t>Hutterian</w:t>
      </w:r>
      <w:proofErr w:type="spellEnd"/>
      <w:r w:rsidRPr="00804A2C">
        <w:rPr>
          <w:rFonts w:cs="Times New Roman"/>
          <w:i/>
          <w:szCs w:val="24"/>
          <w:lang w:val="en-US"/>
        </w:rPr>
        <w:t xml:space="preserve"> Brethren of Wilson Colony</w:t>
      </w:r>
      <w:r w:rsidRPr="00804A2C">
        <w:rPr>
          <w:rFonts w:cs="Times New Roman"/>
          <w:szCs w:val="24"/>
          <w:lang w:val="en-US"/>
        </w:rPr>
        <w:t xml:space="preserve">, 2009 SCC 37, [2009] 2 S.C.R. 567, </w:t>
      </w:r>
      <w:r w:rsidRPr="00804A2C">
        <w:rPr>
          <w:rFonts w:cs="Times New Roman"/>
        </w:rPr>
        <w:t>“[t]he government must show that it is reasonable to suppose that the limit may further the goal, not that it will do so” (</w:t>
      </w:r>
      <w:proofErr w:type="spellStart"/>
      <w:r w:rsidRPr="00804A2C">
        <w:rPr>
          <w:rFonts w:cs="Times New Roman"/>
        </w:rPr>
        <w:t>para</w:t>
      </w:r>
      <w:proofErr w:type="spellEnd"/>
      <w:r w:rsidRPr="00804A2C">
        <w:rPr>
          <w:rFonts w:cs="Times New Roman"/>
        </w:rPr>
        <w:t xml:space="preserve">. 48). </w:t>
      </w:r>
    </w:p>
    <w:p w:rsidR="00BB1957" w:rsidRPr="00804A2C" w:rsidRDefault="00BB1957" w:rsidP="00A73CF1">
      <w:pPr>
        <w:pStyle w:val="TitleTitre-AltT"/>
        <w:tabs>
          <w:tab w:val="clear" w:pos="360"/>
          <w:tab w:val="left" w:pos="1170"/>
        </w:tabs>
        <w:ind w:left="1800" w:hanging="1800"/>
        <w:rPr>
          <w:rFonts w:cs="Times New Roman"/>
          <w:i/>
        </w:rPr>
      </w:pPr>
      <w:bookmarkStart w:id="223" w:name="_Toc341432514"/>
      <w:r w:rsidRPr="00804A2C">
        <w:rPr>
          <w:rFonts w:cs="Times New Roman"/>
          <w:i/>
        </w:rPr>
        <w:tab/>
      </w:r>
      <w:bookmarkStart w:id="224" w:name="_Toc341686994"/>
      <w:bookmarkStart w:id="225" w:name="_Toc346006817"/>
      <w:bookmarkStart w:id="226" w:name="_Toc349051277"/>
      <w:bookmarkStart w:id="227" w:name="_Toc349051355"/>
      <w:bookmarkStart w:id="228" w:name="_Toc349306910"/>
      <w:bookmarkStart w:id="229" w:name="_Toc349638226"/>
      <w:bookmarkStart w:id="230" w:name="_Toc408212145"/>
      <w:proofErr w:type="gramStart"/>
      <w:r w:rsidRPr="00804A2C">
        <w:rPr>
          <w:rFonts w:cs="Times New Roman"/>
        </w:rPr>
        <w:t>(iv)</w:t>
      </w:r>
      <w:r w:rsidRPr="00804A2C">
        <w:rPr>
          <w:rFonts w:cs="Times New Roman"/>
        </w:rPr>
        <w:tab/>
      </w:r>
      <w:r w:rsidRPr="00804A2C">
        <w:rPr>
          <w:rFonts w:cs="Times New Roman"/>
          <w:u w:val="single"/>
        </w:rPr>
        <w:t>Conclusion</w:t>
      </w:r>
      <w:proofErr w:type="gramEnd"/>
      <w:r w:rsidRPr="00804A2C">
        <w:rPr>
          <w:rFonts w:cs="Times New Roman"/>
          <w:u w:val="single"/>
        </w:rPr>
        <w:t xml:space="preserve"> in Respect of Rational Connection</w:t>
      </w:r>
      <w:bookmarkEnd w:id="223"/>
      <w:bookmarkEnd w:id="224"/>
      <w:bookmarkEnd w:id="225"/>
      <w:bookmarkEnd w:id="226"/>
      <w:bookmarkEnd w:id="227"/>
      <w:bookmarkEnd w:id="228"/>
      <w:bookmarkEnd w:id="229"/>
      <w:bookmarkEnd w:id="230"/>
    </w:p>
    <w:p w:rsidR="00BB1957" w:rsidRPr="00804A2C" w:rsidRDefault="00BB1957" w:rsidP="00BB1957">
      <w:pPr>
        <w:pStyle w:val="ParaNoNdepar-AltN"/>
        <w:rPr>
          <w:rFonts w:cs="Times New Roman"/>
        </w:rPr>
      </w:pPr>
      <w:r w:rsidRPr="00804A2C">
        <w:rPr>
          <w:rFonts w:cs="Times New Roman"/>
        </w:rPr>
        <w:t>In my view, prohibiting representations that are objectively seen to expose protected groups to “hatred” is rationally connected to the objective of eliminating discrimination and the other harmful effects of hatred.  Prohibiting expression which “ridicules, belittles or otherwise affronts the dignity of” protected groups is not rationally connected to reducing systemic discrimination against vulnerable groups.  Those words unjustifiably infringe s. 2(</w:t>
      </w:r>
      <w:r w:rsidRPr="00804A2C">
        <w:rPr>
          <w:rFonts w:cs="Times New Roman"/>
          <w:i/>
        </w:rPr>
        <w:t>b</w:t>
      </w:r>
      <w:r w:rsidRPr="00804A2C">
        <w:rPr>
          <w:rFonts w:cs="Times New Roman"/>
        </w:rPr>
        <w:t xml:space="preserve">) of the </w:t>
      </w:r>
      <w:r w:rsidRPr="00804A2C">
        <w:rPr>
          <w:rFonts w:cs="Times New Roman"/>
          <w:i/>
        </w:rPr>
        <w:t>Charter</w:t>
      </w:r>
      <w:r w:rsidRPr="00804A2C">
        <w:rPr>
          <w:rFonts w:cs="Times New Roman"/>
        </w:rPr>
        <w:t xml:space="preserve"> and are constitutionally invalid.</w:t>
      </w:r>
    </w:p>
    <w:p w:rsidR="00BB1957" w:rsidRPr="00804A2C" w:rsidRDefault="00BB1957" w:rsidP="00BB1957">
      <w:pPr>
        <w:pStyle w:val="ParaNoNdepar-AltN"/>
        <w:rPr>
          <w:rFonts w:cs="Times New Roman"/>
        </w:rPr>
      </w:pPr>
      <w:r w:rsidRPr="00804A2C">
        <w:rPr>
          <w:rFonts w:cs="Times New Roman"/>
        </w:rPr>
        <w:t>Having severed the words “ridicules, belittles or otherwise affronts the dignity of” from s. 14(1</w:t>
      </w:r>
      <w:proofErr w:type="gramStart"/>
      <w:r w:rsidRPr="00804A2C">
        <w:rPr>
          <w:rFonts w:cs="Times New Roman"/>
        </w:rPr>
        <w:t>)(</w:t>
      </w:r>
      <w:proofErr w:type="gramEnd"/>
      <w:r w:rsidRPr="00A73CF1">
        <w:rPr>
          <w:rFonts w:cs="Times New Roman"/>
        </w:rPr>
        <w:t>b</w:t>
      </w:r>
      <w:r w:rsidRPr="00804A2C">
        <w:rPr>
          <w:rFonts w:cs="Times New Roman"/>
        </w:rPr>
        <w:t xml:space="preserve">) of the </w:t>
      </w:r>
      <w:r w:rsidRPr="00804A2C">
        <w:rPr>
          <w:rFonts w:cs="Times New Roman"/>
          <w:i/>
        </w:rPr>
        <w:t>Code</w:t>
      </w:r>
      <w:r w:rsidRPr="00804A2C">
        <w:rPr>
          <w:rFonts w:cs="Times New Roman"/>
        </w:rPr>
        <w:t>, it remains to consider whether the balance of the prohibition can be demonstrably justified.</w:t>
      </w:r>
    </w:p>
    <w:p w:rsidR="00BB1957" w:rsidRPr="00804A2C" w:rsidRDefault="00BB1957" w:rsidP="00A73CF1">
      <w:pPr>
        <w:pStyle w:val="TitleTitre-AltT"/>
        <w:tabs>
          <w:tab w:val="clear" w:pos="360"/>
          <w:tab w:val="left" w:pos="1170"/>
        </w:tabs>
        <w:ind w:left="1800" w:hanging="1800"/>
        <w:rPr>
          <w:rFonts w:cs="Times New Roman"/>
        </w:rPr>
      </w:pPr>
      <w:bookmarkStart w:id="231" w:name="_Toc341432515"/>
      <w:bookmarkStart w:id="232" w:name="_Toc341686995"/>
      <w:bookmarkStart w:id="233" w:name="_Toc346006818"/>
      <w:bookmarkStart w:id="234" w:name="_Toc349051278"/>
      <w:bookmarkStart w:id="235" w:name="_Toc349051356"/>
      <w:r w:rsidRPr="00804A2C">
        <w:rPr>
          <w:rFonts w:cs="Times New Roman"/>
        </w:rPr>
        <w:tab/>
      </w:r>
      <w:bookmarkStart w:id="236" w:name="_Toc349306911"/>
      <w:bookmarkStart w:id="237" w:name="_Toc349638227"/>
      <w:bookmarkStart w:id="238" w:name="_Toc408212146"/>
      <w:r w:rsidRPr="00804A2C">
        <w:rPr>
          <w:rFonts w:cs="Times New Roman"/>
        </w:rPr>
        <w:t>(b)</w:t>
      </w:r>
      <w:r w:rsidRPr="00804A2C">
        <w:rPr>
          <w:rFonts w:cs="Times New Roman"/>
          <w:i/>
        </w:rPr>
        <w:tab/>
        <w:t>Minimal Impairment</w:t>
      </w:r>
      <w:bookmarkEnd w:id="231"/>
      <w:bookmarkEnd w:id="232"/>
      <w:bookmarkEnd w:id="233"/>
      <w:bookmarkEnd w:id="234"/>
      <w:bookmarkEnd w:id="235"/>
      <w:bookmarkEnd w:id="236"/>
      <w:bookmarkEnd w:id="237"/>
      <w:bookmarkEnd w:id="238"/>
    </w:p>
    <w:p w:rsidR="00BB1957" w:rsidRPr="00804A2C" w:rsidRDefault="00BB1957" w:rsidP="00BB1957">
      <w:pPr>
        <w:pStyle w:val="ParaNoNdepar-AltN"/>
        <w:rPr>
          <w:rFonts w:cs="Times New Roman"/>
        </w:rPr>
      </w:pPr>
      <w:r w:rsidRPr="00804A2C">
        <w:rPr>
          <w:rFonts w:cs="Times New Roman"/>
        </w:rPr>
        <w:t xml:space="preserve">The second test in the proportionality analysis is whether the limit minimally impairs the right. It is the role of the legislature to choose among competing policy options. There are often different ways to deal with a particular problem, and various parties argued before this Court that civil hate prohibitions should be rejected in favour of other methods, which I will briefly summarize.  However, I am mindful that while it may “be possible to imagine a solution that impairs the right at stake less than the solution Parliament has adopted” there is often “no certainty as to which will be the most effective”: </w:t>
      </w:r>
      <w:r w:rsidRPr="00804A2C">
        <w:rPr>
          <w:rFonts w:cs="Times New Roman"/>
          <w:i/>
        </w:rPr>
        <w:t>JTI</w:t>
      </w:r>
      <w:r w:rsidRPr="00804A2C">
        <w:rPr>
          <w:rFonts w:cs="Times New Roman"/>
        </w:rPr>
        <w:t xml:space="preserve">, at </w:t>
      </w:r>
      <w:proofErr w:type="spellStart"/>
      <w:r w:rsidRPr="00804A2C">
        <w:rPr>
          <w:rFonts w:cs="Times New Roman"/>
        </w:rPr>
        <w:t>para</w:t>
      </w:r>
      <w:proofErr w:type="spellEnd"/>
      <w:r w:rsidRPr="00804A2C">
        <w:rPr>
          <w:rFonts w:cs="Times New Roman"/>
        </w:rPr>
        <w:t xml:space="preserve">. 43, </w:t>
      </w:r>
      <w:r w:rsidRPr="00804A2C">
        <w:rPr>
          <w:rFonts w:cs="Times New Roman"/>
          <w:i/>
        </w:rPr>
        <w:t>per</w:t>
      </w:r>
      <w:r w:rsidRPr="00804A2C">
        <w:rPr>
          <w:rFonts w:cs="Times New Roman"/>
        </w:rPr>
        <w:t xml:space="preserve"> McLachlin C.J.  </w:t>
      </w:r>
      <w:r w:rsidRPr="00804A2C">
        <w:rPr>
          <w:rFonts w:cs="Times New Roman"/>
          <w:iCs/>
        </w:rPr>
        <w:t xml:space="preserve">Provided the option chosen is one within a range of reasonably supportable alternatives, the minimal impairment test will be met: </w:t>
      </w:r>
      <w:r w:rsidRPr="00804A2C">
        <w:rPr>
          <w:rFonts w:cs="Times New Roman"/>
          <w:i/>
          <w:iCs/>
        </w:rPr>
        <w:t>Edwards Books</w:t>
      </w:r>
      <w:r w:rsidRPr="00804A2C">
        <w:rPr>
          <w:rFonts w:cs="Times New Roman"/>
          <w:iCs/>
        </w:rPr>
        <w:t>, at pp. 781-83.</w:t>
      </w:r>
    </w:p>
    <w:p w:rsidR="00BB1957" w:rsidRDefault="00A73CF1" w:rsidP="00A73CF1">
      <w:pPr>
        <w:pStyle w:val="TitleTitre-AltT"/>
        <w:tabs>
          <w:tab w:val="clear" w:pos="360"/>
          <w:tab w:val="left" w:pos="1170"/>
        </w:tabs>
        <w:ind w:left="1800" w:hanging="1800"/>
        <w:rPr>
          <w:rFonts w:cs="Times New Roman"/>
          <w:u w:val="single"/>
        </w:rPr>
      </w:pPr>
      <w:bookmarkStart w:id="239" w:name="_Toc341432516"/>
      <w:bookmarkStart w:id="240" w:name="_Toc341686996"/>
      <w:bookmarkStart w:id="241" w:name="_Toc346006819"/>
      <w:bookmarkStart w:id="242" w:name="_Toc349051279"/>
      <w:bookmarkStart w:id="243" w:name="_Toc349051357"/>
      <w:bookmarkStart w:id="244" w:name="_Toc349306912"/>
      <w:bookmarkStart w:id="245" w:name="_Toc349638228"/>
      <w:r>
        <w:rPr>
          <w:rFonts w:cs="Times New Roman"/>
        </w:rPr>
        <w:tab/>
      </w:r>
      <w:bookmarkStart w:id="246" w:name="_Toc408212147"/>
      <w:r w:rsidR="00BB1957">
        <w:rPr>
          <w:rFonts w:cs="Times New Roman"/>
        </w:rPr>
        <w:t>(</w:t>
      </w:r>
      <w:proofErr w:type="spellStart"/>
      <w:r w:rsidR="00BB1957">
        <w:rPr>
          <w:rFonts w:cs="Times New Roman"/>
        </w:rPr>
        <w:t>i</w:t>
      </w:r>
      <w:proofErr w:type="spellEnd"/>
      <w:r w:rsidR="00BB1957">
        <w:rPr>
          <w:rFonts w:cs="Times New Roman"/>
        </w:rPr>
        <w:t>)</w:t>
      </w:r>
      <w:r w:rsidR="00BB1957">
        <w:rPr>
          <w:rFonts w:cs="Times New Roman"/>
        </w:rPr>
        <w:tab/>
      </w:r>
      <w:r w:rsidR="00BB1957" w:rsidRPr="00804A2C">
        <w:rPr>
          <w:rFonts w:cs="Times New Roman"/>
          <w:u w:val="single"/>
        </w:rPr>
        <w:t>Alternative Methods of Furthering the Legislature’s Objectives</w:t>
      </w:r>
      <w:bookmarkEnd w:id="239"/>
      <w:bookmarkEnd w:id="240"/>
      <w:bookmarkEnd w:id="241"/>
      <w:bookmarkEnd w:id="242"/>
      <w:bookmarkEnd w:id="243"/>
      <w:bookmarkEnd w:id="244"/>
      <w:bookmarkEnd w:id="245"/>
      <w:bookmarkEnd w:id="246"/>
    </w:p>
    <w:p w:rsidR="00BB1957" w:rsidRPr="00804A2C" w:rsidRDefault="00BB1957" w:rsidP="00BB1957">
      <w:pPr>
        <w:pStyle w:val="ParaNoNdepar-AltN"/>
        <w:rPr>
          <w:rFonts w:cs="Times New Roman"/>
        </w:rPr>
      </w:pPr>
      <w:r w:rsidRPr="00804A2C">
        <w:rPr>
          <w:rFonts w:cs="Times New Roman"/>
        </w:rPr>
        <w:t xml:space="preserve">Two alternatives have been suggested that would better serve the goal of eradicating hate speech than the provisions of the </w:t>
      </w:r>
      <w:r w:rsidRPr="00804A2C">
        <w:rPr>
          <w:rFonts w:cs="Times New Roman"/>
          <w:i/>
        </w:rPr>
        <w:t>Code</w:t>
      </w:r>
      <w:r w:rsidRPr="00804A2C">
        <w:rPr>
          <w:rFonts w:cs="Times New Roman"/>
        </w:rPr>
        <w:t>.  One is that trust should be placed in the “marketplace of ideas” to arrive at the appropriate balancing of competing rights and conflicting views.  The other is that the prosecution of hate speech ought to be left to the criminal law.</w:t>
      </w:r>
    </w:p>
    <w:p w:rsidR="00BB1957" w:rsidRPr="00804A2C" w:rsidRDefault="00BB1957" w:rsidP="00BB1957">
      <w:pPr>
        <w:pStyle w:val="ParaNoNdepar-AltN"/>
        <w:rPr>
          <w:rFonts w:cs="Times New Roman"/>
        </w:rPr>
      </w:pPr>
      <w:r w:rsidRPr="00804A2C">
        <w:rPr>
          <w:rFonts w:cs="Times New Roman"/>
          <w:iCs/>
        </w:rPr>
        <w:t>The notion of leaving the regulation of hate speech to the “marketplace of ideas” has long been advocated by critics of the regulation of hate speech</w:t>
      </w:r>
      <w:r w:rsidR="00A73CF1">
        <w:rPr>
          <w:rFonts w:cs="Times New Roman"/>
          <w:iCs/>
        </w:rPr>
        <w:t>:</w:t>
      </w:r>
      <w:r w:rsidRPr="00804A2C">
        <w:rPr>
          <w:rFonts w:cs="Times New Roman"/>
          <w:iCs/>
        </w:rPr>
        <w:t xml:space="preserve"> see </w:t>
      </w:r>
      <w:r w:rsidRPr="00804A2C">
        <w:rPr>
          <w:rFonts w:cs="Times New Roman"/>
          <w:i/>
          <w:iCs/>
        </w:rPr>
        <w:t>Abrams v. United States</w:t>
      </w:r>
      <w:r w:rsidRPr="00804A2C">
        <w:rPr>
          <w:rFonts w:cs="Times New Roman"/>
        </w:rPr>
        <w:t>, 250 U.S</w:t>
      </w:r>
      <w:r w:rsidRPr="00804A2C">
        <w:rPr>
          <w:rFonts w:cs="Times New Roman"/>
          <w:iCs/>
        </w:rPr>
        <w:t xml:space="preserve">. 616 (1919), at p. 630, </w:t>
      </w:r>
      <w:r w:rsidRPr="00804A2C">
        <w:rPr>
          <w:rFonts w:cs="Times New Roman"/>
          <w:i/>
          <w:iCs/>
        </w:rPr>
        <w:t xml:space="preserve">per </w:t>
      </w:r>
      <w:r w:rsidRPr="00804A2C">
        <w:rPr>
          <w:rFonts w:cs="Times New Roman"/>
          <w:iCs/>
        </w:rPr>
        <w:t xml:space="preserve">Holmes J., dissenting; R. </w:t>
      </w:r>
      <w:proofErr w:type="spellStart"/>
      <w:r w:rsidRPr="00804A2C">
        <w:rPr>
          <w:rFonts w:cs="Times New Roman"/>
          <w:iCs/>
        </w:rPr>
        <w:t>Dworkin</w:t>
      </w:r>
      <w:proofErr w:type="spellEnd"/>
      <w:r w:rsidRPr="00804A2C">
        <w:rPr>
          <w:rFonts w:cs="Times New Roman"/>
          <w:iCs/>
        </w:rPr>
        <w:t>, “Foreword”</w:t>
      </w:r>
      <w:r w:rsidR="00A73CF1">
        <w:rPr>
          <w:rFonts w:cs="Times New Roman"/>
          <w:iCs/>
        </w:rPr>
        <w:t>,</w:t>
      </w:r>
      <w:r w:rsidRPr="00804A2C">
        <w:rPr>
          <w:rFonts w:cs="Times New Roman"/>
          <w:i/>
          <w:iCs/>
        </w:rPr>
        <w:t xml:space="preserve"> </w:t>
      </w:r>
      <w:r w:rsidRPr="00804A2C">
        <w:rPr>
          <w:rFonts w:cs="Times New Roman"/>
          <w:iCs/>
        </w:rPr>
        <w:t xml:space="preserve">in I. Hare and J. Weinstein, eds., </w:t>
      </w:r>
      <w:r w:rsidRPr="00804A2C">
        <w:rPr>
          <w:rFonts w:cs="Times New Roman"/>
          <w:i/>
          <w:iCs/>
        </w:rPr>
        <w:t>Extreme Speech and Democracy</w:t>
      </w:r>
      <w:r w:rsidRPr="00804A2C">
        <w:rPr>
          <w:rFonts w:cs="Times New Roman"/>
          <w:iCs/>
        </w:rPr>
        <w:t xml:space="preserve"> (2009)</w:t>
      </w:r>
      <w:r w:rsidR="00655900">
        <w:rPr>
          <w:rFonts w:cs="Times New Roman"/>
          <w:iCs/>
        </w:rPr>
        <w:t>, v</w:t>
      </w:r>
      <w:r w:rsidRPr="00804A2C">
        <w:rPr>
          <w:rFonts w:cs="Times New Roman"/>
          <w:iCs/>
        </w:rPr>
        <w:t xml:space="preserve">; and </w:t>
      </w:r>
      <w:r w:rsidRPr="00804A2C">
        <w:rPr>
          <w:rFonts w:cs="Times New Roman"/>
        </w:rPr>
        <w:t xml:space="preserve">R. Moon, </w:t>
      </w:r>
      <w:r w:rsidRPr="00804A2C">
        <w:rPr>
          <w:rFonts w:cs="Times New Roman"/>
          <w:i/>
        </w:rPr>
        <w:t>The Constitutional Protection of Freedom of Expression</w:t>
      </w:r>
      <w:r w:rsidRPr="00804A2C">
        <w:rPr>
          <w:rFonts w:cs="Times New Roman"/>
        </w:rPr>
        <w:t xml:space="preserve"> (2000)</w:t>
      </w:r>
      <w:r w:rsidRPr="00804A2C">
        <w:rPr>
          <w:rFonts w:cs="Times New Roman"/>
          <w:iCs/>
        </w:rPr>
        <w:t xml:space="preserve">. </w:t>
      </w:r>
      <w:r w:rsidRPr="00804A2C">
        <w:rPr>
          <w:rFonts w:cs="Times New Roman"/>
        </w:rPr>
        <w:t>In the context of racial and religious discrimination, Dickson C.J. describes this approach as one that argues that “</w:t>
      </w:r>
      <w:r w:rsidRPr="00804A2C">
        <w:rPr>
          <w:rFonts w:eastAsia="Times New Roman" w:cs="Times New Roman"/>
          <w:spacing w:val="-3"/>
        </w:rPr>
        <w:t>discriminatory ideas can best be met with information and education programmes extolling the merits of tolerance and cooperation between racial and religious groups”</w:t>
      </w:r>
      <w:r w:rsidR="00A73CF1">
        <w:rPr>
          <w:rFonts w:eastAsia="Times New Roman" w:cs="Times New Roman"/>
          <w:spacing w:val="-3"/>
        </w:rPr>
        <w:t>:</w:t>
      </w:r>
      <w:r w:rsidR="009306EC">
        <w:rPr>
          <w:rFonts w:eastAsia="Times New Roman" w:cs="Times New Roman"/>
          <w:spacing w:val="-3"/>
        </w:rPr>
        <w:t xml:space="preserve"> </w:t>
      </w:r>
      <w:proofErr w:type="spellStart"/>
      <w:r w:rsidRPr="00804A2C">
        <w:rPr>
          <w:rFonts w:cs="Times New Roman"/>
          <w:i/>
        </w:rPr>
        <w:t>Keegstra</w:t>
      </w:r>
      <w:proofErr w:type="spellEnd"/>
      <w:r w:rsidRPr="00804A2C">
        <w:rPr>
          <w:rFonts w:cs="Times New Roman"/>
        </w:rPr>
        <w:t>, at p. 784.</w:t>
      </w:r>
      <w:r w:rsidRPr="00804A2C">
        <w:rPr>
          <w:rFonts w:eastAsia="Times New Roman" w:cs="Times New Roman"/>
          <w:spacing w:val="-3"/>
        </w:rPr>
        <w:t xml:space="preserve">  Under this theory, unfettered debate is the most effective way for rational beings to attain the truth, thus accomplishing one of the three purposes of freedom of expression.</w:t>
      </w:r>
    </w:p>
    <w:p w:rsidR="00BB1957" w:rsidRPr="00804A2C" w:rsidRDefault="00BB1957" w:rsidP="00BB1957">
      <w:pPr>
        <w:pStyle w:val="ParaNoNdepar-AltN"/>
        <w:rPr>
          <w:rFonts w:cs="Times New Roman"/>
        </w:rPr>
      </w:pPr>
      <w:r w:rsidRPr="00804A2C">
        <w:rPr>
          <w:rFonts w:cs="Times New Roman"/>
        </w:rPr>
        <w:t xml:space="preserve">I do not say that the marketplace of ideas may not be a reasonable alternative, and where a legislature is so minded, it will not enact hate speech legislation.  However, in </w:t>
      </w:r>
      <w:proofErr w:type="spellStart"/>
      <w:r w:rsidRPr="00804A2C">
        <w:rPr>
          <w:rFonts w:cs="Times New Roman"/>
          <w:i/>
        </w:rPr>
        <w:t>Keegstra</w:t>
      </w:r>
      <w:proofErr w:type="spellEnd"/>
      <w:r w:rsidRPr="00804A2C">
        <w:rPr>
          <w:rFonts w:cs="Times New Roman"/>
        </w:rPr>
        <w:t>, Dickson C.J. set out a compelling rationale for why Parliament’s preference to regulate hate speech through legislation rather than to trust it to the hands of the marketplace was also reasonable.</w:t>
      </w:r>
      <w:r w:rsidRPr="00804A2C">
        <w:rPr>
          <w:rFonts w:cs="Times New Roman"/>
          <w:i/>
        </w:rPr>
        <w:t xml:space="preserve">  </w:t>
      </w:r>
      <w:r w:rsidRPr="00804A2C">
        <w:rPr>
          <w:rFonts w:cs="Times New Roman"/>
        </w:rPr>
        <w:t>He noted that “the state should not be the sole arbiter of truth, but neither should we overplay the view that rationality will overcome all falsehoods in the unregulated marketplace of ideas” (p. 763). In his view, paradoxically, hate speech undermines the principles upon which freedom of expression is based and “contributes little to the . . . quest for truth, the promotion of individual self-development or the protection and fostering of a vibrant democracy where the participation of all individuals is accepted and encouraged” (</w:t>
      </w:r>
      <w:r w:rsidR="00A73CF1">
        <w:rPr>
          <w:rFonts w:cs="Times New Roman"/>
        </w:rPr>
        <w:t>p. 766</w:t>
      </w:r>
      <w:r w:rsidRPr="00804A2C">
        <w:rPr>
          <w:rFonts w:cs="Times New Roman"/>
        </w:rPr>
        <w:t>).  That is because a common effect of hate speech is to discourage the contributions of the minority. While hate speech may achieve the self-fulfillment of the publisher, it does so by reducing the participation and self-fulfillment of individuals within the vulnerable group. These drawbacks suggest that this alternative is not without its concerns.</w:t>
      </w:r>
    </w:p>
    <w:p w:rsidR="00BB1957" w:rsidRPr="00804A2C" w:rsidRDefault="00BB1957" w:rsidP="00BB1957">
      <w:pPr>
        <w:pStyle w:val="ParaNoNdepar-AltN"/>
        <w:rPr>
          <w:rFonts w:cs="Times New Roman"/>
        </w:rPr>
      </w:pPr>
      <w:r w:rsidRPr="00804A2C">
        <w:rPr>
          <w:rFonts w:cs="Times New Roman"/>
        </w:rPr>
        <w:t xml:space="preserve">Others suggest that to minimally impair expression, hate speech should be dealt with through criminal law prohibitions or other prohibitions restricting only speech which threatens, advocates or justifies violence: see R. Moon, </w:t>
      </w:r>
      <w:r w:rsidRPr="00804A2C">
        <w:rPr>
          <w:rFonts w:cs="Times New Roman"/>
          <w:i/>
        </w:rPr>
        <w:t>Report to the Canadian Human Rights Commission Concerning Section 13 of the Canadian Human Rights Act and the Regulation of Hate Speech on the Internet</w:t>
      </w:r>
      <w:r w:rsidRPr="00804A2C">
        <w:rPr>
          <w:rFonts w:cs="Times New Roman"/>
        </w:rPr>
        <w:t xml:space="preserve"> (2008), at p. 26.  Still, others suggest that when legislators seek to limit freedom of expression, the justificatory threshold should be raised to require actual evidence of harm as opposed to mere reasonable belief in the risk of harm: see L. W. Sumner, </w:t>
      </w:r>
      <w:r w:rsidRPr="00804A2C">
        <w:rPr>
          <w:rFonts w:cs="Times New Roman"/>
          <w:i/>
        </w:rPr>
        <w:t>The Hateful and the Obscene: Studies in the Limits of Free Expression</w:t>
      </w:r>
      <w:r w:rsidRPr="00804A2C">
        <w:rPr>
          <w:rFonts w:cs="Times New Roman"/>
        </w:rPr>
        <w:t xml:space="preserve"> (2004), at pp. 180-81</w:t>
      </w:r>
      <w:r w:rsidR="00A73CF1">
        <w:rPr>
          <w:rFonts w:cs="Times New Roman"/>
        </w:rPr>
        <w:t xml:space="preserve"> and</w:t>
      </w:r>
      <w:r w:rsidRPr="00804A2C">
        <w:rPr>
          <w:rFonts w:cs="Times New Roman"/>
        </w:rPr>
        <w:t xml:space="preserve"> 202. On the other side, the Attorney General for Saskatchewan argues that the imposition of remedial measures rather than punitive sanctions is far less intrusive on the constitutional values protected by s. 2, and therefore more acceptable under s. 1 of the </w:t>
      </w:r>
      <w:r w:rsidRPr="00804A2C">
        <w:rPr>
          <w:rFonts w:cs="Times New Roman"/>
          <w:i/>
        </w:rPr>
        <w:t>Charter</w:t>
      </w:r>
      <w:r w:rsidR="00A73CF1">
        <w:rPr>
          <w:rFonts w:cs="Times New Roman"/>
        </w:rPr>
        <w:t>:</w:t>
      </w:r>
      <w:r w:rsidRPr="00804A2C">
        <w:rPr>
          <w:rFonts w:cs="Times New Roman"/>
        </w:rPr>
        <w:t xml:space="preserve"> factum, </w:t>
      </w:r>
      <w:r w:rsidR="00A73CF1">
        <w:rPr>
          <w:rFonts w:cs="Times New Roman"/>
        </w:rPr>
        <w:t xml:space="preserve">at </w:t>
      </w:r>
      <w:proofErr w:type="spellStart"/>
      <w:r w:rsidRPr="00804A2C">
        <w:rPr>
          <w:rFonts w:cs="Times New Roman"/>
        </w:rPr>
        <w:t>para</w:t>
      </w:r>
      <w:proofErr w:type="spellEnd"/>
      <w:r w:rsidRPr="00804A2C">
        <w:rPr>
          <w:rFonts w:cs="Times New Roman"/>
        </w:rPr>
        <w:t xml:space="preserve">. 58. The Commission argues that the </w:t>
      </w:r>
      <w:r w:rsidRPr="00804A2C">
        <w:rPr>
          <w:rFonts w:cs="Times New Roman"/>
          <w:i/>
        </w:rPr>
        <w:t>Criminal Code</w:t>
      </w:r>
      <w:r w:rsidRPr="00804A2C">
        <w:rPr>
          <w:rFonts w:cs="Times New Roman"/>
        </w:rPr>
        <w:t xml:space="preserve"> provisions regulate only the most extreme forms of hate speech, advocating genocide or inciting a “breach of the peace”</w:t>
      </w:r>
      <w:r w:rsidR="00A73CF1">
        <w:rPr>
          <w:rFonts w:cs="Times New Roman"/>
        </w:rPr>
        <w:t xml:space="preserve">: A.F., at </w:t>
      </w:r>
      <w:proofErr w:type="spellStart"/>
      <w:r w:rsidR="00A73CF1">
        <w:rPr>
          <w:rFonts w:cs="Times New Roman"/>
        </w:rPr>
        <w:t>para</w:t>
      </w:r>
      <w:proofErr w:type="spellEnd"/>
      <w:r w:rsidR="00A73CF1">
        <w:rPr>
          <w:rFonts w:cs="Times New Roman"/>
        </w:rPr>
        <w:t>. 85</w:t>
      </w:r>
      <w:r w:rsidRPr="00804A2C">
        <w:rPr>
          <w:rFonts w:cs="Times New Roman"/>
        </w:rPr>
        <w:t xml:space="preserve">.  In contrast, human rights legislation “provides accessible and inexpensive access to justice” for disadvantaged victims to assert their right to dignity and equality: </w:t>
      </w:r>
      <w:r w:rsidR="00A73CF1">
        <w:rPr>
          <w:rFonts w:cs="Times New Roman"/>
        </w:rPr>
        <w:t>A.F.</w:t>
      </w:r>
      <w:r w:rsidRPr="00804A2C">
        <w:rPr>
          <w:rFonts w:cs="Times New Roman"/>
        </w:rPr>
        <w:t xml:space="preserve">, at </w:t>
      </w:r>
      <w:proofErr w:type="spellStart"/>
      <w:r w:rsidRPr="00804A2C">
        <w:rPr>
          <w:rFonts w:cs="Times New Roman"/>
        </w:rPr>
        <w:t>para</w:t>
      </w:r>
      <w:proofErr w:type="spellEnd"/>
      <w:r w:rsidRPr="00804A2C">
        <w:rPr>
          <w:rFonts w:cs="Times New Roman"/>
        </w:rPr>
        <w:t xml:space="preserve">. 83. Aboriginal interveners say that only a civil remedy that is not dependent on state prosecution will provide an effective mechanism to address discriminatory speech. As noted by </w:t>
      </w:r>
      <w:proofErr w:type="spellStart"/>
      <w:r w:rsidRPr="00804A2C">
        <w:rPr>
          <w:rFonts w:cs="Times New Roman"/>
        </w:rPr>
        <w:t>Sopinka</w:t>
      </w:r>
      <w:proofErr w:type="spellEnd"/>
      <w:r w:rsidRPr="00804A2C">
        <w:rPr>
          <w:rFonts w:cs="Times New Roman"/>
        </w:rPr>
        <w:t xml:space="preserve"> J. in </w:t>
      </w:r>
      <w:r w:rsidRPr="00804A2C">
        <w:rPr>
          <w:rFonts w:cs="Times New Roman"/>
          <w:i/>
        </w:rPr>
        <w:t>Zurich Insurance Co. v. Ontario (Human Rights Commission)</w:t>
      </w:r>
      <w:r w:rsidRPr="00804A2C">
        <w:rPr>
          <w:rFonts w:cs="Times New Roman"/>
        </w:rPr>
        <w:t>, [1992] 2 S.C.R. 321, at p. 339, human rights legislation is “often the final refuge of the disadvantaged and the disenfranchised”.  Therefore, this alternative may reduce impairment at the cost of effectiveness.</w:t>
      </w:r>
    </w:p>
    <w:p w:rsidR="00BB1957" w:rsidRPr="00804A2C" w:rsidRDefault="00BB1957" w:rsidP="00BB1957">
      <w:pPr>
        <w:pStyle w:val="ParaNoNdepar-AltN"/>
        <w:rPr>
          <w:rFonts w:cs="Times New Roman"/>
        </w:rPr>
      </w:pPr>
      <w:r w:rsidRPr="00804A2C">
        <w:rPr>
          <w:rFonts w:cs="Times New Roman"/>
        </w:rPr>
        <w:t>Having canvassed the proposed alternatives to the civil law remedy, I cannot say that any one represents such a superior approach as to render the others unreasonable. Section 14(1</w:t>
      </w:r>
      <w:proofErr w:type="gramStart"/>
      <w:r w:rsidRPr="00804A2C">
        <w:rPr>
          <w:rFonts w:cs="Times New Roman"/>
        </w:rPr>
        <w:t>)(</w:t>
      </w:r>
      <w:proofErr w:type="gramEnd"/>
      <w:r w:rsidRPr="00A73CF1">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is within the range of reasonable alternatives that was available to the legislature.</w:t>
      </w:r>
    </w:p>
    <w:p w:rsidR="00BB1957" w:rsidRPr="00804A2C" w:rsidRDefault="00BB1957" w:rsidP="00A73CF1">
      <w:pPr>
        <w:pStyle w:val="TitleTitre-AltT"/>
        <w:tabs>
          <w:tab w:val="clear" w:pos="360"/>
          <w:tab w:val="left" w:pos="1170"/>
        </w:tabs>
        <w:ind w:left="1800" w:hanging="1800"/>
        <w:rPr>
          <w:rFonts w:cs="Times New Roman"/>
          <w:i/>
        </w:rPr>
      </w:pPr>
      <w:bookmarkStart w:id="247" w:name="_Toc341432517"/>
      <w:bookmarkStart w:id="248" w:name="_Toc341686997"/>
      <w:bookmarkStart w:id="249" w:name="_Toc346006820"/>
      <w:bookmarkStart w:id="250" w:name="_Toc349051280"/>
      <w:bookmarkStart w:id="251" w:name="_Toc349051358"/>
      <w:r w:rsidRPr="00804A2C">
        <w:rPr>
          <w:rFonts w:cs="Times New Roman"/>
        </w:rPr>
        <w:tab/>
      </w:r>
      <w:bookmarkStart w:id="252" w:name="_Toc349306913"/>
      <w:bookmarkStart w:id="253" w:name="_Toc349638229"/>
      <w:bookmarkStart w:id="254" w:name="_Toc408212148"/>
      <w:r w:rsidRPr="00804A2C">
        <w:rPr>
          <w:rFonts w:cs="Times New Roman"/>
        </w:rPr>
        <w:t>(ii)</w:t>
      </w:r>
      <w:r w:rsidRPr="00804A2C">
        <w:rPr>
          <w:rFonts w:cs="Times New Roman"/>
          <w:i/>
        </w:rPr>
        <w:tab/>
      </w:r>
      <w:proofErr w:type="spellStart"/>
      <w:r w:rsidRPr="00804A2C">
        <w:rPr>
          <w:rFonts w:cs="Times New Roman"/>
          <w:u w:val="single"/>
        </w:rPr>
        <w:t>Overbreadth</w:t>
      </w:r>
      <w:bookmarkEnd w:id="247"/>
      <w:bookmarkEnd w:id="248"/>
      <w:bookmarkEnd w:id="249"/>
      <w:bookmarkEnd w:id="250"/>
      <w:bookmarkEnd w:id="251"/>
      <w:bookmarkEnd w:id="252"/>
      <w:bookmarkEnd w:id="253"/>
      <w:bookmarkEnd w:id="254"/>
      <w:proofErr w:type="spellEnd"/>
    </w:p>
    <w:p w:rsidR="00BB1957" w:rsidRPr="00804A2C" w:rsidRDefault="00BB1957" w:rsidP="00BB1957">
      <w:pPr>
        <w:pStyle w:val="ParaNoNdepar-AltN"/>
        <w:rPr>
          <w:rFonts w:cs="Times New Roman"/>
          <w:iCs/>
        </w:rPr>
      </w:pPr>
      <w:r w:rsidRPr="00804A2C">
        <w:rPr>
          <w:rFonts w:cs="Times New Roman"/>
        </w:rPr>
        <w:t>Section 14(1</w:t>
      </w:r>
      <w:proofErr w:type="gramStart"/>
      <w:r w:rsidRPr="00804A2C">
        <w:rPr>
          <w:rFonts w:cs="Times New Roman"/>
        </w:rPr>
        <w:t>)(</w:t>
      </w:r>
      <w:proofErr w:type="gramEnd"/>
      <w:r w:rsidRPr="00A73CF1">
        <w:rPr>
          <w:rFonts w:cs="Times New Roman"/>
        </w:rPr>
        <w:t>b</w:t>
      </w:r>
      <w:r w:rsidRPr="00804A2C">
        <w:rPr>
          <w:rFonts w:cs="Times New Roman"/>
        </w:rPr>
        <w:t>) is alleged to be overreaching, so that it captures more expression than is necessary to satisfy the legislative objectives, and thereby fails to minimally impair the right to freedom of expression.  It is also criticized for having a chilling effect on expression (including religious expression), public debate and media coverage on issues about moral conduct and social policy.</w:t>
      </w:r>
    </w:p>
    <w:p w:rsidR="00BB1957" w:rsidRPr="00804A2C" w:rsidRDefault="00BB1957" w:rsidP="00A73CF1">
      <w:pPr>
        <w:pStyle w:val="TitleTitre-AltT"/>
        <w:tabs>
          <w:tab w:val="clear" w:pos="360"/>
          <w:tab w:val="left" w:pos="1170"/>
        </w:tabs>
        <w:ind w:left="1800" w:hanging="1800"/>
        <w:rPr>
          <w:rFonts w:cs="Times New Roman"/>
        </w:rPr>
      </w:pPr>
      <w:bookmarkStart w:id="255" w:name="_Toc341432518"/>
      <w:bookmarkStart w:id="256" w:name="_Toc341686998"/>
      <w:bookmarkStart w:id="257" w:name="_Toc346006821"/>
      <w:bookmarkStart w:id="258" w:name="_Toc349051281"/>
      <w:bookmarkStart w:id="259" w:name="_Toc349051359"/>
      <w:r w:rsidRPr="00804A2C">
        <w:rPr>
          <w:rFonts w:cs="Times New Roman"/>
        </w:rPr>
        <w:tab/>
      </w:r>
      <w:bookmarkStart w:id="260" w:name="_Toc349306914"/>
      <w:bookmarkStart w:id="261" w:name="_Toc349638230"/>
      <w:bookmarkStart w:id="262" w:name="_Toc408212149"/>
      <w:r w:rsidRPr="00804A2C">
        <w:rPr>
          <w:rFonts w:cs="Times New Roman"/>
        </w:rPr>
        <w:t>1.</w:t>
      </w:r>
      <w:r w:rsidRPr="00804A2C">
        <w:rPr>
          <w:rFonts w:cs="Times New Roman"/>
        </w:rPr>
        <w:tab/>
      </w:r>
      <w:r w:rsidRPr="00804A2C">
        <w:rPr>
          <w:rFonts w:cs="Times New Roman"/>
          <w:i/>
        </w:rPr>
        <w:t>Wording of Section 14 of the Code</w:t>
      </w:r>
      <w:bookmarkEnd w:id="255"/>
      <w:bookmarkEnd w:id="256"/>
      <w:bookmarkEnd w:id="257"/>
      <w:bookmarkEnd w:id="258"/>
      <w:bookmarkEnd w:id="259"/>
      <w:bookmarkEnd w:id="260"/>
      <w:bookmarkEnd w:id="261"/>
      <w:bookmarkEnd w:id="262"/>
    </w:p>
    <w:p w:rsidR="00BB1957" w:rsidRPr="00804A2C" w:rsidRDefault="00BB1957" w:rsidP="00BB1957">
      <w:pPr>
        <w:pStyle w:val="ParaNoNdepar-AltN"/>
        <w:rPr>
          <w:rFonts w:cs="Times New Roman"/>
        </w:rPr>
      </w:pPr>
      <w:r w:rsidRPr="00804A2C">
        <w:rPr>
          <w:rFonts w:cs="Times New Roman"/>
        </w:rPr>
        <w:t>Having concluded that the words “ridicules, belittles or otherwise affronts the dignity of” in s. 14(1</w:t>
      </w:r>
      <w:proofErr w:type="gramStart"/>
      <w:r w:rsidRPr="00804A2C">
        <w:rPr>
          <w:rFonts w:cs="Times New Roman"/>
        </w:rPr>
        <w:t>)(</w:t>
      </w:r>
      <w:proofErr w:type="gramEnd"/>
      <w:r w:rsidRPr="00A73CF1">
        <w:rPr>
          <w:rFonts w:cs="Times New Roman"/>
        </w:rPr>
        <w:t>b</w:t>
      </w:r>
      <w:r w:rsidRPr="00804A2C">
        <w:rPr>
          <w:rFonts w:cs="Times New Roman"/>
        </w:rPr>
        <w:t xml:space="preserve">) are not rationally connected to the objective of prohibiting speech which can lead to discrimination, I also find them constitutionally invalid because they do not minimally impair freedom of expression. </w:t>
      </w:r>
    </w:p>
    <w:p w:rsidR="00BB1957" w:rsidRPr="00804A2C" w:rsidRDefault="00BB1957" w:rsidP="00BB1957">
      <w:pPr>
        <w:pStyle w:val="ParaNoNdepar-AltN"/>
        <w:rPr>
          <w:rFonts w:cs="Times New Roman"/>
        </w:rPr>
      </w:pPr>
      <w:r w:rsidRPr="00804A2C">
        <w:rPr>
          <w:rFonts w:cs="Times New Roman"/>
        </w:rPr>
        <w:t xml:space="preserve">Restricting expression because it may offend or hurt feelings does not give sufficient weight to the role expression plays in individual self-fulfillment, the search for truth, and unfettered political discourse.  Prohibiting any representation which “ridicules, belittles or </w:t>
      </w:r>
      <w:r w:rsidR="00A73CF1">
        <w:rPr>
          <w:rFonts w:cs="Times New Roman"/>
        </w:rPr>
        <w:t xml:space="preserve">otherwise </w:t>
      </w:r>
      <w:r w:rsidRPr="00804A2C">
        <w:rPr>
          <w:rFonts w:cs="Times New Roman"/>
        </w:rPr>
        <w:t>affronts the dignity of” protected groups could capture a great deal of expression which, while offensive to most people, falls short of exposing its target group to the extreme detestation and vilification which risks provoking discriminatory activities against that group.  Rather than being tailored to meet the particular requirements, such a broad prohibition would impair freedom of expression in a significant way.</w:t>
      </w:r>
    </w:p>
    <w:p w:rsidR="00BB1957" w:rsidRPr="00804A2C" w:rsidRDefault="00BB1957" w:rsidP="00BB1957">
      <w:pPr>
        <w:pStyle w:val="ParaNoNdepar-AltN"/>
        <w:rPr>
          <w:rFonts w:cs="Times New Roman"/>
        </w:rPr>
      </w:pPr>
      <w:r w:rsidRPr="00804A2C">
        <w:rPr>
          <w:rFonts w:cs="Times New Roman"/>
        </w:rPr>
        <w:t xml:space="preserve">The Saskatchewan legislature recognized the importance of freedom of expression through its enactment of s. 14(2) of the </w:t>
      </w:r>
      <w:r w:rsidRPr="00804A2C">
        <w:rPr>
          <w:rFonts w:cs="Times New Roman"/>
          <w:i/>
        </w:rPr>
        <w:t>Code</w:t>
      </w:r>
      <w:r w:rsidRPr="00804A2C">
        <w:rPr>
          <w:rFonts w:cs="Times New Roman"/>
        </w:rPr>
        <w:t>.  To repeat, that provision confirms that “[n]</w:t>
      </w:r>
      <w:proofErr w:type="spellStart"/>
      <w:r w:rsidRPr="00804A2C">
        <w:rPr>
          <w:rFonts w:cs="Times New Roman"/>
        </w:rPr>
        <w:t>othing</w:t>
      </w:r>
      <w:proofErr w:type="spellEnd"/>
      <w:r w:rsidRPr="00804A2C">
        <w:rPr>
          <w:rFonts w:cs="Times New Roman"/>
        </w:rPr>
        <w:t xml:space="preserve"> in subsection (1) restricts the right to freedom of expression under the law upon any subject</w:t>
      </w:r>
      <w:r w:rsidR="00A73CF1">
        <w:rPr>
          <w:rFonts w:cs="Times New Roman"/>
        </w:rPr>
        <w:t>.</w:t>
      </w:r>
      <w:r w:rsidRPr="00804A2C">
        <w:rPr>
          <w:rFonts w:cs="Times New Roman"/>
        </w:rPr>
        <w:t>”  The objective behind s. 14(1</w:t>
      </w:r>
      <w:proofErr w:type="gramStart"/>
      <w:r w:rsidRPr="00804A2C">
        <w:rPr>
          <w:rFonts w:cs="Times New Roman"/>
        </w:rPr>
        <w:t>)(</w:t>
      </w:r>
      <w:proofErr w:type="gramEnd"/>
      <w:r w:rsidRPr="00A73CF1">
        <w:rPr>
          <w:rFonts w:cs="Times New Roman"/>
        </w:rPr>
        <w:t>b</w:t>
      </w:r>
      <w:r w:rsidRPr="00804A2C">
        <w:rPr>
          <w:rFonts w:cs="Times New Roman"/>
        </w:rPr>
        <w:t>) is not to censor ideas or to legislate morality. The legislative objective of the entire provision is to address harm from hate speech while limiting freedom of expression as little as possible.</w:t>
      </w:r>
    </w:p>
    <w:p w:rsidR="00BB1957" w:rsidRPr="00804A2C" w:rsidRDefault="00BB1957" w:rsidP="00BB1957">
      <w:pPr>
        <w:pStyle w:val="ParaNoNdepar-AltN"/>
        <w:rPr>
          <w:rFonts w:cs="Times New Roman"/>
        </w:rPr>
      </w:pPr>
      <w:r w:rsidRPr="00804A2C">
        <w:rPr>
          <w:rFonts w:cs="Times New Roman"/>
        </w:rPr>
        <w:t>In my view, once the additional words are severed from s. 14(1</w:t>
      </w:r>
      <w:proofErr w:type="gramStart"/>
      <w:r w:rsidRPr="00804A2C">
        <w:rPr>
          <w:rFonts w:cs="Times New Roman"/>
        </w:rPr>
        <w:t>)(</w:t>
      </w:r>
      <w:proofErr w:type="gramEnd"/>
      <w:r w:rsidRPr="00A73CF1">
        <w:rPr>
          <w:rFonts w:cs="Times New Roman"/>
        </w:rPr>
        <w:t>b</w:t>
      </w:r>
      <w:r w:rsidRPr="00804A2C">
        <w:rPr>
          <w:rFonts w:cs="Times New Roman"/>
        </w:rPr>
        <w:t>), the remaining prohibition is not overbroad.  A limitation predicated on expression which exposes groups to hatred tries to distinguish between healthy and heated debate on controversial topics of political and social reform, and impassioned rhetoric which seeks to incite hatred as a means to effect reform.  The boundary will not capture all harmful expression, but it is intended to capture expression which, by inspiring hatred, has the potential to cause the type of harm that the legislation is trying to prevent. In that way, the limitation is not overbroad, but rather tailored to impair freedom of expression as little as possible.</w:t>
      </w:r>
    </w:p>
    <w:p w:rsidR="00BB1957" w:rsidRPr="00804A2C" w:rsidRDefault="00BB1957" w:rsidP="00A73CF1">
      <w:pPr>
        <w:pStyle w:val="TitleTitre-AltT"/>
        <w:tabs>
          <w:tab w:val="clear" w:pos="360"/>
          <w:tab w:val="left" w:pos="1170"/>
        </w:tabs>
        <w:ind w:left="1800" w:hanging="1800"/>
        <w:rPr>
          <w:rFonts w:cs="Times New Roman"/>
        </w:rPr>
      </w:pPr>
      <w:bookmarkStart w:id="263" w:name="_Toc341432519"/>
      <w:bookmarkStart w:id="264" w:name="_Toc341686999"/>
      <w:bookmarkStart w:id="265" w:name="_Toc346006822"/>
      <w:bookmarkStart w:id="266" w:name="_Toc349051282"/>
      <w:bookmarkStart w:id="267" w:name="_Toc349051360"/>
      <w:r w:rsidRPr="00804A2C">
        <w:rPr>
          <w:rFonts w:cs="Times New Roman"/>
        </w:rPr>
        <w:tab/>
      </w:r>
      <w:bookmarkStart w:id="268" w:name="_Toc349306915"/>
      <w:bookmarkStart w:id="269" w:name="_Toc349638231"/>
      <w:bookmarkStart w:id="270" w:name="_Toc408212150"/>
      <w:r w:rsidRPr="00804A2C">
        <w:rPr>
          <w:rFonts w:cs="Times New Roman"/>
        </w:rPr>
        <w:t>2.</w:t>
      </w:r>
      <w:r w:rsidRPr="00804A2C">
        <w:rPr>
          <w:rFonts w:cs="Times New Roman"/>
        </w:rPr>
        <w:tab/>
      </w:r>
      <w:r w:rsidRPr="00804A2C">
        <w:rPr>
          <w:rFonts w:cs="Times New Roman"/>
          <w:i/>
        </w:rPr>
        <w:t>Nature of the Expression</w:t>
      </w:r>
      <w:bookmarkEnd w:id="263"/>
      <w:bookmarkEnd w:id="264"/>
      <w:bookmarkEnd w:id="265"/>
      <w:bookmarkEnd w:id="266"/>
      <w:bookmarkEnd w:id="267"/>
      <w:bookmarkEnd w:id="268"/>
      <w:bookmarkEnd w:id="269"/>
      <w:bookmarkEnd w:id="270"/>
    </w:p>
    <w:p w:rsidR="00BB1957" w:rsidRPr="00804A2C" w:rsidRDefault="00BB1957" w:rsidP="00BB1957">
      <w:pPr>
        <w:pStyle w:val="ParaNoNdepar-AltN"/>
        <w:rPr>
          <w:rFonts w:cs="Times New Roman"/>
        </w:rPr>
      </w:pPr>
      <w:r w:rsidRPr="00804A2C">
        <w:rPr>
          <w:rFonts w:cs="Times New Roman"/>
        </w:rPr>
        <w:t>Violent expression and expression that threatens violence does not fall within the protected sphere of s. 2(</w:t>
      </w:r>
      <w:r w:rsidRPr="00804A2C">
        <w:rPr>
          <w:rFonts w:cs="Times New Roman"/>
          <w:i/>
        </w:rPr>
        <w:t>b</w:t>
      </w:r>
      <w:r w:rsidRPr="00804A2C">
        <w:rPr>
          <w:rFonts w:cs="Times New Roman"/>
        </w:rPr>
        <w:t xml:space="preserve">) of the </w:t>
      </w:r>
      <w:r w:rsidRPr="00804A2C">
        <w:rPr>
          <w:rFonts w:cs="Times New Roman"/>
          <w:i/>
        </w:rPr>
        <w:t>Charter</w:t>
      </w:r>
      <w:r w:rsidRPr="00804A2C">
        <w:rPr>
          <w:rFonts w:cs="Times New Roman"/>
        </w:rPr>
        <w:t xml:space="preserve">: </w:t>
      </w:r>
      <w:r w:rsidRPr="00804A2C">
        <w:rPr>
          <w:rFonts w:cs="Times New Roman"/>
          <w:i/>
        </w:rPr>
        <w:t>R. v.</w:t>
      </w:r>
      <w:r w:rsidRPr="00804A2C">
        <w:rPr>
          <w:rFonts w:cs="Times New Roman"/>
        </w:rPr>
        <w:t xml:space="preserve"> </w:t>
      </w:r>
      <w:proofErr w:type="spellStart"/>
      <w:r w:rsidRPr="00804A2C">
        <w:rPr>
          <w:rFonts w:cs="Times New Roman"/>
          <w:i/>
        </w:rPr>
        <w:t>Khawaja</w:t>
      </w:r>
      <w:proofErr w:type="spellEnd"/>
      <w:r w:rsidRPr="00A73CF1">
        <w:rPr>
          <w:rFonts w:cs="Times New Roman"/>
        </w:rPr>
        <w:t>,</w:t>
      </w:r>
      <w:r w:rsidRPr="00804A2C">
        <w:rPr>
          <w:rFonts w:cs="Times New Roman"/>
        </w:rPr>
        <w:t xml:space="preserve"> 2012 SCC 69, </w:t>
      </w:r>
      <w:r w:rsidR="00A73CF1">
        <w:rPr>
          <w:rFonts w:cs="Times New Roman"/>
        </w:rPr>
        <w:t xml:space="preserve">[2012] 3 S.C.R. 555, </w:t>
      </w:r>
      <w:r w:rsidRPr="00804A2C">
        <w:rPr>
          <w:rFonts w:cs="Times New Roman"/>
        </w:rPr>
        <w:t xml:space="preserve">at </w:t>
      </w:r>
      <w:proofErr w:type="spellStart"/>
      <w:r w:rsidRPr="00804A2C">
        <w:rPr>
          <w:rFonts w:cs="Times New Roman"/>
        </w:rPr>
        <w:t>para</w:t>
      </w:r>
      <w:proofErr w:type="spellEnd"/>
      <w:r w:rsidRPr="00804A2C">
        <w:rPr>
          <w:rFonts w:cs="Times New Roman"/>
        </w:rPr>
        <w:t xml:space="preserve">. 70.  However, apart from that, not all expression will be treated equally in determining an appropriate balancing of competing values under </w:t>
      </w:r>
      <w:proofErr w:type="gramStart"/>
      <w:r w:rsidRPr="00804A2C">
        <w:rPr>
          <w:rFonts w:cs="Times New Roman"/>
        </w:rPr>
        <w:t>a</w:t>
      </w:r>
      <w:proofErr w:type="gramEnd"/>
      <w:r w:rsidRPr="00804A2C">
        <w:rPr>
          <w:rFonts w:cs="Times New Roman"/>
        </w:rPr>
        <w:t xml:space="preserve"> s. 1 analysis.  That is because different types of expression will be relatively closer to or further from the core values behind the freedom, depending on the nature of the expression.  This will, in turn, affect its value relative to other </w:t>
      </w:r>
      <w:r w:rsidRPr="00804A2C">
        <w:rPr>
          <w:rFonts w:cs="Times New Roman"/>
          <w:i/>
        </w:rPr>
        <w:t>Charter</w:t>
      </w:r>
      <w:r w:rsidRPr="00804A2C">
        <w:rPr>
          <w:rFonts w:cs="Times New Roman"/>
        </w:rPr>
        <w:t xml:space="preserve"> rights, the exercise or protection of which may infringe freedom of expression.</w:t>
      </w:r>
    </w:p>
    <w:p w:rsidR="00BB1957" w:rsidRPr="00804A2C" w:rsidRDefault="00BB1957" w:rsidP="00BB1957">
      <w:pPr>
        <w:pStyle w:val="ParaNoNdepar-AltN"/>
        <w:rPr>
          <w:rFonts w:cs="Times New Roman"/>
        </w:rPr>
      </w:pPr>
      <w:r w:rsidRPr="00804A2C">
        <w:rPr>
          <w:rFonts w:cs="Times New Roman"/>
        </w:rPr>
        <w:t xml:space="preserve">Dickson C.J. emphasized the special nature of hate propaganda at p. 766 of </w:t>
      </w:r>
      <w:proofErr w:type="spellStart"/>
      <w:r w:rsidRPr="00804A2C">
        <w:rPr>
          <w:rFonts w:cs="Times New Roman"/>
          <w:i/>
        </w:rPr>
        <w:t>Keegstra</w:t>
      </w:r>
      <w:proofErr w:type="spellEnd"/>
      <w:r w:rsidRPr="00804A2C">
        <w:rPr>
          <w:rFonts w:cs="Times New Roman"/>
        </w:rPr>
        <w:t xml:space="preserve">, and again in </w:t>
      </w:r>
      <w:r w:rsidRPr="00804A2C">
        <w:rPr>
          <w:rFonts w:cs="Times New Roman"/>
          <w:i/>
        </w:rPr>
        <w:t>Taylor</w:t>
      </w:r>
      <w:r w:rsidRPr="00804A2C">
        <w:rPr>
          <w:rFonts w:cs="Times New Roman"/>
        </w:rPr>
        <w:t>,</w:t>
      </w:r>
      <w:r w:rsidRPr="00804A2C">
        <w:rPr>
          <w:rFonts w:cs="Times New Roman"/>
          <w:i/>
        </w:rPr>
        <w:t xml:space="preserve"> </w:t>
      </w:r>
      <w:r w:rsidRPr="00804A2C">
        <w:rPr>
          <w:rFonts w:cs="Times New Roman"/>
        </w:rPr>
        <w:t>at p. 922:</w:t>
      </w:r>
    </w:p>
    <w:p w:rsidR="00BB1957" w:rsidRPr="00804A2C" w:rsidRDefault="00A73CF1" w:rsidP="00BB1957">
      <w:pPr>
        <w:pStyle w:val="Citation-AltC"/>
      </w:pPr>
      <w:r>
        <w:t xml:space="preserve">. . . </w:t>
      </w:r>
      <w:r w:rsidR="00BB1957" w:rsidRPr="00804A2C">
        <w:t xml:space="preserve">I am of the opinion that hate propaganda contributes little to the aspirations of Canadians or Canada in </w:t>
      </w:r>
      <w:proofErr w:type="gramStart"/>
      <w:r w:rsidR="00BB1957" w:rsidRPr="00804A2C">
        <w:t>either the</w:t>
      </w:r>
      <w:proofErr w:type="gramEnd"/>
      <w:r w:rsidR="00BB1957" w:rsidRPr="00804A2C">
        <w:t xml:space="preserve"> quest for truth, the promotion</w:t>
      </w:r>
      <w:r>
        <w:t xml:space="preserve"> of individual self-development</w:t>
      </w:r>
      <w:r w:rsidR="00BB1957" w:rsidRPr="00804A2C">
        <w:t xml:space="preserve"> or the protection and fostering of a vibrant democracy where the participation of all individuals is accepted and encouraged.  While I cannot conclude that hate propaganda deserves only marginal protection under the s. 1 analysis, I can take cognizance of the fact that limitations upon hate propaganda are directed at a special category of expression which strays some distance from the spirit of s. 2(</w:t>
      </w:r>
      <w:r w:rsidR="00BB1957" w:rsidRPr="00804A2C">
        <w:rPr>
          <w:i/>
        </w:rPr>
        <w:t>b</w:t>
      </w:r>
      <w:r w:rsidR="00BB1957" w:rsidRPr="00804A2C">
        <w:t>), and hence conclude that “restrictions on expression of this kind might be easier to justify than other infringements of s. 2(</w:t>
      </w:r>
      <w:r w:rsidR="00BB1957" w:rsidRPr="00804A2C">
        <w:rPr>
          <w:i/>
        </w:rPr>
        <w:t>b</w:t>
      </w:r>
      <w:r w:rsidR="00BB1957" w:rsidRPr="00804A2C">
        <w:t xml:space="preserve">)” </w:t>
      </w:r>
      <w:r>
        <w:t>(</w:t>
      </w:r>
      <w:r w:rsidR="00BB1957" w:rsidRPr="00804A2C">
        <w:t>[</w:t>
      </w:r>
      <w:r w:rsidR="00BB1957" w:rsidRPr="00804A2C">
        <w:rPr>
          <w:i/>
        </w:rPr>
        <w:t>Rocket v. Royal College of Dental Surgeons of Ontario</w:t>
      </w:r>
      <w:r w:rsidR="00BB1957" w:rsidRPr="00804A2C">
        <w:t xml:space="preserve">, [1990] 2 S.C.R. 232], at p. 247). </w:t>
      </w:r>
    </w:p>
    <w:p w:rsidR="00BB1957" w:rsidRPr="00804A2C" w:rsidRDefault="00BB1957" w:rsidP="00BB1957">
      <w:pPr>
        <w:pStyle w:val="ParaNoNdepar-AltN"/>
        <w:rPr>
          <w:rFonts w:cs="Times New Roman"/>
          <w:i/>
        </w:rPr>
      </w:pPr>
      <w:r w:rsidRPr="00804A2C">
        <w:rPr>
          <w:rFonts w:cs="Times New Roman"/>
        </w:rPr>
        <w:t>Hate speech is at some distance from the spirit of s. 2(</w:t>
      </w:r>
      <w:r w:rsidRPr="00804A2C">
        <w:rPr>
          <w:rFonts w:cs="Times New Roman"/>
          <w:i/>
        </w:rPr>
        <w:t>b</w:t>
      </w:r>
      <w:r w:rsidRPr="00804A2C">
        <w:rPr>
          <w:rFonts w:cs="Times New Roman"/>
        </w:rPr>
        <w:t xml:space="preserve">) because it does little to promote, and can in fact impede, the values underlying freedom of expression. As noted by Dickson C.J. in </w:t>
      </w:r>
      <w:proofErr w:type="spellStart"/>
      <w:r w:rsidRPr="00804A2C">
        <w:rPr>
          <w:rFonts w:cs="Times New Roman"/>
          <w:i/>
        </w:rPr>
        <w:t>Keegstra</w:t>
      </w:r>
      <w:proofErr w:type="spellEnd"/>
      <w:r w:rsidRPr="00804A2C">
        <w:rPr>
          <w:rFonts w:cs="Times New Roman"/>
        </w:rPr>
        <w:t xml:space="preserve">, expression can be used to the detriment of the search for truth (p. 763). As earlier discussed, hate speech can also distort or limit the robust and free exchange of ideas by its tendency to silence the voice of its target group.  It can achieve the self-fulfillment of the publisher, but often at the expense of that of the victim.  These are important considerations in balancing hate speech with competing </w:t>
      </w:r>
      <w:r w:rsidRPr="00804A2C">
        <w:rPr>
          <w:rFonts w:cs="Times New Roman"/>
          <w:i/>
        </w:rPr>
        <w:t>Charter</w:t>
      </w:r>
      <w:r w:rsidRPr="00804A2C">
        <w:rPr>
          <w:rFonts w:cs="Times New Roman"/>
        </w:rPr>
        <w:t xml:space="preserve"> rights and in assessing the constitutionality of the prohibition in s. 14(1</w:t>
      </w:r>
      <w:proofErr w:type="gramStart"/>
      <w:r w:rsidRPr="00804A2C">
        <w:rPr>
          <w:rFonts w:cs="Times New Roman"/>
        </w:rPr>
        <w:t>)(</w:t>
      </w:r>
      <w:proofErr w:type="gramEnd"/>
      <w:r w:rsidRPr="00A73CF1">
        <w:rPr>
          <w:rFonts w:cs="Times New Roman"/>
        </w:rPr>
        <w:t>b</w:t>
      </w:r>
      <w:r w:rsidRPr="00804A2C">
        <w:rPr>
          <w:rFonts w:cs="Times New Roman"/>
        </w:rPr>
        <w:t xml:space="preserve">) of the </w:t>
      </w:r>
      <w:r w:rsidRPr="00804A2C">
        <w:rPr>
          <w:rFonts w:cs="Times New Roman"/>
          <w:i/>
        </w:rPr>
        <w:t>Code</w:t>
      </w:r>
      <w:r w:rsidRPr="00804A2C">
        <w:rPr>
          <w:rFonts w:cs="Times New Roman"/>
        </w:rPr>
        <w:t>.</w:t>
      </w:r>
    </w:p>
    <w:p w:rsidR="00BB1957" w:rsidRPr="00804A2C" w:rsidRDefault="00BB1957" w:rsidP="00A73CF1">
      <w:pPr>
        <w:pStyle w:val="TitleTitre-AltT"/>
        <w:tabs>
          <w:tab w:val="clear" w:pos="360"/>
          <w:tab w:val="left" w:pos="1170"/>
        </w:tabs>
        <w:ind w:left="1800" w:hanging="1800"/>
        <w:rPr>
          <w:rFonts w:cs="Times New Roman"/>
        </w:rPr>
      </w:pPr>
      <w:bookmarkStart w:id="271" w:name="_Toc341432520"/>
      <w:bookmarkStart w:id="272" w:name="_Toc341687000"/>
      <w:bookmarkStart w:id="273" w:name="_Toc346006823"/>
      <w:bookmarkStart w:id="274" w:name="_Toc349051283"/>
      <w:bookmarkStart w:id="275" w:name="_Toc349051361"/>
      <w:r w:rsidRPr="00804A2C">
        <w:rPr>
          <w:rFonts w:cs="Times New Roman"/>
        </w:rPr>
        <w:tab/>
      </w:r>
      <w:bookmarkStart w:id="276" w:name="_Toc349306916"/>
      <w:bookmarkStart w:id="277" w:name="_Toc349638232"/>
      <w:bookmarkStart w:id="278" w:name="_Toc408212151"/>
      <w:r w:rsidRPr="00804A2C">
        <w:rPr>
          <w:rFonts w:cs="Times New Roman"/>
        </w:rPr>
        <w:t>3.</w:t>
      </w:r>
      <w:r w:rsidRPr="00804A2C">
        <w:rPr>
          <w:rFonts w:cs="Times New Roman"/>
        </w:rPr>
        <w:tab/>
      </w:r>
      <w:r w:rsidRPr="00804A2C">
        <w:rPr>
          <w:rFonts w:cs="Times New Roman"/>
          <w:i/>
        </w:rPr>
        <w:t>Political Discourse</w:t>
      </w:r>
      <w:bookmarkEnd w:id="271"/>
      <w:bookmarkEnd w:id="272"/>
      <w:bookmarkEnd w:id="273"/>
      <w:bookmarkEnd w:id="274"/>
      <w:bookmarkEnd w:id="275"/>
      <w:bookmarkEnd w:id="276"/>
      <w:bookmarkEnd w:id="277"/>
      <w:bookmarkEnd w:id="278"/>
    </w:p>
    <w:p w:rsidR="00BB1957" w:rsidRPr="00804A2C" w:rsidRDefault="00BB1957" w:rsidP="00BB1957">
      <w:pPr>
        <w:pStyle w:val="ParaNoNdepar-AltN"/>
        <w:rPr>
          <w:rFonts w:cs="Times New Roman"/>
        </w:rPr>
      </w:pPr>
      <w:r w:rsidRPr="00804A2C">
        <w:rPr>
          <w:rFonts w:cs="Times New Roman"/>
        </w:rPr>
        <w:t xml:space="preserve">While hate speech constitutes a type of expression that lies at the periphery of the values underlying freedom of expression, political expression lies close to the core of the guarantee: see </w:t>
      </w:r>
      <w:r w:rsidRPr="00804A2C">
        <w:rPr>
          <w:rFonts w:cs="Times New Roman"/>
          <w:i/>
        </w:rPr>
        <w:t>Sharpe</w:t>
      </w:r>
      <w:r w:rsidRPr="00804A2C">
        <w:rPr>
          <w:rFonts w:cs="Times New Roman"/>
        </w:rPr>
        <w:t xml:space="preserve">, at </w:t>
      </w:r>
      <w:proofErr w:type="spellStart"/>
      <w:r w:rsidRPr="00804A2C">
        <w:rPr>
          <w:rFonts w:cs="Times New Roman"/>
        </w:rPr>
        <w:t>para</w:t>
      </w:r>
      <w:proofErr w:type="spellEnd"/>
      <w:r w:rsidRPr="00804A2C">
        <w:rPr>
          <w:rFonts w:cs="Times New Roman"/>
        </w:rPr>
        <w:t xml:space="preserve">. 23, </w:t>
      </w:r>
      <w:r w:rsidRPr="00804A2C">
        <w:rPr>
          <w:rFonts w:cs="Times New Roman"/>
          <w:i/>
        </w:rPr>
        <w:t>per</w:t>
      </w:r>
      <w:r w:rsidRPr="00804A2C">
        <w:rPr>
          <w:rFonts w:cs="Times New Roman"/>
        </w:rPr>
        <w:t xml:space="preserve"> McLachlin C.J.  Mr. </w:t>
      </w:r>
      <w:proofErr w:type="spellStart"/>
      <w:r w:rsidRPr="00804A2C">
        <w:rPr>
          <w:rFonts w:cs="Times New Roman"/>
        </w:rPr>
        <w:t>Whatcott</w:t>
      </w:r>
      <w:proofErr w:type="spellEnd"/>
      <w:r w:rsidRPr="00804A2C">
        <w:rPr>
          <w:rFonts w:cs="Times New Roman"/>
        </w:rPr>
        <w:t xml:space="preserve"> submits that the expression in his flyers relates to the discovery of truth and sexual politics, and is therefore at the core of protected expression. He submits that Flyers D and E are his commentary on a social policy debate about whether homosexuality should be discussed as part of the public school curriculum or at university conferences. The question here is how the prohibition in s. 14(1</w:t>
      </w:r>
      <w:proofErr w:type="gramStart"/>
      <w:r w:rsidRPr="00804A2C">
        <w:rPr>
          <w:rFonts w:cs="Times New Roman"/>
        </w:rPr>
        <w:t>)(</w:t>
      </w:r>
      <w:proofErr w:type="gramEnd"/>
      <w:r w:rsidRPr="00A73CF1">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interplays with legitimate expression on matters of public policy or morality. If the restriction is overbroad, it will not minimally impair expression.</w:t>
      </w:r>
    </w:p>
    <w:p w:rsidR="00BB1957" w:rsidRPr="00804A2C" w:rsidRDefault="00BB1957" w:rsidP="00BB1957">
      <w:pPr>
        <w:pStyle w:val="ParaNoNdepar-AltN"/>
        <w:rPr>
          <w:rFonts w:cs="Times New Roman"/>
        </w:rPr>
      </w:pPr>
      <w:r w:rsidRPr="00804A2C">
        <w:rPr>
          <w:rFonts w:cs="Times New Roman"/>
        </w:rPr>
        <w:t>The purpose of hate speech legislation is to restrict the use of representations likely to expose protected groups to hatred and its harmful effects.  The expression captured under hate speech laws is of an extreme nature.  Framing that speech as arising in a “moral” context or “within a public policy debate” does not cleanse it of its harmful effect.  Indeed, if one understands an effect of hate speech as curtailing the ability of the affected group to participate in the debate, relaxing the standard in the context of political debate is arguably more rather than less damaging to freedom of expression.  As argued by some interveners, history demonstrates that some of the most damaging hate rhetoric can be characterized as “moral”, “political” or “public policy” discourse.</w:t>
      </w:r>
    </w:p>
    <w:p w:rsidR="00BB1957" w:rsidRPr="00804A2C" w:rsidRDefault="00BB1957" w:rsidP="00BB1957">
      <w:pPr>
        <w:pStyle w:val="ParaNoNdepar-AltN"/>
        <w:rPr>
          <w:rFonts w:cs="Times New Roman"/>
        </w:rPr>
      </w:pPr>
      <w:r w:rsidRPr="00804A2C">
        <w:rPr>
          <w:rFonts w:cs="Times New Roman"/>
        </w:rPr>
        <w:t xml:space="preserve">Finding that certain expression falls within political speech does not close off an enquiry into whether the expression constitutes hate speech. Hate speech may often arise as a part of a larger public discourse but, as discussed in </w:t>
      </w:r>
      <w:proofErr w:type="spellStart"/>
      <w:r w:rsidRPr="00804A2C">
        <w:rPr>
          <w:rFonts w:cs="Times New Roman"/>
          <w:i/>
        </w:rPr>
        <w:t>Keegstra</w:t>
      </w:r>
      <w:proofErr w:type="spellEnd"/>
      <w:r w:rsidRPr="00804A2C">
        <w:rPr>
          <w:rFonts w:cs="Times New Roman"/>
        </w:rPr>
        <w:t xml:space="preserve"> and </w:t>
      </w:r>
      <w:r w:rsidRPr="00804A2C">
        <w:rPr>
          <w:rFonts w:cs="Times New Roman"/>
          <w:i/>
        </w:rPr>
        <w:t>Taylor</w:t>
      </w:r>
      <w:r w:rsidRPr="00804A2C">
        <w:rPr>
          <w:rFonts w:cs="Times New Roman"/>
        </w:rPr>
        <w:t>, it is speech of a restrictive and exclusionary kind. Political expression contributes to our democracy by encouraging the exchange of opposing views.  Hate speech is antithetical to this objective in that it shuts down dialogue by making it difficult or impossible for members of the vulnerable group to respond, thereby stifling discourse.  Speech that has the effect of shutting down public debate cannot dodge prohibition on the basis that it promotes debate.</w:t>
      </w:r>
    </w:p>
    <w:p w:rsidR="00BB1957" w:rsidRPr="00804A2C" w:rsidRDefault="00BB1957" w:rsidP="00BB1957">
      <w:pPr>
        <w:pStyle w:val="ParaNoNdepar-AltN"/>
        <w:rPr>
          <w:rFonts w:cs="Times New Roman"/>
        </w:rPr>
      </w:pPr>
      <w:r w:rsidRPr="00804A2C">
        <w:rPr>
          <w:rFonts w:cs="Times New Roman"/>
        </w:rPr>
        <w:t xml:space="preserve">For example, in </w:t>
      </w:r>
      <w:proofErr w:type="spellStart"/>
      <w:r w:rsidRPr="00804A2C">
        <w:rPr>
          <w:rFonts w:cs="Times New Roman"/>
          <w:i/>
        </w:rPr>
        <w:t>Kempling</w:t>
      </w:r>
      <w:proofErr w:type="spellEnd"/>
      <w:r w:rsidRPr="00804A2C">
        <w:rPr>
          <w:rFonts w:cs="Times New Roman"/>
          <w:i/>
        </w:rPr>
        <w:t xml:space="preserve"> v. College of Teachers (British Columbia)</w:t>
      </w:r>
      <w:r w:rsidRPr="00804A2C">
        <w:rPr>
          <w:rFonts w:cs="Times New Roman"/>
        </w:rPr>
        <w:t xml:space="preserve">, 2005 BCCA 327, 43 B.C.L.R. (4th) 41, Lowry J.A. acknowledged that Mr. </w:t>
      </w:r>
      <w:proofErr w:type="spellStart"/>
      <w:r w:rsidRPr="00804A2C">
        <w:rPr>
          <w:rFonts w:cs="Times New Roman"/>
        </w:rPr>
        <w:t>Kempling’s</w:t>
      </w:r>
      <w:proofErr w:type="spellEnd"/>
      <w:r w:rsidRPr="00804A2C">
        <w:rPr>
          <w:rFonts w:cs="Times New Roman"/>
        </w:rPr>
        <w:t xml:space="preserve"> published writings included a legitimate political element, as portions formed “a reasoned discourse, espousing his views as to detrimental aspects of homosexual relationships” (</w:t>
      </w:r>
      <w:proofErr w:type="spellStart"/>
      <w:r w:rsidRPr="00804A2C">
        <w:rPr>
          <w:rFonts w:cs="Times New Roman"/>
        </w:rPr>
        <w:t>para</w:t>
      </w:r>
      <w:proofErr w:type="spellEnd"/>
      <w:r w:rsidRPr="00804A2C">
        <w:rPr>
          <w:rFonts w:cs="Times New Roman"/>
        </w:rPr>
        <w:t xml:space="preserve">. 76). Lowry J.A. reasoned that although Mr. </w:t>
      </w:r>
      <w:proofErr w:type="spellStart"/>
      <w:r w:rsidRPr="00804A2C">
        <w:rPr>
          <w:rFonts w:cs="Times New Roman"/>
        </w:rPr>
        <w:t>Kempling’s</w:t>
      </w:r>
      <w:proofErr w:type="spellEnd"/>
      <w:r w:rsidRPr="00804A2C">
        <w:rPr>
          <w:rFonts w:cs="Times New Roman"/>
        </w:rPr>
        <w:t xml:space="preserve"> views may be unpopular, “he was, in his more restrained writings, engaged in a rational debate of political and social issues; such writing is near the core of the s. 2(b) expression” (</w:t>
      </w:r>
      <w:proofErr w:type="spellStart"/>
      <w:r w:rsidRPr="00804A2C">
        <w:rPr>
          <w:rFonts w:cs="Times New Roman"/>
        </w:rPr>
        <w:t>para</w:t>
      </w:r>
      <w:proofErr w:type="spellEnd"/>
      <w:r w:rsidRPr="00804A2C">
        <w:rPr>
          <w:rFonts w:cs="Times New Roman"/>
        </w:rPr>
        <w:t>.</w:t>
      </w:r>
      <w:r w:rsidR="00A73CF1">
        <w:rPr>
          <w:rFonts w:cs="Times New Roman"/>
        </w:rPr>
        <w:t xml:space="preserve"> </w:t>
      </w:r>
      <w:r w:rsidRPr="00804A2C">
        <w:rPr>
          <w:rFonts w:cs="Times New Roman"/>
        </w:rPr>
        <w:t>76).  However, Lowry J.A. found that at times the writings “clearly crossed the line of reasoned debate into discriminatory rhetoric” (</w:t>
      </w:r>
      <w:proofErr w:type="spellStart"/>
      <w:r w:rsidRPr="00804A2C">
        <w:rPr>
          <w:rFonts w:cs="Times New Roman"/>
        </w:rPr>
        <w:t>para</w:t>
      </w:r>
      <w:proofErr w:type="spellEnd"/>
      <w:r w:rsidRPr="00804A2C">
        <w:rPr>
          <w:rFonts w:cs="Times New Roman"/>
        </w:rPr>
        <w:t>.</w:t>
      </w:r>
      <w:r w:rsidR="00A73CF1">
        <w:rPr>
          <w:rFonts w:cs="Times New Roman"/>
        </w:rPr>
        <w:t xml:space="preserve"> </w:t>
      </w:r>
      <w:r w:rsidRPr="00804A2C">
        <w:rPr>
          <w:rFonts w:cs="Times New Roman"/>
        </w:rPr>
        <w:t>76), and judged homosexuals on the basis of stereotypical notions. As a result, he found that the writings, taken as a whole, were not deserving of a high level of constitutional protection.</w:t>
      </w:r>
    </w:p>
    <w:p w:rsidR="00BB1957" w:rsidRPr="00804A2C" w:rsidRDefault="00BB1957" w:rsidP="00BB1957">
      <w:pPr>
        <w:pStyle w:val="ParaNoNdepar-AltN"/>
        <w:rPr>
          <w:rFonts w:cs="Times New Roman"/>
        </w:rPr>
      </w:pPr>
      <w:r w:rsidRPr="00804A2C">
        <w:rPr>
          <w:rFonts w:cs="Times New Roman"/>
        </w:rPr>
        <w:t xml:space="preserve">The polemicist may still participate on controversial topics that may be characterized as “moral” or “political”.  However, words matter.  In the context of this case, Mr. </w:t>
      </w:r>
      <w:proofErr w:type="spellStart"/>
      <w:r w:rsidRPr="00804A2C">
        <w:rPr>
          <w:rFonts w:cs="Times New Roman"/>
        </w:rPr>
        <w:t>Whatcott</w:t>
      </w:r>
      <w:proofErr w:type="spellEnd"/>
      <w:r w:rsidRPr="00804A2C">
        <w:rPr>
          <w:rFonts w:cs="Times New Roman"/>
        </w:rPr>
        <w:t xml:space="preserve"> can express disapproval of homosexual conduct and advocate that it should not be discussed in public schools or at university conferences. Section 14(1</w:t>
      </w:r>
      <w:proofErr w:type="gramStart"/>
      <w:r w:rsidRPr="00804A2C">
        <w:rPr>
          <w:rFonts w:cs="Times New Roman"/>
        </w:rPr>
        <w:t>)(</w:t>
      </w:r>
      <w:proofErr w:type="gramEnd"/>
      <w:r w:rsidRPr="00A73CF1">
        <w:rPr>
          <w:rFonts w:cs="Times New Roman"/>
        </w:rPr>
        <w:t>b</w:t>
      </w:r>
      <w:r w:rsidRPr="00804A2C">
        <w:rPr>
          <w:rFonts w:cs="Times New Roman"/>
        </w:rPr>
        <w:t xml:space="preserve">) only prohibits his use of hate-inspiring representations against homosexuals in the course of expressing those views.  As stated by Alito J. in dissent in </w:t>
      </w:r>
      <w:r w:rsidRPr="00804A2C">
        <w:rPr>
          <w:rFonts w:cs="Times New Roman"/>
          <w:i/>
        </w:rPr>
        <w:t>Snyder v. Phelps</w:t>
      </w:r>
      <w:r w:rsidRPr="00804A2C">
        <w:rPr>
          <w:rFonts w:cs="Times New Roman"/>
        </w:rPr>
        <w:t>,</w:t>
      </w:r>
      <w:r w:rsidRPr="00804A2C">
        <w:rPr>
          <w:rFonts w:cs="Times New Roman"/>
          <w:i/>
        </w:rPr>
        <w:t xml:space="preserve"> </w:t>
      </w:r>
      <w:r w:rsidRPr="00804A2C">
        <w:rPr>
          <w:rFonts w:cs="Times New Roman"/>
        </w:rPr>
        <w:t>131 S. Ct. 1207 (2011), at p. 1227:</w:t>
      </w:r>
    </w:p>
    <w:p w:rsidR="00BB1957" w:rsidRPr="00804A2C" w:rsidRDefault="00A73CF1" w:rsidP="00BB1957">
      <w:pPr>
        <w:pStyle w:val="Citation-AltC"/>
      </w:pPr>
      <w:r>
        <w:t xml:space="preserve">. . . </w:t>
      </w:r>
      <w:r w:rsidR="00BB1957" w:rsidRPr="00804A2C">
        <w:t>I fail to see why actionable speech should be immunized simply because it is interspersed with speech that is protected.</w:t>
      </w:r>
    </w:p>
    <w:p w:rsidR="00BB1957" w:rsidRPr="00804A2C" w:rsidRDefault="00BB1957" w:rsidP="00BB1957">
      <w:pPr>
        <w:pStyle w:val="ParaNoNdepar-AltN"/>
        <w:rPr>
          <w:rFonts w:cs="Times New Roman"/>
        </w:rPr>
      </w:pPr>
      <w:r w:rsidRPr="00804A2C">
        <w:rPr>
          <w:rFonts w:cs="Times New Roman"/>
        </w:rPr>
        <w:t xml:space="preserve">In my view, s. 14 of the </w:t>
      </w:r>
      <w:r w:rsidRPr="00804A2C">
        <w:rPr>
          <w:rFonts w:cs="Times New Roman"/>
          <w:i/>
        </w:rPr>
        <w:t>Code</w:t>
      </w:r>
      <w:r w:rsidRPr="00804A2C">
        <w:rPr>
          <w:rFonts w:cs="Times New Roman"/>
        </w:rPr>
        <w:t xml:space="preserve"> provides an appropriate means by which to protect almost the entirety of political discourse as a vital part of freedom of expression.  It extricates only an extreme and marginal type of expression which contributes little to the values underlying freedom of expression and whose restriction is therefore easier to justify</w:t>
      </w:r>
      <w:r w:rsidR="00A73CF1">
        <w:rPr>
          <w:rFonts w:cs="Times New Roman"/>
        </w:rPr>
        <w:t>:</w:t>
      </w:r>
      <w:r w:rsidRPr="00804A2C">
        <w:rPr>
          <w:rFonts w:cs="Times New Roman"/>
        </w:rPr>
        <w:t xml:space="preserve"> see </w:t>
      </w:r>
      <w:proofErr w:type="spellStart"/>
      <w:r w:rsidRPr="00804A2C">
        <w:rPr>
          <w:rFonts w:cs="Times New Roman"/>
          <w:i/>
        </w:rPr>
        <w:t>Keegstra</w:t>
      </w:r>
      <w:proofErr w:type="spellEnd"/>
      <w:r w:rsidR="00A73CF1">
        <w:rPr>
          <w:rFonts w:cs="Times New Roman"/>
        </w:rPr>
        <w:t>,</w:t>
      </w:r>
      <w:r w:rsidRPr="00804A2C">
        <w:rPr>
          <w:rFonts w:cs="Times New Roman"/>
        </w:rPr>
        <w:t xml:space="preserve"> at p. 761; </w:t>
      </w:r>
      <w:r w:rsidRPr="00804A2C">
        <w:rPr>
          <w:rFonts w:cs="Times New Roman"/>
          <w:i/>
        </w:rPr>
        <w:t>Rocket v.</w:t>
      </w:r>
      <w:r w:rsidRPr="00804A2C">
        <w:rPr>
          <w:rFonts w:cs="Times New Roman"/>
        </w:rPr>
        <w:t xml:space="preserve"> </w:t>
      </w:r>
      <w:r w:rsidRPr="00804A2C">
        <w:rPr>
          <w:rFonts w:cs="Times New Roman"/>
          <w:i/>
        </w:rPr>
        <w:t>Royal College of Dental Surgeons of Ontario</w:t>
      </w:r>
      <w:r w:rsidRPr="00804A2C">
        <w:rPr>
          <w:rFonts w:cs="Times New Roman"/>
        </w:rPr>
        <w:t>, [1990] 2 S.C.R. 232,</w:t>
      </w:r>
      <w:r w:rsidRPr="00804A2C">
        <w:rPr>
          <w:rFonts w:cs="Times New Roman"/>
          <w:i/>
        </w:rPr>
        <w:t xml:space="preserve"> </w:t>
      </w:r>
      <w:r w:rsidRPr="00804A2C">
        <w:rPr>
          <w:rFonts w:cs="Times New Roman"/>
        </w:rPr>
        <w:t>at p. 247.  This suggests that, at least in this respect, the provision is not overbroad in its application.</w:t>
      </w:r>
    </w:p>
    <w:p w:rsidR="00BB1957" w:rsidRPr="00804A2C" w:rsidRDefault="00BB1957" w:rsidP="00BB1957">
      <w:pPr>
        <w:pStyle w:val="TitleTitre-AltT"/>
        <w:tabs>
          <w:tab w:val="left" w:pos="1080"/>
        </w:tabs>
        <w:rPr>
          <w:rFonts w:cs="Times New Roman"/>
          <w:i/>
        </w:rPr>
      </w:pPr>
      <w:bookmarkStart w:id="279" w:name="_Toc341432521"/>
      <w:bookmarkStart w:id="280" w:name="_Toc341687001"/>
      <w:bookmarkStart w:id="281" w:name="_Toc346006824"/>
      <w:bookmarkStart w:id="282" w:name="_Toc349051284"/>
      <w:bookmarkStart w:id="283" w:name="_Toc349051362"/>
      <w:r w:rsidRPr="00804A2C">
        <w:rPr>
          <w:rFonts w:cs="Times New Roman"/>
        </w:rPr>
        <w:tab/>
      </w:r>
      <w:r w:rsidRPr="00804A2C">
        <w:rPr>
          <w:rFonts w:cs="Times New Roman"/>
        </w:rPr>
        <w:tab/>
      </w:r>
      <w:bookmarkStart w:id="284" w:name="_Toc349306917"/>
      <w:bookmarkStart w:id="285" w:name="_Toc349638233"/>
      <w:bookmarkStart w:id="286" w:name="_Toc408212152"/>
      <w:r w:rsidRPr="00804A2C">
        <w:rPr>
          <w:rFonts w:cs="Times New Roman"/>
        </w:rPr>
        <w:t>4</w:t>
      </w:r>
      <w:r w:rsidRPr="00804A2C">
        <w:rPr>
          <w:rFonts w:cs="Times New Roman"/>
          <w:i/>
        </w:rPr>
        <w:t>.</w:t>
      </w:r>
      <w:r w:rsidRPr="00804A2C">
        <w:rPr>
          <w:rFonts w:cs="Times New Roman"/>
          <w:i/>
        </w:rPr>
        <w:tab/>
        <w:t xml:space="preserve">Sexual Orientation </w:t>
      </w:r>
      <w:proofErr w:type="gramStart"/>
      <w:r w:rsidR="00030336">
        <w:rPr>
          <w:rFonts w:cs="Times New Roman"/>
          <w:i/>
        </w:rPr>
        <w:t>V</w:t>
      </w:r>
      <w:r w:rsidRPr="00804A2C">
        <w:rPr>
          <w:rFonts w:cs="Times New Roman"/>
          <w:i/>
        </w:rPr>
        <w:t>ersus</w:t>
      </w:r>
      <w:proofErr w:type="gramEnd"/>
      <w:r w:rsidRPr="00804A2C">
        <w:rPr>
          <w:rFonts w:cs="Times New Roman"/>
          <w:i/>
        </w:rPr>
        <w:t xml:space="preserve"> Sexual Behaviour</w:t>
      </w:r>
      <w:bookmarkEnd w:id="279"/>
      <w:bookmarkEnd w:id="280"/>
      <w:bookmarkEnd w:id="281"/>
      <w:bookmarkEnd w:id="282"/>
      <w:bookmarkEnd w:id="283"/>
      <w:bookmarkEnd w:id="284"/>
      <w:bookmarkEnd w:id="285"/>
      <w:bookmarkEnd w:id="286"/>
    </w:p>
    <w:p w:rsidR="00BB1957" w:rsidRPr="00804A2C" w:rsidRDefault="00BB1957" w:rsidP="00BB1957">
      <w:pPr>
        <w:pStyle w:val="ParaNoNdepar-AltN"/>
        <w:rPr>
          <w:rFonts w:cs="Times New Roman"/>
        </w:rPr>
      </w:pPr>
      <w:r w:rsidRPr="00804A2C">
        <w:rPr>
          <w:rFonts w:cs="Times New Roman"/>
        </w:rPr>
        <w:t xml:space="preserve">Mr. </w:t>
      </w:r>
      <w:proofErr w:type="spellStart"/>
      <w:r w:rsidRPr="00804A2C">
        <w:rPr>
          <w:rFonts w:cs="Times New Roman"/>
        </w:rPr>
        <w:t>Whatcott</w:t>
      </w:r>
      <w:proofErr w:type="spellEnd"/>
      <w:r w:rsidRPr="00804A2C">
        <w:rPr>
          <w:rFonts w:cs="Times New Roman"/>
        </w:rPr>
        <w:t xml:space="preserve"> argues that the publications at issue in this case were critical of same-sex behaviour, as distinct from sexual orientation, and therefore did not contravene s. 14(1</w:t>
      </w:r>
      <w:proofErr w:type="gramStart"/>
      <w:r w:rsidRPr="00804A2C">
        <w:rPr>
          <w:rFonts w:cs="Times New Roman"/>
        </w:rPr>
        <w:t>)(</w:t>
      </w:r>
      <w:proofErr w:type="gramEnd"/>
      <w:r w:rsidRPr="00030336">
        <w:rPr>
          <w:rFonts w:cs="Times New Roman"/>
        </w:rPr>
        <w:t>b</w:t>
      </w:r>
      <w:r w:rsidRPr="00804A2C">
        <w:rPr>
          <w:rFonts w:cs="Times New Roman"/>
        </w:rPr>
        <w:t xml:space="preserve">) of the </w:t>
      </w:r>
      <w:r w:rsidRPr="00804A2C">
        <w:rPr>
          <w:rFonts w:cs="Times New Roman"/>
          <w:i/>
        </w:rPr>
        <w:t>Code</w:t>
      </w:r>
      <w:r w:rsidRPr="00804A2C">
        <w:rPr>
          <w:rFonts w:cs="Times New Roman"/>
        </w:rPr>
        <w:t>. If s. 14(1</w:t>
      </w:r>
      <w:proofErr w:type="gramStart"/>
      <w:r w:rsidRPr="00804A2C">
        <w:rPr>
          <w:rFonts w:cs="Times New Roman"/>
        </w:rPr>
        <w:t>)(</w:t>
      </w:r>
      <w:proofErr w:type="gramEnd"/>
      <w:r w:rsidRPr="00030336">
        <w:rPr>
          <w:rFonts w:cs="Times New Roman"/>
        </w:rPr>
        <w:t>b</w:t>
      </w:r>
      <w:r w:rsidRPr="00804A2C">
        <w:rPr>
          <w:rFonts w:cs="Times New Roman"/>
        </w:rPr>
        <w:t xml:space="preserve">) restricts criticisms of the behaviour of others, it is overbroad and unconstitutional.  Mr. </w:t>
      </w:r>
      <w:proofErr w:type="spellStart"/>
      <w:r w:rsidRPr="00804A2C">
        <w:rPr>
          <w:rFonts w:cs="Times New Roman"/>
        </w:rPr>
        <w:t>Whatcott</w:t>
      </w:r>
      <w:proofErr w:type="spellEnd"/>
      <w:r w:rsidRPr="00804A2C">
        <w:rPr>
          <w:rFonts w:cs="Times New Roman"/>
        </w:rPr>
        <w:t xml:space="preserve"> also submits that comment on the sexual behaviour of others has always been allowed as part of free speech, and part of freedom of conscience and religion. He argues that the law must allow diversity of viewpoints on whether sexual matters are moral or immoral.</w:t>
      </w:r>
    </w:p>
    <w:p w:rsidR="00BB1957" w:rsidRPr="00804A2C" w:rsidRDefault="00BB1957" w:rsidP="00BB1957">
      <w:pPr>
        <w:pStyle w:val="ParaNoNdepar-AltN"/>
        <w:rPr>
          <w:rFonts w:eastAsia="Times New Roman" w:cs="Times New Roman"/>
        </w:rPr>
      </w:pPr>
      <w:r w:rsidRPr="00804A2C">
        <w:rPr>
          <w:rFonts w:cs="Times New Roman"/>
        </w:rPr>
        <w:t>I agree that sexual orientation and sexual behaviour can be differentiated for certain purposes.  However, in instances where hate speech is directed toward behaviour in an effort to mask the true target, the vulnerable group, this distinction should not serve to avoid s. 14(1</w:t>
      </w:r>
      <w:proofErr w:type="gramStart"/>
      <w:r w:rsidRPr="00804A2C">
        <w:rPr>
          <w:rFonts w:cs="Times New Roman"/>
        </w:rPr>
        <w:t>)(</w:t>
      </w:r>
      <w:proofErr w:type="gramEnd"/>
      <w:r w:rsidRPr="00030336">
        <w:rPr>
          <w:rFonts w:cs="Times New Roman"/>
        </w:rPr>
        <w:t>b</w:t>
      </w:r>
      <w:r w:rsidRPr="00804A2C">
        <w:rPr>
          <w:rFonts w:cs="Times New Roman"/>
        </w:rPr>
        <w:t xml:space="preserve">). One such instance is where the expression does not denigrate certain sexual conduct in and of itself, but only when it is carried out by same-sex partners. Another is when hate speech is directed at behaviour that is integral to and inseparable from the identity of the group. </w:t>
      </w:r>
    </w:p>
    <w:p w:rsidR="00BB1957" w:rsidRPr="00804A2C" w:rsidRDefault="00BB1957" w:rsidP="00BB1957">
      <w:pPr>
        <w:pStyle w:val="ParaNoNdepar-AltN"/>
        <w:tabs>
          <w:tab w:val="clear" w:pos="1152"/>
          <w:tab w:val="left" w:pos="1166"/>
        </w:tabs>
        <w:rPr>
          <w:rFonts w:cs="Times New Roman"/>
        </w:rPr>
      </w:pPr>
      <w:proofErr w:type="spellStart"/>
      <w:r w:rsidRPr="00804A2C">
        <w:rPr>
          <w:rFonts w:cs="Times New Roman"/>
          <w:szCs w:val="24"/>
        </w:rPr>
        <w:t>L’Heureux-Dubé</w:t>
      </w:r>
      <w:proofErr w:type="spellEnd"/>
      <w:r w:rsidRPr="00804A2C">
        <w:rPr>
          <w:rFonts w:cs="Times New Roman"/>
          <w:szCs w:val="24"/>
        </w:rPr>
        <w:t xml:space="preserve"> J. in </w:t>
      </w:r>
      <w:r w:rsidRPr="00804A2C">
        <w:rPr>
          <w:rFonts w:cs="Times New Roman"/>
          <w:i/>
          <w:szCs w:val="24"/>
        </w:rPr>
        <w:t>Trinity Western University v. British Columbia College of Teachers</w:t>
      </w:r>
      <w:r w:rsidRPr="00804A2C">
        <w:rPr>
          <w:rFonts w:cs="Times New Roman"/>
          <w:szCs w:val="24"/>
        </w:rPr>
        <w:t xml:space="preserve">, 2001 SCC 31, [2001] 1 S.C.R. 772, in dissent (though not on this point), emphasized this linkage, at </w:t>
      </w:r>
      <w:proofErr w:type="spellStart"/>
      <w:r w:rsidRPr="00804A2C">
        <w:rPr>
          <w:rFonts w:cs="Times New Roman"/>
          <w:szCs w:val="24"/>
        </w:rPr>
        <w:t>para</w:t>
      </w:r>
      <w:proofErr w:type="spellEnd"/>
      <w:r w:rsidRPr="00804A2C">
        <w:rPr>
          <w:rFonts w:cs="Times New Roman"/>
          <w:szCs w:val="24"/>
        </w:rPr>
        <w:t>. 69:</w:t>
      </w:r>
    </w:p>
    <w:p w:rsidR="00BB1957" w:rsidRPr="00804A2C" w:rsidRDefault="00BB1957" w:rsidP="008B20E1">
      <w:pPr>
        <w:pStyle w:val="Citation-AltC"/>
        <w:spacing w:after="480"/>
        <w:contextualSpacing w:val="0"/>
      </w:pPr>
      <w:r w:rsidRPr="00804A2C">
        <w:tab/>
        <w:t>I am dismayed that at various points in the history of this case the argument has been made that one can separate condemnation of the “sexual sin” of “homosexual behaviour” from intolerance of those with homosexual or bisexual orientations. This position alleges that one can love the sinner, but condemn the sin.</w:t>
      </w:r>
      <w:r w:rsidR="00030336">
        <w:t xml:space="preserve"> . . .</w:t>
      </w:r>
      <w:r w:rsidRPr="00804A2C">
        <w:t xml:space="preserve"> The status/conduct or identity/practice distinction for homosexuals and bisexuals should be soundly rejected, as </w:t>
      </w:r>
      <w:r w:rsidRPr="00804A2C">
        <w:rPr>
          <w:i/>
          <w:iCs/>
        </w:rPr>
        <w:t xml:space="preserve">per </w:t>
      </w:r>
      <w:r w:rsidRPr="00804A2C">
        <w:t xml:space="preserve">Madam Justice </w:t>
      </w:r>
      <w:proofErr w:type="spellStart"/>
      <w:r w:rsidRPr="00804A2C">
        <w:t>Rowles</w:t>
      </w:r>
      <w:proofErr w:type="spellEnd"/>
      <w:r w:rsidRPr="00804A2C">
        <w:t>: “Human rights law states that certain practices cannot be separated from identity, such that condemnation of the practice is a condemnation of the person” (</w:t>
      </w:r>
      <w:proofErr w:type="spellStart"/>
      <w:r w:rsidRPr="00804A2C">
        <w:t>para</w:t>
      </w:r>
      <w:proofErr w:type="spellEnd"/>
      <w:r w:rsidRPr="00804A2C">
        <w:t>. 228). She added that “the kind of tolerance that is required [by equality] is not so impoverished as to include a general acceptance of all people but condemnation of the traits of certain people” (</w:t>
      </w:r>
      <w:proofErr w:type="spellStart"/>
      <w:r w:rsidRPr="00804A2C">
        <w:t>para</w:t>
      </w:r>
      <w:proofErr w:type="spellEnd"/>
      <w:r w:rsidRPr="00804A2C">
        <w:t>. 230). This is not to suggest that engaging in homosexual behaviour automatically defines a person as homosexual or bisexual, but rather is meant to challenge the idea that it is possible to condemn a practice so central to the identity of a protected and vulnerable minority without thereby discriminating against its members and affronting their human dignity and personhood.</w:t>
      </w:r>
    </w:p>
    <w:p w:rsidR="00BB1957" w:rsidRPr="00804A2C" w:rsidRDefault="00BB1957" w:rsidP="00BB1957">
      <w:pPr>
        <w:pStyle w:val="Citation-AltC"/>
      </w:pPr>
    </w:p>
    <w:p w:rsidR="00BB1957" w:rsidRPr="00804A2C" w:rsidRDefault="00BB1957" w:rsidP="00A220FA">
      <w:pPr>
        <w:pStyle w:val="Citation-AltC"/>
        <w:spacing w:line="480" w:lineRule="auto"/>
        <w:ind w:left="0"/>
        <w:contextualSpacing w:val="0"/>
      </w:pPr>
      <w:r w:rsidRPr="00804A2C">
        <w:t xml:space="preserve">See also </w:t>
      </w:r>
      <w:r w:rsidRPr="00804A2C">
        <w:rPr>
          <w:i/>
        </w:rPr>
        <w:t>Egan v. Canada</w:t>
      </w:r>
      <w:r w:rsidRPr="00804A2C">
        <w:t xml:space="preserve">, [1995] 2 S.C.R. 513, at </w:t>
      </w:r>
      <w:proofErr w:type="spellStart"/>
      <w:r w:rsidRPr="00804A2C">
        <w:t>para</w:t>
      </w:r>
      <w:proofErr w:type="spellEnd"/>
      <w:r w:rsidRPr="00804A2C">
        <w:t xml:space="preserve">. </w:t>
      </w:r>
      <w:proofErr w:type="gramStart"/>
      <w:r w:rsidRPr="00804A2C">
        <w:t>175</w:t>
      </w:r>
      <w:r w:rsidR="00030336">
        <w:t>,</w:t>
      </w:r>
      <w:r w:rsidRPr="00804A2C">
        <w:t xml:space="preserve"> and </w:t>
      </w:r>
      <w:r w:rsidRPr="00804A2C">
        <w:rPr>
          <w:i/>
        </w:rPr>
        <w:t>Owens</w:t>
      </w:r>
      <w:r w:rsidR="00030336">
        <w:rPr>
          <w:i/>
        </w:rPr>
        <w:t xml:space="preserve"> (C.A.)</w:t>
      </w:r>
      <w:r w:rsidRPr="00804A2C">
        <w:t xml:space="preserve">, at </w:t>
      </w:r>
      <w:proofErr w:type="spellStart"/>
      <w:r w:rsidRPr="00804A2C">
        <w:t>para</w:t>
      </w:r>
      <w:proofErr w:type="spellEnd"/>
      <w:r w:rsidRPr="00804A2C">
        <w:t>.</w:t>
      </w:r>
      <w:proofErr w:type="gramEnd"/>
      <w:r w:rsidRPr="00804A2C">
        <w:t xml:space="preserve"> 82.</w:t>
      </w:r>
    </w:p>
    <w:p w:rsidR="00BB1957" w:rsidRPr="00804A2C" w:rsidRDefault="00BB1957" w:rsidP="00BB1957">
      <w:pPr>
        <w:pStyle w:val="ParaNoNdepar-AltN"/>
        <w:rPr>
          <w:rFonts w:cs="Times New Roman"/>
        </w:rPr>
      </w:pPr>
      <w:r w:rsidRPr="00804A2C">
        <w:rPr>
          <w:rFonts w:cs="Times New Roman"/>
        </w:rPr>
        <w:t>Courts have thus recognized that there is a strong connection between sexual orientation and sexual conduct.  Where the conduct that is the target of speech is a crucial aspect of the identity of the vulnerable group, attacks on this conduct stand as a proxy for attacks on the group itself.  If expression targeting certain sexual behaviour is framed in such a way as to expose persons of an identifiable sexual orientation to what is objectively viewed as detestation and vilification, it cannot be said that such speech only targets the behaviour. It quite clearly targets the vulnerable group.  Therefore, a prohibition is not overbroad for capturing expression of this nature.</w:t>
      </w:r>
    </w:p>
    <w:p w:rsidR="00BB1957" w:rsidRPr="00804A2C" w:rsidRDefault="00BB1957" w:rsidP="00030336">
      <w:pPr>
        <w:pStyle w:val="TitleTitre-AltT"/>
        <w:tabs>
          <w:tab w:val="clear" w:pos="360"/>
          <w:tab w:val="left" w:pos="1170"/>
        </w:tabs>
        <w:ind w:left="1800" w:hanging="1800"/>
        <w:rPr>
          <w:rFonts w:cs="Times New Roman"/>
        </w:rPr>
      </w:pPr>
      <w:bookmarkStart w:id="287" w:name="_Toc341432522"/>
      <w:bookmarkStart w:id="288" w:name="_Toc341687002"/>
      <w:bookmarkStart w:id="289" w:name="_Toc346006825"/>
      <w:bookmarkStart w:id="290" w:name="_Toc349051285"/>
      <w:bookmarkStart w:id="291" w:name="_Toc349051363"/>
      <w:r w:rsidRPr="00804A2C">
        <w:rPr>
          <w:rFonts w:cs="Times New Roman"/>
        </w:rPr>
        <w:tab/>
      </w:r>
      <w:bookmarkStart w:id="292" w:name="_Toc349306918"/>
      <w:bookmarkStart w:id="293" w:name="_Toc349638234"/>
      <w:bookmarkStart w:id="294" w:name="_Toc408212153"/>
      <w:r w:rsidRPr="00804A2C">
        <w:rPr>
          <w:rFonts w:cs="Times New Roman"/>
        </w:rPr>
        <w:t>(iii)</w:t>
      </w:r>
      <w:r w:rsidRPr="00804A2C">
        <w:rPr>
          <w:rFonts w:cs="Times New Roman"/>
        </w:rPr>
        <w:tab/>
      </w:r>
      <w:r w:rsidRPr="00804A2C">
        <w:rPr>
          <w:rFonts w:cs="Times New Roman"/>
          <w:u w:val="single"/>
        </w:rPr>
        <w:t>Intent, Proof, and Defences</w:t>
      </w:r>
      <w:bookmarkEnd w:id="287"/>
      <w:bookmarkEnd w:id="288"/>
      <w:bookmarkEnd w:id="289"/>
      <w:bookmarkEnd w:id="290"/>
      <w:bookmarkEnd w:id="291"/>
      <w:bookmarkEnd w:id="292"/>
      <w:bookmarkEnd w:id="293"/>
      <w:bookmarkEnd w:id="294"/>
    </w:p>
    <w:p w:rsidR="00BB1957" w:rsidRPr="00804A2C" w:rsidRDefault="00BB1957" w:rsidP="00BB1957">
      <w:pPr>
        <w:pStyle w:val="ParaNoNdepar-AltN"/>
        <w:rPr>
          <w:rFonts w:cs="Times New Roman"/>
        </w:rPr>
      </w:pPr>
      <w:r w:rsidRPr="00804A2C">
        <w:rPr>
          <w:rFonts w:cs="Times New Roman"/>
        </w:rPr>
        <w:t>Critics of s. 14(1</w:t>
      </w:r>
      <w:proofErr w:type="gramStart"/>
      <w:r w:rsidRPr="00804A2C">
        <w:rPr>
          <w:rFonts w:cs="Times New Roman"/>
        </w:rPr>
        <w:t>)(</w:t>
      </w:r>
      <w:proofErr w:type="gramEnd"/>
      <w:r w:rsidRPr="00030336">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claim that it is also overbroad because</w:t>
      </w:r>
      <w:r w:rsidR="00030336">
        <w:rPr>
          <w:rFonts w:cs="Times New Roman"/>
        </w:rPr>
        <w:t xml:space="preserve"> (</w:t>
      </w:r>
      <w:proofErr w:type="spellStart"/>
      <w:r w:rsidRPr="00804A2C">
        <w:rPr>
          <w:rFonts w:cs="Times New Roman"/>
        </w:rPr>
        <w:t>i</w:t>
      </w:r>
      <w:proofErr w:type="spellEnd"/>
      <w:r w:rsidRPr="00804A2C">
        <w:rPr>
          <w:rFonts w:cs="Times New Roman"/>
        </w:rPr>
        <w:t xml:space="preserve">) it does not require intent by the publisher; </w:t>
      </w:r>
      <w:r w:rsidR="00030336">
        <w:rPr>
          <w:rFonts w:cs="Times New Roman"/>
        </w:rPr>
        <w:t>(</w:t>
      </w:r>
      <w:r w:rsidRPr="00804A2C">
        <w:rPr>
          <w:rFonts w:cs="Times New Roman"/>
        </w:rPr>
        <w:t xml:space="preserve">ii) it does not require proof of harm; and </w:t>
      </w:r>
      <w:r w:rsidR="00030336">
        <w:rPr>
          <w:rFonts w:cs="Times New Roman"/>
        </w:rPr>
        <w:t>(</w:t>
      </w:r>
      <w:r w:rsidRPr="00804A2C">
        <w:rPr>
          <w:rFonts w:cs="Times New Roman"/>
        </w:rPr>
        <w:t>iii) it does not provide for any defences.</w:t>
      </w:r>
    </w:p>
    <w:p w:rsidR="00BB1957" w:rsidRPr="00804A2C" w:rsidRDefault="00BB1957" w:rsidP="00030336">
      <w:pPr>
        <w:pStyle w:val="TitleTitre-AltT"/>
        <w:tabs>
          <w:tab w:val="clear" w:pos="360"/>
          <w:tab w:val="left" w:pos="1170"/>
        </w:tabs>
        <w:ind w:left="1800" w:hanging="1800"/>
        <w:rPr>
          <w:rFonts w:cs="Times New Roman"/>
        </w:rPr>
      </w:pPr>
      <w:bookmarkStart w:id="295" w:name="_Toc341432523"/>
      <w:bookmarkStart w:id="296" w:name="_Toc341687003"/>
      <w:bookmarkStart w:id="297" w:name="_Toc346006826"/>
      <w:bookmarkStart w:id="298" w:name="_Toc349051286"/>
      <w:bookmarkStart w:id="299" w:name="_Toc349051364"/>
      <w:r w:rsidRPr="00804A2C">
        <w:rPr>
          <w:rFonts w:cs="Times New Roman"/>
        </w:rPr>
        <w:tab/>
      </w:r>
      <w:bookmarkStart w:id="300" w:name="_Toc349306919"/>
      <w:bookmarkStart w:id="301" w:name="_Toc349638235"/>
      <w:bookmarkStart w:id="302" w:name="_Toc408212154"/>
      <w:r w:rsidRPr="00804A2C">
        <w:rPr>
          <w:rFonts w:cs="Times New Roman"/>
        </w:rPr>
        <w:t>1.</w:t>
      </w:r>
      <w:r w:rsidRPr="00804A2C">
        <w:rPr>
          <w:rFonts w:cs="Times New Roman"/>
        </w:rPr>
        <w:tab/>
      </w:r>
      <w:r w:rsidRPr="00804A2C">
        <w:rPr>
          <w:rFonts w:cs="Times New Roman"/>
          <w:i/>
        </w:rPr>
        <w:t>Intent</w:t>
      </w:r>
      <w:bookmarkEnd w:id="295"/>
      <w:bookmarkEnd w:id="296"/>
      <w:bookmarkEnd w:id="297"/>
      <w:bookmarkEnd w:id="298"/>
      <w:bookmarkEnd w:id="299"/>
      <w:bookmarkEnd w:id="300"/>
      <w:bookmarkEnd w:id="301"/>
      <w:bookmarkEnd w:id="302"/>
    </w:p>
    <w:p w:rsidR="00BB1957" w:rsidRPr="00804A2C" w:rsidRDefault="00BB1957" w:rsidP="00BB1957">
      <w:pPr>
        <w:pStyle w:val="ParaNoNdepar-AltN"/>
        <w:rPr>
          <w:rFonts w:eastAsia="Times New Roman" w:cs="Times New Roman"/>
        </w:rPr>
      </w:pPr>
      <w:r w:rsidRPr="00804A2C">
        <w:rPr>
          <w:rFonts w:eastAsia="Times New Roman" w:cs="Times New Roman"/>
        </w:rPr>
        <w:t xml:space="preserve">In </w:t>
      </w:r>
      <w:r w:rsidRPr="00804A2C">
        <w:rPr>
          <w:rFonts w:eastAsia="Times New Roman" w:cs="Times New Roman"/>
          <w:i/>
        </w:rPr>
        <w:t>Taylor</w:t>
      </w:r>
      <w:r w:rsidRPr="00804A2C">
        <w:rPr>
          <w:rFonts w:eastAsia="Times New Roman" w:cs="Times New Roman"/>
        </w:rPr>
        <w:t xml:space="preserve">, Dickson C.J. justified the lack of a legislative requirement to prove intent by emphasizing that systemic discrimination is more widespread than intentional discrimination and that the focus of the legislation should be on effects and not intent (pp. 931-32): </w:t>
      </w:r>
    </w:p>
    <w:p w:rsidR="00BB1957" w:rsidRPr="00804A2C" w:rsidRDefault="00BB1957" w:rsidP="00BB1957">
      <w:pPr>
        <w:pStyle w:val="Citation-AltC"/>
      </w:pPr>
      <w:r w:rsidRPr="00804A2C">
        <w:t xml:space="preserve">The preoccupation with effects, and not with intent, is readily explicable when one considers that systemic discrimination is much more widespread in our society than is intentional discrimination.  To import a subjective intent requirement into human rights provisions, rather than allowing tribunals to focus solely upon effects, would thus defeat one of the primary goals of anti-discrimination statutes.  At the same time, however, it cannot be denied that to ignore intent in determining whether a discriminatory practice has taken place according to s. 13(1) increases the degree of restriction upon the constitutionally protected freedom of expression.  This result flows from the realization that an individual open to condemnation and censure because his or her words may have an </w:t>
      </w:r>
      <w:r w:rsidRPr="00804A2C">
        <w:rPr>
          <w:u w:val="single"/>
        </w:rPr>
        <w:t>unintended</w:t>
      </w:r>
      <w:r w:rsidRPr="00804A2C">
        <w:t xml:space="preserve"> effect will be more likely to exercise caution via self-censorship. </w:t>
      </w:r>
      <w:proofErr w:type="gramStart"/>
      <w:r w:rsidRPr="00804A2C">
        <w:t>[Emphasis in original.]</w:t>
      </w:r>
      <w:proofErr w:type="gramEnd"/>
    </w:p>
    <w:p w:rsidR="00BB1957" w:rsidRPr="00804A2C" w:rsidRDefault="00BB1957" w:rsidP="00BB1957">
      <w:pPr>
        <w:pStyle w:val="ParaNoNdepar-AltN"/>
        <w:rPr>
          <w:rFonts w:eastAsia="Times New Roman" w:cs="Times New Roman"/>
        </w:rPr>
      </w:pPr>
      <w:r w:rsidRPr="00804A2C">
        <w:rPr>
          <w:rFonts w:eastAsia="Times New Roman" w:cs="Times New Roman"/>
        </w:rPr>
        <w:t>The preventive measures found in human rights legislation reasonably centre on effects, rather than intent. I see no reason to depart from this approach.</w:t>
      </w:r>
    </w:p>
    <w:p w:rsidR="00BB1957" w:rsidRPr="00804A2C" w:rsidRDefault="00BB1957" w:rsidP="00030336">
      <w:pPr>
        <w:pStyle w:val="TitleTitre-AltT"/>
        <w:tabs>
          <w:tab w:val="clear" w:pos="360"/>
          <w:tab w:val="left" w:pos="1170"/>
        </w:tabs>
        <w:ind w:left="1800" w:hanging="1800"/>
        <w:rPr>
          <w:rFonts w:cs="Times New Roman"/>
        </w:rPr>
      </w:pPr>
      <w:bookmarkStart w:id="303" w:name="_Toc341432524"/>
      <w:bookmarkStart w:id="304" w:name="_Toc341687004"/>
      <w:bookmarkStart w:id="305" w:name="_Toc346006827"/>
      <w:bookmarkStart w:id="306" w:name="_Toc349051287"/>
      <w:bookmarkStart w:id="307" w:name="_Toc349051365"/>
      <w:r w:rsidRPr="00804A2C">
        <w:rPr>
          <w:rFonts w:cs="Times New Roman"/>
        </w:rPr>
        <w:tab/>
      </w:r>
      <w:bookmarkStart w:id="308" w:name="_Toc349306920"/>
      <w:bookmarkStart w:id="309" w:name="_Toc349638236"/>
      <w:bookmarkStart w:id="310" w:name="_Toc408212155"/>
      <w:r w:rsidRPr="00804A2C">
        <w:rPr>
          <w:rFonts w:cs="Times New Roman"/>
        </w:rPr>
        <w:t>2.</w:t>
      </w:r>
      <w:r w:rsidRPr="00804A2C">
        <w:rPr>
          <w:rFonts w:cs="Times New Roman"/>
        </w:rPr>
        <w:tab/>
      </w:r>
      <w:r w:rsidRPr="00804A2C">
        <w:rPr>
          <w:rFonts w:cs="Times New Roman"/>
          <w:i/>
        </w:rPr>
        <w:t>Proof of Harm</w:t>
      </w:r>
      <w:bookmarkEnd w:id="303"/>
      <w:bookmarkEnd w:id="304"/>
      <w:bookmarkEnd w:id="305"/>
      <w:bookmarkEnd w:id="306"/>
      <w:bookmarkEnd w:id="307"/>
      <w:bookmarkEnd w:id="308"/>
      <w:bookmarkEnd w:id="309"/>
      <w:bookmarkEnd w:id="310"/>
    </w:p>
    <w:p w:rsidR="00BB1957" w:rsidRPr="00804A2C" w:rsidRDefault="00BB1957" w:rsidP="00BB1957">
      <w:pPr>
        <w:pStyle w:val="ParaNoNdepar-AltN"/>
        <w:rPr>
          <w:rFonts w:eastAsia="Times New Roman" w:cs="Times New Roman"/>
        </w:rPr>
      </w:pPr>
      <w:r w:rsidRPr="00804A2C">
        <w:rPr>
          <w:rFonts w:eastAsia="Times New Roman" w:cs="Times New Roman"/>
        </w:rPr>
        <w:t>I have already addressed the notion of harm in the context of whether the objective of s. 14(1</w:t>
      </w:r>
      <w:proofErr w:type="gramStart"/>
      <w:r w:rsidRPr="00804A2C">
        <w:rPr>
          <w:rFonts w:eastAsia="Times New Roman" w:cs="Times New Roman"/>
        </w:rPr>
        <w:t>)(</w:t>
      </w:r>
      <w:proofErr w:type="gramEnd"/>
      <w:r w:rsidRPr="00030336">
        <w:rPr>
          <w:rFonts w:eastAsia="Times New Roman" w:cs="Times New Roman"/>
        </w:rPr>
        <w:t>b</w:t>
      </w:r>
      <w:r w:rsidRPr="00804A2C">
        <w:rPr>
          <w:rFonts w:eastAsia="Times New Roman" w:cs="Times New Roman"/>
        </w:rPr>
        <w:t xml:space="preserve">) is pressing and substantial. </w:t>
      </w:r>
    </w:p>
    <w:p w:rsidR="00BB1957" w:rsidRPr="00804A2C" w:rsidRDefault="00BB1957" w:rsidP="00BB1957">
      <w:pPr>
        <w:pStyle w:val="ParaNoNdepar-AltN"/>
        <w:rPr>
          <w:rFonts w:cs="Times New Roman"/>
        </w:rPr>
      </w:pPr>
      <w:r w:rsidRPr="00804A2C">
        <w:rPr>
          <w:rFonts w:cs="Times New Roman"/>
        </w:rPr>
        <w:t xml:space="preserve">In answer to the specific criticism that a prohibition against hate speech lacked a requirement to prove actual harm, Dickson C.J. argued in </w:t>
      </w:r>
      <w:proofErr w:type="spellStart"/>
      <w:r w:rsidRPr="00804A2C">
        <w:rPr>
          <w:rFonts w:cs="Times New Roman"/>
          <w:i/>
        </w:rPr>
        <w:t>Keegstra</w:t>
      </w:r>
      <w:proofErr w:type="spellEnd"/>
      <w:r w:rsidRPr="00804A2C">
        <w:rPr>
          <w:rFonts w:cs="Times New Roman"/>
        </w:rPr>
        <w:t xml:space="preserve"> (at p. 776) that both the difficulty of establishing a causal link between an expressive statement and the resulting hatred, and the seriousness of the harm to which vulnerable groups are exposed by hate speech, justifies the imposition of preventive measures that do not require proof of actual harm.</w:t>
      </w:r>
    </w:p>
    <w:p w:rsidR="00BB1957" w:rsidRPr="00804A2C" w:rsidRDefault="00BB1957" w:rsidP="00BB1957">
      <w:pPr>
        <w:pStyle w:val="ParaNoNdepar-AltN"/>
        <w:rPr>
          <w:rFonts w:cs="Times New Roman"/>
        </w:rPr>
      </w:pPr>
      <w:r w:rsidRPr="00804A2C">
        <w:rPr>
          <w:rFonts w:cs="Times New Roman"/>
        </w:rPr>
        <w:t xml:space="preserve">Critics argue that the deference to the legislature shown by this Court in </w:t>
      </w:r>
      <w:proofErr w:type="spellStart"/>
      <w:r w:rsidRPr="00804A2C">
        <w:rPr>
          <w:rFonts w:cs="Times New Roman"/>
          <w:i/>
        </w:rPr>
        <w:t>Keegstra</w:t>
      </w:r>
      <w:proofErr w:type="spellEnd"/>
      <w:r w:rsidRPr="00804A2C">
        <w:rPr>
          <w:rFonts w:cs="Times New Roman"/>
        </w:rPr>
        <w:t xml:space="preserve">, </w:t>
      </w:r>
      <w:r w:rsidRPr="00804A2C">
        <w:rPr>
          <w:rFonts w:cs="Times New Roman"/>
          <w:i/>
        </w:rPr>
        <w:t>Taylor</w:t>
      </w:r>
      <w:r w:rsidRPr="00804A2C">
        <w:rPr>
          <w:rFonts w:cs="Times New Roman"/>
        </w:rPr>
        <w:t xml:space="preserve">, </w:t>
      </w:r>
      <w:r w:rsidRPr="00804A2C">
        <w:rPr>
          <w:rFonts w:cs="Times New Roman"/>
          <w:i/>
        </w:rPr>
        <w:t>Butler</w:t>
      </w:r>
      <w:r w:rsidRPr="00804A2C">
        <w:rPr>
          <w:rFonts w:cs="Times New Roman"/>
        </w:rPr>
        <w:t xml:space="preserve"> and </w:t>
      </w:r>
      <w:r w:rsidRPr="00804A2C">
        <w:rPr>
          <w:rFonts w:cs="Times New Roman"/>
          <w:i/>
        </w:rPr>
        <w:t>Sharpe</w:t>
      </w:r>
      <w:r w:rsidRPr="00804A2C">
        <w:rPr>
          <w:rFonts w:cs="Times New Roman"/>
        </w:rPr>
        <w:t xml:space="preserve"> is an abdication of its duty to require that limitations on </w:t>
      </w:r>
      <w:r w:rsidRPr="00804A2C">
        <w:rPr>
          <w:rFonts w:cs="Times New Roman"/>
          <w:i/>
        </w:rPr>
        <w:t>Charter</w:t>
      </w:r>
      <w:r w:rsidRPr="00804A2C">
        <w:rPr>
          <w:rFonts w:cs="Times New Roman"/>
        </w:rPr>
        <w:t xml:space="preserve"> rights be “demonstrably justified” under the s. 1 analysis: Sumner, at pp. 83 and 202-3.  The Court’s “deferential approach under section 1 to state restrictions on expression”, has been said to erode the constitutional protection for freedom of expression: Moon (2000), at p. 37.  The basic nature of the criticism is that it is an unacceptable impairment of freedom of expression to allow its restriction to be justified by the mere likelihood or risk of harm, rather than a clear causal link between hate speech and harmful or discriminatory acts against the vulnerable group.</w:t>
      </w:r>
    </w:p>
    <w:p w:rsidR="00BB1957" w:rsidRPr="00804A2C" w:rsidRDefault="00BB1957" w:rsidP="00BB1957">
      <w:pPr>
        <w:pStyle w:val="ParaNoNdepar-AltN"/>
        <w:rPr>
          <w:rFonts w:cs="Times New Roman"/>
        </w:rPr>
      </w:pPr>
      <w:r w:rsidRPr="00804A2C">
        <w:rPr>
          <w:rFonts w:cs="Times New Roman"/>
        </w:rPr>
        <w:t>Such an approach, however, ignores the particularly insidious nature of hate speech.  The end goal of hate speech is to shift the environment from one where harm against vulnerable groups is not tolerated to one where hate speech has created a place where this is either accepted or a blind eye is turned.</w:t>
      </w:r>
    </w:p>
    <w:p w:rsidR="00BB1957" w:rsidRPr="00804A2C" w:rsidRDefault="00BB1957" w:rsidP="00BB1957">
      <w:pPr>
        <w:pStyle w:val="ParaNoNdepar-AltN"/>
        <w:rPr>
          <w:rFonts w:cs="Times New Roman"/>
        </w:rPr>
      </w:pPr>
      <w:r w:rsidRPr="00804A2C">
        <w:rPr>
          <w:rFonts w:cs="Times New Roman"/>
        </w:rPr>
        <w:t>This Court has addressed such criticism in a number of situations involving the applicability of s. 1 and has adopted a “reasonable apprehension of harm” approach.  This approach recognizes that a precise causal link for certain societal harms ought not to be required.  A court is entitled to use common sense and experience in recognizing that certain activities, hate speech among them, inflict societal harms.</w:t>
      </w:r>
    </w:p>
    <w:p w:rsidR="00BB1957" w:rsidRPr="00804A2C" w:rsidRDefault="00BB1957" w:rsidP="00BB1957">
      <w:pPr>
        <w:pStyle w:val="ParaNoNdepar-AltN"/>
        <w:rPr>
          <w:rFonts w:cs="Times New Roman"/>
        </w:rPr>
      </w:pPr>
      <w:r w:rsidRPr="00804A2C">
        <w:rPr>
          <w:rFonts w:cs="Times New Roman"/>
        </w:rPr>
        <w:t xml:space="preserve">In </w:t>
      </w:r>
      <w:r w:rsidRPr="00804A2C">
        <w:rPr>
          <w:rFonts w:cs="Times New Roman"/>
          <w:i/>
        </w:rPr>
        <w:t>Thomson Newspapers Co.</w:t>
      </w:r>
      <w:r w:rsidRPr="00804A2C">
        <w:rPr>
          <w:rFonts w:cs="Times New Roman"/>
        </w:rPr>
        <w:t>, this Court recognized that a reasonable apprehension of harm test should be applied in cases where “it has been suggested, though not proven, that the very nature of the expression in question undermines the position of groups or individuals as equal participants in society” (</w:t>
      </w:r>
      <w:proofErr w:type="spellStart"/>
      <w:r w:rsidRPr="00804A2C">
        <w:rPr>
          <w:rFonts w:cs="Times New Roman"/>
        </w:rPr>
        <w:t>para</w:t>
      </w:r>
      <w:proofErr w:type="spellEnd"/>
      <w:r w:rsidRPr="00804A2C">
        <w:rPr>
          <w:rFonts w:cs="Times New Roman"/>
        </w:rPr>
        <w:t>. 115).  Such an approach is warranted “when it is difficult or impossible to establish scientifically the type of harm in question” (</w:t>
      </w:r>
      <w:proofErr w:type="spellStart"/>
      <w:r w:rsidRPr="00804A2C">
        <w:rPr>
          <w:rFonts w:cs="Times New Roman"/>
        </w:rPr>
        <w:t>para</w:t>
      </w:r>
      <w:proofErr w:type="spellEnd"/>
      <w:r w:rsidRPr="00804A2C">
        <w:rPr>
          <w:rFonts w:cs="Times New Roman"/>
        </w:rPr>
        <w:t xml:space="preserve">. 115). As the Court reasoned, at </w:t>
      </w:r>
      <w:proofErr w:type="spellStart"/>
      <w:r w:rsidRPr="00804A2C">
        <w:rPr>
          <w:rFonts w:cs="Times New Roman"/>
        </w:rPr>
        <w:t>para</w:t>
      </w:r>
      <w:proofErr w:type="spellEnd"/>
      <w:r w:rsidRPr="00804A2C">
        <w:rPr>
          <w:rFonts w:cs="Times New Roman"/>
        </w:rPr>
        <w:t>. 116:</w:t>
      </w:r>
    </w:p>
    <w:p w:rsidR="00BB1957" w:rsidRPr="00804A2C" w:rsidRDefault="00BB1957" w:rsidP="00BB1957">
      <w:pPr>
        <w:pStyle w:val="Citation-AltC"/>
      </w:pPr>
      <w:r w:rsidRPr="00804A2C">
        <w:t>While courts should not use common sense as a cover for unfounded or controversial assumptions, it may be appropriately employed in judicial reasoning where the possibility of harm is within the everyday knowledge and experience of Canadians, or where factual determination and value judgments overlap. Canadians presume that expressions which degrade individuals based on their gender, ethnicity, or other personal factors may lead to harm being visited upon them because this is within most people’s everyday experience</w:t>
      </w:r>
      <w:r w:rsidR="00030336">
        <w:t>. . . .</w:t>
      </w:r>
      <w:r w:rsidRPr="00804A2C">
        <w:t xml:space="preserve"> Common sense reflects common understandings. In these cases dealing with pornography and hate speech, common understandings were accepted by the Court because they are widely accepted by Canadians as facts, and because they are integrally related to our values, which are the bedrock of any s. 1 justification. As a result, the Court did not demand a scientific demonstration or the submission of definitive social science evidence to establish that the line drawn by Parliament was perfectly drawn.</w:t>
      </w:r>
    </w:p>
    <w:p w:rsidR="00BB1957" w:rsidRPr="00804A2C" w:rsidRDefault="00BB1957" w:rsidP="00BB1957">
      <w:pPr>
        <w:pStyle w:val="ParaNoNdepar-AltN"/>
        <w:rPr>
          <w:rFonts w:cs="Times New Roman"/>
        </w:rPr>
      </w:pPr>
      <w:r w:rsidRPr="00804A2C">
        <w:rPr>
          <w:rFonts w:cs="Times New Roman"/>
        </w:rPr>
        <w:t xml:space="preserve">In </w:t>
      </w:r>
      <w:r w:rsidRPr="00804A2C">
        <w:rPr>
          <w:rFonts w:cs="Times New Roman"/>
          <w:i/>
        </w:rPr>
        <w:t>Irwin Toy</w:t>
      </w:r>
      <w:r w:rsidRPr="00804A2C">
        <w:rPr>
          <w:rFonts w:cs="Times New Roman"/>
        </w:rPr>
        <w:t xml:space="preserve">, this Court noted that the government was “afforded a margin of appreciation to form legitimate objectives based on somewhat inconclusive social science evidence” (p. 990).  In her dissent in </w:t>
      </w:r>
      <w:proofErr w:type="spellStart"/>
      <w:r w:rsidRPr="00804A2C">
        <w:rPr>
          <w:rFonts w:cs="Times New Roman"/>
          <w:i/>
        </w:rPr>
        <w:t>Keegstra</w:t>
      </w:r>
      <w:proofErr w:type="spellEnd"/>
      <w:r w:rsidRPr="00804A2C">
        <w:rPr>
          <w:rFonts w:cs="Times New Roman"/>
        </w:rPr>
        <w:t xml:space="preserve">, McLachlin J. acknowledged that “it is simply not possible to assess with any precision the effects that expression of a particular message will have on all those who are ultimately exposed to it” (p. 857).  In </w:t>
      </w:r>
      <w:r w:rsidRPr="00804A2C">
        <w:rPr>
          <w:rFonts w:cs="Times New Roman"/>
          <w:i/>
        </w:rPr>
        <w:t>Butler</w:t>
      </w:r>
      <w:r w:rsidRPr="00804A2C">
        <w:rPr>
          <w:rFonts w:cs="Times New Roman"/>
        </w:rPr>
        <w:t xml:space="preserve">, </w:t>
      </w:r>
      <w:proofErr w:type="spellStart"/>
      <w:r w:rsidRPr="00804A2C">
        <w:rPr>
          <w:rFonts w:cs="Times New Roman"/>
        </w:rPr>
        <w:t>Sopinka</w:t>
      </w:r>
      <w:proofErr w:type="spellEnd"/>
      <w:r w:rsidRPr="00804A2C">
        <w:rPr>
          <w:rFonts w:cs="Times New Roman"/>
        </w:rPr>
        <w:t xml:space="preserve"> J., for the majority, agreed with the view that Parliament should be “entitled to have a ‘reasoned apprehension of harm’ resulting from the desensitization of individuals exposed to materials which depict violence, cruelty, and dehumanization in sexual relations” (p. 504) and noted that “[</w:t>
      </w:r>
      <w:r w:rsidR="00030336">
        <w:rPr>
          <w:rFonts w:cs="Times New Roman"/>
        </w:rPr>
        <w:t>w</w:t>
      </w:r>
      <w:r w:rsidRPr="00804A2C">
        <w:rPr>
          <w:rFonts w:cs="Times New Roman"/>
        </w:rPr>
        <w:t>]</w:t>
      </w:r>
      <w:proofErr w:type="spellStart"/>
      <w:r w:rsidRPr="00804A2C">
        <w:rPr>
          <w:rFonts w:cs="Times New Roman"/>
          <w:szCs w:val="24"/>
        </w:rPr>
        <w:t>hile</w:t>
      </w:r>
      <w:proofErr w:type="spellEnd"/>
      <w:r w:rsidRPr="00804A2C">
        <w:rPr>
          <w:rFonts w:cs="Times New Roman"/>
          <w:szCs w:val="24"/>
        </w:rPr>
        <w:t xml:space="preserve"> a direct link between obscenity and harm to society may be difficult, if not impossible, to establish, it is reasonable to presume that exposure to images bears a causal relationship to changes in attitudes and beliefs” (</w:t>
      </w:r>
      <w:r w:rsidRPr="00804A2C">
        <w:rPr>
          <w:rFonts w:cs="Times New Roman"/>
        </w:rPr>
        <w:t>p. 502</w:t>
      </w:r>
      <w:r w:rsidRPr="00804A2C">
        <w:rPr>
          <w:rFonts w:cs="Times New Roman"/>
          <w:szCs w:val="24"/>
        </w:rPr>
        <w:t>).</w:t>
      </w:r>
      <w:r w:rsidRPr="00804A2C">
        <w:rPr>
          <w:rFonts w:cs="Times New Roman"/>
        </w:rPr>
        <w:t xml:space="preserve">  Again in </w:t>
      </w:r>
      <w:r w:rsidRPr="00804A2C">
        <w:rPr>
          <w:rFonts w:cs="Times New Roman"/>
          <w:i/>
        </w:rPr>
        <w:t>Sharpe</w:t>
      </w:r>
      <w:r w:rsidRPr="00804A2C">
        <w:rPr>
          <w:rFonts w:cs="Times New Roman"/>
        </w:rPr>
        <w:t xml:space="preserve">, McLachlin C.J., writing for the majority, applied the reasonable apprehension of harm test and stated, at </w:t>
      </w:r>
      <w:proofErr w:type="spellStart"/>
      <w:r w:rsidRPr="00804A2C">
        <w:rPr>
          <w:rFonts w:cs="Times New Roman"/>
        </w:rPr>
        <w:t>para</w:t>
      </w:r>
      <w:proofErr w:type="spellEnd"/>
      <w:r w:rsidRPr="00804A2C">
        <w:rPr>
          <w:rFonts w:cs="Times New Roman"/>
        </w:rPr>
        <w:t>. 89:</w:t>
      </w:r>
    </w:p>
    <w:p w:rsidR="00BB1957" w:rsidRPr="00804A2C" w:rsidRDefault="00BB1957" w:rsidP="00BB1957">
      <w:pPr>
        <w:pStyle w:val="Citation-AltC"/>
      </w:pPr>
      <w:r w:rsidRPr="00804A2C">
        <w:t>The lack of unanimity in scientific opinion is not fatal. Complex human behaviour may not lend itself to precise scientific demonstration, and the courts cannot hold Parliament to a higher standard of proof than the subject matter admits of.</w:t>
      </w:r>
    </w:p>
    <w:p w:rsidR="00BB1957" w:rsidRPr="00804A2C" w:rsidRDefault="00BB1957" w:rsidP="00BB1957">
      <w:pPr>
        <w:pStyle w:val="ParaNoNdepar-AltN"/>
        <w:rPr>
          <w:rFonts w:cs="Times New Roman"/>
        </w:rPr>
      </w:pPr>
      <w:r w:rsidRPr="00804A2C">
        <w:rPr>
          <w:rFonts w:cs="Times New Roman"/>
        </w:rPr>
        <w:t xml:space="preserve">As was clear from </w:t>
      </w:r>
      <w:r w:rsidRPr="00804A2C">
        <w:rPr>
          <w:rFonts w:cs="Times New Roman"/>
          <w:i/>
        </w:rPr>
        <w:t>Taylor</w:t>
      </w:r>
      <w:r w:rsidRPr="00804A2C">
        <w:rPr>
          <w:rFonts w:cs="Times New Roman"/>
        </w:rPr>
        <w:t>, and reaffirmed through the evidence submitted by interveners in this appeal, the discriminatory effects of hate speech are part of the everyday knowledge and experience of Canadians. I am of the opinion that the Saskatchewan legislature is entitled to a reasonable apprehension of societal harm as a result of hate speech.</w:t>
      </w:r>
    </w:p>
    <w:p w:rsidR="00BB1957" w:rsidRPr="00804A2C" w:rsidRDefault="00BB1957" w:rsidP="00030336">
      <w:pPr>
        <w:pStyle w:val="TitleTitre-AltT"/>
        <w:tabs>
          <w:tab w:val="clear" w:pos="360"/>
          <w:tab w:val="left" w:pos="1170"/>
        </w:tabs>
        <w:ind w:left="1800" w:hanging="1800"/>
        <w:rPr>
          <w:rFonts w:cs="Times New Roman"/>
        </w:rPr>
      </w:pPr>
      <w:bookmarkStart w:id="311" w:name="_Toc341432525"/>
      <w:bookmarkStart w:id="312" w:name="_Toc341687005"/>
      <w:bookmarkStart w:id="313" w:name="_Toc346006828"/>
      <w:bookmarkStart w:id="314" w:name="_Toc349051288"/>
      <w:bookmarkStart w:id="315" w:name="_Toc349051366"/>
      <w:r w:rsidRPr="00804A2C">
        <w:rPr>
          <w:rFonts w:cs="Times New Roman"/>
        </w:rPr>
        <w:tab/>
      </w:r>
      <w:bookmarkStart w:id="316" w:name="_Toc349306921"/>
      <w:bookmarkStart w:id="317" w:name="_Toc349638237"/>
      <w:bookmarkStart w:id="318" w:name="_Toc408212156"/>
      <w:r w:rsidRPr="00804A2C">
        <w:rPr>
          <w:rFonts w:cs="Times New Roman"/>
        </w:rPr>
        <w:t>3.</w:t>
      </w:r>
      <w:r w:rsidRPr="00804A2C">
        <w:rPr>
          <w:rFonts w:cs="Times New Roman"/>
        </w:rPr>
        <w:tab/>
      </w:r>
      <w:r w:rsidRPr="00804A2C">
        <w:rPr>
          <w:rFonts w:cs="Times New Roman"/>
          <w:i/>
        </w:rPr>
        <w:t>Lack of Defences</w:t>
      </w:r>
      <w:bookmarkEnd w:id="311"/>
      <w:bookmarkEnd w:id="312"/>
      <w:bookmarkEnd w:id="313"/>
      <w:bookmarkEnd w:id="314"/>
      <w:bookmarkEnd w:id="315"/>
      <w:bookmarkEnd w:id="316"/>
      <w:bookmarkEnd w:id="317"/>
      <w:bookmarkEnd w:id="318"/>
    </w:p>
    <w:p w:rsidR="00BB1957" w:rsidRPr="00804A2C" w:rsidRDefault="00BB1957" w:rsidP="00BB1957">
      <w:pPr>
        <w:pStyle w:val="ParaNoNdepar-AltN"/>
        <w:rPr>
          <w:rFonts w:cs="Times New Roman"/>
        </w:rPr>
      </w:pPr>
      <w:r w:rsidRPr="00804A2C">
        <w:rPr>
          <w:rFonts w:cs="Times New Roman"/>
        </w:rPr>
        <w:t>In the context of civil liability for contravening a limitation on a certain type of expression such as defamation, the types of defences that are generally raised relate to the truth of the factual statements made.  The legislature of Saskatchewan has not provided a defence of truth or any other defence as a basis upon which to avoid being found in contravention of s. 14(1)(</w:t>
      </w:r>
      <w:r w:rsidRPr="00030336">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(other than that private communications are not included in the prohibition).</w:t>
      </w:r>
    </w:p>
    <w:p w:rsidR="00BB1957" w:rsidRPr="00804A2C" w:rsidRDefault="00BB1957" w:rsidP="00BB1957">
      <w:pPr>
        <w:pStyle w:val="ParaNoNdepar-AltN"/>
        <w:rPr>
          <w:rFonts w:cs="Times New Roman"/>
        </w:rPr>
      </w:pPr>
      <w:r w:rsidRPr="00804A2C">
        <w:rPr>
          <w:rFonts w:cs="Times New Roman"/>
        </w:rPr>
        <w:t xml:space="preserve">The majority in </w:t>
      </w:r>
      <w:r w:rsidRPr="00804A2C">
        <w:rPr>
          <w:rFonts w:cs="Times New Roman"/>
          <w:i/>
        </w:rPr>
        <w:t>Taylor</w:t>
      </w:r>
      <w:r w:rsidRPr="00804A2C">
        <w:rPr>
          <w:rFonts w:cs="Times New Roman"/>
        </w:rPr>
        <w:t xml:space="preserve"> held that the lack of defences was not fatal to finding s. 13(1) of the </w:t>
      </w:r>
      <w:r w:rsidRPr="00804A2C">
        <w:rPr>
          <w:rFonts w:cs="Times New Roman"/>
          <w:i/>
        </w:rPr>
        <w:t>CHRA</w:t>
      </w:r>
      <w:r w:rsidRPr="00804A2C">
        <w:rPr>
          <w:rFonts w:cs="Times New Roman"/>
        </w:rPr>
        <w:t xml:space="preserve"> constitutional.  Dickson C.J. was of the view that the </w:t>
      </w:r>
      <w:r w:rsidRPr="00804A2C">
        <w:rPr>
          <w:rFonts w:cs="Times New Roman"/>
          <w:i/>
        </w:rPr>
        <w:t>Charter</w:t>
      </w:r>
      <w:r w:rsidRPr="00804A2C">
        <w:rPr>
          <w:rFonts w:cs="Times New Roman"/>
        </w:rPr>
        <w:t xml:space="preserve"> did not mandate an exception for truthful statements in the context of human rights legislation (p. 935). He drew upon his reasoning in </w:t>
      </w:r>
      <w:proofErr w:type="spellStart"/>
      <w:r w:rsidRPr="00804A2C">
        <w:rPr>
          <w:rFonts w:cs="Times New Roman"/>
          <w:i/>
        </w:rPr>
        <w:t>Keegstra</w:t>
      </w:r>
      <w:proofErr w:type="spellEnd"/>
      <w:r w:rsidRPr="00804A2C">
        <w:rPr>
          <w:rFonts w:cs="Times New Roman"/>
        </w:rPr>
        <w:t xml:space="preserve"> on this point, where he stated, at p. 781:</w:t>
      </w:r>
    </w:p>
    <w:p w:rsidR="00BB1957" w:rsidRPr="00804A2C" w:rsidRDefault="00BB1957" w:rsidP="00030336">
      <w:pPr>
        <w:pStyle w:val="Citation-AltC"/>
        <w:tabs>
          <w:tab w:val="left" w:pos="1800"/>
        </w:tabs>
      </w:pPr>
      <w:r w:rsidRPr="00804A2C">
        <w:tab/>
        <w:t>The way in which I have defined the s. 319(2) offence, in the context of the objective sought by society and the value of the prohibited expression, gives me some doubt as to whether the</w:t>
      </w:r>
      <w:r w:rsidRPr="00804A2C">
        <w:rPr>
          <w:i/>
          <w:iCs/>
        </w:rPr>
        <w:t xml:space="preserve"> Charter</w:t>
      </w:r>
      <w:r w:rsidRPr="00804A2C">
        <w:t xml:space="preserve"> mandates that truthful statements communicated </w:t>
      </w:r>
      <w:r w:rsidRPr="00804A2C">
        <w:rPr>
          <w:u w:val="single"/>
        </w:rPr>
        <w:t>with an intention to promote hatred</w:t>
      </w:r>
      <w:r w:rsidRPr="00804A2C">
        <w:t xml:space="preserve"> need be </w:t>
      </w:r>
      <w:proofErr w:type="gramStart"/>
      <w:r w:rsidRPr="00804A2C">
        <w:t>excepted</w:t>
      </w:r>
      <w:proofErr w:type="gramEnd"/>
      <w:r w:rsidRPr="00804A2C">
        <w:t xml:space="preserve"> from criminal condemnation.  Truth may be used for widely disparate ends, and I find it difficult to accept that circumstances exist where factually accurate statements can be used for no other purpose than to stir up hatred against a racial or religious group.  It would seem to follow that there is no reason why the individual who intentionally employs such statements to achieve harmful ends must </w:t>
      </w:r>
      <w:r w:rsidRPr="00804A2C">
        <w:rPr>
          <w:u w:val="single"/>
        </w:rPr>
        <w:t>under the</w:t>
      </w:r>
      <w:r w:rsidRPr="00804A2C">
        <w:rPr>
          <w:i/>
          <w:iCs/>
          <w:u w:val="single"/>
        </w:rPr>
        <w:t xml:space="preserve"> Charter</w:t>
      </w:r>
      <w:r w:rsidRPr="00804A2C">
        <w:t xml:space="preserve"> be protected from criminal censure. </w:t>
      </w:r>
      <w:proofErr w:type="gramStart"/>
      <w:r w:rsidRPr="00804A2C">
        <w:t>[Emphasis in original.]</w:t>
      </w:r>
      <w:proofErr w:type="gramEnd"/>
    </w:p>
    <w:p w:rsidR="00BB1957" w:rsidRPr="00804A2C" w:rsidRDefault="00BB1957" w:rsidP="00BB1957">
      <w:pPr>
        <w:pStyle w:val="ParaNoNdepar-AltN"/>
        <w:rPr>
          <w:rFonts w:cs="Times New Roman"/>
        </w:rPr>
      </w:pPr>
      <w:r w:rsidRPr="00804A2C">
        <w:rPr>
          <w:rFonts w:cs="Times New Roman"/>
        </w:rPr>
        <w:t xml:space="preserve">Although Dickson C.J. refers to intentionally employing truthful statements in the criminal context of </w:t>
      </w:r>
      <w:proofErr w:type="spellStart"/>
      <w:r w:rsidRPr="00804A2C">
        <w:rPr>
          <w:rFonts w:cs="Times New Roman"/>
          <w:i/>
        </w:rPr>
        <w:t>Keegstra</w:t>
      </w:r>
      <w:proofErr w:type="spellEnd"/>
      <w:r w:rsidRPr="00804A2C">
        <w:rPr>
          <w:rFonts w:cs="Times New Roman"/>
        </w:rPr>
        <w:t xml:space="preserve">, he reconfirmed in </w:t>
      </w:r>
      <w:r w:rsidRPr="00804A2C">
        <w:rPr>
          <w:rFonts w:cs="Times New Roman"/>
          <w:i/>
        </w:rPr>
        <w:t>Taylor</w:t>
      </w:r>
      <w:r w:rsidRPr="00804A2C">
        <w:rPr>
          <w:rFonts w:cs="Times New Roman"/>
        </w:rPr>
        <w:t xml:space="preserve"> that the use of truthful statements should not provide a shield in the human rights context (p</w:t>
      </w:r>
      <w:r w:rsidR="00030336">
        <w:rPr>
          <w:rFonts w:cs="Times New Roman"/>
        </w:rPr>
        <w:t>p</w:t>
      </w:r>
      <w:r w:rsidRPr="00804A2C">
        <w:rPr>
          <w:rFonts w:cs="Times New Roman"/>
        </w:rPr>
        <w:t>. 935-36). Nor did he consider that a failure to provide a defence for negligent or innocent error would lead to the provision being held an excessive impairment of freedom of expression</w:t>
      </w:r>
      <w:r w:rsidR="00030336">
        <w:rPr>
          <w:rFonts w:cs="Times New Roman"/>
        </w:rPr>
        <w:t>:</w:t>
      </w:r>
      <w:r w:rsidRPr="00804A2C">
        <w:rPr>
          <w:rFonts w:cs="Times New Roman"/>
        </w:rPr>
        <w:t xml:space="preserve"> </w:t>
      </w:r>
      <w:proofErr w:type="spellStart"/>
      <w:r w:rsidRPr="00804A2C">
        <w:rPr>
          <w:rFonts w:cs="Times New Roman"/>
          <w:i/>
        </w:rPr>
        <w:t>Keegstra</w:t>
      </w:r>
      <w:proofErr w:type="spellEnd"/>
      <w:r w:rsidRPr="00804A2C">
        <w:rPr>
          <w:rFonts w:cs="Times New Roman"/>
        </w:rPr>
        <w:t>, at p. 782.</w:t>
      </w:r>
    </w:p>
    <w:p w:rsidR="00BB1957" w:rsidRPr="00804A2C" w:rsidRDefault="00BB1957" w:rsidP="00BB1957">
      <w:pPr>
        <w:pStyle w:val="ParaNoNdepar-AltN"/>
        <w:rPr>
          <w:rFonts w:cs="Times New Roman"/>
        </w:rPr>
      </w:pPr>
      <w:r w:rsidRPr="00804A2C">
        <w:rPr>
          <w:rFonts w:cs="Times New Roman"/>
        </w:rPr>
        <w:t>Critics find the absence of a defence of truth of particular concern, given that seeking truth is one of the strongest justifications for freedom of expression. They argue that the right to speak the truth should not be lightly restricted, and that any restriction should be seen as a serious infringement.</w:t>
      </w:r>
    </w:p>
    <w:p w:rsidR="00BB1957" w:rsidRPr="00804A2C" w:rsidRDefault="00BB1957" w:rsidP="00BB1957">
      <w:pPr>
        <w:pStyle w:val="ParaNoNdepar-AltN"/>
        <w:rPr>
          <w:rFonts w:cs="Times New Roman"/>
        </w:rPr>
      </w:pPr>
      <w:r w:rsidRPr="00804A2C">
        <w:rPr>
          <w:rFonts w:cs="Times New Roman"/>
        </w:rPr>
        <w:t>I agree with the argument</w:t>
      </w:r>
      <w:r w:rsidRPr="00804A2C">
        <w:rPr>
          <w:rFonts w:cs="Times New Roman"/>
          <w:i/>
        </w:rPr>
        <w:t xml:space="preserve"> </w:t>
      </w:r>
      <w:r w:rsidRPr="00804A2C">
        <w:rPr>
          <w:rFonts w:cs="Times New Roman"/>
        </w:rPr>
        <w:t xml:space="preserve">that the quest for truth is an essential component of the “marketplace of ideas” which </w:t>
      </w:r>
      <w:proofErr w:type="gramStart"/>
      <w:r w:rsidRPr="00804A2C">
        <w:rPr>
          <w:rFonts w:cs="Times New Roman"/>
        </w:rPr>
        <w:t>is,</w:t>
      </w:r>
      <w:proofErr w:type="gramEnd"/>
      <w:r w:rsidRPr="00804A2C">
        <w:rPr>
          <w:rFonts w:cs="Times New Roman"/>
        </w:rPr>
        <w:t xml:space="preserve"> itself, central to a strong democracy.  The search for truth is also an important part of self-fulfillment.  However, I do not think it is inconsistent with these views to find that not all truthful statements must be free from restriction.  Truthful statements can be interlaced with harmful ones or otherwise presented in a manner that would meet the definition of hate speech.</w:t>
      </w:r>
    </w:p>
    <w:p w:rsidR="00BB1957" w:rsidRPr="00804A2C" w:rsidRDefault="00BB1957" w:rsidP="00BB1957">
      <w:pPr>
        <w:pStyle w:val="ParaNoNdepar-AltN"/>
        <w:rPr>
          <w:rFonts w:cs="Times New Roman"/>
        </w:rPr>
      </w:pPr>
      <w:r w:rsidRPr="00804A2C">
        <w:rPr>
          <w:rFonts w:cs="Times New Roman"/>
        </w:rPr>
        <w:t xml:space="preserve">As Dickson C.J. stated in </w:t>
      </w:r>
      <w:proofErr w:type="spellStart"/>
      <w:r w:rsidRPr="00804A2C">
        <w:rPr>
          <w:rFonts w:cs="Times New Roman"/>
          <w:i/>
        </w:rPr>
        <w:t>Keegstra</w:t>
      </w:r>
      <w:proofErr w:type="spellEnd"/>
      <w:r w:rsidRPr="00804A2C">
        <w:rPr>
          <w:rFonts w:cs="Times New Roman"/>
        </w:rPr>
        <w:t>, at p. 763, there is “very little chance that statements intended to promote hatred against an identifiable group are true, or that their vision of society will lead to a better world”.  To the extent that truthful statements are used in a manner or context that exposes a vulnerable group to hatred, their use risks the same potential harmful effects on the vulnerable groups that false statements can provoke.  The vulnerable group is no less worthy of protection because the publisher has succeeded in turning true statements into a hateful message.  In not providing for a defence of truth, the legislature has said that even truthful statements may be expressed in language or context that exposes a vulnerable group to hatred.</w:t>
      </w:r>
    </w:p>
    <w:p w:rsidR="00BB1957" w:rsidRPr="00804A2C" w:rsidRDefault="00BB1957" w:rsidP="00BB1957">
      <w:pPr>
        <w:pStyle w:val="ParaNoNdepar-AltN"/>
        <w:rPr>
          <w:rFonts w:cs="Times New Roman"/>
        </w:rPr>
      </w:pPr>
      <w:r w:rsidRPr="00804A2C">
        <w:rPr>
          <w:rFonts w:cs="Times New Roman"/>
        </w:rPr>
        <w:t>Some interveners argued that there should be a defence of sincerely held belief. In their view, speech that is made in good faith and on the basis of the speaker’s religious beliefs should be given greater protection, or constitute an absolute defence to any prohibition. These arguments anticipate the question still to be considered of whether an infringement of s. 2(</w:t>
      </w:r>
      <w:r w:rsidRPr="00804A2C">
        <w:rPr>
          <w:rFonts w:cs="Times New Roman"/>
          <w:i/>
        </w:rPr>
        <w:t>a</w:t>
      </w:r>
      <w:r w:rsidRPr="00804A2C">
        <w:rPr>
          <w:rFonts w:cs="Times New Roman"/>
        </w:rPr>
        <w:t>) of the</w:t>
      </w:r>
      <w:r w:rsidRPr="00804A2C">
        <w:rPr>
          <w:rFonts w:cs="Times New Roman"/>
          <w:i/>
        </w:rPr>
        <w:t xml:space="preserve"> Charter</w:t>
      </w:r>
      <w:r w:rsidRPr="00804A2C">
        <w:rPr>
          <w:rFonts w:cs="Times New Roman"/>
        </w:rPr>
        <w:t xml:space="preserve"> by s. 14(1</w:t>
      </w:r>
      <w:proofErr w:type="gramStart"/>
      <w:r w:rsidRPr="00804A2C">
        <w:rPr>
          <w:rFonts w:cs="Times New Roman"/>
        </w:rPr>
        <w:t>)(</w:t>
      </w:r>
      <w:proofErr w:type="gramEnd"/>
      <w:r w:rsidRPr="00030336">
        <w:rPr>
          <w:rFonts w:cs="Times New Roman"/>
        </w:rPr>
        <w:t>b</w:t>
      </w:r>
      <w:r w:rsidRPr="00804A2C">
        <w:rPr>
          <w:rFonts w:cs="Times New Roman"/>
        </w:rPr>
        <w:t>) would be justified under a s. 1 analysis.  It is sufficient here to say that if the sincerity of a religious belief would automatically preclude the finding of a contravention of s.</w:t>
      </w:r>
      <w:r>
        <w:rPr>
          <w:rFonts w:cs="Times New Roman"/>
        </w:rPr>
        <w:t> </w:t>
      </w:r>
      <w:r w:rsidRPr="00804A2C">
        <w:rPr>
          <w:rFonts w:cs="Times New Roman"/>
        </w:rPr>
        <w:t>14(1</w:t>
      </w:r>
      <w:proofErr w:type="gramStart"/>
      <w:r w:rsidRPr="00804A2C">
        <w:rPr>
          <w:rFonts w:cs="Times New Roman"/>
        </w:rPr>
        <w:t>)(</w:t>
      </w:r>
      <w:proofErr w:type="gramEnd"/>
      <w:r w:rsidRPr="00030336">
        <w:rPr>
          <w:rFonts w:cs="Times New Roman"/>
        </w:rPr>
        <w:t>b</w:t>
      </w:r>
      <w:r w:rsidRPr="00804A2C">
        <w:rPr>
          <w:rFonts w:cs="Times New Roman"/>
        </w:rPr>
        <w:t>), the s. 1 analysis would be derailed with no balancing of the competing rights.</w:t>
      </w:r>
    </w:p>
    <w:p w:rsidR="00BB1957" w:rsidRPr="00804A2C" w:rsidRDefault="00BB1957" w:rsidP="00BB1957">
      <w:pPr>
        <w:pStyle w:val="ParaNoNdepar-AltN"/>
        <w:rPr>
          <w:rFonts w:cs="Times New Roman"/>
        </w:rPr>
      </w:pPr>
      <w:r w:rsidRPr="00804A2C">
        <w:rPr>
          <w:rFonts w:cs="Times New Roman"/>
        </w:rPr>
        <w:t>Apart from that concern, the fact that a person circulates a hate publication in the furtherance of a sincere religious belief goes to the question of the subjective view of the publisher, which is irrelevant to the objective application of the definition of hatred. Allowing the dissemination of hate speech to be excused by a sincerely held belief would, in effect, provide an absolute defence and would gut the prohibition of effectiveness.</w:t>
      </w:r>
    </w:p>
    <w:p w:rsidR="00BB1957" w:rsidRPr="00804A2C" w:rsidRDefault="00BB1957" w:rsidP="00BB1957">
      <w:pPr>
        <w:pStyle w:val="ParaNoNdepar-AltN"/>
        <w:rPr>
          <w:rFonts w:eastAsia="Times New Roman" w:cs="Times New Roman"/>
        </w:rPr>
      </w:pPr>
      <w:r w:rsidRPr="00804A2C">
        <w:rPr>
          <w:rFonts w:cs="Times New Roman"/>
        </w:rPr>
        <w:t xml:space="preserve">Mr. </w:t>
      </w:r>
      <w:proofErr w:type="spellStart"/>
      <w:r w:rsidRPr="00804A2C">
        <w:rPr>
          <w:rFonts w:cs="Times New Roman"/>
        </w:rPr>
        <w:t>Whatcott</w:t>
      </w:r>
      <w:proofErr w:type="spellEnd"/>
      <w:r w:rsidRPr="00804A2C">
        <w:rPr>
          <w:rFonts w:cs="Times New Roman"/>
        </w:rPr>
        <w:t xml:space="preserve"> makes the argument </w:t>
      </w:r>
      <w:proofErr w:type="gramStart"/>
      <w:r w:rsidRPr="00804A2C">
        <w:rPr>
          <w:rFonts w:cs="Times New Roman"/>
        </w:rPr>
        <w:t>that</w:t>
      </w:r>
      <w:proofErr w:type="gramEnd"/>
      <w:r w:rsidRPr="00804A2C">
        <w:rPr>
          <w:rFonts w:cs="Times New Roman"/>
        </w:rPr>
        <w:t xml:space="preserve"> human rights commissions should not over-analyze speech to the point “where less sophisticated citizens are unable to participate in debates about morality and public education without fear of prosecution”</w:t>
      </w:r>
      <w:r w:rsidR="00030336">
        <w:rPr>
          <w:rFonts w:cs="Times New Roman"/>
        </w:rPr>
        <w:t>: R.F.</w:t>
      </w:r>
      <w:r w:rsidRPr="00804A2C">
        <w:rPr>
          <w:rFonts w:cs="Times New Roman"/>
        </w:rPr>
        <w:t xml:space="preserve">, at </w:t>
      </w:r>
      <w:proofErr w:type="spellStart"/>
      <w:r w:rsidRPr="00804A2C">
        <w:rPr>
          <w:rFonts w:cs="Times New Roman"/>
        </w:rPr>
        <w:t>para</w:t>
      </w:r>
      <w:proofErr w:type="spellEnd"/>
      <w:r w:rsidRPr="00804A2C">
        <w:rPr>
          <w:rFonts w:cs="Times New Roman"/>
        </w:rPr>
        <w:t>. 57. He submits that freedom of expression “does not restrict public debate to articulate elites” (</w:t>
      </w:r>
      <w:proofErr w:type="spellStart"/>
      <w:r w:rsidRPr="00804A2C">
        <w:rPr>
          <w:rFonts w:cs="Times New Roman"/>
        </w:rPr>
        <w:t>para</w:t>
      </w:r>
      <w:proofErr w:type="spellEnd"/>
      <w:r w:rsidRPr="00804A2C">
        <w:rPr>
          <w:rFonts w:cs="Times New Roman"/>
        </w:rPr>
        <w:t>. 58). With respect, the definition does not require that the expression be scholarly, rational, objective or inoffensive. The definition of “hatred” does not differentiate between the literate and illiterate, eloquent or inarticulate.  Whether or not a publisher of hateful expression is sincere in his or her beliefs, or lacks the sophistication to realize that prohibitions such as s.</w:t>
      </w:r>
      <w:r>
        <w:rPr>
          <w:rFonts w:cs="Times New Roman"/>
        </w:rPr>
        <w:t> </w:t>
      </w:r>
      <w:r w:rsidRPr="00804A2C">
        <w:rPr>
          <w:rFonts w:cs="Times New Roman"/>
        </w:rPr>
        <w:t>14(1</w:t>
      </w:r>
      <w:proofErr w:type="gramStart"/>
      <w:r w:rsidRPr="00804A2C">
        <w:rPr>
          <w:rFonts w:cs="Times New Roman"/>
        </w:rPr>
        <w:t>)(</w:t>
      </w:r>
      <w:proofErr w:type="gramEnd"/>
      <w:r w:rsidRPr="00030336">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exist, the aim of the prohibition remains the protection of vulnerable groups.  Where, objectively, the definition of hatred is met, s. 14(1</w:t>
      </w:r>
      <w:proofErr w:type="gramStart"/>
      <w:r w:rsidRPr="00804A2C">
        <w:rPr>
          <w:rFonts w:cs="Times New Roman"/>
        </w:rPr>
        <w:t>)(</w:t>
      </w:r>
      <w:proofErr w:type="gramEnd"/>
      <w:r w:rsidRPr="008B20E1">
        <w:rPr>
          <w:rFonts w:cs="Times New Roman"/>
        </w:rPr>
        <w:t>b</w:t>
      </w:r>
      <w:r w:rsidRPr="00804A2C">
        <w:rPr>
          <w:rFonts w:cs="Times New Roman"/>
        </w:rPr>
        <w:t>) is engaged.</w:t>
      </w:r>
      <w:r w:rsidRPr="00804A2C">
        <w:rPr>
          <w:rFonts w:eastAsia="Times New Roman" w:cs="Times New Roman"/>
          <w:spacing w:val="-3"/>
        </w:rPr>
        <w:t> However, with mediation available, it should be possible for inadvertent violations to be rectified so that publications that do not include hate speech can continue.</w:t>
      </w:r>
    </w:p>
    <w:p w:rsidR="00BB1957" w:rsidRPr="00804A2C" w:rsidRDefault="00BB1957" w:rsidP="00030336">
      <w:pPr>
        <w:pStyle w:val="TitleTitre-AltT"/>
        <w:tabs>
          <w:tab w:val="clear" w:pos="360"/>
          <w:tab w:val="left" w:pos="1170"/>
        </w:tabs>
        <w:ind w:left="1800" w:hanging="1800"/>
        <w:rPr>
          <w:rFonts w:cs="Times New Roman"/>
        </w:rPr>
      </w:pPr>
      <w:bookmarkStart w:id="319" w:name="_Toc341432526"/>
      <w:r w:rsidRPr="00804A2C">
        <w:rPr>
          <w:rFonts w:cs="Times New Roman"/>
          <w:i/>
        </w:rPr>
        <w:tab/>
      </w:r>
      <w:bookmarkStart w:id="320" w:name="_Toc341687006"/>
      <w:bookmarkStart w:id="321" w:name="_Toc346006829"/>
      <w:bookmarkStart w:id="322" w:name="_Toc349051289"/>
      <w:bookmarkStart w:id="323" w:name="_Toc349051367"/>
      <w:bookmarkStart w:id="324" w:name="_Toc349306922"/>
      <w:bookmarkStart w:id="325" w:name="_Toc349638238"/>
      <w:bookmarkStart w:id="326" w:name="_Toc408212157"/>
      <w:proofErr w:type="gramStart"/>
      <w:r w:rsidRPr="00804A2C">
        <w:rPr>
          <w:rFonts w:cs="Times New Roman"/>
        </w:rPr>
        <w:t>(iv)</w:t>
      </w:r>
      <w:r w:rsidRPr="00804A2C">
        <w:rPr>
          <w:rFonts w:cs="Times New Roman"/>
          <w:i/>
        </w:rPr>
        <w:tab/>
      </w:r>
      <w:r w:rsidRPr="00804A2C">
        <w:rPr>
          <w:rFonts w:cs="Times New Roman"/>
          <w:u w:val="single"/>
        </w:rPr>
        <w:t>Conclusion</w:t>
      </w:r>
      <w:proofErr w:type="gramEnd"/>
      <w:r w:rsidRPr="00804A2C">
        <w:rPr>
          <w:rFonts w:cs="Times New Roman"/>
          <w:u w:val="single"/>
        </w:rPr>
        <w:t xml:space="preserve"> on Minimal Impairment</w:t>
      </w:r>
      <w:bookmarkEnd w:id="319"/>
      <w:bookmarkEnd w:id="320"/>
      <w:bookmarkEnd w:id="321"/>
      <w:bookmarkEnd w:id="322"/>
      <w:bookmarkEnd w:id="323"/>
      <w:bookmarkEnd w:id="324"/>
      <w:bookmarkEnd w:id="325"/>
      <w:bookmarkEnd w:id="326"/>
    </w:p>
    <w:p w:rsidR="00BB1957" w:rsidRPr="00804A2C" w:rsidRDefault="00BB1957" w:rsidP="00BB1957">
      <w:pPr>
        <w:pStyle w:val="ParaNoNdepar-AltN"/>
        <w:rPr>
          <w:rFonts w:cs="Times New Roman"/>
        </w:rPr>
      </w:pPr>
      <w:r w:rsidRPr="00804A2C">
        <w:rPr>
          <w:rFonts w:cs="Times New Roman"/>
        </w:rPr>
        <w:t xml:space="preserve">The prohibition against hate speech involves balancing between freedom of expression and equality rights.  People are free to debate or speak out against the rights or characteristics of vulnerable groups, but not in a manner which is objectively seen to expose them to hatred and its harmful effects.  The only expression that should be suppressed by the prohibition is that which Dickson C.J. recognized in </w:t>
      </w:r>
      <w:proofErr w:type="spellStart"/>
      <w:r w:rsidRPr="00804A2C">
        <w:rPr>
          <w:rFonts w:cs="Times New Roman"/>
          <w:i/>
        </w:rPr>
        <w:t>Keegstra</w:t>
      </w:r>
      <w:proofErr w:type="spellEnd"/>
      <w:r w:rsidRPr="00804A2C">
        <w:rPr>
          <w:rFonts w:cs="Times New Roman"/>
        </w:rPr>
        <w:t xml:space="preserve"> as straying “some distance from the spirit of s. 2(</w:t>
      </w:r>
      <w:r w:rsidRPr="00804A2C">
        <w:rPr>
          <w:rFonts w:cs="Times New Roman"/>
          <w:i/>
        </w:rPr>
        <w:t>b</w:t>
      </w:r>
      <w:r w:rsidRPr="00804A2C">
        <w:rPr>
          <w:rFonts w:cs="Times New Roman"/>
        </w:rPr>
        <w:t xml:space="preserve">) [of the </w:t>
      </w:r>
      <w:r w:rsidRPr="00804A2C">
        <w:rPr>
          <w:rFonts w:cs="Times New Roman"/>
          <w:i/>
        </w:rPr>
        <w:t>Charter</w:t>
      </w:r>
      <w:r w:rsidRPr="00804A2C">
        <w:rPr>
          <w:rFonts w:cs="Times New Roman"/>
        </w:rPr>
        <w:t>]” (p. 766).</w:t>
      </w:r>
    </w:p>
    <w:p w:rsidR="00BB1957" w:rsidRPr="00804A2C" w:rsidRDefault="00BB1957" w:rsidP="00BB1957">
      <w:pPr>
        <w:pStyle w:val="ParaNoNdepar-AltN"/>
        <w:rPr>
          <w:rFonts w:cs="Times New Roman"/>
        </w:rPr>
      </w:pPr>
      <w:r w:rsidRPr="00804A2C">
        <w:rPr>
          <w:rFonts w:cs="Times New Roman"/>
        </w:rPr>
        <w:t>In my view, s. 14(1</w:t>
      </w:r>
      <w:proofErr w:type="gramStart"/>
      <w:r w:rsidRPr="00804A2C">
        <w:rPr>
          <w:rFonts w:cs="Times New Roman"/>
        </w:rPr>
        <w:t>)(</w:t>
      </w:r>
      <w:proofErr w:type="gramEnd"/>
      <w:r w:rsidRPr="00030336">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meets the minimal impairment requirement. The prohibition, interpreted and applied in the manner set out in these reasons, is one of the reasonable alternatives that could have been selected by the legislature.  It </w:t>
      </w:r>
      <w:r w:rsidRPr="00804A2C">
        <w:rPr>
          <w:rFonts w:eastAsia="Times New Roman" w:cs="Times New Roman"/>
        </w:rPr>
        <w:t xml:space="preserve">impairs freedom of expression “no more than </w:t>
      </w:r>
      <w:r w:rsidRPr="00804A2C">
        <w:rPr>
          <w:rFonts w:eastAsia="Times New Roman" w:cs="Times New Roman"/>
          <w:u w:val="single"/>
        </w:rPr>
        <w:t>reasonably</w:t>
      </w:r>
      <w:r w:rsidRPr="00804A2C">
        <w:rPr>
          <w:rFonts w:eastAsia="Times New Roman" w:cs="Times New Roman"/>
        </w:rPr>
        <w:t xml:space="preserve"> necessary, having regard to the practical difficulties and conflicting tensions that must be taken into account”</w:t>
      </w:r>
      <w:r w:rsidR="00030336">
        <w:rPr>
          <w:rFonts w:eastAsia="Times New Roman" w:cs="Times New Roman"/>
        </w:rPr>
        <w:t>:</w:t>
      </w:r>
      <w:r w:rsidRPr="00804A2C">
        <w:rPr>
          <w:rFonts w:eastAsia="Times New Roman" w:cs="Times New Roman"/>
        </w:rPr>
        <w:t xml:space="preserve"> </w:t>
      </w:r>
      <w:r w:rsidRPr="00804A2C">
        <w:rPr>
          <w:rFonts w:eastAsia="Times New Roman" w:cs="Times New Roman"/>
          <w:i/>
        </w:rPr>
        <w:t>Sharpe</w:t>
      </w:r>
      <w:r w:rsidRPr="00804A2C">
        <w:rPr>
          <w:rFonts w:eastAsia="Times New Roman" w:cs="Times New Roman"/>
        </w:rPr>
        <w:t xml:space="preserve">, at </w:t>
      </w:r>
      <w:proofErr w:type="spellStart"/>
      <w:r w:rsidRPr="00804A2C">
        <w:rPr>
          <w:rFonts w:eastAsia="Times New Roman" w:cs="Times New Roman"/>
        </w:rPr>
        <w:t>para</w:t>
      </w:r>
      <w:proofErr w:type="spellEnd"/>
      <w:r w:rsidRPr="00804A2C">
        <w:rPr>
          <w:rFonts w:eastAsia="Times New Roman" w:cs="Times New Roman"/>
        </w:rPr>
        <w:t xml:space="preserve">. 96, </w:t>
      </w:r>
      <w:r w:rsidRPr="00804A2C">
        <w:rPr>
          <w:rFonts w:eastAsia="Times New Roman" w:cs="Times New Roman"/>
          <w:i/>
        </w:rPr>
        <w:t>per</w:t>
      </w:r>
      <w:r w:rsidRPr="00804A2C">
        <w:rPr>
          <w:rFonts w:eastAsia="Times New Roman" w:cs="Times New Roman"/>
        </w:rPr>
        <w:t xml:space="preserve"> McLachlin C.J. (emphasis in original).</w:t>
      </w:r>
    </w:p>
    <w:p w:rsidR="00BB1957" w:rsidRDefault="00BB1957" w:rsidP="00BB1957">
      <w:pPr>
        <w:pStyle w:val="TitleTitre-AltT"/>
        <w:tabs>
          <w:tab w:val="clear" w:pos="360"/>
          <w:tab w:val="left" w:pos="1710"/>
        </w:tabs>
        <w:ind w:left="1710" w:hanging="540"/>
        <w:rPr>
          <w:rFonts w:cs="Times New Roman"/>
          <w:i/>
        </w:rPr>
      </w:pPr>
      <w:bookmarkStart w:id="327" w:name="_Toc341432527"/>
      <w:bookmarkStart w:id="328" w:name="_Toc341687007"/>
      <w:bookmarkStart w:id="329" w:name="_Toc346006830"/>
      <w:bookmarkStart w:id="330" w:name="_Toc349051290"/>
      <w:bookmarkStart w:id="331" w:name="_Toc349051368"/>
      <w:bookmarkStart w:id="332" w:name="_Toc349306923"/>
      <w:bookmarkStart w:id="333" w:name="_Toc349638239"/>
      <w:bookmarkStart w:id="334" w:name="_Toc408212158"/>
      <w:r w:rsidRPr="00804A2C">
        <w:rPr>
          <w:rFonts w:cs="Times New Roman"/>
        </w:rPr>
        <w:t>(c)</w:t>
      </w:r>
      <w:r w:rsidRPr="00804A2C">
        <w:rPr>
          <w:rFonts w:cs="Times New Roman"/>
        </w:rPr>
        <w:tab/>
      </w:r>
      <w:r w:rsidRPr="00804A2C">
        <w:rPr>
          <w:rFonts w:cs="Times New Roman"/>
          <w:i/>
        </w:rPr>
        <w:t>Whether the Benefits Outweigh the Deleterious Effects</w:t>
      </w:r>
      <w:bookmarkEnd w:id="327"/>
      <w:bookmarkEnd w:id="328"/>
      <w:bookmarkEnd w:id="329"/>
      <w:bookmarkEnd w:id="330"/>
      <w:bookmarkEnd w:id="331"/>
      <w:bookmarkEnd w:id="332"/>
      <w:bookmarkEnd w:id="333"/>
      <w:bookmarkEnd w:id="334"/>
    </w:p>
    <w:p w:rsidR="00BB1957" w:rsidRPr="00804A2C" w:rsidRDefault="00BB1957" w:rsidP="00BB1957">
      <w:pPr>
        <w:pStyle w:val="ParaNoNdepar-AltN"/>
        <w:rPr>
          <w:rFonts w:cs="Times New Roman"/>
        </w:rPr>
      </w:pPr>
      <w:r w:rsidRPr="00804A2C">
        <w:rPr>
          <w:rFonts w:cs="Times New Roman"/>
        </w:rPr>
        <w:t>The final branch of the proportionality test requires an assessment of whether the importance of the legislative objective of s. 14(1</w:t>
      </w:r>
      <w:proofErr w:type="gramStart"/>
      <w:r w:rsidRPr="00804A2C">
        <w:rPr>
          <w:rFonts w:cs="Times New Roman"/>
        </w:rPr>
        <w:t>)(</w:t>
      </w:r>
      <w:proofErr w:type="gramEnd"/>
      <w:r w:rsidRPr="00030336">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outweighs the deleterious effects of the provision in limiting freedom of expression.  If the deleterious effects of the restriction outweigh the benefits to be derived from the </w:t>
      </w:r>
      <w:proofErr w:type="gramStart"/>
      <w:r w:rsidRPr="00804A2C">
        <w:rPr>
          <w:rFonts w:cs="Times New Roman"/>
        </w:rPr>
        <w:t>provision, that</w:t>
      </w:r>
      <w:proofErr w:type="gramEnd"/>
      <w:r w:rsidRPr="00804A2C">
        <w:rPr>
          <w:rFonts w:cs="Times New Roman"/>
        </w:rPr>
        <w:t xml:space="preserve"> part of the proportiona</w:t>
      </w:r>
      <w:r w:rsidRPr="00804A2C">
        <w:rPr>
          <w:rFonts w:eastAsia="Times New Roman" w:cs="Times New Roman"/>
          <w:spacing w:val="-3"/>
        </w:rPr>
        <w:t>l</w:t>
      </w:r>
      <w:r w:rsidRPr="00804A2C">
        <w:rPr>
          <w:rFonts w:eastAsia="Times New Roman" w:cs="Times New Roman"/>
        </w:rPr>
        <w:t>i</w:t>
      </w:r>
      <w:r w:rsidRPr="00804A2C">
        <w:rPr>
          <w:rFonts w:cs="Times New Roman"/>
        </w:rPr>
        <w:t>ty test is not met.</w:t>
      </w:r>
    </w:p>
    <w:p w:rsidR="00BB1957" w:rsidRPr="00804A2C" w:rsidRDefault="00BB1957" w:rsidP="00BB1957">
      <w:pPr>
        <w:pStyle w:val="ParaNoNdepar-AltN"/>
        <w:rPr>
          <w:rFonts w:cs="Times New Roman"/>
        </w:rPr>
      </w:pPr>
      <w:r w:rsidRPr="00804A2C">
        <w:rPr>
          <w:rFonts w:cs="Times New Roman"/>
        </w:rPr>
        <w:t>As is apparent from the above analysis, in my opinion, the benefits of the suppression of hate speech and its harmful effects outweigh the detrimental effect of restricting expression which, by its nature, does little to promote the values underlying freedom of expression.  Section 14(1</w:t>
      </w:r>
      <w:proofErr w:type="gramStart"/>
      <w:r w:rsidRPr="00804A2C">
        <w:rPr>
          <w:rFonts w:cs="Times New Roman"/>
        </w:rPr>
        <w:t>)(</w:t>
      </w:r>
      <w:proofErr w:type="gramEnd"/>
      <w:r w:rsidRPr="00030336">
        <w:rPr>
          <w:rFonts w:cs="Times New Roman"/>
        </w:rPr>
        <w:t>b</w:t>
      </w:r>
      <w:r w:rsidRPr="00804A2C">
        <w:rPr>
          <w:rFonts w:cs="Times New Roman"/>
        </w:rPr>
        <w:t xml:space="preserve">) of the </w:t>
      </w:r>
      <w:r w:rsidRPr="00804A2C">
        <w:rPr>
          <w:rFonts w:cs="Times New Roman"/>
          <w:i/>
        </w:rPr>
        <w:t xml:space="preserve">Code </w:t>
      </w:r>
      <w:r w:rsidRPr="00804A2C">
        <w:rPr>
          <w:rFonts w:cs="Times New Roman"/>
        </w:rPr>
        <w:t xml:space="preserve">represents a choice by the legislature to discourage hate speech and its harmful effects on both the vulnerable group and on society as a whole, in a manner that is conciliatory and remedial.  In cases such as the present, the process under the legislation can provide guidance to individuals like Mr. </w:t>
      </w:r>
      <w:proofErr w:type="spellStart"/>
      <w:r w:rsidRPr="00804A2C">
        <w:rPr>
          <w:rFonts w:cs="Times New Roman"/>
        </w:rPr>
        <w:t>Whatcott</w:t>
      </w:r>
      <w:proofErr w:type="spellEnd"/>
      <w:r w:rsidRPr="00804A2C">
        <w:rPr>
          <w:rFonts w:cs="Times New Roman"/>
        </w:rPr>
        <w:t>, so that they can continue expressing their views in a way that avoids falling within the narrow scope of expression captured by the statutory prohibition.  The protection of vulnerable groups from the harmful effects emanating from hate speech is of such importance as to justify the minimal infringement of expression that results from the restriction of materials of this kind.</w:t>
      </w:r>
    </w:p>
    <w:p w:rsidR="00BB1957" w:rsidRPr="00804A2C" w:rsidRDefault="00BB1957" w:rsidP="00BB1957">
      <w:pPr>
        <w:pStyle w:val="ParaNoNdepar-AltN"/>
        <w:rPr>
          <w:rFonts w:cs="Times New Roman"/>
        </w:rPr>
      </w:pPr>
      <w:r w:rsidRPr="00804A2C">
        <w:rPr>
          <w:rFonts w:cs="Times New Roman"/>
        </w:rPr>
        <w:t xml:space="preserve">It was argued before this Court that the imposition of fines or the requirement to pay compensation to the victims of hate speech has a detrimental, chilling effect on expression that outweighs the benefits of reducing “potential harm”.  As in tort law, an award of damages made pursuant to the </w:t>
      </w:r>
      <w:r w:rsidRPr="00804A2C">
        <w:rPr>
          <w:rFonts w:cs="Times New Roman"/>
          <w:i/>
        </w:rPr>
        <w:t>Code</w:t>
      </w:r>
      <w:r w:rsidRPr="00804A2C">
        <w:rPr>
          <w:rFonts w:cs="Times New Roman"/>
        </w:rPr>
        <w:t xml:space="preserve"> is characterized as compensatory, not punitive, and is directed at compensating the victim.  However, the circumstances in which a compensation award will be merited should be rare and will often involve repeat litigants who refuse to participate in a conciliatory approach.  </w:t>
      </w:r>
    </w:p>
    <w:p w:rsidR="00BB1957" w:rsidRPr="00804A2C" w:rsidRDefault="00BB1957" w:rsidP="00BB1957">
      <w:pPr>
        <w:pStyle w:val="ParaNoNdepar-AltN"/>
        <w:rPr>
          <w:rFonts w:cs="Times New Roman"/>
        </w:rPr>
      </w:pPr>
      <w:r w:rsidRPr="00804A2C">
        <w:rPr>
          <w:rFonts w:cs="Times New Roman"/>
        </w:rPr>
        <w:t xml:space="preserve">The Attorney General for Saskatchewan pointed out amendments that were made to the </w:t>
      </w:r>
      <w:r w:rsidRPr="00804A2C">
        <w:rPr>
          <w:rFonts w:cs="Times New Roman"/>
          <w:i/>
        </w:rPr>
        <w:t>Code</w:t>
      </w:r>
      <w:r w:rsidRPr="00804A2C">
        <w:rPr>
          <w:rFonts w:cs="Times New Roman"/>
        </w:rPr>
        <w:t xml:space="preserve"> in 2000 (S.S. 2000, c. 26) to strengthen its civil nature. Those amendments eliminated any possibility for imprisonment for a breach of the </w:t>
      </w:r>
      <w:r w:rsidRPr="00804A2C">
        <w:rPr>
          <w:rFonts w:cs="Times New Roman"/>
          <w:i/>
        </w:rPr>
        <w:t>Code</w:t>
      </w:r>
      <w:r w:rsidRPr="00804A2C">
        <w:rPr>
          <w:rFonts w:cs="Times New Roman"/>
        </w:rPr>
        <w:t xml:space="preserve">, strengthened the mediation and settlement aspects of the </w:t>
      </w:r>
      <w:r w:rsidRPr="00804A2C">
        <w:rPr>
          <w:rFonts w:cs="Times New Roman"/>
          <w:i/>
        </w:rPr>
        <w:t>Code</w:t>
      </w:r>
      <w:r w:rsidRPr="00804A2C">
        <w:rPr>
          <w:rFonts w:cs="Times New Roman"/>
        </w:rPr>
        <w:t xml:space="preserve"> and gave the Chief Commissioner the duty to screen cases before they proceed. Contravening a substantive provision of the </w:t>
      </w:r>
      <w:r w:rsidRPr="00804A2C">
        <w:rPr>
          <w:rFonts w:cs="Times New Roman"/>
          <w:i/>
        </w:rPr>
        <w:t>Code</w:t>
      </w:r>
      <w:r w:rsidRPr="00804A2C">
        <w:rPr>
          <w:rFonts w:cs="Times New Roman"/>
        </w:rPr>
        <w:t xml:space="preserve"> is no longer an offence, and will not result in the imposition of any fines, unless imposed for contempt of an order. Amendments brought since the tribunal hearing in this case (S.S. 2011, c. 17) again strengthen the mediation option and screening of cases, and provide that new complaints will be heard by the Court of Queen’s Bench, rather than the Tribunal. These amendments render unpersuasive the argument that paying fines and compensation are an effect that outweighs the benefits of s. 14(1</w:t>
      </w:r>
      <w:proofErr w:type="gramStart"/>
      <w:r w:rsidRPr="00804A2C">
        <w:rPr>
          <w:rFonts w:cs="Times New Roman"/>
        </w:rPr>
        <w:t>)(</w:t>
      </w:r>
      <w:proofErr w:type="gramEnd"/>
      <w:r w:rsidRPr="00030336">
        <w:rPr>
          <w:rFonts w:cs="Times New Roman"/>
        </w:rPr>
        <w:t>b</w:t>
      </w:r>
      <w:r w:rsidRPr="00804A2C">
        <w:rPr>
          <w:rFonts w:cs="Times New Roman"/>
        </w:rPr>
        <w:t>).</w:t>
      </w:r>
    </w:p>
    <w:p w:rsidR="00BB1957" w:rsidRPr="00804A2C" w:rsidRDefault="00BB1957" w:rsidP="00030336">
      <w:pPr>
        <w:pStyle w:val="TitleTitre-AltT"/>
        <w:tabs>
          <w:tab w:val="clear" w:pos="360"/>
          <w:tab w:val="left" w:pos="1170"/>
        </w:tabs>
        <w:ind w:left="1800" w:hanging="1800"/>
        <w:rPr>
          <w:rFonts w:cs="Times New Roman"/>
        </w:rPr>
      </w:pPr>
      <w:bookmarkStart w:id="335" w:name="_Toc341432528"/>
      <w:bookmarkStart w:id="336" w:name="_Toc341687008"/>
      <w:bookmarkStart w:id="337" w:name="_Toc346006831"/>
      <w:bookmarkStart w:id="338" w:name="_Toc349051291"/>
      <w:bookmarkStart w:id="339" w:name="_Toc349051369"/>
      <w:r w:rsidRPr="00804A2C">
        <w:rPr>
          <w:rFonts w:cs="Times New Roman"/>
        </w:rPr>
        <w:tab/>
      </w:r>
      <w:bookmarkStart w:id="340" w:name="_Toc349306924"/>
      <w:bookmarkStart w:id="341" w:name="_Toc349638240"/>
      <w:bookmarkStart w:id="342" w:name="_Toc408212159"/>
      <w:r w:rsidRPr="00804A2C">
        <w:rPr>
          <w:rFonts w:cs="Times New Roman"/>
        </w:rPr>
        <w:t>(d)</w:t>
      </w:r>
      <w:r w:rsidRPr="00804A2C">
        <w:rPr>
          <w:rFonts w:cs="Times New Roman"/>
        </w:rPr>
        <w:tab/>
      </w:r>
      <w:r w:rsidRPr="00804A2C">
        <w:rPr>
          <w:rFonts w:cs="Times New Roman"/>
          <w:i/>
        </w:rPr>
        <w:t>Conclusion on Section 1 Analysis</w:t>
      </w:r>
      <w:bookmarkEnd w:id="335"/>
      <w:bookmarkEnd w:id="336"/>
      <w:bookmarkEnd w:id="337"/>
      <w:bookmarkEnd w:id="338"/>
      <w:bookmarkEnd w:id="339"/>
      <w:bookmarkEnd w:id="340"/>
      <w:bookmarkEnd w:id="341"/>
      <w:bookmarkEnd w:id="342"/>
    </w:p>
    <w:p w:rsidR="00BB1957" w:rsidRPr="00804A2C" w:rsidRDefault="00BB1957" w:rsidP="00BB1957">
      <w:pPr>
        <w:pStyle w:val="ParaNoNdepar-AltN"/>
        <w:rPr>
          <w:rFonts w:cs="Times New Roman"/>
        </w:rPr>
      </w:pPr>
      <w:r w:rsidRPr="00804A2C">
        <w:rPr>
          <w:rFonts w:cs="Times New Roman"/>
        </w:rPr>
        <w:t>The limitation imposed on freedom of expression by the prohibition in s.</w:t>
      </w:r>
      <w:r>
        <w:rPr>
          <w:rFonts w:cs="Times New Roman"/>
        </w:rPr>
        <w:t> </w:t>
      </w:r>
      <w:r w:rsidRPr="00804A2C">
        <w:rPr>
          <w:rFonts w:cs="Times New Roman"/>
        </w:rPr>
        <w:t>14(1)(</w:t>
      </w:r>
      <w:r w:rsidRPr="00030336">
        <w:rPr>
          <w:rFonts w:cs="Times New Roman"/>
        </w:rPr>
        <w:t>b</w:t>
      </w:r>
      <w:r w:rsidRPr="00804A2C">
        <w:rPr>
          <w:rFonts w:cs="Times New Roman"/>
        </w:rPr>
        <w:t xml:space="preserve">) of the </w:t>
      </w:r>
      <w:r w:rsidRPr="00804A2C">
        <w:rPr>
          <w:rFonts w:cs="Times New Roman"/>
          <w:i/>
        </w:rPr>
        <w:t>Code</w:t>
      </w:r>
      <w:r w:rsidRPr="00804A2C">
        <w:rPr>
          <w:rFonts w:cs="Times New Roman"/>
        </w:rPr>
        <w:t>, when properly defined and understood, is demonstrably justified in a free and democratic society.</w:t>
      </w:r>
    </w:p>
    <w:p w:rsidR="00BB1957" w:rsidRPr="00804A2C" w:rsidRDefault="00BB1957" w:rsidP="00E70C46">
      <w:pPr>
        <w:pStyle w:val="TitleTitre-AltT"/>
        <w:tabs>
          <w:tab w:val="clear" w:pos="360"/>
          <w:tab w:val="left" w:pos="540"/>
          <w:tab w:val="left" w:pos="990"/>
        </w:tabs>
        <w:ind w:left="1440" w:hanging="1440"/>
        <w:rPr>
          <w:rFonts w:cs="Times New Roman"/>
        </w:rPr>
      </w:pPr>
      <w:bookmarkStart w:id="343" w:name="_Toc341432529"/>
      <w:bookmarkStart w:id="344" w:name="_Toc341687009"/>
      <w:bookmarkStart w:id="345" w:name="_Toc346006832"/>
      <w:bookmarkStart w:id="346" w:name="_Toc349051292"/>
      <w:bookmarkStart w:id="347" w:name="_Toc349051370"/>
      <w:bookmarkStart w:id="348" w:name="_Toc349306925"/>
      <w:bookmarkStart w:id="349" w:name="_Toc349638241"/>
      <w:bookmarkStart w:id="350" w:name="_Toc408212160"/>
      <w:r w:rsidRPr="00804A2C">
        <w:rPr>
          <w:rFonts w:cs="Times New Roman"/>
        </w:rPr>
        <w:t>C.</w:t>
      </w:r>
      <w:r w:rsidRPr="00804A2C">
        <w:rPr>
          <w:rFonts w:cs="Times New Roman"/>
        </w:rPr>
        <w:tab/>
      </w:r>
      <w:r w:rsidRPr="00804A2C">
        <w:rPr>
          <w:rFonts w:cs="Times New Roman"/>
          <w:i/>
        </w:rPr>
        <w:t>Section 2(a) of the Charter</w:t>
      </w:r>
      <w:bookmarkEnd w:id="343"/>
      <w:bookmarkEnd w:id="344"/>
      <w:bookmarkEnd w:id="345"/>
      <w:bookmarkEnd w:id="346"/>
      <w:bookmarkEnd w:id="347"/>
      <w:bookmarkEnd w:id="348"/>
      <w:bookmarkEnd w:id="349"/>
      <w:bookmarkEnd w:id="350"/>
    </w:p>
    <w:p w:rsidR="00BB1957" w:rsidRPr="00804A2C" w:rsidRDefault="00BB1957" w:rsidP="00BB1957">
      <w:pPr>
        <w:pStyle w:val="ParaNoNdepar-AltN"/>
        <w:rPr>
          <w:rFonts w:cs="Times New Roman"/>
        </w:rPr>
      </w:pPr>
      <w:r w:rsidRPr="00804A2C">
        <w:rPr>
          <w:rFonts w:cs="Times New Roman"/>
        </w:rPr>
        <w:t>I now turn to a consideration of whether s. 14(1</w:t>
      </w:r>
      <w:proofErr w:type="gramStart"/>
      <w:r w:rsidRPr="00804A2C">
        <w:rPr>
          <w:rFonts w:cs="Times New Roman"/>
        </w:rPr>
        <w:t>)(</w:t>
      </w:r>
      <w:proofErr w:type="gramEnd"/>
      <w:r w:rsidRPr="00030336">
        <w:rPr>
          <w:rFonts w:cs="Times New Roman"/>
        </w:rPr>
        <w:t>b</w:t>
      </w:r>
      <w:r w:rsidRPr="00804A2C">
        <w:rPr>
          <w:rFonts w:cs="Times New Roman"/>
        </w:rPr>
        <w:t xml:space="preserve">) infringes the </w:t>
      </w:r>
      <w:r w:rsidRPr="00804A2C">
        <w:rPr>
          <w:rFonts w:cs="Times New Roman"/>
          <w:i/>
        </w:rPr>
        <w:t>Charter</w:t>
      </w:r>
      <w:r w:rsidRPr="00804A2C">
        <w:rPr>
          <w:rFonts w:cs="Times New Roman"/>
        </w:rPr>
        <w:t xml:space="preserve"> guarantee of freedom of conscience and religion under s. 2(</w:t>
      </w:r>
      <w:r w:rsidRPr="00804A2C">
        <w:rPr>
          <w:rFonts w:cs="Times New Roman"/>
          <w:i/>
        </w:rPr>
        <w:t>a</w:t>
      </w:r>
      <w:r w:rsidRPr="00804A2C">
        <w:rPr>
          <w:rFonts w:cs="Times New Roman"/>
        </w:rPr>
        <w:t xml:space="preserve">). Mr. </w:t>
      </w:r>
      <w:proofErr w:type="spellStart"/>
      <w:r w:rsidRPr="00804A2C">
        <w:rPr>
          <w:rFonts w:cs="Times New Roman"/>
        </w:rPr>
        <w:t>Whatcott</w:t>
      </w:r>
      <w:proofErr w:type="spellEnd"/>
      <w:r w:rsidRPr="00804A2C">
        <w:rPr>
          <w:rFonts w:cs="Times New Roman"/>
        </w:rPr>
        <w:t xml:space="preserve"> argues that, to the extent that s. 14(1</w:t>
      </w:r>
      <w:proofErr w:type="gramStart"/>
      <w:r w:rsidRPr="00804A2C">
        <w:rPr>
          <w:rFonts w:cs="Times New Roman"/>
        </w:rPr>
        <w:t>)(</w:t>
      </w:r>
      <w:proofErr w:type="gramEnd"/>
      <w:r w:rsidRPr="00030336">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precludes criticism of same-sex conduct or activity, it infringes freedom of religion under s. 2(</w:t>
      </w:r>
      <w:r w:rsidRPr="00804A2C">
        <w:rPr>
          <w:rFonts w:cs="Times New Roman"/>
          <w:i/>
        </w:rPr>
        <w:t>a</w:t>
      </w:r>
      <w:r w:rsidRPr="00804A2C">
        <w:rPr>
          <w:rFonts w:cs="Times New Roman"/>
        </w:rPr>
        <w:t>). He submits that sexual conduct has long been a topic of religious discussion and debate, and that “[o]</w:t>
      </w:r>
      <w:proofErr w:type="spellStart"/>
      <w:r w:rsidRPr="00804A2C">
        <w:rPr>
          <w:rFonts w:cs="Times New Roman"/>
        </w:rPr>
        <w:t>bjection</w:t>
      </w:r>
      <w:proofErr w:type="spellEnd"/>
      <w:r w:rsidRPr="00804A2C">
        <w:rPr>
          <w:rFonts w:cs="Times New Roman"/>
        </w:rPr>
        <w:t xml:space="preserve"> to same-sex sexual activity is common among religious people. They object because they believe this conduct is harmful; and many religious people also believe that they are obligated to do </w:t>
      </w:r>
      <w:proofErr w:type="gramStart"/>
      <w:r w:rsidRPr="00804A2C">
        <w:rPr>
          <w:rFonts w:cs="Times New Roman"/>
        </w:rPr>
        <w:t>good</w:t>
      </w:r>
      <w:proofErr w:type="gramEnd"/>
      <w:r w:rsidRPr="00804A2C">
        <w:rPr>
          <w:rFonts w:cs="Times New Roman"/>
        </w:rPr>
        <w:t xml:space="preserve"> and warn others of the danger”</w:t>
      </w:r>
      <w:r w:rsidR="00030336">
        <w:rPr>
          <w:rFonts w:cs="Times New Roman"/>
        </w:rPr>
        <w:t>: R.F.</w:t>
      </w:r>
      <w:r w:rsidRPr="00804A2C">
        <w:rPr>
          <w:rFonts w:cs="Times New Roman"/>
        </w:rPr>
        <w:t xml:space="preserve">, at </w:t>
      </w:r>
      <w:proofErr w:type="spellStart"/>
      <w:r w:rsidRPr="00804A2C">
        <w:rPr>
          <w:rFonts w:cs="Times New Roman"/>
        </w:rPr>
        <w:t>para</w:t>
      </w:r>
      <w:proofErr w:type="spellEnd"/>
      <w:r w:rsidRPr="00804A2C">
        <w:rPr>
          <w:rFonts w:cs="Times New Roman"/>
        </w:rPr>
        <w:t xml:space="preserve">. 78. Mr. </w:t>
      </w:r>
      <w:proofErr w:type="spellStart"/>
      <w:r w:rsidRPr="00804A2C">
        <w:rPr>
          <w:rFonts w:cs="Times New Roman"/>
        </w:rPr>
        <w:t>Whatcott</w:t>
      </w:r>
      <w:proofErr w:type="spellEnd"/>
      <w:r w:rsidRPr="00804A2C">
        <w:rPr>
          <w:rFonts w:cs="Times New Roman"/>
        </w:rPr>
        <w:t xml:space="preserve"> contends that s. 2(</w:t>
      </w:r>
      <w:r w:rsidRPr="00804A2C">
        <w:rPr>
          <w:rFonts w:cs="Times New Roman"/>
          <w:i/>
        </w:rPr>
        <w:t>a</w:t>
      </w:r>
      <w:r w:rsidRPr="00804A2C">
        <w:rPr>
          <w:rFonts w:cs="Times New Roman"/>
        </w:rPr>
        <w:t>) protects his right to proclaim this aspect of his religion.</w:t>
      </w:r>
    </w:p>
    <w:p w:rsidR="00BB1957" w:rsidRPr="00804A2C" w:rsidRDefault="00BB1957" w:rsidP="00BB1957">
      <w:pPr>
        <w:pStyle w:val="ParaNoNdepar-AltN"/>
        <w:rPr>
          <w:rFonts w:cs="Times New Roman"/>
        </w:rPr>
      </w:pPr>
      <w:r w:rsidRPr="00804A2C">
        <w:rPr>
          <w:rFonts w:cs="Times New Roman"/>
        </w:rPr>
        <w:t xml:space="preserve">The Commission argues that the publication of hateful religious beliefs of the type that would meet the </w:t>
      </w:r>
      <w:r w:rsidRPr="00804A2C">
        <w:rPr>
          <w:rFonts w:cs="Times New Roman"/>
          <w:i/>
        </w:rPr>
        <w:t xml:space="preserve">Taylor </w:t>
      </w:r>
      <w:r w:rsidRPr="00804A2C">
        <w:rPr>
          <w:rFonts w:cs="Times New Roman"/>
        </w:rPr>
        <w:t>definition is harmful, and would therefore be outside the scope of guarantee under s. 2(</w:t>
      </w:r>
      <w:r w:rsidRPr="00804A2C">
        <w:rPr>
          <w:rFonts w:cs="Times New Roman"/>
          <w:i/>
        </w:rPr>
        <w:t>a</w:t>
      </w:r>
      <w:r w:rsidRPr="00804A2C">
        <w:rPr>
          <w:rFonts w:cs="Times New Roman"/>
        </w:rPr>
        <w:t xml:space="preserve">) of the </w:t>
      </w:r>
      <w:r w:rsidRPr="00804A2C">
        <w:rPr>
          <w:rFonts w:cs="Times New Roman"/>
          <w:i/>
        </w:rPr>
        <w:t>Charter</w:t>
      </w:r>
      <w:r w:rsidRPr="00804A2C">
        <w:rPr>
          <w:rFonts w:cs="Times New Roman"/>
        </w:rPr>
        <w:t>. In support of its position of narrowing the scope of s. 2(</w:t>
      </w:r>
      <w:r w:rsidRPr="00804A2C">
        <w:rPr>
          <w:rFonts w:cs="Times New Roman"/>
          <w:i/>
        </w:rPr>
        <w:t>a</w:t>
      </w:r>
      <w:r w:rsidRPr="00804A2C">
        <w:rPr>
          <w:rFonts w:cs="Times New Roman"/>
        </w:rPr>
        <w:t xml:space="preserve">) protection, it relies in part on the reasoning of Dickson J. (as he then was) in </w:t>
      </w:r>
      <w:r w:rsidRPr="00804A2C">
        <w:rPr>
          <w:rFonts w:cs="Times New Roman"/>
          <w:i/>
        </w:rPr>
        <w:t>R. v. Big M Drug Mart Ltd</w:t>
      </w:r>
      <w:r w:rsidRPr="00030336">
        <w:rPr>
          <w:rFonts w:cs="Times New Roman"/>
        </w:rPr>
        <w:t>.</w:t>
      </w:r>
      <w:r w:rsidRPr="00804A2C">
        <w:rPr>
          <w:rFonts w:cs="Times New Roman"/>
        </w:rPr>
        <w:t>, [1985] 1 S.C.R. 295, where he stated, at p. 346:</w:t>
      </w:r>
    </w:p>
    <w:p w:rsidR="00BB1957" w:rsidRPr="00804A2C" w:rsidRDefault="00BB1957" w:rsidP="00BB1957">
      <w:pPr>
        <w:pStyle w:val="Citation-AltC"/>
      </w:pPr>
    </w:p>
    <w:p w:rsidR="00BB1957" w:rsidRPr="00804A2C" w:rsidRDefault="00BB1957" w:rsidP="00BB1957">
      <w:pPr>
        <w:pStyle w:val="Citation-AltC"/>
      </w:pPr>
      <w:r w:rsidRPr="00804A2C">
        <w:t xml:space="preserve">The values that underlie our political and philosophic traditions demand that every individual be free to hold and to manifest whatever beliefs and opinions his or her conscience dictates, </w:t>
      </w:r>
      <w:r w:rsidRPr="00804A2C">
        <w:rPr>
          <w:u w:val="single"/>
        </w:rPr>
        <w:t xml:space="preserve">provided </w:t>
      </w:r>
      <w:r w:rsidRPr="00804A2C">
        <w:rPr>
          <w:i/>
          <w:u w:val="single"/>
        </w:rPr>
        <w:t>inter alia</w:t>
      </w:r>
      <w:r w:rsidRPr="00804A2C">
        <w:rPr>
          <w:u w:val="single"/>
        </w:rPr>
        <w:t xml:space="preserve"> only that such manifestations do not injure his or her neighbours or their</w:t>
      </w:r>
      <w:r w:rsidRPr="00804A2C">
        <w:rPr>
          <w:i/>
          <w:u w:val="single"/>
        </w:rPr>
        <w:t xml:space="preserve"> </w:t>
      </w:r>
      <w:r w:rsidRPr="00804A2C">
        <w:rPr>
          <w:u w:val="single"/>
        </w:rPr>
        <w:t>parallel rights to hold and manifest beliefs and</w:t>
      </w:r>
      <w:r w:rsidRPr="00804A2C">
        <w:rPr>
          <w:i/>
          <w:u w:val="single"/>
        </w:rPr>
        <w:t xml:space="preserve"> </w:t>
      </w:r>
      <w:r w:rsidRPr="00804A2C">
        <w:rPr>
          <w:u w:val="single"/>
        </w:rPr>
        <w:t>opinions of their own</w:t>
      </w:r>
      <w:r w:rsidRPr="00804A2C">
        <w:t xml:space="preserve">. [Emphasis added by the Commission; </w:t>
      </w:r>
      <w:r w:rsidR="00030336">
        <w:t>A.F.</w:t>
      </w:r>
      <w:r w:rsidRPr="00804A2C">
        <w:t xml:space="preserve">, at </w:t>
      </w:r>
      <w:proofErr w:type="spellStart"/>
      <w:r w:rsidRPr="00804A2C">
        <w:t>para</w:t>
      </w:r>
      <w:proofErr w:type="spellEnd"/>
      <w:r w:rsidRPr="00804A2C">
        <w:t>. 99.]</w:t>
      </w:r>
    </w:p>
    <w:p w:rsidR="00BB1957" w:rsidRPr="00804A2C" w:rsidRDefault="00BB1957" w:rsidP="00BB1957">
      <w:pPr>
        <w:pStyle w:val="ContinueParaSuitedupar-AltP"/>
        <w:rPr>
          <w:rFonts w:cs="Times New Roman"/>
        </w:rPr>
      </w:pPr>
      <w:r w:rsidRPr="00804A2C">
        <w:rPr>
          <w:rFonts w:cs="Times New Roman"/>
        </w:rPr>
        <w:t xml:space="preserve">The Commission also relies on the comments of </w:t>
      </w:r>
      <w:proofErr w:type="spellStart"/>
      <w:r w:rsidRPr="00804A2C">
        <w:rPr>
          <w:rFonts w:cs="Times New Roman"/>
        </w:rPr>
        <w:t>LeBel</w:t>
      </w:r>
      <w:proofErr w:type="spellEnd"/>
      <w:r w:rsidRPr="00804A2C">
        <w:rPr>
          <w:rFonts w:cs="Times New Roman"/>
        </w:rPr>
        <w:t xml:space="preserve"> J. in </w:t>
      </w:r>
      <w:proofErr w:type="spellStart"/>
      <w:r w:rsidRPr="00804A2C">
        <w:rPr>
          <w:rFonts w:cs="Times New Roman"/>
          <w:i/>
        </w:rPr>
        <w:t>Multani</w:t>
      </w:r>
      <w:proofErr w:type="spellEnd"/>
      <w:r w:rsidRPr="00804A2C">
        <w:rPr>
          <w:rFonts w:cs="Times New Roman"/>
          <w:i/>
        </w:rPr>
        <w:t xml:space="preserve"> v. Commission </w:t>
      </w:r>
      <w:proofErr w:type="spellStart"/>
      <w:r w:rsidRPr="00804A2C">
        <w:rPr>
          <w:rFonts w:cs="Times New Roman"/>
          <w:i/>
        </w:rPr>
        <w:t>scolaire</w:t>
      </w:r>
      <w:proofErr w:type="spellEnd"/>
      <w:r w:rsidRPr="00804A2C">
        <w:rPr>
          <w:rFonts w:cs="Times New Roman"/>
          <w:i/>
        </w:rPr>
        <w:t xml:space="preserve"> Marguerite-</w:t>
      </w:r>
      <w:proofErr w:type="spellStart"/>
      <w:r w:rsidRPr="00804A2C">
        <w:rPr>
          <w:rFonts w:cs="Times New Roman"/>
          <w:i/>
        </w:rPr>
        <w:t>Bourgeoys</w:t>
      </w:r>
      <w:proofErr w:type="spellEnd"/>
      <w:r w:rsidRPr="00804A2C">
        <w:rPr>
          <w:rFonts w:cs="Times New Roman"/>
        </w:rPr>
        <w:t xml:space="preserve">, 2006 SCC 6, [2006] 1 S.C.R. 256, at </w:t>
      </w:r>
      <w:proofErr w:type="spellStart"/>
      <w:r w:rsidRPr="00804A2C">
        <w:rPr>
          <w:rFonts w:cs="Times New Roman"/>
        </w:rPr>
        <w:t>para</w:t>
      </w:r>
      <w:proofErr w:type="spellEnd"/>
      <w:r w:rsidRPr="00804A2C">
        <w:rPr>
          <w:rFonts w:cs="Times New Roman"/>
        </w:rPr>
        <w:t xml:space="preserve">. </w:t>
      </w:r>
      <w:proofErr w:type="gramStart"/>
      <w:r w:rsidRPr="00804A2C">
        <w:rPr>
          <w:rFonts w:cs="Times New Roman"/>
        </w:rPr>
        <w:t>149, that</w:t>
      </w:r>
      <w:proofErr w:type="gramEnd"/>
      <w:r w:rsidRPr="00804A2C">
        <w:rPr>
          <w:rFonts w:cs="Times New Roman"/>
        </w:rPr>
        <w:t xml:space="preserve"> this Court “has not ruled out the possibility of reconciling or delimiting rights before applying s. 1”.</w:t>
      </w:r>
    </w:p>
    <w:p w:rsidR="00BB1957" w:rsidRPr="00804A2C" w:rsidRDefault="00BB1957" w:rsidP="00BB1957">
      <w:pPr>
        <w:pStyle w:val="ParaNoNdepar-AltN"/>
        <w:rPr>
          <w:rFonts w:cs="Times New Roman"/>
        </w:rPr>
      </w:pPr>
      <w:r w:rsidRPr="00804A2C">
        <w:rPr>
          <w:rFonts w:cs="Times New Roman"/>
        </w:rPr>
        <w:t>With respect to the Commission’s position, in my view, the present case falls within the general rule, rather than the exception.  Just as the protection afforded by freedom of expression is extended to all expression other than violence and threats of violence, in my view, the protection provided under s. 2(</w:t>
      </w:r>
      <w:r w:rsidRPr="00804A2C">
        <w:rPr>
          <w:rFonts w:cs="Times New Roman"/>
          <w:i/>
        </w:rPr>
        <w:t>a</w:t>
      </w:r>
      <w:r w:rsidRPr="00804A2C">
        <w:rPr>
          <w:rFonts w:cs="Times New Roman"/>
        </w:rPr>
        <w:t xml:space="preserve">) should extend broadly.  As stated by La Forest J., writing also on behalf of </w:t>
      </w:r>
      <w:proofErr w:type="spellStart"/>
      <w:r w:rsidRPr="00804A2C">
        <w:rPr>
          <w:rFonts w:cs="Times New Roman"/>
        </w:rPr>
        <w:t>Gonthier</w:t>
      </w:r>
      <w:proofErr w:type="spellEnd"/>
      <w:r w:rsidRPr="00804A2C">
        <w:rPr>
          <w:rFonts w:cs="Times New Roman"/>
        </w:rPr>
        <w:t xml:space="preserve"> and McLachlin JJ. </w:t>
      </w:r>
      <w:proofErr w:type="gramStart"/>
      <w:r w:rsidRPr="00804A2C">
        <w:rPr>
          <w:rFonts w:cs="Times New Roman"/>
        </w:rPr>
        <w:t>in</w:t>
      </w:r>
      <w:proofErr w:type="gramEnd"/>
      <w:r w:rsidRPr="00804A2C">
        <w:rPr>
          <w:rFonts w:cs="Times New Roman"/>
        </w:rPr>
        <w:t xml:space="preserve"> </w:t>
      </w:r>
      <w:r w:rsidRPr="00804A2C">
        <w:rPr>
          <w:rFonts w:cs="Times New Roman"/>
          <w:i/>
        </w:rPr>
        <w:t>B. (R.) v. Children’s Aid Society of Metropolitan Toronto</w:t>
      </w:r>
      <w:r w:rsidRPr="00804A2C">
        <w:rPr>
          <w:rFonts w:cs="Times New Roman"/>
        </w:rPr>
        <w:t xml:space="preserve">, [1995] 1 S.C.R. 315, at </w:t>
      </w:r>
      <w:proofErr w:type="spellStart"/>
      <w:r w:rsidRPr="00804A2C">
        <w:rPr>
          <w:rFonts w:cs="Times New Roman"/>
        </w:rPr>
        <w:t>para</w:t>
      </w:r>
      <w:proofErr w:type="spellEnd"/>
      <w:r w:rsidRPr="00804A2C">
        <w:rPr>
          <w:rFonts w:cs="Times New Roman"/>
        </w:rPr>
        <w:t xml:space="preserve">. 109, “[t]his Court has consistently refrained from formulating internal limits to the scope of freedom of religion in cases where the constitutionality of a legislative scheme was raised; it rather opted to balance the competing rights under s. 1 of the </w:t>
      </w:r>
      <w:r w:rsidRPr="00804A2C">
        <w:rPr>
          <w:rFonts w:cs="Times New Roman"/>
          <w:i/>
        </w:rPr>
        <w:t>Charter</w:t>
      </w:r>
      <w:r w:rsidR="008B20E1">
        <w:rPr>
          <w:rFonts w:cs="Times New Roman"/>
        </w:rPr>
        <w:t>;</w:t>
      </w:r>
      <w:r w:rsidR="00030336">
        <w:rPr>
          <w:rFonts w:cs="Times New Roman"/>
        </w:rPr>
        <w:t xml:space="preserve"> see</w:t>
      </w:r>
      <w:r w:rsidRPr="00804A2C">
        <w:rPr>
          <w:rFonts w:cs="Times New Roman"/>
        </w:rPr>
        <w:t xml:space="preserve"> </w:t>
      </w:r>
      <w:r w:rsidRPr="00804A2C">
        <w:rPr>
          <w:rFonts w:cs="Times New Roman"/>
          <w:i/>
        </w:rPr>
        <w:t>R. v. Jones</w:t>
      </w:r>
      <w:r w:rsidRPr="00804A2C">
        <w:rPr>
          <w:rFonts w:cs="Times New Roman"/>
        </w:rPr>
        <w:t xml:space="preserve">, </w:t>
      </w:r>
      <w:r w:rsidR="00030336">
        <w:rPr>
          <w:rFonts w:cs="Times New Roman"/>
        </w:rPr>
        <w:t>[</w:t>
      </w:r>
      <w:r w:rsidRPr="00804A2C">
        <w:rPr>
          <w:rFonts w:cs="Times New Roman"/>
        </w:rPr>
        <w:t>[1986] 2 S.C.R. 284</w:t>
      </w:r>
      <w:r w:rsidR="00030336">
        <w:rPr>
          <w:rFonts w:cs="Times New Roman"/>
        </w:rPr>
        <w:t>]”</w:t>
      </w:r>
      <w:r w:rsidRPr="00804A2C">
        <w:rPr>
          <w:rFonts w:cs="Times New Roman"/>
        </w:rPr>
        <w:t xml:space="preserve">. Given the engagement of freedom of expression, freedom of religion and equality rights in the present context, </w:t>
      </w:r>
      <w:proofErr w:type="gramStart"/>
      <w:r w:rsidRPr="00804A2C">
        <w:rPr>
          <w:rFonts w:cs="Times New Roman"/>
        </w:rPr>
        <w:t>a</w:t>
      </w:r>
      <w:proofErr w:type="gramEnd"/>
      <w:r w:rsidRPr="00804A2C">
        <w:rPr>
          <w:rFonts w:cs="Times New Roman"/>
        </w:rPr>
        <w:t xml:space="preserve"> s.</w:t>
      </w:r>
      <w:r>
        <w:rPr>
          <w:rFonts w:cs="Times New Roman"/>
        </w:rPr>
        <w:t> </w:t>
      </w:r>
      <w:r w:rsidRPr="00804A2C">
        <w:rPr>
          <w:rFonts w:cs="Times New Roman"/>
        </w:rPr>
        <w:t xml:space="preserve">1 analysis is the appropriate procedural approach under which to evaluate their constitutional interplay. </w:t>
      </w:r>
    </w:p>
    <w:p w:rsidR="00BB1957" w:rsidRPr="00804A2C" w:rsidRDefault="00BB1957" w:rsidP="00BB1957">
      <w:pPr>
        <w:pStyle w:val="ParaNoNdepar-AltN"/>
        <w:rPr>
          <w:rFonts w:cs="Times New Roman"/>
        </w:rPr>
      </w:pPr>
      <w:r w:rsidRPr="00804A2C">
        <w:rPr>
          <w:rFonts w:cs="Times New Roman"/>
        </w:rPr>
        <w:t>An infringement of s. 2(</w:t>
      </w:r>
      <w:r w:rsidRPr="00804A2C">
        <w:rPr>
          <w:rFonts w:cs="Times New Roman"/>
          <w:i/>
          <w:iCs/>
        </w:rPr>
        <w:t>a</w:t>
      </w:r>
      <w:r w:rsidRPr="00804A2C">
        <w:rPr>
          <w:rFonts w:cs="Times New Roman"/>
        </w:rPr>
        <w:t xml:space="preserve">) of the </w:t>
      </w:r>
      <w:r w:rsidRPr="00804A2C">
        <w:rPr>
          <w:rFonts w:cs="Times New Roman"/>
          <w:i/>
          <w:iCs/>
        </w:rPr>
        <w:t xml:space="preserve">Charter </w:t>
      </w:r>
      <w:r w:rsidRPr="00804A2C">
        <w:rPr>
          <w:rFonts w:cs="Times New Roman"/>
        </w:rPr>
        <w:t xml:space="preserve">will be established where: (1) the claimant sincerely holds a belief or practice that has a nexus with religion; and (2) the provision at issue interferes with the claimant’s ability to act in accordance with his or her religious beliefs: </w:t>
      </w:r>
      <w:proofErr w:type="spellStart"/>
      <w:r w:rsidRPr="00804A2C">
        <w:rPr>
          <w:rFonts w:eastAsia="Times New Roman" w:cs="Times New Roman"/>
          <w:i/>
        </w:rPr>
        <w:t>Hutterian</w:t>
      </w:r>
      <w:proofErr w:type="spellEnd"/>
      <w:r w:rsidRPr="00804A2C">
        <w:rPr>
          <w:rFonts w:eastAsia="Times New Roman" w:cs="Times New Roman"/>
          <w:i/>
        </w:rPr>
        <w:t xml:space="preserve"> Brethren of Wilson Colony</w:t>
      </w:r>
      <w:r w:rsidRPr="00804A2C">
        <w:rPr>
          <w:rFonts w:eastAsia="Times New Roman" w:cs="Times New Roman"/>
        </w:rPr>
        <w:t xml:space="preserve">, at </w:t>
      </w:r>
      <w:proofErr w:type="spellStart"/>
      <w:r w:rsidRPr="00804A2C">
        <w:rPr>
          <w:rFonts w:eastAsia="Times New Roman" w:cs="Times New Roman"/>
        </w:rPr>
        <w:t>para</w:t>
      </w:r>
      <w:proofErr w:type="spellEnd"/>
      <w:r w:rsidRPr="00804A2C">
        <w:rPr>
          <w:rFonts w:eastAsia="Times New Roman" w:cs="Times New Roman"/>
        </w:rPr>
        <w:t xml:space="preserve">. 32; </w:t>
      </w:r>
      <w:proofErr w:type="spellStart"/>
      <w:r w:rsidRPr="00804A2C">
        <w:rPr>
          <w:rFonts w:cs="Times New Roman"/>
          <w:i/>
          <w:iCs/>
        </w:rPr>
        <w:t>Syndicat</w:t>
      </w:r>
      <w:proofErr w:type="spellEnd"/>
      <w:r w:rsidRPr="00804A2C">
        <w:rPr>
          <w:rFonts w:cs="Times New Roman"/>
          <w:i/>
          <w:iCs/>
        </w:rPr>
        <w:t xml:space="preserve"> </w:t>
      </w:r>
      <w:proofErr w:type="spellStart"/>
      <w:r w:rsidRPr="00804A2C">
        <w:rPr>
          <w:rFonts w:cs="Times New Roman"/>
          <w:i/>
          <w:iCs/>
        </w:rPr>
        <w:t>Northcrest</w:t>
      </w:r>
      <w:proofErr w:type="spellEnd"/>
      <w:r w:rsidRPr="00804A2C">
        <w:rPr>
          <w:rFonts w:cs="Times New Roman"/>
          <w:i/>
          <w:iCs/>
        </w:rPr>
        <w:t xml:space="preserve"> v. </w:t>
      </w:r>
      <w:proofErr w:type="spellStart"/>
      <w:r w:rsidRPr="00804A2C">
        <w:rPr>
          <w:rFonts w:cs="Times New Roman"/>
          <w:i/>
          <w:iCs/>
        </w:rPr>
        <w:t>Amselem</w:t>
      </w:r>
      <w:proofErr w:type="spellEnd"/>
      <w:r w:rsidRPr="00804A2C">
        <w:rPr>
          <w:rFonts w:cs="Times New Roman"/>
        </w:rPr>
        <w:t xml:space="preserve">, 2004 SCC 47, [2004] 2 S.C.R. 551, at </w:t>
      </w:r>
      <w:proofErr w:type="spellStart"/>
      <w:r w:rsidRPr="00804A2C">
        <w:rPr>
          <w:rFonts w:cs="Times New Roman"/>
        </w:rPr>
        <w:t>para</w:t>
      </w:r>
      <w:r w:rsidR="00030336">
        <w:rPr>
          <w:rFonts w:cs="Times New Roman"/>
        </w:rPr>
        <w:t>s</w:t>
      </w:r>
      <w:proofErr w:type="spellEnd"/>
      <w:r w:rsidRPr="00804A2C">
        <w:rPr>
          <w:rFonts w:cs="Times New Roman"/>
        </w:rPr>
        <w:t xml:space="preserve">. 46 </w:t>
      </w:r>
      <w:proofErr w:type="gramStart"/>
      <w:r w:rsidRPr="00804A2C">
        <w:rPr>
          <w:rFonts w:cs="Times New Roman"/>
        </w:rPr>
        <w:t>and  56</w:t>
      </w:r>
      <w:proofErr w:type="gramEnd"/>
      <w:r w:rsidRPr="00804A2C">
        <w:rPr>
          <w:rFonts w:cs="Times New Roman"/>
        </w:rPr>
        <w:t>-59; and</w:t>
      </w:r>
      <w:r w:rsidRPr="00804A2C">
        <w:rPr>
          <w:rFonts w:eastAsia="Times New Roman" w:cs="Times New Roman"/>
        </w:rPr>
        <w:t xml:space="preserve"> </w:t>
      </w:r>
      <w:proofErr w:type="spellStart"/>
      <w:r w:rsidRPr="00804A2C">
        <w:rPr>
          <w:rFonts w:cs="Times New Roman"/>
          <w:i/>
          <w:iCs/>
        </w:rPr>
        <w:t>Multani</w:t>
      </w:r>
      <w:proofErr w:type="spellEnd"/>
      <w:r w:rsidRPr="00804A2C">
        <w:rPr>
          <w:rFonts w:cs="Times New Roman"/>
          <w:iCs/>
        </w:rPr>
        <w:t>,</w:t>
      </w:r>
      <w:r w:rsidRPr="00804A2C">
        <w:rPr>
          <w:rFonts w:cs="Times New Roman"/>
          <w:i/>
          <w:iCs/>
        </w:rPr>
        <w:t xml:space="preserve"> </w:t>
      </w:r>
      <w:r w:rsidRPr="00804A2C">
        <w:rPr>
          <w:rFonts w:cs="Times New Roman"/>
          <w:iCs/>
        </w:rPr>
        <w:t xml:space="preserve">at </w:t>
      </w:r>
      <w:proofErr w:type="spellStart"/>
      <w:r w:rsidRPr="00804A2C">
        <w:rPr>
          <w:rFonts w:cs="Times New Roman"/>
          <w:iCs/>
        </w:rPr>
        <w:t>para</w:t>
      </w:r>
      <w:proofErr w:type="spellEnd"/>
      <w:r w:rsidRPr="00804A2C">
        <w:rPr>
          <w:rFonts w:cs="Times New Roman"/>
          <w:iCs/>
        </w:rPr>
        <w:t>. 34</w:t>
      </w:r>
      <w:r w:rsidRPr="00804A2C">
        <w:rPr>
          <w:rFonts w:eastAsia="Times New Roman" w:cs="Times New Roman"/>
        </w:rPr>
        <w:t xml:space="preserve">. </w:t>
      </w:r>
      <w:r w:rsidRPr="00804A2C">
        <w:rPr>
          <w:rFonts w:cs="Times New Roman"/>
        </w:rPr>
        <w:t>The interference must be more than trivial or insubstantial, so that it threatens actual religious beliefs or conduct.</w:t>
      </w:r>
    </w:p>
    <w:p w:rsidR="00BB1957" w:rsidRPr="00804A2C" w:rsidRDefault="00BB1957" w:rsidP="00BB1957">
      <w:pPr>
        <w:pStyle w:val="ParaNoNdepar-AltN"/>
        <w:rPr>
          <w:rFonts w:cs="Times New Roman"/>
          <w:u w:val="single"/>
        </w:rPr>
      </w:pPr>
      <w:r w:rsidRPr="00804A2C">
        <w:rPr>
          <w:rFonts w:cs="Times New Roman"/>
        </w:rPr>
        <w:t xml:space="preserve"> It was not in dispute that Mr. </w:t>
      </w:r>
      <w:proofErr w:type="spellStart"/>
      <w:r w:rsidRPr="00804A2C">
        <w:rPr>
          <w:rFonts w:cs="Times New Roman"/>
        </w:rPr>
        <w:t>Whatcott</w:t>
      </w:r>
      <w:proofErr w:type="spellEnd"/>
      <w:r w:rsidRPr="00804A2C">
        <w:rPr>
          <w:rFonts w:cs="Times New Roman"/>
        </w:rPr>
        <w:t xml:space="preserve"> sincerely believes that his religion requires him to proselytize homosexuals.  To this end, he appears to employ expression of an extreme and graphic nature to make his point more compelling. To the extent that his choice of expression is caught by the hatred definition in s.</w:t>
      </w:r>
      <w:r>
        <w:rPr>
          <w:rFonts w:cs="Times New Roman"/>
        </w:rPr>
        <w:t> </w:t>
      </w:r>
      <w:r w:rsidRPr="00804A2C">
        <w:rPr>
          <w:rFonts w:cs="Times New Roman"/>
        </w:rPr>
        <w:t>14(1</w:t>
      </w:r>
      <w:proofErr w:type="gramStart"/>
      <w:r w:rsidRPr="00804A2C">
        <w:rPr>
          <w:rFonts w:cs="Times New Roman"/>
        </w:rPr>
        <w:t>)(</w:t>
      </w:r>
      <w:proofErr w:type="gramEnd"/>
      <w:r w:rsidRPr="00030336">
        <w:rPr>
          <w:rFonts w:cs="Times New Roman"/>
        </w:rPr>
        <w:t>b</w:t>
      </w:r>
      <w:r w:rsidRPr="00804A2C">
        <w:rPr>
          <w:rFonts w:cs="Times New Roman"/>
        </w:rPr>
        <w:t xml:space="preserve">), the prohibition will substantially interfere with Mr. </w:t>
      </w:r>
      <w:proofErr w:type="spellStart"/>
      <w:r w:rsidRPr="00804A2C">
        <w:rPr>
          <w:rFonts w:cs="Times New Roman"/>
        </w:rPr>
        <w:t>Whatcott’s</w:t>
      </w:r>
      <w:proofErr w:type="spellEnd"/>
      <w:r w:rsidRPr="00804A2C">
        <w:rPr>
          <w:rFonts w:cs="Times New Roman"/>
        </w:rPr>
        <w:t xml:space="preserve"> ability to disseminate his belief by display or publication of those representations.  Section 14(1</w:t>
      </w:r>
      <w:proofErr w:type="gramStart"/>
      <w:r w:rsidRPr="00804A2C">
        <w:rPr>
          <w:rFonts w:cs="Times New Roman"/>
        </w:rPr>
        <w:t>)(</w:t>
      </w:r>
      <w:proofErr w:type="gramEnd"/>
      <w:r w:rsidRPr="00030336">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infringes freedom of conscience and religion as guaranteed under s. 2(</w:t>
      </w:r>
      <w:r w:rsidRPr="00804A2C">
        <w:rPr>
          <w:rFonts w:cs="Times New Roman"/>
          <w:i/>
        </w:rPr>
        <w:t>a</w:t>
      </w:r>
      <w:r w:rsidRPr="00804A2C">
        <w:rPr>
          <w:rFonts w:cs="Times New Roman"/>
        </w:rPr>
        <w:t xml:space="preserve">) of the </w:t>
      </w:r>
      <w:r w:rsidRPr="00804A2C">
        <w:rPr>
          <w:rFonts w:cs="Times New Roman"/>
          <w:i/>
        </w:rPr>
        <w:t>Charter</w:t>
      </w:r>
      <w:r w:rsidRPr="00804A2C">
        <w:rPr>
          <w:rFonts w:cs="Times New Roman"/>
        </w:rPr>
        <w:t>.</w:t>
      </w:r>
    </w:p>
    <w:p w:rsidR="00BB1957" w:rsidRPr="00804A2C" w:rsidRDefault="00BB1957" w:rsidP="00BB1957">
      <w:pPr>
        <w:pStyle w:val="ParaNoNdepar-AltN"/>
        <w:rPr>
          <w:rFonts w:cs="Times New Roman"/>
          <w:u w:val="single"/>
        </w:rPr>
      </w:pPr>
      <w:r w:rsidRPr="00804A2C">
        <w:rPr>
          <w:rFonts w:cs="Times New Roman"/>
        </w:rPr>
        <w:t>However, concluding that alleged hate speech can be protected under s.</w:t>
      </w:r>
      <w:r>
        <w:rPr>
          <w:rFonts w:cs="Times New Roman"/>
        </w:rPr>
        <w:t> </w:t>
      </w:r>
      <w:r w:rsidRPr="00804A2C">
        <w:rPr>
          <w:rFonts w:cs="Times New Roman"/>
        </w:rPr>
        <w:t>2(</w:t>
      </w:r>
      <w:r w:rsidRPr="00804A2C">
        <w:rPr>
          <w:rFonts w:cs="Times New Roman"/>
          <w:i/>
        </w:rPr>
        <w:t>a</w:t>
      </w:r>
      <w:r w:rsidRPr="00804A2C">
        <w:rPr>
          <w:rFonts w:cs="Times New Roman"/>
        </w:rPr>
        <w:t xml:space="preserve">) of the </w:t>
      </w:r>
      <w:r w:rsidRPr="00804A2C">
        <w:rPr>
          <w:rFonts w:cs="Times New Roman"/>
          <w:i/>
        </w:rPr>
        <w:t>Charter</w:t>
      </w:r>
      <w:r w:rsidRPr="00804A2C">
        <w:rPr>
          <w:rFonts w:cs="Times New Roman"/>
        </w:rPr>
        <w:t xml:space="preserve"> and that s. 14(1</w:t>
      </w:r>
      <w:proofErr w:type="gramStart"/>
      <w:r w:rsidRPr="00804A2C">
        <w:rPr>
          <w:rFonts w:cs="Times New Roman"/>
        </w:rPr>
        <w:t>)(</w:t>
      </w:r>
      <w:proofErr w:type="gramEnd"/>
      <w:r w:rsidRPr="00030336">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infringes s. 2(</w:t>
      </w:r>
      <w:r w:rsidRPr="00804A2C">
        <w:rPr>
          <w:rFonts w:cs="Times New Roman"/>
          <w:i/>
        </w:rPr>
        <w:t>a</w:t>
      </w:r>
      <w:r w:rsidRPr="00804A2C">
        <w:rPr>
          <w:rFonts w:cs="Times New Roman"/>
        </w:rPr>
        <w:t xml:space="preserve">), does not end the matter.  </w:t>
      </w:r>
      <w:proofErr w:type="gramStart"/>
      <w:r w:rsidRPr="00804A2C">
        <w:rPr>
          <w:rFonts w:cs="Times New Roman"/>
        </w:rPr>
        <w:t>A</w:t>
      </w:r>
      <w:proofErr w:type="gramEnd"/>
      <w:r w:rsidRPr="00804A2C">
        <w:rPr>
          <w:rFonts w:cs="Times New Roman"/>
        </w:rPr>
        <w:t xml:space="preserve"> s</w:t>
      </w:r>
      <w:r w:rsidR="00030336">
        <w:rPr>
          <w:rFonts w:cs="Times New Roman"/>
        </w:rPr>
        <w:t>.</w:t>
      </w:r>
      <w:r w:rsidRPr="00804A2C">
        <w:rPr>
          <w:rFonts w:cs="Times New Roman"/>
        </w:rPr>
        <w:t xml:space="preserve"> 1 analysis must be undertaken to determine whether the infringement of freedom of religion in this context is reasonably justified in a free and democratic society. </w:t>
      </w:r>
    </w:p>
    <w:p w:rsidR="00BB1957" w:rsidRPr="00804A2C" w:rsidRDefault="00BB1957" w:rsidP="00E70C46">
      <w:pPr>
        <w:pStyle w:val="TitleTitre-AltT"/>
        <w:tabs>
          <w:tab w:val="clear" w:pos="360"/>
          <w:tab w:val="left" w:pos="540"/>
        </w:tabs>
        <w:ind w:left="540" w:hanging="540"/>
        <w:rPr>
          <w:rFonts w:cs="Times New Roman"/>
        </w:rPr>
      </w:pPr>
      <w:bookmarkStart w:id="351" w:name="_Toc341432530"/>
      <w:bookmarkStart w:id="352" w:name="_Toc341687010"/>
      <w:bookmarkStart w:id="353" w:name="_Toc346006833"/>
      <w:bookmarkStart w:id="354" w:name="_Toc349051293"/>
      <w:bookmarkStart w:id="355" w:name="_Toc349051371"/>
      <w:bookmarkStart w:id="356" w:name="_Toc349306926"/>
      <w:bookmarkStart w:id="357" w:name="_Toc349638242"/>
      <w:bookmarkStart w:id="358" w:name="_Toc408212161"/>
      <w:r w:rsidRPr="00804A2C">
        <w:rPr>
          <w:rFonts w:cs="Times New Roman"/>
        </w:rPr>
        <w:t>D.</w:t>
      </w:r>
      <w:r w:rsidRPr="00804A2C">
        <w:rPr>
          <w:rFonts w:cs="Times New Roman"/>
        </w:rPr>
        <w:tab/>
      </w:r>
      <w:r w:rsidRPr="00804A2C">
        <w:rPr>
          <w:rFonts w:cs="Times New Roman"/>
          <w:i/>
        </w:rPr>
        <w:t>Section 1 Analysis</w:t>
      </w:r>
      <w:bookmarkEnd w:id="351"/>
      <w:bookmarkEnd w:id="352"/>
      <w:bookmarkEnd w:id="353"/>
      <w:bookmarkEnd w:id="354"/>
      <w:bookmarkEnd w:id="355"/>
      <w:bookmarkEnd w:id="356"/>
      <w:bookmarkEnd w:id="357"/>
      <w:bookmarkEnd w:id="358"/>
    </w:p>
    <w:p w:rsidR="00BB1957" w:rsidRPr="00804A2C" w:rsidRDefault="00BB1957" w:rsidP="00BB1957">
      <w:pPr>
        <w:pStyle w:val="ParaNoNdepar-AltN"/>
        <w:rPr>
          <w:rFonts w:cs="Times New Roman"/>
        </w:rPr>
      </w:pPr>
      <w:r w:rsidRPr="00804A2C">
        <w:rPr>
          <w:rFonts w:cs="Times New Roman"/>
        </w:rPr>
        <w:t>The s</w:t>
      </w:r>
      <w:r w:rsidR="00C52060">
        <w:rPr>
          <w:rFonts w:cs="Times New Roman"/>
        </w:rPr>
        <w:t>.</w:t>
      </w:r>
      <w:r w:rsidRPr="00804A2C">
        <w:rPr>
          <w:rFonts w:cs="Times New Roman"/>
        </w:rPr>
        <w:t xml:space="preserve"> 1 analysis with respect to the infringement of s. 2(</w:t>
      </w:r>
      <w:r w:rsidRPr="00804A2C">
        <w:rPr>
          <w:rFonts w:cs="Times New Roman"/>
          <w:i/>
        </w:rPr>
        <w:t>a</w:t>
      </w:r>
      <w:r w:rsidRPr="00804A2C">
        <w:rPr>
          <w:rFonts w:cs="Times New Roman"/>
        </w:rPr>
        <w:t xml:space="preserve">) of the </w:t>
      </w:r>
      <w:r w:rsidRPr="00804A2C">
        <w:rPr>
          <w:rFonts w:cs="Times New Roman"/>
          <w:i/>
        </w:rPr>
        <w:t>Charter</w:t>
      </w:r>
      <w:r w:rsidRPr="00804A2C">
        <w:rPr>
          <w:rFonts w:cs="Times New Roman"/>
        </w:rPr>
        <w:t xml:space="preserve"> by s. 14(1</w:t>
      </w:r>
      <w:proofErr w:type="gramStart"/>
      <w:r w:rsidRPr="00804A2C">
        <w:rPr>
          <w:rFonts w:cs="Times New Roman"/>
        </w:rPr>
        <w:t>)(</w:t>
      </w:r>
      <w:proofErr w:type="gramEnd"/>
      <w:r w:rsidRPr="00C52060">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raises similar considerations to that carried out in the context of s. 2(</w:t>
      </w:r>
      <w:r w:rsidRPr="00804A2C">
        <w:rPr>
          <w:rFonts w:cs="Times New Roman"/>
          <w:i/>
        </w:rPr>
        <w:t>b</w:t>
      </w:r>
      <w:r w:rsidRPr="00804A2C">
        <w:rPr>
          <w:rFonts w:cs="Times New Roman"/>
        </w:rPr>
        <w:t>).</w:t>
      </w:r>
    </w:p>
    <w:p w:rsidR="00BB1957" w:rsidRPr="00804A2C" w:rsidRDefault="00BB1957" w:rsidP="00BB1957">
      <w:pPr>
        <w:pStyle w:val="ParaNoNdepar-AltN"/>
        <w:rPr>
          <w:rFonts w:cs="Times New Roman"/>
        </w:rPr>
      </w:pPr>
      <w:r w:rsidRPr="00804A2C">
        <w:rPr>
          <w:rFonts w:cs="Times New Roman"/>
        </w:rPr>
        <w:t>Preaching</w:t>
      </w:r>
      <w:r w:rsidRPr="00804A2C">
        <w:rPr>
          <w:rFonts w:cs="Times New Roman"/>
          <w:i/>
        </w:rPr>
        <w:t xml:space="preserve"> </w:t>
      </w:r>
      <w:r w:rsidRPr="00804A2C">
        <w:rPr>
          <w:rFonts w:cs="Times New Roman"/>
        </w:rPr>
        <w:t xml:space="preserve">and the dissemination of religious beliefs is an important aspect of some religions.  </w:t>
      </w:r>
      <w:r w:rsidRPr="00804A2C">
        <w:rPr>
          <w:rFonts w:eastAsia="Times New Roman" w:cs="Times New Roman"/>
        </w:rPr>
        <w:t>A</w:t>
      </w:r>
      <w:r w:rsidRPr="00804A2C">
        <w:rPr>
          <w:rFonts w:cs="Times New Roman"/>
        </w:rPr>
        <w:t xml:space="preserve">s stated by Dickson J. in </w:t>
      </w:r>
      <w:r w:rsidRPr="00804A2C">
        <w:rPr>
          <w:rFonts w:cs="Times New Roman"/>
          <w:i/>
        </w:rPr>
        <w:t>Big M Drug Mart</w:t>
      </w:r>
      <w:r w:rsidRPr="00804A2C">
        <w:rPr>
          <w:rFonts w:cs="Times New Roman"/>
        </w:rPr>
        <w:t xml:space="preserve">, at p. 336, “[t]he essence of the concept of freedom of religion is the right to entertain such religious beliefs as a person chooses, the right to declare religious beliefs openly and without fear of hindrance or reprisal, and the right to manifest religious belief by worship and practice </w:t>
      </w:r>
      <w:r w:rsidRPr="00804A2C">
        <w:rPr>
          <w:rFonts w:cs="Times New Roman"/>
          <w:u w:val="single"/>
        </w:rPr>
        <w:t>or by teaching and dissemination</w:t>
      </w:r>
      <w:r w:rsidRPr="00804A2C">
        <w:rPr>
          <w:rFonts w:cs="Times New Roman"/>
        </w:rPr>
        <w:t xml:space="preserve">” (emphasis added).  Section 4 of the </w:t>
      </w:r>
      <w:r w:rsidRPr="00804A2C">
        <w:rPr>
          <w:rFonts w:cs="Times New Roman"/>
          <w:i/>
        </w:rPr>
        <w:t>Code</w:t>
      </w:r>
      <w:r w:rsidRPr="00804A2C">
        <w:rPr>
          <w:rFonts w:cs="Times New Roman"/>
        </w:rPr>
        <w:t xml:space="preserve"> confirms that every person enjoys the right to “freedom of conscience, opinion and belief and freedom of </w:t>
      </w:r>
      <w:r w:rsidRPr="00804A2C">
        <w:rPr>
          <w:rFonts w:cs="Times New Roman"/>
          <w:u w:val="single"/>
        </w:rPr>
        <w:t>religious</w:t>
      </w:r>
      <w:r w:rsidRPr="00804A2C">
        <w:rPr>
          <w:rFonts w:cs="Times New Roman"/>
        </w:rPr>
        <w:t xml:space="preserve"> association, </w:t>
      </w:r>
      <w:r w:rsidRPr="00804A2C">
        <w:rPr>
          <w:rFonts w:cs="Times New Roman"/>
          <w:u w:val="single"/>
        </w:rPr>
        <w:t>teaching</w:t>
      </w:r>
      <w:r w:rsidRPr="00804A2C">
        <w:rPr>
          <w:rFonts w:cs="Times New Roman"/>
        </w:rPr>
        <w:t>, practice and worship”.</w:t>
      </w:r>
    </w:p>
    <w:p w:rsidR="00BB1957" w:rsidRPr="00804A2C" w:rsidRDefault="00BB1957" w:rsidP="00BB1957">
      <w:pPr>
        <w:pStyle w:val="ParaNoNdepar-AltN"/>
        <w:rPr>
          <w:rFonts w:cs="Times New Roman"/>
        </w:rPr>
      </w:pPr>
      <w:r w:rsidRPr="00804A2C">
        <w:rPr>
          <w:rFonts w:cs="Times New Roman"/>
        </w:rPr>
        <w:t xml:space="preserve">Mr. </w:t>
      </w:r>
      <w:proofErr w:type="spellStart"/>
      <w:r w:rsidRPr="00804A2C">
        <w:rPr>
          <w:rFonts w:cs="Times New Roman"/>
        </w:rPr>
        <w:t>Whatcott</w:t>
      </w:r>
      <w:proofErr w:type="spellEnd"/>
      <w:r w:rsidRPr="00804A2C">
        <w:rPr>
          <w:rFonts w:cs="Times New Roman"/>
        </w:rPr>
        <w:t xml:space="preserve"> asserts that the prohibition of speech of the type contained in his flyers will force people like himself to choose between following their conscience by preaching about same-sex sexual practices </w:t>
      </w:r>
      <w:proofErr w:type="gramStart"/>
      <w:r w:rsidRPr="00804A2C">
        <w:rPr>
          <w:rFonts w:cs="Times New Roman"/>
        </w:rPr>
        <w:t>or</w:t>
      </w:r>
      <w:proofErr w:type="gramEnd"/>
      <w:r w:rsidRPr="00804A2C">
        <w:rPr>
          <w:rFonts w:cs="Times New Roman"/>
        </w:rPr>
        <w:t xml:space="preserve"> following the law. The Christian Legal Fellowship argues that punishing Mr. </w:t>
      </w:r>
      <w:proofErr w:type="spellStart"/>
      <w:r w:rsidRPr="00804A2C">
        <w:rPr>
          <w:rFonts w:cs="Times New Roman"/>
        </w:rPr>
        <w:t>Whatcott</w:t>
      </w:r>
      <w:proofErr w:type="spellEnd"/>
      <w:r w:rsidRPr="00804A2C">
        <w:rPr>
          <w:rFonts w:cs="Times New Roman"/>
        </w:rPr>
        <w:t xml:space="preserve"> for this speech “limits the free expression of every religious adherent whose beliefs on sexuality or other controversial topics do not conform to those of mainstream society and allows those with minority views to be silenced through the operation of law”</w:t>
      </w:r>
      <w:r w:rsidR="00C52060">
        <w:rPr>
          <w:rFonts w:cs="Times New Roman"/>
        </w:rPr>
        <w:t>:</w:t>
      </w:r>
      <w:r w:rsidRPr="00804A2C">
        <w:rPr>
          <w:rFonts w:cs="Times New Roman"/>
        </w:rPr>
        <w:t xml:space="preserve"> </w:t>
      </w:r>
      <w:r w:rsidR="00C52060">
        <w:rPr>
          <w:rFonts w:cs="Times New Roman"/>
        </w:rPr>
        <w:t xml:space="preserve">factum, at </w:t>
      </w:r>
      <w:proofErr w:type="spellStart"/>
      <w:r w:rsidR="00C52060">
        <w:rPr>
          <w:rFonts w:cs="Times New Roman"/>
        </w:rPr>
        <w:t>para</w:t>
      </w:r>
      <w:proofErr w:type="spellEnd"/>
      <w:r w:rsidR="00C52060">
        <w:rPr>
          <w:rFonts w:cs="Times New Roman"/>
        </w:rPr>
        <w:t>. 12</w:t>
      </w:r>
      <w:r w:rsidRPr="00804A2C">
        <w:rPr>
          <w:rFonts w:cs="Times New Roman"/>
        </w:rPr>
        <w:t>.</w:t>
      </w:r>
    </w:p>
    <w:p w:rsidR="00BB1957" w:rsidRPr="00804A2C" w:rsidRDefault="00BB1957" w:rsidP="00BB1957">
      <w:pPr>
        <w:pStyle w:val="ParaNoNdepar-AltN"/>
        <w:rPr>
          <w:rFonts w:cs="Times New Roman"/>
        </w:rPr>
      </w:pPr>
      <w:r w:rsidRPr="00804A2C">
        <w:rPr>
          <w:rFonts w:cs="Times New Roman"/>
        </w:rPr>
        <w:t>As discussed in the s. 1 analysis of the infringement of freedom of expression by s. 14(1</w:t>
      </w:r>
      <w:proofErr w:type="gramStart"/>
      <w:r w:rsidRPr="00804A2C">
        <w:rPr>
          <w:rFonts w:cs="Times New Roman"/>
        </w:rPr>
        <w:t>)(</w:t>
      </w:r>
      <w:proofErr w:type="gramEnd"/>
      <w:r w:rsidRPr="00C52060">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s. 1 both guarantees and limits </w:t>
      </w:r>
      <w:r w:rsidRPr="00804A2C">
        <w:rPr>
          <w:rFonts w:cs="Times New Roman"/>
          <w:i/>
        </w:rPr>
        <w:t xml:space="preserve">Charter </w:t>
      </w:r>
      <w:r w:rsidRPr="00804A2C">
        <w:rPr>
          <w:rFonts w:cs="Times New Roman"/>
        </w:rPr>
        <w:t xml:space="preserve">rights. When reconciling </w:t>
      </w:r>
      <w:r w:rsidRPr="00804A2C">
        <w:rPr>
          <w:rFonts w:cs="Times New Roman"/>
          <w:i/>
        </w:rPr>
        <w:t>Charter</w:t>
      </w:r>
      <w:r w:rsidRPr="00804A2C">
        <w:rPr>
          <w:rFonts w:cs="Times New Roman"/>
        </w:rPr>
        <w:t xml:space="preserve"> rights and values, freedom of religion and the right to equality accorded all residents of Saskatchewan must co-exist. </w:t>
      </w:r>
    </w:p>
    <w:p w:rsidR="00BB1957" w:rsidRPr="00804A2C" w:rsidRDefault="00BB1957" w:rsidP="00BB1957">
      <w:pPr>
        <w:pStyle w:val="ParaNoNdepar-AltN"/>
        <w:rPr>
          <w:rFonts w:cs="Times New Roman"/>
        </w:rPr>
      </w:pPr>
      <w:r w:rsidRPr="00804A2C">
        <w:rPr>
          <w:rFonts w:cs="Times New Roman"/>
        </w:rPr>
        <w:t xml:space="preserve">In </w:t>
      </w:r>
      <w:r w:rsidRPr="00804A2C">
        <w:rPr>
          <w:rFonts w:cs="Times New Roman"/>
          <w:i/>
        </w:rPr>
        <w:t>Ross</w:t>
      </w:r>
      <w:r w:rsidRPr="00804A2C">
        <w:rPr>
          <w:rFonts w:cs="Times New Roman"/>
        </w:rPr>
        <w:t>, La Forest J. recognized that there could be circumstances in which the infringement of an exercise of freedom of religion, like that of freedom of expression, could merit only an attenuated level of s. 1 justification.  La Forest J. noted that the r</w:t>
      </w:r>
      <w:r w:rsidRPr="00804A2C">
        <w:rPr>
          <w:rFonts w:eastAsia="Times New Roman" w:cs="Times New Roman"/>
          <w:spacing w:val="-3"/>
        </w:rPr>
        <w:t xml:space="preserve">espondent’s religious views in that case sought to deny Jews respect for dignity and equality.  </w:t>
      </w:r>
      <w:r w:rsidRPr="00804A2C">
        <w:rPr>
          <w:rFonts w:cs="Times New Roman"/>
        </w:rPr>
        <w:t xml:space="preserve">He went on to state, at </w:t>
      </w:r>
      <w:proofErr w:type="spellStart"/>
      <w:r w:rsidRPr="00804A2C">
        <w:rPr>
          <w:rFonts w:cs="Times New Roman"/>
        </w:rPr>
        <w:t>para</w:t>
      </w:r>
      <w:proofErr w:type="spellEnd"/>
      <w:r w:rsidRPr="00804A2C">
        <w:rPr>
          <w:rFonts w:cs="Times New Roman"/>
        </w:rPr>
        <w:t>. 94, that “</w:t>
      </w:r>
      <w:r w:rsidRPr="00804A2C">
        <w:rPr>
          <w:rFonts w:eastAsia="Times New Roman" w:cs="Times New Roman"/>
          <w:spacing w:val="-3"/>
        </w:rPr>
        <w:t>[w]here the manifestations of an individual’s right or freedom are incompatible with the very values sought to be upheld in the process of undertaking a s. 1 analysis, then, an attenuated level of s.</w:t>
      </w:r>
      <w:r>
        <w:rPr>
          <w:rFonts w:eastAsia="Times New Roman" w:cs="Times New Roman"/>
          <w:spacing w:val="-3"/>
        </w:rPr>
        <w:t> </w:t>
      </w:r>
      <w:r w:rsidRPr="00804A2C">
        <w:rPr>
          <w:rFonts w:eastAsia="Times New Roman" w:cs="Times New Roman"/>
          <w:spacing w:val="-3"/>
        </w:rPr>
        <w:t>1 justification is appropriate</w:t>
      </w:r>
      <w:r w:rsidR="00C52060">
        <w:rPr>
          <w:rFonts w:eastAsia="Times New Roman" w:cs="Times New Roman"/>
          <w:spacing w:val="-3"/>
        </w:rPr>
        <w:t>.</w:t>
      </w:r>
      <w:r w:rsidRPr="00804A2C">
        <w:rPr>
          <w:rFonts w:eastAsia="Times New Roman" w:cs="Times New Roman"/>
          <w:spacing w:val="-3"/>
        </w:rPr>
        <w:t>”</w:t>
      </w:r>
    </w:p>
    <w:p w:rsidR="00BB1957" w:rsidRPr="00804A2C" w:rsidRDefault="00BB1957" w:rsidP="00BB1957">
      <w:pPr>
        <w:pStyle w:val="ParaNoNdepar-AltN"/>
        <w:rPr>
          <w:rFonts w:cs="Times New Roman"/>
        </w:rPr>
      </w:pPr>
      <w:r w:rsidRPr="00804A2C">
        <w:rPr>
          <w:rFonts w:cs="Times New Roman"/>
        </w:rPr>
        <w:t>For</w:t>
      </w:r>
      <w:r w:rsidRPr="00804A2C">
        <w:rPr>
          <w:rFonts w:cs="Times New Roman"/>
          <w:i/>
        </w:rPr>
        <w:t xml:space="preserve"> </w:t>
      </w:r>
      <w:r w:rsidRPr="00804A2C">
        <w:rPr>
          <w:rFonts w:cs="Times New Roman"/>
        </w:rPr>
        <w:t>the purposes of the application of s. 14(1</w:t>
      </w:r>
      <w:proofErr w:type="gramStart"/>
      <w:r w:rsidRPr="00804A2C">
        <w:rPr>
          <w:rFonts w:cs="Times New Roman"/>
        </w:rPr>
        <w:t>)(</w:t>
      </w:r>
      <w:proofErr w:type="gramEnd"/>
      <w:r w:rsidRPr="00C52060">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it does not matter whether the expression at issue is religiously motivated or not. </w:t>
      </w:r>
      <w:r w:rsidRPr="00804A2C">
        <w:rPr>
          <w:rFonts w:eastAsia="Times New Roman" w:cs="Times New Roman"/>
          <w:spacing w:val="-3"/>
        </w:rPr>
        <w:t>If, viewed objectively, the publication involves representations that expose or are likely to expose the vulnerable group to detestation and vilifi</w:t>
      </w:r>
      <w:r w:rsidRPr="00804A2C">
        <w:rPr>
          <w:rFonts w:cs="Times New Roman"/>
        </w:rPr>
        <w:t>cation</w:t>
      </w:r>
      <w:r w:rsidRPr="00804A2C">
        <w:rPr>
          <w:rFonts w:eastAsia="Times New Roman" w:cs="Times New Roman"/>
          <w:spacing w:val="-3"/>
        </w:rPr>
        <w:t xml:space="preserve">, </w:t>
      </w:r>
      <w:proofErr w:type="gramStart"/>
      <w:r w:rsidRPr="00804A2C">
        <w:rPr>
          <w:rFonts w:eastAsia="Times New Roman" w:cs="Times New Roman"/>
          <w:spacing w:val="-3"/>
        </w:rPr>
        <w:t>then</w:t>
      </w:r>
      <w:proofErr w:type="gramEnd"/>
      <w:r w:rsidRPr="00804A2C">
        <w:rPr>
          <w:rFonts w:eastAsia="Times New Roman" w:cs="Times New Roman"/>
          <w:spacing w:val="-3"/>
        </w:rPr>
        <w:t xml:space="preserve"> the religi</w:t>
      </w:r>
      <w:r w:rsidRPr="00804A2C">
        <w:rPr>
          <w:rFonts w:cs="Times New Roman"/>
        </w:rPr>
        <w:t>ous expression is captured by the legi</w:t>
      </w:r>
      <w:r w:rsidRPr="00804A2C">
        <w:rPr>
          <w:rFonts w:eastAsia="Times New Roman" w:cs="Times New Roman"/>
          <w:spacing w:val="-3"/>
        </w:rPr>
        <w:t xml:space="preserve">slative prohibition.  In other words, Mr. </w:t>
      </w:r>
      <w:proofErr w:type="spellStart"/>
      <w:r w:rsidRPr="00804A2C">
        <w:rPr>
          <w:rFonts w:eastAsia="Times New Roman" w:cs="Times New Roman"/>
          <w:spacing w:val="-3"/>
        </w:rPr>
        <w:t>Whatcott</w:t>
      </w:r>
      <w:proofErr w:type="spellEnd"/>
      <w:r w:rsidRPr="00804A2C">
        <w:rPr>
          <w:rFonts w:eastAsia="Times New Roman" w:cs="Times New Roman"/>
          <w:spacing w:val="-3"/>
        </w:rPr>
        <w:t xml:space="preserve"> and others are free to preach against same-sex activities, to urge its censorship from the public school curriculum and to seek to convert others to their point of view.  </w:t>
      </w:r>
      <w:r w:rsidRPr="00804A2C">
        <w:rPr>
          <w:rFonts w:cs="Times New Roman"/>
        </w:rPr>
        <w:t>Their freedom to express those views is unlimited, except by the narrow requirement that they not be conveyed through hate speech.</w:t>
      </w:r>
    </w:p>
    <w:p w:rsidR="00BB1957" w:rsidRPr="00804A2C" w:rsidRDefault="00BB1957" w:rsidP="00BB1957">
      <w:pPr>
        <w:pStyle w:val="ParaNoNdepar-AltN"/>
        <w:rPr>
          <w:rFonts w:cs="Times New Roman"/>
          <w:u w:val="single"/>
        </w:rPr>
      </w:pPr>
      <w:r w:rsidRPr="00804A2C">
        <w:rPr>
          <w:rFonts w:cs="Times New Roman"/>
        </w:rPr>
        <w:t>For the same reasons set out earlier in the s. 1 analysis in the case of freedom of expression, in my view, the words “ridicules, belittles or otherwise affronts the dignity of” are not rationally connected to the legislative purpose of addressing systemic discrimination of protected groups, nor tailored to minimally impair freedom of religion.  I find the remaining prohibition of any representation “that exposes or tends to expose to hatred” any person or class of persons on the basis of a prohibited ground to be a reasonable limit on freedom of religion and demonstrably justified in a free and democratic society.</w:t>
      </w:r>
    </w:p>
    <w:p w:rsidR="00BB1957" w:rsidRPr="00804A2C" w:rsidRDefault="00BB1957" w:rsidP="00E70C46">
      <w:pPr>
        <w:pStyle w:val="TitleTitre-AltT"/>
        <w:tabs>
          <w:tab w:val="clear" w:pos="360"/>
        </w:tabs>
        <w:ind w:left="540" w:hanging="540"/>
        <w:rPr>
          <w:rFonts w:cs="Times New Roman"/>
        </w:rPr>
      </w:pPr>
      <w:bookmarkStart w:id="359" w:name="_Toc341432531"/>
      <w:bookmarkStart w:id="360" w:name="_Toc341687011"/>
      <w:bookmarkStart w:id="361" w:name="_Toc346006834"/>
      <w:bookmarkStart w:id="362" w:name="_Toc349051294"/>
      <w:bookmarkStart w:id="363" w:name="_Toc349051372"/>
      <w:bookmarkStart w:id="364" w:name="_Toc349306927"/>
      <w:bookmarkStart w:id="365" w:name="_Toc349638243"/>
      <w:bookmarkStart w:id="366" w:name="_Toc408212162"/>
      <w:r w:rsidRPr="00804A2C">
        <w:rPr>
          <w:rFonts w:cs="Times New Roman"/>
        </w:rPr>
        <w:t>IX.</w:t>
      </w:r>
      <w:r w:rsidRPr="00804A2C">
        <w:rPr>
          <w:rFonts w:cs="Times New Roman"/>
        </w:rPr>
        <w:tab/>
      </w:r>
      <w:r w:rsidRPr="00804A2C">
        <w:rPr>
          <w:rFonts w:cs="Times New Roman"/>
          <w:u w:val="single"/>
        </w:rPr>
        <w:t>Application of Section 14(1</w:t>
      </w:r>
      <w:proofErr w:type="gramStart"/>
      <w:r w:rsidRPr="00804A2C">
        <w:rPr>
          <w:rFonts w:cs="Times New Roman"/>
          <w:u w:val="single"/>
        </w:rPr>
        <w:t>)(</w:t>
      </w:r>
      <w:proofErr w:type="gramEnd"/>
      <w:r w:rsidRPr="00C52060">
        <w:rPr>
          <w:rFonts w:cs="Times New Roman"/>
          <w:u w:val="single"/>
        </w:rPr>
        <w:t>b</w:t>
      </w:r>
      <w:r w:rsidRPr="00804A2C">
        <w:rPr>
          <w:rFonts w:cs="Times New Roman"/>
          <w:u w:val="single"/>
        </w:rPr>
        <w:t xml:space="preserve">) to Mr. </w:t>
      </w:r>
      <w:proofErr w:type="spellStart"/>
      <w:r w:rsidRPr="00804A2C">
        <w:rPr>
          <w:rFonts w:cs="Times New Roman"/>
          <w:u w:val="single"/>
        </w:rPr>
        <w:t>Whatcott’s</w:t>
      </w:r>
      <w:proofErr w:type="spellEnd"/>
      <w:r w:rsidRPr="00804A2C">
        <w:rPr>
          <w:rFonts w:cs="Times New Roman"/>
          <w:u w:val="single"/>
        </w:rPr>
        <w:t xml:space="preserve"> Flyers</w:t>
      </w:r>
      <w:bookmarkEnd w:id="359"/>
      <w:bookmarkEnd w:id="360"/>
      <w:bookmarkEnd w:id="361"/>
      <w:bookmarkEnd w:id="362"/>
      <w:bookmarkEnd w:id="363"/>
      <w:bookmarkEnd w:id="364"/>
      <w:bookmarkEnd w:id="365"/>
      <w:bookmarkEnd w:id="366"/>
    </w:p>
    <w:p w:rsidR="00BB1957" w:rsidRPr="00804A2C" w:rsidRDefault="00BB1957" w:rsidP="00BB1957">
      <w:pPr>
        <w:pStyle w:val="ParaNoNdepar-AltN"/>
        <w:tabs>
          <w:tab w:val="clear" w:pos="1152"/>
          <w:tab w:val="left" w:pos="1166"/>
        </w:tabs>
        <w:rPr>
          <w:rFonts w:cs="Times New Roman"/>
          <w:i/>
        </w:rPr>
      </w:pPr>
      <w:r w:rsidRPr="00804A2C">
        <w:rPr>
          <w:rFonts w:cs="Times New Roman"/>
        </w:rPr>
        <w:t>After this lengthy discussion of the interpretation of the definition of “hatred” and the constitutionality of s. 14(1)(</w:t>
      </w:r>
      <w:r w:rsidRPr="00C52060">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 turn to whether the Tribunal’s decision that Mr. </w:t>
      </w:r>
      <w:proofErr w:type="spellStart"/>
      <w:r w:rsidRPr="00804A2C">
        <w:rPr>
          <w:rFonts w:cs="Times New Roman"/>
        </w:rPr>
        <w:t>Whatcott’s</w:t>
      </w:r>
      <w:proofErr w:type="spellEnd"/>
      <w:r w:rsidRPr="00804A2C">
        <w:rPr>
          <w:rFonts w:cs="Times New Roman"/>
        </w:rPr>
        <w:t xml:space="preserve"> flyers contravene s. 14(1)(</w:t>
      </w:r>
      <w:r w:rsidRPr="00C52060">
        <w:rPr>
          <w:rFonts w:cs="Times New Roman"/>
        </w:rPr>
        <w:t>b</w:t>
      </w:r>
      <w:r w:rsidRPr="00804A2C">
        <w:rPr>
          <w:rFonts w:cs="Times New Roman"/>
        </w:rPr>
        <w:t>) should be upheld on appeal.</w:t>
      </w:r>
    </w:p>
    <w:p w:rsidR="00BB1957" w:rsidRPr="00804A2C" w:rsidRDefault="00BB1957" w:rsidP="00E70C46">
      <w:pPr>
        <w:pStyle w:val="TitleTitre-AltT"/>
        <w:tabs>
          <w:tab w:val="clear" w:pos="360"/>
          <w:tab w:val="left" w:pos="540"/>
        </w:tabs>
        <w:ind w:left="540" w:hanging="540"/>
        <w:rPr>
          <w:rFonts w:cs="Times New Roman"/>
        </w:rPr>
      </w:pPr>
      <w:bookmarkStart w:id="367" w:name="_Toc341432532"/>
      <w:bookmarkStart w:id="368" w:name="_Toc341687012"/>
      <w:bookmarkStart w:id="369" w:name="_Toc346006835"/>
      <w:bookmarkStart w:id="370" w:name="_Toc349051295"/>
      <w:bookmarkStart w:id="371" w:name="_Toc349051373"/>
      <w:bookmarkStart w:id="372" w:name="_Toc349306928"/>
      <w:bookmarkStart w:id="373" w:name="_Toc349638244"/>
      <w:bookmarkStart w:id="374" w:name="_Toc408212163"/>
      <w:r w:rsidRPr="00804A2C">
        <w:rPr>
          <w:rFonts w:cs="Times New Roman"/>
        </w:rPr>
        <w:t>A.</w:t>
      </w:r>
      <w:r w:rsidRPr="00804A2C">
        <w:rPr>
          <w:rFonts w:cs="Times New Roman"/>
        </w:rPr>
        <w:tab/>
      </w:r>
      <w:r w:rsidRPr="00804A2C">
        <w:rPr>
          <w:rFonts w:cs="Times New Roman"/>
          <w:i/>
        </w:rPr>
        <w:t>Standard of Review of Tribunal Decision</w:t>
      </w:r>
      <w:bookmarkEnd w:id="367"/>
      <w:bookmarkEnd w:id="368"/>
      <w:bookmarkEnd w:id="369"/>
      <w:bookmarkEnd w:id="370"/>
      <w:bookmarkEnd w:id="371"/>
      <w:bookmarkEnd w:id="372"/>
      <w:bookmarkEnd w:id="373"/>
      <w:bookmarkEnd w:id="374"/>
    </w:p>
    <w:p w:rsidR="00BB1957" w:rsidRPr="00804A2C" w:rsidRDefault="00BB1957" w:rsidP="00BB1957">
      <w:pPr>
        <w:pStyle w:val="ParaNoNdepar-AltN"/>
        <w:rPr>
          <w:rFonts w:cs="Times New Roman"/>
        </w:rPr>
      </w:pPr>
      <w:r w:rsidRPr="00804A2C">
        <w:rPr>
          <w:rFonts w:cs="Times New Roman"/>
        </w:rPr>
        <w:t xml:space="preserve">The Court of Queen’s Bench and the Court of Appeal both adopted a correctness standard in this case, based on the reasoning of Richards J.A. in </w:t>
      </w:r>
      <w:r w:rsidRPr="00804A2C">
        <w:rPr>
          <w:rFonts w:cs="Times New Roman"/>
          <w:i/>
        </w:rPr>
        <w:t>Owens</w:t>
      </w:r>
      <w:r w:rsidRPr="00804A2C">
        <w:rPr>
          <w:rFonts w:cs="Times New Roman"/>
        </w:rPr>
        <w:t>.  Richards J.A. had concluded that a standard of correctness was appropriate, given the absence of a statutory privative clause, the lack of any special expertise by the tribunal in human rights issues, the fact that the findings in the case had been arrived at through a formal adjudicative process, and that the issue raised turned on important points of law, including the interpretation of the Constitution.</w:t>
      </w:r>
    </w:p>
    <w:p w:rsidR="00BB1957" w:rsidRPr="00804A2C" w:rsidRDefault="00BB1957" w:rsidP="00BB1957">
      <w:pPr>
        <w:pStyle w:val="ParaNoNdepar-AltN"/>
        <w:rPr>
          <w:rFonts w:cs="Times New Roman"/>
          <w:szCs w:val="24"/>
          <w:lang w:val="en-US"/>
        </w:rPr>
      </w:pPr>
      <w:r w:rsidRPr="00804A2C">
        <w:rPr>
          <w:rFonts w:cs="Times New Roman"/>
        </w:rPr>
        <w:t xml:space="preserve">The decision in </w:t>
      </w:r>
      <w:r w:rsidRPr="00804A2C">
        <w:rPr>
          <w:rFonts w:cs="Times New Roman"/>
          <w:i/>
        </w:rPr>
        <w:t>Owens</w:t>
      </w:r>
      <w:r w:rsidRPr="00804A2C">
        <w:rPr>
          <w:rFonts w:cs="Times New Roman"/>
        </w:rPr>
        <w:t xml:space="preserve"> predates this Court’s decision in </w:t>
      </w:r>
      <w:r w:rsidRPr="00804A2C">
        <w:rPr>
          <w:rFonts w:cs="Times New Roman"/>
          <w:i/>
          <w:szCs w:val="24"/>
          <w:lang w:val="en-US"/>
        </w:rPr>
        <w:t>Dunsmuir</w:t>
      </w:r>
      <w:r w:rsidRPr="00804A2C">
        <w:rPr>
          <w:rFonts w:cs="Times New Roman"/>
        </w:rPr>
        <w:t xml:space="preserve">, which now governs the standard of review.  </w:t>
      </w:r>
      <w:r w:rsidRPr="00804A2C">
        <w:rPr>
          <w:rFonts w:cs="Times New Roman"/>
          <w:i/>
        </w:rPr>
        <w:t>Dunsmuir</w:t>
      </w:r>
      <w:r w:rsidRPr="00804A2C">
        <w:rPr>
          <w:rFonts w:cs="Times New Roman"/>
        </w:rPr>
        <w:t xml:space="preserve"> confirmed that “[d]</w:t>
      </w:r>
      <w:proofErr w:type="spellStart"/>
      <w:r w:rsidRPr="00804A2C">
        <w:rPr>
          <w:rFonts w:cs="Times New Roman"/>
        </w:rPr>
        <w:t>eference</w:t>
      </w:r>
      <w:proofErr w:type="spellEnd"/>
      <w:r w:rsidRPr="00804A2C">
        <w:rPr>
          <w:rFonts w:cs="Times New Roman"/>
        </w:rPr>
        <w:t xml:space="preserve"> will usually result where a tribunal is interpreting its own statute or statutes closely connected to its function, with which it will have particular familiarity”</w:t>
      </w:r>
      <w:r w:rsidR="00C52060">
        <w:rPr>
          <w:rFonts w:cs="Times New Roman"/>
        </w:rPr>
        <w:t>:</w:t>
      </w:r>
      <w:r w:rsidRPr="00804A2C">
        <w:rPr>
          <w:rFonts w:cs="Times New Roman"/>
        </w:rPr>
        <w:t xml:space="preserve"> </w:t>
      </w:r>
      <w:proofErr w:type="spellStart"/>
      <w:r w:rsidRPr="00804A2C">
        <w:rPr>
          <w:rFonts w:cs="Times New Roman"/>
        </w:rPr>
        <w:t>para</w:t>
      </w:r>
      <w:proofErr w:type="spellEnd"/>
      <w:r w:rsidRPr="00804A2C">
        <w:rPr>
          <w:rFonts w:cs="Times New Roman"/>
        </w:rPr>
        <w:t xml:space="preserve">. 54; see also </w:t>
      </w:r>
      <w:r w:rsidRPr="00804A2C">
        <w:rPr>
          <w:rFonts w:cs="Times New Roman"/>
          <w:i/>
        </w:rPr>
        <w:t>Smith v. Alliance Pipeline Ltd.</w:t>
      </w:r>
      <w:r w:rsidRPr="00804A2C">
        <w:rPr>
          <w:rFonts w:cs="Times New Roman"/>
        </w:rPr>
        <w:t xml:space="preserve">, 2011 SCC 7, [2011] 1 S.C.R. 160, at </w:t>
      </w:r>
      <w:proofErr w:type="spellStart"/>
      <w:r w:rsidRPr="00804A2C">
        <w:rPr>
          <w:rFonts w:cs="Times New Roman"/>
        </w:rPr>
        <w:t>para</w:t>
      </w:r>
      <w:proofErr w:type="spellEnd"/>
      <w:r w:rsidRPr="00804A2C">
        <w:rPr>
          <w:rFonts w:cs="Times New Roman"/>
        </w:rPr>
        <w:t xml:space="preserve">. 28, </w:t>
      </w:r>
      <w:r w:rsidRPr="00804A2C">
        <w:rPr>
          <w:rFonts w:cs="Times New Roman"/>
          <w:i/>
        </w:rPr>
        <w:t xml:space="preserve">per </w:t>
      </w:r>
      <w:r w:rsidRPr="00804A2C">
        <w:rPr>
          <w:rFonts w:cs="Times New Roman"/>
        </w:rPr>
        <w:t xml:space="preserve">Fish J.  In </w:t>
      </w:r>
      <w:r w:rsidRPr="00804A2C">
        <w:rPr>
          <w:rFonts w:cs="Times New Roman"/>
          <w:i/>
        </w:rPr>
        <w:t>Alberta (Information and Privacy Commissioner) v. Alberta Teachers’ Association</w:t>
      </w:r>
      <w:r w:rsidRPr="00804A2C">
        <w:rPr>
          <w:rFonts w:cs="Times New Roman"/>
        </w:rPr>
        <w:t xml:space="preserve">, 2011 SCC 61, [2011] 3 S.C.R. 654, the Court summarized the </w:t>
      </w:r>
      <w:r w:rsidRPr="00804A2C">
        <w:rPr>
          <w:rFonts w:cs="Times New Roman"/>
          <w:i/>
        </w:rPr>
        <w:t>Dunsmuir</w:t>
      </w:r>
      <w:r w:rsidRPr="00804A2C">
        <w:rPr>
          <w:rFonts w:cs="Times New Roman"/>
        </w:rPr>
        <w:t xml:space="preserve"> approach, at </w:t>
      </w:r>
      <w:proofErr w:type="spellStart"/>
      <w:r w:rsidRPr="00804A2C">
        <w:rPr>
          <w:rFonts w:cs="Times New Roman"/>
        </w:rPr>
        <w:t>para</w:t>
      </w:r>
      <w:proofErr w:type="spellEnd"/>
      <w:r w:rsidRPr="00804A2C">
        <w:rPr>
          <w:rFonts w:cs="Times New Roman"/>
        </w:rPr>
        <w:t>. 30:</w:t>
      </w:r>
    </w:p>
    <w:p w:rsidR="00BB1957" w:rsidRPr="00804A2C" w:rsidRDefault="00BB1957" w:rsidP="00BB1957">
      <w:pPr>
        <w:pStyle w:val="Citation-AltC"/>
      </w:pPr>
      <w:r w:rsidRPr="00804A2C">
        <w:t xml:space="preserve">This principle [of deference] applies unless the interpretation of the home statute falls into one of the categories of questions to which the correctness standard continues to apply, i.e., “constitutional questions, questions of law that are of central importance to the legal system as a whole and that are outside the adjudicator’s expertise, . . . </w:t>
      </w:r>
      <w:r w:rsidR="00C52060">
        <w:t>‘</w:t>
      </w:r>
      <w:r w:rsidRPr="00804A2C">
        <w:t>[q]</w:t>
      </w:r>
      <w:proofErr w:type="spellStart"/>
      <w:r w:rsidRPr="00804A2C">
        <w:t>uestions</w:t>
      </w:r>
      <w:proofErr w:type="spellEnd"/>
      <w:r w:rsidRPr="00804A2C">
        <w:t xml:space="preserve"> regarding the jurisdictional lines between two or more competing specialized tribunals</w:t>
      </w:r>
      <w:r w:rsidR="00C52060">
        <w:t>’</w:t>
      </w:r>
      <w:r w:rsidRPr="00804A2C">
        <w:t xml:space="preserve"> [and] true questions of jurisdiction or</w:t>
      </w:r>
      <w:r w:rsidRPr="00804A2C">
        <w:rPr>
          <w:i/>
        </w:rPr>
        <w:t xml:space="preserve"> </w:t>
      </w:r>
      <w:proofErr w:type="spellStart"/>
      <w:r w:rsidRPr="00804A2C">
        <w:rPr>
          <w:i/>
        </w:rPr>
        <w:t>vires</w:t>
      </w:r>
      <w:proofErr w:type="spellEnd"/>
      <w:r w:rsidRPr="00804A2C">
        <w:t>” (</w:t>
      </w:r>
      <w:r w:rsidRPr="00804A2C">
        <w:rPr>
          <w:i/>
        </w:rPr>
        <w:t>Canada (</w:t>
      </w:r>
      <w:r w:rsidR="00C52060">
        <w:rPr>
          <w:i/>
        </w:rPr>
        <w:t xml:space="preserve">Canadian </w:t>
      </w:r>
      <w:r w:rsidRPr="00804A2C">
        <w:rPr>
          <w:i/>
        </w:rPr>
        <w:t>Human Rights Commission) v. Canada</w:t>
      </w:r>
      <w:r w:rsidRPr="00804A2C">
        <w:t xml:space="preserve"> (</w:t>
      </w:r>
      <w:r w:rsidRPr="00804A2C">
        <w:rPr>
          <w:i/>
        </w:rPr>
        <w:t>Attorney General)</w:t>
      </w:r>
      <w:r w:rsidRPr="00804A2C">
        <w:t xml:space="preserve">, 2011 SCC 53, [2011] 3 S.C.R. 471, at </w:t>
      </w:r>
      <w:proofErr w:type="spellStart"/>
      <w:r w:rsidRPr="00804A2C">
        <w:t>para</w:t>
      </w:r>
      <w:proofErr w:type="spellEnd"/>
      <w:r w:rsidRPr="00804A2C">
        <w:t xml:space="preserve">. 18, </w:t>
      </w:r>
      <w:r w:rsidRPr="00804A2C">
        <w:rPr>
          <w:i/>
        </w:rPr>
        <w:t xml:space="preserve">per </w:t>
      </w:r>
      <w:proofErr w:type="spellStart"/>
      <w:r w:rsidRPr="00804A2C">
        <w:t>LeBel</w:t>
      </w:r>
      <w:proofErr w:type="spellEnd"/>
      <w:r w:rsidRPr="00804A2C">
        <w:t xml:space="preserve"> and Cromwell JJ.</w:t>
      </w:r>
      <w:r w:rsidR="00C378F9">
        <w:t xml:space="preserve"> . . .</w:t>
      </w:r>
      <w:r w:rsidRPr="00804A2C">
        <w:t>).</w:t>
      </w:r>
    </w:p>
    <w:p w:rsidR="00BB1957" w:rsidRPr="00804A2C" w:rsidRDefault="00BB1957" w:rsidP="00BB1957">
      <w:pPr>
        <w:pStyle w:val="ParaNoNdepar-AltN"/>
        <w:rPr>
          <w:rFonts w:cs="Times New Roman"/>
        </w:rPr>
      </w:pPr>
      <w:r w:rsidRPr="00804A2C">
        <w:rPr>
          <w:rFonts w:cs="Times New Roman"/>
        </w:rPr>
        <w:t xml:space="preserve">In this case, the decision was well within the expertise of the Tribunal, interpreting its home statute and applying it to the facts before it. The decision followed the </w:t>
      </w:r>
      <w:r w:rsidRPr="00804A2C">
        <w:rPr>
          <w:rFonts w:cs="Times New Roman"/>
          <w:i/>
        </w:rPr>
        <w:t>Taylor</w:t>
      </w:r>
      <w:r w:rsidRPr="00804A2C">
        <w:rPr>
          <w:rFonts w:cs="Times New Roman"/>
        </w:rPr>
        <w:t xml:space="preserve"> precedent and otherwise did not involve questions of law that are of central importance to the legal system outside its expertise.  The standard of review must be reasonableness.</w:t>
      </w:r>
    </w:p>
    <w:p w:rsidR="00BB1957" w:rsidRPr="00804A2C" w:rsidRDefault="00BB1957" w:rsidP="0054617D">
      <w:pPr>
        <w:pStyle w:val="TitleTitre-AltT"/>
        <w:tabs>
          <w:tab w:val="clear" w:pos="360"/>
          <w:tab w:val="left" w:pos="540"/>
        </w:tabs>
        <w:ind w:left="540" w:hanging="540"/>
        <w:rPr>
          <w:rFonts w:cs="Times New Roman"/>
          <w:i/>
        </w:rPr>
      </w:pPr>
      <w:bookmarkStart w:id="375" w:name="_Toc341432533"/>
      <w:bookmarkStart w:id="376" w:name="_Toc341687013"/>
      <w:bookmarkStart w:id="377" w:name="_Toc346006836"/>
      <w:bookmarkStart w:id="378" w:name="_Toc349051296"/>
      <w:bookmarkStart w:id="379" w:name="_Toc349051374"/>
      <w:bookmarkStart w:id="380" w:name="_Toc349306929"/>
      <w:bookmarkStart w:id="381" w:name="_Toc349638245"/>
      <w:bookmarkStart w:id="382" w:name="_Toc408212164"/>
      <w:r w:rsidRPr="00804A2C">
        <w:rPr>
          <w:rFonts w:cs="Times New Roman"/>
        </w:rPr>
        <w:t>B.</w:t>
      </w:r>
      <w:r w:rsidRPr="00804A2C">
        <w:rPr>
          <w:rFonts w:cs="Times New Roman"/>
        </w:rPr>
        <w:tab/>
      </w:r>
      <w:r w:rsidRPr="00804A2C">
        <w:rPr>
          <w:rFonts w:cs="Times New Roman"/>
          <w:i/>
        </w:rPr>
        <w:t>Context</w:t>
      </w:r>
      <w:bookmarkEnd w:id="375"/>
      <w:bookmarkEnd w:id="376"/>
      <w:bookmarkEnd w:id="377"/>
      <w:bookmarkEnd w:id="378"/>
      <w:bookmarkEnd w:id="379"/>
      <w:bookmarkEnd w:id="380"/>
      <w:bookmarkEnd w:id="381"/>
      <w:bookmarkEnd w:id="382"/>
    </w:p>
    <w:p w:rsidR="00BB1957" w:rsidRPr="00804A2C" w:rsidRDefault="00BB1957" w:rsidP="00BB1957">
      <w:pPr>
        <w:pStyle w:val="ParaNoNdepar-AltN"/>
        <w:rPr>
          <w:rFonts w:cs="Times New Roman"/>
        </w:rPr>
      </w:pPr>
      <w:r w:rsidRPr="00804A2C">
        <w:rPr>
          <w:rFonts w:cs="Times New Roman"/>
        </w:rPr>
        <w:t>The broader context in which the flyers were published included, among other things, a history of discrimination against those of same-sex orientation and the relatively recent recognition of their equality rights and protection as a vulnerable group; public policy debates about the appropriate content of public school curriculum; and ongoing religious and public interest debates about the morality of same-sex conduct.</w:t>
      </w:r>
    </w:p>
    <w:p w:rsidR="00BB1957" w:rsidRPr="00804A2C" w:rsidRDefault="00BB1957" w:rsidP="00BB1957">
      <w:pPr>
        <w:pStyle w:val="ParaNoNdepar-AltN"/>
        <w:rPr>
          <w:rFonts w:cs="Times New Roman"/>
        </w:rPr>
      </w:pPr>
      <w:r w:rsidRPr="00804A2C">
        <w:rPr>
          <w:rFonts w:cs="Times New Roman"/>
        </w:rPr>
        <w:t>Before reviewing the Tribunal’s decision, I would comment on three concerns raised by the Court of Appeal in relation to how the Tribunal and the Court of Queen’s Bench dealt with the context of the case. Unlike the appellate court, I do not find that the Tribunal unreasonably failed to give proper weight to the importance of protecting expression that is part of an ongoing debate on sexual morality and public policy. Nor do I find the Tribunal’s approach unreasonable in isolating certain excerpts from the flyers for examination, or in finding that the flyers criticize sexual orientation and not simply sexual behaviour.</w:t>
      </w:r>
    </w:p>
    <w:p w:rsidR="00BB1957" w:rsidRPr="00804A2C" w:rsidRDefault="00BB1957" w:rsidP="00BB1957">
      <w:pPr>
        <w:pStyle w:val="ParaNoNdepar-AltN"/>
        <w:rPr>
          <w:rFonts w:cs="Times New Roman"/>
        </w:rPr>
      </w:pPr>
      <w:r w:rsidRPr="00804A2C">
        <w:rPr>
          <w:rFonts w:cs="Times New Roman"/>
        </w:rPr>
        <w:t xml:space="preserve"> As discussed, that the rights of a vulnerable group are a matter of ongoing discussion does not justify greater exposure by that group to hatred and its effects.  This is because the only expression which should be caught by s. 14(1</w:t>
      </w:r>
      <w:proofErr w:type="gramStart"/>
      <w:r w:rsidRPr="00804A2C">
        <w:rPr>
          <w:rFonts w:cs="Times New Roman"/>
        </w:rPr>
        <w:t>)(</w:t>
      </w:r>
      <w:proofErr w:type="gramEnd"/>
      <w:r w:rsidRPr="00C378F9">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is hate-inspiring expression that adds little value to political discourse or to the quest for truth, self-fulfillment, and an embracing marketplace of ideas.</w:t>
      </w:r>
    </w:p>
    <w:p w:rsidR="00BB1957" w:rsidRPr="00804A2C" w:rsidRDefault="00BB1957" w:rsidP="00BB1957">
      <w:pPr>
        <w:pStyle w:val="ParaNoNdepar-AltN"/>
        <w:rPr>
          <w:rFonts w:cs="Times New Roman"/>
        </w:rPr>
      </w:pPr>
      <w:r w:rsidRPr="00804A2C">
        <w:rPr>
          <w:rFonts w:cs="Times New Roman"/>
        </w:rPr>
        <w:t xml:space="preserve">Once the appellate court in the present case determined that Mr. </w:t>
      </w:r>
      <w:proofErr w:type="spellStart"/>
      <w:r w:rsidRPr="00804A2C">
        <w:rPr>
          <w:rFonts w:cs="Times New Roman"/>
        </w:rPr>
        <w:t>Whatcott’s</w:t>
      </w:r>
      <w:proofErr w:type="spellEnd"/>
      <w:r w:rsidRPr="00804A2C">
        <w:rPr>
          <w:rFonts w:cs="Times New Roman"/>
        </w:rPr>
        <w:t xml:space="preserve"> flyers were a polemic on public policy issues, it essentially precluded any finding that the expression in question constituted hate speech.  This was especially so when the court rejected the relevancy of the inflammatory nature of the language used. In my respectful view, this approach was in error.</w:t>
      </w:r>
    </w:p>
    <w:p w:rsidR="00BB1957" w:rsidRPr="00804A2C" w:rsidRDefault="00BB1957" w:rsidP="00BB1957">
      <w:pPr>
        <w:pStyle w:val="ParaNoNdepar-AltN"/>
        <w:rPr>
          <w:rFonts w:cs="Times New Roman"/>
        </w:rPr>
      </w:pPr>
      <w:r w:rsidRPr="00804A2C">
        <w:rPr>
          <w:rFonts w:cs="Times New Roman"/>
        </w:rPr>
        <w:t xml:space="preserve"> The appellate court also expressed concern about the manner in which the Tribunal isolated certain</w:t>
      </w:r>
      <w:r w:rsidRPr="00804A2C">
        <w:rPr>
          <w:rFonts w:cs="Times New Roman"/>
          <w:i/>
        </w:rPr>
        <w:t xml:space="preserve"> </w:t>
      </w:r>
      <w:r w:rsidRPr="00804A2C">
        <w:rPr>
          <w:rFonts w:cs="Times New Roman"/>
        </w:rPr>
        <w:t xml:space="preserve">excerpts from Mr. </w:t>
      </w:r>
      <w:proofErr w:type="spellStart"/>
      <w:r w:rsidRPr="00804A2C">
        <w:rPr>
          <w:rFonts w:cs="Times New Roman"/>
        </w:rPr>
        <w:t>Whatcott’s</w:t>
      </w:r>
      <w:proofErr w:type="spellEnd"/>
      <w:r w:rsidRPr="00804A2C">
        <w:rPr>
          <w:rFonts w:cs="Times New Roman"/>
        </w:rPr>
        <w:t xml:space="preserve"> flyers and then proceeded to determine that they evidenced a contravention of s. 14(1</w:t>
      </w:r>
      <w:proofErr w:type="gramStart"/>
      <w:r w:rsidRPr="00804A2C">
        <w:rPr>
          <w:rFonts w:cs="Times New Roman"/>
        </w:rPr>
        <w:t>)(</w:t>
      </w:r>
      <w:proofErr w:type="gramEnd"/>
      <w:r w:rsidRPr="00C378F9">
        <w:rPr>
          <w:rFonts w:cs="Times New Roman"/>
        </w:rPr>
        <w:t>b</w:t>
      </w:r>
      <w:r w:rsidRPr="00804A2C">
        <w:rPr>
          <w:rFonts w:cs="Times New Roman"/>
        </w:rPr>
        <w:t xml:space="preserve">) of the </w:t>
      </w:r>
      <w:r w:rsidRPr="00804A2C">
        <w:rPr>
          <w:rFonts w:cs="Times New Roman"/>
          <w:i/>
        </w:rPr>
        <w:t>Code</w:t>
      </w:r>
      <w:r w:rsidRPr="00804A2C">
        <w:rPr>
          <w:rFonts w:cs="Times New Roman"/>
        </w:rPr>
        <w:t>.  The court warned that it was not enough that particular words or phrases might be considered to meet the definition of hatred.</w:t>
      </w:r>
    </w:p>
    <w:p w:rsidR="00BB1957" w:rsidRPr="00804A2C" w:rsidRDefault="00BB1957" w:rsidP="00BB1957">
      <w:pPr>
        <w:pStyle w:val="ParaNoNdepar-AltN"/>
        <w:rPr>
          <w:rFonts w:cs="Times New Roman"/>
        </w:rPr>
      </w:pPr>
      <w:r w:rsidRPr="00804A2C">
        <w:rPr>
          <w:rFonts w:cs="Times New Roman"/>
        </w:rPr>
        <w:t>I agree that the words and phrases in a publication cannot properly be assessed out of context.  The expression must be considered as a whole, to determine the overall impact or effect of the publication.  However, it is also legitimate to proceed with a closer scrutiny of those parts of the expression which draw nearer to the purview of s. 14(1</w:t>
      </w:r>
      <w:proofErr w:type="gramStart"/>
      <w:r w:rsidRPr="00804A2C">
        <w:rPr>
          <w:rFonts w:cs="Times New Roman"/>
        </w:rPr>
        <w:t>)(</w:t>
      </w:r>
      <w:proofErr w:type="gramEnd"/>
      <w:r w:rsidRPr="00C378F9">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In most cases, the overall context of the expression will affect the presentation, tone, or meaning of particular phrases or excerpts.  However, a dissertation on public policy issues will not necessarily cleanse passages within a publication that would otherwise contravene a hate speech prohibition: </w:t>
      </w:r>
      <w:proofErr w:type="spellStart"/>
      <w:r w:rsidRPr="00804A2C">
        <w:rPr>
          <w:rFonts w:cs="Times New Roman"/>
          <w:i/>
        </w:rPr>
        <w:t>Kempling</w:t>
      </w:r>
      <w:proofErr w:type="spellEnd"/>
      <w:r w:rsidRPr="00804A2C">
        <w:rPr>
          <w:rFonts w:cs="Times New Roman"/>
        </w:rPr>
        <w:t xml:space="preserve">; </w:t>
      </w:r>
      <w:r w:rsidRPr="00804A2C">
        <w:rPr>
          <w:rFonts w:cs="Times New Roman"/>
          <w:i/>
        </w:rPr>
        <w:t>Snyder</w:t>
      </w:r>
      <w:r w:rsidRPr="00804A2C">
        <w:rPr>
          <w:rFonts w:cs="Times New Roman"/>
        </w:rPr>
        <w:t>.</w:t>
      </w:r>
    </w:p>
    <w:p w:rsidR="00BB1957" w:rsidRPr="00804A2C" w:rsidRDefault="00BB1957" w:rsidP="00BB1957">
      <w:pPr>
        <w:pStyle w:val="ParaNoNdepar-AltN"/>
        <w:rPr>
          <w:rFonts w:cs="Times New Roman"/>
        </w:rPr>
      </w:pPr>
      <w:r w:rsidRPr="00804A2C">
        <w:rPr>
          <w:rFonts w:cs="Times New Roman"/>
        </w:rPr>
        <w:t xml:space="preserve">In my view, it was not unreasonable for the Tribunal in this case to isolate the phrases it considered to be in issue.  If, despite the context of the entire publication, even one phrase or sentence is found to bring the publication, as a whole, in contravention of the </w:t>
      </w:r>
      <w:r w:rsidRPr="00804A2C">
        <w:rPr>
          <w:rFonts w:cs="Times New Roman"/>
          <w:i/>
        </w:rPr>
        <w:t>Code</w:t>
      </w:r>
      <w:r w:rsidRPr="00804A2C">
        <w:rPr>
          <w:rFonts w:cs="Times New Roman"/>
        </w:rPr>
        <w:t xml:space="preserve">, this precludes publication of the flyer in its current form. </w:t>
      </w:r>
    </w:p>
    <w:p w:rsidR="00BB1957" w:rsidRPr="00804A2C" w:rsidRDefault="00BB1957" w:rsidP="00BB1957">
      <w:pPr>
        <w:pStyle w:val="ParaNoNdepar-AltN"/>
        <w:rPr>
          <w:rFonts w:cs="Times New Roman"/>
        </w:rPr>
      </w:pPr>
      <w:r w:rsidRPr="00804A2C">
        <w:rPr>
          <w:rFonts w:cs="Times New Roman"/>
        </w:rPr>
        <w:t xml:space="preserve">Finally, unlike the Court of Appeal, I do not accept Mr. </w:t>
      </w:r>
      <w:proofErr w:type="spellStart"/>
      <w:r w:rsidRPr="00804A2C">
        <w:rPr>
          <w:rFonts w:cs="Times New Roman"/>
        </w:rPr>
        <w:t>Whatcott’s</w:t>
      </w:r>
      <w:proofErr w:type="spellEnd"/>
      <w:r w:rsidRPr="00804A2C">
        <w:rPr>
          <w:rFonts w:cs="Times New Roman"/>
        </w:rPr>
        <w:t xml:space="preserve"> submission that the flyers targeted sexual activities, rather than sexual orientation. While the publications at issue may appear to engage in the debate about the morality of certain sexual behaviour, they are only aimed at that sexual activity when it is carried out by persons of a certain sexual orientation.  They do not deal with the same sexual acts when carried out by heterosexual partners.  For example, the word “sodomy” in the flyers is not used in relation to sexual acts in general, but only the sexual act as between men.  This is clear by Mr. </w:t>
      </w:r>
      <w:proofErr w:type="spellStart"/>
      <w:r w:rsidRPr="00804A2C">
        <w:rPr>
          <w:rFonts w:cs="Times New Roman"/>
        </w:rPr>
        <w:t>Whatcott’s</w:t>
      </w:r>
      <w:proofErr w:type="spellEnd"/>
      <w:r w:rsidRPr="00804A2C">
        <w:rPr>
          <w:rFonts w:cs="Times New Roman"/>
        </w:rPr>
        <w:t xml:space="preserve"> reference to “sodomites and lesbians” and “learning how wonderful it is for two men to sodomize each other” (Flyer D).</w:t>
      </w:r>
    </w:p>
    <w:p w:rsidR="00BB1957" w:rsidRPr="00804A2C" w:rsidRDefault="00BB1957" w:rsidP="00BB1957">
      <w:pPr>
        <w:pStyle w:val="ParaNoNdepar-AltN"/>
        <w:rPr>
          <w:rFonts w:cs="Times New Roman"/>
        </w:rPr>
      </w:pPr>
      <w:r w:rsidRPr="00804A2C">
        <w:rPr>
          <w:rFonts w:cs="Times New Roman"/>
        </w:rPr>
        <w:t xml:space="preserve">Genuine comments on sexual activity are not likely to fall into the purview of a prohibition against hate.  If Mr. </w:t>
      </w:r>
      <w:proofErr w:type="spellStart"/>
      <w:r w:rsidRPr="00804A2C">
        <w:rPr>
          <w:rFonts w:cs="Times New Roman"/>
        </w:rPr>
        <w:t>Whatcott’s</w:t>
      </w:r>
      <w:proofErr w:type="spellEnd"/>
      <w:r w:rsidRPr="00804A2C">
        <w:rPr>
          <w:rFonts w:cs="Times New Roman"/>
        </w:rPr>
        <w:t xml:space="preserve"> message was that those who engage in sexual practices not leading to procreation should not be hired as teachers or that such practices should not be discussed as part of the school curriculum, his expression would not implicate an identifiable group.  If, however, he chooses to direct his expression at sexual behaviour by those of a certain sexual orientation, his expression must be assessed against the hatred definition in the same manner as if his expression was targeted at those of a certain race or religion.</w:t>
      </w:r>
    </w:p>
    <w:p w:rsidR="00BB1957" w:rsidRPr="00804A2C" w:rsidRDefault="00BB1957" w:rsidP="0054617D">
      <w:pPr>
        <w:pStyle w:val="TitleTitre-AltT"/>
        <w:tabs>
          <w:tab w:val="clear" w:pos="360"/>
          <w:tab w:val="left" w:pos="540"/>
        </w:tabs>
        <w:ind w:left="540" w:hanging="540"/>
        <w:rPr>
          <w:rFonts w:cs="Times New Roman"/>
        </w:rPr>
      </w:pPr>
      <w:bookmarkStart w:id="383" w:name="_Toc341432534"/>
      <w:bookmarkStart w:id="384" w:name="_Toc341687014"/>
      <w:bookmarkStart w:id="385" w:name="_Toc346006837"/>
      <w:bookmarkStart w:id="386" w:name="_Toc349051297"/>
      <w:bookmarkStart w:id="387" w:name="_Toc349051375"/>
      <w:bookmarkStart w:id="388" w:name="_Toc349306930"/>
      <w:bookmarkStart w:id="389" w:name="_Toc349638246"/>
      <w:bookmarkStart w:id="390" w:name="_Toc408212165"/>
      <w:r w:rsidRPr="00804A2C">
        <w:rPr>
          <w:rFonts w:cs="Times New Roman"/>
        </w:rPr>
        <w:t>C.</w:t>
      </w:r>
      <w:r w:rsidRPr="00804A2C">
        <w:rPr>
          <w:rFonts w:cs="Times New Roman"/>
        </w:rPr>
        <w:tab/>
      </w:r>
      <w:r w:rsidRPr="00804A2C">
        <w:rPr>
          <w:rFonts w:cs="Times New Roman"/>
          <w:i/>
        </w:rPr>
        <w:t>The Tribunal’s Decision</w:t>
      </w:r>
      <w:bookmarkEnd w:id="383"/>
      <w:bookmarkEnd w:id="384"/>
      <w:bookmarkEnd w:id="385"/>
      <w:bookmarkEnd w:id="386"/>
      <w:bookmarkEnd w:id="387"/>
      <w:bookmarkEnd w:id="388"/>
      <w:bookmarkEnd w:id="389"/>
      <w:bookmarkEnd w:id="390"/>
    </w:p>
    <w:p w:rsidR="00BB1957" w:rsidRPr="00804A2C" w:rsidRDefault="00BB1957" w:rsidP="00BB1957">
      <w:pPr>
        <w:pStyle w:val="ParaNoNdepar-AltN"/>
        <w:rPr>
          <w:rFonts w:cs="Times New Roman"/>
        </w:rPr>
      </w:pPr>
      <w:r w:rsidRPr="00804A2C">
        <w:rPr>
          <w:rFonts w:cs="Times New Roman"/>
        </w:rPr>
        <w:t xml:space="preserve">The Tribunal acknowledged the approach mandated by the Saskatchewan Court of Appeal in </w:t>
      </w:r>
      <w:r w:rsidRPr="00804A2C">
        <w:rPr>
          <w:rFonts w:cs="Times New Roman"/>
          <w:i/>
        </w:rPr>
        <w:t>Bell</w:t>
      </w:r>
      <w:r w:rsidRPr="00804A2C">
        <w:rPr>
          <w:rFonts w:cs="Times New Roman"/>
        </w:rPr>
        <w:t xml:space="preserve"> to restrict the application of s. 14(1</w:t>
      </w:r>
      <w:proofErr w:type="gramStart"/>
      <w:r w:rsidRPr="00804A2C">
        <w:rPr>
          <w:rFonts w:cs="Times New Roman"/>
        </w:rPr>
        <w:t>)(</w:t>
      </w:r>
      <w:proofErr w:type="gramEnd"/>
      <w:r w:rsidRPr="00C378F9">
        <w:rPr>
          <w:rFonts w:cs="Times New Roman"/>
        </w:rPr>
        <w:t>b</w:t>
      </w:r>
      <w:r w:rsidRPr="00804A2C">
        <w:rPr>
          <w:rFonts w:cs="Times New Roman"/>
        </w:rPr>
        <w:t xml:space="preserve">) to the </w:t>
      </w:r>
      <w:r w:rsidRPr="00804A2C">
        <w:rPr>
          <w:rFonts w:cs="Times New Roman"/>
          <w:i/>
        </w:rPr>
        <w:t xml:space="preserve">Taylor </w:t>
      </w:r>
      <w:r w:rsidRPr="00804A2C">
        <w:rPr>
          <w:rFonts w:cs="Times New Roman"/>
        </w:rPr>
        <w:t xml:space="preserve">definition of hatred. The application of the hatred definition, as modified by these reasons, questions whether a reasonable person, aware of the relevant context and circumstances, would view the representations as exposing or likely to expose a person or class of persons to detestation or vilification on the basis of a prohibited ground of discrimination. The application must also take the objectives of the </w:t>
      </w:r>
      <w:r w:rsidRPr="00804A2C">
        <w:rPr>
          <w:rFonts w:cs="Times New Roman"/>
          <w:i/>
        </w:rPr>
        <w:t>Code</w:t>
      </w:r>
      <w:r w:rsidRPr="00804A2C">
        <w:rPr>
          <w:rFonts w:cs="Times New Roman"/>
        </w:rPr>
        <w:t xml:space="preserve"> into account. </w:t>
      </w:r>
    </w:p>
    <w:p w:rsidR="00BB1957" w:rsidRPr="00804A2C" w:rsidRDefault="00BB1957" w:rsidP="00BB1957">
      <w:pPr>
        <w:pStyle w:val="ParaNoNdepar-AltN"/>
        <w:rPr>
          <w:rFonts w:cs="Times New Roman"/>
        </w:rPr>
      </w:pPr>
      <w:r w:rsidRPr="00804A2C">
        <w:rPr>
          <w:rFonts w:cs="Times New Roman"/>
        </w:rPr>
        <w:t>In my view, the Tribunal was aware that the test to be applied was an objective one</w:t>
      </w:r>
      <w:r w:rsidRPr="00C378F9">
        <w:rPr>
          <w:rFonts w:cs="Times New Roman"/>
        </w:rPr>
        <w:t>.</w:t>
      </w:r>
      <w:r w:rsidRPr="00804A2C">
        <w:rPr>
          <w:rFonts w:cs="Times New Roman"/>
          <w:i/>
        </w:rPr>
        <w:t xml:space="preserve"> </w:t>
      </w:r>
      <w:r w:rsidRPr="00804A2C">
        <w:rPr>
          <w:rFonts w:cs="Times New Roman"/>
        </w:rPr>
        <w:t>Although it devoted considerable time to summarizing evidence on the impact of the flyers on the various complainants, this was relevant to the issue of compensation to be provided pursuant to s. 31.4(</w:t>
      </w:r>
      <w:r w:rsidRPr="00C378F9">
        <w:rPr>
          <w:rFonts w:cs="Times New Roman"/>
        </w:rPr>
        <w:t>a</w:t>
      </w:r>
      <w:r w:rsidRPr="00804A2C">
        <w:rPr>
          <w:rFonts w:cs="Times New Roman"/>
        </w:rPr>
        <w:t>) and (</w:t>
      </w:r>
      <w:r w:rsidRPr="00C378F9">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After summarizing the evidence of expert witnesses and of Mr. </w:t>
      </w:r>
      <w:proofErr w:type="spellStart"/>
      <w:r w:rsidRPr="00804A2C">
        <w:rPr>
          <w:rFonts w:cs="Times New Roman"/>
        </w:rPr>
        <w:t>Whatcott</w:t>
      </w:r>
      <w:proofErr w:type="spellEnd"/>
      <w:r w:rsidRPr="00804A2C">
        <w:rPr>
          <w:rFonts w:cs="Times New Roman"/>
        </w:rPr>
        <w:t xml:space="preserve">, the Tribunal acknowledged that Mr. </w:t>
      </w:r>
      <w:proofErr w:type="spellStart"/>
      <w:r w:rsidRPr="00804A2C">
        <w:rPr>
          <w:rFonts w:cs="Times New Roman"/>
        </w:rPr>
        <w:t>Whatcott’s</w:t>
      </w:r>
      <w:proofErr w:type="spellEnd"/>
      <w:r w:rsidRPr="00804A2C">
        <w:rPr>
          <w:rFonts w:cs="Times New Roman"/>
        </w:rPr>
        <w:t xml:space="preserve"> intention in distributing the flyers was irrelevant. Noting that the application of an objective test by the Board of Inquiry in </w:t>
      </w:r>
      <w:r w:rsidRPr="00804A2C">
        <w:rPr>
          <w:rFonts w:cs="Times New Roman"/>
          <w:i/>
        </w:rPr>
        <w:t>Owens</w:t>
      </w:r>
      <w:r w:rsidRPr="00804A2C">
        <w:rPr>
          <w:rFonts w:cs="Times New Roman"/>
        </w:rPr>
        <w:t xml:space="preserve"> had been confirmed by the Court of Queen’s Bench in that</w:t>
      </w:r>
      <w:r w:rsidRPr="00804A2C">
        <w:rPr>
          <w:rFonts w:cs="Times New Roman"/>
          <w:i/>
        </w:rPr>
        <w:t xml:space="preserve"> </w:t>
      </w:r>
      <w:r w:rsidRPr="00804A2C">
        <w:rPr>
          <w:rFonts w:cs="Times New Roman"/>
        </w:rPr>
        <w:t>case, the Tribunal went on to hold, in respect of each flyer, that it had no hesitation in concluding “that the material contained therein can objectively be viewed as exposing homosexuals to hatred and ridicule” (</w:t>
      </w:r>
      <w:proofErr w:type="spellStart"/>
      <w:r w:rsidRPr="00804A2C">
        <w:rPr>
          <w:rFonts w:cs="Times New Roman"/>
        </w:rPr>
        <w:t>paras</w:t>
      </w:r>
      <w:proofErr w:type="spellEnd"/>
      <w:r w:rsidRPr="00804A2C">
        <w:rPr>
          <w:rFonts w:cs="Times New Roman"/>
        </w:rPr>
        <w:t>. 51-53).</w:t>
      </w:r>
    </w:p>
    <w:p w:rsidR="00BB1957" w:rsidRPr="00804A2C" w:rsidRDefault="00BB1957" w:rsidP="00BB1957">
      <w:pPr>
        <w:pStyle w:val="ParaNoNdepar-AltN"/>
        <w:rPr>
          <w:rFonts w:cs="Times New Roman"/>
        </w:rPr>
      </w:pPr>
      <w:r w:rsidRPr="00804A2C">
        <w:rPr>
          <w:rFonts w:cs="Times New Roman"/>
        </w:rPr>
        <w:t xml:space="preserve">The Tribunal was also aware that the legislative objectives of the </w:t>
      </w:r>
      <w:r w:rsidRPr="00804A2C">
        <w:rPr>
          <w:rFonts w:cs="Times New Roman"/>
          <w:i/>
        </w:rPr>
        <w:t>Code</w:t>
      </w:r>
      <w:r w:rsidRPr="00804A2C">
        <w:rPr>
          <w:rFonts w:cs="Times New Roman"/>
        </w:rPr>
        <w:t xml:space="preserve"> must be kept in</w:t>
      </w:r>
      <w:r w:rsidRPr="00804A2C">
        <w:rPr>
          <w:rFonts w:cs="Times New Roman"/>
          <w:i/>
        </w:rPr>
        <w:t xml:space="preserve"> </w:t>
      </w:r>
      <w:r w:rsidRPr="00804A2C">
        <w:rPr>
          <w:rFonts w:cs="Times New Roman"/>
        </w:rPr>
        <w:t>mind in applying the prohibition in s. 14(1</w:t>
      </w:r>
      <w:proofErr w:type="gramStart"/>
      <w:r w:rsidRPr="00804A2C">
        <w:rPr>
          <w:rFonts w:cs="Times New Roman"/>
        </w:rPr>
        <w:t>)(</w:t>
      </w:r>
      <w:proofErr w:type="gramEnd"/>
      <w:r w:rsidRPr="00982000">
        <w:rPr>
          <w:rFonts w:cs="Times New Roman"/>
        </w:rPr>
        <w:t>b</w:t>
      </w:r>
      <w:r w:rsidRPr="00804A2C">
        <w:rPr>
          <w:rFonts w:cs="Times New Roman"/>
        </w:rPr>
        <w:t xml:space="preserve">). It noted Dickson C.J.’s observation, at p. 930 of </w:t>
      </w:r>
      <w:r w:rsidRPr="00804A2C">
        <w:rPr>
          <w:rFonts w:cs="Times New Roman"/>
          <w:i/>
        </w:rPr>
        <w:t>Taylor</w:t>
      </w:r>
      <w:r w:rsidRPr="00804A2C">
        <w:rPr>
          <w:rFonts w:cs="Times New Roman"/>
        </w:rPr>
        <w:t xml:space="preserve">, that clauses confirming the importance of freedom of expression, like s. 14(2) of the </w:t>
      </w:r>
      <w:r w:rsidRPr="00804A2C">
        <w:rPr>
          <w:rFonts w:cs="Times New Roman"/>
          <w:i/>
        </w:rPr>
        <w:t>Code</w:t>
      </w:r>
      <w:r w:rsidRPr="00804A2C">
        <w:rPr>
          <w:rFonts w:cs="Times New Roman"/>
        </w:rPr>
        <w:t>, indicate to tribunals “the necessity of balancing the objective of eradicating discrimination with the need to protect free expression” (</w:t>
      </w:r>
      <w:proofErr w:type="spellStart"/>
      <w:r w:rsidRPr="00804A2C">
        <w:rPr>
          <w:rFonts w:cs="Times New Roman"/>
        </w:rPr>
        <w:t>para</w:t>
      </w:r>
      <w:proofErr w:type="spellEnd"/>
      <w:r w:rsidRPr="00804A2C">
        <w:rPr>
          <w:rFonts w:cs="Times New Roman"/>
        </w:rPr>
        <w:t>. 55).</w:t>
      </w:r>
    </w:p>
    <w:p w:rsidR="00BB1957" w:rsidRPr="00804A2C" w:rsidRDefault="00BB1957" w:rsidP="00BB1957">
      <w:pPr>
        <w:pStyle w:val="ParaNoNdepar-AltN"/>
        <w:rPr>
          <w:rFonts w:cs="Times New Roman"/>
        </w:rPr>
      </w:pPr>
      <w:r w:rsidRPr="00804A2C">
        <w:rPr>
          <w:rFonts w:cs="Times New Roman"/>
        </w:rPr>
        <w:t>It remains to determine whether the Tribunal applied s. 14(1</w:t>
      </w:r>
      <w:proofErr w:type="gramStart"/>
      <w:r w:rsidRPr="00804A2C">
        <w:rPr>
          <w:rFonts w:cs="Times New Roman"/>
        </w:rPr>
        <w:t>)(</w:t>
      </w:r>
      <w:proofErr w:type="gramEnd"/>
      <w:r w:rsidRPr="00982000">
        <w:rPr>
          <w:rFonts w:cs="Times New Roman"/>
        </w:rPr>
        <w:t>b</w:t>
      </w:r>
      <w:r w:rsidRPr="00804A2C">
        <w:rPr>
          <w:rFonts w:cs="Times New Roman"/>
        </w:rPr>
        <w:t xml:space="preserve">) in a manner consistent with the ardent and extreme nature of feelings constituting “hatred” that was emphasized in </w:t>
      </w:r>
      <w:r w:rsidRPr="00804A2C">
        <w:rPr>
          <w:rFonts w:cs="Times New Roman"/>
          <w:i/>
        </w:rPr>
        <w:t>Taylor</w:t>
      </w:r>
      <w:r w:rsidRPr="00804A2C">
        <w:rPr>
          <w:rFonts w:cs="Times New Roman"/>
        </w:rPr>
        <w:t>.</w:t>
      </w:r>
    </w:p>
    <w:p w:rsidR="00BB1957" w:rsidRPr="00804A2C" w:rsidRDefault="00BB1957" w:rsidP="00BB1957">
      <w:pPr>
        <w:pStyle w:val="ParaNoNdepar-AltN"/>
        <w:rPr>
          <w:rFonts w:cs="Times New Roman"/>
        </w:rPr>
      </w:pPr>
      <w:r w:rsidRPr="00804A2C">
        <w:rPr>
          <w:rFonts w:cs="Times New Roman"/>
        </w:rPr>
        <w:t>The Tribunal isolated certain passages from each of the flyers.  In regard to Flyer D, it found that the combined references in six phrases “clearly exposes or tends to expose [homosexuals] to hatred, ridicules, belittles or otherwise affronts their dignity on the basis of their sexual orientation” (</w:t>
      </w:r>
      <w:proofErr w:type="spellStart"/>
      <w:r w:rsidRPr="00804A2C">
        <w:rPr>
          <w:rFonts w:cs="Times New Roman"/>
        </w:rPr>
        <w:t>para</w:t>
      </w:r>
      <w:proofErr w:type="spellEnd"/>
      <w:r w:rsidRPr="00804A2C">
        <w:rPr>
          <w:rFonts w:cs="Times New Roman"/>
        </w:rPr>
        <w:t>. 51):</w:t>
      </w:r>
    </w:p>
    <w:p w:rsidR="00BB1957" w:rsidRPr="00804A2C" w:rsidRDefault="00BB1957" w:rsidP="00BB1957">
      <w:pPr>
        <w:pStyle w:val="Citation-AltC"/>
      </w:pPr>
      <w:r w:rsidRPr="00804A2C">
        <w:t xml:space="preserve">. . . </w:t>
      </w:r>
      <w:proofErr w:type="gramStart"/>
      <w:r w:rsidRPr="00804A2C">
        <w:t>children .</w:t>
      </w:r>
      <w:proofErr w:type="gramEnd"/>
      <w:r w:rsidRPr="00804A2C">
        <w:t> . . learning how wonderful it is for two men to sodomize each other;</w:t>
      </w:r>
    </w:p>
    <w:p w:rsidR="00BB1957" w:rsidRPr="00804A2C" w:rsidRDefault="00BB1957" w:rsidP="00BB1957">
      <w:pPr>
        <w:pStyle w:val="Citation-AltC"/>
      </w:pPr>
    </w:p>
    <w:p w:rsidR="00BB1957" w:rsidRPr="00804A2C" w:rsidRDefault="00BB1957" w:rsidP="00BB1957">
      <w:pPr>
        <w:pStyle w:val="Citation-AltC"/>
      </w:pPr>
      <w:r w:rsidRPr="00804A2C">
        <w:t>Now the homosexuals want to share their filth and propaganda with Saskatchewan’s children;</w:t>
      </w:r>
    </w:p>
    <w:p w:rsidR="00BB1957" w:rsidRPr="00804A2C" w:rsidRDefault="00BB1957" w:rsidP="00BB1957">
      <w:pPr>
        <w:pStyle w:val="Citation-AltC"/>
      </w:pPr>
    </w:p>
    <w:p w:rsidR="00BB1957" w:rsidRPr="00804A2C" w:rsidRDefault="00BB1957" w:rsidP="00BB1957">
      <w:pPr>
        <w:pStyle w:val="Citation-AltC"/>
      </w:pPr>
      <w:proofErr w:type="gramStart"/>
      <w:r w:rsidRPr="00804A2C">
        <w:t>degenerated</w:t>
      </w:r>
      <w:proofErr w:type="gramEnd"/>
      <w:r w:rsidRPr="00804A2C">
        <w:t xml:space="preserve"> into a filthy session where gay and lesbian teachers used dirty language to describe lesbian sex and sodomy to their teenage audience;</w:t>
      </w:r>
    </w:p>
    <w:p w:rsidR="00BB1957" w:rsidRPr="00804A2C" w:rsidRDefault="00BB1957" w:rsidP="00BB1957">
      <w:pPr>
        <w:pStyle w:val="Citation-AltC"/>
      </w:pPr>
    </w:p>
    <w:p w:rsidR="00BB1957" w:rsidRPr="00804A2C" w:rsidRDefault="00BB1957" w:rsidP="00BB1957">
      <w:pPr>
        <w:pStyle w:val="Citation-AltC"/>
      </w:pPr>
      <w:proofErr w:type="gramStart"/>
      <w:r w:rsidRPr="00804A2C">
        <w:t>ex-Sodomites</w:t>
      </w:r>
      <w:proofErr w:type="gramEnd"/>
      <w:r w:rsidRPr="00804A2C">
        <w:t xml:space="preserve"> and other types of sex addicts who have been able to break free of their sexual bondage and develop wholesome and healthy relationships;</w:t>
      </w:r>
    </w:p>
    <w:p w:rsidR="00BB1957" w:rsidRPr="00804A2C" w:rsidRDefault="00BB1957" w:rsidP="00BB1957">
      <w:pPr>
        <w:pStyle w:val="Citation-AltC"/>
      </w:pPr>
    </w:p>
    <w:p w:rsidR="00BB1957" w:rsidRPr="00804A2C" w:rsidRDefault="00BB1957" w:rsidP="00BB1957">
      <w:pPr>
        <w:pStyle w:val="Citation-AltC"/>
      </w:pPr>
      <w:proofErr w:type="gramStart"/>
      <w:r w:rsidRPr="00804A2C">
        <w:t>sodomites</w:t>
      </w:r>
      <w:proofErr w:type="gramEnd"/>
      <w:r w:rsidRPr="00804A2C">
        <w:t xml:space="preserve"> and lesbians who want to remain in their lifestyle and proselytize vulnerable young people that civil law should discriminate against them;</w:t>
      </w:r>
    </w:p>
    <w:p w:rsidR="00BB1957" w:rsidRPr="00804A2C" w:rsidRDefault="00BB1957" w:rsidP="00BB1957">
      <w:pPr>
        <w:pStyle w:val="Citation-AltC"/>
      </w:pPr>
    </w:p>
    <w:p w:rsidR="00BB1957" w:rsidRPr="00804A2C" w:rsidRDefault="00BB1957" w:rsidP="00BB1957">
      <w:pPr>
        <w:pStyle w:val="Citation-AltC"/>
      </w:pPr>
      <w:r w:rsidRPr="00804A2C">
        <w:t>Our children will pay the price in disease, death, abuse . . .</w:t>
      </w:r>
      <w:r w:rsidRPr="00804A2C">
        <w:rPr>
          <w:sz w:val="28"/>
        </w:rPr>
        <w:t xml:space="preserve"> </w:t>
      </w:r>
      <w:r w:rsidRPr="00804A2C">
        <w:t>if we do not say no to the sodomite desire to socialize your children into accepting something that is clearly wrong.</w:t>
      </w:r>
    </w:p>
    <w:p w:rsidR="00BB1957" w:rsidRPr="00804A2C" w:rsidRDefault="00BB1957" w:rsidP="00BB1957">
      <w:pPr>
        <w:pStyle w:val="ParaNoNdepar-AltN"/>
        <w:rPr>
          <w:rFonts w:cs="Times New Roman"/>
        </w:rPr>
      </w:pPr>
      <w:r w:rsidRPr="00804A2C">
        <w:rPr>
          <w:rFonts w:cs="Times New Roman"/>
        </w:rPr>
        <w:t>The Tribunal made an identical finding with respect to the following passages from Flyer E (</w:t>
      </w:r>
      <w:proofErr w:type="spellStart"/>
      <w:r w:rsidRPr="00804A2C">
        <w:rPr>
          <w:rFonts w:cs="Times New Roman"/>
        </w:rPr>
        <w:t>para</w:t>
      </w:r>
      <w:proofErr w:type="spellEnd"/>
      <w:r w:rsidRPr="00804A2C">
        <w:rPr>
          <w:rFonts w:cs="Times New Roman"/>
        </w:rPr>
        <w:t xml:space="preserve">. 50): </w:t>
      </w:r>
    </w:p>
    <w:p w:rsidR="00BB1957" w:rsidRPr="00804A2C" w:rsidRDefault="00BB1957" w:rsidP="00BB1957">
      <w:pPr>
        <w:pStyle w:val="Citation-AltC"/>
      </w:pPr>
      <w:r w:rsidRPr="00804A2C">
        <w:t>Sodomites are 430 times more likely to acquire Aids and 3 times more likely to sexually abuse children</w:t>
      </w:r>
      <w:proofErr w:type="gramStart"/>
      <w:r w:rsidRPr="00804A2C">
        <w:t>!;</w:t>
      </w:r>
      <w:proofErr w:type="gramEnd"/>
    </w:p>
    <w:p w:rsidR="00BB1957" w:rsidRPr="00804A2C" w:rsidRDefault="00BB1957" w:rsidP="00BB1957">
      <w:pPr>
        <w:pStyle w:val="Citation-AltC"/>
      </w:pPr>
    </w:p>
    <w:p w:rsidR="00BB1957" w:rsidRPr="00804A2C" w:rsidRDefault="00BB1957" w:rsidP="00BB1957">
      <w:pPr>
        <w:pStyle w:val="Citation-AltC"/>
      </w:pPr>
      <w:r w:rsidRPr="00804A2C">
        <w:t>Born Gay? No Way! Homosexual sex is about risky and addictive behaviour</w:t>
      </w:r>
      <w:proofErr w:type="gramStart"/>
      <w:r w:rsidRPr="00804A2C">
        <w:t>!;</w:t>
      </w:r>
      <w:proofErr w:type="gramEnd"/>
    </w:p>
    <w:p w:rsidR="00BB1957" w:rsidRPr="00804A2C" w:rsidRDefault="00BB1957" w:rsidP="00BB1957">
      <w:pPr>
        <w:pStyle w:val="Citation-AltC"/>
      </w:pPr>
    </w:p>
    <w:p w:rsidR="00BB1957" w:rsidRPr="00804A2C" w:rsidRDefault="00BB1957" w:rsidP="00BB1957">
      <w:pPr>
        <w:pStyle w:val="Citation-AltC"/>
      </w:pPr>
      <w:r w:rsidRPr="00804A2C">
        <w:t>If Saskatchewan’s sodomites have their way, your school board will be celebrating buggery too</w:t>
      </w:r>
      <w:proofErr w:type="gramStart"/>
      <w:r w:rsidRPr="00804A2C">
        <w:t>!;</w:t>
      </w:r>
      <w:proofErr w:type="gramEnd"/>
    </w:p>
    <w:p w:rsidR="00BB1957" w:rsidRPr="00804A2C" w:rsidRDefault="00BB1957" w:rsidP="00BB1957">
      <w:pPr>
        <w:pStyle w:val="Citation-AltC"/>
      </w:pPr>
    </w:p>
    <w:p w:rsidR="00BB1957" w:rsidRPr="00804A2C" w:rsidRDefault="00BB1957" w:rsidP="00BB1957">
      <w:pPr>
        <w:pStyle w:val="Citation-AltC"/>
      </w:pPr>
      <w:r w:rsidRPr="00804A2C">
        <w:t>Don’t kid your selves; homosexuality is going to be taught to your children and it won’t be the media stereotypes of two monogamous men holding hands;</w:t>
      </w:r>
    </w:p>
    <w:p w:rsidR="00BB1957" w:rsidRPr="00804A2C" w:rsidRDefault="00BB1957" w:rsidP="00BB1957">
      <w:pPr>
        <w:pStyle w:val="Citation-AltC"/>
      </w:pPr>
    </w:p>
    <w:p w:rsidR="00BB1957" w:rsidRPr="00804A2C" w:rsidRDefault="00BB1957" w:rsidP="00BB1957">
      <w:pPr>
        <w:pStyle w:val="Citation-AltC"/>
      </w:pPr>
      <w:r w:rsidRPr="00804A2C">
        <w:t>The Bible is clear that homosexuality is an abomination;</w:t>
      </w:r>
    </w:p>
    <w:p w:rsidR="00BB1957" w:rsidRPr="00804A2C" w:rsidRDefault="00BB1957" w:rsidP="00BB1957">
      <w:pPr>
        <w:pStyle w:val="Citation-AltC"/>
      </w:pPr>
    </w:p>
    <w:p w:rsidR="00BB1957" w:rsidRPr="00804A2C" w:rsidRDefault="00BB1957" w:rsidP="00BB1957">
      <w:pPr>
        <w:pStyle w:val="Citation-AltC"/>
      </w:pPr>
      <w:r w:rsidRPr="00804A2C">
        <w:t xml:space="preserve">Sodom and Gomorrah was given over completely </w:t>
      </w:r>
      <w:proofErr w:type="gramStart"/>
      <w:r w:rsidRPr="00804A2C">
        <w:t>to</w:t>
      </w:r>
      <w:proofErr w:type="gramEnd"/>
      <w:r w:rsidRPr="00804A2C">
        <w:t xml:space="preserve"> homosexual perversion and as a result destroyed by God’s wrath;</w:t>
      </w:r>
    </w:p>
    <w:p w:rsidR="00BB1957" w:rsidRPr="00804A2C" w:rsidRDefault="00BB1957" w:rsidP="00BB1957">
      <w:pPr>
        <w:pStyle w:val="Citation-AltC"/>
      </w:pPr>
    </w:p>
    <w:p w:rsidR="00BB1957" w:rsidRPr="00804A2C" w:rsidRDefault="00BB1957" w:rsidP="00BB1957">
      <w:pPr>
        <w:pStyle w:val="Citation-AltC"/>
      </w:pPr>
      <w:r w:rsidRPr="00804A2C">
        <w:t>Our acceptance of homosexuality and our toleration of its promotion in our school system will lead to the early death and morbidity of many children.</w:t>
      </w:r>
    </w:p>
    <w:p w:rsidR="00BB1957" w:rsidRPr="00804A2C" w:rsidRDefault="00BB1957" w:rsidP="00BB1957">
      <w:pPr>
        <w:pStyle w:val="ParaNoNdepar-AltN"/>
        <w:rPr>
          <w:rFonts w:cs="Times New Roman"/>
        </w:rPr>
      </w:pPr>
      <w:r w:rsidRPr="00804A2C">
        <w:rPr>
          <w:rFonts w:cs="Times New Roman"/>
        </w:rPr>
        <w:t>Finally, the Tribunal found that Flyers F and G also exposed homosexuals to hatred and ridicule based on the following two phrases (</w:t>
      </w:r>
      <w:proofErr w:type="spellStart"/>
      <w:r w:rsidRPr="00804A2C">
        <w:rPr>
          <w:rFonts w:cs="Times New Roman"/>
        </w:rPr>
        <w:t>para</w:t>
      </w:r>
      <w:proofErr w:type="spellEnd"/>
      <w:r w:rsidRPr="00804A2C">
        <w:rPr>
          <w:rFonts w:cs="Times New Roman"/>
        </w:rPr>
        <w:t xml:space="preserve">. 53): </w:t>
      </w:r>
    </w:p>
    <w:p w:rsidR="00BB1957" w:rsidRPr="00804A2C" w:rsidRDefault="00BB1957" w:rsidP="00BB1957">
      <w:pPr>
        <w:pStyle w:val="Citation-AltC"/>
      </w:pPr>
      <w:r w:rsidRPr="00804A2C">
        <w:t>Saskatchewan’s largest gay magazine allows ads for men seeking boys</w:t>
      </w:r>
      <w:proofErr w:type="gramStart"/>
      <w:r w:rsidRPr="00804A2C">
        <w:t>!;</w:t>
      </w:r>
      <w:proofErr w:type="gramEnd"/>
    </w:p>
    <w:p w:rsidR="00BB1957" w:rsidRPr="00804A2C" w:rsidRDefault="00BB1957" w:rsidP="00BB1957">
      <w:pPr>
        <w:pStyle w:val="Citation-AltC"/>
      </w:pPr>
    </w:p>
    <w:p w:rsidR="00BB1957" w:rsidRPr="00804A2C" w:rsidRDefault="00BB1957" w:rsidP="00BB1957">
      <w:pPr>
        <w:pStyle w:val="Citation-AltC"/>
      </w:pPr>
      <w:r w:rsidRPr="00804A2C">
        <w:t xml:space="preserve">If you </w:t>
      </w:r>
      <w:proofErr w:type="gramStart"/>
      <w:r w:rsidRPr="00804A2C">
        <w:t>cause</w:t>
      </w:r>
      <w:proofErr w:type="gramEnd"/>
      <w:r w:rsidRPr="00804A2C">
        <w:t xml:space="preserve"> one of these little ones to stumble it would be better that a millstone was tied around your neck and you were cast into the sea.</w:t>
      </w:r>
    </w:p>
    <w:p w:rsidR="00BB1957" w:rsidRPr="00804A2C" w:rsidRDefault="00BB1957" w:rsidP="00BB1957">
      <w:pPr>
        <w:pStyle w:val="ParaNoNdepar-AltN"/>
        <w:rPr>
          <w:rFonts w:cs="Times New Roman"/>
        </w:rPr>
      </w:pPr>
      <w:r w:rsidRPr="00804A2C">
        <w:rPr>
          <w:rFonts w:cs="Times New Roman"/>
        </w:rPr>
        <w:t xml:space="preserve">The Tribunal indicated that it considered evidence as a pattern or practice of disregard of rights under s. 31(4) of the </w:t>
      </w:r>
      <w:r w:rsidRPr="00804A2C">
        <w:rPr>
          <w:rFonts w:cs="Times New Roman"/>
          <w:i/>
        </w:rPr>
        <w:t>Code</w:t>
      </w:r>
      <w:r w:rsidRPr="00804A2C">
        <w:rPr>
          <w:rFonts w:cs="Times New Roman"/>
        </w:rPr>
        <w:t>. It</w:t>
      </w:r>
      <w:r w:rsidRPr="00804A2C">
        <w:rPr>
          <w:rFonts w:cs="Times New Roman"/>
          <w:i/>
        </w:rPr>
        <w:t xml:space="preserve"> </w:t>
      </w:r>
      <w:r w:rsidRPr="00804A2C">
        <w:rPr>
          <w:rFonts w:cs="Times New Roman"/>
        </w:rPr>
        <w:t xml:space="preserve">held that in distributing the materials in Saskatchewan between September 2001 and April 2002, Mr. </w:t>
      </w:r>
      <w:proofErr w:type="spellStart"/>
      <w:r w:rsidRPr="00804A2C">
        <w:rPr>
          <w:rFonts w:cs="Times New Roman"/>
        </w:rPr>
        <w:t>Whatcott</w:t>
      </w:r>
      <w:proofErr w:type="spellEnd"/>
      <w:r w:rsidRPr="00804A2C">
        <w:rPr>
          <w:rFonts w:cs="Times New Roman"/>
        </w:rPr>
        <w:t xml:space="preserve"> had shown a clear pattern or practice of disregard for protected rights.  The Tribunal added that it would have reached the same conclusion taking the flyers individually. </w:t>
      </w:r>
    </w:p>
    <w:p w:rsidR="00BB1957" w:rsidRPr="00804A2C" w:rsidRDefault="00BB1957" w:rsidP="00BB1957">
      <w:pPr>
        <w:pStyle w:val="ParaNoNdepar-AltN"/>
        <w:rPr>
          <w:rFonts w:cs="Times New Roman"/>
        </w:rPr>
      </w:pPr>
      <w:r w:rsidRPr="00804A2C">
        <w:rPr>
          <w:rFonts w:cs="Times New Roman"/>
        </w:rPr>
        <w:t xml:space="preserve">In my view, whether applying the </w:t>
      </w:r>
      <w:r w:rsidRPr="00804A2C">
        <w:rPr>
          <w:rFonts w:cs="Times New Roman"/>
          <w:i/>
        </w:rPr>
        <w:t>Taylor</w:t>
      </w:r>
      <w:r w:rsidRPr="00804A2C">
        <w:rPr>
          <w:rFonts w:cs="Times New Roman"/>
        </w:rPr>
        <w:t xml:space="preserve"> definition of “hatred” or the definition as modified by these reasons, the Tribunal’s conclusions with respect to Flyers D and E were reasonable. </w:t>
      </w:r>
    </w:p>
    <w:p w:rsidR="00BB1957" w:rsidRPr="00804A2C" w:rsidRDefault="00BB1957" w:rsidP="00BB1957">
      <w:pPr>
        <w:pStyle w:val="ParaNoNdepar-AltN"/>
        <w:rPr>
          <w:rFonts w:cs="Times New Roman"/>
        </w:rPr>
      </w:pPr>
      <w:r w:rsidRPr="00804A2C">
        <w:rPr>
          <w:rFonts w:cs="Times New Roman"/>
        </w:rPr>
        <w:t xml:space="preserve">Passages of Flyers D and E combine many of the “hallmarks” of hatred identified in the case law.  The expression portrays the targeted group as a menace that could threaten the safety and well-being of others, makes reference to respected sources (in this case the Bible) to lend credibility to the negative generalizations, and uses vilifying and derogatory representations to create a tone of hatred: see </w:t>
      </w:r>
      <w:proofErr w:type="spellStart"/>
      <w:r w:rsidRPr="00804A2C">
        <w:rPr>
          <w:rFonts w:cs="Times New Roman"/>
          <w:i/>
        </w:rPr>
        <w:t>Kouba</w:t>
      </w:r>
      <w:proofErr w:type="spellEnd"/>
      <w:r w:rsidRPr="00804A2C">
        <w:rPr>
          <w:rFonts w:cs="Times New Roman"/>
        </w:rPr>
        <w:t xml:space="preserve">, at </w:t>
      </w:r>
      <w:proofErr w:type="spellStart"/>
      <w:r w:rsidRPr="00804A2C">
        <w:rPr>
          <w:rFonts w:cs="Times New Roman"/>
        </w:rPr>
        <w:t>paras</w:t>
      </w:r>
      <w:proofErr w:type="spellEnd"/>
      <w:r w:rsidRPr="00804A2C">
        <w:rPr>
          <w:rFonts w:cs="Times New Roman"/>
        </w:rPr>
        <w:t>. 24-81</w:t>
      </w:r>
      <w:proofErr w:type="gramStart"/>
      <w:r w:rsidRPr="00804A2C">
        <w:rPr>
          <w:rFonts w:cs="Times New Roman"/>
        </w:rPr>
        <w:t>.  It</w:t>
      </w:r>
      <w:proofErr w:type="gramEnd"/>
      <w:r w:rsidRPr="00804A2C">
        <w:rPr>
          <w:rFonts w:cs="Times New Roman"/>
        </w:rPr>
        <w:t xml:space="preserve"> delegitimizes homosexuals by referring to them as filthy or dirty sex addicts and by comparing them to pedophiles, a traditionally reviled group in society.</w:t>
      </w:r>
    </w:p>
    <w:p w:rsidR="00BB1957" w:rsidRPr="00804A2C" w:rsidRDefault="00BB1957" w:rsidP="00BB1957">
      <w:pPr>
        <w:pStyle w:val="ParaNoNdepar-AltN"/>
        <w:rPr>
          <w:rFonts w:cs="Times New Roman"/>
        </w:rPr>
      </w:pPr>
      <w:r w:rsidRPr="00804A2C">
        <w:rPr>
          <w:rFonts w:cs="Times New Roman"/>
        </w:rPr>
        <w:t xml:space="preserve">Some of the examples of the hate-inspiring representations in </w:t>
      </w:r>
      <w:r w:rsidR="00982000">
        <w:rPr>
          <w:rFonts w:cs="Times New Roman"/>
        </w:rPr>
        <w:t>F</w:t>
      </w:r>
      <w:r w:rsidRPr="00804A2C">
        <w:rPr>
          <w:rFonts w:cs="Times New Roman"/>
        </w:rPr>
        <w:t>lyers D and E are phrases such as: “Now the homosexuals want to share their filth and propaganda with Saskatchewan’s children”; “degenerated into a filthy session where gay and lesbian teachers used dirty language to describe lesbian sex and sodomy to their teenage audience”; “proselytize vulnerable young people”; “ex-Sodomites and other types of sex addicts”; and “</w:t>
      </w:r>
      <w:r w:rsidR="00982000">
        <w:rPr>
          <w:rFonts w:cs="Times New Roman"/>
        </w:rPr>
        <w:t>[h]</w:t>
      </w:r>
      <w:proofErr w:type="spellStart"/>
      <w:r w:rsidRPr="00804A2C">
        <w:rPr>
          <w:rFonts w:cs="Times New Roman"/>
        </w:rPr>
        <w:t>omosexual</w:t>
      </w:r>
      <w:proofErr w:type="spellEnd"/>
      <w:r w:rsidRPr="00804A2C">
        <w:rPr>
          <w:rFonts w:cs="Times New Roman"/>
        </w:rPr>
        <w:t xml:space="preserve"> sex is about risky &amp; addictive behaviour!”  The repeated references to “filth”, “dirty”, “degenerated” and “sex addicts” or “addictive behaviour” emphasize the notion that those of same</w:t>
      </w:r>
      <w:r w:rsidR="00982000">
        <w:rPr>
          <w:rFonts w:cs="Times New Roman"/>
        </w:rPr>
        <w:t>-</w:t>
      </w:r>
      <w:r w:rsidRPr="00804A2C">
        <w:rPr>
          <w:rFonts w:cs="Times New Roman"/>
        </w:rPr>
        <w:t>sex orientation are unclean and possessed with uncontrollable sexual appetites or behaviour.  The message which a reasonable person would take from the flyers is that homosexuals, by virtue of their sexual orientation, are inferior, untrustworthy and seek to proselytize and convert our children.</w:t>
      </w:r>
    </w:p>
    <w:p w:rsidR="00BB1957" w:rsidRPr="00804A2C" w:rsidRDefault="00BB1957" w:rsidP="00BB1957">
      <w:pPr>
        <w:pStyle w:val="ParaNoNdepar-AltN"/>
        <w:rPr>
          <w:rFonts w:cs="Times New Roman"/>
        </w:rPr>
      </w:pPr>
      <w:r w:rsidRPr="00804A2C">
        <w:rPr>
          <w:rFonts w:cs="Times New Roman"/>
        </w:rPr>
        <w:t xml:space="preserve">The flyers also seek to vilify those of same-sex orientation by portraying them as child abusers or predators.  Examples of this in Flyers D and E would include: “Our children will pay the price in disease, death, </w:t>
      </w:r>
      <w:proofErr w:type="gramStart"/>
      <w:r w:rsidRPr="00804A2C">
        <w:rPr>
          <w:rFonts w:cs="Times New Roman"/>
        </w:rPr>
        <w:t>abuse .</w:t>
      </w:r>
      <w:proofErr w:type="gramEnd"/>
      <w:r w:rsidRPr="00804A2C">
        <w:rPr>
          <w:rFonts w:cs="Times New Roman"/>
        </w:rPr>
        <w:t> . .”; “Sodomites are 430 times more likely to acquire Aids &amp; 3 times more likely to sexually abuse children!”; and “</w:t>
      </w:r>
      <w:r w:rsidR="00982000">
        <w:rPr>
          <w:rFonts w:cs="Times New Roman"/>
        </w:rPr>
        <w:t>[o]</w:t>
      </w:r>
      <w:proofErr w:type="spellStart"/>
      <w:r w:rsidR="00982000">
        <w:rPr>
          <w:rFonts w:cs="Times New Roman"/>
        </w:rPr>
        <w:t>u</w:t>
      </w:r>
      <w:r w:rsidRPr="00804A2C">
        <w:rPr>
          <w:rFonts w:cs="Times New Roman"/>
        </w:rPr>
        <w:t>r</w:t>
      </w:r>
      <w:proofErr w:type="spellEnd"/>
      <w:r w:rsidRPr="00804A2C">
        <w:rPr>
          <w:rFonts w:cs="Times New Roman"/>
        </w:rPr>
        <w:t xml:space="preserve"> acceptance of homosexuality and our toleration [</w:t>
      </w:r>
      <w:r w:rsidRPr="00804A2C">
        <w:rPr>
          <w:rFonts w:cs="Times New Roman"/>
          <w:i/>
        </w:rPr>
        <w:t>sic</w:t>
      </w:r>
      <w:r w:rsidRPr="00804A2C">
        <w:rPr>
          <w:rFonts w:cs="Times New Roman"/>
        </w:rPr>
        <w:t>] of its promotion in our school system will lead to the early death and morbidity of many children</w:t>
      </w:r>
      <w:r w:rsidR="00982000">
        <w:rPr>
          <w:rFonts w:cs="Times New Roman"/>
        </w:rPr>
        <w:t>.</w:t>
      </w:r>
      <w:r w:rsidRPr="00804A2C">
        <w:rPr>
          <w:rFonts w:cs="Times New Roman"/>
        </w:rPr>
        <w:t>”</w:t>
      </w:r>
    </w:p>
    <w:p w:rsidR="00BB1957" w:rsidRPr="00804A2C" w:rsidRDefault="00BB1957" w:rsidP="00BB1957">
      <w:pPr>
        <w:pStyle w:val="ParaNoNdepar-AltN"/>
        <w:rPr>
          <w:rFonts w:cs="Times New Roman"/>
        </w:rPr>
      </w:pPr>
      <w:r w:rsidRPr="00804A2C">
        <w:rPr>
          <w:rFonts w:cs="Times New Roman"/>
        </w:rPr>
        <w:t xml:space="preserve">Whether or not Mr. </w:t>
      </w:r>
      <w:proofErr w:type="spellStart"/>
      <w:r w:rsidRPr="00804A2C">
        <w:rPr>
          <w:rFonts w:cs="Times New Roman"/>
        </w:rPr>
        <w:t>Whatcott</w:t>
      </w:r>
      <w:proofErr w:type="spellEnd"/>
      <w:r w:rsidRPr="00804A2C">
        <w:rPr>
          <w:rFonts w:cs="Times New Roman"/>
        </w:rPr>
        <w:t xml:space="preserve"> intended his expression to incite hatred against homosexuals, in my view it was reasonable for the Tribunal to hold that, by equating homosexuals with carriers of disease, sex addicts, pedophiles and predators who would proselytize vulnerable children and cause their premature death, Flyers D and E would objectively be seen as exposing homosexuals to detestation and vilification.</w:t>
      </w:r>
    </w:p>
    <w:p w:rsidR="00BB1957" w:rsidRPr="00804A2C" w:rsidRDefault="00BB1957" w:rsidP="00BB1957">
      <w:pPr>
        <w:pStyle w:val="ParaNoNdepar-AltN"/>
        <w:rPr>
          <w:rFonts w:cs="Times New Roman"/>
        </w:rPr>
      </w:pPr>
      <w:r w:rsidRPr="00804A2C">
        <w:rPr>
          <w:rFonts w:cs="Times New Roman"/>
        </w:rPr>
        <w:t>Part of assessing whether expression contravenes s. 14(1</w:t>
      </w:r>
      <w:proofErr w:type="gramStart"/>
      <w:r w:rsidRPr="00804A2C">
        <w:rPr>
          <w:rFonts w:cs="Times New Roman"/>
        </w:rPr>
        <w:t>)(</w:t>
      </w:r>
      <w:proofErr w:type="gramEnd"/>
      <w:r w:rsidRPr="00982000">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is whether the expression not only exposes or tends to expose the vulnerable group to detestation and vilification, but also, when viewed objectively and in its context, has the potential to lead to discriminatory treatment of the targeted group.  Overt advocacy of discriminatory treatment is neither necessary nor sufficient to establish that expression exposes a protected group to hatred. However, it can be an important factor in assessing the context of the expression and its likely effects.</w:t>
      </w:r>
    </w:p>
    <w:p w:rsidR="00BB1957" w:rsidRPr="00804A2C" w:rsidRDefault="00BB1957" w:rsidP="00BB1957">
      <w:pPr>
        <w:pStyle w:val="ParaNoNdepar-AltN"/>
        <w:rPr>
          <w:rFonts w:cs="Times New Roman"/>
        </w:rPr>
      </w:pPr>
      <w:r w:rsidRPr="00804A2C">
        <w:rPr>
          <w:rFonts w:cs="Times New Roman"/>
        </w:rPr>
        <w:t xml:space="preserve">In the instant case, Flyers D and E expressly call for discriminatory treatment of those of same-sex orientation.  Flyer D urges that the rights of homosexuals and lesbians should be reduced by stating:  “We also believe that for sodomites and lesbians who want to remain in their lifestyle and proselytize vulnerable young people that </w:t>
      </w:r>
      <w:r w:rsidRPr="00804A2C">
        <w:rPr>
          <w:rFonts w:cs="Times New Roman"/>
          <w:u w:val="single"/>
        </w:rPr>
        <w:t>civil law should discriminate against them</w:t>
      </w:r>
      <w:r w:rsidRPr="00804A2C">
        <w:rPr>
          <w:rFonts w:cs="Times New Roman"/>
        </w:rPr>
        <w:t xml:space="preserve">” (emphasis added).  Flyer E urges: “Our </w:t>
      </w:r>
      <w:r w:rsidRPr="00804A2C">
        <w:rPr>
          <w:rFonts w:cs="Times New Roman"/>
          <w:u w:val="single"/>
        </w:rPr>
        <w:t>acceptance of homosexuality</w:t>
      </w:r>
      <w:r w:rsidRPr="00804A2C">
        <w:rPr>
          <w:rFonts w:cs="Times New Roman"/>
        </w:rPr>
        <w:t xml:space="preserve"> and our toleration of its promotion in our school system will lead to the early death and morbidity of many children” (emphasis added).  Mr. </w:t>
      </w:r>
      <w:proofErr w:type="spellStart"/>
      <w:r w:rsidRPr="00804A2C">
        <w:rPr>
          <w:rFonts w:cs="Times New Roman"/>
        </w:rPr>
        <w:t>Whatcott</w:t>
      </w:r>
      <w:proofErr w:type="spellEnd"/>
      <w:r w:rsidRPr="00804A2C">
        <w:rPr>
          <w:rFonts w:cs="Times New Roman"/>
        </w:rPr>
        <w:t xml:space="preserve"> therefore combined expression exposing homosexuals to hatred with expression promoting their discriminatory treatment.  In my view, it was not unreasonable for the Tribunal to conclude that this expression was more likely than not to expose homosexuals to hatred.</w:t>
      </w:r>
    </w:p>
    <w:p w:rsidR="00BB1957" w:rsidRPr="00804A2C" w:rsidRDefault="00BB1957" w:rsidP="00BB1957">
      <w:pPr>
        <w:pStyle w:val="ParaNoNdepar-AltN"/>
        <w:rPr>
          <w:rFonts w:cs="Times New Roman"/>
        </w:rPr>
      </w:pPr>
      <w:r w:rsidRPr="00804A2C">
        <w:rPr>
          <w:rFonts w:cs="Times New Roman"/>
        </w:rPr>
        <w:t>I would therefore allow the appeal, overturn the Court of Appeal’s conclusion on this point, and reinstate the Tribunal’s decision as to Flyers D and E.</w:t>
      </w:r>
    </w:p>
    <w:p w:rsidR="00BB1957" w:rsidRPr="00804A2C" w:rsidRDefault="00BB1957" w:rsidP="00BB1957">
      <w:pPr>
        <w:pStyle w:val="ParaNoNdepar-AltN"/>
        <w:rPr>
          <w:rFonts w:cs="Times New Roman"/>
        </w:rPr>
      </w:pPr>
      <w:r w:rsidRPr="00804A2C">
        <w:rPr>
          <w:rFonts w:cs="Times New Roman"/>
        </w:rPr>
        <w:t>However, in my view, the Tribunal’s decision with respect to Flyers F and G was unreasonable. The Tribunal erred by failing to apply s. 14(1</w:t>
      </w:r>
      <w:proofErr w:type="gramStart"/>
      <w:r w:rsidRPr="00804A2C">
        <w:rPr>
          <w:rFonts w:cs="Times New Roman"/>
        </w:rPr>
        <w:t>)(</w:t>
      </w:r>
      <w:proofErr w:type="gramEnd"/>
      <w:r w:rsidRPr="00982000">
        <w:rPr>
          <w:rFonts w:cs="Times New Roman"/>
        </w:rPr>
        <w:t>b</w:t>
      </w:r>
      <w:r w:rsidRPr="00804A2C">
        <w:rPr>
          <w:rFonts w:cs="Times New Roman"/>
        </w:rPr>
        <w:t xml:space="preserve">) in accordance with the </w:t>
      </w:r>
      <w:r w:rsidRPr="00804A2C">
        <w:rPr>
          <w:rFonts w:cs="Times New Roman"/>
          <w:i/>
        </w:rPr>
        <w:t>Taylor</w:t>
      </w:r>
      <w:r w:rsidRPr="00804A2C">
        <w:rPr>
          <w:rFonts w:cs="Times New Roman"/>
        </w:rPr>
        <w:t xml:space="preserve"> directive (requiring feelings of an ardent and extreme nature so as to constitute hatred), or in accordance with the interpretation of s.</w:t>
      </w:r>
      <w:r>
        <w:rPr>
          <w:rFonts w:cs="Times New Roman"/>
        </w:rPr>
        <w:t> </w:t>
      </w:r>
      <w:r w:rsidRPr="00804A2C">
        <w:rPr>
          <w:rFonts w:cs="Times New Roman"/>
        </w:rPr>
        <w:t>14(1)(</w:t>
      </w:r>
      <w:r w:rsidRPr="00982000">
        <w:rPr>
          <w:rFonts w:cs="Times New Roman"/>
        </w:rPr>
        <w:t>b</w:t>
      </w:r>
      <w:r w:rsidRPr="00804A2C">
        <w:rPr>
          <w:rFonts w:cs="Times New Roman"/>
        </w:rPr>
        <w:t xml:space="preserve">) prescribed in </w:t>
      </w:r>
      <w:r w:rsidRPr="00804A2C">
        <w:rPr>
          <w:rFonts w:cs="Times New Roman"/>
          <w:i/>
        </w:rPr>
        <w:t>Bell</w:t>
      </w:r>
      <w:r w:rsidRPr="00804A2C">
        <w:rPr>
          <w:rFonts w:cs="Times New Roman"/>
        </w:rPr>
        <w:t xml:space="preserve"> (essentially reading out the words “ridicules, belittles or otherwise affronts the dignity</w:t>
      </w:r>
      <w:r w:rsidR="00982000">
        <w:rPr>
          <w:rFonts w:cs="Times New Roman"/>
        </w:rPr>
        <w:t xml:space="preserve"> of</w:t>
      </w:r>
      <w:r w:rsidRPr="00804A2C">
        <w:rPr>
          <w:rFonts w:cs="Times New Roman"/>
        </w:rPr>
        <w:t>”). By failing to apply the proper legal test to the facts before it, the Tribunal’s determination that those flyers contravened s. 14(1</w:t>
      </w:r>
      <w:proofErr w:type="gramStart"/>
      <w:r w:rsidRPr="00804A2C">
        <w:rPr>
          <w:rFonts w:cs="Times New Roman"/>
        </w:rPr>
        <w:t>)(</w:t>
      </w:r>
      <w:proofErr w:type="gramEnd"/>
      <w:r w:rsidRPr="00982000">
        <w:rPr>
          <w:rFonts w:cs="Times New Roman"/>
        </w:rPr>
        <w:t>b</w:t>
      </w:r>
      <w:r w:rsidRPr="00804A2C">
        <w:rPr>
          <w:rFonts w:cs="Times New Roman"/>
        </w:rPr>
        <w:t>) was unreasonable and cannot be upheld.</w:t>
      </w:r>
    </w:p>
    <w:p w:rsidR="00BB1957" w:rsidRPr="00804A2C" w:rsidRDefault="00BB1957" w:rsidP="00BB1957">
      <w:pPr>
        <w:pStyle w:val="ParaNoNdepar-AltN"/>
        <w:rPr>
          <w:rFonts w:cs="Times New Roman"/>
        </w:rPr>
      </w:pPr>
      <w:r w:rsidRPr="00804A2C">
        <w:rPr>
          <w:rFonts w:cs="Times New Roman"/>
        </w:rPr>
        <w:t xml:space="preserve">Flyers F and G are identical, and are comprised mainly of a reprint of a page of the classified advertisements from a publication called </w:t>
      </w:r>
      <w:r w:rsidRPr="00804A2C">
        <w:rPr>
          <w:rFonts w:cs="Times New Roman"/>
          <w:i/>
        </w:rPr>
        <w:t>Perceptions</w:t>
      </w:r>
      <w:r w:rsidRPr="00804A2C">
        <w:rPr>
          <w:rFonts w:cs="Times New Roman"/>
        </w:rPr>
        <w:t>. Printed by hand in bold print at the top of the page are the words “Saskatchewan’s largest gay magazine allows ads for</w:t>
      </w:r>
      <w:r w:rsidRPr="00804A2C">
        <w:rPr>
          <w:rFonts w:cs="Times New Roman"/>
          <w:i/>
        </w:rPr>
        <w:t xml:space="preserve"> </w:t>
      </w:r>
      <w:r w:rsidRPr="00804A2C">
        <w:rPr>
          <w:rFonts w:cs="Times New Roman"/>
        </w:rPr>
        <w:t xml:space="preserve">men seeking boys”.  Although there were conflicting views expressed on whether the references in the ads in question to “any age”; “boys/men”; or “[y]our </w:t>
      </w:r>
      <w:proofErr w:type="gramStart"/>
      <w:r w:rsidRPr="00804A2C">
        <w:rPr>
          <w:rFonts w:cs="Times New Roman"/>
        </w:rPr>
        <w:t>age .</w:t>
      </w:r>
      <w:proofErr w:type="gramEnd"/>
      <w:r w:rsidRPr="00804A2C">
        <w:rPr>
          <w:rFonts w:cs="Times New Roman"/>
        </w:rPr>
        <w:t xml:space="preserve"> . . is not so relevant” were in fact a reference to men seeking children (as Mr. </w:t>
      </w:r>
      <w:proofErr w:type="spellStart"/>
      <w:r w:rsidRPr="00804A2C">
        <w:rPr>
          <w:rFonts w:cs="Times New Roman"/>
        </w:rPr>
        <w:t>Whatcott</w:t>
      </w:r>
      <w:proofErr w:type="spellEnd"/>
      <w:r w:rsidRPr="00804A2C">
        <w:rPr>
          <w:rFonts w:cs="Times New Roman"/>
        </w:rPr>
        <w:t xml:space="preserve"> meant to imply by his additional biblical reference), the true purpose and meaning of the personal ads are, for our purposes, irrelevant. Mr. </w:t>
      </w:r>
      <w:proofErr w:type="spellStart"/>
      <w:r w:rsidRPr="00804A2C">
        <w:rPr>
          <w:rFonts w:cs="Times New Roman"/>
        </w:rPr>
        <w:t>Whatcott</w:t>
      </w:r>
      <w:proofErr w:type="spellEnd"/>
      <w:r w:rsidRPr="00804A2C">
        <w:rPr>
          <w:rFonts w:cs="Times New Roman"/>
        </w:rPr>
        <w:t xml:space="preserve"> also added the handwritten words:  “‘If you </w:t>
      </w:r>
      <w:proofErr w:type="gramStart"/>
      <w:r w:rsidRPr="00804A2C">
        <w:rPr>
          <w:rFonts w:cs="Times New Roman"/>
        </w:rPr>
        <w:t>cause</w:t>
      </w:r>
      <w:proofErr w:type="gramEnd"/>
      <w:r w:rsidRPr="00804A2C">
        <w:rPr>
          <w:rFonts w:cs="Times New Roman"/>
        </w:rPr>
        <w:t xml:space="preserve"> one of these little ones to stumble it would be better that a millstone was tied around your neck and you were cast into the sea’ Jesus Christ” and “[t]he </w:t>
      </w:r>
      <w:proofErr w:type="spellStart"/>
      <w:r w:rsidRPr="00804A2C">
        <w:rPr>
          <w:rFonts w:cs="Times New Roman"/>
        </w:rPr>
        <w:t>ads</w:t>
      </w:r>
      <w:proofErr w:type="spellEnd"/>
      <w:r w:rsidRPr="00804A2C">
        <w:rPr>
          <w:rFonts w:cs="Times New Roman"/>
        </w:rPr>
        <w:t xml:space="preserve"> with men advertising as bottoms are men who want to get sodomized. This shouldn’t be legal in Saskatchewan!”</w:t>
      </w:r>
    </w:p>
    <w:p w:rsidR="00BB1957" w:rsidRPr="00804A2C" w:rsidRDefault="00BB1957" w:rsidP="00BB1957">
      <w:pPr>
        <w:pStyle w:val="ParaNoNdepar-AltN"/>
        <w:rPr>
          <w:rFonts w:cs="Times New Roman"/>
        </w:rPr>
      </w:pPr>
      <w:r w:rsidRPr="00804A2C">
        <w:rPr>
          <w:rFonts w:cs="Times New Roman"/>
        </w:rPr>
        <w:t xml:space="preserve">In my view, it cannot reasonably be found that Flyers F and G contain expression that a reasonable person, aware of the relevant context and circumstances, would find as exposing or likely to expose persons of same-sex orientation to detestation and vilification.  Reproduction of the ads </w:t>
      </w:r>
      <w:proofErr w:type="gramStart"/>
      <w:r w:rsidRPr="00804A2C">
        <w:rPr>
          <w:rFonts w:cs="Times New Roman"/>
        </w:rPr>
        <w:t>themselves,</w:t>
      </w:r>
      <w:proofErr w:type="gramEnd"/>
      <w:r w:rsidRPr="00804A2C">
        <w:rPr>
          <w:rFonts w:cs="Times New Roman"/>
        </w:rPr>
        <w:t xml:space="preserve"> and the statement as to how the ads could be interpreted as “men seeking boys”, do not manifest hatred.  The implication that the ads reveal men seeking </w:t>
      </w:r>
      <w:proofErr w:type="spellStart"/>
      <w:r w:rsidRPr="00804A2C">
        <w:rPr>
          <w:rFonts w:cs="Times New Roman"/>
        </w:rPr>
        <w:t>underaged</w:t>
      </w:r>
      <w:proofErr w:type="spellEnd"/>
      <w:r w:rsidRPr="00804A2C">
        <w:rPr>
          <w:rFonts w:cs="Times New Roman"/>
        </w:rPr>
        <w:t xml:space="preserve"> males, while offensive, is presented as Mr. </w:t>
      </w:r>
      <w:proofErr w:type="spellStart"/>
      <w:r w:rsidRPr="00804A2C">
        <w:rPr>
          <w:rFonts w:cs="Times New Roman"/>
        </w:rPr>
        <w:t>Whatcott’s</w:t>
      </w:r>
      <w:proofErr w:type="spellEnd"/>
      <w:r w:rsidRPr="00804A2C">
        <w:rPr>
          <w:rFonts w:cs="Times New Roman"/>
        </w:rPr>
        <w:t xml:space="preserve"> interpretation of what the ads mean.  He insinuates that this is a means by which pedophiles can advertise for victims, but the expression falls short of expressing detestation or vilification in a manner that delegitimizes homosexuals.  The expression, while offensive, does not demonstrate the hatred required by the prohibition.</w:t>
      </w:r>
    </w:p>
    <w:p w:rsidR="00BB1957" w:rsidRPr="00804A2C" w:rsidRDefault="00BB1957" w:rsidP="00BB1957">
      <w:pPr>
        <w:pStyle w:val="ParaNoNdepar-AltN"/>
        <w:rPr>
          <w:rFonts w:cs="Times New Roman"/>
        </w:rPr>
      </w:pPr>
      <w:r w:rsidRPr="00804A2C">
        <w:rPr>
          <w:rFonts w:cs="Times New Roman"/>
        </w:rPr>
        <w:t xml:space="preserve">With respect to the purported excerpt from the Bible, I would agree with the comments of Richards J.A., at </w:t>
      </w:r>
      <w:proofErr w:type="spellStart"/>
      <w:r w:rsidRPr="00804A2C">
        <w:rPr>
          <w:rFonts w:cs="Times New Roman"/>
        </w:rPr>
        <w:t>para</w:t>
      </w:r>
      <w:proofErr w:type="spellEnd"/>
      <w:r w:rsidRPr="00804A2C">
        <w:rPr>
          <w:rFonts w:cs="Times New Roman"/>
        </w:rPr>
        <w:t xml:space="preserve">. 78 of </w:t>
      </w:r>
      <w:r w:rsidRPr="00804A2C">
        <w:rPr>
          <w:rFonts w:cs="Times New Roman"/>
          <w:i/>
        </w:rPr>
        <w:t>Owens</w:t>
      </w:r>
      <w:r w:rsidRPr="00804A2C">
        <w:rPr>
          <w:rFonts w:cs="Times New Roman"/>
        </w:rPr>
        <w:t>, that</w:t>
      </w:r>
    </w:p>
    <w:p w:rsidR="00BB1957" w:rsidRPr="00804A2C" w:rsidRDefault="00BB1957" w:rsidP="00BB1957">
      <w:pPr>
        <w:pStyle w:val="Citation-AltC"/>
      </w:pPr>
      <w:proofErr w:type="gramStart"/>
      <w:r w:rsidRPr="00804A2C">
        <w:t>it</w:t>
      </w:r>
      <w:proofErr w:type="gramEnd"/>
      <w:r w:rsidRPr="00804A2C">
        <w:t xml:space="preserve"> is apparent that a human rights tribunal or court should exercise care in dealing with arguments to the effect that foundational religious writings violate the </w:t>
      </w:r>
      <w:r w:rsidRPr="00804A2C">
        <w:rPr>
          <w:i/>
        </w:rPr>
        <w:t>Code</w:t>
      </w:r>
      <w:r w:rsidRPr="00804A2C">
        <w:t>.  While the courts cannot be drawn into the business of attempting to authoritatively interpret sacred texts such as the Bible, those texts will typically have characteristics which cannot be ignored if they are to be properly assessed in relation to s. 14(1</w:t>
      </w:r>
      <w:proofErr w:type="gramStart"/>
      <w:r w:rsidRPr="00804A2C">
        <w:t>)(</w:t>
      </w:r>
      <w:proofErr w:type="gramEnd"/>
      <w:r w:rsidRPr="00804A2C">
        <w:t xml:space="preserve">b) of the </w:t>
      </w:r>
      <w:r w:rsidRPr="00804A2C">
        <w:rPr>
          <w:i/>
        </w:rPr>
        <w:t>Code</w:t>
      </w:r>
      <w:r w:rsidRPr="00804A2C">
        <w:t>.</w:t>
      </w:r>
    </w:p>
    <w:p w:rsidR="00BB1957" w:rsidRPr="00804A2C" w:rsidRDefault="00BB1957" w:rsidP="00BB1957">
      <w:pPr>
        <w:pStyle w:val="ParaNoNdepar-AltN"/>
        <w:rPr>
          <w:rFonts w:cs="Times New Roman"/>
        </w:rPr>
      </w:pPr>
      <w:r w:rsidRPr="00804A2C">
        <w:rPr>
          <w:rFonts w:cs="Times New Roman"/>
        </w:rPr>
        <w:t xml:space="preserve">Richards J.A. found that objective observers would interpret excerpts of the Bible with </w:t>
      </w:r>
      <w:proofErr w:type="gramStart"/>
      <w:r w:rsidRPr="00804A2C">
        <w:rPr>
          <w:rFonts w:cs="Times New Roman"/>
        </w:rPr>
        <w:t>an awareness</w:t>
      </w:r>
      <w:proofErr w:type="gramEnd"/>
      <w:r w:rsidRPr="00804A2C">
        <w:rPr>
          <w:rFonts w:cs="Times New Roman"/>
        </w:rPr>
        <w:t xml:space="preserve"> that it contains more than one sort of message, some of which involve themes of love, tolerance and forgiveness. He also found that the meaning and relevance of the specific Bible passages cited in that case could be assessed in a variety of ways by different people.</w:t>
      </w:r>
    </w:p>
    <w:p w:rsidR="00BB1957" w:rsidRPr="00804A2C" w:rsidRDefault="00BB1957" w:rsidP="00BB1957">
      <w:pPr>
        <w:pStyle w:val="ParaNoNdepar-AltN"/>
        <w:rPr>
          <w:rFonts w:cs="Times New Roman"/>
        </w:rPr>
      </w:pPr>
      <w:r w:rsidRPr="00804A2C">
        <w:rPr>
          <w:rFonts w:cs="Times New Roman"/>
        </w:rPr>
        <w:t>In my view, these comments apply with equal force to the biblical passage paraphrased in Flyers F and G that “[</w:t>
      </w:r>
      <w:proofErr w:type="spellStart"/>
      <w:r w:rsidRPr="00804A2C">
        <w:rPr>
          <w:rFonts w:cs="Times New Roman"/>
        </w:rPr>
        <w:t>i</w:t>
      </w:r>
      <w:proofErr w:type="spellEnd"/>
      <w:r w:rsidRPr="00804A2C">
        <w:rPr>
          <w:rFonts w:cs="Times New Roman"/>
        </w:rPr>
        <w:t xml:space="preserve">]f you cause one of these little ones to stumble it would be better that a millstone was tied around your neck and you were cast into the sea”.  Whether or not Mr. </w:t>
      </w:r>
      <w:proofErr w:type="spellStart"/>
      <w:r w:rsidRPr="00804A2C">
        <w:rPr>
          <w:rFonts w:cs="Times New Roman"/>
        </w:rPr>
        <w:t>Whatcott</w:t>
      </w:r>
      <w:proofErr w:type="spellEnd"/>
      <w:r w:rsidRPr="00804A2C">
        <w:rPr>
          <w:rFonts w:cs="Times New Roman"/>
        </w:rPr>
        <w:t xml:space="preserve"> meant this as a reference </w:t>
      </w:r>
      <w:proofErr w:type="gramStart"/>
      <w:r w:rsidRPr="00804A2C">
        <w:rPr>
          <w:rFonts w:cs="Times New Roman"/>
        </w:rPr>
        <w:t>that homosexuals</w:t>
      </w:r>
      <w:proofErr w:type="gramEnd"/>
      <w:r w:rsidRPr="00804A2C">
        <w:rPr>
          <w:rFonts w:cs="Times New Roman"/>
        </w:rPr>
        <w:t xml:space="preserve"> who seduced young boys should be killed, the biblical reference can also be interpreted as suggesting that anyone who harms Christians should be executed.  The biblical passage, in and of itself, cannot be taken as inspiring detestation and vilification of homosexuals. While use of the Bible as a credible authority for a hateful proposition has been considered a hallmark of hatred, it would only be unusual circumstances and context that could transform a simple reading or publication of a religion’s holy text into what could objectively be viewed as hate speech.</w:t>
      </w:r>
    </w:p>
    <w:p w:rsidR="00BB1957" w:rsidRPr="00804A2C" w:rsidRDefault="00BB1957" w:rsidP="00BB1957">
      <w:pPr>
        <w:pStyle w:val="ParaNoNdepar-AltN"/>
        <w:rPr>
          <w:rFonts w:cs="Times New Roman"/>
        </w:rPr>
      </w:pPr>
      <w:r w:rsidRPr="00804A2C">
        <w:rPr>
          <w:rFonts w:cs="Times New Roman"/>
        </w:rPr>
        <w:t>The Tribunal did not find fault with the handwritten words: “This shouldn’t be legal in Saskatchewan!” It is unclear whether these words refer to the ads or to homosexuality itself.  However, even if, viewed objectively, the words were to be interpreted as calling for homosexuality to be illegal, the statement is not combined with any representations of detestation and vilification delegitimizing those of same-sex orientation.  Rather, as the Court of Appeal determined, these flyers are potentially offensive but lawful contributions to the public debate on the morality of homosexuality.</w:t>
      </w:r>
    </w:p>
    <w:p w:rsidR="00BB1957" w:rsidRPr="00804A2C" w:rsidRDefault="00BB1957" w:rsidP="00BB1957">
      <w:pPr>
        <w:pStyle w:val="ParaNoNdepar-AltN"/>
        <w:rPr>
          <w:rFonts w:cs="Times New Roman"/>
        </w:rPr>
      </w:pPr>
      <w:r w:rsidRPr="00804A2C">
        <w:rPr>
          <w:rFonts w:cs="Times New Roman"/>
        </w:rPr>
        <w:t xml:space="preserve">The Tribunal may have been misguided by its approach of considering “the evidence as a pattern or practice of disregard of rights secured under the </w:t>
      </w:r>
      <w:r w:rsidRPr="00804A2C">
        <w:rPr>
          <w:rFonts w:cs="Times New Roman"/>
          <w:i/>
        </w:rPr>
        <w:t>Code</w:t>
      </w:r>
      <w:r w:rsidRPr="00804A2C">
        <w:rPr>
          <w:rFonts w:cs="Times New Roman"/>
        </w:rPr>
        <w:t xml:space="preserve"> as permitted by s. 31(4)” (</w:t>
      </w:r>
      <w:proofErr w:type="spellStart"/>
      <w:r w:rsidRPr="00804A2C">
        <w:rPr>
          <w:rFonts w:cs="Times New Roman"/>
        </w:rPr>
        <w:t>para</w:t>
      </w:r>
      <w:proofErr w:type="spellEnd"/>
      <w:r w:rsidRPr="00804A2C">
        <w:rPr>
          <w:rFonts w:cs="Times New Roman"/>
        </w:rPr>
        <w:t>. 54).  Evidence of a person’s pattern or practice of disregard for protected rights cannot render a publication offside the prohibition under s. 14(1</w:t>
      </w:r>
      <w:proofErr w:type="gramStart"/>
      <w:r w:rsidRPr="00804A2C">
        <w:rPr>
          <w:rFonts w:cs="Times New Roman"/>
        </w:rPr>
        <w:t>)(</w:t>
      </w:r>
      <w:proofErr w:type="gramEnd"/>
      <w:r w:rsidRPr="00982000">
        <w:rPr>
          <w:rFonts w:cs="Times New Roman"/>
        </w:rPr>
        <w:t>b</w:t>
      </w:r>
      <w:r w:rsidRPr="00804A2C">
        <w:rPr>
          <w:rFonts w:cs="Times New Roman"/>
        </w:rPr>
        <w:t>), if that publication would not have been found to be so on an individual basis.  Such an interpretation of the legislation would be an unacceptable restriction on freedom of expression.  Although the Tribunal indicated that it would have reached the same view if it had taken each flyer individually, in my respectful view, it could not reasonably have reached that result by applying the proper legal test. A reasonable person, aware of the context and circumstances and making an individual assessment of Flyers F and G would not conclude that they expose homosexuals to detestation and vilification.</w:t>
      </w:r>
    </w:p>
    <w:p w:rsidR="00BB1957" w:rsidRPr="00804A2C" w:rsidRDefault="00BB1957" w:rsidP="00BB1957">
      <w:pPr>
        <w:pStyle w:val="ParaNoNdepar-AltN"/>
        <w:rPr>
          <w:rFonts w:cs="Times New Roman"/>
        </w:rPr>
      </w:pPr>
      <w:r w:rsidRPr="00804A2C">
        <w:rPr>
          <w:rFonts w:cs="Times New Roman"/>
        </w:rPr>
        <w:t>Having found the Tribunal’s decisions with respect to Flyers F and G unreasonable, I would uphold the Court of Appeal’s conclusion that those two flyers do not contravene s. 14(1</w:t>
      </w:r>
      <w:proofErr w:type="gramStart"/>
      <w:r w:rsidRPr="00804A2C">
        <w:rPr>
          <w:rFonts w:cs="Times New Roman"/>
        </w:rPr>
        <w:t>)(</w:t>
      </w:r>
      <w:proofErr w:type="gramEnd"/>
      <w:r w:rsidRPr="00982000">
        <w:rPr>
          <w:rFonts w:cs="Times New Roman"/>
        </w:rPr>
        <w:t>b</w:t>
      </w:r>
      <w:r w:rsidRPr="00804A2C">
        <w:rPr>
          <w:rFonts w:cs="Times New Roman"/>
        </w:rPr>
        <w:t xml:space="preserve">) of the </w:t>
      </w:r>
      <w:r w:rsidRPr="00804A2C">
        <w:rPr>
          <w:rFonts w:cs="Times New Roman"/>
          <w:i/>
        </w:rPr>
        <w:t>Code</w:t>
      </w:r>
      <w:r w:rsidRPr="00804A2C">
        <w:rPr>
          <w:rFonts w:cs="Times New Roman"/>
        </w:rPr>
        <w:t>.</w:t>
      </w:r>
    </w:p>
    <w:p w:rsidR="00BB1957" w:rsidRPr="00804A2C" w:rsidRDefault="00BB1957" w:rsidP="00AF4D5A">
      <w:pPr>
        <w:pStyle w:val="TitleTitre-AltT"/>
        <w:tabs>
          <w:tab w:val="clear" w:pos="360"/>
          <w:tab w:val="left" w:pos="540"/>
        </w:tabs>
        <w:ind w:left="540" w:hanging="540"/>
        <w:rPr>
          <w:rFonts w:cs="Times New Roman"/>
        </w:rPr>
      </w:pPr>
      <w:bookmarkStart w:id="391" w:name="_Toc341432535"/>
      <w:bookmarkStart w:id="392" w:name="_Toc341687015"/>
      <w:bookmarkStart w:id="393" w:name="_Toc346006838"/>
      <w:bookmarkStart w:id="394" w:name="_Toc349051298"/>
      <w:bookmarkStart w:id="395" w:name="_Toc349051376"/>
      <w:bookmarkStart w:id="396" w:name="_Toc349306931"/>
      <w:bookmarkStart w:id="397" w:name="_Toc349638247"/>
      <w:bookmarkStart w:id="398" w:name="_Toc408212166"/>
      <w:r w:rsidRPr="00804A2C">
        <w:rPr>
          <w:rFonts w:cs="Times New Roman"/>
        </w:rPr>
        <w:t>D.</w:t>
      </w:r>
      <w:r w:rsidRPr="00804A2C">
        <w:rPr>
          <w:rFonts w:cs="Times New Roman"/>
        </w:rPr>
        <w:tab/>
      </w:r>
      <w:r w:rsidRPr="00804A2C">
        <w:rPr>
          <w:rFonts w:cs="Times New Roman"/>
          <w:i/>
        </w:rPr>
        <w:t>Remedy</w:t>
      </w:r>
      <w:bookmarkEnd w:id="391"/>
      <w:bookmarkEnd w:id="392"/>
      <w:bookmarkEnd w:id="393"/>
      <w:bookmarkEnd w:id="394"/>
      <w:bookmarkEnd w:id="395"/>
      <w:bookmarkEnd w:id="396"/>
      <w:bookmarkEnd w:id="397"/>
      <w:bookmarkEnd w:id="398"/>
    </w:p>
    <w:p w:rsidR="00BB1957" w:rsidRPr="00804A2C" w:rsidRDefault="00BB1957" w:rsidP="00BB1957">
      <w:pPr>
        <w:pStyle w:val="ParaNoNdepar-AltN"/>
        <w:rPr>
          <w:rFonts w:cs="Times New Roman"/>
        </w:rPr>
      </w:pPr>
      <w:r w:rsidRPr="00804A2C">
        <w:rPr>
          <w:rFonts w:cs="Times New Roman"/>
        </w:rPr>
        <w:t xml:space="preserve">The Tribunal awarded compensation of $2,500 to Guy Taylor and $5,000 to each of James </w:t>
      </w:r>
      <w:proofErr w:type="spellStart"/>
      <w:r w:rsidRPr="00804A2C">
        <w:rPr>
          <w:rFonts w:cs="Times New Roman"/>
        </w:rPr>
        <w:t>Komar</w:t>
      </w:r>
      <w:proofErr w:type="spellEnd"/>
      <w:r w:rsidRPr="00804A2C">
        <w:rPr>
          <w:rFonts w:cs="Times New Roman"/>
        </w:rPr>
        <w:t xml:space="preserve">, Brendan Wallace, and Kathy </w:t>
      </w:r>
      <w:proofErr w:type="spellStart"/>
      <w:r w:rsidRPr="00804A2C">
        <w:rPr>
          <w:rFonts w:cs="Times New Roman"/>
        </w:rPr>
        <w:t>Hamre</w:t>
      </w:r>
      <w:proofErr w:type="spellEnd"/>
      <w:r w:rsidRPr="00804A2C">
        <w:rPr>
          <w:rFonts w:cs="Times New Roman"/>
        </w:rPr>
        <w:t xml:space="preserve">.  The Tribunal awarded James </w:t>
      </w:r>
      <w:proofErr w:type="spellStart"/>
      <w:r w:rsidRPr="00804A2C">
        <w:rPr>
          <w:rFonts w:cs="Times New Roman"/>
        </w:rPr>
        <w:t>Komar</w:t>
      </w:r>
      <w:proofErr w:type="spellEnd"/>
      <w:r w:rsidRPr="00804A2C">
        <w:rPr>
          <w:rFonts w:cs="Times New Roman"/>
        </w:rPr>
        <w:t xml:space="preserve">, Brendan Wallace, and Kathy </w:t>
      </w:r>
      <w:proofErr w:type="spellStart"/>
      <w:r w:rsidRPr="00804A2C">
        <w:rPr>
          <w:rFonts w:cs="Times New Roman"/>
        </w:rPr>
        <w:t>Hamre</w:t>
      </w:r>
      <w:proofErr w:type="spellEnd"/>
      <w:r w:rsidRPr="00804A2C">
        <w:rPr>
          <w:rFonts w:cs="Times New Roman"/>
        </w:rPr>
        <w:t xml:space="preserve"> double the compensation of Guy Taylor because their complaints fell under legislation introduced after Mr. Taylor had submitted his complaint.  This new legislation doubled the limit on compensation and the Tribunal thus thought it appropriate to double the compensation of those three complainants.</w:t>
      </w:r>
    </w:p>
    <w:p w:rsidR="00BB1957" w:rsidRPr="00804A2C" w:rsidRDefault="00BB1957" w:rsidP="00BB1957">
      <w:pPr>
        <w:pStyle w:val="ParaNoNdepar-AltN"/>
        <w:rPr>
          <w:rFonts w:cs="Times New Roman"/>
        </w:rPr>
      </w:pPr>
      <w:r w:rsidRPr="00804A2C">
        <w:rPr>
          <w:rFonts w:cs="Times New Roman"/>
        </w:rPr>
        <w:t xml:space="preserve">From my reading of the Tribunal’s reasons, it awarded compensation based on the harm caused by the receipt of the flyers by the individuals.  The Agreed Statement of Facts filed with the Tribunal indicates that Guy Taylor received Flyer D, James </w:t>
      </w:r>
      <w:proofErr w:type="spellStart"/>
      <w:r w:rsidRPr="00804A2C">
        <w:rPr>
          <w:rFonts w:cs="Times New Roman"/>
        </w:rPr>
        <w:t>Komar</w:t>
      </w:r>
      <w:proofErr w:type="spellEnd"/>
      <w:r w:rsidRPr="00804A2C">
        <w:rPr>
          <w:rFonts w:cs="Times New Roman"/>
        </w:rPr>
        <w:t xml:space="preserve"> Flyer E, Brendan Wallace Flyer F, and Kathy </w:t>
      </w:r>
      <w:proofErr w:type="spellStart"/>
      <w:r w:rsidRPr="00804A2C">
        <w:rPr>
          <w:rFonts w:cs="Times New Roman"/>
        </w:rPr>
        <w:t>Hamre</w:t>
      </w:r>
      <w:proofErr w:type="spellEnd"/>
      <w:r w:rsidRPr="00804A2C">
        <w:rPr>
          <w:rFonts w:cs="Times New Roman"/>
        </w:rPr>
        <w:t xml:space="preserve"> Flyer G.</w:t>
      </w:r>
    </w:p>
    <w:p w:rsidR="00BB1957" w:rsidRPr="00804A2C" w:rsidRDefault="00BB1957" w:rsidP="00BB1957">
      <w:pPr>
        <w:pStyle w:val="ParaNoNdepar-AltN"/>
        <w:rPr>
          <w:rFonts w:cs="Times New Roman"/>
        </w:rPr>
      </w:pPr>
      <w:r w:rsidRPr="00804A2C">
        <w:rPr>
          <w:rFonts w:cs="Times New Roman"/>
        </w:rPr>
        <w:t>Given my finding that Flyers F and G do not constitute hate speech under s. 14(1</w:t>
      </w:r>
      <w:proofErr w:type="gramStart"/>
      <w:r w:rsidRPr="00804A2C">
        <w:rPr>
          <w:rFonts w:cs="Times New Roman"/>
        </w:rPr>
        <w:t>)(</w:t>
      </w:r>
      <w:proofErr w:type="gramEnd"/>
      <w:r w:rsidRPr="00982000">
        <w:rPr>
          <w:rFonts w:cs="Times New Roman"/>
        </w:rPr>
        <w:t>b</w:t>
      </w:r>
      <w:r w:rsidRPr="00804A2C">
        <w:rPr>
          <w:rFonts w:cs="Times New Roman"/>
        </w:rPr>
        <w:t xml:space="preserve">) of the </w:t>
      </w:r>
      <w:r w:rsidRPr="00804A2C">
        <w:rPr>
          <w:rFonts w:cs="Times New Roman"/>
          <w:i/>
        </w:rPr>
        <w:t>Code</w:t>
      </w:r>
      <w:r w:rsidRPr="00804A2C">
        <w:rPr>
          <w:rFonts w:cs="Times New Roman"/>
        </w:rPr>
        <w:t xml:space="preserve"> and the fact that the compensation was based on the receipt of the flyers, I would not reinstate the compensation awarded to Brendan Wallace and Kathy </w:t>
      </w:r>
      <w:proofErr w:type="spellStart"/>
      <w:r w:rsidRPr="00804A2C">
        <w:rPr>
          <w:rFonts w:cs="Times New Roman"/>
        </w:rPr>
        <w:t>Hamre</w:t>
      </w:r>
      <w:proofErr w:type="spellEnd"/>
      <w:r w:rsidRPr="00804A2C">
        <w:rPr>
          <w:rFonts w:cs="Times New Roman"/>
        </w:rPr>
        <w:t xml:space="preserve">. The compensation awards of $2,500 to Guy Taylor and $5,000 to James </w:t>
      </w:r>
      <w:proofErr w:type="spellStart"/>
      <w:r w:rsidRPr="00804A2C">
        <w:rPr>
          <w:rFonts w:cs="Times New Roman"/>
        </w:rPr>
        <w:t>Komar</w:t>
      </w:r>
      <w:proofErr w:type="spellEnd"/>
      <w:r w:rsidRPr="00804A2C">
        <w:rPr>
          <w:rFonts w:cs="Times New Roman"/>
        </w:rPr>
        <w:t xml:space="preserve">, as well as the prohibition on further distribution of Flyers D and E, are </w:t>
      </w:r>
      <w:r>
        <w:rPr>
          <w:rFonts w:cs="Times New Roman"/>
        </w:rPr>
        <w:t>re</w:t>
      </w:r>
      <w:r w:rsidRPr="00804A2C">
        <w:rPr>
          <w:rFonts w:cs="Times New Roman"/>
        </w:rPr>
        <w:t>instated.</w:t>
      </w:r>
    </w:p>
    <w:p w:rsidR="00BB1957" w:rsidRPr="00804A2C" w:rsidRDefault="00BB1957" w:rsidP="00AF4D5A">
      <w:pPr>
        <w:pStyle w:val="TitleTitre-AltT"/>
        <w:tabs>
          <w:tab w:val="clear" w:pos="360"/>
        </w:tabs>
        <w:ind w:left="540" w:hanging="540"/>
        <w:rPr>
          <w:rFonts w:cs="Times New Roman"/>
        </w:rPr>
      </w:pPr>
      <w:bookmarkStart w:id="399" w:name="_Toc341432536"/>
      <w:bookmarkStart w:id="400" w:name="_Toc341687016"/>
      <w:bookmarkStart w:id="401" w:name="_Toc346006839"/>
      <w:bookmarkStart w:id="402" w:name="_Toc349051299"/>
      <w:bookmarkStart w:id="403" w:name="_Toc349051377"/>
      <w:bookmarkStart w:id="404" w:name="_Toc349306932"/>
      <w:bookmarkStart w:id="405" w:name="_Toc349638248"/>
      <w:bookmarkStart w:id="406" w:name="_Toc408212167"/>
      <w:r w:rsidRPr="00804A2C">
        <w:rPr>
          <w:rFonts w:cs="Times New Roman"/>
        </w:rPr>
        <w:t>X.</w:t>
      </w:r>
      <w:r w:rsidRPr="00804A2C">
        <w:rPr>
          <w:rFonts w:cs="Times New Roman"/>
        </w:rPr>
        <w:tab/>
      </w:r>
      <w:r w:rsidRPr="00804A2C">
        <w:rPr>
          <w:rFonts w:cs="Times New Roman"/>
          <w:u w:val="single"/>
        </w:rPr>
        <w:t>Conclusion</w:t>
      </w:r>
      <w:bookmarkEnd w:id="399"/>
      <w:bookmarkEnd w:id="400"/>
      <w:bookmarkEnd w:id="401"/>
      <w:bookmarkEnd w:id="402"/>
      <w:bookmarkEnd w:id="403"/>
      <w:bookmarkEnd w:id="404"/>
      <w:bookmarkEnd w:id="405"/>
      <w:bookmarkEnd w:id="406"/>
    </w:p>
    <w:p w:rsidR="00BB1957" w:rsidRPr="00804A2C" w:rsidRDefault="00BB1957" w:rsidP="00BB1957">
      <w:pPr>
        <w:pStyle w:val="ParaNoNdepar-AltN"/>
        <w:rPr>
          <w:rFonts w:cs="Times New Roman"/>
        </w:rPr>
      </w:pPr>
      <w:r w:rsidRPr="00804A2C">
        <w:rPr>
          <w:rFonts w:cs="Times New Roman"/>
        </w:rPr>
        <w:t>Section 14(1</w:t>
      </w:r>
      <w:proofErr w:type="gramStart"/>
      <w:r w:rsidRPr="00804A2C">
        <w:rPr>
          <w:rFonts w:cs="Times New Roman"/>
        </w:rPr>
        <w:t>)(</w:t>
      </w:r>
      <w:proofErr w:type="gramEnd"/>
      <w:r w:rsidRPr="00982000">
        <w:rPr>
          <w:rFonts w:cs="Times New Roman"/>
        </w:rPr>
        <w:t>b</w:t>
      </w:r>
      <w:r w:rsidRPr="00804A2C">
        <w:rPr>
          <w:rFonts w:cs="Times New Roman"/>
        </w:rPr>
        <w:t>) is a reasonable limit on freedom of expression and freedom of religion, demonstrably justified in a free and democratic society. I would therefore answer the constitutional questions as presented in the January 5, 2011 order of the Chief Justice as follows:</w:t>
      </w:r>
    </w:p>
    <w:p w:rsidR="00BB1957" w:rsidRPr="00804A2C" w:rsidRDefault="00BB1957" w:rsidP="00A220FA">
      <w:pPr>
        <w:pStyle w:val="Citation-AltC"/>
        <w:numPr>
          <w:ilvl w:val="6"/>
          <w:numId w:val="6"/>
        </w:numPr>
        <w:spacing w:after="480"/>
        <w:ind w:left="1800" w:hanging="634"/>
        <w:contextualSpacing w:val="0"/>
      </w:pPr>
      <w:r w:rsidRPr="00804A2C">
        <w:t>Does s. 14(1</w:t>
      </w:r>
      <w:proofErr w:type="gramStart"/>
      <w:r w:rsidRPr="00804A2C">
        <w:t>)(</w:t>
      </w:r>
      <w:proofErr w:type="gramEnd"/>
      <w:r w:rsidRPr="00982000">
        <w:t>b</w:t>
      </w:r>
      <w:r w:rsidRPr="00804A2C">
        <w:t xml:space="preserve">) of </w:t>
      </w:r>
      <w:r w:rsidRPr="00804A2C">
        <w:rPr>
          <w:i/>
        </w:rPr>
        <w:t>The Saskatchewan Human Rights Code</w:t>
      </w:r>
      <w:r w:rsidRPr="00804A2C">
        <w:t>, S.S. 1979, c. S-24.1, infringe s. 2(</w:t>
      </w:r>
      <w:r w:rsidRPr="00804A2C">
        <w:rPr>
          <w:i/>
        </w:rPr>
        <w:t>a</w:t>
      </w:r>
      <w:r w:rsidRPr="00804A2C">
        <w:t xml:space="preserve">) of the </w:t>
      </w:r>
      <w:r w:rsidRPr="00804A2C">
        <w:rPr>
          <w:i/>
        </w:rPr>
        <w:t>Canadian Charter of Rights and Freedoms</w:t>
      </w:r>
      <w:r w:rsidRPr="00804A2C">
        <w:t xml:space="preserve">? </w:t>
      </w:r>
    </w:p>
    <w:p w:rsidR="00BB1957" w:rsidRPr="00804A2C" w:rsidRDefault="00BB1957" w:rsidP="00A220FA">
      <w:pPr>
        <w:pStyle w:val="Citation-AltC"/>
        <w:spacing w:after="480" w:line="480" w:lineRule="auto"/>
        <w:ind w:left="0"/>
        <w:contextualSpacing w:val="0"/>
      </w:pPr>
      <w:r w:rsidRPr="00804A2C">
        <w:t>Answer: Yes</w:t>
      </w:r>
      <w:r w:rsidR="007E123E">
        <w:t>.</w:t>
      </w:r>
    </w:p>
    <w:p w:rsidR="00BB1957" w:rsidRPr="00804A2C" w:rsidRDefault="00BB1957" w:rsidP="00376BE2">
      <w:pPr>
        <w:pStyle w:val="Citation-AltC"/>
        <w:numPr>
          <w:ilvl w:val="6"/>
          <w:numId w:val="6"/>
        </w:numPr>
        <w:spacing w:after="480"/>
        <w:ind w:left="1800" w:hanging="634"/>
        <w:contextualSpacing w:val="0"/>
      </w:pPr>
      <w:r w:rsidRPr="00804A2C">
        <w:t xml:space="preserve">If so, is the infringement a reasonable limit prescribed by law as can be demonstrably justified in a free and democratic society under s. 1 of the </w:t>
      </w:r>
      <w:r w:rsidRPr="00804A2C">
        <w:rPr>
          <w:i/>
        </w:rPr>
        <w:t>Canadian Charter of Rights and Freedoms</w:t>
      </w:r>
      <w:r w:rsidRPr="00804A2C">
        <w:t xml:space="preserve">? </w:t>
      </w:r>
    </w:p>
    <w:p w:rsidR="00BB1957" w:rsidRPr="00804A2C" w:rsidRDefault="00BB1957" w:rsidP="00A220FA">
      <w:pPr>
        <w:pStyle w:val="Citation-AltC"/>
        <w:spacing w:after="480" w:line="480" w:lineRule="auto"/>
        <w:ind w:left="0"/>
        <w:contextualSpacing w:val="0"/>
      </w:pPr>
      <w:r w:rsidRPr="00804A2C">
        <w:t>Answer: A prohibition of any representation that “ridicules, belittles or otherwise affronts the dignity of” any person or class of persons on the basis of a prohibited ground is not a reasonable limit on freedom of religion.  Those words are constitutionally invalid and are severed from the statutory provision in accordance with these reasons.  The remaining prohibition of any representation “that exposes or tends to expose to hatred” any person or class of persons on the basis of a prohibited ground is a reasonable limit and demonstrably justified in a free and democratic society.</w:t>
      </w:r>
    </w:p>
    <w:p w:rsidR="00BB1957" w:rsidRPr="00804A2C" w:rsidRDefault="00BB1957" w:rsidP="00A220FA">
      <w:pPr>
        <w:pStyle w:val="Citation-AltC"/>
        <w:numPr>
          <w:ilvl w:val="6"/>
          <w:numId w:val="6"/>
        </w:numPr>
        <w:spacing w:after="480"/>
        <w:ind w:left="1800" w:hanging="634"/>
        <w:contextualSpacing w:val="0"/>
      </w:pPr>
      <w:r w:rsidRPr="00804A2C">
        <w:t>Does s. 14(1</w:t>
      </w:r>
      <w:proofErr w:type="gramStart"/>
      <w:r w:rsidRPr="00804A2C">
        <w:t>)(</w:t>
      </w:r>
      <w:proofErr w:type="gramEnd"/>
      <w:r w:rsidRPr="00AF4D5A">
        <w:t>b</w:t>
      </w:r>
      <w:r w:rsidRPr="00804A2C">
        <w:t xml:space="preserve">) of </w:t>
      </w:r>
      <w:r w:rsidRPr="00804A2C">
        <w:rPr>
          <w:i/>
        </w:rPr>
        <w:t>The Saskatchewan Human Rights Code</w:t>
      </w:r>
      <w:r w:rsidRPr="00804A2C">
        <w:t>, S.S. 1979, c. S-24.1, infringe s. 2(</w:t>
      </w:r>
      <w:r w:rsidRPr="00804A2C">
        <w:rPr>
          <w:i/>
        </w:rPr>
        <w:t>b</w:t>
      </w:r>
      <w:r w:rsidRPr="00804A2C">
        <w:t xml:space="preserve">) of the </w:t>
      </w:r>
      <w:r w:rsidRPr="00804A2C">
        <w:rPr>
          <w:i/>
        </w:rPr>
        <w:t>Canadian Charter of Rights and Freedoms</w:t>
      </w:r>
      <w:r w:rsidRPr="00804A2C">
        <w:t xml:space="preserve">? </w:t>
      </w:r>
    </w:p>
    <w:p w:rsidR="00BB1957" w:rsidRPr="00804A2C" w:rsidRDefault="00BB1957" w:rsidP="00A220FA">
      <w:pPr>
        <w:pStyle w:val="Citation-AltC"/>
        <w:spacing w:after="480" w:line="480" w:lineRule="auto"/>
        <w:ind w:left="0"/>
        <w:contextualSpacing w:val="0"/>
      </w:pPr>
      <w:r w:rsidRPr="00804A2C">
        <w:t>Answer: Yes</w:t>
      </w:r>
      <w:r w:rsidR="007E123E">
        <w:t>.</w:t>
      </w:r>
    </w:p>
    <w:p w:rsidR="00BB1957" w:rsidRPr="00804A2C" w:rsidRDefault="00BB1957" w:rsidP="00314655">
      <w:pPr>
        <w:pStyle w:val="Citation-AltC"/>
        <w:numPr>
          <w:ilvl w:val="6"/>
          <w:numId w:val="6"/>
        </w:numPr>
        <w:spacing w:after="480"/>
        <w:ind w:left="1800" w:hanging="634"/>
        <w:contextualSpacing w:val="0"/>
      </w:pPr>
      <w:r w:rsidRPr="00804A2C">
        <w:t xml:space="preserve">If so, is the infringement a reasonable limit prescribed by law as can be demonstrably justified in a free and democratic society under s. 1 of the </w:t>
      </w:r>
      <w:r w:rsidRPr="00804A2C">
        <w:rPr>
          <w:i/>
        </w:rPr>
        <w:t>Canadian Charter of Rights and Freedoms</w:t>
      </w:r>
      <w:r w:rsidRPr="00804A2C">
        <w:t>?</w:t>
      </w:r>
    </w:p>
    <w:p w:rsidR="00BB1957" w:rsidRPr="00804A2C" w:rsidRDefault="00BB1957" w:rsidP="00A220FA">
      <w:pPr>
        <w:pStyle w:val="Citation-AltC"/>
        <w:spacing w:after="480" w:line="480" w:lineRule="auto"/>
        <w:ind w:left="0"/>
        <w:contextualSpacing w:val="0"/>
      </w:pPr>
      <w:r w:rsidRPr="00804A2C">
        <w:t>Answer: A prohibition of any representation that “ridicules, belittles or otherwise affronts the dignity of” any person or class of persons on the basis of a prohibited ground is not a reasonable limit on freedom of expression. Those words are constitutionally invalid and are severed from the statutory provision in accordance with these reasons.  The remaining prohibition of any representation “that exposes or tends to expose to hatred” any person or class of persons on the basis of a prohibited ground is a reasonable limit and demonstrably justified in a free and democratic society.</w:t>
      </w:r>
    </w:p>
    <w:p w:rsidR="00BB1957" w:rsidRPr="00804A2C" w:rsidRDefault="00BB1957" w:rsidP="00BB1957">
      <w:pPr>
        <w:pStyle w:val="ParaNoNdepar-AltN"/>
        <w:rPr>
          <w:rFonts w:cs="Times New Roman"/>
        </w:rPr>
      </w:pPr>
      <w:r w:rsidRPr="00804A2C">
        <w:rPr>
          <w:rFonts w:cs="Times New Roman"/>
        </w:rPr>
        <w:t xml:space="preserve">I would therefore allow the appeal in part, and reinstate the Tribunal’s decision as to Flyers D and E.  I would dismiss the appeal with respect to Flyers F and G.  Given that Mr. </w:t>
      </w:r>
      <w:proofErr w:type="spellStart"/>
      <w:r w:rsidRPr="00804A2C">
        <w:rPr>
          <w:rFonts w:cs="Times New Roman"/>
        </w:rPr>
        <w:t>Whatcott</w:t>
      </w:r>
      <w:proofErr w:type="spellEnd"/>
      <w:r w:rsidRPr="00804A2C">
        <w:rPr>
          <w:rFonts w:cs="Times New Roman"/>
        </w:rPr>
        <w:t xml:space="preserve"> was found in contravention of the </w:t>
      </w:r>
      <w:r w:rsidRPr="00804A2C">
        <w:rPr>
          <w:rFonts w:cs="Times New Roman"/>
          <w:i/>
        </w:rPr>
        <w:t>Code</w:t>
      </w:r>
      <w:r w:rsidRPr="00804A2C">
        <w:rPr>
          <w:rFonts w:cs="Times New Roman"/>
        </w:rPr>
        <w:t>, the Commission is awarded costs throughout, including costs of the application for leave to appeal in this Court.</w:t>
      </w:r>
    </w:p>
    <w:p w:rsidR="00BB1957" w:rsidRPr="00804A2C" w:rsidRDefault="00BB1957" w:rsidP="00BB1957">
      <w:pPr>
        <w:rPr>
          <w:rFonts w:eastAsiaTheme="minorEastAsia"/>
          <w:szCs w:val="22"/>
          <w:lang w:eastAsia="en-US"/>
        </w:rPr>
      </w:pPr>
    </w:p>
    <w:p w:rsidR="00BB1957" w:rsidRDefault="00BB1957" w:rsidP="00BB1957">
      <w:pPr>
        <w:jc w:val="center"/>
        <w:rPr>
          <w:b/>
        </w:rPr>
      </w:pPr>
      <w:bookmarkStart w:id="407" w:name="_Toc341432538"/>
      <w:bookmarkStart w:id="408" w:name="_Toc341687017"/>
      <w:bookmarkStart w:id="409" w:name="_Toc346006840"/>
      <w:bookmarkStart w:id="410" w:name="_Toc349051300"/>
      <w:bookmarkStart w:id="411" w:name="_Toc349051378"/>
      <w:bookmarkStart w:id="412" w:name="_Toc349306933"/>
      <w:r w:rsidRPr="00CE71F7">
        <w:rPr>
          <w:b/>
        </w:rPr>
        <w:t xml:space="preserve">APPENDIX </w:t>
      </w:r>
      <w:bookmarkEnd w:id="407"/>
      <w:r w:rsidRPr="00CE71F7">
        <w:rPr>
          <w:b/>
        </w:rPr>
        <w:t>A</w:t>
      </w:r>
      <w:bookmarkStart w:id="413" w:name="_Toc341687018"/>
      <w:bookmarkStart w:id="414" w:name="_Toc346006841"/>
      <w:bookmarkStart w:id="415" w:name="_Toc349051301"/>
      <w:bookmarkStart w:id="416" w:name="_Toc349051379"/>
      <w:bookmarkStart w:id="417" w:name="_Toc341432537"/>
      <w:bookmarkEnd w:id="408"/>
      <w:bookmarkEnd w:id="409"/>
      <w:bookmarkEnd w:id="410"/>
      <w:bookmarkEnd w:id="411"/>
      <w:bookmarkEnd w:id="412"/>
    </w:p>
    <w:p w:rsidR="00BB1957" w:rsidRDefault="00BB1957" w:rsidP="00BB1957"/>
    <w:p w:rsidR="00BB1957" w:rsidRPr="00CE71F7" w:rsidRDefault="00BB1957" w:rsidP="00BB1957"/>
    <w:p w:rsidR="00BB1957" w:rsidRDefault="00BB1957" w:rsidP="000D4ADD">
      <w:pPr>
        <w:spacing w:after="480"/>
        <w:rPr>
          <w:u w:val="single"/>
        </w:rPr>
      </w:pPr>
      <w:bookmarkStart w:id="418" w:name="_Toc349306934"/>
      <w:r w:rsidRPr="00CE71F7">
        <w:rPr>
          <w:u w:val="single"/>
        </w:rPr>
        <w:t>Relevant Statutory Provisions</w:t>
      </w:r>
      <w:bookmarkEnd w:id="413"/>
      <w:bookmarkEnd w:id="414"/>
      <w:bookmarkEnd w:id="415"/>
      <w:bookmarkEnd w:id="416"/>
      <w:bookmarkEnd w:id="418"/>
    </w:p>
    <w:p w:rsidR="00BB1957" w:rsidRPr="00CE71F7" w:rsidRDefault="00BB1957" w:rsidP="00982000">
      <w:pPr>
        <w:ind w:left="720"/>
      </w:pPr>
    </w:p>
    <w:bookmarkEnd w:id="417"/>
    <w:p w:rsidR="00BB1957" w:rsidRPr="00804A2C" w:rsidRDefault="00BB1957" w:rsidP="007E123E">
      <w:pPr>
        <w:pStyle w:val="Citation-AltC"/>
        <w:spacing w:after="480"/>
        <w:ind w:left="0"/>
        <w:contextualSpacing w:val="0"/>
      </w:pPr>
      <w:r w:rsidRPr="00804A2C">
        <w:rPr>
          <w:i/>
        </w:rPr>
        <w:t>The Saskatchewan Human Rights Code</w:t>
      </w:r>
      <w:r w:rsidRPr="00804A2C">
        <w:t>, S.S. 1979, c. S-24.1</w:t>
      </w:r>
    </w:p>
    <w:p w:rsidR="00BB1957" w:rsidRPr="00804A2C" w:rsidRDefault="00BB1957" w:rsidP="000D4ADD">
      <w:pPr>
        <w:pStyle w:val="Citation-AltC"/>
        <w:tabs>
          <w:tab w:val="left" w:pos="1440"/>
        </w:tabs>
        <w:spacing w:after="240"/>
        <w:ind w:left="720"/>
        <w:contextualSpacing w:val="0"/>
      </w:pPr>
      <w:r w:rsidRPr="00804A2C">
        <w:rPr>
          <w:b/>
        </w:rPr>
        <w:tab/>
        <w:t>2.</w:t>
      </w:r>
      <w:r w:rsidR="00982000">
        <w:rPr>
          <w:b/>
        </w:rPr>
        <w:t xml:space="preserve"> </w:t>
      </w:r>
      <w:r w:rsidR="00547DD7">
        <w:t xml:space="preserve">(1) </w:t>
      </w:r>
      <w:r w:rsidRPr="00804A2C">
        <w:t>In this Act:</w:t>
      </w:r>
    </w:p>
    <w:p w:rsidR="00BB1957" w:rsidRPr="00804A2C" w:rsidRDefault="00BB1957" w:rsidP="000D4ADD">
      <w:pPr>
        <w:pStyle w:val="Citation-AltC"/>
        <w:spacing w:after="240"/>
        <w:ind w:left="720"/>
        <w:contextualSpacing w:val="0"/>
        <w:jc w:val="center"/>
      </w:pPr>
      <w:r w:rsidRPr="00804A2C">
        <w:t>. . .</w:t>
      </w:r>
    </w:p>
    <w:p w:rsidR="00BB1957" w:rsidRPr="00804A2C" w:rsidRDefault="00BB1957" w:rsidP="000D4ADD">
      <w:pPr>
        <w:pStyle w:val="Citation-AltC"/>
        <w:tabs>
          <w:tab w:val="left" w:pos="1440"/>
        </w:tabs>
        <w:spacing w:after="240"/>
        <w:ind w:left="720"/>
        <w:contextualSpacing w:val="0"/>
      </w:pPr>
      <w:r w:rsidRPr="00804A2C">
        <w:tab/>
        <w:t>(</w:t>
      </w:r>
      <w:r w:rsidRPr="00982000">
        <w:t>m.01</w:t>
      </w:r>
      <w:r w:rsidRPr="00804A2C">
        <w:t>) “</w:t>
      </w:r>
      <w:r w:rsidRPr="00804A2C">
        <w:rPr>
          <w:u w:val="single"/>
        </w:rPr>
        <w:t>prohibited ground</w:t>
      </w:r>
      <w:r w:rsidRPr="00804A2C">
        <w:t xml:space="preserve">” means: </w:t>
      </w:r>
    </w:p>
    <w:p w:rsidR="00BB1957" w:rsidRPr="00804A2C" w:rsidRDefault="00BB1957" w:rsidP="000D4ADD">
      <w:pPr>
        <w:pStyle w:val="Citation-AltC"/>
        <w:spacing w:after="240"/>
        <w:ind w:left="720"/>
        <w:contextualSpacing w:val="0"/>
        <w:jc w:val="center"/>
      </w:pPr>
      <w:r w:rsidRPr="00804A2C">
        <w:t>. . .</w:t>
      </w:r>
    </w:p>
    <w:p w:rsidR="00BB1957" w:rsidRPr="00804A2C" w:rsidRDefault="000D4ADD" w:rsidP="000D4ADD">
      <w:pPr>
        <w:pStyle w:val="Citation-AltC"/>
        <w:tabs>
          <w:tab w:val="left" w:pos="2160"/>
        </w:tabs>
        <w:spacing w:after="240"/>
        <w:ind w:left="720"/>
        <w:contextualSpacing w:val="0"/>
      </w:pPr>
      <w:r>
        <w:tab/>
      </w:r>
      <w:r w:rsidR="00BB1957" w:rsidRPr="00804A2C">
        <w:t xml:space="preserve">(vi) </w:t>
      </w:r>
      <w:proofErr w:type="gramStart"/>
      <w:r w:rsidR="00BB1957" w:rsidRPr="00804A2C">
        <w:rPr>
          <w:u w:val="single"/>
        </w:rPr>
        <w:t>sexual</w:t>
      </w:r>
      <w:proofErr w:type="gramEnd"/>
      <w:r w:rsidR="00BB1957" w:rsidRPr="00804A2C">
        <w:rPr>
          <w:u w:val="single"/>
        </w:rPr>
        <w:t xml:space="preserve"> orientation</w:t>
      </w:r>
      <w:r w:rsidR="00BB1957" w:rsidRPr="00804A2C">
        <w:t>;</w:t>
      </w:r>
    </w:p>
    <w:p w:rsidR="00BB1957" w:rsidRPr="00804A2C" w:rsidRDefault="00BB1957" w:rsidP="000D4ADD">
      <w:pPr>
        <w:pStyle w:val="Citation-AltC"/>
        <w:spacing w:after="240"/>
        <w:ind w:left="720"/>
        <w:contextualSpacing w:val="0"/>
        <w:jc w:val="center"/>
      </w:pPr>
      <w:r w:rsidRPr="00804A2C">
        <w:t>. . .</w:t>
      </w:r>
    </w:p>
    <w:p w:rsidR="00BB1957" w:rsidRPr="00804A2C" w:rsidRDefault="00BB1957" w:rsidP="000D4ADD">
      <w:pPr>
        <w:pStyle w:val="Citation-AltC"/>
        <w:tabs>
          <w:tab w:val="left" w:pos="1440"/>
        </w:tabs>
        <w:spacing w:after="240"/>
        <w:ind w:left="720"/>
        <w:contextualSpacing w:val="0"/>
      </w:pPr>
      <w:r w:rsidRPr="00804A2C">
        <w:rPr>
          <w:b/>
        </w:rPr>
        <w:tab/>
        <w:t>3.</w:t>
      </w:r>
      <w:r w:rsidRPr="00804A2C">
        <w:t xml:space="preserve">  The objects of this Act are:</w:t>
      </w:r>
    </w:p>
    <w:p w:rsidR="00BB1957" w:rsidRPr="00804A2C" w:rsidRDefault="00982000" w:rsidP="000D4ADD">
      <w:pPr>
        <w:pStyle w:val="Citation-AltC"/>
        <w:tabs>
          <w:tab w:val="left" w:pos="1440"/>
          <w:tab w:val="left" w:pos="1890"/>
        </w:tabs>
        <w:spacing w:after="240"/>
        <w:ind w:left="1440" w:hanging="720"/>
        <w:contextualSpacing w:val="0"/>
      </w:pPr>
      <w:r>
        <w:tab/>
      </w:r>
      <w:r w:rsidR="00BB1957" w:rsidRPr="00804A2C">
        <w:t>(</w:t>
      </w:r>
      <w:r w:rsidR="00BB1957" w:rsidRPr="00982000">
        <w:t>a</w:t>
      </w:r>
      <w:r w:rsidR="00BB1957" w:rsidRPr="00804A2C">
        <w:t>)</w:t>
      </w:r>
      <w:r w:rsidR="00BB1957" w:rsidRPr="00804A2C">
        <w:tab/>
      </w:r>
      <w:proofErr w:type="gramStart"/>
      <w:r w:rsidR="00BB1957" w:rsidRPr="00804A2C">
        <w:rPr>
          <w:u w:val="single"/>
        </w:rPr>
        <w:t>to</w:t>
      </w:r>
      <w:proofErr w:type="gramEnd"/>
      <w:r w:rsidR="00BB1957" w:rsidRPr="00804A2C">
        <w:rPr>
          <w:u w:val="single"/>
        </w:rPr>
        <w:t xml:space="preserve"> promote recognition of the inherent dignity and the equal inalienable rights of all members of the human family</w:t>
      </w:r>
      <w:r w:rsidR="00BB1957" w:rsidRPr="00804A2C">
        <w:t>; and</w:t>
      </w:r>
    </w:p>
    <w:p w:rsidR="00BB1957" w:rsidRPr="00804A2C" w:rsidRDefault="00982000" w:rsidP="000D4ADD">
      <w:pPr>
        <w:pStyle w:val="Citation-AltC"/>
        <w:tabs>
          <w:tab w:val="left" w:pos="1440"/>
          <w:tab w:val="left" w:pos="1890"/>
        </w:tabs>
        <w:spacing w:after="240"/>
        <w:ind w:left="1440" w:hanging="720"/>
        <w:contextualSpacing w:val="0"/>
      </w:pPr>
      <w:r>
        <w:tab/>
      </w:r>
      <w:r w:rsidR="00BB1957" w:rsidRPr="00804A2C">
        <w:t>(</w:t>
      </w:r>
      <w:r w:rsidR="00BB1957" w:rsidRPr="00982000">
        <w:t>b</w:t>
      </w:r>
      <w:r w:rsidR="00BB1957" w:rsidRPr="00804A2C">
        <w:t>)</w:t>
      </w:r>
      <w:r w:rsidR="00BB1957" w:rsidRPr="00804A2C">
        <w:tab/>
      </w:r>
      <w:proofErr w:type="gramStart"/>
      <w:r w:rsidR="00BB1957" w:rsidRPr="00804A2C">
        <w:rPr>
          <w:u w:val="single"/>
        </w:rPr>
        <w:t>to</w:t>
      </w:r>
      <w:proofErr w:type="gramEnd"/>
      <w:r w:rsidR="00BB1957" w:rsidRPr="00804A2C">
        <w:rPr>
          <w:u w:val="single"/>
        </w:rPr>
        <w:t xml:space="preserve"> further public policy in Saskatchewan that every person is free and equal in dignity and rights and to discourage and eliminate discrimination</w:t>
      </w:r>
      <w:r w:rsidR="00BB1957" w:rsidRPr="00804A2C">
        <w:t>.</w:t>
      </w:r>
    </w:p>
    <w:p w:rsidR="00BB1957" w:rsidRPr="00804A2C" w:rsidRDefault="00BB1957" w:rsidP="000D4ADD">
      <w:pPr>
        <w:pStyle w:val="Citation-AltC"/>
        <w:tabs>
          <w:tab w:val="left" w:pos="1440"/>
        </w:tabs>
        <w:spacing w:after="240"/>
        <w:ind w:left="720"/>
        <w:contextualSpacing w:val="0"/>
      </w:pPr>
      <w:r w:rsidRPr="00804A2C">
        <w:rPr>
          <w:b/>
        </w:rPr>
        <w:tab/>
        <w:t>4.</w:t>
      </w:r>
      <w:r w:rsidRPr="00804A2C">
        <w:t xml:space="preserve">  Every person and every class of persons shall enjoy the right to freedom of conscience, opinion and belief and freedom of religious association, teaching, practice and worship.</w:t>
      </w:r>
    </w:p>
    <w:p w:rsidR="00BB1957" w:rsidRPr="00804A2C" w:rsidRDefault="00BB1957" w:rsidP="000D4ADD">
      <w:pPr>
        <w:pStyle w:val="Citation-AltC"/>
        <w:tabs>
          <w:tab w:val="left" w:pos="1440"/>
        </w:tabs>
        <w:spacing w:after="240"/>
        <w:ind w:left="720"/>
        <w:contextualSpacing w:val="0"/>
      </w:pPr>
      <w:r w:rsidRPr="00804A2C">
        <w:rPr>
          <w:b/>
        </w:rPr>
        <w:tab/>
        <w:t>5.</w:t>
      </w:r>
      <w:r w:rsidRPr="00804A2C">
        <w:t xml:space="preserve">  Every person and every class of persons shall, under the law, enjoy the right to freedom of expression through all means of communication, including, without limiting the generality of the foregoing, the arts, speech, the press or radio, television or any other broadcasting device.</w:t>
      </w:r>
    </w:p>
    <w:p w:rsidR="00BB1957" w:rsidRPr="00804A2C" w:rsidRDefault="00BB1957" w:rsidP="000D4ADD">
      <w:pPr>
        <w:pStyle w:val="Citation-AltC"/>
        <w:tabs>
          <w:tab w:val="left" w:pos="1440"/>
        </w:tabs>
        <w:spacing w:after="240"/>
        <w:ind w:left="720"/>
        <w:contextualSpacing w:val="0"/>
      </w:pPr>
      <w:r w:rsidRPr="00804A2C">
        <w:rPr>
          <w:b/>
        </w:rPr>
        <w:tab/>
        <w:t xml:space="preserve">14. </w:t>
      </w:r>
      <w:r w:rsidRPr="00804A2C">
        <w:t>(1</w:t>
      </w:r>
      <w:proofErr w:type="gramStart"/>
      <w:r w:rsidRPr="00804A2C">
        <w:t xml:space="preserve">)  </w:t>
      </w:r>
      <w:r w:rsidRPr="00804A2C">
        <w:rPr>
          <w:u w:val="single"/>
        </w:rPr>
        <w:t>No</w:t>
      </w:r>
      <w:proofErr w:type="gramEnd"/>
      <w:r w:rsidRPr="00804A2C">
        <w:rPr>
          <w:u w:val="single"/>
        </w:rPr>
        <w:t xml:space="preserve"> person shall publish or display</w:t>
      </w:r>
      <w:r w:rsidRPr="00804A2C">
        <w:t xml:space="preserve">, or cause or permit to be published or displayed, on any lands or premises or in a newspaper, through a television or radio broadcasting station or any other broadcasting device, or in any printed matter or publication or by means of any other medium that the person owns, controls, distributes or sells, </w:t>
      </w:r>
      <w:r w:rsidRPr="00804A2C">
        <w:rPr>
          <w:u w:val="single"/>
        </w:rPr>
        <w:t>any representation</w:t>
      </w:r>
      <w:r w:rsidRPr="00804A2C">
        <w:t>, including any notice, sign, symbol, emblem, article, statement or other representation:</w:t>
      </w:r>
    </w:p>
    <w:p w:rsidR="00BB1957" w:rsidRPr="00804A2C" w:rsidRDefault="00547DD7" w:rsidP="000D4ADD">
      <w:pPr>
        <w:pStyle w:val="Citation-AltC"/>
        <w:tabs>
          <w:tab w:val="left" w:pos="1440"/>
          <w:tab w:val="left" w:pos="1800"/>
        </w:tabs>
        <w:spacing w:after="240"/>
        <w:ind w:left="1440" w:hanging="720"/>
        <w:contextualSpacing w:val="0"/>
      </w:pPr>
      <w:r>
        <w:tab/>
      </w:r>
      <w:r w:rsidR="00BB1957" w:rsidRPr="00804A2C">
        <w:t>(</w:t>
      </w:r>
      <w:r w:rsidR="00BB1957" w:rsidRPr="00CD1F38">
        <w:t>a</w:t>
      </w:r>
      <w:r w:rsidR="00BB1957" w:rsidRPr="00804A2C">
        <w:t>)</w:t>
      </w:r>
      <w:r w:rsidR="00BB1957" w:rsidRPr="00804A2C">
        <w:tab/>
        <w:t>tending or likely to tend to deprive, abridge or otherwise restrict the enjoyment by any person or class of persons, on the basis of a prohibited ground, of any right to which that person or class of persons is entitled under law; or</w:t>
      </w:r>
    </w:p>
    <w:p w:rsidR="00BB1957" w:rsidRPr="00804A2C" w:rsidRDefault="00547DD7" w:rsidP="000D4ADD">
      <w:pPr>
        <w:pStyle w:val="Citation-AltC"/>
        <w:tabs>
          <w:tab w:val="left" w:pos="1440"/>
          <w:tab w:val="left" w:pos="1800"/>
        </w:tabs>
        <w:spacing w:after="240"/>
        <w:ind w:left="1440" w:hanging="720"/>
        <w:contextualSpacing w:val="0"/>
      </w:pPr>
      <w:r>
        <w:tab/>
      </w:r>
      <w:r w:rsidR="00BB1957" w:rsidRPr="00804A2C">
        <w:t>(</w:t>
      </w:r>
      <w:r w:rsidR="00BB1957" w:rsidRPr="00CD1F38">
        <w:t>b</w:t>
      </w:r>
      <w:r w:rsidR="00BB1957" w:rsidRPr="00804A2C">
        <w:t>)</w:t>
      </w:r>
      <w:r w:rsidR="00BB1957" w:rsidRPr="00804A2C">
        <w:tab/>
      </w:r>
      <w:proofErr w:type="gramStart"/>
      <w:r w:rsidR="00BB1957" w:rsidRPr="00804A2C">
        <w:rPr>
          <w:u w:val="single"/>
        </w:rPr>
        <w:t>that</w:t>
      </w:r>
      <w:proofErr w:type="gramEnd"/>
      <w:r w:rsidR="00BB1957" w:rsidRPr="00804A2C">
        <w:rPr>
          <w:u w:val="single"/>
        </w:rPr>
        <w:t xml:space="preserve"> exposes or tends to expose to hatred, ridicules, belittles or otherwise affronts the dignity of any person or class of persons on the basis of a prohibited ground</w:t>
      </w:r>
      <w:r w:rsidR="00BB1957" w:rsidRPr="00804A2C">
        <w:t>.</w:t>
      </w:r>
    </w:p>
    <w:p w:rsidR="00BB1957" w:rsidRPr="00804A2C" w:rsidRDefault="00BB1957" w:rsidP="000D4ADD">
      <w:pPr>
        <w:pStyle w:val="Citation-AltC"/>
        <w:tabs>
          <w:tab w:val="left" w:pos="1440"/>
        </w:tabs>
        <w:spacing w:after="240"/>
        <w:ind w:left="720"/>
        <w:contextualSpacing w:val="0"/>
      </w:pPr>
      <w:r w:rsidRPr="00804A2C">
        <w:tab/>
        <w:t xml:space="preserve">(2) </w:t>
      </w:r>
      <w:r w:rsidRPr="00804A2C">
        <w:rPr>
          <w:u w:val="single"/>
        </w:rPr>
        <w:t>Nothing in subsection (1) restricts the right to freedom of expression under the law upon any subject</w:t>
      </w:r>
      <w:r w:rsidRPr="00CD1F38">
        <w:rPr>
          <w:u w:val="single"/>
        </w:rPr>
        <w:t>.</w:t>
      </w:r>
    </w:p>
    <w:p w:rsidR="00CD1F38" w:rsidRDefault="00BB1957" w:rsidP="0019742E">
      <w:pPr>
        <w:pStyle w:val="Citation-AltC"/>
        <w:tabs>
          <w:tab w:val="left" w:pos="1440"/>
        </w:tabs>
        <w:spacing w:after="240"/>
        <w:ind w:left="720"/>
        <w:contextualSpacing w:val="0"/>
      </w:pPr>
      <w:r w:rsidRPr="00804A2C">
        <w:rPr>
          <w:b/>
        </w:rPr>
        <w:tab/>
        <w:t xml:space="preserve">31. </w:t>
      </w:r>
      <w:r w:rsidRPr="00804A2C">
        <w:t>. . . </w:t>
      </w:r>
    </w:p>
    <w:p w:rsidR="00BB1957" w:rsidRPr="00804A2C" w:rsidRDefault="000D4ADD" w:rsidP="000D4ADD">
      <w:pPr>
        <w:pStyle w:val="Citation-AltC"/>
        <w:tabs>
          <w:tab w:val="left" w:pos="1440"/>
        </w:tabs>
        <w:spacing w:after="240"/>
        <w:ind w:left="720"/>
        <w:contextualSpacing w:val="0"/>
      </w:pPr>
      <w:r>
        <w:tab/>
      </w:r>
      <w:r w:rsidR="00BB1957" w:rsidRPr="00804A2C">
        <w:t>(4) Without restricting the generality of subsection (2), a human rights tribunal shall, on an inquiry, be entitled to receive and accept evidence led for the purpose of establishing a pattern or practice of resistance to or disregard or denial of any of the rights secured by this Act, and the human rights tribunal shall be entitled to place any reliance that it considers appropriate on the evidence and on any pattern or practice disclosed by the evidence in arriving at its decision.</w:t>
      </w:r>
    </w:p>
    <w:p w:rsidR="00BB1957" w:rsidRPr="00804A2C" w:rsidRDefault="00BB1957" w:rsidP="0019742E">
      <w:pPr>
        <w:pStyle w:val="Citation-AltC"/>
        <w:tabs>
          <w:tab w:val="left" w:pos="1440"/>
        </w:tabs>
        <w:spacing w:after="240"/>
        <w:ind w:left="720"/>
        <w:contextualSpacing w:val="0"/>
      </w:pPr>
      <w:r w:rsidRPr="00804A2C">
        <w:tab/>
      </w:r>
      <w:r w:rsidRPr="00804A2C">
        <w:rPr>
          <w:b/>
        </w:rPr>
        <w:t xml:space="preserve">32. </w:t>
      </w:r>
      <w:r w:rsidRPr="00804A2C">
        <w:t xml:space="preserve">(1) Any party to a proceeding before a human rights tribunal may appeal on a question of law from the decision or order of the human rights tribunal to a judge of the Court of Queen’s Bench by serving a notice of motion, in accordance with </w:t>
      </w:r>
      <w:r w:rsidRPr="00804A2C">
        <w:rPr>
          <w:i/>
        </w:rPr>
        <w:t>The Queen’s Bench Rules</w:t>
      </w:r>
      <w:r w:rsidRPr="00804A2C">
        <w:t>, within 30 days after the decision or order of the tribunal, on:</w:t>
      </w:r>
    </w:p>
    <w:p w:rsidR="00BB1957" w:rsidRPr="00804A2C" w:rsidRDefault="00BB1957" w:rsidP="000D4ADD">
      <w:pPr>
        <w:pStyle w:val="Citation-AltC"/>
        <w:tabs>
          <w:tab w:val="left" w:pos="1440"/>
          <w:tab w:val="left" w:pos="1800"/>
        </w:tabs>
        <w:spacing w:after="240"/>
        <w:ind w:left="1440" w:hanging="720"/>
        <w:contextualSpacing w:val="0"/>
      </w:pPr>
      <w:r w:rsidRPr="00804A2C">
        <w:tab/>
        <w:t>(</w:t>
      </w:r>
      <w:r w:rsidRPr="00CD1F38">
        <w:t>a</w:t>
      </w:r>
      <w:r w:rsidRPr="00804A2C">
        <w:t>)</w:t>
      </w:r>
      <w:r w:rsidRPr="00804A2C">
        <w:tab/>
      </w:r>
      <w:proofErr w:type="gramStart"/>
      <w:r w:rsidRPr="00804A2C">
        <w:t>the</w:t>
      </w:r>
      <w:proofErr w:type="gramEnd"/>
      <w:r w:rsidRPr="00804A2C">
        <w:t xml:space="preserve"> human rights tribunal;</w:t>
      </w:r>
    </w:p>
    <w:p w:rsidR="00BB1957" w:rsidRPr="00804A2C" w:rsidRDefault="00BB1957" w:rsidP="000D4ADD">
      <w:pPr>
        <w:pStyle w:val="Citation-AltC"/>
        <w:tabs>
          <w:tab w:val="left" w:pos="1440"/>
          <w:tab w:val="left" w:pos="1800"/>
        </w:tabs>
        <w:spacing w:after="240"/>
        <w:ind w:left="1440" w:hanging="720"/>
        <w:contextualSpacing w:val="0"/>
      </w:pPr>
      <w:r w:rsidRPr="00804A2C">
        <w:tab/>
        <w:t>(</w:t>
      </w:r>
      <w:r w:rsidRPr="00CD1F38">
        <w:t>b</w:t>
      </w:r>
      <w:r w:rsidRPr="00804A2C">
        <w:t>)</w:t>
      </w:r>
      <w:r w:rsidRPr="00804A2C">
        <w:tab/>
      </w:r>
      <w:proofErr w:type="gramStart"/>
      <w:r w:rsidRPr="00804A2C">
        <w:t>the</w:t>
      </w:r>
      <w:proofErr w:type="gramEnd"/>
      <w:r w:rsidRPr="00804A2C">
        <w:t xml:space="preserve"> commission; and</w:t>
      </w:r>
    </w:p>
    <w:p w:rsidR="00BB1957" w:rsidRPr="00804A2C" w:rsidRDefault="00BB1957" w:rsidP="0019742E">
      <w:pPr>
        <w:pStyle w:val="Citation-AltC"/>
        <w:tabs>
          <w:tab w:val="left" w:pos="1440"/>
          <w:tab w:val="left" w:pos="1800"/>
        </w:tabs>
        <w:ind w:left="1440" w:hanging="720"/>
        <w:contextualSpacing w:val="0"/>
      </w:pPr>
      <w:r w:rsidRPr="00804A2C">
        <w:tab/>
        <w:t>(</w:t>
      </w:r>
      <w:r w:rsidRPr="00CD1F38">
        <w:t>c</w:t>
      </w:r>
      <w:r w:rsidRPr="00804A2C">
        <w:t xml:space="preserve">) </w:t>
      </w:r>
      <w:r w:rsidRPr="00804A2C">
        <w:tab/>
      </w:r>
      <w:proofErr w:type="gramStart"/>
      <w:r w:rsidRPr="00804A2C">
        <w:t>the</w:t>
      </w:r>
      <w:proofErr w:type="gramEnd"/>
      <w:r w:rsidRPr="00804A2C">
        <w:t xml:space="preserve"> other parties in the proceeding before the human rights tribunal.</w:t>
      </w:r>
    </w:p>
    <w:p w:rsidR="00BB1957" w:rsidRPr="00804A2C" w:rsidRDefault="00BB1957" w:rsidP="004814C8">
      <w:pPr>
        <w:pStyle w:val="Citation-AltC"/>
        <w:spacing w:after="480"/>
        <w:ind w:left="0"/>
        <w:contextualSpacing w:val="0"/>
      </w:pPr>
      <w:r w:rsidRPr="00804A2C">
        <w:rPr>
          <w:i/>
        </w:rPr>
        <w:t>Canadian Human Rights Act</w:t>
      </w:r>
      <w:r w:rsidRPr="00804A2C">
        <w:t>, S.C. 1976-77</w:t>
      </w:r>
      <w:r w:rsidR="00CD1F38">
        <w:t>,</w:t>
      </w:r>
      <w:r w:rsidRPr="00804A2C">
        <w:t xml:space="preserve"> c. 33</w:t>
      </w:r>
      <w:r w:rsidR="00CD1F38">
        <w:t xml:space="preserve"> (now R.S.C. 1985, c. H-6)</w:t>
      </w:r>
    </w:p>
    <w:p w:rsidR="00BB1957" w:rsidRPr="00804A2C" w:rsidRDefault="00BB1957" w:rsidP="00BB1957">
      <w:pPr>
        <w:pStyle w:val="Citation-AltC"/>
        <w:ind w:left="0"/>
      </w:pPr>
    </w:p>
    <w:p w:rsidR="00BB1957" w:rsidRPr="00804A2C" w:rsidRDefault="00BB1957" w:rsidP="0019742E">
      <w:pPr>
        <w:pStyle w:val="Citation-AltC"/>
        <w:tabs>
          <w:tab w:val="left" w:pos="1440"/>
        </w:tabs>
        <w:spacing w:after="480"/>
        <w:ind w:left="720"/>
        <w:contextualSpacing w:val="0"/>
      </w:pPr>
      <w:r w:rsidRPr="00804A2C">
        <w:rPr>
          <w:b/>
        </w:rPr>
        <w:tab/>
        <w:t>13.</w:t>
      </w:r>
      <w:r w:rsidRPr="00804A2C">
        <w:t xml:space="preserve"> (1) It is a discriminatory practice for a person or a group of persons acting in concert to communicate telephonically or to cause to be so communicated, repeatedly, in whole or in part by means of the facilities of a telecommunication undertaking within the legislative authority of Parliament, </w:t>
      </w:r>
      <w:r w:rsidRPr="00804A2C">
        <w:rPr>
          <w:u w:val="single"/>
        </w:rPr>
        <w:t>any matter that is likely to expose a person or persons to hatred or contempt by reason of the fact that that person or those persons are identifiable on the basis of a prohibited ground of discrimination</w:t>
      </w:r>
      <w:r w:rsidRPr="00804A2C">
        <w:t>.</w:t>
      </w:r>
    </w:p>
    <w:p w:rsidR="00BB1957" w:rsidRPr="00804A2C" w:rsidRDefault="00CD1F38" w:rsidP="0031056D">
      <w:pPr>
        <w:pStyle w:val="Citation-AltC"/>
        <w:spacing w:line="480" w:lineRule="auto"/>
        <w:ind w:left="0"/>
        <w:contextualSpacing w:val="0"/>
        <w:rPr>
          <w:szCs w:val="24"/>
        </w:rPr>
      </w:pPr>
      <w:r>
        <w:rPr>
          <w:szCs w:val="24"/>
        </w:rPr>
        <w:t>(</w:t>
      </w:r>
      <w:r w:rsidR="00BB1957" w:rsidRPr="00804A2C">
        <w:rPr>
          <w:szCs w:val="24"/>
        </w:rPr>
        <w:t>This section w</w:t>
      </w:r>
      <w:r>
        <w:rPr>
          <w:szCs w:val="24"/>
        </w:rPr>
        <w:t>ill be</w:t>
      </w:r>
      <w:r w:rsidR="00BB1957" w:rsidRPr="00804A2C">
        <w:rPr>
          <w:szCs w:val="24"/>
        </w:rPr>
        <w:t xml:space="preserve"> repealed by Bill C-304</w:t>
      </w:r>
      <w:r>
        <w:rPr>
          <w:szCs w:val="24"/>
        </w:rPr>
        <w:t xml:space="preserve">, </w:t>
      </w:r>
      <w:r w:rsidR="00BB1957" w:rsidRPr="00804A2C">
        <w:rPr>
          <w:i/>
          <w:szCs w:val="24"/>
        </w:rPr>
        <w:t xml:space="preserve">An Act to amend the Canadian Human Rights Act </w:t>
      </w:r>
      <w:r w:rsidR="00BB1957" w:rsidRPr="00CD1F38">
        <w:rPr>
          <w:i/>
          <w:szCs w:val="24"/>
        </w:rPr>
        <w:t>(protecting freedom)</w:t>
      </w:r>
      <w:r w:rsidR="00BB1957" w:rsidRPr="00804A2C">
        <w:rPr>
          <w:szCs w:val="24"/>
        </w:rPr>
        <w:t xml:space="preserve">, </w:t>
      </w:r>
      <w:r>
        <w:rPr>
          <w:szCs w:val="24"/>
        </w:rPr>
        <w:t xml:space="preserve">1st Sess., 41st Parl., </w:t>
      </w:r>
      <w:proofErr w:type="gramStart"/>
      <w:r>
        <w:rPr>
          <w:szCs w:val="24"/>
        </w:rPr>
        <w:t>June</w:t>
      </w:r>
      <w:proofErr w:type="gramEnd"/>
      <w:r>
        <w:rPr>
          <w:szCs w:val="24"/>
        </w:rPr>
        <w:t xml:space="preserve"> 6, 2012, which has not </w:t>
      </w:r>
      <w:r w:rsidR="00BB1957" w:rsidRPr="00804A2C">
        <w:rPr>
          <w:szCs w:val="24"/>
        </w:rPr>
        <w:t>yet received Royal Assent</w:t>
      </w:r>
      <w:r>
        <w:rPr>
          <w:szCs w:val="24"/>
        </w:rPr>
        <w:t>.)</w:t>
      </w:r>
    </w:p>
    <w:p w:rsidR="00BB1957" w:rsidRPr="00804A2C" w:rsidRDefault="00BB1957" w:rsidP="004814C8">
      <w:pPr>
        <w:pStyle w:val="Citation-AltC"/>
        <w:spacing w:after="480"/>
        <w:ind w:left="0"/>
        <w:contextualSpacing w:val="0"/>
      </w:pPr>
      <w:r w:rsidRPr="00804A2C">
        <w:rPr>
          <w:i/>
        </w:rPr>
        <w:t>Canadian Charter of Rights and Freedoms</w:t>
      </w:r>
      <w:r w:rsidRPr="00804A2C">
        <w:t xml:space="preserve"> </w:t>
      </w:r>
    </w:p>
    <w:p w:rsidR="00BB1957" w:rsidRPr="00804A2C" w:rsidRDefault="00BB1957" w:rsidP="0019742E">
      <w:pPr>
        <w:pStyle w:val="Citation-AltC"/>
        <w:tabs>
          <w:tab w:val="left" w:pos="1440"/>
        </w:tabs>
        <w:spacing w:after="240"/>
        <w:ind w:left="720"/>
        <w:contextualSpacing w:val="0"/>
      </w:pPr>
      <w:r w:rsidRPr="00804A2C">
        <w:rPr>
          <w:b/>
        </w:rPr>
        <w:tab/>
        <w:t xml:space="preserve">1. </w:t>
      </w:r>
      <w:r w:rsidRPr="00804A2C">
        <w:t xml:space="preserve">The </w:t>
      </w:r>
      <w:r w:rsidRPr="00804A2C">
        <w:rPr>
          <w:i/>
        </w:rPr>
        <w:t>Canadian Charter of Rights and Freedoms</w:t>
      </w:r>
      <w:r w:rsidRPr="00804A2C">
        <w:t xml:space="preserve"> guarantees the rights and freedoms set out in it subject only to such reasonable limits prescribed by law as can be demonstrably justified in a free and democratic society.</w:t>
      </w:r>
    </w:p>
    <w:p w:rsidR="00BB1957" w:rsidRPr="00804A2C" w:rsidRDefault="00BB1957" w:rsidP="0019742E">
      <w:pPr>
        <w:pStyle w:val="Citation-AltC"/>
        <w:tabs>
          <w:tab w:val="left" w:pos="1440"/>
        </w:tabs>
        <w:spacing w:after="240"/>
        <w:ind w:left="720"/>
        <w:contextualSpacing w:val="0"/>
      </w:pPr>
      <w:r w:rsidRPr="00804A2C">
        <w:rPr>
          <w:b/>
        </w:rPr>
        <w:tab/>
        <w:t>2.</w:t>
      </w:r>
      <w:r w:rsidRPr="00804A2C">
        <w:t xml:space="preserve"> </w:t>
      </w:r>
      <w:r w:rsidR="00AF4D5A">
        <w:t xml:space="preserve"> </w:t>
      </w:r>
      <w:r w:rsidRPr="00804A2C">
        <w:t>Everyone has the following fundamental freedoms:</w:t>
      </w:r>
    </w:p>
    <w:p w:rsidR="00BB1957" w:rsidRPr="00804A2C" w:rsidRDefault="00BB1957" w:rsidP="000D4ADD">
      <w:pPr>
        <w:pStyle w:val="Citation-AltC"/>
        <w:tabs>
          <w:tab w:val="left" w:pos="1440"/>
          <w:tab w:val="left" w:pos="1800"/>
        </w:tabs>
        <w:spacing w:after="240"/>
        <w:ind w:left="1440" w:hanging="720"/>
        <w:contextualSpacing w:val="0"/>
      </w:pPr>
      <w:r w:rsidRPr="00804A2C">
        <w:tab/>
        <w:t>(</w:t>
      </w:r>
      <w:r w:rsidRPr="00804A2C">
        <w:rPr>
          <w:i/>
        </w:rPr>
        <w:t>a</w:t>
      </w:r>
      <w:r w:rsidRPr="00804A2C">
        <w:t xml:space="preserve">) </w:t>
      </w:r>
      <w:proofErr w:type="gramStart"/>
      <w:r w:rsidRPr="00804A2C">
        <w:rPr>
          <w:u w:val="single"/>
        </w:rPr>
        <w:t>freedom</w:t>
      </w:r>
      <w:proofErr w:type="gramEnd"/>
      <w:r w:rsidRPr="00804A2C">
        <w:rPr>
          <w:u w:val="single"/>
        </w:rPr>
        <w:t xml:space="preserve"> of conscience and religion</w:t>
      </w:r>
      <w:r w:rsidRPr="00804A2C">
        <w:t>;</w:t>
      </w:r>
    </w:p>
    <w:p w:rsidR="00BB1957" w:rsidRPr="00804A2C" w:rsidRDefault="00CD1F38" w:rsidP="000D4ADD">
      <w:pPr>
        <w:pStyle w:val="Citation-AltC"/>
        <w:tabs>
          <w:tab w:val="left" w:pos="1440"/>
          <w:tab w:val="left" w:pos="1800"/>
        </w:tabs>
        <w:spacing w:after="240"/>
        <w:ind w:left="1440" w:hanging="720"/>
        <w:contextualSpacing w:val="0"/>
      </w:pPr>
      <w:r>
        <w:tab/>
      </w:r>
      <w:r w:rsidR="00BB1957" w:rsidRPr="00804A2C">
        <w:t>(</w:t>
      </w:r>
      <w:r w:rsidR="00BB1957" w:rsidRPr="00804A2C">
        <w:rPr>
          <w:i/>
        </w:rPr>
        <w:t>b</w:t>
      </w:r>
      <w:r w:rsidR="00BB1957" w:rsidRPr="00804A2C">
        <w:t xml:space="preserve">) </w:t>
      </w:r>
      <w:proofErr w:type="gramStart"/>
      <w:r w:rsidR="00BB1957" w:rsidRPr="00CD1F38">
        <w:rPr>
          <w:u w:val="single"/>
        </w:rPr>
        <w:t>freedom</w:t>
      </w:r>
      <w:proofErr w:type="gramEnd"/>
      <w:r w:rsidR="00BB1957" w:rsidRPr="00CD1F38">
        <w:rPr>
          <w:u w:val="single"/>
        </w:rPr>
        <w:t xml:space="preserve"> of thought, belief, opinion and expression, including freedom</w:t>
      </w:r>
      <w:r w:rsidRPr="00CD1F38">
        <w:rPr>
          <w:u w:val="single"/>
        </w:rPr>
        <w:t xml:space="preserve"> </w:t>
      </w:r>
      <w:r w:rsidR="00BB1957" w:rsidRPr="00CD1F38">
        <w:rPr>
          <w:u w:val="single"/>
        </w:rPr>
        <w:t>of the press and other media of communication</w:t>
      </w:r>
      <w:r w:rsidR="00BB1957" w:rsidRPr="00804A2C">
        <w:t>;</w:t>
      </w:r>
    </w:p>
    <w:p w:rsidR="00324F73" w:rsidRPr="00084D90" w:rsidRDefault="00324F73" w:rsidP="00324F73">
      <w:pPr>
        <w:pStyle w:val="Citation-AltC"/>
        <w:spacing w:after="240"/>
        <w:ind w:left="720"/>
        <w:contextualSpacing w:val="0"/>
        <w:jc w:val="center"/>
        <w:rPr>
          <w:lang w:val="en-US"/>
        </w:rPr>
      </w:pPr>
      <w:r w:rsidRPr="00084D90">
        <w:rPr>
          <w:lang w:val="en-US"/>
        </w:rPr>
        <w:t>. . .</w:t>
      </w:r>
    </w:p>
    <w:p w:rsidR="00BB1957" w:rsidRDefault="00BB1957" w:rsidP="0019742E">
      <w:pPr>
        <w:pStyle w:val="Citation-AltC"/>
        <w:tabs>
          <w:tab w:val="left" w:pos="1440"/>
        </w:tabs>
        <w:ind w:left="720"/>
        <w:contextualSpacing w:val="0"/>
        <w:rPr>
          <w:rFonts w:eastAsiaTheme="minorHAnsi"/>
          <w:szCs w:val="24"/>
          <w:lang w:val="en-US" w:eastAsia="en-US"/>
        </w:rPr>
      </w:pPr>
      <w:r w:rsidRPr="00804A2C">
        <w:rPr>
          <w:rFonts w:eastAsiaTheme="minorHAnsi"/>
          <w:b/>
          <w:szCs w:val="24"/>
          <w:lang w:val="en-US" w:eastAsia="en-US"/>
        </w:rPr>
        <w:tab/>
        <w:t xml:space="preserve">15. </w:t>
      </w:r>
      <w:r w:rsidRPr="00804A2C">
        <w:rPr>
          <w:rFonts w:eastAsiaTheme="minorHAnsi"/>
          <w:szCs w:val="24"/>
          <w:lang w:val="en-US" w:eastAsia="en-US"/>
        </w:rPr>
        <w:t xml:space="preserve">(1) Every individual is equal before and under the law and has the right to the equal protection and equal benefit of the law without discrimination and, in particular, without discrimination based on race, national or ethnic origin, </w:t>
      </w:r>
      <w:proofErr w:type="spellStart"/>
      <w:r w:rsidRPr="00804A2C">
        <w:rPr>
          <w:rFonts w:eastAsiaTheme="minorHAnsi"/>
          <w:szCs w:val="24"/>
          <w:lang w:val="en-US" w:eastAsia="en-US"/>
        </w:rPr>
        <w:t>colour</w:t>
      </w:r>
      <w:proofErr w:type="spellEnd"/>
      <w:r w:rsidRPr="00804A2C">
        <w:rPr>
          <w:rFonts w:eastAsiaTheme="minorHAnsi"/>
          <w:szCs w:val="24"/>
          <w:lang w:val="en-US" w:eastAsia="en-US"/>
        </w:rPr>
        <w:t>, religion, sex, age or mental or physical disability.</w:t>
      </w:r>
    </w:p>
    <w:p w:rsidR="00E83ADA" w:rsidRPr="00804A2C" w:rsidRDefault="00E83ADA" w:rsidP="00E83ADA">
      <w:pPr>
        <w:rPr>
          <w:rFonts w:eastAsiaTheme="minorEastAsia"/>
          <w:szCs w:val="22"/>
          <w:lang w:eastAsia="en-US"/>
        </w:rPr>
      </w:pPr>
    </w:p>
    <w:p w:rsidR="0044545D" w:rsidRDefault="0044545D" w:rsidP="0044545D">
      <w:pPr>
        <w:pStyle w:val="ParaNoNdepar-AltN"/>
        <w:numPr>
          <w:ilvl w:val="0"/>
          <w:numId w:val="0"/>
        </w:numPr>
        <w:jc w:val="center"/>
        <w:rPr>
          <w:rFonts w:cs="Times New Roman"/>
          <w:b/>
          <w:lang w:val="en-US"/>
        </w:rPr>
      </w:pPr>
      <w:r w:rsidRPr="00804A2C">
        <w:rPr>
          <w:rFonts w:cs="Times New Roman"/>
          <w:b/>
          <w:lang w:val="en-US"/>
        </w:rPr>
        <w:t>APPENDIX B</w:t>
      </w:r>
    </w:p>
    <w:p w:rsidR="0044545D" w:rsidRDefault="0044545D" w:rsidP="0044545D">
      <w:pPr>
        <w:rPr>
          <w:rFonts w:eastAsiaTheme="minorEastAsia"/>
          <w:b/>
          <w:szCs w:val="22"/>
          <w:lang w:val="en-US" w:eastAsia="en-US"/>
        </w:rPr>
      </w:pPr>
      <w:r>
        <w:rPr>
          <w:b/>
          <w:lang w:val="en-US"/>
        </w:rPr>
        <w:br w:type="page"/>
      </w:r>
    </w:p>
    <w:p w:rsidR="0044545D" w:rsidRPr="00804A2C" w:rsidRDefault="0044545D" w:rsidP="0044545D">
      <w:pPr>
        <w:pStyle w:val="ParaNoNdepar-AltN"/>
        <w:numPr>
          <w:ilvl w:val="0"/>
          <w:numId w:val="0"/>
        </w:numPr>
        <w:jc w:val="center"/>
        <w:rPr>
          <w:rFonts w:cs="Times New Roman"/>
          <w:b/>
          <w:lang w:val="en-US"/>
        </w:rPr>
      </w:pPr>
      <w:r>
        <w:rPr>
          <w:rFonts w:cs="Times New Roman"/>
          <w:b/>
          <w:noProof/>
          <w:lang w:val="en-US"/>
        </w:rPr>
        <w:drawing>
          <wp:anchor distT="0" distB="0" distL="114300" distR="114300" simplePos="0" relativeHeight="251660288" behindDoc="0" locked="0" layoutInCell="1" allowOverlap="1">
            <wp:simplePos x="0" y="0"/>
            <wp:positionH relativeFrom="margin">
              <wp:posOffset>-287020</wp:posOffset>
            </wp:positionH>
            <wp:positionV relativeFrom="margin">
              <wp:posOffset>-1172845</wp:posOffset>
            </wp:positionV>
            <wp:extent cx="6062345" cy="976503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9517" r="6250" b="5451"/>
                    <a:stretch>
                      <a:fillRect/>
                    </a:stretch>
                  </pic:blipFill>
                  <pic:spPr bwMode="auto">
                    <a:xfrm>
                      <a:off x="0" y="0"/>
                      <a:ext cx="6062345" cy="9765030"/>
                    </a:xfrm>
                    <a:prstGeom prst="rect">
                      <a:avLst/>
                    </a:prstGeom>
                    <a:noFill/>
                    <a:ln w="9525">
                      <a:noFill/>
                      <a:miter lim="800000"/>
                      <a:headEnd/>
                      <a:tailEnd/>
                    </a:ln>
                  </pic:spPr>
                </pic:pic>
              </a:graphicData>
            </a:graphic>
          </wp:anchor>
        </w:drawing>
      </w:r>
    </w:p>
    <w:p w:rsidR="0044545D" w:rsidRDefault="0044545D" w:rsidP="0044545D">
      <w:pPr>
        <w:rPr>
          <w:szCs w:val="24"/>
        </w:rPr>
      </w:pPr>
      <w:r>
        <w:rPr>
          <w:szCs w:val="24"/>
        </w:rPr>
        <w:br w:type="page"/>
      </w:r>
    </w:p>
    <w:p w:rsidR="0044545D" w:rsidRDefault="0044545D" w:rsidP="0044545D">
      <w:pPr>
        <w:rPr>
          <w:szCs w:val="24"/>
        </w:rPr>
      </w:pPr>
      <w:r w:rsidRPr="002866DC">
        <w:rPr>
          <w:noProof/>
          <w:szCs w:val="24"/>
          <w:lang w:val="en-US" w:eastAsia="en-US"/>
        </w:rPr>
        <w:drawing>
          <wp:anchor distT="0" distB="0" distL="114300" distR="114300" simplePos="0" relativeHeight="251661312" behindDoc="0" locked="0" layoutInCell="1" allowOverlap="1">
            <wp:simplePos x="0" y="0"/>
            <wp:positionH relativeFrom="margin">
              <wp:posOffset>-960120</wp:posOffset>
            </wp:positionH>
            <wp:positionV relativeFrom="margin">
              <wp:posOffset>-1064895</wp:posOffset>
            </wp:positionV>
            <wp:extent cx="7401560" cy="9549765"/>
            <wp:effectExtent l="1905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244" t="4337" r="1923"/>
                    <a:stretch>
                      <a:fillRect/>
                    </a:stretch>
                  </pic:blipFill>
                  <pic:spPr bwMode="auto">
                    <a:xfrm>
                      <a:off x="0" y="0"/>
                      <a:ext cx="7401560" cy="9549765"/>
                    </a:xfrm>
                    <a:prstGeom prst="rect">
                      <a:avLst/>
                    </a:prstGeom>
                    <a:noFill/>
                    <a:ln w="9525">
                      <a:noFill/>
                      <a:miter lim="800000"/>
                      <a:headEnd/>
                      <a:tailEnd/>
                    </a:ln>
                  </pic:spPr>
                </pic:pic>
              </a:graphicData>
            </a:graphic>
          </wp:anchor>
        </w:drawing>
      </w:r>
    </w:p>
    <w:p w:rsidR="0044545D" w:rsidRDefault="0044545D" w:rsidP="0044545D">
      <w:pPr>
        <w:rPr>
          <w:szCs w:val="24"/>
        </w:rPr>
      </w:pPr>
    </w:p>
    <w:p w:rsidR="0044545D" w:rsidRDefault="0044545D" w:rsidP="0044545D">
      <w:pPr>
        <w:rPr>
          <w:szCs w:val="24"/>
        </w:rPr>
      </w:pPr>
      <w:r>
        <w:rPr>
          <w:szCs w:val="24"/>
        </w:rPr>
        <w:br w:type="page"/>
      </w:r>
    </w:p>
    <w:p w:rsidR="0044545D" w:rsidRDefault="0044545D" w:rsidP="0044545D">
      <w:pPr>
        <w:rPr>
          <w:szCs w:val="24"/>
        </w:rPr>
      </w:pPr>
      <w:r w:rsidRPr="00B10C0D">
        <w:rPr>
          <w:noProof/>
          <w:szCs w:val="24"/>
          <w:lang w:val="en-US" w:eastAsia="en-US"/>
        </w:rPr>
        <w:drawing>
          <wp:anchor distT="0" distB="0" distL="114300" distR="114300" simplePos="0" relativeHeight="251662336" behindDoc="0" locked="0" layoutInCell="1" allowOverlap="1">
            <wp:simplePos x="0" y="0"/>
            <wp:positionH relativeFrom="margin">
              <wp:posOffset>-387985</wp:posOffset>
            </wp:positionH>
            <wp:positionV relativeFrom="paragraph">
              <wp:posOffset>-1271905</wp:posOffset>
            </wp:positionV>
            <wp:extent cx="6251575" cy="9963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207" t="3778" r="12078" b="1810"/>
                    <a:stretch>
                      <a:fillRect/>
                    </a:stretch>
                  </pic:blipFill>
                  <pic:spPr bwMode="auto">
                    <a:xfrm>
                      <a:off x="0" y="0"/>
                      <a:ext cx="6251575" cy="9963150"/>
                    </a:xfrm>
                    <a:prstGeom prst="rect">
                      <a:avLst/>
                    </a:prstGeom>
                    <a:noFill/>
                    <a:ln w="9525">
                      <a:noFill/>
                      <a:miter lim="800000"/>
                      <a:headEnd/>
                      <a:tailEnd/>
                    </a:ln>
                  </pic:spPr>
                </pic:pic>
              </a:graphicData>
            </a:graphic>
          </wp:anchor>
        </w:drawing>
      </w:r>
    </w:p>
    <w:p w:rsidR="0044545D" w:rsidRDefault="0044545D" w:rsidP="0044545D">
      <w:pPr>
        <w:rPr>
          <w:szCs w:val="24"/>
        </w:rPr>
      </w:pPr>
    </w:p>
    <w:p w:rsidR="0044545D" w:rsidRDefault="0044545D" w:rsidP="0044545D">
      <w:pPr>
        <w:rPr>
          <w:szCs w:val="24"/>
        </w:rPr>
      </w:pPr>
      <w:r>
        <w:rPr>
          <w:szCs w:val="24"/>
        </w:rPr>
        <w:br w:type="page"/>
      </w:r>
    </w:p>
    <w:p w:rsidR="0044545D" w:rsidRDefault="0044545D" w:rsidP="0044545D">
      <w:pPr>
        <w:rPr>
          <w:szCs w:val="24"/>
        </w:rPr>
      </w:pPr>
      <w:r w:rsidRPr="00B10C0D">
        <w:rPr>
          <w:noProof/>
          <w:szCs w:val="24"/>
          <w:lang w:val="en-US" w:eastAsia="en-US"/>
        </w:rPr>
        <w:drawing>
          <wp:anchor distT="0" distB="0" distL="114300" distR="114300" simplePos="0" relativeHeight="251663360" behindDoc="0" locked="0" layoutInCell="1" allowOverlap="1">
            <wp:simplePos x="0" y="0"/>
            <wp:positionH relativeFrom="margin">
              <wp:posOffset>-280670</wp:posOffset>
            </wp:positionH>
            <wp:positionV relativeFrom="margin">
              <wp:posOffset>-1218565</wp:posOffset>
            </wp:positionV>
            <wp:extent cx="6035040" cy="9856470"/>
            <wp:effectExtent l="1905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r="2348" b="1818"/>
                    <a:stretch>
                      <a:fillRect/>
                    </a:stretch>
                  </pic:blipFill>
                  <pic:spPr bwMode="auto">
                    <a:xfrm>
                      <a:off x="0" y="0"/>
                      <a:ext cx="6035040" cy="9856470"/>
                    </a:xfrm>
                    <a:prstGeom prst="rect">
                      <a:avLst/>
                    </a:prstGeom>
                    <a:noFill/>
                    <a:ln w="9525">
                      <a:noFill/>
                      <a:miter lim="800000"/>
                      <a:headEnd/>
                      <a:tailEnd/>
                    </a:ln>
                  </pic:spPr>
                </pic:pic>
              </a:graphicData>
            </a:graphic>
          </wp:anchor>
        </w:drawing>
      </w:r>
    </w:p>
    <w:p w:rsidR="0044545D" w:rsidRDefault="0044545D" w:rsidP="0044545D">
      <w:pPr>
        <w:rPr>
          <w:szCs w:val="24"/>
        </w:rPr>
      </w:pPr>
    </w:p>
    <w:p w:rsidR="0044545D" w:rsidRDefault="0044545D" w:rsidP="0044545D">
      <w:pPr>
        <w:rPr>
          <w:szCs w:val="24"/>
        </w:rPr>
      </w:pPr>
      <w:r>
        <w:rPr>
          <w:szCs w:val="24"/>
        </w:rPr>
        <w:br w:type="page"/>
      </w:r>
    </w:p>
    <w:p w:rsidR="0044545D" w:rsidRDefault="0044545D" w:rsidP="0044545D">
      <w:pPr>
        <w:pStyle w:val="SCCNormalDoubleSpacing"/>
      </w:pPr>
    </w:p>
    <w:p w:rsidR="0044545D" w:rsidRDefault="0044545D" w:rsidP="0044545D">
      <w:pPr>
        <w:pStyle w:val="SCCNormalDoubleSpacing"/>
      </w:pPr>
    </w:p>
    <w:p w:rsidR="0044545D" w:rsidRPr="0080627A" w:rsidRDefault="0044545D" w:rsidP="0044545D">
      <w:pPr>
        <w:pStyle w:val="SCCNormalDoubleSpacing"/>
      </w:pPr>
    </w:p>
    <w:p w:rsidR="00E83ADA" w:rsidRDefault="00E83ADA" w:rsidP="00982000">
      <w:pPr>
        <w:pStyle w:val="Citation-AltC"/>
        <w:ind w:left="720"/>
        <w:rPr>
          <w:rFonts w:eastAsiaTheme="minorHAnsi"/>
          <w:szCs w:val="24"/>
          <w:lang w:val="en-US" w:eastAsia="en-US"/>
        </w:rPr>
      </w:pPr>
    </w:p>
    <w:p w:rsidR="009B57B3" w:rsidRPr="005D43FE" w:rsidRDefault="00D23979" w:rsidP="007E0AAB">
      <w:pPr>
        <w:pStyle w:val="SCCNormalDoubleSpacing"/>
        <w:spacing w:before="480" w:after="480"/>
      </w:pPr>
      <w:r w:rsidRPr="005D43FE">
        <w:tab/>
      </w:r>
      <w:r w:rsidR="00656313" w:rsidRPr="005D43FE">
        <w:rPr>
          <w:i/>
        </w:rPr>
        <w:t>Appeal</w:t>
      </w:r>
      <w:r w:rsidR="00605B61" w:rsidRPr="005D43FE">
        <w:rPr>
          <w:i/>
        </w:rPr>
        <w:t xml:space="preserve"> allowed in part</w:t>
      </w:r>
      <w:r w:rsidRPr="005D43FE">
        <w:rPr>
          <w:i/>
        </w:rPr>
        <w:t>.</w:t>
      </w:r>
    </w:p>
    <w:p w:rsidR="00027170" w:rsidRPr="005D43FE" w:rsidRDefault="00027170" w:rsidP="007E0AAB">
      <w:pPr>
        <w:pStyle w:val="SCCLawFirm"/>
        <w:spacing w:before="480" w:after="480"/>
      </w:pPr>
      <w:r w:rsidRPr="005D43FE">
        <w:tab/>
        <w:t>Solicitors for the appellant</w:t>
      </w:r>
      <w:r w:rsidR="00AB2709" w:rsidRPr="005D43FE">
        <w:t>:  </w:t>
      </w:r>
      <w:proofErr w:type="spellStart"/>
      <w:r w:rsidRPr="005D43FE">
        <w:t>Scharfstein</w:t>
      </w:r>
      <w:proofErr w:type="spellEnd"/>
      <w:r w:rsidRPr="005D43FE">
        <w:t xml:space="preserve"> </w:t>
      </w:r>
      <w:proofErr w:type="spellStart"/>
      <w:r w:rsidRPr="005D43FE">
        <w:t>Gibbings</w:t>
      </w:r>
      <w:proofErr w:type="spellEnd"/>
      <w:r w:rsidRPr="005D43FE">
        <w:t xml:space="preserve"> </w:t>
      </w:r>
      <w:proofErr w:type="spellStart"/>
      <w:r w:rsidRPr="005D43FE">
        <w:t>Walen</w:t>
      </w:r>
      <w:proofErr w:type="spellEnd"/>
      <w:r w:rsidRPr="005D43FE">
        <w:t xml:space="preserve"> Fisher, Saskatoon; Saskatchewan Human Rights Commission, Saskatoon.</w:t>
      </w:r>
    </w:p>
    <w:p w:rsidR="00027170" w:rsidRPr="005D43FE" w:rsidRDefault="00027170" w:rsidP="007E0AAB">
      <w:pPr>
        <w:pStyle w:val="SCCLawFirm"/>
        <w:spacing w:before="480" w:after="480"/>
      </w:pPr>
      <w:r w:rsidRPr="005D43FE">
        <w:tab/>
        <w:t>Solicitors for the respondent</w:t>
      </w:r>
      <w:r w:rsidR="00AB2709" w:rsidRPr="005D43FE">
        <w:t>:  </w:t>
      </w:r>
      <w:proofErr w:type="spellStart"/>
      <w:r w:rsidRPr="005D43FE">
        <w:t>Nimegeers</w:t>
      </w:r>
      <w:proofErr w:type="spellEnd"/>
      <w:r w:rsidRPr="005D43FE">
        <w:t xml:space="preserve">, </w:t>
      </w:r>
      <w:proofErr w:type="spellStart"/>
      <w:r w:rsidRPr="005D43FE">
        <w:t>Schuck</w:t>
      </w:r>
      <w:proofErr w:type="spellEnd"/>
      <w:r w:rsidRPr="005D43FE">
        <w:t xml:space="preserve">, </w:t>
      </w:r>
      <w:proofErr w:type="spellStart"/>
      <w:r w:rsidRPr="005D43FE">
        <w:t>Wormsbecker</w:t>
      </w:r>
      <w:proofErr w:type="spellEnd"/>
      <w:r w:rsidRPr="005D43FE">
        <w:t xml:space="preserve"> &amp; Bobbit</w:t>
      </w:r>
      <w:r w:rsidR="00605B61" w:rsidRPr="005D43FE">
        <w:t>t</w:t>
      </w:r>
      <w:r w:rsidRPr="005D43FE">
        <w:t xml:space="preserve">, </w:t>
      </w:r>
      <w:proofErr w:type="spellStart"/>
      <w:r w:rsidRPr="005D43FE">
        <w:t>Weyburn</w:t>
      </w:r>
      <w:proofErr w:type="spellEnd"/>
      <w:r w:rsidRPr="005D43FE">
        <w:t>, Saskatchewan;</w:t>
      </w:r>
      <w:r w:rsidR="003001C5" w:rsidRPr="005D43FE">
        <w:t xml:space="preserve"> Iain Benson, Toronto;</w:t>
      </w:r>
      <w:r w:rsidRPr="005D43FE">
        <w:t xml:space="preserve"> John </w:t>
      </w:r>
      <w:proofErr w:type="spellStart"/>
      <w:r w:rsidRPr="005D43FE">
        <w:t>Carpay</w:t>
      </w:r>
      <w:proofErr w:type="spellEnd"/>
      <w:r w:rsidRPr="005D43FE">
        <w:t>, Calgary</w:t>
      </w:r>
      <w:r w:rsidR="00750F0B" w:rsidRPr="005D43FE">
        <w:t>; Mol Advocates, Edmonton</w:t>
      </w:r>
      <w:r w:rsidRPr="005D43FE">
        <w:t>.</w:t>
      </w:r>
    </w:p>
    <w:p w:rsidR="00027170" w:rsidRPr="005D43FE" w:rsidRDefault="00027170" w:rsidP="007E0AAB">
      <w:pPr>
        <w:pStyle w:val="SCCLawFirm"/>
        <w:spacing w:before="480" w:after="480"/>
      </w:pPr>
      <w:r w:rsidRPr="005D43FE">
        <w:tab/>
        <w:t xml:space="preserve">Solicitor for the </w:t>
      </w:r>
      <w:r w:rsidR="0037353B" w:rsidRPr="005D43FE">
        <w:t>intervener</w:t>
      </w:r>
      <w:r w:rsidRPr="005D43FE">
        <w:t xml:space="preserve"> the Attorney General for Saskatchewan: Attorney General for Saskatchewan, Regina.</w:t>
      </w:r>
    </w:p>
    <w:p w:rsidR="00027170" w:rsidRPr="005D43FE" w:rsidRDefault="00027170" w:rsidP="007E0AAB">
      <w:pPr>
        <w:pStyle w:val="SCCLawFirm"/>
        <w:spacing w:before="480" w:after="480"/>
      </w:pPr>
      <w:r w:rsidRPr="005D43FE">
        <w:tab/>
        <w:t>Solicitor for the intervener the Attorney General of Alberta</w:t>
      </w:r>
      <w:r w:rsidR="00AB2709" w:rsidRPr="005D43FE">
        <w:t>:  </w:t>
      </w:r>
      <w:r w:rsidRPr="005D43FE">
        <w:t>Attorney General of Alberta, Edmonton.</w:t>
      </w:r>
    </w:p>
    <w:p w:rsidR="00027170" w:rsidRPr="005D43FE" w:rsidRDefault="00027170" w:rsidP="007E0AAB">
      <w:pPr>
        <w:pStyle w:val="SCCLawFirm"/>
        <w:spacing w:before="480" w:after="480"/>
      </w:pPr>
      <w:r w:rsidRPr="005D43FE">
        <w:tab/>
        <w:t>Solicitors for the intervener the Canadian Constitution Foundation</w:t>
      </w:r>
      <w:r w:rsidR="00AB2709" w:rsidRPr="005D43FE">
        <w:t>:  </w:t>
      </w:r>
      <w:r w:rsidRPr="005D43FE">
        <w:t xml:space="preserve">Osler, </w:t>
      </w:r>
      <w:proofErr w:type="spellStart"/>
      <w:r w:rsidRPr="005D43FE">
        <w:t>Hoskin</w:t>
      </w:r>
      <w:proofErr w:type="spellEnd"/>
      <w:r w:rsidRPr="005D43FE">
        <w:t xml:space="preserve"> &amp; Harcourt, Toronto.</w:t>
      </w:r>
    </w:p>
    <w:p w:rsidR="00027170" w:rsidRPr="005D43FE" w:rsidRDefault="00027170" w:rsidP="007E0AAB">
      <w:pPr>
        <w:pStyle w:val="SCCLawFirm"/>
        <w:spacing w:before="480" w:after="480"/>
      </w:pPr>
      <w:r w:rsidRPr="005D43FE">
        <w:tab/>
        <w:t>Solicitors for the intervener the Canadian Civil Liberties Association</w:t>
      </w:r>
      <w:r w:rsidR="00AB2709" w:rsidRPr="005D43FE">
        <w:t>:  </w:t>
      </w:r>
      <w:proofErr w:type="spellStart"/>
      <w:r w:rsidR="00D707C2" w:rsidRPr="005D43FE">
        <w:t>Paliare</w:t>
      </w:r>
      <w:proofErr w:type="spellEnd"/>
      <w:r w:rsidR="00D707C2" w:rsidRPr="005D43FE">
        <w:t xml:space="preserve"> Roland Rosenberg</w:t>
      </w:r>
      <w:r w:rsidRPr="005D43FE">
        <w:t xml:space="preserve"> Rothstein, Toronto.</w:t>
      </w:r>
    </w:p>
    <w:p w:rsidR="00027170" w:rsidRPr="005D43FE" w:rsidRDefault="00027170" w:rsidP="007E0AAB">
      <w:pPr>
        <w:pStyle w:val="SCCLawFirm"/>
        <w:spacing w:before="480" w:after="480"/>
      </w:pPr>
      <w:r w:rsidRPr="005D43FE">
        <w:tab/>
        <w:t>Solicitor for the intervener the Canadian Human Rights Commission</w:t>
      </w:r>
      <w:r w:rsidR="00AB2709" w:rsidRPr="005D43FE">
        <w:t>:  </w:t>
      </w:r>
      <w:r w:rsidRPr="005D43FE">
        <w:t xml:space="preserve">Canadian Human Rights Commission, Ottawa. </w:t>
      </w:r>
    </w:p>
    <w:p w:rsidR="00027170" w:rsidRPr="005D43FE" w:rsidRDefault="00027170" w:rsidP="007E0AAB">
      <w:pPr>
        <w:pStyle w:val="SCCLawFirm"/>
        <w:spacing w:before="480" w:after="480"/>
      </w:pPr>
      <w:r w:rsidRPr="005D43FE">
        <w:tab/>
        <w:t>Solicitor for the intervener the Alberta Human Rights Commission</w:t>
      </w:r>
      <w:r w:rsidR="00AB2709" w:rsidRPr="005D43FE">
        <w:t>:  </w:t>
      </w:r>
      <w:r w:rsidRPr="005D43FE">
        <w:t>Alberta Human Rights Commission, Edmonton.</w:t>
      </w:r>
    </w:p>
    <w:p w:rsidR="00027170" w:rsidRPr="005D43FE" w:rsidRDefault="00027170" w:rsidP="007E0AAB">
      <w:pPr>
        <w:pStyle w:val="SCCLawFirm"/>
        <w:spacing w:before="480" w:after="480"/>
      </w:pPr>
      <w:r w:rsidRPr="005D43FE">
        <w:tab/>
        <w:t xml:space="preserve">Solicitors for the intervener </w:t>
      </w:r>
      <w:proofErr w:type="spellStart"/>
      <w:r w:rsidRPr="005D43FE">
        <w:t>Egale</w:t>
      </w:r>
      <w:proofErr w:type="spellEnd"/>
      <w:r w:rsidRPr="005D43FE">
        <w:t xml:space="preserve"> Canada Inc.</w:t>
      </w:r>
      <w:r w:rsidR="00AB2709" w:rsidRPr="005D43FE">
        <w:t>:  </w:t>
      </w:r>
      <w:r w:rsidRPr="005D43FE">
        <w:t xml:space="preserve">Sack </w:t>
      </w:r>
      <w:proofErr w:type="spellStart"/>
      <w:r w:rsidRPr="005D43FE">
        <w:t>Goldblatt</w:t>
      </w:r>
      <w:proofErr w:type="spellEnd"/>
      <w:r w:rsidRPr="005D43FE">
        <w:t xml:space="preserve"> Mitchell, Toronto.</w:t>
      </w:r>
    </w:p>
    <w:p w:rsidR="00027170" w:rsidRPr="005D43FE" w:rsidRDefault="00027170" w:rsidP="007E0AAB">
      <w:pPr>
        <w:pStyle w:val="SCCLawFirm"/>
        <w:spacing w:before="480" w:after="480"/>
      </w:pPr>
      <w:r w:rsidRPr="005D43FE">
        <w:tab/>
        <w:t>Solicitor for the intervener the Ontario Human Rights Commission</w:t>
      </w:r>
      <w:r w:rsidR="00AB2709" w:rsidRPr="005D43FE">
        <w:t>:  </w:t>
      </w:r>
      <w:r w:rsidRPr="005D43FE">
        <w:t>Ontario Human Rights Commission, Toronto.</w:t>
      </w:r>
    </w:p>
    <w:p w:rsidR="00027170" w:rsidRPr="005D43FE" w:rsidRDefault="00027170" w:rsidP="007E0AAB">
      <w:pPr>
        <w:pStyle w:val="SCCLawFirm"/>
        <w:spacing w:before="480" w:after="480"/>
      </w:pPr>
      <w:r w:rsidRPr="005D43FE">
        <w:tab/>
        <w:t>Solicitors for the intervener the Canadian Jewish Congress</w:t>
      </w:r>
      <w:r w:rsidR="00AB2709" w:rsidRPr="005D43FE">
        <w:t>:  </w:t>
      </w:r>
      <w:proofErr w:type="spellStart"/>
      <w:r w:rsidRPr="005D43FE">
        <w:t>Lerners</w:t>
      </w:r>
      <w:proofErr w:type="spellEnd"/>
      <w:r w:rsidRPr="005D43FE">
        <w:t>, Toronto.</w:t>
      </w:r>
    </w:p>
    <w:p w:rsidR="00027170" w:rsidRPr="005D43FE" w:rsidRDefault="00027170" w:rsidP="007E0AAB">
      <w:pPr>
        <w:pStyle w:val="SCCLawFirm"/>
        <w:spacing w:before="480" w:after="480"/>
      </w:pPr>
      <w:r w:rsidRPr="005D43FE">
        <w:tab/>
        <w:t>Solicitors for the intervener</w:t>
      </w:r>
      <w:r w:rsidR="00E83ADA">
        <w:t>s</w:t>
      </w:r>
      <w:r w:rsidRPr="005D43FE">
        <w:t xml:space="preserve"> the Unitarian Congregation of Saskatoon and the Canadian Unitarian Council</w:t>
      </w:r>
      <w:r w:rsidR="00AB2709" w:rsidRPr="005D43FE">
        <w:t>:  </w:t>
      </w:r>
      <w:proofErr w:type="spellStart"/>
      <w:r w:rsidRPr="005D43FE">
        <w:t>Fasken</w:t>
      </w:r>
      <w:proofErr w:type="spellEnd"/>
      <w:r w:rsidRPr="005D43FE">
        <w:t xml:space="preserve"> Martineau </w:t>
      </w:r>
      <w:proofErr w:type="spellStart"/>
      <w:r w:rsidRPr="005D43FE">
        <w:t>DuMoulin</w:t>
      </w:r>
      <w:proofErr w:type="spellEnd"/>
      <w:r w:rsidRPr="005D43FE">
        <w:t>, Calgary.</w:t>
      </w:r>
    </w:p>
    <w:p w:rsidR="00027170" w:rsidRPr="005D43FE" w:rsidRDefault="00027170" w:rsidP="007E0AAB">
      <w:pPr>
        <w:pStyle w:val="SCCLawFirm"/>
        <w:spacing w:before="480" w:after="480"/>
      </w:pPr>
      <w:r w:rsidRPr="005D43FE">
        <w:tab/>
        <w:t>Solicitors for the intervener</w:t>
      </w:r>
      <w:r w:rsidR="00E83ADA">
        <w:t xml:space="preserve"> the</w:t>
      </w:r>
      <w:r w:rsidRPr="005D43FE">
        <w:t xml:space="preserve"> Women’s Legal Education and Action Fund</w:t>
      </w:r>
      <w:r w:rsidR="00AB2709" w:rsidRPr="005D43FE">
        <w:t>:  </w:t>
      </w:r>
      <w:r w:rsidRPr="005D43FE">
        <w:t>Jo</w:t>
      </w:r>
      <w:r w:rsidR="00A9480F" w:rsidRPr="005D43FE">
        <w:noBreakHyphen/>
      </w:r>
      <w:r w:rsidR="00107915" w:rsidRPr="005D43FE">
        <w:t>Ann </w:t>
      </w:r>
      <w:r w:rsidRPr="005D43FE">
        <w:t xml:space="preserve">R. </w:t>
      </w:r>
      <w:proofErr w:type="spellStart"/>
      <w:r w:rsidRPr="005D43FE">
        <w:t>Kolmes</w:t>
      </w:r>
      <w:proofErr w:type="spellEnd"/>
      <w:r w:rsidRPr="005D43FE">
        <w:t>, Edmonton; University of Calgary, Calgary.</w:t>
      </w:r>
    </w:p>
    <w:p w:rsidR="00027170" w:rsidRPr="005D43FE" w:rsidRDefault="00027170" w:rsidP="007E0AAB">
      <w:pPr>
        <w:pStyle w:val="SCCLawFirm"/>
        <w:spacing w:before="480" w:after="480"/>
      </w:pPr>
      <w:r w:rsidRPr="005D43FE">
        <w:tab/>
        <w:t>Solicitor</w:t>
      </w:r>
      <w:r w:rsidR="00E83ADA">
        <w:t>s</w:t>
      </w:r>
      <w:r w:rsidRPr="005D43FE">
        <w:t xml:space="preserve"> for the intervener the Canadian Journalists for Free Expression</w:t>
      </w:r>
      <w:r w:rsidR="00AB2709" w:rsidRPr="005D43FE">
        <w:t>:  </w:t>
      </w:r>
      <w:proofErr w:type="spellStart"/>
      <w:r w:rsidRPr="005D43FE">
        <w:t>Stockwoods</w:t>
      </w:r>
      <w:proofErr w:type="spellEnd"/>
      <w:r w:rsidRPr="005D43FE">
        <w:t>, Toronto.</w:t>
      </w:r>
    </w:p>
    <w:p w:rsidR="00027170" w:rsidRPr="005D43FE" w:rsidRDefault="00027170" w:rsidP="007E0AAB">
      <w:pPr>
        <w:pStyle w:val="SCCLawFirm"/>
        <w:spacing w:before="480" w:after="480"/>
      </w:pPr>
      <w:r w:rsidRPr="005D43FE">
        <w:tab/>
        <w:t xml:space="preserve">Solicitor for the intervener the Canadian </w:t>
      </w:r>
      <w:proofErr w:type="gramStart"/>
      <w:r w:rsidRPr="005D43FE">
        <w:t>Bar</w:t>
      </w:r>
      <w:proofErr w:type="gramEnd"/>
      <w:r w:rsidRPr="005D43FE">
        <w:t xml:space="preserve"> Association</w:t>
      </w:r>
      <w:r w:rsidR="00AB2709" w:rsidRPr="005D43FE">
        <w:t>:  </w:t>
      </w:r>
      <w:r w:rsidRPr="005D43FE">
        <w:t xml:space="preserve">David </w:t>
      </w:r>
      <w:proofErr w:type="spellStart"/>
      <w:r w:rsidRPr="005D43FE">
        <w:t>Matas</w:t>
      </w:r>
      <w:proofErr w:type="spellEnd"/>
      <w:r w:rsidRPr="005D43FE">
        <w:t>, Winnipeg.</w:t>
      </w:r>
    </w:p>
    <w:p w:rsidR="00027170" w:rsidRPr="005D43FE" w:rsidRDefault="00027170" w:rsidP="007E0AAB">
      <w:pPr>
        <w:pStyle w:val="SCCLawFirm"/>
        <w:spacing w:before="480" w:after="480"/>
      </w:pPr>
      <w:r w:rsidRPr="005D43FE">
        <w:tab/>
        <w:t>Solicitors for the interveners the Northwest Territories Human Rights Commission and the Yukon Human Rights Commission</w:t>
      </w:r>
      <w:r w:rsidR="00AB2709" w:rsidRPr="005D43FE">
        <w:t>:  </w:t>
      </w:r>
      <w:proofErr w:type="spellStart"/>
      <w:r w:rsidRPr="005D43FE">
        <w:t>MacPherson</w:t>
      </w:r>
      <w:proofErr w:type="spellEnd"/>
      <w:r w:rsidRPr="005D43FE">
        <w:t xml:space="preserve"> Leslie &amp; </w:t>
      </w:r>
      <w:proofErr w:type="spellStart"/>
      <w:r w:rsidRPr="005D43FE">
        <w:t>Tyerman</w:t>
      </w:r>
      <w:proofErr w:type="spellEnd"/>
      <w:r w:rsidRPr="005D43FE">
        <w:t>, Saskatoon.</w:t>
      </w:r>
    </w:p>
    <w:p w:rsidR="00027170" w:rsidRPr="005D43FE" w:rsidRDefault="00027170" w:rsidP="007E0AAB">
      <w:pPr>
        <w:pStyle w:val="SCCLawFirm"/>
        <w:spacing w:before="480" w:after="480"/>
      </w:pPr>
      <w:r w:rsidRPr="005D43FE">
        <w:tab/>
        <w:t>Solicitors for the intervener the Christian Legal Fellowship</w:t>
      </w:r>
      <w:r w:rsidR="00AB2709" w:rsidRPr="005D43FE">
        <w:t>:  </w:t>
      </w:r>
      <w:r w:rsidRPr="005D43FE">
        <w:t>Bennett Jones, Toronto.</w:t>
      </w:r>
    </w:p>
    <w:p w:rsidR="00027170" w:rsidRPr="005D43FE" w:rsidRDefault="00027170" w:rsidP="007E0AAB">
      <w:pPr>
        <w:pStyle w:val="SCCLawFirm"/>
        <w:spacing w:before="480" w:after="480"/>
      </w:pPr>
      <w:r w:rsidRPr="005D43FE">
        <w:tab/>
        <w:t xml:space="preserve">Solicitors for the intervener the League for Human Rights of B’nai </w:t>
      </w:r>
      <w:proofErr w:type="spellStart"/>
      <w:r w:rsidRPr="005D43FE">
        <w:t>Brith</w:t>
      </w:r>
      <w:proofErr w:type="spellEnd"/>
      <w:r w:rsidRPr="005D43FE">
        <w:t xml:space="preserve"> Canada</w:t>
      </w:r>
      <w:r w:rsidR="00AB2709" w:rsidRPr="005D43FE">
        <w:t>:  </w:t>
      </w:r>
      <w:r w:rsidRPr="005D43FE">
        <w:t xml:space="preserve">Dale </w:t>
      </w:r>
      <w:proofErr w:type="spellStart"/>
      <w:r w:rsidRPr="005D43FE">
        <w:t>Streiman</w:t>
      </w:r>
      <w:proofErr w:type="spellEnd"/>
      <w:r w:rsidRPr="005D43FE">
        <w:t xml:space="preserve"> &amp; </w:t>
      </w:r>
      <w:proofErr w:type="spellStart"/>
      <w:r w:rsidRPr="005D43FE">
        <w:t>Kurz</w:t>
      </w:r>
      <w:proofErr w:type="spellEnd"/>
      <w:r w:rsidRPr="005D43FE">
        <w:t>, Brampton.</w:t>
      </w:r>
    </w:p>
    <w:p w:rsidR="00027170" w:rsidRPr="005D43FE" w:rsidRDefault="00027170" w:rsidP="007E0AAB">
      <w:pPr>
        <w:pStyle w:val="SCCLawFirm"/>
        <w:spacing w:before="480" w:after="480"/>
      </w:pPr>
      <w:r w:rsidRPr="005D43FE">
        <w:tab/>
        <w:t>Solicitor for the intervener the Evangelical Fellowship of Canada</w:t>
      </w:r>
      <w:r w:rsidR="00AB2709" w:rsidRPr="005D43FE">
        <w:t>:  </w:t>
      </w:r>
      <w:r w:rsidRPr="005D43FE">
        <w:t>Evangelical Fellowship of Canada, Ottawa.</w:t>
      </w:r>
    </w:p>
    <w:p w:rsidR="00027170" w:rsidRPr="005D43FE" w:rsidRDefault="00027170" w:rsidP="007E0AAB">
      <w:pPr>
        <w:pStyle w:val="SCCLawFirm"/>
        <w:spacing w:before="480" w:after="480"/>
      </w:pPr>
      <w:r w:rsidRPr="005D43FE">
        <w:tab/>
        <w:t>Solicitors for the intervener the United Church of Canada</w:t>
      </w:r>
      <w:r w:rsidR="00AB2709" w:rsidRPr="005D43FE">
        <w:t>:  </w:t>
      </w:r>
      <w:proofErr w:type="spellStart"/>
      <w:r w:rsidRPr="005D43FE">
        <w:t>Symes</w:t>
      </w:r>
      <w:proofErr w:type="spellEnd"/>
      <w:r w:rsidRPr="005D43FE">
        <w:t xml:space="preserve"> &amp; Street, Toronto.</w:t>
      </w:r>
    </w:p>
    <w:p w:rsidR="00027170" w:rsidRPr="005D43FE" w:rsidRDefault="00027170" w:rsidP="007E0AAB">
      <w:pPr>
        <w:pStyle w:val="SCCLawFirm"/>
        <w:spacing w:before="480" w:after="480"/>
      </w:pPr>
      <w:r w:rsidRPr="005D43FE">
        <w:tab/>
        <w:t>Solicitors for the interveners the Assembly of First Nations, the Federation of Saskatchewan Indian Nations and the Métis Nation</w:t>
      </w:r>
      <w:r w:rsidR="00E83ADA">
        <w:t xml:space="preserve"> —</w:t>
      </w:r>
      <w:r w:rsidRPr="005D43FE">
        <w:t>Saskatchewan</w:t>
      </w:r>
      <w:r w:rsidR="00AB2709" w:rsidRPr="005D43FE">
        <w:t>:  </w:t>
      </w:r>
      <w:proofErr w:type="spellStart"/>
      <w:r w:rsidRPr="005D43FE">
        <w:t>McKercher</w:t>
      </w:r>
      <w:proofErr w:type="spellEnd"/>
      <w:r w:rsidRPr="005D43FE">
        <w:t>, Saskatoon.</w:t>
      </w:r>
    </w:p>
    <w:p w:rsidR="00027170" w:rsidRPr="005D43FE" w:rsidRDefault="00027170" w:rsidP="007E0AAB">
      <w:pPr>
        <w:pStyle w:val="SCCLawFirm"/>
        <w:spacing w:before="480" w:after="480"/>
      </w:pPr>
      <w:r w:rsidRPr="005D43FE">
        <w:tab/>
        <w:t>Solicitors for the intervener</w:t>
      </w:r>
      <w:r w:rsidR="00A259B4">
        <w:t>s</w:t>
      </w:r>
      <w:r w:rsidRPr="005D43FE">
        <w:t xml:space="preserve"> the Catholic Civil Rights League and the Faith and Freedom Alliance</w:t>
      </w:r>
      <w:r w:rsidR="00AB2709" w:rsidRPr="005D43FE">
        <w:t>:  </w:t>
      </w:r>
      <w:r w:rsidRPr="005D43FE">
        <w:t xml:space="preserve">Bull, </w:t>
      </w:r>
      <w:proofErr w:type="spellStart"/>
      <w:r w:rsidRPr="005D43FE">
        <w:t>Housser</w:t>
      </w:r>
      <w:proofErr w:type="spellEnd"/>
      <w:r w:rsidRPr="005D43FE">
        <w:t xml:space="preserve"> &amp; Tupper, Vancouver.</w:t>
      </w:r>
    </w:p>
    <w:p w:rsidR="00BB1957" w:rsidRPr="00BB1957" w:rsidRDefault="00027170" w:rsidP="00324F73">
      <w:pPr>
        <w:pStyle w:val="SCCLawFirm"/>
      </w:pPr>
      <w:r w:rsidRPr="005D43FE">
        <w:tab/>
        <w:t>Solicitors for the intervener the African Canadian Legal Clinic</w:t>
      </w:r>
      <w:r w:rsidR="00AB2709" w:rsidRPr="005D43FE">
        <w:t>:  </w:t>
      </w:r>
      <w:r w:rsidRPr="005D43FE">
        <w:t>African Canadian Legal Clinic, Toronto; University of Toronto, Toronto.</w:t>
      </w:r>
    </w:p>
    <w:sectPr w:rsidR="00BB1957" w:rsidRPr="00BB1957" w:rsidSect="00084D90">
      <w:headerReference w:type="default" r:id="rId14"/>
      <w:pgSz w:w="12240" w:h="15840"/>
      <w:pgMar w:top="1267" w:right="2160" w:bottom="720" w:left="1800" w:header="1802"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0FA" w:rsidRDefault="00A220FA">
      <w:r>
        <w:separator/>
      </w:r>
    </w:p>
  </w:endnote>
  <w:endnote w:type="continuationSeparator" w:id="0">
    <w:p w:rsidR="00A220FA" w:rsidRDefault="00A220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0FA" w:rsidRDefault="00A220FA">
      <w:r>
        <w:separator/>
      </w:r>
    </w:p>
  </w:footnote>
  <w:footnote w:type="continuationSeparator" w:id="0">
    <w:p w:rsidR="00A220FA" w:rsidRDefault="00A220FA">
      <w:r>
        <w:continuationSeparator/>
      </w:r>
    </w:p>
  </w:footnote>
  <w:footnote w:id="1">
    <w:p w:rsidR="002020AA" w:rsidRPr="00C3509C" w:rsidRDefault="002020AA" w:rsidP="002020AA">
      <w:pPr>
        <w:pStyle w:val="FootnoteText"/>
        <w:rPr>
          <w:lang w:val="en-US"/>
        </w:rPr>
      </w:pPr>
      <w:r w:rsidRPr="00C3509C">
        <w:rPr>
          <w:rStyle w:val="FootnoteReference"/>
        </w:rPr>
        <w:sym w:font="Symbol" w:char="F02A"/>
      </w:r>
      <w:r>
        <w:t xml:space="preserve"> </w:t>
      </w:r>
      <w:proofErr w:type="spellStart"/>
      <w:r w:rsidRPr="00C3509C">
        <w:rPr>
          <w:lang w:val="en-US"/>
        </w:rPr>
        <w:t>Deschamps</w:t>
      </w:r>
      <w:proofErr w:type="spellEnd"/>
      <w:r w:rsidRPr="00C3509C">
        <w:rPr>
          <w:lang w:val="en-US"/>
        </w:rPr>
        <w:t xml:space="preserve"> J. took no part i</w:t>
      </w:r>
      <w:r>
        <w:rPr>
          <w:lang w:val="en-US"/>
        </w:rPr>
        <w:t>n the judgment.</w:t>
      </w:r>
    </w:p>
  </w:footnote>
  <w:footnote w:id="2">
    <w:p w:rsidR="00A220FA" w:rsidRPr="00C3509C" w:rsidRDefault="00A220FA">
      <w:pPr>
        <w:pStyle w:val="FootnoteText"/>
        <w:rPr>
          <w:lang w:val="en-US"/>
        </w:rPr>
      </w:pPr>
      <w:r w:rsidRPr="00C3509C">
        <w:rPr>
          <w:rStyle w:val="FootnoteReference"/>
        </w:rPr>
        <w:sym w:font="Symbol" w:char="F02A"/>
      </w:r>
      <w:r>
        <w:t xml:space="preserve"> </w:t>
      </w:r>
      <w:proofErr w:type="spellStart"/>
      <w:r w:rsidRPr="00C3509C">
        <w:rPr>
          <w:lang w:val="en-US"/>
        </w:rPr>
        <w:t>Deschamps</w:t>
      </w:r>
      <w:proofErr w:type="spellEnd"/>
      <w:r w:rsidRPr="00C3509C">
        <w:rPr>
          <w:lang w:val="en-US"/>
        </w:rPr>
        <w:t xml:space="preserve"> J. took no part i</w:t>
      </w:r>
      <w:r>
        <w:rPr>
          <w:lang w:val="en-US"/>
        </w:rPr>
        <w:t>n the judgment.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6896"/>
      <w:docPartObj>
        <w:docPartGallery w:val="Page Numbers (Top of Page)"/>
        <w:docPartUnique/>
      </w:docPartObj>
    </w:sdtPr>
    <w:sdtContent>
      <w:p w:rsidR="00084D90" w:rsidRDefault="00084D90">
        <w:pPr>
          <w:pStyle w:val="Header"/>
          <w:jc w:val="center"/>
        </w:pPr>
        <w:r>
          <w:t xml:space="preserve">- </w:t>
        </w:r>
        <w:fldSimple w:instr=" PAGE   \* MERGEFORMAT ">
          <w:r w:rsidR="007F5F2F">
            <w:rPr>
              <w:noProof/>
            </w:rPr>
            <w:t>21</w:t>
          </w:r>
        </w:fldSimple>
        <w:r>
          <w:t xml:space="preserve"> -</w:t>
        </w:r>
      </w:p>
    </w:sdtContent>
  </w:sdt>
  <w:p w:rsidR="00A220FA" w:rsidRPr="00450352" w:rsidRDefault="00A220FA" w:rsidP="004503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5685"/>
    <w:multiLevelType w:val="hybridMultilevel"/>
    <w:tmpl w:val="5B7E61C6"/>
    <w:lvl w:ilvl="0" w:tplc="7FBCF176">
      <w:start w:val="2"/>
      <w:numFmt w:val="lowerRoman"/>
      <w:lvlText w:val="%1)"/>
      <w:lvlJc w:val="left"/>
      <w:pPr>
        <w:ind w:left="3690" w:hanging="720"/>
      </w:pPr>
      <w:rPr>
        <w:rFonts w:hint="default"/>
        <w:i w:val="0"/>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1">
    <w:nsid w:val="07395160"/>
    <w:multiLevelType w:val="hybridMultilevel"/>
    <w:tmpl w:val="B8029A70"/>
    <w:lvl w:ilvl="0" w:tplc="04DCE152">
      <w:start w:val="3"/>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C6F2675"/>
    <w:multiLevelType w:val="multilevel"/>
    <w:tmpl w:val="858A852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6AD2766"/>
    <w:multiLevelType w:val="hybridMultilevel"/>
    <w:tmpl w:val="0568E432"/>
    <w:lvl w:ilvl="0" w:tplc="8AF443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5450D7"/>
    <w:multiLevelType w:val="hybridMultilevel"/>
    <w:tmpl w:val="41920748"/>
    <w:lvl w:ilvl="0" w:tplc="8FDEE3F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A2D5942"/>
    <w:multiLevelType w:val="multilevel"/>
    <w:tmpl w:val="67023B46"/>
    <w:styleLink w:val="MemoTOCList"/>
    <w:lvl w:ilvl="0">
      <w:start w:val="1"/>
      <w:numFmt w:val="upperRoman"/>
      <w:lvlText w:val="%1."/>
      <w:lvlJc w:val="left"/>
      <w:pPr>
        <w:ind w:left="720" w:hanging="720"/>
      </w:pPr>
      <w:rPr>
        <w:rFonts w:hint="default"/>
      </w:rPr>
    </w:lvl>
    <w:lvl w:ilvl="1">
      <w:start w:val="1"/>
      <w:numFmt w:val="upperLetter"/>
      <w:lvlText w:val="%2."/>
      <w:lvlJc w:val="left"/>
      <w:pPr>
        <w:ind w:left="720" w:hanging="720"/>
      </w:pPr>
      <w:rPr>
        <w:rFonts w:hint="default"/>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6">
    <w:nsid w:val="1C540B4C"/>
    <w:multiLevelType w:val="hybridMultilevel"/>
    <w:tmpl w:val="39000380"/>
    <w:lvl w:ilvl="0" w:tplc="F71C8A62">
      <w:start w:val="1"/>
      <w:numFmt w:val="upperLetter"/>
      <w:lvlText w:val="(%1)"/>
      <w:lvlJc w:val="left"/>
      <w:pPr>
        <w:ind w:left="2880" w:hanging="360"/>
      </w:pPr>
      <w:rPr>
        <w:rFonts w:hint="default"/>
      </w:r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7">
    <w:nsid w:val="1FAF31A9"/>
    <w:multiLevelType w:val="hybridMultilevel"/>
    <w:tmpl w:val="9F5C01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10904C5"/>
    <w:multiLevelType w:val="hybridMultilevel"/>
    <w:tmpl w:val="83968EF2"/>
    <w:lvl w:ilvl="0" w:tplc="8476372E">
      <w:start w:val="4"/>
      <w:numFmt w:val="lowerRoman"/>
      <w:lvlText w:val="%1)"/>
      <w:lvlJc w:val="left"/>
      <w:pPr>
        <w:ind w:left="2880" w:hanging="720"/>
      </w:pPr>
      <w:rPr>
        <w:rFonts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303F1460"/>
    <w:multiLevelType w:val="hybridMultilevel"/>
    <w:tmpl w:val="C218B586"/>
    <w:lvl w:ilvl="0" w:tplc="5418A824">
      <w:start w:val="4"/>
      <w:numFmt w:val="upperLetter"/>
      <w:lvlText w:val="%1."/>
      <w:lvlJc w:val="left"/>
      <w:pPr>
        <w:ind w:left="2520" w:hanging="360"/>
      </w:pPr>
      <w:rPr>
        <w:rFonts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3D900830"/>
    <w:multiLevelType w:val="hybridMultilevel"/>
    <w:tmpl w:val="ACCC8D84"/>
    <w:lvl w:ilvl="0" w:tplc="EEB8BDAA">
      <w:start w:val="1"/>
      <w:numFmt w:val="upp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1">
    <w:nsid w:val="3F166C6F"/>
    <w:multiLevelType w:val="hybridMultilevel"/>
    <w:tmpl w:val="091A8B04"/>
    <w:lvl w:ilvl="0" w:tplc="78F486E6">
      <w:start w:val="1"/>
      <w:numFmt w:val="upperLetter"/>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451A2E2D"/>
    <w:multiLevelType w:val="hybridMultilevel"/>
    <w:tmpl w:val="7E585C74"/>
    <w:lvl w:ilvl="0" w:tplc="37681D06">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BA94BFC"/>
    <w:multiLevelType w:val="hybridMultilevel"/>
    <w:tmpl w:val="3E801F46"/>
    <w:lvl w:ilvl="0" w:tplc="10090017">
      <w:start w:val="1"/>
      <w:numFmt w:val="lowerLetter"/>
      <w:lvlText w:val="%1)"/>
      <w:lvlJc w:val="left"/>
      <w:pPr>
        <w:ind w:left="1886" w:hanging="360"/>
      </w:pPr>
    </w:lvl>
    <w:lvl w:ilvl="1" w:tplc="31E2108E">
      <w:start w:val="1"/>
      <w:numFmt w:val="lowerLetter"/>
      <w:lvlText w:val="(%2)"/>
      <w:lvlJc w:val="left"/>
      <w:pPr>
        <w:ind w:left="1710" w:hanging="360"/>
      </w:pPr>
      <w:rPr>
        <w:rFonts w:hint="default"/>
        <w:b w:val="0"/>
      </w:rPr>
    </w:lvl>
    <w:lvl w:ilvl="2" w:tplc="1009001B" w:tentative="1">
      <w:start w:val="1"/>
      <w:numFmt w:val="lowerRoman"/>
      <w:lvlText w:val="%3."/>
      <w:lvlJc w:val="right"/>
      <w:pPr>
        <w:ind w:left="3326" w:hanging="180"/>
      </w:pPr>
    </w:lvl>
    <w:lvl w:ilvl="3" w:tplc="1009000F" w:tentative="1">
      <w:start w:val="1"/>
      <w:numFmt w:val="decimal"/>
      <w:lvlText w:val="%4."/>
      <w:lvlJc w:val="left"/>
      <w:pPr>
        <w:ind w:left="4046" w:hanging="360"/>
      </w:pPr>
    </w:lvl>
    <w:lvl w:ilvl="4" w:tplc="10090019" w:tentative="1">
      <w:start w:val="1"/>
      <w:numFmt w:val="lowerLetter"/>
      <w:lvlText w:val="%5."/>
      <w:lvlJc w:val="left"/>
      <w:pPr>
        <w:ind w:left="4766" w:hanging="360"/>
      </w:pPr>
    </w:lvl>
    <w:lvl w:ilvl="5" w:tplc="1009001B" w:tentative="1">
      <w:start w:val="1"/>
      <w:numFmt w:val="lowerRoman"/>
      <w:lvlText w:val="%6."/>
      <w:lvlJc w:val="right"/>
      <w:pPr>
        <w:ind w:left="5486" w:hanging="180"/>
      </w:pPr>
    </w:lvl>
    <w:lvl w:ilvl="6" w:tplc="1009000F" w:tentative="1">
      <w:start w:val="1"/>
      <w:numFmt w:val="decimal"/>
      <w:lvlText w:val="%7."/>
      <w:lvlJc w:val="left"/>
      <w:pPr>
        <w:ind w:left="6206" w:hanging="360"/>
      </w:pPr>
    </w:lvl>
    <w:lvl w:ilvl="7" w:tplc="10090019" w:tentative="1">
      <w:start w:val="1"/>
      <w:numFmt w:val="lowerLetter"/>
      <w:lvlText w:val="%8."/>
      <w:lvlJc w:val="left"/>
      <w:pPr>
        <w:ind w:left="6926" w:hanging="360"/>
      </w:pPr>
    </w:lvl>
    <w:lvl w:ilvl="8" w:tplc="1009001B" w:tentative="1">
      <w:start w:val="1"/>
      <w:numFmt w:val="lowerRoman"/>
      <w:lvlText w:val="%9."/>
      <w:lvlJc w:val="right"/>
      <w:pPr>
        <w:ind w:left="7646" w:hanging="180"/>
      </w:pPr>
    </w:lvl>
  </w:abstractNum>
  <w:abstractNum w:abstractNumId="14">
    <w:nsid w:val="4C007029"/>
    <w:multiLevelType w:val="hybridMultilevel"/>
    <w:tmpl w:val="C59209C8"/>
    <w:lvl w:ilvl="0" w:tplc="8A545760">
      <w:start w:val="1"/>
      <w:numFmt w:val="lowerLetter"/>
      <w:lvlText w:val="(%1)"/>
      <w:lvlJc w:val="left"/>
      <w:pPr>
        <w:ind w:left="2520" w:hanging="360"/>
      </w:pPr>
      <w:rPr>
        <w:rFonts w:hint="default"/>
        <w: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4C035C40"/>
    <w:multiLevelType w:val="hybridMultilevel"/>
    <w:tmpl w:val="02E69B28"/>
    <w:lvl w:ilvl="0" w:tplc="8FDA0F80">
      <w:numFmt w:val="bullet"/>
      <w:lvlText w:val="-"/>
      <w:lvlJc w:val="left"/>
      <w:pPr>
        <w:ind w:left="2868" w:hanging="360"/>
      </w:pPr>
      <w:rPr>
        <w:rFonts w:ascii="Times New Roman" w:eastAsia="Times New Roman" w:hAnsi="Times New Roman" w:cs="Times New Roman" w:hint="default"/>
      </w:rPr>
    </w:lvl>
    <w:lvl w:ilvl="1" w:tplc="10090003" w:tentative="1">
      <w:start w:val="1"/>
      <w:numFmt w:val="bullet"/>
      <w:lvlText w:val="o"/>
      <w:lvlJc w:val="left"/>
      <w:pPr>
        <w:ind w:left="3588" w:hanging="360"/>
      </w:pPr>
      <w:rPr>
        <w:rFonts w:ascii="Courier New" w:hAnsi="Courier New" w:cs="Courier New" w:hint="default"/>
      </w:rPr>
    </w:lvl>
    <w:lvl w:ilvl="2" w:tplc="10090005" w:tentative="1">
      <w:start w:val="1"/>
      <w:numFmt w:val="bullet"/>
      <w:lvlText w:val=""/>
      <w:lvlJc w:val="left"/>
      <w:pPr>
        <w:ind w:left="4308" w:hanging="360"/>
      </w:pPr>
      <w:rPr>
        <w:rFonts w:ascii="Wingdings" w:hAnsi="Wingdings" w:hint="default"/>
      </w:rPr>
    </w:lvl>
    <w:lvl w:ilvl="3" w:tplc="10090001" w:tentative="1">
      <w:start w:val="1"/>
      <w:numFmt w:val="bullet"/>
      <w:lvlText w:val=""/>
      <w:lvlJc w:val="left"/>
      <w:pPr>
        <w:ind w:left="5028" w:hanging="360"/>
      </w:pPr>
      <w:rPr>
        <w:rFonts w:ascii="Symbol" w:hAnsi="Symbol" w:hint="default"/>
      </w:rPr>
    </w:lvl>
    <w:lvl w:ilvl="4" w:tplc="10090003" w:tentative="1">
      <w:start w:val="1"/>
      <w:numFmt w:val="bullet"/>
      <w:lvlText w:val="o"/>
      <w:lvlJc w:val="left"/>
      <w:pPr>
        <w:ind w:left="5748" w:hanging="360"/>
      </w:pPr>
      <w:rPr>
        <w:rFonts w:ascii="Courier New" w:hAnsi="Courier New" w:cs="Courier New" w:hint="default"/>
      </w:rPr>
    </w:lvl>
    <w:lvl w:ilvl="5" w:tplc="10090005" w:tentative="1">
      <w:start w:val="1"/>
      <w:numFmt w:val="bullet"/>
      <w:lvlText w:val=""/>
      <w:lvlJc w:val="left"/>
      <w:pPr>
        <w:ind w:left="6468" w:hanging="360"/>
      </w:pPr>
      <w:rPr>
        <w:rFonts w:ascii="Wingdings" w:hAnsi="Wingdings" w:hint="default"/>
      </w:rPr>
    </w:lvl>
    <w:lvl w:ilvl="6" w:tplc="10090001" w:tentative="1">
      <w:start w:val="1"/>
      <w:numFmt w:val="bullet"/>
      <w:lvlText w:val=""/>
      <w:lvlJc w:val="left"/>
      <w:pPr>
        <w:ind w:left="7188" w:hanging="360"/>
      </w:pPr>
      <w:rPr>
        <w:rFonts w:ascii="Symbol" w:hAnsi="Symbol" w:hint="default"/>
      </w:rPr>
    </w:lvl>
    <w:lvl w:ilvl="7" w:tplc="10090003" w:tentative="1">
      <w:start w:val="1"/>
      <w:numFmt w:val="bullet"/>
      <w:lvlText w:val="o"/>
      <w:lvlJc w:val="left"/>
      <w:pPr>
        <w:ind w:left="7908" w:hanging="360"/>
      </w:pPr>
      <w:rPr>
        <w:rFonts w:ascii="Courier New" w:hAnsi="Courier New" w:cs="Courier New" w:hint="default"/>
      </w:rPr>
    </w:lvl>
    <w:lvl w:ilvl="8" w:tplc="10090005" w:tentative="1">
      <w:start w:val="1"/>
      <w:numFmt w:val="bullet"/>
      <w:lvlText w:val=""/>
      <w:lvlJc w:val="left"/>
      <w:pPr>
        <w:ind w:left="8628" w:hanging="360"/>
      </w:pPr>
      <w:rPr>
        <w:rFonts w:ascii="Wingdings" w:hAnsi="Wingdings" w:hint="default"/>
      </w:rPr>
    </w:lvl>
  </w:abstractNum>
  <w:abstractNum w:abstractNumId="16">
    <w:nsid w:val="4CE36BA0"/>
    <w:multiLevelType w:val="hybridMultilevel"/>
    <w:tmpl w:val="5742DC2C"/>
    <w:lvl w:ilvl="0" w:tplc="323471C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54283EE8"/>
    <w:multiLevelType w:val="multilevel"/>
    <w:tmpl w:val="DCC29158"/>
    <w:lvl w:ilvl="0">
      <w:start w:val="1"/>
      <w:numFmt w:val="decimal"/>
      <w:pStyle w:val="ParaNoNdepar-AltN"/>
      <w:lvlText w:val="[%1]"/>
      <w:lvlJc w:val="left"/>
      <w:pPr>
        <w:tabs>
          <w:tab w:val="num" w:pos="1152"/>
        </w:tabs>
        <w:ind w:left="0" w:firstLine="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4"/>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46858F1"/>
    <w:multiLevelType w:val="hybridMultilevel"/>
    <w:tmpl w:val="D08AB7F0"/>
    <w:lvl w:ilvl="0" w:tplc="135E7568">
      <w:start w:val="3"/>
      <w:numFmt w:val="upperLetter"/>
      <w:lvlText w:val="%1."/>
      <w:lvlJc w:val="left"/>
      <w:pPr>
        <w:ind w:left="18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5D518CA"/>
    <w:multiLevelType w:val="hybridMultilevel"/>
    <w:tmpl w:val="47DEA61A"/>
    <w:lvl w:ilvl="0" w:tplc="32683A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250974"/>
    <w:multiLevelType w:val="hybridMultilevel"/>
    <w:tmpl w:val="EBB629F2"/>
    <w:lvl w:ilvl="0" w:tplc="17C2AC7E">
      <w:start w:val="4"/>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D1E0917"/>
    <w:multiLevelType w:val="hybridMultilevel"/>
    <w:tmpl w:val="9774CB38"/>
    <w:lvl w:ilvl="0" w:tplc="1102DD40">
      <w:start w:val="1"/>
      <w:numFmt w:val="upperLetter"/>
      <w:lvlText w:val="(%1)"/>
      <w:lvlJc w:val="left"/>
      <w:pPr>
        <w:ind w:left="2880" w:hanging="360"/>
      </w:pPr>
      <w:rPr>
        <w:rFonts w:hint="default"/>
      </w:r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2">
    <w:nsid w:val="61DE5DA9"/>
    <w:multiLevelType w:val="hybridMultilevel"/>
    <w:tmpl w:val="6C683600"/>
    <w:lvl w:ilvl="0" w:tplc="B8D2FDA0">
      <w:start w:val="1"/>
      <w:numFmt w:val="lowerLetter"/>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E1740"/>
    <w:multiLevelType w:val="hybridMultilevel"/>
    <w:tmpl w:val="535EC1A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87053C8"/>
    <w:multiLevelType w:val="hybridMultilevel"/>
    <w:tmpl w:val="B486E97A"/>
    <w:lvl w:ilvl="0" w:tplc="1009000F">
      <w:start w:val="1"/>
      <w:numFmt w:val="decimal"/>
      <w:lvlText w:val="%1."/>
      <w:lvlJc w:val="left"/>
      <w:pPr>
        <w:ind w:left="2246" w:hanging="360"/>
      </w:pPr>
    </w:lvl>
    <w:lvl w:ilvl="1" w:tplc="10090019" w:tentative="1">
      <w:start w:val="1"/>
      <w:numFmt w:val="lowerLetter"/>
      <w:lvlText w:val="%2."/>
      <w:lvlJc w:val="left"/>
      <w:pPr>
        <w:ind w:left="2966" w:hanging="360"/>
      </w:pPr>
    </w:lvl>
    <w:lvl w:ilvl="2" w:tplc="1009001B" w:tentative="1">
      <w:start w:val="1"/>
      <w:numFmt w:val="lowerRoman"/>
      <w:lvlText w:val="%3."/>
      <w:lvlJc w:val="right"/>
      <w:pPr>
        <w:ind w:left="3686" w:hanging="180"/>
      </w:pPr>
    </w:lvl>
    <w:lvl w:ilvl="3" w:tplc="1009000F" w:tentative="1">
      <w:start w:val="1"/>
      <w:numFmt w:val="decimal"/>
      <w:lvlText w:val="%4."/>
      <w:lvlJc w:val="left"/>
      <w:pPr>
        <w:ind w:left="4406" w:hanging="360"/>
      </w:pPr>
    </w:lvl>
    <w:lvl w:ilvl="4" w:tplc="10090019" w:tentative="1">
      <w:start w:val="1"/>
      <w:numFmt w:val="lowerLetter"/>
      <w:lvlText w:val="%5."/>
      <w:lvlJc w:val="left"/>
      <w:pPr>
        <w:ind w:left="5126" w:hanging="360"/>
      </w:pPr>
    </w:lvl>
    <w:lvl w:ilvl="5" w:tplc="1009001B" w:tentative="1">
      <w:start w:val="1"/>
      <w:numFmt w:val="lowerRoman"/>
      <w:lvlText w:val="%6."/>
      <w:lvlJc w:val="right"/>
      <w:pPr>
        <w:ind w:left="5846" w:hanging="180"/>
      </w:pPr>
    </w:lvl>
    <w:lvl w:ilvl="6" w:tplc="1009000F" w:tentative="1">
      <w:start w:val="1"/>
      <w:numFmt w:val="decimal"/>
      <w:lvlText w:val="%7."/>
      <w:lvlJc w:val="left"/>
      <w:pPr>
        <w:ind w:left="6566" w:hanging="360"/>
      </w:pPr>
    </w:lvl>
    <w:lvl w:ilvl="7" w:tplc="10090019" w:tentative="1">
      <w:start w:val="1"/>
      <w:numFmt w:val="lowerLetter"/>
      <w:lvlText w:val="%8."/>
      <w:lvlJc w:val="left"/>
      <w:pPr>
        <w:ind w:left="7286" w:hanging="360"/>
      </w:pPr>
    </w:lvl>
    <w:lvl w:ilvl="8" w:tplc="1009001B" w:tentative="1">
      <w:start w:val="1"/>
      <w:numFmt w:val="lowerRoman"/>
      <w:lvlText w:val="%9."/>
      <w:lvlJc w:val="right"/>
      <w:pPr>
        <w:ind w:left="8006" w:hanging="180"/>
      </w:pPr>
    </w:lvl>
  </w:abstractNum>
  <w:abstractNum w:abstractNumId="25">
    <w:nsid w:val="6E0930BA"/>
    <w:multiLevelType w:val="hybridMultilevel"/>
    <w:tmpl w:val="F0D0F400"/>
    <w:lvl w:ilvl="0" w:tplc="804C62FC">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F182FDD"/>
    <w:multiLevelType w:val="hybridMultilevel"/>
    <w:tmpl w:val="37181EAC"/>
    <w:lvl w:ilvl="0" w:tplc="CD3C0446">
      <w:start w:val="4"/>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7E555D37"/>
    <w:multiLevelType w:val="hybridMultilevel"/>
    <w:tmpl w:val="14765502"/>
    <w:lvl w:ilvl="0" w:tplc="876CE384">
      <w:start w:val="1"/>
      <w:numFmt w:val="decimal"/>
      <w:lvlText w:val="%1."/>
      <w:lvlJc w:val="left"/>
      <w:pPr>
        <w:ind w:left="1526" w:hanging="360"/>
      </w:pPr>
      <w:rPr>
        <w:rFonts w:hint="default"/>
        <w:lang w:val="en-CA"/>
      </w:rPr>
    </w:lvl>
    <w:lvl w:ilvl="1" w:tplc="04090019">
      <w:start w:val="1"/>
      <w:numFmt w:val="lowerLetter"/>
      <w:lvlText w:val="%2."/>
      <w:lvlJc w:val="left"/>
      <w:pPr>
        <w:ind w:left="2246" w:hanging="360"/>
      </w:p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num w:numId="1">
    <w:abstractNumId w:val="23"/>
  </w:num>
  <w:num w:numId="2">
    <w:abstractNumId w:val="7"/>
  </w:num>
  <w:num w:numId="3">
    <w:abstractNumId w:val="2"/>
  </w:num>
  <w:num w:numId="4">
    <w:abstractNumId w:val="15"/>
  </w:num>
  <w:num w:numId="5">
    <w:abstractNumId w:val="16"/>
  </w:num>
  <w:num w:numId="6">
    <w:abstractNumId w:val="17"/>
  </w:num>
  <w:num w:numId="7">
    <w:abstractNumId w:val="4"/>
  </w:num>
  <w:num w:numId="8">
    <w:abstractNumId w:val="5"/>
  </w:num>
  <w:num w:numId="9">
    <w:abstractNumId w:val="14"/>
  </w:num>
  <w:num w:numId="10">
    <w:abstractNumId w:val="22"/>
  </w:num>
  <w:num w:numId="11">
    <w:abstractNumId w:val="27"/>
  </w:num>
  <w:num w:numId="12">
    <w:abstractNumId w:val="12"/>
  </w:num>
  <w:num w:numId="13">
    <w:abstractNumId w:val="17"/>
    <w:lvlOverride w:ilvl="0">
      <w:startOverride w:val="1"/>
    </w:lvlOverride>
    <w:lvlOverride w:ilvl="1">
      <w:startOverride w:val="1"/>
    </w:lvlOverride>
    <w:lvlOverride w:ilvl="2">
      <w:startOverride w:val="1"/>
    </w:lvlOverride>
    <w:lvlOverride w:ilvl="3">
      <w:startOverride w:val="4"/>
    </w:lvlOverride>
  </w:num>
  <w:num w:numId="14">
    <w:abstractNumId w:val="10"/>
  </w:num>
  <w:num w:numId="15">
    <w:abstractNumId w:val="18"/>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18">
    <w:abstractNumId w:val="1"/>
  </w:num>
  <w:num w:numId="19">
    <w:abstractNumId w:val="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6"/>
    </w:lvlOverride>
  </w:num>
  <w:num w:numId="21">
    <w:abstractNumId w:val="11"/>
  </w:num>
  <w:num w:numId="22">
    <w:abstractNumId w:val="21"/>
  </w:num>
  <w:num w:numId="23">
    <w:abstractNumId w:val="17"/>
    <w:lvlOverride w:ilvl="0">
      <w:startOverride w:val="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25">
    <w:abstractNumId w:val="3"/>
  </w:num>
  <w:num w:numId="26">
    <w:abstractNumId w:val="19"/>
  </w:num>
  <w:num w:numId="27">
    <w:abstractNumId w:val="17"/>
    <w:lvlOverride w:ilvl="0">
      <w:startOverride w:val="1"/>
    </w:lvlOverride>
    <w:lvlOverride w:ilvl="1">
      <w:startOverride w:val="2"/>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29">
    <w:abstractNumId w:val="9"/>
  </w:num>
  <w:num w:numId="30">
    <w:abstractNumId w:val="25"/>
  </w:num>
  <w:num w:numId="31">
    <w:abstractNumId w:val="17"/>
    <w:lvlOverride w:ilvl="0">
      <w:startOverride w:val="1"/>
    </w:lvlOverride>
    <w:lvlOverride w:ilvl="1">
      <w:startOverride w:val="1"/>
    </w:lvlOverride>
    <w:lvlOverride w:ilvl="2">
      <w:startOverride w:val="1"/>
    </w:lvlOverride>
    <w:lvlOverride w:ilvl="3">
      <w:startOverride w:val="4"/>
    </w:lvlOverride>
  </w:num>
  <w:num w:numId="32">
    <w:abstractNumId w:val="20"/>
  </w:num>
  <w:num w:numId="33">
    <w:abstractNumId w:val="17"/>
    <w:lvlOverride w:ilvl="0">
      <w:startOverride w:val="1"/>
    </w:lvlOverride>
    <w:lvlOverride w:ilvl="1">
      <w:startOverride w:val="9"/>
    </w:lvlOverride>
  </w:num>
  <w:num w:numId="34">
    <w:abstractNumId w:val="8"/>
  </w:num>
  <w:num w:numId="35">
    <w:abstractNumId w:val="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37">
    <w:abstractNumId w:val="26"/>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num>
  <w:num w:numId="41">
    <w:abstractNumId w:val="24"/>
  </w:num>
  <w:num w:numId="42">
    <w:abstractNumId w:val="17"/>
    <w:lvlOverride w:ilvl="0">
      <w:startOverride w:val="27"/>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17"/>
    <w:lvlOverride w:ilvl="0">
      <w:startOverride w:val="28"/>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28"/>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28"/>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28"/>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28"/>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proofState w:spelling="clean" w:grammar="clean"/>
  <w:defaultTabStop w:val="720"/>
  <w:hyphenationZone w:val="425"/>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33121"/>
  </w:hdrShapeDefaults>
  <w:footnotePr>
    <w:footnote w:id="-1"/>
    <w:footnote w:id="0"/>
  </w:footnotePr>
  <w:endnotePr>
    <w:endnote w:id="-1"/>
    <w:endnote w:id="0"/>
  </w:endnotePr>
  <w:compat/>
  <w:rsids>
    <w:rsidRoot w:val="0031414C"/>
    <w:rsid w:val="00000ED4"/>
    <w:rsid w:val="00003990"/>
    <w:rsid w:val="0001035E"/>
    <w:rsid w:val="00022848"/>
    <w:rsid w:val="00025198"/>
    <w:rsid w:val="00027170"/>
    <w:rsid w:val="000274F3"/>
    <w:rsid w:val="00030336"/>
    <w:rsid w:val="000552E2"/>
    <w:rsid w:val="00056AB6"/>
    <w:rsid w:val="000578A3"/>
    <w:rsid w:val="000648CC"/>
    <w:rsid w:val="00084D90"/>
    <w:rsid w:val="000A2A16"/>
    <w:rsid w:val="000A4ED8"/>
    <w:rsid w:val="000B11EF"/>
    <w:rsid w:val="000C59B8"/>
    <w:rsid w:val="000C63BC"/>
    <w:rsid w:val="000D0927"/>
    <w:rsid w:val="000D4ADD"/>
    <w:rsid w:val="000E1D1E"/>
    <w:rsid w:val="000E60AB"/>
    <w:rsid w:val="00104F33"/>
    <w:rsid w:val="00106600"/>
    <w:rsid w:val="00107915"/>
    <w:rsid w:val="00111DE2"/>
    <w:rsid w:val="00116B38"/>
    <w:rsid w:val="00124BCE"/>
    <w:rsid w:val="0013282E"/>
    <w:rsid w:val="00133CB8"/>
    <w:rsid w:val="00135406"/>
    <w:rsid w:val="00135972"/>
    <w:rsid w:val="001426A9"/>
    <w:rsid w:val="00154D7C"/>
    <w:rsid w:val="00155714"/>
    <w:rsid w:val="001570B0"/>
    <w:rsid w:val="0015752C"/>
    <w:rsid w:val="00157737"/>
    <w:rsid w:val="0016014E"/>
    <w:rsid w:val="00165277"/>
    <w:rsid w:val="00170592"/>
    <w:rsid w:val="001839C7"/>
    <w:rsid w:val="00185CB8"/>
    <w:rsid w:val="0019742E"/>
    <w:rsid w:val="001B0236"/>
    <w:rsid w:val="001B33E0"/>
    <w:rsid w:val="001B4573"/>
    <w:rsid w:val="001C3B3D"/>
    <w:rsid w:val="001C48E5"/>
    <w:rsid w:val="001C4C92"/>
    <w:rsid w:val="001C779F"/>
    <w:rsid w:val="001D2AC1"/>
    <w:rsid w:val="001D4E88"/>
    <w:rsid w:val="001E1C09"/>
    <w:rsid w:val="001F44A2"/>
    <w:rsid w:val="001F6282"/>
    <w:rsid w:val="0020101B"/>
    <w:rsid w:val="0020139A"/>
    <w:rsid w:val="002020AA"/>
    <w:rsid w:val="00205A8D"/>
    <w:rsid w:val="00212BF5"/>
    <w:rsid w:val="0021477D"/>
    <w:rsid w:val="00220FC2"/>
    <w:rsid w:val="00224FC0"/>
    <w:rsid w:val="00225EA4"/>
    <w:rsid w:val="00226144"/>
    <w:rsid w:val="00226EAF"/>
    <w:rsid w:val="00231F3A"/>
    <w:rsid w:val="002406EE"/>
    <w:rsid w:val="00241BED"/>
    <w:rsid w:val="00243EC8"/>
    <w:rsid w:val="002745CC"/>
    <w:rsid w:val="0027648C"/>
    <w:rsid w:val="00292E91"/>
    <w:rsid w:val="002A0551"/>
    <w:rsid w:val="002B7924"/>
    <w:rsid w:val="002D39A4"/>
    <w:rsid w:val="002E6705"/>
    <w:rsid w:val="002F2F37"/>
    <w:rsid w:val="002F35C0"/>
    <w:rsid w:val="003001C5"/>
    <w:rsid w:val="0030329A"/>
    <w:rsid w:val="00304A7B"/>
    <w:rsid w:val="00305E23"/>
    <w:rsid w:val="0031056D"/>
    <w:rsid w:val="0031086F"/>
    <w:rsid w:val="00313DE2"/>
    <w:rsid w:val="0031414C"/>
    <w:rsid w:val="00314655"/>
    <w:rsid w:val="00314E01"/>
    <w:rsid w:val="0032089D"/>
    <w:rsid w:val="00322BEE"/>
    <w:rsid w:val="00324F73"/>
    <w:rsid w:val="003310DE"/>
    <w:rsid w:val="00337A46"/>
    <w:rsid w:val="0035169A"/>
    <w:rsid w:val="0035259D"/>
    <w:rsid w:val="00364B18"/>
    <w:rsid w:val="00364CD3"/>
    <w:rsid w:val="00372862"/>
    <w:rsid w:val="0037353B"/>
    <w:rsid w:val="00374C93"/>
    <w:rsid w:val="00376BE2"/>
    <w:rsid w:val="00381AAB"/>
    <w:rsid w:val="00391A8D"/>
    <w:rsid w:val="003A2AE5"/>
    <w:rsid w:val="003A4C70"/>
    <w:rsid w:val="003B215F"/>
    <w:rsid w:val="003C44DF"/>
    <w:rsid w:val="003C799C"/>
    <w:rsid w:val="003D0399"/>
    <w:rsid w:val="003D3231"/>
    <w:rsid w:val="003E09D5"/>
    <w:rsid w:val="003E1C71"/>
    <w:rsid w:val="003E3459"/>
    <w:rsid w:val="003E5B78"/>
    <w:rsid w:val="003F1F27"/>
    <w:rsid w:val="003F327B"/>
    <w:rsid w:val="003F79C9"/>
    <w:rsid w:val="00405010"/>
    <w:rsid w:val="00406166"/>
    <w:rsid w:val="0040704B"/>
    <w:rsid w:val="00410A55"/>
    <w:rsid w:val="00411300"/>
    <w:rsid w:val="00415417"/>
    <w:rsid w:val="00417303"/>
    <w:rsid w:val="00426659"/>
    <w:rsid w:val="004279FA"/>
    <w:rsid w:val="00432089"/>
    <w:rsid w:val="0043411E"/>
    <w:rsid w:val="0044545D"/>
    <w:rsid w:val="00445AC6"/>
    <w:rsid w:val="004463D0"/>
    <w:rsid w:val="00450352"/>
    <w:rsid w:val="00454BDB"/>
    <w:rsid w:val="00461830"/>
    <w:rsid w:val="00465132"/>
    <w:rsid w:val="00466AEB"/>
    <w:rsid w:val="0047112A"/>
    <w:rsid w:val="00472C72"/>
    <w:rsid w:val="004734C9"/>
    <w:rsid w:val="00480C90"/>
    <w:rsid w:val="004814C8"/>
    <w:rsid w:val="0048396F"/>
    <w:rsid w:val="00491FEB"/>
    <w:rsid w:val="00493B3C"/>
    <w:rsid w:val="00493C18"/>
    <w:rsid w:val="004A600C"/>
    <w:rsid w:val="004A6118"/>
    <w:rsid w:val="004C10AE"/>
    <w:rsid w:val="004C478D"/>
    <w:rsid w:val="004D01A9"/>
    <w:rsid w:val="004D1654"/>
    <w:rsid w:val="004D5DFD"/>
    <w:rsid w:val="004D7674"/>
    <w:rsid w:val="004E2C26"/>
    <w:rsid w:val="004E3045"/>
    <w:rsid w:val="004F5E7F"/>
    <w:rsid w:val="004F76EF"/>
    <w:rsid w:val="005125A8"/>
    <w:rsid w:val="00515807"/>
    <w:rsid w:val="00517956"/>
    <w:rsid w:val="00521AE8"/>
    <w:rsid w:val="00527180"/>
    <w:rsid w:val="005303E1"/>
    <w:rsid w:val="005412FC"/>
    <w:rsid w:val="0054617D"/>
    <w:rsid w:val="00547DD7"/>
    <w:rsid w:val="00550DA2"/>
    <w:rsid w:val="00555291"/>
    <w:rsid w:val="00566AD1"/>
    <w:rsid w:val="005729A6"/>
    <w:rsid w:val="00580F33"/>
    <w:rsid w:val="0058198E"/>
    <w:rsid w:val="00583EDE"/>
    <w:rsid w:val="00591B61"/>
    <w:rsid w:val="00593E97"/>
    <w:rsid w:val="00597EAD"/>
    <w:rsid w:val="005B0BA3"/>
    <w:rsid w:val="005B4D0F"/>
    <w:rsid w:val="005D0C78"/>
    <w:rsid w:val="005D43FE"/>
    <w:rsid w:val="005E4698"/>
    <w:rsid w:val="0060014F"/>
    <w:rsid w:val="00602E86"/>
    <w:rsid w:val="00605B61"/>
    <w:rsid w:val="00610539"/>
    <w:rsid w:val="00613969"/>
    <w:rsid w:val="00615979"/>
    <w:rsid w:val="00620536"/>
    <w:rsid w:val="00625C35"/>
    <w:rsid w:val="006336DF"/>
    <w:rsid w:val="00644312"/>
    <w:rsid w:val="00655900"/>
    <w:rsid w:val="00656313"/>
    <w:rsid w:val="006565F4"/>
    <w:rsid w:val="00665658"/>
    <w:rsid w:val="00684EEA"/>
    <w:rsid w:val="0069689B"/>
    <w:rsid w:val="006974F3"/>
    <w:rsid w:val="006A2799"/>
    <w:rsid w:val="006B0EC8"/>
    <w:rsid w:val="006B5FF5"/>
    <w:rsid w:val="006C34C7"/>
    <w:rsid w:val="006F2EC3"/>
    <w:rsid w:val="00701759"/>
    <w:rsid w:val="00703A8D"/>
    <w:rsid w:val="00705716"/>
    <w:rsid w:val="00705C15"/>
    <w:rsid w:val="007073E1"/>
    <w:rsid w:val="00715D79"/>
    <w:rsid w:val="00716564"/>
    <w:rsid w:val="00720B91"/>
    <w:rsid w:val="00723D68"/>
    <w:rsid w:val="00725B10"/>
    <w:rsid w:val="00734F05"/>
    <w:rsid w:val="00747288"/>
    <w:rsid w:val="00747DD3"/>
    <w:rsid w:val="00750F0B"/>
    <w:rsid w:val="00751251"/>
    <w:rsid w:val="00753FF1"/>
    <w:rsid w:val="007549C8"/>
    <w:rsid w:val="007603EE"/>
    <w:rsid w:val="00766D14"/>
    <w:rsid w:val="00767A0F"/>
    <w:rsid w:val="007753E0"/>
    <w:rsid w:val="00776566"/>
    <w:rsid w:val="00784190"/>
    <w:rsid w:val="007A05F6"/>
    <w:rsid w:val="007B6F4A"/>
    <w:rsid w:val="007D68B0"/>
    <w:rsid w:val="007E0AAB"/>
    <w:rsid w:val="007E123E"/>
    <w:rsid w:val="007E1C47"/>
    <w:rsid w:val="007E337A"/>
    <w:rsid w:val="007E5C70"/>
    <w:rsid w:val="007F2FF5"/>
    <w:rsid w:val="007F3F08"/>
    <w:rsid w:val="007F5F2F"/>
    <w:rsid w:val="00800445"/>
    <w:rsid w:val="00804CC6"/>
    <w:rsid w:val="00814A07"/>
    <w:rsid w:val="00815782"/>
    <w:rsid w:val="008170AD"/>
    <w:rsid w:val="00817190"/>
    <w:rsid w:val="00817286"/>
    <w:rsid w:val="008260E2"/>
    <w:rsid w:val="00827215"/>
    <w:rsid w:val="008322BD"/>
    <w:rsid w:val="00834F73"/>
    <w:rsid w:val="008418B9"/>
    <w:rsid w:val="00857784"/>
    <w:rsid w:val="00860F2B"/>
    <w:rsid w:val="00864CF8"/>
    <w:rsid w:val="00874914"/>
    <w:rsid w:val="008755F6"/>
    <w:rsid w:val="00876DA4"/>
    <w:rsid w:val="00877457"/>
    <w:rsid w:val="00881DED"/>
    <w:rsid w:val="00891422"/>
    <w:rsid w:val="00892E1A"/>
    <w:rsid w:val="008A0012"/>
    <w:rsid w:val="008A3C17"/>
    <w:rsid w:val="008A5127"/>
    <w:rsid w:val="008A66D6"/>
    <w:rsid w:val="008B0156"/>
    <w:rsid w:val="008B20E1"/>
    <w:rsid w:val="008C01DA"/>
    <w:rsid w:val="008C22ED"/>
    <w:rsid w:val="008C2BE6"/>
    <w:rsid w:val="008E4B69"/>
    <w:rsid w:val="008F428B"/>
    <w:rsid w:val="008F6F08"/>
    <w:rsid w:val="008F78E9"/>
    <w:rsid w:val="008F7F38"/>
    <w:rsid w:val="009075DE"/>
    <w:rsid w:val="0091466D"/>
    <w:rsid w:val="009179F9"/>
    <w:rsid w:val="00924B39"/>
    <w:rsid w:val="00927694"/>
    <w:rsid w:val="009306EC"/>
    <w:rsid w:val="00933944"/>
    <w:rsid w:val="00933E5E"/>
    <w:rsid w:val="00935218"/>
    <w:rsid w:val="009369A2"/>
    <w:rsid w:val="009403F3"/>
    <w:rsid w:val="00951CFC"/>
    <w:rsid w:val="00952B6D"/>
    <w:rsid w:val="009555B7"/>
    <w:rsid w:val="00955D27"/>
    <w:rsid w:val="009567AA"/>
    <w:rsid w:val="00962BC7"/>
    <w:rsid w:val="009643E7"/>
    <w:rsid w:val="00967374"/>
    <w:rsid w:val="00973B0F"/>
    <w:rsid w:val="00982000"/>
    <w:rsid w:val="009970B4"/>
    <w:rsid w:val="009A05A8"/>
    <w:rsid w:val="009A12AD"/>
    <w:rsid w:val="009B2F23"/>
    <w:rsid w:val="009B57B3"/>
    <w:rsid w:val="009D102F"/>
    <w:rsid w:val="009D2920"/>
    <w:rsid w:val="009D5AEB"/>
    <w:rsid w:val="009F09B3"/>
    <w:rsid w:val="009F0E33"/>
    <w:rsid w:val="00A149DF"/>
    <w:rsid w:val="00A21B90"/>
    <w:rsid w:val="00A220FA"/>
    <w:rsid w:val="00A259B4"/>
    <w:rsid w:val="00A30EF3"/>
    <w:rsid w:val="00A40759"/>
    <w:rsid w:val="00A41805"/>
    <w:rsid w:val="00A444C0"/>
    <w:rsid w:val="00A4527C"/>
    <w:rsid w:val="00A548CB"/>
    <w:rsid w:val="00A5521C"/>
    <w:rsid w:val="00A610F1"/>
    <w:rsid w:val="00A643E7"/>
    <w:rsid w:val="00A668BC"/>
    <w:rsid w:val="00A71516"/>
    <w:rsid w:val="00A73C38"/>
    <w:rsid w:val="00A73CF1"/>
    <w:rsid w:val="00A86D4C"/>
    <w:rsid w:val="00A87F68"/>
    <w:rsid w:val="00A9480F"/>
    <w:rsid w:val="00A961D5"/>
    <w:rsid w:val="00AA6585"/>
    <w:rsid w:val="00AB0B1A"/>
    <w:rsid w:val="00AB2453"/>
    <w:rsid w:val="00AB2709"/>
    <w:rsid w:val="00AB5C6E"/>
    <w:rsid w:val="00AB670D"/>
    <w:rsid w:val="00AC44BB"/>
    <w:rsid w:val="00AC5ECB"/>
    <w:rsid w:val="00AE2936"/>
    <w:rsid w:val="00AE6107"/>
    <w:rsid w:val="00AF03C5"/>
    <w:rsid w:val="00AF4D5A"/>
    <w:rsid w:val="00AF525F"/>
    <w:rsid w:val="00B000D8"/>
    <w:rsid w:val="00B00F75"/>
    <w:rsid w:val="00B145B6"/>
    <w:rsid w:val="00B36C60"/>
    <w:rsid w:val="00B42FF5"/>
    <w:rsid w:val="00B50C81"/>
    <w:rsid w:val="00B557F8"/>
    <w:rsid w:val="00B66EF3"/>
    <w:rsid w:val="00B72A33"/>
    <w:rsid w:val="00B76719"/>
    <w:rsid w:val="00B815FC"/>
    <w:rsid w:val="00B83E7B"/>
    <w:rsid w:val="00B8626D"/>
    <w:rsid w:val="00B918C6"/>
    <w:rsid w:val="00B93FBC"/>
    <w:rsid w:val="00BA2D44"/>
    <w:rsid w:val="00BA4326"/>
    <w:rsid w:val="00BB1957"/>
    <w:rsid w:val="00BB203A"/>
    <w:rsid w:val="00BB2EE4"/>
    <w:rsid w:val="00BC2108"/>
    <w:rsid w:val="00BD0E9E"/>
    <w:rsid w:val="00BD1BEC"/>
    <w:rsid w:val="00BD32FF"/>
    <w:rsid w:val="00BD57A0"/>
    <w:rsid w:val="00BE53AB"/>
    <w:rsid w:val="00BF7798"/>
    <w:rsid w:val="00C02092"/>
    <w:rsid w:val="00C0697B"/>
    <w:rsid w:val="00C24D91"/>
    <w:rsid w:val="00C3451D"/>
    <w:rsid w:val="00C3509C"/>
    <w:rsid w:val="00C378F9"/>
    <w:rsid w:val="00C52060"/>
    <w:rsid w:val="00C53F14"/>
    <w:rsid w:val="00C54BA9"/>
    <w:rsid w:val="00C572D3"/>
    <w:rsid w:val="00C600CF"/>
    <w:rsid w:val="00C6084F"/>
    <w:rsid w:val="00C62A66"/>
    <w:rsid w:val="00C63552"/>
    <w:rsid w:val="00C71458"/>
    <w:rsid w:val="00C73C42"/>
    <w:rsid w:val="00C7551A"/>
    <w:rsid w:val="00C77613"/>
    <w:rsid w:val="00C828E7"/>
    <w:rsid w:val="00C86719"/>
    <w:rsid w:val="00C921AD"/>
    <w:rsid w:val="00C921DD"/>
    <w:rsid w:val="00CA2AB7"/>
    <w:rsid w:val="00CA6242"/>
    <w:rsid w:val="00CA6391"/>
    <w:rsid w:val="00CB6350"/>
    <w:rsid w:val="00CC12BE"/>
    <w:rsid w:val="00CD1F38"/>
    <w:rsid w:val="00CE3171"/>
    <w:rsid w:val="00CF1601"/>
    <w:rsid w:val="00D012DC"/>
    <w:rsid w:val="00D0172F"/>
    <w:rsid w:val="00D068A7"/>
    <w:rsid w:val="00D23979"/>
    <w:rsid w:val="00D2667C"/>
    <w:rsid w:val="00D3049D"/>
    <w:rsid w:val="00D311AE"/>
    <w:rsid w:val="00D32086"/>
    <w:rsid w:val="00D37A3F"/>
    <w:rsid w:val="00D4431D"/>
    <w:rsid w:val="00D4667A"/>
    <w:rsid w:val="00D707C2"/>
    <w:rsid w:val="00D7516F"/>
    <w:rsid w:val="00D91FDB"/>
    <w:rsid w:val="00D95F8E"/>
    <w:rsid w:val="00DA0590"/>
    <w:rsid w:val="00DB6508"/>
    <w:rsid w:val="00DC1788"/>
    <w:rsid w:val="00DD6EC8"/>
    <w:rsid w:val="00DE319C"/>
    <w:rsid w:val="00DF0CA8"/>
    <w:rsid w:val="00DF2B48"/>
    <w:rsid w:val="00DF32B7"/>
    <w:rsid w:val="00DF49A7"/>
    <w:rsid w:val="00DF57DA"/>
    <w:rsid w:val="00E01EC7"/>
    <w:rsid w:val="00E07EE2"/>
    <w:rsid w:val="00E07FD1"/>
    <w:rsid w:val="00E10F2C"/>
    <w:rsid w:val="00E24573"/>
    <w:rsid w:val="00E25E1E"/>
    <w:rsid w:val="00E27EE7"/>
    <w:rsid w:val="00E30277"/>
    <w:rsid w:val="00E35404"/>
    <w:rsid w:val="00E3657A"/>
    <w:rsid w:val="00E42932"/>
    <w:rsid w:val="00E44C4D"/>
    <w:rsid w:val="00E45109"/>
    <w:rsid w:val="00E47B7A"/>
    <w:rsid w:val="00E60269"/>
    <w:rsid w:val="00E70C46"/>
    <w:rsid w:val="00E83ADA"/>
    <w:rsid w:val="00E901BC"/>
    <w:rsid w:val="00E97830"/>
    <w:rsid w:val="00ED5258"/>
    <w:rsid w:val="00EF0683"/>
    <w:rsid w:val="00EF4D02"/>
    <w:rsid w:val="00F0070C"/>
    <w:rsid w:val="00F00EB7"/>
    <w:rsid w:val="00F01D68"/>
    <w:rsid w:val="00F0315C"/>
    <w:rsid w:val="00F1057D"/>
    <w:rsid w:val="00F12CF8"/>
    <w:rsid w:val="00F3062A"/>
    <w:rsid w:val="00F36AB6"/>
    <w:rsid w:val="00F37A09"/>
    <w:rsid w:val="00F409CE"/>
    <w:rsid w:val="00F4285D"/>
    <w:rsid w:val="00F4379D"/>
    <w:rsid w:val="00F6219F"/>
    <w:rsid w:val="00F71B45"/>
    <w:rsid w:val="00F77128"/>
    <w:rsid w:val="00F801A1"/>
    <w:rsid w:val="00F84DF4"/>
    <w:rsid w:val="00F85C97"/>
    <w:rsid w:val="00FB37D2"/>
    <w:rsid w:val="00FC2A5F"/>
    <w:rsid w:val="00FC318C"/>
    <w:rsid w:val="00FC4EFB"/>
    <w:rsid w:val="00FD068D"/>
    <w:rsid w:val="00FD3B6F"/>
    <w:rsid w:val="00FD4F28"/>
    <w:rsid w:val="00FE44BA"/>
    <w:rsid w:val="00FE6784"/>
    <w:rsid w:val="00FF13F6"/>
    <w:rsid w:val="00FF7C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F8E"/>
    <w:rPr>
      <w:sz w:val="24"/>
    </w:rPr>
  </w:style>
  <w:style w:type="paragraph" w:styleId="Heading1">
    <w:name w:val="heading 1"/>
    <w:basedOn w:val="Normal"/>
    <w:next w:val="Normal"/>
    <w:link w:val="Heading1Char"/>
    <w:uiPriority w:val="9"/>
    <w:qFormat/>
    <w:rsid w:val="004266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5C9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5C97"/>
    <w:rPr>
      <w:rFonts w:asciiTheme="majorHAnsi" w:eastAsiaTheme="majorEastAsia" w:hAnsiTheme="majorHAnsi" w:cstheme="majorBidi"/>
      <w:b/>
      <w:bCs/>
      <w:color w:val="4F81BD" w:themeColor="accent1"/>
      <w:sz w:val="26"/>
      <w:szCs w:val="26"/>
    </w:rPr>
  </w:style>
  <w:style w:type="paragraph" w:customStyle="1" w:styleId="1">
    <w:name w:val="1"/>
    <w:aliases w:val=" 2, 3, A"/>
    <w:basedOn w:val="Normal"/>
    <w:rsid w:val="00493C18"/>
    <w:pPr>
      <w:widowControl w:val="0"/>
    </w:pPr>
  </w:style>
  <w:style w:type="paragraph" w:customStyle="1" w:styleId="SCCNormalDoubleSpacing">
    <w:name w:val="SCC.Normal.DoubleSpacing"/>
    <w:basedOn w:val="Normal"/>
    <w:link w:val="SCCNormalDoubleSpacingChar"/>
    <w:rsid w:val="00104F33"/>
    <w:pPr>
      <w:tabs>
        <w:tab w:val="left" w:pos="1168"/>
      </w:tabs>
      <w:spacing w:line="480" w:lineRule="auto"/>
      <w:jc w:val="both"/>
    </w:pPr>
  </w:style>
  <w:style w:type="character" w:customStyle="1" w:styleId="SCCNormalDoubleSpacingChar">
    <w:name w:val="SCC.Normal.DoubleSpacing Char"/>
    <w:basedOn w:val="DefaultParagraphFont"/>
    <w:link w:val="SCCNormalDoubleSpacing"/>
    <w:rsid w:val="00104F33"/>
    <w:rPr>
      <w:sz w:val="24"/>
    </w:rPr>
  </w:style>
  <w:style w:type="character" w:styleId="Strong">
    <w:name w:val="Strong"/>
    <w:basedOn w:val="DefaultParagraphFont"/>
    <w:uiPriority w:val="22"/>
    <w:qFormat/>
    <w:rsid w:val="00C53F14"/>
    <w:rPr>
      <w:b/>
      <w:bCs/>
    </w:rPr>
  </w:style>
  <w:style w:type="character" w:styleId="PlaceholderText">
    <w:name w:val="Placeholder Text"/>
    <w:basedOn w:val="DefaultParagraphFont"/>
    <w:uiPriority w:val="99"/>
    <w:semiHidden/>
    <w:rsid w:val="00CE3171"/>
    <w:rPr>
      <w:color w:val="808080"/>
    </w:rPr>
  </w:style>
  <w:style w:type="paragraph" w:styleId="BalloonText">
    <w:name w:val="Balloon Text"/>
    <w:basedOn w:val="Normal"/>
    <w:link w:val="BalloonTextChar"/>
    <w:uiPriority w:val="99"/>
    <w:semiHidden/>
    <w:unhideWhenUsed/>
    <w:rsid w:val="00CE3171"/>
    <w:rPr>
      <w:rFonts w:ascii="Tahoma" w:hAnsi="Tahoma" w:cs="Tahoma"/>
      <w:sz w:val="16"/>
      <w:szCs w:val="16"/>
    </w:rPr>
  </w:style>
  <w:style w:type="character" w:customStyle="1" w:styleId="BalloonTextChar">
    <w:name w:val="Balloon Text Char"/>
    <w:basedOn w:val="DefaultParagraphFont"/>
    <w:link w:val="BalloonText"/>
    <w:uiPriority w:val="99"/>
    <w:semiHidden/>
    <w:rsid w:val="00CE3171"/>
    <w:rPr>
      <w:rFonts w:ascii="Tahoma" w:hAnsi="Tahoma" w:cs="Tahoma"/>
      <w:sz w:val="16"/>
      <w:szCs w:val="16"/>
      <w:lang w:val="en-US"/>
    </w:rPr>
  </w:style>
  <w:style w:type="paragraph" w:styleId="Header">
    <w:name w:val="header"/>
    <w:basedOn w:val="Normal"/>
    <w:link w:val="HeaderChar"/>
    <w:uiPriority w:val="99"/>
    <w:unhideWhenUsed/>
    <w:rsid w:val="000C59B8"/>
    <w:pPr>
      <w:tabs>
        <w:tab w:val="center" w:pos="4680"/>
        <w:tab w:val="right" w:pos="9360"/>
      </w:tabs>
    </w:pPr>
  </w:style>
  <w:style w:type="character" w:customStyle="1" w:styleId="HeaderChar">
    <w:name w:val="Header Char"/>
    <w:basedOn w:val="DefaultParagraphFont"/>
    <w:link w:val="Header"/>
    <w:uiPriority w:val="99"/>
    <w:rsid w:val="000C59B8"/>
    <w:rPr>
      <w:sz w:val="24"/>
      <w:lang w:val="en-US"/>
    </w:rPr>
  </w:style>
  <w:style w:type="paragraph" w:styleId="Footer">
    <w:name w:val="footer"/>
    <w:basedOn w:val="Normal"/>
    <w:link w:val="FooterChar"/>
    <w:uiPriority w:val="99"/>
    <w:semiHidden/>
    <w:unhideWhenUsed/>
    <w:rsid w:val="000C59B8"/>
    <w:pPr>
      <w:tabs>
        <w:tab w:val="center" w:pos="4680"/>
        <w:tab w:val="right" w:pos="9360"/>
      </w:tabs>
    </w:pPr>
  </w:style>
  <w:style w:type="character" w:customStyle="1" w:styleId="FooterChar">
    <w:name w:val="Footer Char"/>
    <w:basedOn w:val="DefaultParagraphFont"/>
    <w:link w:val="Footer"/>
    <w:uiPriority w:val="99"/>
    <w:semiHidden/>
    <w:rsid w:val="000C59B8"/>
    <w:rPr>
      <w:sz w:val="24"/>
      <w:lang w:val="en-US"/>
    </w:rPr>
  </w:style>
  <w:style w:type="paragraph" w:customStyle="1" w:styleId="SCCLsocParty">
    <w:name w:val="SCC.Lsoc.Party"/>
    <w:basedOn w:val="Normal"/>
    <w:next w:val="Normal"/>
    <w:link w:val="SCCLsocPartyChar"/>
    <w:rsid w:val="0032089D"/>
    <w:pPr>
      <w:jc w:val="both"/>
    </w:pPr>
    <w:rPr>
      <w:b/>
    </w:rPr>
  </w:style>
  <w:style w:type="character" w:customStyle="1" w:styleId="SCCLsocPartyChar">
    <w:name w:val="SCC.Lsoc.Party Char"/>
    <w:basedOn w:val="DefaultParagraphFont"/>
    <w:link w:val="SCCLsocParty"/>
    <w:rsid w:val="0032089D"/>
    <w:rPr>
      <w:b/>
      <w:sz w:val="24"/>
    </w:rPr>
  </w:style>
  <w:style w:type="paragraph" w:customStyle="1" w:styleId="SCCLsocVersus">
    <w:name w:val="SCC.Lsoc.Versus"/>
    <w:basedOn w:val="Normal"/>
    <w:next w:val="Normal"/>
    <w:link w:val="SCCLsocVersusChar"/>
    <w:rsid w:val="0030329A"/>
    <w:rPr>
      <w:i/>
    </w:rPr>
  </w:style>
  <w:style w:type="character" w:customStyle="1" w:styleId="SCCLsocVersusChar">
    <w:name w:val="SCC.Lsoc.Versus Char"/>
    <w:basedOn w:val="DefaultParagraphFont"/>
    <w:link w:val="SCCLsocVersus"/>
    <w:rsid w:val="0030329A"/>
    <w:rPr>
      <w:i/>
      <w:sz w:val="24"/>
    </w:rPr>
  </w:style>
  <w:style w:type="paragraph" w:customStyle="1" w:styleId="SCCLsocPartyRole">
    <w:name w:val="SCC.Lsoc.PartyRole"/>
    <w:basedOn w:val="Normal"/>
    <w:next w:val="Normal"/>
    <w:link w:val="SCCLsocPartyRoleChar"/>
    <w:rsid w:val="00225EA4"/>
    <w:pPr>
      <w:jc w:val="right"/>
    </w:pPr>
    <w:rPr>
      <w:i/>
    </w:rPr>
  </w:style>
  <w:style w:type="character" w:customStyle="1" w:styleId="SCCLsocPartyRoleChar">
    <w:name w:val="SCC.Lsoc.PartyRole Char"/>
    <w:basedOn w:val="DefaultParagraphFont"/>
    <w:link w:val="SCCLsocPartyRole"/>
    <w:rsid w:val="00225EA4"/>
    <w:rPr>
      <w:i/>
      <w:sz w:val="24"/>
    </w:rPr>
  </w:style>
  <w:style w:type="paragraph" w:customStyle="1" w:styleId="SCCLsocSubfileSeparator">
    <w:name w:val="SCC.Lsoc.SubfileSeparator"/>
    <w:basedOn w:val="Normal"/>
    <w:next w:val="Normal"/>
    <w:link w:val="SCCLsocSubfileSeparatorChar"/>
    <w:rsid w:val="00527180"/>
  </w:style>
  <w:style w:type="character" w:customStyle="1" w:styleId="SCCLsocSubfileSeparatorChar">
    <w:name w:val="SCC.Lsoc.SubfileSeparator Char"/>
    <w:basedOn w:val="DefaultParagraphFont"/>
    <w:link w:val="SCCLsocSubfileSeparator"/>
    <w:rsid w:val="00527180"/>
    <w:rPr>
      <w:sz w:val="24"/>
    </w:rPr>
  </w:style>
  <w:style w:type="paragraph" w:customStyle="1" w:styleId="SCCLsocOtherPartySeparator">
    <w:name w:val="SCC.Lsoc.OtherPartySeparator"/>
    <w:basedOn w:val="Normal"/>
    <w:next w:val="Normal"/>
    <w:link w:val="SCCLsocOtherPartySeparatorChar"/>
    <w:rsid w:val="00527180"/>
  </w:style>
  <w:style w:type="character" w:customStyle="1" w:styleId="SCCLsocOtherPartySeparatorChar">
    <w:name w:val="SCC.Lsoc.OtherPartySeparator Char"/>
    <w:basedOn w:val="DefaultParagraphFont"/>
    <w:link w:val="SCCLsocOtherPartySeparator"/>
    <w:rsid w:val="00527180"/>
    <w:rPr>
      <w:sz w:val="24"/>
    </w:rPr>
  </w:style>
  <w:style w:type="character" w:customStyle="1" w:styleId="Heading1Char">
    <w:name w:val="Heading 1 Char"/>
    <w:basedOn w:val="DefaultParagraphFont"/>
    <w:link w:val="Heading1"/>
    <w:uiPriority w:val="9"/>
    <w:rsid w:val="00426659"/>
    <w:rPr>
      <w:rFonts w:asciiTheme="majorHAnsi" w:eastAsiaTheme="majorEastAsia" w:hAnsiTheme="majorHAnsi" w:cstheme="majorBidi"/>
      <w:b/>
      <w:bCs/>
      <w:color w:val="365F91" w:themeColor="accent1" w:themeShade="BF"/>
      <w:sz w:val="28"/>
      <w:szCs w:val="28"/>
    </w:rPr>
  </w:style>
  <w:style w:type="paragraph" w:customStyle="1" w:styleId="SCCBanSummary">
    <w:name w:val="SCC.BanSummary"/>
    <w:basedOn w:val="Normal"/>
    <w:next w:val="Normal"/>
    <w:link w:val="SCCBanSummaryChar"/>
    <w:rsid w:val="00111DE2"/>
    <w:pPr>
      <w:jc w:val="right"/>
    </w:pPr>
    <w:rPr>
      <w:b/>
    </w:rPr>
  </w:style>
  <w:style w:type="paragraph" w:customStyle="1" w:styleId="SCCSystemYear">
    <w:name w:val="SCC.SystemYear"/>
    <w:basedOn w:val="Normal"/>
    <w:next w:val="Normal"/>
    <w:link w:val="SCCSystemYearChar"/>
    <w:rsid w:val="00111DE2"/>
    <w:rPr>
      <w:b/>
    </w:rPr>
  </w:style>
  <w:style w:type="character" w:customStyle="1" w:styleId="SCCSystemYearChar">
    <w:name w:val="SCC.SystemYear Char"/>
    <w:basedOn w:val="DefaultParagraphFont"/>
    <w:link w:val="SCCSystemYear"/>
    <w:rsid w:val="00111DE2"/>
    <w:rPr>
      <w:b/>
      <w:sz w:val="24"/>
    </w:rPr>
  </w:style>
  <w:style w:type="paragraph" w:customStyle="1" w:styleId="SCCLowerCourtNameLowercase">
    <w:name w:val="SCC.LowerCourtNameLowercase"/>
    <w:basedOn w:val="SCCNormalDoubleSpacing"/>
    <w:next w:val="SCCNormalDoubleSpacing"/>
    <w:rsid w:val="00111DE2"/>
    <w:rPr>
      <w:smallCaps/>
    </w:rPr>
  </w:style>
  <w:style w:type="paragraph" w:customStyle="1" w:styleId="SCCItalic">
    <w:name w:val="SCC.Italic"/>
    <w:basedOn w:val="SCCNormalDoubleSpacing"/>
    <w:next w:val="SCCNormalDoubleSpacing"/>
    <w:rsid w:val="00DF0CA8"/>
    <w:rPr>
      <w:i/>
    </w:rPr>
  </w:style>
  <w:style w:type="paragraph" w:customStyle="1" w:styleId="SCCPartyRole">
    <w:name w:val="SCC.PartyRole"/>
    <w:basedOn w:val="SCCNormalDoubleSpacing"/>
    <w:next w:val="SCCNormalDoubleSpacing"/>
    <w:link w:val="SCCPartyRoleChar"/>
    <w:rsid w:val="00874914"/>
  </w:style>
  <w:style w:type="character" w:customStyle="1" w:styleId="SCCPartyRoleChar">
    <w:name w:val="SCC.PartyRole Char"/>
    <w:basedOn w:val="SCCNormalDoubleSpacingChar"/>
    <w:link w:val="SCCPartyRole"/>
    <w:rsid w:val="00874914"/>
  </w:style>
  <w:style w:type="paragraph" w:customStyle="1" w:styleId="SCCLawFirm">
    <w:name w:val="SCC.LawFirm"/>
    <w:basedOn w:val="SCCNormalDoubleSpacing"/>
    <w:next w:val="SCCNormalDoubleSpacing"/>
    <w:link w:val="SCCLawFirmChar"/>
    <w:rsid w:val="00364B18"/>
    <w:rPr>
      <w:i/>
    </w:rPr>
  </w:style>
  <w:style w:type="character" w:customStyle="1" w:styleId="SCCLawFirmChar">
    <w:name w:val="SCC.LawFirm Char"/>
    <w:basedOn w:val="SCCNormalDoubleSpacingChar"/>
    <w:link w:val="SCCLawFirm"/>
    <w:rsid w:val="00364B18"/>
    <w:rPr>
      <w:i/>
    </w:rPr>
  </w:style>
  <w:style w:type="paragraph" w:styleId="EndnoteText">
    <w:name w:val="endnote text"/>
    <w:basedOn w:val="Normal"/>
    <w:link w:val="EndnoteTextChar"/>
    <w:uiPriority w:val="99"/>
    <w:semiHidden/>
    <w:unhideWhenUsed/>
    <w:rsid w:val="00720B91"/>
    <w:rPr>
      <w:sz w:val="20"/>
    </w:rPr>
  </w:style>
  <w:style w:type="character" w:customStyle="1" w:styleId="EndnoteTextChar">
    <w:name w:val="Endnote Text Char"/>
    <w:basedOn w:val="DefaultParagraphFont"/>
    <w:link w:val="EndnoteText"/>
    <w:uiPriority w:val="99"/>
    <w:semiHidden/>
    <w:rsid w:val="00720B91"/>
  </w:style>
  <w:style w:type="character" w:styleId="EndnoteReference">
    <w:name w:val="endnote reference"/>
    <w:basedOn w:val="DefaultParagraphFont"/>
    <w:uiPriority w:val="99"/>
    <w:semiHidden/>
    <w:unhideWhenUsed/>
    <w:rsid w:val="00720B91"/>
    <w:rPr>
      <w:vertAlign w:val="superscript"/>
    </w:rPr>
  </w:style>
  <w:style w:type="paragraph" w:styleId="FootnoteText">
    <w:name w:val="footnote text"/>
    <w:basedOn w:val="Normal"/>
    <w:link w:val="FootnoteTextChar"/>
    <w:uiPriority w:val="99"/>
    <w:semiHidden/>
    <w:unhideWhenUsed/>
    <w:rsid w:val="00C3509C"/>
    <w:rPr>
      <w:sz w:val="20"/>
    </w:rPr>
  </w:style>
  <w:style w:type="character" w:customStyle="1" w:styleId="FootnoteTextChar">
    <w:name w:val="Footnote Text Char"/>
    <w:basedOn w:val="DefaultParagraphFont"/>
    <w:link w:val="FootnoteText"/>
    <w:uiPriority w:val="99"/>
    <w:semiHidden/>
    <w:rsid w:val="00C3509C"/>
  </w:style>
  <w:style w:type="character" w:styleId="FootnoteReference">
    <w:name w:val="footnote reference"/>
    <w:basedOn w:val="DefaultParagraphFont"/>
    <w:uiPriority w:val="99"/>
    <w:semiHidden/>
    <w:unhideWhenUsed/>
    <w:rsid w:val="00C3509C"/>
    <w:rPr>
      <w:vertAlign w:val="superscript"/>
    </w:rPr>
  </w:style>
  <w:style w:type="paragraph" w:customStyle="1" w:styleId="SCCLsocOtherPartyRoleSeparator">
    <w:name w:val="SCC.Lsoc.OtherPartyRoleSeparator"/>
    <w:basedOn w:val="Normal"/>
    <w:next w:val="Normal"/>
    <w:link w:val="SCCLsocOtherPartyRoleSeparatorChar"/>
    <w:rsid w:val="00BB1957"/>
    <w:pPr>
      <w:spacing w:after="480"/>
    </w:pPr>
    <w:rPr>
      <w:rFonts w:eastAsiaTheme="minorHAnsi" w:cstheme="minorBidi"/>
      <w:szCs w:val="22"/>
      <w:lang w:eastAsia="en-US"/>
    </w:rPr>
  </w:style>
  <w:style w:type="paragraph" w:customStyle="1" w:styleId="SCCCoram">
    <w:name w:val="SCC.Coram"/>
    <w:basedOn w:val="Normal"/>
    <w:next w:val="Normal"/>
    <w:link w:val="SCCCoramChar"/>
    <w:rsid w:val="00BB1957"/>
    <w:pPr>
      <w:pBdr>
        <w:bottom w:val="single" w:sz="4" w:space="1" w:color="auto"/>
      </w:pBdr>
    </w:pPr>
    <w:rPr>
      <w:rFonts w:eastAsiaTheme="minorHAnsi" w:cstheme="minorBidi"/>
      <w:szCs w:val="22"/>
      <w:lang w:eastAsia="en-US"/>
    </w:rPr>
  </w:style>
  <w:style w:type="character" w:customStyle="1" w:styleId="SCCCoramChar">
    <w:name w:val="SCC.Coram Char"/>
    <w:basedOn w:val="DefaultParagraphFont"/>
    <w:link w:val="SCCCoram"/>
    <w:rsid w:val="00BB1957"/>
    <w:rPr>
      <w:rFonts w:eastAsiaTheme="minorHAnsi" w:cstheme="minorBidi"/>
      <w:sz w:val="24"/>
      <w:szCs w:val="22"/>
      <w:lang w:eastAsia="en-US"/>
    </w:rPr>
  </w:style>
  <w:style w:type="character" w:customStyle="1" w:styleId="SCCLsocOtherPartyRoleSeparatorChar">
    <w:name w:val="SCC.Lsoc.OtherPartyRoleSeparator Char"/>
    <w:basedOn w:val="DefaultParagraphFont"/>
    <w:link w:val="SCCLsocOtherPartyRoleSeparator"/>
    <w:rsid w:val="00BB1957"/>
    <w:rPr>
      <w:rFonts w:eastAsiaTheme="minorHAnsi" w:cstheme="minorBidi"/>
      <w:sz w:val="24"/>
      <w:szCs w:val="22"/>
      <w:lang w:eastAsia="en-US"/>
    </w:rPr>
  </w:style>
  <w:style w:type="character" w:customStyle="1" w:styleId="SCCBanSummaryChar">
    <w:name w:val="SCC.BanSummary Char"/>
    <w:basedOn w:val="DefaultParagraphFont"/>
    <w:link w:val="SCCBanSummary"/>
    <w:rsid w:val="00BB1957"/>
    <w:rPr>
      <w:b/>
      <w:sz w:val="24"/>
    </w:rPr>
  </w:style>
  <w:style w:type="table" w:styleId="TableGrid">
    <w:name w:val="Table Grid"/>
    <w:basedOn w:val="TableNormal"/>
    <w:uiPriority w:val="59"/>
    <w:rsid w:val="00BB195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itation-AltC">
    <w:name w:val="Citation - Alt C"/>
    <w:uiPriority w:val="2"/>
    <w:qFormat/>
    <w:rsid w:val="00BB1957"/>
    <w:pPr>
      <w:spacing w:after="720"/>
      <w:ind w:left="1166"/>
      <w:contextualSpacing/>
      <w:jc w:val="both"/>
    </w:pPr>
    <w:rPr>
      <w:sz w:val="24"/>
    </w:rPr>
  </w:style>
  <w:style w:type="paragraph" w:customStyle="1" w:styleId="ContinueParaSuitedupar-AltP">
    <w:name w:val="Continue Para. / Suite du par. - Alt P"/>
    <w:next w:val="ParaNoNdepar-AltN"/>
    <w:uiPriority w:val="1"/>
    <w:qFormat/>
    <w:rsid w:val="00BB1957"/>
    <w:pPr>
      <w:spacing w:before="480" w:after="480" w:line="480" w:lineRule="auto"/>
      <w:jc w:val="both"/>
    </w:pPr>
    <w:rPr>
      <w:rFonts w:eastAsiaTheme="minorHAnsi" w:cstheme="minorBidi"/>
      <w:sz w:val="24"/>
      <w:szCs w:val="22"/>
      <w:lang w:eastAsia="en-US"/>
    </w:rPr>
  </w:style>
  <w:style w:type="paragraph" w:customStyle="1" w:styleId="JudgeJuge">
    <w:name w:val="Judge / Juge"/>
    <w:uiPriority w:val="3"/>
    <w:rsid w:val="00BB1957"/>
    <w:pPr>
      <w:tabs>
        <w:tab w:val="left" w:pos="1166"/>
      </w:tabs>
      <w:spacing w:after="480" w:line="480" w:lineRule="auto"/>
    </w:pPr>
    <w:rPr>
      <w:smallCaps/>
      <w:sz w:val="24"/>
    </w:rPr>
  </w:style>
  <w:style w:type="paragraph" w:customStyle="1" w:styleId="ParaNoNdepar-AltN">
    <w:name w:val="Para. No. / Nº de par. - Alt N"/>
    <w:qFormat/>
    <w:rsid w:val="00BB1957"/>
    <w:pPr>
      <w:numPr>
        <w:numId w:val="6"/>
      </w:numPr>
      <w:spacing w:before="480" w:after="480" w:line="480" w:lineRule="auto"/>
      <w:jc w:val="both"/>
    </w:pPr>
    <w:rPr>
      <w:rFonts w:eastAsiaTheme="minorEastAsia" w:cstheme="minorBidi"/>
      <w:sz w:val="24"/>
      <w:szCs w:val="22"/>
      <w:lang w:eastAsia="en-US"/>
    </w:rPr>
  </w:style>
  <w:style w:type="paragraph" w:customStyle="1" w:styleId="TitleTitre-AltT">
    <w:name w:val="Title / Titre - Alt T"/>
    <w:next w:val="ParaNoNdepar-AltN"/>
    <w:uiPriority w:val="3"/>
    <w:qFormat/>
    <w:rsid w:val="00BB1957"/>
    <w:pPr>
      <w:tabs>
        <w:tab w:val="left" w:pos="360"/>
      </w:tabs>
      <w:spacing w:before="480" w:after="720"/>
      <w:ind w:left="360" w:hanging="360"/>
      <w:jc w:val="both"/>
    </w:pPr>
    <w:rPr>
      <w:rFonts w:eastAsiaTheme="minorHAnsi" w:cstheme="minorBidi"/>
      <w:sz w:val="24"/>
      <w:szCs w:val="22"/>
      <w:lang w:eastAsia="en-US"/>
    </w:rPr>
  </w:style>
  <w:style w:type="character" w:styleId="Hyperlink">
    <w:name w:val="Hyperlink"/>
    <w:basedOn w:val="DefaultParagraphFont"/>
    <w:uiPriority w:val="99"/>
    <w:unhideWhenUsed/>
    <w:rsid w:val="00BB1957"/>
    <w:rPr>
      <w:color w:val="0000FF" w:themeColor="hyperlink"/>
      <w:u w:val="single"/>
    </w:rPr>
  </w:style>
  <w:style w:type="paragraph" w:styleId="TOC1">
    <w:name w:val="toc 1"/>
    <w:basedOn w:val="Normal"/>
    <w:next w:val="Normal"/>
    <w:uiPriority w:val="39"/>
    <w:unhideWhenUsed/>
    <w:qFormat/>
    <w:rsid w:val="00BB1957"/>
    <w:pPr>
      <w:tabs>
        <w:tab w:val="left" w:pos="720"/>
        <w:tab w:val="left" w:pos="1350"/>
        <w:tab w:val="left" w:pos="1890"/>
        <w:tab w:val="left" w:pos="2340"/>
        <w:tab w:val="left" w:pos="2700"/>
        <w:tab w:val="right" w:leader="dot" w:pos="8270"/>
      </w:tabs>
      <w:spacing w:before="120" w:after="120"/>
      <w:ind w:left="720" w:hanging="720"/>
    </w:pPr>
    <w:rPr>
      <w:noProof/>
    </w:rPr>
  </w:style>
  <w:style w:type="table" w:customStyle="1" w:styleId="TableGrid1">
    <w:name w:val="Table Grid1"/>
    <w:basedOn w:val="TableNormal"/>
    <w:next w:val="TableGrid"/>
    <w:uiPriority w:val="59"/>
    <w:rsid w:val="00BB1957"/>
    <w:rPr>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MemoTOCList">
    <w:name w:val="Memo TOC List"/>
    <w:basedOn w:val="NoList"/>
    <w:uiPriority w:val="99"/>
    <w:rsid w:val="00BB1957"/>
    <w:pPr>
      <w:numPr>
        <w:numId w:val="8"/>
      </w:numPr>
    </w:pPr>
  </w:style>
  <w:style w:type="paragraph" w:customStyle="1" w:styleId="Default">
    <w:name w:val="Default"/>
    <w:rsid w:val="00BB1957"/>
    <w:pPr>
      <w:autoSpaceDE w:val="0"/>
      <w:autoSpaceDN w:val="0"/>
      <w:adjustRightInd w:val="0"/>
    </w:pPr>
    <w:rPr>
      <w:rFonts w:eastAsiaTheme="minorHAnsi"/>
      <w:color w:val="000000"/>
      <w:sz w:val="24"/>
      <w:szCs w:val="24"/>
      <w:lang w:eastAsia="en-US"/>
    </w:rPr>
  </w:style>
  <w:style w:type="paragraph" w:styleId="TOCHeading">
    <w:name w:val="TOC Heading"/>
    <w:basedOn w:val="Heading1"/>
    <w:next w:val="Normal"/>
    <w:uiPriority w:val="39"/>
    <w:semiHidden/>
    <w:unhideWhenUsed/>
    <w:qFormat/>
    <w:rsid w:val="00BB1957"/>
    <w:pPr>
      <w:spacing w:line="276" w:lineRule="auto"/>
      <w:outlineLvl w:val="9"/>
    </w:pPr>
    <w:rPr>
      <w:lang w:val="en-US" w:eastAsia="en-US"/>
    </w:rPr>
  </w:style>
  <w:style w:type="paragraph" w:styleId="ListParagraph">
    <w:name w:val="List Paragraph"/>
    <w:basedOn w:val="Normal"/>
    <w:uiPriority w:val="34"/>
    <w:qFormat/>
    <w:rsid w:val="00BB1957"/>
    <w:pPr>
      <w:spacing w:after="200" w:line="276" w:lineRule="auto"/>
      <w:ind w:left="720"/>
      <w:contextualSpacing/>
    </w:pPr>
    <w:rPr>
      <w:rFonts w:eastAsiaTheme="minorHAnsi"/>
      <w:szCs w:val="24"/>
      <w:lang w:val="en-US" w:eastAsia="en-US"/>
    </w:rPr>
  </w:style>
  <w:style w:type="paragraph" w:styleId="NoSpacing">
    <w:name w:val="No Spacing"/>
    <w:uiPriority w:val="1"/>
    <w:qFormat/>
    <w:rsid w:val="00BB1957"/>
    <w:rPr>
      <w:rFonts w:eastAsiaTheme="minorHAnsi"/>
      <w:sz w:val="24"/>
      <w:szCs w:val="24"/>
      <w:lang w:val="en-US" w:eastAsia="en-US"/>
    </w:rPr>
  </w:style>
  <w:style w:type="paragraph" w:customStyle="1" w:styleId="reasonsnumbering-altn">
    <w:name w:val="reasonsnumbering-altn"/>
    <w:basedOn w:val="Normal"/>
    <w:rsid w:val="00BB1957"/>
    <w:pPr>
      <w:spacing w:before="100" w:beforeAutospacing="1" w:after="100" w:afterAutospacing="1"/>
    </w:pPr>
    <w:rPr>
      <w:color w:val="3A3A3A"/>
      <w:szCs w:val="24"/>
      <w:lang w:val="en-US" w:eastAsia="en-US"/>
    </w:rPr>
  </w:style>
  <w:style w:type="paragraph" w:styleId="NormalWeb">
    <w:name w:val="Normal (Web)"/>
    <w:basedOn w:val="Normal"/>
    <w:uiPriority w:val="99"/>
    <w:unhideWhenUsed/>
    <w:rsid w:val="00BB1957"/>
    <w:pPr>
      <w:spacing w:before="100" w:beforeAutospacing="1" w:after="100" w:afterAutospacing="1"/>
    </w:pPr>
    <w:rPr>
      <w:color w:val="3A3A3A"/>
      <w:szCs w:val="24"/>
      <w:lang w:val="en-US" w:eastAsia="en-US"/>
    </w:rPr>
  </w:style>
  <w:style w:type="character" w:customStyle="1" w:styleId="reportcite">
    <w:name w:val="reportcite"/>
    <w:basedOn w:val="DefaultParagraphFont"/>
    <w:rsid w:val="00BB1957"/>
  </w:style>
  <w:style w:type="table" w:customStyle="1" w:styleId="TableGrid2">
    <w:name w:val="Table Grid2"/>
    <w:basedOn w:val="TableNormal"/>
    <w:next w:val="TableGrid"/>
    <w:uiPriority w:val="59"/>
    <w:rsid w:val="002020AA"/>
    <w:rPr>
      <w:rFonts w:eastAsiaTheme="minorHAnsi" w:cstheme="minorBidi"/>
      <w:sz w:val="24"/>
      <w:szCs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D0E506-A597-495E-8C50-444ABD3EC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26378</Words>
  <Characters>140912</Characters>
  <Application>Microsoft Office Word</Application>
  <DocSecurity>0</DocSecurity>
  <Lines>1174</Lines>
  <Paragraphs>333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2015-01-05T14:09:00Z</dcterms:created>
  <dcterms:modified xsi:type="dcterms:W3CDTF">2015-01-05T14:11:00Z</dcterms:modified>
</cp:coreProperties>
</file>