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4C" w:rsidRPr="000B2D80" w:rsidRDefault="000F1B4C" w:rsidP="000F1B4C">
      <w:pPr>
        <w:tabs>
          <w:tab w:val="center" w:pos="4680"/>
          <w:tab w:val="right" w:pos="9360"/>
        </w:tabs>
        <w:jc w:val="center"/>
        <w:rPr>
          <w:rFonts w:eastAsiaTheme="minorHAnsi" w:cstheme="minorBidi"/>
          <w:color w:val="000000" w:themeColor="text1"/>
          <w:szCs w:val="24"/>
          <w:lang w:eastAsia="en-US"/>
        </w:rPr>
      </w:pPr>
      <w:r w:rsidRPr="000B2D80">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8380820" r:id="rId8"/>
        </w:object>
      </w:r>
    </w:p>
    <w:p w:rsidR="000F1B4C" w:rsidRPr="000B2D80" w:rsidRDefault="000F1B4C" w:rsidP="000F1B4C">
      <w:pPr>
        <w:tabs>
          <w:tab w:val="center" w:pos="4680"/>
          <w:tab w:val="right" w:pos="9360"/>
        </w:tabs>
        <w:rPr>
          <w:rFonts w:eastAsiaTheme="minorHAnsi" w:cstheme="minorBidi"/>
          <w:color w:val="000000" w:themeColor="text1"/>
          <w:szCs w:val="24"/>
          <w:lang w:eastAsia="en-US"/>
        </w:rPr>
      </w:pPr>
    </w:p>
    <w:p w:rsidR="000F1B4C" w:rsidRPr="000B2D80" w:rsidRDefault="000F1B4C" w:rsidP="000F1B4C">
      <w:pPr>
        <w:jc w:val="center"/>
        <w:rPr>
          <w:rFonts w:eastAsiaTheme="minorHAnsi" w:cstheme="minorBidi"/>
          <w:b/>
          <w:color w:val="000000" w:themeColor="text1"/>
          <w:szCs w:val="24"/>
          <w:lang w:eastAsia="en-US"/>
        </w:rPr>
      </w:pPr>
      <w:r w:rsidRPr="000B2D80">
        <w:rPr>
          <w:rFonts w:eastAsiaTheme="minorHAnsi" w:cstheme="minorBidi"/>
          <w:b/>
          <w:color w:val="000000" w:themeColor="text1"/>
          <w:szCs w:val="24"/>
          <w:lang w:eastAsia="en-US"/>
        </w:rPr>
        <w:t>SUPREME COURT OF CANADA</w:t>
      </w:r>
    </w:p>
    <w:p w:rsidR="000F1B4C" w:rsidRPr="000B2D80" w:rsidRDefault="000F1B4C" w:rsidP="000F1B4C">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F1B4C" w:rsidRPr="000B2D80" w:rsidTr="00666EE5">
        <w:trPr>
          <w:cantSplit/>
        </w:trPr>
        <w:tc>
          <w:tcPr>
            <w:tcW w:w="6768" w:type="dxa"/>
          </w:tcPr>
          <w:p w:rsidR="000F1B4C" w:rsidRPr="000F1B4C" w:rsidRDefault="000F1B4C" w:rsidP="00666EE5">
            <w:pPr>
              <w:rPr>
                <w:color w:val="000000" w:themeColor="text1"/>
                <w:lang w:val="fr-CA"/>
              </w:rPr>
            </w:pPr>
            <w:r w:rsidRPr="000B2D80">
              <w:rPr>
                <w:b/>
                <w:smallCaps/>
                <w:color w:val="000000" w:themeColor="text1"/>
                <w:lang w:val="fr-CA"/>
              </w:rPr>
              <w:t>Citation:</w:t>
            </w:r>
            <w:r w:rsidRPr="000B2D80">
              <w:rPr>
                <w:color w:val="000000" w:themeColor="text1"/>
                <w:lang w:val="fr-CA"/>
              </w:rPr>
              <w:t xml:space="preserve"> R. </w:t>
            </w:r>
            <w:r w:rsidRPr="000B2D80">
              <w:rPr>
                <w:i/>
                <w:color w:val="000000" w:themeColor="text1"/>
                <w:lang w:val="fr-CA"/>
              </w:rPr>
              <w:t>v.</w:t>
            </w:r>
            <w:r w:rsidRPr="000B2D80">
              <w:rPr>
                <w:color w:val="000000" w:themeColor="text1"/>
                <w:lang w:val="fr-CA"/>
              </w:rPr>
              <w:t xml:space="preserve"> </w:t>
            </w:r>
            <w:proofErr w:type="spellStart"/>
            <w:r w:rsidRPr="000B2D80">
              <w:rPr>
                <w:color w:val="000000" w:themeColor="text1"/>
                <w:lang w:val="fr-CA"/>
              </w:rPr>
              <w:t>Vuradin</w:t>
            </w:r>
            <w:proofErr w:type="spellEnd"/>
            <w:r w:rsidRPr="000B2D80">
              <w:rPr>
                <w:color w:val="000000" w:themeColor="text1"/>
                <w:lang w:val="fr-CA"/>
              </w:rPr>
              <w:t xml:space="preserve">, </w:t>
            </w:r>
            <w:r w:rsidRPr="000F1B4C">
              <w:rPr>
                <w:lang w:val="fr-CA"/>
              </w:rPr>
              <w:t>2013 SCC 38, [2013] 2 S.C.R. 639</w:t>
            </w:r>
          </w:p>
        </w:tc>
        <w:tc>
          <w:tcPr>
            <w:tcW w:w="2808" w:type="dxa"/>
          </w:tcPr>
          <w:p w:rsidR="000F1B4C" w:rsidRPr="000B2D80" w:rsidRDefault="000F1B4C" w:rsidP="00666EE5">
            <w:pPr>
              <w:rPr>
                <w:color w:val="000000" w:themeColor="text1"/>
              </w:rPr>
            </w:pPr>
            <w:r w:rsidRPr="000B2D80">
              <w:rPr>
                <w:b/>
                <w:smallCaps/>
                <w:color w:val="000000" w:themeColor="text1"/>
              </w:rPr>
              <w:t>Date:</w:t>
            </w:r>
            <w:r w:rsidRPr="000B2D80">
              <w:rPr>
                <w:color w:val="000000" w:themeColor="text1"/>
              </w:rPr>
              <w:t xml:space="preserve"> 20130627</w:t>
            </w:r>
          </w:p>
          <w:p w:rsidR="000F1B4C" w:rsidRPr="000B2D80" w:rsidRDefault="000F1B4C" w:rsidP="00666EE5">
            <w:pPr>
              <w:rPr>
                <w:color w:val="000000" w:themeColor="text1"/>
              </w:rPr>
            </w:pPr>
            <w:r w:rsidRPr="000B2D80">
              <w:rPr>
                <w:b/>
                <w:smallCaps/>
                <w:color w:val="000000" w:themeColor="text1"/>
              </w:rPr>
              <w:t>Docket:</w:t>
            </w:r>
            <w:r w:rsidRPr="000B2D80">
              <w:rPr>
                <w:color w:val="000000" w:themeColor="text1"/>
              </w:rPr>
              <w:t xml:space="preserve"> 35143</w:t>
            </w:r>
          </w:p>
        </w:tc>
      </w:tr>
    </w:tbl>
    <w:p w:rsidR="000F1B4C" w:rsidRPr="000B2D80" w:rsidRDefault="000F1B4C" w:rsidP="000F1B4C">
      <w:pPr>
        <w:rPr>
          <w:rFonts w:eastAsiaTheme="minorHAnsi" w:cstheme="minorBidi"/>
          <w:color w:val="000000" w:themeColor="text1"/>
          <w:szCs w:val="24"/>
          <w:lang w:eastAsia="en-US"/>
        </w:rPr>
      </w:pPr>
    </w:p>
    <w:p w:rsidR="000F1B4C" w:rsidRPr="000B2D80" w:rsidRDefault="000F1B4C" w:rsidP="000F1B4C">
      <w:pPr>
        <w:rPr>
          <w:rFonts w:eastAsiaTheme="minorHAnsi" w:cstheme="minorBidi"/>
          <w:b/>
          <w:smallCaps/>
          <w:color w:val="000000" w:themeColor="text1"/>
          <w:szCs w:val="24"/>
          <w:lang w:eastAsia="en-US"/>
        </w:rPr>
      </w:pPr>
      <w:r w:rsidRPr="000B2D80">
        <w:rPr>
          <w:rFonts w:eastAsiaTheme="minorHAnsi" w:cstheme="minorBidi"/>
          <w:b/>
          <w:smallCaps/>
          <w:color w:val="000000" w:themeColor="text1"/>
          <w:szCs w:val="24"/>
          <w:lang w:eastAsia="en-US"/>
        </w:rPr>
        <w:t>Between:</w:t>
      </w:r>
    </w:p>
    <w:p w:rsidR="000F1B4C" w:rsidRPr="000B2D80" w:rsidRDefault="000F1B4C" w:rsidP="000F1B4C">
      <w:pPr>
        <w:jc w:val="center"/>
        <w:rPr>
          <w:rFonts w:eastAsiaTheme="minorHAnsi" w:cstheme="minorBidi"/>
          <w:b/>
          <w:color w:val="000000" w:themeColor="text1"/>
          <w:szCs w:val="24"/>
          <w:lang w:eastAsia="en-US"/>
        </w:rPr>
      </w:pPr>
      <w:r w:rsidRPr="000B2D80">
        <w:rPr>
          <w:rFonts w:eastAsiaTheme="minorHAnsi" w:cstheme="minorBidi"/>
          <w:b/>
          <w:color w:val="000000" w:themeColor="text1"/>
          <w:szCs w:val="24"/>
          <w:lang w:eastAsia="en-US"/>
        </w:rPr>
        <w:t xml:space="preserve">Fabian </w:t>
      </w:r>
      <w:proofErr w:type="spellStart"/>
      <w:r w:rsidRPr="000B2D80">
        <w:rPr>
          <w:rFonts w:eastAsiaTheme="minorHAnsi" w:cstheme="minorBidi"/>
          <w:b/>
          <w:color w:val="000000" w:themeColor="text1"/>
          <w:szCs w:val="24"/>
          <w:lang w:eastAsia="en-US"/>
        </w:rPr>
        <w:t>Vuradin</w:t>
      </w:r>
      <w:proofErr w:type="spellEnd"/>
    </w:p>
    <w:p w:rsidR="000F1B4C" w:rsidRPr="000B2D80" w:rsidRDefault="000F1B4C" w:rsidP="000F1B4C">
      <w:pPr>
        <w:jc w:val="center"/>
        <w:rPr>
          <w:rFonts w:eastAsiaTheme="minorHAnsi" w:cstheme="minorBidi"/>
          <w:color w:val="000000" w:themeColor="text1"/>
          <w:szCs w:val="24"/>
          <w:lang w:eastAsia="en-US"/>
        </w:rPr>
      </w:pPr>
      <w:r w:rsidRPr="000B2D80">
        <w:rPr>
          <w:rFonts w:eastAsiaTheme="minorHAnsi" w:cstheme="minorBidi"/>
          <w:color w:val="000000" w:themeColor="text1"/>
          <w:szCs w:val="24"/>
          <w:lang w:eastAsia="en-US"/>
        </w:rPr>
        <w:t>Appellant</w:t>
      </w:r>
    </w:p>
    <w:p w:rsidR="000F1B4C" w:rsidRPr="000B2D80" w:rsidRDefault="000F1B4C" w:rsidP="000F1B4C">
      <w:pPr>
        <w:jc w:val="center"/>
        <w:rPr>
          <w:rFonts w:eastAsiaTheme="minorHAnsi" w:cstheme="minorBidi"/>
          <w:color w:val="000000" w:themeColor="text1"/>
          <w:szCs w:val="24"/>
          <w:lang w:eastAsia="en-US"/>
        </w:rPr>
      </w:pPr>
      <w:proofErr w:type="gramStart"/>
      <w:r w:rsidRPr="000B2D80">
        <w:rPr>
          <w:rFonts w:eastAsiaTheme="minorHAnsi" w:cstheme="minorBidi"/>
          <w:color w:val="000000" w:themeColor="text1"/>
          <w:szCs w:val="24"/>
          <w:lang w:eastAsia="en-US"/>
        </w:rPr>
        <w:t>and</w:t>
      </w:r>
      <w:proofErr w:type="gramEnd"/>
    </w:p>
    <w:p w:rsidR="000F1B4C" w:rsidRPr="000B2D80" w:rsidRDefault="000F1B4C" w:rsidP="000F1B4C">
      <w:pPr>
        <w:jc w:val="center"/>
        <w:rPr>
          <w:rFonts w:eastAsiaTheme="minorHAnsi" w:cstheme="minorBidi"/>
          <w:b/>
          <w:color w:val="000000" w:themeColor="text1"/>
          <w:szCs w:val="24"/>
          <w:lang w:eastAsia="en-US"/>
        </w:rPr>
      </w:pPr>
      <w:r w:rsidRPr="000B2D80">
        <w:rPr>
          <w:rFonts w:eastAsiaTheme="minorHAnsi" w:cstheme="minorBidi"/>
          <w:b/>
          <w:color w:val="000000" w:themeColor="text1"/>
          <w:szCs w:val="24"/>
          <w:lang w:eastAsia="en-US"/>
        </w:rPr>
        <w:t xml:space="preserve">Her Majesty </w:t>
      </w:r>
      <w:proofErr w:type="gramStart"/>
      <w:r w:rsidRPr="000B2D80">
        <w:rPr>
          <w:rFonts w:eastAsiaTheme="minorHAnsi" w:cstheme="minorBidi"/>
          <w:b/>
          <w:color w:val="000000" w:themeColor="text1"/>
          <w:szCs w:val="24"/>
          <w:lang w:eastAsia="en-US"/>
        </w:rPr>
        <w:t>The</w:t>
      </w:r>
      <w:proofErr w:type="gramEnd"/>
      <w:r w:rsidRPr="000B2D80">
        <w:rPr>
          <w:rFonts w:eastAsiaTheme="minorHAnsi" w:cstheme="minorBidi"/>
          <w:b/>
          <w:color w:val="000000" w:themeColor="text1"/>
          <w:szCs w:val="24"/>
          <w:lang w:eastAsia="en-US"/>
        </w:rPr>
        <w:t xml:space="preserve"> Queen</w:t>
      </w:r>
    </w:p>
    <w:p w:rsidR="000F1B4C" w:rsidRPr="000B2D80" w:rsidRDefault="000F1B4C" w:rsidP="000F1B4C">
      <w:pPr>
        <w:jc w:val="center"/>
        <w:rPr>
          <w:rFonts w:eastAsiaTheme="minorHAnsi" w:cstheme="minorBidi"/>
          <w:color w:val="000000" w:themeColor="text1"/>
          <w:szCs w:val="24"/>
          <w:lang w:eastAsia="en-US"/>
        </w:rPr>
      </w:pPr>
      <w:r w:rsidRPr="000B2D80">
        <w:rPr>
          <w:rFonts w:eastAsiaTheme="minorHAnsi" w:cstheme="minorBidi"/>
          <w:color w:val="000000" w:themeColor="text1"/>
          <w:szCs w:val="24"/>
          <w:lang w:eastAsia="en-US"/>
        </w:rPr>
        <w:t>Respondent</w:t>
      </w:r>
    </w:p>
    <w:p w:rsidR="000F1B4C" w:rsidRPr="000B2D80" w:rsidRDefault="000F1B4C" w:rsidP="000F1B4C">
      <w:pPr>
        <w:rPr>
          <w:rFonts w:eastAsiaTheme="minorHAnsi" w:cstheme="minorBidi"/>
          <w:color w:val="000000" w:themeColor="text1"/>
          <w:szCs w:val="24"/>
          <w:lang w:eastAsia="en-US"/>
        </w:rPr>
      </w:pPr>
    </w:p>
    <w:p w:rsidR="000F1B4C" w:rsidRPr="000B2D80" w:rsidRDefault="000F1B4C" w:rsidP="000F1B4C">
      <w:pPr>
        <w:rPr>
          <w:rFonts w:eastAsiaTheme="minorHAnsi" w:cstheme="minorBidi"/>
          <w:color w:val="000000" w:themeColor="text1"/>
          <w:szCs w:val="24"/>
          <w:lang w:eastAsia="en-US"/>
        </w:rPr>
      </w:pPr>
    </w:p>
    <w:p w:rsidR="000F1B4C" w:rsidRPr="000B2D80" w:rsidRDefault="000F1B4C" w:rsidP="000F1B4C">
      <w:pPr>
        <w:rPr>
          <w:rFonts w:eastAsiaTheme="minorHAnsi" w:cstheme="minorBidi"/>
          <w:color w:val="000000" w:themeColor="text1"/>
          <w:szCs w:val="24"/>
          <w:lang w:eastAsia="en-US"/>
        </w:rPr>
      </w:pPr>
      <w:r w:rsidRPr="000B2D80">
        <w:rPr>
          <w:rFonts w:eastAsiaTheme="minorHAnsi" w:cstheme="minorBidi"/>
          <w:b/>
          <w:smallCaps/>
          <w:color w:val="000000" w:themeColor="text1"/>
          <w:szCs w:val="24"/>
          <w:lang w:eastAsia="en-US"/>
        </w:rPr>
        <w:t>Coram:</w:t>
      </w:r>
      <w:r w:rsidRPr="000B2D80">
        <w:rPr>
          <w:rFonts w:eastAsiaTheme="minorHAnsi" w:cstheme="minorBidi"/>
          <w:color w:val="000000" w:themeColor="text1"/>
          <w:szCs w:val="24"/>
          <w:lang w:eastAsia="en-US"/>
        </w:rPr>
        <w:t xml:space="preserve"> Fish, Rothstein, Cromwell, </w:t>
      </w:r>
      <w:proofErr w:type="spellStart"/>
      <w:r w:rsidRPr="000B2D80">
        <w:rPr>
          <w:rFonts w:eastAsiaTheme="minorHAnsi" w:cstheme="minorBidi"/>
          <w:color w:val="000000" w:themeColor="text1"/>
          <w:szCs w:val="24"/>
          <w:lang w:eastAsia="en-US"/>
        </w:rPr>
        <w:t>Moldaver</w:t>
      </w:r>
      <w:proofErr w:type="spellEnd"/>
      <w:r w:rsidRPr="000B2D80">
        <w:rPr>
          <w:rFonts w:eastAsiaTheme="minorHAnsi" w:cstheme="minorBidi"/>
          <w:color w:val="000000" w:themeColor="text1"/>
          <w:szCs w:val="24"/>
          <w:lang w:eastAsia="en-US"/>
        </w:rPr>
        <w:t xml:space="preserve"> and </w:t>
      </w:r>
      <w:proofErr w:type="spellStart"/>
      <w:r w:rsidRPr="000B2D80">
        <w:rPr>
          <w:rFonts w:eastAsiaTheme="minorHAnsi" w:cstheme="minorBidi"/>
          <w:color w:val="000000" w:themeColor="text1"/>
          <w:szCs w:val="24"/>
          <w:lang w:eastAsia="en-US"/>
        </w:rPr>
        <w:t>Karakatsanis</w:t>
      </w:r>
      <w:proofErr w:type="spellEnd"/>
      <w:r w:rsidRPr="000B2D80">
        <w:rPr>
          <w:rFonts w:eastAsiaTheme="minorHAnsi" w:cstheme="minorBidi"/>
          <w:color w:val="000000" w:themeColor="text1"/>
          <w:szCs w:val="24"/>
          <w:lang w:eastAsia="en-US"/>
        </w:rPr>
        <w:t> JJ.</w:t>
      </w:r>
    </w:p>
    <w:p w:rsidR="000F1B4C" w:rsidRPr="000B2D80" w:rsidRDefault="000F1B4C" w:rsidP="000F1B4C">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F1B4C" w:rsidRPr="000B2D80" w:rsidTr="00666EE5">
        <w:trPr>
          <w:cantSplit/>
        </w:trPr>
        <w:tc>
          <w:tcPr>
            <w:tcW w:w="3618" w:type="dxa"/>
          </w:tcPr>
          <w:p w:rsidR="000F1B4C" w:rsidRPr="000B2D80" w:rsidRDefault="000F1B4C" w:rsidP="00666EE5">
            <w:pPr>
              <w:rPr>
                <w:b/>
                <w:smallCaps/>
                <w:color w:val="000000" w:themeColor="text1"/>
              </w:rPr>
            </w:pPr>
            <w:r w:rsidRPr="000B2D80">
              <w:rPr>
                <w:b/>
                <w:smallCaps/>
                <w:color w:val="000000" w:themeColor="text1"/>
              </w:rPr>
              <w:t>Reasons for Judgment:</w:t>
            </w:r>
          </w:p>
          <w:p w:rsidR="000F1B4C" w:rsidRPr="000B2D80" w:rsidRDefault="000F1B4C" w:rsidP="00666EE5">
            <w:pPr>
              <w:rPr>
                <w:color w:val="000000" w:themeColor="text1"/>
              </w:rPr>
            </w:pPr>
            <w:r w:rsidRPr="000B2D80">
              <w:rPr>
                <w:color w:val="000000" w:themeColor="text1"/>
              </w:rPr>
              <w:t>(</w:t>
            </w:r>
            <w:proofErr w:type="spellStart"/>
            <w:r w:rsidRPr="000B2D80">
              <w:rPr>
                <w:color w:val="000000" w:themeColor="text1"/>
              </w:rPr>
              <w:t>paras</w:t>
            </w:r>
            <w:proofErr w:type="spellEnd"/>
            <w:r w:rsidRPr="000B2D80">
              <w:rPr>
                <w:color w:val="000000" w:themeColor="text1"/>
              </w:rPr>
              <w:t>. 1 to 29)</w:t>
            </w:r>
          </w:p>
        </w:tc>
        <w:tc>
          <w:tcPr>
            <w:tcW w:w="5958" w:type="dxa"/>
          </w:tcPr>
          <w:p w:rsidR="000F1B4C" w:rsidRPr="000B2D80" w:rsidRDefault="000F1B4C" w:rsidP="00666EE5">
            <w:pPr>
              <w:rPr>
                <w:color w:val="000000" w:themeColor="text1"/>
              </w:rPr>
            </w:pPr>
            <w:proofErr w:type="spellStart"/>
            <w:r w:rsidRPr="000B2D80">
              <w:rPr>
                <w:color w:val="000000" w:themeColor="text1"/>
              </w:rPr>
              <w:t>Karakatsanis</w:t>
            </w:r>
            <w:proofErr w:type="spellEnd"/>
            <w:r w:rsidRPr="000B2D80">
              <w:rPr>
                <w:color w:val="000000" w:themeColor="text1"/>
              </w:rPr>
              <w:t xml:space="preserve"> J. (Fish, Rothstein, Cromwell and </w:t>
            </w:r>
            <w:proofErr w:type="spellStart"/>
            <w:r w:rsidRPr="000B2D80">
              <w:rPr>
                <w:color w:val="000000" w:themeColor="text1"/>
              </w:rPr>
              <w:t>Moldaver</w:t>
            </w:r>
            <w:proofErr w:type="spellEnd"/>
            <w:r w:rsidRPr="000B2D80">
              <w:rPr>
                <w:color w:val="000000" w:themeColor="text1"/>
              </w:rPr>
              <w:t xml:space="preserve"> JJ. concurring)</w:t>
            </w:r>
          </w:p>
        </w:tc>
      </w:tr>
    </w:tbl>
    <w:p w:rsidR="000F1B4C" w:rsidRPr="000B2D80" w:rsidRDefault="000F1B4C" w:rsidP="000F1B4C">
      <w:pPr>
        <w:rPr>
          <w:rFonts w:eastAsiaTheme="minorHAnsi" w:cstheme="minorBidi"/>
          <w:color w:val="000000" w:themeColor="text1"/>
          <w:szCs w:val="24"/>
          <w:lang w:eastAsia="en-US"/>
        </w:rPr>
      </w:pPr>
    </w:p>
    <w:p w:rsidR="000F1B4C" w:rsidRPr="000B2D80" w:rsidRDefault="000F1B4C" w:rsidP="000F1B4C">
      <w:pPr>
        <w:rPr>
          <w:rFonts w:eastAsiaTheme="minorHAnsi" w:cstheme="minorBidi"/>
          <w:color w:val="000000" w:themeColor="text1"/>
          <w:szCs w:val="24"/>
          <w:lang w:eastAsia="en-US"/>
        </w:rPr>
      </w:pPr>
    </w:p>
    <w:p w:rsidR="000F1B4C" w:rsidRPr="000B2D80" w:rsidRDefault="000F1B4C" w:rsidP="000F1B4C">
      <w:pPr>
        <w:rPr>
          <w:rFonts w:eastAsiaTheme="minorHAnsi" w:cstheme="minorBidi"/>
          <w:color w:val="000000" w:themeColor="text1"/>
          <w:szCs w:val="24"/>
          <w:lang w:eastAsia="en-US"/>
        </w:rPr>
      </w:pPr>
      <w:r w:rsidRPr="002A2F92">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F1B4C" w:rsidRPr="00AD080F" w:rsidRDefault="000F1B4C" w:rsidP="000F1B4C">
      <w:pPr>
        <w:rPr>
          <w:smallCaps/>
          <w:color w:val="000000" w:themeColor="text1"/>
        </w:rPr>
      </w:pPr>
      <w:r w:rsidRPr="00AD080F">
        <w:rPr>
          <w:smallCaps/>
          <w:color w:val="000000" w:themeColor="text1"/>
        </w:rPr>
        <w:br w:type="page"/>
      </w:r>
    </w:p>
    <w:p w:rsidR="008322BD" w:rsidRPr="00991DA3" w:rsidRDefault="00991DA3" w:rsidP="00031604">
      <w:pPr>
        <w:spacing w:after="720"/>
        <w:jc w:val="both"/>
      </w:pPr>
      <w:r>
        <w:lastRenderedPageBreak/>
        <w:t>R</w:t>
      </w:r>
      <w:r w:rsidR="001700DF" w:rsidRPr="00991DA3">
        <w:t xml:space="preserve">. </w:t>
      </w:r>
      <w:r w:rsidR="001700DF" w:rsidRPr="00991DA3">
        <w:rPr>
          <w:i/>
        </w:rPr>
        <w:t>v.</w:t>
      </w:r>
      <w:r w:rsidR="001700DF" w:rsidRPr="00991DA3">
        <w:t xml:space="preserve"> </w:t>
      </w:r>
      <w:proofErr w:type="spellStart"/>
      <w:r>
        <w:t>V</w:t>
      </w:r>
      <w:r w:rsidR="008F78E9" w:rsidRPr="00991DA3">
        <w:t>uradin</w:t>
      </w:r>
      <w:proofErr w:type="spellEnd"/>
      <w:r>
        <w:t>, 2013 SCC 38, [2013] 2 S.C.R. 639</w:t>
      </w:r>
    </w:p>
    <w:p w:rsidR="007133EE" w:rsidRPr="00442D9C" w:rsidRDefault="00C6296A" w:rsidP="00031604">
      <w:pPr>
        <w:pStyle w:val="SCCLsocLastPartyInRole"/>
      </w:pPr>
      <w:r w:rsidRPr="00442D9C">
        <w:t xml:space="preserve">Fabian </w:t>
      </w:r>
      <w:proofErr w:type="spellStart"/>
      <w:r w:rsidRPr="00442D9C">
        <w:t>Vuradin</w:t>
      </w:r>
      <w:proofErr w:type="spellEnd"/>
      <w:r w:rsidRPr="00442D9C">
        <w:rPr>
          <w:rStyle w:val="SCCLsocPartyRole"/>
        </w:rPr>
        <w:tab/>
        <w:t>Appellant</w:t>
      </w:r>
    </w:p>
    <w:p w:rsidR="007133EE" w:rsidRPr="00442D9C" w:rsidRDefault="00C6296A" w:rsidP="00031604">
      <w:pPr>
        <w:pStyle w:val="SCCLsocVersus"/>
      </w:pPr>
      <w:proofErr w:type="gramStart"/>
      <w:r w:rsidRPr="00442D9C">
        <w:t>v</w:t>
      </w:r>
      <w:proofErr w:type="gramEnd"/>
      <w:r w:rsidRPr="00442D9C">
        <w:t>.</w:t>
      </w:r>
    </w:p>
    <w:p w:rsidR="007133EE" w:rsidRPr="00442D9C" w:rsidRDefault="001700DF" w:rsidP="00031604">
      <w:pPr>
        <w:pStyle w:val="SCCLsocLastPartyInRole"/>
      </w:pPr>
      <w:r w:rsidRPr="00442D9C">
        <w:t xml:space="preserve">Her Majesty </w:t>
      </w:r>
      <w:proofErr w:type="gramStart"/>
      <w:r w:rsidRPr="00442D9C">
        <w:t>T</w:t>
      </w:r>
      <w:r w:rsidR="00C6296A" w:rsidRPr="00442D9C">
        <w:t>he</w:t>
      </w:r>
      <w:proofErr w:type="gramEnd"/>
      <w:r w:rsidR="00C6296A" w:rsidRPr="00442D9C">
        <w:t xml:space="preserve"> Queen</w:t>
      </w:r>
      <w:r w:rsidR="00C6296A" w:rsidRPr="00442D9C">
        <w:rPr>
          <w:rStyle w:val="SCCLsocPartyRole"/>
        </w:rPr>
        <w:tab/>
        <w:t>Respondent</w:t>
      </w:r>
    </w:p>
    <w:p w:rsidR="00426659" w:rsidRPr="00442D9C" w:rsidRDefault="00426659" w:rsidP="00031604">
      <w:pPr>
        <w:spacing w:after="720"/>
        <w:jc w:val="both"/>
        <w:rPr>
          <w:b/>
        </w:rPr>
      </w:pPr>
      <w:r w:rsidRPr="00442D9C">
        <w:rPr>
          <w:b/>
        </w:rPr>
        <w:t xml:space="preserve">Indexed as:  </w:t>
      </w:r>
      <w:r w:rsidR="001700DF" w:rsidRPr="00442D9C">
        <w:rPr>
          <w:b/>
        </w:rPr>
        <w:t xml:space="preserve">R. </w:t>
      </w:r>
      <w:r w:rsidR="001700DF" w:rsidRPr="00442D9C">
        <w:rPr>
          <w:b/>
          <w:i/>
        </w:rPr>
        <w:t>v.</w:t>
      </w:r>
      <w:r w:rsidR="001700DF" w:rsidRPr="00442D9C">
        <w:rPr>
          <w:b/>
        </w:rPr>
        <w:t xml:space="preserve"> </w:t>
      </w:r>
      <w:proofErr w:type="spellStart"/>
      <w:r w:rsidRPr="00442D9C">
        <w:rPr>
          <w:b/>
        </w:rPr>
        <w:t>Vuradin</w:t>
      </w:r>
      <w:proofErr w:type="spellEnd"/>
    </w:p>
    <w:p w:rsidR="00426659" w:rsidRPr="00442D9C" w:rsidRDefault="004F36FF" w:rsidP="00031604">
      <w:pPr>
        <w:pStyle w:val="SCCSystemYear"/>
        <w:spacing w:after="720"/>
        <w:jc w:val="both"/>
      </w:pPr>
      <w:r w:rsidRPr="00442D9C">
        <w:t>2013</w:t>
      </w:r>
      <w:r w:rsidR="003D0399" w:rsidRPr="00442D9C">
        <w:t xml:space="preserve"> </w:t>
      </w:r>
      <w:r w:rsidR="0037086A" w:rsidRPr="00442D9C">
        <w:t>SCC 38</w:t>
      </w:r>
    </w:p>
    <w:p w:rsidR="008322BD" w:rsidRPr="00442D9C" w:rsidRDefault="00031604" w:rsidP="00031604">
      <w:pPr>
        <w:spacing w:after="720"/>
        <w:jc w:val="both"/>
      </w:pPr>
      <w:r w:rsidRPr="00442D9C">
        <w:t>File No.:  </w:t>
      </w:r>
      <w:r w:rsidR="009B57B3" w:rsidRPr="00442D9C">
        <w:t>35143.</w:t>
      </w:r>
    </w:p>
    <w:p w:rsidR="008322BD" w:rsidRPr="00442D9C" w:rsidRDefault="00031604" w:rsidP="00031604">
      <w:pPr>
        <w:spacing w:after="720"/>
        <w:jc w:val="both"/>
      </w:pPr>
      <w:r w:rsidRPr="00442D9C">
        <w:t>2013:  May </w:t>
      </w:r>
      <w:r w:rsidR="004F36FF" w:rsidRPr="00442D9C">
        <w:t>16</w:t>
      </w:r>
      <w:r w:rsidR="009B57B3" w:rsidRPr="00442D9C">
        <w:t xml:space="preserve">; </w:t>
      </w:r>
      <w:r w:rsidR="00D84823" w:rsidRPr="00442D9C">
        <w:t>2013:</w:t>
      </w:r>
      <w:r w:rsidRPr="00442D9C">
        <w:t>  June </w:t>
      </w:r>
      <w:r w:rsidR="00D84823" w:rsidRPr="00442D9C">
        <w:t>27</w:t>
      </w:r>
      <w:r w:rsidR="009B57B3" w:rsidRPr="00442D9C">
        <w:t>.</w:t>
      </w:r>
    </w:p>
    <w:p w:rsidR="008322BD" w:rsidRPr="00442D9C" w:rsidRDefault="009B57B3" w:rsidP="00031604">
      <w:pPr>
        <w:spacing w:after="720"/>
        <w:jc w:val="both"/>
      </w:pPr>
      <w:r w:rsidRPr="00442D9C">
        <w:t xml:space="preserve">Present:  Fish, Rothstein, Cromwell, </w:t>
      </w:r>
      <w:proofErr w:type="spellStart"/>
      <w:r w:rsidRPr="00442D9C">
        <w:t>Moldaver</w:t>
      </w:r>
      <w:proofErr w:type="spellEnd"/>
      <w:r w:rsidRPr="00442D9C">
        <w:t xml:space="preserve"> and </w:t>
      </w:r>
      <w:proofErr w:type="spellStart"/>
      <w:r w:rsidRPr="00442D9C">
        <w:t>Karakatsanis</w:t>
      </w:r>
      <w:proofErr w:type="spellEnd"/>
      <w:r w:rsidRPr="00442D9C">
        <w:t> JJ.</w:t>
      </w:r>
    </w:p>
    <w:p w:rsidR="008322BD" w:rsidRPr="00442D9C" w:rsidRDefault="00656313" w:rsidP="00031604">
      <w:pPr>
        <w:pStyle w:val="SCCLowerCourtNameLowercase"/>
        <w:spacing w:after="720" w:line="240" w:lineRule="auto"/>
      </w:pPr>
      <w:r w:rsidRPr="00442D9C">
        <w:t>o</w:t>
      </w:r>
      <w:r w:rsidR="00170592" w:rsidRPr="00442D9C">
        <w:t>n</w:t>
      </w:r>
      <w:r w:rsidR="00224FC0" w:rsidRPr="00442D9C">
        <w:t xml:space="preserve"> </w:t>
      </w:r>
      <w:r w:rsidRPr="00442D9C">
        <w:t>a</w:t>
      </w:r>
      <w:r w:rsidR="00170592" w:rsidRPr="00442D9C">
        <w:t>ppeal</w:t>
      </w:r>
      <w:r w:rsidR="00224FC0" w:rsidRPr="00442D9C">
        <w:t xml:space="preserve"> </w:t>
      </w:r>
      <w:r w:rsidR="00170592" w:rsidRPr="00442D9C">
        <w:t>from</w:t>
      </w:r>
      <w:r w:rsidR="009567AA" w:rsidRPr="00442D9C">
        <w:t xml:space="preserve"> the</w:t>
      </w:r>
      <w:r w:rsidR="00224FC0" w:rsidRPr="00442D9C">
        <w:t xml:space="preserve"> </w:t>
      </w:r>
      <w:r w:rsidR="001700DF" w:rsidRPr="00442D9C">
        <w:t xml:space="preserve">court of appeal </w:t>
      </w:r>
      <w:r w:rsidR="009B57B3" w:rsidRPr="00442D9C">
        <w:t>f</w:t>
      </w:r>
      <w:r w:rsidR="001700DF" w:rsidRPr="00442D9C">
        <w:t>or</w:t>
      </w:r>
      <w:r w:rsidR="009B57B3" w:rsidRPr="00442D9C">
        <w:t xml:space="preserve"> </w:t>
      </w:r>
      <w:proofErr w:type="spellStart"/>
      <w:r w:rsidR="009B57B3" w:rsidRPr="00442D9C">
        <w:t>alberta</w:t>
      </w:r>
      <w:proofErr w:type="spellEnd"/>
    </w:p>
    <w:p w:rsidR="00D84823" w:rsidRPr="00442D9C" w:rsidRDefault="00031604" w:rsidP="00031604">
      <w:pPr>
        <w:pStyle w:val="SCCNormalDoubleSpacing"/>
        <w:spacing w:before="480" w:after="480"/>
        <w:rPr>
          <w:i/>
          <w:szCs w:val="24"/>
        </w:rPr>
      </w:pPr>
      <w:r w:rsidRPr="00442D9C">
        <w:rPr>
          <w:i/>
          <w:szCs w:val="24"/>
        </w:rPr>
        <w:tab/>
      </w:r>
      <w:r w:rsidR="00D84823" w:rsidRPr="00442D9C">
        <w:rPr>
          <w:i/>
          <w:szCs w:val="24"/>
        </w:rPr>
        <w:t xml:space="preserve">Criminal law </w:t>
      </w:r>
      <w:r w:rsidR="00B74532" w:rsidRPr="00442D9C">
        <w:rPr>
          <w:i/>
          <w:szCs w:val="24"/>
        </w:rPr>
        <w:t>—</w:t>
      </w:r>
      <w:r w:rsidR="00D84823" w:rsidRPr="00442D9C">
        <w:rPr>
          <w:i/>
          <w:szCs w:val="24"/>
        </w:rPr>
        <w:t xml:space="preserve"> Judgments and orders </w:t>
      </w:r>
      <w:r w:rsidR="00B74532" w:rsidRPr="00442D9C">
        <w:rPr>
          <w:i/>
          <w:szCs w:val="24"/>
        </w:rPr>
        <w:t>—</w:t>
      </w:r>
      <w:r w:rsidR="00D84823" w:rsidRPr="00442D9C">
        <w:rPr>
          <w:i/>
          <w:szCs w:val="24"/>
        </w:rPr>
        <w:t xml:space="preserve"> Sufficiency of reasons </w:t>
      </w:r>
      <w:r w:rsidR="00B74532" w:rsidRPr="00442D9C">
        <w:rPr>
          <w:i/>
          <w:szCs w:val="24"/>
        </w:rPr>
        <w:t>—</w:t>
      </w:r>
      <w:r w:rsidR="00D84823" w:rsidRPr="00442D9C">
        <w:rPr>
          <w:i/>
          <w:szCs w:val="24"/>
        </w:rPr>
        <w:t xml:space="preserve"> Burden of proof </w:t>
      </w:r>
      <w:r w:rsidR="00B74532" w:rsidRPr="00442D9C">
        <w:rPr>
          <w:i/>
          <w:szCs w:val="24"/>
        </w:rPr>
        <w:t>—</w:t>
      </w:r>
      <w:r w:rsidR="00D84823" w:rsidRPr="00442D9C">
        <w:rPr>
          <w:i/>
          <w:szCs w:val="24"/>
        </w:rPr>
        <w:t xml:space="preserve"> Accused convicted of sexual assault and unlawful touching for sexual purpose involving four complainants </w:t>
      </w:r>
      <w:r w:rsidR="00B74532" w:rsidRPr="00442D9C">
        <w:rPr>
          <w:i/>
          <w:szCs w:val="24"/>
        </w:rPr>
        <w:t>—</w:t>
      </w:r>
      <w:r w:rsidR="00D84823" w:rsidRPr="00442D9C">
        <w:rPr>
          <w:i/>
          <w:szCs w:val="24"/>
        </w:rPr>
        <w:t xml:space="preserve"> Whether trial judge’s reasons for judgment sufficient </w:t>
      </w:r>
      <w:r w:rsidR="00B74532" w:rsidRPr="00442D9C">
        <w:rPr>
          <w:i/>
          <w:szCs w:val="24"/>
        </w:rPr>
        <w:t>—</w:t>
      </w:r>
      <w:r w:rsidR="00D84823" w:rsidRPr="00442D9C">
        <w:rPr>
          <w:i/>
          <w:szCs w:val="24"/>
        </w:rPr>
        <w:t xml:space="preserve"> Whether trial judge properly applied burden of proof</w:t>
      </w:r>
      <w:r w:rsidR="0037086A" w:rsidRPr="00442D9C">
        <w:rPr>
          <w:i/>
          <w:szCs w:val="24"/>
        </w:rPr>
        <w:t>.</w:t>
      </w:r>
    </w:p>
    <w:p w:rsidR="00D84823" w:rsidRPr="00442D9C" w:rsidRDefault="00031604" w:rsidP="00031604">
      <w:pPr>
        <w:pStyle w:val="SCCNormalDoubleSpacing"/>
        <w:spacing w:before="480" w:after="480"/>
        <w:rPr>
          <w:szCs w:val="24"/>
        </w:rPr>
      </w:pPr>
      <w:r w:rsidRPr="00442D9C">
        <w:rPr>
          <w:szCs w:val="24"/>
        </w:rPr>
        <w:lastRenderedPageBreak/>
        <w:tab/>
      </w:r>
      <w:r w:rsidR="000E3CC2" w:rsidRPr="00442D9C">
        <w:rPr>
          <w:szCs w:val="24"/>
        </w:rPr>
        <w:t>The issues in this appeal are whether the trial judge’s reasons for judgment were sufficient and whether the trial judge properly applied the burden of proof in a criminal case.</w:t>
      </w:r>
    </w:p>
    <w:p w:rsidR="00D84823" w:rsidRPr="00442D9C" w:rsidRDefault="00D84823" w:rsidP="00031604">
      <w:pPr>
        <w:pStyle w:val="SCCNormalDoubleSpacing"/>
        <w:spacing w:before="480" w:after="480"/>
        <w:rPr>
          <w:szCs w:val="24"/>
        </w:rPr>
      </w:pPr>
      <w:r w:rsidRPr="00442D9C">
        <w:rPr>
          <w:szCs w:val="24"/>
        </w:rPr>
        <w:tab/>
      </w:r>
      <w:r w:rsidRPr="00442D9C">
        <w:rPr>
          <w:i/>
          <w:szCs w:val="24"/>
        </w:rPr>
        <w:t>Held</w:t>
      </w:r>
      <w:r w:rsidRPr="00442D9C">
        <w:rPr>
          <w:szCs w:val="24"/>
        </w:rPr>
        <w:t>:  The appeal should be dismissed.</w:t>
      </w:r>
    </w:p>
    <w:p w:rsidR="00D84823" w:rsidRPr="00442D9C" w:rsidRDefault="00031604" w:rsidP="00031604">
      <w:pPr>
        <w:pStyle w:val="SCCNormalDoubleSpacing"/>
        <w:spacing w:before="480" w:after="480"/>
        <w:rPr>
          <w:szCs w:val="24"/>
        </w:rPr>
      </w:pPr>
      <w:r w:rsidRPr="00442D9C">
        <w:rPr>
          <w:szCs w:val="24"/>
        </w:rPr>
        <w:tab/>
      </w:r>
      <w:r w:rsidR="00D84823" w:rsidRPr="00442D9C">
        <w:rPr>
          <w:szCs w:val="24"/>
        </w:rPr>
        <w:t>The core question in determining whether the trial judge’s reasons are sufficient is whether the reasons, read in context, show why the judge de</w:t>
      </w:r>
      <w:r w:rsidR="000E3CC2" w:rsidRPr="00442D9C">
        <w:rPr>
          <w:szCs w:val="24"/>
        </w:rPr>
        <w:t>cided as he did.  T</w:t>
      </w:r>
      <w:r w:rsidR="00D84823" w:rsidRPr="00442D9C">
        <w:rPr>
          <w:szCs w:val="24"/>
        </w:rPr>
        <w:t xml:space="preserve">he trial judge’s reasons satisfy this threshold.  The reasons allow for meaningful appellate review because they tell the accused why the trial judge decided as he did.  The trial judge found the complainant’s evidence compelling, the problems in her evidence inconsequential, and the </w:t>
      </w:r>
      <w:proofErr w:type="spellStart"/>
      <w:r w:rsidR="00D84823" w:rsidRPr="00442D9C">
        <w:rPr>
          <w:szCs w:val="24"/>
        </w:rPr>
        <w:t>accused’s</w:t>
      </w:r>
      <w:proofErr w:type="spellEnd"/>
      <w:r w:rsidR="00D84823" w:rsidRPr="00442D9C">
        <w:rPr>
          <w:szCs w:val="24"/>
        </w:rPr>
        <w:t xml:space="preserve"> concoction theories speculative.  The reasons reveal that the trial judge accepted the complainant’s evidence where it conflicted with the </w:t>
      </w:r>
      <w:proofErr w:type="spellStart"/>
      <w:r w:rsidR="00D84823" w:rsidRPr="00442D9C">
        <w:rPr>
          <w:szCs w:val="24"/>
        </w:rPr>
        <w:t>accused’s</w:t>
      </w:r>
      <w:proofErr w:type="spellEnd"/>
      <w:r w:rsidR="00D84823" w:rsidRPr="00442D9C">
        <w:rPr>
          <w:szCs w:val="24"/>
        </w:rPr>
        <w:t xml:space="preserve"> evidence.  No further explanation for rejecting the </w:t>
      </w:r>
      <w:proofErr w:type="spellStart"/>
      <w:r w:rsidR="00D84823" w:rsidRPr="00442D9C">
        <w:rPr>
          <w:szCs w:val="24"/>
        </w:rPr>
        <w:t>accused’s</w:t>
      </w:r>
      <w:proofErr w:type="spellEnd"/>
      <w:r w:rsidR="00D84823" w:rsidRPr="00442D9C">
        <w:rPr>
          <w:szCs w:val="24"/>
        </w:rPr>
        <w:t xml:space="preserve"> evidence was required.</w:t>
      </w:r>
    </w:p>
    <w:p w:rsidR="00D84823" w:rsidRPr="00442D9C" w:rsidRDefault="00D84823" w:rsidP="00031604">
      <w:pPr>
        <w:pStyle w:val="SCCNormalDoubleSpacing"/>
        <w:spacing w:before="480" w:after="480"/>
        <w:rPr>
          <w:szCs w:val="24"/>
        </w:rPr>
      </w:pPr>
      <w:r w:rsidRPr="00442D9C">
        <w:rPr>
          <w:szCs w:val="24"/>
        </w:rPr>
        <w:tab/>
        <w:t xml:space="preserve">The trial judge also properly applied the burden of proof.  Although a trial judge is not required to outline the </w:t>
      </w:r>
      <w:r w:rsidRPr="00442D9C">
        <w:rPr>
          <w:i/>
          <w:szCs w:val="24"/>
        </w:rPr>
        <w:t>W</w:t>
      </w:r>
      <w:proofErr w:type="gramStart"/>
      <w:r w:rsidRPr="00442D9C">
        <w:rPr>
          <w:i/>
          <w:szCs w:val="24"/>
        </w:rPr>
        <w:t>.(</w:t>
      </w:r>
      <w:proofErr w:type="gramEnd"/>
      <w:r w:rsidRPr="00442D9C">
        <w:rPr>
          <w:i/>
          <w:szCs w:val="24"/>
        </w:rPr>
        <w:t>D.)</w:t>
      </w:r>
      <w:r w:rsidRPr="00442D9C">
        <w:rPr>
          <w:szCs w:val="24"/>
        </w:rPr>
        <w:t xml:space="preserve"> steps, the trial judge here referred to </w:t>
      </w:r>
      <w:r w:rsidRPr="00442D9C">
        <w:rPr>
          <w:i/>
          <w:szCs w:val="24"/>
        </w:rPr>
        <w:t>W.(D.)</w:t>
      </w:r>
      <w:r w:rsidRPr="00442D9C">
        <w:rPr>
          <w:szCs w:val="24"/>
        </w:rPr>
        <w:t xml:space="preserve"> and the dangers that it addressed:</w:t>
      </w:r>
      <w:r w:rsidR="00576C3C">
        <w:rPr>
          <w:szCs w:val="24"/>
        </w:rPr>
        <w:t xml:space="preserve"> </w:t>
      </w:r>
      <w:r w:rsidRPr="00442D9C">
        <w:rPr>
          <w:szCs w:val="24"/>
        </w:rPr>
        <w:t xml:space="preserve"> the potential for simply comparing stories and for shifting the onus to the accused.  The trial judge’s reasons for </w:t>
      </w:r>
      <w:r w:rsidR="00D60EDC">
        <w:rPr>
          <w:szCs w:val="24"/>
        </w:rPr>
        <w:t xml:space="preserve">finding </w:t>
      </w:r>
      <w:r w:rsidRPr="00442D9C">
        <w:rPr>
          <w:szCs w:val="24"/>
        </w:rPr>
        <w:t xml:space="preserve">the accused </w:t>
      </w:r>
      <w:r w:rsidR="00D60EDC">
        <w:rPr>
          <w:szCs w:val="24"/>
        </w:rPr>
        <w:t xml:space="preserve">guilty </w:t>
      </w:r>
      <w:r w:rsidRPr="00442D9C">
        <w:rPr>
          <w:szCs w:val="24"/>
        </w:rPr>
        <w:t xml:space="preserve">on counts 1 and 2, read in the context of the reasons as a whole, do not reveal an incorrect application of the relevant principles. </w:t>
      </w:r>
      <w:r w:rsidR="00B74532" w:rsidRPr="00442D9C">
        <w:rPr>
          <w:szCs w:val="24"/>
        </w:rPr>
        <w:t xml:space="preserve"> </w:t>
      </w:r>
      <w:r w:rsidRPr="00442D9C">
        <w:rPr>
          <w:szCs w:val="24"/>
        </w:rPr>
        <w:t xml:space="preserve">Here, the accused was not believed.  The Crown’s case was considered with the </w:t>
      </w:r>
      <w:proofErr w:type="spellStart"/>
      <w:r w:rsidRPr="00442D9C">
        <w:rPr>
          <w:szCs w:val="24"/>
        </w:rPr>
        <w:t>accused’s</w:t>
      </w:r>
      <w:proofErr w:type="spellEnd"/>
      <w:r w:rsidRPr="00442D9C">
        <w:rPr>
          <w:szCs w:val="24"/>
        </w:rPr>
        <w:t xml:space="preserve"> denial in mind, and </w:t>
      </w:r>
      <w:r w:rsidRPr="00442D9C">
        <w:rPr>
          <w:szCs w:val="24"/>
        </w:rPr>
        <w:lastRenderedPageBreak/>
        <w:t>the trial judge concluded, as he was entitled to do, that his denial did not raise a reasonable doubt.</w:t>
      </w:r>
    </w:p>
    <w:p w:rsidR="007E1C47" w:rsidRPr="00442D9C" w:rsidRDefault="002E6705" w:rsidP="00031604">
      <w:pPr>
        <w:pStyle w:val="SCCNormalDoubleSpacing"/>
        <w:keepNext/>
        <w:spacing w:before="480" w:after="720" w:line="240" w:lineRule="auto"/>
        <w:rPr>
          <w:b/>
        </w:rPr>
      </w:pPr>
      <w:r w:rsidRPr="00442D9C">
        <w:rPr>
          <w:b/>
        </w:rPr>
        <w:t>Cases Cited</w:t>
      </w:r>
    </w:p>
    <w:p w:rsidR="004E2C26" w:rsidRPr="00442D9C" w:rsidRDefault="002E6705" w:rsidP="00031604">
      <w:pPr>
        <w:pStyle w:val="SCCNormalDoubleSpacing"/>
        <w:spacing w:before="480" w:after="480"/>
      </w:pPr>
      <w:r w:rsidRPr="00442D9C">
        <w:tab/>
      </w:r>
      <w:r w:rsidRPr="00442D9C">
        <w:rPr>
          <w:b/>
        </w:rPr>
        <w:t>Referred to:</w:t>
      </w:r>
      <w:r w:rsidR="00BD0E9E" w:rsidRPr="00442D9C">
        <w:t xml:space="preserve"> </w:t>
      </w:r>
      <w:r w:rsidR="001700DF" w:rsidRPr="00442D9C">
        <w:t xml:space="preserve"> </w:t>
      </w:r>
      <w:r w:rsidR="00E743A2" w:rsidRPr="00442D9C">
        <w:rPr>
          <w:i/>
        </w:rPr>
        <w:t>R. v. R.E.M.</w:t>
      </w:r>
      <w:r w:rsidR="00E743A2" w:rsidRPr="00442D9C">
        <w:t xml:space="preserve">, 2008 SCC 51, [2008] 3 S.C.R. </w:t>
      </w:r>
      <w:r w:rsidR="0087319D" w:rsidRPr="00442D9C">
        <w:t>3</w:t>
      </w:r>
      <w:r w:rsidR="00E743A2" w:rsidRPr="00442D9C">
        <w:t xml:space="preserve">; </w:t>
      </w:r>
      <w:r w:rsidR="00E743A2" w:rsidRPr="00442D9C">
        <w:rPr>
          <w:i/>
        </w:rPr>
        <w:t>R. v. W</w:t>
      </w:r>
      <w:proofErr w:type="gramStart"/>
      <w:r w:rsidR="00E743A2" w:rsidRPr="00442D9C">
        <w:rPr>
          <w:i/>
        </w:rPr>
        <w:t>.(</w:t>
      </w:r>
      <w:proofErr w:type="gramEnd"/>
      <w:r w:rsidR="00E743A2" w:rsidRPr="00442D9C">
        <w:rPr>
          <w:i/>
        </w:rPr>
        <w:t>D.)</w:t>
      </w:r>
      <w:r w:rsidR="00E743A2" w:rsidRPr="00442D9C">
        <w:t xml:space="preserve">, [1991] 1 S.C.R. 742; </w:t>
      </w:r>
      <w:r w:rsidR="00E743A2" w:rsidRPr="00442D9C">
        <w:rPr>
          <w:i/>
        </w:rPr>
        <w:t>R. v. Sheppard</w:t>
      </w:r>
      <w:r w:rsidR="00E743A2" w:rsidRPr="00442D9C">
        <w:t xml:space="preserve">, 2002 SCC 26, [2002] </w:t>
      </w:r>
      <w:r w:rsidR="0087319D" w:rsidRPr="00442D9C">
        <w:t>1</w:t>
      </w:r>
      <w:r w:rsidR="00E743A2" w:rsidRPr="00442D9C">
        <w:t xml:space="preserve"> S.C.R. </w:t>
      </w:r>
      <w:r w:rsidR="0087319D" w:rsidRPr="00442D9C">
        <w:t>869</w:t>
      </w:r>
      <w:r w:rsidR="00E743A2" w:rsidRPr="00442D9C">
        <w:t xml:space="preserve">; </w:t>
      </w:r>
      <w:r w:rsidR="00E743A2" w:rsidRPr="00442D9C">
        <w:rPr>
          <w:i/>
        </w:rPr>
        <w:t xml:space="preserve">R. v. </w:t>
      </w:r>
      <w:proofErr w:type="spellStart"/>
      <w:r w:rsidR="00E743A2" w:rsidRPr="00442D9C">
        <w:rPr>
          <w:i/>
        </w:rPr>
        <w:t>Dinardo</w:t>
      </w:r>
      <w:proofErr w:type="spellEnd"/>
      <w:r w:rsidR="00E743A2" w:rsidRPr="00442D9C">
        <w:t>, 2008 SCC 24</w:t>
      </w:r>
      <w:r w:rsidR="0087319D" w:rsidRPr="00442D9C">
        <w:t>, [2008] 1</w:t>
      </w:r>
      <w:r w:rsidR="00E743A2" w:rsidRPr="00442D9C">
        <w:t xml:space="preserve"> S.C.R. </w:t>
      </w:r>
      <w:r w:rsidR="0087319D" w:rsidRPr="00442D9C">
        <w:t>788</w:t>
      </w:r>
      <w:r w:rsidR="00E743A2" w:rsidRPr="00442D9C">
        <w:t xml:space="preserve">; </w:t>
      </w:r>
      <w:r w:rsidR="00E743A2" w:rsidRPr="00442D9C">
        <w:rPr>
          <w:i/>
        </w:rPr>
        <w:t>R. v. C.L.Y.</w:t>
      </w:r>
      <w:r w:rsidR="00E743A2" w:rsidRPr="00442D9C">
        <w:t xml:space="preserve">, 2008 SCC 2, [2008] 1 S.C.R. </w:t>
      </w:r>
      <w:r w:rsidR="0087319D" w:rsidRPr="00442D9C">
        <w:t>5</w:t>
      </w:r>
      <w:r w:rsidR="00E743A2" w:rsidRPr="00442D9C">
        <w:t xml:space="preserve">; </w:t>
      </w:r>
      <w:r w:rsidR="00E743A2" w:rsidRPr="00442D9C">
        <w:rPr>
          <w:i/>
        </w:rPr>
        <w:t>R. v. Boucher</w:t>
      </w:r>
      <w:r w:rsidR="00E743A2" w:rsidRPr="00442D9C">
        <w:t xml:space="preserve">, 2005 SCC 72, [2005] 3 S.C.R. </w:t>
      </w:r>
      <w:r w:rsidR="0087319D" w:rsidRPr="00442D9C">
        <w:t>499</w:t>
      </w:r>
      <w:r w:rsidR="00E743A2" w:rsidRPr="00442D9C">
        <w:t>.</w:t>
      </w:r>
    </w:p>
    <w:p w:rsidR="00656313" w:rsidRPr="00442D9C" w:rsidRDefault="001700DF" w:rsidP="00282F9E">
      <w:pPr>
        <w:pStyle w:val="SCCNormalDoubleSpacing"/>
      </w:pPr>
      <w:r w:rsidRPr="00442D9C">
        <w:tab/>
      </w:r>
      <w:r w:rsidR="009B57B3" w:rsidRPr="00442D9C">
        <w:t xml:space="preserve">APPEAL from a judgment of the </w:t>
      </w:r>
      <w:r w:rsidRPr="00442D9C">
        <w:t xml:space="preserve">Alberta </w:t>
      </w:r>
      <w:r w:rsidR="009B57B3" w:rsidRPr="00442D9C">
        <w:t>Court of Appeal</w:t>
      </w:r>
      <w:r w:rsidR="009D510D" w:rsidRPr="00442D9C">
        <w:t xml:space="preserve"> (</w:t>
      </w:r>
      <w:proofErr w:type="spellStart"/>
      <w:r w:rsidR="009D510D" w:rsidRPr="00442D9C">
        <w:t>Côté</w:t>
      </w:r>
      <w:proofErr w:type="spellEnd"/>
      <w:r w:rsidR="009D510D" w:rsidRPr="00442D9C">
        <w:t xml:space="preserve">, McDonald and </w:t>
      </w:r>
      <w:proofErr w:type="spellStart"/>
      <w:r w:rsidR="009D510D" w:rsidRPr="00442D9C">
        <w:t>O’Ferrall</w:t>
      </w:r>
      <w:proofErr w:type="spellEnd"/>
      <w:r w:rsidR="00F37394" w:rsidRPr="00442D9C">
        <w:t> </w:t>
      </w:r>
      <w:r w:rsidR="009D510D" w:rsidRPr="00442D9C">
        <w:t>JJ.A.)</w:t>
      </w:r>
      <w:r w:rsidR="00282F9E" w:rsidRPr="00442D9C">
        <w:t>, 2011 ABCA 280, 515 A.R. 25, 55 Alta. L.R. (5th) 45, [2012] 4 W.W.R. 264,</w:t>
      </w:r>
      <w:r w:rsidR="005D17B7" w:rsidRPr="00442D9C">
        <w:t xml:space="preserve"> 532 W.A.C. 25,</w:t>
      </w:r>
      <w:r w:rsidR="00B74532" w:rsidRPr="00442D9C">
        <w:t xml:space="preserve"> [2011] A.J. No. </w:t>
      </w:r>
      <w:r w:rsidR="00282F9E" w:rsidRPr="00442D9C">
        <w:t xml:space="preserve">1057 (QL), 2011 </w:t>
      </w:r>
      <w:proofErr w:type="spellStart"/>
      <w:r w:rsidR="00282F9E" w:rsidRPr="00442D9C">
        <w:t>CarswellAlta</w:t>
      </w:r>
      <w:proofErr w:type="spellEnd"/>
      <w:r w:rsidR="00282F9E" w:rsidRPr="00442D9C">
        <w:t xml:space="preserve"> 1687</w:t>
      </w:r>
      <w:r w:rsidR="00171303" w:rsidRPr="00442D9C">
        <w:t xml:space="preserve">, setting aside three of the </w:t>
      </w:r>
      <w:proofErr w:type="spellStart"/>
      <w:r w:rsidR="00171303" w:rsidRPr="00442D9C">
        <w:t>accused’s</w:t>
      </w:r>
      <w:proofErr w:type="spellEnd"/>
      <w:r w:rsidR="00171303" w:rsidRPr="00442D9C">
        <w:t xml:space="preserve"> convictions and ordering a new tri</w:t>
      </w:r>
      <w:r w:rsidR="00B74532" w:rsidRPr="00442D9C">
        <w:t>al. </w:t>
      </w:r>
      <w:r w:rsidR="00282F9E" w:rsidRPr="00442D9C">
        <w:t xml:space="preserve"> Appeal </w:t>
      </w:r>
      <w:r w:rsidR="00BD7054" w:rsidRPr="00442D9C">
        <w:t>dismissed</w:t>
      </w:r>
      <w:r w:rsidR="00282F9E" w:rsidRPr="00442D9C">
        <w:t>.</w:t>
      </w:r>
    </w:p>
    <w:p w:rsidR="007133EE" w:rsidRPr="00442D9C" w:rsidRDefault="00C6296A" w:rsidP="00031604">
      <w:pPr>
        <w:pStyle w:val="SCCNormalDoubleSpacing"/>
        <w:spacing w:before="480" w:after="480"/>
      </w:pPr>
      <w:r w:rsidRPr="00442D9C">
        <w:rPr>
          <w:i/>
        </w:rPr>
        <w:tab/>
      </w:r>
      <w:proofErr w:type="gramStart"/>
      <w:r w:rsidRPr="00442D9C">
        <w:rPr>
          <w:i/>
        </w:rPr>
        <w:t>Peter</w:t>
      </w:r>
      <w:r w:rsidR="00031604" w:rsidRPr="00442D9C">
        <w:rPr>
          <w:i/>
        </w:rPr>
        <w:t> </w:t>
      </w:r>
      <w:r w:rsidRPr="00442D9C">
        <w:rPr>
          <w:i/>
        </w:rPr>
        <w:t>J. Royal</w:t>
      </w:r>
      <w:r w:rsidRPr="00D5012A">
        <w:t xml:space="preserve">, </w:t>
      </w:r>
      <w:r w:rsidRPr="00442D9C">
        <w:rPr>
          <w:i/>
        </w:rPr>
        <w:t>Q.C.</w:t>
      </w:r>
      <w:r w:rsidR="001700DF" w:rsidRPr="00D5012A">
        <w:t>,</w:t>
      </w:r>
      <w:r w:rsidRPr="00442D9C">
        <w:t xml:space="preserve"> and </w:t>
      </w:r>
      <w:r w:rsidR="00C42145" w:rsidRPr="00442D9C">
        <w:rPr>
          <w:i/>
        </w:rPr>
        <w:t>Tara </w:t>
      </w:r>
      <w:r w:rsidRPr="00442D9C">
        <w:rPr>
          <w:i/>
        </w:rPr>
        <w:t>E. Hayes</w:t>
      </w:r>
      <w:r w:rsidRPr="00442D9C">
        <w:t>, for the appellant.</w:t>
      </w:r>
      <w:proofErr w:type="gramEnd"/>
    </w:p>
    <w:p w:rsidR="008B1175" w:rsidRDefault="00C6296A" w:rsidP="008B1175">
      <w:pPr>
        <w:pStyle w:val="SCCNormalDoubleSpacing"/>
        <w:spacing w:before="480" w:after="480"/>
      </w:pPr>
      <w:r w:rsidRPr="00442D9C">
        <w:rPr>
          <w:i/>
        </w:rPr>
        <w:tab/>
      </w:r>
      <w:proofErr w:type="gramStart"/>
      <w:r w:rsidRPr="00442D9C">
        <w:rPr>
          <w:i/>
        </w:rPr>
        <w:t xml:space="preserve">Joanne </w:t>
      </w:r>
      <w:proofErr w:type="spellStart"/>
      <w:r w:rsidRPr="00442D9C">
        <w:rPr>
          <w:i/>
        </w:rPr>
        <w:t>Dartana</w:t>
      </w:r>
      <w:proofErr w:type="spellEnd"/>
      <w:r w:rsidRPr="00442D9C">
        <w:t>, for the respondent.</w:t>
      </w:r>
      <w:proofErr w:type="gramEnd"/>
    </w:p>
    <w:p w:rsidR="008B1175" w:rsidRDefault="00FD2A2F" w:rsidP="008B1175">
      <w:pPr>
        <w:pStyle w:val="SCCNormalDoubleSpacing"/>
        <w:spacing w:before="480" w:after="480"/>
      </w:pPr>
      <w:r>
        <w:tab/>
        <w:t>The judgment of the Court was delivered by</w:t>
      </w:r>
    </w:p>
    <w:p w:rsidR="008B1175" w:rsidRPr="007844C6" w:rsidRDefault="008B1175" w:rsidP="008B1175">
      <w:pPr>
        <w:pStyle w:val="SCCNormalDoubleSpacing"/>
        <w:spacing w:before="480" w:after="480"/>
      </w:pPr>
      <w:r w:rsidRPr="007844C6">
        <w:tab/>
      </w:r>
      <w:proofErr w:type="spellStart"/>
      <w:r w:rsidRPr="008B1175">
        <w:rPr>
          <w:smallCaps/>
        </w:rPr>
        <w:t>Karakatsanis</w:t>
      </w:r>
      <w:proofErr w:type="spellEnd"/>
      <w:r w:rsidRPr="008B1175">
        <w:rPr>
          <w:smallCaps/>
        </w:rPr>
        <w:t xml:space="preserve"> J.</w:t>
      </w:r>
      <w:r w:rsidRPr="007844C6">
        <w:t xml:space="preserve"> — </w:t>
      </w:r>
    </w:p>
    <w:p w:rsidR="008B1175" w:rsidRPr="007844C6" w:rsidRDefault="008B1175" w:rsidP="00A067F4">
      <w:pPr>
        <w:pStyle w:val="TitleTitre-AltT"/>
        <w:tabs>
          <w:tab w:val="clear" w:pos="360"/>
          <w:tab w:val="left" w:pos="540"/>
        </w:tabs>
        <w:ind w:left="540" w:hanging="540"/>
        <w:rPr>
          <w:rFonts w:cs="Times New Roman"/>
          <w:u w:val="single"/>
        </w:rPr>
      </w:pPr>
      <w:r w:rsidRPr="007844C6">
        <w:rPr>
          <w:rFonts w:cs="Times New Roman"/>
        </w:rPr>
        <w:lastRenderedPageBreak/>
        <w:t>I.</w:t>
      </w:r>
      <w:r w:rsidRPr="007844C6">
        <w:rPr>
          <w:rFonts w:cs="Times New Roman"/>
        </w:rPr>
        <w:tab/>
      </w:r>
      <w:r w:rsidRPr="007844C6">
        <w:rPr>
          <w:rFonts w:cs="Times New Roman"/>
          <w:u w:val="single"/>
        </w:rPr>
        <w:t>Introduction</w:t>
      </w:r>
    </w:p>
    <w:p w:rsidR="008B1175" w:rsidRPr="007844C6" w:rsidRDefault="008B1175" w:rsidP="008B1175">
      <w:pPr>
        <w:pStyle w:val="ParaNoNdepar-AltN"/>
        <w:tabs>
          <w:tab w:val="clear" w:pos="1166"/>
          <w:tab w:val="num" w:pos="1152"/>
        </w:tabs>
        <w:rPr>
          <w:rFonts w:cs="Times New Roman"/>
        </w:rPr>
      </w:pPr>
      <w:r w:rsidRPr="007844C6">
        <w:rPr>
          <w:rFonts w:cs="Times New Roman"/>
        </w:rPr>
        <w:t>The issues in this appeal are whether the trial judge’s reasons for judgment were sufficient and whether the trial judge properly applied the burden of proof in a criminal case.</w:t>
      </w:r>
    </w:p>
    <w:p w:rsidR="008B1175" w:rsidRPr="007844C6" w:rsidRDefault="008B1175" w:rsidP="008B1175">
      <w:pPr>
        <w:pStyle w:val="ParaNoNdepar-AltN"/>
        <w:tabs>
          <w:tab w:val="clear" w:pos="1166"/>
          <w:tab w:val="num" w:pos="1152"/>
        </w:tabs>
        <w:rPr>
          <w:rFonts w:cs="Times New Roman"/>
        </w:rPr>
      </w:pPr>
      <w:r w:rsidRPr="007844C6">
        <w:rPr>
          <w:rFonts w:cs="Times New Roman"/>
        </w:rPr>
        <w:t>The appellant was charged with four counts of sexual assault and one count of unlawful touching of a person under the age of 14 for a sexual purpose.  The charges involved three child complainants and one adult complainant.  At trial, the appellant was found guilty of all charges.  The majority of the Court of Appeal set aside three convictions and ordered a new trial because similar fact evidence was wrongly admitted.  The dissenting judge at the Court of Appeal would have set aside all of the convictions and ordered a new trial:  2011 ABCA 280, 515 A.R. 25.  At issue, therefore, are the two co</w:t>
      </w:r>
      <w:r>
        <w:rPr>
          <w:rFonts w:cs="Times New Roman"/>
        </w:rPr>
        <w:t xml:space="preserve">unts relating to the youngest complainant </w:t>
      </w:r>
      <w:r w:rsidRPr="007844C6">
        <w:rPr>
          <w:rFonts w:cs="Times New Roman"/>
        </w:rPr>
        <w:t>(counts 1 and 2).</w:t>
      </w:r>
    </w:p>
    <w:p w:rsidR="008B1175" w:rsidRPr="007844C6" w:rsidRDefault="008B1175" w:rsidP="008B1175">
      <w:pPr>
        <w:pStyle w:val="ParaNoNdepar-AltN"/>
        <w:tabs>
          <w:tab w:val="clear" w:pos="1166"/>
          <w:tab w:val="num" w:pos="1152"/>
        </w:tabs>
        <w:rPr>
          <w:rFonts w:cs="Times New Roman"/>
        </w:rPr>
      </w:pPr>
      <w:r w:rsidRPr="007844C6">
        <w:rPr>
          <w:rFonts w:cs="Times New Roman"/>
        </w:rPr>
        <w:t>This is an appeal as of right limited to questions of law on which a judge of the Court of Appeal dissented.  The appellant relies on two such issues: whether the trial judge’s reasons are sufficient and whether the trial judge correctly applied the burden of proof.  The trial judge’s ruling with respect to similar fact evidence is not before us.</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The trial judge’s reasons are sparse and do not directly address the appellant’s evidence.  For the reasons that follow, however, I agree with the majority </w:t>
      </w:r>
      <w:r w:rsidRPr="007844C6">
        <w:rPr>
          <w:rFonts w:cs="Times New Roman"/>
        </w:rPr>
        <w:lastRenderedPageBreak/>
        <w:t>in the Court of Appeal that the trial judge’s reasons were sufficient and that the trial judge did not err in his application of the burden of proof.</w:t>
      </w:r>
    </w:p>
    <w:p w:rsidR="008B1175" w:rsidRPr="007844C6" w:rsidRDefault="008B1175" w:rsidP="00C468F7">
      <w:pPr>
        <w:pStyle w:val="TitleTitre-AltT"/>
        <w:tabs>
          <w:tab w:val="clear" w:pos="360"/>
          <w:tab w:val="left" w:pos="540"/>
        </w:tabs>
        <w:ind w:left="540" w:hanging="540"/>
        <w:rPr>
          <w:rFonts w:cs="Times New Roman"/>
          <w:u w:val="single"/>
        </w:rPr>
      </w:pPr>
      <w:r w:rsidRPr="007844C6">
        <w:rPr>
          <w:rFonts w:cs="Times New Roman"/>
        </w:rPr>
        <w:t>II.</w:t>
      </w:r>
      <w:r w:rsidRPr="007844C6">
        <w:rPr>
          <w:rFonts w:cs="Times New Roman"/>
        </w:rPr>
        <w:tab/>
      </w:r>
      <w:r w:rsidRPr="007844C6">
        <w:rPr>
          <w:rFonts w:cs="Times New Roman"/>
          <w:u w:val="single"/>
        </w:rPr>
        <w:t>Background</w:t>
      </w:r>
    </w:p>
    <w:p w:rsidR="008B1175" w:rsidRPr="007844C6" w:rsidRDefault="008B1175" w:rsidP="008B1175">
      <w:pPr>
        <w:pStyle w:val="ParaNoNdepar-AltN"/>
        <w:tabs>
          <w:tab w:val="clear" w:pos="1166"/>
          <w:tab w:val="num" w:pos="1152"/>
        </w:tabs>
        <w:rPr>
          <w:rFonts w:cs="Times New Roman"/>
        </w:rPr>
      </w:pPr>
      <w:r w:rsidRPr="007844C6">
        <w:rPr>
          <w:rFonts w:cs="Times New Roman"/>
        </w:rPr>
        <w:t>The trial judge found the youngest complainant’s evidence “compelling”, noting a “particularly poignant exchange” between the complainant and the investigating police officer that had “the ring of truth”.  The trial judge stated that (a) the complainant was not shaken on cross-examination; (b) the inconsistencies in her evidence were minor and to be expected (particularly from a child witness); (c) the appellant’s arguments with respect to the physical impossibility of the incidents as described by the complainant were “merely conjecture”; and (d) although the police officer who interviewed the complainant posed leading questions, they did not pertain to the “essential features” of the circumstances leading to the offences.  Further, the trial judge characterized the appellant’s suggestion that the complainant concocted the allegations as speculative.</w:t>
      </w:r>
    </w:p>
    <w:p w:rsidR="008B1175" w:rsidRPr="007844C6" w:rsidRDefault="008B1175" w:rsidP="008B1175">
      <w:pPr>
        <w:pStyle w:val="ParaNoNdepar-AltN"/>
        <w:tabs>
          <w:tab w:val="clear" w:pos="1166"/>
          <w:tab w:val="num" w:pos="1152"/>
        </w:tabs>
        <w:rPr>
          <w:rFonts w:cs="Times New Roman"/>
        </w:rPr>
      </w:pPr>
      <w:r w:rsidRPr="007844C6">
        <w:rPr>
          <w:rFonts w:cs="Times New Roman"/>
        </w:rPr>
        <w:t>With respect to the appellant’s evidence, the trial judge noted that the appellant “simply denied all of the allegations”.  Shortly after repeating his finding that the complainant’s evidence was compelling, the trial judge stated his conclusion on counts 1 and 2:</w:t>
      </w:r>
      <w:r>
        <w:rPr>
          <w:rFonts w:cs="Times New Roman"/>
        </w:rPr>
        <w:t xml:space="preserve">  </w:t>
      </w:r>
      <w:r w:rsidRPr="007844C6">
        <w:rPr>
          <w:rFonts w:cs="Times New Roman"/>
        </w:rPr>
        <w:t>“In the end, notwithstanding [the appellant’s] denial, I have no reasonable doubt that the [appellant] did commit the acts which [the complainant] described”.</w:t>
      </w:r>
    </w:p>
    <w:p w:rsidR="008B1175" w:rsidRPr="007844C6" w:rsidRDefault="008B1175" w:rsidP="008B1175">
      <w:pPr>
        <w:pStyle w:val="ParaNoNdepar-AltN"/>
        <w:tabs>
          <w:tab w:val="clear" w:pos="1166"/>
          <w:tab w:val="num" w:pos="1152"/>
        </w:tabs>
        <w:rPr>
          <w:rFonts w:cs="Times New Roman"/>
        </w:rPr>
      </w:pPr>
      <w:r w:rsidRPr="007844C6">
        <w:rPr>
          <w:rFonts w:cs="Times New Roman"/>
        </w:rPr>
        <w:lastRenderedPageBreak/>
        <w:t xml:space="preserve">The majority of the Court of Appeal, represented by McDonald J.A. with respect to the issues before this Court, found that the trial judge provided an accurate distillation of the law on the burden of proof in criminal cases and gave reasons that were sufficient because they met “the </w:t>
      </w:r>
      <w:r w:rsidRPr="007844C6">
        <w:rPr>
          <w:rFonts w:cs="Times New Roman"/>
          <w:i/>
        </w:rPr>
        <w:t xml:space="preserve">Sheppard </w:t>
      </w:r>
      <w:r w:rsidRPr="007844C6">
        <w:rPr>
          <w:rFonts w:cs="Times New Roman"/>
        </w:rPr>
        <w:t>requirements and made it clear to the appellant why he had been convicted at trial” (</w:t>
      </w:r>
      <w:proofErr w:type="spellStart"/>
      <w:r w:rsidRPr="007844C6">
        <w:rPr>
          <w:rFonts w:cs="Times New Roman"/>
        </w:rPr>
        <w:t>para</w:t>
      </w:r>
      <w:proofErr w:type="spellEnd"/>
      <w:r w:rsidRPr="007844C6">
        <w:rPr>
          <w:rFonts w:cs="Times New Roman"/>
        </w:rPr>
        <w:t xml:space="preserve">. 66). Relying on this Court’s decision in </w:t>
      </w:r>
      <w:r w:rsidRPr="007844C6">
        <w:rPr>
          <w:rFonts w:cs="Times New Roman"/>
          <w:i/>
        </w:rPr>
        <w:t>R. v. R.E.M.</w:t>
      </w:r>
      <w:r w:rsidRPr="007844C6">
        <w:rPr>
          <w:rFonts w:cs="Times New Roman"/>
        </w:rPr>
        <w:t xml:space="preserve">, 2008 SCC 51, [2008] 3 S.C.R. 3, McDonald J.A. concluded that the reasons generally demonstrated that where the complainant’s evidence and the </w:t>
      </w:r>
      <w:proofErr w:type="spellStart"/>
      <w:r w:rsidRPr="007844C6">
        <w:rPr>
          <w:rFonts w:cs="Times New Roman"/>
        </w:rPr>
        <w:t>accused’s</w:t>
      </w:r>
      <w:proofErr w:type="spellEnd"/>
      <w:r w:rsidRPr="007844C6">
        <w:rPr>
          <w:rFonts w:cs="Times New Roman"/>
        </w:rPr>
        <w:t xml:space="preserve"> evidence conflicted, the trial judge had accepted the evidence of the complainant.</w:t>
      </w:r>
    </w:p>
    <w:p w:rsidR="008B1175" w:rsidRPr="007844C6" w:rsidRDefault="008B1175" w:rsidP="008B1175">
      <w:pPr>
        <w:pStyle w:val="ParaNoNdepar-AltN"/>
        <w:tabs>
          <w:tab w:val="clear" w:pos="1166"/>
          <w:tab w:val="num" w:pos="1152"/>
        </w:tabs>
        <w:rPr>
          <w:rFonts w:cs="Times New Roman"/>
        </w:rPr>
      </w:pPr>
      <w:proofErr w:type="spellStart"/>
      <w:r w:rsidRPr="007844C6">
        <w:rPr>
          <w:rFonts w:cs="Times New Roman"/>
        </w:rPr>
        <w:t>Côté</w:t>
      </w:r>
      <w:proofErr w:type="spellEnd"/>
      <w:r w:rsidRPr="007844C6">
        <w:rPr>
          <w:rFonts w:cs="Times New Roman"/>
        </w:rPr>
        <w:t xml:space="preserve"> J.A., dissenting, found that the trial judge misapplied the burden of proof and that his reasons were inadequate.  With respect to the burden of proof, the </w:t>
      </w:r>
      <w:r>
        <w:rPr>
          <w:rFonts w:cs="Times New Roman"/>
        </w:rPr>
        <w:t>verdicts of guilt</w:t>
      </w:r>
      <w:r w:rsidRPr="007844C6">
        <w:rPr>
          <w:rFonts w:cs="Times New Roman"/>
        </w:rPr>
        <w:t xml:space="preserve"> relating to the youngest complainant were “at best . . . an unexplained conclusion” because the trial judge did not mention the appellant’s evidence in relation to these counts (</w:t>
      </w:r>
      <w:proofErr w:type="spellStart"/>
      <w:r w:rsidRPr="007844C6">
        <w:rPr>
          <w:rFonts w:cs="Times New Roman"/>
        </w:rPr>
        <w:t>para</w:t>
      </w:r>
      <w:proofErr w:type="spellEnd"/>
      <w:r w:rsidRPr="007844C6">
        <w:rPr>
          <w:rFonts w:cs="Times New Roman"/>
        </w:rPr>
        <w:t xml:space="preserve">. 100).  As for the sufficiency of the reasons, the trial judge did not adequately address the problems with the complainant’s evidence.  The reasons also did not explain why the appellant’s evidence was rejected or failed to raise a reasonable doubt and did not permit an appellate court to determine whether he misapplied the principles in </w:t>
      </w:r>
      <w:r w:rsidRPr="007844C6">
        <w:rPr>
          <w:rFonts w:cs="Times New Roman"/>
          <w:i/>
        </w:rPr>
        <w:t>R. v. W.(D.)</w:t>
      </w:r>
      <w:r w:rsidRPr="007844C6">
        <w:rPr>
          <w:rFonts w:cs="Times New Roman"/>
        </w:rPr>
        <w:t>, [1991] 1 S.C.R. 742.</w:t>
      </w:r>
    </w:p>
    <w:p w:rsidR="008B1175" w:rsidRPr="007844C6" w:rsidRDefault="008B1175" w:rsidP="00AF3507">
      <w:pPr>
        <w:pStyle w:val="TitleTitre-AltT"/>
        <w:tabs>
          <w:tab w:val="clear" w:pos="360"/>
          <w:tab w:val="left" w:pos="540"/>
        </w:tabs>
        <w:ind w:left="540" w:hanging="540"/>
        <w:rPr>
          <w:rFonts w:cs="Times New Roman"/>
          <w:u w:val="single"/>
        </w:rPr>
      </w:pPr>
      <w:r w:rsidRPr="007844C6">
        <w:rPr>
          <w:rFonts w:cs="Times New Roman"/>
        </w:rPr>
        <w:t>III.</w:t>
      </w:r>
      <w:r w:rsidRPr="007844C6">
        <w:rPr>
          <w:rFonts w:cs="Times New Roman"/>
        </w:rPr>
        <w:tab/>
      </w:r>
      <w:r w:rsidRPr="007844C6">
        <w:rPr>
          <w:rFonts w:cs="Times New Roman"/>
          <w:u w:val="single"/>
        </w:rPr>
        <w:t>Were the Trial Judge’s Reasons Sufficient?</w:t>
      </w:r>
    </w:p>
    <w:p w:rsidR="008B1175" w:rsidRPr="007844C6" w:rsidRDefault="008B1175" w:rsidP="008B1175">
      <w:pPr>
        <w:pStyle w:val="ParaNoNdepar-AltN"/>
        <w:tabs>
          <w:tab w:val="clear" w:pos="1166"/>
          <w:tab w:val="num" w:pos="1152"/>
        </w:tabs>
        <w:rPr>
          <w:rFonts w:cs="Times New Roman"/>
        </w:rPr>
      </w:pPr>
      <w:r w:rsidRPr="007844C6">
        <w:rPr>
          <w:rFonts w:cs="Times New Roman"/>
        </w:rPr>
        <w:t>Counsel for the appellant candidly submitted that he was not asking the court to make any new law.</w:t>
      </w:r>
      <w:r>
        <w:rPr>
          <w:rFonts w:cs="Times New Roman"/>
        </w:rPr>
        <w:t xml:space="preserve"> </w:t>
      </w:r>
      <w:r w:rsidRPr="007844C6">
        <w:rPr>
          <w:rFonts w:cs="Times New Roman"/>
        </w:rPr>
        <w:t xml:space="preserve"> Rather, he submitted that the reasons of the trial judge </w:t>
      </w:r>
      <w:r w:rsidRPr="007844C6">
        <w:rPr>
          <w:rFonts w:cs="Times New Roman"/>
        </w:rPr>
        <w:lastRenderedPageBreak/>
        <w:t xml:space="preserve">did not explain why the trial judge accepted the evidence of the complainant, despite live credibility issues, and did not address the appellant’s evidence or explain why it was rejected. The reasons did not allow an appellate court to determine whether there was a legal error in the application of </w:t>
      </w:r>
      <w:r w:rsidRPr="007844C6">
        <w:rPr>
          <w:rFonts w:cs="Times New Roman"/>
          <w:i/>
        </w:rPr>
        <w:t>W</w:t>
      </w:r>
      <w:proofErr w:type="gramStart"/>
      <w:r w:rsidRPr="007844C6">
        <w:rPr>
          <w:rFonts w:cs="Times New Roman"/>
          <w:i/>
        </w:rPr>
        <w:t>.(</w:t>
      </w:r>
      <w:proofErr w:type="gramEnd"/>
      <w:r w:rsidRPr="007844C6">
        <w:rPr>
          <w:rFonts w:cs="Times New Roman"/>
          <w:i/>
        </w:rPr>
        <w:t>D.)</w:t>
      </w:r>
      <w:r w:rsidRPr="007844C6">
        <w:rPr>
          <w:rFonts w:cs="Times New Roman"/>
        </w:rPr>
        <w:t>.</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An appellate court tasked with determining whether a trial judge gave sufficient reasons must follow a functional approach:  </w:t>
      </w:r>
      <w:r w:rsidRPr="007844C6">
        <w:rPr>
          <w:rFonts w:cs="Times New Roman"/>
          <w:i/>
        </w:rPr>
        <w:t>R. v. Sheppard</w:t>
      </w:r>
      <w:r w:rsidRPr="007844C6">
        <w:rPr>
          <w:rFonts w:cs="Times New Roman"/>
        </w:rPr>
        <w:t xml:space="preserve">, 2002 SCC 26, [2002] 1 S.C.R. 869, at </w:t>
      </w:r>
      <w:proofErr w:type="spellStart"/>
      <w:r w:rsidRPr="007844C6">
        <w:rPr>
          <w:rFonts w:cs="Times New Roman"/>
        </w:rPr>
        <w:t>para</w:t>
      </w:r>
      <w:proofErr w:type="spellEnd"/>
      <w:r w:rsidRPr="007844C6">
        <w:rPr>
          <w:rFonts w:cs="Times New Roman"/>
        </w:rPr>
        <w:t xml:space="preserve">. 55.  An appeal based on insufficient reasons “will only be allowed where the trial judge’s reasons are so deficient that they foreclose meaningful appellate review”:  </w:t>
      </w:r>
      <w:r w:rsidRPr="007844C6">
        <w:rPr>
          <w:rFonts w:cs="Times New Roman"/>
          <w:i/>
        </w:rPr>
        <w:t xml:space="preserve">R. v. </w:t>
      </w:r>
      <w:proofErr w:type="spellStart"/>
      <w:r w:rsidRPr="007844C6">
        <w:rPr>
          <w:rFonts w:cs="Times New Roman"/>
          <w:i/>
        </w:rPr>
        <w:t>Dinardo</w:t>
      </w:r>
      <w:proofErr w:type="spellEnd"/>
      <w:r w:rsidRPr="007844C6">
        <w:rPr>
          <w:rFonts w:cs="Times New Roman"/>
        </w:rPr>
        <w:t xml:space="preserve">, 2008 SCC 24, [2008] 1 S.C.R. 788, at </w:t>
      </w:r>
      <w:proofErr w:type="spellStart"/>
      <w:r w:rsidRPr="007844C6">
        <w:rPr>
          <w:rFonts w:cs="Times New Roman"/>
        </w:rPr>
        <w:t>para</w:t>
      </w:r>
      <w:proofErr w:type="spellEnd"/>
      <w:r w:rsidRPr="007844C6">
        <w:rPr>
          <w:rFonts w:cs="Times New Roman"/>
        </w:rPr>
        <w:t>. 25.</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Here, the key issue at trial was credibility. Credibility determinations by a trial judge attract a high degree of deference.  In </w:t>
      </w:r>
      <w:proofErr w:type="spellStart"/>
      <w:r w:rsidRPr="007844C6">
        <w:rPr>
          <w:rFonts w:cs="Times New Roman"/>
          <w:i/>
        </w:rPr>
        <w:t>Dinardo</w:t>
      </w:r>
      <w:proofErr w:type="spellEnd"/>
      <w:r w:rsidRPr="007844C6">
        <w:rPr>
          <w:rFonts w:cs="Times New Roman"/>
        </w:rPr>
        <w:t xml:space="preserve">, </w:t>
      </w:r>
      <w:proofErr w:type="spellStart"/>
      <w:r w:rsidRPr="007844C6">
        <w:rPr>
          <w:rFonts w:cs="Times New Roman"/>
        </w:rPr>
        <w:t>Charron</w:t>
      </w:r>
      <w:proofErr w:type="spellEnd"/>
      <w:r w:rsidRPr="007844C6">
        <w:rPr>
          <w:rFonts w:cs="Times New Roman"/>
        </w:rPr>
        <w:t xml:space="preserve"> J. explained:</w:t>
      </w:r>
    </w:p>
    <w:p w:rsidR="008B1175" w:rsidRPr="007844C6" w:rsidRDefault="008B1175" w:rsidP="008B1175">
      <w:pPr>
        <w:pStyle w:val="Citation-AltC"/>
      </w:pPr>
      <w:r w:rsidRPr="007844C6">
        <w:t xml:space="preserve">Where a case turns largely on determinations of credibility, the sufficiency of the reasons should be considered in light of the deference afforded to trial judges on credibility findings.  Rarely will the deficiencies in the trial judge’s credibility analysis, as expressed in the reasons for judgment, merit intervention on appeal.  Nevertheless, a failure to sufficiently articulate how credibility concerns were resolved may constitute reversible error (see </w:t>
      </w:r>
      <w:r w:rsidRPr="007844C6">
        <w:rPr>
          <w:i/>
        </w:rPr>
        <w:t xml:space="preserve">R. v. </w:t>
      </w:r>
      <w:proofErr w:type="spellStart"/>
      <w:r w:rsidRPr="007844C6">
        <w:rPr>
          <w:i/>
        </w:rPr>
        <w:t>Braich</w:t>
      </w:r>
      <w:proofErr w:type="spellEnd"/>
      <w:r w:rsidRPr="007844C6">
        <w:t xml:space="preserve">, [2002] 1 S.C.R. 903, 2002 SCC 27, at </w:t>
      </w:r>
      <w:proofErr w:type="spellStart"/>
      <w:r w:rsidRPr="007844C6">
        <w:t>para</w:t>
      </w:r>
      <w:proofErr w:type="spellEnd"/>
      <w:r w:rsidRPr="007844C6">
        <w:t xml:space="preserve">. 23).  As this Court noted in </w:t>
      </w:r>
      <w:r w:rsidRPr="007844C6">
        <w:rPr>
          <w:i/>
        </w:rPr>
        <w:t>R. v. Gagnon</w:t>
      </w:r>
      <w:r w:rsidRPr="007844C6">
        <w:t>, [2006] 1 S.C.R. 621, 2006 SCC 17, the accused is entitled to know “why the trial judge is left with no reasonable doubt” . . . .  [</w:t>
      </w:r>
      <w:proofErr w:type="spellStart"/>
      <w:r w:rsidRPr="007844C6">
        <w:t>para</w:t>
      </w:r>
      <w:proofErr w:type="spellEnd"/>
      <w:r w:rsidRPr="007844C6">
        <w:t>. 26]</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Ultimately, appellate courts considering the sufficiency of reasons “should read them as a whole, in the context of the evidence, the arguments and the </w:t>
      </w:r>
      <w:r w:rsidRPr="007844C6">
        <w:rPr>
          <w:rFonts w:cs="Times New Roman"/>
        </w:rPr>
        <w:lastRenderedPageBreak/>
        <w:t xml:space="preserve">trial, with an appreciation of the purposes or functions for which they are delivered”: </w:t>
      </w:r>
      <w:r w:rsidRPr="007844C6">
        <w:rPr>
          <w:rFonts w:cs="Times New Roman"/>
          <w:i/>
        </w:rPr>
        <w:t>R.E.M.</w:t>
      </w:r>
      <w:r w:rsidRPr="007844C6">
        <w:rPr>
          <w:rFonts w:cs="Times New Roman"/>
        </w:rPr>
        <w:t xml:space="preserve">, at </w:t>
      </w:r>
      <w:proofErr w:type="spellStart"/>
      <w:r w:rsidRPr="007844C6">
        <w:rPr>
          <w:rFonts w:cs="Times New Roman"/>
        </w:rPr>
        <w:t>para</w:t>
      </w:r>
      <w:proofErr w:type="spellEnd"/>
      <w:r w:rsidRPr="007844C6">
        <w:rPr>
          <w:rFonts w:cs="Times New Roman"/>
        </w:rPr>
        <w:t>. 16.  These purposes “are fulfilled if the reasons, read in context, show why the judge decided as he or she did” (</w:t>
      </w:r>
      <w:proofErr w:type="spellStart"/>
      <w:r w:rsidRPr="007844C6">
        <w:rPr>
          <w:rFonts w:cs="Times New Roman"/>
        </w:rPr>
        <w:t>para</w:t>
      </w:r>
      <w:proofErr w:type="spellEnd"/>
      <w:r w:rsidRPr="007844C6">
        <w:rPr>
          <w:rFonts w:cs="Times New Roman"/>
        </w:rPr>
        <w:t>. 17).</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In </w:t>
      </w:r>
      <w:r w:rsidRPr="007844C6">
        <w:rPr>
          <w:rFonts w:cs="Times New Roman"/>
          <w:i/>
        </w:rPr>
        <w:t>R.E.M.</w:t>
      </w:r>
      <w:r w:rsidRPr="007844C6">
        <w:rPr>
          <w:rFonts w:cs="Times New Roman"/>
        </w:rPr>
        <w:t xml:space="preserve">, this Court also explained that a trial judge’s failure to explain why he rejected an </w:t>
      </w:r>
      <w:proofErr w:type="spellStart"/>
      <w:r w:rsidRPr="007844C6">
        <w:rPr>
          <w:rFonts w:cs="Times New Roman"/>
        </w:rPr>
        <w:t>accused’s</w:t>
      </w:r>
      <w:proofErr w:type="spellEnd"/>
      <w:r w:rsidRPr="007844C6">
        <w:rPr>
          <w:rFonts w:cs="Times New Roman"/>
        </w:rPr>
        <w:t xml:space="preserve"> plausible denial of the charges does not mean the reasons are deficient as long as the reasons generally demonstrate that, where the complainant’s evidence and the </w:t>
      </w:r>
      <w:proofErr w:type="spellStart"/>
      <w:r w:rsidRPr="007844C6">
        <w:rPr>
          <w:rFonts w:cs="Times New Roman"/>
        </w:rPr>
        <w:t>accused’s</w:t>
      </w:r>
      <w:proofErr w:type="spellEnd"/>
      <w:r w:rsidRPr="007844C6">
        <w:rPr>
          <w:rFonts w:cs="Times New Roman"/>
        </w:rPr>
        <w:t xml:space="preserve"> evidence conflicted, the trial judge accepted the complainant’s evidence.  No further explanation for rejecting the </w:t>
      </w:r>
      <w:proofErr w:type="spellStart"/>
      <w:r w:rsidRPr="007844C6">
        <w:rPr>
          <w:rFonts w:cs="Times New Roman"/>
        </w:rPr>
        <w:t>accused’s</w:t>
      </w:r>
      <w:proofErr w:type="spellEnd"/>
      <w:r w:rsidRPr="007844C6">
        <w:rPr>
          <w:rFonts w:cs="Times New Roman"/>
        </w:rPr>
        <w:t xml:space="preserve"> evidence is required as the convictions themselves raise a reasonable inference that the </w:t>
      </w:r>
      <w:proofErr w:type="spellStart"/>
      <w:r w:rsidRPr="007844C6">
        <w:rPr>
          <w:rFonts w:cs="Times New Roman"/>
        </w:rPr>
        <w:t>accused’s</w:t>
      </w:r>
      <w:proofErr w:type="spellEnd"/>
      <w:r w:rsidRPr="007844C6">
        <w:rPr>
          <w:rFonts w:cs="Times New Roman"/>
        </w:rPr>
        <w:t xml:space="preserve"> denial failed to raise a reasonable doubt (see </w:t>
      </w:r>
      <w:proofErr w:type="spellStart"/>
      <w:r w:rsidRPr="007844C6">
        <w:rPr>
          <w:rFonts w:cs="Times New Roman"/>
        </w:rPr>
        <w:t>para</w:t>
      </w:r>
      <w:proofErr w:type="spellEnd"/>
      <w:r w:rsidRPr="007844C6">
        <w:rPr>
          <w:rFonts w:cs="Times New Roman"/>
        </w:rPr>
        <w:t>. 66).</w:t>
      </w:r>
    </w:p>
    <w:p w:rsidR="008B1175" w:rsidRPr="007844C6" w:rsidRDefault="008B1175" w:rsidP="008B1175">
      <w:pPr>
        <w:pStyle w:val="ParaNoNdepar-AltN"/>
        <w:rPr>
          <w:rFonts w:cs="Times New Roman"/>
        </w:rPr>
      </w:pPr>
      <w:r w:rsidRPr="007844C6">
        <w:rPr>
          <w:rFonts w:cs="Times New Roman"/>
        </w:rPr>
        <w:t xml:space="preserve">The appellant submits that the reasons do not disclose </w:t>
      </w:r>
      <w:r w:rsidRPr="007844C6">
        <w:rPr>
          <w:rFonts w:cs="Times New Roman"/>
          <w:i/>
        </w:rPr>
        <w:t>why</w:t>
      </w:r>
      <w:r w:rsidRPr="007844C6">
        <w:rPr>
          <w:rFonts w:cs="Times New Roman"/>
        </w:rPr>
        <w:t xml:space="preserve"> the trial judge decided as he did. Before accepting the complainant’s evidence the trial judge failed to address live issues relating to the credibility of the complainant.</w:t>
      </w:r>
      <w:r>
        <w:rPr>
          <w:rFonts w:cs="Times New Roman"/>
        </w:rPr>
        <w:t xml:space="preserve"> </w:t>
      </w:r>
      <w:r w:rsidRPr="007844C6">
        <w:rPr>
          <w:rFonts w:cs="Times New Roman"/>
        </w:rPr>
        <w:t xml:space="preserve"> A number of the live issues, listed in detail by the dissenting judge in the Court of Appeal, went unmentioned by the trial judge or, if mentioned, were followed by a bald conclusion.  Although a trial judge’s credibility findings relating to witnesses should not be lightly disturbed, the trial judge’s reasons do not adequately explain why he accepted the complainant’s evidence and why the appellant’s evidence did not raise a reasonable doubt.</w:t>
      </w:r>
    </w:p>
    <w:p w:rsidR="008B1175" w:rsidRPr="007844C6" w:rsidRDefault="008B1175" w:rsidP="008B1175">
      <w:pPr>
        <w:pStyle w:val="ParaNoNdepar-AltN"/>
        <w:rPr>
          <w:rFonts w:cs="Times New Roman"/>
        </w:rPr>
      </w:pPr>
      <w:r w:rsidRPr="007844C6">
        <w:rPr>
          <w:rFonts w:cs="Times New Roman"/>
        </w:rPr>
        <w:t xml:space="preserve">The core question in determining whether the trial judge’s reasons are sufficient is the following: Do the reasons, read in context, show why the judge </w:t>
      </w:r>
      <w:r w:rsidRPr="007844C6">
        <w:rPr>
          <w:rFonts w:cs="Times New Roman"/>
        </w:rPr>
        <w:lastRenderedPageBreak/>
        <w:t>decided as he did on the counts relating to the complainant? In this case, the trial judge’s reasons satisfy this threshold.</w:t>
      </w:r>
    </w:p>
    <w:p w:rsidR="008B1175" w:rsidRPr="007844C6" w:rsidRDefault="008B1175" w:rsidP="008B1175">
      <w:pPr>
        <w:pStyle w:val="ParaNoNdepar-AltN"/>
        <w:tabs>
          <w:tab w:val="clear" w:pos="1166"/>
          <w:tab w:val="num" w:pos="1152"/>
        </w:tabs>
        <w:rPr>
          <w:rFonts w:cs="Times New Roman"/>
        </w:rPr>
      </w:pPr>
      <w:r w:rsidRPr="007844C6">
        <w:rPr>
          <w:rFonts w:cs="Times New Roman"/>
        </w:rPr>
        <w:t>First, the trial judge found the evidence of the complainant compelling — that is, credible and reliable.  He explained why, noting an exchange between the complainant and the investigating police officer to whom she</w:t>
      </w:r>
      <w:r>
        <w:rPr>
          <w:rFonts w:cs="Times New Roman"/>
        </w:rPr>
        <w:t xml:space="preserve"> </w:t>
      </w:r>
      <w:r w:rsidRPr="007844C6">
        <w:rPr>
          <w:rFonts w:cs="Times New Roman"/>
        </w:rPr>
        <w:t>expressed worry about being considered a bad girl because she may have liked what the appellant had done to her.  The trial judge stated that this “had the ring of truth”.</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Second, the trial judge recognized the live issues relating to the complainant’s credibility.  He was not obliged to discuss all of the evidence on any given point or answer each and every argument of counsel:  </w:t>
      </w:r>
      <w:r w:rsidRPr="007844C6">
        <w:rPr>
          <w:rFonts w:cs="Times New Roman"/>
          <w:i/>
        </w:rPr>
        <w:t>R.E.M.</w:t>
      </w:r>
      <w:r w:rsidRPr="007844C6">
        <w:rPr>
          <w:rFonts w:cs="Times New Roman"/>
        </w:rPr>
        <w:t>, at</w:t>
      </w:r>
      <w:r w:rsidRPr="007844C6">
        <w:rPr>
          <w:rFonts w:cs="Times New Roman"/>
          <w:i/>
        </w:rPr>
        <w:t xml:space="preserve"> </w:t>
      </w:r>
      <w:proofErr w:type="spellStart"/>
      <w:r w:rsidRPr="007844C6">
        <w:rPr>
          <w:rFonts w:cs="Times New Roman"/>
        </w:rPr>
        <w:t>paras</w:t>
      </w:r>
      <w:proofErr w:type="spellEnd"/>
      <w:r w:rsidRPr="007844C6">
        <w:rPr>
          <w:rFonts w:cs="Times New Roman"/>
        </w:rPr>
        <w:t xml:space="preserve">. 32 and 64; and </w:t>
      </w:r>
      <w:proofErr w:type="spellStart"/>
      <w:r w:rsidRPr="007844C6">
        <w:rPr>
          <w:rFonts w:cs="Times New Roman"/>
          <w:i/>
        </w:rPr>
        <w:t>Dinardo</w:t>
      </w:r>
      <w:proofErr w:type="spellEnd"/>
      <w:r w:rsidRPr="007844C6">
        <w:rPr>
          <w:rFonts w:cs="Times New Roman"/>
        </w:rPr>
        <w:t xml:space="preserve">, at </w:t>
      </w:r>
      <w:proofErr w:type="spellStart"/>
      <w:r w:rsidRPr="007844C6">
        <w:rPr>
          <w:rFonts w:cs="Times New Roman"/>
        </w:rPr>
        <w:t>para</w:t>
      </w:r>
      <w:proofErr w:type="spellEnd"/>
      <w:r w:rsidRPr="007844C6">
        <w:rPr>
          <w:rFonts w:cs="Times New Roman"/>
        </w:rPr>
        <w:t>. 30.  Here, he noted the problems in her evidence — the lack of a hymen, inconsistency as to the number of incidents, the physical impossibility of some allegations, and leading questions by the police officer who took her statement.  He addressed each of them, albeit briefly, ultimately finding that they were inconsequential to his conclusion.  He characterized the appellant’s suggestion of concoction as speculative.</w:t>
      </w:r>
    </w:p>
    <w:p w:rsidR="008B1175" w:rsidRPr="007844C6" w:rsidRDefault="008B1175" w:rsidP="008B1175">
      <w:pPr>
        <w:pStyle w:val="ParaNoNdepar-AltN"/>
        <w:tabs>
          <w:tab w:val="clear" w:pos="1166"/>
          <w:tab w:val="num" w:pos="1152"/>
        </w:tabs>
        <w:rPr>
          <w:rFonts w:cs="Times New Roman"/>
        </w:rPr>
      </w:pPr>
      <w:r w:rsidRPr="007844C6">
        <w:rPr>
          <w:rFonts w:cs="Times New Roman"/>
        </w:rPr>
        <w:t>Third, the trial judge considered the appellant’s denial of the allegations. He acknowledged that the appellant’s evidence may have been more fulsome if his command of the English language were better.  Read in context, the trial judge’s reasons reveal that he</w:t>
      </w:r>
      <w:r>
        <w:rPr>
          <w:rFonts w:cs="Times New Roman"/>
        </w:rPr>
        <w:t xml:space="preserve"> </w:t>
      </w:r>
      <w:r w:rsidRPr="007844C6">
        <w:rPr>
          <w:rFonts w:cs="Times New Roman"/>
        </w:rPr>
        <w:t xml:space="preserve">rejected the appellant’s denial.  Later in his reasons, in relation </w:t>
      </w:r>
      <w:r w:rsidRPr="007844C6">
        <w:rPr>
          <w:rFonts w:cs="Times New Roman"/>
        </w:rPr>
        <w:lastRenderedPageBreak/>
        <w:t>to the other counts, the trial judge stated that the denial was not truthful and did not raise a doubt.</w:t>
      </w:r>
    </w:p>
    <w:p w:rsidR="008B1175" w:rsidRPr="007844C6" w:rsidRDefault="008B1175" w:rsidP="008B1175">
      <w:pPr>
        <w:pStyle w:val="ParaNoNdepar-AltN"/>
        <w:tabs>
          <w:tab w:val="clear" w:pos="1166"/>
          <w:tab w:val="num" w:pos="1152"/>
        </w:tabs>
        <w:rPr>
          <w:rFonts w:cs="Times New Roman"/>
        </w:rPr>
      </w:pPr>
      <w:r w:rsidRPr="007844C6">
        <w:rPr>
          <w:rFonts w:cs="Times New Roman"/>
        </w:rPr>
        <w:t>I conclude that the reasons were sufficient — they allow for meaningful appellate review because they tell the appellant why the trial judge decided as he did. The trial judge found the complainant’s evidence compelling, the problems in her evidence inconsequential, and the appellant’s concoction theories speculative.  The reasons reveal that the trial judge accepted the complainant’s evidence where it conflicted with the appellant’s evidence.  No further explanation for rejecting the appellant’s evidence was required.</w:t>
      </w:r>
    </w:p>
    <w:p w:rsidR="008B1175" w:rsidRPr="007844C6" w:rsidRDefault="008B1175" w:rsidP="00AF3507">
      <w:pPr>
        <w:pStyle w:val="TitleTitre-AltT"/>
        <w:tabs>
          <w:tab w:val="clear" w:pos="360"/>
          <w:tab w:val="left" w:pos="540"/>
        </w:tabs>
        <w:ind w:left="540" w:hanging="540"/>
        <w:rPr>
          <w:rFonts w:cs="Times New Roman"/>
          <w:u w:val="single"/>
        </w:rPr>
      </w:pPr>
      <w:r w:rsidRPr="007844C6">
        <w:rPr>
          <w:rFonts w:cs="Times New Roman"/>
        </w:rPr>
        <w:t>IV.</w:t>
      </w:r>
      <w:r w:rsidRPr="007844C6">
        <w:rPr>
          <w:rFonts w:cs="Times New Roman"/>
        </w:rPr>
        <w:tab/>
      </w:r>
      <w:r w:rsidRPr="007844C6">
        <w:rPr>
          <w:rFonts w:cs="Times New Roman"/>
          <w:u w:val="single"/>
        </w:rPr>
        <w:t>Did the Trial Judge Err in His Application of the Burden of Proof?</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The appellant submits that the trial judge misapplied the burden of proof in a criminal case by not following the test in </w:t>
      </w:r>
      <w:r w:rsidRPr="007844C6">
        <w:rPr>
          <w:rFonts w:cs="Times New Roman"/>
          <w:i/>
        </w:rPr>
        <w:t>W</w:t>
      </w:r>
      <w:proofErr w:type="gramStart"/>
      <w:r w:rsidRPr="007844C6">
        <w:rPr>
          <w:rFonts w:cs="Times New Roman"/>
          <w:i/>
        </w:rPr>
        <w:t>.(</w:t>
      </w:r>
      <w:proofErr w:type="gramEnd"/>
      <w:r w:rsidRPr="007844C6">
        <w:rPr>
          <w:rFonts w:cs="Times New Roman"/>
          <w:i/>
        </w:rPr>
        <w:t>D.)</w:t>
      </w:r>
      <w:r w:rsidRPr="007844C6">
        <w:rPr>
          <w:rFonts w:cs="Times New Roman"/>
        </w:rPr>
        <w:t xml:space="preserve"> and thereby failing to properly assess the appellant’s evidence.</w:t>
      </w:r>
    </w:p>
    <w:p w:rsidR="008B1175" w:rsidRDefault="008B1175" w:rsidP="008B1175">
      <w:pPr>
        <w:pStyle w:val="ParaNoNdepar-AltN"/>
        <w:tabs>
          <w:tab w:val="clear" w:pos="1166"/>
          <w:tab w:val="num" w:pos="1152"/>
        </w:tabs>
        <w:rPr>
          <w:rFonts w:cs="Times New Roman"/>
        </w:rPr>
      </w:pPr>
      <w:r w:rsidRPr="007844C6">
        <w:rPr>
          <w:rFonts w:cs="Times New Roman"/>
        </w:rPr>
        <w:t xml:space="preserve">The paramount question in a criminal case is whether, on the whole of the evidence, the </w:t>
      </w:r>
      <w:proofErr w:type="spellStart"/>
      <w:r w:rsidRPr="007844C6">
        <w:rPr>
          <w:rFonts w:cs="Times New Roman"/>
        </w:rPr>
        <w:t>trier</w:t>
      </w:r>
      <w:proofErr w:type="spellEnd"/>
      <w:r w:rsidRPr="007844C6">
        <w:rPr>
          <w:rFonts w:cs="Times New Roman"/>
        </w:rPr>
        <w:t xml:space="preserve"> of fact is left with a reasonable doubt about the guilt of the accused:  </w:t>
      </w:r>
      <w:r w:rsidRPr="007844C6">
        <w:rPr>
          <w:rFonts w:cs="Times New Roman"/>
          <w:i/>
        </w:rPr>
        <w:t>W</w:t>
      </w:r>
      <w:proofErr w:type="gramStart"/>
      <w:r w:rsidRPr="007844C6">
        <w:rPr>
          <w:rFonts w:cs="Times New Roman"/>
          <w:i/>
        </w:rPr>
        <w:t>.(</w:t>
      </w:r>
      <w:proofErr w:type="gramEnd"/>
      <w:r w:rsidRPr="007844C6">
        <w:rPr>
          <w:rFonts w:cs="Times New Roman"/>
          <w:i/>
        </w:rPr>
        <w:t>D</w:t>
      </w:r>
      <w:r w:rsidRPr="007844C6">
        <w:rPr>
          <w:rFonts w:cs="Times New Roman"/>
        </w:rPr>
        <w:t>.</w:t>
      </w:r>
      <w:r w:rsidRPr="007844C6">
        <w:rPr>
          <w:rFonts w:cs="Times New Roman"/>
          <w:i/>
        </w:rPr>
        <w:t>)</w:t>
      </w:r>
      <w:r w:rsidRPr="007844C6">
        <w:rPr>
          <w:rFonts w:cs="Times New Roman"/>
        </w:rPr>
        <w:t xml:space="preserve">, at p. 758.   The order in which a trial judge makes credibility findings of witnesses is inconsequential as long as the principle of reasonable doubt remains the central consideration.  A verdict of guilt must not be based on a choice between the </w:t>
      </w:r>
      <w:proofErr w:type="spellStart"/>
      <w:r w:rsidRPr="007844C6">
        <w:rPr>
          <w:rFonts w:cs="Times New Roman"/>
        </w:rPr>
        <w:t>accused’s</w:t>
      </w:r>
      <w:proofErr w:type="spellEnd"/>
      <w:r w:rsidRPr="007844C6">
        <w:rPr>
          <w:rFonts w:cs="Times New Roman"/>
          <w:i/>
        </w:rPr>
        <w:t xml:space="preserve"> </w:t>
      </w:r>
      <w:r w:rsidRPr="007844C6">
        <w:rPr>
          <w:rFonts w:cs="Times New Roman"/>
        </w:rPr>
        <w:t xml:space="preserve">evidence and the Crown’s evidence:  </w:t>
      </w:r>
      <w:r w:rsidRPr="007844C6">
        <w:rPr>
          <w:rFonts w:cs="Times New Roman"/>
          <w:i/>
        </w:rPr>
        <w:t>R. v. C.L.Y.</w:t>
      </w:r>
      <w:r w:rsidRPr="007844C6">
        <w:rPr>
          <w:rFonts w:cs="Times New Roman"/>
        </w:rPr>
        <w:t xml:space="preserve">, 2008 SCC 2, [2008] 1 S.C.R. 5, at </w:t>
      </w:r>
      <w:proofErr w:type="spellStart"/>
      <w:r w:rsidRPr="007844C6">
        <w:rPr>
          <w:rFonts w:cs="Times New Roman"/>
        </w:rPr>
        <w:t>paras</w:t>
      </w:r>
      <w:proofErr w:type="spellEnd"/>
      <w:r w:rsidRPr="007844C6">
        <w:rPr>
          <w:rFonts w:cs="Times New Roman"/>
        </w:rPr>
        <w:t>. 6-8</w:t>
      </w:r>
      <w:r w:rsidRPr="007844C6">
        <w:rPr>
          <w:rFonts w:cs="Times New Roman"/>
          <w:i/>
        </w:rPr>
        <w:t>.</w:t>
      </w:r>
      <w:r w:rsidRPr="007844C6">
        <w:rPr>
          <w:rFonts w:cs="Times New Roman"/>
        </w:rPr>
        <w:t xml:space="preserve"> </w:t>
      </w:r>
      <w:r>
        <w:rPr>
          <w:rFonts w:cs="Times New Roman"/>
        </w:rPr>
        <w:t xml:space="preserve"> </w:t>
      </w:r>
      <w:r w:rsidRPr="007844C6">
        <w:rPr>
          <w:rFonts w:cs="Times New Roman"/>
        </w:rPr>
        <w:t xml:space="preserve">However, trial judges are not required to explain in </w:t>
      </w:r>
      <w:r w:rsidRPr="007844C6">
        <w:rPr>
          <w:rFonts w:cs="Times New Roman"/>
        </w:rPr>
        <w:lastRenderedPageBreak/>
        <w:t xml:space="preserve">detail the process they followed to reach a verdict:  see </w:t>
      </w:r>
      <w:r w:rsidRPr="007844C6">
        <w:rPr>
          <w:rFonts w:cs="Times New Roman"/>
          <w:i/>
        </w:rPr>
        <w:t>R. v. Boucher</w:t>
      </w:r>
      <w:r w:rsidRPr="007844C6">
        <w:rPr>
          <w:rFonts w:cs="Times New Roman"/>
        </w:rPr>
        <w:t xml:space="preserve">, 2005 SCC 72, [2005] 3 S.C.R. 499, at </w:t>
      </w:r>
      <w:proofErr w:type="spellStart"/>
      <w:r w:rsidRPr="007844C6">
        <w:rPr>
          <w:rFonts w:cs="Times New Roman"/>
        </w:rPr>
        <w:t>para</w:t>
      </w:r>
      <w:proofErr w:type="spellEnd"/>
      <w:r w:rsidRPr="007844C6">
        <w:rPr>
          <w:rFonts w:cs="Times New Roman"/>
        </w:rPr>
        <w:t>. 29.</w:t>
      </w:r>
    </w:p>
    <w:p w:rsidR="008B1175" w:rsidRPr="007844C6" w:rsidRDefault="008B1175" w:rsidP="008B1175">
      <w:pPr>
        <w:pStyle w:val="ParaNoNdepar-AltN"/>
        <w:numPr>
          <w:ilvl w:val="0"/>
          <w:numId w:val="0"/>
        </w:numPr>
        <w:rPr>
          <w:rFonts w:cs="Times New Roman"/>
        </w:rPr>
      </w:pP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The trial judge adverted to the principles of </w:t>
      </w:r>
      <w:r w:rsidRPr="007844C6">
        <w:rPr>
          <w:rFonts w:cs="Times New Roman"/>
          <w:i/>
        </w:rPr>
        <w:t>W.(D.)</w:t>
      </w:r>
      <w:r w:rsidRPr="007844C6">
        <w:rPr>
          <w:rFonts w:cs="Times New Roman"/>
        </w:rPr>
        <w:t xml:space="preserve"> at the outset of his reasons:</w:t>
      </w:r>
    </w:p>
    <w:p w:rsidR="008B1175" w:rsidRPr="007844C6" w:rsidRDefault="008B1175" w:rsidP="008B1175">
      <w:pPr>
        <w:pStyle w:val="Citation-AltC"/>
      </w:pPr>
      <w:proofErr w:type="gramStart"/>
      <w:r w:rsidRPr="007844C6">
        <w:rPr>
          <w:i/>
        </w:rPr>
        <w:t>W.(</w:t>
      </w:r>
      <w:proofErr w:type="gramEnd"/>
      <w:r w:rsidRPr="007844C6">
        <w:rPr>
          <w:i/>
        </w:rPr>
        <w:t xml:space="preserve">D.) </w:t>
      </w:r>
      <w:r w:rsidRPr="007844C6">
        <w:t xml:space="preserve">requires me to attend to the evidence of the accused in a particular way.  That does not mean, however, that the </w:t>
      </w:r>
      <w:proofErr w:type="spellStart"/>
      <w:r w:rsidRPr="007844C6">
        <w:t>accused’s</w:t>
      </w:r>
      <w:proofErr w:type="spellEnd"/>
      <w:r w:rsidRPr="007844C6">
        <w:t xml:space="preserve"> evidence is considered in a vacuum.  The dangers that </w:t>
      </w:r>
      <w:r w:rsidRPr="007844C6">
        <w:rPr>
          <w:i/>
          <w:iCs/>
        </w:rPr>
        <w:t>W</w:t>
      </w:r>
      <w:proofErr w:type="gramStart"/>
      <w:r w:rsidRPr="007844C6">
        <w:rPr>
          <w:i/>
          <w:iCs/>
        </w:rPr>
        <w:t>.(</w:t>
      </w:r>
      <w:proofErr w:type="gramEnd"/>
      <w:r w:rsidRPr="007844C6">
        <w:rPr>
          <w:i/>
          <w:iCs/>
        </w:rPr>
        <w:t>D.)</w:t>
      </w:r>
      <w:r w:rsidRPr="007844C6">
        <w:t xml:space="preserve"> addresses are the potential for simply comparing stories and for shifting the onus to the accused.  However, the </w:t>
      </w:r>
      <w:proofErr w:type="spellStart"/>
      <w:r w:rsidRPr="007844C6">
        <w:t>accused’s</w:t>
      </w:r>
      <w:proofErr w:type="spellEnd"/>
      <w:r w:rsidRPr="007844C6">
        <w:t xml:space="preserve"> evidence is part of a body of evidence, all of which bears upon the credit that may be given to any portion of that evidence.</w:t>
      </w:r>
    </w:p>
    <w:p w:rsidR="008B1175" w:rsidRPr="007844C6" w:rsidRDefault="008B1175" w:rsidP="008B1175">
      <w:pPr>
        <w:pStyle w:val="Citation-AltC"/>
      </w:pPr>
    </w:p>
    <w:p w:rsidR="008B1175" w:rsidRPr="007844C6" w:rsidRDefault="008B1175" w:rsidP="008B1175">
      <w:pPr>
        <w:pStyle w:val="Citation-AltC"/>
      </w:pPr>
      <w:r w:rsidRPr="007844C6">
        <w:t xml:space="preserve">One cannot determine whether the </w:t>
      </w:r>
      <w:proofErr w:type="spellStart"/>
      <w:r w:rsidRPr="007844C6">
        <w:t>accused’s</w:t>
      </w:r>
      <w:proofErr w:type="spellEnd"/>
      <w:r w:rsidRPr="007844C6">
        <w:t xml:space="preserve"> evidence is true or at least raises a reasonable doubt by simply considering his evidence and the way he gave it.  Doing so ignores one of the fundamental [tenets] of fact-finding.  It is not just internal consistency which lends credence to testimony.  External consistency is also part of the analysis.  </w:t>
      </w:r>
      <w:r w:rsidRPr="007844C6">
        <w:rPr>
          <w:u w:val="single"/>
        </w:rPr>
        <w:t>Evidence inconsistent with found</w:t>
      </w:r>
      <w:r w:rsidRPr="007844C6">
        <w:t xml:space="preserve"> or admitted </w:t>
      </w:r>
      <w:r w:rsidRPr="007844C6">
        <w:rPr>
          <w:u w:val="single"/>
        </w:rPr>
        <w:t>fact, may be discounted</w:t>
      </w:r>
      <w:r w:rsidRPr="007844C6">
        <w:t>, no matter what its source.  [Emphasis added.]</w:t>
      </w:r>
    </w:p>
    <w:p w:rsidR="008B1175" w:rsidRPr="007844C6" w:rsidRDefault="008B1175" w:rsidP="008B1175">
      <w:pPr>
        <w:pStyle w:val="Citation-AltC"/>
      </w:pPr>
    </w:p>
    <w:p w:rsidR="008B1175" w:rsidRPr="007844C6" w:rsidRDefault="008B1175" w:rsidP="008B1175">
      <w:pPr>
        <w:pStyle w:val="ParaNoNdepar-AltN"/>
        <w:tabs>
          <w:tab w:val="clear" w:pos="1166"/>
          <w:tab w:val="num" w:pos="1152"/>
        </w:tabs>
        <w:rPr>
          <w:rFonts w:cs="Times New Roman"/>
        </w:rPr>
      </w:pPr>
      <w:r w:rsidRPr="007844C6">
        <w:rPr>
          <w:rFonts w:cs="Times New Roman"/>
        </w:rPr>
        <w:t>Immediately following these paragraphs, the trial judge assessed the complainant’s credibility, starting with the statement:  “In this case, [the complainant’s] evidence was compelling.”</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The appellant argues that in the absence of any reasons why his evidence was rejected or did not raise a reasonable doubt, the reasons suggest that the trial </w:t>
      </w:r>
      <w:r w:rsidRPr="007844C6">
        <w:rPr>
          <w:rFonts w:cs="Times New Roman"/>
        </w:rPr>
        <w:lastRenderedPageBreak/>
        <w:t>judge first found the complainant credible, and then used that finding — or “found fact” to use the trial judge’s words — to later reject the evidence of the appellant, effectively choosing the Crown’s evidence over that of the defence.</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In my view, the trial judge was merely articulating general principles of law that </w:t>
      </w:r>
      <w:r w:rsidRPr="007844C6">
        <w:rPr>
          <w:rFonts w:cs="Times New Roman"/>
          <w:i/>
        </w:rPr>
        <w:t>may</w:t>
      </w:r>
      <w:r w:rsidRPr="007844C6">
        <w:rPr>
          <w:rFonts w:cs="Times New Roman"/>
        </w:rPr>
        <w:t xml:space="preserve"> be used in assessing the evidence of the accused.  Further, in assessing the Crown’s case, the trial judge referred explicitly to the appellant’s denial:  “. . . notwithstanding [the appellant’s] denial, I have no reasonable doubt that the [appellant] did commit the acts which [the complainant] described”.</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I conclude, therefore, that the trial judge properly applied the burden of proof.  Although a trial judge is not required to outline the </w:t>
      </w:r>
      <w:r w:rsidRPr="007844C6">
        <w:rPr>
          <w:rFonts w:cs="Times New Roman"/>
          <w:i/>
        </w:rPr>
        <w:t>W</w:t>
      </w:r>
      <w:proofErr w:type="gramStart"/>
      <w:r w:rsidRPr="007844C6">
        <w:rPr>
          <w:rFonts w:cs="Times New Roman"/>
          <w:i/>
        </w:rPr>
        <w:t>.(</w:t>
      </w:r>
      <w:proofErr w:type="gramEnd"/>
      <w:r w:rsidRPr="007844C6">
        <w:rPr>
          <w:rFonts w:cs="Times New Roman"/>
          <w:i/>
        </w:rPr>
        <w:t>D.)</w:t>
      </w:r>
      <w:r w:rsidRPr="007844C6">
        <w:rPr>
          <w:rFonts w:cs="Times New Roman"/>
        </w:rPr>
        <w:t xml:space="preserve"> steps, the trial judge here referred to </w:t>
      </w:r>
      <w:r w:rsidRPr="007844C6">
        <w:rPr>
          <w:rFonts w:cs="Times New Roman"/>
          <w:i/>
        </w:rPr>
        <w:t>W.(D.)</w:t>
      </w:r>
      <w:r w:rsidRPr="007844C6">
        <w:rPr>
          <w:rFonts w:cs="Times New Roman"/>
        </w:rPr>
        <w:t xml:space="preserve"> and the dangers that it addresses:  “. . . the potential for simply comparing stories and for shifting the onus to the accused”.  In my view, the trial judge’s reasons for </w:t>
      </w:r>
      <w:r>
        <w:rPr>
          <w:rFonts w:cs="Times New Roman"/>
        </w:rPr>
        <w:t>finding</w:t>
      </w:r>
      <w:r w:rsidRPr="007844C6">
        <w:rPr>
          <w:rFonts w:cs="Times New Roman"/>
        </w:rPr>
        <w:t xml:space="preserve"> the appellant </w:t>
      </w:r>
      <w:r>
        <w:rPr>
          <w:rFonts w:cs="Times New Roman"/>
        </w:rPr>
        <w:t xml:space="preserve">guilty </w:t>
      </w:r>
      <w:r w:rsidRPr="007844C6">
        <w:rPr>
          <w:rFonts w:cs="Times New Roman"/>
        </w:rPr>
        <w:t>on counts 1 and 2, read in the context of the reasons as a whole, do not reveal an incorrect application of the principles outlined in that decision.</w:t>
      </w:r>
    </w:p>
    <w:p w:rsidR="008B1175" w:rsidRPr="007844C6" w:rsidRDefault="008B1175" w:rsidP="008B1175">
      <w:pPr>
        <w:pStyle w:val="ParaNoNdepar-AltN"/>
        <w:tabs>
          <w:tab w:val="clear" w:pos="1166"/>
          <w:tab w:val="num" w:pos="1152"/>
        </w:tabs>
        <w:rPr>
          <w:rFonts w:cs="Times New Roman"/>
        </w:rPr>
      </w:pPr>
      <w:r w:rsidRPr="007844C6">
        <w:rPr>
          <w:rFonts w:cs="Times New Roman"/>
        </w:rPr>
        <w:t xml:space="preserve">In the result, the trial judge rejected the appellant’s testimony.  In </w:t>
      </w:r>
      <w:r w:rsidRPr="007844C6">
        <w:rPr>
          <w:rFonts w:cs="Times New Roman"/>
          <w:i/>
        </w:rPr>
        <w:t>Boucher</w:t>
      </w:r>
      <w:r w:rsidRPr="007844C6">
        <w:rPr>
          <w:rFonts w:cs="Times New Roman"/>
        </w:rPr>
        <w:t xml:space="preserve">, </w:t>
      </w:r>
      <w:proofErr w:type="spellStart"/>
      <w:r w:rsidRPr="007844C6">
        <w:rPr>
          <w:rFonts w:cs="Times New Roman"/>
        </w:rPr>
        <w:t>Charron</w:t>
      </w:r>
      <w:proofErr w:type="spellEnd"/>
      <w:r w:rsidRPr="007844C6">
        <w:rPr>
          <w:rFonts w:cs="Times New Roman"/>
        </w:rPr>
        <w:t xml:space="preserve"> J. (dissenting in part) stated that when a trial judge rejects an </w:t>
      </w:r>
      <w:proofErr w:type="spellStart"/>
      <w:r w:rsidRPr="007844C6">
        <w:rPr>
          <w:rFonts w:cs="Times New Roman"/>
        </w:rPr>
        <w:t>accused’s</w:t>
      </w:r>
      <w:proofErr w:type="spellEnd"/>
      <w:r w:rsidRPr="007844C6">
        <w:rPr>
          <w:rFonts w:cs="Times New Roman"/>
        </w:rPr>
        <w:t xml:space="preserve"> testimony, “it can generally be concluded that the testimony failed to raise a reasonable doubt in the judge’s mind” (</w:t>
      </w:r>
      <w:proofErr w:type="spellStart"/>
      <w:r w:rsidRPr="007844C6">
        <w:rPr>
          <w:rFonts w:cs="Times New Roman"/>
        </w:rPr>
        <w:t>para</w:t>
      </w:r>
      <w:proofErr w:type="spellEnd"/>
      <w:r w:rsidRPr="007844C6">
        <w:rPr>
          <w:rFonts w:cs="Times New Roman"/>
        </w:rPr>
        <w:t xml:space="preserve">. 59). Similarly, in </w:t>
      </w:r>
      <w:r w:rsidRPr="007844C6">
        <w:rPr>
          <w:rFonts w:cs="Times New Roman"/>
          <w:i/>
        </w:rPr>
        <w:t>R.E.M.</w:t>
      </w:r>
      <w:r w:rsidRPr="007844C6">
        <w:rPr>
          <w:rFonts w:cs="Times New Roman"/>
        </w:rPr>
        <w:t xml:space="preserve">, McLachlin C.J. stated that “the convictions themselves raise a reasonable inference that the </w:t>
      </w:r>
      <w:proofErr w:type="spellStart"/>
      <w:r w:rsidRPr="007844C6">
        <w:rPr>
          <w:rFonts w:cs="Times New Roman"/>
        </w:rPr>
        <w:t>accused’s</w:t>
      </w:r>
      <w:proofErr w:type="spellEnd"/>
      <w:r w:rsidRPr="007844C6">
        <w:rPr>
          <w:rFonts w:cs="Times New Roman"/>
        </w:rPr>
        <w:t xml:space="preserve"> denial of the charges failed to raise a reasonable doubt” (</w:t>
      </w:r>
      <w:proofErr w:type="spellStart"/>
      <w:r w:rsidRPr="007844C6">
        <w:rPr>
          <w:rFonts w:cs="Times New Roman"/>
        </w:rPr>
        <w:t>para</w:t>
      </w:r>
      <w:proofErr w:type="spellEnd"/>
      <w:r w:rsidRPr="007844C6">
        <w:rPr>
          <w:rFonts w:cs="Times New Roman"/>
        </w:rPr>
        <w:t>. 66).</w:t>
      </w:r>
    </w:p>
    <w:p w:rsidR="008B1175" w:rsidRPr="00E60553" w:rsidRDefault="008B1175" w:rsidP="008B1175">
      <w:pPr>
        <w:pStyle w:val="ParaNoNdepar-AltN"/>
        <w:tabs>
          <w:tab w:val="clear" w:pos="1166"/>
          <w:tab w:val="num" w:pos="1152"/>
        </w:tabs>
        <w:rPr>
          <w:rFonts w:cs="Times New Roman"/>
        </w:rPr>
      </w:pPr>
      <w:r w:rsidRPr="00E60553">
        <w:rPr>
          <w:rFonts w:cs="Times New Roman"/>
        </w:rPr>
        <w:lastRenderedPageBreak/>
        <w:t>Here, the appellant was not believed.  The Crown’s case was considered with the appellant’s denial in mind, and the trial judge concluded, as he was entitled to do, that his denial did not raise a reasonable doubt.</w:t>
      </w:r>
    </w:p>
    <w:p w:rsidR="008B1175" w:rsidRPr="007844C6" w:rsidRDefault="008B1175" w:rsidP="008B1175">
      <w:pPr>
        <w:pStyle w:val="TitleTitre-AltT"/>
        <w:rPr>
          <w:rFonts w:cs="Times New Roman"/>
          <w:u w:val="single"/>
        </w:rPr>
      </w:pPr>
      <w:r w:rsidRPr="007844C6">
        <w:rPr>
          <w:rFonts w:cs="Times New Roman"/>
        </w:rPr>
        <w:t>V.</w:t>
      </w:r>
      <w:r w:rsidRPr="007844C6">
        <w:rPr>
          <w:rFonts w:cs="Times New Roman"/>
        </w:rPr>
        <w:tab/>
      </w:r>
      <w:r w:rsidRPr="007844C6">
        <w:rPr>
          <w:rFonts w:cs="Times New Roman"/>
          <w:u w:val="single"/>
        </w:rPr>
        <w:t>Conclusion</w:t>
      </w:r>
    </w:p>
    <w:p w:rsidR="008B1175" w:rsidRPr="007844C6" w:rsidRDefault="008B1175" w:rsidP="008B1175">
      <w:pPr>
        <w:pStyle w:val="ParaNoNdepar-AltN"/>
        <w:rPr>
          <w:rFonts w:cs="Times New Roman"/>
        </w:rPr>
      </w:pPr>
      <w:r w:rsidRPr="007844C6">
        <w:rPr>
          <w:rFonts w:cs="Times New Roman"/>
        </w:rPr>
        <w:t>For these reasons, I would dismiss the appeal.</w:t>
      </w:r>
    </w:p>
    <w:p w:rsidR="009B57B3" w:rsidRPr="00442D9C" w:rsidRDefault="001700DF" w:rsidP="00031604">
      <w:pPr>
        <w:pStyle w:val="SCCNormalDoubleSpacing"/>
        <w:spacing w:before="480" w:after="480"/>
      </w:pPr>
      <w:r w:rsidRPr="00442D9C">
        <w:tab/>
      </w:r>
      <w:r w:rsidR="00656313" w:rsidRPr="00442D9C">
        <w:rPr>
          <w:i/>
        </w:rPr>
        <w:t>Appeal</w:t>
      </w:r>
      <w:r w:rsidRPr="00442D9C">
        <w:rPr>
          <w:i/>
        </w:rPr>
        <w:t xml:space="preserve"> </w:t>
      </w:r>
      <w:r w:rsidR="00BD7054" w:rsidRPr="00442D9C">
        <w:rPr>
          <w:i/>
        </w:rPr>
        <w:t>dismissed</w:t>
      </w:r>
      <w:r w:rsidRPr="00442D9C">
        <w:rPr>
          <w:i/>
        </w:rPr>
        <w:t>.</w:t>
      </w:r>
    </w:p>
    <w:p w:rsidR="001700DF" w:rsidRPr="00442D9C" w:rsidRDefault="00C42145" w:rsidP="00031604">
      <w:pPr>
        <w:pStyle w:val="SCCNormalDoubleSpacing"/>
        <w:spacing w:before="480" w:after="480"/>
        <w:rPr>
          <w:i/>
        </w:rPr>
      </w:pPr>
      <w:r w:rsidRPr="00442D9C">
        <w:rPr>
          <w:i/>
        </w:rPr>
        <w:tab/>
        <w:t>Solicitors for the appellant:  </w:t>
      </w:r>
      <w:r w:rsidR="001700DF" w:rsidRPr="00442D9C">
        <w:rPr>
          <w:i/>
        </w:rPr>
        <w:t xml:space="preserve">Royal </w:t>
      </w:r>
      <w:proofErr w:type="spellStart"/>
      <w:r w:rsidR="001700DF" w:rsidRPr="00442D9C">
        <w:rPr>
          <w:i/>
        </w:rPr>
        <w:t>Teskey</w:t>
      </w:r>
      <w:proofErr w:type="spellEnd"/>
      <w:r w:rsidR="001700DF" w:rsidRPr="00442D9C">
        <w:rPr>
          <w:i/>
        </w:rPr>
        <w:t>, Edmonton.</w:t>
      </w:r>
    </w:p>
    <w:p w:rsidR="009B57B3" w:rsidRDefault="00C42145" w:rsidP="007D7F01">
      <w:pPr>
        <w:pStyle w:val="SCCNormalDoubleSpacing"/>
        <w:spacing w:before="480" w:after="480"/>
        <w:rPr>
          <w:b/>
        </w:rPr>
      </w:pPr>
      <w:r w:rsidRPr="00442D9C">
        <w:rPr>
          <w:i/>
        </w:rPr>
        <w:tab/>
        <w:t>Solicitor for the respondent:  </w:t>
      </w:r>
      <w:r w:rsidR="001700DF" w:rsidRPr="00442D9C">
        <w:rPr>
          <w:i/>
        </w:rPr>
        <w:t>Attorney General of Alberta, Edmonton.</w:t>
      </w:r>
    </w:p>
    <w:p w:rsidR="007D7F01" w:rsidRPr="00FD2A2F" w:rsidRDefault="007D7F01" w:rsidP="007D7F01">
      <w:pPr>
        <w:pStyle w:val="SCCNormalDoubleSpacing"/>
        <w:spacing w:before="480" w:after="480"/>
        <w:rPr>
          <w:lang w:val="en-US"/>
        </w:rPr>
      </w:pPr>
    </w:p>
    <w:sectPr w:rsidR="007D7F01" w:rsidRPr="00FD2A2F" w:rsidSect="00D44109">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F01" w:rsidRDefault="007D7F01">
      <w:r>
        <w:separator/>
      </w:r>
    </w:p>
  </w:endnote>
  <w:endnote w:type="continuationSeparator" w:id="0">
    <w:p w:rsidR="007D7F01" w:rsidRDefault="007D7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F01" w:rsidRDefault="007D7F01">
      <w:r>
        <w:separator/>
      </w:r>
    </w:p>
  </w:footnote>
  <w:footnote w:type="continuationSeparator" w:id="0">
    <w:p w:rsidR="007D7F01" w:rsidRDefault="007D7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4648"/>
      <w:docPartObj>
        <w:docPartGallery w:val="Page Numbers (Top of Page)"/>
        <w:docPartUnique/>
      </w:docPartObj>
    </w:sdtPr>
    <w:sdtContent>
      <w:p w:rsidR="00D44109" w:rsidRDefault="00D44109">
        <w:pPr>
          <w:pStyle w:val="Header"/>
          <w:jc w:val="center"/>
        </w:pPr>
        <w:r>
          <w:t xml:space="preserve">- </w:t>
        </w:r>
        <w:fldSimple w:instr=" PAGE   \* MERGEFORMAT ">
          <w:r w:rsidR="000F1B4C">
            <w:rPr>
              <w:noProof/>
            </w:rPr>
            <w:t>2</w:t>
          </w:r>
        </w:fldSimple>
        <w:r>
          <w:t xml:space="preserve"> -</w:t>
        </w:r>
      </w:p>
    </w:sdtContent>
  </w:sdt>
  <w:p w:rsidR="007D7F01" w:rsidRPr="00450352" w:rsidRDefault="007D7F0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01B2E"/>
    <w:rsid w:val="00025198"/>
    <w:rsid w:val="00031604"/>
    <w:rsid w:val="000578A3"/>
    <w:rsid w:val="00061E7B"/>
    <w:rsid w:val="000648CC"/>
    <w:rsid w:val="00077E6B"/>
    <w:rsid w:val="000C59B8"/>
    <w:rsid w:val="000C6AF0"/>
    <w:rsid w:val="000E3CC2"/>
    <w:rsid w:val="000F1B4C"/>
    <w:rsid w:val="00104F33"/>
    <w:rsid w:val="00111DE2"/>
    <w:rsid w:val="00116B38"/>
    <w:rsid w:val="00135406"/>
    <w:rsid w:val="00135972"/>
    <w:rsid w:val="001426A9"/>
    <w:rsid w:val="00154D7C"/>
    <w:rsid w:val="001570B0"/>
    <w:rsid w:val="0015752C"/>
    <w:rsid w:val="00157737"/>
    <w:rsid w:val="00165277"/>
    <w:rsid w:val="001700DF"/>
    <w:rsid w:val="00170592"/>
    <w:rsid w:val="00171303"/>
    <w:rsid w:val="00186351"/>
    <w:rsid w:val="00195D83"/>
    <w:rsid w:val="001A00C1"/>
    <w:rsid w:val="001B33E0"/>
    <w:rsid w:val="001B4573"/>
    <w:rsid w:val="001B75B8"/>
    <w:rsid w:val="001C779F"/>
    <w:rsid w:val="001D2AC1"/>
    <w:rsid w:val="001D4E88"/>
    <w:rsid w:val="00220FC2"/>
    <w:rsid w:val="002222F4"/>
    <w:rsid w:val="00224FC0"/>
    <w:rsid w:val="00225EA4"/>
    <w:rsid w:val="00226EAF"/>
    <w:rsid w:val="00231F3A"/>
    <w:rsid w:val="00234199"/>
    <w:rsid w:val="002406EE"/>
    <w:rsid w:val="00243EC8"/>
    <w:rsid w:val="00270D93"/>
    <w:rsid w:val="002745CC"/>
    <w:rsid w:val="00282F9E"/>
    <w:rsid w:val="002B7924"/>
    <w:rsid w:val="002D28C3"/>
    <w:rsid w:val="002D39A4"/>
    <w:rsid w:val="002E6705"/>
    <w:rsid w:val="00301D08"/>
    <w:rsid w:val="0030329A"/>
    <w:rsid w:val="0031086F"/>
    <w:rsid w:val="0031414C"/>
    <w:rsid w:val="00314E01"/>
    <w:rsid w:val="0032089D"/>
    <w:rsid w:val="003310DE"/>
    <w:rsid w:val="003323B0"/>
    <w:rsid w:val="0034247F"/>
    <w:rsid w:val="0035169A"/>
    <w:rsid w:val="0035259D"/>
    <w:rsid w:val="00364B18"/>
    <w:rsid w:val="0037086A"/>
    <w:rsid w:val="00375089"/>
    <w:rsid w:val="003A125D"/>
    <w:rsid w:val="003A4C70"/>
    <w:rsid w:val="003B215F"/>
    <w:rsid w:val="003C799C"/>
    <w:rsid w:val="003D0399"/>
    <w:rsid w:val="003E1C71"/>
    <w:rsid w:val="003E5EED"/>
    <w:rsid w:val="003F327B"/>
    <w:rsid w:val="00406166"/>
    <w:rsid w:val="0040704B"/>
    <w:rsid w:val="00410A55"/>
    <w:rsid w:val="00411300"/>
    <w:rsid w:val="00415417"/>
    <w:rsid w:val="00426659"/>
    <w:rsid w:val="00442D9C"/>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76C3C"/>
    <w:rsid w:val="00583EDE"/>
    <w:rsid w:val="005A6079"/>
    <w:rsid w:val="005D17B7"/>
    <w:rsid w:val="005E4698"/>
    <w:rsid w:val="00610539"/>
    <w:rsid w:val="00613969"/>
    <w:rsid w:val="00625C35"/>
    <w:rsid w:val="00641521"/>
    <w:rsid w:val="00656313"/>
    <w:rsid w:val="006565F4"/>
    <w:rsid w:val="00684EEA"/>
    <w:rsid w:val="0069689B"/>
    <w:rsid w:val="006A1551"/>
    <w:rsid w:val="006A2D4A"/>
    <w:rsid w:val="006B5FF5"/>
    <w:rsid w:val="006F30AF"/>
    <w:rsid w:val="00701759"/>
    <w:rsid w:val="00705C15"/>
    <w:rsid w:val="007133EE"/>
    <w:rsid w:val="0071423F"/>
    <w:rsid w:val="0071600E"/>
    <w:rsid w:val="007208D1"/>
    <w:rsid w:val="00747288"/>
    <w:rsid w:val="00747DD3"/>
    <w:rsid w:val="007549C8"/>
    <w:rsid w:val="00754A0B"/>
    <w:rsid w:val="00766D14"/>
    <w:rsid w:val="00767A0F"/>
    <w:rsid w:val="0077735D"/>
    <w:rsid w:val="00795130"/>
    <w:rsid w:val="007A05F6"/>
    <w:rsid w:val="007B6F4A"/>
    <w:rsid w:val="007D7F01"/>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319D"/>
    <w:rsid w:val="00874914"/>
    <w:rsid w:val="00891422"/>
    <w:rsid w:val="00892E1A"/>
    <w:rsid w:val="008A3F29"/>
    <w:rsid w:val="008B1175"/>
    <w:rsid w:val="008B660A"/>
    <w:rsid w:val="008C01DA"/>
    <w:rsid w:val="008E3987"/>
    <w:rsid w:val="008F78E9"/>
    <w:rsid w:val="00911989"/>
    <w:rsid w:val="009179F9"/>
    <w:rsid w:val="00933E5E"/>
    <w:rsid w:val="00935218"/>
    <w:rsid w:val="009403F3"/>
    <w:rsid w:val="009555B7"/>
    <w:rsid w:val="009567AA"/>
    <w:rsid w:val="00967374"/>
    <w:rsid w:val="00991DA3"/>
    <w:rsid w:val="009A343A"/>
    <w:rsid w:val="009B2F23"/>
    <w:rsid w:val="009B57B3"/>
    <w:rsid w:val="009C5B92"/>
    <w:rsid w:val="009D2920"/>
    <w:rsid w:val="009D510D"/>
    <w:rsid w:val="009D5AEB"/>
    <w:rsid w:val="009F0E33"/>
    <w:rsid w:val="00A030CE"/>
    <w:rsid w:val="00A067F4"/>
    <w:rsid w:val="00A149DF"/>
    <w:rsid w:val="00A1755C"/>
    <w:rsid w:val="00A21B90"/>
    <w:rsid w:val="00A26210"/>
    <w:rsid w:val="00A41805"/>
    <w:rsid w:val="00A42DCD"/>
    <w:rsid w:val="00A52AFB"/>
    <w:rsid w:val="00A548CB"/>
    <w:rsid w:val="00A5521C"/>
    <w:rsid w:val="00A643E7"/>
    <w:rsid w:val="00A73C38"/>
    <w:rsid w:val="00AB670D"/>
    <w:rsid w:val="00AD7045"/>
    <w:rsid w:val="00AF03C5"/>
    <w:rsid w:val="00AF3507"/>
    <w:rsid w:val="00B000D8"/>
    <w:rsid w:val="00B00F75"/>
    <w:rsid w:val="00B145B6"/>
    <w:rsid w:val="00B279EB"/>
    <w:rsid w:val="00B50C81"/>
    <w:rsid w:val="00B557F8"/>
    <w:rsid w:val="00B74532"/>
    <w:rsid w:val="00B80C4E"/>
    <w:rsid w:val="00B815FC"/>
    <w:rsid w:val="00B93FBC"/>
    <w:rsid w:val="00BA7DA0"/>
    <w:rsid w:val="00BB2EE4"/>
    <w:rsid w:val="00BC2108"/>
    <w:rsid w:val="00BD0E9E"/>
    <w:rsid w:val="00BD1BEC"/>
    <w:rsid w:val="00BD32FF"/>
    <w:rsid w:val="00BD7054"/>
    <w:rsid w:val="00C02092"/>
    <w:rsid w:val="00C24D91"/>
    <w:rsid w:val="00C42145"/>
    <w:rsid w:val="00C468F7"/>
    <w:rsid w:val="00C53F14"/>
    <w:rsid w:val="00C600CF"/>
    <w:rsid w:val="00C6084F"/>
    <w:rsid w:val="00C6296A"/>
    <w:rsid w:val="00C62A66"/>
    <w:rsid w:val="00C71458"/>
    <w:rsid w:val="00C77613"/>
    <w:rsid w:val="00C828E7"/>
    <w:rsid w:val="00C86719"/>
    <w:rsid w:val="00C921DD"/>
    <w:rsid w:val="00CA6391"/>
    <w:rsid w:val="00CC1A2C"/>
    <w:rsid w:val="00CC34BD"/>
    <w:rsid w:val="00CE161A"/>
    <w:rsid w:val="00CE3171"/>
    <w:rsid w:val="00CF1601"/>
    <w:rsid w:val="00CF7434"/>
    <w:rsid w:val="00D0172F"/>
    <w:rsid w:val="00D068A7"/>
    <w:rsid w:val="00D17476"/>
    <w:rsid w:val="00D32086"/>
    <w:rsid w:val="00D37A3F"/>
    <w:rsid w:val="00D44109"/>
    <w:rsid w:val="00D4431D"/>
    <w:rsid w:val="00D4667A"/>
    <w:rsid w:val="00D46D14"/>
    <w:rsid w:val="00D5012A"/>
    <w:rsid w:val="00D60EDC"/>
    <w:rsid w:val="00D63A1C"/>
    <w:rsid w:val="00D7516F"/>
    <w:rsid w:val="00D84823"/>
    <w:rsid w:val="00D8579F"/>
    <w:rsid w:val="00D95F8E"/>
    <w:rsid w:val="00DA0590"/>
    <w:rsid w:val="00DB7BEA"/>
    <w:rsid w:val="00DC1739"/>
    <w:rsid w:val="00DC1788"/>
    <w:rsid w:val="00DE319C"/>
    <w:rsid w:val="00DF0CA8"/>
    <w:rsid w:val="00DF2B48"/>
    <w:rsid w:val="00DF49A7"/>
    <w:rsid w:val="00E07EE2"/>
    <w:rsid w:val="00E07FD1"/>
    <w:rsid w:val="00E24573"/>
    <w:rsid w:val="00E25E1E"/>
    <w:rsid w:val="00E27EE7"/>
    <w:rsid w:val="00E35404"/>
    <w:rsid w:val="00E35D8B"/>
    <w:rsid w:val="00E45109"/>
    <w:rsid w:val="00E47B7A"/>
    <w:rsid w:val="00E56A44"/>
    <w:rsid w:val="00E60269"/>
    <w:rsid w:val="00E743A2"/>
    <w:rsid w:val="00E77932"/>
    <w:rsid w:val="00E97830"/>
    <w:rsid w:val="00EE643C"/>
    <w:rsid w:val="00EF0683"/>
    <w:rsid w:val="00EF69D2"/>
    <w:rsid w:val="00EF766E"/>
    <w:rsid w:val="00F0070C"/>
    <w:rsid w:val="00F00EB7"/>
    <w:rsid w:val="00F053DD"/>
    <w:rsid w:val="00F36AB6"/>
    <w:rsid w:val="00F37394"/>
    <w:rsid w:val="00F37A09"/>
    <w:rsid w:val="00F409CE"/>
    <w:rsid w:val="00F4379D"/>
    <w:rsid w:val="00F50D2D"/>
    <w:rsid w:val="00F56C8B"/>
    <w:rsid w:val="00F608E6"/>
    <w:rsid w:val="00F66810"/>
    <w:rsid w:val="00F846D9"/>
    <w:rsid w:val="00F84DF4"/>
    <w:rsid w:val="00F85C97"/>
    <w:rsid w:val="00FB37D2"/>
    <w:rsid w:val="00FC4EFB"/>
    <w:rsid w:val="00FD068D"/>
    <w:rsid w:val="00FD2A2F"/>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8B117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B1175"/>
    <w:rPr>
      <w:rFonts w:eastAsiaTheme="minorHAnsi" w:cstheme="minorBidi"/>
      <w:sz w:val="24"/>
      <w:szCs w:val="22"/>
      <w:lang w:eastAsia="en-US"/>
    </w:rPr>
  </w:style>
  <w:style w:type="table" w:styleId="TableGrid">
    <w:name w:val="Table Grid"/>
    <w:basedOn w:val="TableNormal"/>
    <w:uiPriority w:val="59"/>
    <w:rsid w:val="008B11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B1175"/>
    <w:pPr>
      <w:spacing w:after="720"/>
      <w:ind w:left="1166"/>
      <w:contextualSpacing/>
      <w:jc w:val="both"/>
    </w:pPr>
    <w:rPr>
      <w:sz w:val="24"/>
    </w:rPr>
  </w:style>
  <w:style w:type="paragraph" w:customStyle="1" w:styleId="JudgeJuge">
    <w:name w:val="Judge / Juge"/>
    <w:uiPriority w:val="3"/>
    <w:rsid w:val="008B1175"/>
    <w:pPr>
      <w:tabs>
        <w:tab w:val="left" w:pos="1166"/>
      </w:tabs>
      <w:spacing w:after="480" w:line="480" w:lineRule="auto"/>
    </w:pPr>
    <w:rPr>
      <w:smallCaps/>
      <w:sz w:val="24"/>
    </w:rPr>
  </w:style>
  <w:style w:type="paragraph" w:customStyle="1" w:styleId="ParaNoNdepar-AltN">
    <w:name w:val="Para. No. / Nº de par. - Alt N"/>
    <w:qFormat/>
    <w:rsid w:val="008B117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8B1175"/>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2897</Words>
  <Characters>14854</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2013-06-27T15:58:00Z</dcterms:created>
  <dcterms:modified xsi:type="dcterms:W3CDTF">2014-04-07T17:01:00Z</dcterms:modified>
</cp:coreProperties>
</file>