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FE2" w:rsidRPr="00644507" w:rsidRDefault="009F0FE2" w:rsidP="009F0FE2">
      <w:pPr>
        <w:tabs>
          <w:tab w:val="center" w:pos="4680"/>
          <w:tab w:val="right" w:pos="9360"/>
        </w:tabs>
        <w:jc w:val="center"/>
        <w:rPr>
          <w:rFonts w:eastAsiaTheme="minorHAnsi" w:cstheme="minorBidi"/>
          <w:szCs w:val="24"/>
          <w:lang w:eastAsia="en-US"/>
        </w:rPr>
      </w:pPr>
      <w:r w:rsidRPr="00644507">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58374389" r:id="rId9"/>
        </w:object>
      </w:r>
    </w:p>
    <w:p w:rsidR="009F0FE2" w:rsidRPr="00644507" w:rsidRDefault="009F0FE2" w:rsidP="009F0FE2">
      <w:pPr>
        <w:tabs>
          <w:tab w:val="center" w:pos="4680"/>
          <w:tab w:val="right" w:pos="9360"/>
        </w:tabs>
        <w:rPr>
          <w:rFonts w:eastAsiaTheme="minorHAnsi" w:cstheme="minorBidi"/>
          <w:szCs w:val="24"/>
          <w:lang w:eastAsia="en-US"/>
        </w:rPr>
      </w:pPr>
    </w:p>
    <w:p w:rsidR="009F0FE2" w:rsidRPr="00644507" w:rsidRDefault="009F0FE2" w:rsidP="009F0FE2">
      <w:pPr>
        <w:jc w:val="center"/>
        <w:rPr>
          <w:rFonts w:eastAsiaTheme="minorHAnsi" w:cstheme="minorBidi"/>
          <w:b/>
          <w:szCs w:val="24"/>
          <w:lang w:eastAsia="en-US"/>
        </w:rPr>
      </w:pPr>
      <w:r w:rsidRPr="00644507">
        <w:rPr>
          <w:rFonts w:eastAsiaTheme="minorHAnsi" w:cstheme="minorBidi"/>
          <w:b/>
          <w:szCs w:val="24"/>
          <w:lang w:eastAsia="en-US"/>
        </w:rPr>
        <w:t>SUPREME COURT OF CANADA</w:t>
      </w:r>
    </w:p>
    <w:p w:rsidR="009F0FE2" w:rsidRPr="00644507" w:rsidRDefault="009F0FE2" w:rsidP="009F0FE2">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F0FE2" w:rsidRPr="00644507" w:rsidTr="005C299B">
        <w:trPr>
          <w:cantSplit/>
        </w:trPr>
        <w:tc>
          <w:tcPr>
            <w:tcW w:w="6768" w:type="dxa"/>
          </w:tcPr>
          <w:p w:rsidR="009F0FE2" w:rsidRPr="00644507" w:rsidRDefault="009F0FE2" w:rsidP="005C299B">
            <w:pPr>
              <w:rPr>
                <w:lang w:val="fr-CA"/>
              </w:rPr>
            </w:pPr>
            <w:r w:rsidRPr="00644507">
              <w:rPr>
                <w:b/>
                <w:smallCaps/>
                <w:lang w:val="fr-CA"/>
              </w:rPr>
              <w:t>Citation:</w:t>
            </w:r>
            <w:r w:rsidRPr="00644507">
              <w:rPr>
                <w:lang w:val="fr-CA"/>
              </w:rPr>
              <w:t xml:space="preserve"> Conseil scolaire francophone de la </w:t>
            </w:r>
            <w:proofErr w:type="spellStart"/>
            <w:r w:rsidRPr="00644507">
              <w:rPr>
                <w:lang w:val="fr-CA"/>
              </w:rPr>
              <w:t>Colombie</w:t>
            </w:r>
            <w:r w:rsidRPr="00644507">
              <w:rPr>
                <w:lang w:val="fr-CA"/>
              </w:rPr>
              <w:noBreakHyphen/>
              <w:t>Britannique</w:t>
            </w:r>
            <w:proofErr w:type="spellEnd"/>
            <w:r w:rsidRPr="00644507">
              <w:rPr>
                <w:i/>
                <w:lang w:val="fr-CA"/>
              </w:rPr>
              <w:t xml:space="preserve"> v.</w:t>
            </w:r>
            <w:r w:rsidRPr="00644507">
              <w:rPr>
                <w:lang w:val="fr-CA"/>
              </w:rPr>
              <w:t xml:space="preserve"> British Columbia,</w:t>
            </w:r>
            <w:r w:rsidRPr="00644507">
              <w:rPr>
                <w:b/>
                <w:lang w:val="fr-CA"/>
              </w:rPr>
              <w:t xml:space="preserve"> </w:t>
            </w:r>
            <w:r>
              <w:rPr>
                <w:lang w:val="fr-CA"/>
              </w:rPr>
              <w:t>2013 SCC 42, [2013] 2 S.C.R. 774</w:t>
            </w:r>
          </w:p>
        </w:tc>
        <w:tc>
          <w:tcPr>
            <w:tcW w:w="2808" w:type="dxa"/>
          </w:tcPr>
          <w:p w:rsidR="009F0FE2" w:rsidRPr="00644507" w:rsidRDefault="009F0FE2" w:rsidP="005C299B">
            <w:r w:rsidRPr="00644507">
              <w:rPr>
                <w:b/>
                <w:smallCaps/>
              </w:rPr>
              <w:t>Date:</w:t>
            </w:r>
            <w:r w:rsidRPr="00644507">
              <w:t xml:space="preserve"> 20130726</w:t>
            </w:r>
          </w:p>
          <w:p w:rsidR="009F0FE2" w:rsidRPr="00644507" w:rsidRDefault="009F0FE2" w:rsidP="005C299B">
            <w:r w:rsidRPr="00644507">
              <w:rPr>
                <w:b/>
                <w:smallCaps/>
              </w:rPr>
              <w:t>Docket:</w:t>
            </w:r>
            <w:r w:rsidRPr="00644507">
              <w:t xml:space="preserve"> 34908</w:t>
            </w:r>
          </w:p>
        </w:tc>
      </w:tr>
    </w:tbl>
    <w:p w:rsidR="009F0FE2" w:rsidRPr="00644507" w:rsidRDefault="009F0FE2" w:rsidP="009F0FE2">
      <w:pPr>
        <w:rPr>
          <w:rFonts w:eastAsiaTheme="minorHAnsi" w:cstheme="minorBidi"/>
          <w:szCs w:val="24"/>
          <w:lang w:eastAsia="en-US"/>
        </w:rPr>
      </w:pPr>
    </w:p>
    <w:p w:rsidR="009F0FE2" w:rsidRPr="00644507" w:rsidRDefault="009F0FE2" w:rsidP="009F0FE2">
      <w:pPr>
        <w:rPr>
          <w:rFonts w:eastAsiaTheme="minorHAnsi" w:cstheme="minorBidi"/>
          <w:b/>
          <w:smallCaps/>
          <w:szCs w:val="24"/>
          <w:lang w:eastAsia="en-US"/>
        </w:rPr>
      </w:pPr>
      <w:r w:rsidRPr="00644507">
        <w:rPr>
          <w:rFonts w:eastAsiaTheme="minorHAnsi" w:cstheme="minorBidi"/>
          <w:b/>
          <w:smallCaps/>
          <w:szCs w:val="24"/>
          <w:lang w:eastAsia="en-US"/>
        </w:rPr>
        <w:t>Between:</w:t>
      </w:r>
    </w:p>
    <w:p w:rsidR="009F0FE2" w:rsidRPr="00644507" w:rsidRDefault="009F0FE2" w:rsidP="009F0FE2">
      <w:pPr>
        <w:jc w:val="center"/>
        <w:rPr>
          <w:rFonts w:eastAsiaTheme="minorHAnsi" w:cstheme="minorBidi"/>
          <w:b/>
          <w:szCs w:val="24"/>
          <w:lang w:val="fr-CA" w:eastAsia="en-US"/>
        </w:rPr>
      </w:pPr>
      <w:r w:rsidRPr="00644507">
        <w:rPr>
          <w:rFonts w:eastAsiaTheme="minorHAnsi" w:cstheme="minorBidi"/>
          <w:b/>
          <w:szCs w:val="24"/>
          <w:lang w:val="fr-CA" w:eastAsia="en-US"/>
        </w:rPr>
        <w:t xml:space="preserve">Conseil scolaire francophone de la Colombie-Britannique, Hélène Reid, Paul </w:t>
      </w:r>
      <w:proofErr w:type="spellStart"/>
      <w:r w:rsidRPr="00644507">
        <w:rPr>
          <w:rFonts w:eastAsiaTheme="minorHAnsi" w:cstheme="minorBidi"/>
          <w:b/>
          <w:szCs w:val="24"/>
          <w:lang w:val="fr-CA" w:eastAsia="en-US"/>
        </w:rPr>
        <w:t>Rostagno</w:t>
      </w:r>
      <w:proofErr w:type="spellEnd"/>
      <w:r w:rsidRPr="00644507">
        <w:rPr>
          <w:rFonts w:eastAsiaTheme="minorHAnsi" w:cstheme="minorBidi"/>
          <w:b/>
          <w:szCs w:val="24"/>
          <w:lang w:val="fr-CA" w:eastAsia="en-US"/>
        </w:rPr>
        <w:t xml:space="preserve">, Annette </w:t>
      </w:r>
      <w:proofErr w:type="spellStart"/>
      <w:r w:rsidRPr="00644507">
        <w:rPr>
          <w:rFonts w:eastAsiaTheme="minorHAnsi" w:cstheme="minorBidi"/>
          <w:b/>
          <w:szCs w:val="24"/>
          <w:lang w:val="fr-CA" w:eastAsia="en-US"/>
        </w:rPr>
        <w:t>Azar</w:t>
      </w:r>
      <w:proofErr w:type="spellEnd"/>
      <w:r w:rsidRPr="00644507">
        <w:rPr>
          <w:rFonts w:eastAsiaTheme="minorHAnsi" w:cstheme="minorBidi"/>
          <w:b/>
          <w:szCs w:val="24"/>
          <w:lang w:val="fr-CA" w:eastAsia="en-US"/>
        </w:rPr>
        <w:t xml:space="preserve">-Diehl, Pierre </w:t>
      </w:r>
      <w:proofErr w:type="spellStart"/>
      <w:r w:rsidRPr="00644507">
        <w:rPr>
          <w:rFonts w:eastAsiaTheme="minorHAnsi" w:cstheme="minorBidi"/>
          <w:b/>
          <w:szCs w:val="24"/>
          <w:lang w:val="fr-CA" w:eastAsia="en-US"/>
        </w:rPr>
        <w:t>Massicotte</w:t>
      </w:r>
      <w:proofErr w:type="spellEnd"/>
      <w:r w:rsidRPr="00644507">
        <w:rPr>
          <w:rFonts w:eastAsiaTheme="minorHAnsi" w:cstheme="minorBidi"/>
          <w:b/>
          <w:szCs w:val="24"/>
          <w:lang w:val="fr-CA" w:eastAsia="en-US"/>
        </w:rPr>
        <w:t xml:space="preserve">, Line Beauchemin, Alain </w:t>
      </w:r>
      <w:proofErr w:type="spellStart"/>
      <w:r w:rsidRPr="00644507">
        <w:rPr>
          <w:rFonts w:eastAsiaTheme="minorHAnsi" w:cstheme="minorBidi"/>
          <w:b/>
          <w:szCs w:val="24"/>
          <w:lang w:val="fr-CA" w:eastAsia="en-US"/>
        </w:rPr>
        <w:t>Milot</w:t>
      </w:r>
      <w:proofErr w:type="spellEnd"/>
      <w:r w:rsidRPr="00644507">
        <w:rPr>
          <w:rFonts w:eastAsiaTheme="minorHAnsi" w:cstheme="minorBidi"/>
          <w:b/>
          <w:szCs w:val="24"/>
          <w:lang w:val="fr-CA" w:eastAsia="en-US"/>
        </w:rPr>
        <w:t xml:space="preserve">, Mélanie Boucher, Valérie Walters, Caroline Bédard, Lise </w:t>
      </w:r>
      <w:proofErr w:type="spellStart"/>
      <w:r w:rsidRPr="00644507">
        <w:rPr>
          <w:rFonts w:eastAsiaTheme="minorHAnsi" w:cstheme="minorBidi"/>
          <w:b/>
          <w:szCs w:val="24"/>
          <w:lang w:val="fr-CA" w:eastAsia="en-US"/>
        </w:rPr>
        <w:t>Buitendyk</w:t>
      </w:r>
      <w:proofErr w:type="spellEnd"/>
      <w:r w:rsidRPr="00644507">
        <w:rPr>
          <w:rFonts w:eastAsiaTheme="minorHAnsi" w:cstheme="minorBidi"/>
          <w:b/>
          <w:szCs w:val="24"/>
          <w:lang w:val="fr-CA" w:eastAsia="en-US"/>
        </w:rPr>
        <w:t xml:space="preserve">, Isabelle </w:t>
      </w:r>
      <w:proofErr w:type="spellStart"/>
      <w:r w:rsidRPr="00644507">
        <w:rPr>
          <w:rFonts w:eastAsiaTheme="minorHAnsi" w:cstheme="minorBidi"/>
          <w:b/>
          <w:szCs w:val="24"/>
          <w:lang w:val="fr-CA" w:eastAsia="en-US"/>
        </w:rPr>
        <w:t>Chenail</w:t>
      </w:r>
      <w:proofErr w:type="spellEnd"/>
      <w:r w:rsidRPr="00644507">
        <w:rPr>
          <w:rFonts w:eastAsiaTheme="minorHAnsi" w:cstheme="minorBidi"/>
          <w:b/>
          <w:szCs w:val="24"/>
          <w:lang w:val="fr-CA" w:eastAsia="en-US"/>
        </w:rPr>
        <w:t xml:space="preserve">, Kim Gerry, Louise </w:t>
      </w:r>
      <w:proofErr w:type="spellStart"/>
      <w:r w:rsidRPr="00644507">
        <w:rPr>
          <w:rFonts w:eastAsiaTheme="minorHAnsi" w:cstheme="minorBidi"/>
          <w:b/>
          <w:szCs w:val="24"/>
          <w:lang w:val="fr-CA" w:eastAsia="en-US"/>
        </w:rPr>
        <w:t>Baldo</w:t>
      </w:r>
      <w:proofErr w:type="spellEnd"/>
      <w:r w:rsidRPr="00644507">
        <w:rPr>
          <w:rFonts w:eastAsiaTheme="minorHAnsi" w:cstheme="minorBidi"/>
          <w:b/>
          <w:szCs w:val="24"/>
          <w:lang w:val="fr-CA" w:eastAsia="en-US"/>
        </w:rPr>
        <w:t xml:space="preserve">, Nicole Leblanc, Guy </w:t>
      </w:r>
      <w:proofErr w:type="spellStart"/>
      <w:r w:rsidRPr="00644507">
        <w:rPr>
          <w:rFonts w:eastAsiaTheme="minorHAnsi" w:cstheme="minorBidi"/>
          <w:b/>
          <w:szCs w:val="24"/>
          <w:lang w:val="fr-CA" w:eastAsia="en-US"/>
        </w:rPr>
        <w:t>Bourbeau</w:t>
      </w:r>
      <w:proofErr w:type="spellEnd"/>
      <w:r w:rsidRPr="00644507">
        <w:rPr>
          <w:rFonts w:eastAsiaTheme="minorHAnsi" w:cstheme="minorBidi"/>
          <w:b/>
          <w:szCs w:val="24"/>
          <w:lang w:val="fr-CA" w:eastAsia="en-US"/>
        </w:rPr>
        <w:t xml:space="preserve">, Suzanne Martin, Lise Séguin, Kim Davis, Valérie </w:t>
      </w:r>
      <w:proofErr w:type="spellStart"/>
      <w:r w:rsidRPr="00644507">
        <w:rPr>
          <w:rFonts w:eastAsiaTheme="minorHAnsi" w:cstheme="minorBidi"/>
          <w:b/>
          <w:szCs w:val="24"/>
          <w:lang w:val="fr-CA" w:eastAsia="en-US"/>
        </w:rPr>
        <w:t>Sicotte</w:t>
      </w:r>
      <w:proofErr w:type="spellEnd"/>
      <w:r w:rsidRPr="00644507">
        <w:rPr>
          <w:rFonts w:eastAsiaTheme="minorHAnsi" w:cstheme="minorBidi"/>
          <w:b/>
          <w:szCs w:val="24"/>
          <w:lang w:val="fr-CA" w:eastAsia="en-US"/>
        </w:rPr>
        <w:t xml:space="preserve">, Chantal Ricard, </w:t>
      </w:r>
      <w:proofErr w:type="spellStart"/>
      <w:r w:rsidRPr="00644507">
        <w:rPr>
          <w:rFonts w:eastAsiaTheme="minorHAnsi" w:cstheme="minorBidi"/>
          <w:b/>
          <w:szCs w:val="24"/>
          <w:lang w:val="fr-CA" w:eastAsia="en-US"/>
        </w:rPr>
        <w:t>Nadie</w:t>
      </w:r>
      <w:proofErr w:type="spellEnd"/>
      <w:r w:rsidRPr="00644507">
        <w:rPr>
          <w:rFonts w:eastAsiaTheme="minorHAnsi" w:cstheme="minorBidi"/>
          <w:b/>
          <w:szCs w:val="24"/>
          <w:lang w:val="fr-CA" w:eastAsia="en-US"/>
        </w:rPr>
        <w:t xml:space="preserve"> Savard, Marie-Christine Wilson, Stéphane Perron, Marie-Nicole Dubois, Bruno </w:t>
      </w:r>
      <w:proofErr w:type="spellStart"/>
      <w:r w:rsidRPr="00644507">
        <w:rPr>
          <w:rFonts w:eastAsiaTheme="minorHAnsi" w:cstheme="minorBidi"/>
          <w:b/>
          <w:szCs w:val="24"/>
          <w:lang w:val="fr-CA" w:eastAsia="en-US"/>
        </w:rPr>
        <w:t>Calvignac</w:t>
      </w:r>
      <w:proofErr w:type="spellEnd"/>
      <w:r w:rsidRPr="00644507">
        <w:rPr>
          <w:rFonts w:eastAsiaTheme="minorHAnsi" w:cstheme="minorBidi"/>
          <w:b/>
          <w:szCs w:val="24"/>
          <w:lang w:val="fr-CA" w:eastAsia="en-US"/>
        </w:rPr>
        <w:t xml:space="preserve">, Carine Hutchinson, Jackie </w:t>
      </w:r>
      <w:proofErr w:type="spellStart"/>
      <w:r w:rsidRPr="00644507">
        <w:rPr>
          <w:rFonts w:eastAsiaTheme="minorHAnsi" w:cstheme="minorBidi"/>
          <w:b/>
          <w:szCs w:val="24"/>
          <w:lang w:val="fr-CA" w:eastAsia="en-US"/>
        </w:rPr>
        <w:t>Pallard</w:t>
      </w:r>
      <w:proofErr w:type="spellEnd"/>
      <w:r w:rsidRPr="00644507">
        <w:rPr>
          <w:rFonts w:eastAsiaTheme="minorHAnsi" w:cstheme="minorBidi"/>
          <w:b/>
          <w:szCs w:val="24"/>
          <w:lang w:val="fr-CA" w:eastAsia="en-US"/>
        </w:rPr>
        <w:t xml:space="preserve">, Kathleen </w:t>
      </w:r>
      <w:proofErr w:type="spellStart"/>
      <w:r w:rsidRPr="00644507">
        <w:rPr>
          <w:rFonts w:eastAsiaTheme="minorHAnsi" w:cstheme="minorBidi"/>
          <w:b/>
          <w:szCs w:val="24"/>
          <w:lang w:val="fr-CA" w:eastAsia="en-US"/>
        </w:rPr>
        <w:t>Bayzand</w:t>
      </w:r>
      <w:proofErr w:type="spellEnd"/>
      <w:r w:rsidRPr="00644507">
        <w:rPr>
          <w:rFonts w:eastAsiaTheme="minorHAnsi" w:cstheme="minorBidi"/>
          <w:b/>
          <w:szCs w:val="24"/>
          <w:lang w:val="fr-CA" w:eastAsia="en-US"/>
        </w:rPr>
        <w:t xml:space="preserve">, Guy </w:t>
      </w:r>
      <w:proofErr w:type="spellStart"/>
      <w:r w:rsidRPr="00644507">
        <w:rPr>
          <w:rFonts w:eastAsiaTheme="minorHAnsi" w:cstheme="minorBidi"/>
          <w:b/>
          <w:szCs w:val="24"/>
          <w:lang w:val="fr-CA" w:eastAsia="en-US"/>
        </w:rPr>
        <w:t>Champoux</w:t>
      </w:r>
      <w:proofErr w:type="spellEnd"/>
      <w:r w:rsidRPr="00644507">
        <w:rPr>
          <w:rFonts w:eastAsiaTheme="minorHAnsi" w:cstheme="minorBidi"/>
          <w:b/>
          <w:szCs w:val="24"/>
          <w:lang w:val="fr-CA" w:eastAsia="en-US"/>
        </w:rPr>
        <w:t xml:space="preserve">, Rachel Chirico, </w:t>
      </w:r>
      <w:proofErr w:type="spellStart"/>
      <w:r w:rsidRPr="00644507">
        <w:rPr>
          <w:rFonts w:eastAsiaTheme="minorHAnsi" w:cstheme="minorBidi"/>
          <w:b/>
          <w:szCs w:val="24"/>
          <w:lang w:val="fr-CA" w:eastAsia="en-US"/>
        </w:rPr>
        <w:t>Cate</w:t>
      </w:r>
      <w:proofErr w:type="spellEnd"/>
      <w:r w:rsidRPr="00644507">
        <w:rPr>
          <w:rFonts w:eastAsiaTheme="minorHAnsi" w:cstheme="minorBidi"/>
          <w:b/>
          <w:szCs w:val="24"/>
          <w:lang w:val="fr-CA" w:eastAsia="en-US"/>
        </w:rPr>
        <w:t xml:space="preserve"> </w:t>
      </w:r>
      <w:proofErr w:type="spellStart"/>
      <w:r w:rsidRPr="00644507">
        <w:rPr>
          <w:rFonts w:eastAsiaTheme="minorHAnsi" w:cstheme="minorBidi"/>
          <w:b/>
          <w:szCs w:val="24"/>
          <w:lang w:val="fr-CA" w:eastAsia="en-US"/>
        </w:rPr>
        <w:t>Korinth</w:t>
      </w:r>
      <w:proofErr w:type="spellEnd"/>
      <w:r w:rsidRPr="00644507">
        <w:rPr>
          <w:rFonts w:eastAsiaTheme="minorHAnsi" w:cstheme="minorBidi"/>
          <w:b/>
          <w:szCs w:val="24"/>
          <w:lang w:val="fr-CA" w:eastAsia="en-US"/>
        </w:rPr>
        <w:t xml:space="preserve">, Ann </w:t>
      </w:r>
      <w:proofErr w:type="spellStart"/>
      <w:r w:rsidRPr="00644507">
        <w:rPr>
          <w:rFonts w:eastAsiaTheme="minorHAnsi" w:cstheme="minorBidi"/>
          <w:b/>
          <w:szCs w:val="24"/>
          <w:lang w:val="fr-CA" w:eastAsia="en-US"/>
        </w:rPr>
        <w:t>Quarterman</w:t>
      </w:r>
      <w:proofErr w:type="spellEnd"/>
      <w:r w:rsidRPr="00644507">
        <w:rPr>
          <w:rFonts w:eastAsiaTheme="minorHAnsi" w:cstheme="minorBidi"/>
          <w:b/>
          <w:szCs w:val="24"/>
          <w:lang w:val="fr-CA" w:eastAsia="en-US"/>
        </w:rPr>
        <w:t xml:space="preserve"> and Caroline Rousselle</w:t>
      </w:r>
    </w:p>
    <w:p w:rsidR="009F0FE2" w:rsidRPr="00644507" w:rsidRDefault="009F0FE2" w:rsidP="009F0FE2">
      <w:pPr>
        <w:jc w:val="center"/>
        <w:rPr>
          <w:rFonts w:eastAsiaTheme="minorHAnsi" w:cstheme="minorBidi"/>
          <w:szCs w:val="24"/>
          <w:lang w:eastAsia="en-US"/>
        </w:rPr>
      </w:pPr>
      <w:r w:rsidRPr="00644507">
        <w:rPr>
          <w:rFonts w:eastAsiaTheme="minorHAnsi" w:cstheme="minorBidi"/>
          <w:szCs w:val="24"/>
          <w:lang w:eastAsia="en-US"/>
        </w:rPr>
        <w:t>Appellants</w:t>
      </w:r>
    </w:p>
    <w:p w:rsidR="009F0FE2" w:rsidRPr="00644507" w:rsidRDefault="009F0FE2" w:rsidP="009F0FE2">
      <w:pPr>
        <w:jc w:val="center"/>
        <w:rPr>
          <w:rFonts w:eastAsiaTheme="minorHAnsi" w:cstheme="minorBidi"/>
          <w:szCs w:val="24"/>
          <w:lang w:eastAsia="en-US"/>
        </w:rPr>
      </w:pPr>
      <w:proofErr w:type="gramStart"/>
      <w:r w:rsidRPr="00644507">
        <w:rPr>
          <w:rFonts w:eastAsiaTheme="minorHAnsi" w:cstheme="minorBidi"/>
          <w:szCs w:val="24"/>
          <w:lang w:eastAsia="en-US"/>
        </w:rPr>
        <w:t>and</w:t>
      </w:r>
      <w:proofErr w:type="gramEnd"/>
    </w:p>
    <w:p w:rsidR="009F0FE2" w:rsidRPr="00644507" w:rsidRDefault="009F0FE2" w:rsidP="009F0FE2">
      <w:pPr>
        <w:jc w:val="center"/>
        <w:rPr>
          <w:rFonts w:eastAsiaTheme="minorHAnsi" w:cstheme="minorBidi"/>
          <w:b/>
          <w:szCs w:val="24"/>
          <w:lang w:eastAsia="en-US"/>
        </w:rPr>
      </w:pPr>
      <w:r w:rsidRPr="00644507">
        <w:rPr>
          <w:rFonts w:eastAsiaTheme="minorHAnsi" w:cstheme="minorBidi"/>
          <w:b/>
          <w:szCs w:val="24"/>
          <w:lang w:eastAsia="en-US"/>
        </w:rPr>
        <w:t xml:space="preserve">Her Majesty </w:t>
      </w:r>
      <w:proofErr w:type="gramStart"/>
      <w:r w:rsidRPr="00644507">
        <w:rPr>
          <w:rFonts w:eastAsiaTheme="minorHAnsi" w:cstheme="minorBidi"/>
          <w:b/>
          <w:szCs w:val="24"/>
          <w:lang w:eastAsia="en-US"/>
        </w:rPr>
        <w:t>The</w:t>
      </w:r>
      <w:proofErr w:type="gramEnd"/>
      <w:r w:rsidRPr="00644507">
        <w:rPr>
          <w:rFonts w:eastAsiaTheme="minorHAnsi" w:cstheme="minorBidi"/>
          <w:b/>
          <w:szCs w:val="24"/>
          <w:lang w:eastAsia="en-US"/>
        </w:rPr>
        <w:t xml:space="preserve"> Queen in Right of the Province of British Columbia and Minister of Education of the Province of British Columbia</w:t>
      </w:r>
    </w:p>
    <w:p w:rsidR="009F0FE2" w:rsidRPr="00644507" w:rsidRDefault="009F0FE2" w:rsidP="009F0FE2">
      <w:pPr>
        <w:jc w:val="center"/>
        <w:rPr>
          <w:rFonts w:eastAsiaTheme="minorHAnsi" w:cstheme="minorBidi"/>
          <w:szCs w:val="24"/>
          <w:lang w:eastAsia="en-US"/>
        </w:rPr>
      </w:pPr>
      <w:r w:rsidRPr="00644507">
        <w:rPr>
          <w:rFonts w:eastAsiaTheme="minorHAnsi" w:cstheme="minorBidi"/>
          <w:szCs w:val="24"/>
          <w:lang w:eastAsia="en-US"/>
        </w:rPr>
        <w:t>Respondents</w:t>
      </w:r>
    </w:p>
    <w:p w:rsidR="009F0FE2" w:rsidRPr="00644507" w:rsidRDefault="009F0FE2" w:rsidP="009F0FE2">
      <w:pPr>
        <w:jc w:val="center"/>
        <w:rPr>
          <w:rFonts w:eastAsiaTheme="minorHAnsi" w:cstheme="minorBidi"/>
          <w:szCs w:val="24"/>
          <w:lang w:eastAsia="en-US"/>
        </w:rPr>
      </w:pPr>
      <w:r w:rsidRPr="00644507">
        <w:rPr>
          <w:rFonts w:eastAsiaTheme="minorHAnsi" w:cstheme="minorBidi"/>
          <w:szCs w:val="24"/>
          <w:lang w:eastAsia="en-US"/>
        </w:rPr>
        <w:t xml:space="preserve">- </w:t>
      </w:r>
      <w:proofErr w:type="gramStart"/>
      <w:r w:rsidRPr="00644507">
        <w:rPr>
          <w:rFonts w:eastAsiaTheme="minorHAnsi" w:cstheme="minorBidi"/>
          <w:szCs w:val="24"/>
          <w:lang w:eastAsia="en-US"/>
        </w:rPr>
        <w:t>and</w:t>
      </w:r>
      <w:proofErr w:type="gramEnd"/>
      <w:r w:rsidRPr="00644507">
        <w:rPr>
          <w:rFonts w:eastAsiaTheme="minorHAnsi" w:cstheme="minorBidi"/>
          <w:szCs w:val="24"/>
          <w:lang w:eastAsia="en-US"/>
        </w:rPr>
        <w:t xml:space="preserve"> -</w:t>
      </w:r>
    </w:p>
    <w:p w:rsidR="009F0FE2" w:rsidRPr="00644507" w:rsidRDefault="009F0FE2" w:rsidP="009F0FE2">
      <w:pPr>
        <w:jc w:val="center"/>
        <w:rPr>
          <w:rFonts w:eastAsiaTheme="minorHAnsi" w:cstheme="minorBidi"/>
          <w:b/>
          <w:szCs w:val="24"/>
          <w:lang w:eastAsia="en-US"/>
        </w:rPr>
      </w:pPr>
      <w:r w:rsidRPr="00644507">
        <w:rPr>
          <w:rFonts w:eastAsiaTheme="minorHAnsi" w:cstheme="minorBidi"/>
          <w:b/>
          <w:szCs w:val="24"/>
          <w:lang w:eastAsia="en-US"/>
        </w:rPr>
        <w:t xml:space="preserve">Attorney General of Ontario, Commissioner of Official Languages of Canada and Association des </w:t>
      </w:r>
      <w:proofErr w:type="spellStart"/>
      <w:r w:rsidRPr="00644507">
        <w:rPr>
          <w:rFonts w:eastAsiaTheme="minorHAnsi" w:cstheme="minorBidi"/>
          <w:b/>
          <w:szCs w:val="24"/>
          <w:lang w:eastAsia="en-US"/>
        </w:rPr>
        <w:t>juristes</w:t>
      </w:r>
      <w:proofErr w:type="spellEnd"/>
      <w:r w:rsidRPr="00644507">
        <w:rPr>
          <w:rFonts w:eastAsiaTheme="minorHAnsi" w:cstheme="minorBidi"/>
          <w:b/>
          <w:szCs w:val="24"/>
          <w:lang w:eastAsia="en-US"/>
        </w:rPr>
        <w:t xml:space="preserve"> </w:t>
      </w:r>
      <w:proofErr w:type="spellStart"/>
      <w:r w:rsidRPr="00644507">
        <w:rPr>
          <w:rFonts w:eastAsiaTheme="minorHAnsi" w:cstheme="minorBidi"/>
          <w:b/>
          <w:szCs w:val="24"/>
          <w:lang w:eastAsia="en-US"/>
        </w:rPr>
        <w:t>d’expression</w:t>
      </w:r>
      <w:proofErr w:type="spellEnd"/>
      <w:r w:rsidRPr="00644507">
        <w:rPr>
          <w:rFonts w:eastAsiaTheme="minorHAnsi" w:cstheme="minorBidi"/>
          <w:b/>
          <w:szCs w:val="24"/>
          <w:lang w:eastAsia="en-US"/>
        </w:rPr>
        <w:t xml:space="preserve"> </w:t>
      </w:r>
      <w:proofErr w:type="spellStart"/>
      <w:r w:rsidRPr="00644507">
        <w:rPr>
          <w:rFonts w:eastAsiaTheme="minorHAnsi" w:cstheme="minorBidi"/>
          <w:b/>
          <w:szCs w:val="24"/>
          <w:lang w:eastAsia="en-US"/>
        </w:rPr>
        <w:t>française</w:t>
      </w:r>
      <w:proofErr w:type="spellEnd"/>
      <w:r w:rsidRPr="00644507">
        <w:rPr>
          <w:rFonts w:eastAsiaTheme="minorHAnsi" w:cstheme="minorBidi"/>
          <w:b/>
          <w:szCs w:val="24"/>
          <w:lang w:eastAsia="en-US"/>
        </w:rPr>
        <w:t xml:space="preserve"> de la </w:t>
      </w:r>
      <w:proofErr w:type="spellStart"/>
      <w:r w:rsidRPr="00644507">
        <w:rPr>
          <w:rFonts w:eastAsiaTheme="minorHAnsi" w:cstheme="minorBidi"/>
          <w:b/>
          <w:szCs w:val="24"/>
          <w:lang w:eastAsia="en-US"/>
        </w:rPr>
        <w:t>Colombie-Britannique</w:t>
      </w:r>
      <w:proofErr w:type="spellEnd"/>
    </w:p>
    <w:p w:rsidR="009F0FE2" w:rsidRPr="00644507" w:rsidRDefault="009F0FE2" w:rsidP="009F0FE2">
      <w:pPr>
        <w:jc w:val="center"/>
        <w:rPr>
          <w:rFonts w:eastAsiaTheme="minorHAnsi" w:cstheme="minorBidi"/>
          <w:szCs w:val="24"/>
          <w:lang w:eastAsia="en-US"/>
        </w:rPr>
      </w:pPr>
      <w:r w:rsidRPr="00644507">
        <w:rPr>
          <w:rFonts w:eastAsiaTheme="minorHAnsi" w:cstheme="minorBidi"/>
          <w:szCs w:val="24"/>
          <w:lang w:eastAsia="en-US"/>
        </w:rPr>
        <w:t>Interveners</w:t>
      </w:r>
    </w:p>
    <w:p w:rsidR="009F0FE2" w:rsidRPr="00644507" w:rsidRDefault="009F0FE2" w:rsidP="009F0FE2">
      <w:pPr>
        <w:rPr>
          <w:rFonts w:eastAsiaTheme="minorHAnsi" w:cstheme="minorBidi"/>
          <w:szCs w:val="24"/>
          <w:lang w:eastAsia="en-US"/>
        </w:rPr>
      </w:pPr>
    </w:p>
    <w:p w:rsidR="009F0FE2" w:rsidRPr="00644507" w:rsidRDefault="009F0FE2" w:rsidP="009F0FE2">
      <w:pPr>
        <w:rPr>
          <w:rFonts w:eastAsiaTheme="minorHAnsi" w:cstheme="minorBidi"/>
          <w:szCs w:val="24"/>
          <w:lang w:eastAsia="en-US"/>
        </w:rPr>
      </w:pPr>
      <w:r w:rsidRPr="00644507">
        <w:rPr>
          <w:rFonts w:eastAsiaTheme="minorHAnsi" w:cstheme="minorBidi"/>
          <w:b/>
          <w:smallCaps/>
          <w:szCs w:val="24"/>
          <w:lang w:eastAsia="en-US"/>
        </w:rPr>
        <w:t>Coram:</w:t>
      </w:r>
      <w:r w:rsidRPr="00644507">
        <w:rPr>
          <w:rFonts w:eastAsiaTheme="minorHAnsi" w:cstheme="minorBidi"/>
          <w:szCs w:val="24"/>
          <w:lang w:eastAsia="en-US"/>
        </w:rPr>
        <w:t xml:space="preserve"> McLachlin C.J. and </w:t>
      </w:r>
      <w:proofErr w:type="spellStart"/>
      <w:r w:rsidRPr="00644507">
        <w:rPr>
          <w:rFonts w:eastAsiaTheme="minorHAnsi" w:cstheme="minorBidi"/>
          <w:szCs w:val="24"/>
          <w:lang w:eastAsia="en-US"/>
        </w:rPr>
        <w:t>LeBel</w:t>
      </w:r>
      <w:proofErr w:type="spellEnd"/>
      <w:r w:rsidRPr="00644507">
        <w:rPr>
          <w:rFonts w:eastAsiaTheme="minorHAnsi" w:cstheme="minorBidi"/>
          <w:szCs w:val="24"/>
          <w:lang w:eastAsia="en-US"/>
        </w:rPr>
        <w:t xml:space="preserve">, </w:t>
      </w:r>
      <w:proofErr w:type="spellStart"/>
      <w:r w:rsidRPr="00644507">
        <w:rPr>
          <w:rFonts w:eastAsiaTheme="minorHAnsi" w:cstheme="minorBidi"/>
          <w:szCs w:val="24"/>
          <w:lang w:eastAsia="en-US"/>
        </w:rPr>
        <w:t>Abella</w:t>
      </w:r>
      <w:proofErr w:type="spellEnd"/>
      <w:r w:rsidRPr="00644507">
        <w:rPr>
          <w:rFonts w:eastAsiaTheme="minorHAnsi" w:cstheme="minorBidi"/>
          <w:szCs w:val="24"/>
          <w:lang w:eastAsia="en-US"/>
        </w:rPr>
        <w:t xml:space="preserve">, Rothstein, </w:t>
      </w:r>
      <w:proofErr w:type="spellStart"/>
      <w:r w:rsidRPr="00644507">
        <w:rPr>
          <w:rFonts w:eastAsiaTheme="minorHAnsi" w:cstheme="minorBidi"/>
          <w:szCs w:val="24"/>
          <w:lang w:eastAsia="en-US"/>
        </w:rPr>
        <w:t>Moldaver</w:t>
      </w:r>
      <w:proofErr w:type="spellEnd"/>
      <w:r w:rsidRPr="00644507">
        <w:rPr>
          <w:rFonts w:eastAsiaTheme="minorHAnsi" w:cstheme="minorBidi"/>
          <w:szCs w:val="24"/>
          <w:lang w:eastAsia="en-US"/>
        </w:rPr>
        <w:t xml:space="preserve">, </w:t>
      </w:r>
      <w:proofErr w:type="spellStart"/>
      <w:r w:rsidRPr="00644507">
        <w:rPr>
          <w:rFonts w:eastAsiaTheme="minorHAnsi" w:cstheme="minorBidi"/>
          <w:szCs w:val="24"/>
          <w:lang w:eastAsia="en-US"/>
        </w:rPr>
        <w:t>Karakatsanis</w:t>
      </w:r>
      <w:proofErr w:type="spellEnd"/>
      <w:r w:rsidRPr="00644507">
        <w:rPr>
          <w:rFonts w:eastAsiaTheme="minorHAnsi" w:cstheme="minorBidi"/>
          <w:szCs w:val="24"/>
          <w:lang w:eastAsia="en-US"/>
        </w:rPr>
        <w:t xml:space="preserve"> and Wagner JJ.</w:t>
      </w:r>
    </w:p>
    <w:p w:rsidR="009F0FE2" w:rsidRPr="00644507" w:rsidRDefault="009F0FE2" w:rsidP="009F0FE2">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F0FE2" w:rsidRPr="00644507" w:rsidTr="005C299B">
        <w:trPr>
          <w:cantSplit/>
        </w:trPr>
        <w:tc>
          <w:tcPr>
            <w:tcW w:w="3618" w:type="dxa"/>
          </w:tcPr>
          <w:p w:rsidR="009F0FE2" w:rsidRPr="00644507" w:rsidRDefault="009F0FE2" w:rsidP="005C299B">
            <w:pPr>
              <w:rPr>
                <w:b/>
                <w:smallCaps/>
              </w:rPr>
            </w:pPr>
            <w:r w:rsidRPr="00644507">
              <w:rPr>
                <w:b/>
                <w:smallCaps/>
              </w:rPr>
              <w:t>Reasons for Judgment:</w:t>
            </w:r>
          </w:p>
          <w:p w:rsidR="009F0FE2" w:rsidRPr="00644507" w:rsidRDefault="009F0FE2" w:rsidP="005C299B">
            <w:r w:rsidRPr="00644507">
              <w:t>(</w:t>
            </w:r>
            <w:proofErr w:type="spellStart"/>
            <w:r w:rsidRPr="00644507">
              <w:t>paras</w:t>
            </w:r>
            <w:proofErr w:type="spellEnd"/>
            <w:r w:rsidRPr="00644507">
              <w:t>. 1 to 65)</w:t>
            </w:r>
          </w:p>
          <w:p w:rsidR="009F0FE2" w:rsidRPr="00644507" w:rsidRDefault="009F0FE2" w:rsidP="005C299B"/>
          <w:p w:rsidR="009F0FE2" w:rsidRPr="00644507" w:rsidRDefault="009F0FE2" w:rsidP="005C299B">
            <w:pPr>
              <w:rPr>
                <w:b/>
                <w:smallCaps/>
              </w:rPr>
            </w:pPr>
            <w:r w:rsidRPr="00644507">
              <w:rPr>
                <w:b/>
                <w:smallCaps/>
              </w:rPr>
              <w:t>Dissenting Reasons:</w:t>
            </w:r>
          </w:p>
          <w:p w:rsidR="009F0FE2" w:rsidRPr="00644507" w:rsidRDefault="009F0FE2" w:rsidP="005C299B">
            <w:r w:rsidRPr="00644507">
              <w:t>(</w:t>
            </w:r>
            <w:proofErr w:type="spellStart"/>
            <w:r w:rsidRPr="00644507">
              <w:t>paras</w:t>
            </w:r>
            <w:proofErr w:type="spellEnd"/>
            <w:r w:rsidRPr="00644507">
              <w:t>. 66 to 114)</w:t>
            </w:r>
          </w:p>
          <w:p w:rsidR="009F0FE2" w:rsidRPr="00644507" w:rsidRDefault="009F0FE2" w:rsidP="005C299B"/>
        </w:tc>
        <w:tc>
          <w:tcPr>
            <w:tcW w:w="5958" w:type="dxa"/>
          </w:tcPr>
          <w:p w:rsidR="009F0FE2" w:rsidRPr="00644507" w:rsidRDefault="009F0FE2" w:rsidP="005C299B">
            <w:r w:rsidRPr="00644507">
              <w:t xml:space="preserve">Wagner J. (McLachlin C.J. and Rothstein and </w:t>
            </w:r>
            <w:proofErr w:type="spellStart"/>
            <w:r w:rsidRPr="00644507">
              <w:t>Moldaver</w:t>
            </w:r>
            <w:proofErr w:type="spellEnd"/>
            <w:r w:rsidRPr="00644507">
              <w:t xml:space="preserve"> JJ. concurring)</w:t>
            </w:r>
          </w:p>
          <w:p w:rsidR="009F0FE2" w:rsidRPr="00644507" w:rsidRDefault="009F0FE2" w:rsidP="005C299B"/>
          <w:p w:rsidR="009F0FE2" w:rsidRPr="00644507" w:rsidRDefault="009F0FE2" w:rsidP="005C299B"/>
          <w:p w:rsidR="009F0FE2" w:rsidRPr="00644507" w:rsidRDefault="009F0FE2" w:rsidP="005C299B">
            <w:r w:rsidRPr="00644507">
              <w:t xml:space="preserve"> </w:t>
            </w:r>
            <w:proofErr w:type="spellStart"/>
            <w:r w:rsidRPr="00644507">
              <w:t>Karakatsanis</w:t>
            </w:r>
            <w:proofErr w:type="spellEnd"/>
            <w:r w:rsidRPr="00644507">
              <w:t xml:space="preserve"> J. (</w:t>
            </w:r>
            <w:proofErr w:type="spellStart"/>
            <w:r w:rsidRPr="00644507">
              <w:t>LeBel</w:t>
            </w:r>
            <w:proofErr w:type="spellEnd"/>
            <w:r w:rsidRPr="00644507">
              <w:t xml:space="preserve"> and </w:t>
            </w:r>
            <w:proofErr w:type="spellStart"/>
            <w:r w:rsidRPr="00644507">
              <w:t>Abella</w:t>
            </w:r>
            <w:proofErr w:type="spellEnd"/>
            <w:r w:rsidRPr="00644507">
              <w:t xml:space="preserve"> JJ. concurring)</w:t>
            </w:r>
          </w:p>
        </w:tc>
      </w:tr>
    </w:tbl>
    <w:p w:rsidR="009F0FE2" w:rsidRPr="00644507" w:rsidRDefault="009F0FE2" w:rsidP="009F0FE2">
      <w:pPr>
        <w:rPr>
          <w:rFonts w:eastAsiaTheme="minorHAnsi" w:cstheme="minorBidi"/>
          <w:szCs w:val="24"/>
          <w:lang w:eastAsia="en-US"/>
        </w:rPr>
      </w:pPr>
    </w:p>
    <w:p w:rsidR="009F0FE2" w:rsidRPr="00644507" w:rsidRDefault="009F0FE2" w:rsidP="009F0FE2">
      <w:pPr>
        <w:rPr>
          <w:rFonts w:eastAsiaTheme="minorHAnsi" w:cstheme="minorBidi"/>
          <w:szCs w:val="24"/>
          <w:lang w:eastAsia="en-US"/>
        </w:rPr>
      </w:pPr>
    </w:p>
    <w:p w:rsidR="009F0FE2" w:rsidRPr="00644507" w:rsidRDefault="009F0FE2" w:rsidP="009F0FE2">
      <w:pPr>
        <w:rPr>
          <w:rFonts w:eastAsiaTheme="minorHAnsi" w:cstheme="minorBidi"/>
          <w:szCs w:val="24"/>
          <w:lang w:eastAsia="en-US"/>
        </w:rPr>
      </w:pPr>
    </w:p>
    <w:p w:rsidR="009F0FE2" w:rsidRPr="00644507" w:rsidRDefault="009F0FE2" w:rsidP="009F0FE2">
      <w:pPr>
        <w:rPr>
          <w:rFonts w:eastAsiaTheme="minorHAnsi" w:cstheme="minorBidi"/>
          <w:szCs w:val="24"/>
          <w:lang w:eastAsia="en-US"/>
        </w:rPr>
      </w:pPr>
      <w:r w:rsidRPr="00B34AF6">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9F0FE2" w:rsidRPr="00644507" w:rsidRDefault="009F0FE2" w:rsidP="009F0FE2">
      <w:pPr>
        <w:rPr>
          <w:smallCaps/>
          <w:lang w:val="en-US"/>
        </w:rPr>
      </w:pPr>
      <w:r w:rsidRPr="00644507">
        <w:rPr>
          <w:smallCaps/>
          <w:lang w:val="en-US"/>
        </w:rPr>
        <w:br w:type="page"/>
      </w:r>
    </w:p>
    <w:p w:rsidR="008322BD" w:rsidRPr="00136D9E" w:rsidRDefault="00136D9E" w:rsidP="00634CD4">
      <w:pPr>
        <w:spacing w:after="720"/>
        <w:jc w:val="both"/>
        <w:rPr>
          <w:lang w:val="fr-CA"/>
        </w:rPr>
      </w:pPr>
      <w:r w:rsidRPr="00136D9E">
        <w:rPr>
          <w:lang w:val="fr-CA"/>
        </w:rPr>
        <w:lastRenderedPageBreak/>
        <w:t>Conseil scolaire francophone de la Colombie</w:t>
      </w:r>
      <w:r>
        <w:rPr>
          <w:lang w:val="fr-CA"/>
        </w:rPr>
        <w:t>-</w:t>
      </w:r>
      <w:r w:rsidRPr="00136D9E">
        <w:rPr>
          <w:lang w:val="fr-CA"/>
        </w:rPr>
        <w:t xml:space="preserve">Britannique </w:t>
      </w:r>
      <w:r w:rsidRPr="00136D9E">
        <w:rPr>
          <w:i/>
          <w:lang w:val="fr-CA"/>
        </w:rPr>
        <w:t>v.</w:t>
      </w:r>
      <w:r w:rsidRPr="00136D9E">
        <w:rPr>
          <w:lang w:val="fr-CA"/>
        </w:rPr>
        <w:t xml:space="preserve"> British Columbia</w:t>
      </w:r>
      <w:r>
        <w:rPr>
          <w:lang w:val="fr-CA"/>
        </w:rPr>
        <w:t>, 2013 SCC 42, [2013] 2 S.C.R. 774</w:t>
      </w:r>
    </w:p>
    <w:p w:rsidR="005C35A6" w:rsidRPr="00241797" w:rsidRDefault="005C7A4C" w:rsidP="00A02C2B">
      <w:pPr>
        <w:pStyle w:val="SCCLsocParty"/>
        <w:rPr>
          <w:lang w:val="fr-CA"/>
        </w:rPr>
      </w:pPr>
      <w:r w:rsidRPr="00241797">
        <w:rPr>
          <w:lang w:val="fr-CA"/>
        </w:rPr>
        <w:t xml:space="preserve">Conseil </w:t>
      </w:r>
      <w:r w:rsidR="00C3409B" w:rsidRPr="00241797">
        <w:rPr>
          <w:lang w:val="fr-CA"/>
        </w:rPr>
        <w:t>s</w:t>
      </w:r>
      <w:r w:rsidRPr="00241797">
        <w:rPr>
          <w:lang w:val="fr-CA"/>
        </w:rPr>
        <w:t xml:space="preserve">colaire </w:t>
      </w:r>
      <w:r w:rsidR="00C3409B" w:rsidRPr="00241797">
        <w:rPr>
          <w:lang w:val="fr-CA"/>
        </w:rPr>
        <w:t>f</w:t>
      </w:r>
      <w:r w:rsidRPr="00241797">
        <w:rPr>
          <w:lang w:val="fr-CA"/>
        </w:rPr>
        <w:t xml:space="preserve">rancophone de la </w:t>
      </w:r>
      <w:proofErr w:type="spellStart"/>
      <w:r w:rsidRPr="00241797">
        <w:rPr>
          <w:lang w:val="fr-CA"/>
        </w:rPr>
        <w:t>Colombie</w:t>
      </w:r>
      <w:r w:rsidR="00B17B67" w:rsidRPr="00241797">
        <w:rPr>
          <w:lang w:val="fr-CA"/>
        </w:rPr>
        <w:noBreakHyphen/>
      </w:r>
      <w:r w:rsidRPr="00241797">
        <w:rPr>
          <w:lang w:val="fr-CA"/>
        </w:rPr>
        <w:t>Britannique</w:t>
      </w:r>
      <w:proofErr w:type="spellEnd"/>
      <w:r w:rsidRPr="00241797">
        <w:rPr>
          <w:lang w:val="fr-CA"/>
        </w:rPr>
        <w:t>,</w:t>
      </w:r>
    </w:p>
    <w:p w:rsidR="00432D8A" w:rsidRPr="00241797" w:rsidRDefault="005C7A4C" w:rsidP="00A02C2B">
      <w:pPr>
        <w:pStyle w:val="SCCLsocParty"/>
        <w:rPr>
          <w:lang w:val="fr-CA"/>
        </w:rPr>
      </w:pPr>
      <w:r w:rsidRPr="00241797">
        <w:rPr>
          <w:lang w:val="fr-CA"/>
        </w:rPr>
        <w:t xml:space="preserve">Hélène Reid, Paul </w:t>
      </w:r>
      <w:proofErr w:type="spellStart"/>
      <w:r w:rsidRPr="00241797">
        <w:rPr>
          <w:lang w:val="fr-CA"/>
        </w:rPr>
        <w:t>Rostagno</w:t>
      </w:r>
      <w:proofErr w:type="spellEnd"/>
      <w:r w:rsidRPr="00241797">
        <w:rPr>
          <w:lang w:val="fr-CA"/>
        </w:rPr>
        <w:t xml:space="preserve">, Annette </w:t>
      </w:r>
      <w:proofErr w:type="spellStart"/>
      <w:r w:rsidRPr="00241797">
        <w:rPr>
          <w:lang w:val="fr-CA"/>
        </w:rPr>
        <w:t>Azar</w:t>
      </w:r>
      <w:r w:rsidR="00B17B67" w:rsidRPr="00241797">
        <w:rPr>
          <w:lang w:val="fr-CA"/>
        </w:rPr>
        <w:noBreakHyphen/>
      </w:r>
      <w:r w:rsidRPr="00241797">
        <w:rPr>
          <w:lang w:val="fr-CA"/>
        </w:rPr>
        <w:t>Diehl</w:t>
      </w:r>
      <w:proofErr w:type="spellEnd"/>
      <w:r w:rsidRPr="00241797">
        <w:rPr>
          <w:lang w:val="fr-CA"/>
        </w:rPr>
        <w:t xml:space="preserve">, Pierre </w:t>
      </w:r>
    </w:p>
    <w:p w:rsidR="00432D8A" w:rsidRPr="00241797" w:rsidRDefault="005C7A4C" w:rsidP="00A02C2B">
      <w:pPr>
        <w:pStyle w:val="SCCLsocParty"/>
        <w:rPr>
          <w:lang w:val="fr-CA"/>
        </w:rPr>
      </w:pPr>
      <w:proofErr w:type="spellStart"/>
      <w:r w:rsidRPr="00241797">
        <w:rPr>
          <w:lang w:val="fr-CA"/>
        </w:rPr>
        <w:t>Massicotte</w:t>
      </w:r>
      <w:proofErr w:type="spellEnd"/>
      <w:r w:rsidRPr="00241797">
        <w:rPr>
          <w:lang w:val="fr-CA"/>
        </w:rPr>
        <w:t xml:space="preserve">, Line Beauchemin, Alain </w:t>
      </w:r>
      <w:proofErr w:type="spellStart"/>
      <w:r w:rsidRPr="00241797">
        <w:rPr>
          <w:lang w:val="fr-CA"/>
        </w:rPr>
        <w:t>Milot</w:t>
      </w:r>
      <w:proofErr w:type="spellEnd"/>
      <w:r w:rsidRPr="00241797">
        <w:rPr>
          <w:lang w:val="fr-CA"/>
        </w:rPr>
        <w:t xml:space="preserve">, Mélanie Boucher, </w:t>
      </w:r>
    </w:p>
    <w:p w:rsidR="00432D8A" w:rsidRPr="00241797" w:rsidRDefault="005C7A4C" w:rsidP="00A02C2B">
      <w:pPr>
        <w:pStyle w:val="SCCLsocParty"/>
        <w:rPr>
          <w:lang w:val="fr-CA"/>
        </w:rPr>
      </w:pPr>
      <w:r w:rsidRPr="00241797">
        <w:rPr>
          <w:lang w:val="fr-CA"/>
        </w:rPr>
        <w:t xml:space="preserve">Valérie Walters, Caroline Bédard, Lise </w:t>
      </w:r>
      <w:proofErr w:type="spellStart"/>
      <w:r w:rsidRPr="00241797">
        <w:rPr>
          <w:lang w:val="fr-CA"/>
        </w:rPr>
        <w:t>Buitendyk</w:t>
      </w:r>
      <w:proofErr w:type="spellEnd"/>
      <w:r w:rsidRPr="00241797">
        <w:rPr>
          <w:lang w:val="fr-CA"/>
        </w:rPr>
        <w:t xml:space="preserve">, Isabelle </w:t>
      </w:r>
    </w:p>
    <w:p w:rsidR="00432D8A" w:rsidRPr="00241797" w:rsidRDefault="005C7A4C" w:rsidP="00A02C2B">
      <w:pPr>
        <w:pStyle w:val="SCCLsocParty"/>
        <w:rPr>
          <w:lang w:val="fr-CA"/>
        </w:rPr>
      </w:pPr>
      <w:proofErr w:type="spellStart"/>
      <w:r w:rsidRPr="00241797">
        <w:rPr>
          <w:lang w:val="fr-CA"/>
        </w:rPr>
        <w:t>Chenail</w:t>
      </w:r>
      <w:proofErr w:type="spellEnd"/>
      <w:r w:rsidRPr="00241797">
        <w:rPr>
          <w:lang w:val="fr-CA"/>
        </w:rPr>
        <w:t>,</w:t>
      </w:r>
      <w:r w:rsidR="00432D8A" w:rsidRPr="00241797">
        <w:rPr>
          <w:lang w:val="fr-CA"/>
        </w:rPr>
        <w:t xml:space="preserve"> </w:t>
      </w:r>
      <w:r w:rsidRPr="00241797">
        <w:rPr>
          <w:lang w:val="fr-CA"/>
        </w:rPr>
        <w:t xml:space="preserve">Kim Gerry, Louise </w:t>
      </w:r>
      <w:proofErr w:type="spellStart"/>
      <w:r w:rsidRPr="00241797">
        <w:rPr>
          <w:lang w:val="fr-CA"/>
        </w:rPr>
        <w:t>Baldo</w:t>
      </w:r>
      <w:proofErr w:type="spellEnd"/>
      <w:r w:rsidRPr="00241797">
        <w:rPr>
          <w:lang w:val="fr-CA"/>
        </w:rPr>
        <w:t xml:space="preserve">, Nicole Leblanc, Guy </w:t>
      </w:r>
    </w:p>
    <w:p w:rsidR="00432D8A" w:rsidRPr="00241797" w:rsidRDefault="005C7A4C" w:rsidP="00A02C2B">
      <w:pPr>
        <w:pStyle w:val="SCCLsocParty"/>
        <w:rPr>
          <w:lang w:val="fr-CA"/>
        </w:rPr>
      </w:pPr>
      <w:proofErr w:type="spellStart"/>
      <w:r w:rsidRPr="00241797">
        <w:rPr>
          <w:lang w:val="fr-CA"/>
        </w:rPr>
        <w:t>Bourbeau</w:t>
      </w:r>
      <w:proofErr w:type="spellEnd"/>
      <w:r w:rsidRPr="00241797">
        <w:rPr>
          <w:lang w:val="fr-CA"/>
        </w:rPr>
        <w:t xml:space="preserve">, Suzanne Martin, Lise Séguin, Kim Davis, Valérie </w:t>
      </w:r>
    </w:p>
    <w:p w:rsidR="00432D8A" w:rsidRPr="00241797" w:rsidRDefault="005C7A4C" w:rsidP="00A02C2B">
      <w:pPr>
        <w:pStyle w:val="SCCLsocParty"/>
        <w:rPr>
          <w:lang w:val="fr-CA"/>
        </w:rPr>
      </w:pPr>
      <w:proofErr w:type="spellStart"/>
      <w:r w:rsidRPr="00241797">
        <w:rPr>
          <w:lang w:val="fr-CA"/>
        </w:rPr>
        <w:t>Sicotte</w:t>
      </w:r>
      <w:proofErr w:type="spellEnd"/>
      <w:r w:rsidRPr="00241797">
        <w:rPr>
          <w:lang w:val="fr-CA"/>
        </w:rPr>
        <w:t xml:space="preserve">, Chantal Ricard, </w:t>
      </w:r>
      <w:proofErr w:type="spellStart"/>
      <w:r w:rsidRPr="00241797">
        <w:rPr>
          <w:lang w:val="fr-CA"/>
        </w:rPr>
        <w:t>Nadie</w:t>
      </w:r>
      <w:proofErr w:type="spellEnd"/>
      <w:r w:rsidRPr="00241797">
        <w:rPr>
          <w:lang w:val="fr-CA"/>
        </w:rPr>
        <w:t xml:space="preserve"> Savard, </w:t>
      </w:r>
      <w:proofErr w:type="spellStart"/>
      <w:r w:rsidRPr="00241797">
        <w:rPr>
          <w:lang w:val="fr-CA"/>
        </w:rPr>
        <w:t>Marie</w:t>
      </w:r>
      <w:r w:rsidR="00B17B67" w:rsidRPr="00241797">
        <w:rPr>
          <w:lang w:val="fr-CA"/>
        </w:rPr>
        <w:noBreakHyphen/>
      </w:r>
      <w:r w:rsidRPr="00241797">
        <w:rPr>
          <w:lang w:val="fr-CA"/>
        </w:rPr>
        <w:t>Christine</w:t>
      </w:r>
      <w:proofErr w:type="spellEnd"/>
      <w:r w:rsidRPr="00241797">
        <w:rPr>
          <w:lang w:val="fr-CA"/>
        </w:rPr>
        <w:t xml:space="preserve"> </w:t>
      </w:r>
    </w:p>
    <w:p w:rsidR="00432D8A" w:rsidRPr="00241797" w:rsidRDefault="00432D8A" w:rsidP="00A02C2B">
      <w:pPr>
        <w:pStyle w:val="SCCLsocParty"/>
        <w:rPr>
          <w:lang w:val="fr-CA"/>
        </w:rPr>
      </w:pPr>
      <w:r w:rsidRPr="00241797">
        <w:rPr>
          <w:lang w:val="fr-CA"/>
        </w:rPr>
        <w:t>Wilson</w:t>
      </w:r>
      <w:r w:rsidR="005C7A4C" w:rsidRPr="00241797">
        <w:rPr>
          <w:lang w:val="fr-CA"/>
        </w:rPr>
        <w:t xml:space="preserve">, Stéphane Perron, </w:t>
      </w:r>
      <w:proofErr w:type="spellStart"/>
      <w:r w:rsidR="005C7A4C" w:rsidRPr="00241797">
        <w:rPr>
          <w:lang w:val="fr-CA"/>
        </w:rPr>
        <w:t>Marie</w:t>
      </w:r>
      <w:r w:rsidR="00B17B67" w:rsidRPr="00241797">
        <w:rPr>
          <w:lang w:val="fr-CA"/>
        </w:rPr>
        <w:noBreakHyphen/>
      </w:r>
      <w:r w:rsidR="005C7A4C" w:rsidRPr="00241797">
        <w:rPr>
          <w:lang w:val="fr-CA"/>
        </w:rPr>
        <w:t>Nicole</w:t>
      </w:r>
      <w:proofErr w:type="spellEnd"/>
      <w:r w:rsidR="005C7A4C" w:rsidRPr="00241797">
        <w:rPr>
          <w:lang w:val="fr-CA"/>
        </w:rPr>
        <w:t xml:space="preserve"> Dubois, Bruno </w:t>
      </w:r>
    </w:p>
    <w:p w:rsidR="00432D8A" w:rsidRPr="00241797" w:rsidRDefault="005C7A4C" w:rsidP="00A02C2B">
      <w:pPr>
        <w:pStyle w:val="SCCLsocParty"/>
        <w:rPr>
          <w:lang w:val="fr-CA"/>
        </w:rPr>
      </w:pPr>
      <w:proofErr w:type="spellStart"/>
      <w:r w:rsidRPr="00241797">
        <w:rPr>
          <w:lang w:val="fr-CA"/>
        </w:rPr>
        <w:t>Calvignac</w:t>
      </w:r>
      <w:proofErr w:type="spellEnd"/>
      <w:r w:rsidRPr="00241797">
        <w:rPr>
          <w:lang w:val="fr-CA"/>
        </w:rPr>
        <w:t>,</w:t>
      </w:r>
      <w:r w:rsidR="00432D8A" w:rsidRPr="00241797">
        <w:rPr>
          <w:lang w:val="fr-CA"/>
        </w:rPr>
        <w:t xml:space="preserve"> </w:t>
      </w:r>
      <w:r w:rsidRPr="00241797">
        <w:rPr>
          <w:lang w:val="fr-CA"/>
        </w:rPr>
        <w:t xml:space="preserve">Carine Hutchinson, Jackie </w:t>
      </w:r>
      <w:proofErr w:type="spellStart"/>
      <w:r w:rsidRPr="00241797">
        <w:rPr>
          <w:lang w:val="fr-CA"/>
        </w:rPr>
        <w:t>Pallard</w:t>
      </w:r>
      <w:proofErr w:type="spellEnd"/>
      <w:r w:rsidRPr="00241797">
        <w:rPr>
          <w:lang w:val="fr-CA"/>
        </w:rPr>
        <w:t xml:space="preserve">, Kathleen </w:t>
      </w:r>
    </w:p>
    <w:p w:rsidR="00432D8A" w:rsidRPr="00241797" w:rsidRDefault="005C7A4C" w:rsidP="00A02C2B">
      <w:pPr>
        <w:pStyle w:val="SCCLsocParty"/>
        <w:rPr>
          <w:lang w:val="fr-CA"/>
        </w:rPr>
      </w:pPr>
      <w:proofErr w:type="spellStart"/>
      <w:r w:rsidRPr="00241797">
        <w:rPr>
          <w:lang w:val="fr-CA"/>
        </w:rPr>
        <w:t>Bayzand</w:t>
      </w:r>
      <w:proofErr w:type="spellEnd"/>
      <w:r w:rsidRPr="00241797">
        <w:rPr>
          <w:lang w:val="fr-CA"/>
        </w:rPr>
        <w:t xml:space="preserve">, Guy </w:t>
      </w:r>
      <w:proofErr w:type="spellStart"/>
      <w:r w:rsidRPr="00241797">
        <w:rPr>
          <w:lang w:val="fr-CA"/>
        </w:rPr>
        <w:t>Champoux</w:t>
      </w:r>
      <w:proofErr w:type="spellEnd"/>
      <w:r w:rsidRPr="00241797">
        <w:rPr>
          <w:lang w:val="fr-CA"/>
        </w:rPr>
        <w:t xml:space="preserve">, Rachel Chirico, </w:t>
      </w:r>
      <w:proofErr w:type="spellStart"/>
      <w:r w:rsidRPr="00241797">
        <w:rPr>
          <w:lang w:val="fr-CA"/>
        </w:rPr>
        <w:t>Cate</w:t>
      </w:r>
      <w:proofErr w:type="spellEnd"/>
      <w:r w:rsidRPr="00241797">
        <w:rPr>
          <w:lang w:val="fr-CA"/>
        </w:rPr>
        <w:t xml:space="preserve"> </w:t>
      </w:r>
      <w:proofErr w:type="spellStart"/>
      <w:r w:rsidRPr="00241797">
        <w:rPr>
          <w:lang w:val="fr-CA"/>
        </w:rPr>
        <w:t>Korinth</w:t>
      </w:r>
      <w:proofErr w:type="spellEnd"/>
      <w:r w:rsidRPr="00241797">
        <w:rPr>
          <w:lang w:val="fr-CA"/>
        </w:rPr>
        <w:t xml:space="preserve">, </w:t>
      </w:r>
    </w:p>
    <w:p w:rsidR="005C35A6" w:rsidRPr="00241797" w:rsidRDefault="005C7A4C" w:rsidP="00634CD4">
      <w:pPr>
        <w:pStyle w:val="SCCLsocParty"/>
        <w:spacing w:after="720"/>
        <w:rPr>
          <w:rStyle w:val="SCCLsocPartyRole"/>
          <w:lang w:val="fr-CA"/>
        </w:rPr>
      </w:pPr>
      <w:r w:rsidRPr="00241797">
        <w:rPr>
          <w:lang w:val="fr-CA"/>
        </w:rPr>
        <w:t xml:space="preserve">Ann </w:t>
      </w:r>
      <w:proofErr w:type="spellStart"/>
      <w:r w:rsidRPr="00241797">
        <w:rPr>
          <w:lang w:val="fr-CA"/>
        </w:rPr>
        <w:t>Quarterman</w:t>
      </w:r>
      <w:proofErr w:type="spellEnd"/>
      <w:r w:rsidRPr="00241797">
        <w:rPr>
          <w:lang w:val="fr-CA"/>
        </w:rPr>
        <w:t xml:space="preserve"> and Caroline Rousselle</w:t>
      </w:r>
      <w:r w:rsidRPr="00241797">
        <w:rPr>
          <w:rStyle w:val="SCCLsocPartyRole"/>
          <w:lang w:val="fr-CA"/>
        </w:rPr>
        <w:tab/>
      </w:r>
      <w:proofErr w:type="spellStart"/>
      <w:r w:rsidRPr="00241797">
        <w:rPr>
          <w:rStyle w:val="SCCLsocPartyRole"/>
          <w:lang w:val="fr-CA"/>
        </w:rPr>
        <w:t>Appellants</w:t>
      </w:r>
      <w:proofErr w:type="spellEnd"/>
    </w:p>
    <w:p w:rsidR="005C35A6" w:rsidRPr="006E7362" w:rsidRDefault="00432D8A" w:rsidP="00634CD4">
      <w:pPr>
        <w:pStyle w:val="SCCLsocVersus"/>
        <w:rPr>
          <w:lang w:val="fr-CA"/>
        </w:rPr>
      </w:pPr>
      <w:r w:rsidRPr="006E7362">
        <w:rPr>
          <w:lang w:val="fr-CA"/>
        </w:rPr>
        <w:t>v</w:t>
      </w:r>
      <w:r w:rsidR="005C7A4C" w:rsidRPr="006E7362">
        <w:rPr>
          <w:lang w:val="fr-CA"/>
        </w:rPr>
        <w:t>.</w:t>
      </w:r>
    </w:p>
    <w:p w:rsidR="00432D8A" w:rsidRPr="00241797" w:rsidRDefault="005C7A4C" w:rsidP="00A02C2B">
      <w:pPr>
        <w:pStyle w:val="SCCLsocParty"/>
      </w:pPr>
      <w:r w:rsidRPr="00241797">
        <w:t xml:space="preserve">Her Majesty </w:t>
      </w:r>
      <w:proofErr w:type="gramStart"/>
      <w:r w:rsidR="00030164" w:rsidRPr="00241797">
        <w:t>T</w:t>
      </w:r>
      <w:r w:rsidRPr="00241797">
        <w:t>he</w:t>
      </w:r>
      <w:proofErr w:type="gramEnd"/>
      <w:r w:rsidRPr="00241797">
        <w:t xml:space="preserve"> Queen in Right of the Province of </w:t>
      </w:r>
    </w:p>
    <w:p w:rsidR="00432D8A" w:rsidRPr="00241797" w:rsidRDefault="005855B0" w:rsidP="00A02C2B">
      <w:pPr>
        <w:pStyle w:val="SCCLsocParty"/>
      </w:pPr>
      <w:r w:rsidRPr="00241797">
        <w:t>British </w:t>
      </w:r>
      <w:r w:rsidR="00432D8A" w:rsidRPr="00241797">
        <w:t xml:space="preserve">Columbia and </w:t>
      </w:r>
      <w:r w:rsidR="005C7A4C" w:rsidRPr="00241797">
        <w:t xml:space="preserve">Minister of Education of the </w:t>
      </w:r>
    </w:p>
    <w:p w:rsidR="005C35A6" w:rsidRPr="00241797" w:rsidRDefault="005C7A4C" w:rsidP="00634CD4">
      <w:pPr>
        <w:pStyle w:val="SCCLsocParty"/>
        <w:spacing w:after="720"/>
      </w:pPr>
      <w:r w:rsidRPr="00241797">
        <w:t>Province of British Columbia</w:t>
      </w:r>
      <w:r w:rsidRPr="00241797">
        <w:rPr>
          <w:rStyle w:val="SCCLsocPartyRole"/>
        </w:rPr>
        <w:tab/>
        <w:t>Respondents</w:t>
      </w:r>
    </w:p>
    <w:p w:rsidR="005C35A6" w:rsidRPr="00241797" w:rsidRDefault="005C7A4C" w:rsidP="00634CD4">
      <w:pPr>
        <w:pStyle w:val="SCCLsocOtherPartySeparator"/>
      </w:pPr>
      <w:proofErr w:type="gramStart"/>
      <w:r w:rsidRPr="00241797">
        <w:t>and</w:t>
      </w:r>
      <w:proofErr w:type="gramEnd"/>
    </w:p>
    <w:p w:rsidR="00432D8A" w:rsidRPr="00241797" w:rsidRDefault="005C7A4C" w:rsidP="00A02C2B">
      <w:pPr>
        <w:pStyle w:val="SCCLsocParty"/>
      </w:pPr>
      <w:r w:rsidRPr="00241797">
        <w:t>Attorney General of Ontario,</w:t>
      </w:r>
      <w:r w:rsidR="00432D8A" w:rsidRPr="00241797">
        <w:t xml:space="preserve"> </w:t>
      </w:r>
      <w:r w:rsidRPr="00241797">
        <w:t xml:space="preserve">Commissioner of Official </w:t>
      </w:r>
    </w:p>
    <w:p w:rsidR="00432D8A" w:rsidRPr="00241797" w:rsidRDefault="00432D8A" w:rsidP="00A02C2B">
      <w:pPr>
        <w:pStyle w:val="SCCLsocParty"/>
        <w:rPr>
          <w:lang w:val="en-US"/>
        </w:rPr>
      </w:pPr>
      <w:r w:rsidRPr="00241797">
        <w:t xml:space="preserve">Languages of Canada and </w:t>
      </w:r>
      <w:r w:rsidR="005C7A4C" w:rsidRPr="00241797">
        <w:rPr>
          <w:lang w:val="en-US"/>
        </w:rPr>
        <w:t xml:space="preserve">Association des </w:t>
      </w:r>
      <w:proofErr w:type="spellStart"/>
      <w:r w:rsidR="005C7A4C" w:rsidRPr="00241797">
        <w:rPr>
          <w:lang w:val="en-US"/>
        </w:rPr>
        <w:t>juristes</w:t>
      </w:r>
      <w:proofErr w:type="spellEnd"/>
      <w:r w:rsidR="005C7A4C" w:rsidRPr="00241797">
        <w:rPr>
          <w:lang w:val="en-US"/>
        </w:rPr>
        <w:t xml:space="preserve"> </w:t>
      </w:r>
    </w:p>
    <w:p w:rsidR="005C35A6" w:rsidRPr="00241797" w:rsidRDefault="00BD65CA" w:rsidP="00634CD4">
      <w:pPr>
        <w:pStyle w:val="SCCLsocParty"/>
        <w:spacing w:after="720"/>
        <w:rPr>
          <w:lang w:val="fr-CA"/>
        </w:rPr>
      </w:pPr>
      <w:proofErr w:type="gramStart"/>
      <w:r w:rsidRPr="00241797">
        <w:rPr>
          <w:lang w:val="fr-CA"/>
        </w:rPr>
        <w:t>d</w:t>
      </w:r>
      <w:r w:rsidR="00432D8A" w:rsidRPr="00241797">
        <w:rPr>
          <w:lang w:val="fr-CA"/>
        </w:rPr>
        <w:t>’</w:t>
      </w:r>
      <w:r w:rsidR="005C7A4C" w:rsidRPr="00241797">
        <w:rPr>
          <w:lang w:val="fr-CA"/>
        </w:rPr>
        <w:t>expression</w:t>
      </w:r>
      <w:proofErr w:type="gramEnd"/>
      <w:r w:rsidR="005C7A4C" w:rsidRPr="00241797">
        <w:rPr>
          <w:lang w:val="fr-CA"/>
        </w:rPr>
        <w:t xml:space="preserve"> française de la </w:t>
      </w:r>
      <w:proofErr w:type="spellStart"/>
      <w:r w:rsidR="005C7A4C" w:rsidRPr="00241797">
        <w:rPr>
          <w:lang w:val="fr-CA"/>
        </w:rPr>
        <w:t>Colombie</w:t>
      </w:r>
      <w:r w:rsidR="00B17B67" w:rsidRPr="00241797">
        <w:rPr>
          <w:lang w:val="fr-CA"/>
        </w:rPr>
        <w:noBreakHyphen/>
      </w:r>
      <w:r w:rsidR="005C7A4C" w:rsidRPr="00241797">
        <w:rPr>
          <w:lang w:val="fr-CA"/>
        </w:rPr>
        <w:t>Britannique</w:t>
      </w:r>
      <w:proofErr w:type="spellEnd"/>
      <w:r w:rsidR="005C7A4C" w:rsidRPr="00241797">
        <w:rPr>
          <w:rStyle w:val="SCCLsocPartyRole"/>
          <w:lang w:val="fr-CA"/>
        </w:rPr>
        <w:tab/>
      </w:r>
      <w:proofErr w:type="spellStart"/>
      <w:r w:rsidR="005C7A4C" w:rsidRPr="00241797">
        <w:rPr>
          <w:rStyle w:val="SCCLsocPartyRole"/>
          <w:lang w:val="fr-CA"/>
        </w:rPr>
        <w:t>Interveners</w:t>
      </w:r>
      <w:proofErr w:type="spellEnd"/>
    </w:p>
    <w:p w:rsidR="00426659" w:rsidRPr="00241797" w:rsidRDefault="00F43E4D" w:rsidP="00634CD4">
      <w:pPr>
        <w:spacing w:after="720"/>
        <w:jc w:val="both"/>
        <w:rPr>
          <w:lang w:val="fr-CA"/>
        </w:rPr>
      </w:pPr>
      <w:proofErr w:type="spellStart"/>
      <w:r>
        <w:rPr>
          <w:b/>
          <w:lang w:val="fr-CA"/>
        </w:rPr>
        <w:t>Indexed</w:t>
      </w:r>
      <w:proofErr w:type="spellEnd"/>
      <w:r>
        <w:rPr>
          <w:b/>
          <w:lang w:val="fr-CA"/>
        </w:rPr>
        <w:t xml:space="preserve"> as: </w:t>
      </w:r>
      <w:r w:rsidR="005C7A4C" w:rsidRPr="00241797">
        <w:rPr>
          <w:b/>
          <w:lang w:val="fr-CA"/>
        </w:rPr>
        <w:t>Conseil s</w:t>
      </w:r>
      <w:r w:rsidR="00426659" w:rsidRPr="00241797">
        <w:rPr>
          <w:b/>
          <w:lang w:val="fr-CA"/>
        </w:rPr>
        <w:t xml:space="preserve">colaire </w:t>
      </w:r>
      <w:r w:rsidR="005C7A4C" w:rsidRPr="00241797">
        <w:rPr>
          <w:b/>
          <w:lang w:val="fr-CA"/>
        </w:rPr>
        <w:t xml:space="preserve">francophone de la </w:t>
      </w:r>
      <w:proofErr w:type="spellStart"/>
      <w:r w:rsidR="005C7A4C" w:rsidRPr="00241797">
        <w:rPr>
          <w:b/>
          <w:lang w:val="fr-CA"/>
        </w:rPr>
        <w:t>Colombie</w:t>
      </w:r>
      <w:r w:rsidR="00B17B67" w:rsidRPr="00241797">
        <w:rPr>
          <w:b/>
          <w:lang w:val="fr-CA"/>
        </w:rPr>
        <w:noBreakHyphen/>
      </w:r>
      <w:r w:rsidR="005C7A4C" w:rsidRPr="00241797">
        <w:rPr>
          <w:b/>
          <w:lang w:val="fr-CA"/>
        </w:rPr>
        <w:t>Britannique</w:t>
      </w:r>
      <w:proofErr w:type="spellEnd"/>
      <w:r w:rsidR="00426659" w:rsidRPr="00241797">
        <w:rPr>
          <w:b/>
          <w:lang w:val="fr-CA"/>
        </w:rPr>
        <w:t xml:space="preserve"> </w:t>
      </w:r>
      <w:r w:rsidR="00426659" w:rsidRPr="00241797">
        <w:rPr>
          <w:b/>
          <w:i/>
          <w:lang w:val="fr-CA"/>
        </w:rPr>
        <w:t>v.</w:t>
      </w:r>
      <w:r w:rsidR="00426659" w:rsidRPr="00241797">
        <w:rPr>
          <w:b/>
          <w:lang w:val="fr-CA"/>
        </w:rPr>
        <w:t xml:space="preserve"> </w:t>
      </w:r>
      <w:r w:rsidR="005855B0" w:rsidRPr="00241797">
        <w:rPr>
          <w:b/>
          <w:lang w:val="fr-CA"/>
        </w:rPr>
        <w:t>British </w:t>
      </w:r>
      <w:r w:rsidR="005C7A4C" w:rsidRPr="00241797">
        <w:rPr>
          <w:b/>
          <w:lang w:val="fr-CA"/>
        </w:rPr>
        <w:t>Columbia</w:t>
      </w:r>
    </w:p>
    <w:p w:rsidR="00426659" w:rsidRPr="00241797" w:rsidRDefault="004F36FF" w:rsidP="00634CD4">
      <w:pPr>
        <w:pStyle w:val="SCCSystemYear"/>
        <w:spacing w:after="720"/>
        <w:jc w:val="both"/>
      </w:pPr>
      <w:r w:rsidRPr="00241797">
        <w:t>2013</w:t>
      </w:r>
      <w:r w:rsidR="003D0399" w:rsidRPr="00241797">
        <w:t xml:space="preserve"> </w:t>
      </w:r>
      <w:r w:rsidR="00783150" w:rsidRPr="00241797">
        <w:t>SCC 42</w:t>
      </w:r>
    </w:p>
    <w:p w:rsidR="008322BD" w:rsidRPr="00241797" w:rsidRDefault="009B57B3" w:rsidP="00634CD4">
      <w:pPr>
        <w:spacing w:after="720"/>
        <w:jc w:val="both"/>
      </w:pPr>
      <w:r w:rsidRPr="00241797">
        <w:t>File No.:  34908.</w:t>
      </w:r>
    </w:p>
    <w:p w:rsidR="0030585B" w:rsidRPr="00241797" w:rsidRDefault="0030585B" w:rsidP="0030585B">
      <w:pPr>
        <w:spacing w:after="720"/>
        <w:jc w:val="both"/>
      </w:pPr>
      <w:r w:rsidRPr="00241797">
        <w:lastRenderedPageBreak/>
        <w:t>2013:  April 15; 2013:</w:t>
      </w:r>
      <w:r w:rsidR="00F3207A" w:rsidRPr="00241797">
        <w:t>  July </w:t>
      </w:r>
      <w:r w:rsidRPr="00241797">
        <w:t>26.</w:t>
      </w:r>
    </w:p>
    <w:p w:rsidR="0030585B" w:rsidRPr="00241797" w:rsidRDefault="0030585B" w:rsidP="0030585B">
      <w:pPr>
        <w:spacing w:after="720"/>
        <w:jc w:val="both"/>
      </w:pPr>
      <w:r w:rsidRPr="00241797">
        <w:t xml:space="preserve">Present:  McLachlin C.J. and </w:t>
      </w:r>
      <w:proofErr w:type="spellStart"/>
      <w:r w:rsidRPr="00241797">
        <w:t>LeBel</w:t>
      </w:r>
      <w:proofErr w:type="spellEnd"/>
      <w:r w:rsidRPr="00241797">
        <w:t xml:space="preserve">, </w:t>
      </w:r>
      <w:proofErr w:type="spellStart"/>
      <w:r w:rsidRPr="00241797">
        <w:t>Abella</w:t>
      </w:r>
      <w:proofErr w:type="spellEnd"/>
      <w:r w:rsidRPr="00241797">
        <w:t xml:space="preserve">, Rothstein, </w:t>
      </w:r>
      <w:proofErr w:type="spellStart"/>
      <w:r w:rsidRPr="00241797">
        <w:t>Moldaver</w:t>
      </w:r>
      <w:proofErr w:type="spellEnd"/>
      <w:r w:rsidRPr="00241797">
        <w:t xml:space="preserve">, </w:t>
      </w:r>
      <w:proofErr w:type="spellStart"/>
      <w:r w:rsidRPr="00241797">
        <w:t>Karakatsanis</w:t>
      </w:r>
      <w:proofErr w:type="spellEnd"/>
      <w:r w:rsidRPr="00241797">
        <w:t xml:space="preserve"> and Wagner JJ.</w:t>
      </w:r>
    </w:p>
    <w:p w:rsidR="0030585B" w:rsidRPr="00241797" w:rsidRDefault="0030585B" w:rsidP="0030585B">
      <w:pPr>
        <w:pStyle w:val="SCCLowerCourtNameLowercase"/>
        <w:spacing w:after="720" w:line="240" w:lineRule="auto"/>
      </w:pPr>
      <w:r w:rsidRPr="00241797">
        <w:t xml:space="preserve">on appeal from the court of appeal for </w:t>
      </w:r>
      <w:proofErr w:type="spellStart"/>
      <w:proofErr w:type="gramStart"/>
      <w:r w:rsidRPr="00241797">
        <w:t>british</w:t>
      </w:r>
      <w:proofErr w:type="spellEnd"/>
      <w:r w:rsidRPr="00241797">
        <w:t xml:space="preserve"> </w:t>
      </w:r>
      <w:proofErr w:type="spellStart"/>
      <w:r w:rsidRPr="00241797">
        <w:t>columbia</w:t>
      </w:r>
      <w:proofErr w:type="spellEnd"/>
      <w:proofErr w:type="gramEnd"/>
    </w:p>
    <w:p w:rsidR="00DE7BB3" w:rsidRPr="00241797" w:rsidRDefault="00DE7BB3" w:rsidP="00DE7BB3">
      <w:pPr>
        <w:pStyle w:val="SCCNormalDoubleSpacing"/>
        <w:spacing w:before="480" w:after="480"/>
      </w:pPr>
      <w:r w:rsidRPr="00241797">
        <w:tab/>
      </w:r>
      <w:r w:rsidRPr="00241797">
        <w:rPr>
          <w:i/>
        </w:rPr>
        <w:t xml:space="preserve">Courts </w:t>
      </w:r>
      <w:r w:rsidR="00B17B67" w:rsidRPr="00241797">
        <w:rPr>
          <w:i/>
        </w:rPr>
        <w:t>—</w:t>
      </w:r>
      <w:r w:rsidRPr="00241797">
        <w:rPr>
          <w:i/>
        </w:rPr>
        <w:t xml:space="preserve"> Rules of court </w:t>
      </w:r>
      <w:r w:rsidR="00B17B67" w:rsidRPr="00241797">
        <w:rPr>
          <w:i/>
        </w:rPr>
        <w:t>—</w:t>
      </w:r>
      <w:r w:rsidRPr="00241797">
        <w:rPr>
          <w:i/>
        </w:rPr>
        <w:t xml:space="preserve"> Affidavits </w:t>
      </w:r>
      <w:r w:rsidR="00B17B67" w:rsidRPr="00241797">
        <w:rPr>
          <w:i/>
        </w:rPr>
        <w:t>—</w:t>
      </w:r>
      <w:r w:rsidRPr="00241797">
        <w:rPr>
          <w:i/>
        </w:rPr>
        <w:t xml:space="preserve"> Language of exhibits </w:t>
      </w:r>
      <w:r w:rsidR="00B17B67" w:rsidRPr="00241797">
        <w:rPr>
          <w:i/>
        </w:rPr>
        <w:t>—</w:t>
      </w:r>
      <w:r w:rsidRPr="00241797">
        <w:rPr>
          <w:i/>
        </w:rPr>
        <w:t xml:space="preserve"> 1731 English Act received into B.C. law providing English as language of court “proceedings” </w:t>
      </w:r>
      <w:r w:rsidR="00B17B67" w:rsidRPr="00241797">
        <w:rPr>
          <w:i/>
        </w:rPr>
        <w:t>—</w:t>
      </w:r>
      <w:r w:rsidRPr="00241797">
        <w:rPr>
          <w:i/>
        </w:rPr>
        <w:t xml:space="preserve"> B.C. Supreme Court Civil Rules also requiring documents “prepared for use in the court” be in English unless impracticable </w:t>
      </w:r>
      <w:r w:rsidR="00B17B67" w:rsidRPr="00241797">
        <w:rPr>
          <w:i/>
        </w:rPr>
        <w:t>—</w:t>
      </w:r>
      <w:r w:rsidRPr="00241797">
        <w:rPr>
          <w:i/>
        </w:rPr>
        <w:t xml:space="preserve"> French language school board seeking to file affidavits attaching exhibits prepared in French prior to litigation </w:t>
      </w:r>
      <w:r w:rsidR="00B17B67" w:rsidRPr="00241797">
        <w:rPr>
          <w:i/>
        </w:rPr>
        <w:t>—</w:t>
      </w:r>
      <w:r w:rsidRPr="00241797">
        <w:rPr>
          <w:i/>
        </w:rPr>
        <w:t xml:space="preserve"> Whether 1731 Act or B.C. rules preclude admission of exhibits prepared in French without English translation </w:t>
      </w:r>
      <w:r w:rsidR="00B17B67" w:rsidRPr="00241797">
        <w:rPr>
          <w:i/>
        </w:rPr>
        <w:t>—</w:t>
      </w:r>
      <w:r w:rsidRPr="00241797">
        <w:rPr>
          <w:i/>
        </w:rPr>
        <w:t xml:space="preserve"> Whether admitting exhibits in French within inherent jurisdiction of superior courts to control own processes </w:t>
      </w:r>
      <w:r w:rsidR="00B17B67" w:rsidRPr="00241797">
        <w:rPr>
          <w:i/>
        </w:rPr>
        <w:t>—</w:t>
      </w:r>
      <w:r w:rsidRPr="00241797">
        <w:rPr>
          <w:i/>
        </w:rPr>
        <w:t xml:space="preserve"> Whether B.C. Civil Rules limit exercise of inherent jurisdiction </w:t>
      </w:r>
      <w:r w:rsidR="00B17B67" w:rsidRPr="00241797">
        <w:rPr>
          <w:i/>
        </w:rPr>
        <w:t>—</w:t>
      </w:r>
      <w:r w:rsidRPr="00241797">
        <w:rPr>
          <w:i/>
        </w:rPr>
        <w:t xml:space="preserve"> Supreme Court Civil Rules, B.C. Reg.</w:t>
      </w:r>
      <w:r w:rsidR="008A0AD9">
        <w:rPr>
          <w:i/>
        </w:rPr>
        <w:t xml:space="preserve"> 168/2009, r</w:t>
      </w:r>
      <w:r w:rsidRPr="00241797">
        <w:rPr>
          <w:i/>
        </w:rPr>
        <w:t>. 22</w:t>
      </w:r>
      <w:r w:rsidR="00B17B67" w:rsidRPr="00241797">
        <w:rPr>
          <w:i/>
        </w:rPr>
        <w:noBreakHyphen/>
        <w:t>3(2).</w:t>
      </w:r>
      <w:r w:rsidRPr="00241797">
        <w:rPr>
          <w:i/>
        </w:rPr>
        <w:t xml:space="preserve"> </w:t>
      </w:r>
    </w:p>
    <w:p w:rsidR="00DE7BB3" w:rsidRPr="00241797" w:rsidRDefault="00DE7BB3" w:rsidP="00DE7BB3">
      <w:pPr>
        <w:pStyle w:val="SCCNormalDoubleSpacing"/>
        <w:spacing w:before="480" w:after="480"/>
      </w:pPr>
      <w:r w:rsidRPr="00241797">
        <w:tab/>
        <w:t xml:space="preserve">In an action alleging the violation of French language education rights as guaranteed by the </w:t>
      </w:r>
      <w:r w:rsidRPr="00241797">
        <w:rPr>
          <w:i/>
        </w:rPr>
        <w:t>Charter</w:t>
      </w:r>
      <w:r w:rsidRPr="00241797">
        <w:t xml:space="preserve">, a B.C. French language school board (the </w:t>
      </w:r>
      <w:r w:rsidR="00271D00" w:rsidRPr="00241797">
        <w:t>“</w:t>
      </w:r>
      <w:proofErr w:type="spellStart"/>
      <w:r w:rsidRPr="00241797">
        <w:t>Conseil</w:t>
      </w:r>
      <w:proofErr w:type="spellEnd"/>
      <w:r w:rsidRPr="00241797">
        <w:t xml:space="preserve">”), and a federation of Francophone parents, brought an interlocutory application to have exhibits to affidavits written in French introduced into evidence in order to demonstrate they had standing to bring the action.  They intended to rely on the content of the exhibits, prepared before the litigation was contemplated, which </w:t>
      </w:r>
      <w:r w:rsidRPr="00241797">
        <w:lastRenderedPageBreak/>
        <w:t>described their respective roles in the protection and promotion of French</w:t>
      </w:r>
      <w:r w:rsidR="00B17B67" w:rsidRPr="00241797">
        <w:noBreakHyphen/>
      </w:r>
      <w:proofErr w:type="spellStart"/>
      <w:r w:rsidRPr="00241797">
        <w:t>language</w:t>
      </w:r>
      <w:proofErr w:type="spellEnd"/>
      <w:r w:rsidRPr="00241797">
        <w:t xml:space="preserve"> education in the province.  British Columbia objected to the admission of the exhibits without accompanying English translations on the basis of an old English statute received into the colonial law of B.C. (the “</w:t>
      </w:r>
      <w:r w:rsidRPr="00241797">
        <w:rPr>
          <w:i/>
        </w:rPr>
        <w:t>1731 Act</w:t>
      </w:r>
      <w:r w:rsidRPr="00241797">
        <w:t>”), as well as Rule 22</w:t>
      </w:r>
      <w:r w:rsidR="00B17B67" w:rsidRPr="00241797">
        <w:noBreakHyphen/>
      </w:r>
      <w:r w:rsidRPr="00241797">
        <w:t xml:space="preserve">3 of the B.C. </w:t>
      </w:r>
      <w:r w:rsidRPr="00241797">
        <w:rPr>
          <w:i/>
        </w:rPr>
        <w:t>Supreme Court Civil Rules</w:t>
      </w:r>
      <w:r w:rsidRPr="00241797">
        <w:t>, B.C. Reg.</w:t>
      </w:r>
      <w:r w:rsidR="00D05B9C">
        <w:t xml:space="preserve"> </w:t>
      </w:r>
      <w:r w:rsidRPr="00241797">
        <w:t>168/2009 (</w:t>
      </w:r>
      <w:r w:rsidR="006E7362">
        <w:t>“</w:t>
      </w:r>
      <w:r w:rsidRPr="00241797">
        <w:rPr>
          <w:i/>
        </w:rPr>
        <w:t>Civil Rules</w:t>
      </w:r>
      <w:r w:rsidRPr="00D05B9C">
        <w:t>”</w:t>
      </w:r>
      <w:r w:rsidRPr="00241797">
        <w:t>), which respectively require court “proceedings” and any “document prepared for use in the court” to be in English.  The chambers judge denied the application.  The Court of Appeal dismissed the appeal.</w:t>
      </w:r>
      <w:r w:rsidRPr="00241797">
        <w:tab/>
      </w:r>
    </w:p>
    <w:p w:rsidR="00DE7BB3" w:rsidRPr="00241797" w:rsidRDefault="00DE7BB3" w:rsidP="00DE7BB3">
      <w:pPr>
        <w:pStyle w:val="SCCNormalDoubleSpacing"/>
        <w:spacing w:before="480" w:after="480"/>
      </w:pPr>
      <w:r w:rsidRPr="00241797">
        <w:tab/>
      </w:r>
      <w:r w:rsidRPr="00241797">
        <w:rPr>
          <w:i/>
        </w:rPr>
        <w:t>Held</w:t>
      </w:r>
      <w:r w:rsidRPr="00241797">
        <w:t xml:space="preserve"> (</w:t>
      </w:r>
      <w:proofErr w:type="spellStart"/>
      <w:r w:rsidRPr="00241797">
        <w:t>LeBel</w:t>
      </w:r>
      <w:proofErr w:type="spellEnd"/>
      <w:r w:rsidRPr="00241797">
        <w:t xml:space="preserve">, </w:t>
      </w:r>
      <w:proofErr w:type="spellStart"/>
      <w:r w:rsidRPr="00241797">
        <w:t>Abella</w:t>
      </w:r>
      <w:proofErr w:type="spellEnd"/>
      <w:r w:rsidRPr="00241797">
        <w:t xml:space="preserve"> and </w:t>
      </w:r>
      <w:proofErr w:type="spellStart"/>
      <w:r w:rsidRPr="00241797">
        <w:t>Karakatsanis</w:t>
      </w:r>
      <w:proofErr w:type="spellEnd"/>
      <w:r w:rsidRPr="00241797">
        <w:t xml:space="preserve"> JJ. </w:t>
      </w:r>
      <w:proofErr w:type="gramStart"/>
      <w:r w:rsidRPr="00241797">
        <w:t>dissenting)</w:t>
      </w:r>
      <w:proofErr w:type="gramEnd"/>
      <w:r w:rsidRPr="00D05B9C">
        <w:t xml:space="preserve">: </w:t>
      </w:r>
      <w:r w:rsidRPr="00241797">
        <w:t xml:space="preserve"> The appeal should be dismissed.</w:t>
      </w:r>
    </w:p>
    <w:p w:rsidR="00DE7BB3" w:rsidRPr="00241797" w:rsidRDefault="00DE7BB3" w:rsidP="00DE7BB3">
      <w:pPr>
        <w:pStyle w:val="SCCNormalDoubleSpacing"/>
        <w:spacing w:before="480" w:after="480"/>
      </w:pPr>
      <w:r w:rsidRPr="00241797">
        <w:tab/>
      </w:r>
      <w:r w:rsidRPr="00241797">
        <w:rPr>
          <w:i/>
        </w:rPr>
        <w:t>Per</w:t>
      </w:r>
      <w:r w:rsidRPr="00241797">
        <w:t xml:space="preserve"> McLachlin C.J. and Rothstein, </w:t>
      </w:r>
      <w:proofErr w:type="spellStart"/>
      <w:r w:rsidRPr="00241797">
        <w:t>Moldaver</w:t>
      </w:r>
      <w:proofErr w:type="spellEnd"/>
      <w:r w:rsidRPr="00241797">
        <w:t xml:space="preserve"> and </w:t>
      </w:r>
      <w:r w:rsidRPr="00D05B9C">
        <w:t>Wagner</w:t>
      </w:r>
      <w:r w:rsidR="00ED5EAE">
        <w:t xml:space="preserve"> JJ.:  </w:t>
      </w:r>
      <w:r w:rsidRPr="00241797">
        <w:t xml:space="preserve">The B.C. legislature has exercised its power to regulate the language to be used in court proceedings in that province by adopting legislative provisions which require civil “proceedings”, which includes exhibits to affidavits filed as part of those proceedings, to be in English.  In doing so, the legislature has ousted the inherent jurisdiction of the courts and, therefore, no residual discretion exists to admit documents in other languages without an English translation.  </w:t>
      </w:r>
    </w:p>
    <w:p w:rsidR="00DE7BB3" w:rsidRPr="00241797" w:rsidRDefault="00DE7BB3" w:rsidP="00DE7BB3">
      <w:pPr>
        <w:pStyle w:val="SCCNormalDoubleSpacing"/>
        <w:spacing w:before="480" w:after="480"/>
        <w:rPr>
          <w:rFonts w:eastAsiaTheme="minorHAnsi"/>
          <w:lang w:val="en-US"/>
        </w:rPr>
      </w:pPr>
      <w:r w:rsidRPr="00241797">
        <w:tab/>
        <w:t xml:space="preserve">The </w:t>
      </w:r>
      <w:r w:rsidRPr="00241797">
        <w:rPr>
          <w:i/>
        </w:rPr>
        <w:t>1731 Act</w:t>
      </w:r>
      <w:r w:rsidRPr="00241797">
        <w:t xml:space="preserve"> was received into B.C. law and is in force in that province, pursuant to the requirements of s.</w:t>
      </w:r>
      <w:r w:rsidR="00ED5EAE">
        <w:t> </w:t>
      </w:r>
      <w:r w:rsidRPr="00241797">
        <w:t xml:space="preserve">2 of the </w:t>
      </w:r>
      <w:r w:rsidRPr="00241797">
        <w:rPr>
          <w:i/>
        </w:rPr>
        <w:t>Law and Equity Act</w:t>
      </w:r>
      <w:r w:rsidRPr="00241797">
        <w:t>, R.S.B.C. 1996, c.</w:t>
      </w:r>
      <w:r w:rsidR="00ED5EAE">
        <w:t> </w:t>
      </w:r>
      <w:r w:rsidRPr="00241797">
        <w:t xml:space="preserve">253: the </w:t>
      </w:r>
      <w:r w:rsidRPr="00241797">
        <w:rPr>
          <w:i/>
        </w:rPr>
        <w:t>1731 Act</w:t>
      </w:r>
      <w:r w:rsidRPr="00241797">
        <w:t xml:space="preserve"> was </w:t>
      </w:r>
      <w:r w:rsidR="00ED5EAE">
        <w:t>in force in England on November </w:t>
      </w:r>
      <w:r w:rsidRPr="00241797">
        <w:t xml:space="preserve">19, 1858, it was applicable to the local circumstances in B.C. at the time, and it has not been modified by subsequent </w:t>
      </w:r>
      <w:r w:rsidRPr="00241797">
        <w:lastRenderedPageBreak/>
        <w:t xml:space="preserve">legislation having the force of law.  As such, the test for determining whether a law is applicable is based on its suitability and not on a more stringent test of necessity.  </w:t>
      </w:r>
      <w:r w:rsidRPr="00241797">
        <w:rPr>
          <w:rFonts w:eastAsiaTheme="minorHAnsi"/>
          <w:lang w:val="en-US"/>
        </w:rPr>
        <w:t xml:space="preserve">Furthermore, applicability is to be assessed as of the date of reception and not as of the date the cause of action arose.  </w:t>
      </w:r>
      <w:r w:rsidRPr="00241797">
        <w:t>This approach results in valuable certainty in the law and is also respectful of the courts’ role of interpreting statutes and of the legislature’s role of modifying them to reflect changing circumstances.  Given that in 1858 the government in B.C. operated in English, and English was the common language of settlers, nothing about the circumstances in the province would have made a rule requiring that court proceedings be conducted in English unsuitable.</w:t>
      </w:r>
      <w:r w:rsidRPr="00241797">
        <w:rPr>
          <w:rFonts w:eastAsiaTheme="minorHAnsi"/>
          <w:lang w:val="en-US"/>
        </w:rPr>
        <w:t xml:space="preserve"> </w:t>
      </w:r>
    </w:p>
    <w:p w:rsidR="00DE7BB3" w:rsidRPr="00241797" w:rsidRDefault="00DE7BB3" w:rsidP="00DE7BB3">
      <w:pPr>
        <w:pStyle w:val="SCCNormalDoubleSpacing"/>
        <w:spacing w:before="480" w:after="480"/>
      </w:pPr>
      <w:r w:rsidRPr="00241797">
        <w:rPr>
          <w:rFonts w:eastAsiaTheme="minorHAnsi"/>
          <w:lang w:val="en-US"/>
        </w:rPr>
        <w:tab/>
      </w:r>
      <w:r w:rsidRPr="00241797">
        <w:t>In addition,</w:t>
      </w:r>
      <w:r w:rsidRPr="00241797">
        <w:rPr>
          <w:i/>
        </w:rPr>
        <w:t xml:space="preserve"> </w:t>
      </w:r>
      <w:r w:rsidRPr="00241797">
        <w:t xml:space="preserve">the legislature has neither expressly repealed or modified the </w:t>
      </w:r>
      <w:r w:rsidRPr="00241797">
        <w:rPr>
          <w:i/>
        </w:rPr>
        <w:t xml:space="preserve">1731 Act </w:t>
      </w:r>
      <w:r w:rsidRPr="00241797">
        <w:t xml:space="preserve">in respect of civil proceedings, nor has it implicitly modified it by “occupying the field” with subsequent legislation.  The </w:t>
      </w:r>
      <w:r w:rsidRPr="00241797">
        <w:rPr>
          <w:i/>
        </w:rPr>
        <w:t>1731 Act</w:t>
      </w:r>
      <w:r w:rsidRPr="00241797">
        <w:t xml:space="preserve"> pertains not only to the language of documents filed in court, but also to that of judgments, orders, trials and evidence.  A rule that covers only one aspect of the subject matter while remaining silent on other aspects cannot have the effect of impliedly modifying a received statute.  Rules of civil procedure relating only to the documents used in court therefore cannot be said to occupy the entire field of language for court proceedings</w:t>
      </w:r>
      <w:r w:rsidR="00B17B67" w:rsidRPr="00241797">
        <w:t xml:space="preserve">.  </w:t>
      </w:r>
      <w:r w:rsidRPr="00241797">
        <w:t xml:space="preserve">This conclusion is reinforced by the fact that since 1965 the B.C. courts have repeatedly endorsed the </w:t>
      </w:r>
      <w:r w:rsidRPr="00241797">
        <w:rPr>
          <w:i/>
        </w:rPr>
        <w:t>1731 Act</w:t>
      </w:r>
      <w:r w:rsidRPr="00241797">
        <w:t xml:space="preserve"> and the legislature has, rightly or wrongly, declined to act to change the law on language in court proceedings.</w:t>
      </w:r>
    </w:p>
    <w:p w:rsidR="00DE7BB3" w:rsidRPr="00241797" w:rsidRDefault="00DE7BB3" w:rsidP="00DE7BB3">
      <w:pPr>
        <w:pStyle w:val="SCCNormalDoubleSpacing"/>
        <w:spacing w:before="480" w:after="480"/>
      </w:pPr>
      <w:r w:rsidRPr="00241797">
        <w:lastRenderedPageBreak/>
        <w:tab/>
        <w:t xml:space="preserve">Even if the </w:t>
      </w:r>
      <w:r w:rsidRPr="00241797">
        <w:rPr>
          <w:i/>
        </w:rPr>
        <w:t>1731 Act</w:t>
      </w:r>
      <w:r w:rsidRPr="00241797">
        <w:t xml:space="preserve"> were found not to be applicable in B.C., Rule 22</w:t>
      </w:r>
      <w:r w:rsidR="00B17B67" w:rsidRPr="00241797">
        <w:noBreakHyphen/>
      </w:r>
      <w:r w:rsidRPr="00241797">
        <w:t xml:space="preserve">3 of the </w:t>
      </w:r>
      <w:r w:rsidRPr="00241797">
        <w:rPr>
          <w:i/>
        </w:rPr>
        <w:t>Civil Rules</w:t>
      </w:r>
      <w:r w:rsidRPr="00241797">
        <w:t xml:space="preserve"> requires that exhibits attached to affidavits and filed in court be in English.  Although the exhibits at issue were not prepared for use in court, once the exhibits were attached to the affidavits they became part of a document prepared for use in court.  It cannot be possible to circumvent the rule by moving information on which a party seeks to rely from the body of the affidavit into an exhibit</w:t>
      </w:r>
      <w:r w:rsidR="00B17B67" w:rsidRPr="00241797">
        <w:t xml:space="preserve">.  </w:t>
      </w:r>
      <w:r w:rsidRPr="00241797">
        <w:t>If the party wishes to rely on the content of the exhibits, as opposed to their existence or their authenticity, the exhibits must comply with the rule.  Rule 22</w:t>
      </w:r>
      <w:r w:rsidR="00B17B67" w:rsidRPr="00241797">
        <w:noBreakHyphen/>
      </w:r>
      <w:r w:rsidRPr="00241797">
        <w:t>3 therefore limits the court’s inherent jurisdiction to admit documents in languages other than English.  Only those documents whose nature renders compliance with the rule impracticable can be admitted.  Where, as here, the documents at issue are written in French</w:t>
      </w:r>
      <w:r w:rsidR="00241797" w:rsidRPr="00241797">
        <w:t>,</w:t>
      </w:r>
      <w:r w:rsidR="00241797">
        <w:t xml:space="preserve"> </w:t>
      </w:r>
      <w:r w:rsidR="00241797" w:rsidRPr="00241797">
        <w:t>t</w:t>
      </w:r>
      <w:r w:rsidRPr="00241797">
        <w:t>here is nothing inherent in them that would render translation into English impracticable, including the large volume of documents in question.</w:t>
      </w:r>
    </w:p>
    <w:p w:rsidR="00DE7BB3" w:rsidRPr="00241797" w:rsidRDefault="00DE7BB3" w:rsidP="00DE7BB3">
      <w:pPr>
        <w:pStyle w:val="SCCNormalDoubleSpacing"/>
        <w:spacing w:before="480" w:after="480"/>
      </w:pPr>
      <w:r w:rsidRPr="00241797">
        <w:tab/>
        <w:t xml:space="preserve">Finally, it is not inconsistent with </w:t>
      </w:r>
      <w:r w:rsidRPr="00241797">
        <w:rPr>
          <w:i/>
        </w:rPr>
        <w:t>Charter</w:t>
      </w:r>
      <w:r w:rsidRPr="00241797">
        <w:t xml:space="preserve"> values for the B.C. legislature to restrict the language of court proceedings to English.  The </w:t>
      </w:r>
      <w:r w:rsidRPr="00241797">
        <w:rPr>
          <w:i/>
        </w:rPr>
        <w:t>Charter</w:t>
      </w:r>
      <w:r w:rsidRPr="00241797">
        <w:t xml:space="preserve"> does not require any province other than New Brunswick to provide for court proceedings in both official languages.  Although the </w:t>
      </w:r>
      <w:r w:rsidRPr="00241797">
        <w:rPr>
          <w:i/>
        </w:rPr>
        <w:t xml:space="preserve">Charter </w:t>
      </w:r>
      <w:r w:rsidRPr="00241797">
        <w:t xml:space="preserve">reflects the importance of language rights, it also reflects the importance of respect for the constitutional powers of the provinces; federalism is one of Canada’s underlying constitutional principles.  It would be open to the B.C. legislature to enact legislation to authorize civil proceedings in French, which would no doubt further the values embodied in the language rights provisions </w:t>
      </w:r>
      <w:r w:rsidRPr="00241797">
        <w:lastRenderedPageBreak/>
        <w:t xml:space="preserve">of the </w:t>
      </w:r>
      <w:r w:rsidRPr="00241797">
        <w:rPr>
          <w:i/>
        </w:rPr>
        <w:t>Charter</w:t>
      </w:r>
      <w:r w:rsidR="00B17B67" w:rsidRPr="00241797">
        <w:t xml:space="preserve">.  </w:t>
      </w:r>
      <w:r w:rsidRPr="00241797">
        <w:t xml:space="preserve">However, in the absence of such an initiative, one cannot be imposed by the Court. </w:t>
      </w:r>
    </w:p>
    <w:p w:rsidR="00DE7BB3" w:rsidRPr="00241797" w:rsidRDefault="00DE7BB3" w:rsidP="00ED5EAE">
      <w:pPr>
        <w:pStyle w:val="SCCNormalDoubleSpacing"/>
        <w:spacing w:before="480" w:after="480"/>
      </w:pPr>
      <w:r w:rsidRPr="00241797">
        <w:tab/>
      </w:r>
      <w:proofErr w:type="gramStart"/>
      <w:r w:rsidRPr="00241797">
        <w:rPr>
          <w:i/>
        </w:rPr>
        <w:t>Per</w:t>
      </w:r>
      <w:r w:rsidRPr="00241797">
        <w:t xml:space="preserve"> </w:t>
      </w:r>
      <w:proofErr w:type="spellStart"/>
      <w:r w:rsidRPr="00241797">
        <w:t>LeBel</w:t>
      </w:r>
      <w:proofErr w:type="spellEnd"/>
      <w:r w:rsidRPr="00241797">
        <w:t xml:space="preserve">, </w:t>
      </w:r>
      <w:proofErr w:type="spellStart"/>
      <w:r w:rsidRPr="00241797">
        <w:t>Abella</w:t>
      </w:r>
      <w:proofErr w:type="spellEnd"/>
      <w:r w:rsidRPr="00241797">
        <w:t xml:space="preserve"> and </w:t>
      </w:r>
      <w:proofErr w:type="spellStart"/>
      <w:r w:rsidRPr="00D05B9C">
        <w:t>Karakatsanis</w:t>
      </w:r>
      <w:proofErr w:type="spellEnd"/>
      <w:r w:rsidR="00ED5EAE">
        <w:rPr>
          <w:b/>
        </w:rPr>
        <w:t> </w:t>
      </w:r>
      <w:r w:rsidRPr="00241797">
        <w:t>JJ.</w:t>
      </w:r>
      <w:proofErr w:type="gramEnd"/>
      <w:r w:rsidRPr="00241797">
        <w:t xml:space="preserve"> (</w:t>
      </w:r>
      <w:proofErr w:type="gramStart"/>
      <w:r w:rsidRPr="00241797">
        <w:t>dissenting</w:t>
      </w:r>
      <w:proofErr w:type="gramEnd"/>
      <w:r w:rsidRPr="00241797">
        <w:t xml:space="preserve">):  Neither the </w:t>
      </w:r>
      <w:r w:rsidRPr="00241797">
        <w:rPr>
          <w:i/>
        </w:rPr>
        <w:t>1731 Act</w:t>
      </w:r>
      <w:r w:rsidRPr="00241797">
        <w:t xml:space="preserve"> nor the British Columbia </w:t>
      </w:r>
      <w:r w:rsidRPr="00241797">
        <w:rPr>
          <w:i/>
        </w:rPr>
        <w:t>Civil Rules</w:t>
      </w:r>
      <w:r w:rsidRPr="00241797">
        <w:t xml:space="preserve"> addresses the language of exhibits in court proceedings.  In light of the silence of the British Columbia legislature, and pursuant to the court’s inherent jurisdiction, judges of the B.C. Supreme Court may allow French language documents, not prepared for use in court, to be filed in evidence as exhibits where this will ensure the administration of justice according to law in a regular, orderly and effective manner.</w:t>
      </w:r>
    </w:p>
    <w:p w:rsidR="00DE7BB3" w:rsidRPr="00241797" w:rsidRDefault="00DE7BB3" w:rsidP="00DE7BB3">
      <w:pPr>
        <w:pStyle w:val="SCCNormalDoubleSpacing"/>
        <w:spacing w:before="480" w:after="480"/>
      </w:pPr>
      <w:r w:rsidRPr="00241797">
        <w:tab/>
        <w:t xml:space="preserve">Under the received </w:t>
      </w:r>
      <w:r w:rsidRPr="00241797">
        <w:rPr>
          <w:i/>
        </w:rPr>
        <w:t>1731 Act</w:t>
      </w:r>
      <w:r w:rsidRPr="00241797">
        <w:t xml:space="preserve">, the prohibition on foreign languages in “proceedings” </w:t>
      </w:r>
      <w:r w:rsidR="00031D5E" w:rsidRPr="00241797">
        <w:t>—</w:t>
      </w:r>
      <w:r w:rsidRPr="00241797">
        <w:t xml:space="preserve"> no matter how broadly “proceedings” is defined </w:t>
      </w:r>
      <w:r w:rsidR="00031D5E" w:rsidRPr="00241797">
        <w:t>—</w:t>
      </w:r>
      <w:r w:rsidRPr="00241797">
        <w:t xml:space="preserve"> does not address the language of exhibits filed as evidence, or prevent the tendering or acceptance of a document in a language other than English, even if the oral evidence is in English or translated into English.  Given that the scope of the </w:t>
      </w:r>
      <w:r w:rsidRPr="00241797">
        <w:rPr>
          <w:i/>
        </w:rPr>
        <w:t>1731 Act</w:t>
      </w:r>
      <w:r w:rsidRPr="00241797">
        <w:t xml:space="preserve"> does not include the language of exhibits, it is not necessary to consider whether it has been explicitly or implicitly modified and/or altered by B.C. legislation, by quasi</w:t>
      </w:r>
      <w:r w:rsidR="00B17B67" w:rsidRPr="00241797">
        <w:noBreakHyphen/>
      </w:r>
      <w:proofErr w:type="spellStart"/>
      <w:r w:rsidRPr="00241797">
        <w:t>constitutional</w:t>
      </w:r>
      <w:proofErr w:type="spellEnd"/>
      <w:r w:rsidRPr="00241797">
        <w:t xml:space="preserve"> federal legislation, or by the </w:t>
      </w:r>
      <w:r w:rsidRPr="00241797">
        <w:rPr>
          <w:i/>
        </w:rPr>
        <w:t>Charter</w:t>
      </w:r>
      <w:r w:rsidRPr="00241797">
        <w:t xml:space="preserve">. </w:t>
      </w:r>
    </w:p>
    <w:p w:rsidR="00DE7BB3" w:rsidRPr="00241797" w:rsidRDefault="00DE7BB3" w:rsidP="00DE7BB3">
      <w:pPr>
        <w:pStyle w:val="SCCNormalDoubleSpacing"/>
        <w:spacing w:before="480" w:after="480"/>
      </w:pPr>
      <w:r w:rsidRPr="00241797">
        <w:tab/>
        <w:t xml:space="preserve">Similarly, the </w:t>
      </w:r>
      <w:r w:rsidRPr="00241797">
        <w:rPr>
          <w:i/>
        </w:rPr>
        <w:t>Civil Rules</w:t>
      </w:r>
      <w:r w:rsidRPr="00241797">
        <w:t xml:space="preserve"> do not define “evidence” or “exhibit” and do not directly address the language of the proceedings, other than Rule 22</w:t>
      </w:r>
      <w:r w:rsidR="00B17B67" w:rsidRPr="00241797">
        <w:noBreakHyphen/>
      </w:r>
      <w:r w:rsidRPr="00241797">
        <w:t xml:space="preserve">3 which states documents “prepared for use in the court” must be in English.  The exhibits at issue in this appeal, which include documents relating to the purpose and mission of </w:t>
      </w:r>
      <w:r w:rsidRPr="00241797">
        <w:lastRenderedPageBreak/>
        <w:t xml:space="preserve">the </w:t>
      </w:r>
      <w:proofErr w:type="spellStart"/>
      <w:r w:rsidRPr="00241797">
        <w:t>Conseil</w:t>
      </w:r>
      <w:proofErr w:type="spellEnd"/>
      <w:r w:rsidRPr="00241797">
        <w:t>, were created in French long before litigation was contemplated</w:t>
      </w:r>
      <w:r w:rsidR="00B17B67" w:rsidRPr="00241797">
        <w:t xml:space="preserve">.  </w:t>
      </w:r>
      <w:r w:rsidRPr="00241797">
        <w:t>It could not be reasonably said that they were “prepared for use in the court”.  By contrast, the affidavits to which the exhibits are attached were created for the court proceedings and must be in English.  Therefore, based on the ordinary meaning of the words of the text, Rule 22</w:t>
      </w:r>
      <w:r w:rsidR="00B17B67" w:rsidRPr="00241797">
        <w:noBreakHyphen/>
      </w:r>
      <w:r w:rsidRPr="00241797">
        <w:t xml:space="preserve">3 does not apply to documents such as exhibits that, as in this case, were not prepared for litigation purposes.  </w:t>
      </w:r>
    </w:p>
    <w:p w:rsidR="00610539" w:rsidRPr="00241797" w:rsidRDefault="00DE7BB3" w:rsidP="00634CD4">
      <w:pPr>
        <w:pStyle w:val="SCCNormalDoubleSpacing"/>
        <w:spacing w:before="480" w:after="480"/>
      </w:pPr>
      <w:r w:rsidRPr="00241797">
        <w:tab/>
        <w:t>In the absence of clear and precise statutory language addressing the language in which documents not prepared for use in court must be filed, the British Columbia legislature has not ousted the court’s inherent jurisdiction.  Therefore, the B.C. Supreme Court may exercise that jurisdiction to admit French documents if doing so would uphold, protect and fulfil the judicial function of administering justice.  The matter should be remitted back to the B.C. Supreme Court accordingly.  In deciding whether or not to exercise his or her discretion, the motion judge should consider relevant constitutional and quasi</w:t>
      </w:r>
      <w:r w:rsidR="00B17B67" w:rsidRPr="00241797">
        <w:noBreakHyphen/>
      </w:r>
      <w:proofErr w:type="spellStart"/>
      <w:r w:rsidRPr="00241797">
        <w:t>constitutional</w:t>
      </w:r>
      <w:proofErr w:type="spellEnd"/>
      <w:r w:rsidRPr="00241797">
        <w:t xml:space="preserve"> principles, including the status of French as an official language in Canada, the protection of official language minority rights, and the constitutional commitment to safeguarding and promoting both the French and English languages, as well as the specific circumstances of the parties.  Here, the </w:t>
      </w:r>
      <w:proofErr w:type="spellStart"/>
      <w:r w:rsidRPr="00241797">
        <w:t>Conseil</w:t>
      </w:r>
      <w:proofErr w:type="spellEnd"/>
      <w:r w:rsidRPr="00241797">
        <w:t xml:space="preserve"> was established by statute of the British Colu</w:t>
      </w:r>
      <w:r w:rsidR="00B17B67" w:rsidRPr="00241797">
        <w:t>mbia legislature pursuant to s. </w:t>
      </w:r>
      <w:r w:rsidRPr="00241797">
        <w:t xml:space="preserve">23 of the </w:t>
      </w:r>
      <w:r w:rsidRPr="00241797">
        <w:rPr>
          <w:i/>
        </w:rPr>
        <w:t>Charter</w:t>
      </w:r>
      <w:r w:rsidRPr="00241797">
        <w:t xml:space="preserve"> which guarantees French language education rights.  The </w:t>
      </w:r>
      <w:proofErr w:type="spellStart"/>
      <w:r w:rsidRPr="00241797">
        <w:t>Conseil</w:t>
      </w:r>
      <w:proofErr w:type="spellEnd"/>
      <w:r w:rsidRPr="00241797">
        <w:t xml:space="preserve"> operates primarily in Fren</w:t>
      </w:r>
      <w:r w:rsidR="00B17B67" w:rsidRPr="00241797">
        <w:t xml:space="preserve">ch. </w:t>
      </w:r>
      <w:r w:rsidRPr="00241797">
        <w:t xml:space="preserve"> The trial judge, and all parties and their lawyers, except the Province of British Columbia, understand the French language and the underlying litigation is about constitutional French language </w:t>
      </w:r>
      <w:r w:rsidRPr="00241797">
        <w:lastRenderedPageBreak/>
        <w:t>rights.  The motion judge must consider and weigh these and all other relevant factors in exercising the court’s inherent jurisdiction.</w:t>
      </w:r>
    </w:p>
    <w:p w:rsidR="007E1C47" w:rsidRPr="00241797" w:rsidRDefault="002E6705" w:rsidP="00634CD4">
      <w:pPr>
        <w:pStyle w:val="SCCNormalDoubleSpacing"/>
        <w:keepNext/>
        <w:spacing w:after="720" w:line="240" w:lineRule="auto"/>
        <w:rPr>
          <w:b/>
        </w:rPr>
      </w:pPr>
      <w:r w:rsidRPr="00241797">
        <w:rPr>
          <w:b/>
        </w:rPr>
        <w:t>Cases Cited</w:t>
      </w:r>
    </w:p>
    <w:p w:rsidR="0099196E" w:rsidRPr="00241797" w:rsidRDefault="0099196E" w:rsidP="00634CD4">
      <w:pPr>
        <w:pStyle w:val="SCCNormalDoubleSpacing"/>
        <w:keepNext/>
        <w:spacing w:after="720" w:line="240" w:lineRule="auto"/>
      </w:pPr>
      <w:proofErr w:type="gramStart"/>
      <w:r w:rsidRPr="00241797">
        <w:t>By Wagner</w:t>
      </w:r>
      <w:r w:rsidR="00634CD4" w:rsidRPr="00241797">
        <w:t> </w:t>
      </w:r>
      <w:r w:rsidRPr="00241797">
        <w:t>J.</w:t>
      </w:r>
      <w:proofErr w:type="gramEnd"/>
    </w:p>
    <w:p w:rsidR="0099196E" w:rsidRPr="00241797" w:rsidRDefault="0099196E" w:rsidP="00634CD4">
      <w:pPr>
        <w:pStyle w:val="SCCNormalDoubleSpacing"/>
        <w:spacing w:after="480"/>
      </w:pPr>
      <w:r w:rsidRPr="00241797">
        <w:tab/>
      </w:r>
      <w:r w:rsidR="00A02C2B" w:rsidRPr="00241797">
        <w:rPr>
          <w:b/>
        </w:rPr>
        <w:t xml:space="preserve">Referred to:  </w:t>
      </w:r>
      <w:r w:rsidRPr="00241797">
        <w:rPr>
          <w:i/>
        </w:rPr>
        <w:t>R. v. Keller</w:t>
      </w:r>
      <w:r w:rsidRPr="00241797">
        <w:t xml:space="preserve">, [1966] 2 C.C.C. 380; </w:t>
      </w:r>
      <w:r w:rsidRPr="00241797">
        <w:rPr>
          <w:i/>
        </w:rPr>
        <w:t>R. v. Watts</w:t>
      </w:r>
      <w:r w:rsidR="0084489F" w:rsidRPr="00241797">
        <w:rPr>
          <w:i/>
        </w:rPr>
        <w:t>,</w:t>
      </w:r>
      <w:r w:rsidRPr="00241797">
        <w:rPr>
          <w:i/>
        </w:rPr>
        <w:t xml:space="preserve"> E</w:t>
      </w:r>
      <w:r w:rsidR="0084489F" w:rsidRPr="00241797">
        <w:rPr>
          <w:i/>
        </w:rPr>
        <w:t>x</w:t>
      </w:r>
      <w:r w:rsidRPr="00241797">
        <w:rPr>
          <w:i/>
        </w:rPr>
        <w:t xml:space="preserve"> parte </w:t>
      </w:r>
      <w:proofErr w:type="spellStart"/>
      <w:r w:rsidRPr="00241797">
        <w:rPr>
          <w:i/>
        </w:rPr>
        <w:t>Poulin</w:t>
      </w:r>
      <w:proofErr w:type="spellEnd"/>
      <w:r w:rsidRPr="00241797">
        <w:t xml:space="preserve"> (1968), 69 D.L.R. (2d) 526, </w:t>
      </w:r>
      <w:proofErr w:type="spellStart"/>
      <w:r w:rsidRPr="00241797">
        <w:t>aff’d</w:t>
      </w:r>
      <w:proofErr w:type="spellEnd"/>
      <w:r w:rsidRPr="00241797">
        <w:t xml:space="preserve"> [1969] 3 C.C.C. 118; </w:t>
      </w:r>
      <w:r w:rsidRPr="00241797">
        <w:rPr>
          <w:i/>
        </w:rPr>
        <w:t xml:space="preserve">R. v. </w:t>
      </w:r>
      <w:proofErr w:type="spellStart"/>
      <w:r w:rsidRPr="00241797">
        <w:rPr>
          <w:i/>
        </w:rPr>
        <w:t>Lajoie</w:t>
      </w:r>
      <w:proofErr w:type="spellEnd"/>
      <w:r w:rsidRPr="00241797">
        <w:t xml:space="preserve"> (1970), 2 C.C.C. (2d) 89; </w:t>
      </w:r>
      <w:r w:rsidRPr="00241797">
        <w:rPr>
          <w:i/>
        </w:rPr>
        <w:t>R. v. Pelletier</w:t>
      </w:r>
      <w:r w:rsidRPr="00241797">
        <w:t>, 2002 BCSC 561 (</w:t>
      </w:r>
      <w:proofErr w:type="spellStart"/>
      <w:r w:rsidRPr="00241797">
        <w:t>CanLII</w:t>
      </w:r>
      <w:proofErr w:type="spellEnd"/>
      <w:r w:rsidRPr="00241797">
        <w:t>)</w:t>
      </w:r>
      <w:r w:rsidR="000963CA" w:rsidRPr="00241797">
        <w:t xml:space="preserve">; </w:t>
      </w:r>
      <w:r w:rsidR="000963CA" w:rsidRPr="00241797">
        <w:rPr>
          <w:i/>
        </w:rPr>
        <w:t xml:space="preserve">R. v. </w:t>
      </w:r>
      <w:proofErr w:type="spellStart"/>
      <w:r w:rsidR="000963CA" w:rsidRPr="00241797">
        <w:rPr>
          <w:i/>
        </w:rPr>
        <w:t>Mercure</w:t>
      </w:r>
      <w:proofErr w:type="spellEnd"/>
      <w:r w:rsidR="000963CA" w:rsidRPr="00241797">
        <w:t>, [1988] 1 S.C.R. 234</w:t>
      </w:r>
      <w:r w:rsidR="003C2F9A" w:rsidRPr="00241797">
        <w:t xml:space="preserve">; </w:t>
      </w:r>
      <w:proofErr w:type="spellStart"/>
      <w:r w:rsidR="003C2F9A" w:rsidRPr="00241797">
        <w:rPr>
          <w:i/>
        </w:rPr>
        <w:t>Uniacke</w:t>
      </w:r>
      <w:proofErr w:type="spellEnd"/>
      <w:r w:rsidR="003C2F9A" w:rsidRPr="00241797">
        <w:rPr>
          <w:i/>
        </w:rPr>
        <w:t xml:space="preserve"> v. Dickson</w:t>
      </w:r>
      <w:r w:rsidR="003C2F9A" w:rsidRPr="00241797">
        <w:t xml:space="preserve"> (1848)</w:t>
      </w:r>
      <w:r w:rsidR="00D05B9C">
        <w:t>,</w:t>
      </w:r>
      <w:r w:rsidR="003C2F9A" w:rsidRPr="00241797">
        <w:t xml:space="preserve"> 1 N.S.R. 287; </w:t>
      </w:r>
      <w:r w:rsidR="003C2F9A" w:rsidRPr="00241797">
        <w:rPr>
          <w:i/>
        </w:rPr>
        <w:t>Scott v. Scott</w:t>
      </w:r>
      <w:r w:rsidR="003C2F9A" w:rsidRPr="00241797">
        <w:t xml:space="preserve"> (1970), 2 N.B.R. (2d) 849</w:t>
      </w:r>
      <w:r w:rsidR="00EB5AF8" w:rsidRPr="00241797">
        <w:t xml:space="preserve">; </w:t>
      </w:r>
      <w:r w:rsidR="00EB5AF8" w:rsidRPr="00241797">
        <w:rPr>
          <w:rFonts w:eastAsiaTheme="minorHAnsi"/>
          <w:i/>
          <w:lang w:val="en-US"/>
        </w:rPr>
        <w:t xml:space="preserve">McDonnell v. </w:t>
      </w:r>
      <w:proofErr w:type="spellStart"/>
      <w:r w:rsidR="00EB5AF8" w:rsidRPr="00241797">
        <w:rPr>
          <w:rFonts w:eastAsiaTheme="minorHAnsi"/>
          <w:i/>
          <w:lang w:val="en-US"/>
        </w:rPr>
        <w:t>Fédération</w:t>
      </w:r>
      <w:proofErr w:type="spellEnd"/>
      <w:r w:rsidR="00EB5AF8" w:rsidRPr="00241797">
        <w:rPr>
          <w:rFonts w:eastAsiaTheme="minorHAnsi"/>
          <w:i/>
          <w:lang w:val="en-US"/>
        </w:rPr>
        <w:t xml:space="preserve"> des Franco</w:t>
      </w:r>
      <w:r w:rsidR="00B17B67" w:rsidRPr="00241797">
        <w:rPr>
          <w:rFonts w:eastAsiaTheme="minorHAnsi"/>
          <w:i/>
          <w:lang w:val="en-US"/>
        </w:rPr>
        <w:noBreakHyphen/>
      </w:r>
      <w:proofErr w:type="spellStart"/>
      <w:r w:rsidR="00EB5AF8" w:rsidRPr="00241797">
        <w:rPr>
          <w:rFonts w:eastAsiaTheme="minorHAnsi"/>
          <w:i/>
          <w:lang w:val="en-US"/>
        </w:rPr>
        <w:t>Colombiens</w:t>
      </w:r>
      <w:proofErr w:type="spellEnd"/>
      <w:r w:rsidR="00EB5AF8" w:rsidRPr="00241797">
        <w:rPr>
          <w:rFonts w:eastAsiaTheme="minorHAnsi"/>
          <w:lang w:val="en-US"/>
        </w:rPr>
        <w:t xml:space="preserve"> (1985), 69 B.C.L.R. 87; </w:t>
      </w:r>
      <w:proofErr w:type="spellStart"/>
      <w:r w:rsidR="00EB5AF8" w:rsidRPr="00241797">
        <w:rPr>
          <w:rFonts w:eastAsiaTheme="minorHAnsi"/>
          <w:i/>
          <w:lang w:val="en-US"/>
        </w:rPr>
        <w:t>Deeks</w:t>
      </w:r>
      <w:proofErr w:type="spellEnd"/>
      <w:r w:rsidR="00EB5AF8" w:rsidRPr="00241797">
        <w:rPr>
          <w:rFonts w:eastAsiaTheme="minorHAnsi"/>
          <w:i/>
          <w:lang w:val="en-US"/>
        </w:rPr>
        <w:t xml:space="preserve"> Sand &amp; Gravel Co. v. The Queen</w:t>
      </w:r>
      <w:r w:rsidR="00EB5AF8" w:rsidRPr="00241797">
        <w:rPr>
          <w:rFonts w:eastAsiaTheme="minorHAnsi"/>
          <w:lang w:val="en-US"/>
        </w:rPr>
        <w:t xml:space="preserve">, [1953] 4 D.L.R. 255; </w:t>
      </w:r>
      <w:proofErr w:type="spellStart"/>
      <w:r w:rsidR="00EB5AF8" w:rsidRPr="00241797">
        <w:rPr>
          <w:rFonts w:eastAsiaTheme="minorHAnsi"/>
          <w:i/>
          <w:lang w:val="en-US"/>
        </w:rPr>
        <w:t>Hellens</w:t>
      </w:r>
      <w:proofErr w:type="spellEnd"/>
      <w:r w:rsidR="00EB5AF8" w:rsidRPr="00241797">
        <w:rPr>
          <w:rFonts w:eastAsiaTheme="minorHAnsi"/>
          <w:i/>
          <w:lang w:val="en-US"/>
        </w:rPr>
        <w:t xml:space="preserve"> v. </w:t>
      </w:r>
      <w:proofErr w:type="spellStart"/>
      <w:r w:rsidR="00EB5AF8" w:rsidRPr="00241797">
        <w:rPr>
          <w:rFonts w:eastAsiaTheme="minorHAnsi"/>
          <w:i/>
          <w:lang w:val="en-US"/>
        </w:rPr>
        <w:t>Densmore</w:t>
      </w:r>
      <w:proofErr w:type="spellEnd"/>
      <w:r w:rsidR="00EB5AF8" w:rsidRPr="00241797">
        <w:rPr>
          <w:rFonts w:eastAsiaTheme="minorHAnsi"/>
          <w:lang w:val="en-US"/>
        </w:rPr>
        <w:t>, [1957] S.C.R. 768</w:t>
      </w:r>
      <w:r w:rsidR="009C50D9" w:rsidRPr="00241797">
        <w:rPr>
          <w:rFonts w:eastAsiaTheme="minorHAnsi"/>
          <w:lang w:val="en-US"/>
        </w:rPr>
        <w:t xml:space="preserve">; </w:t>
      </w:r>
      <w:r w:rsidR="009C50D9" w:rsidRPr="00241797">
        <w:rPr>
          <w:rFonts w:eastAsiaTheme="minorHAnsi"/>
          <w:i/>
          <w:lang w:val="en-US"/>
        </w:rPr>
        <w:t>Cooper v. Stuart</w:t>
      </w:r>
      <w:r w:rsidR="00D05B9C">
        <w:rPr>
          <w:rFonts w:eastAsiaTheme="minorHAnsi"/>
          <w:i/>
          <w:lang w:val="en-US"/>
        </w:rPr>
        <w:t xml:space="preserve"> </w:t>
      </w:r>
      <w:r w:rsidR="00D05B9C" w:rsidRPr="00D05B9C">
        <w:rPr>
          <w:rFonts w:eastAsiaTheme="minorHAnsi"/>
          <w:lang w:val="en-US"/>
        </w:rPr>
        <w:t>(1889)</w:t>
      </w:r>
      <w:r w:rsidR="009C50D9" w:rsidRPr="00241797">
        <w:rPr>
          <w:rFonts w:eastAsiaTheme="minorHAnsi"/>
          <w:lang w:val="en-US"/>
        </w:rPr>
        <w:t>, 14 A</w:t>
      </w:r>
      <w:r w:rsidR="00B17B67" w:rsidRPr="00241797">
        <w:rPr>
          <w:rFonts w:eastAsiaTheme="minorHAnsi"/>
          <w:lang w:val="en-US"/>
        </w:rPr>
        <w:t>pp. </w:t>
      </w:r>
      <w:proofErr w:type="spellStart"/>
      <w:proofErr w:type="gramStart"/>
      <w:r w:rsidR="009C50D9" w:rsidRPr="00241797">
        <w:rPr>
          <w:rFonts w:eastAsiaTheme="minorHAnsi"/>
          <w:lang w:val="en-US"/>
        </w:rPr>
        <w:t>C</w:t>
      </w:r>
      <w:r w:rsidR="00C30DDE" w:rsidRPr="00241797">
        <w:rPr>
          <w:rFonts w:eastAsiaTheme="minorHAnsi"/>
          <w:lang w:val="en-US"/>
        </w:rPr>
        <w:t>as</w:t>
      </w:r>
      <w:proofErr w:type="spellEnd"/>
      <w:proofErr w:type="gramEnd"/>
      <w:r w:rsidR="009C50D9" w:rsidRPr="00241797">
        <w:rPr>
          <w:rFonts w:eastAsiaTheme="minorHAnsi"/>
          <w:lang w:val="en-US"/>
        </w:rPr>
        <w:t>. 286</w:t>
      </w:r>
      <w:r w:rsidR="0084489F" w:rsidRPr="00241797">
        <w:rPr>
          <w:rFonts w:eastAsiaTheme="minorHAnsi"/>
          <w:lang w:val="en-US"/>
        </w:rPr>
        <w:t xml:space="preserve">; </w:t>
      </w:r>
      <w:r w:rsidR="0084489F" w:rsidRPr="00241797">
        <w:rPr>
          <w:i/>
        </w:rPr>
        <w:t>Sheppard v. Sheppard</w:t>
      </w:r>
      <w:r w:rsidR="0084489F" w:rsidRPr="00241797">
        <w:t xml:space="preserve"> (1908)</w:t>
      </w:r>
      <w:r w:rsidR="002B1155" w:rsidRPr="00241797">
        <w:t>,</w:t>
      </w:r>
      <w:r w:rsidR="0084489F" w:rsidRPr="00241797">
        <w:t xml:space="preserve"> 13 B.C.R. 486; </w:t>
      </w:r>
      <w:r w:rsidR="0084489F" w:rsidRPr="00241797">
        <w:rPr>
          <w:i/>
        </w:rPr>
        <w:t>Re McKenzie and McKenzie</w:t>
      </w:r>
      <w:r w:rsidR="0084489F" w:rsidRPr="00241797">
        <w:t xml:space="preserve"> (1970)</w:t>
      </w:r>
      <w:r w:rsidR="002B1155" w:rsidRPr="00241797">
        <w:t>,</w:t>
      </w:r>
      <w:r w:rsidR="0084489F" w:rsidRPr="00241797">
        <w:t xml:space="preserve"> 11 D.L.R. (3d) 302</w:t>
      </w:r>
      <w:r w:rsidR="0056627E" w:rsidRPr="00241797">
        <w:t xml:space="preserve">; </w:t>
      </w:r>
      <w:r w:rsidR="0056627E" w:rsidRPr="00241797">
        <w:rPr>
          <w:i/>
        </w:rPr>
        <w:t>Robitaille v. Vancouver Hockey Club Ltd.</w:t>
      </w:r>
      <w:r w:rsidR="0056627E" w:rsidRPr="00241797">
        <w:t xml:space="preserve"> (1979), 13 B.C.L.R. 309; </w:t>
      </w:r>
      <w:proofErr w:type="spellStart"/>
      <w:r w:rsidR="0056627E" w:rsidRPr="00241797">
        <w:rPr>
          <w:i/>
        </w:rPr>
        <w:t>Boleak</w:t>
      </w:r>
      <w:proofErr w:type="spellEnd"/>
      <w:r w:rsidR="0056627E" w:rsidRPr="00241797">
        <w:rPr>
          <w:i/>
        </w:rPr>
        <w:t xml:space="preserve"> v. </w:t>
      </w:r>
      <w:proofErr w:type="spellStart"/>
      <w:r w:rsidR="0056627E" w:rsidRPr="00241797">
        <w:rPr>
          <w:i/>
        </w:rPr>
        <w:t>Boleak</w:t>
      </w:r>
      <w:proofErr w:type="spellEnd"/>
      <w:r w:rsidR="00054B4B" w:rsidRPr="00241797">
        <w:t xml:space="preserve">, </w:t>
      </w:r>
      <w:r w:rsidR="0056627E" w:rsidRPr="00241797">
        <w:t>1999 BCCA 776, 183 D.L.R. (4th) 152</w:t>
      </w:r>
      <w:r w:rsidR="00ED7017" w:rsidRPr="00241797">
        <w:t xml:space="preserve">; </w:t>
      </w:r>
      <w:r w:rsidR="00ED7017" w:rsidRPr="00241797">
        <w:rPr>
          <w:i/>
        </w:rPr>
        <w:t>R. v. Pare</w:t>
      </w:r>
      <w:r w:rsidR="00ED7017" w:rsidRPr="00241797">
        <w:t xml:space="preserve"> (1986), 31 C.C.C. (3d) 260</w:t>
      </w:r>
      <w:r w:rsidR="00FE0231" w:rsidRPr="00241797">
        <w:t xml:space="preserve">; </w:t>
      </w:r>
      <w:r w:rsidR="00FE0231" w:rsidRPr="00241797">
        <w:rPr>
          <w:rFonts w:eastAsiaTheme="minorHAnsi"/>
          <w:i/>
        </w:rPr>
        <w:t>RWDSU v. Dolphin Delivery Ltd.</w:t>
      </w:r>
      <w:r w:rsidR="00FE0231" w:rsidRPr="00241797">
        <w:rPr>
          <w:rFonts w:eastAsiaTheme="minorHAnsi"/>
        </w:rPr>
        <w:t xml:space="preserve">, [1986] 2 S.C.R. 573; </w:t>
      </w:r>
      <w:r w:rsidR="00FE0231" w:rsidRPr="00241797">
        <w:rPr>
          <w:rFonts w:eastAsiaTheme="minorHAnsi"/>
          <w:i/>
        </w:rPr>
        <w:t xml:space="preserve">R. v. </w:t>
      </w:r>
      <w:proofErr w:type="spellStart"/>
      <w:r w:rsidR="00FE0231" w:rsidRPr="00241797">
        <w:rPr>
          <w:rFonts w:eastAsiaTheme="minorHAnsi"/>
          <w:i/>
        </w:rPr>
        <w:t>Zundel</w:t>
      </w:r>
      <w:proofErr w:type="spellEnd"/>
      <w:r w:rsidR="00FE0231" w:rsidRPr="00241797">
        <w:rPr>
          <w:rFonts w:eastAsiaTheme="minorHAnsi"/>
        </w:rPr>
        <w:t xml:space="preserve">, [1992] 2 S.C.R. 731; </w:t>
      </w:r>
      <w:r w:rsidR="00FE0231" w:rsidRPr="00241797">
        <w:rPr>
          <w:rFonts w:eastAsiaTheme="minorHAnsi"/>
          <w:i/>
        </w:rPr>
        <w:t>R. v. National Post</w:t>
      </w:r>
      <w:r w:rsidR="00FE0231" w:rsidRPr="00241797">
        <w:rPr>
          <w:rFonts w:eastAsiaTheme="minorHAnsi"/>
        </w:rPr>
        <w:t xml:space="preserve">, 2010 SCC 16, [2010] 1 S.C.R. 477; </w:t>
      </w:r>
      <w:r w:rsidR="00FE0231" w:rsidRPr="00241797">
        <w:rPr>
          <w:rFonts w:eastAsiaTheme="minorHAnsi"/>
          <w:i/>
        </w:rPr>
        <w:t>Reference re Secession of Quebec</w:t>
      </w:r>
      <w:r w:rsidR="00FE0231" w:rsidRPr="00241797">
        <w:rPr>
          <w:rFonts w:eastAsiaTheme="minorHAnsi"/>
        </w:rPr>
        <w:t>, [1998] 2 S.C.R. 217</w:t>
      </w:r>
      <w:r w:rsidR="000A3B81" w:rsidRPr="00241797">
        <w:rPr>
          <w:rFonts w:eastAsiaTheme="minorHAnsi"/>
        </w:rPr>
        <w:t xml:space="preserve">; </w:t>
      </w:r>
      <w:r w:rsidR="000A3B81" w:rsidRPr="00241797">
        <w:rPr>
          <w:i/>
        </w:rPr>
        <w:t>Han v. Cho</w:t>
      </w:r>
      <w:r w:rsidR="000A3B81" w:rsidRPr="00241797">
        <w:t xml:space="preserve">, 2008 BCSC 1208, 88 B.C.L.R. (4th) 193; </w:t>
      </w:r>
      <w:proofErr w:type="spellStart"/>
      <w:r w:rsidR="000A3B81" w:rsidRPr="00241797">
        <w:rPr>
          <w:i/>
        </w:rPr>
        <w:t>Bilfinger</w:t>
      </w:r>
      <w:proofErr w:type="spellEnd"/>
      <w:r w:rsidR="000A3B81" w:rsidRPr="00241797">
        <w:rPr>
          <w:i/>
        </w:rPr>
        <w:t xml:space="preserve"> Berger (Canada) v. Greater Vancouver Water District</w:t>
      </w:r>
      <w:r w:rsidR="000A3B81" w:rsidRPr="00241797">
        <w:t>, 2010 BCSC 1104 (</w:t>
      </w:r>
      <w:proofErr w:type="spellStart"/>
      <w:r w:rsidR="000A3B81" w:rsidRPr="00241797">
        <w:t>CanLII</w:t>
      </w:r>
      <w:proofErr w:type="spellEnd"/>
      <w:r w:rsidR="000A3B81" w:rsidRPr="00241797">
        <w:t>)</w:t>
      </w:r>
      <w:r w:rsidR="0079711F" w:rsidRPr="00241797">
        <w:t xml:space="preserve">; </w:t>
      </w:r>
      <w:r w:rsidR="0079711F" w:rsidRPr="00241797">
        <w:rPr>
          <w:i/>
        </w:rPr>
        <w:t>R. v. Caron</w:t>
      </w:r>
      <w:r w:rsidR="0079711F" w:rsidRPr="00241797">
        <w:t>, 2011 SCC 5, [2011] 1 S.C.R. 78</w:t>
      </w:r>
      <w:r w:rsidR="0056627E" w:rsidRPr="00241797">
        <w:t>.</w:t>
      </w:r>
    </w:p>
    <w:p w:rsidR="00E01172" w:rsidRPr="00241797" w:rsidRDefault="00E01172" w:rsidP="00634CD4">
      <w:pPr>
        <w:pStyle w:val="SCCNormalDoubleSpacing"/>
        <w:keepNext/>
        <w:spacing w:after="720" w:line="240" w:lineRule="auto"/>
      </w:pPr>
      <w:r w:rsidRPr="00241797">
        <w:lastRenderedPageBreak/>
        <w:t xml:space="preserve">By </w:t>
      </w:r>
      <w:proofErr w:type="spellStart"/>
      <w:r w:rsidRPr="00241797">
        <w:t>Karakatsanis</w:t>
      </w:r>
      <w:proofErr w:type="spellEnd"/>
      <w:r w:rsidR="00634CD4" w:rsidRPr="00241797">
        <w:t> </w:t>
      </w:r>
      <w:r w:rsidRPr="00241797">
        <w:t>J. (dissenting)</w:t>
      </w:r>
    </w:p>
    <w:p w:rsidR="00E01172" w:rsidRPr="00241797" w:rsidRDefault="00E01172" w:rsidP="00634CD4">
      <w:pPr>
        <w:pStyle w:val="SCCNormalDoubleSpacing"/>
        <w:spacing w:after="480"/>
      </w:pPr>
      <w:r w:rsidRPr="00241797">
        <w:tab/>
      </w:r>
      <w:r w:rsidRPr="00241797">
        <w:rPr>
          <w:i/>
        </w:rPr>
        <w:t>R. v. Caron</w:t>
      </w:r>
      <w:r w:rsidRPr="00241797">
        <w:t xml:space="preserve">, 2011 SCC 5, [2011] 1 S.C.R. 78; </w:t>
      </w:r>
      <w:r w:rsidRPr="00241797">
        <w:rPr>
          <w:i/>
        </w:rPr>
        <w:t>R. v. Rose</w:t>
      </w:r>
      <w:r w:rsidRPr="00241797">
        <w:t xml:space="preserve">, [1998] 3 S.C.R. 262; </w:t>
      </w:r>
      <w:r w:rsidRPr="00241797">
        <w:rPr>
          <w:i/>
        </w:rPr>
        <w:t xml:space="preserve">R. v. </w:t>
      </w:r>
      <w:proofErr w:type="spellStart"/>
      <w:r w:rsidRPr="00241797">
        <w:rPr>
          <w:i/>
        </w:rPr>
        <w:t>Mercure</w:t>
      </w:r>
      <w:proofErr w:type="spellEnd"/>
      <w:r w:rsidRPr="00241797">
        <w:t xml:space="preserve">, [1988] 1 S.C.R. 234; </w:t>
      </w:r>
      <w:r w:rsidRPr="00241797">
        <w:rPr>
          <w:i/>
        </w:rPr>
        <w:t>Blank v. Canada (Minister of Justice)</w:t>
      </w:r>
      <w:r w:rsidRPr="00241797">
        <w:t xml:space="preserve">, 2006 SCC 39, [2006] 2 S.C.R. 319; </w:t>
      </w:r>
      <w:r w:rsidRPr="00241797">
        <w:rPr>
          <w:i/>
        </w:rPr>
        <w:t xml:space="preserve">In re Coles and </w:t>
      </w:r>
      <w:proofErr w:type="spellStart"/>
      <w:r w:rsidRPr="00241797">
        <w:rPr>
          <w:i/>
        </w:rPr>
        <w:t>Ravenshear</w:t>
      </w:r>
      <w:proofErr w:type="spellEnd"/>
      <w:r w:rsidRPr="00241797">
        <w:t xml:space="preserve">, [1907] 1 K.B. 1; </w:t>
      </w:r>
      <w:proofErr w:type="spellStart"/>
      <w:r w:rsidRPr="00241797">
        <w:rPr>
          <w:i/>
        </w:rPr>
        <w:t>Lavigne</w:t>
      </w:r>
      <w:proofErr w:type="spellEnd"/>
      <w:r w:rsidRPr="00241797">
        <w:rPr>
          <w:i/>
        </w:rPr>
        <w:t xml:space="preserve"> v. Canada (Office of the Commissioner of Official Languages)</w:t>
      </w:r>
      <w:r w:rsidRPr="00241797">
        <w:t xml:space="preserve">, 2002 SCC 53, [2002] 2 S.C.R. 773; </w:t>
      </w:r>
      <w:proofErr w:type="spellStart"/>
      <w:r w:rsidRPr="00241797">
        <w:rPr>
          <w:i/>
        </w:rPr>
        <w:t>Mahe</w:t>
      </w:r>
      <w:proofErr w:type="spellEnd"/>
      <w:r w:rsidRPr="00241797">
        <w:rPr>
          <w:i/>
        </w:rPr>
        <w:t xml:space="preserve"> v. Alberta</w:t>
      </w:r>
      <w:r w:rsidRPr="00241797">
        <w:t>, [1990] 1 S.C.R. 342.</w:t>
      </w:r>
    </w:p>
    <w:p w:rsidR="003B215F" w:rsidRPr="00241797" w:rsidRDefault="002E6705" w:rsidP="00634CD4">
      <w:pPr>
        <w:pStyle w:val="SCCNormalDoubleSpacing"/>
        <w:keepNext/>
        <w:spacing w:after="720" w:line="240" w:lineRule="auto"/>
      </w:pPr>
      <w:r w:rsidRPr="00241797">
        <w:rPr>
          <w:b/>
        </w:rPr>
        <w:t>Statutes and Regulations Cite</w:t>
      </w:r>
      <w:r w:rsidR="00A41805" w:rsidRPr="00241797">
        <w:rPr>
          <w:b/>
        </w:rPr>
        <w:t>d</w:t>
      </w:r>
    </w:p>
    <w:p w:rsidR="00A149DF" w:rsidRPr="00241797" w:rsidRDefault="004C1351" w:rsidP="00634CD4">
      <w:pPr>
        <w:pStyle w:val="SCCNormalDoubleSpacing"/>
        <w:spacing w:after="240" w:line="240" w:lineRule="auto"/>
        <w:ind w:left="547" w:hanging="547"/>
      </w:pPr>
      <w:r w:rsidRPr="00241797">
        <w:rPr>
          <w:i/>
        </w:rPr>
        <w:t>Act that all Proceedings in</w:t>
      </w:r>
      <w:r w:rsidR="00D05B9C">
        <w:rPr>
          <w:i/>
        </w:rPr>
        <w:t xml:space="preserve"> Courts of Justice within that P</w:t>
      </w:r>
      <w:r w:rsidRPr="00241797">
        <w:rPr>
          <w:i/>
        </w:rPr>
        <w:t>art of Great Britain called England, and in the Court of Exchequer in Scotland, shall be in the English Language</w:t>
      </w:r>
      <w:r w:rsidRPr="00241797">
        <w:t xml:space="preserve"> (</w:t>
      </w:r>
      <w:r w:rsidR="00D05B9C">
        <w:t>G.B.</w:t>
      </w:r>
      <w:r w:rsidRPr="00241797">
        <w:t>),</w:t>
      </w:r>
      <w:r w:rsidR="00634CD4" w:rsidRPr="00241797">
        <w:t xml:space="preserve"> 1731, 4 Geo. II, c. </w:t>
      </w:r>
      <w:r w:rsidRPr="00241797">
        <w:t>26</w:t>
      </w:r>
      <w:r w:rsidR="00F01D03" w:rsidRPr="00241797">
        <w:t>, Preamble</w:t>
      </w:r>
      <w:r w:rsidRPr="00241797">
        <w:t>.</w:t>
      </w:r>
    </w:p>
    <w:p w:rsidR="00DB161D" w:rsidRPr="00241797" w:rsidRDefault="00DB161D" w:rsidP="00634CD4">
      <w:pPr>
        <w:pStyle w:val="SCCNormalDoubleSpacing"/>
        <w:spacing w:after="240" w:line="240" w:lineRule="auto"/>
        <w:ind w:left="547" w:hanging="547"/>
      </w:pPr>
      <w:proofErr w:type="gramStart"/>
      <w:r w:rsidRPr="00241797">
        <w:rPr>
          <w:i/>
        </w:rPr>
        <w:t>Canadian Charter of Rights and Freedoms</w:t>
      </w:r>
      <w:r w:rsidRPr="00241797">
        <w:t xml:space="preserve">, </w:t>
      </w:r>
      <w:r w:rsidR="00B17B67" w:rsidRPr="00241797">
        <w:t>ss. </w:t>
      </w:r>
      <w:r w:rsidR="00335EBE" w:rsidRPr="00241797">
        <w:t>16</w:t>
      </w:r>
      <w:r w:rsidR="004F6853" w:rsidRPr="00241797">
        <w:t xml:space="preserve"> to 20</w:t>
      </w:r>
      <w:r w:rsidR="00335EBE" w:rsidRPr="00241797">
        <w:t xml:space="preserve">, </w:t>
      </w:r>
      <w:r w:rsidRPr="00241797">
        <w:t>23.</w:t>
      </w:r>
      <w:proofErr w:type="gramEnd"/>
    </w:p>
    <w:p w:rsidR="00A2240D" w:rsidRPr="00241797" w:rsidRDefault="00A2240D" w:rsidP="00634CD4">
      <w:pPr>
        <w:pStyle w:val="SCCNormalDoubleSpacing"/>
        <w:spacing w:after="240" w:line="240" w:lineRule="auto"/>
        <w:ind w:left="547" w:hanging="547"/>
      </w:pPr>
      <w:r w:rsidRPr="00241797">
        <w:rPr>
          <w:i/>
        </w:rPr>
        <w:t>Court of Appeal Rules</w:t>
      </w:r>
      <w:r w:rsidRPr="00241797">
        <w:t>, B.C. Reg. 297/2001, r.</w:t>
      </w:r>
      <w:r w:rsidR="00634CD4" w:rsidRPr="00241797">
        <w:t> </w:t>
      </w:r>
      <w:r w:rsidRPr="00241797">
        <w:t>53.</w:t>
      </w:r>
    </w:p>
    <w:p w:rsidR="0056368A" w:rsidRDefault="0056368A" w:rsidP="00634CD4">
      <w:pPr>
        <w:pStyle w:val="SCCNormalDoubleSpacing"/>
        <w:spacing w:after="240" w:line="240" w:lineRule="auto"/>
        <w:ind w:left="547" w:hanging="547"/>
        <w:rPr>
          <w:lang w:val="fr-CA"/>
        </w:rPr>
      </w:pPr>
      <w:proofErr w:type="spellStart"/>
      <w:r w:rsidRPr="00241797">
        <w:rPr>
          <w:i/>
          <w:lang w:val="fr-CA"/>
        </w:rPr>
        <w:t>Criminal</w:t>
      </w:r>
      <w:proofErr w:type="spellEnd"/>
      <w:r w:rsidRPr="00241797">
        <w:rPr>
          <w:i/>
          <w:lang w:val="fr-CA"/>
        </w:rPr>
        <w:t xml:space="preserve"> Code</w:t>
      </w:r>
      <w:r w:rsidR="00634CD4" w:rsidRPr="00241797">
        <w:rPr>
          <w:lang w:val="fr-CA"/>
        </w:rPr>
        <w:t>, R.S.C. 1985, c. C</w:t>
      </w:r>
      <w:r w:rsidR="00B17B67" w:rsidRPr="00241797">
        <w:rPr>
          <w:lang w:val="fr-CA"/>
        </w:rPr>
        <w:noBreakHyphen/>
      </w:r>
      <w:r w:rsidR="00634CD4" w:rsidRPr="00241797">
        <w:rPr>
          <w:lang w:val="fr-CA"/>
        </w:rPr>
        <w:t xml:space="preserve">46, </w:t>
      </w:r>
      <w:proofErr w:type="spellStart"/>
      <w:r w:rsidR="00B17B67" w:rsidRPr="00241797">
        <w:rPr>
          <w:lang w:val="fr-CA"/>
        </w:rPr>
        <w:t>ss</w:t>
      </w:r>
      <w:proofErr w:type="spellEnd"/>
      <w:r w:rsidR="00B17B67" w:rsidRPr="00241797">
        <w:rPr>
          <w:lang w:val="fr-CA"/>
        </w:rPr>
        <w:t>. </w:t>
      </w:r>
      <w:r w:rsidRPr="00241797">
        <w:rPr>
          <w:lang w:val="fr-CA"/>
        </w:rPr>
        <w:t>530, 530.1.</w:t>
      </w:r>
    </w:p>
    <w:p w:rsidR="00D05B9C" w:rsidRPr="00241797" w:rsidRDefault="00D05B9C" w:rsidP="00D05B9C">
      <w:pPr>
        <w:pStyle w:val="SCCNormalDoubleSpacing"/>
        <w:spacing w:after="240" w:line="240" w:lineRule="auto"/>
        <w:ind w:left="547" w:hanging="547"/>
      </w:pPr>
      <w:proofErr w:type="gramStart"/>
      <w:r w:rsidRPr="00241797">
        <w:rPr>
          <w:i/>
        </w:rPr>
        <w:t>English Law Act</w:t>
      </w:r>
      <w:r w:rsidRPr="00241797">
        <w:t>, R.S.B.C. 1897, c. 115.</w:t>
      </w:r>
      <w:proofErr w:type="gramEnd"/>
    </w:p>
    <w:p w:rsidR="00F55141" w:rsidRDefault="00F55141" w:rsidP="00634CD4">
      <w:pPr>
        <w:pStyle w:val="SCCNormalDoubleSpacing"/>
        <w:spacing w:after="240" w:line="240" w:lineRule="auto"/>
        <w:ind w:left="547" w:hanging="547"/>
      </w:pPr>
      <w:proofErr w:type="gramStart"/>
      <w:r w:rsidRPr="00241797">
        <w:rPr>
          <w:i/>
        </w:rPr>
        <w:t>English Law Act</w:t>
      </w:r>
      <w:r w:rsidRPr="00241797">
        <w:t>, R.S.B.C. 1960,</w:t>
      </w:r>
      <w:r w:rsidR="005855B0" w:rsidRPr="00241797">
        <w:t xml:space="preserve"> c. </w:t>
      </w:r>
      <w:r w:rsidRPr="00241797">
        <w:t>129.</w:t>
      </w:r>
      <w:proofErr w:type="gramEnd"/>
    </w:p>
    <w:p w:rsidR="005A17E8" w:rsidRPr="00241797" w:rsidRDefault="005A17E8" w:rsidP="005A17E8">
      <w:pPr>
        <w:pStyle w:val="SCCNormalDoubleSpacing"/>
        <w:spacing w:after="240" w:line="240" w:lineRule="auto"/>
        <w:ind w:left="547" w:hanging="547"/>
      </w:pPr>
      <w:proofErr w:type="gramStart"/>
      <w:r w:rsidRPr="00241797">
        <w:rPr>
          <w:i/>
        </w:rPr>
        <w:t>English Law Ordinance, 1867</w:t>
      </w:r>
      <w:r>
        <w:t>, S.B.C. 1867, No</w:t>
      </w:r>
      <w:r w:rsidRPr="00241797">
        <w:t>. 7.</w:t>
      </w:r>
      <w:proofErr w:type="gramEnd"/>
    </w:p>
    <w:p w:rsidR="006B0691" w:rsidRPr="00241797" w:rsidRDefault="006B0691" w:rsidP="00634CD4">
      <w:pPr>
        <w:pStyle w:val="SCCNormalDoubleSpacing"/>
        <w:spacing w:after="240" w:line="240" w:lineRule="auto"/>
        <w:ind w:left="547" w:hanging="547"/>
      </w:pPr>
      <w:r w:rsidRPr="00241797">
        <w:rPr>
          <w:i/>
        </w:rPr>
        <w:t>English Law Ordinance, 1867</w:t>
      </w:r>
      <w:r w:rsidRPr="00241797">
        <w:t xml:space="preserve"> </w:t>
      </w:r>
      <w:r w:rsidR="00D50CEE" w:rsidRPr="00241797">
        <w:t xml:space="preserve">(1871), </w:t>
      </w:r>
      <w:r w:rsidRPr="00241797">
        <w:t xml:space="preserve">30 </w:t>
      </w:r>
      <w:proofErr w:type="spellStart"/>
      <w:proofErr w:type="gramStart"/>
      <w:r w:rsidRPr="00241797">
        <w:t>Vict</w:t>
      </w:r>
      <w:proofErr w:type="spellEnd"/>
      <w:r w:rsidRPr="00241797">
        <w:t>.</w:t>
      </w:r>
      <w:r w:rsidR="00D05B9C">
        <w:t>,</w:t>
      </w:r>
      <w:proofErr w:type="gramEnd"/>
      <w:r w:rsidRPr="00241797">
        <w:t xml:space="preserve"> </w:t>
      </w:r>
      <w:r w:rsidR="00B17B67" w:rsidRPr="00241797">
        <w:t>No. </w:t>
      </w:r>
      <w:r w:rsidRPr="00241797">
        <w:t>70.</w:t>
      </w:r>
    </w:p>
    <w:p w:rsidR="00F5016B" w:rsidRPr="00241797" w:rsidRDefault="00F5016B" w:rsidP="00634CD4">
      <w:pPr>
        <w:pStyle w:val="SCCNormalDoubleSpacing"/>
        <w:spacing w:after="240" w:line="240" w:lineRule="auto"/>
        <w:ind w:left="547" w:hanging="547"/>
        <w:rPr>
          <w:i/>
        </w:rPr>
      </w:pPr>
      <w:proofErr w:type="gramStart"/>
      <w:r w:rsidRPr="00241797">
        <w:rPr>
          <w:i/>
        </w:rPr>
        <w:t>Evidence Act</w:t>
      </w:r>
      <w:r w:rsidR="00634CD4" w:rsidRPr="00241797">
        <w:t>, R.S.B.C. 1996, c. </w:t>
      </w:r>
      <w:r w:rsidRPr="00241797">
        <w:t>124.</w:t>
      </w:r>
      <w:proofErr w:type="gramEnd"/>
    </w:p>
    <w:p w:rsidR="001B3ACE" w:rsidRPr="00241797" w:rsidRDefault="008857B8" w:rsidP="00634CD4">
      <w:pPr>
        <w:pStyle w:val="SCCNormalDoubleSpacing"/>
        <w:spacing w:after="240" w:line="240" w:lineRule="auto"/>
        <w:ind w:left="547" w:hanging="547"/>
      </w:pPr>
      <w:r w:rsidRPr="00241797">
        <w:rPr>
          <w:i/>
        </w:rPr>
        <w:t>Interpretation Act</w:t>
      </w:r>
      <w:r w:rsidR="00634CD4" w:rsidRPr="00241797">
        <w:t>, R.S.B.C. 1996, c. </w:t>
      </w:r>
      <w:r w:rsidRPr="00241797">
        <w:t>238, s.</w:t>
      </w:r>
      <w:r w:rsidR="00634CD4" w:rsidRPr="00241797">
        <w:t> </w:t>
      </w:r>
      <w:r w:rsidRPr="00241797">
        <w:t>7.</w:t>
      </w:r>
    </w:p>
    <w:p w:rsidR="007E7D62" w:rsidRPr="00241797" w:rsidRDefault="001B3ACE" w:rsidP="00634CD4">
      <w:pPr>
        <w:pStyle w:val="SCCNormalDoubleSpacing"/>
        <w:spacing w:after="240" w:line="240" w:lineRule="auto"/>
        <w:ind w:left="547" w:hanging="547"/>
      </w:pPr>
      <w:r w:rsidRPr="00241797">
        <w:rPr>
          <w:i/>
        </w:rPr>
        <w:t>Law and Equity Act</w:t>
      </w:r>
      <w:r w:rsidR="00634CD4" w:rsidRPr="00241797">
        <w:t>, R.S.B.C. 1996, c. </w:t>
      </w:r>
      <w:r w:rsidRPr="00241797">
        <w:t>253, s.</w:t>
      </w:r>
      <w:r w:rsidR="00634CD4" w:rsidRPr="00241797">
        <w:t> </w:t>
      </w:r>
      <w:r w:rsidRPr="00241797">
        <w:t>2.</w:t>
      </w:r>
    </w:p>
    <w:p w:rsidR="00974B4D" w:rsidRPr="00241797" w:rsidRDefault="00644CC7" w:rsidP="00CE70EF">
      <w:pPr>
        <w:pStyle w:val="SCCNormalDoubleSpacing"/>
        <w:spacing w:after="240" w:line="240" w:lineRule="auto"/>
        <w:ind w:left="547" w:hanging="547"/>
      </w:pPr>
      <w:proofErr w:type="gramStart"/>
      <w:r w:rsidRPr="00241797">
        <w:rPr>
          <w:i/>
        </w:rPr>
        <w:t>Official Languages Act</w:t>
      </w:r>
      <w:r w:rsidR="00AA0B52">
        <w:t>, R.S.C.</w:t>
      </w:r>
      <w:r w:rsidR="00634CD4" w:rsidRPr="00241797">
        <w:t xml:space="preserve"> 1985, c. </w:t>
      </w:r>
      <w:r w:rsidRPr="00241797">
        <w:t>31 (4th Supp.)</w:t>
      </w:r>
      <w:r w:rsidR="004951B8" w:rsidRPr="00241797">
        <w:t>, Preamble</w:t>
      </w:r>
      <w:r w:rsidRPr="00241797">
        <w:t>.</w:t>
      </w:r>
      <w:proofErr w:type="gramEnd"/>
      <w:r w:rsidR="00974B4D" w:rsidRPr="00241797">
        <w:t xml:space="preserve"> </w:t>
      </w:r>
    </w:p>
    <w:p w:rsidR="002974B7" w:rsidRPr="00241797" w:rsidRDefault="002974B7" w:rsidP="00634CD4">
      <w:pPr>
        <w:pStyle w:val="SCCNormalDoubleSpacing"/>
        <w:spacing w:after="240" w:line="240" w:lineRule="auto"/>
        <w:ind w:left="547" w:hanging="547"/>
      </w:pPr>
      <w:r w:rsidRPr="00241797">
        <w:rPr>
          <w:i/>
        </w:rPr>
        <w:t>Statute of Uses</w:t>
      </w:r>
      <w:r w:rsidR="00634CD4" w:rsidRPr="00241797">
        <w:t xml:space="preserve">, 1535, 27 </w:t>
      </w:r>
      <w:proofErr w:type="gramStart"/>
      <w:r w:rsidR="00634CD4" w:rsidRPr="00241797">
        <w:t>Hen</w:t>
      </w:r>
      <w:proofErr w:type="gramEnd"/>
      <w:r w:rsidR="00634CD4" w:rsidRPr="00241797">
        <w:t xml:space="preserve">. </w:t>
      </w:r>
      <w:proofErr w:type="gramStart"/>
      <w:r w:rsidR="00634CD4" w:rsidRPr="00241797">
        <w:t>8, c. </w:t>
      </w:r>
      <w:r w:rsidRPr="00241797">
        <w:t>10.</w:t>
      </w:r>
      <w:proofErr w:type="gramEnd"/>
    </w:p>
    <w:p w:rsidR="00974B4D" w:rsidRPr="00241797" w:rsidRDefault="00974B4D" w:rsidP="00634CD4">
      <w:pPr>
        <w:pStyle w:val="SCCNormalDoubleSpacing"/>
        <w:spacing w:after="720" w:line="240" w:lineRule="auto"/>
        <w:ind w:left="547" w:hanging="547"/>
      </w:pPr>
      <w:r w:rsidRPr="00241797">
        <w:rPr>
          <w:i/>
        </w:rPr>
        <w:lastRenderedPageBreak/>
        <w:t>Supreme Court</w:t>
      </w:r>
      <w:r w:rsidRPr="00241797">
        <w:t xml:space="preserve"> </w:t>
      </w:r>
      <w:r w:rsidRPr="00241797">
        <w:rPr>
          <w:i/>
        </w:rPr>
        <w:t>Civil Rules</w:t>
      </w:r>
      <w:r w:rsidRPr="00241797">
        <w:t>, B.C. Reg. 168/2009</w:t>
      </w:r>
      <w:r w:rsidR="003A1CED" w:rsidRPr="00241797">
        <w:t xml:space="preserve">, </w:t>
      </w:r>
      <w:proofErr w:type="spellStart"/>
      <w:proofErr w:type="gramStart"/>
      <w:r w:rsidR="003A1CED" w:rsidRPr="00241797">
        <w:t>r</w:t>
      </w:r>
      <w:r w:rsidR="00A356F8" w:rsidRPr="00241797">
        <w:t>r</w:t>
      </w:r>
      <w:proofErr w:type="spellEnd"/>
      <w:proofErr w:type="gramEnd"/>
      <w:r w:rsidR="003A1CED" w:rsidRPr="00241797">
        <w:t>.</w:t>
      </w:r>
      <w:r w:rsidR="00634CD4" w:rsidRPr="00241797">
        <w:t> </w:t>
      </w:r>
      <w:r w:rsidR="003A1CED" w:rsidRPr="00241797">
        <w:t>1</w:t>
      </w:r>
      <w:r w:rsidR="00B17B67" w:rsidRPr="00241797">
        <w:noBreakHyphen/>
      </w:r>
      <w:r w:rsidR="003A1CED" w:rsidRPr="00241797">
        <w:t>1 “document”, “proceeding”</w:t>
      </w:r>
      <w:r w:rsidR="00886772" w:rsidRPr="00241797">
        <w:t>,</w:t>
      </w:r>
      <w:r w:rsidR="000901DC" w:rsidRPr="00241797">
        <w:t xml:space="preserve"> 1</w:t>
      </w:r>
      <w:r w:rsidR="00B17B67" w:rsidRPr="00241797">
        <w:noBreakHyphen/>
      </w:r>
      <w:r w:rsidR="000901DC" w:rsidRPr="00241797">
        <w:t>3,</w:t>
      </w:r>
      <w:r w:rsidR="00886772" w:rsidRPr="00241797">
        <w:t xml:space="preserve"> 22</w:t>
      </w:r>
      <w:r w:rsidR="00B17B67" w:rsidRPr="00241797">
        <w:noBreakHyphen/>
      </w:r>
      <w:proofErr w:type="gramStart"/>
      <w:r w:rsidR="00886772" w:rsidRPr="00241797">
        <w:t>3(</w:t>
      </w:r>
      <w:proofErr w:type="gramEnd"/>
      <w:r w:rsidR="00886772" w:rsidRPr="00241797">
        <w:t>2), (3)</w:t>
      </w:r>
      <w:r w:rsidRPr="00241797">
        <w:t>.</w:t>
      </w:r>
    </w:p>
    <w:p w:rsidR="002E6705" w:rsidRPr="00241797" w:rsidRDefault="002E6705" w:rsidP="00634CD4">
      <w:pPr>
        <w:pStyle w:val="SCCNormalDoubleSpacing"/>
        <w:keepNext/>
        <w:spacing w:after="720" w:line="240" w:lineRule="auto"/>
        <w:rPr>
          <w:b/>
        </w:rPr>
      </w:pPr>
      <w:r w:rsidRPr="00241797">
        <w:rPr>
          <w:b/>
        </w:rPr>
        <w:t>Authors Cited</w:t>
      </w:r>
    </w:p>
    <w:p w:rsidR="004C4DC8" w:rsidRPr="00241797" w:rsidRDefault="005F19FB" w:rsidP="00634CD4">
      <w:pPr>
        <w:pStyle w:val="SCCNormalDoubleSpacing"/>
        <w:spacing w:after="240" w:line="240" w:lineRule="auto"/>
        <w:ind w:left="540" w:hanging="540"/>
      </w:pPr>
      <w:r w:rsidRPr="00241797">
        <w:rPr>
          <w:i/>
        </w:rPr>
        <w:t>Black’s Law Dictionary</w:t>
      </w:r>
      <w:r w:rsidRPr="00241797">
        <w:t xml:space="preserve">, 9th </w:t>
      </w:r>
      <w:proofErr w:type="gramStart"/>
      <w:r w:rsidRPr="00241797">
        <w:t>ed</w:t>
      </w:r>
      <w:proofErr w:type="gramEnd"/>
      <w:r w:rsidRPr="00241797">
        <w:t>.  St. Paul, Minn.:  West, 2009, “proceeding”.</w:t>
      </w:r>
    </w:p>
    <w:p w:rsidR="000749C1" w:rsidRPr="00241797" w:rsidRDefault="000749C1" w:rsidP="00634CD4">
      <w:pPr>
        <w:pStyle w:val="SCCNormalDoubleSpacing"/>
        <w:spacing w:after="240" w:line="240" w:lineRule="auto"/>
        <w:ind w:left="540" w:hanging="540"/>
        <w:rPr>
          <w:lang w:val="en-US"/>
        </w:rPr>
      </w:pPr>
      <w:r w:rsidRPr="00241797">
        <w:rPr>
          <w:lang w:val="en-US"/>
        </w:rPr>
        <w:t>Blackstone</w:t>
      </w:r>
      <w:r w:rsidR="005F4861" w:rsidRPr="00241797">
        <w:rPr>
          <w:lang w:val="en-US"/>
        </w:rPr>
        <w:t xml:space="preserve">, William.  </w:t>
      </w:r>
      <w:r w:rsidRPr="00241797">
        <w:rPr>
          <w:i/>
          <w:lang w:val="en-US"/>
        </w:rPr>
        <w:t>Commentaries on the Laws of England</w:t>
      </w:r>
      <w:r w:rsidRPr="00241797">
        <w:rPr>
          <w:lang w:val="en-US"/>
        </w:rPr>
        <w:t xml:space="preserve">, </w:t>
      </w:r>
      <w:r w:rsidR="0035659F">
        <w:rPr>
          <w:lang w:val="en-US"/>
        </w:rPr>
        <w:t xml:space="preserve">vol. 3, </w:t>
      </w:r>
      <w:r w:rsidRPr="00241797">
        <w:rPr>
          <w:lang w:val="en-US"/>
        </w:rPr>
        <w:t xml:space="preserve">by Joseph Chitty, </w:t>
      </w:r>
      <w:proofErr w:type="gramStart"/>
      <w:r w:rsidRPr="00241797">
        <w:rPr>
          <w:lang w:val="en-US"/>
        </w:rPr>
        <w:t>ed</w:t>
      </w:r>
      <w:proofErr w:type="gramEnd"/>
      <w:r w:rsidRPr="00241797">
        <w:rPr>
          <w:lang w:val="en-US"/>
        </w:rPr>
        <w:t xml:space="preserve">.  London:  </w:t>
      </w:r>
      <w:r w:rsidR="00BB3EFF" w:rsidRPr="00241797">
        <w:rPr>
          <w:lang w:val="en-US"/>
        </w:rPr>
        <w:t>W</w:t>
      </w:r>
      <w:r w:rsidR="00BE5AD4" w:rsidRPr="00241797">
        <w:rPr>
          <w:lang w:val="en-US"/>
        </w:rPr>
        <w:t>.</w:t>
      </w:r>
      <w:r w:rsidR="00634CD4" w:rsidRPr="00241797">
        <w:rPr>
          <w:lang w:val="en-US"/>
        </w:rPr>
        <w:t> </w:t>
      </w:r>
      <w:r w:rsidR="00BB3EFF" w:rsidRPr="00241797">
        <w:rPr>
          <w:lang w:val="en-US"/>
        </w:rPr>
        <w:t xml:space="preserve">Walker, </w:t>
      </w:r>
      <w:r w:rsidRPr="00241797">
        <w:rPr>
          <w:lang w:val="en-US"/>
        </w:rPr>
        <w:t>1826.</w:t>
      </w:r>
    </w:p>
    <w:p w:rsidR="004C4DC8" w:rsidRPr="00241797" w:rsidRDefault="005F19FB" w:rsidP="00634CD4">
      <w:pPr>
        <w:pStyle w:val="SCCNormalDoubleSpacing"/>
        <w:spacing w:after="240" w:line="240" w:lineRule="auto"/>
        <w:ind w:left="540" w:hanging="540"/>
      </w:pPr>
      <w:proofErr w:type="spellStart"/>
      <w:r w:rsidRPr="00241797">
        <w:t>Blickensderfer</w:t>
      </w:r>
      <w:proofErr w:type="spellEnd"/>
      <w:r w:rsidRPr="00241797">
        <w:t xml:space="preserve">, </w:t>
      </w:r>
      <w:proofErr w:type="spellStart"/>
      <w:r w:rsidRPr="00241797">
        <w:t>Ulric</w:t>
      </w:r>
      <w:proofErr w:type="spellEnd"/>
      <w:r w:rsidRPr="00241797">
        <w:t xml:space="preserve">.  </w:t>
      </w:r>
      <w:proofErr w:type="spellStart"/>
      <w:r w:rsidRPr="00241797">
        <w:rPr>
          <w:i/>
        </w:rPr>
        <w:t>Blickensderfer’s</w:t>
      </w:r>
      <w:proofErr w:type="spellEnd"/>
      <w:r w:rsidRPr="00241797">
        <w:rPr>
          <w:i/>
        </w:rPr>
        <w:t xml:space="preserve"> Blackstone’s Elements of Law Etc.</w:t>
      </w:r>
      <w:r w:rsidRPr="00241797">
        <w:t xml:space="preserve"> Chicago:  </w:t>
      </w:r>
      <w:proofErr w:type="spellStart"/>
      <w:r w:rsidRPr="00241797">
        <w:t>Ulric</w:t>
      </w:r>
      <w:proofErr w:type="spellEnd"/>
      <w:r w:rsidRPr="00241797">
        <w:t xml:space="preserve"> </w:t>
      </w:r>
      <w:proofErr w:type="spellStart"/>
      <w:r w:rsidRPr="00241797">
        <w:t>Blickensderfer</w:t>
      </w:r>
      <w:proofErr w:type="spellEnd"/>
      <w:r w:rsidRPr="00241797">
        <w:t>, 1889.</w:t>
      </w:r>
    </w:p>
    <w:p w:rsidR="003F66C4" w:rsidRPr="00241797" w:rsidRDefault="003F66C4" w:rsidP="00634CD4">
      <w:pPr>
        <w:pStyle w:val="SCCNormalDoubleSpacing"/>
        <w:spacing w:after="240" w:line="240" w:lineRule="auto"/>
        <w:ind w:left="540" w:hanging="540"/>
      </w:pPr>
      <w:proofErr w:type="spellStart"/>
      <w:r w:rsidRPr="00241797">
        <w:t>Bouck</w:t>
      </w:r>
      <w:proofErr w:type="spellEnd"/>
      <w:r w:rsidRPr="00241797">
        <w:t>,</w:t>
      </w:r>
      <w:r w:rsidR="00E9742F" w:rsidRPr="00241797">
        <w:t xml:space="preserve"> John </w:t>
      </w:r>
      <w:r w:rsidRPr="00241797">
        <w:t xml:space="preserve">C.  </w:t>
      </w:r>
      <w:r w:rsidR="006266B6">
        <w:t>“</w:t>
      </w:r>
      <w:r w:rsidRPr="003F25D2">
        <w:t>Introducing English Statute Law into the Provinces:  Time for a Change?</w:t>
      </w:r>
      <w:r w:rsidR="006266B6">
        <w:t>”</w:t>
      </w:r>
      <w:r w:rsidRPr="00241797">
        <w:t xml:space="preserve"> </w:t>
      </w:r>
      <w:proofErr w:type="gramStart"/>
      <w:r w:rsidRPr="00241797">
        <w:t xml:space="preserve">(1979), 57 </w:t>
      </w:r>
      <w:r w:rsidRPr="00241797">
        <w:rPr>
          <w:i/>
        </w:rPr>
        <w:t>Can. Bar Rev.</w:t>
      </w:r>
      <w:r w:rsidRPr="00241797">
        <w:t xml:space="preserve"> 74.</w:t>
      </w:r>
      <w:proofErr w:type="gramEnd"/>
    </w:p>
    <w:p w:rsidR="004A7E57" w:rsidRPr="00241797" w:rsidRDefault="00E9742F" w:rsidP="00634CD4">
      <w:pPr>
        <w:pStyle w:val="SCCNormalDoubleSpacing"/>
        <w:spacing w:after="240" w:line="240" w:lineRule="auto"/>
        <w:ind w:left="540" w:hanging="540"/>
      </w:pPr>
      <w:r w:rsidRPr="00241797">
        <w:t>British </w:t>
      </w:r>
      <w:r w:rsidR="00BF51C6" w:rsidRPr="00241797">
        <w:t>Columbia</w:t>
      </w:r>
      <w:r w:rsidR="004A7E57" w:rsidRPr="00241797">
        <w:t xml:space="preserve">.  </w:t>
      </w:r>
      <w:r w:rsidR="004A7E57" w:rsidRPr="00241797">
        <w:rPr>
          <w:i/>
        </w:rPr>
        <w:t>Debates of the Legislative Assembly</w:t>
      </w:r>
      <w:r w:rsidR="004A7E57" w:rsidRPr="00241797">
        <w:t>, 2nd Sess., 29th Parl</w:t>
      </w:r>
      <w:r w:rsidR="00634CD4" w:rsidRPr="00241797">
        <w:t>., March </w:t>
      </w:r>
      <w:r w:rsidR="004A7E57" w:rsidRPr="00241797">
        <w:t xml:space="preserve">10, 1971, </w:t>
      </w:r>
      <w:r w:rsidR="00B17B67" w:rsidRPr="00241797">
        <w:t>p. </w:t>
      </w:r>
      <w:r w:rsidR="003F25D2">
        <w:t>6</w:t>
      </w:r>
      <w:r w:rsidR="004A7E57" w:rsidRPr="00241797">
        <w:t>46.</w:t>
      </w:r>
    </w:p>
    <w:p w:rsidR="005F19FB" w:rsidRPr="00241797" w:rsidRDefault="005F19FB" w:rsidP="00E9742F">
      <w:pPr>
        <w:pStyle w:val="SCCNormalDoubleSpacing"/>
        <w:spacing w:after="240" w:line="240" w:lineRule="auto"/>
        <w:ind w:left="540" w:hanging="540"/>
        <w:rPr>
          <w:lang w:val="en-US"/>
        </w:rPr>
      </w:pPr>
      <w:r w:rsidRPr="00241797">
        <w:rPr>
          <w:lang w:val="en-US"/>
        </w:rPr>
        <w:t>Cote, J.</w:t>
      </w:r>
      <w:r w:rsidR="00634CD4" w:rsidRPr="00241797">
        <w:rPr>
          <w:lang w:val="en-US"/>
        </w:rPr>
        <w:t> </w:t>
      </w:r>
      <w:r w:rsidRPr="00241797">
        <w:rPr>
          <w:lang w:val="en-US"/>
        </w:rPr>
        <w:t xml:space="preserve">E.  </w:t>
      </w:r>
      <w:proofErr w:type="gramStart"/>
      <w:r w:rsidRPr="00241797">
        <w:rPr>
          <w:lang w:val="en-US"/>
        </w:rPr>
        <w:t xml:space="preserve">“The Reception of English Law” (1977), 15 </w:t>
      </w:r>
      <w:r w:rsidRPr="00241797">
        <w:rPr>
          <w:i/>
          <w:lang w:val="en-US"/>
        </w:rPr>
        <w:t>Alta. L. Rev.</w:t>
      </w:r>
      <w:r w:rsidRPr="00241797">
        <w:rPr>
          <w:lang w:val="en-US"/>
        </w:rPr>
        <w:t xml:space="preserve"> 29.</w:t>
      </w:r>
      <w:proofErr w:type="gramEnd"/>
    </w:p>
    <w:p w:rsidR="00BB353F" w:rsidRPr="00241797" w:rsidRDefault="00BB353F" w:rsidP="00E9742F">
      <w:pPr>
        <w:pStyle w:val="SCCNormalDoubleSpacing"/>
        <w:spacing w:after="240" w:line="240" w:lineRule="auto"/>
        <w:ind w:left="540" w:hanging="540"/>
        <w:rPr>
          <w:lang w:val="en-US"/>
        </w:rPr>
      </w:pPr>
      <w:r w:rsidRPr="00241797">
        <w:rPr>
          <w:lang w:val="en-US"/>
        </w:rPr>
        <w:t>Hogg, Peter</w:t>
      </w:r>
      <w:r w:rsidR="00634CD4" w:rsidRPr="00241797">
        <w:rPr>
          <w:lang w:val="en-US"/>
        </w:rPr>
        <w:t> </w:t>
      </w:r>
      <w:r w:rsidRPr="00241797">
        <w:rPr>
          <w:lang w:val="en-US"/>
        </w:rPr>
        <w:t xml:space="preserve">W.  </w:t>
      </w:r>
      <w:proofErr w:type="gramStart"/>
      <w:r w:rsidRPr="00241797">
        <w:rPr>
          <w:i/>
          <w:lang w:val="en-US"/>
        </w:rPr>
        <w:t>Constitutional Law of Canada</w:t>
      </w:r>
      <w:r w:rsidRPr="00241797">
        <w:rPr>
          <w:lang w:val="en-US"/>
        </w:rPr>
        <w:t>,</w:t>
      </w:r>
      <w:r w:rsidR="003F25D2" w:rsidRPr="003F25D2">
        <w:rPr>
          <w:lang w:val="en-US"/>
        </w:rPr>
        <w:t xml:space="preserve"> 5th</w:t>
      </w:r>
      <w:r w:rsidR="003F25D2" w:rsidRPr="003F25D2">
        <w:rPr>
          <w:vertAlign w:val="superscript"/>
          <w:lang w:val="en-US"/>
        </w:rPr>
        <w:t xml:space="preserve"> </w:t>
      </w:r>
      <w:r w:rsidR="00643E07">
        <w:rPr>
          <w:lang w:val="en-US"/>
        </w:rPr>
        <w:t>ed.</w:t>
      </w:r>
      <w:r w:rsidR="003F25D2">
        <w:rPr>
          <w:lang w:val="en-US"/>
        </w:rPr>
        <w:t xml:space="preserve"> Supp., vol. 1.</w:t>
      </w:r>
      <w:proofErr w:type="gramEnd"/>
      <w:r w:rsidR="003F25D2">
        <w:rPr>
          <w:lang w:val="en-US"/>
        </w:rPr>
        <w:t xml:space="preserve">   Toronto</w:t>
      </w:r>
      <w:r w:rsidRPr="00241797">
        <w:rPr>
          <w:lang w:val="en-US"/>
        </w:rPr>
        <w:t xml:space="preserve">:  </w:t>
      </w:r>
      <w:proofErr w:type="spellStart"/>
      <w:r w:rsidRPr="00241797">
        <w:rPr>
          <w:lang w:val="en-US"/>
        </w:rPr>
        <w:t>Carswell</w:t>
      </w:r>
      <w:proofErr w:type="spellEnd"/>
      <w:r w:rsidRPr="00241797">
        <w:rPr>
          <w:lang w:val="en-US"/>
        </w:rPr>
        <w:t>, 2012</w:t>
      </w:r>
      <w:r w:rsidR="003F25D2">
        <w:rPr>
          <w:lang w:val="en-US"/>
        </w:rPr>
        <w:t xml:space="preserve"> (updated 2012, release 1)</w:t>
      </w:r>
      <w:r w:rsidRPr="00241797">
        <w:rPr>
          <w:lang w:val="en-US"/>
        </w:rPr>
        <w:t>.</w:t>
      </w:r>
    </w:p>
    <w:p w:rsidR="00A149DF" w:rsidRPr="00241797" w:rsidRDefault="004C4DC8" w:rsidP="00634CD4">
      <w:pPr>
        <w:pStyle w:val="SCCNormalDoubleSpacing"/>
        <w:spacing w:after="240" w:line="240" w:lineRule="auto"/>
        <w:ind w:left="547" w:hanging="547"/>
      </w:pPr>
      <w:r w:rsidRPr="00241797">
        <w:t xml:space="preserve">Jacob, </w:t>
      </w:r>
      <w:r w:rsidR="00ED5EAE">
        <w:t>I. </w:t>
      </w:r>
      <w:r w:rsidRPr="00241797">
        <w:t xml:space="preserve">H.  </w:t>
      </w:r>
      <w:proofErr w:type="gramStart"/>
      <w:r w:rsidRPr="00241797">
        <w:t xml:space="preserve">“The Inherent Jurisdiction of the Court” (1970), 23 </w:t>
      </w:r>
      <w:proofErr w:type="spellStart"/>
      <w:r w:rsidRPr="00241797">
        <w:rPr>
          <w:i/>
          <w:iCs/>
        </w:rPr>
        <w:t>Curr</w:t>
      </w:r>
      <w:proofErr w:type="spellEnd"/>
      <w:r w:rsidRPr="00241797">
        <w:rPr>
          <w:i/>
          <w:iCs/>
        </w:rPr>
        <w:t>.</w:t>
      </w:r>
      <w:proofErr w:type="gramEnd"/>
      <w:r w:rsidRPr="00241797">
        <w:rPr>
          <w:i/>
          <w:iCs/>
        </w:rPr>
        <w:t xml:space="preserve"> </w:t>
      </w:r>
      <w:proofErr w:type="gramStart"/>
      <w:r w:rsidRPr="00241797">
        <w:rPr>
          <w:i/>
          <w:iCs/>
        </w:rPr>
        <w:t>Legal Probs.</w:t>
      </w:r>
      <w:r w:rsidRPr="00241797">
        <w:t xml:space="preserve"> 23.</w:t>
      </w:r>
      <w:proofErr w:type="gramEnd"/>
    </w:p>
    <w:p w:rsidR="00AC3493" w:rsidRPr="00241797" w:rsidRDefault="00AC3493" w:rsidP="00634CD4">
      <w:pPr>
        <w:pStyle w:val="SCCNormalDoubleSpacing"/>
        <w:spacing w:after="240" w:line="240" w:lineRule="auto"/>
        <w:ind w:left="547" w:hanging="547"/>
      </w:pPr>
      <w:r w:rsidRPr="00241797">
        <w:t xml:space="preserve">McPherson, Bruce Harvey.  </w:t>
      </w:r>
      <w:proofErr w:type="gramStart"/>
      <w:r w:rsidRPr="00241797">
        <w:rPr>
          <w:i/>
        </w:rPr>
        <w:t>The Reception of English Law Abroad</w:t>
      </w:r>
      <w:r w:rsidRPr="00241797">
        <w:t>.</w:t>
      </w:r>
      <w:proofErr w:type="gramEnd"/>
      <w:r w:rsidRPr="00241797">
        <w:t xml:space="preserve">  Brisbane</w:t>
      </w:r>
      <w:r w:rsidR="00643E07">
        <w:t>,</w:t>
      </w:r>
      <w:r w:rsidR="003F25D2">
        <w:t xml:space="preserve"> Aust.</w:t>
      </w:r>
      <w:r w:rsidRPr="00241797">
        <w:t>:  Supreme Court of Queensland Library, 2007.</w:t>
      </w:r>
    </w:p>
    <w:p w:rsidR="00A149DF" w:rsidRPr="00241797" w:rsidRDefault="00BB3EFF" w:rsidP="00634CD4">
      <w:pPr>
        <w:pStyle w:val="SCCNormalDoubleSpacing"/>
        <w:spacing w:after="720" w:line="240" w:lineRule="auto"/>
        <w:ind w:left="547" w:hanging="547"/>
      </w:pPr>
      <w:r w:rsidRPr="00241797">
        <w:t xml:space="preserve">Sullivan, Ruth.  </w:t>
      </w:r>
      <w:r w:rsidRPr="00241797">
        <w:rPr>
          <w:i/>
        </w:rPr>
        <w:t>Sullivan on the Construction of Statutes</w:t>
      </w:r>
      <w:r w:rsidRPr="00241797">
        <w:t xml:space="preserve">, 5th </w:t>
      </w:r>
      <w:proofErr w:type="gramStart"/>
      <w:r w:rsidRPr="00241797">
        <w:t>ed</w:t>
      </w:r>
      <w:proofErr w:type="gramEnd"/>
      <w:r w:rsidRPr="00241797">
        <w:t xml:space="preserve">.  </w:t>
      </w:r>
      <w:r w:rsidR="00BA5275" w:rsidRPr="00241797">
        <w:t xml:space="preserve">Markham, Ont.: </w:t>
      </w:r>
      <w:r w:rsidR="00221C0B" w:rsidRPr="00241797">
        <w:t xml:space="preserve"> </w:t>
      </w:r>
      <w:r w:rsidR="00BA5275" w:rsidRPr="00241797">
        <w:t>LexisNexis, 2008.</w:t>
      </w:r>
    </w:p>
    <w:p w:rsidR="00515BF4" w:rsidRPr="00241797" w:rsidRDefault="009B57B3" w:rsidP="006C5A08">
      <w:pPr>
        <w:pStyle w:val="SCCNormalDoubleSpacing"/>
        <w:spacing w:before="480" w:after="480"/>
      </w:pPr>
      <w:r w:rsidRPr="00241797">
        <w:tab/>
        <w:t xml:space="preserve">APPEAL from a judgment of the British Columbia </w:t>
      </w:r>
      <w:r w:rsidR="00515BF4" w:rsidRPr="00241797">
        <w:t>Court of Appeal (Newbury, Kirkpatrick, Frankel, Neilson and Bennett</w:t>
      </w:r>
      <w:r w:rsidR="006C5A08" w:rsidRPr="00241797">
        <w:t> </w:t>
      </w:r>
      <w:r w:rsidR="00515BF4" w:rsidRPr="00241797">
        <w:t xml:space="preserve">JJ.A.), 2012 BCCA 282, 34 B.C.L.R. (5th) 35, 323 B.C.A.C. 270, 550 W.A.C. 270, [2012] 10 W.W.R. 456, 24 C.P.C. (7th) 341, 351 D.L.R. (4th) 727, [2012] B.C.J. </w:t>
      </w:r>
      <w:r w:rsidR="00B17B67" w:rsidRPr="00241797">
        <w:t>No. </w:t>
      </w:r>
      <w:r w:rsidR="00515BF4" w:rsidRPr="00241797">
        <w:t xml:space="preserve">1301 (QL), 2012 </w:t>
      </w:r>
      <w:proofErr w:type="spellStart"/>
      <w:r w:rsidR="00515BF4" w:rsidRPr="00241797">
        <w:t>CarswellBC</w:t>
      </w:r>
      <w:proofErr w:type="spellEnd"/>
      <w:r w:rsidR="00515BF4" w:rsidRPr="00241797">
        <w:t xml:space="preserve"> 1865, affirming a decision of </w:t>
      </w:r>
      <w:proofErr w:type="spellStart"/>
      <w:r w:rsidR="00515BF4" w:rsidRPr="00241797">
        <w:t>Willcock</w:t>
      </w:r>
      <w:proofErr w:type="spellEnd"/>
      <w:r w:rsidR="006C5A08" w:rsidRPr="00241797">
        <w:t> </w:t>
      </w:r>
      <w:r w:rsidR="00515BF4" w:rsidRPr="00241797">
        <w:t xml:space="preserve">J., 2011 BCSC 1043, 21 B.C.L.R. </w:t>
      </w:r>
      <w:r w:rsidR="00515BF4" w:rsidRPr="00241797">
        <w:lastRenderedPageBreak/>
        <w:t xml:space="preserve">(5th) 62, 337 D.L.R. (4th) 45, [2011] B.C.J. </w:t>
      </w:r>
      <w:r w:rsidR="00B17B67" w:rsidRPr="00241797">
        <w:t>No. </w:t>
      </w:r>
      <w:r w:rsidR="00515BF4" w:rsidRPr="00241797">
        <w:t xml:space="preserve">1475 (QL), 2011 </w:t>
      </w:r>
      <w:proofErr w:type="spellStart"/>
      <w:r w:rsidR="00515BF4" w:rsidRPr="00241797">
        <w:t>CarswellBC</w:t>
      </w:r>
      <w:proofErr w:type="spellEnd"/>
      <w:r w:rsidR="00515BF4" w:rsidRPr="00241797">
        <w:t xml:space="preserve"> 2039.</w:t>
      </w:r>
      <w:r w:rsidR="00F824EF" w:rsidRPr="00241797">
        <w:t xml:space="preserve">  Appeal </w:t>
      </w:r>
      <w:r w:rsidR="00E01172" w:rsidRPr="00241797">
        <w:t xml:space="preserve">dismissed, </w:t>
      </w:r>
      <w:proofErr w:type="spellStart"/>
      <w:r w:rsidR="00564BEA" w:rsidRPr="00241797">
        <w:t>LeBel</w:t>
      </w:r>
      <w:proofErr w:type="spellEnd"/>
      <w:r w:rsidR="00564BEA" w:rsidRPr="00241797">
        <w:t xml:space="preserve">, </w:t>
      </w:r>
      <w:proofErr w:type="spellStart"/>
      <w:r w:rsidR="00893A7F" w:rsidRPr="00241797">
        <w:t>Abella</w:t>
      </w:r>
      <w:proofErr w:type="spellEnd"/>
      <w:r w:rsidR="00893A7F" w:rsidRPr="00241797">
        <w:t xml:space="preserve"> and </w:t>
      </w:r>
      <w:proofErr w:type="spellStart"/>
      <w:r w:rsidR="006C5A08" w:rsidRPr="00241797">
        <w:t>Karakatsanis</w:t>
      </w:r>
      <w:proofErr w:type="spellEnd"/>
      <w:r w:rsidR="006C5A08" w:rsidRPr="00241797">
        <w:t> </w:t>
      </w:r>
      <w:r w:rsidR="00E01172" w:rsidRPr="00241797">
        <w:t xml:space="preserve">JJ. </w:t>
      </w:r>
      <w:proofErr w:type="gramStart"/>
      <w:r w:rsidR="00A02C2B" w:rsidRPr="00241797">
        <w:t>d</w:t>
      </w:r>
      <w:r w:rsidR="00E01172" w:rsidRPr="00241797">
        <w:t>issenting</w:t>
      </w:r>
      <w:proofErr w:type="gramEnd"/>
      <w:r w:rsidR="00E01172" w:rsidRPr="00241797">
        <w:t>.</w:t>
      </w:r>
    </w:p>
    <w:p w:rsidR="005C35A6" w:rsidRPr="00241797" w:rsidRDefault="005C7A4C" w:rsidP="006C5A08">
      <w:pPr>
        <w:pStyle w:val="SCCNormalDoubleSpacing"/>
        <w:spacing w:before="480" w:after="480"/>
      </w:pPr>
      <w:r w:rsidRPr="00241797">
        <w:rPr>
          <w:i/>
        </w:rPr>
        <w:tab/>
      </w:r>
      <w:proofErr w:type="gramStart"/>
      <w:r w:rsidRPr="00241797">
        <w:rPr>
          <w:i/>
        </w:rPr>
        <w:t>Robert Grant</w:t>
      </w:r>
      <w:r w:rsidRPr="00241797">
        <w:t xml:space="preserve">, </w:t>
      </w:r>
      <w:r w:rsidR="006C5A08" w:rsidRPr="00241797">
        <w:rPr>
          <w:i/>
        </w:rPr>
        <w:t>Mark </w:t>
      </w:r>
      <w:r w:rsidRPr="00241797">
        <w:rPr>
          <w:i/>
        </w:rPr>
        <w:t>C. Power</w:t>
      </w:r>
      <w:r w:rsidR="00F824EF" w:rsidRPr="0056767B">
        <w:t xml:space="preserve">, </w:t>
      </w:r>
      <w:r w:rsidR="00F824EF" w:rsidRPr="00241797">
        <w:rPr>
          <w:i/>
        </w:rPr>
        <w:t xml:space="preserve">Jennifer </w:t>
      </w:r>
      <w:proofErr w:type="spellStart"/>
      <w:r w:rsidR="00F824EF" w:rsidRPr="00241797">
        <w:rPr>
          <w:i/>
        </w:rPr>
        <w:t>Klinck</w:t>
      </w:r>
      <w:proofErr w:type="spellEnd"/>
      <w:r w:rsidRPr="00241797">
        <w:t xml:space="preserve"> and </w:t>
      </w:r>
      <w:r w:rsidR="00F824EF" w:rsidRPr="00241797">
        <w:rPr>
          <w:i/>
        </w:rPr>
        <w:t>Jean</w:t>
      </w:r>
      <w:r w:rsidR="00B17B67" w:rsidRPr="00241797">
        <w:rPr>
          <w:i/>
        </w:rPr>
        <w:noBreakHyphen/>
      </w:r>
      <w:proofErr w:type="spellStart"/>
      <w:r w:rsidR="00F824EF" w:rsidRPr="00241797">
        <w:rPr>
          <w:i/>
        </w:rPr>
        <w:t>Pierre</w:t>
      </w:r>
      <w:proofErr w:type="spellEnd"/>
      <w:r w:rsidR="00F824EF" w:rsidRPr="00241797">
        <w:rPr>
          <w:i/>
        </w:rPr>
        <w:t xml:space="preserve"> </w:t>
      </w:r>
      <w:proofErr w:type="spellStart"/>
      <w:r w:rsidR="00F824EF" w:rsidRPr="00241797">
        <w:rPr>
          <w:i/>
        </w:rPr>
        <w:t>Hachey</w:t>
      </w:r>
      <w:proofErr w:type="spellEnd"/>
      <w:r w:rsidRPr="00241797">
        <w:t>, for the appellant</w:t>
      </w:r>
      <w:r w:rsidR="00F824EF" w:rsidRPr="00241797">
        <w:t>s</w:t>
      </w:r>
      <w:r w:rsidRPr="00241797">
        <w:t>.</w:t>
      </w:r>
      <w:proofErr w:type="gramEnd"/>
    </w:p>
    <w:p w:rsidR="005C35A6" w:rsidRPr="00241797" w:rsidRDefault="006C5A08" w:rsidP="006C5A08">
      <w:pPr>
        <w:pStyle w:val="SCCNormalDoubleSpacing"/>
        <w:spacing w:before="480" w:after="480"/>
      </w:pPr>
      <w:r w:rsidRPr="00241797">
        <w:rPr>
          <w:i/>
        </w:rPr>
        <w:tab/>
      </w:r>
      <w:proofErr w:type="gramStart"/>
      <w:r w:rsidRPr="00241797">
        <w:rPr>
          <w:i/>
        </w:rPr>
        <w:t>Jonathan </w:t>
      </w:r>
      <w:r w:rsidR="005C7A4C" w:rsidRPr="00241797">
        <w:rPr>
          <w:i/>
        </w:rPr>
        <w:t xml:space="preserve">G. </w:t>
      </w:r>
      <w:proofErr w:type="spellStart"/>
      <w:r w:rsidR="005C7A4C" w:rsidRPr="00241797">
        <w:rPr>
          <w:i/>
        </w:rPr>
        <w:t>Penner</w:t>
      </w:r>
      <w:proofErr w:type="spellEnd"/>
      <w:r w:rsidR="00F824EF" w:rsidRPr="00241797">
        <w:rPr>
          <w:i/>
        </w:rPr>
        <w:t xml:space="preserve"> </w:t>
      </w:r>
      <w:r w:rsidR="00F824EF" w:rsidRPr="00401D60">
        <w:t>and</w:t>
      </w:r>
      <w:r w:rsidR="005C7A4C" w:rsidRPr="00401D60">
        <w:t xml:space="preserve"> </w:t>
      </w:r>
      <w:r w:rsidR="005C7A4C" w:rsidRPr="00241797">
        <w:rPr>
          <w:i/>
        </w:rPr>
        <w:t>Karrie Wolfe</w:t>
      </w:r>
      <w:r w:rsidR="005C7A4C" w:rsidRPr="00241797">
        <w:t>, for the respondent</w:t>
      </w:r>
      <w:r w:rsidR="00F824EF" w:rsidRPr="00241797">
        <w:t>s</w:t>
      </w:r>
      <w:r w:rsidR="005C7A4C" w:rsidRPr="00241797">
        <w:t>.</w:t>
      </w:r>
      <w:proofErr w:type="gramEnd"/>
    </w:p>
    <w:p w:rsidR="00963D83" w:rsidRPr="00241797" w:rsidRDefault="00963D83" w:rsidP="006C5A08">
      <w:pPr>
        <w:pStyle w:val="SCCNormalDoubleSpacing"/>
        <w:spacing w:before="480" w:after="480"/>
      </w:pPr>
      <w:r w:rsidRPr="00241797">
        <w:rPr>
          <w:i/>
        </w:rPr>
        <w:tab/>
      </w:r>
      <w:proofErr w:type="gramStart"/>
      <w:r w:rsidRPr="00241797">
        <w:rPr>
          <w:i/>
        </w:rPr>
        <w:t>Josh Hunter</w:t>
      </w:r>
      <w:r w:rsidRPr="00241797">
        <w:t>, for the intervener the Attorney General of Ontario.</w:t>
      </w:r>
      <w:proofErr w:type="gramEnd"/>
    </w:p>
    <w:p w:rsidR="005C35A6" w:rsidRPr="00241797" w:rsidRDefault="005C7A4C" w:rsidP="006C5A08">
      <w:pPr>
        <w:pStyle w:val="SCCNormalDoubleSpacing"/>
        <w:spacing w:before="480" w:after="480"/>
      </w:pPr>
      <w:r w:rsidRPr="00241797">
        <w:rPr>
          <w:i/>
          <w:lang w:val="en-US"/>
        </w:rPr>
        <w:tab/>
      </w:r>
      <w:proofErr w:type="gramStart"/>
      <w:r w:rsidRPr="00241797">
        <w:rPr>
          <w:i/>
        </w:rPr>
        <w:t xml:space="preserve">Christine </w:t>
      </w:r>
      <w:proofErr w:type="spellStart"/>
      <w:r w:rsidRPr="00241797">
        <w:rPr>
          <w:i/>
        </w:rPr>
        <w:t>Ruest</w:t>
      </w:r>
      <w:proofErr w:type="spellEnd"/>
      <w:r w:rsidRPr="00241797">
        <w:rPr>
          <w:i/>
        </w:rPr>
        <w:t xml:space="preserve"> </w:t>
      </w:r>
      <w:proofErr w:type="spellStart"/>
      <w:r w:rsidRPr="00241797">
        <w:rPr>
          <w:i/>
        </w:rPr>
        <w:t>Norrena</w:t>
      </w:r>
      <w:proofErr w:type="spellEnd"/>
      <w:r w:rsidRPr="00241797">
        <w:t xml:space="preserve"> and </w:t>
      </w:r>
      <w:r w:rsidRPr="00241797">
        <w:rPr>
          <w:i/>
        </w:rPr>
        <w:t xml:space="preserve">Isabelle </w:t>
      </w:r>
      <w:proofErr w:type="spellStart"/>
      <w:r w:rsidRPr="00241797">
        <w:rPr>
          <w:i/>
        </w:rPr>
        <w:t>Bousquet</w:t>
      </w:r>
      <w:proofErr w:type="spellEnd"/>
      <w:r w:rsidRPr="00241797">
        <w:t>, for the intervener</w:t>
      </w:r>
      <w:r w:rsidR="00C074AE" w:rsidRPr="00241797">
        <w:t xml:space="preserve"> the</w:t>
      </w:r>
      <w:r w:rsidRPr="00241797">
        <w:t xml:space="preserve"> Commissioner of Official Languages of Canada.</w:t>
      </w:r>
      <w:proofErr w:type="gramEnd"/>
    </w:p>
    <w:p w:rsidR="00963D83" w:rsidRPr="00241797" w:rsidRDefault="00963D83" w:rsidP="006C5A08">
      <w:pPr>
        <w:pStyle w:val="SCCNormalDoubleSpacing"/>
        <w:spacing w:before="480" w:after="480"/>
        <w:rPr>
          <w:lang w:val="fr-CA"/>
        </w:rPr>
      </w:pPr>
      <w:r w:rsidRPr="00241797">
        <w:rPr>
          <w:i/>
        </w:rPr>
        <w:tab/>
      </w:r>
      <w:r w:rsidRPr="00241797">
        <w:rPr>
          <w:i/>
          <w:lang w:val="fr-CA"/>
        </w:rPr>
        <w:t>Francis Lamer</w:t>
      </w:r>
      <w:r w:rsidRPr="00241797">
        <w:rPr>
          <w:lang w:val="fr-CA"/>
        </w:rPr>
        <w:t xml:space="preserve"> and </w:t>
      </w:r>
      <w:r w:rsidRPr="00241797">
        <w:rPr>
          <w:i/>
          <w:lang w:val="fr-CA"/>
        </w:rPr>
        <w:t xml:space="preserve">Casey </w:t>
      </w:r>
      <w:proofErr w:type="spellStart"/>
      <w:r w:rsidRPr="00241797">
        <w:rPr>
          <w:i/>
          <w:lang w:val="fr-CA"/>
        </w:rPr>
        <w:t>Leggett</w:t>
      </w:r>
      <w:proofErr w:type="spellEnd"/>
      <w:r w:rsidRPr="00241797">
        <w:rPr>
          <w:lang w:val="fr-CA"/>
        </w:rPr>
        <w:t xml:space="preserve">, for the </w:t>
      </w:r>
      <w:proofErr w:type="spellStart"/>
      <w:r w:rsidRPr="00241797">
        <w:rPr>
          <w:lang w:val="fr-CA"/>
        </w:rPr>
        <w:t>interv</w:t>
      </w:r>
      <w:r w:rsidR="00714B72" w:rsidRPr="00241797">
        <w:rPr>
          <w:lang w:val="fr-CA"/>
        </w:rPr>
        <w:t>ener</w:t>
      </w:r>
      <w:proofErr w:type="spellEnd"/>
      <w:r w:rsidR="00714B72" w:rsidRPr="00241797">
        <w:rPr>
          <w:lang w:val="fr-CA"/>
        </w:rPr>
        <w:t xml:space="preserve"> Association des juristes d’</w:t>
      </w:r>
      <w:r w:rsidRPr="00241797">
        <w:rPr>
          <w:lang w:val="fr-CA"/>
        </w:rPr>
        <w:t xml:space="preserve">expression française de la </w:t>
      </w:r>
      <w:proofErr w:type="spellStart"/>
      <w:r w:rsidRPr="00241797">
        <w:rPr>
          <w:lang w:val="fr-CA"/>
        </w:rPr>
        <w:t>Colombie</w:t>
      </w:r>
      <w:r w:rsidR="00B17B67" w:rsidRPr="00241797">
        <w:rPr>
          <w:lang w:val="fr-CA"/>
        </w:rPr>
        <w:noBreakHyphen/>
      </w:r>
      <w:r w:rsidRPr="00241797">
        <w:rPr>
          <w:lang w:val="fr-CA"/>
        </w:rPr>
        <w:t>Britannique</w:t>
      </w:r>
      <w:proofErr w:type="spellEnd"/>
      <w:r w:rsidRPr="00241797">
        <w:rPr>
          <w:lang w:val="fr-CA"/>
        </w:rPr>
        <w:t>.</w:t>
      </w:r>
    </w:p>
    <w:p w:rsidR="00401D60" w:rsidRPr="00401D60" w:rsidRDefault="00401D60" w:rsidP="00401D60">
      <w:pPr>
        <w:pStyle w:val="JudgeJuge"/>
        <w:jc w:val="both"/>
        <w:rPr>
          <w:smallCaps w:val="0"/>
        </w:rPr>
      </w:pPr>
      <w:r w:rsidRPr="009A1BB4">
        <w:rPr>
          <w:smallCaps w:val="0"/>
          <w:lang w:val="fr-CA"/>
        </w:rPr>
        <w:tab/>
      </w:r>
      <w:proofErr w:type="gramStart"/>
      <w:r>
        <w:rPr>
          <w:smallCaps w:val="0"/>
        </w:rPr>
        <w:t>The j</w:t>
      </w:r>
      <w:r w:rsidRPr="00401D60">
        <w:rPr>
          <w:smallCaps w:val="0"/>
        </w:rPr>
        <w:t>u</w:t>
      </w:r>
      <w:r>
        <w:rPr>
          <w:smallCaps w:val="0"/>
        </w:rPr>
        <w:t>d</w:t>
      </w:r>
      <w:r w:rsidRPr="00401D60">
        <w:rPr>
          <w:smallCaps w:val="0"/>
        </w:rPr>
        <w:t>g</w:t>
      </w:r>
      <w:r>
        <w:rPr>
          <w:smallCaps w:val="0"/>
        </w:rPr>
        <w:t xml:space="preserve">ment of McLachlin C.J. and Rothstein, </w:t>
      </w:r>
      <w:proofErr w:type="spellStart"/>
      <w:r>
        <w:rPr>
          <w:smallCaps w:val="0"/>
        </w:rPr>
        <w:t>Moldaver</w:t>
      </w:r>
      <w:proofErr w:type="spellEnd"/>
      <w:r>
        <w:rPr>
          <w:smallCaps w:val="0"/>
        </w:rPr>
        <w:t xml:space="preserve"> and Wagner JJ.</w:t>
      </w:r>
      <w:proofErr w:type="gramEnd"/>
      <w:r>
        <w:rPr>
          <w:smallCaps w:val="0"/>
        </w:rPr>
        <w:t xml:space="preserve"> </w:t>
      </w:r>
      <w:proofErr w:type="gramStart"/>
      <w:r>
        <w:rPr>
          <w:smallCaps w:val="0"/>
        </w:rPr>
        <w:t>was</w:t>
      </w:r>
      <w:proofErr w:type="gramEnd"/>
      <w:r>
        <w:rPr>
          <w:smallCaps w:val="0"/>
        </w:rPr>
        <w:t xml:space="preserve"> delivered by</w:t>
      </w:r>
    </w:p>
    <w:p w:rsidR="00FC6143" w:rsidRPr="003C7382" w:rsidRDefault="00FC6143" w:rsidP="00FC6143">
      <w:pPr>
        <w:pStyle w:val="JudgeJuge"/>
      </w:pPr>
      <w:r w:rsidRPr="003C7382">
        <w:tab/>
      </w:r>
      <w:proofErr w:type="gramStart"/>
      <w:r w:rsidRPr="003C7382">
        <w:t>Wagner J. —</w:t>
      </w:r>
      <w:proofErr w:type="gramEnd"/>
      <w:r w:rsidRPr="003C7382">
        <w:t xml:space="preserve"> </w:t>
      </w:r>
    </w:p>
    <w:p w:rsidR="00FC6143" w:rsidRPr="003C7382" w:rsidRDefault="00EC5912" w:rsidP="000460FD">
      <w:pPr>
        <w:pStyle w:val="TitleTitre-AltT"/>
        <w:tabs>
          <w:tab w:val="clear" w:pos="360"/>
        </w:tabs>
        <w:ind w:left="540" w:hanging="540"/>
        <w:rPr>
          <w:rFonts w:cs="Times New Roman"/>
        </w:rPr>
      </w:pPr>
      <w:r w:rsidRPr="003C7382">
        <w:rPr>
          <w:rFonts w:cs="Times New Roman"/>
        </w:rPr>
        <w:fldChar w:fldCharType="begin"/>
      </w:r>
      <w:r w:rsidR="00FC6143" w:rsidRPr="003C7382">
        <w:rPr>
          <w:rFonts w:cs="Times New Roman"/>
        </w:rPr>
        <w:instrText xml:space="preserve"> SEQ CHAPTER \h \r 1</w:instrText>
      </w:r>
      <w:r w:rsidRPr="003C7382">
        <w:rPr>
          <w:rFonts w:cs="Times New Roman"/>
        </w:rPr>
        <w:fldChar w:fldCharType="end"/>
      </w:r>
      <w:r w:rsidR="00FC6143" w:rsidRPr="003C7382">
        <w:rPr>
          <w:rFonts w:cs="Times New Roman"/>
        </w:rPr>
        <w:t>I.</w:t>
      </w:r>
      <w:r w:rsidR="00FC6143" w:rsidRPr="003C7382">
        <w:rPr>
          <w:rFonts w:cs="Times New Roman"/>
        </w:rPr>
        <w:tab/>
      </w:r>
      <w:r w:rsidR="00FC6143" w:rsidRPr="003C7382">
        <w:rPr>
          <w:rFonts w:cs="Times New Roman"/>
          <w:u w:val="single"/>
        </w:rPr>
        <w:t>Introduction</w:t>
      </w:r>
    </w:p>
    <w:p w:rsidR="00FC6143" w:rsidRPr="003C7382" w:rsidRDefault="00FC6143" w:rsidP="00FC6143">
      <w:pPr>
        <w:pStyle w:val="ParaNoNdepar-AltN"/>
        <w:rPr>
          <w:rFonts w:cs="Times New Roman"/>
        </w:rPr>
      </w:pPr>
      <w:r w:rsidRPr="003C7382">
        <w:rPr>
          <w:rFonts w:cs="Times New Roman"/>
        </w:rPr>
        <w:lastRenderedPageBreak/>
        <w:t xml:space="preserve">Each of the provinces has the power under the Constitution, subject to certain restrictions, to make laws governing the language to be used in its courts. This power derives from the provinces’ jurisdiction over the administration of justice. The British Columbia legislature has exercised its power to regulate the language to be used in court proceedings in that province by adopting two different legislative provisions which require civil proceedings, including exhibits attached to affidavits filed as part of those proceedings, to be in English. </w:t>
      </w:r>
    </w:p>
    <w:p w:rsidR="00FC6143" w:rsidRPr="003C7382" w:rsidRDefault="00FC6143" w:rsidP="00FC6143">
      <w:pPr>
        <w:pStyle w:val="ParaNoNdepar-AltN"/>
        <w:rPr>
          <w:rFonts w:cs="Times New Roman"/>
        </w:rPr>
      </w:pPr>
      <w:r w:rsidRPr="003C7382">
        <w:rPr>
          <w:rFonts w:cs="Times New Roman"/>
        </w:rPr>
        <w:t xml:space="preserve">The appellants ask this Court to hold that the British Columbia courts retain a residual discretion to admit documents in languages other than English without an English translation. For the reasons that follow, I conclude that no such discretion exists. The British Columbia legislature has ousted the inherent jurisdiction of the courts and has required that court proceedings in the province be conducted in English. As a result, this appeal must be dismissed. </w:t>
      </w:r>
    </w:p>
    <w:p w:rsidR="00FC6143" w:rsidRPr="003C7382" w:rsidRDefault="00FC6143" w:rsidP="000460FD">
      <w:pPr>
        <w:pStyle w:val="TitleTitre-AltT"/>
        <w:tabs>
          <w:tab w:val="clear" w:pos="360"/>
          <w:tab w:val="left" w:pos="540"/>
        </w:tabs>
        <w:ind w:left="540" w:hanging="540"/>
        <w:rPr>
          <w:rFonts w:cs="Times New Roman"/>
          <w:u w:val="single"/>
        </w:rPr>
      </w:pPr>
      <w:r w:rsidRPr="003C7382">
        <w:rPr>
          <w:rFonts w:cs="Times New Roman"/>
        </w:rPr>
        <w:t>II.</w:t>
      </w:r>
      <w:r w:rsidRPr="003C7382">
        <w:rPr>
          <w:rFonts w:cs="Times New Roman"/>
        </w:rPr>
        <w:tab/>
      </w:r>
      <w:r w:rsidRPr="003C7382">
        <w:rPr>
          <w:rFonts w:cs="Times New Roman"/>
          <w:u w:val="single"/>
        </w:rPr>
        <w:t>Facts</w:t>
      </w:r>
    </w:p>
    <w:p w:rsidR="00FC6143" w:rsidRPr="003C7382" w:rsidRDefault="00FC6143" w:rsidP="00FC6143">
      <w:pPr>
        <w:pStyle w:val="ParaNoNdepar-AltN"/>
        <w:rPr>
          <w:rFonts w:cs="Times New Roman"/>
        </w:rPr>
      </w:pPr>
      <w:r w:rsidRPr="003C7382">
        <w:rPr>
          <w:rFonts w:cs="Times New Roman"/>
        </w:rPr>
        <w:t xml:space="preserve">This is an appeal from a ruling on an interlocutory application which was brought by the </w:t>
      </w:r>
      <w:proofErr w:type="spellStart"/>
      <w:r w:rsidRPr="003C7382">
        <w:rPr>
          <w:rFonts w:cs="Times New Roman"/>
        </w:rPr>
        <w:t>Conseil</w:t>
      </w:r>
      <w:proofErr w:type="spellEnd"/>
      <w:r w:rsidRPr="003C7382">
        <w:rPr>
          <w:rFonts w:cs="Times New Roman"/>
        </w:rPr>
        <w:t xml:space="preserve"> </w:t>
      </w:r>
      <w:proofErr w:type="spellStart"/>
      <w:r w:rsidRPr="003C7382">
        <w:rPr>
          <w:rFonts w:cs="Times New Roman"/>
        </w:rPr>
        <w:t>scolaire</w:t>
      </w:r>
      <w:proofErr w:type="spellEnd"/>
      <w:r w:rsidRPr="003C7382">
        <w:rPr>
          <w:rFonts w:cs="Times New Roman"/>
        </w:rPr>
        <w:t xml:space="preserve"> francophone de la </w:t>
      </w:r>
      <w:proofErr w:type="spellStart"/>
      <w:r w:rsidRPr="003C7382">
        <w:rPr>
          <w:rFonts w:cs="Times New Roman"/>
        </w:rPr>
        <w:t>Colombie-Britannique</w:t>
      </w:r>
      <w:proofErr w:type="spellEnd"/>
      <w:r w:rsidRPr="003C7382">
        <w:rPr>
          <w:rFonts w:cs="Times New Roman"/>
        </w:rPr>
        <w:t xml:space="preserve"> (“</w:t>
      </w:r>
      <w:proofErr w:type="spellStart"/>
      <w:r w:rsidRPr="003C7382">
        <w:rPr>
          <w:rFonts w:cs="Times New Roman"/>
        </w:rPr>
        <w:t>Conseil</w:t>
      </w:r>
      <w:proofErr w:type="spellEnd"/>
      <w:r w:rsidRPr="003C7382">
        <w:rPr>
          <w:rFonts w:cs="Times New Roman"/>
        </w:rPr>
        <w:t xml:space="preserve">”) and the </w:t>
      </w:r>
      <w:proofErr w:type="spellStart"/>
      <w:r w:rsidRPr="003C7382">
        <w:rPr>
          <w:rFonts w:cs="Times New Roman"/>
        </w:rPr>
        <w:t>Fédération</w:t>
      </w:r>
      <w:proofErr w:type="spellEnd"/>
      <w:r w:rsidRPr="003C7382">
        <w:rPr>
          <w:rFonts w:cs="Times New Roman"/>
        </w:rPr>
        <w:t xml:space="preserve"> des parents </w:t>
      </w:r>
      <w:proofErr w:type="spellStart"/>
      <w:r w:rsidRPr="003C7382">
        <w:rPr>
          <w:rFonts w:cs="Times New Roman"/>
        </w:rPr>
        <w:t>francophones</w:t>
      </w:r>
      <w:proofErr w:type="spellEnd"/>
      <w:r w:rsidRPr="003C7382">
        <w:rPr>
          <w:rFonts w:cs="Times New Roman"/>
        </w:rPr>
        <w:t xml:space="preserve"> de la </w:t>
      </w:r>
      <w:proofErr w:type="spellStart"/>
      <w:r w:rsidRPr="003C7382">
        <w:rPr>
          <w:rFonts w:cs="Times New Roman"/>
        </w:rPr>
        <w:t>Colombie-Britannique</w:t>
      </w:r>
      <w:proofErr w:type="spellEnd"/>
      <w:r w:rsidRPr="003C7382">
        <w:rPr>
          <w:rFonts w:cs="Times New Roman"/>
        </w:rPr>
        <w:t xml:space="preserve"> (“</w:t>
      </w:r>
      <w:proofErr w:type="spellStart"/>
      <w:r w:rsidRPr="003C7382">
        <w:rPr>
          <w:rFonts w:cs="Times New Roman"/>
        </w:rPr>
        <w:t>Fédération</w:t>
      </w:r>
      <w:proofErr w:type="spellEnd"/>
      <w:r w:rsidRPr="003C7382">
        <w:rPr>
          <w:rFonts w:cs="Times New Roman"/>
        </w:rPr>
        <w:t xml:space="preserve">”). </w:t>
      </w:r>
    </w:p>
    <w:p w:rsidR="00FC6143" w:rsidRPr="003C7382" w:rsidRDefault="00FC6143" w:rsidP="00FC6143">
      <w:pPr>
        <w:pStyle w:val="ParaNoNdepar-AltN"/>
        <w:rPr>
          <w:rFonts w:cs="Times New Roman"/>
        </w:rPr>
      </w:pPr>
      <w:r w:rsidRPr="003C7382">
        <w:rPr>
          <w:rFonts w:cs="Times New Roman"/>
          <w:lang w:val="en-US"/>
        </w:rPr>
        <w:t xml:space="preserve">The </w:t>
      </w:r>
      <w:proofErr w:type="spellStart"/>
      <w:r w:rsidRPr="003C7382">
        <w:rPr>
          <w:rFonts w:cs="Times New Roman"/>
          <w:lang w:val="en-US"/>
        </w:rPr>
        <w:t>Conseil</w:t>
      </w:r>
      <w:proofErr w:type="spellEnd"/>
      <w:r w:rsidRPr="003C7382">
        <w:rPr>
          <w:rFonts w:cs="Times New Roman"/>
          <w:lang w:val="en-US"/>
        </w:rPr>
        <w:t xml:space="preserve">, the </w:t>
      </w:r>
      <w:proofErr w:type="spellStart"/>
      <w:r w:rsidRPr="003C7382">
        <w:rPr>
          <w:rFonts w:cs="Times New Roman"/>
        </w:rPr>
        <w:t>Fédération</w:t>
      </w:r>
      <w:proofErr w:type="spellEnd"/>
      <w:r w:rsidRPr="003C7382">
        <w:rPr>
          <w:rFonts w:cs="Times New Roman"/>
        </w:rPr>
        <w:t xml:space="preserve"> and numerous individual parents had brought an action against the Province of British Columbia in which they alleged violations of </w:t>
      </w:r>
      <w:r w:rsidRPr="003C7382">
        <w:rPr>
          <w:rFonts w:cs="Times New Roman"/>
        </w:rPr>
        <w:lastRenderedPageBreak/>
        <w:t xml:space="preserve">British Columbia’s constitutional obligations under s. 23 of the </w:t>
      </w:r>
      <w:r w:rsidRPr="003C7382">
        <w:rPr>
          <w:rFonts w:cs="Times New Roman"/>
          <w:i/>
        </w:rPr>
        <w:t>Canadian</w:t>
      </w:r>
      <w:r w:rsidRPr="003C7382">
        <w:rPr>
          <w:rFonts w:cs="Times New Roman"/>
        </w:rPr>
        <w:t xml:space="preserve"> </w:t>
      </w:r>
      <w:r w:rsidRPr="003C7382">
        <w:rPr>
          <w:rFonts w:cs="Times New Roman"/>
          <w:i/>
        </w:rPr>
        <w:t>Charter of Rights and Freedoms</w:t>
      </w:r>
      <w:r w:rsidRPr="003C7382">
        <w:rPr>
          <w:rFonts w:cs="Times New Roman"/>
        </w:rPr>
        <w:t xml:space="preserve">. In the course of the proceedings, British Columbia challenged the standing of the </w:t>
      </w:r>
      <w:proofErr w:type="spellStart"/>
      <w:r w:rsidRPr="003C7382">
        <w:rPr>
          <w:rFonts w:cs="Times New Roman"/>
        </w:rPr>
        <w:t>Conseil</w:t>
      </w:r>
      <w:proofErr w:type="spellEnd"/>
      <w:r w:rsidRPr="003C7382">
        <w:rPr>
          <w:rFonts w:cs="Times New Roman"/>
        </w:rPr>
        <w:t xml:space="preserve"> and the </w:t>
      </w:r>
      <w:proofErr w:type="spellStart"/>
      <w:r w:rsidRPr="003C7382">
        <w:rPr>
          <w:rFonts w:cs="Times New Roman"/>
        </w:rPr>
        <w:t>Fédération</w:t>
      </w:r>
      <w:proofErr w:type="spellEnd"/>
      <w:r w:rsidRPr="003C7382">
        <w:rPr>
          <w:rFonts w:cs="Times New Roman"/>
        </w:rPr>
        <w:t xml:space="preserve"> to bring that action, arguing they are entitled neither to assert linguistic rights nor to bring an action to protect those rights.</w:t>
      </w:r>
    </w:p>
    <w:p w:rsidR="00FC6143" w:rsidRPr="003C7382" w:rsidRDefault="00FC6143" w:rsidP="00FC6143">
      <w:pPr>
        <w:pStyle w:val="ParaNoNdepar-AltN"/>
        <w:rPr>
          <w:rFonts w:cs="Times New Roman"/>
        </w:rPr>
      </w:pPr>
      <w:r w:rsidRPr="003C7382">
        <w:rPr>
          <w:rFonts w:cs="Times New Roman"/>
        </w:rPr>
        <w:t xml:space="preserve">In order to demonstrate that they had standing, the </w:t>
      </w:r>
      <w:proofErr w:type="spellStart"/>
      <w:r w:rsidRPr="003C7382">
        <w:rPr>
          <w:rFonts w:cs="Times New Roman"/>
        </w:rPr>
        <w:t>Conseil</w:t>
      </w:r>
      <w:proofErr w:type="spellEnd"/>
      <w:r w:rsidRPr="003C7382">
        <w:rPr>
          <w:rFonts w:cs="Times New Roman"/>
        </w:rPr>
        <w:t xml:space="preserve"> and the </w:t>
      </w:r>
      <w:proofErr w:type="spellStart"/>
      <w:r w:rsidRPr="003C7382">
        <w:rPr>
          <w:rFonts w:cs="Times New Roman"/>
        </w:rPr>
        <w:t>Fédération</w:t>
      </w:r>
      <w:proofErr w:type="spellEnd"/>
      <w:r w:rsidRPr="003C7382">
        <w:rPr>
          <w:rFonts w:cs="Times New Roman"/>
        </w:rPr>
        <w:t xml:space="preserve"> filed affidavits in which they described their respective roles in the protection and promotion of French-language education in the province. Attached to the affidavits were documents in the French language on whose content they intended to rely by tendering them under the business records exception to the hearsay rule. British Columbia objected to the admission of the exhibits without accompanying English translations. The </w:t>
      </w:r>
      <w:proofErr w:type="spellStart"/>
      <w:r w:rsidRPr="003C7382">
        <w:rPr>
          <w:rFonts w:cs="Times New Roman"/>
        </w:rPr>
        <w:t>Conseil</w:t>
      </w:r>
      <w:proofErr w:type="spellEnd"/>
      <w:r w:rsidRPr="003C7382">
        <w:rPr>
          <w:rFonts w:cs="Times New Roman"/>
        </w:rPr>
        <w:t xml:space="preserve"> and the </w:t>
      </w:r>
      <w:proofErr w:type="spellStart"/>
      <w:r w:rsidRPr="003C7382">
        <w:rPr>
          <w:rFonts w:cs="Times New Roman"/>
        </w:rPr>
        <w:t>Fédération</w:t>
      </w:r>
      <w:proofErr w:type="spellEnd"/>
      <w:r w:rsidRPr="003C7382">
        <w:rPr>
          <w:rFonts w:cs="Times New Roman"/>
        </w:rPr>
        <w:t>, in turn, sought a declaration that exhibits in the French language attached to an affidavit could be considered by the court without English translations.</w:t>
      </w:r>
    </w:p>
    <w:p w:rsidR="00FC6143" w:rsidRPr="003C7382" w:rsidRDefault="00FC6143" w:rsidP="00FC6143">
      <w:pPr>
        <w:pStyle w:val="ParaNoNdepar-AltN"/>
        <w:rPr>
          <w:rFonts w:cs="Times New Roman"/>
        </w:rPr>
      </w:pPr>
      <w:r w:rsidRPr="003C7382">
        <w:rPr>
          <w:rFonts w:cs="Times New Roman"/>
        </w:rPr>
        <w:t xml:space="preserve">Although the issue of standing has since been decided in the </w:t>
      </w:r>
      <w:proofErr w:type="spellStart"/>
      <w:r w:rsidRPr="003C7382">
        <w:rPr>
          <w:rFonts w:cs="Times New Roman"/>
        </w:rPr>
        <w:t>Conseil’s</w:t>
      </w:r>
      <w:proofErr w:type="spellEnd"/>
      <w:r w:rsidRPr="003C7382">
        <w:rPr>
          <w:rFonts w:cs="Times New Roman"/>
        </w:rPr>
        <w:t xml:space="preserve"> and </w:t>
      </w:r>
      <w:proofErr w:type="spellStart"/>
      <w:r w:rsidRPr="003C7382">
        <w:rPr>
          <w:rFonts w:cs="Times New Roman"/>
        </w:rPr>
        <w:t>Fédération’s</w:t>
      </w:r>
      <w:proofErr w:type="spellEnd"/>
      <w:r w:rsidRPr="003C7382">
        <w:rPr>
          <w:rFonts w:cs="Times New Roman"/>
        </w:rPr>
        <w:t xml:space="preserve"> favour (2012 BCCA 422, 36 B.C.L.R. (5th) 302), this appeal has continued because a decision on whether the British Columbia courts can admit documents in French is relevant to the trial of the action. </w:t>
      </w:r>
    </w:p>
    <w:p w:rsidR="00FC6143" w:rsidRPr="003C7382" w:rsidRDefault="00FC6143" w:rsidP="000460FD">
      <w:pPr>
        <w:pStyle w:val="TitleTitre-AltT"/>
        <w:tabs>
          <w:tab w:val="clear" w:pos="360"/>
          <w:tab w:val="left" w:pos="540"/>
        </w:tabs>
        <w:ind w:left="540" w:hanging="540"/>
        <w:rPr>
          <w:rFonts w:cs="Times New Roman"/>
          <w:u w:val="single"/>
        </w:rPr>
      </w:pPr>
      <w:r w:rsidRPr="003C7382">
        <w:rPr>
          <w:rFonts w:cs="Times New Roman"/>
        </w:rPr>
        <w:t>III.</w:t>
      </w:r>
      <w:r w:rsidRPr="003C7382">
        <w:rPr>
          <w:rFonts w:cs="Times New Roman"/>
        </w:rPr>
        <w:tab/>
      </w:r>
      <w:r w:rsidRPr="003C7382">
        <w:rPr>
          <w:rFonts w:cs="Times New Roman"/>
          <w:u w:val="single"/>
        </w:rPr>
        <w:t>Judicial History</w:t>
      </w:r>
    </w:p>
    <w:p w:rsidR="00FC6143" w:rsidRPr="003C7382" w:rsidRDefault="00FC6143" w:rsidP="000460FD">
      <w:pPr>
        <w:pStyle w:val="TitleTitre-AltT"/>
        <w:tabs>
          <w:tab w:val="clear" w:pos="360"/>
          <w:tab w:val="left" w:pos="540"/>
        </w:tabs>
        <w:ind w:left="540" w:hanging="540"/>
        <w:rPr>
          <w:rFonts w:cs="Times New Roman"/>
          <w:i/>
        </w:rPr>
      </w:pPr>
      <w:r w:rsidRPr="003C7382">
        <w:rPr>
          <w:rFonts w:cs="Times New Roman"/>
        </w:rPr>
        <w:t>A.</w:t>
      </w:r>
      <w:r w:rsidRPr="003C7382">
        <w:rPr>
          <w:rFonts w:cs="Times New Roman"/>
        </w:rPr>
        <w:tab/>
      </w:r>
      <w:r w:rsidRPr="003C7382">
        <w:rPr>
          <w:rFonts w:cs="Times New Roman"/>
          <w:i/>
        </w:rPr>
        <w:t>British Columbia Supreme Court, 2011 BCSC 1043, 21 B.C.L.R. (5th) 62</w:t>
      </w:r>
    </w:p>
    <w:p w:rsidR="00FC6143" w:rsidRPr="003C7382" w:rsidRDefault="00FC6143" w:rsidP="00FC6143">
      <w:pPr>
        <w:pStyle w:val="ParaNoNdepar-AltN"/>
        <w:rPr>
          <w:rFonts w:cs="Times New Roman"/>
        </w:rPr>
      </w:pPr>
      <w:r w:rsidRPr="003C7382">
        <w:rPr>
          <w:rFonts w:cs="Times New Roman"/>
        </w:rPr>
        <w:lastRenderedPageBreak/>
        <w:t xml:space="preserve">The chambers judge dismissed the application. He considered himself bound by decisions in which the British Columbia courts had held that the language of civil proceedings in that province is English: </w:t>
      </w:r>
      <w:r w:rsidRPr="003C7382">
        <w:rPr>
          <w:rFonts w:cs="Times New Roman"/>
          <w:i/>
        </w:rPr>
        <w:t>R. v. Keller</w:t>
      </w:r>
      <w:r w:rsidRPr="003C7382">
        <w:rPr>
          <w:rFonts w:cs="Times New Roman"/>
        </w:rPr>
        <w:t xml:space="preserve">, [1966] 2 C.C.C. 380 (B.C.S.C.); </w:t>
      </w:r>
      <w:r w:rsidRPr="003C7382">
        <w:rPr>
          <w:rFonts w:cs="Times New Roman"/>
          <w:i/>
        </w:rPr>
        <w:t xml:space="preserve">R. v. Watts, Ex parte </w:t>
      </w:r>
      <w:proofErr w:type="spellStart"/>
      <w:r w:rsidRPr="003C7382">
        <w:rPr>
          <w:rFonts w:cs="Times New Roman"/>
          <w:i/>
        </w:rPr>
        <w:t>Poulin</w:t>
      </w:r>
      <w:proofErr w:type="spellEnd"/>
      <w:r w:rsidRPr="003C7382">
        <w:rPr>
          <w:rFonts w:cs="Times New Roman"/>
        </w:rPr>
        <w:t xml:space="preserve"> (1968), 69 D.L.R. (2d) 526 (B.C.S.C.), </w:t>
      </w:r>
      <w:proofErr w:type="spellStart"/>
      <w:r w:rsidRPr="003C7382">
        <w:rPr>
          <w:rFonts w:cs="Times New Roman"/>
        </w:rPr>
        <w:t>aff’d</w:t>
      </w:r>
      <w:proofErr w:type="spellEnd"/>
      <w:r w:rsidRPr="003C7382">
        <w:rPr>
          <w:rFonts w:cs="Times New Roman"/>
        </w:rPr>
        <w:t xml:space="preserve"> [1969] 3 C.C.C. 118 (B.C.C.A.); </w:t>
      </w:r>
      <w:r w:rsidRPr="003C7382">
        <w:rPr>
          <w:rFonts w:cs="Times New Roman"/>
          <w:i/>
        </w:rPr>
        <w:t xml:space="preserve">R. v. </w:t>
      </w:r>
      <w:proofErr w:type="spellStart"/>
      <w:r w:rsidRPr="003C7382">
        <w:rPr>
          <w:rFonts w:cs="Times New Roman"/>
          <w:i/>
        </w:rPr>
        <w:t>Lajoie</w:t>
      </w:r>
      <w:proofErr w:type="spellEnd"/>
      <w:r w:rsidRPr="003C7382">
        <w:rPr>
          <w:rFonts w:cs="Times New Roman"/>
        </w:rPr>
        <w:t xml:space="preserve"> (1970), 2 C.C.C. (2d) 89 (B.C.S.C.); </w:t>
      </w:r>
      <w:r w:rsidRPr="003C7382">
        <w:rPr>
          <w:rFonts w:cs="Times New Roman"/>
          <w:i/>
        </w:rPr>
        <w:t>R. v. Pelletier</w:t>
      </w:r>
      <w:r w:rsidRPr="003C7382">
        <w:rPr>
          <w:rFonts w:cs="Times New Roman"/>
        </w:rPr>
        <w:t>, 2002 BCSC 561 (</w:t>
      </w:r>
      <w:proofErr w:type="spellStart"/>
      <w:r w:rsidRPr="003C7382">
        <w:rPr>
          <w:rFonts w:cs="Times New Roman"/>
        </w:rPr>
        <w:t>CanLII</w:t>
      </w:r>
      <w:proofErr w:type="spellEnd"/>
      <w:r w:rsidRPr="003C7382">
        <w:rPr>
          <w:rFonts w:cs="Times New Roman"/>
        </w:rPr>
        <w:t xml:space="preserve">). According to those decisions, the requirement that proceedings in the British Columbia courts be in English derives from an old English statute that has been received into the law of the province by virtue of s. 2 of the </w:t>
      </w:r>
      <w:r w:rsidRPr="003C7382">
        <w:rPr>
          <w:rFonts w:cs="Times New Roman"/>
          <w:i/>
        </w:rPr>
        <w:t>Law and Equity Act</w:t>
      </w:r>
      <w:r w:rsidRPr="003C7382">
        <w:rPr>
          <w:rFonts w:cs="Times New Roman"/>
        </w:rPr>
        <w:t xml:space="preserve">, R.S.B.C. 1996, c. 253. The English statute in question is entitled </w:t>
      </w:r>
      <w:r w:rsidRPr="003C7382">
        <w:rPr>
          <w:rFonts w:cs="Times New Roman"/>
          <w:i/>
        </w:rPr>
        <w:t>An Act that all Proceedings in</w:t>
      </w:r>
      <w:r w:rsidR="000460FD">
        <w:rPr>
          <w:rFonts w:cs="Times New Roman"/>
          <w:i/>
        </w:rPr>
        <w:t xml:space="preserve"> Courts of Justice within that P</w:t>
      </w:r>
      <w:r w:rsidRPr="003C7382">
        <w:rPr>
          <w:rFonts w:cs="Times New Roman"/>
          <w:i/>
        </w:rPr>
        <w:t>art of Great Britain called England, and in the Court of Exchequer in Scotland, shall be in the English Language</w:t>
      </w:r>
      <w:r w:rsidR="000460FD">
        <w:rPr>
          <w:rFonts w:cs="Times New Roman"/>
          <w:i/>
        </w:rPr>
        <w:t xml:space="preserve"> </w:t>
      </w:r>
      <w:r w:rsidR="000460FD" w:rsidRPr="000460FD">
        <w:rPr>
          <w:rFonts w:cs="Times New Roman"/>
        </w:rPr>
        <w:t>(G.B.)</w:t>
      </w:r>
      <w:r w:rsidRPr="003C7382">
        <w:rPr>
          <w:rFonts w:cs="Times New Roman"/>
        </w:rPr>
        <w:t xml:space="preserve">, 1731, 4 Geo. II, c. 26 (the </w:t>
      </w:r>
      <w:r w:rsidRPr="003C7382">
        <w:rPr>
          <w:rFonts w:cs="Times New Roman"/>
          <w:lang w:val="en-US"/>
        </w:rPr>
        <w:t>“</w:t>
      </w:r>
      <w:r w:rsidRPr="003C7382">
        <w:rPr>
          <w:rFonts w:cs="Times New Roman"/>
          <w:i/>
          <w:lang w:val="en-US"/>
        </w:rPr>
        <w:t>1731 Act</w:t>
      </w:r>
      <w:r w:rsidRPr="003C7382">
        <w:rPr>
          <w:rFonts w:cs="Times New Roman"/>
          <w:lang w:val="en-US"/>
        </w:rPr>
        <w:t>”)</w:t>
      </w:r>
      <w:r w:rsidRPr="003C7382">
        <w:rPr>
          <w:rFonts w:cs="Times New Roman"/>
        </w:rPr>
        <w:t xml:space="preserve">. </w:t>
      </w:r>
    </w:p>
    <w:p w:rsidR="00FC6143" w:rsidRPr="003C7382" w:rsidRDefault="00FC6143" w:rsidP="00FC6143">
      <w:pPr>
        <w:pStyle w:val="ParaNoNdepar-AltN"/>
        <w:rPr>
          <w:rFonts w:cs="Times New Roman"/>
        </w:rPr>
      </w:pPr>
      <w:r w:rsidRPr="003C7382">
        <w:rPr>
          <w:rFonts w:cs="Times New Roman"/>
        </w:rPr>
        <w:t xml:space="preserve">The chambers judge concluded that although </w:t>
      </w:r>
      <w:proofErr w:type="spellStart"/>
      <w:r w:rsidRPr="003C7382">
        <w:rPr>
          <w:rFonts w:cs="Times New Roman"/>
        </w:rPr>
        <w:t>untranslated</w:t>
      </w:r>
      <w:proofErr w:type="spellEnd"/>
      <w:r w:rsidRPr="003C7382">
        <w:rPr>
          <w:rFonts w:cs="Times New Roman"/>
        </w:rPr>
        <w:t xml:space="preserve"> documents can be admitted to prove their existence or their authenticity, such documents cannot be produced as proof of their content unless a translation is provided. Therefore, the </w:t>
      </w:r>
      <w:r w:rsidRPr="003C7382">
        <w:rPr>
          <w:rFonts w:cs="Times New Roman"/>
          <w:i/>
        </w:rPr>
        <w:t>1731 Act</w:t>
      </w:r>
      <w:r w:rsidRPr="003C7382">
        <w:rPr>
          <w:rFonts w:cs="Times New Roman"/>
        </w:rPr>
        <w:t xml:space="preserve"> applied to the exhibits the </w:t>
      </w:r>
      <w:proofErr w:type="spellStart"/>
      <w:r w:rsidRPr="003C7382">
        <w:rPr>
          <w:rFonts w:cs="Times New Roman"/>
        </w:rPr>
        <w:t>Conseil</w:t>
      </w:r>
      <w:proofErr w:type="spellEnd"/>
      <w:r w:rsidRPr="003C7382">
        <w:rPr>
          <w:rFonts w:cs="Times New Roman"/>
        </w:rPr>
        <w:t xml:space="preserve"> and the </w:t>
      </w:r>
      <w:proofErr w:type="spellStart"/>
      <w:r w:rsidRPr="003C7382">
        <w:rPr>
          <w:rFonts w:cs="Times New Roman"/>
        </w:rPr>
        <w:t>Fédération</w:t>
      </w:r>
      <w:proofErr w:type="spellEnd"/>
      <w:r w:rsidRPr="003C7382">
        <w:rPr>
          <w:rFonts w:cs="Times New Roman"/>
        </w:rPr>
        <w:t xml:space="preserve"> sought to introduce. </w:t>
      </w:r>
    </w:p>
    <w:p w:rsidR="00FC6143" w:rsidRPr="003C7382" w:rsidRDefault="00FC6143" w:rsidP="00FC6143">
      <w:pPr>
        <w:pStyle w:val="ParaNoNdepar-AltN"/>
        <w:rPr>
          <w:rFonts w:cs="Times New Roman"/>
        </w:rPr>
      </w:pPr>
      <w:r w:rsidRPr="003C7382">
        <w:rPr>
          <w:rFonts w:cs="Times New Roman"/>
        </w:rPr>
        <w:t xml:space="preserve">The chambers judge held that Rule 22-3 of the </w:t>
      </w:r>
      <w:r w:rsidRPr="003C7382">
        <w:rPr>
          <w:rFonts w:cs="Times New Roman"/>
          <w:i/>
        </w:rPr>
        <w:t>Supreme Court Civil Rules</w:t>
      </w:r>
      <w:r w:rsidRPr="003C7382">
        <w:rPr>
          <w:rFonts w:cs="Times New Roman"/>
        </w:rPr>
        <w:t xml:space="preserve">, B.C. Reg. 168/2009, which requires that documents prepared for use in court be in English unless the nature of the document renders this impracticable, is a manifestation of the general rule derived from the </w:t>
      </w:r>
      <w:r w:rsidRPr="003C7382">
        <w:rPr>
          <w:rFonts w:cs="Times New Roman"/>
          <w:i/>
        </w:rPr>
        <w:t>1731 Act</w:t>
      </w:r>
      <w:r w:rsidRPr="003C7382">
        <w:rPr>
          <w:rFonts w:cs="Times New Roman"/>
        </w:rPr>
        <w:t xml:space="preserve"> that the language of the British Columbia courts is English. Whether the impugned exhibits qualified as </w:t>
      </w:r>
      <w:r w:rsidRPr="003C7382">
        <w:rPr>
          <w:rFonts w:cs="Times New Roman"/>
        </w:rPr>
        <w:lastRenderedPageBreak/>
        <w:t xml:space="preserve">“documents prepared for use in the court” was therefore irrelevant. Furthermore, assuming that Rule 22-3 applied to these exhibits, the chambers judge held that nothing about their nature rendered their translation impracticable. He accordingly dismissed the application. </w:t>
      </w:r>
    </w:p>
    <w:p w:rsidR="00FC6143" w:rsidRPr="003C7382" w:rsidRDefault="00FC6143" w:rsidP="000460FD">
      <w:pPr>
        <w:pStyle w:val="TitleTitre-AltT"/>
        <w:tabs>
          <w:tab w:val="clear" w:pos="360"/>
          <w:tab w:val="left" w:pos="540"/>
        </w:tabs>
        <w:ind w:left="540" w:hanging="540"/>
        <w:rPr>
          <w:rFonts w:cs="Times New Roman"/>
        </w:rPr>
      </w:pPr>
      <w:r w:rsidRPr="003C7382">
        <w:rPr>
          <w:rFonts w:cs="Times New Roman"/>
        </w:rPr>
        <w:t>B.</w:t>
      </w:r>
      <w:r w:rsidRPr="003C7382">
        <w:rPr>
          <w:rFonts w:cs="Times New Roman"/>
        </w:rPr>
        <w:tab/>
      </w:r>
      <w:r w:rsidRPr="003C7382">
        <w:rPr>
          <w:rFonts w:cs="Times New Roman"/>
          <w:i/>
        </w:rPr>
        <w:t xml:space="preserve">British Columbia Court of Appeal, 2012 BCCA 282, 34 B.C.L.R. (5th) 35 </w:t>
      </w:r>
    </w:p>
    <w:p w:rsidR="00FC6143" w:rsidRPr="003C7382" w:rsidRDefault="00FC6143" w:rsidP="00FC6143">
      <w:pPr>
        <w:pStyle w:val="ParaNoNdepar-AltN"/>
        <w:rPr>
          <w:rFonts w:cs="Times New Roman"/>
        </w:rPr>
      </w:pPr>
      <w:r w:rsidRPr="003C7382">
        <w:rPr>
          <w:rFonts w:cs="Times New Roman"/>
        </w:rPr>
        <w:t xml:space="preserve">The Court of Appeal dismissed the appeal from the chambers judge’s decision, holding that the </w:t>
      </w:r>
      <w:r w:rsidRPr="003C7382">
        <w:rPr>
          <w:rFonts w:cs="Times New Roman"/>
          <w:i/>
        </w:rPr>
        <w:t>1731 Act</w:t>
      </w:r>
      <w:r w:rsidRPr="003C7382">
        <w:rPr>
          <w:rFonts w:cs="Times New Roman"/>
        </w:rPr>
        <w:t xml:space="preserve"> is in force in British Columbia and that civil proceedings must therefore be conducted in English. Applying the test for implied repeal set out in </w:t>
      </w:r>
      <w:r w:rsidRPr="003C7382">
        <w:rPr>
          <w:rFonts w:cs="Times New Roman"/>
          <w:i/>
        </w:rPr>
        <w:t xml:space="preserve">R. v. </w:t>
      </w:r>
      <w:proofErr w:type="spellStart"/>
      <w:r w:rsidRPr="003C7382">
        <w:rPr>
          <w:rFonts w:cs="Times New Roman"/>
          <w:i/>
        </w:rPr>
        <w:t>Mercure</w:t>
      </w:r>
      <w:proofErr w:type="spellEnd"/>
      <w:r w:rsidRPr="003C7382">
        <w:rPr>
          <w:rFonts w:cs="Times New Roman"/>
        </w:rPr>
        <w:t xml:space="preserve">, [1988] 1 S.C.R. 234, the Court of Appeal held that the modern procedural legislation has not occupied the field so as to implicitly repeal the </w:t>
      </w:r>
      <w:r w:rsidRPr="003C7382">
        <w:rPr>
          <w:rFonts w:cs="Times New Roman"/>
          <w:i/>
        </w:rPr>
        <w:t>1731 Act</w:t>
      </w:r>
      <w:r w:rsidRPr="003C7382">
        <w:rPr>
          <w:rFonts w:cs="Times New Roman"/>
        </w:rPr>
        <w:t xml:space="preserve">. Although s. 530 of the </w:t>
      </w:r>
      <w:r w:rsidRPr="003C7382">
        <w:rPr>
          <w:rFonts w:cs="Times New Roman"/>
          <w:i/>
        </w:rPr>
        <w:t>Criminal Code</w:t>
      </w:r>
      <w:r w:rsidRPr="003C7382">
        <w:rPr>
          <w:rFonts w:cs="Times New Roman"/>
        </w:rPr>
        <w:t xml:space="preserve">, R.S.C. 1985, c. C-46, has had the effect of repealing the </w:t>
      </w:r>
      <w:r w:rsidRPr="003C7382">
        <w:rPr>
          <w:rFonts w:cs="Times New Roman"/>
          <w:i/>
        </w:rPr>
        <w:t>1731 Act</w:t>
      </w:r>
      <w:r w:rsidRPr="003C7382">
        <w:rPr>
          <w:rFonts w:cs="Times New Roman"/>
        </w:rPr>
        <w:t xml:space="preserve"> for criminal trials by giving accused persons in British Columbia and elsewhere in Canada the right to be tried in either official language, the British Columbia legislature has not taken any steps to repeal it with respect to civil proceedings. </w:t>
      </w:r>
    </w:p>
    <w:p w:rsidR="00FC6143" w:rsidRPr="003C7382" w:rsidRDefault="00FC6143" w:rsidP="00FC6143">
      <w:pPr>
        <w:pStyle w:val="ParaNoNdepar-AltN"/>
        <w:rPr>
          <w:rFonts w:cs="Times New Roman"/>
        </w:rPr>
      </w:pPr>
      <w:r w:rsidRPr="003C7382">
        <w:rPr>
          <w:rFonts w:cs="Times New Roman"/>
        </w:rPr>
        <w:t xml:space="preserve">The Court of Appeal added that the </w:t>
      </w:r>
      <w:r w:rsidRPr="003C7382">
        <w:rPr>
          <w:rFonts w:cs="Times New Roman"/>
          <w:i/>
        </w:rPr>
        <w:t>1731 Act</w:t>
      </w:r>
      <w:r w:rsidRPr="003C7382">
        <w:rPr>
          <w:rFonts w:cs="Times New Roman"/>
        </w:rPr>
        <w:t xml:space="preserve"> applies to documentary evidence of the type the </w:t>
      </w:r>
      <w:proofErr w:type="spellStart"/>
      <w:r w:rsidRPr="003C7382">
        <w:rPr>
          <w:rFonts w:cs="Times New Roman"/>
        </w:rPr>
        <w:t>Conseil</w:t>
      </w:r>
      <w:proofErr w:type="spellEnd"/>
      <w:r w:rsidRPr="003C7382">
        <w:rPr>
          <w:rFonts w:cs="Times New Roman"/>
        </w:rPr>
        <w:t xml:space="preserve"> and the </w:t>
      </w:r>
      <w:proofErr w:type="spellStart"/>
      <w:r w:rsidRPr="003C7382">
        <w:rPr>
          <w:rFonts w:cs="Times New Roman"/>
        </w:rPr>
        <w:t>Fédération</w:t>
      </w:r>
      <w:proofErr w:type="spellEnd"/>
      <w:r w:rsidRPr="003C7382">
        <w:rPr>
          <w:rFonts w:cs="Times New Roman"/>
        </w:rPr>
        <w:t xml:space="preserve"> had submitted. Rule 22-3 of the </w:t>
      </w:r>
      <w:r w:rsidRPr="003C7382">
        <w:rPr>
          <w:rFonts w:cs="Times New Roman"/>
          <w:i/>
        </w:rPr>
        <w:t>Supreme Court Civil Rules</w:t>
      </w:r>
      <w:r w:rsidRPr="003C7382">
        <w:rPr>
          <w:rFonts w:cs="Times New Roman"/>
        </w:rPr>
        <w:t xml:space="preserve"> merely confirms that all civil proceedings in British Columbia must be conducted in English. </w:t>
      </w:r>
    </w:p>
    <w:p w:rsidR="00FC6143" w:rsidRPr="003C7382" w:rsidRDefault="00FC6143" w:rsidP="00FC6143">
      <w:pPr>
        <w:pStyle w:val="ParaNoNdepar-AltN"/>
        <w:rPr>
          <w:rFonts w:cs="Times New Roman"/>
        </w:rPr>
      </w:pPr>
      <w:r w:rsidRPr="003C7382">
        <w:rPr>
          <w:rFonts w:cs="Times New Roman"/>
        </w:rPr>
        <w:lastRenderedPageBreak/>
        <w:t xml:space="preserve">The Court of Appeal accordingly held that a judge presiding over civil proceedings in British Columbia does not have </w:t>
      </w:r>
      <w:proofErr w:type="gramStart"/>
      <w:r w:rsidRPr="003C7382">
        <w:rPr>
          <w:rFonts w:cs="Times New Roman"/>
        </w:rPr>
        <w:t>a discretion</w:t>
      </w:r>
      <w:proofErr w:type="gramEnd"/>
      <w:r w:rsidRPr="003C7382">
        <w:rPr>
          <w:rFonts w:cs="Times New Roman"/>
        </w:rPr>
        <w:t xml:space="preserve"> to admit documentary evidence in a language other than English without a certified translation. </w:t>
      </w:r>
    </w:p>
    <w:p w:rsidR="00FC6143" w:rsidRPr="003C7382" w:rsidRDefault="00FC6143" w:rsidP="00FC6143">
      <w:pPr>
        <w:pStyle w:val="TitleTitre-AltT"/>
        <w:tabs>
          <w:tab w:val="clear" w:pos="360"/>
        </w:tabs>
        <w:ind w:left="720" w:hanging="720"/>
        <w:rPr>
          <w:rFonts w:cs="Times New Roman"/>
          <w:u w:val="single"/>
        </w:rPr>
      </w:pPr>
      <w:r w:rsidRPr="003C7382">
        <w:rPr>
          <w:rFonts w:cs="Times New Roman"/>
        </w:rPr>
        <w:t>IV.</w:t>
      </w:r>
      <w:r w:rsidRPr="003C7382">
        <w:rPr>
          <w:rFonts w:cs="Times New Roman"/>
        </w:rPr>
        <w:tab/>
      </w:r>
      <w:r w:rsidRPr="003C7382">
        <w:rPr>
          <w:rFonts w:cs="Times New Roman"/>
          <w:u w:val="single"/>
        </w:rPr>
        <w:t>Analysis</w:t>
      </w:r>
    </w:p>
    <w:p w:rsidR="00FC6143" w:rsidRPr="003C7382" w:rsidRDefault="00FC6143" w:rsidP="00FC6143">
      <w:pPr>
        <w:pStyle w:val="ParaNoNdepar-AltN"/>
        <w:rPr>
          <w:rFonts w:cs="Times New Roman"/>
        </w:rPr>
      </w:pPr>
      <w:r w:rsidRPr="003C7382">
        <w:rPr>
          <w:rFonts w:cs="Times New Roman"/>
        </w:rPr>
        <w:t xml:space="preserve">British Columbia has advanced two legislative rules as a result of which, it </w:t>
      </w:r>
      <w:proofErr w:type="gramStart"/>
      <w:r w:rsidRPr="003C7382">
        <w:rPr>
          <w:rFonts w:cs="Times New Roman"/>
        </w:rPr>
        <w:t>says,</w:t>
      </w:r>
      <w:proofErr w:type="gramEnd"/>
      <w:r w:rsidRPr="003C7382">
        <w:rPr>
          <w:rFonts w:cs="Times New Roman"/>
        </w:rPr>
        <w:t xml:space="preserve"> the documents at issue in this case may not be admitted into evidence: the </w:t>
      </w:r>
      <w:r w:rsidRPr="003C7382">
        <w:rPr>
          <w:rFonts w:cs="Times New Roman"/>
          <w:i/>
        </w:rPr>
        <w:t>1731 Act</w:t>
      </w:r>
      <w:r w:rsidRPr="003C7382">
        <w:rPr>
          <w:rFonts w:cs="Times New Roman"/>
        </w:rPr>
        <w:t xml:space="preserve"> and Rule 22-3 of the </w:t>
      </w:r>
      <w:r w:rsidRPr="003C7382">
        <w:rPr>
          <w:rFonts w:cs="Times New Roman"/>
          <w:i/>
        </w:rPr>
        <w:t>Supreme Court Civil Rules</w:t>
      </w:r>
      <w:r w:rsidRPr="003C7382">
        <w:rPr>
          <w:rFonts w:cs="Times New Roman"/>
        </w:rPr>
        <w:t xml:space="preserve">. In my view, both of these rules apply, and their effect is that documents submitted to British Columbia courts must either be in English or be accompanied by an English translation. </w:t>
      </w:r>
    </w:p>
    <w:p w:rsidR="00FC6143" w:rsidRPr="003C7382" w:rsidRDefault="00FC6143" w:rsidP="00FC6143">
      <w:pPr>
        <w:pStyle w:val="TitleTitre-AltT"/>
        <w:tabs>
          <w:tab w:val="clear" w:pos="360"/>
          <w:tab w:val="left" w:pos="720"/>
        </w:tabs>
        <w:ind w:left="720" w:hanging="720"/>
        <w:rPr>
          <w:rFonts w:cs="Times New Roman"/>
          <w:i/>
        </w:rPr>
      </w:pPr>
      <w:r w:rsidRPr="003C7382">
        <w:rPr>
          <w:rFonts w:cs="Times New Roman"/>
        </w:rPr>
        <w:t>A.</w:t>
      </w:r>
      <w:r w:rsidRPr="003C7382">
        <w:rPr>
          <w:rFonts w:cs="Times New Roman"/>
        </w:rPr>
        <w:tab/>
      </w:r>
      <w:r w:rsidRPr="003C7382">
        <w:rPr>
          <w:rFonts w:cs="Times New Roman"/>
          <w:i/>
        </w:rPr>
        <w:t>Does the 1731 Act Require That Civil Proceedings in British Columbia Be in English?</w:t>
      </w:r>
    </w:p>
    <w:p w:rsidR="00FC6143" w:rsidRPr="003C7382" w:rsidRDefault="00FC6143" w:rsidP="00FC6143">
      <w:pPr>
        <w:pStyle w:val="TitleTitre-AltT"/>
        <w:tabs>
          <w:tab w:val="clear" w:pos="360"/>
        </w:tabs>
        <w:ind w:left="1800" w:hanging="630"/>
        <w:rPr>
          <w:rFonts w:cs="Times New Roman"/>
        </w:rPr>
      </w:pPr>
      <w:r w:rsidRPr="003C7382">
        <w:rPr>
          <w:rFonts w:cs="Times New Roman"/>
        </w:rPr>
        <w:t>(1)</w:t>
      </w:r>
      <w:r w:rsidRPr="003C7382">
        <w:rPr>
          <w:rFonts w:cs="Times New Roman"/>
        </w:rPr>
        <w:tab/>
      </w:r>
      <w:r w:rsidRPr="003C7382">
        <w:rPr>
          <w:rFonts w:cs="Times New Roman"/>
          <w:u w:val="single"/>
        </w:rPr>
        <w:t>Reception of English Law</w:t>
      </w:r>
    </w:p>
    <w:p w:rsidR="00FC6143" w:rsidRPr="003C7382" w:rsidRDefault="00FC6143" w:rsidP="00FC6143">
      <w:pPr>
        <w:pStyle w:val="ParaNoNdepar-AltN"/>
        <w:rPr>
          <w:rFonts w:cs="Times New Roman"/>
        </w:rPr>
      </w:pPr>
      <w:r w:rsidRPr="003C7382">
        <w:rPr>
          <w:rFonts w:cs="Times New Roman"/>
        </w:rPr>
        <w:t>The reception of English law into various Canadian provinces was an important step in Canada’s legal history. Reception permitted the country’s common law provinces to adopt a common law system without having to “spend nine centuries painfully building</w:t>
      </w:r>
      <w:r w:rsidR="000460FD">
        <w:rPr>
          <w:rFonts w:cs="Times New Roman"/>
        </w:rPr>
        <w:t xml:space="preserve"> up a system of judge-made law”:</w:t>
      </w:r>
      <w:r w:rsidRPr="003C7382">
        <w:rPr>
          <w:rFonts w:cs="Times New Roman"/>
        </w:rPr>
        <w:t xml:space="preserve"> J. E. Cote, </w:t>
      </w:r>
      <w:r w:rsidRPr="003C7382">
        <w:rPr>
          <w:rFonts w:cs="Times New Roman"/>
          <w:lang w:val="en-US"/>
        </w:rPr>
        <w:t>“</w:t>
      </w:r>
      <w:r w:rsidRPr="003C7382">
        <w:rPr>
          <w:rFonts w:cs="Times New Roman"/>
        </w:rPr>
        <w:t xml:space="preserve">The Reception of English Law” (1977), 15 </w:t>
      </w:r>
      <w:r w:rsidRPr="003C7382">
        <w:rPr>
          <w:rFonts w:cs="Times New Roman"/>
          <w:i/>
        </w:rPr>
        <w:t>Alta. L. Rev.</w:t>
      </w:r>
      <w:r w:rsidRPr="003C7382">
        <w:rPr>
          <w:rFonts w:cs="Times New Roman"/>
        </w:rPr>
        <w:t xml:space="preserve"> 29, at p. 30.</w:t>
      </w:r>
    </w:p>
    <w:p w:rsidR="00FC6143" w:rsidRPr="003C7382" w:rsidRDefault="00FC6143" w:rsidP="00FC6143">
      <w:pPr>
        <w:pStyle w:val="ParaNoNdepar-AltN"/>
        <w:rPr>
          <w:rFonts w:cs="Times New Roman"/>
        </w:rPr>
      </w:pPr>
      <w:r w:rsidRPr="003C7382">
        <w:rPr>
          <w:rFonts w:cs="Times New Roman"/>
        </w:rPr>
        <w:t xml:space="preserve">The reception of English law is a common law principle, and it applies in several Canadian provinces in which it has not even been provided for by provincial </w:t>
      </w:r>
      <w:r w:rsidRPr="003C7382">
        <w:rPr>
          <w:rFonts w:cs="Times New Roman"/>
        </w:rPr>
        <w:lastRenderedPageBreak/>
        <w:t>statute: see, e.g.</w:t>
      </w:r>
      <w:r w:rsidR="001E5032">
        <w:rPr>
          <w:rFonts w:cs="Times New Roman"/>
        </w:rPr>
        <w:t>,</w:t>
      </w:r>
      <w:r w:rsidRPr="003C7382">
        <w:rPr>
          <w:rFonts w:cs="Times New Roman"/>
        </w:rPr>
        <w:t xml:space="preserve"> </w:t>
      </w:r>
      <w:proofErr w:type="spellStart"/>
      <w:r w:rsidRPr="003C7382">
        <w:rPr>
          <w:rFonts w:cs="Times New Roman"/>
          <w:i/>
        </w:rPr>
        <w:t>Uniacke</w:t>
      </w:r>
      <w:proofErr w:type="spellEnd"/>
      <w:r w:rsidRPr="003C7382">
        <w:rPr>
          <w:rFonts w:cs="Times New Roman"/>
          <w:i/>
        </w:rPr>
        <w:t xml:space="preserve"> v. Dickson</w:t>
      </w:r>
      <w:r w:rsidRPr="003C7382">
        <w:rPr>
          <w:rFonts w:cs="Times New Roman"/>
        </w:rPr>
        <w:t xml:space="preserve"> (1848)</w:t>
      </w:r>
      <w:r w:rsidR="001E5032">
        <w:rPr>
          <w:rFonts w:cs="Times New Roman"/>
        </w:rPr>
        <w:t>,</w:t>
      </w:r>
      <w:r w:rsidRPr="003C7382">
        <w:rPr>
          <w:rFonts w:cs="Times New Roman"/>
        </w:rPr>
        <w:t xml:space="preserve"> 1 N.S.R. 287 (Ch.); </w:t>
      </w:r>
      <w:r w:rsidRPr="003C7382">
        <w:rPr>
          <w:rFonts w:cs="Times New Roman"/>
          <w:i/>
        </w:rPr>
        <w:t>Scott v. Scott</w:t>
      </w:r>
      <w:r w:rsidRPr="003C7382">
        <w:rPr>
          <w:rFonts w:cs="Times New Roman"/>
        </w:rPr>
        <w:t xml:space="preserve"> (1970), 2 N.B.R. (2d) 849 (</w:t>
      </w:r>
      <w:r w:rsidR="001E5032">
        <w:rPr>
          <w:rFonts w:cs="Times New Roman"/>
        </w:rPr>
        <w:t>S.C., App. Div.</w:t>
      </w:r>
      <w:r w:rsidRPr="003C7382">
        <w:rPr>
          <w:rFonts w:cs="Times New Roman"/>
        </w:rPr>
        <w:t>). At common law, reception was said to take place as a result of the presence of British subjects in a new territory: Cote, at p. 35. That is to say, British subjects “</w:t>
      </w:r>
      <w:proofErr w:type="spellStart"/>
      <w:proofErr w:type="gramStart"/>
      <w:r w:rsidRPr="003C7382">
        <w:rPr>
          <w:rFonts w:cs="Times New Roman"/>
        </w:rPr>
        <w:t>carr</w:t>
      </w:r>
      <w:proofErr w:type="spellEnd"/>
      <w:r w:rsidRPr="003C7382">
        <w:rPr>
          <w:rFonts w:cs="Times New Roman"/>
        </w:rPr>
        <w:t>[</w:t>
      </w:r>
      <w:proofErr w:type="spellStart"/>
      <w:proofErr w:type="gramEnd"/>
      <w:r w:rsidRPr="003C7382">
        <w:rPr>
          <w:rFonts w:cs="Times New Roman"/>
        </w:rPr>
        <w:t>ied</w:t>
      </w:r>
      <w:proofErr w:type="spellEnd"/>
      <w:r w:rsidRPr="003C7382">
        <w:rPr>
          <w:rFonts w:cs="Times New Roman"/>
        </w:rPr>
        <w:t xml:space="preserve">]” English law with them as they settled in the colonies: Cote, at p. 47. </w:t>
      </w:r>
    </w:p>
    <w:p w:rsidR="00FC6143" w:rsidRPr="003C7382" w:rsidRDefault="00FC6143" w:rsidP="00FC6143">
      <w:pPr>
        <w:pStyle w:val="ParaNoNdepar-AltN"/>
        <w:rPr>
          <w:rFonts w:cs="Times New Roman"/>
        </w:rPr>
      </w:pPr>
      <w:r w:rsidRPr="003C7382">
        <w:rPr>
          <w:rFonts w:cs="Times New Roman"/>
        </w:rPr>
        <w:t xml:space="preserve">This common law principle has been codified in a number of Canadian provinces, including British Columbia. The principle of reception was originally codified in mainland British Columbia by virtue of a proclamation of the Governor of the Colony of British Columbia, Sir James Douglas, dated November 19, 1858. This was subsequently expanded to cover the entirety of the unified Colony of British Columbia in the </w:t>
      </w:r>
      <w:proofErr w:type="spellStart"/>
      <w:r w:rsidR="00DF60CC" w:rsidRPr="00DF60CC">
        <w:rPr>
          <w:rFonts w:cs="Times New Roman"/>
          <w:i/>
        </w:rPr>
        <w:t>The</w:t>
      </w:r>
      <w:proofErr w:type="spellEnd"/>
      <w:r w:rsidR="00DF60CC" w:rsidRPr="00DF60CC">
        <w:rPr>
          <w:rFonts w:cs="Times New Roman"/>
          <w:i/>
        </w:rPr>
        <w:t xml:space="preserve"> </w:t>
      </w:r>
      <w:r w:rsidRPr="003C7382">
        <w:rPr>
          <w:rFonts w:cs="Times New Roman"/>
          <w:i/>
        </w:rPr>
        <w:t>English Law Ordinance, 1867</w:t>
      </w:r>
      <w:r w:rsidRPr="003C7382">
        <w:rPr>
          <w:rFonts w:cs="Times New Roman"/>
        </w:rPr>
        <w:t xml:space="preserve">, S.B.C. 1867, </w:t>
      </w:r>
      <w:r w:rsidR="00802053">
        <w:rPr>
          <w:rFonts w:cs="Times New Roman"/>
        </w:rPr>
        <w:t>No</w:t>
      </w:r>
      <w:r w:rsidRPr="003C7382">
        <w:rPr>
          <w:rFonts w:cs="Times New Roman"/>
        </w:rPr>
        <w:t>. 7. The British Columbia legislature has repeatedly confirmed this codification since the province joined Confederation: see, e.g.</w:t>
      </w:r>
      <w:r w:rsidR="00802053">
        <w:rPr>
          <w:rFonts w:cs="Times New Roman"/>
        </w:rPr>
        <w:t>,</w:t>
      </w:r>
      <w:r w:rsidRPr="003C7382">
        <w:rPr>
          <w:rFonts w:cs="Times New Roman"/>
        </w:rPr>
        <w:t xml:space="preserve"> </w:t>
      </w:r>
      <w:r w:rsidRPr="003C7382">
        <w:rPr>
          <w:rFonts w:cs="Times New Roman"/>
          <w:i/>
        </w:rPr>
        <w:t>English Law Ordinance, 1867</w:t>
      </w:r>
      <w:r w:rsidRPr="003C7382">
        <w:rPr>
          <w:rFonts w:cs="Times New Roman"/>
        </w:rPr>
        <w:t xml:space="preserve"> (1871)</w:t>
      </w:r>
      <w:r w:rsidR="00802053">
        <w:rPr>
          <w:rFonts w:cs="Times New Roman"/>
        </w:rPr>
        <w:t>,</w:t>
      </w:r>
      <w:r w:rsidRPr="003C7382">
        <w:rPr>
          <w:rFonts w:cs="Times New Roman"/>
        </w:rPr>
        <w:t xml:space="preserve"> 30 </w:t>
      </w:r>
      <w:proofErr w:type="spellStart"/>
      <w:r w:rsidRPr="003C7382">
        <w:rPr>
          <w:rFonts w:cs="Times New Roman"/>
        </w:rPr>
        <w:t>Vict</w:t>
      </w:r>
      <w:proofErr w:type="spellEnd"/>
      <w:r w:rsidRPr="003C7382">
        <w:rPr>
          <w:rFonts w:cs="Times New Roman"/>
        </w:rPr>
        <w:t xml:space="preserve">., No. 70; </w:t>
      </w:r>
      <w:r w:rsidRPr="003C7382">
        <w:rPr>
          <w:rFonts w:cs="Times New Roman"/>
          <w:i/>
        </w:rPr>
        <w:t>English Law Act</w:t>
      </w:r>
      <w:r w:rsidRPr="003C7382">
        <w:rPr>
          <w:rFonts w:cs="Times New Roman"/>
        </w:rPr>
        <w:t xml:space="preserve">, R.S.B.C. 1897, c. 115; </w:t>
      </w:r>
      <w:r w:rsidRPr="003C7382">
        <w:rPr>
          <w:rFonts w:cs="Times New Roman"/>
          <w:i/>
        </w:rPr>
        <w:t>English Law Act</w:t>
      </w:r>
      <w:r w:rsidRPr="003C7382">
        <w:rPr>
          <w:rFonts w:cs="Times New Roman"/>
        </w:rPr>
        <w:t xml:space="preserve">, R.S.B.C. 1960, c. 129. Currently, the reception of English law in British Columbia is governed by the </w:t>
      </w:r>
      <w:r w:rsidRPr="003C7382">
        <w:rPr>
          <w:rFonts w:cs="Times New Roman"/>
          <w:i/>
        </w:rPr>
        <w:t>Law and Equity Act</w:t>
      </w:r>
      <w:r w:rsidRPr="003C7382">
        <w:rPr>
          <w:rFonts w:cs="Times New Roman"/>
        </w:rPr>
        <w:t>, s. 2 of which reads as follows:</w:t>
      </w:r>
    </w:p>
    <w:p w:rsidR="00FC6143" w:rsidRPr="003C7382" w:rsidRDefault="00FC6143" w:rsidP="00FC6143">
      <w:pPr>
        <w:pStyle w:val="Citation-AltC"/>
        <w:tabs>
          <w:tab w:val="left" w:pos="1350"/>
        </w:tabs>
        <w:ind w:left="1440" w:hanging="270"/>
      </w:pPr>
      <w:proofErr w:type="gramStart"/>
      <w:r w:rsidRPr="003C7382">
        <w:rPr>
          <w:b/>
        </w:rPr>
        <w:t>2</w:t>
      </w:r>
      <w:r w:rsidRPr="003C7382">
        <w:t xml:space="preserve">  Subject</w:t>
      </w:r>
      <w:proofErr w:type="gramEnd"/>
      <w:r w:rsidRPr="003C7382">
        <w:t xml:space="preserve"> to section 3, the Civil and Criminal Laws of England, as they existed on November 19, 1858, so far as they are not from local circumstances inapplicable, are in force in British Columbia, but those laws must be held to be modified and altered by all legislation that has the force of law in British Columbia or in any former Colony comprised within its geographical limits.</w:t>
      </w:r>
    </w:p>
    <w:p w:rsidR="00FC6143" w:rsidRPr="003C7382" w:rsidRDefault="00FC6143" w:rsidP="00FC6143">
      <w:pPr>
        <w:pStyle w:val="ParaNoNdepar-AltN"/>
        <w:rPr>
          <w:rFonts w:cs="Times New Roman"/>
        </w:rPr>
      </w:pPr>
      <w:r w:rsidRPr="003C7382">
        <w:rPr>
          <w:rFonts w:cs="Times New Roman"/>
        </w:rPr>
        <w:lastRenderedPageBreak/>
        <w:t xml:space="preserve">There are two criteria for an English statute to be received into law in British Columbia: (1) it must have been in force in England on November 19, 1858; and (2) it must be applicable to local circumstances. Further, in interpreting any received law, a court must consider whether that law has been modified by legislation having the force of law in British Columbia. I will return to these issues after discussing the scope of the </w:t>
      </w:r>
      <w:r w:rsidRPr="003C7382">
        <w:rPr>
          <w:rFonts w:cs="Times New Roman"/>
          <w:i/>
        </w:rPr>
        <w:t>1731 Act</w:t>
      </w:r>
      <w:r w:rsidRPr="003C7382">
        <w:rPr>
          <w:rFonts w:cs="Times New Roman"/>
        </w:rPr>
        <w:t xml:space="preserve"> itself. </w:t>
      </w:r>
    </w:p>
    <w:p w:rsidR="00FC6143" w:rsidRPr="003C7382" w:rsidRDefault="00FC6143" w:rsidP="00FC6143">
      <w:pPr>
        <w:pStyle w:val="TitleTitre-AltT"/>
        <w:tabs>
          <w:tab w:val="clear" w:pos="360"/>
        </w:tabs>
        <w:ind w:left="1800" w:hanging="630"/>
        <w:rPr>
          <w:rFonts w:cs="Times New Roman"/>
        </w:rPr>
      </w:pPr>
      <w:r w:rsidRPr="003C7382">
        <w:rPr>
          <w:rFonts w:cs="Times New Roman"/>
        </w:rPr>
        <w:t>(2)</w:t>
      </w:r>
      <w:r w:rsidRPr="003C7382">
        <w:rPr>
          <w:rFonts w:cs="Times New Roman"/>
        </w:rPr>
        <w:tab/>
      </w:r>
      <w:r w:rsidRPr="003C7382">
        <w:rPr>
          <w:rFonts w:cs="Times New Roman"/>
          <w:u w:val="single"/>
        </w:rPr>
        <w:t xml:space="preserve">Does the </w:t>
      </w:r>
      <w:r w:rsidRPr="003C7382">
        <w:rPr>
          <w:rFonts w:cs="Times New Roman"/>
          <w:i/>
          <w:u w:val="single"/>
        </w:rPr>
        <w:t>1731 Act</w:t>
      </w:r>
      <w:r w:rsidRPr="003C7382">
        <w:rPr>
          <w:rFonts w:cs="Times New Roman"/>
          <w:u w:val="single"/>
        </w:rPr>
        <w:t xml:space="preserve"> Apply to Exhibits Attached to Affidavits?</w:t>
      </w:r>
    </w:p>
    <w:p w:rsidR="00FC6143" w:rsidRPr="003C7382" w:rsidRDefault="00FC6143" w:rsidP="00FC6143">
      <w:pPr>
        <w:pStyle w:val="ParaNoNdepar-AltN"/>
        <w:rPr>
          <w:rFonts w:cs="Times New Roman"/>
        </w:rPr>
      </w:pPr>
      <w:r w:rsidRPr="003C7382">
        <w:rPr>
          <w:rFonts w:cs="Times New Roman"/>
        </w:rPr>
        <w:t xml:space="preserve">As a preliminary matter, the appellants allege that even if the </w:t>
      </w:r>
      <w:r w:rsidRPr="003C7382">
        <w:rPr>
          <w:rFonts w:cs="Times New Roman"/>
          <w:i/>
        </w:rPr>
        <w:t>1731 Act</w:t>
      </w:r>
      <w:r w:rsidRPr="003C7382">
        <w:rPr>
          <w:rFonts w:cs="Times New Roman"/>
        </w:rPr>
        <w:t xml:space="preserve"> is applicable in British Columbia, it does not have the effect of requiring that documentary evidence be presented in English. With respect, I cannot agree. It is clear from the words of the </w:t>
      </w:r>
      <w:r w:rsidRPr="003C7382">
        <w:rPr>
          <w:rFonts w:cs="Times New Roman"/>
          <w:i/>
        </w:rPr>
        <w:t>1731 Act</w:t>
      </w:r>
      <w:r w:rsidRPr="003C7382">
        <w:rPr>
          <w:rFonts w:cs="Times New Roman"/>
        </w:rPr>
        <w:t xml:space="preserve"> that it applies to a specific set of listed documents, but also to all “proceedings”, which includes the admission of evidence. </w:t>
      </w:r>
    </w:p>
    <w:p w:rsidR="00FC6143" w:rsidRPr="003C7382" w:rsidRDefault="00FC6143" w:rsidP="00FC6143">
      <w:pPr>
        <w:pStyle w:val="ParaNoNdepar-AltN"/>
        <w:rPr>
          <w:rFonts w:cs="Times New Roman"/>
        </w:rPr>
      </w:pPr>
      <w:r w:rsidRPr="003C7382">
        <w:rPr>
          <w:rFonts w:cs="Times New Roman"/>
        </w:rPr>
        <w:t xml:space="preserve">The Preamble to the </w:t>
      </w:r>
      <w:r w:rsidRPr="003C7382">
        <w:rPr>
          <w:rFonts w:cs="Times New Roman"/>
          <w:i/>
        </w:rPr>
        <w:t>1731 Act</w:t>
      </w:r>
      <w:r w:rsidRPr="003C7382">
        <w:rPr>
          <w:rFonts w:cs="Times New Roman"/>
        </w:rPr>
        <w:t xml:space="preserve"> requires all the following to be in English:</w:t>
      </w:r>
    </w:p>
    <w:p w:rsidR="00FC6143" w:rsidRPr="003C7382" w:rsidRDefault="00FC6143" w:rsidP="00FC6143">
      <w:pPr>
        <w:pStyle w:val="Citation-AltC"/>
      </w:pPr>
      <w:r w:rsidRPr="003C7382">
        <w:t xml:space="preserve">. . . all Writs, Process and Returns thereof, and </w:t>
      </w:r>
      <w:r w:rsidRPr="003C7382">
        <w:rPr>
          <w:u w:val="single"/>
        </w:rPr>
        <w:t>Proceedings thereon</w:t>
      </w:r>
      <w:r w:rsidRPr="003C7382">
        <w:t xml:space="preserve">, and all Pleadings, Rules, Orders, Indictments, </w:t>
      </w:r>
      <w:proofErr w:type="spellStart"/>
      <w:r w:rsidRPr="003C7382">
        <w:t>Informations</w:t>
      </w:r>
      <w:proofErr w:type="spellEnd"/>
      <w:r w:rsidRPr="003C7382">
        <w:t xml:space="preserve">, Inquisitions, Presentments, Verdicts, Prohibitions, Certificates, and all Patents, Charters, Pardons, Commissions, Records, Judgments, Statutes, </w:t>
      </w:r>
      <w:proofErr w:type="spellStart"/>
      <w:r w:rsidRPr="003C7382">
        <w:t>Recognizances</w:t>
      </w:r>
      <w:proofErr w:type="spellEnd"/>
      <w:r w:rsidRPr="003C7382">
        <w:t xml:space="preserve">, Bonds, Rolls, Entries, Fines and Recoveries, and </w:t>
      </w:r>
      <w:r w:rsidRPr="003C7382">
        <w:rPr>
          <w:u w:val="single"/>
        </w:rPr>
        <w:t>all Proceedings relating thereunto</w:t>
      </w:r>
      <w:r w:rsidRPr="003C7382">
        <w:t xml:space="preserve">, and all Proceedings of Courts </w:t>
      </w:r>
      <w:proofErr w:type="spellStart"/>
      <w:r w:rsidRPr="003C7382">
        <w:t>Leet</w:t>
      </w:r>
      <w:proofErr w:type="spellEnd"/>
      <w:r w:rsidRPr="003C7382">
        <w:t xml:space="preserve">, Courts Baron and Customary Courts, and all Copies thereof, and </w:t>
      </w:r>
      <w:r w:rsidRPr="003C7382">
        <w:rPr>
          <w:u w:val="single"/>
        </w:rPr>
        <w:t>all Proceedings whatsoever</w:t>
      </w:r>
      <w:r w:rsidRPr="003C7382">
        <w:t xml:space="preserve"> . . . . </w:t>
      </w:r>
    </w:p>
    <w:p w:rsidR="00FC6143" w:rsidRPr="003C7382" w:rsidRDefault="00FC6143" w:rsidP="00FC6143">
      <w:pPr>
        <w:pStyle w:val="ContinueParaSuitedupar-AltP"/>
        <w:rPr>
          <w:rFonts w:cs="Times New Roman"/>
        </w:rPr>
      </w:pPr>
      <w:r w:rsidRPr="003C7382">
        <w:rPr>
          <w:rFonts w:cs="Times New Roman"/>
        </w:rPr>
        <w:lastRenderedPageBreak/>
        <w:t xml:space="preserve">The appellants argue that the words “Proceedings thereon”, “Proceedings relating thereunto” and “all Proceedings whatsoever” should be taken to be limited to procedural aspects of an action. Although I accept the appellants’ submission that there is a difference between procedure and evidence, they have submitted no arguments to explain why the word “proceedings” should be read as equivalent to “procedure”. The meaning of the word “procedure” is therefore not relevant to the interpretation of the </w:t>
      </w:r>
      <w:r w:rsidRPr="003C7382">
        <w:rPr>
          <w:rFonts w:cs="Times New Roman"/>
          <w:i/>
        </w:rPr>
        <w:t>1731 Act</w:t>
      </w:r>
      <w:r w:rsidRPr="003C7382">
        <w:rPr>
          <w:rFonts w:cs="Times New Roman"/>
        </w:rPr>
        <w:t xml:space="preserve">. In any event, even if it were the case that the </w:t>
      </w:r>
      <w:r w:rsidRPr="003C7382">
        <w:rPr>
          <w:rFonts w:cs="Times New Roman"/>
          <w:i/>
        </w:rPr>
        <w:t>1731 Act</w:t>
      </w:r>
      <w:r w:rsidRPr="003C7382">
        <w:rPr>
          <w:rFonts w:cs="Times New Roman"/>
        </w:rPr>
        <w:t xml:space="preserve"> applied only to procedural law, there was a time when the law of procedure was considered to include what we would now call the law of evidence: U. </w:t>
      </w:r>
      <w:proofErr w:type="spellStart"/>
      <w:r w:rsidRPr="003C7382">
        <w:rPr>
          <w:rFonts w:cs="Times New Roman"/>
        </w:rPr>
        <w:t>Blickensderfer</w:t>
      </w:r>
      <w:proofErr w:type="spellEnd"/>
      <w:r w:rsidRPr="003C7382">
        <w:rPr>
          <w:rFonts w:cs="Times New Roman"/>
        </w:rPr>
        <w:t xml:space="preserve">, </w:t>
      </w:r>
      <w:proofErr w:type="spellStart"/>
      <w:r w:rsidRPr="003C7382">
        <w:rPr>
          <w:rFonts w:cs="Times New Roman"/>
          <w:i/>
        </w:rPr>
        <w:t>Blickensderfer’s</w:t>
      </w:r>
      <w:proofErr w:type="spellEnd"/>
      <w:r w:rsidRPr="003C7382">
        <w:rPr>
          <w:rFonts w:cs="Times New Roman"/>
          <w:i/>
        </w:rPr>
        <w:t xml:space="preserve"> Blackstone’s Elements of Law Etc. </w:t>
      </w:r>
      <w:r w:rsidRPr="003C7382">
        <w:rPr>
          <w:rFonts w:cs="Times New Roman"/>
        </w:rPr>
        <w:t xml:space="preserve">(1889), at pp. 220-21. </w:t>
      </w:r>
    </w:p>
    <w:p w:rsidR="00FC6143" w:rsidRPr="003C7382" w:rsidRDefault="00FC6143" w:rsidP="00FC6143">
      <w:pPr>
        <w:pStyle w:val="ParaNoNdepar-AltN"/>
        <w:rPr>
          <w:rFonts w:cs="Times New Roman"/>
        </w:rPr>
      </w:pPr>
      <w:r w:rsidRPr="003C7382">
        <w:rPr>
          <w:rFonts w:cs="Times New Roman"/>
        </w:rPr>
        <w:t xml:space="preserve">As to the meaning of the term “proceeding”, the appellants themselves note that </w:t>
      </w:r>
      <w:r w:rsidRPr="003C7382">
        <w:rPr>
          <w:rFonts w:cs="Times New Roman"/>
          <w:i/>
        </w:rPr>
        <w:t>Black’s Law Dictionary</w:t>
      </w:r>
      <w:r w:rsidRPr="003C7382">
        <w:rPr>
          <w:rFonts w:cs="Times New Roman"/>
        </w:rPr>
        <w:t xml:space="preserve"> (9th ed. 2009), defines it as follows:</w:t>
      </w:r>
    </w:p>
    <w:p w:rsidR="00FC6143" w:rsidRPr="003C7382" w:rsidRDefault="00FC6143" w:rsidP="00FC6143">
      <w:pPr>
        <w:pStyle w:val="Citation-AltC"/>
      </w:pPr>
      <w:proofErr w:type="gramStart"/>
      <w:r w:rsidRPr="003C7382">
        <w:t xml:space="preserve">The regular and orderly progression of a lawsuit, </w:t>
      </w:r>
      <w:r w:rsidRPr="003C7382">
        <w:rPr>
          <w:u w:val="single"/>
        </w:rPr>
        <w:t>including all acts and events between the time of commencement and the entry of judgment</w:t>
      </w:r>
      <w:r w:rsidRPr="00110847">
        <w:t>.</w:t>
      </w:r>
      <w:proofErr w:type="gramEnd"/>
      <w:r w:rsidRPr="00110847">
        <w:t xml:space="preserve"> </w:t>
      </w:r>
      <w:r w:rsidRPr="003C7382">
        <w:t>[Emphasis added; p. 1324.]</w:t>
      </w:r>
    </w:p>
    <w:p w:rsidR="00FC6143" w:rsidRPr="003C7382" w:rsidRDefault="00FC6143" w:rsidP="00FC6143">
      <w:pPr>
        <w:pStyle w:val="ContinueParaSuitedupar-AltP"/>
        <w:rPr>
          <w:rFonts w:cs="Times New Roman"/>
        </w:rPr>
      </w:pPr>
      <w:r w:rsidRPr="003C7382">
        <w:rPr>
          <w:rFonts w:cs="Times New Roman"/>
        </w:rPr>
        <w:t>In my view, therefore, “proceedings” include the taking of evidence for the purpose of hearing a motion or conducting a trial, and this includes documentary evidence filed as an exhibit attached to an affidavit. The taking of evidence is an act that takes place between the commencement of the action and the entry of judgment.</w:t>
      </w:r>
    </w:p>
    <w:p w:rsidR="00FC6143" w:rsidRPr="003C7382" w:rsidRDefault="00FC6143" w:rsidP="00FC6143">
      <w:pPr>
        <w:pStyle w:val="ParaNoNdepar-AltN"/>
        <w:rPr>
          <w:rFonts w:cs="Times New Roman"/>
        </w:rPr>
      </w:pPr>
      <w:r w:rsidRPr="003C7382">
        <w:rPr>
          <w:rFonts w:cs="Times New Roman"/>
        </w:rPr>
        <w:lastRenderedPageBreak/>
        <w:t>This view is confirmed by other sources, including W. Blackstone,</w:t>
      </w:r>
      <w:r w:rsidRPr="003C7382">
        <w:rPr>
          <w:rFonts w:cs="Times New Roman"/>
          <w:i/>
        </w:rPr>
        <w:t xml:space="preserve"> Commentaries on the Laws of England</w:t>
      </w:r>
      <w:r w:rsidRPr="003C7382">
        <w:rPr>
          <w:rFonts w:cs="Times New Roman"/>
        </w:rPr>
        <w:t>,</w:t>
      </w:r>
      <w:r w:rsidR="003D1D40">
        <w:rPr>
          <w:rFonts w:cs="Times New Roman"/>
        </w:rPr>
        <w:t xml:space="preserve"> vol. 3,</w:t>
      </w:r>
      <w:r w:rsidRPr="003C7382">
        <w:rPr>
          <w:rFonts w:cs="Times New Roman"/>
        </w:rPr>
        <w:t xml:space="preserve"> by J. Chitty, ed. (1826), according to which the proceedings of an action include:</w:t>
      </w:r>
    </w:p>
    <w:p w:rsidR="00FC6143" w:rsidRPr="003C7382" w:rsidRDefault="00FC6143" w:rsidP="00FC6143">
      <w:pPr>
        <w:pStyle w:val="Citation-AltC"/>
      </w:pPr>
      <w:r w:rsidRPr="003C7382">
        <w:t xml:space="preserve">1. The original writ: 2. The process: 3. </w:t>
      </w:r>
      <w:proofErr w:type="gramStart"/>
      <w:r w:rsidRPr="003C7382">
        <w:t>The</w:t>
      </w:r>
      <w:proofErr w:type="gramEnd"/>
      <w:r w:rsidRPr="003C7382">
        <w:t xml:space="preserve"> pleadings: 4. The issue or demurrer: 5. The trial: 6. The judgment, and its incidents: 7. The proceedings in the nature of appeals: 8. The execution. [pp. 271-72] </w:t>
      </w:r>
    </w:p>
    <w:p w:rsidR="00FC6143" w:rsidRPr="003C7382" w:rsidRDefault="00FC6143" w:rsidP="00FC6143">
      <w:pPr>
        <w:pStyle w:val="ContinueParaSuitedupar-AltP"/>
        <w:rPr>
          <w:rFonts w:cs="Times New Roman"/>
        </w:rPr>
      </w:pPr>
      <w:r w:rsidRPr="003C7382">
        <w:rPr>
          <w:rFonts w:cs="Times New Roman"/>
        </w:rPr>
        <w:t xml:space="preserve">The subsequent discussion in the </w:t>
      </w:r>
      <w:r w:rsidRPr="003C7382">
        <w:rPr>
          <w:rFonts w:cs="Times New Roman"/>
          <w:i/>
        </w:rPr>
        <w:t>Commentaries</w:t>
      </w:r>
      <w:r w:rsidRPr="003C7382">
        <w:rPr>
          <w:rFonts w:cs="Times New Roman"/>
        </w:rPr>
        <w:t xml:space="preserve"> about the “proceedings” of a trial includes the taking of evidence: pp. 349-85. This confirms that the term “proceedings” should be understood to include testimony and documentary evidence. </w:t>
      </w:r>
    </w:p>
    <w:p w:rsidR="00FC6143" w:rsidRPr="003C7382" w:rsidRDefault="00FC6143" w:rsidP="00FC6143">
      <w:pPr>
        <w:pStyle w:val="ParaNoNdepar-AltN"/>
        <w:rPr>
          <w:rFonts w:cs="Times New Roman"/>
        </w:rPr>
      </w:pPr>
      <w:r w:rsidRPr="003C7382">
        <w:rPr>
          <w:rFonts w:cs="Times New Roman"/>
        </w:rPr>
        <w:t>The appellants further suggest that the expressions “Proceedings thereon”, “Proceedings relating thereunto” and “all Proceedings whatsoever” should be restricted by the limited class (</w:t>
      </w:r>
      <w:proofErr w:type="spellStart"/>
      <w:r w:rsidRPr="003C7382">
        <w:rPr>
          <w:rFonts w:cs="Times New Roman"/>
          <w:i/>
        </w:rPr>
        <w:t>ejusdem</w:t>
      </w:r>
      <w:proofErr w:type="spellEnd"/>
      <w:r w:rsidRPr="003C7382">
        <w:rPr>
          <w:rFonts w:cs="Times New Roman"/>
          <w:i/>
        </w:rPr>
        <w:t xml:space="preserve"> generis</w:t>
      </w:r>
      <w:r w:rsidRPr="003C7382">
        <w:rPr>
          <w:rFonts w:cs="Times New Roman"/>
        </w:rPr>
        <w:t xml:space="preserve">) presumption. They argue that the lists of items that come before these general expressions do not include evidence or exhibits, and that the expressions themselves must therefore be interpreted as being similarly limited. </w:t>
      </w:r>
    </w:p>
    <w:p w:rsidR="00FC6143" w:rsidRPr="003C7382" w:rsidRDefault="00FC6143" w:rsidP="00FC6143">
      <w:pPr>
        <w:pStyle w:val="ParaNoNdepar-AltN"/>
        <w:rPr>
          <w:rFonts w:cs="Times New Roman"/>
        </w:rPr>
      </w:pPr>
      <w:r w:rsidRPr="003C7382">
        <w:rPr>
          <w:rFonts w:cs="Times New Roman"/>
        </w:rPr>
        <w:t xml:space="preserve">This argument must fail, however, for two reasons. First, I would question whether the limited class presumption should apply where the item at issue appears to be separated from the main list. When applying this presumption, “attention must be paid to the grammatical structure of the provision in question”: R. Sullivan, </w:t>
      </w:r>
      <w:r w:rsidRPr="003C7382">
        <w:rPr>
          <w:rFonts w:cs="Times New Roman"/>
          <w:i/>
        </w:rPr>
        <w:t xml:space="preserve">Sullivan on the Construction of Statutes </w:t>
      </w:r>
      <w:r w:rsidRPr="003C7382">
        <w:rPr>
          <w:rFonts w:cs="Times New Roman"/>
        </w:rPr>
        <w:t xml:space="preserve">(5th ed. 2008), at p. 239. In this </w:t>
      </w:r>
      <w:r w:rsidRPr="003C7382">
        <w:rPr>
          <w:rFonts w:cs="Times New Roman"/>
        </w:rPr>
        <w:lastRenderedPageBreak/>
        <w:t xml:space="preserve">case, the relevant passages from the </w:t>
      </w:r>
      <w:r w:rsidRPr="003C7382">
        <w:rPr>
          <w:rFonts w:cs="Times New Roman"/>
          <w:i/>
        </w:rPr>
        <w:t>1731 Act</w:t>
      </w:r>
      <w:r w:rsidRPr="003C7382">
        <w:rPr>
          <w:rFonts w:cs="Times New Roman"/>
        </w:rPr>
        <w:t xml:space="preserve"> should be considered to form three distinct groups that are separated from one another by the word “and”:</w:t>
      </w:r>
    </w:p>
    <w:p w:rsidR="00FC6143" w:rsidRPr="003C7382" w:rsidRDefault="00FC6143" w:rsidP="00FC6143">
      <w:pPr>
        <w:pStyle w:val="Citation-AltC"/>
      </w:pPr>
      <w:r w:rsidRPr="003C7382">
        <w:t xml:space="preserve">(1) </w:t>
      </w:r>
      <w:proofErr w:type="gramStart"/>
      <w:r w:rsidRPr="003C7382">
        <w:t>all</w:t>
      </w:r>
      <w:proofErr w:type="gramEnd"/>
      <w:r w:rsidRPr="003C7382">
        <w:t xml:space="preserve"> Writs, Process and Returns thereof, and Proceedings thereon</w:t>
      </w:r>
      <w:r w:rsidR="00802053">
        <w:t xml:space="preserve">, </w:t>
      </w:r>
      <w:r w:rsidR="00802053" w:rsidRPr="00802053">
        <w:rPr>
          <w:u w:val="single"/>
        </w:rPr>
        <w:t>and</w:t>
      </w:r>
    </w:p>
    <w:p w:rsidR="00FC6143" w:rsidRPr="003C7382" w:rsidRDefault="00FC6143" w:rsidP="00FC6143">
      <w:pPr>
        <w:pStyle w:val="Citation-AltC"/>
      </w:pPr>
    </w:p>
    <w:p w:rsidR="00FC6143" w:rsidRPr="003C7382" w:rsidRDefault="00FC6143" w:rsidP="00FC6143">
      <w:pPr>
        <w:pStyle w:val="Citation-AltC"/>
      </w:pPr>
      <w:r w:rsidRPr="003C7382">
        <w:t xml:space="preserve">(2) all Pleadings, Rules, Orders, Indictments, </w:t>
      </w:r>
      <w:proofErr w:type="spellStart"/>
      <w:r w:rsidRPr="003C7382">
        <w:t>Informations</w:t>
      </w:r>
      <w:proofErr w:type="spellEnd"/>
      <w:r w:rsidRPr="003C7382">
        <w:t xml:space="preserve">, Inquisitions, Presentments, Verdicts, Prohibitions, Certificates, and all Patents, Charters, Pardons, Commissions, Records, Judgments, Statutes, </w:t>
      </w:r>
      <w:proofErr w:type="spellStart"/>
      <w:r w:rsidRPr="003C7382">
        <w:t>Recognizances</w:t>
      </w:r>
      <w:proofErr w:type="spellEnd"/>
      <w:r w:rsidRPr="003C7382">
        <w:t>, Bonds, Rolls, Entries, Fines and Recoveries, and all Proceedings relating thereunto</w:t>
      </w:r>
      <w:r w:rsidR="00802053">
        <w:t xml:space="preserve">, </w:t>
      </w:r>
      <w:r w:rsidR="00802053" w:rsidRPr="00802053">
        <w:rPr>
          <w:u w:val="single"/>
        </w:rPr>
        <w:t>and</w:t>
      </w:r>
    </w:p>
    <w:p w:rsidR="00FC6143" w:rsidRPr="003C7382" w:rsidRDefault="00FC6143" w:rsidP="00FC6143">
      <w:pPr>
        <w:pStyle w:val="Citation-AltC"/>
      </w:pPr>
    </w:p>
    <w:p w:rsidR="00FC6143" w:rsidRPr="003C7382" w:rsidRDefault="00FC6143" w:rsidP="00FC6143">
      <w:pPr>
        <w:pStyle w:val="Citation-AltC"/>
      </w:pPr>
      <w:r w:rsidRPr="003C7382">
        <w:t xml:space="preserve">(3) </w:t>
      </w:r>
      <w:proofErr w:type="gramStart"/>
      <w:r w:rsidRPr="003C7382">
        <w:t>all</w:t>
      </w:r>
      <w:proofErr w:type="gramEnd"/>
      <w:r w:rsidRPr="003C7382">
        <w:t xml:space="preserve"> Proceedings of Courts </w:t>
      </w:r>
      <w:proofErr w:type="spellStart"/>
      <w:r w:rsidRPr="003C7382">
        <w:t>Leet</w:t>
      </w:r>
      <w:proofErr w:type="spellEnd"/>
      <w:r w:rsidRPr="003C7382">
        <w:t>, Courts Baron and Customary Courts, and all Copies thereof, and all Proceedings whatsoever</w:t>
      </w:r>
      <w:r w:rsidR="00802053">
        <w:t xml:space="preserve"> . . . .</w:t>
      </w:r>
    </w:p>
    <w:p w:rsidR="00FC6143" w:rsidRPr="003C7382" w:rsidRDefault="00FC6143" w:rsidP="00FC6143">
      <w:pPr>
        <w:pStyle w:val="ContinueParaSuitedupar-AltP"/>
        <w:rPr>
          <w:rFonts w:cs="Times New Roman"/>
        </w:rPr>
      </w:pPr>
      <w:r w:rsidRPr="003C7382">
        <w:rPr>
          <w:rFonts w:cs="Times New Roman"/>
        </w:rPr>
        <w:t xml:space="preserve">Each of these groups has two parts: a list of documents or courts and a general clause about “Proceedings”. It is not clear to me that the references to proceedings should be taken to be part of the lists in question, given that for each group, the last two items of the list are separated by the conjunction “and” (e.g. “all Writs, Process </w:t>
      </w:r>
      <w:r w:rsidRPr="003C7382">
        <w:rPr>
          <w:rFonts w:cs="Times New Roman"/>
          <w:i/>
        </w:rPr>
        <w:t>and</w:t>
      </w:r>
      <w:r w:rsidRPr="003C7382">
        <w:rPr>
          <w:rFonts w:cs="Times New Roman"/>
        </w:rPr>
        <w:t xml:space="preserve"> Returns thereof”), which precedes an “and” that separates the clause about proceedings from the list (e.g. “</w:t>
      </w:r>
      <w:r w:rsidRPr="003C7382">
        <w:rPr>
          <w:rFonts w:cs="Times New Roman"/>
          <w:i/>
        </w:rPr>
        <w:t>and</w:t>
      </w:r>
      <w:r w:rsidRPr="003C7382">
        <w:rPr>
          <w:rFonts w:cs="Times New Roman"/>
        </w:rPr>
        <w:t xml:space="preserve"> Proceedings thereon”). </w:t>
      </w:r>
    </w:p>
    <w:p w:rsidR="00FC6143" w:rsidRPr="003C7382" w:rsidRDefault="00FC6143" w:rsidP="00FC6143">
      <w:pPr>
        <w:pStyle w:val="ParaNoNdepar-AltN"/>
        <w:rPr>
          <w:rFonts w:cs="Times New Roman"/>
        </w:rPr>
      </w:pPr>
      <w:r w:rsidRPr="003C7382">
        <w:rPr>
          <w:rFonts w:cs="Times New Roman"/>
        </w:rPr>
        <w:t xml:space="preserve">Second, the general word “Proceedings” is never used in isolation, but always forms part of an expression such as “Proceedings thereon” or “Proceedings relating thereunto”. These expressions convey an intention to include not just specific documents, but also any actions taken in relation to them. </w:t>
      </w:r>
    </w:p>
    <w:p w:rsidR="00FC6143" w:rsidRPr="003C7382" w:rsidRDefault="00FC6143" w:rsidP="00FC6143">
      <w:pPr>
        <w:pStyle w:val="ParaNoNdepar-AltN"/>
        <w:rPr>
          <w:rFonts w:cs="Times New Roman"/>
        </w:rPr>
      </w:pPr>
      <w:r w:rsidRPr="003C7382">
        <w:rPr>
          <w:rFonts w:cs="Times New Roman"/>
        </w:rPr>
        <w:t xml:space="preserve">Finally, the appellants argue that, since the </w:t>
      </w:r>
      <w:r w:rsidRPr="003C7382">
        <w:rPr>
          <w:rFonts w:cs="Times New Roman"/>
          <w:i/>
        </w:rPr>
        <w:t>1731 Act</w:t>
      </w:r>
      <w:r w:rsidRPr="003C7382">
        <w:rPr>
          <w:rFonts w:cs="Times New Roman"/>
        </w:rPr>
        <w:t xml:space="preserve"> does not explicitly permit the admission of translations into evidence, no translations can be admitted, </w:t>
      </w:r>
      <w:r w:rsidRPr="003C7382">
        <w:rPr>
          <w:rFonts w:cs="Times New Roman"/>
        </w:rPr>
        <w:lastRenderedPageBreak/>
        <w:t xml:space="preserve">which renders the law absurd. I am unable to see how a law that requires documents to be in a particular language can have the effect of excluding translations into that language. I cannot accept this argument. </w:t>
      </w:r>
    </w:p>
    <w:p w:rsidR="00FC6143" w:rsidRPr="003C7382" w:rsidRDefault="00FC6143" w:rsidP="00FC6143">
      <w:pPr>
        <w:pStyle w:val="ParaNoNdepar-AltN"/>
        <w:rPr>
          <w:rFonts w:cs="Times New Roman"/>
        </w:rPr>
      </w:pPr>
      <w:r w:rsidRPr="003C7382">
        <w:rPr>
          <w:rFonts w:cs="Times New Roman"/>
        </w:rPr>
        <w:t xml:space="preserve">In conclusion, if the </w:t>
      </w:r>
      <w:r w:rsidRPr="003C7382">
        <w:rPr>
          <w:rFonts w:cs="Times New Roman"/>
          <w:i/>
        </w:rPr>
        <w:t>1731 Act</w:t>
      </w:r>
      <w:r w:rsidRPr="003C7382">
        <w:rPr>
          <w:rFonts w:cs="Times New Roman"/>
        </w:rPr>
        <w:t xml:space="preserve"> applies in British Columbia, I am of the view that it has the effect of requiring that all documents filed in court proceedings </w:t>
      </w:r>
      <w:proofErr w:type="gramStart"/>
      <w:r w:rsidRPr="003C7382">
        <w:rPr>
          <w:rFonts w:cs="Times New Roman"/>
        </w:rPr>
        <w:t>be</w:t>
      </w:r>
      <w:proofErr w:type="gramEnd"/>
      <w:r w:rsidRPr="003C7382">
        <w:rPr>
          <w:rFonts w:cs="Times New Roman"/>
        </w:rPr>
        <w:t xml:space="preserve"> in English or be accompanied by an English translation.</w:t>
      </w:r>
    </w:p>
    <w:p w:rsidR="00FC6143" w:rsidRPr="003C7382" w:rsidRDefault="00FC6143" w:rsidP="00FC6143">
      <w:pPr>
        <w:pStyle w:val="TitleTitre-AltT"/>
        <w:tabs>
          <w:tab w:val="clear" w:pos="360"/>
        </w:tabs>
        <w:ind w:left="1800" w:hanging="630"/>
        <w:rPr>
          <w:rFonts w:cs="Times New Roman"/>
        </w:rPr>
      </w:pPr>
      <w:r w:rsidRPr="003C7382">
        <w:rPr>
          <w:rFonts w:cs="Times New Roman"/>
        </w:rPr>
        <w:t>(3)</w:t>
      </w:r>
      <w:r w:rsidRPr="003C7382">
        <w:rPr>
          <w:rFonts w:cs="Times New Roman"/>
        </w:rPr>
        <w:tab/>
      </w:r>
      <w:r w:rsidRPr="003C7382">
        <w:rPr>
          <w:rFonts w:cs="Times New Roman"/>
          <w:u w:val="single"/>
        </w:rPr>
        <w:t xml:space="preserve">Is the </w:t>
      </w:r>
      <w:r w:rsidRPr="003C7382">
        <w:rPr>
          <w:rFonts w:cs="Times New Roman"/>
          <w:i/>
          <w:u w:val="single"/>
        </w:rPr>
        <w:t>1731 Act</w:t>
      </w:r>
      <w:r w:rsidRPr="003C7382">
        <w:rPr>
          <w:rFonts w:cs="Times New Roman"/>
          <w:u w:val="single"/>
        </w:rPr>
        <w:t xml:space="preserve"> Inapplicable in British Columbia?</w:t>
      </w:r>
    </w:p>
    <w:p w:rsidR="00FC6143" w:rsidRPr="003C7382" w:rsidRDefault="00FC6143" w:rsidP="00FC6143">
      <w:pPr>
        <w:pStyle w:val="ParaNoNdepar-AltN"/>
        <w:rPr>
          <w:rFonts w:cs="Times New Roman"/>
        </w:rPr>
      </w:pPr>
      <w:r w:rsidRPr="003C7382">
        <w:rPr>
          <w:rFonts w:cs="Times New Roman"/>
        </w:rPr>
        <w:t xml:space="preserve">Section 2 of the </w:t>
      </w:r>
      <w:r w:rsidRPr="003C7382">
        <w:rPr>
          <w:rFonts w:cs="Times New Roman"/>
          <w:i/>
        </w:rPr>
        <w:t>Law and Equity Act</w:t>
      </w:r>
      <w:r w:rsidRPr="003C7382">
        <w:rPr>
          <w:rFonts w:cs="Times New Roman"/>
        </w:rPr>
        <w:t xml:space="preserve"> provides that “the Civil and Criminal Laws of England, as they existed on November 19, 1858, </w:t>
      </w:r>
      <w:r w:rsidRPr="003C7382">
        <w:rPr>
          <w:rFonts w:cs="Times New Roman"/>
          <w:u w:val="single"/>
        </w:rPr>
        <w:t>so far as they are not from local circumstances inapplicable</w:t>
      </w:r>
      <w:r w:rsidRPr="003C7382">
        <w:rPr>
          <w:rFonts w:cs="Times New Roman"/>
        </w:rPr>
        <w:t xml:space="preserve">, are in force in British Columbia”. </w:t>
      </w:r>
    </w:p>
    <w:p w:rsidR="00FC6143" w:rsidRPr="003C7382" w:rsidRDefault="00FC6143" w:rsidP="00FC6143">
      <w:pPr>
        <w:pStyle w:val="ParaNoNdepar-AltN"/>
        <w:rPr>
          <w:rFonts w:cs="Times New Roman"/>
        </w:rPr>
      </w:pPr>
      <w:r w:rsidRPr="003C7382">
        <w:rPr>
          <w:rFonts w:cs="Times New Roman"/>
        </w:rPr>
        <w:t xml:space="preserve">The parties agree that the </w:t>
      </w:r>
      <w:r w:rsidRPr="003C7382">
        <w:rPr>
          <w:rFonts w:cs="Times New Roman"/>
          <w:i/>
        </w:rPr>
        <w:t>1731 Act</w:t>
      </w:r>
      <w:r w:rsidRPr="003C7382">
        <w:rPr>
          <w:rFonts w:cs="Times New Roman"/>
        </w:rPr>
        <w:t xml:space="preserve"> existed and was in force in England on November 19, 1858. They disagree, however, about whether the </w:t>
      </w:r>
      <w:r w:rsidRPr="003C7382">
        <w:rPr>
          <w:rFonts w:cs="Times New Roman"/>
          <w:i/>
        </w:rPr>
        <w:t>1731 Act</w:t>
      </w:r>
      <w:r w:rsidRPr="003C7382">
        <w:rPr>
          <w:rFonts w:cs="Times New Roman"/>
        </w:rPr>
        <w:t xml:space="preserve"> is “from local circumstances inapplicable”. The appellants ask the Court to adopt a strict test for applicability according to which every received statute must be both </w:t>
      </w:r>
      <w:r w:rsidRPr="003C7382">
        <w:rPr>
          <w:rFonts w:cs="Times New Roman"/>
          <w:i/>
        </w:rPr>
        <w:t xml:space="preserve">necessary </w:t>
      </w:r>
      <w:r w:rsidRPr="003C7382">
        <w:rPr>
          <w:rFonts w:cs="Times New Roman"/>
        </w:rPr>
        <w:t xml:space="preserve">and applicable. The appellants also argue that applicability should be assessed as of the time when the facts of the case arose rather than as of the date of reception, November 19, 1858. </w:t>
      </w:r>
    </w:p>
    <w:p w:rsidR="00FC6143" w:rsidRPr="003C7382" w:rsidRDefault="00FC6143" w:rsidP="00FC6143">
      <w:pPr>
        <w:pStyle w:val="ParaNoNdepar-AltN"/>
        <w:rPr>
          <w:rFonts w:cs="Times New Roman"/>
        </w:rPr>
      </w:pPr>
      <w:r w:rsidRPr="003C7382">
        <w:rPr>
          <w:rFonts w:cs="Times New Roman"/>
        </w:rPr>
        <w:t xml:space="preserve">Neither of these submissions is compelling. Necessity is not a requirement for the reception of English law. Certainty in the legal system is, as the </w:t>
      </w:r>
      <w:r w:rsidRPr="003C7382">
        <w:rPr>
          <w:rFonts w:cs="Times New Roman"/>
        </w:rPr>
        <w:lastRenderedPageBreak/>
        <w:t>appellants acknowledge, a desirable outcome, but certainty cannot be obtained if the status of received law must be reconsidered each and every time a party seeks to rely on it. I therefore conclude that the test for determining whether such law is applicable should be based on its suitability, and that this should be assessed as of the date of reception.</w:t>
      </w:r>
    </w:p>
    <w:p w:rsidR="00FC6143" w:rsidRPr="003C7382" w:rsidRDefault="00FC6143" w:rsidP="00FC6143">
      <w:pPr>
        <w:autoSpaceDE w:val="0"/>
        <w:autoSpaceDN w:val="0"/>
        <w:adjustRightInd w:val="0"/>
        <w:ind w:left="1800" w:hanging="630"/>
        <w:rPr>
          <w:rFonts w:eastAsiaTheme="minorHAnsi"/>
          <w:i/>
          <w:szCs w:val="24"/>
          <w:lang w:val="en-US" w:eastAsia="en-US"/>
        </w:rPr>
      </w:pPr>
      <w:r w:rsidRPr="003C7382">
        <w:rPr>
          <w:rFonts w:eastAsiaTheme="minorHAnsi"/>
          <w:szCs w:val="24"/>
          <w:lang w:val="en-US" w:eastAsia="en-US"/>
        </w:rPr>
        <w:t>(a)</w:t>
      </w:r>
      <w:r w:rsidRPr="003C7382">
        <w:rPr>
          <w:rFonts w:eastAsiaTheme="minorHAnsi"/>
          <w:szCs w:val="24"/>
          <w:lang w:val="en-US" w:eastAsia="en-US"/>
        </w:rPr>
        <w:tab/>
      </w:r>
      <w:r w:rsidRPr="003C7382">
        <w:rPr>
          <w:rFonts w:eastAsiaTheme="minorHAnsi"/>
          <w:i/>
          <w:szCs w:val="24"/>
          <w:lang w:val="en-US" w:eastAsia="en-US"/>
        </w:rPr>
        <w:t>What Does Applicability Entail?</w:t>
      </w:r>
    </w:p>
    <w:p w:rsidR="00FC6143" w:rsidRPr="003C7382" w:rsidRDefault="00FC6143" w:rsidP="00FC6143">
      <w:pPr>
        <w:pStyle w:val="ParaNoNdepar-AltN"/>
        <w:rPr>
          <w:rFonts w:eastAsiaTheme="minorHAnsi" w:cs="Times New Roman"/>
          <w:lang w:val="en-US"/>
        </w:rPr>
      </w:pPr>
      <w:r w:rsidRPr="003C7382">
        <w:rPr>
          <w:rFonts w:eastAsiaTheme="minorHAnsi" w:cs="Times New Roman"/>
          <w:lang w:val="en-US"/>
        </w:rPr>
        <w:t xml:space="preserve">Whether a received statute is applicable should be assessed in terms of its suitability, as opposed to the more stringent test proposed by the appellants. The appellants urge the Court to take a narrow view of applicability, and to require that any received statute be </w:t>
      </w:r>
      <w:r w:rsidRPr="003C7382">
        <w:rPr>
          <w:rFonts w:eastAsiaTheme="minorHAnsi" w:cs="Times New Roman"/>
          <w:i/>
          <w:lang w:val="en-US"/>
        </w:rPr>
        <w:t>necessary</w:t>
      </w:r>
      <w:r w:rsidRPr="003C7382">
        <w:rPr>
          <w:rFonts w:eastAsiaTheme="minorHAnsi" w:cs="Times New Roman"/>
          <w:lang w:val="en-US"/>
        </w:rPr>
        <w:t xml:space="preserve"> in order to be applicable. The appellants further argue that its necessity should be assessed purposively by considering whether the mischief the statute was intended to remedy in England exists in British Columbia. Such a test is undesirable, because under it, the assessment of applicability would depend on historical reductionism. </w:t>
      </w:r>
    </w:p>
    <w:p w:rsidR="00FC6143" w:rsidRPr="003C7382" w:rsidRDefault="00FC6143" w:rsidP="00FC6143">
      <w:pPr>
        <w:pStyle w:val="ParaNoNdepar-AltN"/>
        <w:rPr>
          <w:rFonts w:eastAsiaTheme="minorHAnsi" w:cs="Times New Roman"/>
          <w:lang w:val="en-US"/>
        </w:rPr>
      </w:pPr>
      <w:r w:rsidRPr="003C7382">
        <w:rPr>
          <w:rFonts w:eastAsiaTheme="minorHAnsi" w:cs="Times New Roman"/>
          <w:lang w:val="en-US"/>
        </w:rPr>
        <w:t xml:space="preserve">The appellants rely on </w:t>
      </w:r>
      <w:proofErr w:type="spellStart"/>
      <w:r w:rsidRPr="003C7382">
        <w:rPr>
          <w:rFonts w:cs="Times New Roman"/>
          <w:i/>
        </w:rPr>
        <w:t>Uniacke</w:t>
      </w:r>
      <w:proofErr w:type="spellEnd"/>
      <w:r w:rsidRPr="003C7382">
        <w:rPr>
          <w:rFonts w:cs="Times New Roman"/>
        </w:rPr>
        <w:t xml:space="preserve">, </w:t>
      </w:r>
      <w:r w:rsidRPr="003C7382">
        <w:rPr>
          <w:rFonts w:eastAsiaTheme="minorHAnsi" w:cs="Times New Roman"/>
          <w:lang w:val="en-US"/>
        </w:rPr>
        <w:t xml:space="preserve">a decision of the Nova Scotia Court of Chancery, </w:t>
      </w:r>
      <w:r w:rsidRPr="003C7382">
        <w:rPr>
          <w:rFonts w:cs="Times New Roman"/>
        </w:rPr>
        <w:t>to support their claim that necessity must be considered in determining whether a statute is applicable</w:t>
      </w:r>
      <w:r w:rsidRPr="003C7382">
        <w:rPr>
          <w:rFonts w:eastAsiaTheme="minorHAnsi" w:cs="Times New Roman"/>
          <w:lang w:val="en-US"/>
        </w:rPr>
        <w:t xml:space="preserve">. However, necessity has never been considered to be part of the test for applicability in British Columbia: see, e.g., </w:t>
      </w:r>
      <w:r w:rsidRPr="003C7382">
        <w:rPr>
          <w:rFonts w:eastAsiaTheme="minorHAnsi" w:cs="Times New Roman"/>
          <w:i/>
          <w:lang w:val="en-US"/>
        </w:rPr>
        <w:t xml:space="preserve">McDonnell v. </w:t>
      </w:r>
      <w:proofErr w:type="spellStart"/>
      <w:r w:rsidRPr="003C7382">
        <w:rPr>
          <w:rFonts w:eastAsiaTheme="minorHAnsi" w:cs="Times New Roman"/>
          <w:i/>
          <w:lang w:val="en-US"/>
        </w:rPr>
        <w:t>Fédération</w:t>
      </w:r>
      <w:proofErr w:type="spellEnd"/>
      <w:r w:rsidRPr="003C7382">
        <w:rPr>
          <w:rFonts w:eastAsiaTheme="minorHAnsi" w:cs="Times New Roman"/>
          <w:i/>
          <w:lang w:val="en-US"/>
        </w:rPr>
        <w:t xml:space="preserve"> des Franco-</w:t>
      </w:r>
      <w:proofErr w:type="spellStart"/>
      <w:r w:rsidRPr="003C7382">
        <w:rPr>
          <w:rFonts w:eastAsiaTheme="minorHAnsi" w:cs="Times New Roman"/>
          <w:i/>
          <w:lang w:val="en-US"/>
        </w:rPr>
        <w:t>Colombiens</w:t>
      </w:r>
      <w:proofErr w:type="spellEnd"/>
      <w:r w:rsidRPr="003C7382">
        <w:rPr>
          <w:rFonts w:eastAsiaTheme="minorHAnsi" w:cs="Times New Roman"/>
          <w:lang w:val="en-US"/>
        </w:rPr>
        <w:t xml:space="preserve"> (1985), 69 B.C.L.R. 87 (Co. Ct.); </w:t>
      </w:r>
      <w:proofErr w:type="spellStart"/>
      <w:r w:rsidRPr="003C7382">
        <w:rPr>
          <w:rFonts w:eastAsiaTheme="minorHAnsi" w:cs="Times New Roman"/>
          <w:i/>
          <w:lang w:val="en-US"/>
        </w:rPr>
        <w:t>Deeks</w:t>
      </w:r>
      <w:proofErr w:type="spellEnd"/>
      <w:r w:rsidRPr="003C7382">
        <w:rPr>
          <w:rFonts w:eastAsiaTheme="minorHAnsi" w:cs="Times New Roman"/>
          <w:i/>
          <w:lang w:val="en-US"/>
        </w:rPr>
        <w:t xml:space="preserve"> Sand &amp; Gravel Co.  v. The Queen</w:t>
      </w:r>
      <w:r w:rsidRPr="003C7382">
        <w:rPr>
          <w:rFonts w:eastAsiaTheme="minorHAnsi" w:cs="Times New Roman"/>
          <w:lang w:val="en-US"/>
        </w:rPr>
        <w:t xml:space="preserve">, [1953] 4 D.L.R. 255 (B.C.S.C.). Nor did this Court choose </w:t>
      </w:r>
      <w:r w:rsidRPr="003C7382">
        <w:rPr>
          <w:rFonts w:eastAsiaTheme="minorHAnsi" w:cs="Times New Roman"/>
          <w:lang w:val="en-US"/>
        </w:rPr>
        <w:lastRenderedPageBreak/>
        <w:t xml:space="preserve">to adopt a necessity test for reception in </w:t>
      </w:r>
      <w:proofErr w:type="spellStart"/>
      <w:r w:rsidRPr="003C7382">
        <w:rPr>
          <w:rFonts w:eastAsiaTheme="minorHAnsi" w:cs="Times New Roman"/>
          <w:i/>
          <w:lang w:val="en-US"/>
        </w:rPr>
        <w:t>Hellens</w:t>
      </w:r>
      <w:proofErr w:type="spellEnd"/>
      <w:r w:rsidRPr="003C7382">
        <w:rPr>
          <w:rFonts w:eastAsiaTheme="minorHAnsi" w:cs="Times New Roman"/>
          <w:i/>
          <w:lang w:val="en-US"/>
        </w:rPr>
        <w:t xml:space="preserve"> v. </w:t>
      </w:r>
      <w:proofErr w:type="spellStart"/>
      <w:r w:rsidRPr="003C7382">
        <w:rPr>
          <w:rFonts w:eastAsiaTheme="minorHAnsi" w:cs="Times New Roman"/>
          <w:i/>
          <w:lang w:val="en-US"/>
        </w:rPr>
        <w:t>Densmore</w:t>
      </w:r>
      <w:proofErr w:type="spellEnd"/>
      <w:r w:rsidRPr="003C7382">
        <w:rPr>
          <w:rFonts w:eastAsiaTheme="minorHAnsi" w:cs="Times New Roman"/>
          <w:lang w:val="en-US"/>
        </w:rPr>
        <w:t xml:space="preserve">, [1957] S.C.R. 768, at pp. 782-83. </w:t>
      </w:r>
    </w:p>
    <w:p w:rsidR="00FC6143" w:rsidRPr="003C7382" w:rsidRDefault="00FC6143" w:rsidP="00FC6143">
      <w:pPr>
        <w:pStyle w:val="ParaNoNdepar-AltN"/>
        <w:rPr>
          <w:rFonts w:eastAsiaTheme="minorHAnsi" w:cs="Times New Roman"/>
          <w:lang w:val="en-US"/>
        </w:rPr>
      </w:pPr>
      <w:r w:rsidRPr="003C7382">
        <w:rPr>
          <w:rFonts w:eastAsiaTheme="minorHAnsi" w:cs="Times New Roman"/>
          <w:lang w:val="en-US"/>
        </w:rPr>
        <w:t xml:space="preserve">Moreover, a requirement that necessity be assessed by comparing the historical circumstances in England at the time of the statute’s enactment to circumstances in British Columbia would unduly narrow the range of statutes that can be received. </w:t>
      </w:r>
      <w:r w:rsidRPr="003C7382">
        <w:rPr>
          <w:rFonts w:cs="Times New Roman"/>
        </w:rPr>
        <w:t xml:space="preserve">If reception depended on comparing the very specific historical circumstances that motivated a statute, almost no statutes would be received, because it is unlikely that the exact same social circumstances would have existed in colonies that were settled after relevant social structures had been abandoned in England: B. H. McPherson, </w:t>
      </w:r>
      <w:r w:rsidRPr="003C7382">
        <w:rPr>
          <w:rFonts w:cs="Times New Roman"/>
          <w:i/>
        </w:rPr>
        <w:t>The Reception of English Law Abroad</w:t>
      </w:r>
      <w:r w:rsidRPr="003C7382">
        <w:rPr>
          <w:rFonts w:cs="Times New Roman"/>
        </w:rPr>
        <w:t xml:space="preserve"> (2007), at p. 378.</w:t>
      </w:r>
    </w:p>
    <w:p w:rsidR="00FC6143" w:rsidRPr="003C7382" w:rsidRDefault="00FC6143" w:rsidP="00FC6143">
      <w:pPr>
        <w:pStyle w:val="ParaNoNdepar-AltN"/>
        <w:rPr>
          <w:rFonts w:eastAsiaTheme="minorHAnsi" w:cs="Times New Roman"/>
          <w:lang w:val="en-US"/>
        </w:rPr>
      </w:pPr>
      <w:r w:rsidRPr="003C7382">
        <w:rPr>
          <w:rFonts w:cs="Times New Roman"/>
        </w:rPr>
        <w:t xml:space="preserve">This problem can be illustrated by considering one of the statutes that the appellants accept has been received, namely the </w:t>
      </w:r>
      <w:r w:rsidRPr="003C7382">
        <w:rPr>
          <w:rFonts w:cs="Times New Roman"/>
          <w:i/>
        </w:rPr>
        <w:t>Statute of Uses</w:t>
      </w:r>
      <w:r w:rsidRPr="003C7382">
        <w:rPr>
          <w:rFonts w:cs="Times New Roman"/>
        </w:rPr>
        <w:t xml:space="preserve">, 1535, 27 Hen. 8, c. 10. The appellants agree that the </w:t>
      </w:r>
      <w:r w:rsidRPr="003C7382">
        <w:rPr>
          <w:rFonts w:cs="Times New Roman"/>
          <w:i/>
        </w:rPr>
        <w:t>Statute of Uses</w:t>
      </w:r>
      <w:r w:rsidRPr="003C7382">
        <w:rPr>
          <w:rFonts w:cs="Times New Roman"/>
        </w:rPr>
        <w:t xml:space="preserve"> is applicable and has been received in British Columbia (A.F., at </w:t>
      </w:r>
      <w:proofErr w:type="spellStart"/>
      <w:r w:rsidRPr="003C7382">
        <w:rPr>
          <w:rFonts w:cs="Times New Roman"/>
        </w:rPr>
        <w:t>para</w:t>
      </w:r>
      <w:proofErr w:type="spellEnd"/>
      <w:r w:rsidRPr="003C7382">
        <w:rPr>
          <w:rFonts w:cs="Times New Roman"/>
        </w:rPr>
        <w:t xml:space="preserve">. 45). Yet the </w:t>
      </w:r>
      <w:r w:rsidRPr="003C7382">
        <w:rPr>
          <w:rFonts w:cs="Times New Roman"/>
          <w:i/>
        </w:rPr>
        <w:t>Statute of Uses</w:t>
      </w:r>
      <w:r w:rsidRPr="003C7382">
        <w:rPr>
          <w:rFonts w:cs="Times New Roman"/>
        </w:rPr>
        <w:t xml:space="preserve"> was adopted to deal with the proliferation of the use, a device to avoid feudal taxes. Since feudalism, and indeed the use, never existed in British Columbia, it would be hard to argue that the </w:t>
      </w:r>
      <w:r w:rsidRPr="003C7382">
        <w:rPr>
          <w:rFonts w:cs="Times New Roman"/>
          <w:i/>
        </w:rPr>
        <w:t xml:space="preserve">Statute of Uses </w:t>
      </w:r>
      <w:r w:rsidRPr="003C7382">
        <w:rPr>
          <w:rFonts w:cs="Times New Roman"/>
        </w:rPr>
        <w:t xml:space="preserve">is necessary on the basis of the appellants’ own view of necessity. The test for reception cannot therefore be so narrow as to require proof of necessity as the appellants propose. </w:t>
      </w:r>
    </w:p>
    <w:p w:rsidR="00FC6143" w:rsidRPr="003C7382" w:rsidRDefault="00FC6143" w:rsidP="00FC6143">
      <w:pPr>
        <w:pStyle w:val="ParaNoNdepar-AltN"/>
        <w:rPr>
          <w:rFonts w:eastAsiaTheme="minorHAnsi" w:cs="Times New Roman"/>
          <w:lang w:val="en-US"/>
        </w:rPr>
      </w:pPr>
      <w:r w:rsidRPr="003C7382">
        <w:rPr>
          <w:rFonts w:eastAsiaTheme="minorHAnsi" w:cs="Times New Roman"/>
          <w:lang w:val="en-US"/>
        </w:rPr>
        <w:t xml:space="preserve">It is my view that the </w:t>
      </w:r>
      <w:r w:rsidRPr="003C7382">
        <w:rPr>
          <w:rFonts w:eastAsiaTheme="minorHAnsi" w:cs="Times New Roman"/>
          <w:i/>
          <w:lang w:val="en-US"/>
        </w:rPr>
        <w:t>Law and Equity Act</w:t>
      </w:r>
      <w:r w:rsidRPr="003C7382">
        <w:rPr>
          <w:rFonts w:eastAsiaTheme="minorHAnsi" w:cs="Times New Roman"/>
          <w:lang w:val="en-US"/>
        </w:rPr>
        <w:t xml:space="preserve">, rather than requiring proof of necessity, requires that statutes be considered to be received unless they are </w:t>
      </w:r>
      <w:r w:rsidRPr="003C7382">
        <w:rPr>
          <w:rFonts w:eastAsiaTheme="minorHAnsi" w:cs="Times New Roman"/>
          <w:lang w:val="en-US"/>
        </w:rPr>
        <w:lastRenderedPageBreak/>
        <w:t xml:space="preserve">unsuitable to local circumstances in British Columbia. A suitability test is consistent with the authorities and eliminates the need to engage in detailed historical comparisons or to speculate about the legislative intent behind a statute that was adopted hundreds of years ago. According to </w:t>
      </w:r>
      <w:r w:rsidRPr="003C7382">
        <w:rPr>
          <w:rFonts w:cs="Times New Roman"/>
        </w:rPr>
        <w:t>McPherson, the test is “whether the rule of English law can reasonably be applied or is suitable, or in its nature not unsuitable, to local needs, and not whether it would be beneficial or convenient to apply it”</w:t>
      </w:r>
      <w:r w:rsidR="00301F3A">
        <w:rPr>
          <w:rFonts w:cs="Times New Roman"/>
        </w:rPr>
        <w:t>: pp. 373-74</w:t>
      </w:r>
      <w:r w:rsidRPr="003C7382">
        <w:rPr>
          <w:rFonts w:cs="Times New Roman"/>
        </w:rPr>
        <w:t>. Peter Hogg also discusses the common law rule for determining whether received law is applicable in terms of suitability, stating that received laws “did not include those laws that were not suited to t</w:t>
      </w:r>
      <w:r w:rsidR="009A1BB4">
        <w:rPr>
          <w:rFonts w:cs="Times New Roman"/>
        </w:rPr>
        <w:t>he circumstances of the colony”</w:t>
      </w:r>
      <w:r w:rsidR="00FC72DD">
        <w:rPr>
          <w:rFonts w:cs="Times New Roman"/>
        </w:rPr>
        <w:t xml:space="preserve">: </w:t>
      </w:r>
      <w:r w:rsidRPr="003C7382">
        <w:rPr>
          <w:rFonts w:cs="Times New Roman"/>
        </w:rPr>
        <w:t xml:space="preserve">P. W. Hogg, </w:t>
      </w:r>
      <w:r w:rsidRPr="003C7382">
        <w:rPr>
          <w:rFonts w:cs="Times New Roman"/>
          <w:i/>
        </w:rPr>
        <w:t>Constitutional Law of Canada</w:t>
      </w:r>
      <w:r w:rsidRPr="003C7382">
        <w:rPr>
          <w:rFonts w:cs="Times New Roman"/>
        </w:rPr>
        <w:t xml:space="preserve"> (</w:t>
      </w:r>
      <w:r w:rsidR="00FC72DD">
        <w:rPr>
          <w:rFonts w:cs="Times New Roman"/>
        </w:rPr>
        <w:t>5</w:t>
      </w:r>
      <w:r w:rsidR="00FC72DD" w:rsidRPr="00FC72DD">
        <w:rPr>
          <w:rFonts w:cs="Times New Roman"/>
        </w:rPr>
        <w:t>th</w:t>
      </w:r>
      <w:r w:rsidR="00FC72DD">
        <w:rPr>
          <w:rFonts w:cs="Times New Roman"/>
        </w:rPr>
        <w:t xml:space="preserve"> ed. Supp.</w:t>
      </w:r>
      <w:r w:rsidR="009A1BB4">
        <w:rPr>
          <w:rFonts w:cs="Times New Roman"/>
        </w:rPr>
        <w:t>), at s. 2.2(b)</w:t>
      </w:r>
      <w:r w:rsidRPr="003C7382">
        <w:rPr>
          <w:rFonts w:cs="Times New Roman"/>
        </w:rPr>
        <w:t xml:space="preserve">. </w:t>
      </w:r>
    </w:p>
    <w:p w:rsidR="00FC6143" w:rsidRPr="003C7382" w:rsidRDefault="00FC6143" w:rsidP="00FC6143">
      <w:pPr>
        <w:pStyle w:val="TitleTitre-AltT"/>
        <w:tabs>
          <w:tab w:val="clear" w:pos="360"/>
        </w:tabs>
        <w:ind w:left="1800" w:hanging="630"/>
        <w:rPr>
          <w:rFonts w:cs="Times New Roman"/>
          <w:i/>
        </w:rPr>
      </w:pPr>
      <w:r w:rsidRPr="003C7382">
        <w:rPr>
          <w:rFonts w:cs="Times New Roman"/>
        </w:rPr>
        <w:t>(b)</w:t>
      </w:r>
      <w:r w:rsidRPr="003C7382">
        <w:rPr>
          <w:rFonts w:cs="Times New Roman"/>
        </w:rPr>
        <w:tab/>
      </w:r>
      <w:r w:rsidRPr="003C7382">
        <w:rPr>
          <w:rFonts w:cs="Times New Roman"/>
          <w:i/>
        </w:rPr>
        <w:t>As of What Date Must Applicability Be Assessed?</w:t>
      </w:r>
    </w:p>
    <w:p w:rsidR="00FC6143" w:rsidRPr="003C7382" w:rsidRDefault="00FC6143" w:rsidP="00FC6143">
      <w:pPr>
        <w:pStyle w:val="ParaNoNdepar-AltN"/>
        <w:rPr>
          <w:rFonts w:cs="Times New Roman"/>
        </w:rPr>
      </w:pPr>
      <w:r w:rsidRPr="003C7382">
        <w:rPr>
          <w:rFonts w:cs="Times New Roman"/>
        </w:rPr>
        <w:t>In my view, whether a received statute is applicable must be assessed as of the date it was received, which was November 19, 1858</w:t>
      </w:r>
      <w:r w:rsidR="00281431">
        <w:rPr>
          <w:rFonts w:cs="Times New Roman"/>
        </w:rPr>
        <w:t>,</w:t>
      </w:r>
      <w:r w:rsidRPr="003C7382">
        <w:rPr>
          <w:rFonts w:cs="Times New Roman"/>
        </w:rPr>
        <w:t xml:space="preserve"> in British Columbia. To accept the appellants’ argument that a statute’s applicability should be reassessed each time a party attempts to rely on it would be to introduce an unacceptable level of uncertainty into the law and to impose significant and unnecessary burdens on litigants. Moreover, it would be inconsistent with the approach Canadian courts have generally adopted for assessing applicability.</w:t>
      </w:r>
    </w:p>
    <w:p w:rsidR="00FC6143" w:rsidRPr="003C7382" w:rsidRDefault="00FC6143" w:rsidP="00FC6143">
      <w:pPr>
        <w:pStyle w:val="ParaNoNdepar-AltN"/>
        <w:rPr>
          <w:rFonts w:cs="Times New Roman"/>
        </w:rPr>
      </w:pPr>
      <w:r w:rsidRPr="003C7382">
        <w:rPr>
          <w:rFonts w:cs="Times New Roman"/>
        </w:rPr>
        <w:t xml:space="preserve">Section 2 of the </w:t>
      </w:r>
      <w:r w:rsidRPr="003C7382">
        <w:rPr>
          <w:rFonts w:cs="Times New Roman"/>
          <w:i/>
        </w:rPr>
        <w:t>Law and Equity Act</w:t>
      </w:r>
      <w:r w:rsidRPr="003C7382">
        <w:rPr>
          <w:rFonts w:cs="Times New Roman"/>
        </w:rPr>
        <w:t xml:space="preserve"> represents the most recent version of a codification of the common law principle of reception in British Columbia: J. C. </w:t>
      </w:r>
      <w:proofErr w:type="spellStart"/>
      <w:r w:rsidRPr="003C7382">
        <w:rPr>
          <w:rFonts w:cs="Times New Roman"/>
        </w:rPr>
        <w:t>Bouck</w:t>
      </w:r>
      <w:proofErr w:type="spellEnd"/>
      <w:r w:rsidRPr="003C7382">
        <w:rPr>
          <w:rFonts w:cs="Times New Roman"/>
        </w:rPr>
        <w:t xml:space="preserve">, </w:t>
      </w:r>
      <w:r w:rsidR="00FC72DD">
        <w:rPr>
          <w:rFonts w:cs="Times New Roman"/>
        </w:rPr>
        <w:t>“</w:t>
      </w:r>
      <w:r w:rsidRPr="00FC72DD">
        <w:rPr>
          <w:rFonts w:cs="Times New Roman"/>
        </w:rPr>
        <w:t>Introducing English Statute Law into the Provinces: Time for a Change?</w:t>
      </w:r>
      <w:r w:rsidR="00FC72DD" w:rsidRPr="00FC72DD">
        <w:rPr>
          <w:rFonts w:cs="Times New Roman"/>
        </w:rPr>
        <w:t>”</w:t>
      </w:r>
      <w:r w:rsidRPr="003C7382">
        <w:rPr>
          <w:rFonts w:cs="Times New Roman"/>
          <w:i/>
        </w:rPr>
        <w:t xml:space="preserve"> </w:t>
      </w:r>
      <w:r w:rsidRPr="003C7382">
        <w:rPr>
          <w:rFonts w:cs="Times New Roman"/>
        </w:rPr>
        <w:lastRenderedPageBreak/>
        <w:t xml:space="preserve">(1979), 57 </w:t>
      </w:r>
      <w:r w:rsidRPr="003C7382">
        <w:rPr>
          <w:rFonts w:cs="Times New Roman"/>
          <w:i/>
        </w:rPr>
        <w:t>Can. Bar Rev.</w:t>
      </w:r>
      <w:r w:rsidRPr="003C7382">
        <w:rPr>
          <w:rFonts w:cs="Times New Roman"/>
        </w:rPr>
        <w:t xml:space="preserve"> 74, at pp. 76-77. When a common law principle is codified, there is a presumption that “its substance remains the same”: Sullivan, at p. 436. And where such a principle has been codified, it remains appropriate to refer to the common law to interpret the legislation: Sullivan, at p. 436. In interpreting s. 2 of the </w:t>
      </w:r>
      <w:r w:rsidRPr="003C7382">
        <w:rPr>
          <w:rFonts w:cs="Times New Roman"/>
          <w:i/>
        </w:rPr>
        <w:t>Law and Equity Act</w:t>
      </w:r>
      <w:r w:rsidRPr="003C7382">
        <w:rPr>
          <w:rFonts w:cs="Times New Roman"/>
        </w:rPr>
        <w:t xml:space="preserve">, therefore, the common law approach to the time when applicability is assessed should be considered. </w:t>
      </w:r>
    </w:p>
    <w:p w:rsidR="00FC6143" w:rsidRPr="003C7382" w:rsidRDefault="00FC6143" w:rsidP="00FC6143">
      <w:pPr>
        <w:pStyle w:val="ParaNoNdepar-AltN"/>
        <w:rPr>
          <w:rFonts w:cs="Times New Roman"/>
        </w:rPr>
      </w:pPr>
      <w:r w:rsidRPr="003C7382">
        <w:rPr>
          <w:rFonts w:cs="Times New Roman"/>
        </w:rPr>
        <w:t xml:space="preserve">I accept </w:t>
      </w:r>
      <w:proofErr w:type="spellStart"/>
      <w:r w:rsidRPr="003C7382">
        <w:rPr>
          <w:rFonts w:cs="Times New Roman"/>
        </w:rPr>
        <w:t>McPherson’s</w:t>
      </w:r>
      <w:proofErr w:type="spellEnd"/>
      <w:r w:rsidRPr="003C7382">
        <w:rPr>
          <w:rFonts w:cs="Times New Roman"/>
        </w:rPr>
        <w:t xml:space="preserve"> view that the “balance of authority” outside the United States favours a “full inheritance” approach under which applicability is assessed once and for all as of the date of reception: </w:t>
      </w:r>
      <w:r w:rsidR="004B1469">
        <w:rPr>
          <w:rFonts w:cs="Times New Roman"/>
        </w:rPr>
        <w:t>p</w:t>
      </w:r>
      <w:r w:rsidRPr="003C7382">
        <w:rPr>
          <w:rFonts w:cs="Times New Roman"/>
        </w:rPr>
        <w:t xml:space="preserve">p. </w:t>
      </w:r>
      <w:r w:rsidR="00FC72DD">
        <w:rPr>
          <w:rFonts w:cs="Times New Roman"/>
        </w:rPr>
        <w:t>374-</w:t>
      </w:r>
      <w:r w:rsidRPr="003C7382">
        <w:rPr>
          <w:rFonts w:cs="Times New Roman"/>
        </w:rPr>
        <w:t xml:space="preserve">75. However, I also agree with the modification to this approach proposed by the Privy Council in </w:t>
      </w:r>
      <w:r w:rsidRPr="003C7382">
        <w:rPr>
          <w:rFonts w:cs="Times New Roman"/>
          <w:i/>
        </w:rPr>
        <w:t>Cooper v. Stuart</w:t>
      </w:r>
      <w:r w:rsidR="00FC72DD">
        <w:rPr>
          <w:rFonts w:cs="Times New Roman"/>
          <w:i/>
        </w:rPr>
        <w:t xml:space="preserve"> </w:t>
      </w:r>
      <w:r w:rsidR="00FC72DD" w:rsidRPr="00FC72DD">
        <w:rPr>
          <w:rFonts w:cs="Times New Roman"/>
        </w:rPr>
        <w:t>(1889)</w:t>
      </w:r>
      <w:r w:rsidRPr="003C7382">
        <w:rPr>
          <w:rFonts w:cs="Times New Roman"/>
        </w:rPr>
        <w:t xml:space="preserve">, 14 App. </w:t>
      </w:r>
      <w:proofErr w:type="spellStart"/>
      <w:proofErr w:type="gramStart"/>
      <w:r w:rsidRPr="003C7382">
        <w:rPr>
          <w:rFonts w:cs="Times New Roman"/>
        </w:rPr>
        <w:t>Cas</w:t>
      </w:r>
      <w:proofErr w:type="spellEnd"/>
      <w:proofErr w:type="gramEnd"/>
      <w:r w:rsidRPr="003C7382">
        <w:rPr>
          <w:rFonts w:cs="Times New Roman"/>
        </w:rPr>
        <w:t xml:space="preserve">. 286, which this Court adopted in </w:t>
      </w:r>
      <w:proofErr w:type="spellStart"/>
      <w:r w:rsidRPr="003C7382">
        <w:rPr>
          <w:rFonts w:cs="Times New Roman"/>
          <w:i/>
        </w:rPr>
        <w:t>Hellens</w:t>
      </w:r>
      <w:proofErr w:type="spellEnd"/>
      <w:r w:rsidRPr="003C7382">
        <w:rPr>
          <w:rFonts w:cs="Times New Roman"/>
        </w:rPr>
        <w:t>, to the effect that statutes that are reasonably capable of being applied are considered to be “dormant” until such time as circumstances arise that might call for their application: McPherson, at p. 376.</w:t>
      </w:r>
    </w:p>
    <w:p w:rsidR="00FC6143" w:rsidRPr="003C7382" w:rsidRDefault="00FC6143" w:rsidP="00FC6143">
      <w:pPr>
        <w:pStyle w:val="ParaNoNdepar-AltN"/>
        <w:rPr>
          <w:rFonts w:cs="Times New Roman"/>
        </w:rPr>
      </w:pPr>
      <w:r w:rsidRPr="003C7382">
        <w:rPr>
          <w:rFonts w:cs="Times New Roman"/>
        </w:rPr>
        <w:t xml:space="preserve">Indeed, the British Columbia courts have clearly tended toward the view that applicability should be assessed as of 1858: see, e.g., </w:t>
      </w:r>
      <w:r w:rsidRPr="003C7382">
        <w:rPr>
          <w:rFonts w:cs="Times New Roman"/>
          <w:i/>
        </w:rPr>
        <w:t>Sheppard v. Sheppard</w:t>
      </w:r>
      <w:r w:rsidRPr="003C7382">
        <w:rPr>
          <w:rFonts w:cs="Times New Roman"/>
        </w:rPr>
        <w:t xml:space="preserve"> (1908), 13 B.C.R. 486 (S.C.); </w:t>
      </w:r>
      <w:r w:rsidRPr="003C7382">
        <w:rPr>
          <w:rFonts w:cs="Times New Roman"/>
          <w:i/>
        </w:rPr>
        <w:t>Re McKenzie and McKenzie</w:t>
      </w:r>
      <w:r w:rsidRPr="003C7382">
        <w:rPr>
          <w:rFonts w:cs="Times New Roman"/>
        </w:rPr>
        <w:t xml:space="preserve"> (1970), 11 D.L.R. (3d) 302 (B.C.C.A);</w:t>
      </w:r>
      <w:r w:rsidRPr="003C7382">
        <w:rPr>
          <w:rFonts w:cs="Times New Roman"/>
          <w:i/>
        </w:rPr>
        <w:t xml:space="preserve"> </w:t>
      </w:r>
      <w:proofErr w:type="spellStart"/>
      <w:r w:rsidRPr="003C7382">
        <w:rPr>
          <w:rFonts w:cs="Times New Roman"/>
          <w:i/>
        </w:rPr>
        <w:t>Poulin</w:t>
      </w:r>
      <w:proofErr w:type="spellEnd"/>
      <w:r w:rsidRPr="00FC72DD">
        <w:rPr>
          <w:rFonts w:cs="Times New Roman"/>
        </w:rPr>
        <w:t>.</w:t>
      </w:r>
    </w:p>
    <w:p w:rsidR="00FC6143" w:rsidRPr="003C7382" w:rsidRDefault="00FC6143" w:rsidP="00FC6143">
      <w:pPr>
        <w:pStyle w:val="ParaNoNdepar-AltN"/>
        <w:rPr>
          <w:rFonts w:cs="Times New Roman"/>
        </w:rPr>
      </w:pPr>
      <w:r w:rsidRPr="003C7382">
        <w:rPr>
          <w:rFonts w:cs="Times New Roman"/>
        </w:rPr>
        <w:t xml:space="preserve">This approach results in valuable certainty in the law, as a statute’s applicability will be assessed once, rather than on an ongoing basis. It is also respectful of the courts’ role of interpreting statutes and of the local legislatures’ role </w:t>
      </w:r>
      <w:r w:rsidRPr="003C7382">
        <w:rPr>
          <w:rFonts w:cs="Times New Roman"/>
        </w:rPr>
        <w:lastRenderedPageBreak/>
        <w:t>of amending them to reflect changing circumstances. The proper function of the courts is not to continually redefine the content of the received law in light of contemporary local conditions by identifying statutes that are no longer suitable.</w:t>
      </w:r>
    </w:p>
    <w:p w:rsidR="00FC6143" w:rsidRPr="003C7382" w:rsidRDefault="00FC6143" w:rsidP="00FC6143">
      <w:pPr>
        <w:pStyle w:val="ParaNoNdepar-AltN"/>
        <w:rPr>
          <w:rFonts w:cs="Times New Roman"/>
        </w:rPr>
      </w:pPr>
      <w:r w:rsidRPr="003C7382">
        <w:rPr>
          <w:rFonts w:cs="Times New Roman"/>
        </w:rPr>
        <w:t xml:space="preserve">The appellants argue against this approach on the basis that the </w:t>
      </w:r>
      <w:r w:rsidRPr="003C7382">
        <w:rPr>
          <w:rFonts w:cs="Times New Roman"/>
          <w:i/>
        </w:rPr>
        <w:t>Interpretation Act</w:t>
      </w:r>
      <w:r w:rsidRPr="003C7382">
        <w:rPr>
          <w:rFonts w:cs="Times New Roman"/>
        </w:rPr>
        <w:t xml:space="preserve">, R.S.B.C. 1996, c. 238, s. 7, requires that provisions expressed in the present tense be applied “to the circumstances as they arise”. In my view, the appellants’ approach is inconsistent with a statutory provision which codifies a principle of the common law. If a statute’s applicability were to be assessed each time a new case arose, this would amount to a change in the common law. I cannot discern any such intention in s. 2 of the </w:t>
      </w:r>
      <w:r w:rsidRPr="003C7382">
        <w:rPr>
          <w:rFonts w:cs="Times New Roman"/>
          <w:i/>
        </w:rPr>
        <w:t>Law and Equity Act</w:t>
      </w:r>
      <w:r w:rsidRPr="003C7382">
        <w:rPr>
          <w:rFonts w:cs="Times New Roman"/>
        </w:rPr>
        <w:t>.</w:t>
      </w:r>
    </w:p>
    <w:p w:rsidR="00FC6143" w:rsidRPr="003C7382" w:rsidRDefault="00FC6143" w:rsidP="00FC6143">
      <w:pPr>
        <w:pStyle w:val="TitleTitre-AltT"/>
        <w:tabs>
          <w:tab w:val="clear" w:pos="360"/>
        </w:tabs>
        <w:ind w:left="1800" w:hanging="630"/>
        <w:rPr>
          <w:rFonts w:cs="Times New Roman"/>
          <w:i/>
        </w:rPr>
      </w:pPr>
      <w:r w:rsidRPr="003C7382">
        <w:rPr>
          <w:rFonts w:cs="Times New Roman"/>
        </w:rPr>
        <w:t>(c)</w:t>
      </w:r>
      <w:r w:rsidRPr="003C7382">
        <w:rPr>
          <w:rFonts w:cs="Times New Roman"/>
        </w:rPr>
        <w:tab/>
      </w:r>
      <w:r w:rsidRPr="003C7382">
        <w:rPr>
          <w:rFonts w:cs="Times New Roman"/>
          <w:i/>
        </w:rPr>
        <w:t>Application to the 1731 Act</w:t>
      </w:r>
    </w:p>
    <w:p w:rsidR="00FC6143" w:rsidRPr="003C7382" w:rsidRDefault="00FC6143" w:rsidP="00FC6143">
      <w:pPr>
        <w:pStyle w:val="ParaNoNdepar-AltN"/>
        <w:rPr>
          <w:rFonts w:cs="Times New Roman"/>
        </w:rPr>
      </w:pPr>
      <w:r w:rsidRPr="003C7382">
        <w:rPr>
          <w:rFonts w:cs="Times New Roman"/>
        </w:rPr>
        <w:t xml:space="preserve">It seems clear from an assessment of the applicability — understood to mean suitability — of the </w:t>
      </w:r>
      <w:r w:rsidRPr="003C7382">
        <w:rPr>
          <w:rFonts w:cs="Times New Roman"/>
          <w:i/>
        </w:rPr>
        <w:t>1731 Act</w:t>
      </w:r>
      <w:r w:rsidRPr="003C7382">
        <w:rPr>
          <w:rFonts w:cs="Times New Roman"/>
        </w:rPr>
        <w:t xml:space="preserve"> as of November 19, 1858</w:t>
      </w:r>
      <w:r w:rsidR="00A6077E">
        <w:rPr>
          <w:rFonts w:cs="Times New Roman"/>
        </w:rPr>
        <w:t>,</w:t>
      </w:r>
      <w:r w:rsidRPr="003C7382">
        <w:rPr>
          <w:rFonts w:cs="Times New Roman"/>
        </w:rPr>
        <w:t xml:space="preserve"> that this statute was not “from local circumstances inapplicable”. At that time in British Columbia, the government operated in English. Immigration to the province was coming largely from the United States as a result of the Fraser Canyon gold rush, which meant that English was the common language of settlers. Given that I have rejected the appellants’ purposive approach to the assessment of applicability, it is irrelevant that the problems the </w:t>
      </w:r>
      <w:r w:rsidRPr="003C7382">
        <w:rPr>
          <w:rFonts w:cs="Times New Roman"/>
          <w:i/>
        </w:rPr>
        <w:t>1731 Act</w:t>
      </w:r>
      <w:r w:rsidRPr="003C7382">
        <w:rPr>
          <w:rFonts w:cs="Times New Roman"/>
        </w:rPr>
        <w:t xml:space="preserve"> was meant to address (the use of archaic languages in court proceedings) never existed in British Columbia. Nothing about the circumstances in the province would have made a rule requiring that court proceedings be conducted in </w:t>
      </w:r>
      <w:r w:rsidRPr="003C7382">
        <w:rPr>
          <w:rFonts w:cs="Times New Roman"/>
        </w:rPr>
        <w:lastRenderedPageBreak/>
        <w:t xml:space="preserve">English unsuitable. The </w:t>
      </w:r>
      <w:r w:rsidRPr="003C7382">
        <w:rPr>
          <w:rFonts w:cs="Times New Roman"/>
          <w:i/>
        </w:rPr>
        <w:t>1731 Act</w:t>
      </w:r>
      <w:r w:rsidRPr="003C7382">
        <w:rPr>
          <w:rFonts w:cs="Times New Roman"/>
        </w:rPr>
        <w:t xml:space="preserve"> was therefore received into law in British Columbia and is now in force there, subject to any modifications, which I will discuss below. </w:t>
      </w:r>
    </w:p>
    <w:p w:rsidR="00FC6143" w:rsidRPr="003C7382" w:rsidRDefault="00FC6143" w:rsidP="00FC6143">
      <w:pPr>
        <w:pStyle w:val="TitleTitre-AltT"/>
        <w:tabs>
          <w:tab w:val="clear" w:pos="360"/>
        </w:tabs>
        <w:ind w:left="1800" w:hanging="630"/>
        <w:rPr>
          <w:rFonts w:cs="Times New Roman"/>
        </w:rPr>
      </w:pPr>
      <w:r w:rsidRPr="003C7382">
        <w:rPr>
          <w:rFonts w:cs="Times New Roman"/>
        </w:rPr>
        <w:t>(4)</w:t>
      </w:r>
      <w:r w:rsidRPr="003C7382">
        <w:rPr>
          <w:rFonts w:cs="Times New Roman"/>
        </w:rPr>
        <w:tab/>
      </w:r>
      <w:r w:rsidRPr="003C7382">
        <w:rPr>
          <w:rFonts w:cs="Times New Roman"/>
          <w:u w:val="single"/>
        </w:rPr>
        <w:t xml:space="preserve">Has the </w:t>
      </w:r>
      <w:r w:rsidRPr="003C7382">
        <w:rPr>
          <w:rFonts w:cs="Times New Roman"/>
          <w:i/>
          <w:u w:val="single"/>
        </w:rPr>
        <w:t>1731 Act</w:t>
      </w:r>
      <w:r w:rsidRPr="003C7382">
        <w:rPr>
          <w:rFonts w:cs="Times New Roman"/>
          <w:u w:val="single"/>
        </w:rPr>
        <w:t xml:space="preserve"> Been Modified?</w:t>
      </w:r>
    </w:p>
    <w:p w:rsidR="00FC6143" w:rsidRPr="003C7382" w:rsidRDefault="00FC6143" w:rsidP="00FC6143">
      <w:pPr>
        <w:pStyle w:val="ParaNoNdepar-AltN"/>
        <w:rPr>
          <w:rFonts w:cs="Times New Roman"/>
        </w:rPr>
      </w:pPr>
      <w:r w:rsidRPr="003C7382">
        <w:rPr>
          <w:rFonts w:cs="Times New Roman"/>
        </w:rPr>
        <w:t xml:space="preserve">The </w:t>
      </w:r>
      <w:r w:rsidRPr="003C7382">
        <w:rPr>
          <w:rFonts w:cs="Times New Roman"/>
          <w:i/>
        </w:rPr>
        <w:t>1731 Act</w:t>
      </w:r>
      <w:r w:rsidRPr="003C7382">
        <w:rPr>
          <w:rFonts w:cs="Times New Roman"/>
        </w:rPr>
        <w:t xml:space="preserve"> has not been modified in respect of civil proceedings in British Columbia. It is common ground that the British Columbia legislature has not expressly repealed or modified the </w:t>
      </w:r>
      <w:r w:rsidRPr="003C7382">
        <w:rPr>
          <w:rFonts w:cs="Times New Roman"/>
          <w:i/>
        </w:rPr>
        <w:t>1731 Act</w:t>
      </w:r>
      <w:r w:rsidRPr="003C7382">
        <w:rPr>
          <w:rFonts w:cs="Times New Roman"/>
        </w:rPr>
        <w:t xml:space="preserve">. What remains at issue is whether the </w:t>
      </w:r>
      <w:r w:rsidRPr="003C7382">
        <w:rPr>
          <w:rFonts w:cs="Times New Roman"/>
          <w:i/>
        </w:rPr>
        <w:t>1731 Act</w:t>
      </w:r>
      <w:r w:rsidRPr="003C7382">
        <w:rPr>
          <w:rFonts w:cs="Times New Roman"/>
        </w:rPr>
        <w:t xml:space="preserve"> has been </w:t>
      </w:r>
      <w:r w:rsidRPr="003C7382">
        <w:rPr>
          <w:rFonts w:cs="Times New Roman"/>
          <w:i/>
        </w:rPr>
        <w:t>implicitly</w:t>
      </w:r>
      <w:r w:rsidRPr="003C7382">
        <w:rPr>
          <w:rFonts w:cs="Times New Roman"/>
        </w:rPr>
        <w:t xml:space="preserve"> modified. Although the parties to this case appear to disagree about the test for implied modification, a closer reading of the authorities reveals that both the appellants and the respondents propose a test based on the concept of occupation of the field. Applying this test, I am unable to conclude that any legislation has “occupied the field” of the </w:t>
      </w:r>
      <w:r w:rsidRPr="003C7382">
        <w:rPr>
          <w:rFonts w:cs="Times New Roman"/>
          <w:i/>
        </w:rPr>
        <w:t>1731 Act</w:t>
      </w:r>
      <w:r w:rsidRPr="003C7382">
        <w:rPr>
          <w:rFonts w:cs="Times New Roman"/>
        </w:rPr>
        <w:t xml:space="preserve"> with respect to civil proceedings to the extent required for a finding of implied modification.</w:t>
      </w:r>
    </w:p>
    <w:p w:rsidR="00FC6143" w:rsidRPr="003C7382" w:rsidRDefault="00FC6143" w:rsidP="00FC6143">
      <w:pPr>
        <w:pStyle w:val="TitleTitre-AltT"/>
        <w:tabs>
          <w:tab w:val="clear" w:pos="360"/>
        </w:tabs>
        <w:ind w:left="1800" w:hanging="630"/>
        <w:rPr>
          <w:rFonts w:cs="Times New Roman"/>
        </w:rPr>
      </w:pPr>
      <w:r w:rsidRPr="003C7382">
        <w:rPr>
          <w:rFonts w:cs="Times New Roman"/>
        </w:rPr>
        <w:t>(a)</w:t>
      </w:r>
      <w:r w:rsidRPr="003C7382">
        <w:rPr>
          <w:rFonts w:cs="Times New Roman"/>
        </w:rPr>
        <w:tab/>
      </w:r>
      <w:r w:rsidRPr="003C7382">
        <w:rPr>
          <w:rFonts w:cs="Times New Roman"/>
          <w:i/>
        </w:rPr>
        <w:t>What Is the Test for Implied Modification?</w:t>
      </w:r>
    </w:p>
    <w:p w:rsidR="00FC6143" w:rsidRPr="003C7382" w:rsidRDefault="00FC6143" w:rsidP="00FC6143">
      <w:pPr>
        <w:pStyle w:val="ParaNoNdepar-AltN"/>
        <w:rPr>
          <w:rFonts w:cs="Times New Roman"/>
        </w:rPr>
      </w:pPr>
      <w:r w:rsidRPr="003C7382">
        <w:rPr>
          <w:rFonts w:cs="Times New Roman"/>
        </w:rPr>
        <w:t xml:space="preserve">The parties’ disagreement about the test for implied modification appears to centre on whether the effect of this Court’s decision in </w:t>
      </w:r>
      <w:proofErr w:type="spellStart"/>
      <w:r w:rsidRPr="003C7382">
        <w:rPr>
          <w:rFonts w:cs="Times New Roman"/>
          <w:i/>
        </w:rPr>
        <w:t>Mercure</w:t>
      </w:r>
      <w:proofErr w:type="spellEnd"/>
      <w:r w:rsidRPr="003C7382">
        <w:rPr>
          <w:rFonts w:cs="Times New Roman"/>
        </w:rPr>
        <w:t xml:space="preserve"> is that a finding of implied repeal requires proof of conflict between the two statutes. The appellants state that the test should be whether the legislature intended to occupy the field in a fairly comprehensive fashion, regardless of whether there is an actual conflict or inconsistency. They attempt to distinguish this test from the Court’s approach in </w:t>
      </w:r>
      <w:proofErr w:type="spellStart"/>
      <w:r w:rsidRPr="003C7382">
        <w:rPr>
          <w:rFonts w:cs="Times New Roman"/>
          <w:i/>
        </w:rPr>
        <w:t>Mercure</w:t>
      </w:r>
      <w:proofErr w:type="spellEnd"/>
      <w:r w:rsidRPr="003C7382">
        <w:rPr>
          <w:rFonts w:cs="Times New Roman"/>
        </w:rPr>
        <w:t xml:space="preserve">. The respondents rely on </w:t>
      </w:r>
      <w:proofErr w:type="spellStart"/>
      <w:r w:rsidRPr="003C7382">
        <w:rPr>
          <w:rFonts w:cs="Times New Roman"/>
          <w:i/>
        </w:rPr>
        <w:t>Mercure</w:t>
      </w:r>
      <w:proofErr w:type="spellEnd"/>
      <w:r w:rsidRPr="003C7382">
        <w:rPr>
          <w:rFonts w:cs="Times New Roman"/>
        </w:rPr>
        <w:t xml:space="preserve">, as the Court of Appeal did. The </w:t>
      </w:r>
      <w:r w:rsidRPr="003C7382">
        <w:rPr>
          <w:rFonts w:cs="Times New Roman"/>
        </w:rPr>
        <w:lastRenderedPageBreak/>
        <w:t xml:space="preserve">respondents are of the view that </w:t>
      </w:r>
      <w:proofErr w:type="spellStart"/>
      <w:r w:rsidRPr="003C7382">
        <w:rPr>
          <w:rFonts w:cs="Times New Roman"/>
          <w:i/>
        </w:rPr>
        <w:t>Mercure</w:t>
      </w:r>
      <w:proofErr w:type="spellEnd"/>
      <w:r w:rsidRPr="003C7382">
        <w:rPr>
          <w:rFonts w:cs="Times New Roman"/>
        </w:rPr>
        <w:t xml:space="preserve"> requires that conflict be proved before an implied repeal can be found to have taken place, and they argue that the Court of Appeal held in the case at bar that conflict is necessary. In my view, that was not the approach this Court adopted in </w:t>
      </w:r>
      <w:proofErr w:type="spellStart"/>
      <w:r w:rsidRPr="003C7382">
        <w:rPr>
          <w:rFonts w:cs="Times New Roman"/>
          <w:i/>
        </w:rPr>
        <w:t>Mercure</w:t>
      </w:r>
      <w:proofErr w:type="spellEnd"/>
      <w:r w:rsidRPr="003C7382">
        <w:rPr>
          <w:rFonts w:cs="Times New Roman"/>
        </w:rPr>
        <w:t xml:space="preserve">, nor was it the approach adopted by the Court of Appeal in the instant case. </w:t>
      </w:r>
    </w:p>
    <w:p w:rsidR="00FC6143" w:rsidRPr="003C7382" w:rsidRDefault="00FC6143" w:rsidP="00FC6143">
      <w:pPr>
        <w:pStyle w:val="ParaNoNdepar-AltN"/>
        <w:rPr>
          <w:rFonts w:cs="Times New Roman"/>
        </w:rPr>
      </w:pPr>
      <w:r w:rsidRPr="003C7382">
        <w:rPr>
          <w:rFonts w:cs="Times New Roman"/>
        </w:rPr>
        <w:t xml:space="preserve">The test for an implied repeal as set out in </w:t>
      </w:r>
      <w:proofErr w:type="spellStart"/>
      <w:r w:rsidRPr="003C7382">
        <w:rPr>
          <w:rFonts w:cs="Times New Roman"/>
          <w:i/>
        </w:rPr>
        <w:t>Mercure</w:t>
      </w:r>
      <w:proofErr w:type="spellEnd"/>
      <w:r w:rsidRPr="003C7382">
        <w:rPr>
          <w:rFonts w:cs="Times New Roman"/>
        </w:rPr>
        <w:t xml:space="preserve"> is that “a prior statute is repealed by implication </w:t>
      </w:r>
      <w:r w:rsidRPr="003C7382">
        <w:rPr>
          <w:rFonts w:cs="Times New Roman"/>
          <w:u w:val="single"/>
        </w:rPr>
        <w:t>only ‘if the entire subject-matter has been so dealt with in subsequent statutes</w:t>
      </w:r>
      <w:r w:rsidRPr="003C7382">
        <w:rPr>
          <w:rFonts w:cs="Times New Roman"/>
        </w:rPr>
        <w:t xml:space="preserve"> that, according to all ordinary reasoning, the particular provisions in the prior statute could not have been intended to subsist’”</w:t>
      </w:r>
      <w:r w:rsidR="00B0551E">
        <w:rPr>
          <w:rFonts w:cs="Times New Roman"/>
        </w:rPr>
        <w:t xml:space="preserve">: </w:t>
      </w:r>
      <w:r w:rsidRPr="003C7382">
        <w:rPr>
          <w:rFonts w:cs="Times New Roman"/>
        </w:rPr>
        <w:t>p</w:t>
      </w:r>
      <w:r w:rsidR="00B0551E">
        <w:rPr>
          <w:rFonts w:cs="Times New Roman"/>
        </w:rPr>
        <w:t>. 265 (emphasis added; citation</w:t>
      </w:r>
      <w:r w:rsidRPr="003C7382">
        <w:rPr>
          <w:rFonts w:cs="Times New Roman"/>
        </w:rPr>
        <w:t xml:space="preserve"> omitted). That is to say, an implied repeal has occurred if subsequent legislation has occupied the field to such an extent that the court can infer that the legislature intended to repeal the earlier statutes. There was no mention in </w:t>
      </w:r>
      <w:proofErr w:type="spellStart"/>
      <w:r w:rsidRPr="003C7382">
        <w:rPr>
          <w:rFonts w:cs="Times New Roman"/>
          <w:i/>
        </w:rPr>
        <w:t>Mercure</w:t>
      </w:r>
      <w:proofErr w:type="spellEnd"/>
      <w:r w:rsidRPr="003C7382">
        <w:rPr>
          <w:rFonts w:cs="Times New Roman"/>
        </w:rPr>
        <w:t xml:space="preserve"> of a requirement to prove conflict. Both the test for implied repeal and the test for implied modification are based on the occupation of the field by subsequent legislation. </w:t>
      </w:r>
    </w:p>
    <w:p w:rsidR="00FC6143" w:rsidRPr="003C7382" w:rsidRDefault="00FC6143" w:rsidP="00FC6143">
      <w:pPr>
        <w:pStyle w:val="TitleTitre-AltT"/>
        <w:tabs>
          <w:tab w:val="clear" w:pos="360"/>
        </w:tabs>
        <w:ind w:left="1800" w:hanging="630"/>
        <w:rPr>
          <w:rFonts w:cs="Times New Roman"/>
        </w:rPr>
      </w:pPr>
      <w:r w:rsidRPr="003C7382">
        <w:rPr>
          <w:rFonts w:cs="Times New Roman"/>
        </w:rPr>
        <w:t>(b)</w:t>
      </w:r>
      <w:r w:rsidRPr="003C7382">
        <w:rPr>
          <w:rFonts w:cs="Times New Roman"/>
        </w:rPr>
        <w:tab/>
      </w:r>
      <w:r w:rsidRPr="003C7382">
        <w:rPr>
          <w:rFonts w:cs="Times New Roman"/>
          <w:i/>
        </w:rPr>
        <w:t>Is the Test f</w:t>
      </w:r>
      <w:r w:rsidR="00FC561D">
        <w:rPr>
          <w:rFonts w:cs="Times New Roman"/>
          <w:i/>
        </w:rPr>
        <w:t>or Implied Modification Met in T</w:t>
      </w:r>
      <w:r w:rsidRPr="003C7382">
        <w:rPr>
          <w:rFonts w:cs="Times New Roman"/>
          <w:i/>
        </w:rPr>
        <w:t>his Case?</w:t>
      </w:r>
    </w:p>
    <w:p w:rsidR="00FC6143" w:rsidRPr="003C7382" w:rsidRDefault="00FC6143" w:rsidP="00FC6143">
      <w:pPr>
        <w:pStyle w:val="ParaNoNdepar-AltN"/>
        <w:rPr>
          <w:rFonts w:cs="Times New Roman"/>
        </w:rPr>
      </w:pPr>
      <w:r w:rsidRPr="003C7382">
        <w:rPr>
          <w:rFonts w:cs="Times New Roman"/>
        </w:rPr>
        <w:t xml:space="preserve">No legislation having the force of law in British Columbia has occupied the field of the </w:t>
      </w:r>
      <w:r w:rsidRPr="003C7382">
        <w:rPr>
          <w:rFonts w:cs="Times New Roman"/>
          <w:i/>
        </w:rPr>
        <w:t>1731 Act</w:t>
      </w:r>
      <w:r w:rsidRPr="003C7382">
        <w:rPr>
          <w:rFonts w:cs="Times New Roman"/>
        </w:rPr>
        <w:t xml:space="preserve"> in the context of civil proceedings. To reach this conclusion, it is necessary to consider the true subject matter of the </w:t>
      </w:r>
      <w:r w:rsidRPr="003C7382">
        <w:rPr>
          <w:rFonts w:cs="Times New Roman"/>
          <w:i/>
        </w:rPr>
        <w:t>1731 Act</w:t>
      </w:r>
      <w:r w:rsidRPr="003C7382">
        <w:rPr>
          <w:rFonts w:cs="Times New Roman"/>
        </w:rPr>
        <w:t xml:space="preserve">, the role of the </w:t>
      </w:r>
      <w:r w:rsidRPr="003C7382">
        <w:rPr>
          <w:rFonts w:cs="Times New Roman"/>
          <w:i/>
        </w:rPr>
        <w:t>Supreme Court Civil Rules</w:t>
      </w:r>
      <w:r w:rsidRPr="003C7382">
        <w:rPr>
          <w:rFonts w:cs="Times New Roman"/>
        </w:rPr>
        <w:t xml:space="preserve">, the legislature’s response to repeated endorsements of the </w:t>
      </w:r>
      <w:r w:rsidRPr="003C7382">
        <w:rPr>
          <w:rFonts w:cs="Times New Roman"/>
          <w:i/>
        </w:rPr>
        <w:t>1731 Act</w:t>
      </w:r>
      <w:r w:rsidRPr="003C7382">
        <w:rPr>
          <w:rFonts w:cs="Times New Roman"/>
        </w:rPr>
        <w:t xml:space="preserve"> by the British Columbia courts,</w:t>
      </w:r>
      <w:r w:rsidRPr="003C7382">
        <w:rPr>
          <w:rFonts w:cs="Times New Roman"/>
          <w:i/>
        </w:rPr>
        <w:t xml:space="preserve"> </w:t>
      </w:r>
      <w:r w:rsidRPr="003C7382">
        <w:rPr>
          <w:rFonts w:cs="Times New Roman"/>
        </w:rPr>
        <w:t xml:space="preserve">and </w:t>
      </w:r>
      <w:r w:rsidRPr="003C7382">
        <w:rPr>
          <w:rFonts w:cs="Times New Roman"/>
          <w:i/>
        </w:rPr>
        <w:t xml:space="preserve">Charter </w:t>
      </w:r>
      <w:r w:rsidRPr="003C7382">
        <w:rPr>
          <w:rFonts w:cs="Times New Roman"/>
        </w:rPr>
        <w:t xml:space="preserve">values. </w:t>
      </w:r>
    </w:p>
    <w:p w:rsidR="00FC6143" w:rsidRPr="003C7382" w:rsidRDefault="00FC6143" w:rsidP="00FC6143">
      <w:pPr>
        <w:pStyle w:val="ParaNoNdepar-AltN"/>
        <w:rPr>
          <w:rFonts w:cs="Times New Roman"/>
        </w:rPr>
      </w:pPr>
      <w:r w:rsidRPr="003C7382">
        <w:rPr>
          <w:rFonts w:cs="Times New Roman"/>
        </w:rPr>
        <w:lastRenderedPageBreak/>
        <w:t xml:space="preserve">The appellants have improperly characterized the subject matter of the </w:t>
      </w:r>
      <w:r w:rsidRPr="003C7382">
        <w:rPr>
          <w:rFonts w:cs="Times New Roman"/>
          <w:i/>
        </w:rPr>
        <w:t>1731 Act</w:t>
      </w:r>
      <w:r w:rsidRPr="003C7382">
        <w:rPr>
          <w:rFonts w:cs="Times New Roman"/>
        </w:rPr>
        <w:t xml:space="preserve"> by taking an overly general view of its scope. Their view is that the subject matter of the </w:t>
      </w:r>
      <w:r w:rsidRPr="003C7382">
        <w:rPr>
          <w:rFonts w:cs="Times New Roman"/>
          <w:i/>
        </w:rPr>
        <w:t>1731 Act</w:t>
      </w:r>
      <w:r w:rsidRPr="003C7382">
        <w:rPr>
          <w:rFonts w:cs="Times New Roman"/>
        </w:rPr>
        <w:t xml:space="preserve"> is procedural law generally, and that in British Columbia, this field has been occupied by various statutes and rules of court. According to the appellants, this modern legislation is more detailed and specific than the </w:t>
      </w:r>
      <w:r w:rsidRPr="003C7382">
        <w:rPr>
          <w:rFonts w:cs="Times New Roman"/>
          <w:i/>
        </w:rPr>
        <w:t>1731 Act</w:t>
      </w:r>
      <w:r w:rsidRPr="003C7382">
        <w:rPr>
          <w:rFonts w:cs="Times New Roman"/>
        </w:rPr>
        <w:t xml:space="preserve">, and therefore has the effect of completely displacing the </w:t>
      </w:r>
      <w:r w:rsidRPr="003C7382">
        <w:rPr>
          <w:rFonts w:cs="Times New Roman"/>
          <w:i/>
        </w:rPr>
        <w:t>1731 Act</w:t>
      </w:r>
      <w:r w:rsidRPr="003C7382">
        <w:rPr>
          <w:rFonts w:cs="Times New Roman"/>
        </w:rPr>
        <w:t xml:space="preserve">. </w:t>
      </w:r>
    </w:p>
    <w:p w:rsidR="00FC6143" w:rsidRPr="003C7382" w:rsidRDefault="00FC6143" w:rsidP="00FC6143">
      <w:pPr>
        <w:pStyle w:val="ParaNoNdepar-AltN"/>
        <w:rPr>
          <w:rFonts w:cs="Times New Roman"/>
        </w:rPr>
      </w:pPr>
      <w:r w:rsidRPr="003C7382">
        <w:rPr>
          <w:rFonts w:cs="Times New Roman"/>
        </w:rPr>
        <w:t xml:space="preserve">I am of the view that, properly characterized, the subject matter of the </w:t>
      </w:r>
      <w:r w:rsidRPr="003C7382">
        <w:rPr>
          <w:rFonts w:cs="Times New Roman"/>
          <w:i/>
        </w:rPr>
        <w:t>1731 Act</w:t>
      </w:r>
      <w:r w:rsidRPr="003C7382">
        <w:rPr>
          <w:rFonts w:cs="Times New Roman"/>
        </w:rPr>
        <w:t xml:space="preserve"> is the language to be used in court proceedings. The </w:t>
      </w:r>
      <w:r w:rsidRPr="003C7382">
        <w:rPr>
          <w:rFonts w:cs="Times New Roman"/>
          <w:i/>
        </w:rPr>
        <w:t>1731 Act</w:t>
      </w:r>
      <w:r w:rsidRPr="003C7382">
        <w:rPr>
          <w:rFonts w:cs="Times New Roman"/>
        </w:rPr>
        <w:t xml:space="preserve"> is focused on the issue of language. Although it refers to various procedural documents, it is not a general procedural law statute. Indeed, to say that the </w:t>
      </w:r>
      <w:r w:rsidRPr="003C7382">
        <w:rPr>
          <w:rFonts w:cs="Times New Roman"/>
          <w:i/>
        </w:rPr>
        <w:t xml:space="preserve">Law and Equity Act </w:t>
      </w:r>
      <w:r w:rsidRPr="003C7382">
        <w:rPr>
          <w:rFonts w:cs="Times New Roman"/>
        </w:rPr>
        <w:t xml:space="preserve">or the </w:t>
      </w:r>
      <w:r w:rsidRPr="003C7382">
        <w:rPr>
          <w:rFonts w:cs="Times New Roman"/>
          <w:i/>
        </w:rPr>
        <w:t>Evidence Act</w:t>
      </w:r>
      <w:r w:rsidRPr="003C7382">
        <w:rPr>
          <w:rFonts w:cs="Times New Roman"/>
        </w:rPr>
        <w:t xml:space="preserve">, R.S.B.C. 1996, c. 124, is more detailed or specific on the subject of language of court proceedings strains credulity, since neither of those statutes contains specific provisions on the language of court proceedings. </w:t>
      </w:r>
    </w:p>
    <w:p w:rsidR="00FC6143" w:rsidRPr="003C7382" w:rsidRDefault="00FC6143" w:rsidP="00FC6143">
      <w:pPr>
        <w:pStyle w:val="ParaNoNdepar-AltN"/>
        <w:rPr>
          <w:rFonts w:cs="Times New Roman"/>
        </w:rPr>
      </w:pPr>
      <w:r w:rsidRPr="003C7382">
        <w:rPr>
          <w:rFonts w:cs="Times New Roman"/>
        </w:rPr>
        <w:t xml:space="preserve">Given that the subject matter of the </w:t>
      </w:r>
      <w:r w:rsidRPr="003C7382">
        <w:rPr>
          <w:rFonts w:cs="Times New Roman"/>
          <w:i/>
        </w:rPr>
        <w:t>1731 Act</w:t>
      </w:r>
      <w:r w:rsidRPr="003C7382">
        <w:rPr>
          <w:rFonts w:cs="Times New Roman"/>
        </w:rPr>
        <w:t xml:space="preserve"> is the language of court proceedings, there are only two legislative provisions that might be considered to have modified that Act in respect of </w:t>
      </w:r>
      <w:r w:rsidRPr="003C7382">
        <w:rPr>
          <w:rFonts w:cs="Times New Roman"/>
          <w:i/>
        </w:rPr>
        <w:t xml:space="preserve">civil </w:t>
      </w:r>
      <w:r w:rsidRPr="003C7382">
        <w:rPr>
          <w:rFonts w:cs="Times New Roman"/>
        </w:rPr>
        <w:t xml:space="preserve">proceedings: Rule 22-3 of the </w:t>
      </w:r>
      <w:r w:rsidRPr="003C7382">
        <w:rPr>
          <w:rFonts w:cs="Times New Roman"/>
          <w:i/>
        </w:rPr>
        <w:t>Supreme Court Civil Rules</w:t>
      </w:r>
      <w:r w:rsidRPr="003C7382">
        <w:rPr>
          <w:rFonts w:cs="Times New Roman"/>
        </w:rPr>
        <w:t xml:space="preserve"> and its counterpart, Rule 53 of the </w:t>
      </w:r>
      <w:r w:rsidRPr="003C7382">
        <w:rPr>
          <w:rFonts w:cs="Times New Roman"/>
          <w:i/>
        </w:rPr>
        <w:t>Court of Appeal Rules</w:t>
      </w:r>
      <w:r w:rsidRPr="003C7382">
        <w:rPr>
          <w:rFonts w:cs="Times New Roman"/>
        </w:rPr>
        <w:t xml:space="preserve">, B.C. Reg. 297/2001. These rules provide that “document[s] prepared for use in the court” (Rule 22-3) and “documents prepared for the use of the court” (Rule 53) must be in English. Rule 22-3 provides for a limited exception in cases in which the nature of the document renders compliance with the rule “impracticable”. In respect of </w:t>
      </w:r>
      <w:r w:rsidRPr="003C7382">
        <w:rPr>
          <w:rFonts w:cs="Times New Roman"/>
          <w:i/>
        </w:rPr>
        <w:t>criminal</w:t>
      </w:r>
      <w:r w:rsidRPr="003C7382">
        <w:rPr>
          <w:rFonts w:cs="Times New Roman"/>
        </w:rPr>
        <w:t xml:space="preserve"> </w:t>
      </w:r>
      <w:r w:rsidRPr="003C7382">
        <w:rPr>
          <w:rFonts w:cs="Times New Roman"/>
        </w:rPr>
        <w:lastRenderedPageBreak/>
        <w:t xml:space="preserve">proceedings, on the other hand, there is no dispute that the </w:t>
      </w:r>
      <w:r w:rsidRPr="003C7382">
        <w:rPr>
          <w:rFonts w:cs="Times New Roman"/>
          <w:i/>
        </w:rPr>
        <w:t>1731 Act</w:t>
      </w:r>
      <w:r w:rsidRPr="003C7382">
        <w:rPr>
          <w:rFonts w:cs="Times New Roman"/>
        </w:rPr>
        <w:t xml:space="preserve"> has been modified by s. 530 of the </w:t>
      </w:r>
      <w:r w:rsidRPr="003C7382">
        <w:rPr>
          <w:rFonts w:cs="Times New Roman"/>
          <w:i/>
        </w:rPr>
        <w:t>Criminal Code</w:t>
      </w:r>
      <w:r w:rsidRPr="003C7382">
        <w:rPr>
          <w:rFonts w:cs="Times New Roman"/>
        </w:rPr>
        <w:t xml:space="preserve">. </w:t>
      </w:r>
    </w:p>
    <w:p w:rsidR="00FC6143" w:rsidRPr="003C7382" w:rsidRDefault="00FC6143" w:rsidP="00FC6143">
      <w:pPr>
        <w:pStyle w:val="ParaNoNdepar-AltN"/>
        <w:rPr>
          <w:rFonts w:cs="Times New Roman"/>
        </w:rPr>
      </w:pPr>
      <w:r w:rsidRPr="003C7382">
        <w:rPr>
          <w:rFonts w:cs="Times New Roman"/>
        </w:rPr>
        <w:t xml:space="preserve">Two issues arise in considering whether the rules of court in question have modified the </w:t>
      </w:r>
      <w:r w:rsidRPr="003C7382">
        <w:rPr>
          <w:rFonts w:cs="Times New Roman"/>
          <w:i/>
        </w:rPr>
        <w:t>1731 Act</w:t>
      </w:r>
      <w:r w:rsidRPr="003C7382">
        <w:rPr>
          <w:rFonts w:cs="Times New Roman"/>
        </w:rPr>
        <w:t xml:space="preserve">. First, can rules of court, ostensibly subordinate legislation that takes the form of a regulation, modify received statutes such as the </w:t>
      </w:r>
      <w:r w:rsidRPr="003C7382">
        <w:rPr>
          <w:rFonts w:cs="Times New Roman"/>
          <w:i/>
        </w:rPr>
        <w:t>1731 Act</w:t>
      </w:r>
      <w:r w:rsidRPr="003C7382">
        <w:rPr>
          <w:rFonts w:cs="Times New Roman"/>
        </w:rPr>
        <w:t xml:space="preserve">? Second, is the scope of such rules sufficient for them to displace the </w:t>
      </w:r>
      <w:r w:rsidRPr="003C7382">
        <w:rPr>
          <w:rFonts w:cs="Times New Roman"/>
          <w:i/>
        </w:rPr>
        <w:t>1731 Act</w:t>
      </w:r>
      <w:r w:rsidRPr="003C7382">
        <w:rPr>
          <w:rFonts w:cs="Times New Roman"/>
        </w:rPr>
        <w:t>?</w:t>
      </w:r>
    </w:p>
    <w:p w:rsidR="00FC6143" w:rsidRPr="003C7382" w:rsidRDefault="00FC6143" w:rsidP="00FC6143">
      <w:pPr>
        <w:pStyle w:val="ParaNoNdepar-AltN"/>
        <w:rPr>
          <w:rFonts w:cs="Times New Roman"/>
        </w:rPr>
      </w:pPr>
      <w:r w:rsidRPr="003C7382">
        <w:rPr>
          <w:rFonts w:cs="Times New Roman"/>
        </w:rPr>
        <w:t xml:space="preserve">With respect to the first issue, I accept the appellants’ submission that British Columbia’s rules of court are considered to have the force of statute law: </w:t>
      </w:r>
      <w:r w:rsidRPr="003C7382">
        <w:rPr>
          <w:rFonts w:cs="Times New Roman"/>
          <w:i/>
        </w:rPr>
        <w:t>Robitaille v. Vancouver Hockey Club Ltd</w:t>
      </w:r>
      <w:r w:rsidR="00FC72DD">
        <w:rPr>
          <w:rFonts w:cs="Times New Roman"/>
        </w:rPr>
        <w:t xml:space="preserve">. </w:t>
      </w:r>
      <w:r w:rsidRPr="003C7382">
        <w:rPr>
          <w:rFonts w:cs="Times New Roman"/>
        </w:rPr>
        <w:t xml:space="preserve">(1979), 13 B.C.L.R. 309 (S.C.); </w:t>
      </w:r>
      <w:proofErr w:type="spellStart"/>
      <w:r w:rsidRPr="003C7382">
        <w:rPr>
          <w:rFonts w:cs="Times New Roman"/>
          <w:i/>
        </w:rPr>
        <w:t>Boleak</w:t>
      </w:r>
      <w:proofErr w:type="spellEnd"/>
      <w:r w:rsidRPr="003C7382">
        <w:rPr>
          <w:rFonts w:cs="Times New Roman"/>
          <w:i/>
        </w:rPr>
        <w:t xml:space="preserve"> v. </w:t>
      </w:r>
      <w:proofErr w:type="spellStart"/>
      <w:r w:rsidRPr="003C7382">
        <w:rPr>
          <w:rFonts w:cs="Times New Roman"/>
          <w:i/>
        </w:rPr>
        <w:t>Boleak</w:t>
      </w:r>
      <w:proofErr w:type="spellEnd"/>
      <w:r w:rsidRPr="003C7382">
        <w:rPr>
          <w:rFonts w:cs="Times New Roman"/>
        </w:rPr>
        <w:t xml:space="preserve">, 1999 BCCA 776, 183 D.L.R. (4th) 152, at </w:t>
      </w:r>
      <w:proofErr w:type="spellStart"/>
      <w:r w:rsidRPr="003C7382">
        <w:rPr>
          <w:rFonts w:cs="Times New Roman"/>
        </w:rPr>
        <w:t>para</w:t>
      </w:r>
      <w:proofErr w:type="spellEnd"/>
      <w:r w:rsidRPr="003C7382">
        <w:rPr>
          <w:rFonts w:cs="Times New Roman"/>
        </w:rPr>
        <w:t xml:space="preserve">. 21. It is therefore conceivable that a rule of court, such as Rule 22-3 or Rule 53, could modify the </w:t>
      </w:r>
      <w:r w:rsidRPr="003C7382">
        <w:rPr>
          <w:rFonts w:cs="Times New Roman"/>
          <w:i/>
        </w:rPr>
        <w:t>1731 Act</w:t>
      </w:r>
      <w:r w:rsidRPr="003C7382">
        <w:rPr>
          <w:rFonts w:cs="Times New Roman"/>
        </w:rPr>
        <w:t>.</w:t>
      </w:r>
    </w:p>
    <w:p w:rsidR="00FC6143" w:rsidRPr="003C7382" w:rsidRDefault="00FC6143" w:rsidP="00FC6143">
      <w:pPr>
        <w:pStyle w:val="ParaNoNdepar-AltN"/>
        <w:rPr>
          <w:rFonts w:cs="Times New Roman"/>
        </w:rPr>
      </w:pPr>
      <w:r w:rsidRPr="003C7382">
        <w:rPr>
          <w:rFonts w:cs="Times New Roman"/>
        </w:rPr>
        <w:t xml:space="preserve">I part ways with the appellants on the second issue, however, as I do not see how two rules relating to the documents used in court can be said to occupy the entire field of language for court proceedings. As I mentioned above, the </w:t>
      </w:r>
      <w:r w:rsidRPr="003C7382">
        <w:rPr>
          <w:rFonts w:cs="Times New Roman"/>
          <w:i/>
        </w:rPr>
        <w:t>1731 Act</w:t>
      </w:r>
      <w:r w:rsidRPr="003C7382">
        <w:rPr>
          <w:rFonts w:cs="Times New Roman"/>
        </w:rPr>
        <w:t xml:space="preserve"> pertains not only to the language of documents filed in court, but also to that of judgments, orders, trials and evidence. A rule that covers only one aspect of the subject matter while remaining silent on other aspects cannot have the effect of impliedly modifying a received statute. This situation can be distinguished from the </w:t>
      </w:r>
      <w:r w:rsidRPr="003C7382">
        <w:rPr>
          <w:rFonts w:cs="Times New Roman"/>
        </w:rPr>
        <w:lastRenderedPageBreak/>
        <w:t xml:space="preserve">implied modification by s. 530 of the </w:t>
      </w:r>
      <w:r w:rsidRPr="003C7382">
        <w:rPr>
          <w:rFonts w:cs="Times New Roman"/>
          <w:i/>
        </w:rPr>
        <w:t>Criminal Code</w:t>
      </w:r>
      <w:r w:rsidRPr="003C7382">
        <w:rPr>
          <w:rFonts w:cs="Times New Roman"/>
        </w:rPr>
        <w:t xml:space="preserve">, which establishes a complete system for criminal proceedings. </w:t>
      </w:r>
    </w:p>
    <w:p w:rsidR="00FC6143" w:rsidRPr="003C7382" w:rsidRDefault="00FC6143" w:rsidP="00FC6143">
      <w:pPr>
        <w:pStyle w:val="ParaNoNdepar-AltN"/>
        <w:rPr>
          <w:rFonts w:cs="Times New Roman"/>
        </w:rPr>
      </w:pPr>
      <w:r w:rsidRPr="003C7382">
        <w:rPr>
          <w:rFonts w:cs="Times New Roman"/>
        </w:rPr>
        <w:t xml:space="preserve">This conclusion is reinforced by the fact that, since 1965, British Columbia courts have repeatedly endorsed the </w:t>
      </w:r>
      <w:r w:rsidRPr="003C7382">
        <w:rPr>
          <w:rFonts w:cs="Times New Roman"/>
          <w:i/>
        </w:rPr>
        <w:t>1731 Act</w:t>
      </w:r>
      <w:r w:rsidRPr="003C7382">
        <w:rPr>
          <w:rFonts w:cs="Times New Roman"/>
        </w:rPr>
        <w:t xml:space="preserve"> and the legislature has not intervened in this regard. The first reported case in which a court considered the </w:t>
      </w:r>
      <w:r w:rsidRPr="003C7382">
        <w:rPr>
          <w:rFonts w:cs="Times New Roman"/>
          <w:i/>
        </w:rPr>
        <w:t>1731 Act</w:t>
      </w:r>
      <w:r w:rsidRPr="003C7382">
        <w:rPr>
          <w:rFonts w:cs="Times New Roman"/>
        </w:rPr>
        <w:t xml:space="preserve"> was </w:t>
      </w:r>
      <w:r w:rsidRPr="003C7382">
        <w:rPr>
          <w:rFonts w:cs="Times New Roman"/>
          <w:i/>
        </w:rPr>
        <w:t>Keller</w:t>
      </w:r>
      <w:r w:rsidRPr="003C7382">
        <w:rPr>
          <w:rFonts w:cs="Times New Roman"/>
        </w:rPr>
        <w:t xml:space="preserve">. In </w:t>
      </w:r>
      <w:r w:rsidRPr="003C7382">
        <w:rPr>
          <w:rFonts w:cs="Times New Roman"/>
          <w:i/>
        </w:rPr>
        <w:t>Keller</w:t>
      </w:r>
      <w:r w:rsidRPr="003C7382">
        <w:rPr>
          <w:rFonts w:cs="Times New Roman"/>
        </w:rPr>
        <w:t xml:space="preserve">, the accused was a Hungarian immigrant who had been served with documents in English. He argued that he had not received adequate notice, because he was not capable of understanding English. Harvey Co. Ct. J. relied on the </w:t>
      </w:r>
      <w:r w:rsidRPr="003C7382">
        <w:rPr>
          <w:rFonts w:cs="Times New Roman"/>
          <w:i/>
        </w:rPr>
        <w:t>1731 Act</w:t>
      </w:r>
      <w:r w:rsidRPr="003C7382">
        <w:rPr>
          <w:rFonts w:cs="Times New Roman"/>
        </w:rPr>
        <w:t xml:space="preserve"> to conclude that the notice was sufficient. The same conclusion was reached in several subsequent decisions: </w:t>
      </w:r>
      <w:proofErr w:type="spellStart"/>
      <w:r w:rsidRPr="003C7382">
        <w:rPr>
          <w:rFonts w:cs="Times New Roman"/>
          <w:i/>
        </w:rPr>
        <w:t>Poulin</w:t>
      </w:r>
      <w:proofErr w:type="spellEnd"/>
      <w:r w:rsidRPr="00DC5B10">
        <w:rPr>
          <w:rFonts w:cs="Times New Roman"/>
        </w:rPr>
        <w:t xml:space="preserve">; </w:t>
      </w:r>
      <w:proofErr w:type="spellStart"/>
      <w:r w:rsidRPr="003C7382">
        <w:rPr>
          <w:rFonts w:cs="Times New Roman"/>
          <w:i/>
        </w:rPr>
        <w:t>Lajoie</w:t>
      </w:r>
      <w:proofErr w:type="spellEnd"/>
      <w:r w:rsidRPr="00DC5B10">
        <w:rPr>
          <w:rFonts w:cs="Times New Roman"/>
        </w:rPr>
        <w:t>;</w:t>
      </w:r>
      <w:r w:rsidRPr="003C7382">
        <w:rPr>
          <w:rFonts w:cs="Times New Roman"/>
        </w:rPr>
        <w:t xml:space="preserve"> </w:t>
      </w:r>
      <w:r w:rsidRPr="003C7382">
        <w:rPr>
          <w:rFonts w:cs="Times New Roman"/>
          <w:i/>
        </w:rPr>
        <w:t>R. v. Pare</w:t>
      </w:r>
      <w:r w:rsidRPr="003C7382">
        <w:rPr>
          <w:rFonts w:cs="Times New Roman"/>
        </w:rPr>
        <w:t xml:space="preserve"> (1986), 31 C.C.C. (3d) 260 (B.C.S.C.). This issue has also been considered since the enactment of s. 530 of the </w:t>
      </w:r>
      <w:r w:rsidRPr="003C7382">
        <w:rPr>
          <w:rFonts w:cs="Times New Roman"/>
          <w:i/>
        </w:rPr>
        <w:t>Criminal Code</w:t>
      </w:r>
      <w:r w:rsidRPr="003C7382">
        <w:rPr>
          <w:rFonts w:cs="Times New Roman"/>
        </w:rPr>
        <w:t xml:space="preserve"> and the </w:t>
      </w:r>
      <w:r w:rsidRPr="003C7382">
        <w:rPr>
          <w:rFonts w:cs="Times New Roman"/>
          <w:i/>
        </w:rPr>
        <w:t>Charter</w:t>
      </w:r>
      <w:r w:rsidRPr="003C7382">
        <w:rPr>
          <w:rFonts w:cs="Times New Roman"/>
        </w:rPr>
        <w:t xml:space="preserve">. In 2002, in </w:t>
      </w:r>
      <w:r w:rsidRPr="003C7382">
        <w:rPr>
          <w:rFonts w:cs="Times New Roman"/>
          <w:i/>
        </w:rPr>
        <w:t>Pelletier</w:t>
      </w:r>
      <w:r w:rsidRPr="003C7382">
        <w:rPr>
          <w:rFonts w:cs="Times New Roman"/>
        </w:rPr>
        <w:t xml:space="preserve">, Shaw J. applied the </w:t>
      </w:r>
      <w:r w:rsidRPr="003C7382">
        <w:rPr>
          <w:rFonts w:cs="Times New Roman"/>
          <w:i/>
        </w:rPr>
        <w:t>1731 Act</w:t>
      </w:r>
      <w:r w:rsidRPr="003C7382">
        <w:rPr>
          <w:rFonts w:cs="Times New Roman"/>
        </w:rPr>
        <w:t xml:space="preserve"> to require that a parole eligibility hearing under the “faint hope” clause in the </w:t>
      </w:r>
      <w:r w:rsidRPr="003C7382">
        <w:rPr>
          <w:rFonts w:cs="Times New Roman"/>
          <w:i/>
        </w:rPr>
        <w:t xml:space="preserve">Criminal Code </w:t>
      </w:r>
      <w:r w:rsidRPr="003C7382">
        <w:rPr>
          <w:rFonts w:cs="Times New Roman"/>
        </w:rPr>
        <w:t xml:space="preserve">be conducted in English. </w:t>
      </w:r>
    </w:p>
    <w:p w:rsidR="00FC6143" w:rsidRPr="003C7382" w:rsidRDefault="00FC6143" w:rsidP="00FC6143">
      <w:pPr>
        <w:pStyle w:val="ParaNoNdepar-AltN"/>
        <w:rPr>
          <w:rFonts w:cs="Times New Roman"/>
        </w:rPr>
      </w:pPr>
      <w:r w:rsidRPr="003C7382">
        <w:rPr>
          <w:rFonts w:cs="Times New Roman"/>
        </w:rPr>
        <w:t xml:space="preserve">Faced with these decisions, the British Columbia legislature has, rightly or wrongly, declined to act to change the law on the language of court proceedings in the province. A bill was in fact introduced in 1971 to provide the courts with </w:t>
      </w:r>
      <w:proofErr w:type="gramStart"/>
      <w:r w:rsidRPr="003C7382">
        <w:rPr>
          <w:rFonts w:cs="Times New Roman"/>
        </w:rPr>
        <w:t>a discretion</w:t>
      </w:r>
      <w:proofErr w:type="gramEnd"/>
      <w:r w:rsidRPr="003C7382">
        <w:rPr>
          <w:rFonts w:cs="Times New Roman"/>
        </w:rPr>
        <w:t xml:space="preserve"> to conduct civil trials in French. The bill was never adopted, however, and during second reading, the Attorney General expressed concerns about the capacity of the court system to deal with cases in French: </w:t>
      </w:r>
      <w:r w:rsidRPr="003C7382">
        <w:rPr>
          <w:rFonts w:cs="Times New Roman"/>
          <w:i/>
        </w:rPr>
        <w:t>Debates of the Legislative Assembly</w:t>
      </w:r>
      <w:r w:rsidRPr="003C7382">
        <w:rPr>
          <w:rFonts w:cs="Times New Roman"/>
        </w:rPr>
        <w:t xml:space="preserve">, 2nd Sess., </w:t>
      </w:r>
      <w:r w:rsidR="00DC5B10">
        <w:rPr>
          <w:rFonts w:cs="Times New Roman"/>
        </w:rPr>
        <w:t xml:space="preserve">29th Parl., </w:t>
      </w:r>
      <w:proofErr w:type="gramStart"/>
      <w:r w:rsidR="00DC5B10">
        <w:rPr>
          <w:rFonts w:cs="Times New Roman"/>
        </w:rPr>
        <w:t>March</w:t>
      </w:r>
      <w:proofErr w:type="gramEnd"/>
      <w:r w:rsidR="00DC5B10">
        <w:rPr>
          <w:rFonts w:cs="Times New Roman"/>
        </w:rPr>
        <w:t xml:space="preserve"> 10, 1971, </w:t>
      </w:r>
      <w:r w:rsidR="00FF61CD">
        <w:rPr>
          <w:rFonts w:cs="Times New Roman"/>
        </w:rPr>
        <w:t xml:space="preserve">at </w:t>
      </w:r>
      <w:r w:rsidR="00DC5B10">
        <w:rPr>
          <w:rFonts w:cs="Times New Roman"/>
        </w:rPr>
        <w:t>p. 6</w:t>
      </w:r>
      <w:r w:rsidRPr="003C7382">
        <w:rPr>
          <w:rFonts w:cs="Times New Roman"/>
        </w:rPr>
        <w:t xml:space="preserve">46. </w:t>
      </w:r>
    </w:p>
    <w:p w:rsidR="00FC6143" w:rsidRPr="003C7382" w:rsidRDefault="00FC6143" w:rsidP="00FC6143">
      <w:pPr>
        <w:pStyle w:val="ParaNoNdepar-AltN"/>
        <w:rPr>
          <w:rFonts w:cs="Times New Roman"/>
        </w:rPr>
      </w:pPr>
      <w:r w:rsidRPr="003C7382">
        <w:rPr>
          <w:rFonts w:cs="Times New Roman"/>
        </w:rPr>
        <w:lastRenderedPageBreak/>
        <w:t xml:space="preserve">My conclusion on this issue is based on an implied exclusion, or </w:t>
      </w:r>
      <w:r w:rsidRPr="003C7382">
        <w:rPr>
          <w:rFonts w:cs="Times New Roman"/>
          <w:i/>
        </w:rPr>
        <w:t xml:space="preserve">a </w:t>
      </w:r>
      <w:proofErr w:type="spellStart"/>
      <w:r w:rsidRPr="003C7382">
        <w:rPr>
          <w:rFonts w:cs="Times New Roman"/>
          <w:i/>
        </w:rPr>
        <w:t>contrario</w:t>
      </w:r>
      <w:proofErr w:type="spellEnd"/>
      <w:r w:rsidRPr="003C7382">
        <w:rPr>
          <w:rFonts w:cs="Times New Roman"/>
        </w:rPr>
        <w:t xml:space="preserve">, argument. The legislature’s failure to act in the face of repeated endorsements of the rule reflects an acceptance of the current state of the law. Although the strength of this presumption always depends on the circumstances in which it is invoked, it seems clear, in light of the number of cases and the passage of time between them, that there was at the very least no legislative intention to modify the </w:t>
      </w:r>
      <w:r w:rsidRPr="003C7382">
        <w:rPr>
          <w:rFonts w:cs="Times New Roman"/>
          <w:i/>
        </w:rPr>
        <w:t>1731 Act</w:t>
      </w:r>
      <w:r w:rsidRPr="003C7382">
        <w:rPr>
          <w:rFonts w:cs="Times New Roman"/>
        </w:rPr>
        <w:t>.</w:t>
      </w:r>
    </w:p>
    <w:p w:rsidR="00FC6143" w:rsidRPr="003C7382" w:rsidRDefault="00FC6143" w:rsidP="00FC6143">
      <w:pPr>
        <w:pStyle w:val="ParaNoNdepar-AltN"/>
        <w:rPr>
          <w:rFonts w:cs="Times New Roman"/>
        </w:rPr>
      </w:pPr>
      <w:r w:rsidRPr="003C7382">
        <w:rPr>
          <w:rFonts w:eastAsiaTheme="minorHAnsi" w:cs="Times New Roman"/>
        </w:rPr>
        <w:t xml:space="preserve">Finally, the appellants urge this Court to adopt an approach to these issues based on </w:t>
      </w:r>
      <w:r w:rsidRPr="003C7382">
        <w:rPr>
          <w:rFonts w:eastAsiaTheme="minorHAnsi" w:cs="Times New Roman"/>
          <w:i/>
        </w:rPr>
        <w:t>Charter</w:t>
      </w:r>
      <w:r w:rsidRPr="003C7382">
        <w:rPr>
          <w:rFonts w:eastAsiaTheme="minorHAnsi" w:cs="Times New Roman"/>
        </w:rPr>
        <w:t xml:space="preserve"> values and constitutional principles. The appellants argue that the </w:t>
      </w:r>
      <w:r w:rsidRPr="003C7382">
        <w:rPr>
          <w:rFonts w:eastAsiaTheme="minorHAnsi" w:cs="Times New Roman"/>
          <w:i/>
        </w:rPr>
        <w:t>Charter</w:t>
      </w:r>
      <w:r w:rsidRPr="003C7382">
        <w:rPr>
          <w:rFonts w:eastAsiaTheme="minorHAnsi" w:cs="Times New Roman"/>
        </w:rPr>
        <w:t xml:space="preserve"> requires that legislation, including received legislation, be interpreted in a manner consistent with </w:t>
      </w:r>
      <w:r w:rsidRPr="003C7382">
        <w:rPr>
          <w:rFonts w:eastAsiaTheme="minorHAnsi" w:cs="Times New Roman"/>
          <w:i/>
        </w:rPr>
        <w:t>Charter</w:t>
      </w:r>
      <w:r w:rsidRPr="003C7382">
        <w:rPr>
          <w:rFonts w:eastAsiaTheme="minorHAnsi" w:cs="Times New Roman"/>
        </w:rPr>
        <w:t xml:space="preserve"> values. The Court has of course repeatedly noted the role that </w:t>
      </w:r>
      <w:r w:rsidRPr="003C7382">
        <w:rPr>
          <w:rFonts w:eastAsiaTheme="minorHAnsi" w:cs="Times New Roman"/>
          <w:i/>
        </w:rPr>
        <w:t>Charter</w:t>
      </w:r>
      <w:r w:rsidRPr="003C7382">
        <w:rPr>
          <w:rFonts w:eastAsiaTheme="minorHAnsi" w:cs="Times New Roman"/>
        </w:rPr>
        <w:t xml:space="preserve"> values play in the evolution of the common law and in statutory interpretation: </w:t>
      </w:r>
      <w:r w:rsidRPr="003C7382">
        <w:rPr>
          <w:rFonts w:eastAsiaTheme="minorHAnsi" w:cs="Times New Roman"/>
          <w:i/>
        </w:rPr>
        <w:t>RWDSU v. Dolphin Delivery Ltd.</w:t>
      </w:r>
      <w:r w:rsidRPr="003C7382">
        <w:rPr>
          <w:rFonts w:eastAsiaTheme="minorHAnsi" w:cs="Times New Roman"/>
        </w:rPr>
        <w:t xml:space="preserve">, [1986] 2 S.C.R. 573; </w:t>
      </w:r>
      <w:r w:rsidRPr="003C7382">
        <w:rPr>
          <w:rFonts w:eastAsiaTheme="minorHAnsi" w:cs="Times New Roman"/>
          <w:i/>
        </w:rPr>
        <w:t xml:space="preserve">R. v. </w:t>
      </w:r>
      <w:proofErr w:type="spellStart"/>
      <w:r w:rsidRPr="003C7382">
        <w:rPr>
          <w:rFonts w:eastAsiaTheme="minorHAnsi" w:cs="Times New Roman"/>
          <w:i/>
        </w:rPr>
        <w:t>Zundel</w:t>
      </w:r>
      <w:proofErr w:type="spellEnd"/>
      <w:r w:rsidRPr="003C7382">
        <w:rPr>
          <w:rFonts w:eastAsiaTheme="minorHAnsi" w:cs="Times New Roman"/>
        </w:rPr>
        <w:t xml:space="preserve">, [1992] 2 S.C.R. 731; </w:t>
      </w:r>
      <w:r w:rsidRPr="003C7382">
        <w:rPr>
          <w:rFonts w:eastAsiaTheme="minorHAnsi" w:cs="Times New Roman"/>
          <w:i/>
        </w:rPr>
        <w:t>R. v. National Post</w:t>
      </w:r>
      <w:r w:rsidRPr="003C7382">
        <w:rPr>
          <w:rFonts w:eastAsiaTheme="minorHAnsi" w:cs="Times New Roman"/>
        </w:rPr>
        <w:t xml:space="preserve">, 2010 SCC 16, [2010] 1 S.C.R. 477. The </w:t>
      </w:r>
      <w:r w:rsidRPr="003C7382">
        <w:rPr>
          <w:rFonts w:eastAsiaTheme="minorHAnsi" w:cs="Times New Roman"/>
          <w:i/>
        </w:rPr>
        <w:t>Charter</w:t>
      </w:r>
      <w:r w:rsidRPr="003C7382">
        <w:rPr>
          <w:rFonts w:eastAsiaTheme="minorHAnsi" w:cs="Times New Roman"/>
        </w:rPr>
        <w:t xml:space="preserve"> explicitly provides that English and French are the official languages of Canada: s. 16. The Court has also recognized the important role of linguistic minorities in Canada: </w:t>
      </w:r>
      <w:r w:rsidRPr="003C7382">
        <w:rPr>
          <w:rFonts w:eastAsiaTheme="minorHAnsi" w:cs="Times New Roman"/>
          <w:i/>
        </w:rPr>
        <w:t>Reference re Secession of Quebec</w:t>
      </w:r>
      <w:r w:rsidRPr="003C7382">
        <w:rPr>
          <w:rFonts w:eastAsiaTheme="minorHAnsi" w:cs="Times New Roman"/>
        </w:rPr>
        <w:t xml:space="preserve">, [1998] 2 S.C.R. 217, at </w:t>
      </w:r>
      <w:proofErr w:type="spellStart"/>
      <w:r w:rsidRPr="003C7382">
        <w:rPr>
          <w:rFonts w:eastAsiaTheme="minorHAnsi" w:cs="Times New Roman"/>
        </w:rPr>
        <w:t>para</w:t>
      </w:r>
      <w:proofErr w:type="spellEnd"/>
      <w:r w:rsidRPr="003C7382">
        <w:rPr>
          <w:rFonts w:eastAsiaTheme="minorHAnsi" w:cs="Times New Roman"/>
        </w:rPr>
        <w:t xml:space="preserve">. 79. </w:t>
      </w:r>
    </w:p>
    <w:p w:rsidR="00FC6143" w:rsidRPr="003C7382" w:rsidRDefault="00FC6143" w:rsidP="00FC6143">
      <w:pPr>
        <w:pStyle w:val="ParaNoNdepar-AltN"/>
        <w:rPr>
          <w:rFonts w:cs="Times New Roman"/>
        </w:rPr>
      </w:pPr>
      <w:r w:rsidRPr="003C7382">
        <w:rPr>
          <w:rFonts w:eastAsiaTheme="minorHAnsi" w:cs="Times New Roman"/>
        </w:rPr>
        <w:t xml:space="preserve">However, the </w:t>
      </w:r>
      <w:r w:rsidRPr="003C7382">
        <w:rPr>
          <w:rFonts w:eastAsiaTheme="minorHAnsi" w:cs="Times New Roman"/>
          <w:i/>
        </w:rPr>
        <w:t>Charter</w:t>
      </w:r>
      <w:r w:rsidRPr="003C7382">
        <w:rPr>
          <w:rFonts w:eastAsiaTheme="minorHAnsi" w:cs="Times New Roman"/>
        </w:rPr>
        <w:t xml:space="preserve"> also reflects </w:t>
      </w:r>
      <w:proofErr w:type="gramStart"/>
      <w:r w:rsidRPr="003C7382">
        <w:rPr>
          <w:rFonts w:eastAsiaTheme="minorHAnsi" w:cs="Times New Roman"/>
        </w:rPr>
        <w:t>a recognition</w:t>
      </w:r>
      <w:proofErr w:type="gramEnd"/>
      <w:r w:rsidRPr="003C7382">
        <w:rPr>
          <w:rFonts w:eastAsiaTheme="minorHAnsi" w:cs="Times New Roman"/>
        </w:rPr>
        <w:t xml:space="preserve"> that Canada is a federation and that each province has a role to play in the protection and advancement of the country’s official languages. This is evident from ss. 16 to 20, which require </w:t>
      </w:r>
      <w:r w:rsidRPr="003C7382">
        <w:rPr>
          <w:rFonts w:eastAsiaTheme="minorHAnsi" w:cs="Times New Roman"/>
        </w:rPr>
        <w:lastRenderedPageBreak/>
        <w:t xml:space="preserve">bilingualism in the federal government, in Parliament, in courts established by Parliament, and in the province of New Brunswick. The </w:t>
      </w:r>
      <w:r w:rsidRPr="003C7382">
        <w:rPr>
          <w:rFonts w:eastAsiaTheme="minorHAnsi" w:cs="Times New Roman"/>
          <w:i/>
        </w:rPr>
        <w:t>Charter</w:t>
      </w:r>
      <w:r w:rsidRPr="003C7382">
        <w:rPr>
          <w:rFonts w:eastAsiaTheme="minorHAnsi" w:cs="Times New Roman"/>
        </w:rPr>
        <w:t xml:space="preserve"> does not require any province other than New Brunswick to provide for court proceedings in both official languages. In addition, s. 16(3) provides that the legislatures may act to advance the use of English and French. In my view, therefore, while it is true that the </w:t>
      </w:r>
      <w:r w:rsidRPr="003C7382">
        <w:rPr>
          <w:rFonts w:eastAsiaTheme="minorHAnsi" w:cs="Times New Roman"/>
          <w:i/>
        </w:rPr>
        <w:t>Charter</w:t>
      </w:r>
      <w:r w:rsidRPr="003C7382">
        <w:rPr>
          <w:rFonts w:eastAsiaTheme="minorHAnsi" w:cs="Times New Roman"/>
        </w:rPr>
        <w:t xml:space="preserve"> reflects the importance of language rights, it also reflects the importance of respect for the constitutional powers of the provinces. Federalism is one of Canada’s underlying constitutional principles: </w:t>
      </w:r>
      <w:r w:rsidRPr="003C7382">
        <w:rPr>
          <w:rFonts w:eastAsiaTheme="minorHAnsi" w:cs="Times New Roman"/>
          <w:i/>
        </w:rPr>
        <w:t>Reference re Secession of Quebec</w:t>
      </w:r>
      <w:r w:rsidRPr="003C7382">
        <w:rPr>
          <w:rFonts w:eastAsiaTheme="minorHAnsi" w:cs="Times New Roman"/>
        </w:rPr>
        <w:t xml:space="preserve">, at </w:t>
      </w:r>
      <w:proofErr w:type="spellStart"/>
      <w:r w:rsidRPr="003C7382">
        <w:rPr>
          <w:rFonts w:eastAsiaTheme="minorHAnsi" w:cs="Times New Roman"/>
        </w:rPr>
        <w:t>paras</w:t>
      </w:r>
      <w:proofErr w:type="spellEnd"/>
      <w:r w:rsidRPr="003C7382">
        <w:rPr>
          <w:rFonts w:eastAsiaTheme="minorHAnsi" w:cs="Times New Roman"/>
        </w:rPr>
        <w:t xml:space="preserve">. 55-60. Thus, it is not inconsistent with </w:t>
      </w:r>
      <w:r w:rsidRPr="003C7382">
        <w:rPr>
          <w:rFonts w:eastAsiaTheme="minorHAnsi" w:cs="Times New Roman"/>
          <w:i/>
        </w:rPr>
        <w:t>Charter</w:t>
      </w:r>
      <w:r w:rsidRPr="003C7382">
        <w:rPr>
          <w:rFonts w:eastAsiaTheme="minorHAnsi" w:cs="Times New Roman"/>
        </w:rPr>
        <w:t xml:space="preserve"> values for the British Columbia legislature to restrict the language of court proceedings in the province to English. </w:t>
      </w:r>
    </w:p>
    <w:p w:rsidR="00FC6143" w:rsidRPr="003C7382" w:rsidRDefault="00FC6143" w:rsidP="00FC6143">
      <w:pPr>
        <w:pStyle w:val="ParaNoNdepar-AltN"/>
        <w:rPr>
          <w:rFonts w:cs="Times New Roman"/>
        </w:rPr>
      </w:pPr>
      <w:r w:rsidRPr="003C7382">
        <w:rPr>
          <w:rFonts w:cs="Times New Roman"/>
        </w:rPr>
        <w:t xml:space="preserve">This being said, in light of s. 16(3) of the </w:t>
      </w:r>
      <w:r w:rsidRPr="003C7382">
        <w:rPr>
          <w:rFonts w:cs="Times New Roman"/>
          <w:i/>
        </w:rPr>
        <w:t>Charter</w:t>
      </w:r>
      <w:r w:rsidRPr="003C7382">
        <w:rPr>
          <w:rFonts w:cs="Times New Roman"/>
        </w:rPr>
        <w:t xml:space="preserve">, which specifically provides that provincial legislatures may advance the equality of status of English and French, it would be open to the British Columbia legislature to enact legislation, like that proposed in 1971, to authorize civil proceedings in French. Such legislation would no doubt further the values embodied in s. 16(3), which protects legislative initiatives intended to increase the equality of the official languages but does not, as this Court has already held, confer any rights. However, given the absence of any such initiative by the British Columbia legislature, it is not possible for this Court to impose one on it. </w:t>
      </w:r>
    </w:p>
    <w:p w:rsidR="00FC6143" w:rsidRPr="003C7382" w:rsidRDefault="00FC6143" w:rsidP="00DC5B10">
      <w:pPr>
        <w:pStyle w:val="TitleTitre-AltT"/>
        <w:tabs>
          <w:tab w:val="clear" w:pos="360"/>
          <w:tab w:val="left" w:pos="540"/>
        </w:tabs>
        <w:ind w:left="540" w:hanging="540"/>
        <w:rPr>
          <w:rFonts w:cs="Times New Roman"/>
          <w:i/>
        </w:rPr>
      </w:pPr>
      <w:r w:rsidRPr="003C7382">
        <w:rPr>
          <w:rFonts w:cs="Times New Roman"/>
        </w:rPr>
        <w:t>B.</w:t>
      </w:r>
      <w:r w:rsidRPr="003C7382">
        <w:rPr>
          <w:rFonts w:cs="Times New Roman"/>
        </w:rPr>
        <w:tab/>
      </w:r>
      <w:r w:rsidRPr="003C7382">
        <w:rPr>
          <w:rFonts w:cs="Times New Roman"/>
          <w:i/>
        </w:rPr>
        <w:t>What Is the Effect of Rule 22-3?</w:t>
      </w:r>
    </w:p>
    <w:p w:rsidR="00FC6143" w:rsidRPr="003C7382" w:rsidRDefault="00FC6143" w:rsidP="00FC6143">
      <w:pPr>
        <w:pStyle w:val="ParaNoNdepar-AltN"/>
        <w:rPr>
          <w:rFonts w:cs="Times New Roman"/>
        </w:rPr>
      </w:pPr>
      <w:r w:rsidRPr="003C7382">
        <w:rPr>
          <w:rFonts w:cs="Times New Roman"/>
        </w:rPr>
        <w:lastRenderedPageBreak/>
        <w:t xml:space="preserve">Even if the </w:t>
      </w:r>
      <w:r w:rsidRPr="003C7382">
        <w:rPr>
          <w:rFonts w:cs="Times New Roman"/>
          <w:i/>
        </w:rPr>
        <w:t>1731 Act</w:t>
      </w:r>
      <w:r w:rsidRPr="003C7382">
        <w:rPr>
          <w:rFonts w:cs="Times New Roman"/>
        </w:rPr>
        <w:t xml:space="preserve"> were not applicable to British Columbia or if it had been modified, Rule 22-3 of the </w:t>
      </w:r>
      <w:r w:rsidRPr="003C7382">
        <w:rPr>
          <w:rFonts w:cs="Times New Roman"/>
          <w:i/>
        </w:rPr>
        <w:t>Supreme Court Civil Rules</w:t>
      </w:r>
      <w:r w:rsidRPr="003C7382">
        <w:rPr>
          <w:rFonts w:cs="Times New Roman"/>
        </w:rPr>
        <w:t xml:space="preserve"> requires that exhibits attached to affidavits and filed in court be in English. The respondents advanced this as an alternative argument, and it was accepted by both of the courts below. Rule 22-3(2) states:</w:t>
      </w:r>
    </w:p>
    <w:p w:rsidR="00FC6143" w:rsidRPr="003C7382" w:rsidRDefault="00FC6143" w:rsidP="00FC6143">
      <w:pPr>
        <w:pStyle w:val="Citation-AltC"/>
        <w:ind w:left="1620" w:hanging="450"/>
      </w:pPr>
      <w:r w:rsidRPr="003C7382">
        <w:t>(2)  Unless the nature of the document renders it impracticable, every document prepared for use in the court must be in the English language, legibly printed, typewritten, written or reproduced on 8 1/2 inch x 11 inch durable white paper or durable off-white recycled paper.</w:t>
      </w:r>
    </w:p>
    <w:p w:rsidR="00FC6143" w:rsidRPr="003C7382" w:rsidRDefault="00FC6143" w:rsidP="00FC6143">
      <w:pPr>
        <w:pStyle w:val="ParaNoNdepar-AltN"/>
        <w:rPr>
          <w:rFonts w:cs="Times New Roman"/>
        </w:rPr>
      </w:pPr>
      <w:r w:rsidRPr="003C7382">
        <w:rPr>
          <w:rFonts w:cs="Times New Roman"/>
        </w:rPr>
        <w:t xml:space="preserve">Although the appellants argue that the exhibits attached to the affidavits were not prepared for use in court, because they were prepared in the usual course of their business, it is my view that once the exhibits were attached to the affidavits, they became part of a document prepared for use in court. It cannot be possible to circumvent the rule by moving information on which a party seeks to rely from the body of the affidavit into an exhibit. If the appellants wish to rely on the content of the exhibits, as opposed to their existence or their authenticity, the exhibits must comply with the rule, since an exhibit that is relied upon for its content is effectively incorporated into the affidavit. </w:t>
      </w:r>
    </w:p>
    <w:p w:rsidR="00FC6143" w:rsidRPr="003C7382" w:rsidRDefault="00FC6143" w:rsidP="00FC6143">
      <w:pPr>
        <w:pStyle w:val="ParaNoNdepar-AltN"/>
        <w:rPr>
          <w:rFonts w:cs="Times New Roman"/>
        </w:rPr>
      </w:pPr>
      <w:r w:rsidRPr="003C7382">
        <w:rPr>
          <w:rFonts w:cs="Times New Roman"/>
        </w:rPr>
        <w:t xml:space="preserve">This is different from the case of documents produced in the discovery process. The appellants argue that because Rule 22-3 does not require documents produced on discovery to be translated, the same should be true for documents introduced as evidence. The appellants rely on two cases in which it was held that </w:t>
      </w:r>
      <w:r w:rsidRPr="003C7382">
        <w:rPr>
          <w:rFonts w:cs="Times New Roman"/>
        </w:rPr>
        <w:lastRenderedPageBreak/>
        <w:t xml:space="preserve">discovery documents do not need to be translated: </w:t>
      </w:r>
      <w:r w:rsidRPr="003C7382">
        <w:rPr>
          <w:rFonts w:cs="Times New Roman"/>
          <w:i/>
        </w:rPr>
        <w:t>Han v. Cho</w:t>
      </w:r>
      <w:r w:rsidRPr="003C7382">
        <w:rPr>
          <w:rFonts w:cs="Times New Roman"/>
        </w:rPr>
        <w:t xml:space="preserve">, 2008 BCSC 1208, 88 B.C.L.R. (4th) 193; </w:t>
      </w:r>
      <w:proofErr w:type="spellStart"/>
      <w:r w:rsidRPr="003C7382">
        <w:rPr>
          <w:rFonts w:cs="Times New Roman"/>
          <w:i/>
        </w:rPr>
        <w:t>Bilfinger</w:t>
      </w:r>
      <w:proofErr w:type="spellEnd"/>
      <w:r w:rsidRPr="003C7382">
        <w:rPr>
          <w:rFonts w:cs="Times New Roman"/>
          <w:i/>
        </w:rPr>
        <w:t xml:space="preserve"> Berger (Canada) v. Greater Vancouver Water District</w:t>
      </w:r>
      <w:r w:rsidR="00DC5B10">
        <w:rPr>
          <w:rFonts w:cs="Times New Roman"/>
        </w:rPr>
        <w:t>, 2010 BCSC 1104 (</w:t>
      </w:r>
      <w:proofErr w:type="spellStart"/>
      <w:r w:rsidR="00DC5B10">
        <w:rPr>
          <w:rFonts w:cs="Times New Roman"/>
        </w:rPr>
        <w:t>Can</w:t>
      </w:r>
      <w:r w:rsidRPr="003C7382">
        <w:rPr>
          <w:rFonts w:cs="Times New Roman"/>
        </w:rPr>
        <w:t>LII</w:t>
      </w:r>
      <w:proofErr w:type="spellEnd"/>
      <w:r w:rsidRPr="003C7382">
        <w:rPr>
          <w:rFonts w:cs="Times New Roman"/>
        </w:rPr>
        <w:t xml:space="preserve">). In my view, those cases are inapplicable, since documents exchanged on discovery are not prepared for use in court. Indeed, it is quite possible that such documents will never find their way into a court file. Discovery documents are not filed with the court, but simply pass from one party to another. Moreover, in both of the cases cited by the appellants, the judge acknowledged that if any of the discovery documents were to be used in court, they would have to be translated: </w:t>
      </w:r>
      <w:r w:rsidRPr="003C7382">
        <w:rPr>
          <w:rFonts w:cs="Times New Roman"/>
          <w:i/>
        </w:rPr>
        <w:t>Han</w:t>
      </w:r>
      <w:r w:rsidRPr="003C7382">
        <w:rPr>
          <w:rFonts w:cs="Times New Roman"/>
        </w:rPr>
        <w:t xml:space="preserve">, at </w:t>
      </w:r>
      <w:proofErr w:type="spellStart"/>
      <w:r w:rsidRPr="003C7382">
        <w:rPr>
          <w:rFonts w:cs="Times New Roman"/>
        </w:rPr>
        <w:t>para</w:t>
      </w:r>
      <w:proofErr w:type="spellEnd"/>
      <w:r w:rsidRPr="003C7382">
        <w:rPr>
          <w:rFonts w:cs="Times New Roman"/>
        </w:rPr>
        <w:t xml:space="preserve">. 14; </w:t>
      </w:r>
      <w:proofErr w:type="spellStart"/>
      <w:r w:rsidRPr="003C7382">
        <w:rPr>
          <w:rFonts w:cs="Times New Roman"/>
          <w:i/>
        </w:rPr>
        <w:t>Bilfinger</w:t>
      </w:r>
      <w:proofErr w:type="spellEnd"/>
      <w:r w:rsidRPr="003C7382">
        <w:rPr>
          <w:rFonts w:cs="Times New Roman"/>
        </w:rPr>
        <w:t xml:space="preserve">, at </w:t>
      </w:r>
      <w:proofErr w:type="spellStart"/>
      <w:r w:rsidRPr="003C7382">
        <w:rPr>
          <w:rFonts w:cs="Times New Roman"/>
        </w:rPr>
        <w:t>para</w:t>
      </w:r>
      <w:proofErr w:type="spellEnd"/>
      <w:r w:rsidRPr="003C7382">
        <w:rPr>
          <w:rFonts w:cs="Times New Roman"/>
        </w:rPr>
        <w:t>. 18.</w:t>
      </w:r>
    </w:p>
    <w:p w:rsidR="00FC6143" w:rsidRPr="003C7382" w:rsidRDefault="00FC6143" w:rsidP="00FC6143">
      <w:pPr>
        <w:pStyle w:val="ParaNoNdepar-AltN"/>
        <w:rPr>
          <w:rFonts w:cs="Times New Roman"/>
        </w:rPr>
      </w:pPr>
      <w:r w:rsidRPr="003C7382">
        <w:rPr>
          <w:rFonts w:cs="Times New Roman"/>
        </w:rPr>
        <w:t xml:space="preserve">However, Rule 22-3 does introduce </w:t>
      </w:r>
      <w:proofErr w:type="gramStart"/>
      <w:r w:rsidRPr="003C7382">
        <w:rPr>
          <w:rFonts w:cs="Times New Roman"/>
        </w:rPr>
        <w:t>a certain</w:t>
      </w:r>
      <w:proofErr w:type="gramEnd"/>
      <w:r w:rsidRPr="003C7382">
        <w:rPr>
          <w:rFonts w:cs="Times New Roman"/>
        </w:rPr>
        <w:t xml:space="preserve"> discretion to admit documents that do not comply with the rule if their nature would render compliance “impracticable”. The word </w:t>
      </w:r>
      <w:r w:rsidRPr="003C7382">
        <w:rPr>
          <w:rFonts w:cs="Times New Roman"/>
          <w:lang w:val="en-US"/>
        </w:rPr>
        <w:t>“d</w:t>
      </w:r>
      <w:proofErr w:type="spellStart"/>
      <w:r w:rsidRPr="003C7382">
        <w:rPr>
          <w:rFonts w:cs="Times New Roman"/>
        </w:rPr>
        <w:t>ocument</w:t>
      </w:r>
      <w:proofErr w:type="spellEnd"/>
      <w:r w:rsidRPr="003C7382">
        <w:rPr>
          <w:rFonts w:cs="Times New Roman"/>
        </w:rPr>
        <w:t xml:space="preserve">” is defined in the rules to include photographs, films, sound recordings and “information recorded or stored by means of any device”: Rule 1-1(1). Rule 22-3 requires not only that documents be in English, but also that they be “legibly printed, typewritten, written or reproduced on 8 1/2 inch x 11 inch durable white paper or durable off-white recycled paper”. In light of the expanded definition of “document”, it seems clear that the impracticability exception was intended to apply to items such as photographs, films, receipt books or business ledgers, to which the formatting requirements cannot logically apply. </w:t>
      </w:r>
    </w:p>
    <w:p w:rsidR="00FC6143" w:rsidRPr="003C7382" w:rsidRDefault="00FC6143" w:rsidP="00FC6143">
      <w:pPr>
        <w:pStyle w:val="ParaNoNdepar-AltN"/>
        <w:rPr>
          <w:rFonts w:cs="Times New Roman"/>
        </w:rPr>
      </w:pPr>
      <w:r w:rsidRPr="003C7382">
        <w:rPr>
          <w:rFonts w:cs="Times New Roman"/>
        </w:rPr>
        <w:t xml:space="preserve">Where, as in the instant case, the documents at issue are written in French, it is clear that there is nothing inherent in them that would render it </w:t>
      </w:r>
      <w:r w:rsidRPr="003C7382">
        <w:rPr>
          <w:rFonts w:cs="Times New Roman"/>
        </w:rPr>
        <w:lastRenderedPageBreak/>
        <w:t>impracticable to have them translated into English. As the chambers judge found that there was “no basis upon which I can hold that the nature of the documents exhibited to the affidavits in this case renders it impracticable that they be translated into the English language” (</w:t>
      </w:r>
      <w:proofErr w:type="spellStart"/>
      <w:r w:rsidRPr="003C7382">
        <w:rPr>
          <w:rFonts w:cs="Times New Roman"/>
        </w:rPr>
        <w:t>para</w:t>
      </w:r>
      <w:proofErr w:type="spellEnd"/>
      <w:r w:rsidRPr="003C7382">
        <w:rPr>
          <w:rFonts w:cs="Times New Roman"/>
        </w:rPr>
        <w:t>. 58), I do not accept that the large volume of documents in question can chang</w:t>
      </w:r>
      <w:r w:rsidR="00DC5B10">
        <w:rPr>
          <w:rFonts w:cs="Times New Roman"/>
        </w:rPr>
        <w:t>e “the nature of the documents</w:t>
      </w:r>
      <w:r w:rsidRPr="003C7382">
        <w:rPr>
          <w:rFonts w:cs="Times New Roman"/>
        </w:rPr>
        <w:t xml:space="preserve">” so as to render compliance with the rule impracticable. </w:t>
      </w:r>
    </w:p>
    <w:p w:rsidR="00FC6143" w:rsidRPr="003C7382" w:rsidRDefault="00FC6143" w:rsidP="00FC6143">
      <w:pPr>
        <w:pStyle w:val="ParaNoNdepar-AltN"/>
        <w:rPr>
          <w:rFonts w:cs="Times New Roman"/>
        </w:rPr>
      </w:pPr>
      <w:r w:rsidRPr="003C7382">
        <w:rPr>
          <w:rFonts w:cs="Times New Roman"/>
        </w:rPr>
        <w:t xml:space="preserve">There is no doubt that the British Columbia Supreme Court has the inherent jurisdiction and discretion to fulfill its judicial function, but as this Court noted in </w:t>
      </w:r>
      <w:r w:rsidRPr="003C7382">
        <w:rPr>
          <w:rFonts w:cs="Times New Roman"/>
          <w:i/>
        </w:rPr>
        <w:t>R. v. Caron</w:t>
      </w:r>
      <w:r w:rsidRPr="003C7382">
        <w:rPr>
          <w:rFonts w:cs="Times New Roman"/>
        </w:rPr>
        <w:t xml:space="preserve">, 2011 SCC 5, [2011] 1 S.C.R. 78, at </w:t>
      </w:r>
      <w:proofErr w:type="spellStart"/>
      <w:r w:rsidRPr="003C7382">
        <w:rPr>
          <w:rFonts w:cs="Times New Roman"/>
        </w:rPr>
        <w:t>para</w:t>
      </w:r>
      <w:proofErr w:type="spellEnd"/>
      <w:r w:rsidRPr="003C7382">
        <w:rPr>
          <w:rFonts w:cs="Times New Roman"/>
        </w:rPr>
        <w:t>. 32, they are subject to the requirement that the court exercise them without contravening any statutory provision. In the case at bar, Rule 22-3 limits the court’s discretion to admit documents in languages other than English. The court can exercise this discretion only if the criterion of “</w:t>
      </w:r>
      <w:proofErr w:type="spellStart"/>
      <w:proofErr w:type="gramStart"/>
      <w:r w:rsidRPr="003C7382">
        <w:rPr>
          <w:rFonts w:cs="Times New Roman"/>
        </w:rPr>
        <w:t>impracticab</w:t>
      </w:r>
      <w:proofErr w:type="spellEnd"/>
      <w:r w:rsidRPr="003C7382">
        <w:rPr>
          <w:rFonts w:cs="Times New Roman"/>
        </w:rPr>
        <w:t>[</w:t>
      </w:r>
      <w:proofErr w:type="spellStart"/>
      <w:proofErr w:type="gramEnd"/>
      <w:r w:rsidRPr="003C7382">
        <w:rPr>
          <w:rFonts w:cs="Times New Roman"/>
        </w:rPr>
        <w:t>ility</w:t>
      </w:r>
      <w:proofErr w:type="spellEnd"/>
      <w:r w:rsidRPr="003C7382">
        <w:rPr>
          <w:rFonts w:cs="Times New Roman"/>
        </w:rPr>
        <w:t xml:space="preserve">]” discussed above is satisfied. Only those documents whose nature renders compliance with the rule impracticable can be admitted. </w:t>
      </w:r>
    </w:p>
    <w:p w:rsidR="00FC6143" w:rsidRPr="003C7382" w:rsidRDefault="00FC6143" w:rsidP="00DC5B10">
      <w:pPr>
        <w:pStyle w:val="TitleTitre-AltT"/>
        <w:tabs>
          <w:tab w:val="clear" w:pos="360"/>
          <w:tab w:val="left" w:pos="540"/>
        </w:tabs>
        <w:ind w:left="540" w:hanging="540"/>
        <w:rPr>
          <w:rFonts w:cs="Times New Roman"/>
        </w:rPr>
      </w:pPr>
      <w:r w:rsidRPr="003C7382">
        <w:rPr>
          <w:rFonts w:cs="Times New Roman"/>
        </w:rPr>
        <w:t>V.</w:t>
      </w:r>
      <w:r w:rsidRPr="003C7382">
        <w:rPr>
          <w:rFonts w:cs="Times New Roman"/>
        </w:rPr>
        <w:tab/>
      </w:r>
      <w:r w:rsidRPr="003C7382">
        <w:rPr>
          <w:rFonts w:cs="Times New Roman"/>
          <w:u w:val="single"/>
        </w:rPr>
        <w:t>Disposition</w:t>
      </w:r>
    </w:p>
    <w:p w:rsidR="00FC6143" w:rsidRPr="003C7382" w:rsidRDefault="00FC6143" w:rsidP="00FC6143">
      <w:pPr>
        <w:pStyle w:val="ParaNoNdepar-AltN"/>
        <w:rPr>
          <w:rFonts w:cs="Times New Roman"/>
        </w:rPr>
      </w:pPr>
      <w:r w:rsidRPr="003C7382">
        <w:rPr>
          <w:rFonts w:cs="Times New Roman"/>
        </w:rPr>
        <w:t xml:space="preserve">Although costs are usually awarded to the successful party, there are exceptions. In this case, the appellants have raised a novel issue in the context of a broader </w:t>
      </w:r>
      <w:r w:rsidRPr="003C7382">
        <w:rPr>
          <w:rFonts w:cs="Times New Roman"/>
          <w:i/>
        </w:rPr>
        <w:t>Charter</w:t>
      </w:r>
      <w:r w:rsidRPr="003C7382">
        <w:rPr>
          <w:rFonts w:cs="Times New Roman"/>
        </w:rPr>
        <w:t xml:space="preserve"> challenge, and for that reason I would award them their costs.</w:t>
      </w:r>
    </w:p>
    <w:p w:rsidR="00FC6143" w:rsidRPr="003C7382" w:rsidRDefault="00FC6143" w:rsidP="00FC6143">
      <w:pPr>
        <w:pStyle w:val="ParaNoNdepar-AltN"/>
        <w:rPr>
          <w:rFonts w:cs="Times New Roman"/>
        </w:rPr>
      </w:pPr>
      <w:r w:rsidRPr="003C7382">
        <w:rPr>
          <w:rFonts w:cs="Times New Roman"/>
        </w:rPr>
        <w:lastRenderedPageBreak/>
        <w:t xml:space="preserve">I would therefore dismiss the appeal with costs throughout to the appellants. </w:t>
      </w:r>
    </w:p>
    <w:p w:rsidR="00FC6143" w:rsidRPr="00F43E4D" w:rsidRDefault="00DC5B10" w:rsidP="005855B0">
      <w:pPr>
        <w:pStyle w:val="SCCNormalDoubleSpacing"/>
        <w:spacing w:before="480" w:after="480"/>
        <w:rPr>
          <w:lang w:val="en-US"/>
        </w:rPr>
      </w:pPr>
      <w:r>
        <w:rPr>
          <w:lang w:val="en-US"/>
        </w:rPr>
        <w:tab/>
      </w:r>
      <w:proofErr w:type="gramStart"/>
      <w:r>
        <w:rPr>
          <w:lang w:val="en-US"/>
        </w:rPr>
        <w:t xml:space="preserve">The reasons of </w:t>
      </w:r>
      <w:proofErr w:type="spellStart"/>
      <w:r>
        <w:rPr>
          <w:lang w:val="en-US"/>
        </w:rPr>
        <w:t>LeBel</w:t>
      </w:r>
      <w:proofErr w:type="spellEnd"/>
      <w:r>
        <w:rPr>
          <w:lang w:val="en-US"/>
        </w:rPr>
        <w:t xml:space="preserve">, </w:t>
      </w:r>
      <w:proofErr w:type="spellStart"/>
      <w:r>
        <w:rPr>
          <w:lang w:val="en-US"/>
        </w:rPr>
        <w:t>Abella</w:t>
      </w:r>
      <w:proofErr w:type="spellEnd"/>
      <w:r>
        <w:rPr>
          <w:lang w:val="en-US"/>
        </w:rPr>
        <w:t xml:space="preserve"> and </w:t>
      </w:r>
      <w:proofErr w:type="spellStart"/>
      <w:r>
        <w:rPr>
          <w:lang w:val="en-US"/>
        </w:rPr>
        <w:t>Karakatsanis</w:t>
      </w:r>
      <w:proofErr w:type="spellEnd"/>
      <w:r w:rsidR="00BC7291">
        <w:rPr>
          <w:lang w:val="en-US"/>
        </w:rPr>
        <w:t xml:space="preserve"> JJ.</w:t>
      </w:r>
      <w:proofErr w:type="gramEnd"/>
      <w:r>
        <w:rPr>
          <w:lang w:val="en-US"/>
        </w:rPr>
        <w:t xml:space="preserve"> </w:t>
      </w:r>
      <w:proofErr w:type="gramStart"/>
      <w:r>
        <w:rPr>
          <w:lang w:val="en-US"/>
        </w:rPr>
        <w:t>were</w:t>
      </w:r>
      <w:proofErr w:type="gramEnd"/>
      <w:r>
        <w:rPr>
          <w:lang w:val="en-US"/>
        </w:rPr>
        <w:t xml:space="preserve"> delivered by</w:t>
      </w:r>
    </w:p>
    <w:p w:rsidR="00FC6143" w:rsidRPr="007505D5" w:rsidRDefault="00FC6143" w:rsidP="00FC6143">
      <w:pPr>
        <w:pStyle w:val="JudgeJuge"/>
      </w:pPr>
      <w:r w:rsidRPr="007505D5">
        <w:tab/>
      </w:r>
      <w:proofErr w:type="spellStart"/>
      <w:r w:rsidRPr="007505D5">
        <w:t>Karakatsanis</w:t>
      </w:r>
      <w:proofErr w:type="spellEnd"/>
      <w:r w:rsidRPr="007505D5">
        <w:t xml:space="preserve"> J.</w:t>
      </w:r>
      <w:r w:rsidR="00DC5B10">
        <w:t xml:space="preserve"> </w:t>
      </w:r>
      <w:r w:rsidR="00DC5B10" w:rsidRPr="00DC5B10">
        <w:rPr>
          <w:smallCaps w:val="0"/>
        </w:rPr>
        <w:t>(dissenting)</w:t>
      </w:r>
      <w:r w:rsidR="00DC5B10">
        <w:t xml:space="preserve"> </w:t>
      </w:r>
      <w:r w:rsidRPr="007505D5">
        <w:t xml:space="preserve">— </w:t>
      </w:r>
    </w:p>
    <w:p w:rsidR="00FC6143" w:rsidRPr="007505D5" w:rsidRDefault="00FC6143" w:rsidP="00FC6143">
      <w:pPr>
        <w:pStyle w:val="TitleTitre-AltT"/>
        <w:rPr>
          <w:rFonts w:cs="Times New Roman"/>
        </w:rPr>
      </w:pPr>
      <w:r w:rsidRPr="007505D5">
        <w:rPr>
          <w:rFonts w:cs="Times New Roman"/>
        </w:rPr>
        <w:t>I.</w:t>
      </w:r>
      <w:r w:rsidRPr="007505D5">
        <w:rPr>
          <w:rFonts w:cs="Times New Roman"/>
        </w:rPr>
        <w:tab/>
      </w:r>
      <w:r w:rsidRPr="007505D5">
        <w:rPr>
          <w:rFonts w:cs="Times New Roman"/>
          <w:u w:val="single"/>
        </w:rPr>
        <w:t>Introduction</w:t>
      </w:r>
    </w:p>
    <w:p w:rsidR="00FC6143" w:rsidRPr="007505D5" w:rsidRDefault="00FC6143" w:rsidP="00FC6143">
      <w:pPr>
        <w:pStyle w:val="ParaNoNdepar-AltN"/>
        <w:tabs>
          <w:tab w:val="clear" w:pos="1166"/>
          <w:tab w:val="num" w:pos="1152"/>
        </w:tabs>
        <w:rPr>
          <w:rFonts w:cs="Times New Roman"/>
        </w:rPr>
      </w:pPr>
      <w:r w:rsidRPr="007505D5">
        <w:rPr>
          <w:rFonts w:cs="Times New Roman"/>
        </w:rPr>
        <w:t xml:space="preserve">Section 23 of the </w:t>
      </w:r>
      <w:r w:rsidRPr="007505D5">
        <w:rPr>
          <w:rFonts w:cs="Times New Roman"/>
          <w:i/>
        </w:rPr>
        <w:t>Canadian Charter of Rights and Freedoms</w:t>
      </w:r>
      <w:r w:rsidRPr="007505D5">
        <w:rPr>
          <w:rFonts w:cs="Times New Roman"/>
        </w:rPr>
        <w:t xml:space="preserve"> gave life to the </w:t>
      </w:r>
      <w:proofErr w:type="spellStart"/>
      <w:r w:rsidRPr="007505D5">
        <w:rPr>
          <w:rFonts w:cs="Times New Roman"/>
        </w:rPr>
        <w:t>Conseil</w:t>
      </w:r>
      <w:proofErr w:type="spellEnd"/>
      <w:r w:rsidRPr="007505D5">
        <w:rPr>
          <w:rFonts w:cs="Times New Roman"/>
        </w:rPr>
        <w:t xml:space="preserve"> </w:t>
      </w:r>
      <w:proofErr w:type="spellStart"/>
      <w:r w:rsidRPr="007505D5">
        <w:rPr>
          <w:rFonts w:cs="Times New Roman"/>
        </w:rPr>
        <w:t>scolaire</w:t>
      </w:r>
      <w:proofErr w:type="spellEnd"/>
      <w:r w:rsidRPr="007505D5">
        <w:rPr>
          <w:rFonts w:cs="Times New Roman"/>
        </w:rPr>
        <w:t xml:space="preserve"> francophone de la </w:t>
      </w:r>
      <w:proofErr w:type="spellStart"/>
      <w:r w:rsidRPr="007505D5">
        <w:rPr>
          <w:rFonts w:cs="Times New Roman"/>
        </w:rPr>
        <w:t>Colombie-Britannique</w:t>
      </w:r>
      <w:proofErr w:type="spellEnd"/>
      <w:r w:rsidRPr="007505D5">
        <w:rPr>
          <w:rFonts w:cs="Times New Roman"/>
        </w:rPr>
        <w:t xml:space="preserve"> (“</w:t>
      </w:r>
      <w:proofErr w:type="spellStart"/>
      <w:r w:rsidRPr="007505D5">
        <w:rPr>
          <w:rFonts w:cs="Times New Roman"/>
        </w:rPr>
        <w:t>Conseil</w:t>
      </w:r>
      <w:proofErr w:type="spellEnd"/>
      <w:r w:rsidRPr="007505D5">
        <w:rPr>
          <w:rFonts w:cs="Times New Roman"/>
        </w:rPr>
        <w:t xml:space="preserve">”), a French language school board.  The </w:t>
      </w:r>
      <w:proofErr w:type="spellStart"/>
      <w:r w:rsidRPr="007505D5">
        <w:rPr>
          <w:rFonts w:cs="Times New Roman"/>
        </w:rPr>
        <w:t>Conseil</w:t>
      </w:r>
      <w:proofErr w:type="spellEnd"/>
      <w:r w:rsidRPr="007505D5">
        <w:rPr>
          <w:rFonts w:cs="Times New Roman"/>
        </w:rPr>
        <w:t xml:space="preserve"> was created by statute passed by the British Columbia legislature pursuant to s. 23 </w:t>
      </w:r>
      <w:r w:rsidRPr="007505D5">
        <w:rPr>
          <w:rFonts w:cs="Times New Roman"/>
          <w:i/>
        </w:rPr>
        <w:t>Charter</w:t>
      </w:r>
      <w:r w:rsidR="0001584D">
        <w:rPr>
          <w:rFonts w:cs="Times New Roman"/>
        </w:rPr>
        <w:t xml:space="preserve"> rights of the French-</w:t>
      </w:r>
      <w:r w:rsidRPr="007505D5">
        <w:rPr>
          <w:rFonts w:cs="Times New Roman"/>
        </w:rPr>
        <w:t xml:space="preserve">speaking residents of the province. In the course of its daily functions, the </w:t>
      </w:r>
      <w:proofErr w:type="spellStart"/>
      <w:r w:rsidRPr="007505D5">
        <w:rPr>
          <w:rFonts w:cs="Times New Roman"/>
        </w:rPr>
        <w:t>Conseil</w:t>
      </w:r>
      <w:proofErr w:type="spellEnd"/>
      <w:r w:rsidRPr="007505D5">
        <w:rPr>
          <w:rFonts w:cs="Times New Roman"/>
        </w:rPr>
        <w:t xml:space="preserve"> created internal documents in French</w:t>
      </w:r>
      <w:r w:rsidR="001C41B8">
        <w:rPr>
          <w:rFonts w:cs="Times New Roman"/>
        </w:rPr>
        <w:t xml:space="preserve"> </w:t>
      </w:r>
      <w:r w:rsidRPr="007505D5">
        <w:rPr>
          <w:rFonts w:cs="Times New Roman"/>
        </w:rPr>
        <w:t xml:space="preserve">regarding its mandate, vision, activities, policies, and procedures.  These documents represent artifacts of the </w:t>
      </w:r>
      <w:proofErr w:type="spellStart"/>
      <w:r w:rsidRPr="007505D5">
        <w:rPr>
          <w:rFonts w:cs="Times New Roman"/>
        </w:rPr>
        <w:t>Conseil’s</w:t>
      </w:r>
      <w:proofErr w:type="spellEnd"/>
      <w:r w:rsidRPr="007505D5">
        <w:rPr>
          <w:rFonts w:cs="Times New Roman"/>
        </w:rPr>
        <w:t xml:space="preserve"> right to exist under s. 23 of the </w:t>
      </w:r>
      <w:r w:rsidRPr="007505D5">
        <w:rPr>
          <w:rFonts w:cs="Times New Roman"/>
          <w:i/>
        </w:rPr>
        <w:t>Charter</w:t>
      </w:r>
      <w:r w:rsidRPr="007505D5">
        <w:rPr>
          <w:rFonts w:cs="Times New Roman"/>
        </w:rPr>
        <w:t xml:space="preserve"> and are direct expressions of the linguistic duality of Canada.</w:t>
      </w:r>
    </w:p>
    <w:p w:rsidR="00FC6143" w:rsidRPr="007505D5" w:rsidRDefault="00FC6143" w:rsidP="00FC6143">
      <w:pPr>
        <w:pStyle w:val="ParaNoNdepar-AltN"/>
        <w:tabs>
          <w:tab w:val="clear" w:pos="1166"/>
          <w:tab w:val="num" w:pos="1152"/>
        </w:tabs>
        <w:rPr>
          <w:rFonts w:cs="Times New Roman"/>
        </w:rPr>
      </w:pPr>
      <w:r w:rsidRPr="007505D5">
        <w:rPr>
          <w:rFonts w:cs="Times New Roman"/>
        </w:rPr>
        <w:t xml:space="preserve">The </w:t>
      </w:r>
      <w:proofErr w:type="spellStart"/>
      <w:r w:rsidRPr="007505D5">
        <w:rPr>
          <w:rFonts w:cs="Times New Roman"/>
        </w:rPr>
        <w:t>Conseil</w:t>
      </w:r>
      <w:proofErr w:type="spellEnd"/>
      <w:r w:rsidRPr="007505D5">
        <w:rPr>
          <w:rFonts w:cs="Times New Roman"/>
        </w:rPr>
        <w:t xml:space="preserve">, along with a federation of Francophone parents, sought to file these documents, in their original French form, in the British Columbia Supreme Court as exhibits supporting its claim of standing in litigation against the Province of British Columbia.  The underlying litigation alleges the violation of French language education rights as guaranteed by s. 23 of the </w:t>
      </w:r>
      <w:r w:rsidRPr="007505D5">
        <w:rPr>
          <w:rFonts w:cs="Times New Roman"/>
          <w:i/>
        </w:rPr>
        <w:t>Charter</w:t>
      </w:r>
      <w:r w:rsidRPr="007505D5">
        <w:rPr>
          <w:rFonts w:cs="Times New Roman"/>
        </w:rPr>
        <w:t xml:space="preserve">.  The </w:t>
      </w:r>
      <w:proofErr w:type="spellStart"/>
      <w:r w:rsidRPr="007505D5">
        <w:rPr>
          <w:rFonts w:cs="Times New Roman"/>
        </w:rPr>
        <w:t>Conseil</w:t>
      </w:r>
      <w:proofErr w:type="spellEnd"/>
      <w:r w:rsidRPr="007505D5">
        <w:rPr>
          <w:rFonts w:cs="Times New Roman"/>
        </w:rPr>
        <w:t xml:space="preserve"> asked the court to </w:t>
      </w:r>
      <w:r w:rsidRPr="007505D5">
        <w:rPr>
          <w:rFonts w:cs="Times New Roman"/>
        </w:rPr>
        <w:lastRenderedPageBreak/>
        <w:t>exercise its judicial discretion to permit these documents to be admitted as evidence on the standing motion.</w:t>
      </w:r>
    </w:p>
    <w:p w:rsidR="00FC6143" w:rsidRPr="007505D5" w:rsidRDefault="00FC6143" w:rsidP="00FC6143">
      <w:pPr>
        <w:pStyle w:val="ParaNoNdepar-AltN"/>
        <w:tabs>
          <w:tab w:val="clear" w:pos="1166"/>
          <w:tab w:val="num" w:pos="1152"/>
        </w:tabs>
        <w:rPr>
          <w:rFonts w:cs="Times New Roman"/>
        </w:rPr>
      </w:pPr>
      <w:r w:rsidRPr="007505D5">
        <w:rPr>
          <w:rFonts w:cs="Times New Roman"/>
        </w:rPr>
        <w:t>The courts below concluded that an English statute from 1731, received into British Columbia law, precludes the admission of exhibits in any language but English and that there was no judicial discretion to consider whether to accept documents written in French.  The majority of this Court agrees.</w:t>
      </w:r>
    </w:p>
    <w:p w:rsidR="00FC6143" w:rsidRPr="007505D5" w:rsidRDefault="00FC6143" w:rsidP="00FC6143">
      <w:pPr>
        <w:pStyle w:val="ParaNoNdepar-AltN"/>
        <w:tabs>
          <w:tab w:val="clear" w:pos="1166"/>
          <w:tab w:val="num" w:pos="1152"/>
        </w:tabs>
        <w:rPr>
          <w:rFonts w:cs="Times New Roman"/>
        </w:rPr>
      </w:pPr>
      <w:r w:rsidRPr="007505D5">
        <w:rPr>
          <w:rFonts w:cs="Times New Roman"/>
        </w:rPr>
        <w:t xml:space="preserve">With respect, and for the reasons that follow, I do not accept that either the received 1731 English statute </w:t>
      </w:r>
      <w:r w:rsidRPr="007505D5">
        <w:rPr>
          <w:rStyle w:val="st1"/>
          <w:rFonts w:cs="Times New Roman"/>
        </w:rPr>
        <w:t xml:space="preserve">— </w:t>
      </w:r>
      <w:r w:rsidRPr="007505D5">
        <w:rPr>
          <w:rStyle w:val="st1"/>
          <w:rFonts w:cs="Times New Roman"/>
          <w:i/>
        </w:rPr>
        <w:t>An Act that all Proceedings in</w:t>
      </w:r>
      <w:r w:rsidR="0001584D">
        <w:rPr>
          <w:rStyle w:val="st1"/>
          <w:rFonts w:cs="Times New Roman"/>
          <w:i/>
        </w:rPr>
        <w:t xml:space="preserve"> Courts of Justice within that P</w:t>
      </w:r>
      <w:r w:rsidRPr="007505D5">
        <w:rPr>
          <w:rStyle w:val="st1"/>
          <w:rFonts w:cs="Times New Roman"/>
          <w:i/>
        </w:rPr>
        <w:t>art of Great Britain called England, and in the Court of Exchequer in Scotland, shall be in the English Language</w:t>
      </w:r>
      <w:r w:rsidR="001C41B8">
        <w:rPr>
          <w:rStyle w:val="st1"/>
          <w:rFonts w:cs="Times New Roman"/>
          <w:i/>
        </w:rPr>
        <w:t xml:space="preserve"> </w:t>
      </w:r>
      <w:r w:rsidR="001C41B8" w:rsidRPr="001C41B8">
        <w:rPr>
          <w:rStyle w:val="st1"/>
          <w:rFonts w:cs="Times New Roman"/>
        </w:rPr>
        <w:t>(G.B.)</w:t>
      </w:r>
      <w:r w:rsidRPr="007505D5">
        <w:rPr>
          <w:rStyle w:val="st1"/>
          <w:rFonts w:cs="Times New Roman"/>
        </w:rPr>
        <w:t xml:space="preserve">, 1731, </w:t>
      </w:r>
      <w:r w:rsidR="001C41B8">
        <w:rPr>
          <w:rFonts w:cs="Times New Roman"/>
        </w:rPr>
        <w:t>4 Geo. II, c. 26 (</w:t>
      </w:r>
      <w:r w:rsidRPr="007505D5">
        <w:rPr>
          <w:rFonts w:cs="Times New Roman"/>
        </w:rPr>
        <w:t xml:space="preserve">the </w:t>
      </w:r>
      <w:r w:rsidR="001C41B8">
        <w:rPr>
          <w:rFonts w:cs="Times New Roman"/>
        </w:rPr>
        <w:t>“</w:t>
      </w:r>
      <w:r w:rsidRPr="007505D5">
        <w:rPr>
          <w:rFonts w:cs="Times New Roman"/>
          <w:i/>
        </w:rPr>
        <w:t>1731 Act</w:t>
      </w:r>
      <w:r w:rsidRPr="007505D5">
        <w:rPr>
          <w:rFonts w:cs="Times New Roman"/>
        </w:rPr>
        <w:t xml:space="preserve">”) </w:t>
      </w:r>
      <w:r w:rsidRPr="007505D5">
        <w:rPr>
          <w:rStyle w:val="st1"/>
          <w:rFonts w:cs="Times New Roman"/>
        </w:rPr>
        <w:t xml:space="preserve"> — </w:t>
      </w:r>
      <w:r w:rsidRPr="007505D5">
        <w:rPr>
          <w:rFonts w:cs="Times New Roman"/>
        </w:rPr>
        <w:t xml:space="preserve">or the British Columbia </w:t>
      </w:r>
      <w:r w:rsidRPr="007505D5">
        <w:rPr>
          <w:rFonts w:cs="Times New Roman"/>
          <w:i/>
        </w:rPr>
        <w:t>Supreme Court</w:t>
      </w:r>
      <w:r w:rsidRPr="007505D5">
        <w:rPr>
          <w:rFonts w:cs="Times New Roman"/>
        </w:rPr>
        <w:t xml:space="preserve"> </w:t>
      </w:r>
      <w:r w:rsidRPr="007505D5">
        <w:rPr>
          <w:rFonts w:cs="Times New Roman"/>
          <w:i/>
        </w:rPr>
        <w:t>Civil Rules</w:t>
      </w:r>
      <w:r w:rsidRPr="007505D5">
        <w:rPr>
          <w:rFonts w:cs="Times New Roman"/>
        </w:rPr>
        <w:t>, B.C.</w:t>
      </w:r>
      <w:r w:rsidR="001C41B8">
        <w:rPr>
          <w:rFonts w:cs="Times New Roman"/>
        </w:rPr>
        <w:t xml:space="preserve"> Reg. 168/2009 (“</w:t>
      </w:r>
      <w:r w:rsidRPr="007505D5">
        <w:rPr>
          <w:rFonts w:cs="Times New Roman"/>
          <w:i/>
        </w:rPr>
        <w:t>Civil Rules</w:t>
      </w:r>
      <w:r w:rsidRPr="007505D5">
        <w:rPr>
          <w:rFonts w:cs="Times New Roman"/>
        </w:rPr>
        <w:t>”), preclude a superior court judge from accepting as exhibits documents that were prepared in French in the course of business well before litigation was contemplated.  I conclude that the British Columbia legislature has not ousted the inherent jurisdiction of the courts to do so.</w:t>
      </w:r>
    </w:p>
    <w:p w:rsidR="00FC6143" w:rsidRPr="007505D5" w:rsidRDefault="00FC6143" w:rsidP="00FC6143">
      <w:pPr>
        <w:pStyle w:val="ParaNoNdepar-AltN"/>
        <w:tabs>
          <w:tab w:val="clear" w:pos="1166"/>
          <w:tab w:val="num" w:pos="1152"/>
        </w:tabs>
        <w:rPr>
          <w:rFonts w:cs="Times New Roman"/>
        </w:rPr>
      </w:pPr>
      <w:r w:rsidRPr="007505D5">
        <w:rPr>
          <w:rFonts w:cs="Times New Roman"/>
        </w:rPr>
        <w:t>In the absence of a clear legislative prohibition ousting the court’s inherent jurisdiction to accept such documents and admit them into evidence, the motion judge should be permitted to consider and decide whether to do so.  I would allow the appeal and remit the matter back to the B.C. Supreme Court.</w:t>
      </w:r>
    </w:p>
    <w:p w:rsidR="00FC6143" w:rsidRPr="007505D5" w:rsidRDefault="00FC6143" w:rsidP="001C41B8">
      <w:pPr>
        <w:pStyle w:val="TitleTitre-AltT"/>
        <w:tabs>
          <w:tab w:val="clear" w:pos="360"/>
          <w:tab w:val="left" w:pos="540"/>
        </w:tabs>
        <w:ind w:left="540" w:hanging="540"/>
        <w:rPr>
          <w:rFonts w:cs="Times New Roman"/>
        </w:rPr>
      </w:pPr>
      <w:r w:rsidRPr="007505D5">
        <w:rPr>
          <w:rFonts w:cs="Times New Roman"/>
        </w:rPr>
        <w:t>II.</w:t>
      </w:r>
      <w:r w:rsidRPr="007505D5">
        <w:rPr>
          <w:rFonts w:cs="Times New Roman"/>
        </w:rPr>
        <w:tab/>
      </w:r>
      <w:r w:rsidRPr="007505D5">
        <w:rPr>
          <w:rFonts w:cs="Times New Roman"/>
          <w:u w:val="single"/>
        </w:rPr>
        <w:t>Analysis</w:t>
      </w:r>
    </w:p>
    <w:p w:rsidR="00FC6143" w:rsidRDefault="00FC6143" w:rsidP="00FC6143">
      <w:pPr>
        <w:pStyle w:val="ParaNoNdepar-AltN"/>
        <w:tabs>
          <w:tab w:val="clear" w:pos="1166"/>
          <w:tab w:val="num" w:pos="1152"/>
        </w:tabs>
        <w:rPr>
          <w:rFonts w:cs="Times New Roman"/>
        </w:rPr>
      </w:pPr>
      <w:r w:rsidRPr="007505D5">
        <w:rPr>
          <w:rFonts w:cs="Times New Roman"/>
        </w:rPr>
        <w:lastRenderedPageBreak/>
        <w:t>Although this motion arises in the context of a language rights tria</w:t>
      </w:r>
      <w:r w:rsidR="001C41B8">
        <w:rPr>
          <w:rFonts w:cs="Times New Roman"/>
        </w:rPr>
        <w:t>l, the legal issue is narrow:  D</w:t>
      </w:r>
      <w:r w:rsidRPr="007505D5">
        <w:rPr>
          <w:rFonts w:cs="Times New Roman"/>
        </w:rPr>
        <w:t>oes any legislation in force in British Columbia preclude a superior court in that province from exercising its inherent jurisdiction to admit exhibits in French?</w:t>
      </w:r>
    </w:p>
    <w:p w:rsidR="00FC6143" w:rsidRPr="007505D5" w:rsidRDefault="00FC6143" w:rsidP="00FC6143">
      <w:pPr>
        <w:pStyle w:val="TitleTitre-AltT"/>
        <w:rPr>
          <w:rFonts w:cs="Times New Roman"/>
          <w:i/>
        </w:rPr>
      </w:pPr>
      <w:r w:rsidRPr="007505D5">
        <w:rPr>
          <w:rFonts w:cs="Times New Roman"/>
        </w:rPr>
        <w:t>A.</w:t>
      </w:r>
      <w:r w:rsidRPr="007505D5">
        <w:rPr>
          <w:rFonts w:cs="Times New Roman"/>
          <w:i/>
        </w:rPr>
        <w:tab/>
        <w:t xml:space="preserve">Courts Have </w:t>
      </w:r>
      <w:r w:rsidR="001C41B8">
        <w:rPr>
          <w:rFonts w:cs="Times New Roman"/>
          <w:i/>
        </w:rPr>
        <w:t>Inherent Jurisdiction to Fulfil</w:t>
      </w:r>
      <w:r w:rsidRPr="007505D5">
        <w:rPr>
          <w:rFonts w:cs="Times New Roman"/>
          <w:i/>
        </w:rPr>
        <w:t xml:space="preserve"> Their Judicial Functions</w:t>
      </w:r>
    </w:p>
    <w:p w:rsidR="00FC6143" w:rsidRPr="007505D5" w:rsidRDefault="00FC6143" w:rsidP="00FC6143">
      <w:pPr>
        <w:pStyle w:val="ParaNoNdepar-AltN"/>
        <w:tabs>
          <w:tab w:val="clear" w:pos="1166"/>
          <w:tab w:val="num" w:pos="1152"/>
        </w:tabs>
        <w:rPr>
          <w:rFonts w:cs="Times New Roman"/>
          <w:b/>
        </w:rPr>
      </w:pPr>
      <w:r w:rsidRPr="007505D5">
        <w:rPr>
          <w:rFonts w:cs="Times New Roman"/>
        </w:rPr>
        <w:t xml:space="preserve">Inherent jurisdiction was described by this Court in </w:t>
      </w:r>
      <w:r w:rsidRPr="007505D5">
        <w:rPr>
          <w:rFonts w:cs="Times New Roman"/>
          <w:i/>
        </w:rPr>
        <w:t>R. v. Caron</w:t>
      </w:r>
      <w:r w:rsidRPr="007505D5">
        <w:rPr>
          <w:rFonts w:cs="Times New Roman"/>
        </w:rPr>
        <w:t>,</w:t>
      </w:r>
      <w:r w:rsidRPr="007505D5">
        <w:rPr>
          <w:rFonts w:cs="Times New Roman"/>
          <w:i/>
        </w:rPr>
        <w:t xml:space="preserve"> </w:t>
      </w:r>
      <w:r w:rsidRPr="007505D5">
        <w:rPr>
          <w:rFonts w:cs="Times New Roman"/>
        </w:rPr>
        <w:t xml:space="preserve">2011 SCC 5, [2011] 1 S.C.R. 78, at </w:t>
      </w:r>
      <w:proofErr w:type="spellStart"/>
      <w:r w:rsidRPr="007505D5">
        <w:rPr>
          <w:rFonts w:cs="Times New Roman"/>
        </w:rPr>
        <w:t>para</w:t>
      </w:r>
      <w:proofErr w:type="spellEnd"/>
      <w:r w:rsidRPr="007505D5">
        <w:rPr>
          <w:rFonts w:cs="Times New Roman"/>
        </w:rPr>
        <w:t>. 24:</w:t>
      </w:r>
    </w:p>
    <w:p w:rsidR="00FC6143" w:rsidRPr="007505D5" w:rsidRDefault="00FC6143" w:rsidP="00FC6143">
      <w:pPr>
        <w:pStyle w:val="Citation-AltC"/>
        <w:ind w:firstLine="454"/>
      </w:pPr>
      <w:r w:rsidRPr="007505D5">
        <w:t xml:space="preserve">The inherent jurisdiction of the provincial superior </w:t>
      </w:r>
      <w:proofErr w:type="gramStart"/>
      <w:r w:rsidRPr="007505D5">
        <w:t>courts,</w:t>
      </w:r>
      <w:proofErr w:type="gramEnd"/>
      <w:r w:rsidRPr="007505D5">
        <w:t xml:space="preserve"> is broadly defined as “a residual source of powers, which the court may draw upon as necessary whenever it is just or equitable to do so”:  I. H. Jacob, “The Inherent Jurisdiction of the Court” (1970), 23 </w:t>
      </w:r>
      <w:proofErr w:type="spellStart"/>
      <w:r w:rsidRPr="007505D5">
        <w:rPr>
          <w:i/>
          <w:iCs/>
        </w:rPr>
        <w:t>Curr</w:t>
      </w:r>
      <w:proofErr w:type="spellEnd"/>
      <w:r w:rsidRPr="007505D5">
        <w:rPr>
          <w:i/>
          <w:iCs/>
        </w:rPr>
        <w:t>. Legal Probs.</w:t>
      </w:r>
      <w:r w:rsidRPr="007505D5">
        <w:t xml:space="preserve"> 23, at p. 51.   These powers are derived “not from any statute or rule of law, but from the very nature of the court as a superior court of law” (Jacob, at p. 27) to enable “the judiciary to uphold, to protect and to fulfil the judicial function of administering justice according to law in a regular, orderly and effective manner” (p. 28).</w:t>
      </w:r>
    </w:p>
    <w:p w:rsidR="00FC6143" w:rsidRPr="007505D5" w:rsidRDefault="00FC6143" w:rsidP="00FC6143">
      <w:pPr>
        <w:pStyle w:val="ParaNoNdepar-AltN"/>
        <w:tabs>
          <w:tab w:val="clear" w:pos="1166"/>
          <w:tab w:val="num" w:pos="1152"/>
        </w:tabs>
        <w:rPr>
          <w:rFonts w:cs="Times New Roman"/>
        </w:rPr>
      </w:pPr>
      <w:r w:rsidRPr="007505D5">
        <w:rPr>
          <w:rFonts w:cs="Times New Roman"/>
        </w:rPr>
        <w:t xml:space="preserve">While the specific exercise of inherent jurisdiction may be ousted by applicable and relevant legislation, the power is otherwise broad and </w:t>
      </w:r>
      <w:r w:rsidR="001517C9">
        <w:rPr>
          <w:rFonts w:cs="Times New Roman"/>
        </w:rPr>
        <w:t>supplementary.  As Jacob writes</w:t>
      </w:r>
      <w:r w:rsidR="001C41B8">
        <w:rPr>
          <w:rFonts w:cs="Times New Roman"/>
        </w:rPr>
        <w:t>:</w:t>
      </w:r>
    </w:p>
    <w:p w:rsidR="00FC6143" w:rsidRPr="007505D5" w:rsidRDefault="00FC6143" w:rsidP="00FC6143">
      <w:pPr>
        <w:pStyle w:val="Citation-AltC"/>
        <w:ind w:firstLine="454"/>
      </w:pPr>
      <w:r w:rsidRPr="007505D5">
        <w:t xml:space="preserve">The inherent jurisdiction of the court may be exercised in any given case, notwithstanding that there are Rules of Court governing the circumstances of such case. </w:t>
      </w:r>
      <w:r>
        <w:t xml:space="preserve"> </w:t>
      </w:r>
      <w:r w:rsidRPr="007505D5">
        <w:t xml:space="preserve">The powers conferred by Rules of Court are, generally speaking, additional to, and not in substitution of, powers arising out of the inherent jurisdiction of the court.  The two heads of powers are generally cumulative, and not mutually exclusive, so that in </w:t>
      </w:r>
      <w:r w:rsidRPr="007505D5">
        <w:lastRenderedPageBreak/>
        <w:t>any given case, the court is able to proceed under either or</w:t>
      </w:r>
      <w:r w:rsidR="001C41B8">
        <w:t xml:space="preserve"> both heads of jurisdiction. </w:t>
      </w:r>
    </w:p>
    <w:p w:rsidR="00FC6143" w:rsidRPr="007505D5" w:rsidRDefault="00FC6143" w:rsidP="00FC6143">
      <w:pPr>
        <w:pStyle w:val="Citation-AltC"/>
      </w:pPr>
    </w:p>
    <w:p w:rsidR="00FC6143" w:rsidRPr="007505D5" w:rsidRDefault="00FC6143" w:rsidP="001C41B8">
      <w:pPr>
        <w:pStyle w:val="Citation-AltC"/>
        <w:ind w:left="0"/>
      </w:pPr>
      <w:proofErr w:type="gramStart"/>
      <w:r w:rsidRPr="007505D5">
        <w:t xml:space="preserve">(I. H. Jacob, </w:t>
      </w:r>
      <w:r w:rsidRPr="007505D5">
        <w:rPr>
          <w:lang w:val="en-US"/>
        </w:rPr>
        <w:t xml:space="preserve">“The Inherent Jurisdiction of the Court” (1970), 23 </w:t>
      </w:r>
      <w:proofErr w:type="spellStart"/>
      <w:r w:rsidRPr="007505D5">
        <w:rPr>
          <w:i/>
          <w:lang w:val="en-US"/>
        </w:rPr>
        <w:t>Curr</w:t>
      </w:r>
      <w:proofErr w:type="spellEnd"/>
      <w:r w:rsidRPr="007505D5">
        <w:rPr>
          <w:i/>
          <w:lang w:val="en-US"/>
        </w:rPr>
        <w:t>.</w:t>
      </w:r>
      <w:proofErr w:type="gramEnd"/>
      <w:r w:rsidRPr="007505D5">
        <w:rPr>
          <w:i/>
          <w:lang w:val="en-US"/>
        </w:rPr>
        <w:t xml:space="preserve"> Legal Probs.</w:t>
      </w:r>
      <w:r w:rsidRPr="007505D5">
        <w:rPr>
          <w:lang w:val="en-US"/>
        </w:rPr>
        <w:t xml:space="preserve"> 23</w:t>
      </w:r>
      <w:r w:rsidR="001C41B8">
        <w:rPr>
          <w:lang w:val="en-US"/>
        </w:rPr>
        <w:t>, at p. 25</w:t>
      </w:r>
      <w:r w:rsidRPr="007505D5">
        <w:rPr>
          <w:lang w:val="en-US"/>
        </w:rPr>
        <w:t>)</w:t>
      </w:r>
    </w:p>
    <w:p w:rsidR="00FC6143" w:rsidRPr="007505D5" w:rsidRDefault="00FC6143" w:rsidP="00FC6143">
      <w:pPr>
        <w:pStyle w:val="ParaNoNdepar-AltN"/>
        <w:tabs>
          <w:tab w:val="clear" w:pos="1166"/>
          <w:tab w:val="num" w:pos="1152"/>
        </w:tabs>
        <w:rPr>
          <w:rFonts w:cs="Times New Roman"/>
        </w:rPr>
      </w:pPr>
      <w:r w:rsidRPr="007505D5">
        <w:rPr>
          <w:rFonts w:cs="Times New Roman"/>
        </w:rPr>
        <w:t>There is no real dispute that a B.C. superior court may exercise its inherent jurisdiction to receive documents written in French as evidence unless prohibited by law.</w:t>
      </w:r>
      <w:r>
        <w:rPr>
          <w:rFonts w:cs="Times New Roman"/>
        </w:rPr>
        <w:t xml:space="preserve"> </w:t>
      </w:r>
      <w:r w:rsidRPr="007505D5">
        <w:rPr>
          <w:rFonts w:cs="Times New Roman"/>
        </w:rPr>
        <w:t xml:space="preserve"> At </w:t>
      </w:r>
      <w:proofErr w:type="spellStart"/>
      <w:r w:rsidRPr="007505D5">
        <w:rPr>
          <w:rFonts w:cs="Times New Roman"/>
        </w:rPr>
        <w:t>para</w:t>
      </w:r>
      <w:proofErr w:type="spellEnd"/>
      <w:r w:rsidRPr="007505D5">
        <w:rPr>
          <w:rFonts w:cs="Times New Roman"/>
        </w:rPr>
        <w:t xml:space="preserve">. 32 of </w:t>
      </w:r>
      <w:r w:rsidRPr="007505D5">
        <w:rPr>
          <w:rFonts w:cs="Times New Roman"/>
          <w:i/>
        </w:rPr>
        <w:t>Caron</w:t>
      </w:r>
      <w:r w:rsidRPr="007505D5">
        <w:rPr>
          <w:rFonts w:cs="Times New Roman"/>
        </w:rPr>
        <w:t>, this Court cited Jacob (at p. 24): “. . . the court may exercise its inherent jurisdiction even in respect of matters which are regulated by statute or by rule of court, so long as it can do so without contravening any statutory provision” (emphasis deleted).</w:t>
      </w:r>
    </w:p>
    <w:p w:rsidR="00FC6143" w:rsidRPr="007505D5" w:rsidRDefault="00FC6143" w:rsidP="00FC6143">
      <w:pPr>
        <w:pStyle w:val="ParaNoNdepar-AltN"/>
        <w:tabs>
          <w:tab w:val="clear" w:pos="1166"/>
          <w:tab w:val="num" w:pos="1152"/>
        </w:tabs>
        <w:rPr>
          <w:rFonts w:cs="Times New Roman"/>
        </w:rPr>
      </w:pPr>
      <w:r w:rsidRPr="007505D5">
        <w:rPr>
          <w:rFonts w:cs="Times New Roman"/>
        </w:rPr>
        <w:t>The question before us is whether any applicable legislation ousts a superior court’s inherent jurisdiction to consider whether to admit exhibits in French, in order to fulfil the judicial function of administering justice according to law in a regular, orderly, and effective manner.</w:t>
      </w:r>
    </w:p>
    <w:p w:rsidR="00FC6143" w:rsidRPr="000D2218" w:rsidRDefault="00FC6143" w:rsidP="00847D9F">
      <w:pPr>
        <w:pStyle w:val="TitleTitre-AltT"/>
        <w:tabs>
          <w:tab w:val="clear" w:pos="360"/>
          <w:tab w:val="left" w:pos="540"/>
        </w:tabs>
        <w:ind w:left="540" w:hanging="540"/>
        <w:rPr>
          <w:rStyle w:val="Strong"/>
          <w:rFonts w:cs="Times New Roman"/>
          <w:b w:val="0"/>
          <w:i/>
          <w:iCs/>
          <w:szCs w:val="24"/>
        </w:rPr>
      </w:pPr>
      <w:r w:rsidRPr="000D2218">
        <w:rPr>
          <w:rFonts w:cs="Times New Roman"/>
        </w:rPr>
        <w:t>B.</w:t>
      </w:r>
      <w:r w:rsidRPr="000D2218">
        <w:rPr>
          <w:rFonts w:cs="Times New Roman"/>
        </w:rPr>
        <w:tab/>
      </w:r>
      <w:r w:rsidRPr="000D2218">
        <w:rPr>
          <w:rStyle w:val="Strong"/>
          <w:rFonts w:cs="Times New Roman"/>
          <w:b w:val="0"/>
          <w:i/>
          <w:iCs/>
          <w:szCs w:val="24"/>
        </w:rPr>
        <w:t>Does the 1731 Act Preclude or Limit the Exercise of Inherent Jurisdiction to Admi</w:t>
      </w:r>
      <w:r w:rsidR="00CF0F56">
        <w:rPr>
          <w:rStyle w:val="Strong"/>
          <w:rFonts w:cs="Times New Roman"/>
          <w:b w:val="0"/>
          <w:i/>
          <w:iCs/>
          <w:szCs w:val="24"/>
        </w:rPr>
        <w:t xml:space="preserve">t a Document Written in French </w:t>
      </w:r>
      <w:proofErr w:type="gramStart"/>
      <w:r w:rsidR="00CF0F56">
        <w:rPr>
          <w:rStyle w:val="Strong"/>
          <w:rFonts w:cs="Times New Roman"/>
          <w:b w:val="0"/>
          <w:i/>
          <w:iCs/>
          <w:szCs w:val="24"/>
        </w:rPr>
        <w:t>I</w:t>
      </w:r>
      <w:r w:rsidRPr="000D2218">
        <w:rPr>
          <w:rStyle w:val="Strong"/>
          <w:rFonts w:cs="Times New Roman"/>
          <w:b w:val="0"/>
          <w:i/>
          <w:iCs/>
          <w:szCs w:val="24"/>
        </w:rPr>
        <w:t>nto</w:t>
      </w:r>
      <w:proofErr w:type="gramEnd"/>
      <w:r w:rsidRPr="000D2218">
        <w:rPr>
          <w:rStyle w:val="Strong"/>
          <w:rFonts w:cs="Times New Roman"/>
          <w:b w:val="0"/>
          <w:i/>
          <w:iCs/>
          <w:szCs w:val="24"/>
        </w:rPr>
        <w:t xml:space="preserve"> Evidence?</w:t>
      </w:r>
    </w:p>
    <w:p w:rsidR="00FC6143" w:rsidRPr="007505D5" w:rsidRDefault="000D2218" w:rsidP="000D2218">
      <w:pPr>
        <w:pStyle w:val="TitleTitre-AltT"/>
        <w:tabs>
          <w:tab w:val="clear" w:pos="360"/>
          <w:tab w:val="left" w:pos="1170"/>
          <w:tab w:val="left" w:pos="1800"/>
        </w:tabs>
        <w:ind w:left="1800" w:hanging="1800"/>
        <w:rPr>
          <w:rFonts w:cs="Times New Roman"/>
        </w:rPr>
      </w:pPr>
      <w:r>
        <w:rPr>
          <w:rFonts w:cs="Times New Roman"/>
        </w:rPr>
        <w:tab/>
        <w:t>(</w:t>
      </w:r>
      <w:r w:rsidR="00FC6143" w:rsidRPr="007505D5">
        <w:rPr>
          <w:rFonts w:cs="Times New Roman"/>
        </w:rPr>
        <w:t>1)</w:t>
      </w:r>
      <w:r w:rsidR="00FC6143" w:rsidRPr="007505D5">
        <w:rPr>
          <w:rFonts w:cs="Times New Roman"/>
        </w:rPr>
        <w:tab/>
      </w:r>
      <w:r w:rsidR="00FC6143" w:rsidRPr="007505D5">
        <w:rPr>
          <w:rFonts w:cs="Times New Roman"/>
          <w:u w:val="single"/>
        </w:rPr>
        <w:t xml:space="preserve">Does the </w:t>
      </w:r>
      <w:r w:rsidR="00FC6143" w:rsidRPr="0061661E">
        <w:rPr>
          <w:rFonts w:cs="Times New Roman"/>
          <w:i/>
          <w:u w:val="single"/>
        </w:rPr>
        <w:t>1731 Act</w:t>
      </w:r>
      <w:r w:rsidR="00FC6143" w:rsidRPr="007505D5">
        <w:rPr>
          <w:rFonts w:cs="Times New Roman"/>
          <w:u w:val="single"/>
        </w:rPr>
        <w:t xml:space="preserve"> Address the Language in Which Exhibits Shall Be Tendered?</w:t>
      </w:r>
    </w:p>
    <w:p w:rsidR="00FC6143" w:rsidRPr="007505D5" w:rsidRDefault="00FC6143" w:rsidP="00FC6143">
      <w:pPr>
        <w:pStyle w:val="ParaNoNdepar-AltN"/>
        <w:tabs>
          <w:tab w:val="clear" w:pos="1166"/>
          <w:tab w:val="num" w:pos="1152"/>
        </w:tabs>
        <w:rPr>
          <w:rFonts w:cs="Times New Roman"/>
        </w:rPr>
      </w:pPr>
      <w:r w:rsidRPr="007505D5">
        <w:rPr>
          <w:rFonts w:cs="Times New Roman"/>
        </w:rPr>
        <w:t>In 1867, before British Columbia joined Confederation, the existing colonial legislature stipulated that the laws in force in England on November 19, 1858</w:t>
      </w:r>
      <w:r w:rsidR="00CF0F56">
        <w:rPr>
          <w:rFonts w:cs="Times New Roman"/>
        </w:rPr>
        <w:t>,</w:t>
      </w:r>
      <w:r w:rsidRPr="007505D5">
        <w:rPr>
          <w:rFonts w:cs="Times New Roman"/>
        </w:rPr>
        <w:t xml:space="preserve"> would be considered to be in force in the nascent colony under </w:t>
      </w:r>
      <w:r w:rsidRPr="007505D5">
        <w:rPr>
          <w:rFonts w:cs="Times New Roman"/>
          <w:i/>
        </w:rPr>
        <w:t xml:space="preserve">The English </w:t>
      </w:r>
      <w:r w:rsidRPr="007505D5">
        <w:rPr>
          <w:rFonts w:cs="Times New Roman"/>
          <w:i/>
        </w:rPr>
        <w:lastRenderedPageBreak/>
        <w:t>Law Ordinance</w:t>
      </w:r>
      <w:r w:rsidRPr="000D2218">
        <w:rPr>
          <w:rFonts w:cs="Times New Roman"/>
          <w:i/>
        </w:rPr>
        <w:t>,</w:t>
      </w:r>
      <w:r w:rsidRPr="007505D5">
        <w:rPr>
          <w:rFonts w:cs="Times New Roman"/>
        </w:rPr>
        <w:t xml:space="preserve"> </w:t>
      </w:r>
      <w:r w:rsidRPr="007505D5">
        <w:rPr>
          <w:rFonts w:cs="Times New Roman"/>
          <w:i/>
        </w:rPr>
        <w:t>1867</w:t>
      </w:r>
      <w:r w:rsidRPr="007505D5">
        <w:rPr>
          <w:rFonts w:cs="Times New Roman"/>
        </w:rPr>
        <w:t xml:space="preserve">, S.B.C. 1867, </w:t>
      </w:r>
      <w:r w:rsidR="000D2218">
        <w:rPr>
          <w:rFonts w:cs="Times New Roman"/>
        </w:rPr>
        <w:t>No.</w:t>
      </w:r>
      <w:r w:rsidRPr="007505D5">
        <w:rPr>
          <w:rFonts w:cs="Times New Roman"/>
        </w:rPr>
        <w:t xml:space="preserve"> 7.</w:t>
      </w:r>
      <w:r>
        <w:rPr>
          <w:rFonts w:cs="Times New Roman"/>
        </w:rPr>
        <w:t xml:space="preserve">  </w:t>
      </w:r>
      <w:r w:rsidRPr="007505D5">
        <w:rPr>
          <w:rFonts w:cs="Times New Roman"/>
        </w:rPr>
        <w:t>Subsequent legislative amendments by the provincial legislature reconfirmed the reception of English law on that date</w:t>
      </w:r>
      <w:r w:rsidR="000D2218">
        <w:rPr>
          <w:rFonts w:cs="Times New Roman"/>
        </w:rPr>
        <w:t xml:space="preserve"> </w:t>
      </w:r>
      <w:r w:rsidR="000D2218" w:rsidRPr="007505D5">
        <w:rPr>
          <w:rFonts w:cs="Times New Roman"/>
        </w:rPr>
        <w:t xml:space="preserve">(P. W. Hogg, </w:t>
      </w:r>
      <w:r w:rsidR="000D2218" w:rsidRPr="007505D5">
        <w:rPr>
          <w:rFonts w:cs="Times New Roman"/>
          <w:i/>
        </w:rPr>
        <w:t>Constitutional Law of Canada</w:t>
      </w:r>
      <w:r w:rsidR="000D2218" w:rsidRPr="007505D5">
        <w:rPr>
          <w:rFonts w:cs="Times New Roman"/>
        </w:rPr>
        <w:t xml:space="preserve"> (</w:t>
      </w:r>
      <w:r w:rsidR="000D2218">
        <w:rPr>
          <w:rFonts w:cs="Times New Roman"/>
        </w:rPr>
        <w:t>5</w:t>
      </w:r>
      <w:r w:rsidR="000D2218" w:rsidRPr="000D2218">
        <w:rPr>
          <w:rFonts w:cs="Times New Roman"/>
        </w:rPr>
        <w:t>th</w:t>
      </w:r>
      <w:r w:rsidR="00847D9F">
        <w:rPr>
          <w:rFonts w:cs="Times New Roman"/>
        </w:rPr>
        <w:t xml:space="preserve"> ed.</w:t>
      </w:r>
      <w:r w:rsidR="00CF0F56">
        <w:rPr>
          <w:rFonts w:cs="Times New Roman"/>
        </w:rPr>
        <w:t xml:space="preserve"> Supp.</w:t>
      </w:r>
      <w:r w:rsidR="00847D9F">
        <w:rPr>
          <w:rFonts w:cs="Times New Roman"/>
        </w:rPr>
        <w:t>),</w:t>
      </w:r>
      <w:r w:rsidR="000D2218" w:rsidRPr="007505D5">
        <w:rPr>
          <w:rFonts w:cs="Times New Roman"/>
        </w:rPr>
        <w:t xml:space="preserve"> at s. 2.5(c); J. E. Cote, </w:t>
      </w:r>
      <w:r w:rsidR="000D2218" w:rsidRPr="007505D5">
        <w:rPr>
          <w:rFonts w:cs="Times New Roman"/>
          <w:lang w:val="en-US"/>
        </w:rPr>
        <w:t xml:space="preserve">“The Reception of English Law” (1977), 15 </w:t>
      </w:r>
      <w:r w:rsidR="000D2218" w:rsidRPr="007505D5">
        <w:rPr>
          <w:rFonts w:cs="Times New Roman"/>
          <w:i/>
          <w:lang w:val="en-US"/>
        </w:rPr>
        <w:t>Alta. L. Rev.</w:t>
      </w:r>
      <w:r w:rsidR="000D2218" w:rsidRPr="007505D5">
        <w:rPr>
          <w:rFonts w:cs="Times New Roman"/>
          <w:lang w:val="en-US"/>
        </w:rPr>
        <w:t xml:space="preserve"> 29, at</w:t>
      </w:r>
      <w:r w:rsidR="000D2218" w:rsidRPr="007505D5">
        <w:rPr>
          <w:rFonts w:cs="Times New Roman"/>
        </w:rPr>
        <w:t xml:space="preserve"> p. 91)</w:t>
      </w:r>
      <w:r w:rsidR="000D2218">
        <w:rPr>
          <w:rFonts w:cs="Times New Roman"/>
        </w:rPr>
        <w:t>.</w:t>
      </w:r>
      <w:r w:rsidRPr="007505D5">
        <w:rPr>
          <w:rStyle w:val="FootnoteReference"/>
          <w:rFonts w:cs="Times New Roman"/>
        </w:rPr>
        <w:footnoteReference w:id="1"/>
      </w:r>
      <w:r w:rsidR="000D2218">
        <w:rPr>
          <w:rFonts w:cs="Times New Roman"/>
        </w:rPr>
        <w:t xml:space="preserve"> </w:t>
      </w:r>
    </w:p>
    <w:p w:rsidR="00FC6143" w:rsidRPr="007505D5" w:rsidRDefault="00FC6143" w:rsidP="00FC6143">
      <w:pPr>
        <w:pStyle w:val="ParaNoNdepar-AltN"/>
        <w:tabs>
          <w:tab w:val="clear" w:pos="1166"/>
          <w:tab w:val="num" w:pos="1152"/>
        </w:tabs>
        <w:rPr>
          <w:rFonts w:cs="Times New Roman"/>
        </w:rPr>
      </w:pPr>
      <w:r w:rsidRPr="007505D5">
        <w:rPr>
          <w:rFonts w:cs="Times New Roman"/>
        </w:rPr>
        <w:t xml:space="preserve">The </w:t>
      </w:r>
      <w:r w:rsidRPr="007505D5">
        <w:rPr>
          <w:rFonts w:cs="Times New Roman"/>
          <w:i/>
        </w:rPr>
        <w:t>1731 Act</w:t>
      </w:r>
      <w:r w:rsidRPr="007505D5">
        <w:rPr>
          <w:rFonts w:cs="Times New Roman"/>
        </w:rPr>
        <w:t xml:space="preserve">, which requires that court proceedings be conducted in English, is one of many thousands of statutes “received” in British Columbia pursuant to s. 2 of the </w:t>
      </w:r>
      <w:r w:rsidRPr="007505D5">
        <w:rPr>
          <w:rFonts w:cs="Times New Roman"/>
          <w:i/>
        </w:rPr>
        <w:t>Law and Equity Act</w:t>
      </w:r>
      <w:r w:rsidRPr="007505D5">
        <w:rPr>
          <w:rFonts w:cs="Times New Roman"/>
        </w:rPr>
        <w:t>, R.S.B.C. 1996, c. 253, which currently reads:</w:t>
      </w:r>
    </w:p>
    <w:p w:rsidR="00FC6143" w:rsidRPr="007505D5" w:rsidRDefault="00FC6143" w:rsidP="00FC6143">
      <w:pPr>
        <w:pStyle w:val="Citation-AltC"/>
      </w:pPr>
      <w:r w:rsidRPr="007505D5">
        <w:t xml:space="preserve">. . . the Civil and Criminal Laws of England, as they existed on November 19, 1858, so far as they are not from local circumstances inapplicable, are in force in British Columbia, but </w:t>
      </w:r>
      <w:r w:rsidRPr="007505D5">
        <w:rPr>
          <w:u w:val="single"/>
        </w:rPr>
        <w:t>those laws must be held to be modified and altered by all legislation that has the force of law in British Columbia</w:t>
      </w:r>
      <w:r w:rsidRPr="007505D5">
        <w:t xml:space="preserve"> or in any former Colony comprised within its geographical limits.</w:t>
      </w:r>
    </w:p>
    <w:p w:rsidR="00FC6143" w:rsidRPr="007505D5" w:rsidRDefault="00FC6143" w:rsidP="00FC6143">
      <w:pPr>
        <w:pStyle w:val="ParaNoNdepar-AltN"/>
        <w:tabs>
          <w:tab w:val="clear" w:pos="1166"/>
          <w:tab w:val="num" w:pos="1152"/>
        </w:tabs>
        <w:rPr>
          <w:rFonts w:cs="Times New Roman"/>
        </w:rPr>
      </w:pPr>
      <w:r w:rsidRPr="007505D5">
        <w:rPr>
          <w:rFonts w:cs="Times New Roman"/>
        </w:rPr>
        <w:t xml:space="preserve">I agree with the majority’s view that the </w:t>
      </w:r>
      <w:r w:rsidRPr="007505D5">
        <w:rPr>
          <w:rFonts w:cs="Times New Roman"/>
          <w:i/>
        </w:rPr>
        <w:t>1731 Act</w:t>
      </w:r>
      <w:r w:rsidRPr="007505D5">
        <w:rPr>
          <w:rFonts w:cs="Times New Roman"/>
        </w:rPr>
        <w:t xml:space="preserve"> was not “from local circumstances inapplicable” in colonial British Columbia upon its reception.</w:t>
      </w:r>
    </w:p>
    <w:p w:rsidR="00FC6143" w:rsidRPr="007505D5" w:rsidRDefault="00FC6143" w:rsidP="00FC6143">
      <w:pPr>
        <w:pStyle w:val="ParaNoNdepar-AltN"/>
        <w:tabs>
          <w:tab w:val="clear" w:pos="1166"/>
          <w:tab w:val="num" w:pos="1152"/>
        </w:tabs>
        <w:rPr>
          <w:rFonts w:cs="Times New Roman"/>
        </w:rPr>
      </w:pPr>
      <w:r w:rsidRPr="007505D5">
        <w:rPr>
          <w:rFonts w:cs="Times New Roman"/>
        </w:rPr>
        <w:t xml:space="preserve">In my view, the central interpretive question is whether the </w:t>
      </w:r>
      <w:r w:rsidRPr="007505D5">
        <w:rPr>
          <w:rFonts w:cs="Times New Roman"/>
          <w:i/>
        </w:rPr>
        <w:t>1731 Act</w:t>
      </w:r>
      <w:r w:rsidRPr="007505D5">
        <w:rPr>
          <w:rFonts w:cs="Times New Roman"/>
        </w:rPr>
        <w:t xml:space="preserve"> addresses a language requirement for the exhibits that the appellant seeks to admit in French.</w:t>
      </w:r>
    </w:p>
    <w:p w:rsidR="00FC6143" w:rsidRPr="007505D5" w:rsidRDefault="00FC6143" w:rsidP="00FC6143">
      <w:pPr>
        <w:pStyle w:val="ParaNoNdepar-AltN"/>
        <w:tabs>
          <w:tab w:val="clear" w:pos="1166"/>
          <w:tab w:val="num" w:pos="1152"/>
        </w:tabs>
        <w:rPr>
          <w:rFonts w:cs="Times New Roman"/>
        </w:rPr>
      </w:pPr>
      <w:r w:rsidRPr="007505D5">
        <w:rPr>
          <w:rFonts w:cs="Times New Roman"/>
        </w:rPr>
        <w:t xml:space="preserve">Statutory interpretation usually requires an understanding of the ordinary words, in the context of the entire legislation, to determine the intention of the </w:t>
      </w:r>
      <w:r w:rsidRPr="007505D5">
        <w:rPr>
          <w:rFonts w:cs="Times New Roman"/>
        </w:rPr>
        <w:lastRenderedPageBreak/>
        <w:t xml:space="preserve">legislature.  This is more difficult in the case of a received statute such as the </w:t>
      </w:r>
      <w:r w:rsidRPr="007505D5">
        <w:rPr>
          <w:rFonts w:cs="Times New Roman"/>
          <w:i/>
        </w:rPr>
        <w:t>1731 Act</w:t>
      </w:r>
      <w:r w:rsidRPr="007505D5">
        <w:rPr>
          <w:rFonts w:cs="Times New Roman"/>
        </w:rPr>
        <w:t xml:space="preserve">, as it represents the English legislator’s will in legislating for a particular mischief in eighteenth century England.  The specific terms of the </w:t>
      </w:r>
      <w:r w:rsidRPr="007505D5">
        <w:rPr>
          <w:rFonts w:cs="Times New Roman"/>
          <w:i/>
        </w:rPr>
        <w:t>1731 Act</w:t>
      </w:r>
      <w:r w:rsidRPr="007505D5">
        <w:rPr>
          <w:rFonts w:cs="Times New Roman"/>
        </w:rPr>
        <w:t xml:space="preserve"> did not represent the response of the B.C. legislature to conditions in the province; as Hogg notes, “</w:t>
      </w:r>
      <w:r w:rsidRPr="007505D5">
        <w:rPr>
          <w:rFonts w:cs="Times New Roman"/>
          <w:lang w:val="en-US"/>
        </w:rPr>
        <w:t>[</w:t>
      </w:r>
      <w:r w:rsidRPr="007505D5">
        <w:rPr>
          <w:rFonts w:cs="Times New Roman"/>
        </w:rPr>
        <w:t>t]he only function of received law was to ensure that there was no vacuum of law in the colony” (s. 2.6).</w:t>
      </w:r>
    </w:p>
    <w:p w:rsidR="00FC6143" w:rsidRPr="007505D5" w:rsidRDefault="00FC6143" w:rsidP="00FC6143">
      <w:pPr>
        <w:pStyle w:val="ParaNoNdepar-AltN"/>
        <w:tabs>
          <w:tab w:val="clear" w:pos="1166"/>
          <w:tab w:val="num" w:pos="1152"/>
        </w:tabs>
        <w:rPr>
          <w:rFonts w:cs="Times New Roman"/>
        </w:rPr>
      </w:pPr>
      <w:r w:rsidRPr="007505D5">
        <w:rPr>
          <w:rFonts w:cs="Times New Roman"/>
        </w:rPr>
        <w:t xml:space="preserve">The </w:t>
      </w:r>
      <w:r w:rsidRPr="007505D5">
        <w:rPr>
          <w:rFonts w:cs="Times New Roman"/>
          <w:i/>
        </w:rPr>
        <w:t>1731 Act</w:t>
      </w:r>
      <w:r w:rsidRPr="007505D5">
        <w:rPr>
          <w:rFonts w:cs="Times New Roman"/>
        </w:rPr>
        <w:t xml:space="preserve">’s origins, precise meaning and scope remain shrouded in antiquity.  Furthermore, it is difficult to apply the </w:t>
      </w:r>
      <w:r w:rsidRPr="007505D5">
        <w:rPr>
          <w:rFonts w:cs="Times New Roman"/>
          <w:i/>
        </w:rPr>
        <w:t>1731 Act</w:t>
      </w:r>
      <w:r w:rsidRPr="007505D5">
        <w:rPr>
          <w:rFonts w:cs="Times New Roman"/>
        </w:rPr>
        <w:t xml:space="preserve"> to modern day proceedings.  It was enacted to address court procedures in another realm in another time.</w:t>
      </w:r>
    </w:p>
    <w:p w:rsidR="00FC6143" w:rsidRPr="007505D5" w:rsidRDefault="00FC6143" w:rsidP="00FC6143">
      <w:pPr>
        <w:pStyle w:val="ParaNoNdepar-AltN"/>
        <w:tabs>
          <w:tab w:val="clear" w:pos="1166"/>
          <w:tab w:val="num" w:pos="1152"/>
        </w:tabs>
        <w:rPr>
          <w:rFonts w:cs="Times New Roman"/>
          <w:i/>
        </w:rPr>
      </w:pPr>
      <w:r w:rsidRPr="007505D5">
        <w:rPr>
          <w:rFonts w:cs="Times New Roman"/>
        </w:rPr>
        <w:t xml:space="preserve">The </w:t>
      </w:r>
      <w:r w:rsidRPr="007505D5">
        <w:rPr>
          <w:rFonts w:cs="Times New Roman"/>
          <w:i/>
        </w:rPr>
        <w:t>1731 Act</w:t>
      </w:r>
      <w:r w:rsidRPr="007505D5">
        <w:rPr>
          <w:rFonts w:cs="Times New Roman"/>
        </w:rPr>
        <w:t xml:space="preserve"> states that proceedings are to be conducted in English.  With respect to the contrary view of Wagner J., however, this is not the end of the inquiry. </w:t>
      </w:r>
      <w:r>
        <w:rPr>
          <w:rFonts w:cs="Times New Roman"/>
        </w:rPr>
        <w:t xml:space="preserve"> </w:t>
      </w:r>
      <w:r w:rsidRPr="007505D5">
        <w:rPr>
          <w:rFonts w:cs="Times New Roman"/>
        </w:rPr>
        <w:t>The purpose behind the enactment appears to have been an access to justice measure such that ordinary people could understand the administration of justice, abolishing the use of foreign languages and requiring proceedings to be conducted in the language of the realm.</w:t>
      </w:r>
    </w:p>
    <w:p w:rsidR="00FC6143" w:rsidRPr="007505D5" w:rsidRDefault="00FC6143" w:rsidP="00FC6143">
      <w:pPr>
        <w:pStyle w:val="ParaNoNdepar-AltN"/>
        <w:tabs>
          <w:tab w:val="clear" w:pos="1166"/>
          <w:tab w:val="num" w:pos="1152"/>
        </w:tabs>
        <w:rPr>
          <w:rFonts w:cs="Times New Roman"/>
          <w:i/>
        </w:rPr>
      </w:pPr>
      <w:r w:rsidRPr="007505D5">
        <w:rPr>
          <w:rFonts w:cs="Times New Roman"/>
        </w:rPr>
        <w:t xml:space="preserve">On my reading, however, the prohibition on foreign languages in “proceedings” — no matter how broadly “proceedings” is defined — would not necessarily preclude the tendering or receipt of </w:t>
      </w:r>
      <w:r w:rsidRPr="007505D5">
        <w:rPr>
          <w:rFonts w:cs="Times New Roman"/>
          <w:i/>
        </w:rPr>
        <w:t>physical evidence</w:t>
      </w:r>
      <w:r w:rsidRPr="007505D5">
        <w:rPr>
          <w:rFonts w:cs="Times New Roman"/>
        </w:rPr>
        <w:t xml:space="preserve"> or a document as </w:t>
      </w:r>
      <w:r w:rsidRPr="007505D5">
        <w:rPr>
          <w:rFonts w:cs="Times New Roman"/>
          <w:i/>
        </w:rPr>
        <w:t>original</w:t>
      </w:r>
      <w:r w:rsidRPr="007505D5">
        <w:rPr>
          <w:rFonts w:cs="Times New Roman"/>
        </w:rPr>
        <w:t xml:space="preserve"> evidence in a language other than English, for example, in order to prove authenticity or intention or a position taken at the time the document was written.  </w:t>
      </w:r>
      <w:r w:rsidRPr="007505D5">
        <w:rPr>
          <w:rFonts w:cs="Times New Roman"/>
        </w:rPr>
        <w:lastRenderedPageBreak/>
        <w:t xml:space="preserve">Furthermore, while there is an extensive list of items to which the </w:t>
      </w:r>
      <w:r w:rsidRPr="007505D5">
        <w:rPr>
          <w:rFonts w:cs="Times New Roman"/>
          <w:i/>
        </w:rPr>
        <w:t>1731 Act</w:t>
      </w:r>
      <w:r w:rsidRPr="007505D5">
        <w:rPr>
          <w:rFonts w:cs="Times New Roman"/>
        </w:rPr>
        <w:t xml:space="preserve"> refers, it does not refer to exhibits in particular or to evidence in general.  Finally, the scope of application of the </w:t>
      </w:r>
      <w:r w:rsidRPr="007505D5">
        <w:rPr>
          <w:rFonts w:cs="Times New Roman"/>
          <w:i/>
        </w:rPr>
        <w:t>1731 Act</w:t>
      </w:r>
      <w:r w:rsidRPr="007505D5">
        <w:rPr>
          <w:rFonts w:cs="Times New Roman"/>
        </w:rPr>
        <w:t xml:space="preserve"> itself is not clear.  For one, the </w:t>
      </w:r>
      <w:r w:rsidRPr="007505D5">
        <w:rPr>
          <w:rFonts w:cs="Times New Roman"/>
          <w:i/>
        </w:rPr>
        <w:t>1731 Act</w:t>
      </w:r>
      <w:r w:rsidRPr="007505D5">
        <w:rPr>
          <w:rFonts w:cs="Times New Roman"/>
        </w:rPr>
        <w:t xml:space="preserve"> did not apply universally to the courts of equity.  Thus, while the </w:t>
      </w:r>
      <w:r w:rsidRPr="007505D5">
        <w:rPr>
          <w:rFonts w:cs="Times New Roman"/>
          <w:i/>
        </w:rPr>
        <w:t>1731 Act</w:t>
      </w:r>
      <w:r w:rsidRPr="007505D5">
        <w:rPr>
          <w:rFonts w:cs="Times New Roman"/>
        </w:rPr>
        <w:t xml:space="preserve"> says that “proceedings” are to be conducted in English, and certain enumerated legal documents — prepared by counsel for the proceedings — are to be submitted only in English, nothing on the face of the </w:t>
      </w:r>
      <w:r w:rsidRPr="007505D5">
        <w:rPr>
          <w:rFonts w:cs="Times New Roman"/>
          <w:i/>
        </w:rPr>
        <w:t>1731 Act</w:t>
      </w:r>
      <w:r w:rsidRPr="007505D5">
        <w:rPr>
          <w:rFonts w:cs="Times New Roman"/>
        </w:rPr>
        <w:t xml:space="preserve"> specifically addresses the language of exhibits filed as evidence.  There is nothing explicit in the statute that prohibits filing a document written in another language even if the oral evidence is in English, or translated into English.</w:t>
      </w:r>
    </w:p>
    <w:p w:rsidR="00FC6143" w:rsidRDefault="00FC6143" w:rsidP="00FC6143">
      <w:pPr>
        <w:pStyle w:val="ParaNoNdepar-AltN"/>
        <w:tabs>
          <w:tab w:val="clear" w:pos="1166"/>
          <w:tab w:val="num" w:pos="1152"/>
        </w:tabs>
        <w:rPr>
          <w:rFonts w:cs="Times New Roman"/>
        </w:rPr>
      </w:pPr>
      <w:r w:rsidRPr="007505D5">
        <w:rPr>
          <w:rFonts w:cs="Times New Roman"/>
        </w:rPr>
        <w:t xml:space="preserve">As noted by Cory, </w:t>
      </w:r>
      <w:proofErr w:type="spellStart"/>
      <w:r w:rsidRPr="007505D5">
        <w:rPr>
          <w:rFonts w:cs="Times New Roman"/>
        </w:rPr>
        <w:t>Iacobucci</w:t>
      </w:r>
      <w:proofErr w:type="spellEnd"/>
      <w:r w:rsidRPr="007505D5">
        <w:rPr>
          <w:rFonts w:cs="Times New Roman"/>
        </w:rPr>
        <w:t xml:space="preserve"> and </w:t>
      </w:r>
      <w:proofErr w:type="spellStart"/>
      <w:r w:rsidRPr="007505D5">
        <w:rPr>
          <w:rFonts w:cs="Times New Roman"/>
        </w:rPr>
        <w:t>Bastarache</w:t>
      </w:r>
      <w:proofErr w:type="spellEnd"/>
      <w:r w:rsidRPr="007505D5">
        <w:rPr>
          <w:rFonts w:cs="Times New Roman"/>
        </w:rPr>
        <w:t xml:space="preserve"> JJ. </w:t>
      </w:r>
      <w:proofErr w:type="gramStart"/>
      <w:r w:rsidRPr="007505D5">
        <w:rPr>
          <w:rFonts w:cs="Times New Roman"/>
        </w:rPr>
        <w:t>in</w:t>
      </w:r>
      <w:proofErr w:type="gramEnd"/>
      <w:r w:rsidRPr="007505D5">
        <w:rPr>
          <w:rFonts w:cs="Times New Roman"/>
        </w:rPr>
        <w:t xml:space="preserve"> </w:t>
      </w:r>
      <w:r w:rsidRPr="007505D5">
        <w:rPr>
          <w:rFonts w:cs="Times New Roman"/>
          <w:i/>
        </w:rPr>
        <w:t>R. v. Rose</w:t>
      </w:r>
      <w:r w:rsidRPr="007505D5">
        <w:rPr>
          <w:rFonts w:cs="Times New Roman"/>
        </w:rPr>
        <w:t xml:space="preserve">, [1998] 3 S.C.R. 262, at </w:t>
      </w:r>
      <w:proofErr w:type="spellStart"/>
      <w:r w:rsidRPr="007505D5">
        <w:rPr>
          <w:rFonts w:cs="Times New Roman"/>
        </w:rPr>
        <w:t>para</w:t>
      </w:r>
      <w:proofErr w:type="spellEnd"/>
      <w:r w:rsidRPr="007505D5">
        <w:rPr>
          <w:rFonts w:cs="Times New Roman"/>
        </w:rPr>
        <w:t>. 133, inherent jurisdiction can only be ousted by clear and precise statutory language.  Thus, any</w:t>
      </w:r>
      <w:r w:rsidRPr="007505D5">
        <w:rPr>
          <w:rFonts w:cs="Times New Roman"/>
          <w:i/>
        </w:rPr>
        <w:t xml:space="preserve"> </w:t>
      </w:r>
      <w:r w:rsidRPr="007505D5">
        <w:rPr>
          <w:rFonts w:cs="Times New Roman"/>
        </w:rPr>
        <w:t xml:space="preserve">uncertainty resolves in favour of the court’s inherent jurisdiction to control its processes for an orderly and fair trial.  As a result, I conclude that the </w:t>
      </w:r>
      <w:r w:rsidRPr="007505D5">
        <w:rPr>
          <w:rFonts w:cs="Times New Roman"/>
          <w:i/>
        </w:rPr>
        <w:t>1731 Act</w:t>
      </w:r>
      <w:r w:rsidRPr="007505D5">
        <w:rPr>
          <w:rFonts w:cs="Times New Roman"/>
        </w:rPr>
        <w:t xml:space="preserve"> does not preclude the exercise of inherent jurisdiction to allow pre-existing non-litigation documents originally written in French to be filed as exhibits.</w:t>
      </w:r>
    </w:p>
    <w:p w:rsidR="00FC6143" w:rsidRPr="007505D5" w:rsidRDefault="005357D4" w:rsidP="005357D4">
      <w:pPr>
        <w:pStyle w:val="TitleTitre-AltT"/>
        <w:tabs>
          <w:tab w:val="clear" w:pos="360"/>
          <w:tab w:val="left" w:pos="1170"/>
          <w:tab w:val="left" w:pos="1800"/>
        </w:tabs>
        <w:ind w:left="1800" w:hanging="1800"/>
        <w:rPr>
          <w:rFonts w:cs="Times New Roman"/>
        </w:rPr>
      </w:pPr>
      <w:r>
        <w:rPr>
          <w:rFonts w:cs="Times New Roman"/>
        </w:rPr>
        <w:tab/>
        <w:t>(</w:t>
      </w:r>
      <w:r w:rsidR="00FC6143" w:rsidRPr="007505D5">
        <w:rPr>
          <w:rFonts w:cs="Times New Roman"/>
        </w:rPr>
        <w:t>2)</w:t>
      </w:r>
      <w:r w:rsidR="00FC6143" w:rsidRPr="007505D5">
        <w:rPr>
          <w:rFonts w:cs="Times New Roman"/>
        </w:rPr>
        <w:tab/>
      </w:r>
      <w:r w:rsidR="00FC6143" w:rsidRPr="007505D5">
        <w:rPr>
          <w:rFonts w:cs="Times New Roman"/>
          <w:u w:val="single"/>
        </w:rPr>
        <w:t xml:space="preserve">Must the </w:t>
      </w:r>
      <w:r w:rsidR="00FC6143" w:rsidRPr="007505D5">
        <w:rPr>
          <w:rFonts w:cs="Times New Roman"/>
          <w:i/>
          <w:u w:val="single"/>
        </w:rPr>
        <w:t>1731 Act</w:t>
      </w:r>
      <w:r w:rsidR="00FC6143" w:rsidRPr="007505D5">
        <w:rPr>
          <w:rFonts w:cs="Times New Roman"/>
          <w:u w:val="single"/>
        </w:rPr>
        <w:t xml:space="preserve"> Be Held </w:t>
      </w:r>
      <w:r w:rsidR="008819B0">
        <w:rPr>
          <w:rFonts w:cs="Times New Roman"/>
          <w:u w:val="single"/>
        </w:rPr>
        <w:t>“To Be Modified and Altered by A</w:t>
      </w:r>
      <w:r w:rsidR="00FC6143" w:rsidRPr="007505D5">
        <w:rPr>
          <w:rFonts w:cs="Times New Roman"/>
          <w:u w:val="single"/>
        </w:rPr>
        <w:t>ll Legislation That Has the Force of Law in British Columbia”?</w:t>
      </w:r>
    </w:p>
    <w:p w:rsidR="00FC6143" w:rsidRPr="007505D5" w:rsidRDefault="00FC6143" w:rsidP="00FC6143">
      <w:pPr>
        <w:pStyle w:val="ParaNoNdepar-AltN"/>
        <w:tabs>
          <w:tab w:val="clear" w:pos="1166"/>
          <w:tab w:val="num" w:pos="1152"/>
        </w:tabs>
        <w:rPr>
          <w:rFonts w:cs="Times New Roman"/>
        </w:rPr>
      </w:pPr>
      <w:r w:rsidRPr="007505D5">
        <w:rPr>
          <w:rFonts w:cs="Times New Roman"/>
        </w:rPr>
        <w:t xml:space="preserve">Given my conclusion on the scope of the </w:t>
      </w:r>
      <w:r w:rsidRPr="007505D5">
        <w:rPr>
          <w:rFonts w:cs="Times New Roman"/>
          <w:i/>
        </w:rPr>
        <w:t>1731 Act</w:t>
      </w:r>
      <w:r w:rsidRPr="007505D5">
        <w:rPr>
          <w:rFonts w:cs="Times New Roman"/>
        </w:rPr>
        <w:t xml:space="preserve">, it is not necessary in this case to consider whether the Act has been “modified and altered by all legislation </w:t>
      </w:r>
      <w:r w:rsidRPr="007505D5">
        <w:rPr>
          <w:rFonts w:cs="Times New Roman"/>
        </w:rPr>
        <w:lastRenderedPageBreak/>
        <w:t xml:space="preserve">that has the force of law in British Columbia”, as provided in s. 2 of the </w:t>
      </w:r>
      <w:r w:rsidRPr="007505D5">
        <w:rPr>
          <w:rFonts w:cs="Times New Roman"/>
          <w:i/>
        </w:rPr>
        <w:t>Law and Equity Act</w:t>
      </w:r>
      <w:r w:rsidRPr="007505D5">
        <w:rPr>
          <w:rFonts w:cs="Times New Roman"/>
        </w:rPr>
        <w:t>.</w:t>
      </w:r>
      <w:r w:rsidRPr="007505D5">
        <w:rPr>
          <w:rFonts w:cs="Times New Roman"/>
          <w:i/>
        </w:rPr>
        <w:t xml:space="preserve">  </w:t>
      </w:r>
      <w:r w:rsidRPr="007505D5">
        <w:rPr>
          <w:rFonts w:cs="Times New Roman"/>
        </w:rPr>
        <w:t>However, I do not agree with the majority’s approach to this issue.</w:t>
      </w:r>
    </w:p>
    <w:p w:rsidR="00FC6143" w:rsidRPr="007505D5" w:rsidRDefault="00FC6143" w:rsidP="00FC6143">
      <w:pPr>
        <w:pStyle w:val="ParaNoNdepar-AltN"/>
        <w:tabs>
          <w:tab w:val="clear" w:pos="1166"/>
          <w:tab w:val="num" w:pos="1152"/>
        </w:tabs>
        <w:rPr>
          <w:rFonts w:cs="Times New Roman"/>
        </w:rPr>
      </w:pPr>
      <w:r w:rsidRPr="007505D5">
        <w:rPr>
          <w:rFonts w:cs="Times New Roman"/>
        </w:rPr>
        <w:t xml:space="preserve">Wagner J. concludes that the test for implied repeal in </w:t>
      </w:r>
      <w:r w:rsidRPr="007505D5">
        <w:rPr>
          <w:rFonts w:cs="Times New Roman"/>
          <w:i/>
        </w:rPr>
        <w:t xml:space="preserve">R. v. </w:t>
      </w:r>
      <w:proofErr w:type="spellStart"/>
      <w:r w:rsidRPr="007505D5">
        <w:rPr>
          <w:rFonts w:cs="Times New Roman"/>
          <w:i/>
        </w:rPr>
        <w:t>Mercure</w:t>
      </w:r>
      <w:proofErr w:type="spellEnd"/>
      <w:r w:rsidRPr="007505D5">
        <w:rPr>
          <w:rFonts w:cs="Times New Roman"/>
        </w:rPr>
        <w:t>, [1988] 1 S.C.R. 234, requires the court to determine whether subsequent legislation has “occupied the field” such that courts can infer a legislative intention to repeal the earlier statute; and that both the test for implied repeal and the test for implied alteration or modification are based on occupation of the field by subsequent legislation.  He examines whether the B.C. legislature has enacted legislation covering “the entire field of language for court proceedings</w:t>
      </w:r>
      <w:r w:rsidR="005357D4">
        <w:rPr>
          <w:rFonts w:cs="Times New Roman"/>
        </w:rPr>
        <w:t>”</w:t>
      </w:r>
      <w:r w:rsidRPr="007505D5">
        <w:rPr>
          <w:rFonts w:cs="Times New Roman"/>
        </w:rPr>
        <w:t xml:space="preserve"> (</w:t>
      </w:r>
      <w:proofErr w:type="spellStart"/>
      <w:r w:rsidRPr="007505D5">
        <w:rPr>
          <w:rFonts w:cs="Times New Roman"/>
        </w:rPr>
        <w:t>para</w:t>
      </w:r>
      <w:proofErr w:type="spellEnd"/>
      <w:r w:rsidRPr="007505D5">
        <w:rPr>
          <w:rFonts w:cs="Times New Roman"/>
        </w:rPr>
        <w:t>. 51).</w:t>
      </w:r>
    </w:p>
    <w:p w:rsidR="00FC6143" w:rsidRPr="007505D5" w:rsidRDefault="00FC6143" w:rsidP="00FC6143">
      <w:pPr>
        <w:pStyle w:val="ParaNoNdepar-AltN"/>
        <w:tabs>
          <w:tab w:val="clear" w:pos="1166"/>
          <w:tab w:val="num" w:pos="1152"/>
        </w:tabs>
        <w:rPr>
          <w:rFonts w:cs="Times New Roman"/>
        </w:rPr>
      </w:pPr>
      <w:r w:rsidRPr="007505D5">
        <w:rPr>
          <w:rFonts w:cs="Times New Roman"/>
        </w:rPr>
        <w:t>I do not agree.</w:t>
      </w:r>
      <w:r>
        <w:rPr>
          <w:rFonts w:cs="Times New Roman"/>
        </w:rPr>
        <w:t xml:space="preserve"> </w:t>
      </w:r>
      <w:r w:rsidRPr="007505D5">
        <w:rPr>
          <w:rFonts w:cs="Times New Roman"/>
        </w:rPr>
        <w:t xml:space="preserve"> In my view, the British Columbia Court of Appeal erred in applying too strict a test to determine whether statutes that were enacted by a domestic legislature have implicitly repealed the received law (2012 BCCA 282, 34 B.C.L.R. (5th) 35).  Under s. 2 of the </w:t>
      </w:r>
      <w:r w:rsidRPr="007505D5">
        <w:rPr>
          <w:rFonts w:cs="Times New Roman"/>
          <w:i/>
        </w:rPr>
        <w:t>Law and Equity Act</w:t>
      </w:r>
      <w:r w:rsidRPr="007505D5">
        <w:rPr>
          <w:rFonts w:cs="Times New Roman"/>
        </w:rPr>
        <w:t xml:space="preserve">, it is not only a question of whether subsequent legislation has </w:t>
      </w:r>
      <w:r w:rsidRPr="007505D5">
        <w:rPr>
          <w:rFonts w:cs="Times New Roman"/>
          <w:i/>
        </w:rPr>
        <w:t>repealed</w:t>
      </w:r>
      <w:r w:rsidRPr="007505D5">
        <w:rPr>
          <w:rFonts w:cs="Times New Roman"/>
        </w:rPr>
        <w:t xml:space="preserve"> the received law, but rather to what extent the contents of the received law have been </w:t>
      </w:r>
      <w:r w:rsidRPr="007505D5">
        <w:rPr>
          <w:rFonts w:cs="Times New Roman"/>
          <w:i/>
        </w:rPr>
        <w:t>modified or altered</w:t>
      </w:r>
      <w:r w:rsidRPr="007505D5">
        <w:rPr>
          <w:rFonts w:cs="Times New Roman"/>
        </w:rPr>
        <w:t xml:space="preserve"> by current statutory provisions.</w:t>
      </w:r>
    </w:p>
    <w:p w:rsidR="00FC6143" w:rsidRPr="007505D5" w:rsidRDefault="00FC6143" w:rsidP="00FC6143">
      <w:pPr>
        <w:pStyle w:val="ParaNoNdepar-AltN"/>
        <w:tabs>
          <w:tab w:val="clear" w:pos="1166"/>
          <w:tab w:val="num" w:pos="1152"/>
        </w:tabs>
        <w:rPr>
          <w:rFonts w:cs="Times New Roman"/>
        </w:rPr>
      </w:pPr>
      <w:r w:rsidRPr="007505D5">
        <w:rPr>
          <w:rFonts w:cs="Times New Roman"/>
        </w:rPr>
        <w:t>In my view, the strict test for whethe</w:t>
      </w:r>
      <w:r w:rsidR="00001758">
        <w:rPr>
          <w:rFonts w:cs="Times New Roman"/>
        </w:rPr>
        <w:t>r any legislation has “occupied</w:t>
      </w:r>
      <w:r w:rsidRPr="007505D5">
        <w:rPr>
          <w:rFonts w:cs="Times New Roman"/>
        </w:rPr>
        <w:t xml:space="preserve"> the entire field” in order to find modification or alteration of the </w:t>
      </w:r>
      <w:r w:rsidRPr="007505D5">
        <w:rPr>
          <w:rFonts w:cs="Times New Roman"/>
          <w:i/>
        </w:rPr>
        <w:t>1731 Act</w:t>
      </w:r>
      <w:r w:rsidRPr="007505D5">
        <w:rPr>
          <w:rFonts w:cs="Times New Roman"/>
        </w:rPr>
        <w:t xml:space="preserve">, as applied by the majority, is misplaced and too onerous in light of the specific provisions of s. 2 of the </w:t>
      </w:r>
      <w:r w:rsidRPr="007505D5">
        <w:rPr>
          <w:rFonts w:cs="Times New Roman"/>
          <w:i/>
        </w:rPr>
        <w:t>Law and Equity Act</w:t>
      </w:r>
      <w:r w:rsidRPr="007505D5">
        <w:rPr>
          <w:rFonts w:cs="Times New Roman"/>
        </w:rPr>
        <w:t xml:space="preserve">.  While it is true that the B.C. legislature has never directly addressed the provisions of the </w:t>
      </w:r>
      <w:r w:rsidRPr="007505D5">
        <w:rPr>
          <w:rFonts w:cs="Times New Roman"/>
          <w:i/>
        </w:rPr>
        <w:t>1731 Act</w:t>
      </w:r>
      <w:r w:rsidRPr="007505D5">
        <w:rPr>
          <w:rFonts w:cs="Times New Roman"/>
        </w:rPr>
        <w:t xml:space="preserve">, s. 2 of the </w:t>
      </w:r>
      <w:r w:rsidRPr="007505D5">
        <w:rPr>
          <w:rFonts w:cs="Times New Roman"/>
          <w:i/>
        </w:rPr>
        <w:t>Law and Equity Act</w:t>
      </w:r>
      <w:r w:rsidRPr="007505D5">
        <w:rPr>
          <w:rFonts w:cs="Times New Roman"/>
        </w:rPr>
        <w:t xml:space="preserve"> asks whether </w:t>
      </w:r>
      <w:r w:rsidRPr="007505D5">
        <w:rPr>
          <w:rFonts w:cs="Times New Roman"/>
        </w:rPr>
        <w:lastRenderedPageBreak/>
        <w:t xml:space="preserve">the law itself “must be held to be” modified and altered by subsequent legislation that addresses the contents of the received law. </w:t>
      </w:r>
      <w:r>
        <w:rPr>
          <w:rFonts w:cs="Times New Roman"/>
        </w:rPr>
        <w:t xml:space="preserve"> </w:t>
      </w:r>
      <w:r w:rsidRPr="007505D5">
        <w:rPr>
          <w:rFonts w:cs="Times New Roman"/>
        </w:rPr>
        <w:t>This is not a question of repeal, directly or indirectly.  Rather, it is a matter of interpretation requiring judicial determination.</w:t>
      </w:r>
    </w:p>
    <w:p w:rsidR="00FC6143" w:rsidRPr="007505D5" w:rsidRDefault="00FC6143" w:rsidP="00FC6143">
      <w:pPr>
        <w:pStyle w:val="ParaNoNdepar-AltN"/>
        <w:tabs>
          <w:tab w:val="clear" w:pos="1166"/>
          <w:tab w:val="num" w:pos="1152"/>
        </w:tabs>
        <w:rPr>
          <w:rFonts w:cs="Times New Roman"/>
        </w:rPr>
      </w:pPr>
      <w:r w:rsidRPr="007505D5">
        <w:rPr>
          <w:rFonts w:cs="Times New Roman"/>
        </w:rPr>
        <w:t xml:space="preserve">The </w:t>
      </w:r>
      <w:r w:rsidRPr="007505D5">
        <w:rPr>
          <w:rFonts w:cs="Times New Roman"/>
          <w:i/>
        </w:rPr>
        <w:t>1731 Act</w:t>
      </w:r>
      <w:r w:rsidRPr="007505D5">
        <w:rPr>
          <w:rFonts w:cs="Times New Roman"/>
        </w:rPr>
        <w:t xml:space="preserve"> has been clearly modified, for example, by ss. 530 and 530.1 of the </w:t>
      </w:r>
      <w:r w:rsidRPr="007505D5">
        <w:rPr>
          <w:rFonts w:cs="Times New Roman"/>
          <w:i/>
        </w:rPr>
        <w:t>Criminal Code</w:t>
      </w:r>
      <w:r w:rsidRPr="007505D5">
        <w:rPr>
          <w:rFonts w:cs="Times New Roman"/>
        </w:rPr>
        <w:t xml:space="preserve">, R.S.C. 1985, c. C-46, which permit French proceedings for criminal trials.  As far as the language of civil proceedings, the </w:t>
      </w:r>
      <w:r w:rsidRPr="007505D5">
        <w:rPr>
          <w:rFonts w:cs="Times New Roman"/>
          <w:i/>
        </w:rPr>
        <w:t>1731 Act</w:t>
      </w:r>
      <w:r w:rsidRPr="007505D5">
        <w:rPr>
          <w:rFonts w:cs="Times New Roman"/>
        </w:rPr>
        <w:t xml:space="preserve"> has not been </w:t>
      </w:r>
      <w:r w:rsidRPr="007505D5">
        <w:rPr>
          <w:rFonts w:cs="Times New Roman"/>
          <w:i/>
        </w:rPr>
        <w:t>explicitly</w:t>
      </w:r>
      <w:r w:rsidRPr="007505D5">
        <w:rPr>
          <w:rFonts w:cs="Times New Roman"/>
        </w:rPr>
        <w:t xml:space="preserve"> modified or altered by legislation that has the force of law in British Columbia.  However, that still leaves the question of whether it has been </w:t>
      </w:r>
      <w:r w:rsidRPr="007505D5">
        <w:rPr>
          <w:rFonts w:cs="Times New Roman"/>
          <w:i/>
        </w:rPr>
        <w:t>implicitly</w:t>
      </w:r>
      <w:r w:rsidRPr="007505D5">
        <w:rPr>
          <w:rFonts w:cs="Times New Roman"/>
        </w:rPr>
        <w:t xml:space="preserve"> modified by current legislation such as the quasi-constitutional </w:t>
      </w:r>
      <w:r w:rsidRPr="007505D5">
        <w:rPr>
          <w:rFonts w:cs="Times New Roman"/>
          <w:i/>
        </w:rPr>
        <w:t>Official Languages Act</w:t>
      </w:r>
      <w:r w:rsidRPr="007505D5">
        <w:rPr>
          <w:rFonts w:cs="Times New Roman"/>
        </w:rPr>
        <w:t>, R.S.C. 1985, c. 31 (4th Supp.), which recogni</w:t>
      </w:r>
      <w:r w:rsidR="002C0F76">
        <w:rPr>
          <w:rFonts w:cs="Times New Roman"/>
        </w:rPr>
        <w:t>z</w:t>
      </w:r>
      <w:r w:rsidRPr="007505D5">
        <w:rPr>
          <w:rFonts w:cs="Times New Roman"/>
        </w:rPr>
        <w:t xml:space="preserve">es French as an official language of Canada, or by the official language rights enshrined in the </w:t>
      </w:r>
      <w:r w:rsidRPr="007505D5">
        <w:rPr>
          <w:rFonts w:cs="Times New Roman"/>
          <w:i/>
        </w:rPr>
        <w:t>Charter</w:t>
      </w:r>
      <w:r w:rsidRPr="007505D5">
        <w:rPr>
          <w:rFonts w:cs="Times New Roman"/>
        </w:rPr>
        <w:t xml:space="preserve"> and their underlying values.  I would not foreclose the possibility that these important enactments have modified or altered the </w:t>
      </w:r>
      <w:r w:rsidRPr="007505D5">
        <w:rPr>
          <w:rFonts w:cs="Times New Roman"/>
          <w:i/>
        </w:rPr>
        <w:t>1731 Act</w:t>
      </w:r>
      <w:r w:rsidRPr="007505D5">
        <w:rPr>
          <w:rFonts w:cs="Times New Roman"/>
        </w:rPr>
        <w:t>, allowing courts to exercise their inherent discretion to permit the use of French not only in exhibits, but also in aspects of court proceedings beyond the scope of this appeal.</w:t>
      </w:r>
    </w:p>
    <w:p w:rsidR="00FC6143" w:rsidRPr="007505D5" w:rsidRDefault="006F51F8" w:rsidP="006F51F8">
      <w:pPr>
        <w:pStyle w:val="TitleTitre-AltT"/>
        <w:tabs>
          <w:tab w:val="clear" w:pos="360"/>
          <w:tab w:val="left" w:pos="540"/>
        </w:tabs>
        <w:ind w:left="540" w:hanging="540"/>
        <w:rPr>
          <w:rFonts w:cs="Times New Roman"/>
        </w:rPr>
      </w:pPr>
      <w:r>
        <w:rPr>
          <w:rFonts w:cs="Times New Roman"/>
        </w:rPr>
        <w:t>C.</w:t>
      </w:r>
      <w:r>
        <w:rPr>
          <w:rFonts w:cs="Times New Roman"/>
        </w:rPr>
        <w:tab/>
      </w:r>
      <w:r w:rsidR="00966AAF">
        <w:rPr>
          <w:rFonts w:cs="Times New Roman"/>
          <w:i/>
        </w:rPr>
        <w:t>Does A</w:t>
      </w:r>
      <w:r w:rsidR="00FC6143" w:rsidRPr="007505D5">
        <w:rPr>
          <w:rFonts w:cs="Times New Roman"/>
          <w:i/>
        </w:rPr>
        <w:t>ny British Columbia Legislation Preclude the Exercise of Inherent Jurisdict</w:t>
      </w:r>
      <w:r w:rsidR="00966AAF">
        <w:rPr>
          <w:rFonts w:cs="Times New Roman"/>
          <w:i/>
        </w:rPr>
        <w:t>ion to Accept French Documents I</w:t>
      </w:r>
      <w:r w:rsidR="00FC6143" w:rsidRPr="007505D5">
        <w:rPr>
          <w:rFonts w:cs="Times New Roman"/>
          <w:i/>
        </w:rPr>
        <w:t>nto Evidence?</w:t>
      </w:r>
    </w:p>
    <w:p w:rsidR="00FC6143" w:rsidRPr="007505D5" w:rsidRDefault="00FC6143" w:rsidP="00FC6143">
      <w:pPr>
        <w:pStyle w:val="ParaNoNdepar-AltN"/>
        <w:tabs>
          <w:tab w:val="clear" w:pos="1166"/>
          <w:tab w:val="num" w:pos="1152"/>
        </w:tabs>
        <w:rPr>
          <w:rFonts w:cs="Times New Roman"/>
          <w:b/>
        </w:rPr>
      </w:pPr>
      <w:r w:rsidRPr="007505D5">
        <w:rPr>
          <w:rFonts w:cs="Times New Roman"/>
        </w:rPr>
        <w:t>The</w:t>
      </w:r>
      <w:r w:rsidRPr="007505D5">
        <w:rPr>
          <w:rFonts w:cs="Times New Roman"/>
          <w:i/>
        </w:rPr>
        <w:t xml:space="preserve"> Civil Rules </w:t>
      </w:r>
      <w:r w:rsidRPr="007505D5">
        <w:rPr>
          <w:rFonts w:cs="Times New Roman"/>
        </w:rPr>
        <w:t>regulate the court proceedings in the instant case.</w:t>
      </w:r>
    </w:p>
    <w:p w:rsidR="00FC6143" w:rsidRPr="007505D5" w:rsidRDefault="00FC6143" w:rsidP="00FC6143">
      <w:pPr>
        <w:pStyle w:val="ParaNoNdepar-AltN"/>
        <w:tabs>
          <w:tab w:val="clear" w:pos="1166"/>
          <w:tab w:val="num" w:pos="1152"/>
        </w:tabs>
        <w:rPr>
          <w:rFonts w:cs="Times New Roman"/>
          <w:b/>
        </w:rPr>
      </w:pPr>
      <w:r w:rsidRPr="007505D5">
        <w:rPr>
          <w:rFonts w:cs="Times New Roman"/>
        </w:rPr>
        <w:t xml:space="preserve">The </w:t>
      </w:r>
      <w:r w:rsidRPr="007505D5">
        <w:rPr>
          <w:rFonts w:cs="Times New Roman"/>
          <w:i/>
        </w:rPr>
        <w:t>Civil Rules</w:t>
      </w:r>
      <w:r w:rsidRPr="007505D5">
        <w:rPr>
          <w:rFonts w:cs="Times New Roman"/>
        </w:rPr>
        <w:t xml:space="preserve"> define “proceeding” broadly, as “an action, a petition proceeding and a requisition proceeding, and includes any other suit, cause, matter, </w:t>
      </w:r>
      <w:r w:rsidRPr="007505D5">
        <w:rPr>
          <w:rFonts w:cs="Times New Roman"/>
        </w:rPr>
        <w:lastRenderedPageBreak/>
        <w:t>stated case under Rule 18-2 or appeal”.  “Document” has “an extended meaning and includes a photograph, film, recording of sound, any record of a permanent or semi-permanent character and any information recorded or stored by means of any device” (Rule 1</w:t>
      </w:r>
      <w:r w:rsidRPr="007505D5">
        <w:rPr>
          <w:rStyle w:val="st1"/>
          <w:rFonts w:cs="Times New Roman"/>
        </w:rPr>
        <w:t>-1(1))</w:t>
      </w:r>
      <w:r w:rsidRPr="007505D5">
        <w:rPr>
          <w:rFonts w:cs="Times New Roman"/>
        </w:rPr>
        <w:t>.</w:t>
      </w:r>
    </w:p>
    <w:p w:rsidR="00FC6143" w:rsidRPr="007505D5" w:rsidRDefault="00FC6143" w:rsidP="00FC6143">
      <w:pPr>
        <w:pStyle w:val="ParaNoNdepar-AltN"/>
        <w:tabs>
          <w:tab w:val="clear" w:pos="1166"/>
          <w:tab w:val="num" w:pos="1152"/>
        </w:tabs>
        <w:rPr>
          <w:rFonts w:cs="Times New Roman"/>
          <w:b/>
        </w:rPr>
      </w:pPr>
      <w:r w:rsidRPr="007505D5">
        <w:rPr>
          <w:rFonts w:cs="Times New Roman"/>
        </w:rPr>
        <w:t xml:space="preserve">The </w:t>
      </w:r>
      <w:r w:rsidRPr="007505D5">
        <w:rPr>
          <w:rFonts w:cs="Times New Roman"/>
          <w:i/>
        </w:rPr>
        <w:t>Civil Rules</w:t>
      </w:r>
      <w:r w:rsidRPr="007505D5">
        <w:rPr>
          <w:rFonts w:cs="Times New Roman"/>
        </w:rPr>
        <w:t>, however,</w:t>
      </w:r>
      <w:r w:rsidRPr="007505D5">
        <w:rPr>
          <w:rFonts w:cs="Times New Roman"/>
          <w:i/>
        </w:rPr>
        <w:t xml:space="preserve"> </w:t>
      </w:r>
      <w:r w:rsidRPr="007505D5">
        <w:rPr>
          <w:rFonts w:cs="Times New Roman"/>
        </w:rPr>
        <w:t>do not define “evidence” or “exhibit”.</w:t>
      </w:r>
      <w:r w:rsidRPr="007505D5">
        <w:rPr>
          <w:rFonts w:cs="Times New Roman"/>
          <w:b/>
        </w:rPr>
        <w:t xml:space="preserve">  </w:t>
      </w:r>
      <w:r w:rsidRPr="007505D5">
        <w:rPr>
          <w:rFonts w:cs="Times New Roman"/>
        </w:rPr>
        <w:t xml:space="preserve">The </w:t>
      </w:r>
      <w:r w:rsidRPr="007505D5">
        <w:rPr>
          <w:rFonts w:cs="Times New Roman"/>
          <w:i/>
        </w:rPr>
        <w:t>Civil Rules</w:t>
      </w:r>
      <w:r w:rsidRPr="007505D5">
        <w:rPr>
          <w:rFonts w:cs="Times New Roman"/>
        </w:rPr>
        <w:t xml:space="preserve"> also do not directly address the language of the proceedings; the only rules referring to language are Rules 22-3(2) and (3):</w:t>
      </w:r>
    </w:p>
    <w:p w:rsidR="00FC6143" w:rsidRPr="007505D5" w:rsidRDefault="00FC6143" w:rsidP="00FC6143">
      <w:pPr>
        <w:pStyle w:val="Citation-AltC"/>
        <w:ind w:left="1530" w:hanging="360"/>
      </w:pPr>
      <w:r w:rsidRPr="007505D5">
        <w:t xml:space="preserve">(2) Unless the nature of the document renders it impracticable, every document </w:t>
      </w:r>
      <w:r w:rsidRPr="007505D5">
        <w:rPr>
          <w:u w:val="single"/>
        </w:rPr>
        <w:t>prepared for use</w:t>
      </w:r>
      <w:r w:rsidRPr="007505D5">
        <w:t xml:space="preserve"> in the court must be in the English language, legibly printed, typewritten, written or reproduced on 8 1/2 inch x 11 inch durable white paper or durable off-white recycled paper.</w:t>
      </w:r>
    </w:p>
    <w:p w:rsidR="00FC6143" w:rsidRPr="007505D5" w:rsidRDefault="00FC6143" w:rsidP="00FC6143">
      <w:pPr>
        <w:pStyle w:val="Citation-AltC"/>
      </w:pPr>
    </w:p>
    <w:p w:rsidR="00FC6143" w:rsidRPr="007505D5" w:rsidRDefault="00FC6143" w:rsidP="00FC6143">
      <w:pPr>
        <w:pStyle w:val="Citation-AltC"/>
        <w:ind w:left="1530" w:hanging="360"/>
      </w:pPr>
      <w:r w:rsidRPr="007505D5">
        <w:t xml:space="preserve">(3) Transcripts of oral evidence must conform to </w:t>
      </w:r>
      <w:proofErr w:type="spellStart"/>
      <w:r w:rsidRPr="007505D5">
        <w:t>subrule</w:t>
      </w:r>
      <w:proofErr w:type="spellEnd"/>
      <w:r w:rsidRPr="007505D5">
        <w:t xml:space="preserve"> (2).</w:t>
      </w:r>
    </w:p>
    <w:p w:rsidR="00FC6143" w:rsidRPr="007505D5" w:rsidRDefault="00FC6143" w:rsidP="00FC6143">
      <w:pPr>
        <w:pStyle w:val="ParaNoNdepar-AltN"/>
        <w:tabs>
          <w:tab w:val="clear" w:pos="1166"/>
          <w:tab w:val="num" w:pos="1152"/>
        </w:tabs>
        <w:rPr>
          <w:rFonts w:cs="Times New Roman"/>
        </w:rPr>
      </w:pPr>
      <w:r w:rsidRPr="007505D5">
        <w:rPr>
          <w:rFonts w:cs="Times New Roman"/>
        </w:rPr>
        <w:t xml:space="preserve">Rule 22-3(2) expressly addresses the language of documents </w:t>
      </w:r>
      <w:r w:rsidRPr="007505D5">
        <w:rPr>
          <w:rFonts w:cs="Times New Roman"/>
          <w:i/>
        </w:rPr>
        <w:t>prepared</w:t>
      </w:r>
      <w:r w:rsidRPr="007505D5">
        <w:rPr>
          <w:rFonts w:cs="Times New Roman"/>
        </w:rPr>
        <w:t xml:space="preserve"> </w:t>
      </w:r>
      <w:r w:rsidRPr="007505D5">
        <w:rPr>
          <w:rFonts w:cs="Times New Roman"/>
          <w:i/>
        </w:rPr>
        <w:t>for use in the court</w:t>
      </w:r>
      <w:r w:rsidRPr="007505D5">
        <w:rPr>
          <w:rFonts w:cs="Times New Roman"/>
        </w:rPr>
        <w:t>.  I read this as requiring any pleadings, notices of motions, and affidavits, among others, to be prepared in the English language and in a certain format using specified paper (unless doing so would be impracticable, which is not applicable here).</w:t>
      </w:r>
    </w:p>
    <w:p w:rsidR="00FC6143" w:rsidRPr="007505D5" w:rsidRDefault="00FC6143" w:rsidP="00FC6143">
      <w:pPr>
        <w:pStyle w:val="ParaNoNdepar-AltN"/>
        <w:tabs>
          <w:tab w:val="clear" w:pos="1166"/>
          <w:tab w:val="num" w:pos="1152"/>
        </w:tabs>
        <w:rPr>
          <w:rFonts w:cs="Times New Roman"/>
        </w:rPr>
      </w:pPr>
      <w:r w:rsidRPr="007505D5">
        <w:rPr>
          <w:rFonts w:cs="Times New Roman"/>
        </w:rPr>
        <w:t xml:space="preserve">While exhibits of original documents are </w:t>
      </w:r>
      <w:r w:rsidRPr="007505D5">
        <w:rPr>
          <w:rFonts w:cs="Times New Roman"/>
          <w:i/>
        </w:rPr>
        <w:t>used</w:t>
      </w:r>
      <w:r w:rsidRPr="007505D5">
        <w:rPr>
          <w:rFonts w:cs="Times New Roman"/>
        </w:rPr>
        <w:t xml:space="preserve"> in court, they are often not </w:t>
      </w:r>
      <w:r w:rsidRPr="007505D5">
        <w:rPr>
          <w:rFonts w:cs="Times New Roman"/>
          <w:i/>
        </w:rPr>
        <w:t>prepared</w:t>
      </w:r>
      <w:r w:rsidRPr="007505D5">
        <w:rPr>
          <w:rFonts w:cs="Times New Roman"/>
        </w:rPr>
        <w:t xml:space="preserve"> </w:t>
      </w:r>
      <w:r w:rsidRPr="007505D5">
        <w:rPr>
          <w:rFonts w:cs="Times New Roman"/>
          <w:i/>
        </w:rPr>
        <w:t>for use</w:t>
      </w:r>
      <w:r w:rsidRPr="007505D5">
        <w:rPr>
          <w:rFonts w:cs="Times New Roman"/>
        </w:rPr>
        <w:t xml:space="preserve"> in court.  Indeed, in this case, the motion judge found that the exhibits in question were not </w:t>
      </w:r>
      <w:r w:rsidRPr="007505D5">
        <w:rPr>
          <w:rFonts w:cs="Times New Roman"/>
          <w:i/>
        </w:rPr>
        <w:t>prepared</w:t>
      </w:r>
      <w:r w:rsidRPr="007505D5">
        <w:rPr>
          <w:rFonts w:cs="Times New Roman"/>
        </w:rPr>
        <w:t xml:space="preserve"> for litigation purposes (2011 BCSC 1043, 21 B.C.L.R. (5th) 62).</w:t>
      </w:r>
    </w:p>
    <w:p w:rsidR="00FC6143" w:rsidRPr="007505D5" w:rsidRDefault="00FC6143" w:rsidP="00FC6143">
      <w:pPr>
        <w:pStyle w:val="ParaNoNdepar-AltN"/>
        <w:tabs>
          <w:tab w:val="clear" w:pos="1166"/>
          <w:tab w:val="num" w:pos="1152"/>
        </w:tabs>
        <w:rPr>
          <w:rFonts w:cs="Times New Roman"/>
        </w:rPr>
      </w:pPr>
      <w:r w:rsidRPr="007505D5">
        <w:rPr>
          <w:rFonts w:cs="Times New Roman"/>
        </w:rPr>
        <w:lastRenderedPageBreak/>
        <w:t>It seems to me, based upon the ordinary meaning of the words of the text, that Rule 22-3 does not apply to documents that were not prepared for use in court.</w:t>
      </w:r>
    </w:p>
    <w:p w:rsidR="00FC6143" w:rsidRPr="007505D5" w:rsidRDefault="00FC6143" w:rsidP="00FC6143">
      <w:pPr>
        <w:pStyle w:val="ParaNoNdepar-AltN"/>
        <w:tabs>
          <w:tab w:val="clear" w:pos="1166"/>
          <w:tab w:val="num" w:pos="1152"/>
        </w:tabs>
        <w:rPr>
          <w:rFonts w:cs="Times New Roman"/>
        </w:rPr>
      </w:pPr>
      <w:r w:rsidRPr="007505D5">
        <w:rPr>
          <w:rFonts w:cs="Times New Roman"/>
        </w:rPr>
        <w:t xml:space="preserve">The distinction between documents prepared for litigation purposes and those not prepared for those purposes is not a novel one.  It also arises in the application of litigation privilege, with consequences for admissibility of the documents.  This Court has held that litigation privilege attaches only to documents created for the dominant purpose of litigation; see </w:t>
      </w:r>
      <w:r w:rsidRPr="007505D5">
        <w:rPr>
          <w:rFonts w:cs="Times New Roman"/>
          <w:i/>
        </w:rPr>
        <w:t>Blank v. Canada (Minister of Justice)</w:t>
      </w:r>
      <w:r w:rsidRPr="007505D5">
        <w:rPr>
          <w:rFonts w:cs="Times New Roman"/>
        </w:rPr>
        <w:t xml:space="preserve">, 2006 SCC 39, [2006] 2 S.C.R. 319, at </w:t>
      </w:r>
      <w:proofErr w:type="spellStart"/>
      <w:r w:rsidRPr="007505D5">
        <w:rPr>
          <w:rFonts w:cs="Times New Roman"/>
        </w:rPr>
        <w:t>paras</w:t>
      </w:r>
      <w:proofErr w:type="spellEnd"/>
      <w:r w:rsidRPr="007505D5">
        <w:rPr>
          <w:rFonts w:cs="Times New Roman"/>
        </w:rPr>
        <w:t>. 59-60.</w:t>
      </w:r>
    </w:p>
    <w:p w:rsidR="00FC6143" w:rsidRPr="007505D5" w:rsidRDefault="00FC6143" w:rsidP="00FC6143">
      <w:pPr>
        <w:pStyle w:val="ParaNoNdepar-AltN"/>
        <w:tabs>
          <w:tab w:val="clear" w:pos="1166"/>
          <w:tab w:val="num" w:pos="1152"/>
        </w:tabs>
        <w:rPr>
          <w:rFonts w:cs="Times New Roman"/>
        </w:rPr>
      </w:pPr>
      <w:r w:rsidRPr="007505D5">
        <w:rPr>
          <w:rFonts w:cs="Times New Roman"/>
        </w:rPr>
        <w:t xml:space="preserve">The exhibits at issue in this appeal, which include documents relating to the purpose and mission of the </w:t>
      </w:r>
      <w:proofErr w:type="spellStart"/>
      <w:r w:rsidRPr="007505D5">
        <w:rPr>
          <w:rFonts w:cs="Times New Roman"/>
        </w:rPr>
        <w:t>Conseil</w:t>
      </w:r>
      <w:proofErr w:type="spellEnd"/>
      <w:r w:rsidRPr="007505D5">
        <w:rPr>
          <w:rFonts w:cs="Times New Roman"/>
        </w:rPr>
        <w:t>, were created in French long before litigation was contemplated. It could not be reasonably said that they were “prepared for use in the court”.  (Indeed, because they were prepared for other uses, they may not have been prepared using the stipulated quality and size of paper.)  By contrast, the affidavits to which the exhibits are attached were created for the court proceedings.  Of course, if they are appropriately qualified, documents can be tendered as exhibits by witnesses or by counsel.  Whether a document is filed as an exhibit with or without an affidavit is immaterial.</w:t>
      </w:r>
    </w:p>
    <w:p w:rsidR="00FC6143" w:rsidRPr="007505D5" w:rsidRDefault="00FC6143" w:rsidP="00FC6143">
      <w:pPr>
        <w:pStyle w:val="ParaNoNdepar-AltN"/>
        <w:tabs>
          <w:tab w:val="clear" w:pos="1166"/>
          <w:tab w:val="num" w:pos="1152"/>
        </w:tabs>
        <w:rPr>
          <w:rFonts w:cs="Times New Roman"/>
          <w:b/>
        </w:rPr>
      </w:pPr>
      <w:r w:rsidRPr="007505D5">
        <w:rPr>
          <w:rFonts w:cs="Times New Roman"/>
        </w:rPr>
        <w:t>Rule 22-3(3) requires transcripts in English.  Therefore, any reading of a French document during the proceedings, like any testimony in French, would be translated.</w:t>
      </w:r>
    </w:p>
    <w:p w:rsidR="00FC6143" w:rsidRPr="007505D5" w:rsidRDefault="00FC6143" w:rsidP="00FC6143">
      <w:pPr>
        <w:pStyle w:val="ParaNoNdepar-AltN"/>
        <w:tabs>
          <w:tab w:val="clear" w:pos="1166"/>
          <w:tab w:val="num" w:pos="1152"/>
        </w:tabs>
        <w:rPr>
          <w:rFonts w:cs="Times New Roman"/>
        </w:rPr>
      </w:pPr>
      <w:r w:rsidRPr="007505D5">
        <w:rPr>
          <w:rFonts w:cs="Times New Roman"/>
        </w:rPr>
        <w:lastRenderedPageBreak/>
        <w:t>Thus, in my view, Rules 22-3(2) and (3), based upon their express terms, do not preclude the B.C. Supreme Court from exercising its inherent jurisdiction to accept the documents in their original form if they were not prepared for use in court.</w:t>
      </w:r>
    </w:p>
    <w:p w:rsidR="00FC6143" w:rsidRPr="007505D5" w:rsidRDefault="00FC6143" w:rsidP="00FC6143">
      <w:pPr>
        <w:pStyle w:val="ParaNoNdepar-AltN"/>
        <w:tabs>
          <w:tab w:val="clear" w:pos="1166"/>
          <w:tab w:val="num" w:pos="1152"/>
        </w:tabs>
        <w:rPr>
          <w:rFonts w:cs="Times New Roman"/>
        </w:rPr>
      </w:pPr>
      <w:r w:rsidRPr="007505D5">
        <w:rPr>
          <w:rFonts w:cs="Times New Roman"/>
        </w:rPr>
        <w:t xml:space="preserve">This conclusion is consistent with the broader approach to the interpretation of rules of civil procedure, reflected in the famous maxim from Lord Collins M.R. in </w:t>
      </w:r>
      <w:proofErr w:type="spellStart"/>
      <w:r w:rsidRPr="007505D5">
        <w:rPr>
          <w:rFonts w:cs="Times New Roman"/>
          <w:i/>
        </w:rPr>
        <w:t>In</w:t>
      </w:r>
      <w:proofErr w:type="spellEnd"/>
      <w:r w:rsidRPr="007505D5">
        <w:rPr>
          <w:rFonts w:cs="Times New Roman"/>
          <w:i/>
        </w:rPr>
        <w:t xml:space="preserve"> re Coles and </w:t>
      </w:r>
      <w:proofErr w:type="spellStart"/>
      <w:r w:rsidRPr="007505D5">
        <w:rPr>
          <w:rFonts w:cs="Times New Roman"/>
          <w:i/>
        </w:rPr>
        <w:t>Ravenshear</w:t>
      </w:r>
      <w:proofErr w:type="spellEnd"/>
      <w:r w:rsidRPr="007505D5">
        <w:rPr>
          <w:rFonts w:cs="Times New Roman"/>
        </w:rPr>
        <w:t>, [1907] 1 K.B. 1 (C.A.), at p. 4:  “Although . . . a Court cannot conduct its business without a code of procedure, I think that the relation of rules of practice to the work of justice is intended to be that of handmaid rather than mistress</w:t>
      </w:r>
      <w:r w:rsidR="00B466A9">
        <w:rPr>
          <w:rFonts w:cs="Times New Roman"/>
        </w:rPr>
        <w:t xml:space="preserve"> . . . .</w:t>
      </w:r>
      <w:r w:rsidRPr="007505D5">
        <w:rPr>
          <w:rFonts w:cs="Times New Roman"/>
        </w:rPr>
        <w:t xml:space="preserve">”  In other words, procedural law, as the </w:t>
      </w:r>
      <w:r w:rsidRPr="007505D5">
        <w:rPr>
          <w:rFonts w:cs="Times New Roman"/>
          <w:i/>
        </w:rPr>
        <w:t>Civil Rules</w:t>
      </w:r>
      <w:r w:rsidRPr="007505D5">
        <w:rPr>
          <w:rFonts w:cs="Times New Roman"/>
        </w:rPr>
        <w:t xml:space="preserve"> provide, is meant to facilitate and assist in the application of the substantive law.</w:t>
      </w:r>
    </w:p>
    <w:p w:rsidR="00FC6143" w:rsidRPr="007505D5" w:rsidRDefault="00FC6143" w:rsidP="00FC6143">
      <w:pPr>
        <w:pStyle w:val="ParaNoNdepar-AltN"/>
        <w:tabs>
          <w:tab w:val="clear" w:pos="1166"/>
          <w:tab w:val="num" w:pos="1152"/>
        </w:tabs>
        <w:rPr>
          <w:rFonts w:cs="Times New Roman"/>
          <w:sz w:val="22"/>
          <w:lang w:bidi="en-US"/>
        </w:rPr>
      </w:pPr>
      <w:r w:rsidRPr="007505D5">
        <w:rPr>
          <w:rFonts w:cs="Times New Roman"/>
        </w:rPr>
        <w:t xml:space="preserve">This principle is reflected in the codification of flexibility and proportionality in the </w:t>
      </w:r>
      <w:r w:rsidRPr="007505D5">
        <w:rPr>
          <w:rFonts w:cs="Times New Roman"/>
          <w:i/>
        </w:rPr>
        <w:t>Civil Rules</w:t>
      </w:r>
      <w:r w:rsidRPr="007505D5">
        <w:rPr>
          <w:rFonts w:cs="Times New Roman"/>
        </w:rPr>
        <w:t xml:space="preserve"> under Rule 1-3 which reads as follows:</w:t>
      </w:r>
    </w:p>
    <w:p w:rsidR="00FC6143" w:rsidRPr="007505D5" w:rsidRDefault="00FC6143" w:rsidP="00FC6143">
      <w:pPr>
        <w:pStyle w:val="Citation-AltC"/>
        <w:ind w:left="1620" w:hanging="450"/>
        <w:rPr>
          <w:rFonts w:eastAsiaTheme="minorEastAsia"/>
          <w:lang w:bidi="en-US"/>
        </w:rPr>
      </w:pPr>
      <w:r w:rsidRPr="007505D5">
        <w:rPr>
          <w:rFonts w:eastAsiaTheme="minorEastAsia"/>
          <w:lang w:bidi="en-US"/>
        </w:rPr>
        <w:t>(1)  The object of these Supreme Court Civil Rules is to secure the just, speedy and inexpensive determination of every proceeding on its merits.</w:t>
      </w:r>
    </w:p>
    <w:p w:rsidR="00FC6143" w:rsidRPr="007505D5" w:rsidRDefault="00FC6143" w:rsidP="00FC6143">
      <w:pPr>
        <w:pStyle w:val="Citation-AltC"/>
        <w:rPr>
          <w:rFonts w:eastAsiaTheme="minorEastAsia"/>
          <w:lang w:bidi="en-US"/>
        </w:rPr>
      </w:pPr>
    </w:p>
    <w:p w:rsidR="00FC6143" w:rsidRDefault="00FC6143" w:rsidP="00FC6143">
      <w:pPr>
        <w:pStyle w:val="Citation-AltC"/>
        <w:ind w:left="1620" w:hanging="450"/>
        <w:rPr>
          <w:rFonts w:eastAsiaTheme="minorEastAsia"/>
          <w:lang w:bidi="en-US"/>
        </w:rPr>
      </w:pPr>
      <w:r>
        <w:rPr>
          <w:rFonts w:eastAsiaTheme="minorEastAsia"/>
          <w:lang w:bidi="en-US"/>
        </w:rPr>
        <w:t xml:space="preserve">(2) </w:t>
      </w:r>
      <w:r w:rsidRPr="007505D5">
        <w:rPr>
          <w:rFonts w:eastAsiaTheme="minorEastAsia"/>
          <w:lang w:bidi="en-US"/>
        </w:rPr>
        <w:t>Securing the just, speedy and inexpensive determination of a proceeding on its merits includes, so far as is practicable, conducting the pro</w:t>
      </w:r>
      <w:r w:rsidRPr="007505D5">
        <w:rPr>
          <w:rFonts w:eastAsiaTheme="minorEastAsia"/>
          <w:sz w:val="22"/>
          <w:lang w:bidi="en-US"/>
        </w:rPr>
        <w:t>c</w:t>
      </w:r>
      <w:r w:rsidRPr="007505D5">
        <w:rPr>
          <w:rFonts w:eastAsiaTheme="minorEastAsia"/>
          <w:lang w:bidi="en-US"/>
        </w:rPr>
        <w:t>eeding in ways that are proportionate to</w:t>
      </w:r>
    </w:p>
    <w:p w:rsidR="006F51F8" w:rsidRPr="007505D5" w:rsidRDefault="006F51F8" w:rsidP="00FC6143">
      <w:pPr>
        <w:pStyle w:val="Citation-AltC"/>
        <w:ind w:left="1620" w:hanging="450"/>
        <w:rPr>
          <w:rFonts w:eastAsiaTheme="minorEastAsia"/>
          <w:u w:val="single"/>
          <w:lang w:bidi="en-US"/>
        </w:rPr>
      </w:pPr>
    </w:p>
    <w:p w:rsidR="00FC6143" w:rsidRDefault="00FC6143" w:rsidP="00FC6143">
      <w:pPr>
        <w:pStyle w:val="Citation-AltC"/>
        <w:ind w:left="1980"/>
      </w:pPr>
      <w:r w:rsidRPr="007505D5">
        <w:t>(a) </w:t>
      </w:r>
      <w:proofErr w:type="gramStart"/>
      <w:r w:rsidRPr="007505D5">
        <w:t>the</w:t>
      </w:r>
      <w:proofErr w:type="gramEnd"/>
      <w:r w:rsidRPr="007505D5">
        <w:t xml:space="preserve"> amount involved in the proceeding,</w:t>
      </w:r>
    </w:p>
    <w:p w:rsidR="006F51F8" w:rsidRPr="007505D5" w:rsidRDefault="006F51F8" w:rsidP="00FC6143">
      <w:pPr>
        <w:pStyle w:val="Citation-AltC"/>
        <w:ind w:left="1980"/>
      </w:pPr>
    </w:p>
    <w:p w:rsidR="00FC6143" w:rsidRDefault="00FC6143" w:rsidP="00FC6143">
      <w:pPr>
        <w:pStyle w:val="Citation-AltC"/>
        <w:ind w:left="1980"/>
      </w:pPr>
      <w:r w:rsidRPr="007505D5">
        <w:t>(b) </w:t>
      </w:r>
      <w:proofErr w:type="gramStart"/>
      <w:r w:rsidRPr="007505D5">
        <w:t>the</w:t>
      </w:r>
      <w:proofErr w:type="gramEnd"/>
      <w:r w:rsidRPr="007505D5">
        <w:t xml:space="preserve"> importance of the issues in dispute, and</w:t>
      </w:r>
    </w:p>
    <w:p w:rsidR="006F51F8" w:rsidRPr="007505D5" w:rsidRDefault="006F51F8" w:rsidP="00FC6143">
      <w:pPr>
        <w:pStyle w:val="Citation-AltC"/>
        <w:ind w:left="1980"/>
      </w:pPr>
    </w:p>
    <w:p w:rsidR="00FC6143" w:rsidRPr="007505D5" w:rsidRDefault="00FC6143" w:rsidP="00FC6143">
      <w:pPr>
        <w:pStyle w:val="Citation-AltC"/>
        <w:ind w:left="1980"/>
      </w:pPr>
      <w:r w:rsidRPr="007505D5">
        <w:t>(c) </w:t>
      </w:r>
      <w:proofErr w:type="gramStart"/>
      <w:r w:rsidRPr="007505D5">
        <w:t>the</w:t>
      </w:r>
      <w:proofErr w:type="gramEnd"/>
      <w:r w:rsidRPr="007505D5">
        <w:t xml:space="preserve"> complexity of the proceeding.</w:t>
      </w:r>
    </w:p>
    <w:p w:rsidR="00FC6143" w:rsidRPr="007505D5" w:rsidRDefault="00FC6143" w:rsidP="00FC6143">
      <w:pPr>
        <w:pStyle w:val="ParaNoNdepar-AltN"/>
        <w:tabs>
          <w:tab w:val="clear" w:pos="1166"/>
          <w:tab w:val="num" w:pos="1152"/>
        </w:tabs>
        <w:rPr>
          <w:rFonts w:cs="Times New Roman"/>
        </w:rPr>
      </w:pPr>
      <w:r w:rsidRPr="007505D5">
        <w:rPr>
          <w:rFonts w:cs="Times New Roman"/>
        </w:rPr>
        <w:lastRenderedPageBreak/>
        <w:t xml:space="preserve">Thus, the </w:t>
      </w:r>
      <w:r w:rsidRPr="007505D5">
        <w:rPr>
          <w:rFonts w:cs="Times New Roman"/>
          <w:i/>
        </w:rPr>
        <w:t>Civil Rules</w:t>
      </w:r>
      <w:r w:rsidRPr="007505D5">
        <w:rPr>
          <w:rFonts w:cs="Times New Roman"/>
        </w:rPr>
        <w:t xml:space="preserve"> should be interpreted in a flexible manner so as to give life to the substantive law.  Furthermore, the B.C. Supreme Court may exercise its inherent jurisdiction to supplement procedures in the </w:t>
      </w:r>
      <w:r w:rsidRPr="007505D5">
        <w:rPr>
          <w:rFonts w:cs="Times New Roman"/>
          <w:i/>
        </w:rPr>
        <w:t>Civil Rules</w:t>
      </w:r>
      <w:r w:rsidRPr="007505D5">
        <w:rPr>
          <w:rFonts w:cs="Times New Roman"/>
        </w:rPr>
        <w:t>.</w:t>
      </w:r>
    </w:p>
    <w:p w:rsidR="00FC6143" w:rsidRPr="007505D5" w:rsidRDefault="00FC6143" w:rsidP="00FC6143">
      <w:pPr>
        <w:pStyle w:val="ParaNoNdepar-AltN"/>
        <w:tabs>
          <w:tab w:val="clear" w:pos="1166"/>
          <w:tab w:val="num" w:pos="1152"/>
        </w:tabs>
        <w:rPr>
          <w:rFonts w:cs="Times New Roman"/>
        </w:rPr>
      </w:pPr>
      <w:r w:rsidRPr="007505D5">
        <w:rPr>
          <w:rFonts w:cs="Times New Roman"/>
        </w:rPr>
        <w:t>As Jacob notes:</w:t>
      </w:r>
    </w:p>
    <w:p w:rsidR="00643E07" w:rsidRDefault="00FC6143" w:rsidP="00643E07">
      <w:pPr>
        <w:pStyle w:val="Citation-AltC"/>
        <w:spacing w:after="240"/>
        <w:ind w:firstLine="274"/>
        <w:contextualSpacing w:val="0"/>
      </w:pPr>
      <w:r w:rsidRPr="007505D5">
        <w:t>The powers of the court under its inherent jurisdiction are complementary to its powers under Rules of Court; one set of powers supplem</w:t>
      </w:r>
      <w:r w:rsidR="00643E07">
        <w:t>ents and reinforces the other.</w:t>
      </w:r>
    </w:p>
    <w:p w:rsidR="00FC6143" w:rsidRPr="007505D5" w:rsidRDefault="00FC6143" w:rsidP="00643E07">
      <w:pPr>
        <w:pStyle w:val="Citation-AltC"/>
        <w:spacing w:after="240"/>
        <w:ind w:firstLine="274"/>
        <w:contextualSpacing w:val="0"/>
        <w:jc w:val="center"/>
      </w:pPr>
      <w:r w:rsidRPr="007505D5">
        <w:t>. . .</w:t>
      </w:r>
    </w:p>
    <w:p w:rsidR="00FC6143" w:rsidRPr="007505D5" w:rsidRDefault="00FC6143" w:rsidP="00643E07">
      <w:pPr>
        <w:pStyle w:val="Citation-AltC"/>
        <w:spacing w:after="240"/>
        <w:ind w:firstLine="274"/>
        <w:contextualSpacing w:val="0"/>
      </w:pPr>
      <w:r w:rsidRPr="007505D5">
        <w:t>. . . by their very nature, they are wider and more extensive powers, permeating all proceedings at all stages and filling any gaps left by the Rules and they can be exercised on a wider basis, for example, by enabling the court to admit evidence by affidavit or otherwise in order to examine all the circumstances appertaining to the merits of the case.  [pp. 50-51]</w:t>
      </w:r>
    </w:p>
    <w:p w:rsidR="00FC6143" w:rsidRPr="007505D5" w:rsidRDefault="00FC6143" w:rsidP="00FC6143">
      <w:pPr>
        <w:pStyle w:val="ParaNoNdepar-AltN"/>
        <w:tabs>
          <w:tab w:val="clear" w:pos="1166"/>
          <w:tab w:val="num" w:pos="1152"/>
        </w:tabs>
        <w:rPr>
          <w:rFonts w:cs="Times New Roman"/>
        </w:rPr>
      </w:pPr>
      <w:r w:rsidRPr="007505D5">
        <w:rPr>
          <w:rFonts w:cs="Times New Roman"/>
        </w:rPr>
        <w:t xml:space="preserve">In my view, the British Columbia legislature has not clearly addressed the language in which documents </w:t>
      </w:r>
      <w:r w:rsidRPr="007505D5">
        <w:rPr>
          <w:rFonts w:cs="Times New Roman"/>
          <w:i/>
        </w:rPr>
        <w:t>not</w:t>
      </w:r>
      <w:r w:rsidRPr="007505D5">
        <w:rPr>
          <w:rFonts w:cs="Times New Roman"/>
        </w:rPr>
        <w:t xml:space="preserve"> </w:t>
      </w:r>
      <w:r w:rsidRPr="007505D5">
        <w:rPr>
          <w:rFonts w:cs="Times New Roman"/>
          <w:i/>
        </w:rPr>
        <w:t>prepared for use in court</w:t>
      </w:r>
      <w:r w:rsidRPr="007505D5">
        <w:rPr>
          <w:rFonts w:cs="Times New Roman"/>
        </w:rPr>
        <w:t xml:space="preserve"> must be filed.  Coupled with the role of bilingualism in the Canadian constitutional context as I will discuss below, I conclude that the B.C. Supreme Court may exercise its inherent jurisdiction to admit French documents if doing so would uphold, protect, and fulfil the “judicial function of administering justice </w:t>
      </w:r>
      <w:r w:rsidR="00643E07">
        <w:rPr>
          <w:rFonts w:cs="Times New Roman"/>
        </w:rPr>
        <w:t>. . .</w:t>
      </w:r>
      <w:r w:rsidRPr="007505D5">
        <w:rPr>
          <w:rFonts w:cs="Times New Roman"/>
        </w:rPr>
        <w:t xml:space="preserve"> in a regular, orderly and effective manner” (Jacob, at p. 28).</w:t>
      </w:r>
    </w:p>
    <w:p w:rsidR="00FC6143" w:rsidRPr="007505D5" w:rsidRDefault="00FC6143" w:rsidP="00643E07">
      <w:pPr>
        <w:pStyle w:val="TitleTitre-AltT"/>
        <w:tabs>
          <w:tab w:val="clear" w:pos="360"/>
          <w:tab w:val="left" w:pos="540"/>
        </w:tabs>
        <w:ind w:left="540" w:hanging="540"/>
        <w:rPr>
          <w:rFonts w:cs="Times New Roman"/>
          <w:i/>
        </w:rPr>
      </w:pPr>
      <w:r w:rsidRPr="007505D5">
        <w:rPr>
          <w:rFonts w:cs="Times New Roman"/>
        </w:rPr>
        <w:t>D.</w:t>
      </w:r>
      <w:r w:rsidRPr="007505D5">
        <w:rPr>
          <w:rFonts w:cs="Times New Roman"/>
        </w:rPr>
        <w:tab/>
      </w:r>
      <w:r w:rsidRPr="007505D5">
        <w:rPr>
          <w:rFonts w:cs="Times New Roman"/>
          <w:i/>
        </w:rPr>
        <w:t>Factors Relevant to the Exercise of Inherent Jurisdiction</w:t>
      </w:r>
    </w:p>
    <w:p w:rsidR="00FC6143" w:rsidRPr="007505D5" w:rsidRDefault="00FC6143" w:rsidP="00FC6143">
      <w:pPr>
        <w:pStyle w:val="ParaNoNdepar-AltN"/>
        <w:tabs>
          <w:tab w:val="clear" w:pos="1166"/>
          <w:tab w:val="num" w:pos="1152"/>
        </w:tabs>
        <w:rPr>
          <w:rFonts w:cs="Times New Roman"/>
        </w:rPr>
      </w:pPr>
      <w:r w:rsidRPr="007505D5">
        <w:rPr>
          <w:rFonts w:cs="Times New Roman"/>
        </w:rPr>
        <w:lastRenderedPageBreak/>
        <w:t>I would therefore allow the appeal and remit the matter back to the B.C. Supreme Court.  In my view, various constitutional principles, as well as the specific circumstances of this proceeding, should guide the motion judge in determining whether to exercise his or her inherent jurisdiction to receive the exhibits in French.</w:t>
      </w:r>
    </w:p>
    <w:p w:rsidR="00FC6143" w:rsidRPr="007505D5" w:rsidRDefault="00FC6143" w:rsidP="00FC6143">
      <w:pPr>
        <w:pStyle w:val="ParaNoNdepar-AltN"/>
        <w:tabs>
          <w:tab w:val="clear" w:pos="1166"/>
          <w:tab w:val="num" w:pos="1152"/>
        </w:tabs>
        <w:rPr>
          <w:rFonts w:cs="Times New Roman"/>
        </w:rPr>
      </w:pPr>
      <w:r w:rsidRPr="007505D5">
        <w:rPr>
          <w:rFonts w:cs="Times New Roman"/>
        </w:rPr>
        <w:t xml:space="preserve">Sections 16 and 23 of the </w:t>
      </w:r>
      <w:r w:rsidRPr="007505D5">
        <w:rPr>
          <w:rFonts w:cs="Times New Roman"/>
          <w:i/>
        </w:rPr>
        <w:t>Charter</w:t>
      </w:r>
      <w:r w:rsidRPr="007505D5">
        <w:rPr>
          <w:rFonts w:cs="Times New Roman"/>
        </w:rPr>
        <w:t xml:space="preserve"> affirm the fundamental importance of bilingualism in the Canadian constitutional fabric.</w:t>
      </w:r>
      <w:r>
        <w:rPr>
          <w:rFonts w:cs="Times New Roman"/>
        </w:rPr>
        <w:t xml:space="preserve">  </w:t>
      </w:r>
      <w:r w:rsidRPr="007505D5">
        <w:rPr>
          <w:rFonts w:cs="Times New Roman"/>
        </w:rPr>
        <w:t xml:space="preserve">Section 16(1) of the </w:t>
      </w:r>
      <w:r w:rsidRPr="007505D5">
        <w:rPr>
          <w:rFonts w:cs="Times New Roman"/>
          <w:i/>
        </w:rPr>
        <w:t>Charter</w:t>
      </w:r>
      <w:r w:rsidRPr="007505D5">
        <w:rPr>
          <w:rFonts w:cs="Times New Roman"/>
        </w:rPr>
        <w:t xml:space="preserve"> declares that English and French are the two official languages of Canada.</w:t>
      </w:r>
      <w:r w:rsidRPr="007505D5">
        <w:rPr>
          <w:rStyle w:val="FootnoteReference"/>
          <w:rFonts w:cs="Times New Roman"/>
        </w:rPr>
        <w:footnoteReference w:id="2"/>
      </w:r>
    </w:p>
    <w:p w:rsidR="00FC6143" w:rsidRPr="007505D5" w:rsidRDefault="00FC6143" w:rsidP="00FC6143">
      <w:pPr>
        <w:pStyle w:val="ParaNoNdepar-AltN"/>
        <w:tabs>
          <w:tab w:val="clear" w:pos="1166"/>
          <w:tab w:val="num" w:pos="1152"/>
        </w:tabs>
        <w:rPr>
          <w:rFonts w:cs="Times New Roman"/>
        </w:rPr>
      </w:pPr>
      <w:r w:rsidRPr="007505D5">
        <w:rPr>
          <w:rFonts w:cs="Times New Roman"/>
        </w:rPr>
        <w:t xml:space="preserve">The </w:t>
      </w:r>
      <w:r w:rsidRPr="007505D5">
        <w:rPr>
          <w:rFonts w:cs="Times New Roman"/>
          <w:i/>
        </w:rPr>
        <w:t xml:space="preserve">Official Languages Act </w:t>
      </w:r>
      <w:r w:rsidRPr="007505D5">
        <w:rPr>
          <w:rFonts w:cs="Times New Roman"/>
        </w:rPr>
        <w:t>manifests the fundamentally bilingual character of Canada.  This Court has recognized it as a quasi-constitutional statute:</w:t>
      </w:r>
      <w:r>
        <w:rPr>
          <w:rFonts w:cs="Times New Roman"/>
        </w:rPr>
        <w:t xml:space="preserve"> </w:t>
      </w:r>
      <w:r w:rsidRPr="007505D5">
        <w:rPr>
          <w:rFonts w:cs="Times New Roman"/>
        </w:rPr>
        <w:t xml:space="preserve"> </w:t>
      </w:r>
      <w:proofErr w:type="spellStart"/>
      <w:r w:rsidRPr="007505D5">
        <w:rPr>
          <w:rFonts w:cs="Times New Roman"/>
          <w:i/>
        </w:rPr>
        <w:t>Lavigne</w:t>
      </w:r>
      <w:proofErr w:type="spellEnd"/>
      <w:r w:rsidRPr="007505D5">
        <w:rPr>
          <w:rFonts w:cs="Times New Roman"/>
          <w:i/>
        </w:rPr>
        <w:t xml:space="preserve"> v. Canada (Office of the Commissioner of Official Languages)</w:t>
      </w:r>
      <w:r w:rsidRPr="007505D5">
        <w:rPr>
          <w:rFonts w:cs="Times New Roman"/>
        </w:rPr>
        <w:t xml:space="preserve">, 2002 SCC 53, [2002] 2 S.C.R. 773, at </w:t>
      </w:r>
      <w:proofErr w:type="spellStart"/>
      <w:r w:rsidRPr="007505D5">
        <w:rPr>
          <w:rFonts w:cs="Times New Roman"/>
        </w:rPr>
        <w:t>para</w:t>
      </w:r>
      <w:proofErr w:type="spellEnd"/>
      <w:r w:rsidRPr="007505D5">
        <w:rPr>
          <w:rFonts w:cs="Times New Roman"/>
        </w:rPr>
        <w:t xml:space="preserve">. 23.  While aspects of s. 16 and the </w:t>
      </w:r>
      <w:r w:rsidRPr="007505D5">
        <w:rPr>
          <w:rFonts w:cs="Times New Roman"/>
          <w:i/>
        </w:rPr>
        <w:t>Official Languages Act</w:t>
      </w:r>
      <w:r w:rsidRPr="007505D5">
        <w:rPr>
          <w:rFonts w:cs="Times New Roman"/>
        </w:rPr>
        <w:t xml:space="preserve"> require the equal status and equal treatment of each language in federal institutions, the commitment and the aspiration to express Canada’s bilingualism is evident.  The Preamble of the </w:t>
      </w:r>
      <w:r w:rsidRPr="007505D5">
        <w:rPr>
          <w:rFonts w:cs="Times New Roman"/>
          <w:i/>
        </w:rPr>
        <w:t>Official Languages Act</w:t>
      </w:r>
      <w:r w:rsidRPr="007505D5">
        <w:rPr>
          <w:rFonts w:cs="Times New Roman"/>
        </w:rPr>
        <w:t xml:space="preserve"> makes this clear:</w:t>
      </w:r>
    </w:p>
    <w:p w:rsidR="00FC6143" w:rsidRPr="007505D5" w:rsidRDefault="00FC6143" w:rsidP="00FC6143">
      <w:pPr>
        <w:pStyle w:val="Citation-AltC"/>
        <w:ind w:firstLine="454"/>
      </w:pPr>
      <w:r w:rsidRPr="007505D5">
        <w:t>AND WHEREAS the Government of Canada</w:t>
      </w:r>
      <w:r w:rsidRPr="007505D5">
        <w:rPr>
          <w:i/>
        </w:rPr>
        <w:t xml:space="preserve"> </w:t>
      </w:r>
      <w:r w:rsidRPr="007505D5">
        <w:t>is committed to enhancing the vitality and supporting the development of English and French linguistic minority communities, as an integral part of the two official</w:t>
      </w:r>
      <w:r w:rsidRPr="007505D5">
        <w:rPr>
          <w:i/>
        </w:rPr>
        <w:t xml:space="preserve"> </w:t>
      </w:r>
      <w:r w:rsidRPr="007505D5">
        <w:rPr>
          <w:u w:val="single"/>
        </w:rPr>
        <w:t>language communities</w:t>
      </w:r>
      <w:r w:rsidRPr="007505D5">
        <w:t xml:space="preserve"> of Canada, and to fostering full recognition and use of English and French in Canadian society;</w:t>
      </w:r>
    </w:p>
    <w:p w:rsidR="00FC6143" w:rsidRPr="007505D5" w:rsidRDefault="00FC6143" w:rsidP="00FC6143">
      <w:pPr>
        <w:pStyle w:val="ParaNoNdepar-AltN"/>
        <w:tabs>
          <w:tab w:val="clear" w:pos="1166"/>
          <w:tab w:val="num" w:pos="1152"/>
        </w:tabs>
        <w:rPr>
          <w:rFonts w:cs="Times New Roman"/>
        </w:rPr>
      </w:pPr>
      <w:r w:rsidRPr="007505D5">
        <w:rPr>
          <w:rFonts w:cs="Times New Roman"/>
        </w:rPr>
        <w:lastRenderedPageBreak/>
        <w:t>This Court’s jurisprudence confirms the status of French and bilingualism more generally.  As for s. 23 of the</w:t>
      </w:r>
      <w:r w:rsidRPr="007505D5">
        <w:rPr>
          <w:rFonts w:cs="Times New Roman"/>
          <w:i/>
        </w:rPr>
        <w:t xml:space="preserve"> Charter</w:t>
      </w:r>
      <w:r w:rsidRPr="007505D5">
        <w:rPr>
          <w:rFonts w:cs="Times New Roman"/>
        </w:rPr>
        <w:t>,</w:t>
      </w:r>
      <w:r w:rsidRPr="007505D5">
        <w:rPr>
          <w:rFonts w:cs="Times New Roman"/>
          <w:i/>
        </w:rPr>
        <w:t xml:space="preserve"> </w:t>
      </w:r>
      <w:r w:rsidR="00643E07">
        <w:rPr>
          <w:rFonts w:cs="Times New Roman"/>
        </w:rPr>
        <w:t>Dickson C.</w:t>
      </w:r>
      <w:r w:rsidRPr="007505D5">
        <w:rPr>
          <w:rFonts w:cs="Times New Roman"/>
        </w:rPr>
        <w:t xml:space="preserve">J. stated in </w:t>
      </w:r>
      <w:proofErr w:type="spellStart"/>
      <w:r w:rsidRPr="007505D5">
        <w:rPr>
          <w:rFonts w:cs="Times New Roman"/>
          <w:i/>
        </w:rPr>
        <w:t>Mahe</w:t>
      </w:r>
      <w:proofErr w:type="spellEnd"/>
      <w:r w:rsidRPr="007505D5">
        <w:rPr>
          <w:rFonts w:cs="Times New Roman"/>
          <w:i/>
        </w:rPr>
        <w:t xml:space="preserve"> v. Alberta</w:t>
      </w:r>
      <w:r w:rsidRPr="007505D5">
        <w:rPr>
          <w:rFonts w:cs="Times New Roman"/>
        </w:rPr>
        <w:t>, [1990] 1 S.C.R. 342, that it “represents a linchpin in this nation’s commitment to the values of bilingualism and biculturalism” (p. 350).</w:t>
      </w:r>
    </w:p>
    <w:p w:rsidR="00FC6143" w:rsidRPr="007505D5" w:rsidRDefault="00FC6143" w:rsidP="00FC6143">
      <w:pPr>
        <w:pStyle w:val="ParaNoNdepar-AltN"/>
        <w:tabs>
          <w:tab w:val="clear" w:pos="1166"/>
          <w:tab w:val="num" w:pos="1152"/>
        </w:tabs>
        <w:rPr>
          <w:rFonts w:cs="Times New Roman"/>
        </w:rPr>
      </w:pPr>
      <w:r w:rsidRPr="007505D5">
        <w:rPr>
          <w:rFonts w:cs="Times New Roman"/>
        </w:rPr>
        <w:t>Thus, the motion judge should consider relevant constitutional values in exercising his or her inherent jurisdiction.  These include the status of French as an official language in Canada, the protection of official language minority rights, and the constitutional commitment to safeguarding and promoting both the French and English languages.</w:t>
      </w:r>
    </w:p>
    <w:p w:rsidR="00FC6143" w:rsidRPr="007505D5" w:rsidRDefault="00FC6143" w:rsidP="00FC6143">
      <w:pPr>
        <w:pStyle w:val="ParaNoNdepar-AltN"/>
        <w:tabs>
          <w:tab w:val="clear" w:pos="1166"/>
          <w:tab w:val="num" w:pos="1152"/>
        </w:tabs>
        <w:rPr>
          <w:rFonts w:cs="Times New Roman"/>
        </w:rPr>
      </w:pPr>
      <w:r w:rsidRPr="007505D5">
        <w:rPr>
          <w:rFonts w:cs="Times New Roman"/>
        </w:rPr>
        <w:t>The specific circumstances of the parties in this case are also relevant to the exercise of inherent jurisdiction.  This context includes the nature of the parties, their capacity to understand the French documents, the nature of the documents, and the nature of the underlying action.</w:t>
      </w:r>
    </w:p>
    <w:p w:rsidR="00FC6143" w:rsidRPr="007505D5" w:rsidRDefault="00FC6143" w:rsidP="00FC6143">
      <w:pPr>
        <w:pStyle w:val="ParaNoNdepar-AltN"/>
        <w:tabs>
          <w:tab w:val="clear" w:pos="1166"/>
          <w:tab w:val="num" w:pos="1152"/>
        </w:tabs>
        <w:rPr>
          <w:rFonts w:cs="Times New Roman"/>
        </w:rPr>
      </w:pPr>
      <w:r w:rsidRPr="007505D5">
        <w:rPr>
          <w:rFonts w:cs="Times New Roman"/>
        </w:rPr>
        <w:t xml:space="preserve">Here, the </w:t>
      </w:r>
      <w:proofErr w:type="spellStart"/>
      <w:r w:rsidRPr="007505D5">
        <w:rPr>
          <w:rFonts w:cs="Times New Roman"/>
        </w:rPr>
        <w:t>Conseil</w:t>
      </w:r>
      <w:proofErr w:type="spellEnd"/>
      <w:r w:rsidRPr="007505D5">
        <w:rPr>
          <w:rFonts w:cs="Times New Roman"/>
        </w:rPr>
        <w:t xml:space="preserve"> was established by enacted statute of the British Columbia legislature.  By virtue of s. 23 </w:t>
      </w:r>
      <w:r w:rsidRPr="007505D5">
        <w:rPr>
          <w:rFonts w:cs="Times New Roman"/>
          <w:i/>
        </w:rPr>
        <w:t>Charter</w:t>
      </w:r>
      <w:r w:rsidRPr="007505D5">
        <w:rPr>
          <w:rFonts w:cs="Times New Roman"/>
        </w:rPr>
        <w:t xml:space="preserve"> rights, the </w:t>
      </w:r>
      <w:proofErr w:type="spellStart"/>
      <w:r w:rsidRPr="007505D5">
        <w:rPr>
          <w:rFonts w:cs="Times New Roman"/>
        </w:rPr>
        <w:t>Conseil</w:t>
      </w:r>
      <w:proofErr w:type="spellEnd"/>
      <w:r w:rsidRPr="007505D5">
        <w:rPr>
          <w:rFonts w:cs="Times New Roman"/>
        </w:rPr>
        <w:t xml:space="preserve"> operates primarily in French.  The trial judge, and all parties and their lawyers, except the Province of British Columbia, understand the French language.  The British Columbia government must also have some institutional capacity to understand French (particularly as it is mandated under the </w:t>
      </w:r>
      <w:r w:rsidRPr="007505D5">
        <w:rPr>
          <w:rFonts w:cs="Times New Roman"/>
          <w:i/>
        </w:rPr>
        <w:t>Criminal Code</w:t>
      </w:r>
      <w:r w:rsidRPr="007505D5">
        <w:rPr>
          <w:rFonts w:cs="Times New Roman"/>
        </w:rPr>
        <w:t xml:space="preserve"> to provide French trials).  Furthermore, the underlying litigation is about constitutional French language rights.</w:t>
      </w:r>
    </w:p>
    <w:p w:rsidR="00FC6143" w:rsidRPr="007505D5" w:rsidRDefault="00FC6143" w:rsidP="00FC6143">
      <w:pPr>
        <w:pStyle w:val="ParaNoNdepar-AltN"/>
        <w:tabs>
          <w:tab w:val="clear" w:pos="1166"/>
          <w:tab w:val="num" w:pos="1152"/>
        </w:tabs>
        <w:rPr>
          <w:rFonts w:cs="Times New Roman"/>
        </w:rPr>
      </w:pPr>
      <w:r w:rsidRPr="007505D5">
        <w:rPr>
          <w:rFonts w:cs="Times New Roman"/>
        </w:rPr>
        <w:lastRenderedPageBreak/>
        <w:t>Of course, while I have outlined some of the important factors, it will be up to the motion judge to consider and weigh all relevant factors in exercising his or her inherent jurisdiction.</w:t>
      </w:r>
    </w:p>
    <w:p w:rsidR="00FC6143" w:rsidRPr="007505D5" w:rsidRDefault="00FC6143" w:rsidP="00643E07">
      <w:pPr>
        <w:pStyle w:val="TitleTitre-AltT"/>
        <w:tabs>
          <w:tab w:val="clear" w:pos="360"/>
          <w:tab w:val="left" w:pos="540"/>
        </w:tabs>
        <w:ind w:left="540" w:hanging="540"/>
        <w:rPr>
          <w:rFonts w:cs="Times New Roman"/>
        </w:rPr>
      </w:pPr>
      <w:r w:rsidRPr="007505D5">
        <w:rPr>
          <w:rFonts w:cs="Times New Roman"/>
        </w:rPr>
        <w:t>III.</w:t>
      </w:r>
      <w:r w:rsidRPr="007505D5">
        <w:rPr>
          <w:rFonts w:cs="Times New Roman"/>
        </w:rPr>
        <w:tab/>
      </w:r>
      <w:r w:rsidRPr="007505D5">
        <w:rPr>
          <w:rFonts w:cs="Times New Roman"/>
          <w:u w:val="single"/>
        </w:rPr>
        <w:t>Conclusion</w:t>
      </w:r>
    </w:p>
    <w:p w:rsidR="00FC6143" w:rsidRDefault="00FC6143" w:rsidP="00FC6143">
      <w:pPr>
        <w:pStyle w:val="ParaNoNdepar-AltN"/>
        <w:tabs>
          <w:tab w:val="clear" w:pos="1166"/>
          <w:tab w:val="num" w:pos="1152"/>
        </w:tabs>
        <w:rPr>
          <w:rFonts w:cs="Times New Roman"/>
        </w:rPr>
      </w:pPr>
      <w:r w:rsidRPr="007505D5">
        <w:rPr>
          <w:rFonts w:cs="Times New Roman"/>
        </w:rPr>
        <w:t xml:space="preserve">Neither the </w:t>
      </w:r>
      <w:r w:rsidRPr="007505D5">
        <w:rPr>
          <w:rFonts w:cs="Times New Roman"/>
          <w:i/>
        </w:rPr>
        <w:t>1731 Act</w:t>
      </w:r>
      <w:r w:rsidRPr="007505D5">
        <w:rPr>
          <w:rFonts w:cs="Times New Roman"/>
        </w:rPr>
        <w:t xml:space="preserve"> nor the British Columbia </w:t>
      </w:r>
      <w:r w:rsidRPr="007505D5">
        <w:rPr>
          <w:rFonts w:cs="Times New Roman"/>
          <w:i/>
        </w:rPr>
        <w:t>Civil Rules</w:t>
      </w:r>
      <w:r w:rsidRPr="007505D5">
        <w:rPr>
          <w:rFonts w:cs="Times New Roman"/>
        </w:rPr>
        <w:t xml:space="preserve"> addresses the language of exhibits in court proceedings.  In light of the silence of the British Columbia legislature on this issue, and pursuant to the court’s inherent jurisdiction, judges of the B.C. Supreme Court may allow French language documents, not prepared for use in court, to be filed in evidence as exhibits where this will ensure the administration of justice according to law in a regular, orderly and effective manner.</w:t>
      </w:r>
    </w:p>
    <w:p w:rsidR="00FC6143" w:rsidRPr="007505D5" w:rsidRDefault="00FC6143" w:rsidP="00FC6143">
      <w:pPr>
        <w:pStyle w:val="ParaNoNdepar-AltN"/>
        <w:tabs>
          <w:tab w:val="clear" w:pos="1166"/>
          <w:tab w:val="num" w:pos="1152"/>
        </w:tabs>
        <w:rPr>
          <w:rFonts w:cs="Times New Roman"/>
        </w:rPr>
      </w:pPr>
      <w:r w:rsidRPr="007505D5">
        <w:rPr>
          <w:rFonts w:cs="Times New Roman"/>
        </w:rPr>
        <w:t>I would allow the appeal and remit the matter to the B.C. Supreme Court.</w:t>
      </w:r>
    </w:p>
    <w:p w:rsidR="009B57B3" w:rsidRPr="00241797" w:rsidRDefault="009B57B3" w:rsidP="005855B0">
      <w:pPr>
        <w:pStyle w:val="SCCNormalDoubleSpacing"/>
        <w:spacing w:before="480" w:after="480"/>
      </w:pPr>
      <w:r w:rsidRPr="00F43E4D">
        <w:rPr>
          <w:lang w:val="en-US"/>
        </w:rPr>
        <w:tab/>
      </w:r>
      <w:r w:rsidR="00656313" w:rsidRPr="00241797">
        <w:rPr>
          <w:i/>
        </w:rPr>
        <w:t>Appeal</w:t>
      </w:r>
      <w:r w:rsidR="00A02C2B" w:rsidRPr="00241797">
        <w:rPr>
          <w:i/>
        </w:rPr>
        <w:t xml:space="preserve"> dismissed</w:t>
      </w:r>
      <w:r w:rsidR="004732D8" w:rsidRPr="00241797">
        <w:rPr>
          <w:i/>
        </w:rPr>
        <w:t xml:space="preserve"> with costs throughout</w:t>
      </w:r>
      <w:r w:rsidR="008C0237">
        <w:rPr>
          <w:i/>
        </w:rPr>
        <w:t xml:space="preserve"> to the appellants</w:t>
      </w:r>
      <w:r w:rsidR="00A02C2B" w:rsidRPr="00241797">
        <w:rPr>
          <w:i/>
        </w:rPr>
        <w:t>,</w:t>
      </w:r>
      <w:r w:rsidR="00893A7F" w:rsidRPr="00241797">
        <w:rPr>
          <w:smallCaps/>
        </w:rPr>
        <w:t xml:space="preserve"> </w:t>
      </w:r>
      <w:proofErr w:type="spellStart"/>
      <w:r w:rsidR="00564BEA" w:rsidRPr="00241797">
        <w:rPr>
          <w:smallCaps/>
        </w:rPr>
        <w:t>LeBel</w:t>
      </w:r>
      <w:proofErr w:type="spellEnd"/>
      <w:r w:rsidR="00564BEA" w:rsidRPr="00241797">
        <w:rPr>
          <w:i/>
        </w:rPr>
        <w:t>,</w:t>
      </w:r>
      <w:r w:rsidR="00564BEA" w:rsidRPr="00241797">
        <w:rPr>
          <w:smallCaps/>
        </w:rPr>
        <w:t xml:space="preserve"> </w:t>
      </w:r>
      <w:proofErr w:type="spellStart"/>
      <w:r w:rsidR="00893A7F" w:rsidRPr="00241797">
        <w:rPr>
          <w:smallCaps/>
        </w:rPr>
        <w:t>Abella</w:t>
      </w:r>
      <w:proofErr w:type="spellEnd"/>
      <w:r w:rsidR="00893A7F" w:rsidRPr="00241797">
        <w:rPr>
          <w:smallCaps/>
        </w:rPr>
        <w:t xml:space="preserve"> </w:t>
      </w:r>
      <w:r w:rsidR="00893A7F" w:rsidRPr="00241797">
        <w:rPr>
          <w:i/>
        </w:rPr>
        <w:t>and</w:t>
      </w:r>
      <w:r w:rsidR="00A02C2B" w:rsidRPr="00241797">
        <w:rPr>
          <w:i/>
        </w:rPr>
        <w:t xml:space="preserve"> </w:t>
      </w:r>
      <w:proofErr w:type="spellStart"/>
      <w:r w:rsidR="00E55C18" w:rsidRPr="00241797">
        <w:rPr>
          <w:smallCaps/>
        </w:rPr>
        <w:t>Karakatsanis</w:t>
      </w:r>
      <w:proofErr w:type="spellEnd"/>
      <w:r w:rsidR="005855B0" w:rsidRPr="00241797">
        <w:rPr>
          <w:smallCaps/>
        </w:rPr>
        <w:t> </w:t>
      </w:r>
      <w:r w:rsidR="00E55C18" w:rsidRPr="00241797">
        <w:rPr>
          <w:smallCaps/>
        </w:rPr>
        <w:t>JJ.</w:t>
      </w:r>
      <w:r w:rsidR="00E55C18" w:rsidRPr="00241797">
        <w:rPr>
          <w:i/>
        </w:rPr>
        <w:t xml:space="preserve"> </w:t>
      </w:r>
      <w:proofErr w:type="gramStart"/>
      <w:r w:rsidR="00E55C18" w:rsidRPr="00241797">
        <w:rPr>
          <w:i/>
        </w:rPr>
        <w:t>dissenting</w:t>
      </w:r>
      <w:proofErr w:type="gramEnd"/>
      <w:r w:rsidR="00E55C18" w:rsidRPr="00241797">
        <w:rPr>
          <w:i/>
        </w:rPr>
        <w:t>.</w:t>
      </w:r>
    </w:p>
    <w:p w:rsidR="002E3D36" w:rsidRPr="00241797" w:rsidRDefault="002E3D36" w:rsidP="005855B0">
      <w:pPr>
        <w:pStyle w:val="SCCLawFirm"/>
        <w:spacing w:before="480" w:after="480"/>
      </w:pPr>
      <w:r w:rsidRPr="00241797">
        <w:rPr>
          <w:lang w:val="en-US"/>
        </w:rPr>
        <w:tab/>
      </w:r>
      <w:r w:rsidRPr="00241797">
        <w:t>Solicitors for the appellants</w:t>
      </w:r>
      <w:r w:rsidR="005855B0" w:rsidRPr="00241797">
        <w:t>:  </w:t>
      </w:r>
      <w:proofErr w:type="spellStart"/>
      <w:r w:rsidRPr="00241797">
        <w:t>Heenan</w:t>
      </w:r>
      <w:proofErr w:type="spellEnd"/>
      <w:r w:rsidRPr="00241797">
        <w:t xml:space="preserve"> </w:t>
      </w:r>
      <w:proofErr w:type="spellStart"/>
      <w:r w:rsidRPr="00241797">
        <w:t>Blaikie</w:t>
      </w:r>
      <w:proofErr w:type="spellEnd"/>
      <w:r w:rsidRPr="00241797">
        <w:t>, Ottawa.</w:t>
      </w:r>
    </w:p>
    <w:p w:rsidR="002E3D36" w:rsidRPr="00241797" w:rsidRDefault="002E3D36" w:rsidP="005855B0">
      <w:pPr>
        <w:pStyle w:val="SCCLawFirm"/>
        <w:spacing w:before="480" w:after="480"/>
      </w:pPr>
      <w:r w:rsidRPr="00241797">
        <w:tab/>
        <w:t>Solicitor for the respondents</w:t>
      </w:r>
      <w:r w:rsidR="005855B0" w:rsidRPr="00241797">
        <w:t>:  </w:t>
      </w:r>
      <w:r w:rsidRPr="00241797">
        <w:t>Attorney General of British Columbia, Victoria.</w:t>
      </w:r>
    </w:p>
    <w:p w:rsidR="002E3D36" w:rsidRPr="00241797" w:rsidRDefault="002E3D36" w:rsidP="005855B0">
      <w:pPr>
        <w:pStyle w:val="SCCLawFirm"/>
        <w:spacing w:before="480" w:after="480"/>
      </w:pPr>
      <w:r w:rsidRPr="00241797">
        <w:lastRenderedPageBreak/>
        <w:tab/>
        <w:t>Solicitor for the intervener the Attorney General of Ontario</w:t>
      </w:r>
      <w:r w:rsidR="005855B0" w:rsidRPr="00241797">
        <w:t>:  </w:t>
      </w:r>
      <w:r w:rsidRPr="00241797">
        <w:t>Attorney General of Ontario, Toronto.</w:t>
      </w:r>
    </w:p>
    <w:p w:rsidR="002E3D36" w:rsidRPr="00241797" w:rsidRDefault="002E3D36" w:rsidP="005855B0">
      <w:pPr>
        <w:pStyle w:val="SCCLawFirm"/>
        <w:spacing w:before="480" w:after="480"/>
      </w:pPr>
      <w:r w:rsidRPr="00241797">
        <w:rPr>
          <w:lang w:val="en-US"/>
        </w:rPr>
        <w:tab/>
      </w:r>
      <w:r w:rsidRPr="00241797">
        <w:t>Solicitor for the intervener the Commissioner of Official Languages of Canada</w:t>
      </w:r>
      <w:r w:rsidR="005855B0" w:rsidRPr="00241797">
        <w:t>:  </w:t>
      </w:r>
      <w:r w:rsidRPr="00241797">
        <w:t>Office of the Commissioner of Official Languages, Ottawa.</w:t>
      </w:r>
    </w:p>
    <w:p w:rsidR="009B57B3" w:rsidRPr="00F43E4D" w:rsidRDefault="002E3D36" w:rsidP="00FC6143">
      <w:pPr>
        <w:pStyle w:val="SCCLawFirm"/>
        <w:rPr>
          <w:b/>
          <w:i w:val="0"/>
          <w:lang w:val="fr-CA"/>
        </w:rPr>
      </w:pPr>
      <w:r w:rsidRPr="00241797">
        <w:tab/>
      </w:r>
      <w:r w:rsidRPr="00241797">
        <w:rPr>
          <w:lang w:val="fr-CA"/>
        </w:rPr>
        <w:t xml:space="preserve">Solicitors for the </w:t>
      </w:r>
      <w:proofErr w:type="spellStart"/>
      <w:r w:rsidRPr="00241797">
        <w:rPr>
          <w:lang w:val="fr-CA"/>
        </w:rPr>
        <w:t>intervener</w:t>
      </w:r>
      <w:proofErr w:type="spellEnd"/>
      <w:r w:rsidRPr="00241797">
        <w:rPr>
          <w:lang w:val="fr-CA"/>
        </w:rPr>
        <w:t xml:space="preserve"> Association des juristes d’expression française de la </w:t>
      </w:r>
      <w:proofErr w:type="spellStart"/>
      <w:r w:rsidRPr="00241797">
        <w:rPr>
          <w:lang w:val="fr-CA"/>
        </w:rPr>
        <w:t>Colombie</w:t>
      </w:r>
      <w:r w:rsidR="00B17B67" w:rsidRPr="00241797">
        <w:rPr>
          <w:lang w:val="fr-CA"/>
        </w:rPr>
        <w:noBreakHyphen/>
      </w:r>
      <w:r w:rsidRPr="00241797">
        <w:rPr>
          <w:lang w:val="fr-CA"/>
        </w:rPr>
        <w:t>Britannique</w:t>
      </w:r>
      <w:proofErr w:type="spellEnd"/>
      <w:r w:rsidR="005855B0" w:rsidRPr="00241797">
        <w:rPr>
          <w:lang w:val="fr-CA"/>
        </w:rPr>
        <w:t>:</w:t>
      </w:r>
      <w:proofErr w:type="gramStart"/>
      <w:r w:rsidR="005855B0" w:rsidRPr="00241797">
        <w:rPr>
          <w:lang w:val="fr-CA"/>
        </w:rPr>
        <w:t>  </w:t>
      </w:r>
      <w:proofErr w:type="spellStart"/>
      <w:r w:rsidRPr="00241797">
        <w:rPr>
          <w:lang w:val="fr-CA"/>
        </w:rPr>
        <w:t>Shapray</w:t>
      </w:r>
      <w:proofErr w:type="spellEnd"/>
      <w:proofErr w:type="gramEnd"/>
      <w:r w:rsidRPr="00241797">
        <w:rPr>
          <w:lang w:val="fr-CA"/>
        </w:rPr>
        <w:t>, Cramer &amp; Associates, Vancouver; Martin &amp; Associates, Vancouver.</w:t>
      </w:r>
    </w:p>
    <w:p w:rsidR="00FC6143" w:rsidRPr="00F43E4D" w:rsidRDefault="00FC6143" w:rsidP="00FC6143">
      <w:pPr>
        <w:pStyle w:val="SCCNormalDoubleSpacing"/>
        <w:rPr>
          <w:lang w:val="fr-CA"/>
        </w:rPr>
      </w:pPr>
    </w:p>
    <w:sectPr w:rsidR="00FC6143" w:rsidRPr="00F43E4D" w:rsidSect="00802053">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E39" w:rsidRDefault="00C87E39">
      <w:r>
        <w:separator/>
      </w:r>
    </w:p>
  </w:endnote>
  <w:endnote w:type="continuationSeparator" w:id="0">
    <w:p w:rsidR="00C87E39" w:rsidRDefault="00C87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E39" w:rsidRDefault="00C87E39">
      <w:r>
        <w:separator/>
      </w:r>
    </w:p>
  </w:footnote>
  <w:footnote w:type="continuationSeparator" w:id="0">
    <w:p w:rsidR="00C87E39" w:rsidRDefault="00C87E39">
      <w:r>
        <w:continuationSeparator/>
      </w:r>
    </w:p>
  </w:footnote>
  <w:footnote w:id="1">
    <w:p w:rsidR="00C87E39" w:rsidRPr="00225776" w:rsidRDefault="00C87E39" w:rsidP="00FC6143">
      <w:pPr>
        <w:pStyle w:val="FootnoteText"/>
        <w:jc w:val="both"/>
        <w:rPr>
          <w:lang w:val="en-US"/>
        </w:rPr>
      </w:pPr>
      <w:r>
        <w:rPr>
          <w:rStyle w:val="FootnoteReference"/>
        </w:rPr>
        <w:footnoteRef/>
      </w:r>
      <w:r>
        <w:t xml:space="preserve"> </w:t>
      </w:r>
      <w:r w:rsidRPr="00225776">
        <w:t xml:space="preserve">The legislation formally receiving English law has been re-enacted and amended several times.  The most recent version is the </w:t>
      </w:r>
      <w:r w:rsidRPr="004246EE">
        <w:rPr>
          <w:i/>
        </w:rPr>
        <w:t>Law and Equity Act</w:t>
      </w:r>
      <w:r w:rsidRPr="00225776">
        <w:t>, R</w:t>
      </w:r>
      <w:r>
        <w:t>.</w:t>
      </w:r>
      <w:r w:rsidRPr="00225776">
        <w:t>S</w:t>
      </w:r>
      <w:r>
        <w:t>.</w:t>
      </w:r>
      <w:r w:rsidRPr="00225776">
        <w:t>B</w:t>
      </w:r>
      <w:r>
        <w:t>.</w:t>
      </w:r>
      <w:r w:rsidRPr="00225776">
        <w:t>C</w:t>
      </w:r>
      <w:r>
        <w:t>.</w:t>
      </w:r>
      <w:r w:rsidRPr="00225776">
        <w:t xml:space="preserve"> 1996,</w:t>
      </w:r>
      <w:r>
        <w:t xml:space="preserve"> c. 253,</w:t>
      </w:r>
      <w:r w:rsidRPr="00225776">
        <w:t xml:space="preserve"> which continues the formal reception of Eng</w:t>
      </w:r>
      <w:r>
        <w:t xml:space="preserve">lish laws from the same date </w:t>
      </w:r>
      <w:r w:rsidRPr="00E96F8E">
        <w:rPr>
          <w:rStyle w:val="st1"/>
          <w:rFonts w:cs="Times New Roman"/>
        </w:rPr>
        <w:t>—</w:t>
      </w:r>
      <w:r>
        <w:rPr>
          <w:rStyle w:val="st1"/>
          <w:rFonts w:cs="Times New Roman"/>
        </w:rPr>
        <w:t xml:space="preserve"> </w:t>
      </w:r>
      <w:r w:rsidRPr="00225776">
        <w:t>November</w:t>
      </w:r>
      <w:r>
        <w:t xml:space="preserve"> 19,</w:t>
      </w:r>
      <w:r w:rsidRPr="00225776">
        <w:t xml:space="preserve"> 1858.</w:t>
      </w:r>
    </w:p>
  </w:footnote>
  <w:footnote w:id="2">
    <w:p w:rsidR="00C87E39" w:rsidRPr="008B6385" w:rsidRDefault="00C87E39" w:rsidP="00FC6143">
      <w:pPr>
        <w:pStyle w:val="FootnoteText"/>
        <w:jc w:val="both"/>
      </w:pPr>
      <w:r>
        <w:rPr>
          <w:rStyle w:val="FootnoteReference"/>
        </w:rPr>
        <w:footnoteRef/>
      </w:r>
      <w:r>
        <w:t xml:space="preserve"> </w:t>
      </w:r>
      <w:r w:rsidRPr="00884CB3">
        <w:t xml:space="preserve">In addition to ensuring the equal status and use of both languages in Canada’s federal institutions, this section also declares that English and French are official languages in Canada </w:t>
      </w:r>
      <w:r w:rsidRPr="00E96F8E">
        <w:rPr>
          <w:rStyle w:val="st1"/>
          <w:rFonts w:cs="Times New Roman"/>
        </w:rPr>
        <w:t>—</w:t>
      </w:r>
      <w:r w:rsidRPr="00884CB3">
        <w:t xml:space="preserve"> an independent declaratory statement of general principle.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7173"/>
      <w:docPartObj>
        <w:docPartGallery w:val="Page Numbers (Top of Page)"/>
        <w:docPartUnique/>
      </w:docPartObj>
    </w:sdtPr>
    <w:sdtContent>
      <w:p w:rsidR="00C87E39" w:rsidRDefault="00C87E39">
        <w:pPr>
          <w:pStyle w:val="Header"/>
          <w:jc w:val="center"/>
        </w:pPr>
        <w:r>
          <w:t xml:space="preserve">- </w:t>
        </w:r>
        <w:fldSimple w:instr=" PAGE   \* MERGEFORMAT ">
          <w:r w:rsidR="009F0FE2">
            <w:rPr>
              <w:noProof/>
            </w:rPr>
            <w:t>3</w:t>
          </w:r>
        </w:fldSimple>
        <w:r>
          <w:t xml:space="preserve"> -</w:t>
        </w:r>
      </w:p>
    </w:sdtContent>
  </w:sdt>
  <w:p w:rsidR="00C87E39" w:rsidRPr="00450352" w:rsidRDefault="00C87E39"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90C4B9A"/>
    <w:multiLevelType w:val="hybridMultilevel"/>
    <w:tmpl w:val="52363FD0"/>
    <w:lvl w:ilvl="0" w:tplc="83248B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5E6A9672"/>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3601"/>
  </w:hdrShapeDefaults>
  <w:footnotePr>
    <w:footnote w:id="-1"/>
    <w:footnote w:id="0"/>
  </w:footnotePr>
  <w:endnotePr>
    <w:endnote w:id="-1"/>
    <w:endnote w:id="0"/>
  </w:endnotePr>
  <w:compat/>
  <w:rsids>
    <w:rsidRoot w:val="0031414C"/>
    <w:rsid w:val="00000ED4"/>
    <w:rsid w:val="00001758"/>
    <w:rsid w:val="0001584D"/>
    <w:rsid w:val="00025198"/>
    <w:rsid w:val="00030164"/>
    <w:rsid w:val="00031D5E"/>
    <w:rsid w:val="000460FD"/>
    <w:rsid w:val="00054B4B"/>
    <w:rsid w:val="000578A3"/>
    <w:rsid w:val="000648CC"/>
    <w:rsid w:val="000749C1"/>
    <w:rsid w:val="000755A6"/>
    <w:rsid w:val="00080E69"/>
    <w:rsid w:val="00082EA9"/>
    <w:rsid w:val="000858FE"/>
    <w:rsid w:val="000901DC"/>
    <w:rsid w:val="000963CA"/>
    <w:rsid w:val="000A0DCA"/>
    <w:rsid w:val="000A3B81"/>
    <w:rsid w:val="000B35D3"/>
    <w:rsid w:val="000C59B8"/>
    <w:rsid w:val="000C6AF0"/>
    <w:rsid w:val="000D2218"/>
    <w:rsid w:val="00104F33"/>
    <w:rsid w:val="00110847"/>
    <w:rsid w:val="001108F7"/>
    <w:rsid w:val="00111DE2"/>
    <w:rsid w:val="00116B38"/>
    <w:rsid w:val="0012464C"/>
    <w:rsid w:val="00135406"/>
    <w:rsid w:val="00135972"/>
    <w:rsid w:val="00136D9E"/>
    <w:rsid w:val="001426A9"/>
    <w:rsid w:val="001454FA"/>
    <w:rsid w:val="001517C9"/>
    <w:rsid w:val="00154D7C"/>
    <w:rsid w:val="00155975"/>
    <w:rsid w:val="001570B0"/>
    <w:rsid w:val="0015752C"/>
    <w:rsid w:val="00157737"/>
    <w:rsid w:val="00161619"/>
    <w:rsid w:val="00165277"/>
    <w:rsid w:val="00170592"/>
    <w:rsid w:val="00186351"/>
    <w:rsid w:val="00191A8B"/>
    <w:rsid w:val="00195D83"/>
    <w:rsid w:val="001A00C1"/>
    <w:rsid w:val="001B33E0"/>
    <w:rsid w:val="001B3ACE"/>
    <w:rsid w:val="001B4573"/>
    <w:rsid w:val="001B677F"/>
    <w:rsid w:val="001C263E"/>
    <w:rsid w:val="001C41B8"/>
    <w:rsid w:val="001C779F"/>
    <w:rsid w:val="001C7D84"/>
    <w:rsid w:val="001D2AC1"/>
    <w:rsid w:val="001D4E88"/>
    <w:rsid w:val="001E5032"/>
    <w:rsid w:val="00220FC2"/>
    <w:rsid w:val="00221C0B"/>
    <w:rsid w:val="002222F4"/>
    <w:rsid w:val="00223039"/>
    <w:rsid w:val="00224FC0"/>
    <w:rsid w:val="00225EA4"/>
    <w:rsid w:val="00226EAF"/>
    <w:rsid w:val="00231F3A"/>
    <w:rsid w:val="00234199"/>
    <w:rsid w:val="002406EE"/>
    <w:rsid w:val="00241797"/>
    <w:rsid w:val="00243EC8"/>
    <w:rsid w:val="00270D93"/>
    <w:rsid w:val="00271D00"/>
    <w:rsid w:val="002745CC"/>
    <w:rsid w:val="00281431"/>
    <w:rsid w:val="00295B0B"/>
    <w:rsid w:val="002974B7"/>
    <w:rsid w:val="002A64DB"/>
    <w:rsid w:val="002B1155"/>
    <w:rsid w:val="002B2C28"/>
    <w:rsid w:val="002B7924"/>
    <w:rsid w:val="002C0F76"/>
    <w:rsid w:val="002D28C3"/>
    <w:rsid w:val="002D39A4"/>
    <w:rsid w:val="002E3D36"/>
    <w:rsid w:val="002E6705"/>
    <w:rsid w:val="002F2A12"/>
    <w:rsid w:val="00301D08"/>
    <w:rsid w:val="00301F3A"/>
    <w:rsid w:val="0030329A"/>
    <w:rsid w:val="0030585B"/>
    <w:rsid w:val="0031086F"/>
    <w:rsid w:val="0031414C"/>
    <w:rsid w:val="00314E01"/>
    <w:rsid w:val="0032089D"/>
    <w:rsid w:val="003310DE"/>
    <w:rsid w:val="003323B0"/>
    <w:rsid w:val="00335EBE"/>
    <w:rsid w:val="0035169A"/>
    <w:rsid w:val="0035259D"/>
    <w:rsid w:val="0035659F"/>
    <w:rsid w:val="00364B18"/>
    <w:rsid w:val="00366DC2"/>
    <w:rsid w:val="003A125D"/>
    <w:rsid w:val="003A1CED"/>
    <w:rsid w:val="003A4C70"/>
    <w:rsid w:val="003B215F"/>
    <w:rsid w:val="003C2F9A"/>
    <w:rsid w:val="003C799C"/>
    <w:rsid w:val="003D0399"/>
    <w:rsid w:val="003D1D40"/>
    <w:rsid w:val="003E1C71"/>
    <w:rsid w:val="003F25D2"/>
    <w:rsid w:val="003F327B"/>
    <w:rsid w:val="003F66C4"/>
    <w:rsid w:val="00401D60"/>
    <w:rsid w:val="00406166"/>
    <w:rsid w:val="0040704B"/>
    <w:rsid w:val="00410A55"/>
    <w:rsid w:val="00411300"/>
    <w:rsid w:val="00415417"/>
    <w:rsid w:val="00426659"/>
    <w:rsid w:val="00432D8A"/>
    <w:rsid w:val="00450352"/>
    <w:rsid w:val="00454BDB"/>
    <w:rsid w:val="00464800"/>
    <w:rsid w:val="00465132"/>
    <w:rsid w:val="004732D8"/>
    <w:rsid w:val="00480C90"/>
    <w:rsid w:val="0048396F"/>
    <w:rsid w:val="00484737"/>
    <w:rsid w:val="00493C18"/>
    <w:rsid w:val="004951B8"/>
    <w:rsid w:val="004A600C"/>
    <w:rsid w:val="004A6118"/>
    <w:rsid w:val="004A7E57"/>
    <w:rsid w:val="004B1469"/>
    <w:rsid w:val="004C1351"/>
    <w:rsid w:val="004C478D"/>
    <w:rsid w:val="004C4DC8"/>
    <w:rsid w:val="004E2C26"/>
    <w:rsid w:val="004E50ED"/>
    <w:rsid w:val="004F36FF"/>
    <w:rsid w:val="004F6853"/>
    <w:rsid w:val="005125A8"/>
    <w:rsid w:val="00515BF4"/>
    <w:rsid w:val="00521AE8"/>
    <w:rsid w:val="00527180"/>
    <w:rsid w:val="005350C0"/>
    <w:rsid w:val="005357D4"/>
    <w:rsid w:val="0054201E"/>
    <w:rsid w:val="00555291"/>
    <w:rsid w:val="00556381"/>
    <w:rsid w:val="0056368A"/>
    <w:rsid w:val="00564BEA"/>
    <w:rsid w:val="0056627E"/>
    <w:rsid w:val="00566AD1"/>
    <w:rsid w:val="0056767B"/>
    <w:rsid w:val="00583EDE"/>
    <w:rsid w:val="005855B0"/>
    <w:rsid w:val="00595857"/>
    <w:rsid w:val="005A17E8"/>
    <w:rsid w:val="005A6079"/>
    <w:rsid w:val="005A7152"/>
    <w:rsid w:val="005C35A6"/>
    <w:rsid w:val="005C7A4C"/>
    <w:rsid w:val="005E4698"/>
    <w:rsid w:val="005F19FB"/>
    <w:rsid w:val="005F4861"/>
    <w:rsid w:val="005F6D77"/>
    <w:rsid w:val="005F7527"/>
    <w:rsid w:val="00610539"/>
    <w:rsid w:val="00613969"/>
    <w:rsid w:val="006170B8"/>
    <w:rsid w:val="00625C35"/>
    <w:rsid w:val="00625F0F"/>
    <w:rsid w:val="006266B6"/>
    <w:rsid w:val="00627985"/>
    <w:rsid w:val="00634CD4"/>
    <w:rsid w:val="00643E07"/>
    <w:rsid w:val="00644CC7"/>
    <w:rsid w:val="00656313"/>
    <w:rsid w:val="006565F4"/>
    <w:rsid w:val="00684EEA"/>
    <w:rsid w:val="0069689B"/>
    <w:rsid w:val="006A1551"/>
    <w:rsid w:val="006B0691"/>
    <w:rsid w:val="006B5FF5"/>
    <w:rsid w:val="006C5A08"/>
    <w:rsid w:val="006D6A9D"/>
    <w:rsid w:val="006E7362"/>
    <w:rsid w:val="006F30AF"/>
    <w:rsid w:val="006F51F8"/>
    <w:rsid w:val="00701759"/>
    <w:rsid w:val="00705C15"/>
    <w:rsid w:val="00714B72"/>
    <w:rsid w:val="0071600E"/>
    <w:rsid w:val="007208D1"/>
    <w:rsid w:val="00747288"/>
    <w:rsid w:val="00747DD3"/>
    <w:rsid w:val="0075311B"/>
    <w:rsid w:val="007549C8"/>
    <w:rsid w:val="00754A0B"/>
    <w:rsid w:val="0075663E"/>
    <w:rsid w:val="00766D14"/>
    <w:rsid w:val="00767A0F"/>
    <w:rsid w:val="007808A4"/>
    <w:rsid w:val="00783150"/>
    <w:rsid w:val="0078616B"/>
    <w:rsid w:val="0079711F"/>
    <w:rsid w:val="007A05F6"/>
    <w:rsid w:val="007B6F4A"/>
    <w:rsid w:val="007E1C47"/>
    <w:rsid w:val="007E337A"/>
    <w:rsid w:val="007E5C70"/>
    <w:rsid w:val="007E6CDC"/>
    <w:rsid w:val="007E7D62"/>
    <w:rsid w:val="007F2FF5"/>
    <w:rsid w:val="007F3F08"/>
    <w:rsid w:val="00801414"/>
    <w:rsid w:val="00802053"/>
    <w:rsid w:val="00804CC6"/>
    <w:rsid w:val="00817190"/>
    <w:rsid w:val="00820EE5"/>
    <w:rsid w:val="008260E2"/>
    <w:rsid w:val="008322BD"/>
    <w:rsid w:val="00833E0A"/>
    <w:rsid w:val="00834F73"/>
    <w:rsid w:val="0084489F"/>
    <w:rsid w:val="00847D9F"/>
    <w:rsid w:val="00852B2F"/>
    <w:rsid w:val="00864CF8"/>
    <w:rsid w:val="00870FC5"/>
    <w:rsid w:val="00872819"/>
    <w:rsid w:val="00874914"/>
    <w:rsid w:val="008819B0"/>
    <w:rsid w:val="0088530F"/>
    <w:rsid w:val="008857B8"/>
    <w:rsid w:val="00886772"/>
    <w:rsid w:val="00891422"/>
    <w:rsid w:val="00892E1A"/>
    <w:rsid w:val="00893A7F"/>
    <w:rsid w:val="008A0AD9"/>
    <w:rsid w:val="008A3F29"/>
    <w:rsid w:val="008B660A"/>
    <w:rsid w:val="008C01DA"/>
    <w:rsid w:val="008C0237"/>
    <w:rsid w:val="008F121A"/>
    <w:rsid w:val="008F78E9"/>
    <w:rsid w:val="00911989"/>
    <w:rsid w:val="00916CD4"/>
    <w:rsid w:val="009179F9"/>
    <w:rsid w:val="00933E5E"/>
    <w:rsid w:val="00935218"/>
    <w:rsid w:val="009403F3"/>
    <w:rsid w:val="009555B7"/>
    <w:rsid w:val="009567AA"/>
    <w:rsid w:val="009629BE"/>
    <w:rsid w:val="00963D83"/>
    <w:rsid w:val="00966AAF"/>
    <w:rsid w:val="00967374"/>
    <w:rsid w:val="00974B4D"/>
    <w:rsid w:val="0099196E"/>
    <w:rsid w:val="00994528"/>
    <w:rsid w:val="009A1BB4"/>
    <w:rsid w:val="009A343A"/>
    <w:rsid w:val="009B2F23"/>
    <w:rsid w:val="009B57B3"/>
    <w:rsid w:val="009C50D9"/>
    <w:rsid w:val="009C5B92"/>
    <w:rsid w:val="009D2920"/>
    <w:rsid w:val="009D5AEB"/>
    <w:rsid w:val="009E4E37"/>
    <w:rsid w:val="009F0E33"/>
    <w:rsid w:val="009F0FE2"/>
    <w:rsid w:val="009F1D79"/>
    <w:rsid w:val="00A02C2B"/>
    <w:rsid w:val="00A030CE"/>
    <w:rsid w:val="00A149DF"/>
    <w:rsid w:val="00A1755C"/>
    <w:rsid w:val="00A21B90"/>
    <w:rsid w:val="00A2240D"/>
    <w:rsid w:val="00A356F8"/>
    <w:rsid w:val="00A41805"/>
    <w:rsid w:val="00A42DCD"/>
    <w:rsid w:val="00A471EE"/>
    <w:rsid w:val="00A52AFB"/>
    <w:rsid w:val="00A548CB"/>
    <w:rsid w:val="00A5521C"/>
    <w:rsid w:val="00A6077E"/>
    <w:rsid w:val="00A643E7"/>
    <w:rsid w:val="00A72470"/>
    <w:rsid w:val="00A73C38"/>
    <w:rsid w:val="00A862EC"/>
    <w:rsid w:val="00A9721F"/>
    <w:rsid w:val="00AA0B52"/>
    <w:rsid w:val="00AB670D"/>
    <w:rsid w:val="00AC3493"/>
    <w:rsid w:val="00AF03C5"/>
    <w:rsid w:val="00B000D8"/>
    <w:rsid w:val="00B00F75"/>
    <w:rsid w:val="00B0551E"/>
    <w:rsid w:val="00B145B6"/>
    <w:rsid w:val="00B17B67"/>
    <w:rsid w:val="00B279EB"/>
    <w:rsid w:val="00B466A9"/>
    <w:rsid w:val="00B50C81"/>
    <w:rsid w:val="00B557F8"/>
    <w:rsid w:val="00B815FC"/>
    <w:rsid w:val="00B93FBC"/>
    <w:rsid w:val="00BA5275"/>
    <w:rsid w:val="00BA7DA0"/>
    <w:rsid w:val="00BB2EE4"/>
    <w:rsid w:val="00BB353F"/>
    <w:rsid w:val="00BB3EFF"/>
    <w:rsid w:val="00BC2108"/>
    <w:rsid w:val="00BC2E95"/>
    <w:rsid w:val="00BC58BB"/>
    <w:rsid w:val="00BC7291"/>
    <w:rsid w:val="00BD0E9E"/>
    <w:rsid w:val="00BD1BEC"/>
    <w:rsid w:val="00BD32FF"/>
    <w:rsid w:val="00BD65CA"/>
    <w:rsid w:val="00BE5AD4"/>
    <w:rsid w:val="00BE6096"/>
    <w:rsid w:val="00BF51C6"/>
    <w:rsid w:val="00C02092"/>
    <w:rsid w:val="00C074AE"/>
    <w:rsid w:val="00C148AB"/>
    <w:rsid w:val="00C24D91"/>
    <w:rsid w:val="00C30DDE"/>
    <w:rsid w:val="00C3409B"/>
    <w:rsid w:val="00C53F14"/>
    <w:rsid w:val="00C600CF"/>
    <w:rsid w:val="00C6084F"/>
    <w:rsid w:val="00C62A66"/>
    <w:rsid w:val="00C71458"/>
    <w:rsid w:val="00C71494"/>
    <w:rsid w:val="00C715DF"/>
    <w:rsid w:val="00C77613"/>
    <w:rsid w:val="00C828E7"/>
    <w:rsid w:val="00C85E0B"/>
    <w:rsid w:val="00C86719"/>
    <w:rsid w:val="00C87E39"/>
    <w:rsid w:val="00C921DD"/>
    <w:rsid w:val="00CA6391"/>
    <w:rsid w:val="00CB70F3"/>
    <w:rsid w:val="00CC34BD"/>
    <w:rsid w:val="00CE00CC"/>
    <w:rsid w:val="00CE161A"/>
    <w:rsid w:val="00CE2401"/>
    <w:rsid w:val="00CE3171"/>
    <w:rsid w:val="00CE70EF"/>
    <w:rsid w:val="00CF0F56"/>
    <w:rsid w:val="00CF1601"/>
    <w:rsid w:val="00D0172F"/>
    <w:rsid w:val="00D05B9C"/>
    <w:rsid w:val="00D068A7"/>
    <w:rsid w:val="00D119EC"/>
    <w:rsid w:val="00D17476"/>
    <w:rsid w:val="00D32086"/>
    <w:rsid w:val="00D37A3F"/>
    <w:rsid w:val="00D4431D"/>
    <w:rsid w:val="00D4667A"/>
    <w:rsid w:val="00D50CEE"/>
    <w:rsid w:val="00D60CB3"/>
    <w:rsid w:val="00D63A1C"/>
    <w:rsid w:val="00D7516F"/>
    <w:rsid w:val="00D8579F"/>
    <w:rsid w:val="00D95F8E"/>
    <w:rsid w:val="00DA0590"/>
    <w:rsid w:val="00DB161D"/>
    <w:rsid w:val="00DB7BEA"/>
    <w:rsid w:val="00DC1739"/>
    <w:rsid w:val="00DC1788"/>
    <w:rsid w:val="00DC5B10"/>
    <w:rsid w:val="00DD2323"/>
    <w:rsid w:val="00DE319C"/>
    <w:rsid w:val="00DE7BB3"/>
    <w:rsid w:val="00DF0CA8"/>
    <w:rsid w:val="00DF2B48"/>
    <w:rsid w:val="00DF49A7"/>
    <w:rsid w:val="00DF60CC"/>
    <w:rsid w:val="00E01172"/>
    <w:rsid w:val="00E07EE2"/>
    <w:rsid w:val="00E07FD1"/>
    <w:rsid w:val="00E24573"/>
    <w:rsid w:val="00E25242"/>
    <w:rsid w:val="00E25E1E"/>
    <w:rsid w:val="00E27EE7"/>
    <w:rsid w:val="00E35404"/>
    <w:rsid w:val="00E45109"/>
    <w:rsid w:val="00E47B7A"/>
    <w:rsid w:val="00E55C18"/>
    <w:rsid w:val="00E567FE"/>
    <w:rsid w:val="00E56A44"/>
    <w:rsid w:val="00E60269"/>
    <w:rsid w:val="00E77932"/>
    <w:rsid w:val="00E9742F"/>
    <w:rsid w:val="00E97830"/>
    <w:rsid w:val="00EA78B0"/>
    <w:rsid w:val="00EB5AF8"/>
    <w:rsid w:val="00EB65E9"/>
    <w:rsid w:val="00EC5912"/>
    <w:rsid w:val="00ED0A70"/>
    <w:rsid w:val="00ED5EAE"/>
    <w:rsid w:val="00ED7017"/>
    <w:rsid w:val="00EE643C"/>
    <w:rsid w:val="00EF0683"/>
    <w:rsid w:val="00EF69D2"/>
    <w:rsid w:val="00EF766E"/>
    <w:rsid w:val="00F0070C"/>
    <w:rsid w:val="00F00EB7"/>
    <w:rsid w:val="00F01D03"/>
    <w:rsid w:val="00F3207A"/>
    <w:rsid w:val="00F36AB6"/>
    <w:rsid w:val="00F37A09"/>
    <w:rsid w:val="00F409CE"/>
    <w:rsid w:val="00F4379D"/>
    <w:rsid w:val="00F43E4D"/>
    <w:rsid w:val="00F5016B"/>
    <w:rsid w:val="00F50D2D"/>
    <w:rsid w:val="00F55141"/>
    <w:rsid w:val="00F56C8B"/>
    <w:rsid w:val="00F66810"/>
    <w:rsid w:val="00F70315"/>
    <w:rsid w:val="00F824EF"/>
    <w:rsid w:val="00F846D9"/>
    <w:rsid w:val="00F84DF4"/>
    <w:rsid w:val="00F8580F"/>
    <w:rsid w:val="00F85C97"/>
    <w:rsid w:val="00FA6862"/>
    <w:rsid w:val="00FB15ED"/>
    <w:rsid w:val="00FB37D2"/>
    <w:rsid w:val="00FC4EFB"/>
    <w:rsid w:val="00FC561D"/>
    <w:rsid w:val="00FC6143"/>
    <w:rsid w:val="00FC72DD"/>
    <w:rsid w:val="00FD068D"/>
    <w:rsid w:val="00FD4F28"/>
    <w:rsid w:val="00FE0231"/>
    <w:rsid w:val="00FE6784"/>
    <w:rsid w:val="00FF6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character" w:customStyle="1" w:styleId="st1">
    <w:name w:val="st1"/>
    <w:basedOn w:val="DefaultParagraphFont"/>
    <w:rsid w:val="00974B4D"/>
  </w:style>
  <w:style w:type="paragraph" w:customStyle="1" w:styleId="ParaNoNdepar-AltN">
    <w:name w:val="Para. No. / Nº de par. - Alt N"/>
    <w:qFormat/>
    <w:rsid w:val="00BB353F"/>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FC6143"/>
    <w:pPr>
      <w:spacing w:after="480"/>
    </w:pPr>
    <w:rPr>
      <w:rFonts w:eastAsiaTheme="minorHAnsi" w:cstheme="minorBidi"/>
      <w:szCs w:val="22"/>
      <w:lang w:eastAsia="en-US"/>
    </w:rPr>
  </w:style>
  <w:style w:type="paragraph" w:customStyle="1" w:styleId="SCCCoram">
    <w:name w:val="SCC.Coram"/>
    <w:basedOn w:val="Normal"/>
    <w:next w:val="Normal"/>
    <w:link w:val="SCCCoramChar"/>
    <w:rsid w:val="00FC614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FC614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FC6143"/>
    <w:rPr>
      <w:rFonts w:eastAsiaTheme="minorHAnsi" w:cstheme="minorBidi"/>
      <w:sz w:val="24"/>
      <w:szCs w:val="22"/>
      <w:lang w:eastAsia="en-US"/>
    </w:rPr>
  </w:style>
  <w:style w:type="character" w:customStyle="1" w:styleId="SCCBanSummaryChar">
    <w:name w:val="SCC.BanSummary Char"/>
    <w:basedOn w:val="DefaultParagraphFont"/>
    <w:link w:val="SCCBanSummary"/>
    <w:rsid w:val="00FC6143"/>
    <w:rPr>
      <w:b/>
      <w:sz w:val="24"/>
    </w:rPr>
  </w:style>
  <w:style w:type="table" w:styleId="TableGrid">
    <w:name w:val="Table Grid"/>
    <w:basedOn w:val="TableNormal"/>
    <w:uiPriority w:val="59"/>
    <w:rsid w:val="00FC61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FC6143"/>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FC6143"/>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C6143"/>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FC6143"/>
    <w:pPr>
      <w:tabs>
        <w:tab w:val="left" w:pos="360"/>
      </w:tabs>
      <w:spacing w:before="480" w:after="720"/>
      <w:ind w:left="360" w:hanging="360"/>
      <w:jc w:val="both"/>
    </w:pPr>
    <w:rPr>
      <w:rFonts w:eastAsiaTheme="minorHAnsi" w:cstheme="minorBidi"/>
      <w:sz w:val="24"/>
      <w:szCs w:val="22"/>
      <w:lang w:eastAsia="en-US"/>
    </w:rPr>
  </w:style>
  <w:style w:type="character" w:styleId="SubtleEmphasis">
    <w:name w:val="Subtle Emphasis"/>
    <w:uiPriority w:val="19"/>
    <w:qFormat/>
    <w:rsid w:val="00FC6143"/>
    <w:rPr>
      <w:i/>
      <w:iCs/>
    </w:rPr>
  </w:style>
  <w:style w:type="paragraph" w:styleId="FootnoteText">
    <w:name w:val="footnote text"/>
    <w:basedOn w:val="Normal"/>
    <w:link w:val="FootnoteTextChar"/>
    <w:uiPriority w:val="99"/>
    <w:unhideWhenUsed/>
    <w:rsid w:val="00FC6143"/>
    <w:rPr>
      <w:rFonts w:eastAsiaTheme="minorHAnsi" w:cstheme="minorBidi"/>
      <w:sz w:val="20"/>
      <w:lang w:eastAsia="en-US"/>
    </w:rPr>
  </w:style>
  <w:style w:type="character" w:customStyle="1" w:styleId="FootnoteTextChar">
    <w:name w:val="Footnote Text Char"/>
    <w:basedOn w:val="DefaultParagraphFont"/>
    <w:link w:val="FootnoteText"/>
    <w:uiPriority w:val="99"/>
    <w:rsid w:val="00FC6143"/>
    <w:rPr>
      <w:rFonts w:eastAsiaTheme="minorHAnsi" w:cstheme="minorBidi"/>
      <w:lang w:eastAsia="en-US"/>
    </w:rPr>
  </w:style>
  <w:style w:type="character" w:styleId="FootnoteReference">
    <w:name w:val="footnote reference"/>
    <w:basedOn w:val="DefaultParagraphFont"/>
    <w:uiPriority w:val="99"/>
    <w:semiHidden/>
    <w:unhideWhenUsed/>
    <w:rsid w:val="00FC6143"/>
    <w:rPr>
      <w:vertAlign w:val="superscript"/>
    </w:rPr>
  </w:style>
  <w:style w:type="table" w:customStyle="1" w:styleId="TableGrid1">
    <w:name w:val="Table Grid1"/>
    <w:basedOn w:val="TableNormal"/>
    <w:next w:val="TableGrid"/>
    <w:uiPriority w:val="59"/>
    <w:rsid w:val="009F0FE2"/>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E4369-544B-4F31-800B-96838156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13149</Words>
  <Characters>67417</Characters>
  <Application>Microsoft Office Word</Application>
  <DocSecurity>0</DocSecurity>
  <Lines>561</Lines>
  <Paragraphs>160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2013-08-03T15:58:00Z</dcterms:created>
  <dcterms:modified xsi:type="dcterms:W3CDTF">2014-04-07T15:13:00Z</dcterms:modified>
</cp:coreProperties>
</file>