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958" w:rsidRPr="00D25958" w:rsidRDefault="00D25958" w:rsidP="00D25958">
      <w:pPr>
        <w:tabs>
          <w:tab w:val="center" w:pos="4680"/>
          <w:tab w:val="right" w:pos="9360"/>
        </w:tabs>
        <w:jc w:val="center"/>
        <w:rPr>
          <w:rFonts w:eastAsiaTheme="minorHAnsi" w:cstheme="minorBidi"/>
          <w:szCs w:val="24"/>
          <w:lang w:eastAsia="en-US"/>
        </w:rPr>
      </w:pPr>
      <w:r w:rsidRPr="00D25958">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pt;height:65pt" o:ole="">
            <v:imagedata r:id="rId7" o:title=""/>
          </v:shape>
          <o:OLEObject Type="Embed" ProgID="Presentations.Drawing.13" ShapeID="_x0000_i1031" DrawAspect="Content" ObjectID="_1465125749" r:id="rId8"/>
        </w:object>
      </w:r>
    </w:p>
    <w:p w:rsidR="00D25958" w:rsidRPr="00D25958" w:rsidRDefault="00D25958" w:rsidP="00D25958">
      <w:pPr>
        <w:tabs>
          <w:tab w:val="center" w:pos="4680"/>
          <w:tab w:val="right" w:pos="9360"/>
        </w:tabs>
        <w:rPr>
          <w:rFonts w:eastAsiaTheme="minorHAnsi" w:cstheme="minorBidi"/>
          <w:szCs w:val="24"/>
          <w:lang w:eastAsia="en-US"/>
        </w:rPr>
      </w:pPr>
    </w:p>
    <w:p w:rsidR="00D25958" w:rsidRPr="00D25958" w:rsidRDefault="00D25958" w:rsidP="00D25958">
      <w:pPr>
        <w:jc w:val="center"/>
        <w:rPr>
          <w:rFonts w:eastAsiaTheme="minorHAnsi" w:cstheme="minorBidi"/>
          <w:b/>
          <w:szCs w:val="24"/>
          <w:lang w:eastAsia="en-US"/>
        </w:rPr>
      </w:pPr>
      <w:r w:rsidRPr="00D25958">
        <w:rPr>
          <w:rFonts w:eastAsiaTheme="minorHAnsi" w:cstheme="minorBidi"/>
          <w:b/>
          <w:szCs w:val="24"/>
          <w:lang w:eastAsia="en-US"/>
        </w:rPr>
        <w:t>SUPREME COURT OF CANADA</w:t>
      </w:r>
    </w:p>
    <w:p w:rsidR="00D25958" w:rsidRPr="00D25958" w:rsidRDefault="00D25958" w:rsidP="00D25958">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25958" w:rsidRPr="00D25958" w:rsidTr="00E9578C">
        <w:trPr>
          <w:cantSplit/>
        </w:trPr>
        <w:tc>
          <w:tcPr>
            <w:tcW w:w="6768" w:type="dxa"/>
          </w:tcPr>
          <w:p w:rsidR="00D25958" w:rsidRPr="00D25958" w:rsidRDefault="00D25958" w:rsidP="00D25958">
            <w:pPr>
              <w:rPr>
                <w:lang w:val="fr-CA"/>
              </w:rPr>
            </w:pPr>
            <w:r w:rsidRPr="00D25958">
              <w:rPr>
                <w:b/>
                <w:smallCaps/>
                <w:lang w:val="fr-CA"/>
              </w:rPr>
              <w:t>Citation:</w:t>
            </w:r>
            <w:r w:rsidRPr="00D25958">
              <w:rPr>
                <w:lang w:val="fr-CA"/>
              </w:rPr>
              <w:t xml:space="preserve"> R.</w:t>
            </w:r>
            <w:r w:rsidRPr="00D25958">
              <w:rPr>
                <w:i/>
                <w:lang w:val="fr-CA"/>
              </w:rPr>
              <w:t xml:space="preserve"> v. </w:t>
            </w:r>
            <w:r w:rsidRPr="00D25958">
              <w:rPr>
                <w:lang w:val="fr-CA"/>
              </w:rPr>
              <w:t>Davis, 2014 SCC 4, [2014] 1 S.C.R. 78</w:t>
            </w:r>
          </w:p>
        </w:tc>
        <w:tc>
          <w:tcPr>
            <w:tcW w:w="2808" w:type="dxa"/>
          </w:tcPr>
          <w:p w:rsidR="00D25958" w:rsidRPr="00D25958" w:rsidRDefault="00D25958" w:rsidP="00D25958">
            <w:r w:rsidRPr="00D25958">
              <w:rPr>
                <w:b/>
                <w:smallCaps/>
              </w:rPr>
              <w:t>Date:</w:t>
            </w:r>
            <w:r w:rsidRPr="00D25958">
              <w:t xml:space="preserve"> 20140117</w:t>
            </w:r>
          </w:p>
          <w:p w:rsidR="00D25958" w:rsidRPr="00D25958" w:rsidRDefault="00D25958" w:rsidP="00D25958">
            <w:r w:rsidRPr="00D25958">
              <w:rPr>
                <w:b/>
                <w:smallCaps/>
              </w:rPr>
              <w:t>Docket:</w:t>
            </w:r>
            <w:r w:rsidRPr="00D25958">
              <w:t xml:space="preserve"> 35327</w:t>
            </w:r>
          </w:p>
        </w:tc>
      </w:tr>
    </w:tbl>
    <w:p w:rsidR="00D25958" w:rsidRPr="00D25958" w:rsidRDefault="00D25958" w:rsidP="00D25958">
      <w:pPr>
        <w:rPr>
          <w:rFonts w:eastAsiaTheme="minorHAnsi" w:cstheme="minorBidi"/>
          <w:szCs w:val="24"/>
          <w:lang w:eastAsia="en-US"/>
        </w:rPr>
      </w:pPr>
    </w:p>
    <w:p w:rsidR="00D25958" w:rsidRPr="00D25958" w:rsidRDefault="00D25958" w:rsidP="00D25958">
      <w:pPr>
        <w:rPr>
          <w:rFonts w:eastAsiaTheme="minorHAnsi" w:cstheme="minorBidi"/>
          <w:b/>
          <w:smallCaps/>
          <w:szCs w:val="24"/>
          <w:lang w:eastAsia="en-US"/>
        </w:rPr>
      </w:pPr>
      <w:r w:rsidRPr="00D25958">
        <w:rPr>
          <w:rFonts w:eastAsiaTheme="minorHAnsi" w:cstheme="minorBidi"/>
          <w:b/>
          <w:smallCaps/>
          <w:szCs w:val="24"/>
          <w:lang w:eastAsia="en-US"/>
        </w:rPr>
        <w:t>Between:</w:t>
      </w:r>
    </w:p>
    <w:p w:rsidR="00D25958" w:rsidRPr="00D25958" w:rsidRDefault="00D25958" w:rsidP="00D25958">
      <w:pPr>
        <w:jc w:val="center"/>
        <w:rPr>
          <w:rFonts w:eastAsiaTheme="minorHAnsi" w:cstheme="minorBidi"/>
          <w:b/>
          <w:szCs w:val="24"/>
          <w:lang w:eastAsia="en-US"/>
        </w:rPr>
      </w:pPr>
      <w:r w:rsidRPr="00D25958">
        <w:rPr>
          <w:rFonts w:eastAsiaTheme="minorHAnsi" w:cstheme="minorBidi"/>
          <w:b/>
          <w:szCs w:val="24"/>
          <w:lang w:eastAsia="en-US"/>
        </w:rPr>
        <w:t>Percy Walter Davis</w:t>
      </w:r>
    </w:p>
    <w:p w:rsidR="00D25958" w:rsidRPr="00D25958" w:rsidRDefault="00D25958" w:rsidP="00D25958">
      <w:pPr>
        <w:jc w:val="center"/>
        <w:rPr>
          <w:rFonts w:eastAsiaTheme="minorHAnsi" w:cstheme="minorBidi"/>
          <w:szCs w:val="24"/>
          <w:lang w:eastAsia="en-US"/>
        </w:rPr>
      </w:pPr>
      <w:r w:rsidRPr="00D25958">
        <w:rPr>
          <w:rFonts w:eastAsiaTheme="minorHAnsi" w:cstheme="minorBidi"/>
          <w:szCs w:val="24"/>
          <w:lang w:eastAsia="en-US"/>
        </w:rPr>
        <w:t>Appellant</w:t>
      </w:r>
    </w:p>
    <w:p w:rsidR="00D25958" w:rsidRPr="00D25958" w:rsidRDefault="00D25958" w:rsidP="00D25958">
      <w:pPr>
        <w:jc w:val="center"/>
        <w:rPr>
          <w:rFonts w:eastAsiaTheme="minorHAnsi" w:cstheme="minorBidi"/>
          <w:szCs w:val="24"/>
          <w:lang w:eastAsia="en-US"/>
        </w:rPr>
      </w:pPr>
      <w:proofErr w:type="gramStart"/>
      <w:r w:rsidRPr="00D25958">
        <w:rPr>
          <w:rFonts w:eastAsiaTheme="minorHAnsi" w:cstheme="minorBidi"/>
          <w:szCs w:val="24"/>
          <w:lang w:eastAsia="en-US"/>
        </w:rPr>
        <w:t>and</w:t>
      </w:r>
      <w:proofErr w:type="gramEnd"/>
    </w:p>
    <w:p w:rsidR="00D25958" w:rsidRPr="00D25958" w:rsidRDefault="00D25958" w:rsidP="00D25958">
      <w:pPr>
        <w:jc w:val="center"/>
        <w:rPr>
          <w:rFonts w:eastAsiaTheme="minorHAnsi" w:cstheme="minorBidi"/>
          <w:b/>
          <w:szCs w:val="24"/>
          <w:lang w:eastAsia="en-US"/>
        </w:rPr>
      </w:pPr>
      <w:r w:rsidRPr="00D25958">
        <w:rPr>
          <w:rFonts w:eastAsiaTheme="minorHAnsi" w:cstheme="minorBidi"/>
          <w:b/>
          <w:szCs w:val="24"/>
          <w:lang w:eastAsia="en-US"/>
        </w:rPr>
        <w:t xml:space="preserve">Her Majesty </w:t>
      </w:r>
      <w:proofErr w:type="gramStart"/>
      <w:r w:rsidRPr="00D25958">
        <w:rPr>
          <w:rFonts w:eastAsiaTheme="minorHAnsi" w:cstheme="minorBidi"/>
          <w:b/>
          <w:szCs w:val="24"/>
          <w:lang w:eastAsia="en-US"/>
        </w:rPr>
        <w:t>The</w:t>
      </w:r>
      <w:proofErr w:type="gramEnd"/>
      <w:r w:rsidRPr="00D25958">
        <w:rPr>
          <w:rFonts w:eastAsiaTheme="minorHAnsi" w:cstheme="minorBidi"/>
          <w:b/>
          <w:szCs w:val="24"/>
          <w:lang w:eastAsia="en-US"/>
        </w:rPr>
        <w:t xml:space="preserve"> Queen</w:t>
      </w:r>
    </w:p>
    <w:p w:rsidR="00D25958" w:rsidRPr="00D25958" w:rsidRDefault="00D25958" w:rsidP="00D25958">
      <w:pPr>
        <w:jc w:val="center"/>
        <w:rPr>
          <w:rFonts w:eastAsiaTheme="minorHAnsi" w:cstheme="minorBidi"/>
          <w:szCs w:val="24"/>
          <w:lang w:eastAsia="en-US"/>
        </w:rPr>
      </w:pPr>
      <w:r w:rsidRPr="00D25958">
        <w:rPr>
          <w:rFonts w:eastAsiaTheme="minorHAnsi" w:cstheme="minorBidi"/>
          <w:szCs w:val="24"/>
          <w:lang w:eastAsia="en-US"/>
        </w:rPr>
        <w:t>Respondent</w:t>
      </w:r>
    </w:p>
    <w:p w:rsidR="00D25958" w:rsidRPr="00D25958" w:rsidRDefault="00D25958" w:rsidP="00D25958">
      <w:pPr>
        <w:rPr>
          <w:rFonts w:eastAsiaTheme="minorHAnsi" w:cstheme="minorBidi"/>
          <w:szCs w:val="24"/>
          <w:lang w:eastAsia="en-US"/>
        </w:rPr>
      </w:pPr>
    </w:p>
    <w:p w:rsidR="00D25958" w:rsidRPr="00D25958" w:rsidRDefault="00D25958" w:rsidP="00D25958">
      <w:pPr>
        <w:rPr>
          <w:rFonts w:eastAsiaTheme="minorHAnsi" w:cstheme="minorBidi"/>
          <w:szCs w:val="24"/>
          <w:lang w:eastAsia="en-US"/>
        </w:rPr>
      </w:pPr>
      <w:r w:rsidRPr="00D25958">
        <w:rPr>
          <w:rFonts w:eastAsiaTheme="minorHAnsi" w:cstheme="minorBidi"/>
          <w:b/>
          <w:smallCaps/>
          <w:szCs w:val="24"/>
          <w:lang w:eastAsia="en-US"/>
        </w:rPr>
        <w:t>Coram:</w:t>
      </w:r>
      <w:r w:rsidRPr="00D25958">
        <w:rPr>
          <w:rFonts w:eastAsiaTheme="minorHAnsi" w:cstheme="minorBidi"/>
          <w:szCs w:val="24"/>
          <w:lang w:eastAsia="en-US"/>
        </w:rPr>
        <w:t xml:space="preserve"> LeBel, Rothstein, </w:t>
      </w:r>
      <w:proofErr w:type="spellStart"/>
      <w:r w:rsidRPr="00D25958">
        <w:rPr>
          <w:rFonts w:eastAsiaTheme="minorHAnsi" w:cstheme="minorBidi"/>
          <w:szCs w:val="24"/>
          <w:lang w:eastAsia="en-US"/>
        </w:rPr>
        <w:t>Moldaver</w:t>
      </w:r>
      <w:proofErr w:type="spellEnd"/>
      <w:r w:rsidRPr="00D25958">
        <w:rPr>
          <w:rFonts w:eastAsiaTheme="minorHAnsi" w:cstheme="minorBidi"/>
          <w:szCs w:val="24"/>
          <w:lang w:eastAsia="en-US"/>
        </w:rPr>
        <w:t xml:space="preserve">, </w:t>
      </w:r>
      <w:proofErr w:type="spellStart"/>
      <w:r w:rsidRPr="00D25958">
        <w:rPr>
          <w:rFonts w:eastAsiaTheme="minorHAnsi" w:cstheme="minorBidi"/>
          <w:szCs w:val="24"/>
          <w:lang w:eastAsia="en-US"/>
        </w:rPr>
        <w:t>Karakatsanis</w:t>
      </w:r>
      <w:proofErr w:type="spellEnd"/>
      <w:r w:rsidRPr="00D25958">
        <w:rPr>
          <w:rFonts w:eastAsiaTheme="minorHAnsi" w:cstheme="minorBidi"/>
          <w:szCs w:val="24"/>
          <w:lang w:eastAsia="en-US"/>
        </w:rPr>
        <w:t xml:space="preserve"> and Wagner JJ.</w:t>
      </w:r>
    </w:p>
    <w:p w:rsidR="00D25958" w:rsidRPr="00D25958" w:rsidRDefault="00D25958" w:rsidP="00D25958">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25958" w:rsidRPr="00D25958" w:rsidTr="00E9578C">
        <w:trPr>
          <w:cantSplit/>
        </w:trPr>
        <w:tc>
          <w:tcPr>
            <w:tcW w:w="3618" w:type="dxa"/>
          </w:tcPr>
          <w:p w:rsidR="00D25958" w:rsidRPr="00D25958" w:rsidRDefault="00D25958" w:rsidP="00D25958">
            <w:pPr>
              <w:rPr>
                <w:b/>
                <w:smallCaps/>
              </w:rPr>
            </w:pPr>
            <w:r w:rsidRPr="00D25958">
              <w:rPr>
                <w:b/>
                <w:smallCaps/>
              </w:rPr>
              <w:t>Reasons for Judgment:</w:t>
            </w:r>
          </w:p>
          <w:p w:rsidR="00D25958" w:rsidRPr="00D25958" w:rsidRDefault="00D25958" w:rsidP="00D25958">
            <w:r w:rsidRPr="00D25958">
              <w:t>(</w:t>
            </w:r>
            <w:proofErr w:type="spellStart"/>
            <w:r w:rsidRPr="00D25958">
              <w:t>para</w:t>
            </w:r>
            <w:proofErr w:type="spellEnd"/>
            <w:r w:rsidRPr="00D25958">
              <w:t>. 1)</w:t>
            </w:r>
          </w:p>
        </w:tc>
        <w:tc>
          <w:tcPr>
            <w:tcW w:w="5958" w:type="dxa"/>
          </w:tcPr>
          <w:p w:rsidR="00D25958" w:rsidRPr="00D25958" w:rsidRDefault="00D25958" w:rsidP="00D25958">
            <w:r w:rsidRPr="00D25958">
              <w:t xml:space="preserve">LeBel J. (Rothstein, </w:t>
            </w:r>
            <w:proofErr w:type="spellStart"/>
            <w:r w:rsidRPr="00D25958">
              <w:t>Moldaver</w:t>
            </w:r>
            <w:proofErr w:type="spellEnd"/>
            <w:r w:rsidRPr="00D25958">
              <w:t xml:space="preserve">, </w:t>
            </w:r>
            <w:proofErr w:type="spellStart"/>
            <w:r w:rsidRPr="00D25958">
              <w:t>Karakatsanis</w:t>
            </w:r>
            <w:proofErr w:type="spellEnd"/>
            <w:r w:rsidRPr="00D25958">
              <w:t xml:space="preserve"> and Wagner JJ. concurring) </w:t>
            </w:r>
          </w:p>
        </w:tc>
      </w:tr>
    </w:tbl>
    <w:p w:rsidR="00D25958" w:rsidRPr="00D25958" w:rsidRDefault="00D25958" w:rsidP="00D25958">
      <w:pPr>
        <w:rPr>
          <w:rFonts w:eastAsiaTheme="minorHAnsi" w:cstheme="minorBidi"/>
          <w:szCs w:val="24"/>
          <w:lang w:eastAsia="en-US"/>
        </w:rPr>
      </w:pPr>
    </w:p>
    <w:p w:rsidR="00D25958" w:rsidRPr="00D25958" w:rsidRDefault="00D25958" w:rsidP="00D25958">
      <w:pPr>
        <w:rPr>
          <w:rFonts w:eastAsiaTheme="minorHAnsi" w:cstheme="minorBidi"/>
          <w:szCs w:val="24"/>
          <w:lang w:eastAsia="en-US"/>
        </w:rPr>
      </w:pPr>
      <w:r w:rsidRPr="00D25958">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 o:connectortype="straight"/>
        </w:pict>
      </w:r>
    </w:p>
    <w:p w:rsidR="00D25958" w:rsidRDefault="00D25958">
      <w:pPr>
        <w:pStyle w:val="SCCLsocLastPartyInRole"/>
        <w:rPr>
          <w:b w:val="0"/>
        </w:rPr>
      </w:pPr>
    </w:p>
    <w:p w:rsidR="00A72066" w:rsidRPr="00A72066" w:rsidRDefault="00A72066">
      <w:pPr>
        <w:pStyle w:val="SCCLsocLastPartyInRole"/>
        <w:rPr>
          <w:b w:val="0"/>
          <w:lang w:val="fr-CA"/>
        </w:rPr>
      </w:pPr>
      <w:r w:rsidRPr="00A72066">
        <w:rPr>
          <w:b w:val="0"/>
        </w:rPr>
        <w:t>R.</w:t>
      </w:r>
      <w:r w:rsidRPr="00A72066">
        <w:rPr>
          <w:b w:val="0"/>
          <w:i/>
        </w:rPr>
        <w:t xml:space="preserve"> v</w:t>
      </w:r>
      <w:r w:rsidRPr="00A72066">
        <w:rPr>
          <w:b w:val="0"/>
        </w:rPr>
        <w:t xml:space="preserve">. </w:t>
      </w:r>
      <w:r w:rsidRPr="00A72066">
        <w:rPr>
          <w:rStyle w:val="SCCAppellantForIndexChar"/>
        </w:rPr>
        <w:t>Davis</w:t>
      </w:r>
      <w:r>
        <w:rPr>
          <w:rStyle w:val="SCCAppellantForIndexChar"/>
        </w:rPr>
        <w:t>, 2014 SCC 14, [2014]</w:t>
      </w:r>
      <w:r>
        <w:rPr>
          <w:b w:val="0"/>
          <w:lang w:val="fr-CA"/>
        </w:rPr>
        <w:t xml:space="preserve"> 1 S.C.R. 78</w:t>
      </w:r>
    </w:p>
    <w:p w:rsidR="004B591C" w:rsidRPr="003F1BC8" w:rsidRDefault="00B434CD">
      <w:pPr>
        <w:pStyle w:val="SCCLsocLastPartyInRole"/>
        <w:rPr>
          <w:lang w:val="fr-CA"/>
        </w:rPr>
      </w:pPr>
      <w:r w:rsidRPr="003F1BC8">
        <w:rPr>
          <w:lang w:val="fr-CA"/>
        </w:rPr>
        <w:t>Percy Walter Davis</w:t>
      </w:r>
      <w:r w:rsidRPr="003F1BC8">
        <w:rPr>
          <w:rStyle w:val="SCCLsocPartyRole"/>
          <w:lang w:val="fr-CA"/>
        </w:rPr>
        <w:tab/>
      </w:r>
      <w:proofErr w:type="spellStart"/>
      <w:r w:rsidRPr="003F1BC8">
        <w:rPr>
          <w:rStyle w:val="SCCLsocPartyRole"/>
          <w:lang w:val="fr-CA"/>
        </w:rPr>
        <w:t>Appellant</w:t>
      </w:r>
      <w:proofErr w:type="spellEnd"/>
    </w:p>
    <w:p w:rsidR="004B591C" w:rsidRPr="00AE0B40" w:rsidRDefault="00B434CD">
      <w:pPr>
        <w:pStyle w:val="SCCLsocVersus"/>
        <w:rPr>
          <w:lang w:val="en-US"/>
        </w:rPr>
      </w:pPr>
      <w:proofErr w:type="gramStart"/>
      <w:r w:rsidRPr="00AE0B40">
        <w:rPr>
          <w:lang w:val="en-US"/>
        </w:rPr>
        <w:t>v</w:t>
      </w:r>
      <w:proofErr w:type="gramEnd"/>
      <w:r w:rsidRPr="00AE0B40">
        <w:rPr>
          <w:lang w:val="en-US"/>
        </w:rPr>
        <w:t>.</w:t>
      </w:r>
    </w:p>
    <w:p w:rsidR="004B591C" w:rsidRDefault="00B434CD">
      <w:pPr>
        <w:pStyle w:val="SCCLsocLastPartyInRole"/>
      </w:pPr>
      <w:r>
        <w:t xml:space="preserve">Her Majesty </w:t>
      </w:r>
      <w:proofErr w:type="gramStart"/>
      <w:r w:rsidR="0080548E">
        <w:t>T</w:t>
      </w:r>
      <w:r>
        <w:t>he</w:t>
      </w:r>
      <w:proofErr w:type="gramEnd"/>
      <w:r>
        <w:t xml:space="preserve"> Queen</w:t>
      </w:r>
      <w:r>
        <w:rPr>
          <w:rStyle w:val="SCCLsocPartyRole"/>
        </w:rPr>
        <w:tab/>
        <w:t>Respondent</w:t>
      </w:r>
    </w:p>
    <w:p w:rsidR="00766D14" w:rsidRDefault="00766D14" w:rsidP="00FC4EFB">
      <w:pPr>
        <w:jc w:val="both"/>
      </w:pPr>
    </w:p>
    <w:p w:rsidR="00426659" w:rsidRDefault="00426659" w:rsidP="00FC4EFB">
      <w:pPr>
        <w:jc w:val="both"/>
        <w:rPr>
          <w:b/>
          <w:i/>
        </w:rPr>
      </w:pPr>
      <w:r w:rsidRPr="00426659">
        <w:rPr>
          <w:b/>
        </w:rPr>
        <w:t>Indexed as:</w:t>
      </w:r>
      <w:r>
        <w:rPr>
          <w:b/>
        </w:rPr>
        <w:t xml:space="preserve"> </w:t>
      </w:r>
      <w:r w:rsidR="0080548E">
        <w:rPr>
          <w:b/>
        </w:rPr>
        <w:t xml:space="preserve"> R. </w:t>
      </w:r>
      <w:r w:rsidR="0080548E">
        <w:rPr>
          <w:b/>
          <w:i/>
        </w:rPr>
        <w:t>v.</w:t>
      </w:r>
      <w:r w:rsidR="0080548E" w:rsidRPr="00417770">
        <w:rPr>
          <w:b/>
        </w:rPr>
        <w:t xml:space="preserve"> </w:t>
      </w:r>
      <w:r>
        <w:rPr>
          <w:rStyle w:val="SCCAppellantForIndexChar"/>
        </w:rPr>
        <w:t>Davis</w:t>
      </w:r>
    </w:p>
    <w:p w:rsidR="0080548E" w:rsidRDefault="0080548E" w:rsidP="00FC4EFB">
      <w:pPr>
        <w:jc w:val="both"/>
      </w:pPr>
    </w:p>
    <w:p w:rsidR="00426659" w:rsidRPr="00C02092" w:rsidRDefault="004F36FF" w:rsidP="00FC4EFB">
      <w:pPr>
        <w:pStyle w:val="SCCSystemYear"/>
        <w:jc w:val="both"/>
      </w:pPr>
      <w:r>
        <w:t>2014</w:t>
      </w:r>
      <w:r w:rsidR="003D0399">
        <w:t xml:space="preserve"> </w:t>
      </w:r>
      <w:r w:rsidR="00960F91">
        <w:t>SCC 4</w:t>
      </w:r>
    </w:p>
    <w:p w:rsidR="00A149DF" w:rsidRDefault="00A149DF" w:rsidP="00FC4EFB">
      <w:pPr>
        <w:jc w:val="both"/>
      </w:pPr>
    </w:p>
    <w:p w:rsidR="008322BD" w:rsidRDefault="009B57B3" w:rsidP="00FC4EFB">
      <w:pPr>
        <w:jc w:val="both"/>
      </w:pPr>
      <w:r w:rsidRPr="001426A9">
        <w:t xml:space="preserve">File No.:  </w:t>
      </w:r>
      <w:r>
        <w:t>35327</w:t>
      </w:r>
      <w:r w:rsidRPr="001426A9">
        <w:t>.</w:t>
      </w:r>
    </w:p>
    <w:p w:rsidR="00A149DF" w:rsidRDefault="00A149DF" w:rsidP="00FC4EFB">
      <w:pPr>
        <w:jc w:val="both"/>
      </w:pPr>
    </w:p>
    <w:p w:rsidR="008322BD" w:rsidRDefault="004F36FF" w:rsidP="00FC4EFB">
      <w:pPr>
        <w:jc w:val="both"/>
      </w:pPr>
      <w:r>
        <w:lastRenderedPageBreak/>
        <w:t>2014:  January 17</w:t>
      </w:r>
      <w:r w:rsidR="009B57B3" w:rsidRPr="001426A9">
        <w:t>.</w:t>
      </w:r>
    </w:p>
    <w:p w:rsidR="00A149DF" w:rsidRDefault="00A149DF" w:rsidP="00FC4EFB">
      <w:pPr>
        <w:jc w:val="both"/>
      </w:pPr>
    </w:p>
    <w:p w:rsidR="008322BD" w:rsidRDefault="009B57B3" w:rsidP="00FC4EFB">
      <w:pPr>
        <w:jc w:val="both"/>
      </w:pPr>
      <w:r w:rsidRPr="001426A9">
        <w:t xml:space="preserve">Present:  </w:t>
      </w:r>
      <w:r>
        <w:t xml:space="preserve">LeBel, Rothstein, </w:t>
      </w:r>
      <w:proofErr w:type="spellStart"/>
      <w:r>
        <w:t>Moldaver</w:t>
      </w:r>
      <w:proofErr w:type="spellEnd"/>
      <w:r>
        <w:t xml:space="preserve">, </w:t>
      </w:r>
      <w:proofErr w:type="spellStart"/>
      <w:r>
        <w:t>Karakatsanis</w:t>
      </w:r>
      <w:proofErr w:type="spellEnd"/>
      <w:r>
        <w:t xml:space="preserve"> and Wagner JJ.</w:t>
      </w:r>
    </w:p>
    <w:p w:rsidR="00E97830" w:rsidRDefault="00E97830" w:rsidP="00FC4EFB">
      <w:pPr>
        <w:jc w:val="both"/>
      </w:pPr>
    </w:p>
    <w:p w:rsidR="008322BD" w:rsidRPr="001C779F" w:rsidRDefault="00656313" w:rsidP="00FC4EFB">
      <w:pPr>
        <w:pStyle w:val="SCCLowerCourtNameLowercase"/>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w:t>
      </w:r>
      <w:r w:rsidR="0080548E">
        <w:t xml:space="preserve"> of appeal for </w:t>
      </w:r>
      <w:proofErr w:type="spellStart"/>
      <w:r w:rsidR="0080548E">
        <w:t>alberta</w:t>
      </w:r>
      <w:proofErr w:type="spellEnd"/>
    </w:p>
    <w:p w:rsidR="003A4C70" w:rsidRPr="001426A9" w:rsidRDefault="003A4C70" w:rsidP="00FC4EFB">
      <w:pPr>
        <w:pStyle w:val="SCCNormalDoubleSpacing"/>
      </w:pPr>
    </w:p>
    <w:p w:rsidR="008322BD" w:rsidRPr="003F1BC8" w:rsidRDefault="009B57B3" w:rsidP="00FC4EFB">
      <w:pPr>
        <w:pStyle w:val="SCCNormalDoubleSpacing"/>
        <w:rPr>
          <w:i/>
        </w:rPr>
      </w:pPr>
      <w:r w:rsidRPr="00583EDE">
        <w:tab/>
      </w:r>
      <w:r w:rsidR="00AD69BF">
        <w:rPr>
          <w:i/>
        </w:rPr>
        <w:t>Criminal l</w:t>
      </w:r>
      <w:r w:rsidR="003F1BC8">
        <w:rPr>
          <w:i/>
        </w:rPr>
        <w:t xml:space="preserve">aw </w:t>
      </w:r>
      <w:r w:rsidR="00417770">
        <w:rPr>
          <w:i/>
        </w:rPr>
        <w:t>—</w:t>
      </w:r>
      <w:r w:rsidR="003F1BC8">
        <w:rPr>
          <w:i/>
        </w:rPr>
        <w:t xml:space="preserve"> Appeals </w:t>
      </w:r>
      <w:r w:rsidR="00417770">
        <w:rPr>
          <w:i/>
        </w:rPr>
        <w:t xml:space="preserve">— </w:t>
      </w:r>
      <w:r w:rsidR="003F1BC8">
        <w:rPr>
          <w:i/>
        </w:rPr>
        <w:t xml:space="preserve">Powers of Court of Appeal </w:t>
      </w:r>
      <w:r w:rsidR="00417770">
        <w:rPr>
          <w:i/>
        </w:rPr>
        <w:t xml:space="preserve">— </w:t>
      </w:r>
      <w:r w:rsidR="003F1BC8">
        <w:rPr>
          <w:i/>
        </w:rPr>
        <w:t xml:space="preserve">Application of curative proviso </w:t>
      </w:r>
      <w:r w:rsidR="00417770">
        <w:rPr>
          <w:i/>
        </w:rPr>
        <w:t xml:space="preserve">— </w:t>
      </w:r>
      <w:r w:rsidR="009419A4">
        <w:rPr>
          <w:i/>
        </w:rPr>
        <w:t xml:space="preserve">Trial judge’s error in allocating burden of proof may have tainted evaluation of evidence of whether excessive force used by police officer </w:t>
      </w:r>
      <w:r w:rsidR="00417770">
        <w:rPr>
          <w:i/>
        </w:rPr>
        <w:t xml:space="preserve">— </w:t>
      </w:r>
      <w:r w:rsidR="00EB3B98">
        <w:rPr>
          <w:i/>
        </w:rPr>
        <w:t xml:space="preserve">Curative proviso </w:t>
      </w:r>
      <w:r w:rsidR="00F2050A">
        <w:rPr>
          <w:i/>
        </w:rPr>
        <w:t>not applicable</w:t>
      </w:r>
      <w:r w:rsidR="00EB3B98">
        <w:rPr>
          <w:i/>
        </w:rPr>
        <w:t xml:space="preserve"> </w:t>
      </w:r>
      <w:r w:rsidR="00417770">
        <w:rPr>
          <w:i/>
        </w:rPr>
        <w:t xml:space="preserve">— </w:t>
      </w:r>
      <w:r w:rsidR="00EB3B98">
        <w:rPr>
          <w:i/>
        </w:rPr>
        <w:t>Criminal Code, R.S.C. 1985, c. C-46, s. 686(1)(b)(iii).</w:t>
      </w:r>
    </w:p>
    <w:p w:rsidR="00A149DF" w:rsidRDefault="00A149DF" w:rsidP="00FC4EFB">
      <w:pPr>
        <w:pStyle w:val="SCCNormalDoubleSpacing"/>
      </w:pPr>
    </w:p>
    <w:p w:rsidR="003B215F" w:rsidRDefault="00A503D4" w:rsidP="00A503D4">
      <w:pPr>
        <w:pStyle w:val="SCCNormalDoubleSpacing"/>
      </w:pPr>
      <w:r>
        <w:rPr>
          <w:b/>
        </w:rPr>
        <w:t>Statu</w:t>
      </w:r>
      <w:r w:rsidR="002E6705" w:rsidRPr="00314E01">
        <w:rPr>
          <w:b/>
        </w:rPr>
        <w:t>tes and Regulations Cite</w:t>
      </w:r>
      <w:r w:rsidR="00A41805">
        <w:rPr>
          <w:b/>
        </w:rPr>
        <w:t>d</w:t>
      </w:r>
    </w:p>
    <w:p w:rsidR="00A41805" w:rsidRDefault="00A41805" w:rsidP="00A503D4">
      <w:pPr>
        <w:pStyle w:val="SCCNormalDoubleSpacing"/>
        <w:ind w:left="540" w:hanging="540"/>
      </w:pPr>
    </w:p>
    <w:p w:rsidR="00935218" w:rsidRPr="003F1BC8" w:rsidRDefault="00A503D4" w:rsidP="00A503D4">
      <w:pPr>
        <w:pStyle w:val="SCCNormalDoubleSpacing"/>
        <w:ind w:left="540" w:hanging="540"/>
        <w:rPr>
          <w:lang w:val="fr-CA"/>
        </w:rPr>
      </w:pPr>
      <w:proofErr w:type="spellStart"/>
      <w:r w:rsidRPr="003F1BC8">
        <w:rPr>
          <w:i/>
          <w:lang w:val="fr-CA"/>
        </w:rPr>
        <w:t>Criminal</w:t>
      </w:r>
      <w:proofErr w:type="spellEnd"/>
      <w:r w:rsidRPr="003F1BC8">
        <w:rPr>
          <w:i/>
          <w:lang w:val="fr-CA"/>
        </w:rPr>
        <w:t xml:space="preserve"> Code</w:t>
      </w:r>
      <w:r w:rsidRPr="003F1BC8">
        <w:rPr>
          <w:lang w:val="fr-CA"/>
        </w:rPr>
        <w:t>, R.S.C. 1985, c. C-46, s. 686(1</w:t>
      </w:r>
      <w:proofErr w:type="gramStart"/>
      <w:r w:rsidRPr="003F1BC8">
        <w:rPr>
          <w:lang w:val="fr-CA"/>
        </w:rPr>
        <w:t>)(</w:t>
      </w:r>
      <w:proofErr w:type="gramEnd"/>
      <w:r w:rsidRPr="003F1BC8">
        <w:rPr>
          <w:i/>
          <w:lang w:val="fr-CA"/>
        </w:rPr>
        <w:t>b</w:t>
      </w:r>
      <w:r w:rsidRPr="003F1BC8">
        <w:rPr>
          <w:lang w:val="fr-CA"/>
        </w:rPr>
        <w:t>)(iii).</w:t>
      </w:r>
    </w:p>
    <w:p w:rsidR="00A503D4" w:rsidRPr="003F1BC8" w:rsidRDefault="00A503D4" w:rsidP="00A503D4">
      <w:pPr>
        <w:pStyle w:val="SCCNormalDoubleSpacing"/>
        <w:ind w:left="540" w:hanging="540"/>
        <w:rPr>
          <w:lang w:val="fr-CA"/>
        </w:rPr>
      </w:pPr>
    </w:p>
    <w:p w:rsidR="00AE0B40" w:rsidRDefault="009B57B3" w:rsidP="00A503D4">
      <w:pPr>
        <w:pStyle w:val="SCCNormalDoubleSpacing"/>
      </w:pPr>
      <w:r w:rsidRPr="003F1BC8">
        <w:rPr>
          <w:lang w:val="fr-CA"/>
        </w:rPr>
        <w:tab/>
      </w:r>
      <w:r w:rsidRPr="001426A9">
        <w:t xml:space="preserve">APPEAL from a judgment of the </w:t>
      </w:r>
      <w:r w:rsidR="001C3430">
        <w:t xml:space="preserve">Alberta </w:t>
      </w:r>
      <w:r>
        <w:t xml:space="preserve">Court of Appeal </w:t>
      </w:r>
      <w:r w:rsidR="001C3430">
        <w:t>(</w:t>
      </w:r>
      <w:r w:rsidR="001C3430" w:rsidRPr="001C3430">
        <w:t>Fraser C.J.</w:t>
      </w:r>
      <w:r w:rsidR="001C3430">
        <w:t xml:space="preserve"> and</w:t>
      </w:r>
      <w:r w:rsidR="001C3430" w:rsidRPr="001C3430">
        <w:t xml:space="preserve"> O</w:t>
      </w:r>
      <w:r w:rsidR="001C3430">
        <w:t>’</w:t>
      </w:r>
      <w:r w:rsidR="001C3430" w:rsidRPr="001C3430">
        <w:t>Brien and McDonald JJ.A</w:t>
      </w:r>
      <w:r w:rsidR="001C3430">
        <w:t>.), 2013 ABCA 15</w:t>
      </w:r>
      <w:r w:rsidR="00863D7B">
        <w:t xml:space="preserve">, </w:t>
      </w:r>
      <w:r w:rsidR="001C3430">
        <w:t>75 Alta. L.R. (5th) 386</w:t>
      </w:r>
      <w:r w:rsidR="00863D7B">
        <w:t xml:space="preserve">, </w:t>
      </w:r>
      <w:r w:rsidR="001C3430">
        <w:t>542 A.R. 100</w:t>
      </w:r>
      <w:r w:rsidR="00863D7B">
        <w:t xml:space="preserve">, 566 W.A.C. 100, 275 C.R.R. (2d) 266, </w:t>
      </w:r>
      <w:r w:rsidR="001C3430">
        <w:t>100 C.R. (6th) 175</w:t>
      </w:r>
      <w:r w:rsidR="00863D7B">
        <w:t xml:space="preserve">, 295 C.C.C. (3d) 508, </w:t>
      </w:r>
      <w:r w:rsidR="001C3430">
        <w:t>[2013] 5 W.W.R. 423</w:t>
      </w:r>
      <w:r w:rsidR="00863D7B">
        <w:t xml:space="preserve">, [2013] A.J. No. 20 (QL), 2013 </w:t>
      </w:r>
      <w:proofErr w:type="spellStart"/>
      <w:r w:rsidR="00863D7B">
        <w:t>CarswellAlta</w:t>
      </w:r>
      <w:proofErr w:type="spellEnd"/>
      <w:r w:rsidR="00863D7B">
        <w:t xml:space="preserve"> 78, </w:t>
      </w:r>
      <w:r w:rsidR="00F261BB" w:rsidRPr="009F269F">
        <w:t xml:space="preserve">affirming the </w:t>
      </w:r>
      <w:proofErr w:type="spellStart"/>
      <w:r w:rsidR="00F261BB" w:rsidRPr="009F269F">
        <w:t>accused’s</w:t>
      </w:r>
      <w:proofErr w:type="spellEnd"/>
      <w:r w:rsidR="00F261BB" w:rsidRPr="009F269F">
        <w:t xml:space="preserve"> conviction for possession of a weapon for a purpose</w:t>
      </w:r>
      <w:r w:rsidR="00B434CD" w:rsidRPr="009F269F">
        <w:t xml:space="preserve"> dangerous to the public peace</w:t>
      </w:r>
      <w:r w:rsidR="00F261BB" w:rsidRPr="009F269F">
        <w:t>, assault</w:t>
      </w:r>
      <w:r w:rsidR="00B434CD" w:rsidRPr="009F269F">
        <w:t xml:space="preserve"> of </w:t>
      </w:r>
      <w:r w:rsidR="00F261BB" w:rsidRPr="009F269F">
        <w:t>a p</w:t>
      </w:r>
      <w:r w:rsidR="00B434CD" w:rsidRPr="009F269F">
        <w:t>eac</w:t>
      </w:r>
      <w:r w:rsidR="00F261BB" w:rsidRPr="009F269F">
        <w:t>e officer and assault with a weapon</w:t>
      </w:r>
      <w:r w:rsidR="00AE0B40">
        <w:t xml:space="preserve"> entered by </w:t>
      </w:r>
      <w:proofErr w:type="spellStart"/>
      <w:r w:rsidR="00AE0B40">
        <w:t>Crighton</w:t>
      </w:r>
      <w:proofErr w:type="spellEnd"/>
      <w:r w:rsidR="00AE0B40">
        <w:t> </w:t>
      </w:r>
      <w:r w:rsidR="00F261BB">
        <w:t>J.</w:t>
      </w:r>
      <w:r w:rsidR="00AE0B40">
        <w:t xml:space="preserve">  Appeal allowed.</w:t>
      </w:r>
    </w:p>
    <w:p w:rsidR="00F261BB" w:rsidRDefault="00F261BB" w:rsidP="00863D7B">
      <w:pPr>
        <w:pStyle w:val="SCCNormalDoubleSpacing"/>
      </w:pPr>
    </w:p>
    <w:p w:rsidR="004B591C" w:rsidRDefault="00B434CD">
      <w:pPr>
        <w:pStyle w:val="SCCNormalDoubleSpacing"/>
      </w:pPr>
      <w:r>
        <w:rPr>
          <w:rStyle w:val="SCCCounselNameChar"/>
        </w:rPr>
        <w:tab/>
      </w:r>
      <w:proofErr w:type="gramStart"/>
      <w:r>
        <w:rPr>
          <w:rStyle w:val="SCCCounselNameChar"/>
        </w:rPr>
        <w:t>Peter J. Royal</w:t>
      </w:r>
      <w:r w:rsidRPr="0068454E">
        <w:rPr>
          <w:rStyle w:val="SCCCounselNameChar"/>
          <w:i w:val="0"/>
        </w:rPr>
        <w:t xml:space="preserve">, </w:t>
      </w:r>
      <w:r>
        <w:rPr>
          <w:rStyle w:val="SCCCounselNameChar"/>
        </w:rPr>
        <w:t>Q.C.</w:t>
      </w:r>
      <w:r w:rsidR="0068454E" w:rsidRPr="0068454E">
        <w:rPr>
          <w:rStyle w:val="SCCCounselNameChar"/>
          <w:i w:val="0"/>
        </w:rPr>
        <w:t>,</w:t>
      </w:r>
      <w:r>
        <w:rPr>
          <w:rStyle w:val="SCCCounselSeparatorChar"/>
        </w:rPr>
        <w:t xml:space="preserve"> and </w:t>
      </w:r>
      <w:r>
        <w:rPr>
          <w:rStyle w:val="SCCCounselNameChar"/>
        </w:rPr>
        <w:t>Kathryn A. Quinlan</w:t>
      </w:r>
      <w:r>
        <w:rPr>
          <w:rStyle w:val="SCCCounselPartyRoleChar"/>
        </w:rPr>
        <w:t>, for the appellant.</w:t>
      </w:r>
      <w:proofErr w:type="gramEnd"/>
    </w:p>
    <w:p w:rsidR="004B591C" w:rsidRDefault="004B591C">
      <w:pPr>
        <w:pStyle w:val="SCCNormalDoubleSpacing"/>
      </w:pPr>
    </w:p>
    <w:p w:rsidR="004B591C" w:rsidRDefault="00B434CD">
      <w:pPr>
        <w:pStyle w:val="SCCNormalDoubleSpacing"/>
      </w:pPr>
      <w:r>
        <w:rPr>
          <w:rStyle w:val="SCCCounselNameChar"/>
        </w:rPr>
        <w:tab/>
        <w:t>Troy</w:t>
      </w:r>
      <w:r w:rsidR="0068454E">
        <w:rPr>
          <w:rStyle w:val="SCCCounselNameChar"/>
        </w:rPr>
        <w:t xml:space="preserve"> L.</w:t>
      </w:r>
      <w:r>
        <w:rPr>
          <w:rStyle w:val="SCCCounselNameChar"/>
        </w:rPr>
        <w:t xml:space="preserve"> </w:t>
      </w:r>
      <w:proofErr w:type="spellStart"/>
      <w:r>
        <w:rPr>
          <w:rStyle w:val="SCCCounselNameChar"/>
        </w:rPr>
        <w:t>Couillard</w:t>
      </w:r>
      <w:proofErr w:type="spellEnd"/>
      <w:r>
        <w:rPr>
          <w:rStyle w:val="SCCCounselPartyRoleChar"/>
        </w:rPr>
        <w:t>, for the respondent.</w:t>
      </w:r>
    </w:p>
    <w:p w:rsidR="000A3D12" w:rsidRDefault="000A3D12" w:rsidP="000A3D12">
      <w:pPr>
        <w:pStyle w:val="SCCNormalDoubleSpacing"/>
      </w:pPr>
    </w:p>
    <w:p w:rsidR="000A3D12" w:rsidRDefault="000A3D12" w:rsidP="00E1247F">
      <w:pPr>
        <w:pStyle w:val="SCCNormalDoubleSpacing"/>
        <w:spacing w:after="480"/>
        <w:rPr>
          <w:rStyle w:val="SCCCounselPartyRoleChar"/>
        </w:rPr>
      </w:pPr>
      <w:r>
        <w:rPr>
          <w:rStyle w:val="SCCCounselPartyRoleChar"/>
        </w:rPr>
        <w:lastRenderedPageBreak/>
        <w:tab/>
        <w:t xml:space="preserve">The judgment </w:t>
      </w:r>
      <w:r w:rsidR="00FF2A87">
        <w:rPr>
          <w:rStyle w:val="SCCCounselPartyRoleChar"/>
        </w:rPr>
        <w:t xml:space="preserve">of the Court was </w:t>
      </w:r>
      <w:r>
        <w:rPr>
          <w:rStyle w:val="SCCCounselPartyRoleChar"/>
        </w:rPr>
        <w:t xml:space="preserve">delivered orally by </w:t>
      </w:r>
    </w:p>
    <w:p w:rsidR="00E1247F" w:rsidRPr="008E67CB" w:rsidRDefault="00E1247F" w:rsidP="006E4D02">
      <w:pPr>
        <w:tabs>
          <w:tab w:val="left" w:pos="1170"/>
        </w:tabs>
        <w:spacing w:line="480" w:lineRule="auto"/>
        <w:jc w:val="both"/>
      </w:pPr>
      <w:r>
        <w:rPr>
          <w:rStyle w:val="SCCCounselPartyRoleChar"/>
        </w:rPr>
        <w:t>[1]</w:t>
      </w:r>
      <w:r>
        <w:rPr>
          <w:rStyle w:val="SCCCounselPartyRoleChar"/>
        </w:rPr>
        <w:tab/>
      </w:r>
      <w:r w:rsidRPr="00562CF8">
        <w:rPr>
          <w:smallCaps/>
        </w:rPr>
        <w:t>LeBel</w:t>
      </w:r>
      <w:r>
        <w:t xml:space="preserve"> J. — The Crown has conceded and we agree with the Alberta Court of Appeal that the trial judge made an error in allocating the burden of proof. But we agree with Fraser C.J., in dissent, that this error may have tainted the evaluation of the evidence as to whether excessive force had been used by a police officer. In the circumstances of this case, the proviso of s. 686(1</w:t>
      </w:r>
      <w:proofErr w:type="gramStart"/>
      <w:r>
        <w:t>)(</w:t>
      </w:r>
      <w:proofErr w:type="gramEnd"/>
      <w:r w:rsidRPr="00562CF8">
        <w:rPr>
          <w:i/>
        </w:rPr>
        <w:t>b</w:t>
      </w:r>
      <w:r>
        <w:t xml:space="preserve">)(iii) of the </w:t>
      </w:r>
      <w:r w:rsidRPr="00562CF8">
        <w:rPr>
          <w:i/>
        </w:rPr>
        <w:t>Criminal Code</w:t>
      </w:r>
      <w:r>
        <w:t>, R.S.C. 1985, c. C-46, could not apply. For these reasons, the appeal is allowed and the appellant’s conviction is quashed. As the parties have requested in such an event, a new trial is ordered on the same charges.</w:t>
      </w:r>
    </w:p>
    <w:p w:rsidR="004B591C" w:rsidRDefault="004B591C" w:rsidP="00E1247F">
      <w:pPr>
        <w:spacing w:line="480" w:lineRule="auto"/>
      </w:pPr>
    </w:p>
    <w:p w:rsidR="009B57B3" w:rsidRDefault="009B57B3" w:rsidP="00FC4EFB">
      <w:pPr>
        <w:pStyle w:val="SCCNormalDoubleSpacing"/>
      </w:pPr>
      <w:r w:rsidRPr="001426A9">
        <w:tab/>
      </w:r>
      <w:proofErr w:type="gramStart"/>
      <w:r w:rsidR="000856D6">
        <w:rPr>
          <w:i/>
        </w:rPr>
        <w:t>Judgment accordingly</w:t>
      </w:r>
      <w:r w:rsidR="0067673C">
        <w:rPr>
          <w:i/>
        </w:rPr>
        <w:t>.</w:t>
      </w:r>
      <w:proofErr w:type="gramEnd"/>
    </w:p>
    <w:p w:rsidR="0067673C" w:rsidRDefault="0067673C" w:rsidP="0067673C"/>
    <w:p w:rsidR="0067673C" w:rsidRDefault="0067673C" w:rsidP="0067673C">
      <w:pPr>
        <w:pStyle w:val="SCCLawFirm"/>
      </w:pPr>
      <w:r>
        <w:tab/>
        <w:t xml:space="preserve">Solicitors for the appellant:  Royal </w:t>
      </w:r>
      <w:proofErr w:type="spellStart"/>
      <w:r>
        <w:t>Teskey</w:t>
      </w:r>
      <w:proofErr w:type="spellEnd"/>
      <w:r>
        <w:t>, Edmonton.</w:t>
      </w:r>
    </w:p>
    <w:p w:rsidR="0067673C" w:rsidRDefault="0067673C" w:rsidP="0067673C">
      <w:pPr>
        <w:pStyle w:val="SCCLawFirm"/>
      </w:pPr>
    </w:p>
    <w:p w:rsidR="0067673C" w:rsidRDefault="0067673C" w:rsidP="0067673C">
      <w:pPr>
        <w:pStyle w:val="SCCLawFirm"/>
      </w:pPr>
      <w:r>
        <w:tab/>
        <w:t>Solicitor for the respondent:  Attorney General of Alberta, Edmonton.</w:t>
      </w:r>
    </w:p>
    <w:sectPr w:rsidR="0067673C" w:rsidSect="000648CC">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47F" w:rsidRDefault="00E1247F">
      <w:r>
        <w:separator/>
      </w:r>
    </w:p>
  </w:endnote>
  <w:endnote w:type="continuationSeparator" w:id="0">
    <w:p w:rsidR="00E1247F" w:rsidRDefault="00E12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47F" w:rsidRDefault="00E1247F">
      <w:r>
        <w:separator/>
      </w:r>
    </w:p>
  </w:footnote>
  <w:footnote w:type="continuationSeparator" w:id="0">
    <w:p w:rsidR="00E1247F" w:rsidRDefault="00E124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6497"/>
  </w:hdrShapeDefaults>
  <w:footnotePr>
    <w:footnote w:id="-1"/>
    <w:footnote w:id="0"/>
  </w:footnotePr>
  <w:endnotePr>
    <w:endnote w:id="-1"/>
    <w:endnote w:id="0"/>
  </w:endnotePr>
  <w:compat/>
  <w:rsids>
    <w:rsidRoot w:val="0031414C"/>
    <w:rsid w:val="00000ED4"/>
    <w:rsid w:val="00025198"/>
    <w:rsid w:val="000578A3"/>
    <w:rsid w:val="000648CC"/>
    <w:rsid w:val="00081F79"/>
    <w:rsid w:val="000856D6"/>
    <w:rsid w:val="000873A9"/>
    <w:rsid w:val="000A3D12"/>
    <w:rsid w:val="000C59B8"/>
    <w:rsid w:val="000C6AF0"/>
    <w:rsid w:val="000F5CDE"/>
    <w:rsid w:val="00104F33"/>
    <w:rsid w:val="00111DE2"/>
    <w:rsid w:val="00116B38"/>
    <w:rsid w:val="00135406"/>
    <w:rsid w:val="00135972"/>
    <w:rsid w:val="001426A9"/>
    <w:rsid w:val="00154D7C"/>
    <w:rsid w:val="001570B0"/>
    <w:rsid w:val="0015752C"/>
    <w:rsid w:val="00157737"/>
    <w:rsid w:val="00165277"/>
    <w:rsid w:val="00170592"/>
    <w:rsid w:val="00186351"/>
    <w:rsid w:val="00195D83"/>
    <w:rsid w:val="001A00C1"/>
    <w:rsid w:val="001B33E0"/>
    <w:rsid w:val="001B4573"/>
    <w:rsid w:val="001C3430"/>
    <w:rsid w:val="001C779F"/>
    <w:rsid w:val="001D2AC1"/>
    <w:rsid w:val="001D4E88"/>
    <w:rsid w:val="00220FC2"/>
    <w:rsid w:val="002222F4"/>
    <w:rsid w:val="00224FC0"/>
    <w:rsid w:val="00225EA4"/>
    <w:rsid w:val="00226EAF"/>
    <w:rsid w:val="00231F3A"/>
    <w:rsid w:val="00234199"/>
    <w:rsid w:val="002406EE"/>
    <w:rsid w:val="00243EC8"/>
    <w:rsid w:val="00270D93"/>
    <w:rsid w:val="002745CC"/>
    <w:rsid w:val="002B7924"/>
    <w:rsid w:val="002C5746"/>
    <w:rsid w:val="002D28C3"/>
    <w:rsid w:val="002D39A4"/>
    <w:rsid w:val="002E6705"/>
    <w:rsid w:val="00301D08"/>
    <w:rsid w:val="0030329A"/>
    <w:rsid w:val="0031086F"/>
    <w:rsid w:val="0031414C"/>
    <w:rsid w:val="00314E01"/>
    <w:rsid w:val="0032089D"/>
    <w:rsid w:val="003310DE"/>
    <w:rsid w:val="003323B0"/>
    <w:rsid w:val="0035169A"/>
    <w:rsid w:val="0035259D"/>
    <w:rsid w:val="00364B18"/>
    <w:rsid w:val="003A125D"/>
    <w:rsid w:val="003A2EE3"/>
    <w:rsid w:val="003A4C70"/>
    <w:rsid w:val="003B215F"/>
    <w:rsid w:val="003C799C"/>
    <w:rsid w:val="003D0399"/>
    <w:rsid w:val="003E1C71"/>
    <w:rsid w:val="003F1BC8"/>
    <w:rsid w:val="003F327B"/>
    <w:rsid w:val="00406166"/>
    <w:rsid w:val="0040704B"/>
    <w:rsid w:val="0040726B"/>
    <w:rsid w:val="00410A55"/>
    <w:rsid w:val="00411300"/>
    <w:rsid w:val="00415417"/>
    <w:rsid w:val="00417770"/>
    <w:rsid w:val="00426659"/>
    <w:rsid w:val="00450352"/>
    <w:rsid w:val="00454BDB"/>
    <w:rsid w:val="00464800"/>
    <w:rsid w:val="00465132"/>
    <w:rsid w:val="00480C90"/>
    <w:rsid w:val="0048396F"/>
    <w:rsid w:val="00493C18"/>
    <w:rsid w:val="004A600C"/>
    <w:rsid w:val="004A6118"/>
    <w:rsid w:val="004B591C"/>
    <w:rsid w:val="004C478D"/>
    <w:rsid w:val="004E2C26"/>
    <w:rsid w:val="004F36FF"/>
    <w:rsid w:val="005125A8"/>
    <w:rsid w:val="00521AE8"/>
    <w:rsid w:val="00527180"/>
    <w:rsid w:val="0054201E"/>
    <w:rsid w:val="00555291"/>
    <w:rsid w:val="00560C7B"/>
    <w:rsid w:val="00566AD1"/>
    <w:rsid w:val="00583EDE"/>
    <w:rsid w:val="005A6079"/>
    <w:rsid w:val="005E4698"/>
    <w:rsid w:val="00610539"/>
    <w:rsid w:val="00613969"/>
    <w:rsid w:val="00625C35"/>
    <w:rsid w:val="00656313"/>
    <w:rsid w:val="006565F4"/>
    <w:rsid w:val="0067673C"/>
    <w:rsid w:val="0068454E"/>
    <w:rsid w:val="00684EEA"/>
    <w:rsid w:val="0069689B"/>
    <w:rsid w:val="006A1551"/>
    <w:rsid w:val="006B5FF5"/>
    <w:rsid w:val="006E4D02"/>
    <w:rsid w:val="006E54EC"/>
    <w:rsid w:val="006F30AF"/>
    <w:rsid w:val="00701759"/>
    <w:rsid w:val="00705C15"/>
    <w:rsid w:val="0071600E"/>
    <w:rsid w:val="007208D1"/>
    <w:rsid w:val="00747288"/>
    <w:rsid w:val="00747DD3"/>
    <w:rsid w:val="007549C8"/>
    <w:rsid w:val="00754A0B"/>
    <w:rsid w:val="00766D14"/>
    <w:rsid w:val="00767A0F"/>
    <w:rsid w:val="007A05F6"/>
    <w:rsid w:val="007B6F4A"/>
    <w:rsid w:val="007C156E"/>
    <w:rsid w:val="007E1C47"/>
    <w:rsid w:val="007E337A"/>
    <w:rsid w:val="007E5C70"/>
    <w:rsid w:val="007F2FF5"/>
    <w:rsid w:val="007F3F08"/>
    <w:rsid w:val="00804CC6"/>
    <w:rsid w:val="0080548E"/>
    <w:rsid w:val="00817190"/>
    <w:rsid w:val="00820EE5"/>
    <w:rsid w:val="008260E2"/>
    <w:rsid w:val="008322BD"/>
    <w:rsid w:val="00833E0A"/>
    <w:rsid w:val="00834F73"/>
    <w:rsid w:val="00863D7B"/>
    <w:rsid w:val="00864CF8"/>
    <w:rsid w:val="00872819"/>
    <w:rsid w:val="00874914"/>
    <w:rsid w:val="00891422"/>
    <w:rsid w:val="00892E1A"/>
    <w:rsid w:val="008A3F29"/>
    <w:rsid w:val="008A576F"/>
    <w:rsid w:val="008B660A"/>
    <w:rsid w:val="008C01DA"/>
    <w:rsid w:val="008F7117"/>
    <w:rsid w:val="008F78E9"/>
    <w:rsid w:val="00911989"/>
    <w:rsid w:val="009179F9"/>
    <w:rsid w:val="00921FBD"/>
    <w:rsid w:val="00933E5E"/>
    <w:rsid w:val="00935218"/>
    <w:rsid w:val="009403F3"/>
    <w:rsid w:val="009419A4"/>
    <w:rsid w:val="009555B7"/>
    <w:rsid w:val="009567AA"/>
    <w:rsid w:val="00960F91"/>
    <w:rsid w:val="00967374"/>
    <w:rsid w:val="009A343A"/>
    <w:rsid w:val="009B2F23"/>
    <w:rsid w:val="009B57B3"/>
    <w:rsid w:val="009C5B92"/>
    <w:rsid w:val="009D2920"/>
    <w:rsid w:val="009D5AEB"/>
    <w:rsid w:val="009E1A1F"/>
    <w:rsid w:val="009F0E33"/>
    <w:rsid w:val="009F269F"/>
    <w:rsid w:val="00A030CE"/>
    <w:rsid w:val="00A149DF"/>
    <w:rsid w:val="00A1755C"/>
    <w:rsid w:val="00A21B90"/>
    <w:rsid w:val="00A41805"/>
    <w:rsid w:val="00A42DCD"/>
    <w:rsid w:val="00A503D4"/>
    <w:rsid w:val="00A52AFB"/>
    <w:rsid w:val="00A548CB"/>
    <w:rsid w:val="00A5521C"/>
    <w:rsid w:val="00A643E7"/>
    <w:rsid w:val="00A72066"/>
    <w:rsid w:val="00A73C38"/>
    <w:rsid w:val="00AB670D"/>
    <w:rsid w:val="00AD69BF"/>
    <w:rsid w:val="00AE0B40"/>
    <w:rsid w:val="00AF03C5"/>
    <w:rsid w:val="00B000D8"/>
    <w:rsid w:val="00B00F75"/>
    <w:rsid w:val="00B145B6"/>
    <w:rsid w:val="00B279EB"/>
    <w:rsid w:val="00B434CD"/>
    <w:rsid w:val="00B50C81"/>
    <w:rsid w:val="00B557F8"/>
    <w:rsid w:val="00B815FC"/>
    <w:rsid w:val="00B83190"/>
    <w:rsid w:val="00B93FBC"/>
    <w:rsid w:val="00BA7DA0"/>
    <w:rsid w:val="00BB2EE4"/>
    <w:rsid w:val="00BC2108"/>
    <w:rsid w:val="00BD0E9E"/>
    <w:rsid w:val="00BD1BEC"/>
    <w:rsid w:val="00BD32FF"/>
    <w:rsid w:val="00C02092"/>
    <w:rsid w:val="00C24D91"/>
    <w:rsid w:val="00C36D61"/>
    <w:rsid w:val="00C53F14"/>
    <w:rsid w:val="00C600CF"/>
    <w:rsid w:val="00C6084F"/>
    <w:rsid w:val="00C62A66"/>
    <w:rsid w:val="00C71458"/>
    <w:rsid w:val="00C77613"/>
    <w:rsid w:val="00C828E7"/>
    <w:rsid w:val="00C86719"/>
    <w:rsid w:val="00C921DD"/>
    <w:rsid w:val="00CA6391"/>
    <w:rsid w:val="00CC34BD"/>
    <w:rsid w:val="00CE161A"/>
    <w:rsid w:val="00CE3171"/>
    <w:rsid w:val="00CF1601"/>
    <w:rsid w:val="00D0172F"/>
    <w:rsid w:val="00D068A7"/>
    <w:rsid w:val="00D17476"/>
    <w:rsid w:val="00D25958"/>
    <w:rsid w:val="00D32086"/>
    <w:rsid w:val="00D37A3F"/>
    <w:rsid w:val="00D4431D"/>
    <w:rsid w:val="00D45850"/>
    <w:rsid w:val="00D4667A"/>
    <w:rsid w:val="00D6055C"/>
    <w:rsid w:val="00D63A1C"/>
    <w:rsid w:val="00D7516F"/>
    <w:rsid w:val="00D8579F"/>
    <w:rsid w:val="00D95F8E"/>
    <w:rsid w:val="00DA0590"/>
    <w:rsid w:val="00DB7BEA"/>
    <w:rsid w:val="00DC1739"/>
    <w:rsid w:val="00DC1788"/>
    <w:rsid w:val="00DE319C"/>
    <w:rsid w:val="00DE6982"/>
    <w:rsid w:val="00DF0CA8"/>
    <w:rsid w:val="00DF2B48"/>
    <w:rsid w:val="00DF49A7"/>
    <w:rsid w:val="00E07EE2"/>
    <w:rsid w:val="00E07FD1"/>
    <w:rsid w:val="00E1247F"/>
    <w:rsid w:val="00E24573"/>
    <w:rsid w:val="00E25E1E"/>
    <w:rsid w:val="00E27EE7"/>
    <w:rsid w:val="00E35404"/>
    <w:rsid w:val="00E45109"/>
    <w:rsid w:val="00E47B7A"/>
    <w:rsid w:val="00E47F32"/>
    <w:rsid w:val="00E56A44"/>
    <w:rsid w:val="00E60269"/>
    <w:rsid w:val="00E738F8"/>
    <w:rsid w:val="00E77932"/>
    <w:rsid w:val="00E97830"/>
    <w:rsid w:val="00EB3B98"/>
    <w:rsid w:val="00EE643C"/>
    <w:rsid w:val="00EF0683"/>
    <w:rsid w:val="00EF69D2"/>
    <w:rsid w:val="00EF766E"/>
    <w:rsid w:val="00F0070C"/>
    <w:rsid w:val="00F00EB7"/>
    <w:rsid w:val="00F2050A"/>
    <w:rsid w:val="00F261BB"/>
    <w:rsid w:val="00F36AB6"/>
    <w:rsid w:val="00F37A09"/>
    <w:rsid w:val="00F409CE"/>
    <w:rsid w:val="00F4379D"/>
    <w:rsid w:val="00F50D2D"/>
    <w:rsid w:val="00F56C8B"/>
    <w:rsid w:val="00F66810"/>
    <w:rsid w:val="00F846D9"/>
    <w:rsid w:val="00F84DF4"/>
    <w:rsid w:val="00F85C97"/>
    <w:rsid w:val="00FB37D2"/>
    <w:rsid w:val="00FC4EFB"/>
    <w:rsid w:val="00FD068D"/>
    <w:rsid w:val="00FD4F28"/>
    <w:rsid w:val="00FE6784"/>
    <w:rsid w:val="00FF2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table" w:styleId="TableGrid">
    <w:name w:val="Table Grid"/>
    <w:basedOn w:val="TableNormal"/>
    <w:uiPriority w:val="59"/>
    <w:rsid w:val="00D25958"/>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AE847-49EF-4051-A557-897AE03C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2014-06-24T18:35:00Z</dcterms:created>
  <dcterms:modified xsi:type="dcterms:W3CDTF">2014-06-24T18:35:00Z</dcterms:modified>
</cp:coreProperties>
</file>