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7" w:rsidRDefault="000D02F7" w:rsidP="000D02F7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8pt" o:ole="">
            <v:imagedata r:id="rId6" o:title=""/>
          </v:shape>
          <o:OLEObject Type="Embed" ProgID="Presentations.Drawing.13" ShapeID="_x0000_i1025" DrawAspect="Content" ObjectID="_1487156521" r:id="rId7"/>
        </w:object>
      </w:r>
    </w:p>
    <w:p w:rsidR="000D02F7" w:rsidRDefault="000D02F7" w:rsidP="000D02F7">
      <w:pPr>
        <w:pStyle w:val="Header"/>
      </w:pPr>
    </w:p>
    <w:p w:rsidR="000D02F7" w:rsidRPr="006B210C" w:rsidRDefault="000D02F7" w:rsidP="000D02F7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0D02F7" w:rsidRDefault="000D02F7" w:rsidP="000D02F7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0D02F7" w:rsidRPr="006B210C" w:rsidTr="00407445">
        <w:trPr>
          <w:cantSplit/>
        </w:trPr>
        <w:tc>
          <w:tcPr>
            <w:tcW w:w="6768" w:type="dxa"/>
          </w:tcPr>
          <w:p w:rsidR="000D02F7" w:rsidRPr="00D84C9C" w:rsidRDefault="000D02F7" w:rsidP="00407445">
            <w:pPr>
              <w:spacing w:line="480" w:lineRule="auto"/>
              <w:jc w:val="both"/>
            </w:pPr>
            <w:r w:rsidRPr="00D84C9C">
              <w:rPr>
                <w:b/>
                <w:smallCaps/>
              </w:rPr>
              <w:t>Citation:</w:t>
            </w:r>
            <w:r w:rsidRPr="00D84C9C">
              <w:t xml:space="preserve"> R.</w:t>
            </w:r>
            <w:r w:rsidRPr="00D84C9C">
              <w:rPr>
                <w:i/>
              </w:rPr>
              <w:t xml:space="preserve"> v. </w:t>
            </w:r>
            <w:r>
              <w:t>Day</w:t>
            </w:r>
            <w:r w:rsidRPr="00D84C9C">
              <w:t xml:space="preserve">, </w:t>
            </w:r>
            <w:r>
              <w:t>2014 SCC 74</w:t>
            </w:r>
            <w:r w:rsidRPr="00D84C9C">
              <w:t xml:space="preserve">, [2014] 3 S.C.R. </w:t>
            </w:r>
            <w:r>
              <w:t>614</w:t>
            </w:r>
          </w:p>
          <w:p w:rsidR="000D02F7" w:rsidRPr="00D84C9C" w:rsidRDefault="000D02F7" w:rsidP="00407445"/>
        </w:tc>
        <w:tc>
          <w:tcPr>
            <w:tcW w:w="2808" w:type="dxa"/>
          </w:tcPr>
          <w:p w:rsidR="000D02F7" w:rsidRPr="006B210C" w:rsidRDefault="000D02F7" w:rsidP="00407445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20141208</w:t>
            </w:r>
          </w:p>
          <w:p w:rsidR="000D02F7" w:rsidRPr="006B210C" w:rsidRDefault="000D02F7" w:rsidP="00407445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35822</w:t>
            </w:r>
          </w:p>
        </w:tc>
      </w:tr>
    </w:tbl>
    <w:p w:rsidR="000D02F7" w:rsidRPr="006B210C" w:rsidRDefault="000D02F7" w:rsidP="000D02F7"/>
    <w:p w:rsidR="000D02F7" w:rsidRDefault="000D02F7" w:rsidP="000D02F7">
      <w:pPr>
        <w:pStyle w:val="SCCLsocPrefix"/>
      </w:pPr>
      <w:r>
        <w:t>Between:</w:t>
      </w:r>
    </w:p>
    <w:p w:rsidR="000D02F7" w:rsidRDefault="000D02F7" w:rsidP="000D02F7">
      <w:pPr>
        <w:pStyle w:val="SCCLsocParty"/>
        <w:jc w:val="center"/>
      </w:pPr>
      <w:r>
        <w:t>Ryan Paul Day</w:t>
      </w:r>
    </w:p>
    <w:p w:rsidR="000D02F7" w:rsidRPr="00D84C9C" w:rsidRDefault="000D02F7" w:rsidP="000D02F7">
      <w:pPr>
        <w:jc w:val="center"/>
        <w:rPr>
          <w:lang w:val="en-US"/>
        </w:rPr>
      </w:pPr>
      <w:r w:rsidRPr="00D84C9C">
        <w:rPr>
          <w:lang w:val="en-US"/>
        </w:rPr>
        <w:t>Appellant</w:t>
      </w:r>
    </w:p>
    <w:p w:rsidR="000D02F7" w:rsidRPr="000D02F7" w:rsidRDefault="000D02F7" w:rsidP="000D02F7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0D02F7">
        <w:rPr>
          <w:i w:val="0"/>
          <w:lang w:val="en-US"/>
        </w:rPr>
        <w:t>and</w:t>
      </w:r>
      <w:proofErr w:type="gramEnd"/>
    </w:p>
    <w:p w:rsidR="000D02F7" w:rsidRPr="00945515" w:rsidRDefault="000D02F7" w:rsidP="000D02F7">
      <w:pPr>
        <w:pStyle w:val="SCCLsocParty"/>
        <w:jc w:val="center"/>
        <w:rPr>
          <w:lang w:val="en-US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0D02F7" w:rsidRPr="00945515" w:rsidRDefault="000D02F7" w:rsidP="000D02F7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0D02F7" w:rsidRPr="00945515" w:rsidRDefault="000D02F7" w:rsidP="000D02F7">
      <w:pPr>
        <w:rPr>
          <w:lang w:val="en-US"/>
        </w:rPr>
      </w:pPr>
    </w:p>
    <w:p w:rsidR="000D02F7" w:rsidRDefault="000D02F7" w:rsidP="000D02F7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</w:t>
      </w:r>
      <w:proofErr w:type="spellStart"/>
      <w:r>
        <w:t>McLachlin</w:t>
      </w:r>
      <w:proofErr w:type="spellEnd"/>
      <w:r>
        <w:t xml:space="preserve"> C.J. and Rothstein, </w:t>
      </w:r>
      <w:proofErr w:type="spellStart"/>
      <w:r>
        <w:t>Moldaver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 xml:space="preserve"> JJ.</w:t>
      </w:r>
    </w:p>
    <w:p w:rsidR="000D02F7" w:rsidRDefault="000D02F7" w:rsidP="000D02F7">
      <w:pPr>
        <w:jc w:val="both"/>
      </w:pPr>
    </w:p>
    <w:p w:rsidR="000D02F7" w:rsidRPr="006B210C" w:rsidRDefault="000D02F7" w:rsidP="000D02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0D02F7" w:rsidRPr="006B210C" w:rsidTr="00407445">
        <w:trPr>
          <w:cantSplit/>
        </w:trPr>
        <w:tc>
          <w:tcPr>
            <w:tcW w:w="3618" w:type="dxa"/>
          </w:tcPr>
          <w:p w:rsidR="000D02F7" w:rsidRDefault="000D02F7" w:rsidP="0040744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0D02F7" w:rsidRPr="006B210C" w:rsidRDefault="000D02F7" w:rsidP="00407445">
            <w:r>
              <w:t>(</w:t>
            </w:r>
            <w:proofErr w:type="spellStart"/>
            <w:r>
              <w:t>para</w:t>
            </w:r>
            <w:proofErr w:type="spellEnd"/>
            <w:r>
              <w:t>. 1)</w:t>
            </w:r>
          </w:p>
        </w:tc>
        <w:tc>
          <w:tcPr>
            <w:tcW w:w="5958" w:type="dxa"/>
          </w:tcPr>
          <w:p w:rsidR="000D02F7" w:rsidRPr="006B210C" w:rsidRDefault="000D02F7" w:rsidP="00407445">
            <w:pPr>
              <w:jc w:val="both"/>
            </w:pPr>
            <w:proofErr w:type="spellStart"/>
            <w:r>
              <w:t>McLachlin</w:t>
            </w:r>
            <w:proofErr w:type="spellEnd"/>
            <w:r>
              <w:t xml:space="preserve"> C.J. (Rothstein, </w:t>
            </w:r>
            <w:proofErr w:type="spellStart"/>
            <w:r>
              <w:t>Moldaver</w:t>
            </w:r>
            <w:proofErr w:type="spellEnd"/>
            <w:r>
              <w:t xml:space="preserve">, Wagner and </w:t>
            </w:r>
            <w:proofErr w:type="spellStart"/>
            <w:r>
              <w:t>Gascon</w:t>
            </w:r>
            <w:proofErr w:type="spellEnd"/>
            <w:r>
              <w:t xml:space="preserve"> JJ. concurring) </w:t>
            </w:r>
          </w:p>
        </w:tc>
      </w:tr>
    </w:tbl>
    <w:p w:rsidR="000D02F7" w:rsidRDefault="000D02F7" w:rsidP="000D02F7"/>
    <w:p w:rsidR="000D02F7" w:rsidRPr="006B210C" w:rsidRDefault="000D02F7" w:rsidP="000D02F7">
      <w:r w:rsidRPr="000A71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0D02F7" w:rsidRDefault="000D02F7" w:rsidP="000D02F7"/>
    <w:p w:rsidR="000D02F7" w:rsidRDefault="000D02F7" w:rsidP="0035169A">
      <w:pPr>
        <w:spacing w:line="480" w:lineRule="auto"/>
        <w:jc w:val="both"/>
        <w:rPr>
          <w:smallCaps/>
        </w:rPr>
      </w:pPr>
    </w:p>
    <w:p w:rsidR="008322BD" w:rsidRPr="00B4673C" w:rsidRDefault="00B4673C" w:rsidP="0035169A">
      <w:pPr>
        <w:spacing w:line="480" w:lineRule="auto"/>
        <w:jc w:val="both"/>
        <w:rPr>
          <w:smallCaps/>
        </w:rPr>
      </w:pPr>
      <w:r w:rsidRPr="00B4673C">
        <w:rPr>
          <w:smallCaps/>
        </w:rPr>
        <w:t xml:space="preserve">r. </w:t>
      </w:r>
      <w:r w:rsidRPr="00B4673C">
        <w:rPr>
          <w:i/>
        </w:rPr>
        <w:t>v.</w:t>
      </w:r>
      <w:r w:rsidRPr="00B4673C">
        <w:rPr>
          <w:smallCaps/>
        </w:rPr>
        <w:t xml:space="preserve"> day</w:t>
      </w:r>
      <w:r w:rsidR="00CD0A30">
        <w:rPr>
          <w:smallCaps/>
        </w:rPr>
        <w:t xml:space="preserve">, </w:t>
      </w:r>
      <w:r w:rsidR="00CD0A30">
        <w:t>2014 SCC 74, [2014] 3 S.C.R. 614</w:t>
      </w:r>
    </w:p>
    <w:p w:rsidR="00CD5D47" w:rsidRDefault="00CD5D47">
      <w:pPr>
        <w:pStyle w:val="SCCLsocLastPartyInRole"/>
      </w:pPr>
    </w:p>
    <w:p w:rsidR="007755DF" w:rsidRDefault="00B220D2">
      <w:pPr>
        <w:pStyle w:val="SCCLsocLastPartyInRole"/>
      </w:pPr>
      <w:r>
        <w:t>Ryan Paul Day</w:t>
      </w:r>
      <w:r>
        <w:rPr>
          <w:rStyle w:val="SCCLsocPartyRole"/>
        </w:rPr>
        <w:tab/>
        <w:t>App</w:t>
      </w:r>
      <w:r w:rsidR="003D7773">
        <w:rPr>
          <w:rStyle w:val="SCCLsocPartyRole"/>
        </w:rPr>
        <w:t>ellant</w:t>
      </w:r>
    </w:p>
    <w:p w:rsidR="007755DF" w:rsidRDefault="00B220D2">
      <w:pPr>
        <w:pStyle w:val="SCCLsocVersus"/>
      </w:pPr>
      <w:proofErr w:type="gramStart"/>
      <w:r>
        <w:t>v</w:t>
      </w:r>
      <w:proofErr w:type="gramEnd"/>
      <w:r>
        <w:t>.</w:t>
      </w:r>
    </w:p>
    <w:p w:rsidR="007755DF" w:rsidRDefault="00AB2D91">
      <w:pPr>
        <w:pStyle w:val="SCCLsocLastPartyInRole"/>
      </w:pPr>
      <w:r>
        <w:t xml:space="preserve">Her Majesty </w:t>
      </w:r>
      <w:proofErr w:type="gramStart"/>
      <w:r>
        <w:t>T</w:t>
      </w:r>
      <w:r w:rsidR="00B220D2">
        <w:t>he</w:t>
      </w:r>
      <w:proofErr w:type="gramEnd"/>
      <w:r w:rsidR="00B220D2">
        <w:t xml:space="preserve"> Queen</w:t>
      </w:r>
      <w:r w:rsidR="00B220D2">
        <w:rPr>
          <w:rStyle w:val="SCCLsocPartyRole"/>
        </w:rPr>
        <w:tab/>
        <w:t>Respondent</w:t>
      </w: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B4673C">
        <w:rPr>
          <w:b/>
        </w:rPr>
        <w:t xml:space="preserve">R. </w:t>
      </w:r>
      <w:r w:rsidR="00B4673C" w:rsidRPr="00B4673C">
        <w:rPr>
          <w:b/>
          <w:i/>
        </w:rPr>
        <w:t>v.</w:t>
      </w:r>
      <w:r w:rsidR="00B4673C">
        <w:rPr>
          <w:b/>
        </w:rPr>
        <w:t xml:space="preserve"> Day</w:t>
      </w:r>
    </w:p>
    <w:p w:rsidR="00426659" w:rsidRDefault="00426659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2014</w:t>
      </w:r>
      <w:r w:rsidR="003D0399">
        <w:t xml:space="preserve"> </w:t>
      </w:r>
      <w:r w:rsidR="00DB2C56">
        <w:t xml:space="preserve">SCC </w:t>
      </w:r>
      <w:r w:rsidR="00B220D2">
        <w:t>74</w:t>
      </w:r>
    </w:p>
    <w:p w:rsidR="00426659" w:rsidRDefault="00426659" w:rsidP="00FC4EFB">
      <w:pPr>
        <w:jc w:val="both"/>
      </w:pPr>
    </w:p>
    <w:p w:rsidR="008322BD" w:rsidRDefault="00DB2C56" w:rsidP="00FC4EFB">
      <w:pPr>
        <w:jc w:val="both"/>
      </w:pPr>
      <w:r>
        <w:t xml:space="preserve">File No.: </w:t>
      </w:r>
      <w:r w:rsidR="009B57B3">
        <w:t>35822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8322BD" w:rsidRDefault="004F36FF" w:rsidP="00FC4EFB">
      <w:pPr>
        <w:jc w:val="both"/>
      </w:pPr>
      <w:r>
        <w:t>2014:  December 8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 xml:space="preserve">McLachlin C.J. and Rothstein, </w:t>
      </w:r>
      <w:proofErr w:type="spellStart"/>
      <w:r w:rsidR="00DB2C56">
        <w:t>Moldaver</w:t>
      </w:r>
      <w:proofErr w:type="spellEnd"/>
      <w:r w:rsidR="00DB2C56">
        <w:t xml:space="preserve">, Wagner and </w:t>
      </w:r>
      <w:proofErr w:type="spellStart"/>
      <w:r w:rsidR="00DB2C56">
        <w:t>Gascon</w:t>
      </w:r>
      <w:proofErr w:type="spellEnd"/>
      <w:r w:rsidR="00DB2C56">
        <w:t xml:space="preserve"> </w:t>
      </w:r>
      <w:r>
        <w:t>JJ.</w:t>
      </w:r>
    </w:p>
    <w:p w:rsidR="00E97830" w:rsidRDefault="00E97830" w:rsidP="00FC4EFB">
      <w:pPr>
        <w:jc w:val="both"/>
      </w:pPr>
    </w:p>
    <w:p w:rsidR="008322BD" w:rsidRPr="001C779F" w:rsidRDefault="00656313" w:rsidP="00897844">
      <w:pPr>
        <w:pStyle w:val="SCCLowerCourtNameLowercase"/>
        <w:spacing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</w:t>
      </w:r>
      <w:r w:rsidR="00897844">
        <w:t xml:space="preserve"> appeal for</w:t>
      </w:r>
      <w:r w:rsidR="009B57B3">
        <w:t xml:space="preserve"> </w:t>
      </w:r>
      <w:proofErr w:type="spellStart"/>
      <w:r w:rsidR="009B57B3">
        <w:t>newfoundland</w:t>
      </w:r>
      <w:proofErr w:type="spellEnd"/>
      <w:r w:rsidR="009B57B3">
        <w:t xml:space="preserve"> and </w:t>
      </w:r>
      <w:proofErr w:type="spellStart"/>
      <w:r w:rsidR="009B57B3">
        <w:t>labrador</w:t>
      </w:r>
      <w:proofErr w:type="spellEnd"/>
    </w:p>
    <w:p w:rsidR="003A4C70" w:rsidRPr="001426A9" w:rsidRDefault="003A4C70" w:rsidP="00FC4EFB">
      <w:pPr>
        <w:pStyle w:val="SCCNormalDoubleSpacing"/>
      </w:pPr>
    </w:p>
    <w:p w:rsidR="006B2F38" w:rsidRDefault="00CD5D47" w:rsidP="00FC4EFB">
      <w:pPr>
        <w:pStyle w:val="SCCNormalDoubleSpacing"/>
        <w:rPr>
          <w:i/>
        </w:rPr>
      </w:pPr>
      <w:r>
        <w:tab/>
      </w:r>
      <w:r w:rsidR="006B2F38" w:rsidRPr="006B2F38">
        <w:rPr>
          <w:i/>
        </w:rPr>
        <w:t xml:space="preserve">Constitutional law — Charter of Rights — </w:t>
      </w:r>
      <w:r w:rsidR="002D7ED2">
        <w:rPr>
          <w:i/>
        </w:rPr>
        <w:t xml:space="preserve">Arbitrary detention </w:t>
      </w:r>
      <w:r w:rsidR="002D7ED2" w:rsidRPr="006B2F38">
        <w:rPr>
          <w:i/>
        </w:rPr>
        <w:t xml:space="preserve">— </w:t>
      </w:r>
      <w:r w:rsidR="006B2F38">
        <w:rPr>
          <w:i/>
        </w:rPr>
        <w:t xml:space="preserve">Search and seizure </w:t>
      </w:r>
      <w:r w:rsidR="006B2F38" w:rsidRPr="006B2F38">
        <w:rPr>
          <w:i/>
        </w:rPr>
        <w:t>—</w:t>
      </w:r>
      <w:r w:rsidR="00D65DA2">
        <w:rPr>
          <w:i/>
        </w:rPr>
        <w:t xml:space="preserve"> </w:t>
      </w:r>
      <w:r w:rsidR="002C5302">
        <w:rPr>
          <w:i/>
        </w:rPr>
        <w:t xml:space="preserve">Search incident to arrest </w:t>
      </w:r>
      <w:r w:rsidR="002C5302" w:rsidRPr="006B2F38">
        <w:rPr>
          <w:i/>
        </w:rPr>
        <w:t xml:space="preserve">— </w:t>
      </w:r>
      <w:proofErr w:type="spellStart"/>
      <w:r w:rsidR="001A6D94">
        <w:rPr>
          <w:i/>
        </w:rPr>
        <w:t>Accused’s</w:t>
      </w:r>
      <w:proofErr w:type="spellEnd"/>
      <w:r w:rsidR="001A6D94">
        <w:rPr>
          <w:i/>
        </w:rPr>
        <w:t xml:space="preserve"> car searched without w</w:t>
      </w:r>
      <w:r w:rsidR="002D7ED2">
        <w:rPr>
          <w:i/>
        </w:rPr>
        <w:t>arrant</w:t>
      </w:r>
      <w:r w:rsidR="001A6D94">
        <w:rPr>
          <w:i/>
        </w:rPr>
        <w:t xml:space="preserve"> and marihuana found</w:t>
      </w:r>
      <w:r w:rsidR="002D7ED2">
        <w:rPr>
          <w:i/>
        </w:rPr>
        <w:t xml:space="preserve"> </w:t>
      </w:r>
      <w:r w:rsidR="00D65DA2">
        <w:rPr>
          <w:i/>
        </w:rPr>
        <w:t xml:space="preserve">— </w:t>
      </w:r>
      <w:r w:rsidR="00EC1CCE">
        <w:rPr>
          <w:i/>
        </w:rPr>
        <w:t xml:space="preserve">Evidence seized excluded following </w:t>
      </w:r>
      <w:proofErr w:type="spellStart"/>
      <w:r w:rsidR="00EC1CCE">
        <w:rPr>
          <w:i/>
        </w:rPr>
        <w:t>voir</w:t>
      </w:r>
      <w:proofErr w:type="spellEnd"/>
      <w:r w:rsidR="00EC1CCE">
        <w:rPr>
          <w:i/>
        </w:rPr>
        <w:t xml:space="preserve"> dire </w:t>
      </w:r>
      <w:r w:rsidR="00EB6851">
        <w:rPr>
          <w:i/>
        </w:rPr>
        <w:t>—</w:t>
      </w:r>
      <w:r w:rsidR="007B7F7D">
        <w:rPr>
          <w:i/>
        </w:rPr>
        <w:t xml:space="preserve"> Court of Appeal held that tr</w:t>
      </w:r>
      <w:r w:rsidR="009A5372">
        <w:rPr>
          <w:i/>
        </w:rPr>
        <w:t xml:space="preserve">ial judge erred in finding absence of subjective and objective grounds for arrest </w:t>
      </w:r>
      <w:r w:rsidR="00EC1CCE">
        <w:rPr>
          <w:i/>
        </w:rPr>
        <w:t>—</w:t>
      </w:r>
      <w:r w:rsidR="001A6D94">
        <w:rPr>
          <w:i/>
        </w:rPr>
        <w:t xml:space="preserve"> </w:t>
      </w:r>
      <w:r w:rsidR="009A5372">
        <w:rPr>
          <w:i/>
        </w:rPr>
        <w:t>Arrest lawful and search valid.</w:t>
      </w:r>
    </w:p>
    <w:p w:rsidR="006B2F38" w:rsidRPr="00CD5D47" w:rsidRDefault="006B2F38" w:rsidP="00FC4EFB">
      <w:pPr>
        <w:pStyle w:val="SCCNormalDoubleSpacing"/>
        <w:rPr>
          <w:i/>
        </w:rPr>
      </w:pPr>
    </w:p>
    <w:p w:rsidR="00656313" w:rsidRDefault="00B4673C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9B57B3">
        <w:t>Newfoundland and Labrador Court of Appeal</w:t>
      </w:r>
      <w:r w:rsidR="00854B24">
        <w:t xml:space="preserve"> (Welsh, Rowe and </w:t>
      </w:r>
      <w:proofErr w:type="spellStart"/>
      <w:r w:rsidR="00854B24">
        <w:t>Hoegg</w:t>
      </w:r>
      <w:proofErr w:type="spellEnd"/>
      <w:r w:rsidR="00854B24">
        <w:t xml:space="preserve"> JJ.A.), </w:t>
      </w:r>
      <w:r w:rsidR="003A1158">
        <w:t>2014 NLCA 14, 349 Nfld. &amp; P.E.I.R. 1, 1085 A.P.R. 1,</w:t>
      </w:r>
      <w:r w:rsidR="00897844">
        <w:t xml:space="preserve"> 10 C.R. (7</w:t>
      </w:r>
      <w:r w:rsidR="00897844" w:rsidRPr="00897844">
        <w:t>th</w:t>
      </w:r>
      <w:r w:rsidR="00897844">
        <w:t xml:space="preserve">) 152, [2014] N.J. No. 68 (QL), </w:t>
      </w:r>
      <w:r w:rsidR="00CA1562">
        <w:t xml:space="preserve">2014 </w:t>
      </w:r>
      <w:proofErr w:type="spellStart"/>
      <w:r w:rsidR="00CA1562">
        <w:t>CarswellNfld</w:t>
      </w:r>
      <w:proofErr w:type="spellEnd"/>
      <w:r w:rsidR="00CA1562">
        <w:t xml:space="preserve"> 78, </w:t>
      </w:r>
      <w:r w:rsidR="008605BA">
        <w:t xml:space="preserve">setting aside the </w:t>
      </w:r>
      <w:proofErr w:type="spellStart"/>
      <w:r w:rsidR="008605BA">
        <w:t>accused</w:t>
      </w:r>
      <w:r w:rsidR="00826637">
        <w:t>’</w:t>
      </w:r>
      <w:r w:rsidR="008605BA">
        <w:t>s</w:t>
      </w:r>
      <w:proofErr w:type="spellEnd"/>
      <w:r w:rsidR="008605BA">
        <w:t xml:space="preserve"> acq</w:t>
      </w:r>
      <w:r w:rsidR="00CA1FDF">
        <w:t>uittal</w:t>
      </w:r>
      <w:r w:rsidR="00B17409">
        <w:t xml:space="preserve"> for trafficking marihuana and possession for the purpose of trafficking</w:t>
      </w:r>
      <w:r w:rsidR="00CA1FDF">
        <w:t xml:space="preserve"> and ordering a new trial.</w:t>
      </w:r>
      <w:r w:rsidR="00CD5D47">
        <w:t xml:space="preserve">  Appeal dismissed</w:t>
      </w:r>
      <w:r w:rsidR="001B5F2D">
        <w:t>.</w:t>
      </w:r>
    </w:p>
    <w:p w:rsidR="00656313" w:rsidRDefault="00656313" w:rsidP="00FC4EFB">
      <w:pPr>
        <w:pStyle w:val="SCCNormalDoubleSpacing"/>
      </w:pPr>
    </w:p>
    <w:p w:rsidR="007755DF" w:rsidRDefault="00B220D2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>Kenneth J. Mahoney</w:t>
      </w:r>
      <w:r>
        <w:rPr>
          <w:rStyle w:val="SCCCounselPartyRoleChar"/>
        </w:rPr>
        <w:t>, for the app</w:t>
      </w:r>
      <w:r w:rsidR="003D7773">
        <w:rPr>
          <w:rStyle w:val="SCCCounselPartyRoleChar"/>
        </w:rPr>
        <w:t>ellant</w:t>
      </w:r>
      <w:r>
        <w:rPr>
          <w:rStyle w:val="SCCCounselPartyRoleChar"/>
        </w:rPr>
        <w:t>.</w:t>
      </w:r>
      <w:proofErr w:type="gramEnd"/>
    </w:p>
    <w:p w:rsidR="007755DF" w:rsidRDefault="007755DF">
      <w:pPr>
        <w:pStyle w:val="SCCNormalDoubleSpacing"/>
      </w:pPr>
    </w:p>
    <w:p w:rsidR="007755DF" w:rsidRDefault="00B220D2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 xml:space="preserve">Mark </w:t>
      </w:r>
      <w:proofErr w:type="spellStart"/>
      <w:r>
        <w:rPr>
          <w:rStyle w:val="SCCCounselNameChar"/>
        </w:rPr>
        <w:t>Covan</w:t>
      </w:r>
      <w:proofErr w:type="spellEnd"/>
      <w:r w:rsidR="00826637">
        <w:rPr>
          <w:rStyle w:val="SCCCounselNameChar"/>
        </w:rPr>
        <w:t xml:space="preserve"> </w:t>
      </w:r>
      <w:r w:rsidR="00826637" w:rsidRPr="00826637">
        <w:rPr>
          <w:rStyle w:val="SCCCounselNameChar"/>
          <w:i w:val="0"/>
        </w:rPr>
        <w:t xml:space="preserve">and </w:t>
      </w:r>
      <w:r w:rsidR="00826637">
        <w:rPr>
          <w:rStyle w:val="SCCCounselNameChar"/>
        </w:rPr>
        <w:t>Andrew O. Brown</w:t>
      </w:r>
      <w:r>
        <w:rPr>
          <w:rStyle w:val="SCCCounselPartyRoleChar"/>
        </w:rPr>
        <w:t>, for the respondent.</w:t>
      </w:r>
      <w:proofErr w:type="gramEnd"/>
    </w:p>
    <w:p w:rsidR="001B5F2D" w:rsidRDefault="001B5F2D" w:rsidP="00FC4EFB">
      <w:pPr>
        <w:pStyle w:val="SCCNormalDoubleSpacing"/>
      </w:pPr>
    </w:p>
    <w:p w:rsidR="00CD5D47" w:rsidRDefault="00CD5D47" w:rsidP="00CD5D47">
      <w:pPr>
        <w:pStyle w:val="SCCNormalDoubleSpacing"/>
      </w:pPr>
      <w:r w:rsidRPr="00CD5D47">
        <w:tab/>
        <w:t>The judgment of the Court was delivered orally by</w:t>
      </w:r>
    </w:p>
    <w:p w:rsidR="00CD5D47" w:rsidRPr="00CD5D47" w:rsidRDefault="00CD5D47" w:rsidP="00CD5D47">
      <w:pPr>
        <w:pStyle w:val="SCCNormalDoubleSpacing"/>
      </w:pPr>
    </w:p>
    <w:p w:rsidR="00CD5D47" w:rsidRPr="00CD5D47" w:rsidRDefault="00CD5D47" w:rsidP="00CD5D47">
      <w:pPr>
        <w:pStyle w:val="SCCNormalDoubleSpacing"/>
      </w:pPr>
      <w:r w:rsidRPr="00CD5D47">
        <w:lastRenderedPageBreak/>
        <w:t>[1]</w:t>
      </w:r>
      <w:r w:rsidRPr="00CD5D47">
        <w:tab/>
      </w:r>
      <w:r w:rsidRPr="00CD5D47">
        <w:rPr>
          <w:smallCaps/>
        </w:rPr>
        <w:t>The Chief Justice</w:t>
      </w:r>
      <w:r w:rsidRPr="00CD5D47">
        <w:t xml:space="preserve"> —</w:t>
      </w:r>
      <w:r w:rsidR="00F64051">
        <w:t xml:space="preserve"> </w:t>
      </w:r>
      <w:r w:rsidRPr="00CD5D47">
        <w:t xml:space="preserve">In spite of the able argument of Mr. Mahoney, we are all of the view to dismiss the appeal for the reasons of </w:t>
      </w:r>
      <w:proofErr w:type="spellStart"/>
      <w:r w:rsidRPr="00CD5D47">
        <w:t>Hoegg</w:t>
      </w:r>
      <w:proofErr w:type="spellEnd"/>
      <w:r w:rsidRPr="00CD5D47">
        <w:t xml:space="preserve"> J.A.</w:t>
      </w:r>
    </w:p>
    <w:p w:rsidR="003D7773" w:rsidRDefault="003D7773" w:rsidP="00FC4EFB">
      <w:pPr>
        <w:pStyle w:val="SCCNormalDoubleSpacing"/>
      </w:pPr>
    </w:p>
    <w:p w:rsidR="001B5F2D" w:rsidRDefault="009B57B3" w:rsidP="001B5F2D">
      <w:pPr>
        <w:pStyle w:val="SCCNormalDoubleSpacing"/>
      </w:pPr>
      <w:r w:rsidRPr="001426A9">
        <w:tab/>
      </w:r>
      <w:proofErr w:type="gramStart"/>
      <w:r w:rsidR="001B5F2D">
        <w:rPr>
          <w:i/>
        </w:rPr>
        <w:t>Judgment accordingly.</w:t>
      </w:r>
      <w:proofErr w:type="gramEnd"/>
    </w:p>
    <w:p w:rsidR="00A149DF" w:rsidRPr="001426A9" w:rsidRDefault="00A149DF" w:rsidP="00FC4EFB">
      <w:pPr>
        <w:pStyle w:val="SCCNormalDoubleSpacing"/>
      </w:pPr>
    </w:p>
    <w:p w:rsidR="007755DF" w:rsidRDefault="00B220D2">
      <w:pPr>
        <w:pStyle w:val="SCCLawFirm"/>
      </w:pPr>
      <w:r>
        <w:tab/>
        <w:t>Solicitor</w:t>
      </w:r>
      <w:r w:rsidR="001B5F2D">
        <w:t>s</w:t>
      </w:r>
      <w:r>
        <w:t xml:space="preserve"> for the app</w:t>
      </w:r>
      <w:r w:rsidR="003D7773">
        <w:t>ellant</w:t>
      </w:r>
      <w:r>
        <w:t xml:space="preserve">:  Bristow </w:t>
      </w:r>
      <w:proofErr w:type="spellStart"/>
      <w:r>
        <w:t>Moyse</w:t>
      </w:r>
      <w:proofErr w:type="spellEnd"/>
      <w:r>
        <w:t>, St. John</w:t>
      </w:r>
      <w:r w:rsidR="00826637">
        <w:t>’</w:t>
      </w:r>
      <w:r>
        <w:t>s.</w:t>
      </w:r>
    </w:p>
    <w:p w:rsidR="007755DF" w:rsidRDefault="007755DF">
      <w:pPr>
        <w:pStyle w:val="SCCLawFirm"/>
      </w:pPr>
    </w:p>
    <w:p w:rsidR="007755DF" w:rsidRDefault="00B220D2">
      <w:pPr>
        <w:pStyle w:val="SCCLawFirm"/>
      </w:pPr>
      <w:r>
        <w:tab/>
        <w:t>Solicitor for the respondent:  Public Prosecution Service of Canada, St. John</w:t>
      </w:r>
      <w:r w:rsidR="00826637">
        <w:t>’</w:t>
      </w:r>
      <w:r>
        <w:t>s.</w:t>
      </w:r>
    </w:p>
    <w:sectPr w:rsidR="007755DF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09" w:rsidRDefault="00B17409">
      <w:r>
        <w:separator/>
      </w:r>
    </w:p>
  </w:endnote>
  <w:endnote w:type="continuationSeparator" w:id="0">
    <w:p w:rsidR="00B17409" w:rsidRDefault="00B1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09" w:rsidRDefault="00B17409">
      <w:r>
        <w:separator/>
      </w:r>
    </w:p>
  </w:footnote>
  <w:footnote w:type="continuationSeparator" w:id="0">
    <w:p w:rsidR="00B17409" w:rsidRDefault="00B1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09" w:rsidRPr="00450352" w:rsidRDefault="00B17409" w:rsidP="00450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90D"/>
    <w:rsid w:val="00000ED4"/>
    <w:rsid w:val="00025198"/>
    <w:rsid w:val="000578A3"/>
    <w:rsid w:val="000648CC"/>
    <w:rsid w:val="000C59B8"/>
    <w:rsid w:val="000C6AF0"/>
    <w:rsid w:val="000D02F7"/>
    <w:rsid w:val="00104F33"/>
    <w:rsid w:val="00111DE2"/>
    <w:rsid w:val="00116B38"/>
    <w:rsid w:val="00135406"/>
    <w:rsid w:val="00135972"/>
    <w:rsid w:val="001413C4"/>
    <w:rsid w:val="001426A9"/>
    <w:rsid w:val="00154D7C"/>
    <w:rsid w:val="0015548E"/>
    <w:rsid w:val="001570B0"/>
    <w:rsid w:val="0015752C"/>
    <w:rsid w:val="00157737"/>
    <w:rsid w:val="00165277"/>
    <w:rsid w:val="00170592"/>
    <w:rsid w:val="00186351"/>
    <w:rsid w:val="00186475"/>
    <w:rsid w:val="00195D83"/>
    <w:rsid w:val="001A00C1"/>
    <w:rsid w:val="001A6D94"/>
    <w:rsid w:val="001B110B"/>
    <w:rsid w:val="001B33E0"/>
    <w:rsid w:val="001B4573"/>
    <w:rsid w:val="001B5F2D"/>
    <w:rsid w:val="001C0038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C5302"/>
    <w:rsid w:val="002D28C3"/>
    <w:rsid w:val="002D39A4"/>
    <w:rsid w:val="002D7ED2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378E6"/>
    <w:rsid w:val="0035169A"/>
    <w:rsid w:val="0035259D"/>
    <w:rsid w:val="00364B18"/>
    <w:rsid w:val="003A1158"/>
    <w:rsid w:val="003A125D"/>
    <w:rsid w:val="003A4C70"/>
    <w:rsid w:val="003B215F"/>
    <w:rsid w:val="003C799C"/>
    <w:rsid w:val="003D0399"/>
    <w:rsid w:val="003D7773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37095"/>
    <w:rsid w:val="00656313"/>
    <w:rsid w:val="006565F4"/>
    <w:rsid w:val="00684EEA"/>
    <w:rsid w:val="0069689B"/>
    <w:rsid w:val="006A1551"/>
    <w:rsid w:val="006B2F38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755DF"/>
    <w:rsid w:val="00794C46"/>
    <w:rsid w:val="007A05F6"/>
    <w:rsid w:val="007B6F4A"/>
    <w:rsid w:val="007B7F7D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26637"/>
    <w:rsid w:val="008322BD"/>
    <w:rsid w:val="00833E0A"/>
    <w:rsid w:val="00834F73"/>
    <w:rsid w:val="00854B24"/>
    <w:rsid w:val="008605BA"/>
    <w:rsid w:val="00864CF8"/>
    <w:rsid w:val="00872819"/>
    <w:rsid w:val="00874914"/>
    <w:rsid w:val="00891422"/>
    <w:rsid w:val="00892E1A"/>
    <w:rsid w:val="00897844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A5372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2D91"/>
    <w:rsid w:val="00AB670D"/>
    <w:rsid w:val="00AC6EC8"/>
    <w:rsid w:val="00AF03C5"/>
    <w:rsid w:val="00B000D8"/>
    <w:rsid w:val="00B00F75"/>
    <w:rsid w:val="00B145B6"/>
    <w:rsid w:val="00B17409"/>
    <w:rsid w:val="00B220D2"/>
    <w:rsid w:val="00B279EB"/>
    <w:rsid w:val="00B4673C"/>
    <w:rsid w:val="00B50C81"/>
    <w:rsid w:val="00B557F8"/>
    <w:rsid w:val="00B815FC"/>
    <w:rsid w:val="00B93FBC"/>
    <w:rsid w:val="00B94D31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1562"/>
    <w:rsid w:val="00CA1FDF"/>
    <w:rsid w:val="00CA6391"/>
    <w:rsid w:val="00CC34BD"/>
    <w:rsid w:val="00CD0A30"/>
    <w:rsid w:val="00CD286F"/>
    <w:rsid w:val="00CD5D47"/>
    <w:rsid w:val="00CE161A"/>
    <w:rsid w:val="00CE3171"/>
    <w:rsid w:val="00CF1601"/>
    <w:rsid w:val="00CF4EF4"/>
    <w:rsid w:val="00D0172F"/>
    <w:rsid w:val="00D068A7"/>
    <w:rsid w:val="00D17476"/>
    <w:rsid w:val="00D32086"/>
    <w:rsid w:val="00D37A3F"/>
    <w:rsid w:val="00D4431D"/>
    <w:rsid w:val="00D4667A"/>
    <w:rsid w:val="00D63A1C"/>
    <w:rsid w:val="00D65DA2"/>
    <w:rsid w:val="00D7516F"/>
    <w:rsid w:val="00D8579F"/>
    <w:rsid w:val="00D95F8E"/>
    <w:rsid w:val="00DA0590"/>
    <w:rsid w:val="00DB2C56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6433"/>
    <w:rsid w:val="00E77932"/>
    <w:rsid w:val="00E97830"/>
    <w:rsid w:val="00EA5D96"/>
    <w:rsid w:val="00EB6851"/>
    <w:rsid w:val="00EC1CCE"/>
    <w:rsid w:val="00EE643C"/>
    <w:rsid w:val="00EF0683"/>
    <w:rsid w:val="00EF69D2"/>
    <w:rsid w:val="00EF766E"/>
    <w:rsid w:val="00F0070C"/>
    <w:rsid w:val="00F00EB7"/>
    <w:rsid w:val="00F32939"/>
    <w:rsid w:val="00F36AB6"/>
    <w:rsid w:val="00F37A09"/>
    <w:rsid w:val="00F409CE"/>
    <w:rsid w:val="00F4379D"/>
    <w:rsid w:val="00F50D2D"/>
    <w:rsid w:val="00F56C8B"/>
    <w:rsid w:val="00F64051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table" w:styleId="TableGrid">
    <w:name w:val="Table Grid"/>
    <w:basedOn w:val="TableNormal"/>
    <w:uiPriority w:val="59"/>
    <w:rsid w:val="000D02F7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0D02F7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D02F7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D02F7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2015-01-08T19:36:00Z</dcterms:created>
  <dcterms:modified xsi:type="dcterms:W3CDTF">2015-03-06T19:14:00Z</dcterms:modified>
</cp:coreProperties>
</file>