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CC" w:rsidRDefault="00FE66CC" w:rsidP="00FE66CC">
      <w:pPr>
        <w:pStyle w:val="Header"/>
        <w:jc w:val="center"/>
      </w:pP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64.5pt" o:ole="">
            <v:imagedata r:id="rId7" o:title=""/>
          </v:shape>
          <o:OLEObject Type="Embed" ProgID="Presentations.Drawing.13" ShapeID="_x0000_i1025" DrawAspect="Content" ObjectID="_1487159344" r:id="rId8"/>
        </w:object>
      </w:r>
    </w:p>
    <w:p w:rsidR="00FE66CC" w:rsidRDefault="00FE66CC" w:rsidP="00FE66CC">
      <w:pPr>
        <w:pStyle w:val="Header"/>
      </w:pPr>
    </w:p>
    <w:p w:rsidR="00FE66CC" w:rsidRPr="006B210C" w:rsidRDefault="00FE66CC" w:rsidP="00FE66CC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FE66CC" w:rsidRDefault="00FE66CC" w:rsidP="00FE66CC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FE66CC" w:rsidRPr="006B210C" w:rsidTr="00407445">
        <w:trPr>
          <w:cantSplit/>
        </w:trPr>
        <w:tc>
          <w:tcPr>
            <w:tcW w:w="6768" w:type="dxa"/>
          </w:tcPr>
          <w:p w:rsidR="00FE66CC" w:rsidRPr="00D84C9C" w:rsidRDefault="00FE66CC" w:rsidP="00407445">
            <w:pPr>
              <w:spacing w:line="480" w:lineRule="auto"/>
              <w:jc w:val="both"/>
            </w:pPr>
            <w:r w:rsidRPr="00D84C9C">
              <w:rPr>
                <w:b/>
                <w:smallCaps/>
              </w:rPr>
              <w:t>Citation:</w:t>
            </w:r>
            <w:r w:rsidRPr="00D84C9C">
              <w:t xml:space="preserve"> R.</w:t>
            </w:r>
            <w:r w:rsidRPr="00D84C9C">
              <w:rPr>
                <w:i/>
              </w:rPr>
              <w:t xml:space="preserve"> v. </w:t>
            </w:r>
            <w:r>
              <w:t>MacLeod</w:t>
            </w:r>
            <w:r w:rsidRPr="00D84C9C">
              <w:t xml:space="preserve">, </w:t>
            </w:r>
            <w:r>
              <w:t>2014 SCC 76</w:t>
            </w:r>
            <w:r w:rsidRPr="00D84C9C">
              <w:t xml:space="preserve">, [2014] 3 S.C.R. </w:t>
            </w:r>
            <w:r>
              <w:t>619</w:t>
            </w:r>
          </w:p>
          <w:p w:rsidR="00FE66CC" w:rsidRPr="00D84C9C" w:rsidRDefault="00FE66CC" w:rsidP="00407445"/>
        </w:tc>
        <w:tc>
          <w:tcPr>
            <w:tcW w:w="2808" w:type="dxa"/>
          </w:tcPr>
          <w:p w:rsidR="00FE66CC" w:rsidRPr="006B210C" w:rsidRDefault="00FE66CC" w:rsidP="00407445">
            <w:r w:rsidRPr="006B210C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20141210</w:t>
            </w:r>
          </w:p>
          <w:p w:rsidR="00FE66CC" w:rsidRPr="006B210C" w:rsidRDefault="00FE66CC" w:rsidP="00407445"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35957</w:t>
            </w:r>
          </w:p>
        </w:tc>
      </w:tr>
    </w:tbl>
    <w:p w:rsidR="00FE66CC" w:rsidRPr="006B210C" w:rsidRDefault="00FE66CC" w:rsidP="00FE66CC"/>
    <w:p w:rsidR="00FE66CC" w:rsidRDefault="00FE66CC" w:rsidP="00FE66CC">
      <w:pPr>
        <w:pStyle w:val="SCCLsocPrefix"/>
      </w:pPr>
      <w:r>
        <w:t>Between:</w:t>
      </w:r>
    </w:p>
    <w:p w:rsidR="00FE66CC" w:rsidRDefault="00FE66CC" w:rsidP="00FE66CC">
      <w:pPr>
        <w:pStyle w:val="SCCLsocParty"/>
        <w:jc w:val="center"/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</w:p>
    <w:p w:rsidR="00FE66CC" w:rsidRPr="00D84C9C" w:rsidRDefault="00FE66CC" w:rsidP="00FE66CC">
      <w:pPr>
        <w:jc w:val="center"/>
        <w:rPr>
          <w:lang w:val="en-US"/>
        </w:rPr>
      </w:pPr>
      <w:r w:rsidRPr="00D84C9C">
        <w:rPr>
          <w:lang w:val="en-US"/>
        </w:rPr>
        <w:t>Appellant</w:t>
      </w:r>
    </w:p>
    <w:p w:rsidR="00FE66CC" w:rsidRPr="00FE66CC" w:rsidRDefault="00FE66CC" w:rsidP="00FE66CC">
      <w:pPr>
        <w:pStyle w:val="SCCLsocVersus"/>
        <w:spacing w:after="0"/>
        <w:jc w:val="center"/>
        <w:rPr>
          <w:i w:val="0"/>
          <w:lang w:val="en-US"/>
        </w:rPr>
      </w:pPr>
      <w:proofErr w:type="gramStart"/>
      <w:r w:rsidRPr="00FE66CC">
        <w:rPr>
          <w:i w:val="0"/>
          <w:lang w:val="en-US"/>
        </w:rPr>
        <w:t>and</w:t>
      </w:r>
      <w:proofErr w:type="gramEnd"/>
    </w:p>
    <w:p w:rsidR="00FE66CC" w:rsidRPr="00945515" w:rsidRDefault="00FE66CC" w:rsidP="00FE66CC">
      <w:pPr>
        <w:pStyle w:val="SCCLsocParty"/>
        <w:jc w:val="center"/>
        <w:rPr>
          <w:lang w:val="en-US"/>
        </w:rPr>
      </w:pPr>
      <w:r>
        <w:t>Clarence Michael MacLeod</w:t>
      </w:r>
    </w:p>
    <w:p w:rsidR="00FE66CC" w:rsidRPr="00945515" w:rsidRDefault="00FE66CC" w:rsidP="00FE66CC">
      <w:pPr>
        <w:jc w:val="center"/>
        <w:rPr>
          <w:lang w:val="en-US"/>
        </w:rPr>
      </w:pPr>
      <w:r w:rsidRPr="00945515">
        <w:rPr>
          <w:lang w:val="en-US"/>
        </w:rPr>
        <w:t>Respondent</w:t>
      </w:r>
    </w:p>
    <w:p w:rsidR="00FE66CC" w:rsidRPr="00945515" w:rsidRDefault="00FE66CC" w:rsidP="00FE66CC">
      <w:pPr>
        <w:rPr>
          <w:lang w:val="en-US"/>
        </w:rPr>
      </w:pPr>
    </w:p>
    <w:p w:rsidR="00FE66CC" w:rsidRDefault="00FE66CC" w:rsidP="00FE66CC">
      <w:pPr>
        <w:jc w:val="both"/>
      </w:pPr>
      <w:r w:rsidRPr="006B210C">
        <w:rPr>
          <w:b/>
          <w:smallCaps/>
        </w:rPr>
        <w:t>Coram</w:t>
      </w:r>
      <w:r>
        <w:rPr>
          <w:b/>
          <w:smallCaps/>
        </w:rPr>
        <w:t>:</w:t>
      </w:r>
      <w:r w:rsidRPr="006B210C">
        <w:t xml:space="preserve"> </w:t>
      </w:r>
      <w:r>
        <w:t xml:space="preserve"> </w:t>
      </w:r>
      <w:proofErr w:type="spellStart"/>
      <w:r>
        <w:t>Abella</w:t>
      </w:r>
      <w:proofErr w:type="spellEnd"/>
      <w:r>
        <w:t xml:space="preserve">, Cromwell, </w:t>
      </w:r>
      <w:proofErr w:type="spellStart"/>
      <w:r>
        <w:t>Moldaver</w:t>
      </w:r>
      <w:proofErr w:type="spellEnd"/>
      <w:r>
        <w:t xml:space="preserve">, Wagner and </w:t>
      </w:r>
      <w:proofErr w:type="spellStart"/>
      <w:r>
        <w:t>Gascon</w:t>
      </w:r>
      <w:proofErr w:type="spellEnd"/>
      <w:r>
        <w:t> JJ.</w:t>
      </w:r>
    </w:p>
    <w:p w:rsidR="00FE66CC" w:rsidRDefault="00FE66CC" w:rsidP="00FE66CC">
      <w:pPr>
        <w:jc w:val="both"/>
      </w:pPr>
    </w:p>
    <w:p w:rsidR="00FE66CC" w:rsidRPr="006B210C" w:rsidRDefault="00FE66CC" w:rsidP="00FE66C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FE66CC" w:rsidRPr="006B210C" w:rsidTr="00407445">
        <w:trPr>
          <w:cantSplit/>
        </w:trPr>
        <w:tc>
          <w:tcPr>
            <w:tcW w:w="3618" w:type="dxa"/>
          </w:tcPr>
          <w:p w:rsidR="00FE66CC" w:rsidRDefault="00FE66CC" w:rsidP="00407445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>Reasons for Judgment</w:t>
            </w:r>
            <w:r>
              <w:rPr>
                <w:b/>
                <w:smallCaps/>
              </w:rPr>
              <w:t>:</w:t>
            </w:r>
          </w:p>
          <w:p w:rsidR="00FE66CC" w:rsidRPr="006B210C" w:rsidRDefault="00FE66CC" w:rsidP="00407445">
            <w:r>
              <w:t>(</w:t>
            </w:r>
            <w:proofErr w:type="spellStart"/>
            <w:r>
              <w:t>para</w:t>
            </w:r>
            <w:proofErr w:type="spellEnd"/>
            <w:r>
              <w:t>. 1)</w:t>
            </w:r>
          </w:p>
        </w:tc>
        <w:tc>
          <w:tcPr>
            <w:tcW w:w="5958" w:type="dxa"/>
          </w:tcPr>
          <w:p w:rsidR="00FE66CC" w:rsidRPr="006B210C" w:rsidRDefault="00FE66CC" w:rsidP="005B6089">
            <w:pPr>
              <w:jc w:val="both"/>
            </w:pPr>
            <w:r>
              <w:t>Cromwell J. (</w:t>
            </w:r>
            <w:proofErr w:type="spellStart"/>
            <w:r>
              <w:t>Abella</w:t>
            </w:r>
            <w:proofErr w:type="spellEnd"/>
            <w:r>
              <w:t xml:space="preserve">, </w:t>
            </w:r>
            <w:proofErr w:type="spellStart"/>
            <w:r>
              <w:t>Moldaver</w:t>
            </w:r>
            <w:proofErr w:type="spellEnd"/>
            <w:r>
              <w:t xml:space="preserve">, Wagner and </w:t>
            </w:r>
            <w:proofErr w:type="spellStart"/>
            <w:r>
              <w:t>Gascon</w:t>
            </w:r>
            <w:proofErr w:type="spellEnd"/>
            <w:r>
              <w:t xml:space="preserve"> JJ. concurring) </w:t>
            </w:r>
          </w:p>
        </w:tc>
      </w:tr>
    </w:tbl>
    <w:p w:rsidR="00FE66CC" w:rsidRDefault="00FE66CC" w:rsidP="00FE66CC"/>
    <w:p w:rsidR="00FE66CC" w:rsidRPr="006B210C" w:rsidRDefault="00FE66CC" w:rsidP="00FE66CC">
      <w:r w:rsidRPr="003F2AC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60288" o:connectortype="straight"/>
        </w:pict>
      </w:r>
    </w:p>
    <w:p w:rsidR="00FE66CC" w:rsidRDefault="00FE66CC" w:rsidP="00FE66CC"/>
    <w:p w:rsidR="00FE66CC" w:rsidRDefault="00FE66CC" w:rsidP="0035169A">
      <w:pPr>
        <w:spacing w:line="480" w:lineRule="auto"/>
        <w:jc w:val="both"/>
        <w:rPr>
          <w:rStyle w:val="SCCAppellantForRunningHeadChar"/>
        </w:rPr>
      </w:pPr>
    </w:p>
    <w:p w:rsidR="008322BD" w:rsidRPr="001426A9" w:rsidRDefault="008F78E9" w:rsidP="0035169A">
      <w:pPr>
        <w:spacing w:line="480" w:lineRule="auto"/>
        <w:jc w:val="both"/>
      </w:pPr>
      <w:r>
        <w:rPr>
          <w:rStyle w:val="SCCAppellantForRunningHeadChar"/>
        </w:rPr>
        <w:t>R.</w:t>
      </w:r>
      <w:r w:rsidR="00480C90" w:rsidRPr="001426A9">
        <w:t xml:space="preserve"> </w:t>
      </w:r>
      <w:r w:rsidR="009B57B3" w:rsidRPr="00C62A66">
        <w:rPr>
          <w:i/>
        </w:rPr>
        <w:t>v.</w:t>
      </w:r>
      <w:r w:rsidR="00B000D8" w:rsidRPr="001426A9">
        <w:t xml:space="preserve"> </w:t>
      </w:r>
      <w:proofErr w:type="spellStart"/>
      <w:r w:rsidR="00F916D4">
        <w:rPr>
          <w:rStyle w:val="SCCRespondentForRunningHeadChar"/>
        </w:rPr>
        <w:t>MacL</w:t>
      </w:r>
      <w:r w:rsidR="009C7BDD">
        <w:rPr>
          <w:rStyle w:val="SCCRespondentForRunningHeadChar"/>
          <w:smallCaps w:val="0"/>
        </w:rPr>
        <w:t>EOD</w:t>
      </w:r>
      <w:proofErr w:type="spellEnd"/>
      <w:r w:rsidR="004B0349">
        <w:rPr>
          <w:rStyle w:val="SCCRespondentForRunningHeadChar"/>
          <w:smallCaps w:val="0"/>
        </w:rPr>
        <w:t xml:space="preserve">, </w:t>
      </w:r>
      <w:r w:rsidR="004B0349">
        <w:t>2014 SCC 76, [2014] 3 S.C.R. 619</w:t>
      </w:r>
    </w:p>
    <w:p w:rsidR="00766D14" w:rsidRDefault="00766D14" w:rsidP="00FC4EFB">
      <w:pPr>
        <w:jc w:val="both"/>
      </w:pPr>
    </w:p>
    <w:p w:rsidR="00161487" w:rsidRDefault="00FF7950">
      <w:pPr>
        <w:pStyle w:val="SCCLsocLastPartyInRole"/>
      </w:pPr>
      <w:r>
        <w:t xml:space="preserve">Her Majesty </w:t>
      </w:r>
      <w:proofErr w:type="gramStart"/>
      <w:r>
        <w:t>T</w:t>
      </w:r>
      <w:r w:rsidR="003020CE">
        <w:t>he</w:t>
      </w:r>
      <w:proofErr w:type="gramEnd"/>
      <w:r w:rsidR="003020CE">
        <w:t xml:space="preserve"> Queen</w:t>
      </w:r>
      <w:r w:rsidR="003020CE">
        <w:rPr>
          <w:rStyle w:val="SCCLsocPartyRole"/>
        </w:rPr>
        <w:tab/>
        <w:t>Appellant</w:t>
      </w:r>
    </w:p>
    <w:p w:rsidR="00161487" w:rsidRDefault="003020CE">
      <w:pPr>
        <w:pStyle w:val="SCCLsocVersus"/>
      </w:pPr>
      <w:r>
        <w:t>v.</w:t>
      </w:r>
    </w:p>
    <w:p w:rsidR="00161487" w:rsidRDefault="003020CE">
      <w:pPr>
        <w:pStyle w:val="SCCLsocLastPartyInRole"/>
      </w:pPr>
      <w:r>
        <w:t>Clarence Michael MacLeod</w:t>
      </w:r>
      <w:r>
        <w:rPr>
          <w:rStyle w:val="SCCLsocPartyRole"/>
        </w:rPr>
        <w:tab/>
        <w:t>Respondent</w:t>
      </w:r>
    </w:p>
    <w:p w:rsidR="00426659" w:rsidRPr="00426659" w:rsidRDefault="00426659" w:rsidP="00FC4EFB">
      <w:pPr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>
        <w:rPr>
          <w:rStyle w:val="SCCAppellantForIndexChar"/>
        </w:rPr>
        <w:t>R.</w:t>
      </w:r>
      <w:r w:rsidRPr="00426659">
        <w:rPr>
          <w:b/>
        </w:rPr>
        <w:t xml:space="preserve"> </w:t>
      </w:r>
      <w:r w:rsidRPr="00426659">
        <w:rPr>
          <w:b/>
          <w:i/>
        </w:rPr>
        <w:t>v.</w:t>
      </w:r>
      <w:r w:rsidRPr="00426659">
        <w:rPr>
          <w:b/>
        </w:rPr>
        <w:t xml:space="preserve"> </w:t>
      </w:r>
      <w:r>
        <w:rPr>
          <w:rStyle w:val="SCCRespondentForIndexChar"/>
        </w:rPr>
        <w:t>MacLeod</w:t>
      </w:r>
    </w:p>
    <w:p w:rsidR="00A149DF" w:rsidRDefault="00A149DF" w:rsidP="00FC4EFB">
      <w:pPr>
        <w:jc w:val="both"/>
      </w:pPr>
    </w:p>
    <w:p w:rsidR="00426659" w:rsidRPr="00C02092" w:rsidRDefault="004F36FF" w:rsidP="00FC4EFB">
      <w:pPr>
        <w:pStyle w:val="SCCSystemYear"/>
        <w:jc w:val="both"/>
      </w:pPr>
      <w:r>
        <w:t>2014</w:t>
      </w:r>
      <w:r w:rsidR="003D0399">
        <w:t xml:space="preserve"> </w:t>
      </w:r>
      <w:r w:rsidR="00E70FBF">
        <w:t xml:space="preserve">SCC </w:t>
      </w:r>
      <w:r w:rsidR="00F916D4">
        <w:t>76</w:t>
      </w:r>
    </w:p>
    <w:p w:rsidR="00A149DF" w:rsidRDefault="00A149DF" w:rsidP="00FC4EFB">
      <w:pPr>
        <w:jc w:val="both"/>
      </w:pPr>
    </w:p>
    <w:p w:rsidR="008322BD" w:rsidRDefault="00B90496" w:rsidP="00FC4EFB">
      <w:pPr>
        <w:jc w:val="both"/>
      </w:pPr>
      <w:r>
        <w:t xml:space="preserve">File No.: </w:t>
      </w:r>
      <w:r w:rsidR="009B57B3">
        <w:t>35957</w:t>
      </w:r>
      <w:r w:rsidR="009B57B3" w:rsidRPr="001426A9">
        <w:t>.</w:t>
      </w:r>
    </w:p>
    <w:p w:rsidR="00A149DF" w:rsidRDefault="00A149DF" w:rsidP="00FC4EFB">
      <w:pPr>
        <w:jc w:val="both"/>
      </w:pPr>
    </w:p>
    <w:p w:rsidR="008322BD" w:rsidRDefault="00E70FBF" w:rsidP="00FC4EFB">
      <w:pPr>
        <w:jc w:val="both"/>
      </w:pPr>
      <w:r>
        <w:lastRenderedPageBreak/>
        <w:t>2</w:t>
      </w:r>
      <w:r w:rsidR="00B90496">
        <w:t>014:</w:t>
      </w:r>
      <w:r w:rsidR="004F36FF">
        <w:t xml:space="preserve"> December 10</w:t>
      </w:r>
      <w:r w:rsidR="00F916D4">
        <w:t>.</w:t>
      </w:r>
    </w:p>
    <w:p w:rsidR="00A149DF" w:rsidRDefault="00A149DF" w:rsidP="00FC4EFB">
      <w:pPr>
        <w:jc w:val="both"/>
      </w:pPr>
    </w:p>
    <w:p w:rsidR="008322BD" w:rsidRDefault="009B57B3" w:rsidP="00FC4EFB">
      <w:pPr>
        <w:jc w:val="both"/>
      </w:pPr>
      <w:r w:rsidRPr="001426A9">
        <w:t xml:space="preserve">Present:  </w:t>
      </w:r>
      <w:r>
        <w:t>Abella, Cromwell, Moldaver, Wagner and Gascon JJ.</w:t>
      </w:r>
    </w:p>
    <w:p w:rsidR="00161487" w:rsidRDefault="00161487"/>
    <w:p w:rsidR="00C970D5" w:rsidRDefault="00656313" w:rsidP="00C970D5">
      <w:pPr>
        <w:pStyle w:val="SCCLowerCourtNameLowercase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</w:t>
      </w:r>
      <w:r w:rsidR="00F916D4">
        <w:t xml:space="preserve">the </w:t>
      </w:r>
      <w:r w:rsidR="009B57B3">
        <w:t>court of appeal</w:t>
      </w:r>
      <w:r w:rsidR="00F916D4">
        <w:t xml:space="preserve"> for nova </w:t>
      </w:r>
      <w:proofErr w:type="spellStart"/>
      <w:r w:rsidR="00F916D4">
        <w:t>scotia</w:t>
      </w:r>
      <w:proofErr w:type="spellEnd"/>
    </w:p>
    <w:p w:rsidR="00C970D5" w:rsidRPr="00C970D5" w:rsidRDefault="00C970D5" w:rsidP="00C970D5">
      <w:pPr>
        <w:pStyle w:val="SCCNormalDoubleSpacing"/>
      </w:pPr>
    </w:p>
    <w:p w:rsidR="00E70FBF" w:rsidRDefault="00C970D5" w:rsidP="00FC4EFB">
      <w:pPr>
        <w:pStyle w:val="SCCNormalDoubleSpacing"/>
        <w:rPr>
          <w:i/>
        </w:rPr>
      </w:pPr>
      <w:r>
        <w:tab/>
      </w:r>
      <w:r>
        <w:rPr>
          <w:i/>
        </w:rPr>
        <w:t xml:space="preserve">Criminal law — Second degree murder — Charge to jury — Lesser verdict of manslaughter — Air of reality — </w:t>
      </w:r>
      <w:r w:rsidR="00654B7C">
        <w:rPr>
          <w:i/>
        </w:rPr>
        <w:t xml:space="preserve">Defence counsel arguing at trial that alternate verdict of manslaughter incompatible with main defence — </w:t>
      </w:r>
      <w:r w:rsidR="009E7915">
        <w:rPr>
          <w:i/>
        </w:rPr>
        <w:t xml:space="preserve">Trial judge erred in failing to charge jury on manslaughter. </w:t>
      </w:r>
    </w:p>
    <w:p w:rsidR="00C970D5" w:rsidRDefault="00C970D5" w:rsidP="00FC4EFB">
      <w:pPr>
        <w:pStyle w:val="SCCNormalDoubleSpacing"/>
      </w:pPr>
    </w:p>
    <w:p w:rsidR="00656313" w:rsidRDefault="00F916D4" w:rsidP="00FC4EFB">
      <w:pPr>
        <w:pStyle w:val="SCCNormalDoubleSpacing"/>
      </w:pPr>
      <w:r>
        <w:tab/>
      </w:r>
      <w:r w:rsidR="009B57B3" w:rsidRPr="001426A9">
        <w:t xml:space="preserve">APPEAL from a judgment of the </w:t>
      </w:r>
      <w:r w:rsidR="009B57B3">
        <w:t>Nova Scotia Court of Appeal</w:t>
      </w:r>
      <w:r w:rsidR="00AF19D2">
        <w:t xml:space="preserve"> (Saunders, </w:t>
      </w:r>
      <w:proofErr w:type="spellStart"/>
      <w:r w:rsidR="00AF19D2">
        <w:t>Beveridge</w:t>
      </w:r>
      <w:proofErr w:type="spellEnd"/>
      <w:r w:rsidR="00AF19D2">
        <w:t xml:space="preserve"> and Farrar JJ.A.), </w:t>
      </w:r>
      <w:r w:rsidR="003D4240">
        <w:t>2014 NSCA 63, 346 N.S.R. (2d) 222,</w:t>
      </w:r>
      <w:r w:rsidR="00FF7950">
        <w:t xml:space="preserve"> 311 C.C.C. (3d) 300,</w:t>
      </w:r>
      <w:r w:rsidR="003D4240">
        <w:t xml:space="preserve"> [2014] N.S.J. No. 294 (QL), 2014 </w:t>
      </w:r>
      <w:proofErr w:type="spellStart"/>
      <w:r w:rsidR="003D4240">
        <w:t>CarswellNS</w:t>
      </w:r>
      <w:proofErr w:type="spellEnd"/>
      <w:r w:rsidR="003D4240">
        <w:t xml:space="preserve"> 425, </w:t>
      </w:r>
      <w:r w:rsidR="00277A99" w:rsidRPr="00277A99">
        <w:t xml:space="preserve">setting aside the </w:t>
      </w:r>
      <w:proofErr w:type="spellStart"/>
      <w:r w:rsidR="006518D4">
        <w:t>accused’s</w:t>
      </w:r>
      <w:proofErr w:type="spellEnd"/>
      <w:r w:rsidR="006518D4">
        <w:t xml:space="preserve"> </w:t>
      </w:r>
      <w:r w:rsidR="00277A99">
        <w:t>conviction</w:t>
      </w:r>
      <w:r w:rsidR="006518D4">
        <w:t xml:space="preserve"> for second degree murder</w:t>
      </w:r>
      <w:r w:rsidR="00277A99">
        <w:t xml:space="preserve"> </w:t>
      </w:r>
      <w:r w:rsidR="00277A99" w:rsidRPr="00277A99">
        <w:t xml:space="preserve">and ordering a new trial.  </w:t>
      </w:r>
      <w:r w:rsidR="00277A99">
        <w:t xml:space="preserve">Appeal </w:t>
      </w:r>
      <w:r w:rsidR="003D4240">
        <w:t>dismissed.</w:t>
      </w:r>
    </w:p>
    <w:p w:rsidR="00656313" w:rsidRDefault="00656313" w:rsidP="00FC4EFB">
      <w:pPr>
        <w:pStyle w:val="SCCNormalDoubleSpacing"/>
      </w:pPr>
    </w:p>
    <w:p w:rsidR="00161487" w:rsidRDefault="003020CE">
      <w:pPr>
        <w:pStyle w:val="SCCNormalDoubleSpacing"/>
      </w:pPr>
      <w:r>
        <w:rPr>
          <w:rStyle w:val="SCCCounselNameChar"/>
        </w:rPr>
        <w:tab/>
        <w:t>Mark A. Scott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Marian Fortune-Stone</w:t>
      </w:r>
      <w:r w:rsidRPr="003020CE">
        <w:rPr>
          <w:rStyle w:val="SCCCounselNameChar"/>
          <w:i w:val="0"/>
        </w:rPr>
        <w:t>,</w:t>
      </w:r>
      <w:r>
        <w:rPr>
          <w:rStyle w:val="SCCCounselNameChar"/>
        </w:rPr>
        <w:t xml:space="preserve"> Q.C.</w:t>
      </w:r>
      <w:r>
        <w:rPr>
          <w:rStyle w:val="SCCCounselPartyRoleChar"/>
        </w:rPr>
        <w:t>, for the appellant.</w:t>
      </w:r>
    </w:p>
    <w:p w:rsidR="00161487" w:rsidRDefault="00161487">
      <w:pPr>
        <w:pStyle w:val="SCCNormalDoubleSpacing"/>
      </w:pPr>
    </w:p>
    <w:p w:rsidR="00161487" w:rsidRDefault="003020CE">
      <w:pPr>
        <w:pStyle w:val="SCCNormalDoubleSpacing"/>
      </w:pPr>
      <w:r>
        <w:rPr>
          <w:rStyle w:val="SCCCounselNameChar"/>
        </w:rPr>
        <w:tab/>
        <w:t>Roger A. Burrill</w:t>
      </w:r>
      <w:r>
        <w:rPr>
          <w:rStyle w:val="SCCCounselPartyRoleChar"/>
        </w:rPr>
        <w:t>, for the respondent.</w:t>
      </w:r>
    </w:p>
    <w:p w:rsidR="00704D9F" w:rsidRDefault="00704D9F" w:rsidP="00704D9F">
      <w:pPr>
        <w:pStyle w:val="SCCNormalDoubleSpacing"/>
      </w:pPr>
    </w:p>
    <w:p w:rsidR="00704D9F" w:rsidRDefault="00704D9F" w:rsidP="00704D9F">
      <w:pPr>
        <w:pStyle w:val="SCCNormalDoubleSpacing"/>
      </w:pPr>
      <w:r w:rsidRPr="00CD5D47">
        <w:tab/>
        <w:t>The judgment of the Court was delivered orally by</w:t>
      </w:r>
    </w:p>
    <w:p w:rsidR="003020CE" w:rsidRPr="009E332C" w:rsidRDefault="003020CE" w:rsidP="00704D9F">
      <w:pPr>
        <w:pStyle w:val="ParaNoNdepar-AltN"/>
      </w:pPr>
      <w:r w:rsidRPr="00704D9F">
        <w:rPr>
          <w:smallCaps/>
          <w:lang w:val="en-US"/>
        </w:rPr>
        <w:t>Cromwell J.</w:t>
      </w:r>
      <w:r w:rsidRPr="00704D9F">
        <w:rPr>
          <w:lang w:val="en-US"/>
        </w:rPr>
        <w:t xml:space="preserve"> ― </w:t>
      </w:r>
      <w:proofErr w:type="gramStart"/>
      <w:r w:rsidRPr="00C970D5">
        <w:rPr>
          <w:lang w:val="en-CA"/>
        </w:rPr>
        <w:t>In</w:t>
      </w:r>
      <w:proofErr w:type="gramEnd"/>
      <w:r w:rsidRPr="00C970D5">
        <w:rPr>
          <w:lang w:val="en-CA"/>
        </w:rPr>
        <w:t xml:space="preserve"> our view, it was an error of law in this case not to leave manslaughter with the jury notwithstanding the position of the defence at trial.  </w:t>
      </w:r>
      <w:r w:rsidRPr="00704D9F">
        <w:t xml:space="preserve">The </w:t>
      </w:r>
      <w:proofErr w:type="spellStart"/>
      <w:r w:rsidRPr="00704D9F">
        <w:t>appeal</w:t>
      </w:r>
      <w:proofErr w:type="spellEnd"/>
      <w:r w:rsidRPr="00704D9F">
        <w:t xml:space="preserve"> </w:t>
      </w:r>
      <w:proofErr w:type="spellStart"/>
      <w:r w:rsidRPr="00704D9F">
        <w:t>is</w:t>
      </w:r>
      <w:proofErr w:type="spellEnd"/>
      <w:r w:rsidRPr="00704D9F">
        <w:t xml:space="preserve"> </w:t>
      </w:r>
      <w:proofErr w:type="spellStart"/>
      <w:r w:rsidRPr="00704D9F">
        <w:t>dismissed</w:t>
      </w:r>
      <w:proofErr w:type="spellEnd"/>
      <w:r w:rsidRPr="00704D9F">
        <w:t>.</w:t>
      </w:r>
    </w:p>
    <w:p w:rsidR="003020CE" w:rsidRDefault="003020CE" w:rsidP="003020CE">
      <w:pPr>
        <w:pStyle w:val="SCCLawFirm"/>
      </w:pPr>
      <w:r>
        <w:lastRenderedPageBreak/>
        <w:tab/>
      </w:r>
      <w:proofErr w:type="gramStart"/>
      <w:r>
        <w:t>Judgment accordingly.</w:t>
      </w:r>
      <w:proofErr w:type="gramEnd"/>
    </w:p>
    <w:p w:rsidR="003020CE" w:rsidRPr="003020CE" w:rsidRDefault="003020CE" w:rsidP="003020CE">
      <w:pPr>
        <w:pStyle w:val="SCCNormalDoubleSpacing"/>
      </w:pPr>
    </w:p>
    <w:p w:rsidR="00161487" w:rsidRDefault="003020CE">
      <w:pPr>
        <w:pStyle w:val="SCCLawFirm"/>
      </w:pPr>
      <w:r>
        <w:tab/>
        <w:t>Solicitor for the appellant:  Public Prosecution Service of Nova Scotia, Halifax.</w:t>
      </w:r>
    </w:p>
    <w:p w:rsidR="00161487" w:rsidRDefault="00161487">
      <w:pPr>
        <w:pStyle w:val="SCCLawFirm"/>
      </w:pPr>
    </w:p>
    <w:p w:rsidR="00161487" w:rsidRDefault="003020CE">
      <w:pPr>
        <w:pStyle w:val="SCCLawFirm"/>
      </w:pPr>
      <w:r>
        <w:tab/>
      </w:r>
      <w:proofErr w:type="gramStart"/>
      <w:r>
        <w:t>Solicitor  for</w:t>
      </w:r>
      <w:proofErr w:type="gramEnd"/>
      <w:r>
        <w:t xml:space="preserve"> the respondent:  Nova Scotia Legal Aid, Halifax.</w:t>
      </w:r>
    </w:p>
    <w:p w:rsidR="00161487" w:rsidRDefault="00161487">
      <w:pPr>
        <w:pStyle w:val="SCCLawFirm"/>
      </w:pPr>
    </w:p>
    <w:sectPr w:rsidR="00161487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B7C" w:rsidRDefault="00654B7C">
      <w:r>
        <w:separator/>
      </w:r>
    </w:p>
  </w:endnote>
  <w:endnote w:type="continuationSeparator" w:id="0">
    <w:p w:rsidR="00654B7C" w:rsidRDefault="0065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B7C" w:rsidRDefault="00654B7C">
      <w:r>
        <w:separator/>
      </w:r>
    </w:p>
  </w:footnote>
  <w:footnote w:type="continuationSeparator" w:id="0">
    <w:p w:rsidR="00654B7C" w:rsidRDefault="00654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EE8"/>
    <w:multiLevelType w:val="multilevel"/>
    <w:tmpl w:val="85FA64BA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00ED4"/>
    <w:rsid w:val="00025198"/>
    <w:rsid w:val="000578A3"/>
    <w:rsid w:val="000648CC"/>
    <w:rsid w:val="000C59B8"/>
    <w:rsid w:val="000C6AF0"/>
    <w:rsid w:val="000D5248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1487"/>
    <w:rsid w:val="00165277"/>
    <w:rsid w:val="00170592"/>
    <w:rsid w:val="00186351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0C03"/>
    <w:rsid w:val="00231F3A"/>
    <w:rsid w:val="00234199"/>
    <w:rsid w:val="002406EE"/>
    <w:rsid w:val="00243EC8"/>
    <w:rsid w:val="00252CB4"/>
    <w:rsid w:val="00270D93"/>
    <w:rsid w:val="002745CC"/>
    <w:rsid w:val="00277A99"/>
    <w:rsid w:val="002B7924"/>
    <w:rsid w:val="002D28C3"/>
    <w:rsid w:val="002D39A4"/>
    <w:rsid w:val="002E6705"/>
    <w:rsid w:val="00301D08"/>
    <w:rsid w:val="003020CE"/>
    <w:rsid w:val="0030329A"/>
    <w:rsid w:val="0031086F"/>
    <w:rsid w:val="0031414C"/>
    <w:rsid w:val="00314E01"/>
    <w:rsid w:val="0032089D"/>
    <w:rsid w:val="003310DE"/>
    <w:rsid w:val="003323B0"/>
    <w:rsid w:val="0035169A"/>
    <w:rsid w:val="0035259D"/>
    <w:rsid w:val="00364B18"/>
    <w:rsid w:val="003A125D"/>
    <w:rsid w:val="003A4C70"/>
    <w:rsid w:val="003B215F"/>
    <w:rsid w:val="003C799C"/>
    <w:rsid w:val="003D0399"/>
    <w:rsid w:val="003D4240"/>
    <w:rsid w:val="003E1C71"/>
    <w:rsid w:val="003F327B"/>
    <w:rsid w:val="00406166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80C90"/>
    <w:rsid w:val="0048396F"/>
    <w:rsid w:val="00493C18"/>
    <w:rsid w:val="004A600C"/>
    <w:rsid w:val="004A6118"/>
    <w:rsid w:val="004B0349"/>
    <w:rsid w:val="004C478D"/>
    <w:rsid w:val="004E2C26"/>
    <w:rsid w:val="004F36FF"/>
    <w:rsid w:val="005125A8"/>
    <w:rsid w:val="00521AE8"/>
    <w:rsid w:val="00527180"/>
    <w:rsid w:val="00531B5E"/>
    <w:rsid w:val="0054201E"/>
    <w:rsid w:val="00555291"/>
    <w:rsid w:val="00566AD1"/>
    <w:rsid w:val="00583EDE"/>
    <w:rsid w:val="005A6079"/>
    <w:rsid w:val="005B6089"/>
    <w:rsid w:val="005E4698"/>
    <w:rsid w:val="00610539"/>
    <w:rsid w:val="00613969"/>
    <w:rsid w:val="00625C35"/>
    <w:rsid w:val="006518D4"/>
    <w:rsid w:val="00654B7C"/>
    <w:rsid w:val="00656313"/>
    <w:rsid w:val="006565F4"/>
    <w:rsid w:val="00684EEA"/>
    <w:rsid w:val="0069689B"/>
    <w:rsid w:val="006A1551"/>
    <w:rsid w:val="006B5FF5"/>
    <w:rsid w:val="006F30AF"/>
    <w:rsid w:val="00701759"/>
    <w:rsid w:val="00704D9F"/>
    <w:rsid w:val="00705C15"/>
    <w:rsid w:val="0071600E"/>
    <w:rsid w:val="007208D1"/>
    <w:rsid w:val="00747288"/>
    <w:rsid w:val="00747DD3"/>
    <w:rsid w:val="007549C8"/>
    <w:rsid w:val="00754A0B"/>
    <w:rsid w:val="00766D14"/>
    <w:rsid w:val="00767A0F"/>
    <w:rsid w:val="007A05F6"/>
    <w:rsid w:val="007A34AC"/>
    <w:rsid w:val="007B6F4A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322BD"/>
    <w:rsid w:val="00833E0A"/>
    <w:rsid w:val="00834F73"/>
    <w:rsid w:val="00864CF8"/>
    <w:rsid w:val="00872819"/>
    <w:rsid w:val="00874914"/>
    <w:rsid w:val="00891422"/>
    <w:rsid w:val="00892E1A"/>
    <w:rsid w:val="008A3F29"/>
    <w:rsid w:val="008B660A"/>
    <w:rsid w:val="008C01DA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835A5"/>
    <w:rsid w:val="009A343A"/>
    <w:rsid w:val="009B2F23"/>
    <w:rsid w:val="009B57B3"/>
    <w:rsid w:val="009C5B92"/>
    <w:rsid w:val="009C7BDD"/>
    <w:rsid w:val="009D2920"/>
    <w:rsid w:val="009D5AEB"/>
    <w:rsid w:val="009E7915"/>
    <w:rsid w:val="009F0E33"/>
    <w:rsid w:val="00A030CE"/>
    <w:rsid w:val="00A149DF"/>
    <w:rsid w:val="00A1755C"/>
    <w:rsid w:val="00A21B90"/>
    <w:rsid w:val="00A41805"/>
    <w:rsid w:val="00A42DCD"/>
    <w:rsid w:val="00A50C89"/>
    <w:rsid w:val="00A52AFB"/>
    <w:rsid w:val="00A548CB"/>
    <w:rsid w:val="00A5521C"/>
    <w:rsid w:val="00A643E7"/>
    <w:rsid w:val="00A73C38"/>
    <w:rsid w:val="00AB670D"/>
    <w:rsid w:val="00AF03C5"/>
    <w:rsid w:val="00AF19D2"/>
    <w:rsid w:val="00B000D8"/>
    <w:rsid w:val="00B00F75"/>
    <w:rsid w:val="00B145B6"/>
    <w:rsid w:val="00B279EB"/>
    <w:rsid w:val="00B50C81"/>
    <w:rsid w:val="00B557F8"/>
    <w:rsid w:val="00B815FC"/>
    <w:rsid w:val="00B90496"/>
    <w:rsid w:val="00B93FBC"/>
    <w:rsid w:val="00BA7DA0"/>
    <w:rsid w:val="00BB0F07"/>
    <w:rsid w:val="00BB2EE4"/>
    <w:rsid w:val="00BC2108"/>
    <w:rsid w:val="00BD0E9E"/>
    <w:rsid w:val="00BD1BEC"/>
    <w:rsid w:val="00BD32FF"/>
    <w:rsid w:val="00BE330C"/>
    <w:rsid w:val="00C02092"/>
    <w:rsid w:val="00C24D91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970D5"/>
    <w:rsid w:val="00CA6391"/>
    <w:rsid w:val="00CC34BD"/>
    <w:rsid w:val="00CE161A"/>
    <w:rsid w:val="00CE3171"/>
    <w:rsid w:val="00CF1601"/>
    <w:rsid w:val="00D0172F"/>
    <w:rsid w:val="00D068A7"/>
    <w:rsid w:val="00D17476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B7BEA"/>
    <w:rsid w:val="00DC1739"/>
    <w:rsid w:val="00DC1788"/>
    <w:rsid w:val="00DE319C"/>
    <w:rsid w:val="00DF0CA8"/>
    <w:rsid w:val="00DF2B48"/>
    <w:rsid w:val="00DF49A7"/>
    <w:rsid w:val="00DF7238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62019"/>
    <w:rsid w:val="00E70FBF"/>
    <w:rsid w:val="00E77932"/>
    <w:rsid w:val="00E97830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D2D"/>
    <w:rsid w:val="00F56C8B"/>
    <w:rsid w:val="00F66810"/>
    <w:rsid w:val="00F846D9"/>
    <w:rsid w:val="00F84DF4"/>
    <w:rsid w:val="00F85C97"/>
    <w:rsid w:val="00F916D4"/>
    <w:rsid w:val="00FB37D2"/>
    <w:rsid w:val="00FC4EFB"/>
    <w:rsid w:val="00FD068D"/>
    <w:rsid w:val="00FD4F28"/>
    <w:rsid w:val="00FE66CC"/>
    <w:rsid w:val="00FE6784"/>
    <w:rsid w:val="00FF7950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i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</w:rPr>
  </w:style>
  <w:style w:type="paragraph" w:customStyle="1" w:styleId="ParaNoNdepar-AltN">
    <w:name w:val="Para. No. / Nº de par. - Alt N"/>
    <w:qFormat/>
    <w:rsid w:val="00704D9F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val="fr-CA" w:eastAsia="en-US"/>
    </w:rPr>
  </w:style>
  <w:style w:type="table" w:styleId="TableGrid">
    <w:name w:val="Table Grid"/>
    <w:basedOn w:val="TableNormal"/>
    <w:uiPriority w:val="59"/>
    <w:rsid w:val="00FE66CC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CLsocPartyRoleChar">
    <w:name w:val="SCC.Lsoc.PartyRole Char"/>
    <w:basedOn w:val="DefaultParagraphFont"/>
    <w:rsid w:val="00FE66CC"/>
    <w:rPr>
      <w:rFonts w:eastAsiaTheme="minorHAnsi" w:cstheme="minorBidi"/>
      <w:sz w:val="24"/>
      <w:szCs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FE66CC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FE66CC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2015-01-08T21:10:00Z</dcterms:created>
  <dcterms:modified xsi:type="dcterms:W3CDTF">2015-03-06T20:00:00Z</dcterms:modified>
</cp:coreProperties>
</file>