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F0" w:rsidRDefault="00365FF0" w:rsidP="00365FF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pt;height:64.7pt" o:ole="">
            <v:imagedata r:id="rId7" o:title=""/>
          </v:shape>
          <o:OLEObject Type="Embed" ProgID="Presentations.Drawing.13" ShapeID="_x0000_i1025" DrawAspect="Content" ObjectID="_1495873240" r:id="rId8"/>
        </w:object>
      </w:r>
      <w:r>
        <w:t xml:space="preserve"> </w:t>
      </w:r>
      <w:r>
        <w:ptab w:relativeTo="margin" w:alignment="right" w:leader="none"/>
      </w:r>
    </w:p>
    <w:p w:rsidR="00365FF0" w:rsidRDefault="00365FF0" w:rsidP="00365FF0">
      <w:pPr>
        <w:pStyle w:val="Header"/>
      </w:pPr>
    </w:p>
    <w:p w:rsidR="00365FF0" w:rsidRPr="006B210C" w:rsidRDefault="00365FF0" w:rsidP="00365FF0">
      <w:pPr>
        <w:jc w:val="center"/>
        <w:rPr>
          <w:b/>
        </w:rPr>
      </w:pPr>
      <w:r w:rsidRPr="006B210C">
        <w:rPr>
          <w:b/>
        </w:rPr>
        <w:t>SUPREME COURT OF CANADA</w:t>
      </w:r>
    </w:p>
    <w:p w:rsidR="00365FF0" w:rsidRDefault="00365FF0" w:rsidP="00365FF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65FF0" w:rsidRPr="006B210C" w:rsidTr="001A1295">
        <w:trPr>
          <w:cantSplit/>
        </w:trPr>
        <w:tc>
          <w:tcPr>
            <w:tcW w:w="6768" w:type="dxa"/>
          </w:tcPr>
          <w:p w:rsidR="00365FF0" w:rsidRPr="00684CB9" w:rsidRDefault="00365FF0" w:rsidP="001A1295">
            <w:pPr>
              <w:rPr>
                <w:lang w:val="fr-CA"/>
              </w:rPr>
            </w:pPr>
            <w:r w:rsidRPr="00684CB9">
              <w:rPr>
                <w:b/>
                <w:smallCaps/>
                <w:lang w:val="fr-CA"/>
              </w:rPr>
              <w:t>Citation:</w:t>
            </w:r>
            <w:r w:rsidRPr="00684CB9">
              <w:rPr>
                <w:lang w:val="fr-CA"/>
              </w:rPr>
              <w:t xml:space="preserve"> R. </w:t>
            </w:r>
            <w:r w:rsidRPr="00684CB9">
              <w:rPr>
                <w:i/>
                <w:lang w:val="fr-CA"/>
              </w:rPr>
              <w:t>v.</w:t>
            </w:r>
            <w:r w:rsidRPr="00684CB9">
              <w:rPr>
                <w:lang w:val="fr-CA"/>
              </w:rPr>
              <w:t xml:space="preserve"> Grant, 2015 SCC </w:t>
            </w:r>
            <w:r>
              <w:rPr>
                <w:lang w:val="fr-CA"/>
              </w:rPr>
              <w:t xml:space="preserve">9, </w:t>
            </w:r>
            <w:r>
              <w:t>[2015] 1 S.C.R. 475</w:t>
            </w:r>
          </w:p>
        </w:tc>
        <w:tc>
          <w:tcPr>
            <w:tcW w:w="2808" w:type="dxa"/>
          </w:tcPr>
          <w:p w:rsidR="00365FF0" w:rsidRPr="006B210C" w:rsidRDefault="00365FF0" w:rsidP="001A1295">
            <w:r w:rsidRPr="006B210C">
              <w:rPr>
                <w:b/>
                <w:smallCaps/>
              </w:rPr>
              <w:t>Date</w:t>
            </w:r>
            <w:r>
              <w:rPr>
                <w:b/>
                <w:smallCaps/>
              </w:rPr>
              <w:t>:</w:t>
            </w:r>
            <w:r w:rsidRPr="006B210C">
              <w:t xml:space="preserve"> </w:t>
            </w:r>
            <w:r>
              <w:t>20150305</w:t>
            </w:r>
          </w:p>
          <w:p w:rsidR="00365FF0" w:rsidRPr="006B210C" w:rsidRDefault="00365FF0" w:rsidP="001A1295">
            <w:r w:rsidRPr="006B210C">
              <w:rPr>
                <w:b/>
                <w:smallCaps/>
              </w:rPr>
              <w:t>Docket</w:t>
            </w:r>
            <w:r>
              <w:rPr>
                <w:b/>
                <w:smallCaps/>
              </w:rPr>
              <w:t>:</w:t>
            </w:r>
            <w:r w:rsidRPr="006B210C">
              <w:t xml:space="preserve"> </w:t>
            </w:r>
            <w:r>
              <w:t>35664</w:t>
            </w:r>
          </w:p>
        </w:tc>
      </w:tr>
    </w:tbl>
    <w:p w:rsidR="00365FF0" w:rsidRPr="006B210C" w:rsidRDefault="00365FF0" w:rsidP="00365FF0"/>
    <w:p w:rsidR="00365FF0" w:rsidRDefault="00365FF0" w:rsidP="00365FF0">
      <w:pPr>
        <w:pStyle w:val="SCCLsocPrefix"/>
      </w:pPr>
      <w:r>
        <w:t>Between:</w:t>
      </w:r>
    </w:p>
    <w:p w:rsidR="00365FF0" w:rsidRDefault="00365FF0" w:rsidP="00365FF0">
      <w:pPr>
        <w:pStyle w:val="SCCLsocParty"/>
        <w:jc w:val="center"/>
      </w:pPr>
      <w:r>
        <w:t xml:space="preserve">Her Majesty </w:t>
      </w:r>
      <w:proofErr w:type="gramStart"/>
      <w:r>
        <w:t>The</w:t>
      </w:r>
      <w:proofErr w:type="gramEnd"/>
      <w:r>
        <w:t xml:space="preserve"> Queen</w:t>
      </w:r>
    </w:p>
    <w:p w:rsidR="00365FF0" w:rsidRDefault="00365FF0" w:rsidP="00365FF0">
      <w:pPr>
        <w:jc w:val="center"/>
      </w:pPr>
      <w:r>
        <w:t>Appellant</w:t>
      </w:r>
    </w:p>
    <w:p w:rsidR="00365FF0" w:rsidRPr="00365FF0" w:rsidRDefault="00365FF0" w:rsidP="00365FF0">
      <w:pPr>
        <w:pStyle w:val="SCCLsocVersus"/>
        <w:spacing w:after="0"/>
        <w:jc w:val="center"/>
        <w:rPr>
          <w:i w:val="0"/>
        </w:rPr>
      </w:pPr>
      <w:proofErr w:type="gramStart"/>
      <w:r w:rsidRPr="00365FF0">
        <w:rPr>
          <w:i w:val="0"/>
        </w:rPr>
        <w:t>and</w:t>
      </w:r>
      <w:proofErr w:type="gramEnd"/>
    </w:p>
    <w:p w:rsidR="00365FF0" w:rsidRDefault="00365FF0" w:rsidP="00365FF0">
      <w:pPr>
        <w:pStyle w:val="SCCLsocParty"/>
        <w:jc w:val="center"/>
      </w:pPr>
      <w:r>
        <w:t>Mark Edward Grant</w:t>
      </w:r>
    </w:p>
    <w:p w:rsidR="00365FF0" w:rsidRDefault="00365FF0" w:rsidP="00365FF0">
      <w:pPr>
        <w:jc w:val="center"/>
      </w:pPr>
      <w:r>
        <w:t>Respondent</w:t>
      </w:r>
    </w:p>
    <w:p w:rsidR="00365FF0" w:rsidRDefault="00365FF0" w:rsidP="00365FF0"/>
    <w:p w:rsidR="00365FF0" w:rsidRPr="006B210C" w:rsidRDefault="00365FF0" w:rsidP="00365FF0"/>
    <w:p w:rsidR="00365FF0" w:rsidRPr="006B210C" w:rsidRDefault="00365FF0" w:rsidP="00365FF0">
      <w:r w:rsidRPr="006B210C">
        <w:rPr>
          <w:b/>
          <w:smallCaps/>
        </w:rPr>
        <w:t>Coram</w:t>
      </w:r>
      <w:r>
        <w:rPr>
          <w:b/>
          <w:smallCaps/>
        </w:rPr>
        <w:t>:</w:t>
      </w:r>
      <w:r w:rsidRPr="006B210C">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JJ.</w:t>
      </w:r>
    </w:p>
    <w:p w:rsidR="00365FF0" w:rsidRPr="006B210C" w:rsidRDefault="00365FF0" w:rsidP="00365F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65FF0" w:rsidRPr="006B210C" w:rsidTr="001A1295">
        <w:trPr>
          <w:cantSplit/>
        </w:trPr>
        <w:tc>
          <w:tcPr>
            <w:tcW w:w="3618" w:type="dxa"/>
          </w:tcPr>
          <w:p w:rsidR="00365FF0" w:rsidRDefault="00365FF0" w:rsidP="001A1295">
            <w:pPr>
              <w:rPr>
                <w:b/>
                <w:smallCaps/>
              </w:rPr>
            </w:pPr>
            <w:r w:rsidRPr="006B210C">
              <w:rPr>
                <w:b/>
                <w:smallCaps/>
              </w:rPr>
              <w:t>Reasons for Judgment</w:t>
            </w:r>
            <w:r>
              <w:rPr>
                <w:b/>
                <w:smallCaps/>
              </w:rPr>
              <w:t>:</w:t>
            </w:r>
          </w:p>
          <w:p w:rsidR="00365FF0" w:rsidRPr="006B210C" w:rsidRDefault="00365FF0" w:rsidP="001A1295">
            <w:r>
              <w:t>(paras. 1 to 65)</w:t>
            </w:r>
          </w:p>
        </w:tc>
        <w:tc>
          <w:tcPr>
            <w:tcW w:w="5958" w:type="dxa"/>
          </w:tcPr>
          <w:p w:rsidR="00365FF0" w:rsidRPr="006B210C" w:rsidRDefault="00365FF0" w:rsidP="001A1295">
            <w:proofErr w:type="spellStart"/>
            <w:r>
              <w:t>Karakatsanis</w:t>
            </w:r>
            <w:proofErr w:type="spellEnd"/>
            <w:r>
              <w:t xml:space="preserve"> J. (</w:t>
            </w:r>
            <w:proofErr w:type="spellStart"/>
            <w:r>
              <w:t>Abella</w:t>
            </w:r>
            <w:proofErr w:type="spellEnd"/>
            <w:r>
              <w:t xml:space="preserve">, Rothstein, Cromwell, </w:t>
            </w:r>
            <w:proofErr w:type="spellStart"/>
            <w:r>
              <w:t>Moldaver</w:t>
            </w:r>
            <w:proofErr w:type="spellEnd"/>
            <w:r>
              <w:t xml:space="preserve">, Wagner and </w:t>
            </w:r>
            <w:proofErr w:type="spellStart"/>
            <w:r>
              <w:t>Gascon</w:t>
            </w:r>
            <w:proofErr w:type="spellEnd"/>
            <w:r>
              <w:t xml:space="preserve"> JJ. concurring)</w:t>
            </w:r>
          </w:p>
        </w:tc>
      </w:tr>
    </w:tbl>
    <w:p w:rsidR="00365FF0" w:rsidRPr="006B210C" w:rsidRDefault="00365FF0" w:rsidP="00365FF0"/>
    <w:p w:rsidR="00365FF0" w:rsidRPr="006B210C" w:rsidRDefault="00365FF0" w:rsidP="00365FF0"/>
    <w:p w:rsidR="00365FF0" w:rsidRPr="006B210C" w:rsidRDefault="00365FF0" w:rsidP="00365FF0">
      <w:r w:rsidRPr="004D599F">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365FF0" w:rsidRDefault="00365FF0" w:rsidP="00DC6FFE">
      <w:pPr>
        <w:spacing w:after="720"/>
        <w:jc w:val="both"/>
        <w:rPr>
          <w:smallCaps/>
        </w:rPr>
      </w:pPr>
    </w:p>
    <w:p w:rsidR="008322BD" w:rsidRPr="000D119F" w:rsidRDefault="006F115C" w:rsidP="00DC6FFE">
      <w:pPr>
        <w:spacing w:after="720"/>
        <w:jc w:val="both"/>
      </w:pPr>
      <w:r w:rsidRPr="000D119F">
        <w:rPr>
          <w:smallCaps/>
        </w:rPr>
        <w:t>r</w:t>
      </w:r>
      <w:r w:rsidR="008F78E9" w:rsidRPr="000D119F">
        <w:rPr>
          <w:smallCaps/>
        </w:rPr>
        <w:t>.</w:t>
      </w:r>
      <w:r w:rsidR="00480C90" w:rsidRPr="000D119F">
        <w:t xml:space="preserve"> </w:t>
      </w:r>
      <w:r w:rsidR="009B57B3" w:rsidRPr="000D119F">
        <w:rPr>
          <w:i/>
        </w:rPr>
        <w:t>v.</w:t>
      </w:r>
      <w:r w:rsidR="00B000D8" w:rsidRPr="000D119F">
        <w:t xml:space="preserve"> </w:t>
      </w:r>
      <w:r w:rsidRPr="000D119F">
        <w:rPr>
          <w:smallCaps/>
        </w:rPr>
        <w:t>g</w:t>
      </w:r>
      <w:r w:rsidR="008F78E9" w:rsidRPr="000D119F">
        <w:rPr>
          <w:smallCaps/>
        </w:rPr>
        <w:t>rant</w:t>
      </w:r>
      <w:r w:rsidR="00400E56">
        <w:rPr>
          <w:smallCaps/>
        </w:rPr>
        <w:t xml:space="preserve">, </w:t>
      </w:r>
      <w:r w:rsidR="00400E56" w:rsidRPr="000D119F">
        <w:t>2015 SCC</w:t>
      </w:r>
      <w:r w:rsidR="00400E56">
        <w:t xml:space="preserve"> </w:t>
      </w:r>
      <w:r w:rsidR="00400E56" w:rsidRPr="000D119F">
        <w:t>9</w:t>
      </w:r>
      <w:r w:rsidR="00400E56">
        <w:t>, [2015] 1 S.C.R. 475</w:t>
      </w:r>
    </w:p>
    <w:p w:rsidR="006E15CC" w:rsidRPr="000D119F" w:rsidRDefault="008E49A5">
      <w:pPr>
        <w:pStyle w:val="SCCLsocLastPartyInRole"/>
      </w:pPr>
      <w:r w:rsidRPr="000D119F">
        <w:t xml:space="preserve">Her Majesty </w:t>
      </w:r>
      <w:proofErr w:type="gramStart"/>
      <w:r w:rsidR="006F115C" w:rsidRPr="000D119F">
        <w:t>T</w:t>
      </w:r>
      <w:r w:rsidRPr="000D119F">
        <w:t>he</w:t>
      </w:r>
      <w:proofErr w:type="gramEnd"/>
      <w:r w:rsidRPr="000D119F">
        <w:t xml:space="preserve"> Queen</w:t>
      </w:r>
      <w:r w:rsidRPr="000D119F">
        <w:rPr>
          <w:rStyle w:val="SCCLsocPartyRole"/>
        </w:rPr>
        <w:tab/>
        <w:t>Appellant</w:t>
      </w:r>
    </w:p>
    <w:p w:rsidR="006E15CC" w:rsidRPr="000D119F" w:rsidRDefault="008E49A5">
      <w:pPr>
        <w:pStyle w:val="SCCLsocVersus"/>
      </w:pPr>
      <w:proofErr w:type="gramStart"/>
      <w:r w:rsidRPr="000D119F">
        <w:t>v</w:t>
      </w:r>
      <w:proofErr w:type="gramEnd"/>
      <w:r w:rsidRPr="000D119F">
        <w:t>.</w:t>
      </w:r>
    </w:p>
    <w:p w:rsidR="006E15CC" w:rsidRPr="000D119F" w:rsidRDefault="008E49A5">
      <w:pPr>
        <w:pStyle w:val="SCCLsocLastPartyInRole"/>
      </w:pPr>
      <w:r w:rsidRPr="000D119F">
        <w:t>Mark Edward Grant</w:t>
      </w:r>
      <w:r w:rsidRPr="000D119F">
        <w:rPr>
          <w:rStyle w:val="SCCLsocPartyRole"/>
        </w:rPr>
        <w:tab/>
        <w:t>Respondent</w:t>
      </w:r>
    </w:p>
    <w:p w:rsidR="00426659" w:rsidRPr="000D119F" w:rsidRDefault="00426659" w:rsidP="00DC6FFE">
      <w:pPr>
        <w:spacing w:after="720"/>
        <w:jc w:val="both"/>
        <w:rPr>
          <w:b/>
        </w:rPr>
      </w:pPr>
      <w:r w:rsidRPr="000D119F">
        <w:rPr>
          <w:b/>
        </w:rPr>
        <w:t xml:space="preserve">Indexed as:  R. </w:t>
      </w:r>
      <w:r w:rsidRPr="000D119F">
        <w:rPr>
          <w:b/>
          <w:i/>
        </w:rPr>
        <w:t>v.</w:t>
      </w:r>
      <w:r w:rsidRPr="000D119F">
        <w:rPr>
          <w:b/>
        </w:rPr>
        <w:t xml:space="preserve"> Grant</w:t>
      </w:r>
    </w:p>
    <w:p w:rsidR="00426659" w:rsidRPr="000D119F" w:rsidRDefault="004F36FF" w:rsidP="00DC6FFE">
      <w:pPr>
        <w:pStyle w:val="SCCSystemYear"/>
        <w:spacing w:after="720"/>
        <w:jc w:val="both"/>
      </w:pPr>
      <w:r w:rsidRPr="000D119F">
        <w:lastRenderedPageBreak/>
        <w:t>2015</w:t>
      </w:r>
      <w:r w:rsidR="003D0399" w:rsidRPr="000D119F">
        <w:t xml:space="preserve"> </w:t>
      </w:r>
      <w:r w:rsidR="00472107" w:rsidRPr="000D119F">
        <w:t>SCC</w:t>
      </w:r>
      <w:r w:rsidR="00E34E3A">
        <w:t xml:space="preserve"> </w:t>
      </w:r>
      <w:r w:rsidR="00472107" w:rsidRPr="000D119F">
        <w:t>9</w:t>
      </w:r>
    </w:p>
    <w:p w:rsidR="008322BD" w:rsidRPr="000D119F" w:rsidRDefault="009B57B3" w:rsidP="00DC6FFE">
      <w:pPr>
        <w:spacing w:after="720"/>
        <w:jc w:val="both"/>
      </w:pPr>
      <w:r w:rsidRPr="000D119F">
        <w:t>File No.:  35664.</w:t>
      </w:r>
    </w:p>
    <w:p w:rsidR="008322BD" w:rsidRPr="000D119F" w:rsidRDefault="004F36FF" w:rsidP="00DC6FFE">
      <w:pPr>
        <w:spacing w:after="720"/>
        <w:jc w:val="both"/>
      </w:pPr>
      <w:r w:rsidRPr="000D119F">
        <w:t>2014:</w:t>
      </w:r>
      <w:r w:rsidR="00E34E3A">
        <w:t xml:space="preserve">  </w:t>
      </w:r>
      <w:r w:rsidR="00DC6FFE" w:rsidRPr="000D119F">
        <w:t>November</w:t>
      </w:r>
      <w:r w:rsidR="00E34E3A">
        <w:t xml:space="preserve"> </w:t>
      </w:r>
      <w:r w:rsidRPr="000D119F">
        <w:t>14</w:t>
      </w:r>
      <w:r w:rsidR="009B57B3" w:rsidRPr="000D119F">
        <w:t xml:space="preserve">; </w:t>
      </w:r>
      <w:r w:rsidR="00DC6FFE" w:rsidRPr="000D119F">
        <w:t>2015:</w:t>
      </w:r>
      <w:r w:rsidR="00E34E3A">
        <w:t xml:space="preserve">  </w:t>
      </w:r>
      <w:r w:rsidR="00472107" w:rsidRPr="000D119F">
        <w:t>March 5</w:t>
      </w:r>
      <w:r w:rsidR="009B57B3" w:rsidRPr="000D119F">
        <w:t>.</w:t>
      </w:r>
    </w:p>
    <w:p w:rsidR="008322BD" w:rsidRPr="000D119F" w:rsidRDefault="009B57B3" w:rsidP="00DC6FFE">
      <w:pPr>
        <w:spacing w:after="720"/>
        <w:jc w:val="both"/>
      </w:pPr>
      <w:r w:rsidRPr="000D119F">
        <w:t xml:space="preserve">Present:  </w:t>
      </w:r>
      <w:proofErr w:type="spellStart"/>
      <w:r w:rsidRPr="000D119F">
        <w:t>Abella</w:t>
      </w:r>
      <w:proofErr w:type="spellEnd"/>
      <w:r w:rsidRPr="000D119F">
        <w:t xml:space="preserve">, Rothstein, Cromwell, </w:t>
      </w:r>
      <w:proofErr w:type="spellStart"/>
      <w:r w:rsidRPr="000D119F">
        <w:t>Moldaver</w:t>
      </w:r>
      <w:proofErr w:type="spellEnd"/>
      <w:r w:rsidRPr="000D119F">
        <w:t xml:space="preserve">, </w:t>
      </w:r>
      <w:proofErr w:type="spellStart"/>
      <w:r w:rsidRPr="000D119F">
        <w:t>Karakatsanis</w:t>
      </w:r>
      <w:proofErr w:type="spellEnd"/>
      <w:r w:rsidRPr="000D119F">
        <w:t xml:space="preserve">, Wagner and </w:t>
      </w:r>
      <w:proofErr w:type="spellStart"/>
      <w:r w:rsidRPr="000D119F">
        <w:t>Gascon</w:t>
      </w:r>
      <w:proofErr w:type="spellEnd"/>
      <w:r w:rsidR="00E34E3A">
        <w:t xml:space="preserve"> </w:t>
      </w:r>
      <w:r w:rsidRPr="000D119F">
        <w:t>JJ.</w:t>
      </w:r>
    </w:p>
    <w:p w:rsidR="008322BD" w:rsidRPr="000D119F" w:rsidRDefault="00656313" w:rsidP="00DC6FFE">
      <w:pPr>
        <w:pStyle w:val="SCCLowerCourtNameLowercase"/>
        <w:spacing w:after="720" w:line="240" w:lineRule="auto"/>
      </w:pPr>
      <w:r w:rsidRPr="000D119F">
        <w:t>o</w:t>
      </w:r>
      <w:r w:rsidR="00170592" w:rsidRPr="000D119F">
        <w:t>n</w:t>
      </w:r>
      <w:r w:rsidR="00224FC0" w:rsidRPr="000D119F">
        <w:t xml:space="preserve"> </w:t>
      </w:r>
      <w:r w:rsidRPr="000D119F">
        <w:t>a</w:t>
      </w:r>
      <w:r w:rsidR="00170592" w:rsidRPr="000D119F">
        <w:t>ppeal</w:t>
      </w:r>
      <w:r w:rsidR="00224FC0" w:rsidRPr="000D119F">
        <w:t xml:space="preserve"> </w:t>
      </w:r>
      <w:r w:rsidR="00170592" w:rsidRPr="000D119F">
        <w:t>from</w:t>
      </w:r>
      <w:r w:rsidR="009567AA" w:rsidRPr="000D119F">
        <w:t xml:space="preserve"> the</w:t>
      </w:r>
      <w:r w:rsidR="00224FC0" w:rsidRPr="000D119F">
        <w:t xml:space="preserve"> </w:t>
      </w:r>
      <w:r w:rsidR="00E8543F" w:rsidRPr="000D119F">
        <w:t xml:space="preserve">court of appeal </w:t>
      </w:r>
      <w:r w:rsidR="009B57B3" w:rsidRPr="000D119F">
        <w:t>f</w:t>
      </w:r>
      <w:r w:rsidR="00E8543F" w:rsidRPr="000D119F">
        <w:t>or</w:t>
      </w:r>
      <w:r w:rsidR="009B57B3" w:rsidRPr="000D119F">
        <w:t xml:space="preserve"> </w:t>
      </w:r>
      <w:proofErr w:type="spellStart"/>
      <w:r w:rsidR="009B57B3" w:rsidRPr="000D119F">
        <w:t>manitoba</w:t>
      </w:r>
      <w:proofErr w:type="spellEnd"/>
    </w:p>
    <w:p w:rsidR="002B5983" w:rsidRPr="000D119F" w:rsidRDefault="002B5983" w:rsidP="00907A35">
      <w:pPr>
        <w:pStyle w:val="SCCNormalDoubleSpacing"/>
        <w:spacing w:before="480" w:after="480"/>
        <w:rPr>
          <w:i/>
        </w:rPr>
      </w:pPr>
      <w:r w:rsidRPr="000D119F">
        <w:tab/>
      </w:r>
      <w:r w:rsidRPr="000D119F">
        <w:rPr>
          <w:i/>
        </w:rPr>
        <w:t>Criminal law — Defences —</w:t>
      </w:r>
      <w:r w:rsidR="00FD1B60" w:rsidRPr="000D119F">
        <w:rPr>
          <w:i/>
        </w:rPr>
        <w:t xml:space="preserve"> </w:t>
      </w:r>
      <w:r w:rsidRPr="000D119F">
        <w:rPr>
          <w:i/>
        </w:rPr>
        <w:t>Evidence — Admissibility — Unknown third party suspect —</w:t>
      </w:r>
      <w:r w:rsidR="00F34B9E" w:rsidRPr="000D119F">
        <w:rPr>
          <w:i/>
        </w:rPr>
        <w:t xml:space="preserve"> </w:t>
      </w:r>
      <w:r w:rsidRPr="000D119F">
        <w:rPr>
          <w:i/>
        </w:rPr>
        <w:t>Accused denied involvement in abduction</w:t>
      </w:r>
      <w:r w:rsidR="00E34E3A">
        <w:rPr>
          <w:i/>
        </w:rPr>
        <w:t>-</w:t>
      </w:r>
      <w:r w:rsidRPr="000D119F">
        <w:rPr>
          <w:i/>
        </w:rPr>
        <w:t>murder case — Accused sought to adduce evidence at trial that unknown third party suspect involved in similar alleged abduction which accused could not have committed —</w:t>
      </w:r>
      <w:r w:rsidR="00F34B9E" w:rsidRPr="000D119F">
        <w:rPr>
          <w:i/>
        </w:rPr>
        <w:t xml:space="preserve"> </w:t>
      </w:r>
      <w:r w:rsidRPr="000D119F">
        <w:rPr>
          <w:i/>
        </w:rPr>
        <w:t>Trial judge found on balance of probabilities that alleged abduction had not happened and refused to admit evidence —</w:t>
      </w:r>
      <w:r w:rsidR="00F34B9E" w:rsidRPr="000D119F">
        <w:rPr>
          <w:i/>
        </w:rPr>
        <w:t xml:space="preserve"> </w:t>
      </w:r>
      <w:r w:rsidRPr="000D119F">
        <w:rPr>
          <w:i/>
        </w:rPr>
        <w:t>Appropriate framework for determining admissibility of defence</w:t>
      </w:r>
      <w:r w:rsidR="00E34E3A">
        <w:rPr>
          <w:i/>
        </w:rPr>
        <w:t>-</w:t>
      </w:r>
      <w:r w:rsidRPr="000D119F">
        <w:rPr>
          <w:i/>
        </w:rPr>
        <w:t>led evidence concerning unknown third party suspect — To what extent framework requires trial judge to assess and weigh evidence of unknown third party suspect.</w:t>
      </w:r>
    </w:p>
    <w:p w:rsidR="002B5983" w:rsidRPr="000D119F" w:rsidRDefault="002B5983" w:rsidP="00907A35">
      <w:pPr>
        <w:pStyle w:val="SCCNormalDoubleSpacing"/>
        <w:spacing w:before="480" w:after="480"/>
      </w:pPr>
      <w:r w:rsidRPr="000D119F">
        <w:tab/>
        <w:t>In 2007, G was charged with the first degree murder of D, a notorious cold</w:t>
      </w:r>
      <w:r w:rsidR="00E34E3A">
        <w:t>-</w:t>
      </w:r>
      <w:r w:rsidRPr="000D119F">
        <w:t>case, on the basis of newly</w:t>
      </w:r>
      <w:r w:rsidR="00E34E3A">
        <w:t>-</w:t>
      </w:r>
      <w:r w:rsidRPr="000D119F">
        <w:t xml:space="preserve">tested DNA evidence. G denied any involvement in the murder, and sought to adduce evidence to suggest that, based on the </w:t>
      </w:r>
      <w:r w:rsidRPr="000D119F">
        <w:rPr>
          <w:i/>
        </w:rPr>
        <w:t xml:space="preserve">modus </w:t>
      </w:r>
      <w:r w:rsidRPr="000D119F">
        <w:rPr>
          <w:i/>
        </w:rPr>
        <w:lastRenderedPageBreak/>
        <w:t>operandi</w:t>
      </w:r>
      <w:r w:rsidRPr="000D119F">
        <w:t xml:space="preserve"> and other physical evidence, D</w:t>
      </w:r>
      <w:r w:rsidR="00CF0CF9" w:rsidRPr="000D119F">
        <w:t>’</w:t>
      </w:r>
      <w:r w:rsidRPr="000D119F">
        <w:t>s abductor had also abducted W while G was in custody.</w:t>
      </w:r>
    </w:p>
    <w:p w:rsidR="002B5983" w:rsidRPr="000D119F" w:rsidRDefault="002B5983" w:rsidP="00907A35">
      <w:pPr>
        <w:pStyle w:val="SCCNormalDoubleSpacing"/>
        <w:spacing w:before="480" w:after="480"/>
      </w:pPr>
      <w:r w:rsidRPr="000D119F">
        <w:tab/>
      </w:r>
      <w:proofErr w:type="gramStart"/>
      <w:r w:rsidRPr="000D119F">
        <w:t>Having found that the same legal test applied to the admissibility of known third party suspect evidence and unknown third party suspect evidence, the trial judge concluded on a balance of probabilities that the alleged ab</w:t>
      </w:r>
      <w:r w:rsidR="00F34B9E" w:rsidRPr="000D119F">
        <w:t>duction of W had not happened.</w:t>
      </w:r>
      <w:proofErr w:type="gramEnd"/>
      <w:r w:rsidR="00F34B9E" w:rsidRPr="000D119F">
        <w:t xml:space="preserve"> </w:t>
      </w:r>
      <w:r w:rsidRPr="000D119F">
        <w:t xml:space="preserve">He refused to admit the evidence. G was convicted of second degree murder by the jury. The Manitoba Court of Appeal concluded that G should have been </w:t>
      </w:r>
      <w:r w:rsidR="00652E83" w:rsidRPr="000D119F">
        <w:t>permitted</w:t>
      </w:r>
      <w:r w:rsidRPr="000D119F">
        <w:t xml:space="preserve"> to lead the evidence, allowed his appeal and ordered a new trial.</w:t>
      </w:r>
    </w:p>
    <w:p w:rsidR="002B5983" w:rsidRPr="000D119F" w:rsidRDefault="002B5983" w:rsidP="00907A35">
      <w:pPr>
        <w:pStyle w:val="SCCNormalDoubleSpacing"/>
        <w:spacing w:before="480" w:after="480"/>
      </w:pPr>
      <w:r w:rsidRPr="000D119F">
        <w:tab/>
      </w:r>
      <w:r w:rsidRPr="000D119F">
        <w:rPr>
          <w:i/>
          <w:iCs/>
        </w:rPr>
        <w:t>Held</w:t>
      </w:r>
      <w:r w:rsidR="00907A35" w:rsidRPr="000D119F">
        <w:rPr>
          <w:iCs/>
        </w:rPr>
        <w:t xml:space="preserve">:  </w:t>
      </w:r>
      <w:r w:rsidRPr="000D119F">
        <w:t>The appeal should be dismissed.</w:t>
      </w:r>
    </w:p>
    <w:p w:rsidR="002B5983" w:rsidRPr="000D119F" w:rsidRDefault="00F34B9E" w:rsidP="00907A35">
      <w:pPr>
        <w:pStyle w:val="SCCNormalDoubleSpacing"/>
        <w:spacing w:before="480" w:after="480"/>
      </w:pPr>
      <w:r w:rsidRPr="000D119F">
        <w:tab/>
      </w:r>
      <w:r w:rsidR="002B5983" w:rsidRPr="000D119F">
        <w:t>While the tests governing known third party suspect evidence and similar fact evidence may provide useful insights into the underlying concerns and principles, they should not be stretched beyond the particular circumstances that they were designed to addre</w:t>
      </w:r>
      <w:r w:rsidRPr="000D119F">
        <w:t xml:space="preserve">ss. </w:t>
      </w:r>
      <w:r w:rsidR="002B5983" w:rsidRPr="000D119F">
        <w:t>Instead, first principles governing the admissibility of evidence properly balance the competing interests that arise when the defence seeks to lead evidence of an unknown third party suspect.</w:t>
      </w:r>
    </w:p>
    <w:p w:rsidR="002B5983" w:rsidRPr="000D119F" w:rsidRDefault="00F34B9E" w:rsidP="00907A35">
      <w:pPr>
        <w:pStyle w:val="SCCNormalDoubleSpacing"/>
        <w:spacing w:before="480" w:after="480"/>
      </w:pPr>
      <w:r w:rsidRPr="000D119F">
        <w:tab/>
      </w:r>
      <w:r w:rsidR="002B5983" w:rsidRPr="000D119F">
        <w:t>Defence</w:t>
      </w:r>
      <w:r w:rsidR="00E34E3A">
        <w:t>-</w:t>
      </w:r>
      <w:r w:rsidR="002B5983" w:rsidRPr="000D119F">
        <w:t xml:space="preserve">led </w:t>
      </w:r>
      <w:r w:rsidR="002B5983" w:rsidRPr="000D119F">
        <w:rPr>
          <w:szCs w:val="24"/>
        </w:rPr>
        <w:t>evidence</w:t>
      </w:r>
      <w:r w:rsidR="00907A35" w:rsidRPr="000D119F">
        <w:t xml:space="preserve"> is admissible where (1)</w:t>
      </w:r>
      <w:r w:rsidR="00E34E3A">
        <w:t xml:space="preserve"> </w:t>
      </w:r>
      <w:r w:rsidR="002B5983" w:rsidRPr="000D119F">
        <w:t>the evidence is relevant to a fact in issue, and (2)</w:t>
      </w:r>
      <w:r w:rsidR="00E34E3A">
        <w:t xml:space="preserve"> </w:t>
      </w:r>
      <w:r w:rsidR="002B5983" w:rsidRPr="000D119F">
        <w:t>the probative value of the evidence is not substantially outweighed by its prejudicial effects. The trial judge must</w:t>
      </w:r>
      <w:r w:rsidRPr="000D119F">
        <w:t xml:space="preserve"> </w:t>
      </w:r>
      <w:r w:rsidR="002B5983" w:rsidRPr="000D119F">
        <w:t>therefore first determine whether the evidence is logically relevant to an available defence. Where the defence</w:t>
      </w:r>
      <w:r w:rsidR="00CF0CF9" w:rsidRPr="000D119F">
        <w:t>’</w:t>
      </w:r>
      <w:r w:rsidR="002B5983" w:rsidRPr="000D119F">
        <w:t xml:space="preserve">s theory is that an unknown third party committed the indicted crime, this </w:t>
      </w:r>
      <w:r w:rsidR="002B5983" w:rsidRPr="000D119F">
        <w:lastRenderedPageBreak/>
        <w:t>factual foundation will be established by a sufficient connection between the crime for which the accused is charged and the allegedly similar incident(s) suggesting that the crimes were committed by the same person,</w:t>
      </w:r>
      <w:r w:rsidRPr="000D119F">
        <w:t xml:space="preserve"> </w:t>
      </w:r>
      <w:r w:rsidR="002B5983" w:rsidRPr="000D119F">
        <w:t xml:space="preserve">coupled with evidence that the accused could not have </w:t>
      </w:r>
      <w:r w:rsidR="00CF0CF9" w:rsidRPr="000D119F">
        <w:t>committed the other offence.</w:t>
      </w:r>
      <w:r w:rsidRPr="000D119F">
        <w:t xml:space="preserve"> </w:t>
      </w:r>
      <w:r w:rsidR="002B5983" w:rsidRPr="000D119F">
        <w:t>Once a suff</w:t>
      </w:r>
      <w:r w:rsidRPr="000D119F">
        <w:t xml:space="preserve">icient connection is shown, </w:t>
      </w:r>
      <w:r w:rsidR="002B5983" w:rsidRPr="000D119F">
        <w:t>the evidence will be admissible unless its prejudicial effects substantially out</w:t>
      </w:r>
      <w:r w:rsidRPr="000D119F">
        <w:t xml:space="preserve">weigh its probative value. </w:t>
      </w:r>
      <w:r w:rsidR="002B5983" w:rsidRPr="000D119F">
        <w:t>This assessment is inherently individualized, and is capable of responding to various levels and forms of prejudice.</w:t>
      </w:r>
      <w:r w:rsidRPr="000D119F">
        <w:t xml:space="preserve"> </w:t>
      </w:r>
      <w:r w:rsidR="002B5983" w:rsidRPr="000D119F">
        <w:t xml:space="preserve">It does not require the accused to satisfy a higher admissibility threshold or require the trial judge to engage in an enhanced evaluation </w:t>
      </w:r>
      <w:r w:rsidR="00652E83" w:rsidRPr="000D119F">
        <w:t>of the evidence</w:t>
      </w:r>
      <w:r w:rsidR="002B5983" w:rsidRPr="000D119F">
        <w:t>. The trial judge may not invade the province of the jury and determine the strength of the evidence.</w:t>
      </w:r>
    </w:p>
    <w:p w:rsidR="002B5983" w:rsidRPr="000D119F" w:rsidRDefault="00F34B9E" w:rsidP="00907A35">
      <w:pPr>
        <w:pStyle w:val="SCCNormalDoubleSpacing"/>
        <w:spacing w:before="480" w:after="480"/>
      </w:pPr>
      <w:r w:rsidRPr="000D119F">
        <w:tab/>
      </w:r>
      <w:r w:rsidR="002B5983" w:rsidRPr="000D119F">
        <w:t>In this case, the trial judge erred in law in treating the evidence relating to the alleged abduction of W as known third party suspect evidence and in requiring G to establish on a balance of probabilities that the alleged abduction of W took place.  Th</w:t>
      </w:r>
      <w:r w:rsidR="00652E83" w:rsidRPr="000D119F">
        <w:t>e</w:t>
      </w:r>
      <w:r w:rsidR="002B5983" w:rsidRPr="000D119F">
        <w:t>se errors entitled the Court of Appeal to conduct its own assessment of the evidence. It was entitled to conclude that there was evidence upon which the jury could find that the alleged crime against W had occurred and, having regard to the similarities, that it had been committed by the same person who killed D. The evidence that G could not have committed the offence against W and the evidence of similarities between the two offences</w:t>
      </w:r>
      <w:r w:rsidRPr="000D119F">
        <w:t xml:space="preserve"> </w:t>
      </w:r>
      <w:r w:rsidR="002B5983" w:rsidRPr="000D119F">
        <w:t xml:space="preserve">would have provided some evidence capable of giving the unknown third party suspect defence an air of reality. While an appellate court is entitled to step into the shoes of the trial judge if the record permits, in this case, the Court of Appeal was not in the position to assess and weigh the extent of the probative value and the extent of prejudicial effect of the unknown third party suspect </w:t>
      </w:r>
      <w:r w:rsidR="002B5983" w:rsidRPr="000D119F">
        <w:lastRenderedPageBreak/>
        <w:t>evidence. The trial judge</w:t>
      </w:r>
      <w:r w:rsidR="00CF0CF9" w:rsidRPr="000D119F">
        <w:t>’</w:t>
      </w:r>
      <w:r w:rsidR="002B5983" w:rsidRPr="000D119F">
        <w:t>s legal errors were clearly not minor, and do not attract the application of the curative proviso in s.</w:t>
      </w:r>
      <w:r w:rsidR="00E34E3A">
        <w:t xml:space="preserve"> </w:t>
      </w:r>
      <w:r w:rsidR="002B5983" w:rsidRPr="000D119F">
        <w:t>686(1)(</w:t>
      </w:r>
      <w:r w:rsidR="002B5983" w:rsidRPr="000D119F">
        <w:rPr>
          <w:i/>
        </w:rPr>
        <w:t>b</w:t>
      </w:r>
      <w:r w:rsidR="002B5983" w:rsidRPr="000D119F">
        <w:t xml:space="preserve">)(iii) of the </w:t>
      </w:r>
      <w:r w:rsidR="002B5983" w:rsidRPr="000D119F">
        <w:rPr>
          <w:i/>
        </w:rPr>
        <w:t>Criminal Code</w:t>
      </w:r>
      <w:r w:rsidR="002B5983" w:rsidRPr="000D119F">
        <w:t>.</w:t>
      </w:r>
      <w:r w:rsidR="00CF0CF9" w:rsidRPr="000D119F">
        <w:t xml:space="preserve"> </w:t>
      </w:r>
      <w:r w:rsidR="002B5983" w:rsidRPr="000D119F">
        <w:t>The verdict would not necessarily have been the same had the trial judge applied the correct principles in determining the test for the admissibility of this defence evidence. As this case must be re</w:t>
      </w:r>
      <w:r w:rsidR="00E34E3A">
        <w:t>-</w:t>
      </w:r>
      <w:r w:rsidR="002B5983" w:rsidRPr="000D119F">
        <w:t>tried in any event, the balancing of the probative value and the prejudicial effect of the evidence is best left for the trial judge.</w:t>
      </w:r>
    </w:p>
    <w:p w:rsidR="007E1C47" w:rsidRPr="000D119F" w:rsidRDefault="002E6705" w:rsidP="00DC6FFE">
      <w:pPr>
        <w:pStyle w:val="SCCNormalDoubleSpacing"/>
        <w:spacing w:after="720" w:line="240" w:lineRule="auto"/>
        <w:rPr>
          <w:b/>
        </w:rPr>
      </w:pPr>
      <w:r w:rsidRPr="000D119F">
        <w:rPr>
          <w:b/>
        </w:rPr>
        <w:t>Cases Cited</w:t>
      </w:r>
    </w:p>
    <w:p w:rsidR="004E2C26" w:rsidRPr="000D119F" w:rsidRDefault="002E6705" w:rsidP="00DC6FFE">
      <w:pPr>
        <w:pStyle w:val="SCCNormalDoubleSpacing"/>
        <w:spacing w:before="480" w:after="480"/>
      </w:pPr>
      <w:r w:rsidRPr="000D119F">
        <w:tab/>
      </w:r>
      <w:r w:rsidR="002B5983" w:rsidRPr="000D119F">
        <w:rPr>
          <w:b/>
        </w:rPr>
        <w:t>Applied</w:t>
      </w:r>
      <w:r w:rsidR="00907A35" w:rsidRPr="000D119F">
        <w:rPr>
          <w:b/>
        </w:rPr>
        <w:t xml:space="preserve">:  </w:t>
      </w:r>
      <w:r w:rsidR="00B04F31" w:rsidRPr="000D119F">
        <w:rPr>
          <w:i/>
        </w:rPr>
        <w:t xml:space="preserve">R. v. </w:t>
      </w:r>
      <w:proofErr w:type="spellStart"/>
      <w:r w:rsidR="00B04F31" w:rsidRPr="000D119F">
        <w:rPr>
          <w:i/>
        </w:rPr>
        <w:t>Seaboyer</w:t>
      </w:r>
      <w:proofErr w:type="spellEnd"/>
      <w:r w:rsidR="004D10A9" w:rsidRPr="000D119F">
        <w:t>,</w:t>
      </w:r>
      <w:r w:rsidR="00B04F31" w:rsidRPr="000D119F">
        <w:rPr>
          <w:i/>
        </w:rPr>
        <w:t xml:space="preserve"> </w:t>
      </w:r>
      <w:r w:rsidR="00B04F31" w:rsidRPr="000D119F">
        <w:t>[1991] 2 S.C.R. 577</w:t>
      </w:r>
      <w:r w:rsidR="002F55EE" w:rsidRPr="000D119F">
        <w:t>;</w:t>
      </w:r>
      <w:r w:rsidR="00D41F2D" w:rsidRPr="000D119F">
        <w:t xml:space="preserve"> </w:t>
      </w:r>
      <w:r w:rsidR="002B5983" w:rsidRPr="000D119F">
        <w:rPr>
          <w:b/>
        </w:rPr>
        <w:t>distinguished</w:t>
      </w:r>
      <w:r w:rsidR="00907A35" w:rsidRPr="000D119F">
        <w:rPr>
          <w:b/>
        </w:rPr>
        <w:t xml:space="preserve">:  </w:t>
      </w:r>
      <w:r w:rsidR="00C00968" w:rsidRPr="000D119F">
        <w:rPr>
          <w:i/>
        </w:rPr>
        <w:t>R. v. Handy</w:t>
      </w:r>
      <w:r w:rsidR="00C00968" w:rsidRPr="000D119F">
        <w:t>,</w:t>
      </w:r>
      <w:r w:rsidR="00C00968" w:rsidRPr="000D119F">
        <w:rPr>
          <w:i/>
        </w:rPr>
        <w:t xml:space="preserve"> </w:t>
      </w:r>
      <w:r w:rsidR="00C00968" w:rsidRPr="000D119F">
        <w:t xml:space="preserve">2002 SCC 56, [2002] 2 S.C.R. 908; </w:t>
      </w:r>
      <w:r w:rsidR="002B5983" w:rsidRPr="000D119F">
        <w:rPr>
          <w:b/>
        </w:rPr>
        <w:t>referred to</w:t>
      </w:r>
      <w:r w:rsidR="00907A35" w:rsidRPr="000D119F">
        <w:rPr>
          <w:b/>
        </w:rPr>
        <w:t xml:space="preserve">:  </w:t>
      </w:r>
      <w:r w:rsidR="00BC4E94" w:rsidRPr="000D119F">
        <w:rPr>
          <w:i/>
        </w:rPr>
        <w:t xml:space="preserve">R. v. </w:t>
      </w:r>
      <w:proofErr w:type="spellStart"/>
      <w:r w:rsidR="00BC4E94" w:rsidRPr="000D119F">
        <w:rPr>
          <w:i/>
        </w:rPr>
        <w:t>Grandinetti</w:t>
      </w:r>
      <w:proofErr w:type="spellEnd"/>
      <w:r w:rsidR="00BC4E94" w:rsidRPr="000D119F">
        <w:t xml:space="preserve">, 2005 SCC 5, [2005] 1 S.C.R. 27; </w:t>
      </w:r>
      <w:r w:rsidR="00557308" w:rsidRPr="000D119F">
        <w:rPr>
          <w:i/>
        </w:rPr>
        <w:t>R. v. L. (D.O.)</w:t>
      </w:r>
      <w:r w:rsidR="00557308" w:rsidRPr="000D119F">
        <w:t xml:space="preserve">, [1993] 4 S.C.R. 419; </w:t>
      </w:r>
      <w:r w:rsidR="00557308" w:rsidRPr="000D119F">
        <w:rPr>
          <w:i/>
        </w:rPr>
        <w:t>R. v. Corbett</w:t>
      </w:r>
      <w:r w:rsidR="00557308" w:rsidRPr="000D119F">
        <w:t>, [1988] 1 S.C.R. 670</w:t>
      </w:r>
      <w:r w:rsidR="00D41F2D" w:rsidRPr="000D119F">
        <w:t xml:space="preserve">; </w:t>
      </w:r>
      <w:r w:rsidR="00C741BB" w:rsidRPr="000D119F">
        <w:rPr>
          <w:i/>
        </w:rPr>
        <w:t>R. v. No</w:t>
      </w:r>
      <w:r w:rsidR="00C741BB" w:rsidRPr="000D119F">
        <w:rPr>
          <w:i/>
          <w:lang w:val="en-US"/>
        </w:rPr>
        <w:t>ë</w:t>
      </w:r>
      <w:r w:rsidR="00C741BB" w:rsidRPr="000D119F">
        <w:rPr>
          <w:i/>
        </w:rPr>
        <w:t>l</w:t>
      </w:r>
      <w:r w:rsidR="00C741BB" w:rsidRPr="000D119F">
        <w:t xml:space="preserve">, 2002 SCC 67, [2002] 3 S.C.R. 433; </w:t>
      </w:r>
      <w:proofErr w:type="spellStart"/>
      <w:r w:rsidR="00FC2E37" w:rsidRPr="000D119F">
        <w:rPr>
          <w:i/>
        </w:rPr>
        <w:t>Sweitzer</w:t>
      </w:r>
      <w:proofErr w:type="spellEnd"/>
      <w:r w:rsidR="00FC2E37" w:rsidRPr="000D119F">
        <w:rPr>
          <w:i/>
        </w:rPr>
        <w:t xml:space="preserve"> v. </w:t>
      </w:r>
      <w:proofErr w:type="gramStart"/>
      <w:r w:rsidR="00FC2E37" w:rsidRPr="000D119F">
        <w:rPr>
          <w:i/>
        </w:rPr>
        <w:t>The Queen</w:t>
      </w:r>
      <w:r w:rsidR="00FC2E37" w:rsidRPr="000D119F">
        <w:t xml:space="preserve">, [1982] 1 S.C.R. 949; </w:t>
      </w:r>
      <w:r w:rsidR="00467418" w:rsidRPr="000D119F">
        <w:rPr>
          <w:i/>
        </w:rPr>
        <w:t xml:space="preserve">R. v. </w:t>
      </w:r>
      <w:proofErr w:type="spellStart"/>
      <w:r w:rsidR="00467418" w:rsidRPr="000D119F">
        <w:rPr>
          <w:i/>
        </w:rPr>
        <w:t>Harrer</w:t>
      </w:r>
      <w:proofErr w:type="spellEnd"/>
      <w:r w:rsidR="00467418" w:rsidRPr="000D119F">
        <w:t xml:space="preserve">, [1995] 3 S.C.R. 562; </w:t>
      </w:r>
      <w:r w:rsidR="00C321DB" w:rsidRPr="000D119F">
        <w:rPr>
          <w:i/>
          <w:lang w:val="en-US"/>
        </w:rPr>
        <w:t>R. v. Shearing</w:t>
      </w:r>
      <w:r w:rsidR="00C321DB" w:rsidRPr="000D119F">
        <w:rPr>
          <w:lang w:val="en-US"/>
        </w:rPr>
        <w:t xml:space="preserve">, 2002 SCC 58, [2002] 3 S.C.R. 33; </w:t>
      </w:r>
      <w:r w:rsidR="00C321DB" w:rsidRPr="000D119F">
        <w:rPr>
          <w:i/>
          <w:lang w:val="en-US"/>
        </w:rPr>
        <w:t xml:space="preserve">R. v. </w:t>
      </w:r>
      <w:proofErr w:type="spellStart"/>
      <w:r w:rsidR="00C321DB" w:rsidRPr="000D119F">
        <w:rPr>
          <w:i/>
          <w:lang w:val="en-US"/>
        </w:rPr>
        <w:t>Arcangioli</w:t>
      </w:r>
      <w:proofErr w:type="spellEnd"/>
      <w:r w:rsidR="00C321DB" w:rsidRPr="000D119F">
        <w:rPr>
          <w:lang w:val="en-US"/>
        </w:rPr>
        <w:t xml:space="preserve">, [1994] 1 S.C.R. 129; </w:t>
      </w:r>
      <w:r w:rsidR="004962DA" w:rsidRPr="000D119F">
        <w:rPr>
          <w:i/>
        </w:rPr>
        <w:t xml:space="preserve">R. v. </w:t>
      </w:r>
      <w:proofErr w:type="spellStart"/>
      <w:r w:rsidR="004962DA" w:rsidRPr="000D119F">
        <w:rPr>
          <w:i/>
        </w:rPr>
        <w:t>Cinous</w:t>
      </w:r>
      <w:proofErr w:type="spellEnd"/>
      <w:r w:rsidR="004962DA" w:rsidRPr="000D119F">
        <w:t>, 2002 SCC 29, [2002] 2 S.C.R. 3</w:t>
      </w:r>
      <w:r w:rsidR="009E50AB" w:rsidRPr="000D119F">
        <w:t xml:space="preserve">; </w:t>
      </w:r>
      <w:r w:rsidR="0087457A" w:rsidRPr="000D119F">
        <w:rPr>
          <w:i/>
        </w:rPr>
        <w:t>McMillan v.</w:t>
      </w:r>
      <w:proofErr w:type="gramEnd"/>
      <w:r w:rsidR="0087457A" w:rsidRPr="000D119F">
        <w:rPr>
          <w:i/>
        </w:rPr>
        <w:t xml:space="preserve"> The Queen</w:t>
      </w:r>
      <w:r w:rsidR="0087457A" w:rsidRPr="000D119F">
        <w:t>, [1977] 2 S.C.R. 824</w:t>
      </w:r>
      <w:r w:rsidR="006F19F3" w:rsidRPr="000D119F">
        <w:t xml:space="preserve">, </w:t>
      </w:r>
      <w:proofErr w:type="spellStart"/>
      <w:r w:rsidR="006F19F3" w:rsidRPr="000D119F">
        <w:t>aff</w:t>
      </w:r>
      <w:r w:rsidR="00CF0CF9" w:rsidRPr="000D119F">
        <w:t>’</w:t>
      </w:r>
      <w:r w:rsidR="006F19F3" w:rsidRPr="000D119F">
        <w:t>g</w:t>
      </w:r>
      <w:proofErr w:type="spellEnd"/>
      <w:r w:rsidR="006F19F3" w:rsidRPr="000D119F">
        <w:t xml:space="preserve"> (1975), 7 O.R. (2d) 750</w:t>
      </w:r>
      <w:r w:rsidR="0087457A" w:rsidRPr="000D119F">
        <w:t xml:space="preserve">; </w:t>
      </w:r>
      <w:r w:rsidR="00962311" w:rsidRPr="000D119F">
        <w:rPr>
          <w:i/>
          <w:iCs/>
          <w:lang w:val="en-US"/>
        </w:rPr>
        <w:t xml:space="preserve">State v. </w:t>
      </w:r>
      <w:proofErr w:type="spellStart"/>
      <w:r w:rsidR="00962311" w:rsidRPr="000D119F">
        <w:rPr>
          <w:i/>
          <w:iCs/>
          <w:lang w:val="en-US"/>
        </w:rPr>
        <w:t>Scheidell</w:t>
      </w:r>
      <w:proofErr w:type="spellEnd"/>
      <w:r w:rsidR="00962311" w:rsidRPr="000D119F">
        <w:rPr>
          <w:iCs/>
          <w:lang w:val="en-US"/>
        </w:rPr>
        <w:t>, 227 Wis.2d 285</w:t>
      </w:r>
      <w:r w:rsidR="006F19F3" w:rsidRPr="000D119F">
        <w:rPr>
          <w:iCs/>
          <w:lang w:val="en-US"/>
        </w:rPr>
        <w:t xml:space="preserve"> (1999)</w:t>
      </w:r>
      <w:r w:rsidR="00634120" w:rsidRPr="000D119F">
        <w:t xml:space="preserve">; </w:t>
      </w:r>
      <w:r w:rsidR="00166F72" w:rsidRPr="000D119F">
        <w:rPr>
          <w:i/>
        </w:rPr>
        <w:t>United States</w:t>
      </w:r>
      <w:r w:rsidR="009A200D" w:rsidRPr="000D119F">
        <w:rPr>
          <w:i/>
        </w:rPr>
        <w:t xml:space="preserve"> v. Stevens</w:t>
      </w:r>
      <w:r w:rsidR="009A200D" w:rsidRPr="000D119F">
        <w:t xml:space="preserve">, 935 F.2d 1380 (1991); </w:t>
      </w:r>
      <w:r w:rsidR="009A200D" w:rsidRPr="000D119F">
        <w:rPr>
          <w:i/>
        </w:rPr>
        <w:t>Wiley v. State</w:t>
      </w:r>
      <w:r w:rsidR="009A200D" w:rsidRPr="000D119F">
        <w:t>,</w:t>
      </w:r>
      <w:r w:rsidR="00F52D69" w:rsidRPr="000D119F">
        <w:t xml:space="preserve"> 74 S.W.3d 399 (2002)</w:t>
      </w:r>
      <w:r w:rsidR="009A200D" w:rsidRPr="000D119F">
        <w:t xml:space="preserve">; </w:t>
      </w:r>
      <w:r w:rsidR="009A200D" w:rsidRPr="000D119F">
        <w:rPr>
          <w:i/>
        </w:rPr>
        <w:t>United States v. McVeigh</w:t>
      </w:r>
      <w:r w:rsidR="009A200D" w:rsidRPr="000D119F">
        <w:t xml:space="preserve">, </w:t>
      </w:r>
      <w:r w:rsidR="00F52D69" w:rsidRPr="000D119F">
        <w:t>153 F.3d 1166 (1998)</w:t>
      </w:r>
      <w:r w:rsidR="009A200D" w:rsidRPr="000D119F">
        <w:t xml:space="preserve">; </w:t>
      </w:r>
      <w:r w:rsidR="009A200D" w:rsidRPr="000D119F">
        <w:rPr>
          <w:i/>
        </w:rPr>
        <w:t>Caldwell v. State</w:t>
      </w:r>
      <w:r w:rsidR="009A200D" w:rsidRPr="000D119F">
        <w:t>, 356 S.W.3d 42 (2011)</w:t>
      </w:r>
      <w:r w:rsidR="00F52D69" w:rsidRPr="000D119F">
        <w:t xml:space="preserve">; </w:t>
      </w:r>
      <w:r w:rsidR="009A200D" w:rsidRPr="000D119F">
        <w:rPr>
          <w:i/>
        </w:rPr>
        <w:t>Davis v. State</w:t>
      </w:r>
      <w:r w:rsidR="009A200D" w:rsidRPr="000D119F">
        <w:t>, 413 S.W.3</w:t>
      </w:r>
      <w:r w:rsidR="00F52D69" w:rsidRPr="000D119F">
        <w:t>d 816 (2013);</w:t>
      </w:r>
      <w:r w:rsidR="00D3280F" w:rsidRPr="000D119F">
        <w:t xml:space="preserve"> </w:t>
      </w:r>
      <w:r w:rsidR="00D3280F" w:rsidRPr="000D119F">
        <w:rPr>
          <w:i/>
          <w:lang w:val="en-US"/>
        </w:rPr>
        <w:t>R. v. Arp</w:t>
      </w:r>
      <w:r w:rsidR="00D3280F" w:rsidRPr="000D119F">
        <w:rPr>
          <w:lang w:val="en-US"/>
        </w:rPr>
        <w:t xml:space="preserve">, [1998] 3 S.C.R. 339; </w:t>
      </w:r>
      <w:r w:rsidR="00D3280F" w:rsidRPr="000D119F">
        <w:rPr>
          <w:i/>
          <w:lang w:val="en-US"/>
        </w:rPr>
        <w:t>R. v. B.</w:t>
      </w:r>
      <w:r w:rsidR="00B2332F" w:rsidRPr="000D119F">
        <w:rPr>
          <w:i/>
          <w:lang w:val="en-US"/>
        </w:rPr>
        <w:t xml:space="preserve"> </w:t>
      </w:r>
      <w:r w:rsidR="00D3280F" w:rsidRPr="000D119F">
        <w:rPr>
          <w:i/>
          <w:lang w:val="en-US"/>
        </w:rPr>
        <w:t>(C.R.)</w:t>
      </w:r>
      <w:r w:rsidR="00D3280F" w:rsidRPr="000D119F">
        <w:rPr>
          <w:lang w:val="en-US"/>
        </w:rPr>
        <w:t>,</w:t>
      </w:r>
      <w:r w:rsidR="00D3280F" w:rsidRPr="000D119F">
        <w:rPr>
          <w:szCs w:val="24"/>
          <w:lang w:val="en-US"/>
        </w:rPr>
        <w:t xml:space="preserve"> </w:t>
      </w:r>
      <w:r w:rsidR="00D3280F" w:rsidRPr="000D119F">
        <w:rPr>
          <w:lang w:val="en-US"/>
        </w:rPr>
        <w:t xml:space="preserve">[1990] 1 S.C.R. 717; </w:t>
      </w:r>
      <w:r w:rsidR="000649C3" w:rsidRPr="000D119F">
        <w:rPr>
          <w:i/>
          <w:lang w:val="en-US"/>
        </w:rPr>
        <w:t xml:space="preserve">R. v. </w:t>
      </w:r>
      <w:proofErr w:type="spellStart"/>
      <w:r w:rsidR="000649C3" w:rsidRPr="000D119F">
        <w:rPr>
          <w:i/>
          <w:lang w:val="en-US"/>
        </w:rPr>
        <w:t>Scopelliti</w:t>
      </w:r>
      <w:proofErr w:type="spellEnd"/>
      <w:r w:rsidR="000649C3" w:rsidRPr="000D119F">
        <w:rPr>
          <w:lang w:val="en-US"/>
        </w:rPr>
        <w:t xml:space="preserve"> (1981), 34 O.R. (2d) 524; </w:t>
      </w:r>
      <w:r w:rsidR="000649C3" w:rsidRPr="000D119F">
        <w:rPr>
          <w:i/>
          <w:lang w:val="en-US"/>
        </w:rPr>
        <w:t xml:space="preserve">R. v. Pollock </w:t>
      </w:r>
      <w:r w:rsidR="000649C3" w:rsidRPr="000D119F">
        <w:rPr>
          <w:lang w:val="en-US"/>
        </w:rPr>
        <w:t xml:space="preserve">(2004), </w:t>
      </w:r>
      <w:r w:rsidR="000649C3" w:rsidRPr="000D119F">
        <w:t>187 C.C.C. (3d) 213;</w:t>
      </w:r>
      <w:r w:rsidR="000649C3" w:rsidRPr="000D119F">
        <w:rPr>
          <w:i/>
          <w:lang w:val="en-US"/>
        </w:rPr>
        <w:t xml:space="preserve"> R. v. Kendall</w:t>
      </w:r>
      <w:r w:rsidR="000649C3" w:rsidRPr="000D119F">
        <w:rPr>
          <w:lang w:val="en-US"/>
        </w:rPr>
        <w:t xml:space="preserve"> (1987), 35 C.C.C. (3d) 105; </w:t>
      </w:r>
      <w:r w:rsidR="000649C3" w:rsidRPr="000D119F">
        <w:rPr>
          <w:i/>
          <w:lang w:val="en-US"/>
        </w:rPr>
        <w:t>R. v. Sims</w:t>
      </w:r>
      <w:r w:rsidR="000649C3" w:rsidRPr="000D119F">
        <w:rPr>
          <w:lang w:val="en-US"/>
        </w:rPr>
        <w:t xml:space="preserve"> (1994), 28 C.R. (4th) 231; </w:t>
      </w:r>
      <w:r w:rsidR="000649C3" w:rsidRPr="000D119F">
        <w:rPr>
          <w:i/>
          <w:lang w:val="en-US"/>
        </w:rPr>
        <w:t>R. v. Hamilton</w:t>
      </w:r>
      <w:r w:rsidR="000649C3" w:rsidRPr="000D119F">
        <w:rPr>
          <w:lang w:val="en-US"/>
        </w:rPr>
        <w:t>, 2003 BCCA 490</w:t>
      </w:r>
      <w:r w:rsidR="005149A1" w:rsidRPr="000D119F">
        <w:rPr>
          <w:lang w:val="en-US"/>
        </w:rPr>
        <w:t>, 180 C.C.C. (3d) 80</w:t>
      </w:r>
      <w:r w:rsidR="000649C3" w:rsidRPr="000D119F">
        <w:rPr>
          <w:lang w:val="en-US"/>
        </w:rPr>
        <w:t xml:space="preserve">; </w:t>
      </w:r>
      <w:r w:rsidR="000649C3" w:rsidRPr="000D119F">
        <w:rPr>
          <w:i/>
          <w:lang w:val="en-US"/>
        </w:rPr>
        <w:t xml:space="preserve">R. v. </w:t>
      </w:r>
      <w:proofErr w:type="spellStart"/>
      <w:r w:rsidR="000649C3" w:rsidRPr="000D119F">
        <w:rPr>
          <w:i/>
          <w:lang w:val="en-US"/>
        </w:rPr>
        <w:t>Brousseau</w:t>
      </w:r>
      <w:proofErr w:type="spellEnd"/>
      <w:r w:rsidR="000649C3" w:rsidRPr="000D119F">
        <w:rPr>
          <w:lang w:val="en-US"/>
        </w:rPr>
        <w:t>, 2006 QCCA 858</w:t>
      </w:r>
      <w:r w:rsidR="001917D9" w:rsidRPr="000D119F">
        <w:rPr>
          <w:lang w:val="en-US"/>
        </w:rPr>
        <w:t xml:space="preserve">; </w:t>
      </w:r>
      <w:r w:rsidR="007C2E1C" w:rsidRPr="000D119F">
        <w:rPr>
          <w:i/>
        </w:rPr>
        <w:t>State v. Sullivan</w:t>
      </w:r>
      <w:r w:rsidR="00FD4616" w:rsidRPr="000D119F">
        <w:t xml:space="preserve">, 216 Wis.2d </w:t>
      </w:r>
      <w:r w:rsidR="004C089B" w:rsidRPr="000D119F">
        <w:t>768</w:t>
      </w:r>
      <w:r w:rsidR="00FD4616" w:rsidRPr="000D119F">
        <w:t xml:space="preserve"> (1998)</w:t>
      </w:r>
      <w:r w:rsidR="00FF7B61" w:rsidRPr="000D119F">
        <w:t xml:space="preserve">; </w:t>
      </w:r>
      <w:r w:rsidR="004B4646" w:rsidRPr="000D119F" w:rsidDel="00941C86">
        <w:rPr>
          <w:i/>
        </w:rPr>
        <w:t>R. v. Murphy</w:t>
      </w:r>
      <w:r w:rsidR="004B4646" w:rsidRPr="000D119F" w:rsidDel="00941C86">
        <w:t xml:space="preserve">, 2012 </w:t>
      </w:r>
      <w:r w:rsidR="004B4646" w:rsidRPr="000D119F" w:rsidDel="00941C86">
        <w:lastRenderedPageBreak/>
        <w:t>ONCA 573</w:t>
      </w:r>
      <w:r w:rsidR="004B4646" w:rsidRPr="000D119F">
        <w:t xml:space="preserve">, 295 O.A.C. 281; </w:t>
      </w:r>
      <w:r w:rsidR="004B4646" w:rsidRPr="000D119F">
        <w:rPr>
          <w:i/>
        </w:rPr>
        <w:t>R. v. Underwood</w:t>
      </w:r>
      <w:r w:rsidR="004B4646" w:rsidRPr="000D119F">
        <w:t>, 2002 ABCA 310</w:t>
      </w:r>
      <w:r w:rsidR="00882471" w:rsidRPr="000D119F">
        <w:t xml:space="preserve">, 170 C.C.C. (3d) 500; </w:t>
      </w:r>
      <w:r w:rsidR="00B45F6E" w:rsidRPr="000D119F" w:rsidDel="00941C86">
        <w:rPr>
          <w:i/>
        </w:rPr>
        <w:t>R. v. Clarke</w:t>
      </w:r>
      <w:r w:rsidR="00B45F6E" w:rsidRPr="000D119F" w:rsidDel="00941C86">
        <w:t xml:space="preserve"> (1998), 129 C.C.C. (3d) 1</w:t>
      </w:r>
      <w:r w:rsidR="00B45F6E" w:rsidRPr="000D119F">
        <w:t xml:space="preserve">; </w:t>
      </w:r>
      <w:r w:rsidR="00B45F6E" w:rsidRPr="000D119F" w:rsidDel="00941C86">
        <w:rPr>
          <w:i/>
        </w:rPr>
        <w:t>R. v. Jackson</w:t>
      </w:r>
      <w:r w:rsidR="00B45F6E" w:rsidRPr="000D119F" w:rsidDel="00941C86">
        <w:t xml:space="preserve">, </w:t>
      </w:r>
      <w:r w:rsidR="002C0B64" w:rsidRPr="000D119F" w:rsidDel="00941C86">
        <w:t>2013 ONCA 632</w:t>
      </w:r>
      <w:r w:rsidR="002C0B64" w:rsidRPr="000D119F">
        <w:t xml:space="preserve">, 301 C.C.C. (3d) 358, </w:t>
      </w:r>
      <w:proofErr w:type="spellStart"/>
      <w:r w:rsidR="002C0B64" w:rsidRPr="000D119F">
        <w:t>aff</w:t>
      </w:r>
      <w:r w:rsidR="00CF0CF9" w:rsidRPr="000D119F">
        <w:t>’</w:t>
      </w:r>
      <w:r w:rsidR="002C0B64" w:rsidRPr="000D119F">
        <w:t>d</w:t>
      </w:r>
      <w:proofErr w:type="spellEnd"/>
      <w:r w:rsidR="002C0B64" w:rsidRPr="000D119F">
        <w:t xml:space="preserve"> </w:t>
      </w:r>
      <w:r w:rsidR="00B009B2" w:rsidRPr="000D119F">
        <w:t>2014 SC</w:t>
      </w:r>
      <w:r w:rsidR="002C0B64" w:rsidRPr="000D119F">
        <w:t>C 30, [2014] 1 S.C.R. 672</w:t>
      </w:r>
      <w:r w:rsidR="008165ED" w:rsidRPr="000D119F">
        <w:t xml:space="preserve">; </w:t>
      </w:r>
      <w:r w:rsidR="00705DA8" w:rsidRPr="000D119F" w:rsidDel="00941C86">
        <w:rPr>
          <w:i/>
        </w:rPr>
        <w:t>R. v. C.</w:t>
      </w:r>
      <w:r w:rsidR="00705DA8" w:rsidRPr="000D119F">
        <w:rPr>
          <w:i/>
        </w:rPr>
        <w:t xml:space="preserve"> </w:t>
      </w:r>
      <w:r w:rsidR="00705DA8" w:rsidRPr="000D119F" w:rsidDel="00941C86">
        <w:rPr>
          <w:i/>
        </w:rPr>
        <w:t>(T.)</w:t>
      </w:r>
      <w:r w:rsidR="00705DA8" w:rsidRPr="000D119F" w:rsidDel="00941C86">
        <w:t xml:space="preserve"> </w:t>
      </w:r>
      <w:r w:rsidR="00705DA8" w:rsidRPr="000D119F" w:rsidDel="00941C86">
        <w:rPr>
          <w:lang w:val="en-US"/>
        </w:rPr>
        <w:t>(2004), 189 C.C.C. (3d) 473</w:t>
      </w:r>
      <w:r w:rsidR="00705DA8" w:rsidRPr="000D119F">
        <w:rPr>
          <w:lang w:val="en-US"/>
        </w:rPr>
        <w:t xml:space="preserve">; </w:t>
      </w:r>
      <w:r w:rsidR="005B4296" w:rsidRPr="000D119F" w:rsidDel="00941C86">
        <w:rPr>
          <w:i/>
        </w:rPr>
        <w:t xml:space="preserve">R. v. </w:t>
      </w:r>
      <w:proofErr w:type="spellStart"/>
      <w:r w:rsidR="005B4296" w:rsidRPr="000D119F" w:rsidDel="00941C86">
        <w:rPr>
          <w:i/>
        </w:rPr>
        <w:t>Humaid</w:t>
      </w:r>
      <w:proofErr w:type="spellEnd"/>
      <w:r w:rsidR="005B4296" w:rsidRPr="000D119F" w:rsidDel="00941C86">
        <w:t xml:space="preserve"> (2006), 37 C.R. (6th) 347</w:t>
      </w:r>
      <w:r w:rsidR="005B4296" w:rsidRPr="000D119F">
        <w:t>;</w:t>
      </w:r>
      <w:r w:rsidR="00B40570" w:rsidRPr="000D119F">
        <w:rPr>
          <w:i/>
          <w:szCs w:val="24"/>
        </w:rPr>
        <w:t xml:space="preserve"> </w:t>
      </w:r>
      <w:r w:rsidR="00B40570" w:rsidRPr="000D119F">
        <w:rPr>
          <w:i/>
        </w:rPr>
        <w:t>R. v. Hart</w:t>
      </w:r>
      <w:r w:rsidR="00B40570" w:rsidRPr="000D119F">
        <w:t xml:space="preserve">, 2014 SCC 52, [2014] 2 S.C.R. 544; </w:t>
      </w:r>
      <w:r w:rsidR="0036057A" w:rsidRPr="000D119F">
        <w:rPr>
          <w:i/>
        </w:rPr>
        <w:t xml:space="preserve">R. v. </w:t>
      </w:r>
      <w:proofErr w:type="spellStart"/>
      <w:r w:rsidR="0036057A" w:rsidRPr="000D119F">
        <w:rPr>
          <w:i/>
        </w:rPr>
        <w:t>Buzizi</w:t>
      </w:r>
      <w:proofErr w:type="spellEnd"/>
      <w:r w:rsidR="0036057A" w:rsidRPr="000D119F">
        <w:t xml:space="preserve">, 2013 SCC 27, [2013] 2 S.C.R. 248; </w:t>
      </w:r>
      <w:r w:rsidR="002836D4" w:rsidRPr="000D119F">
        <w:rPr>
          <w:i/>
        </w:rPr>
        <w:t xml:space="preserve">R. v. </w:t>
      </w:r>
      <w:proofErr w:type="spellStart"/>
      <w:r w:rsidR="002836D4" w:rsidRPr="000D119F">
        <w:rPr>
          <w:i/>
        </w:rPr>
        <w:t>Stinchcombe</w:t>
      </w:r>
      <w:proofErr w:type="spellEnd"/>
      <w:r w:rsidR="002836D4" w:rsidRPr="000D119F">
        <w:t xml:space="preserve">, [1991] 3 S.C.R. 326; </w:t>
      </w:r>
      <w:r w:rsidR="00D37C75" w:rsidRPr="000D119F">
        <w:rPr>
          <w:i/>
        </w:rPr>
        <w:t xml:space="preserve">R. v. </w:t>
      </w:r>
      <w:proofErr w:type="spellStart"/>
      <w:r w:rsidR="00D37C75" w:rsidRPr="000D119F">
        <w:rPr>
          <w:i/>
        </w:rPr>
        <w:t>Quesnelle</w:t>
      </w:r>
      <w:proofErr w:type="spellEnd"/>
      <w:r w:rsidR="00D37C75" w:rsidRPr="000D119F">
        <w:t xml:space="preserve">, 2014 SCC 46, [2014] 2 S.C.R. 390; </w:t>
      </w:r>
      <w:proofErr w:type="spellStart"/>
      <w:r w:rsidR="007B51AB" w:rsidRPr="000D119F">
        <w:rPr>
          <w:i/>
        </w:rPr>
        <w:t>Housen</w:t>
      </w:r>
      <w:proofErr w:type="spellEnd"/>
      <w:r w:rsidR="007B51AB" w:rsidRPr="000D119F">
        <w:rPr>
          <w:i/>
        </w:rPr>
        <w:t xml:space="preserve"> v. </w:t>
      </w:r>
      <w:proofErr w:type="spellStart"/>
      <w:r w:rsidR="007B51AB" w:rsidRPr="000D119F">
        <w:rPr>
          <w:i/>
        </w:rPr>
        <w:t>Nikolaisen</w:t>
      </w:r>
      <w:proofErr w:type="spellEnd"/>
      <w:r w:rsidR="007B51AB" w:rsidRPr="000D119F">
        <w:t xml:space="preserve">, 2002 SCC 33, [2002] 2 S.C.R. 235; </w:t>
      </w:r>
      <w:r w:rsidR="007B51AB" w:rsidRPr="000D119F">
        <w:rPr>
          <w:i/>
        </w:rPr>
        <w:t xml:space="preserve">R. v. </w:t>
      </w:r>
      <w:proofErr w:type="spellStart"/>
      <w:r w:rsidR="007B51AB" w:rsidRPr="000D119F">
        <w:rPr>
          <w:i/>
        </w:rPr>
        <w:t>Khelawon</w:t>
      </w:r>
      <w:proofErr w:type="spellEnd"/>
      <w:r w:rsidR="007B51AB" w:rsidRPr="000D119F">
        <w:t xml:space="preserve">, 2006 SCC 57, [2006] 2 S.C.R. 787; </w:t>
      </w:r>
      <w:r w:rsidR="002F55EE" w:rsidRPr="000D119F">
        <w:rPr>
          <w:i/>
        </w:rPr>
        <w:t>R. v. Morin</w:t>
      </w:r>
      <w:r w:rsidR="002F55EE" w:rsidRPr="000D119F">
        <w:t>, [1988]</w:t>
      </w:r>
      <w:r w:rsidR="002F55EE" w:rsidRPr="000D119F">
        <w:rPr>
          <w:i/>
        </w:rPr>
        <w:t xml:space="preserve"> </w:t>
      </w:r>
      <w:r w:rsidR="002F55EE" w:rsidRPr="000D119F">
        <w:t>2 S.C.R. 345.</w:t>
      </w:r>
    </w:p>
    <w:p w:rsidR="003B215F" w:rsidRPr="000D119F" w:rsidRDefault="002E6705" w:rsidP="00E34E3A">
      <w:pPr>
        <w:pStyle w:val="SCCNormalDoubleSpacing"/>
        <w:spacing w:after="720" w:line="240" w:lineRule="auto"/>
      </w:pPr>
      <w:r w:rsidRPr="000D119F">
        <w:rPr>
          <w:b/>
        </w:rPr>
        <w:t>Statutes and Regulations Cite</w:t>
      </w:r>
      <w:r w:rsidR="00A41805" w:rsidRPr="000D119F">
        <w:rPr>
          <w:b/>
        </w:rPr>
        <w:t>d</w:t>
      </w:r>
    </w:p>
    <w:p w:rsidR="00A2061A" w:rsidRPr="000D119F" w:rsidRDefault="00A2061A" w:rsidP="00DC6FFE">
      <w:pPr>
        <w:pStyle w:val="SCCNormalDoubleSpacing"/>
        <w:spacing w:after="240" w:line="240" w:lineRule="auto"/>
        <w:ind w:left="547" w:hanging="547"/>
      </w:pPr>
      <w:r w:rsidRPr="000D119F">
        <w:rPr>
          <w:i/>
        </w:rPr>
        <w:t>Criminal Code</w:t>
      </w:r>
      <w:r w:rsidR="004205B0" w:rsidRPr="000D119F">
        <w:t>, R.S.C. 1985, c.</w:t>
      </w:r>
      <w:r w:rsidR="00E34E3A">
        <w:t xml:space="preserve"> </w:t>
      </w:r>
      <w:r w:rsidRPr="000D119F">
        <w:t>C</w:t>
      </w:r>
      <w:r w:rsidR="00E34E3A">
        <w:t>-</w:t>
      </w:r>
      <w:r w:rsidRPr="000D119F">
        <w:t xml:space="preserve">46, </w:t>
      </w:r>
      <w:r w:rsidR="00907A35" w:rsidRPr="000D119F">
        <w:t>ss.</w:t>
      </w:r>
      <w:r w:rsidR="00E34E3A">
        <w:t xml:space="preserve"> </w:t>
      </w:r>
      <w:r w:rsidRPr="000D119F">
        <w:t>278.1 to 278.91</w:t>
      </w:r>
      <w:r w:rsidR="0007047B" w:rsidRPr="000D119F">
        <w:t>, 686(1</w:t>
      </w:r>
      <w:proofErr w:type="gramStart"/>
      <w:r w:rsidR="0007047B" w:rsidRPr="000D119F">
        <w:t>)(</w:t>
      </w:r>
      <w:proofErr w:type="gramEnd"/>
      <w:r w:rsidR="0007047B" w:rsidRPr="000D119F">
        <w:rPr>
          <w:i/>
        </w:rPr>
        <w:t>b</w:t>
      </w:r>
      <w:r w:rsidR="0007047B" w:rsidRPr="000D119F">
        <w:t>)(iii)</w:t>
      </w:r>
      <w:r w:rsidRPr="000D119F">
        <w:t>.</w:t>
      </w:r>
    </w:p>
    <w:p w:rsidR="00A149DF" w:rsidRPr="000D119F" w:rsidRDefault="00112D01" w:rsidP="00DC6FFE">
      <w:pPr>
        <w:pStyle w:val="SCCNormalDoubleSpacing"/>
        <w:spacing w:after="720" w:line="240" w:lineRule="auto"/>
        <w:ind w:left="547" w:hanging="547"/>
        <w:rPr>
          <w:lang w:val="en-US"/>
        </w:rPr>
      </w:pPr>
      <w:r w:rsidRPr="000D119F">
        <w:rPr>
          <w:i/>
          <w:lang w:val="en-US"/>
        </w:rPr>
        <w:t xml:space="preserve">Criminal Justice Act 2003 </w:t>
      </w:r>
      <w:r w:rsidRPr="000D119F">
        <w:rPr>
          <w:lang w:val="en-US"/>
        </w:rPr>
        <w:t>(U.K.), 2003</w:t>
      </w:r>
      <w:r w:rsidR="004205B0" w:rsidRPr="000D119F">
        <w:rPr>
          <w:lang w:val="en-US"/>
        </w:rPr>
        <w:t>, c.</w:t>
      </w:r>
      <w:r w:rsidR="00E34E3A">
        <w:rPr>
          <w:lang w:val="en-US"/>
        </w:rPr>
        <w:t xml:space="preserve"> </w:t>
      </w:r>
      <w:r w:rsidR="004205B0" w:rsidRPr="000D119F">
        <w:rPr>
          <w:lang w:val="en-US"/>
        </w:rPr>
        <w:t>44, s.</w:t>
      </w:r>
      <w:r w:rsidR="00E34E3A">
        <w:rPr>
          <w:lang w:val="en-US"/>
        </w:rPr>
        <w:t xml:space="preserve"> </w:t>
      </w:r>
      <w:r w:rsidR="00095367" w:rsidRPr="000D119F">
        <w:rPr>
          <w:lang w:val="en-US"/>
        </w:rPr>
        <w:t>100(1</w:t>
      </w:r>
      <w:proofErr w:type="gramStart"/>
      <w:r w:rsidR="00095367" w:rsidRPr="000D119F">
        <w:rPr>
          <w:lang w:val="en-US"/>
        </w:rPr>
        <w:t>)(</w:t>
      </w:r>
      <w:proofErr w:type="gramEnd"/>
      <w:r w:rsidR="00095367" w:rsidRPr="000D119F">
        <w:rPr>
          <w:lang w:val="en-US"/>
        </w:rPr>
        <w:t xml:space="preserve">b), </w:t>
      </w:r>
      <w:r w:rsidRPr="000D119F">
        <w:rPr>
          <w:lang w:val="en-US"/>
        </w:rPr>
        <w:t>(3)(c), (d).</w:t>
      </w:r>
    </w:p>
    <w:p w:rsidR="002E6705" w:rsidRPr="000D119F" w:rsidRDefault="002E6705" w:rsidP="00DC6FFE">
      <w:pPr>
        <w:pStyle w:val="SCCNormalDoubleSpacing"/>
        <w:spacing w:after="720" w:line="240" w:lineRule="auto"/>
        <w:rPr>
          <w:b/>
        </w:rPr>
      </w:pPr>
      <w:r w:rsidRPr="000D119F">
        <w:rPr>
          <w:b/>
        </w:rPr>
        <w:t>Authors Cited</w:t>
      </w:r>
    </w:p>
    <w:p w:rsidR="009B567B" w:rsidRPr="000D119F" w:rsidRDefault="009B567B" w:rsidP="009B567B">
      <w:pPr>
        <w:pStyle w:val="SCCNormalDoubleSpacing"/>
        <w:spacing w:after="240" w:line="240" w:lineRule="auto"/>
        <w:ind w:left="547" w:hanging="547"/>
      </w:pPr>
      <w:r w:rsidRPr="000D119F">
        <w:rPr>
          <w:i/>
        </w:rPr>
        <w:t>Cross on Evidence</w:t>
      </w:r>
      <w:r w:rsidRPr="000D119F">
        <w:t>, 9th Australian ed. by John</w:t>
      </w:r>
      <w:r w:rsidR="00E34E3A">
        <w:t xml:space="preserve"> </w:t>
      </w:r>
      <w:r w:rsidRPr="000D119F">
        <w:t xml:space="preserve">D. </w:t>
      </w:r>
      <w:proofErr w:type="spellStart"/>
      <w:r w:rsidRPr="000D119F">
        <w:t>Heydon</w:t>
      </w:r>
      <w:proofErr w:type="spellEnd"/>
      <w:r w:rsidRPr="000D119F">
        <w:t xml:space="preserve">. </w:t>
      </w:r>
      <w:proofErr w:type="spellStart"/>
      <w:r w:rsidRPr="000D119F">
        <w:t>Chatswood</w:t>
      </w:r>
      <w:proofErr w:type="spellEnd"/>
      <w:r w:rsidRPr="000D119F">
        <w:t>, N.S.W.</w:t>
      </w:r>
      <w:r w:rsidR="00907A35" w:rsidRPr="000D119F">
        <w:t xml:space="preserve">:  </w:t>
      </w:r>
      <w:r w:rsidRPr="000D119F">
        <w:t xml:space="preserve">LexisNexis </w:t>
      </w:r>
      <w:proofErr w:type="spellStart"/>
      <w:r w:rsidRPr="000D119F">
        <w:t>Butterworths</w:t>
      </w:r>
      <w:proofErr w:type="spellEnd"/>
      <w:r w:rsidRPr="000D119F">
        <w:t>, 2013.</w:t>
      </w:r>
    </w:p>
    <w:p w:rsidR="00A149DF" w:rsidRPr="000D119F" w:rsidRDefault="000D3F4B" w:rsidP="009B567B">
      <w:pPr>
        <w:pStyle w:val="SCCNormalDoubleSpacing"/>
        <w:spacing w:after="720" w:line="240" w:lineRule="auto"/>
        <w:ind w:left="547" w:hanging="547"/>
      </w:pPr>
      <w:proofErr w:type="spellStart"/>
      <w:r w:rsidRPr="000D119F">
        <w:rPr>
          <w:i/>
        </w:rPr>
        <w:t>Phipson</w:t>
      </w:r>
      <w:proofErr w:type="spellEnd"/>
      <w:r w:rsidRPr="000D119F">
        <w:rPr>
          <w:i/>
        </w:rPr>
        <w:t xml:space="preserve"> on Evidence</w:t>
      </w:r>
      <w:r w:rsidRPr="000D119F">
        <w:t>, 18</w:t>
      </w:r>
      <w:r w:rsidR="00C91975" w:rsidRPr="000D119F">
        <w:t>th ed. by Hodge M</w:t>
      </w:r>
      <w:r w:rsidR="00A25014" w:rsidRPr="000D119F">
        <w:t>.</w:t>
      </w:r>
      <w:r w:rsidR="00E34E3A">
        <w:t xml:space="preserve"> </w:t>
      </w:r>
      <w:proofErr w:type="spellStart"/>
      <w:r w:rsidRPr="000D119F">
        <w:t>Malek</w:t>
      </w:r>
      <w:proofErr w:type="spellEnd"/>
      <w:r w:rsidRPr="000D119F">
        <w:t xml:space="preserve"> et </w:t>
      </w:r>
      <w:r w:rsidR="00907A35" w:rsidRPr="000D119F">
        <w:t>al.</w:t>
      </w:r>
      <w:r w:rsidR="00E34E3A">
        <w:t xml:space="preserve"> </w:t>
      </w:r>
      <w:r w:rsidRPr="000D119F">
        <w:t>London</w:t>
      </w:r>
      <w:r w:rsidR="00907A35" w:rsidRPr="000D119F">
        <w:t xml:space="preserve">:  </w:t>
      </w:r>
      <w:r w:rsidRPr="000D119F">
        <w:t>Sweet &amp; Maxwell, 201</w:t>
      </w:r>
      <w:r w:rsidR="00E14659" w:rsidRPr="000D119F">
        <w:t>3</w:t>
      </w:r>
      <w:r w:rsidRPr="000D119F">
        <w:t>.</w:t>
      </w:r>
    </w:p>
    <w:p w:rsidR="00A44EC9" w:rsidRPr="000D119F" w:rsidRDefault="009B57B3" w:rsidP="00A44EC9">
      <w:pPr>
        <w:pStyle w:val="SCCNormalDoubleSpacing"/>
        <w:spacing w:before="480" w:after="480"/>
        <w:rPr>
          <w:lang w:val="en-US"/>
        </w:rPr>
      </w:pPr>
      <w:r w:rsidRPr="000D119F">
        <w:tab/>
        <w:t xml:space="preserve">APPEAL from a judgment of the </w:t>
      </w:r>
      <w:r w:rsidR="00F1720B" w:rsidRPr="000D119F">
        <w:t>Manitoba Court of Appeal (</w:t>
      </w:r>
      <w:proofErr w:type="spellStart"/>
      <w:r w:rsidR="00F1720B" w:rsidRPr="000D119F">
        <w:t>Chartier</w:t>
      </w:r>
      <w:proofErr w:type="spellEnd"/>
      <w:r w:rsidR="00E34E3A">
        <w:t xml:space="preserve"> </w:t>
      </w:r>
      <w:r w:rsidR="00D5797D" w:rsidRPr="000D119F">
        <w:t>C.J.</w:t>
      </w:r>
      <w:r w:rsidR="002240A1" w:rsidRPr="000D119F">
        <w:t>M</w:t>
      </w:r>
      <w:r w:rsidR="00492F31" w:rsidRPr="000D119F">
        <w:t>.</w:t>
      </w:r>
      <w:r w:rsidR="00D5797D" w:rsidRPr="000D119F">
        <w:t xml:space="preserve"> and</w:t>
      </w:r>
      <w:r w:rsidR="00A367E6" w:rsidRPr="000D119F">
        <w:t xml:space="preserve"> </w:t>
      </w:r>
      <w:proofErr w:type="spellStart"/>
      <w:r w:rsidR="00A367E6" w:rsidRPr="000D119F">
        <w:t>Monnin</w:t>
      </w:r>
      <w:proofErr w:type="spellEnd"/>
      <w:r w:rsidR="00A367E6" w:rsidRPr="000D119F">
        <w:t xml:space="preserve"> and Hamilton</w:t>
      </w:r>
      <w:r w:rsidR="00E34E3A">
        <w:t xml:space="preserve"> </w:t>
      </w:r>
      <w:r w:rsidR="00F1720B" w:rsidRPr="000D119F">
        <w:t xml:space="preserve">JJ.A.), </w:t>
      </w:r>
      <w:r w:rsidR="008E49A5" w:rsidRPr="000D119F">
        <w:t xml:space="preserve">2013 MBCA 95, 299 Man. R. (2d) 202, 590 W.A.C. 202, 302 C.C.C. (3d) 491, [2014] 2 W.W.R. 239, </w:t>
      </w:r>
      <w:r w:rsidR="005E3BC2" w:rsidRPr="000D119F">
        <w:t>[</w:t>
      </w:r>
      <w:r w:rsidR="008E49A5" w:rsidRPr="000D119F">
        <w:t xml:space="preserve">2013] M.J. </w:t>
      </w:r>
      <w:r w:rsidR="00907A35" w:rsidRPr="000D119F">
        <w:t>No.</w:t>
      </w:r>
      <w:r w:rsidR="00E34E3A">
        <w:t xml:space="preserve"> </w:t>
      </w:r>
      <w:r w:rsidR="008E49A5" w:rsidRPr="000D119F">
        <w:t xml:space="preserve">322 (QL), 2013 </w:t>
      </w:r>
      <w:proofErr w:type="spellStart"/>
      <w:r w:rsidR="008E49A5" w:rsidRPr="000D119F">
        <w:t>CarswellMan</w:t>
      </w:r>
      <w:proofErr w:type="spellEnd"/>
      <w:r w:rsidR="008E49A5" w:rsidRPr="000D119F">
        <w:t xml:space="preserve"> 525</w:t>
      </w:r>
      <w:r w:rsidR="00FC156C" w:rsidRPr="000D119F">
        <w:t xml:space="preserve"> (WL Can.)</w:t>
      </w:r>
      <w:r w:rsidR="008E49A5" w:rsidRPr="000D119F">
        <w:t xml:space="preserve">, </w:t>
      </w:r>
      <w:r w:rsidR="00A44EC9" w:rsidRPr="000D119F">
        <w:rPr>
          <w:lang w:val="en-US"/>
        </w:rPr>
        <w:t xml:space="preserve">setting aside a conviction for second degree murder entered by </w:t>
      </w:r>
      <w:proofErr w:type="spellStart"/>
      <w:r w:rsidR="00A44EC9" w:rsidRPr="000D119F">
        <w:rPr>
          <w:lang w:val="en-US"/>
        </w:rPr>
        <w:t>Joyal</w:t>
      </w:r>
      <w:proofErr w:type="spellEnd"/>
      <w:r w:rsidR="00A44EC9" w:rsidRPr="000D119F">
        <w:rPr>
          <w:lang w:val="en-US"/>
        </w:rPr>
        <w:t xml:space="preserve"> A.C.J. and ordering a new tri</w:t>
      </w:r>
      <w:r w:rsidR="00907A35" w:rsidRPr="000D119F">
        <w:rPr>
          <w:lang w:val="en-US"/>
        </w:rPr>
        <w:t>al.</w:t>
      </w:r>
      <w:r w:rsidR="00E34E3A">
        <w:rPr>
          <w:lang w:val="en-US"/>
        </w:rPr>
        <w:t xml:space="preserve"> </w:t>
      </w:r>
      <w:r w:rsidR="00A44EC9" w:rsidRPr="000D119F">
        <w:rPr>
          <w:lang w:val="en-US"/>
        </w:rPr>
        <w:t>Appeal dismissed.</w:t>
      </w:r>
    </w:p>
    <w:p w:rsidR="006E15CC" w:rsidRPr="000D119F" w:rsidRDefault="008E49A5" w:rsidP="00DC6FFE">
      <w:pPr>
        <w:pStyle w:val="SCCNormalDoubleSpacing"/>
        <w:spacing w:before="480" w:after="480"/>
      </w:pPr>
      <w:r w:rsidRPr="000D119F">
        <w:rPr>
          <w:i/>
        </w:rPr>
        <w:lastRenderedPageBreak/>
        <w:tab/>
      </w:r>
      <w:proofErr w:type="spellStart"/>
      <w:proofErr w:type="gramStart"/>
      <w:r w:rsidRPr="000D119F">
        <w:rPr>
          <w:i/>
        </w:rPr>
        <w:t>Amiram</w:t>
      </w:r>
      <w:proofErr w:type="spellEnd"/>
      <w:r w:rsidRPr="000D119F">
        <w:rPr>
          <w:i/>
        </w:rPr>
        <w:t xml:space="preserve"> </w:t>
      </w:r>
      <w:proofErr w:type="spellStart"/>
      <w:r w:rsidRPr="000D119F">
        <w:rPr>
          <w:i/>
        </w:rPr>
        <w:t>Kotler</w:t>
      </w:r>
      <w:proofErr w:type="spellEnd"/>
      <w:r w:rsidRPr="000D119F">
        <w:t xml:space="preserve"> and </w:t>
      </w:r>
      <w:proofErr w:type="spellStart"/>
      <w:r w:rsidRPr="000D119F">
        <w:rPr>
          <w:i/>
        </w:rPr>
        <w:t>Rekha</w:t>
      </w:r>
      <w:proofErr w:type="spellEnd"/>
      <w:r w:rsidRPr="000D119F">
        <w:rPr>
          <w:i/>
        </w:rPr>
        <w:t xml:space="preserve"> </w:t>
      </w:r>
      <w:proofErr w:type="spellStart"/>
      <w:r w:rsidRPr="000D119F">
        <w:rPr>
          <w:i/>
        </w:rPr>
        <w:t>Malaviya</w:t>
      </w:r>
      <w:proofErr w:type="spellEnd"/>
      <w:r w:rsidRPr="000D119F">
        <w:t>, for the appellant.</w:t>
      </w:r>
      <w:proofErr w:type="gramEnd"/>
    </w:p>
    <w:p w:rsidR="006E15CC" w:rsidRDefault="008E49A5" w:rsidP="00DC6FFE">
      <w:pPr>
        <w:pStyle w:val="SCCNormalDoubleSpacing"/>
        <w:spacing w:before="480" w:after="480"/>
      </w:pPr>
      <w:r w:rsidRPr="000D119F">
        <w:rPr>
          <w:i/>
        </w:rPr>
        <w:tab/>
      </w:r>
      <w:proofErr w:type="gramStart"/>
      <w:r w:rsidR="00DC6FFE" w:rsidRPr="000D119F">
        <w:rPr>
          <w:i/>
        </w:rPr>
        <w:t>Saul</w:t>
      </w:r>
      <w:r w:rsidR="00E34E3A">
        <w:rPr>
          <w:i/>
        </w:rPr>
        <w:t xml:space="preserve"> </w:t>
      </w:r>
      <w:r w:rsidRPr="000D119F">
        <w:rPr>
          <w:i/>
        </w:rPr>
        <w:t xml:space="preserve">B. </w:t>
      </w:r>
      <w:proofErr w:type="spellStart"/>
      <w:r w:rsidRPr="000D119F">
        <w:rPr>
          <w:i/>
        </w:rPr>
        <w:t>Simmonds</w:t>
      </w:r>
      <w:proofErr w:type="spellEnd"/>
      <w:r w:rsidRPr="000D119F">
        <w:t xml:space="preserve">, </w:t>
      </w:r>
      <w:r w:rsidRPr="000D119F">
        <w:rPr>
          <w:i/>
        </w:rPr>
        <w:t xml:space="preserve">Vanessa </w:t>
      </w:r>
      <w:proofErr w:type="spellStart"/>
      <w:r w:rsidRPr="000D119F">
        <w:rPr>
          <w:i/>
        </w:rPr>
        <w:t>Hébert</w:t>
      </w:r>
      <w:proofErr w:type="spellEnd"/>
      <w:r w:rsidR="00DB12AD" w:rsidRPr="000D119F">
        <w:rPr>
          <w:i/>
        </w:rPr>
        <w:t xml:space="preserve"> </w:t>
      </w:r>
      <w:r w:rsidR="00DB12AD" w:rsidRPr="000D119F">
        <w:t>and</w:t>
      </w:r>
      <w:r w:rsidR="00DB12AD" w:rsidRPr="000D119F">
        <w:rPr>
          <w:i/>
        </w:rPr>
        <w:t xml:space="preserve"> Laura Robinson</w:t>
      </w:r>
      <w:r w:rsidRPr="000D119F">
        <w:t>, for the respondent.</w:t>
      </w:r>
      <w:proofErr w:type="gramEnd"/>
    </w:p>
    <w:p w:rsidR="00E34E3A" w:rsidRPr="000D119F" w:rsidRDefault="00F7738A" w:rsidP="00DC6FFE">
      <w:pPr>
        <w:pStyle w:val="SCCNormalDoubleSpacing"/>
        <w:spacing w:before="480" w:after="480"/>
      </w:pPr>
      <w:r>
        <w:tab/>
        <w:t>The judgment of the Court was delivered by</w:t>
      </w:r>
    </w:p>
    <w:p w:rsidR="00F44E46" w:rsidRPr="004A34D2" w:rsidRDefault="00F44E46" w:rsidP="00F44E46">
      <w:pPr>
        <w:pStyle w:val="JudgeJuge"/>
      </w:pPr>
      <w:r w:rsidRPr="004A34D2">
        <w:tab/>
      </w:r>
      <w:proofErr w:type="spellStart"/>
      <w:r w:rsidRPr="004A34D2">
        <w:t>Karakatsanis</w:t>
      </w:r>
      <w:proofErr w:type="spellEnd"/>
      <w:r w:rsidRPr="004A34D2">
        <w:t xml:space="preserve"> J. — </w:t>
      </w:r>
    </w:p>
    <w:p w:rsidR="00F44E46" w:rsidRPr="004A34D2" w:rsidRDefault="00F44E46" w:rsidP="00175928">
      <w:pPr>
        <w:pStyle w:val="Title1LevelTitre1Niveau-AltL"/>
        <w:widowControl w:val="0"/>
        <w:rPr>
          <w:rFonts w:cs="Times New Roman"/>
        </w:rPr>
      </w:pPr>
      <w:r w:rsidRPr="004A34D2">
        <w:rPr>
          <w:rFonts w:cs="Times New Roman"/>
        </w:rPr>
        <w:t>Introduction</w:t>
      </w:r>
    </w:p>
    <w:p w:rsidR="00F44E46" w:rsidRPr="004A34D2" w:rsidRDefault="00F44E46" w:rsidP="00F44E46">
      <w:pPr>
        <w:pStyle w:val="ParaNoNdepar-AltN"/>
        <w:rPr>
          <w:rFonts w:cs="Times New Roman"/>
        </w:rPr>
      </w:pPr>
      <w:r w:rsidRPr="004A34D2">
        <w:rPr>
          <w:rFonts w:cs="Times New Roman"/>
        </w:rPr>
        <w:t xml:space="preserve">In 2007, the respondent, Mark Edward Grant, was charged with the first degree murder of Candace </w:t>
      </w:r>
      <w:proofErr w:type="spellStart"/>
      <w:r w:rsidRPr="004A34D2">
        <w:rPr>
          <w:rFonts w:cs="Times New Roman"/>
        </w:rPr>
        <w:t>Derksen</w:t>
      </w:r>
      <w:proofErr w:type="spellEnd"/>
      <w:r w:rsidRPr="004A34D2">
        <w:rPr>
          <w:rFonts w:cs="Times New Roman"/>
        </w:rPr>
        <w:t xml:space="preserve">, a notorious cold-case murder that occurred in Winnipeg, Manitoba, </w:t>
      </w:r>
      <w:r>
        <w:rPr>
          <w:rFonts w:cs="Times New Roman"/>
        </w:rPr>
        <w:t xml:space="preserve">almost </w:t>
      </w:r>
      <w:r w:rsidRPr="004A34D2">
        <w:rPr>
          <w:rFonts w:cs="Times New Roman"/>
        </w:rPr>
        <w:t xml:space="preserve">23 years earlier.  The Crown’s case depended substantially on the recent analysis of small quantities of DNA found at the scene of the crime.  </w:t>
      </w:r>
      <w:r>
        <w:rPr>
          <w:rFonts w:cs="Times New Roman"/>
        </w:rPr>
        <w:t xml:space="preserve">Mr. </w:t>
      </w:r>
      <w:r w:rsidRPr="004A34D2">
        <w:rPr>
          <w:rFonts w:cs="Times New Roman"/>
        </w:rPr>
        <w:t xml:space="preserve">Grant challenged the DNA evidence and sought to lead evidence suggesting that an unknown third party suspect </w:t>
      </w:r>
      <w:r>
        <w:rPr>
          <w:rFonts w:cs="Times New Roman"/>
        </w:rPr>
        <w:t xml:space="preserve">had </w:t>
      </w:r>
      <w:r w:rsidRPr="004A34D2">
        <w:rPr>
          <w:rFonts w:cs="Times New Roman"/>
        </w:rPr>
        <w:t xml:space="preserve">committed the crime.  The trial judge refused to admit the evidence of an allegedly similar offence committed within months of the </w:t>
      </w:r>
      <w:proofErr w:type="spellStart"/>
      <w:r w:rsidRPr="004A34D2">
        <w:rPr>
          <w:rFonts w:cs="Times New Roman"/>
        </w:rPr>
        <w:t>Derksen</w:t>
      </w:r>
      <w:proofErr w:type="spellEnd"/>
      <w:r w:rsidRPr="004A34D2">
        <w:rPr>
          <w:rFonts w:cs="Times New Roman"/>
        </w:rPr>
        <w:t xml:space="preserve"> murder, while </w:t>
      </w:r>
      <w:r>
        <w:rPr>
          <w:rFonts w:cs="Times New Roman"/>
        </w:rPr>
        <w:t xml:space="preserve">Mr. </w:t>
      </w:r>
      <w:r w:rsidRPr="004A34D2">
        <w:rPr>
          <w:rFonts w:cs="Times New Roman"/>
        </w:rPr>
        <w:t>Grant was in custody on an unrelated matter.</w:t>
      </w:r>
      <w:r w:rsidRPr="004A34D2">
        <w:rPr>
          <w:rStyle w:val="FootnoteReference"/>
          <w:rFonts w:cs="Times New Roman"/>
        </w:rPr>
        <w:footnoteReference w:id="1"/>
      </w:r>
      <w:r w:rsidRPr="004A34D2">
        <w:rPr>
          <w:rFonts w:cs="Times New Roman"/>
        </w:rPr>
        <w:t xml:space="preserve">  </w:t>
      </w:r>
      <w:r>
        <w:rPr>
          <w:rFonts w:cs="Times New Roman"/>
        </w:rPr>
        <w:t xml:space="preserve">Mr. </w:t>
      </w:r>
      <w:r w:rsidRPr="004A34D2">
        <w:rPr>
          <w:rFonts w:cs="Times New Roman"/>
        </w:rPr>
        <w:t xml:space="preserve">Grant was subsequently convicted of </w:t>
      </w:r>
      <w:r>
        <w:rPr>
          <w:rFonts w:cs="Times New Roman"/>
        </w:rPr>
        <w:t>second</w:t>
      </w:r>
      <w:r w:rsidRPr="004A34D2">
        <w:rPr>
          <w:rFonts w:cs="Times New Roman"/>
        </w:rPr>
        <w:t xml:space="preserve"> degree murder by the jury.  The Manitoba Court of Appeal concluded that </w:t>
      </w:r>
      <w:r>
        <w:rPr>
          <w:rFonts w:cs="Times New Roman"/>
        </w:rPr>
        <w:t xml:space="preserve">Mr. </w:t>
      </w:r>
      <w:r w:rsidRPr="004A34D2">
        <w:rPr>
          <w:rFonts w:cs="Times New Roman"/>
        </w:rPr>
        <w:t xml:space="preserve">Grant should have been </w:t>
      </w:r>
      <w:r>
        <w:rPr>
          <w:rFonts w:cs="Times New Roman"/>
        </w:rPr>
        <w:t xml:space="preserve">permitted </w:t>
      </w:r>
      <w:r w:rsidRPr="004A34D2">
        <w:rPr>
          <w:rFonts w:cs="Times New Roman"/>
        </w:rPr>
        <w:t>to lead the evidence</w:t>
      </w:r>
      <w:r>
        <w:rPr>
          <w:rFonts w:cs="Times New Roman"/>
        </w:rPr>
        <w:t>.  It</w:t>
      </w:r>
      <w:r w:rsidRPr="004A34D2">
        <w:rPr>
          <w:rFonts w:cs="Times New Roman"/>
        </w:rPr>
        <w:t xml:space="preserve"> allowed his </w:t>
      </w:r>
      <w:r>
        <w:rPr>
          <w:rFonts w:cs="Times New Roman"/>
        </w:rPr>
        <w:t xml:space="preserve">conviction </w:t>
      </w:r>
      <w:r w:rsidRPr="004A34D2">
        <w:rPr>
          <w:rFonts w:cs="Times New Roman"/>
        </w:rPr>
        <w:t>appeal and ordered a new trial.</w:t>
      </w:r>
    </w:p>
    <w:p w:rsidR="00F44E46" w:rsidRPr="004A34D2" w:rsidRDefault="00F44E46" w:rsidP="00F44E46">
      <w:pPr>
        <w:pStyle w:val="ParaNoNdepar-AltN"/>
        <w:rPr>
          <w:rFonts w:cs="Times New Roman"/>
        </w:rPr>
      </w:pPr>
      <w:r w:rsidRPr="004A34D2">
        <w:rPr>
          <w:rFonts w:cs="Times New Roman"/>
        </w:rPr>
        <w:lastRenderedPageBreak/>
        <w:t>The issue</w:t>
      </w:r>
      <w:r>
        <w:rPr>
          <w:rFonts w:cs="Times New Roman"/>
        </w:rPr>
        <w:t>s</w:t>
      </w:r>
      <w:r w:rsidRPr="004A34D2">
        <w:rPr>
          <w:rFonts w:cs="Times New Roman"/>
        </w:rPr>
        <w:t xml:space="preserve"> before this Court </w:t>
      </w:r>
      <w:r>
        <w:rPr>
          <w:rFonts w:cs="Times New Roman"/>
        </w:rPr>
        <w:t>are</w:t>
      </w:r>
      <w:r w:rsidRPr="004A34D2">
        <w:rPr>
          <w:rFonts w:cs="Times New Roman"/>
        </w:rPr>
        <w:t xml:space="preserve"> the appropriate framework for determining the admissibility of defence-led evidence concerning an unknown third</w:t>
      </w:r>
      <w:r>
        <w:rPr>
          <w:rFonts w:cs="Times New Roman"/>
        </w:rPr>
        <w:t xml:space="preserve"> </w:t>
      </w:r>
      <w:r w:rsidRPr="004A34D2">
        <w:rPr>
          <w:rFonts w:cs="Times New Roman"/>
        </w:rPr>
        <w:t>party suspect</w:t>
      </w:r>
      <w:r>
        <w:rPr>
          <w:rFonts w:cs="Times New Roman"/>
        </w:rPr>
        <w:t>,</w:t>
      </w:r>
      <w:r w:rsidRPr="004A34D2">
        <w:rPr>
          <w:rFonts w:cs="Times New Roman"/>
        </w:rPr>
        <w:t xml:space="preserve"> and to what extent this framework requires the trial judge to assess and weigh the evidence.</w:t>
      </w:r>
    </w:p>
    <w:p w:rsidR="00F44E46" w:rsidRPr="004A34D2" w:rsidRDefault="00F44E46" w:rsidP="00F44E46">
      <w:pPr>
        <w:pStyle w:val="ParaNoNdepar-AltN"/>
        <w:rPr>
          <w:rFonts w:cs="Times New Roman"/>
        </w:rPr>
      </w:pPr>
      <w:r w:rsidRPr="004A34D2">
        <w:rPr>
          <w:rFonts w:cs="Times New Roman"/>
          <w:lang w:val="en-US"/>
        </w:rPr>
        <w:t>Obviously, the identification of an accused as the perpetrator of the crime charged is essential to establishing criminal liability.  The burden to prove beyond a reasonable doubt that the person before the court is the guilty party</w:t>
      </w:r>
      <w:r>
        <w:rPr>
          <w:rFonts w:cs="Times New Roman"/>
          <w:lang w:val="en-US"/>
        </w:rPr>
        <w:t xml:space="preserve"> </w:t>
      </w:r>
      <w:r w:rsidRPr="004A34D2">
        <w:rPr>
          <w:rFonts w:cs="Times New Roman"/>
          <w:lang w:val="en-US"/>
        </w:rPr>
        <w:t xml:space="preserve">rests squarely on the Crown.  In accordance with the presumption of innocence, the accused is never required to prove her innocence.  An accused person’s </w:t>
      </w:r>
      <w:r w:rsidRPr="004A34D2">
        <w:rPr>
          <w:rFonts w:cs="Times New Roman"/>
          <w:i/>
          <w:lang w:val="en-US"/>
        </w:rPr>
        <w:t>Charter-</w:t>
      </w:r>
      <w:r w:rsidRPr="004A34D2">
        <w:rPr>
          <w:rFonts w:cs="Times New Roman"/>
          <w:lang w:val="en-US"/>
        </w:rPr>
        <w:t xml:space="preserve">protected right to make full answer and </w:t>
      </w:r>
      <w:proofErr w:type="spellStart"/>
      <w:r w:rsidRPr="004A34D2">
        <w:rPr>
          <w:rFonts w:cs="Times New Roman"/>
          <w:lang w:val="en-US"/>
        </w:rPr>
        <w:t>defence</w:t>
      </w:r>
      <w:proofErr w:type="spellEnd"/>
      <w:r w:rsidRPr="004A34D2">
        <w:rPr>
          <w:rFonts w:cs="Times New Roman"/>
          <w:lang w:val="en-US"/>
        </w:rPr>
        <w:t xml:space="preserve"> entitles her to challenge the Crown’s case and lead evidence to raise a reasonable doubt about whether the accused committed the crime.</w:t>
      </w:r>
    </w:p>
    <w:p w:rsidR="00F44E46" w:rsidRPr="004A34D2" w:rsidRDefault="00F44E46" w:rsidP="00F44E46">
      <w:pPr>
        <w:pStyle w:val="ParaNoNdepar-AltN"/>
        <w:rPr>
          <w:rFonts w:cs="Times New Roman"/>
        </w:rPr>
      </w:pPr>
      <w:r w:rsidRPr="004A34D2">
        <w:rPr>
          <w:rFonts w:cs="Times New Roman"/>
        </w:rPr>
        <w:t>H</w:t>
      </w:r>
      <w:proofErr w:type="spellStart"/>
      <w:r w:rsidRPr="004A34D2">
        <w:rPr>
          <w:rFonts w:cs="Times New Roman"/>
          <w:lang w:val="en-US"/>
        </w:rPr>
        <w:t>owever</w:t>
      </w:r>
      <w:proofErr w:type="spellEnd"/>
      <w:r w:rsidRPr="004A34D2">
        <w:rPr>
          <w:rFonts w:cs="Times New Roman"/>
          <w:lang w:val="en-US"/>
        </w:rPr>
        <w:t xml:space="preserve">, the </w:t>
      </w:r>
      <w:proofErr w:type="spellStart"/>
      <w:r w:rsidRPr="004A34D2">
        <w:rPr>
          <w:rFonts w:cs="Times New Roman"/>
          <w:lang w:val="en-US"/>
        </w:rPr>
        <w:t>accused’s</w:t>
      </w:r>
      <w:proofErr w:type="spellEnd"/>
      <w:r w:rsidRPr="004A34D2">
        <w:rPr>
          <w:rFonts w:cs="Times New Roman"/>
          <w:lang w:val="en-US"/>
        </w:rPr>
        <w:t xml:space="preserve"> rights are not the only interests at stake.  The integrity of the administration of justice requires that the proceedings stay focused on the indicted crime and not devolve into trials within a trial about matters that may not be sufficiently connected to the case.  Such tangents risk causing delays, confusion and distractions that undermine the trial’s truth-seeking function.  This risk is especially heightened where the </w:t>
      </w:r>
      <w:proofErr w:type="spellStart"/>
      <w:r w:rsidRPr="004A34D2">
        <w:rPr>
          <w:rFonts w:cs="Times New Roman"/>
          <w:lang w:val="en-US"/>
        </w:rPr>
        <w:t>defence</w:t>
      </w:r>
      <w:proofErr w:type="spellEnd"/>
      <w:r w:rsidRPr="004A34D2">
        <w:rPr>
          <w:rFonts w:cs="Times New Roman"/>
          <w:lang w:val="en-US"/>
        </w:rPr>
        <w:t xml:space="preserve"> seeks to introduce other alleged suspects or crimes into the trial.</w:t>
      </w:r>
    </w:p>
    <w:p w:rsidR="00F44E46" w:rsidRPr="004A34D2" w:rsidRDefault="00F44E46" w:rsidP="00F44E46">
      <w:pPr>
        <w:pStyle w:val="ParaNoNdepar-AltN"/>
        <w:rPr>
          <w:rFonts w:cs="Times New Roman"/>
        </w:rPr>
      </w:pPr>
      <w:r w:rsidRPr="004A34D2">
        <w:rPr>
          <w:rFonts w:cs="Times New Roman"/>
          <w:lang w:val="en-US"/>
        </w:rPr>
        <w:t xml:space="preserve">The parties agree that balancing these interests requires the trial judge to evaluate the probative value of </w:t>
      </w:r>
      <w:proofErr w:type="spellStart"/>
      <w:r w:rsidRPr="004A34D2">
        <w:rPr>
          <w:rFonts w:cs="Times New Roman"/>
          <w:lang w:val="en-US"/>
        </w:rPr>
        <w:t>defence</w:t>
      </w:r>
      <w:proofErr w:type="spellEnd"/>
      <w:r w:rsidRPr="004A34D2">
        <w:rPr>
          <w:rFonts w:cs="Times New Roman"/>
          <w:lang w:val="en-US"/>
        </w:rPr>
        <w:t>-led evidence of an unknown third party suspect</w:t>
      </w:r>
      <w:r w:rsidRPr="004A34D2" w:rsidDel="00A94A96">
        <w:rPr>
          <w:rFonts w:cs="Times New Roman"/>
          <w:lang w:val="en-US"/>
        </w:rPr>
        <w:t xml:space="preserve"> </w:t>
      </w:r>
      <w:r w:rsidRPr="004A34D2">
        <w:rPr>
          <w:rFonts w:cs="Times New Roman"/>
          <w:lang w:val="en-US"/>
        </w:rPr>
        <w:t xml:space="preserve">against the elevated risks it poses to the integrity of the trial, but disagree </w:t>
      </w:r>
      <w:r w:rsidRPr="004A34D2">
        <w:rPr>
          <w:rFonts w:cs="Times New Roman"/>
          <w:lang w:val="en-US"/>
        </w:rPr>
        <w:lastRenderedPageBreak/>
        <w:t xml:space="preserve">about what this evaluation entails.  The appellant </w:t>
      </w:r>
      <w:r>
        <w:rPr>
          <w:rFonts w:cs="Times New Roman"/>
          <w:lang w:val="en-US"/>
        </w:rPr>
        <w:t xml:space="preserve">the </w:t>
      </w:r>
      <w:r w:rsidRPr="004A34D2">
        <w:rPr>
          <w:rFonts w:cs="Times New Roman"/>
          <w:lang w:val="en-US"/>
        </w:rPr>
        <w:t xml:space="preserve">Manitoba Prosecution Service (the Crown) says </w:t>
      </w:r>
      <w:r>
        <w:rPr>
          <w:rFonts w:cs="Times New Roman"/>
          <w:lang w:val="en-US"/>
        </w:rPr>
        <w:t xml:space="preserve">that </w:t>
      </w:r>
      <w:r w:rsidRPr="004A34D2">
        <w:rPr>
          <w:rFonts w:cs="Times New Roman"/>
          <w:lang w:val="en-US"/>
        </w:rPr>
        <w:t xml:space="preserve">the trial judge must apply the stringent admissibility tests developed for known third party suspect and similar fact evidence.  The </w:t>
      </w:r>
      <w:proofErr w:type="spellStart"/>
      <w:r w:rsidRPr="004A34D2">
        <w:rPr>
          <w:rFonts w:cs="Times New Roman"/>
          <w:lang w:val="en-US"/>
        </w:rPr>
        <w:t>defence</w:t>
      </w:r>
      <w:proofErr w:type="spellEnd"/>
      <w:r w:rsidRPr="004A34D2">
        <w:rPr>
          <w:rFonts w:cs="Times New Roman"/>
          <w:lang w:val="en-US"/>
        </w:rPr>
        <w:t xml:space="preserve"> maintains that these tests place an unfair burden on the accused</w:t>
      </w:r>
      <w:r>
        <w:rPr>
          <w:rFonts w:cs="Times New Roman"/>
          <w:lang w:val="en-US"/>
        </w:rPr>
        <w:t xml:space="preserve"> </w:t>
      </w:r>
      <w:r w:rsidRPr="004A34D2">
        <w:rPr>
          <w:rFonts w:cs="Times New Roman"/>
          <w:lang w:val="en-US"/>
        </w:rPr>
        <w:t>and that the general rules of admissibility adequately address the issues of relevance, probative value and prejudicial effects.</w:t>
      </w:r>
    </w:p>
    <w:p w:rsidR="00F44E46" w:rsidRPr="004A34D2" w:rsidRDefault="00F44E46" w:rsidP="00F44E46">
      <w:pPr>
        <w:pStyle w:val="ParaNoNdepar-AltN"/>
        <w:rPr>
          <w:rFonts w:cs="Times New Roman"/>
        </w:rPr>
      </w:pPr>
      <w:r w:rsidRPr="004A34D2">
        <w:rPr>
          <w:rFonts w:cs="Times New Roman"/>
        </w:rPr>
        <w:t>In my view, it is not helpful to slot evidence concerning an unknown third party suspect into categories that were not designed to accommodate it.  While the tests governing known third party suspect evidence and similar fact evidence may provide useful insights into the underlying concerns and principles, they should not be stretched beyond the particular circumstances that they were designed to address.</w:t>
      </w:r>
    </w:p>
    <w:p w:rsidR="00F44E46" w:rsidRPr="004A34D2" w:rsidRDefault="00F44E46" w:rsidP="00F44E46">
      <w:pPr>
        <w:pStyle w:val="ParaNoNdepar-AltN"/>
        <w:rPr>
          <w:rFonts w:cs="Times New Roman"/>
        </w:rPr>
      </w:pPr>
      <w:r w:rsidRPr="004A34D2">
        <w:rPr>
          <w:rFonts w:cs="Times New Roman"/>
        </w:rPr>
        <w:t xml:space="preserve">Instead, </w:t>
      </w:r>
      <w:r w:rsidRPr="004A34D2">
        <w:rPr>
          <w:rFonts w:cs="Times New Roman"/>
          <w:lang w:val="en-US"/>
        </w:rPr>
        <w:t xml:space="preserve">first principles governing the admissibility of evidence properly balance the competing interests that arise when the </w:t>
      </w:r>
      <w:proofErr w:type="spellStart"/>
      <w:r w:rsidRPr="004A34D2">
        <w:rPr>
          <w:rFonts w:cs="Times New Roman"/>
          <w:lang w:val="en-US"/>
        </w:rPr>
        <w:t>defence</w:t>
      </w:r>
      <w:proofErr w:type="spellEnd"/>
      <w:r w:rsidRPr="004A34D2">
        <w:rPr>
          <w:rFonts w:cs="Times New Roman"/>
          <w:lang w:val="en-US"/>
        </w:rPr>
        <w:t xml:space="preserve"> seeks to lead evidence of an unknown third party suspect.  In such cases, the </w:t>
      </w:r>
      <w:proofErr w:type="spellStart"/>
      <w:r w:rsidRPr="004A34D2">
        <w:rPr>
          <w:rFonts w:cs="Times New Roman"/>
          <w:lang w:val="en-US"/>
        </w:rPr>
        <w:t>defence</w:t>
      </w:r>
      <w:proofErr w:type="spellEnd"/>
      <w:r w:rsidRPr="004A34D2">
        <w:rPr>
          <w:rFonts w:cs="Times New Roman"/>
          <w:lang w:val="en-US"/>
        </w:rPr>
        <w:t xml:space="preserve"> must first establish the logical relevance of the evidence.  This may be done by demonstrating a sufficient connection ― or similarity ― between the crime charged and another crime the accused could not possibly have committed to support the logical inference that the same person committed both crimes.  Once this threshold is met, the evidence</w:t>
      </w:r>
      <w:r w:rsidRPr="004A34D2">
        <w:rPr>
          <w:rFonts w:cs="Times New Roman"/>
        </w:rPr>
        <w:t xml:space="preserve"> will be admissible unless its prejudicial effects substantially outweigh its probative value (</w:t>
      </w:r>
      <w:r w:rsidRPr="004A34D2">
        <w:rPr>
          <w:rFonts w:cs="Times New Roman"/>
          <w:i/>
        </w:rPr>
        <w:t xml:space="preserve">R. v. </w:t>
      </w:r>
      <w:proofErr w:type="spellStart"/>
      <w:r w:rsidRPr="004A34D2">
        <w:rPr>
          <w:rFonts w:cs="Times New Roman"/>
          <w:i/>
        </w:rPr>
        <w:t>Seaboyer</w:t>
      </w:r>
      <w:proofErr w:type="spellEnd"/>
      <w:r w:rsidRPr="004A34D2">
        <w:rPr>
          <w:rFonts w:cs="Times New Roman"/>
        </w:rPr>
        <w:t>, [1991] 2 S.C.R. 577).</w:t>
      </w:r>
    </w:p>
    <w:p w:rsidR="00F44E46" w:rsidRPr="004A34D2" w:rsidRDefault="00F44E46" w:rsidP="00F44E46">
      <w:pPr>
        <w:pStyle w:val="ParaNoNdepar-AltN"/>
        <w:rPr>
          <w:rFonts w:cs="Times New Roman"/>
        </w:rPr>
      </w:pPr>
      <w:r w:rsidRPr="004A34D2">
        <w:rPr>
          <w:rFonts w:cs="Times New Roman"/>
        </w:rPr>
        <w:lastRenderedPageBreak/>
        <w:t>In this case, I conclude that the trial judge erred in evaluating and assessing the credibility of the unknown third party suspect evidence on a balance of probabilities.  I agree with the Court of Appeal that a new trial is required.</w:t>
      </w:r>
    </w:p>
    <w:p w:rsidR="00F44E46" w:rsidRPr="004A34D2" w:rsidRDefault="00F44E46" w:rsidP="00F44E46">
      <w:pPr>
        <w:pStyle w:val="Title1LevelTitre1Niveau-AltL"/>
        <w:rPr>
          <w:rFonts w:cs="Times New Roman"/>
        </w:rPr>
      </w:pPr>
      <w:r w:rsidRPr="004A34D2">
        <w:rPr>
          <w:rFonts w:cs="Times New Roman"/>
        </w:rPr>
        <w:t>Facts</w:t>
      </w:r>
    </w:p>
    <w:p w:rsidR="00F44E46" w:rsidRPr="004A34D2" w:rsidRDefault="00F44E46" w:rsidP="00F44E46">
      <w:pPr>
        <w:pStyle w:val="ParaNoNdepar-AltN"/>
        <w:rPr>
          <w:rFonts w:cs="Times New Roman"/>
        </w:rPr>
      </w:pPr>
      <w:r w:rsidRPr="004A34D2">
        <w:rPr>
          <w:rFonts w:cs="Times New Roman"/>
        </w:rPr>
        <w:t xml:space="preserve">Candace </w:t>
      </w:r>
      <w:proofErr w:type="spellStart"/>
      <w:r w:rsidRPr="004A34D2">
        <w:rPr>
          <w:rFonts w:cs="Times New Roman"/>
        </w:rPr>
        <w:t>Derksen</w:t>
      </w:r>
      <w:proofErr w:type="spellEnd"/>
      <w:r w:rsidRPr="004A34D2">
        <w:rPr>
          <w:rFonts w:cs="Times New Roman"/>
        </w:rPr>
        <w:t>, a 13-year-old girl, went missing after leaving school on Friday, November 30, 1984.  Her body was discovered tied up in a shed in an industrial yard on January 17, 1985.  She had died of hypothermia resulting from exposure.</w:t>
      </w:r>
    </w:p>
    <w:p w:rsidR="00F44E46" w:rsidRPr="004A34D2" w:rsidRDefault="00F44E46" w:rsidP="00F44E46">
      <w:pPr>
        <w:pStyle w:val="ParaNoNdepar-AltN"/>
        <w:rPr>
          <w:rFonts w:cs="Times New Roman"/>
        </w:rPr>
      </w:pPr>
      <w:r>
        <w:rPr>
          <w:rFonts w:cs="Times New Roman"/>
        </w:rPr>
        <w:t>In</w:t>
      </w:r>
      <w:r w:rsidRPr="004A34D2">
        <w:rPr>
          <w:rFonts w:cs="Times New Roman"/>
        </w:rPr>
        <w:t xml:space="preserve"> May 2007, </w:t>
      </w:r>
      <w:r>
        <w:rPr>
          <w:rFonts w:cs="Times New Roman"/>
        </w:rPr>
        <w:t xml:space="preserve">Mr. </w:t>
      </w:r>
      <w:r w:rsidRPr="004A34D2">
        <w:rPr>
          <w:rFonts w:cs="Times New Roman"/>
        </w:rPr>
        <w:t>Grant was arrested and charged with first degree murder on the basis of newly</w:t>
      </w:r>
      <w:r>
        <w:rPr>
          <w:rFonts w:cs="Times New Roman"/>
        </w:rPr>
        <w:t xml:space="preserve"> </w:t>
      </w:r>
      <w:r w:rsidRPr="004A34D2">
        <w:rPr>
          <w:rFonts w:cs="Times New Roman"/>
        </w:rPr>
        <w:t>tested DNA evidence.</w:t>
      </w:r>
    </w:p>
    <w:p w:rsidR="00F44E46" w:rsidRPr="004A34D2" w:rsidRDefault="00F44E46" w:rsidP="00F44E46">
      <w:pPr>
        <w:pStyle w:val="ParaNoNdepar-AltN"/>
        <w:rPr>
          <w:rFonts w:cs="Times New Roman"/>
        </w:rPr>
      </w:pPr>
      <w:r>
        <w:rPr>
          <w:rFonts w:cs="Times New Roman"/>
        </w:rPr>
        <w:t xml:space="preserve">Mr. </w:t>
      </w:r>
      <w:r w:rsidRPr="004A34D2">
        <w:rPr>
          <w:rFonts w:cs="Times New Roman"/>
        </w:rPr>
        <w:t xml:space="preserve">Grant denied any involvement in the abduction-murder, and sought to adduce evidence of the alleged involvement of an unknown third party suspect.  That evidence related to the alleged abduction of a 12-year-old girl (P.W.) after she left school on Friday, September 6, 1985, at a time when </w:t>
      </w:r>
      <w:r>
        <w:rPr>
          <w:rFonts w:cs="Times New Roman"/>
        </w:rPr>
        <w:t xml:space="preserve">Mr. </w:t>
      </w:r>
      <w:r w:rsidRPr="004A34D2">
        <w:rPr>
          <w:rFonts w:cs="Times New Roman"/>
        </w:rPr>
        <w:t xml:space="preserve">Grant was in custody.  </w:t>
      </w:r>
      <w:r>
        <w:rPr>
          <w:rFonts w:cs="Times New Roman"/>
        </w:rPr>
        <w:t xml:space="preserve">Mr. </w:t>
      </w:r>
      <w:r w:rsidRPr="004A34D2">
        <w:rPr>
          <w:rFonts w:cs="Times New Roman"/>
        </w:rPr>
        <w:t xml:space="preserve">Grant argued that the </w:t>
      </w:r>
      <w:r w:rsidRPr="004A34D2">
        <w:rPr>
          <w:rFonts w:cs="Times New Roman"/>
          <w:i/>
        </w:rPr>
        <w:t>modus operandi</w:t>
      </w:r>
      <w:r w:rsidRPr="004A34D2">
        <w:rPr>
          <w:rFonts w:cs="Times New Roman"/>
        </w:rPr>
        <w:t xml:space="preserve"> and other physical evidence indicated that the same person had abducted both Candace </w:t>
      </w:r>
      <w:proofErr w:type="spellStart"/>
      <w:r w:rsidRPr="004A34D2">
        <w:rPr>
          <w:rFonts w:cs="Times New Roman"/>
        </w:rPr>
        <w:t>Derksen</w:t>
      </w:r>
      <w:proofErr w:type="spellEnd"/>
      <w:r w:rsidRPr="004A34D2">
        <w:rPr>
          <w:rFonts w:cs="Times New Roman"/>
        </w:rPr>
        <w:t xml:space="preserve"> and P.W.</w:t>
      </w:r>
    </w:p>
    <w:p w:rsidR="00F44E46" w:rsidRPr="004A34D2" w:rsidRDefault="00F44E46" w:rsidP="00F44E46">
      <w:pPr>
        <w:pStyle w:val="Title2LevelTitre2Niveau"/>
        <w:rPr>
          <w:rFonts w:cs="Times New Roman"/>
        </w:rPr>
      </w:pPr>
      <w:r w:rsidRPr="004A34D2">
        <w:rPr>
          <w:rFonts w:cs="Times New Roman"/>
        </w:rPr>
        <w:t>Manitoba Court of Queen’s Bench</w:t>
      </w:r>
    </w:p>
    <w:p w:rsidR="00F44E46" w:rsidRPr="004A34D2" w:rsidRDefault="00F44E46" w:rsidP="00F44E46">
      <w:pPr>
        <w:pStyle w:val="ParaNoNdepar-AltN"/>
        <w:rPr>
          <w:rFonts w:cs="Times New Roman"/>
        </w:rPr>
      </w:pPr>
      <w:r w:rsidRPr="004A34D2">
        <w:rPr>
          <w:rFonts w:cs="Times New Roman"/>
        </w:rPr>
        <w:t xml:space="preserve">In reviewing the applicable legal framework, </w:t>
      </w:r>
      <w:proofErr w:type="spellStart"/>
      <w:r w:rsidRPr="004A34D2">
        <w:rPr>
          <w:rFonts w:cs="Times New Roman"/>
        </w:rPr>
        <w:t>Joyal</w:t>
      </w:r>
      <w:proofErr w:type="spellEnd"/>
      <w:r w:rsidRPr="004A34D2">
        <w:rPr>
          <w:rFonts w:cs="Times New Roman"/>
        </w:rPr>
        <w:t xml:space="preserve"> A.C.J.Q.B. concluded that the legal test </w:t>
      </w:r>
      <w:r>
        <w:rPr>
          <w:rFonts w:cs="Times New Roman"/>
        </w:rPr>
        <w:t xml:space="preserve">set out in </w:t>
      </w:r>
      <w:r w:rsidRPr="004A34D2">
        <w:rPr>
          <w:rFonts w:cs="Times New Roman"/>
          <w:i/>
        </w:rPr>
        <w:t xml:space="preserve">R. v. </w:t>
      </w:r>
      <w:proofErr w:type="spellStart"/>
      <w:r w:rsidRPr="004A34D2">
        <w:rPr>
          <w:rFonts w:cs="Times New Roman"/>
          <w:i/>
        </w:rPr>
        <w:t>Grandinetti</w:t>
      </w:r>
      <w:proofErr w:type="spellEnd"/>
      <w:r w:rsidRPr="004A34D2">
        <w:rPr>
          <w:rFonts w:cs="Times New Roman"/>
        </w:rPr>
        <w:t>, 2005 SCC 5, [2005] 1 S.C.R. 27</w:t>
      </w:r>
      <w:r>
        <w:rPr>
          <w:rFonts w:cs="Times New Roman"/>
        </w:rPr>
        <w:t>,</w:t>
      </w:r>
      <w:r w:rsidRPr="004A34D2">
        <w:rPr>
          <w:rFonts w:cs="Times New Roman"/>
        </w:rPr>
        <w:t xml:space="preserve"> applies </w:t>
      </w:r>
      <w:r w:rsidRPr="004A34D2">
        <w:rPr>
          <w:rFonts w:cs="Times New Roman"/>
        </w:rPr>
        <w:lastRenderedPageBreak/>
        <w:t>equally to admissibility of both unknown third party suspect evidence and known third party suspect evidence.  Thus, evidence of an unknown third party suspect could be “admitted only after some threshold evidence ha[d] been demonstrated respecting a link between the third party, known or unknown, and the crime before the court”</w:t>
      </w:r>
      <w:r>
        <w:rPr>
          <w:rFonts w:cs="Times New Roman"/>
        </w:rPr>
        <w:t xml:space="preserve"> (trial transcript, A.R., vol. III, at p. 48)</w:t>
      </w:r>
      <w:r w:rsidRPr="004A34D2">
        <w:rPr>
          <w:rFonts w:cs="Times New Roman"/>
        </w:rPr>
        <w:t>.  The trial judge also referred to this Court’s jurisprudence for similar fact evidence</w:t>
      </w:r>
      <w:r>
        <w:rPr>
          <w:rFonts w:cs="Times New Roman"/>
        </w:rPr>
        <w:t xml:space="preserve"> and, specifically, to </w:t>
      </w:r>
      <w:r w:rsidRPr="004A34D2">
        <w:rPr>
          <w:rFonts w:cs="Times New Roman"/>
          <w:i/>
        </w:rPr>
        <w:t>R. v. Handy</w:t>
      </w:r>
      <w:r w:rsidRPr="004A34D2">
        <w:rPr>
          <w:rFonts w:cs="Times New Roman"/>
        </w:rPr>
        <w:t>,</w:t>
      </w:r>
      <w:r w:rsidRPr="004A34D2">
        <w:rPr>
          <w:rFonts w:cs="Times New Roman"/>
          <w:i/>
        </w:rPr>
        <w:t xml:space="preserve"> </w:t>
      </w:r>
      <w:r w:rsidRPr="004A34D2">
        <w:rPr>
          <w:rFonts w:cs="Times New Roman"/>
        </w:rPr>
        <w:t>2002 SCC 56, [2002] 2 S.C.R. 908.</w:t>
      </w:r>
    </w:p>
    <w:p w:rsidR="00F44E46" w:rsidRPr="004A34D2" w:rsidRDefault="00F44E46" w:rsidP="00F44E46">
      <w:pPr>
        <w:pStyle w:val="ParaNoNdepar-AltN"/>
        <w:rPr>
          <w:rFonts w:cs="Times New Roman"/>
        </w:rPr>
      </w:pPr>
      <w:r w:rsidRPr="004A34D2">
        <w:rPr>
          <w:rFonts w:cs="Times New Roman"/>
        </w:rPr>
        <w:t xml:space="preserve">After reviewing the documentary and testimonial evidence adduced on the </w:t>
      </w:r>
      <w:proofErr w:type="spellStart"/>
      <w:r w:rsidRPr="004A34D2">
        <w:rPr>
          <w:rFonts w:cs="Times New Roman"/>
          <w:i/>
        </w:rPr>
        <w:t>voir</w:t>
      </w:r>
      <w:proofErr w:type="spellEnd"/>
      <w:r w:rsidRPr="004A34D2">
        <w:rPr>
          <w:rFonts w:cs="Times New Roman"/>
          <w:i/>
        </w:rPr>
        <w:t xml:space="preserve"> dire</w:t>
      </w:r>
      <w:r w:rsidRPr="004A34D2">
        <w:rPr>
          <w:rFonts w:cs="Times New Roman"/>
        </w:rPr>
        <w:t>, the trial judge found that he was “not, even on a balance of probabilities, able to conclude that the alleged offence [against P.W.] happened” (</w:t>
      </w:r>
      <w:r>
        <w:rPr>
          <w:rFonts w:cs="Times New Roman"/>
        </w:rPr>
        <w:t>A.R., vol. I, at pp. 8-9</w:t>
      </w:r>
      <w:r w:rsidRPr="004A34D2">
        <w:rPr>
          <w:rFonts w:cs="Times New Roman"/>
        </w:rPr>
        <w:t>).  As a result, he found there could be no unknown third party suspect and thus “no useable similarities”</w:t>
      </w:r>
      <w:r>
        <w:rPr>
          <w:rFonts w:cs="Times New Roman"/>
        </w:rPr>
        <w:t xml:space="preserve"> (p. 9)</w:t>
      </w:r>
      <w:r w:rsidRPr="004A34D2">
        <w:rPr>
          <w:rFonts w:cs="Times New Roman"/>
        </w:rPr>
        <w:t>.  The trial judge concluded that the evidence was not sufficiently probative to justify the impact its admission would have on the length and complexity of the trial, and ordered that the defence not make any reference to the P.W. incident.</w:t>
      </w:r>
    </w:p>
    <w:p w:rsidR="00F44E46" w:rsidRPr="004A34D2" w:rsidRDefault="00F44E46" w:rsidP="00F44E46">
      <w:pPr>
        <w:pStyle w:val="Title2LevelTitre2Niveau"/>
        <w:rPr>
          <w:rFonts w:cs="Times New Roman"/>
        </w:rPr>
      </w:pPr>
      <w:r w:rsidRPr="004A34D2">
        <w:rPr>
          <w:rFonts w:cs="Times New Roman"/>
        </w:rPr>
        <w:t>Manitoba Court of Appeal</w:t>
      </w:r>
      <w:r>
        <w:rPr>
          <w:rFonts w:cs="Times New Roman"/>
        </w:rPr>
        <w:t xml:space="preserve">, </w:t>
      </w:r>
      <w:r w:rsidRPr="004A34D2">
        <w:rPr>
          <w:rFonts w:cs="Times New Roman"/>
        </w:rPr>
        <w:t>2013 MBCA 95</w:t>
      </w:r>
      <w:r>
        <w:rPr>
          <w:rFonts w:cs="Times New Roman"/>
        </w:rPr>
        <w:t>, 299 Man. R. (2d) 202</w:t>
      </w:r>
    </w:p>
    <w:p w:rsidR="00F44E46" w:rsidRPr="004A34D2" w:rsidRDefault="00F44E46" w:rsidP="00F44E46">
      <w:pPr>
        <w:pStyle w:val="ParaNoNdepar-AltN"/>
        <w:rPr>
          <w:rFonts w:cs="Times New Roman"/>
        </w:rPr>
      </w:pPr>
      <w:r w:rsidRPr="004A34D2">
        <w:rPr>
          <w:rFonts w:cs="Times New Roman"/>
        </w:rPr>
        <w:t xml:space="preserve">Before the Manitoba Court of Appeal, </w:t>
      </w:r>
      <w:r>
        <w:rPr>
          <w:rFonts w:cs="Times New Roman"/>
        </w:rPr>
        <w:t xml:space="preserve">Mr. </w:t>
      </w:r>
      <w:r w:rsidRPr="004A34D2">
        <w:rPr>
          <w:rFonts w:cs="Times New Roman"/>
        </w:rPr>
        <w:t xml:space="preserve">Grant appealed his conviction and brought a motion to adduce fresh evidence relating to DNA analysis and juror bias.  After rejecting several grounds relating to the conviction, </w:t>
      </w:r>
      <w:proofErr w:type="spellStart"/>
      <w:r w:rsidRPr="004A34D2">
        <w:rPr>
          <w:rFonts w:cs="Times New Roman"/>
        </w:rPr>
        <w:t>Monnin</w:t>
      </w:r>
      <w:proofErr w:type="spellEnd"/>
      <w:r w:rsidRPr="004A34D2">
        <w:rPr>
          <w:rFonts w:cs="Times New Roman"/>
        </w:rPr>
        <w:t xml:space="preserve"> J.A., writing for the court, held that the trial judge erred in not allowing </w:t>
      </w:r>
      <w:r>
        <w:rPr>
          <w:rFonts w:cs="Times New Roman"/>
        </w:rPr>
        <w:t>Mr.</w:t>
      </w:r>
      <w:r w:rsidR="00E34E3A">
        <w:rPr>
          <w:rFonts w:cs="Times New Roman"/>
        </w:rPr>
        <w:t xml:space="preserve"> </w:t>
      </w:r>
      <w:r w:rsidRPr="004A34D2">
        <w:rPr>
          <w:rFonts w:cs="Times New Roman"/>
        </w:rPr>
        <w:t>Grant to lead evidence relating to an alleged unknown third party suspect (paras. 9-10, 78).</w:t>
      </w:r>
    </w:p>
    <w:p w:rsidR="00F44E46" w:rsidRPr="004A34D2" w:rsidRDefault="00F44E46" w:rsidP="00F44E46">
      <w:pPr>
        <w:pStyle w:val="ParaNoNdepar-AltN"/>
        <w:rPr>
          <w:rFonts w:cs="Times New Roman"/>
        </w:rPr>
      </w:pPr>
      <w:r w:rsidRPr="004A34D2">
        <w:rPr>
          <w:rFonts w:cs="Times New Roman"/>
        </w:rPr>
        <w:lastRenderedPageBreak/>
        <w:t xml:space="preserve">The Court of Appeal concluded that the trial judge made factual and credibility findings that “he was not entitled to make” in determining admissibility and that he relied “almost exclusively on the </w:t>
      </w:r>
      <w:r w:rsidRPr="004A34D2">
        <w:rPr>
          <w:rFonts w:cs="Times New Roman"/>
          <w:i/>
        </w:rPr>
        <w:t>viva voce</w:t>
      </w:r>
      <w:r w:rsidRPr="004A34D2">
        <w:rPr>
          <w:rFonts w:cs="Times New Roman"/>
        </w:rPr>
        <w:t xml:space="preserve"> evidence of P.W. to the exclusion of all of the other evidence before him, including P.W.’s two prior statements” (</w:t>
      </w:r>
      <w:proofErr w:type="spellStart"/>
      <w:r w:rsidRPr="004A34D2">
        <w:rPr>
          <w:rFonts w:cs="Times New Roman"/>
        </w:rPr>
        <w:t>para</w:t>
      </w:r>
      <w:proofErr w:type="spellEnd"/>
      <w:r w:rsidRPr="004A34D2">
        <w:rPr>
          <w:rFonts w:cs="Times New Roman"/>
        </w:rPr>
        <w:t xml:space="preserve">. 68).  The trial judge erred in applying the balance of probabilities standard to determine whether the P.W. incident occurred; he should have instead applied the </w:t>
      </w:r>
      <w:proofErr w:type="spellStart"/>
      <w:r w:rsidRPr="004A34D2">
        <w:rPr>
          <w:rFonts w:cs="Times New Roman"/>
          <w:i/>
        </w:rPr>
        <w:t>Seaboyer</w:t>
      </w:r>
      <w:proofErr w:type="spellEnd"/>
      <w:r w:rsidRPr="004A34D2">
        <w:rPr>
          <w:rFonts w:cs="Times New Roman"/>
          <w:i/>
        </w:rPr>
        <w:t xml:space="preserve"> </w:t>
      </w:r>
      <w:r w:rsidRPr="004A34D2">
        <w:rPr>
          <w:rFonts w:cs="Times New Roman"/>
        </w:rPr>
        <w:t xml:space="preserve">test that broadly governs the admissibility of defence-led evidence (paras. 73-74).  Furthermore, in determining whether the defence theory had an air of reality, all that was required was “some evidence” that could leave a jury with a reasonable doubt as to the </w:t>
      </w:r>
      <w:proofErr w:type="spellStart"/>
      <w:r w:rsidRPr="004A34D2">
        <w:rPr>
          <w:rFonts w:cs="Times New Roman"/>
        </w:rPr>
        <w:t>accused’s</w:t>
      </w:r>
      <w:proofErr w:type="spellEnd"/>
      <w:r w:rsidRPr="004A34D2">
        <w:rPr>
          <w:rFonts w:cs="Times New Roman"/>
        </w:rPr>
        <w:t xml:space="preserve"> guilt (</w:t>
      </w:r>
      <w:proofErr w:type="spellStart"/>
      <w:r w:rsidRPr="004A34D2">
        <w:rPr>
          <w:rFonts w:cs="Times New Roman"/>
        </w:rPr>
        <w:t>para</w:t>
      </w:r>
      <w:proofErr w:type="spellEnd"/>
      <w:r w:rsidRPr="004A34D2">
        <w:rPr>
          <w:rFonts w:cs="Times New Roman"/>
        </w:rPr>
        <w:t>.</w:t>
      </w:r>
      <w:r>
        <w:rPr>
          <w:rFonts w:cs="Times New Roman"/>
        </w:rPr>
        <w:t xml:space="preserve"> </w:t>
      </w:r>
      <w:r w:rsidRPr="004A34D2">
        <w:rPr>
          <w:rFonts w:cs="Times New Roman"/>
        </w:rPr>
        <w:t>68).</w:t>
      </w:r>
    </w:p>
    <w:p w:rsidR="00F44E46" w:rsidRPr="004A34D2" w:rsidRDefault="00F44E46" w:rsidP="00F44E46">
      <w:pPr>
        <w:pStyle w:val="ParaNoNdepar-AltN"/>
        <w:rPr>
          <w:rFonts w:cs="Times New Roman"/>
        </w:rPr>
      </w:pPr>
      <w:r w:rsidRPr="004A34D2">
        <w:rPr>
          <w:rFonts w:cs="Times New Roman"/>
        </w:rPr>
        <w:t>The Court of Appeal characterized the evidence tendered in this case as “more akin to similar-fact evidence” than to known third party suspect evidence (</w:t>
      </w:r>
      <w:proofErr w:type="spellStart"/>
      <w:r w:rsidRPr="004A34D2">
        <w:rPr>
          <w:rFonts w:cs="Times New Roman"/>
        </w:rPr>
        <w:t>para</w:t>
      </w:r>
      <w:proofErr w:type="spellEnd"/>
      <w:r w:rsidRPr="004A34D2">
        <w:rPr>
          <w:rFonts w:cs="Times New Roman"/>
        </w:rPr>
        <w:t xml:space="preserve">. 72).  However, the </w:t>
      </w:r>
      <w:r>
        <w:rPr>
          <w:rFonts w:cs="Times New Roman"/>
        </w:rPr>
        <w:t>c</w:t>
      </w:r>
      <w:r w:rsidRPr="004A34D2">
        <w:rPr>
          <w:rFonts w:cs="Times New Roman"/>
        </w:rPr>
        <w:t>ourt concluded that the test applicable to Crown-led similar</w:t>
      </w:r>
      <w:r>
        <w:rPr>
          <w:rFonts w:cs="Times New Roman"/>
        </w:rPr>
        <w:t xml:space="preserve"> </w:t>
      </w:r>
      <w:r w:rsidRPr="004A34D2">
        <w:rPr>
          <w:rFonts w:cs="Times New Roman"/>
        </w:rPr>
        <w:t xml:space="preserve">fact evidence does not apply when such evidence is advanced by an accused; rather, defence-led similar fact evidence is admissible unless its prejudicial effects substantially outweigh its probative value, in accordance with </w:t>
      </w:r>
      <w:proofErr w:type="spellStart"/>
      <w:r w:rsidRPr="004A34D2">
        <w:rPr>
          <w:rFonts w:cs="Times New Roman"/>
          <w:i/>
        </w:rPr>
        <w:t>Seaboyer</w:t>
      </w:r>
      <w:proofErr w:type="spellEnd"/>
      <w:r w:rsidRPr="004A34D2">
        <w:rPr>
          <w:rFonts w:cs="Times New Roman"/>
        </w:rPr>
        <w:t>.</w:t>
      </w:r>
    </w:p>
    <w:p w:rsidR="00F44E46" w:rsidRDefault="00F44E46" w:rsidP="00F44E46">
      <w:pPr>
        <w:pStyle w:val="ParaNoNdepar-AltN"/>
        <w:rPr>
          <w:rFonts w:cs="Times New Roman"/>
        </w:rPr>
      </w:pPr>
      <w:r w:rsidRPr="004A34D2">
        <w:rPr>
          <w:rFonts w:cs="Times New Roman"/>
        </w:rPr>
        <w:t xml:space="preserve">The Court of Appeal concluded that the evidence pertaining to the P.W. incident was </w:t>
      </w:r>
      <w:r>
        <w:rPr>
          <w:rFonts w:cs="Times New Roman"/>
        </w:rPr>
        <w:t>“</w:t>
      </w:r>
      <w:r w:rsidRPr="004A34D2">
        <w:rPr>
          <w:rFonts w:cs="Times New Roman"/>
        </w:rPr>
        <w:t>very relevant</w:t>
      </w:r>
      <w:r>
        <w:rPr>
          <w:rFonts w:cs="Times New Roman"/>
        </w:rPr>
        <w:t>”</w:t>
      </w:r>
      <w:r w:rsidRPr="004A34D2">
        <w:rPr>
          <w:rFonts w:cs="Times New Roman"/>
        </w:rPr>
        <w:t xml:space="preserve"> and “pointed to the possibility that the same person who killed Candace </w:t>
      </w:r>
      <w:proofErr w:type="spellStart"/>
      <w:r w:rsidRPr="004A34D2">
        <w:rPr>
          <w:rFonts w:cs="Times New Roman"/>
        </w:rPr>
        <w:t>Derksen</w:t>
      </w:r>
      <w:proofErr w:type="spellEnd"/>
      <w:r w:rsidRPr="004A34D2">
        <w:rPr>
          <w:rFonts w:cs="Times New Roman"/>
        </w:rPr>
        <w:t xml:space="preserve"> abducted P.W., if the jury so found that to have occurred” (</w:t>
      </w:r>
      <w:proofErr w:type="spellStart"/>
      <w:r w:rsidRPr="004A34D2">
        <w:rPr>
          <w:rFonts w:cs="Times New Roman"/>
        </w:rPr>
        <w:t>para</w:t>
      </w:r>
      <w:proofErr w:type="spellEnd"/>
      <w:r w:rsidRPr="004A34D2">
        <w:rPr>
          <w:rFonts w:cs="Times New Roman"/>
        </w:rPr>
        <w:t xml:space="preserve">. 70).  As </w:t>
      </w:r>
      <w:r>
        <w:rPr>
          <w:rFonts w:cs="Times New Roman"/>
        </w:rPr>
        <w:t xml:space="preserve">Mr. </w:t>
      </w:r>
      <w:r w:rsidRPr="004A34D2">
        <w:rPr>
          <w:rFonts w:cs="Times New Roman"/>
        </w:rPr>
        <w:t>Grant was in custody at the time of the P.W. incident, this evidence “could provide the basis upon which a reasonable, properly instructed jury could acquit” (</w:t>
      </w:r>
      <w:r>
        <w:rPr>
          <w:rFonts w:cs="Times New Roman"/>
          <w:i/>
        </w:rPr>
        <w:t>ibid</w:t>
      </w:r>
      <w:r w:rsidR="001A2E53">
        <w:rPr>
          <w:rFonts w:cs="Times New Roman"/>
          <w:i/>
        </w:rPr>
        <w:t>.</w:t>
      </w:r>
      <w:r w:rsidRPr="004A34D2">
        <w:rPr>
          <w:rFonts w:cs="Times New Roman"/>
        </w:rPr>
        <w:t xml:space="preserve">).  The </w:t>
      </w:r>
      <w:r>
        <w:rPr>
          <w:rFonts w:cs="Times New Roman"/>
        </w:rPr>
        <w:t>c</w:t>
      </w:r>
      <w:r w:rsidRPr="004A34D2">
        <w:rPr>
          <w:rFonts w:cs="Times New Roman"/>
        </w:rPr>
        <w:t xml:space="preserve">ourt concluded that, since the prejudicial effects of the </w:t>
      </w:r>
      <w:r w:rsidRPr="004A34D2">
        <w:rPr>
          <w:rFonts w:cs="Times New Roman"/>
        </w:rPr>
        <w:lastRenderedPageBreak/>
        <w:t xml:space="preserve">evidence did not substantially outweigh its probative value, </w:t>
      </w:r>
      <w:r>
        <w:rPr>
          <w:rFonts w:cs="Times New Roman"/>
        </w:rPr>
        <w:t xml:space="preserve">Mr. </w:t>
      </w:r>
      <w:r w:rsidRPr="004A34D2">
        <w:rPr>
          <w:rFonts w:cs="Times New Roman"/>
        </w:rPr>
        <w:t>Grant should have been permitted to place the evidence of the P.W. incident before the jury (</w:t>
      </w:r>
      <w:proofErr w:type="spellStart"/>
      <w:r w:rsidRPr="004A34D2">
        <w:rPr>
          <w:rFonts w:cs="Times New Roman"/>
        </w:rPr>
        <w:t>para</w:t>
      </w:r>
      <w:proofErr w:type="spellEnd"/>
      <w:r w:rsidRPr="004A34D2">
        <w:rPr>
          <w:rFonts w:cs="Times New Roman"/>
        </w:rPr>
        <w:t xml:space="preserve">. 78).  The </w:t>
      </w:r>
      <w:r>
        <w:rPr>
          <w:rFonts w:cs="Times New Roman"/>
        </w:rPr>
        <w:t>c</w:t>
      </w:r>
      <w:r w:rsidRPr="004A34D2">
        <w:rPr>
          <w:rFonts w:cs="Times New Roman"/>
        </w:rPr>
        <w:t>ourt noted</w:t>
      </w:r>
      <w:r w:rsidRPr="004A34D2">
        <w:rPr>
          <w:rFonts w:cs="Times New Roman"/>
          <w:i/>
        </w:rPr>
        <w:t xml:space="preserve"> </w:t>
      </w:r>
      <w:r w:rsidRPr="004A34D2">
        <w:rPr>
          <w:rFonts w:cs="Times New Roman"/>
        </w:rPr>
        <w:t xml:space="preserve">that this evidence was also relevant in assessing the evidence of the defence DNA expert that excluded </w:t>
      </w:r>
      <w:r>
        <w:rPr>
          <w:rFonts w:cs="Times New Roman"/>
        </w:rPr>
        <w:t xml:space="preserve">Mr. </w:t>
      </w:r>
      <w:r w:rsidRPr="004A34D2">
        <w:rPr>
          <w:rFonts w:cs="Times New Roman"/>
        </w:rPr>
        <w:t>Grant as a suspect.  The accused was denied his opportunity to make full answer, and this legal error was sufficient to set aside the conviction and order a new trial.</w:t>
      </w:r>
    </w:p>
    <w:p w:rsidR="00F44E46" w:rsidRPr="004A34D2" w:rsidRDefault="00F44E46" w:rsidP="00F44E46">
      <w:pPr>
        <w:pStyle w:val="Title1LevelTitre1Niveau-AltL"/>
        <w:rPr>
          <w:rFonts w:cs="Times New Roman"/>
        </w:rPr>
      </w:pPr>
      <w:r w:rsidRPr="004A34D2">
        <w:rPr>
          <w:rFonts w:cs="Times New Roman"/>
        </w:rPr>
        <w:t>Analysis</w:t>
      </w:r>
    </w:p>
    <w:p w:rsidR="00F44E46" w:rsidRPr="004A34D2" w:rsidRDefault="00F44E46" w:rsidP="00F44E46">
      <w:pPr>
        <w:pStyle w:val="Title2LevelTitre2Niveau"/>
        <w:jc w:val="both"/>
        <w:rPr>
          <w:rFonts w:cs="Times New Roman"/>
        </w:rPr>
      </w:pPr>
      <w:r w:rsidRPr="004A34D2">
        <w:rPr>
          <w:rFonts w:cs="Times New Roman"/>
        </w:rPr>
        <w:t>Principles Governing the Admission of Defence Evidence in Criminal Proceedings</w:t>
      </w:r>
    </w:p>
    <w:p w:rsidR="00F44E46" w:rsidRPr="004A34D2" w:rsidRDefault="00F44E46" w:rsidP="00F44E46">
      <w:pPr>
        <w:pStyle w:val="ParaNoNdepar-AltN"/>
        <w:rPr>
          <w:rFonts w:cs="Times New Roman"/>
        </w:rPr>
      </w:pPr>
      <w:r w:rsidRPr="004A34D2">
        <w:rPr>
          <w:rFonts w:cs="Times New Roman"/>
          <w:lang w:eastAsia="en-CA"/>
        </w:rPr>
        <w:t>The truth-seeking function of the trial creates a starting premise that all relevant evidence is admissible (</w:t>
      </w:r>
      <w:r w:rsidRPr="004A34D2">
        <w:rPr>
          <w:rFonts w:cs="Times New Roman"/>
          <w:i/>
          <w:lang w:eastAsia="en-CA"/>
        </w:rPr>
        <w:t>R. v. L. (D.O.)</w:t>
      </w:r>
      <w:r w:rsidRPr="004A34D2">
        <w:rPr>
          <w:rFonts w:cs="Times New Roman"/>
          <w:lang w:eastAsia="en-CA"/>
        </w:rPr>
        <w:t xml:space="preserve">, [1993] 4 S.C.R. 419; </w:t>
      </w:r>
      <w:r w:rsidRPr="004A34D2">
        <w:rPr>
          <w:rFonts w:cs="Times New Roman"/>
          <w:i/>
          <w:lang w:eastAsia="en-CA"/>
        </w:rPr>
        <w:t>R. v. Corbett</w:t>
      </w:r>
      <w:r w:rsidRPr="004A34D2">
        <w:rPr>
          <w:rFonts w:cs="Times New Roman"/>
          <w:lang w:eastAsia="en-CA"/>
        </w:rPr>
        <w:t>, [1988] 1 S.C.R. 670).  Evidence is logically relevant where it has any tendency to prove or disprove a fact in issue (</w:t>
      </w:r>
      <w:r w:rsidRPr="004A34D2">
        <w:rPr>
          <w:rFonts w:cs="Times New Roman"/>
          <w:i/>
          <w:lang w:eastAsia="en-CA"/>
        </w:rPr>
        <w:t>Corbett</w:t>
      </w:r>
      <w:r w:rsidRPr="004A34D2">
        <w:rPr>
          <w:rFonts w:cs="Times New Roman"/>
          <w:lang w:eastAsia="en-CA"/>
        </w:rPr>
        <w:t>, at p. 715).</w:t>
      </w:r>
    </w:p>
    <w:p w:rsidR="00F44E46" w:rsidRPr="004A34D2" w:rsidRDefault="00F44E46" w:rsidP="00F44E46">
      <w:pPr>
        <w:pStyle w:val="ParaNoNdepar-AltN"/>
        <w:rPr>
          <w:rFonts w:cs="Times New Roman"/>
        </w:rPr>
      </w:pPr>
      <w:r w:rsidRPr="004A34D2">
        <w:rPr>
          <w:rFonts w:cs="Times New Roman"/>
          <w:lang w:eastAsia="en-CA"/>
        </w:rPr>
        <w:t>However, not all relevant evidence is admissible.  The trial judge must also balance the probative value of the evidence against the prejudicial effects of its admission (</w:t>
      </w:r>
      <w:r w:rsidRPr="004A34D2">
        <w:rPr>
          <w:rFonts w:cs="Times New Roman"/>
          <w:i/>
          <w:lang w:eastAsia="en-CA"/>
        </w:rPr>
        <w:t>R. v. No</w:t>
      </w:r>
      <w:r w:rsidRPr="004A34D2">
        <w:rPr>
          <w:rFonts w:cs="Times New Roman"/>
          <w:i/>
          <w:lang w:val="en-US" w:eastAsia="en-CA"/>
        </w:rPr>
        <w:t>ë</w:t>
      </w:r>
      <w:r w:rsidRPr="004A34D2">
        <w:rPr>
          <w:rFonts w:cs="Times New Roman"/>
          <w:i/>
          <w:lang w:eastAsia="en-CA"/>
        </w:rPr>
        <w:t>l</w:t>
      </w:r>
      <w:r w:rsidRPr="004A34D2">
        <w:rPr>
          <w:rFonts w:cs="Times New Roman"/>
          <w:lang w:eastAsia="en-CA"/>
        </w:rPr>
        <w:t>,</w:t>
      </w:r>
      <w:r>
        <w:rPr>
          <w:rFonts w:cs="Times New Roman"/>
          <w:lang w:eastAsia="en-CA"/>
        </w:rPr>
        <w:t xml:space="preserve"> 2002 SCC 67, </w:t>
      </w:r>
      <w:r w:rsidRPr="004A34D2">
        <w:rPr>
          <w:rFonts w:cs="Times New Roman"/>
          <w:lang w:eastAsia="en-CA"/>
        </w:rPr>
        <w:t xml:space="preserve">[2002] 3 S.C.R. 433; </w:t>
      </w:r>
      <w:r w:rsidRPr="004A34D2">
        <w:rPr>
          <w:rFonts w:cs="Times New Roman"/>
          <w:i/>
          <w:lang w:eastAsia="en-CA"/>
        </w:rPr>
        <w:t>Corbett</w:t>
      </w:r>
      <w:r w:rsidRPr="004A34D2">
        <w:rPr>
          <w:rFonts w:cs="Times New Roman"/>
          <w:lang w:eastAsia="en-CA"/>
        </w:rPr>
        <w:t xml:space="preserve">; </w:t>
      </w:r>
      <w:proofErr w:type="spellStart"/>
      <w:r w:rsidRPr="004A34D2">
        <w:rPr>
          <w:rFonts w:cs="Times New Roman"/>
          <w:i/>
          <w:lang w:eastAsia="en-CA"/>
        </w:rPr>
        <w:t>Sweitzer</w:t>
      </w:r>
      <w:proofErr w:type="spellEnd"/>
      <w:r w:rsidRPr="004A34D2">
        <w:rPr>
          <w:rFonts w:cs="Times New Roman"/>
          <w:i/>
          <w:lang w:eastAsia="en-CA"/>
        </w:rPr>
        <w:t xml:space="preserve"> v. The Queen</w:t>
      </w:r>
      <w:r w:rsidRPr="004A34D2">
        <w:rPr>
          <w:rFonts w:cs="Times New Roman"/>
          <w:lang w:eastAsia="en-CA"/>
        </w:rPr>
        <w:t xml:space="preserve">, [1982] 1 S.C.R. 949; </w:t>
      </w:r>
      <w:proofErr w:type="spellStart"/>
      <w:r w:rsidRPr="004A34D2">
        <w:rPr>
          <w:rFonts w:cs="Times New Roman"/>
          <w:i/>
          <w:lang w:eastAsia="en-CA"/>
        </w:rPr>
        <w:t>Seaboyer</w:t>
      </w:r>
      <w:proofErr w:type="spellEnd"/>
      <w:r w:rsidRPr="004A34D2">
        <w:rPr>
          <w:rFonts w:cs="Times New Roman"/>
          <w:lang w:eastAsia="en-CA"/>
        </w:rPr>
        <w:t xml:space="preserve">; </w:t>
      </w:r>
      <w:r w:rsidRPr="004A34D2">
        <w:rPr>
          <w:rFonts w:cs="Times New Roman"/>
          <w:i/>
        </w:rPr>
        <w:t xml:space="preserve">R. v. </w:t>
      </w:r>
      <w:proofErr w:type="spellStart"/>
      <w:r w:rsidRPr="004A34D2">
        <w:rPr>
          <w:rFonts w:cs="Times New Roman"/>
          <w:i/>
        </w:rPr>
        <w:t>Harrer</w:t>
      </w:r>
      <w:proofErr w:type="spellEnd"/>
      <w:r w:rsidRPr="004A34D2">
        <w:rPr>
          <w:rFonts w:cs="Times New Roman"/>
        </w:rPr>
        <w:t>, [1995] 3 S.C.R. 562</w:t>
      </w:r>
      <w:r w:rsidRPr="004A34D2">
        <w:rPr>
          <w:rFonts w:cs="Times New Roman"/>
          <w:lang w:eastAsia="en-CA"/>
        </w:rPr>
        <w:t>).  Evidence led by the Crown will be excluded where its prejudicial effects outweigh its probative value (</w:t>
      </w:r>
      <w:proofErr w:type="spellStart"/>
      <w:r w:rsidRPr="004A34D2">
        <w:rPr>
          <w:rFonts w:cs="Times New Roman"/>
          <w:i/>
          <w:lang w:eastAsia="en-CA"/>
        </w:rPr>
        <w:t>Seaboyer</w:t>
      </w:r>
      <w:proofErr w:type="spellEnd"/>
      <w:r w:rsidRPr="004A34D2">
        <w:rPr>
          <w:rFonts w:cs="Times New Roman"/>
          <w:lang w:eastAsia="en-CA"/>
        </w:rPr>
        <w:t xml:space="preserve">).  The presumption of the </w:t>
      </w:r>
      <w:proofErr w:type="spellStart"/>
      <w:r w:rsidRPr="004A34D2">
        <w:rPr>
          <w:rFonts w:cs="Times New Roman"/>
          <w:lang w:eastAsia="en-CA"/>
        </w:rPr>
        <w:t>accused’s</w:t>
      </w:r>
      <w:proofErr w:type="spellEnd"/>
      <w:r w:rsidRPr="004A34D2">
        <w:rPr>
          <w:rFonts w:cs="Times New Roman"/>
          <w:lang w:eastAsia="en-CA"/>
        </w:rPr>
        <w:t xml:space="preserve"> innocence leads us to strike a different balance where defence-led evidence is concerned.  As this Court explained in </w:t>
      </w:r>
      <w:proofErr w:type="spellStart"/>
      <w:r w:rsidRPr="004A34D2">
        <w:rPr>
          <w:rFonts w:cs="Times New Roman"/>
          <w:i/>
          <w:lang w:eastAsia="en-CA"/>
        </w:rPr>
        <w:t>Seaboyer</w:t>
      </w:r>
      <w:proofErr w:type="spellEnd"/>
      <w:r w:rsidRPr="004A34D2">
        <w:rPr>
          <w:rFonts w:cs="Times New Roman"/>
          <w:lang w:eastAsia="en-CA"/>
        </w:rPr>
        <w:t>, “</w:t>
      </w:r>
      <w:r w:rsidRPr="004A34D2">
        <w:rPr>
          <w:rFonts w:cs="Times New Roman"/>
        </w:rPr>
        <w:t xml:space="preserve">the prejudice must substantially outweigh the value of the evidence </w:t>
      </w:r>
      <w:r w:rsidRPr="004A34D2">
        <w:rPr>
          <w:rFonts w:cs="Times New Roman"/>
        </w:rPr>
        <w:lastRenderedPageBreak/>
        <w:t xml:space="preserve">before a judge can exclude evidence relevant to a defence allowed by law” (p. 611; </w:t>
      </w:r>
      <w:r>
        <w:rPr>
          <w:rFonts w:cs="Times New Roman"/>
        </w:rPr>
        <w:t xml:space="preserve">see also </w:t>
      </w:r>
      <w:r w:rsidRPr="004A34D2">
        <w:rPr>
          <w:rFonts w:cs="Times New Roman"/>
          <w:i/>
          <w:szCs w:val="24"/>
          <w:lang w:val="en-US"/>
        </w:rPr>
        <w:t>R. v. Shearing</w:t>
      </w:r>
      <w:r w:rsidRPr="004A34D2">
        <w:rPr>
          <w:rFonts w:cs="Times New Roman"/>
          <w:szCs w:val="24"/>
          <w:lang w:val="en-US"/>
        </w:rPr>
        <w:t xml:space="preserve">, 2002 SCC 58, [2002] </w:t>
      </w:r>
      <w:r>
        <w:rPr>
          <w:rFonts w:cs="Times New Roman"/>
          <w:szCs w:val="24"/>
          <w:lang w:val="en-US"/>
        </w:rPr>
        <w:t>3</w:t>
      </w:r>
      <w:r w:rsidRPr="004A34D2">
        <w:rPr>
          <w:rFonts w:cs="Times New Roman"/>
          <w:szCs w:val="24"/>
          <w:lang w:val="en-US"/>
        </w:rPr>
        <w:t xml:space="preserve"> S.C.R. 33; </w:t>
      </w:r>
      <w:r w:rsidRPr="004A34D2">
        <w:rPr>
          <w:rFonts w:cs="Times New Roman"/>
          <w:i/>
          <w:szCs w:val="24"/>
          <w:lang w:val="en-US"/>
        </w:rPr>
        <w:t xml:space="preserve">R. v. </w:t>
      </w:r>
      <w:proofErr w:type="spellStart"/>
      <w:r w:rsidRPr="004A34D2">
        <w:rPr>
          <w:rFonts w:cs="Times New Roman"/>
          <w:i/>
          <w:szCs w:val="24"/>
          <w:lang w:val="en-US"/>
        </w:rPr>
        <w:t>Arcangioli</w:t>
      </w:r>
      <w:proofErr w:type="spellEnd"/>
      <w:r w:rsidRPr="004A34D2">
        <w:rPr>
          <w:rFonts w:cs="Times New Roman"/>
          <w:szCs w:val="24"/>
          <w:lang w:val="en-US"/>
        </w:rPr>
        <w:t>, [199</w:t>
      </w:r>
      <w:r>
        <w:rPr>
          <w:rFonts w:cs="Times New Roman"/>
          <w:szCs w:val="24"/>
          <w:lang w:val="en-US"/>
        </w:rPr>
        <w:t>4</w:t>
      </w:r>
      <w:r w:rsidRPr="004A34D2">
        <w:rPr>
          <w:rFonts w:cs="Times New Roman"/>
          <w:szCs w:val="24"/>
          <w:lang w:val="en-US"/>
        </w:rPr>
        <w:t>] 1 S.C.R. 129).</w:t>
      </w:r>
    </w:p>
    <w:p w:rsidR="00F44E46" w:rsidRPr="004A34D2" w:rsidRDefault="00F44E46" w:rsidP="00F44E46">
      <w:pPr>
        <w:pStyle w:val="ParaNoNdepar-AltN"/>
        <w:rPr>
          <w:rFonts w:cs="Times New Roman"/>
        </w:rPr>
      </w:pPr>
      <w:r w:rsidRPr="004A34D2">
        <w:rPr>
          <w:rFonts w:cs="Times New Roman"/>
          <w:lang w:eastAsia="en-CA"/>
        </w:rPr>
        <w:t xml:space="preserve">In order for the judge to put a defence to the jury, the accused must point to </w:t>
      </w:r>
      <w:r w:rsidRPr="004A34D2">
        <w:rPr>
          <w:rFonts w:cs="Times New Roman"/>
        </w:rPr>
        <w:t>evidence on the record that gives the defence an air of reality (</w:t>
      </w:r>
      <w:r w:rsidRPr="004A34D2">
        <w:rPr>
          <w:rFonts w:cs="Times New Roman"/>
          <w:i/>
        </w:rPr>
        <w:t xml:space="preserve">R. v. </w:t>
      </w:r>
      <w:proofErr w:type="spellStart"/>
      <w:r w:rsidRPr="004A34D2">
        <w:rPr>
          <w:rFonts w:cs="Times New Roman"/>
          <w:i/>
        </w:rPr>
        <w:t>Cinous</w:t>
      </w:r>
      <w:proofErr w:type="spellEnd"/>
      <w:r w:rsidRPr="004A34D2">
        <w:rPr>
          <w:rFonts w:cs="Times New Roman"/>
        </w:rPr>
        <w:t xml:space="preserve">, 2002 SCC 29, [2002] 2 S.C.R. 3).  </w:t>
      </w:r>
      <w:r w:rsidRPr="004A34D2">
        <w:rPr>
          <w:rFonts w:cs="Times New Roman"/>
          <w:szCs w:val="24"/>
          <w:lang w:val="en-US"/>
        </w:rPr>
        <w:t xml:space="preserve">The trial judge must determine whether there is some evidence that is “reasonably capable of supporting the inferences required for the </w:t>
      </w:r>
      <w:proofErr w:type="spellStart"/>
      <w:r w:rsidRPr="004A34D2">
        <w:rPr>
          <w:rFonts w:cs="Times New Roman"/>
          <w:szCs w:val="24"/>
          <w:lang w:val="en-US"/>
        </w:rPr>
        <w:t>defence</w:t>
      </w:r>
      <w:proofErr w:type="spellEnd"/>
      <w:r w:rsidRPr="004A34D2">
        <w:rPr>
          <w:rFonts w:cs="Times New Roman"/>
          <w:szCs w:val="24"/>
          <w:lang w:val="en-US"/>
        </w:rPr>
        <w:t xml:space="preserve"> to succeed” (</w:t>
      </w:r>
      <w:proofErr w:type="gramStart"/>
      <w:r>
        <w:rPr>
          <w:rFonts w:cs="Times New Roman"/>
          <w:i/>
          <w:szCs w:val="24"/>
          <w:lang w:val="en-US"/>
        </w:rPr>
        <w:t>ibid</w:t>
      </w:r>
      <w:r w:rsidR="001A2E53">
        <w:rPr>
          <w:rFonts w:cs="Times New Roman"/>
          <w:i/>
          <w:szCs w:val="24"/>
          <w:lang w:val="en-US"/>
        </w:rPr>
        <w:t>.</w:t>
      </w:r>
      <w:r w:rsidRPr="004A34D2">
        <w:rPr>
          <w:rFonts w:cs="Times New Roman"/>
          <w:szCs w:val="24"/>
          <w:lang w:val="en-US"/>
        </w:rPr>
        <w:t>,</w:t>
      </w:r>
      <w:proofErr w:type="gramEnd"/>
      <w:r w:rsidRPr="004A34D2">
        <w:rPr>
          <w:rFonts w:cs="Times New Roman"/>
          <w:szCs w:val="24"/>
          <w:lang w:val="en-US"/>
        </w:rPr>
        <w:t xml:space="preserve"> at </w:t>
      </w:r>
      <w:proofErr w:type="spellStart"/>
      <w:r w:rsidRPr="004A34D2">
        <w:rPr>
          <w:rFonts w:cs="Times New Roman"/>
          <w:szCs w:val="24"/>
          <w:lang w:val="en-US"/>
        </w:rPr>
        <w:t>para</w:t>
      </w:r>
      <w:proofErr w:type="spellEnd"/>
      <w:r w:rsidRPr="004A34D2">
        <w:rPr>
          <w:rFonts w:cs="Times New Roman"/>
          <w:szCs w:val="24"/>
          <w:lang w:val="en-US"/>
        </w:rPr>
        <w:t>. 83).</w:t>
      </w:r>
      <w:r w:rsidRPr="004A34D2">
        <w:rPr>
          <w:rFonts w:cs="Times New Roman"/>
        </w:rPr>
        <w:t xml:space="preserve">  The air of reality test applies to all defences, and acts as a threshold to ensure that “fanciful or far-fetched” defences are not put before the </w:t>
      </w:r>
      <w:proofErr w:type="spellStart"/>
      <w:r w:rsidRPr="004A34D2">
        <w:rPr>
          <w:rFonts w:cs="Times New Roman"/>
        </w:rPr>
        <w:t>trier</w:t>
      </w:r>
      <w:proofErr w:type="spellEnd"/>
      <w:r w:rsidRPr="004A34D2">
        <w:rPr>
          <w:rFonts w:cs="Times New Roman"/>
        </w:rPr>
        <w:t xml:space="preserve"> of fact (</w:t>
      </w:r>
      <w:proofErr w:type="spellStart"/>
      <w:r w:rsidRPr="004A34D2">
        <w:rPr>
          <w:rFonts w:cs="Times New Roman"/>
        </w:rPr>
        <w:t>para</w:t>
      </w:r>
      <w:proofErr w:type="spellEnd"/>
      <w:r w:rsidRPr="004A34D2">
        <w:rPr>
          <w:rFonts w:cs="Times New Roman"/>
        </w:rPr>
        <w:t>. 84).  When applying this test, the trial judge must take the evidence to be true and must not assess credibility or make other findings of fact (</w:t>
      </w:r>
      <w:proofErr w:type="spellStart"/>
      <w:r w:rsidRPr="004A34D2">
        <w:rPr>
          <w:rFonts w:cs="Times New Roman"/>
        </w:rPr>
        <w:t>para</w:t>
      </w:r>
      <w:proofErr w:type="spellEnd"/>
      <w:r w:rsidRPr="004A34D2">
        <w:rPr>
          <w:rFonts w:cs="Times New Roman"/>
        </w:rPr>
        <w:t>. 54).</w:t>
      </w:r>
    </w:p>
    <w:p w:rsidR="00F44E46" w:rsidRPr="004A34D2" w:rsidRDefault="00F44E46" w:rsidP="00F44E46">
      <w:pPr>
        <w:pStyle w:val="ParaNoNdepar-AltN"/>
        <w:rPr>
          <w:rFonts w:cs="Times New Roman"/>
        </w:rPr>
      </w:pPr>
      <w:r w:rsidRPr="004A34D2">
        <w:rPr>
          <w:rFonts w:cs="Times New Roman"/>
        </w:rPr>
        <w:t xml:space="preserve">These principles are distinct, but may be interrelated.  In most cases, where the defence evidence relates to the facts underlying the offence charged, the logical relevance and the admissibility of the evidence will be obvious.  However, where the evidence refers to a factual matrix beyond the offence charged, its relevance to a fact in issue or an available defence may be less clear.  In such circumstances, the gate-keeping role of the trial judge may require her to determine whether the evidence is logically relevant and connected to a defence that has an air of reality.  For example, while the degree of similarity may be logically relevant to whether the same person committed the offence, it will not relate to a fact in issue at trial unless the defence has an air of reality.  In this case, the unknown third party </w:t>
      </w:r>
      <w:r w:rsidRPr="004A34D2">
        <w:rPr>
          <w:rFonts w:cs="Times New Roman"/>
        </w:rPr>
        <w:lastRenderedPageBreak/>
        <w:t>suspect defence will not have an air of reality unless there is evidence that the accused could not have committed the other offence.  Thus, logical relevance will sometimes be assessed with reference to whether the defence for which the evidence is tendered is available.  That said</w:t>
      </w:r>
      <w:proofErr w:type="gramStart"/>
      <w:r w:rsidRPr="004A34D2">
        <w:rPr>
          <w:rFonts w:cs="Times New Roman"/>
        </w:rPr>
        <w:t>,</w:t>
      </w:r>
      <w:proofErr w:type="gramEnd"/>
      <w:r w:rsidRPr="004A34D2">
        <w:rPr>
          <w:rFonts w:cs="Times New Roman"/>
        </w:rPr>
        <w:t xml:space="preserve"> the air of reality test set out in </w:t>
      </w:r>
      <w:proofErr w:type="spellStart"/>
      <w:r w:rsidRPr="004A34D2">
        <w:rPr>
          <w:rFonts w:cs="Times New Roman"/>
          <w:i/>
        </w:rPr>
        <w:t>Cinous</w:t>
      </w:r>
      <w:proofErr w:type="spellEnd"/>
      <w:r w:rsidRPr="004A34D2">
        <w:rPr>
          <w:rFonts w:cs="Times New Roman"/>
        </w:rPr>
        <w:t xml:space="preserve"> does not displace the </w:t>
      </w:r>
      <w:proofErr w:type="spellStart"/>
      <w:r w:rsidRPr="004A34D2">
        <w:rPr>
          <w:rFonts w:cs="Times New Roman"/>
          <w:i/>
        </w:rPr>
        <w:t>Seaboyer</w:t>
      </w:r>
      <w:proofErr w:type="spellEnd"/>
      <w:r w:rsidRPr="004A34D2">
        <w:rPr>
          <w:rFonts w:cs="Times New Roman"/>
          <w:i/>
        </w:rPr>
        <w:t xml:space="preserve"> </w:t>
      </w:r>
      <w:r w:rsidRPr="004A34D2">
        <w:rPr>
          <w:rFonts w:cs="Times New Roman"/>
        </w:rPr>
        <w:t xml:space="preserve">admissibility test.  The air of reality test and the </w:t>
      </w:r>
      <w:proofErr w:type="spellStart"/>
      <w:r w:rsidRPr="004A34D2">
        <w:rPr>
          <w:rFonts w:cs="Times New Roman"/>
          <w:i/>
        </w:rPr>
        <w:t>Seaboyer</w:t>
      </w:r>
      <w:proofErr w:type="spellEnd"/>
      <w:r w:rsidRPr="004A34D2">
        <w:rPr>
          <w:rFonts w:cs="Times New Roman"/>
          <w:i/>
        </w:rPr>
        <w:t xml:space="preserve"> </w:t>
      </w:r>
      <w:r w:rsidRPr="004A34D2">
        <w:rPr>
          <w:rFonts w:cs="Times New Roman"/>
        </w:rPr>
        <w:t>admissibility test remain two distinct inquiries.</w:t>
      </w:r>
    </w:p>
    <w:p w:rsidR="00F44E46" w:rsidRPr="004A34D2" w:rsidRDefault="00F44E46" w:rsidP="00F44E46">
      <w:pPr>
        <w:pStyle w:val="ParaNoNdepar-AltN"/>
        <w:rPr>
          <w:rFonts w:cs="Times New Roman"/>
        </w:rPr>
      </w:pPr>
      <w:r w:rsidRPr="004A34D2">
        <w:rPr>
          <w:rFonts w:cs="Times New Roman"/>
        </w:rPr>
        <w:t>These principles</w:t>
      </w:r>
      <w:r>
        <w:rPr>
          <w:rFonts w:cs="Times New Roman"/>
        </w:rPr>
        <w:t xml:space="preserve"> </w:t>
      </w:r>
      <w:r w:rsidRPr="004A34D2">
        <w:rPr>
          <w:rFonts w:cs="Times New Roman"/>
        </w:rPr>
        <w:t>are firmly established in this Court’s jurisprudence and are not generally challenged by the parties to this appeal.  Instead, the dispute concerns their proper application to evidence concerning an unknown third party suspect.</w:t>
      </w:r>
    </w:p>
    <w:p w:rsidR="00F44E46" w:rsidRPr="004A34D2" w:rsidRDefault="00F44E46" w:rsidP="00F44E46">
      <w:pPr>
        <w:pStyle w:val="ParaNoNdepar-AltN"/>
        <w:rPr>
          <w:rFonts w:cs="Times New Roman"/>
        </w:rPr>
      </w:pPr>
      <w:r w:rsidRPr="004A34D2">
        <w:rPr>
          <w:rFonts w:cs="Times New Roman"/>
        </w:rPr>
        <w:t>T</w:t>
      </w:r>
      <w:r w:rsidRPr="004A34D2">
        <w:rPr>
          <w:rFonts w:cs="Times New Roman"/>
          <w:szCs w:val="24"/>
          <w:lang w:val="en-US"/>
        </w:rPr>
        <w:t xml:space="preserve">he Crown argues that a modified version of </w:t>
      </w:r>
      <w:proofErr w:type="spellStart"/>
      <w:r w:rsidRPr="004A34D2">
        <w:rPr>
          <w:rFonts w:cs="Times New Roman"/>
          <w:i/>
          <w:szCs w:val="24"/>
          <w:lang w:val="en-US"/>
        </w:rPr>
        <w:t>Seaboyer</w:t>
      </w:r>
      <w:proofErr w:type="spellEnd"/>
      <w:r w:rsidRPr="004A34D2">
        <w:rPr>
          <w:rFonts w:cs="Times New Roman"/>
          <w:szCs w:val="24"/>
          <w:lang w:val="en-US"/>
        </w:rPr>
        <w:t xml:space="preserve"> must be applied, incorporating aspects of the tests governing similar fact and known third party suspect evidence.  I disagree.</w:t>
      </w:r>
      <w:r w:rsidRPr="004A34D2">
        <w:rPr>
          <w:rFonts w:cs="Times New Roman"/>
        </w:rPr>
        <w:t xml:space="preserve">  </w:t>
      </w:r>
      <w:r w:rsidRPr="004A34D2">
        <w:rPr>
          <w:rFonts w:cs="Times New Roman"/>
          <w:szCs w:val="24"/>
          <w:lang w:val="en-US"/>
        </w:rPr>
        <w:t xml:space="preserve">As I discuss below, these tests are designed to respond to the particular risks and benefits presented by particular types of evidence.  Where evidence does not fit within these categories ― where it does not present these specific risks and benefits ― its admission is governed directly by the general principles of admissibility set out in </w:t>
      </w:r>
      <w:r w:rsidRPr="004A34D2">
        <w:rPr>
          <w:rFonts w:cs="Times New Roman"/>
          <w:i/>
          <w:szCs w:val="24"/>
          <w:lang w:val="en-US"/>
        </w:rPr>
        <w:t>Corbett</w:t>
      </w:r>
      <w:r w:rsidRPr="004A34D2">
        <w:rPr>
          <w:rFonts w:cs="Times New Roman"/>
          <w:szCs w:val="24"/>
          <w:lang w:val="en-US"/>
        </w:rPr>
        <w:t xml:space="preserve"> and </w:t>
      </w:r>
      <w:proofErr w:type="spellStart"/>
      <w:r w:rsidRPr="004A34D2">
        <w:rPr>
          <w:rFonts w:cs="Times New Roman"/>
          <w:i/>
          <w:szCs w:val="24"/>
          <w:lang w:val="en-US"/>
        </w:rPr>
        <w:t>Seaboyer</w:t>
      </w:r>
      <w:proofErr w:type="spellEnd"/>
      <w:r w:rsidRPr="004A34D2">
        <w:rPr>
          <w:rFonts w:cs="Times New Roman"/>
          <w:szCs w:val="24"/>
          <w:lang w:val="en-US"/>
        </w:rPr>
        <w:t>.</w:t>
      </w:r>
    </w:p>
    <w:p w:rsidR="00F44E46" w:rsidRPr="004A34D2" w:rsidRDefault="00F44E46" w:rsidP="00CD15A6">
      <w:pPr>
        <w:pStyle w:val="Title2LevelTitre2Niveau"/>
        <w:jc w:val="both"/>
        <w:rPr>
          <w:rFonts w:cs="Times New Roman"/>
        </w:rPr>
      </w:pPr>
      <w:r w:rsidRPr="004A34D2">
        <w:rPr>
          <w:rFonts w:cs="Times New Roman"/>
        </w:rPr>
        <w:t xml:space="preserve">The Known Third Party Suspect Test Does </w:t>
      </w:r>
      <w:r>
        <w:rPr>
          <w:rFonts w:cs="Times New Roman"/>
        </w:rPr>
        <w:t>N</w:t>
      </w:r>
      <w:r w:rsidRPr="004A34D2">
        <w:rPr>
          <w:rFonts w:cs="Times New Roman"/>
        </w:rPr>
        <w:t>ot Provide the Proper Template for Determining the Relevance of Unknown Third Party Suspect Evidence</w:t>
      </w:r>
    </w:p>
    <w:p w:rsidR="00F44E46" w:rsidRPr="004A34D2" w:rsidRDefault="00F44E46" w:rsidP="00F44E46">
      <w:pPr>
        <w:pStyle w:val="ParaNoNdepar-AltN"/>
        <w:rPr>
          <w:rFonts w:cs="Times New Roman"/>
        </w:rPr>
      </w:pPr>
      <w:r w:rsidRPr="004A34D2">
        <w:rPr>
          <w:rFonts w:cs="Times New Roman"/>
        </w:rPr>
        <w:t xml:space="preserve">In order for evidence relating to a known third party suspect to have any probative value, the evidence must show a sufficient connection between the third </w:t>
      </w:r>
      <w:r w:rsidRPr="004A34D2">
        <w:rPr>
          <w:rFonts w:cs="Times New Roman"/>
        </w:rPr>
        <w:lastRenderedPageBreak/>
        <w:t xml:space="preserve">person and the crime for which the accused is charged </w:t>
      </w:r>
      <w:r>
        <w:rPr>
          <w:rFonts w:cs="Times New Roman"/>
        </w:rPr>
        <w:t>(</w:t>
      </w:r>
      <w:proofErr w:type="spellStart"/>
      <w:r w:rsidRPr="004A34D2">
        <w:rPr>
          <w:rFonts w:cs="Times New Roman"/>
          <w:i/>
        </w:rPr>
        <w:t>Grandinetti</w:t>
      </w:r>
      <w:proofErr w:type="spellEnd"/>
      <w:r w:rsidRPr="004A34D2">
        <w:rPr>
          <w:rFonts w:cs="Times New Roman"/>
        </w:rPr>
        <w:t xml:space="preserve">, at </w:t>
      </w:r>
      <w:proofErr w:type="spellStart"/>
      <w:r w:rsidRPr="004A34D2">
        <w:rPr>
          <w:rFonts w:cs="Times New Roman"/>
        </w:rPr>
        <w:t>para</w:t>
      </w:r>
      <w:proofErr w:type="spellEnd"/>
      <w:r w:rsidRPr="004A34D2">
        <w:rPr>
          <w:rFonts w:cs="Times New Roman"/>
        </w:rPr>
        <w:t xml:space="preserve">. 47; </w:t>
      </w:r>
      <w:r w:rsidRPr="004A34D2">
        <w:rPr>
          <w:rFonts w:cs="Times New Roman"/>
          <w:i/>
        </w:rPr>
        <w:t xml:space="preserve">McMillan v. </w:t>
      </w:r>
      <w:r>
        <w:rPr>
          <w:rFonts w:cs="Times New Roman"/>
          <w:i/>
        </w:rPr>
        <w:t>The Queen</w:t>
      </w:r>
      <w:r w:rsidRPr="004A34D2">
        <w:rPr>
          <w:rFonts w:cs="Times New Roman"/>
        </w:rPr>
        <w:t>, [1977] 2 S.C.R. 824</w:t>
      </w:r>
      <w:r>
        <w:rPr>
          <w:rFonts w:cs="Times New Roman"/>
        </w:rPr>
        <w:t>)</w:t>
      </w:r>
      <w:r w:rsidRPr="004A34D2">
        <w:rPr>
          <w:rFonts w:cs="Times New Roman"/>
        </w:rPr>
        <w:t>.  The defence points to such evidence to raise a reasonable doubt that someone else committed the crime in question.  Evidence that this third person had the motive, the means, or the propensity to commit the crime</w:t>
      </w:r>
      <w:r w:rsidRPr="004A34D2" w:rsidDel="00135976">
        <w:rPr>
          <w:rFonts w:cs="Times New Roman"/>
        </w:rPr>
        <w:t xml:space="preserve"> </w:t>
      </w:r>
      <w:r w:rsidRPr="004A34D2">
        <w:rPr>
          <w:rFonts w:cs="Times New Roman"/>
        </w:rPr>
        <w:t>will often establish this sufficient connection.</w:t>
      </w:r>
    </w:p>
    <w:p w:rsidR="00F44E46" w:rsidRPr="004A34D2" w:rsidRDefault="00F44E46" w:rsidP="00F44E46">
      <w:pPr>
        <w:pStyle w:val="ParaNoNdepar-AltN"/>
        <w:rPr>
          <w:rFonts w:cs="Times New Roman"/>
        </w:rPr>
      </w:pPr>
      <w:r w:rsidRPr="004A34D2">
        <w:rPr>
          <w:rFonts w:cs="Times New Roman"/>
        </w:rPr>
        <w:t xml:space="preserve">As this Court recognized in </w:t>
      </w:r>
      <w:r w:rsidRPr="004A34D2">
        <w:rPr>
          <w:rFonts w:cs="Times New Roman"/>
          <w:i/>
        </w:rPr>
        <w:t>McMillan</w:t>
      </w:r>
      <w:r w:rsidRPr="004A34D2">
        <w:rPr>
          <w:rFonts w:cs="Times New Roman"/>
        </w:rPr>
        <w:t xml:space="preserve">, the sufficient connection test is nothing more than an elaboration of the logical relevance analysis applied in the particular context of allegations that another, known individual committed the crime (pp. 828-29).  Abella J. affirmed this point in </w:t>
      </w:r>
      <w:proofErr w:type="spellStart"/>
      <w:r w:rsidRPr="004A34D2">
        <w:rPr>
          <w:rFonts w:cs="Times New Roman"/>
          <w:i/>
        </w:rPr>
        <w:t>Grandinetti</w:t>
      </w:r>
      <w:proofErr w:type="spellEnd"/>
      <w:r w:rsidRPr="004A34D2">
        <w:rPr>
          <w:rFonts w:cs="Times New Roman"/>
        </w:rPr>
        <w:t>, where she wrote:</w:t>
      </w:r>
    </w:p>
    <w:p w:rsidR="00F44E46" w:rsidRPr="004A34D2" w:rsidRDefault="00F44E46" w:rsidP="00F44E46">
      <w:pPr>
        <w:pStyle w:val="Citation-AltC"/>
        <w:ind w:firstLine="274"/>
      </w:pPr>
      <w:r w:rsidRPr="004A34D2">
        <w:t xml:space="preserve">The requirement that there be a sufficient connection between the third party and the crime is essential.  Without this link, the third party evidence is neither relevant nor probative.  The evidence may be inferential, but the inferences must be reasonable, based on the evidence, and not amount to speculation.  </w:t>
      </w:r>
      <w:r>
        <w:t>[</w:t>
      </w:r>
      <w:proofErr w:type="spellStart"/>
      <w:r w:rsidRPr="004A34D2">
        <w:t>para</w:t>
      </w:r>
      <w:proofErr w:type="spellEnd"/>
      <w:r w:rsidRPr="004A34D2">
        <w:t>. 47</w:t>
      </w:r>
      <w:r>
        <w:t>]</w:t>
      </w:r>
    </w:p>
    <w:p w:rsidR="00F44E46" w:rsidRPr="004A34D2" w:rsidRDefault="00F44E46" w:rsidP="00F44E46">
      <w:pPr>
        <w:pStyle w:val="ParaNoNdepar-AltN"/>
        <w:numPr>
          <w:ilvl w:val="0"/>
          <w:numId w:val="0"/>
        </w:numPr>
        <w:rPr>
          <w:rFonts w:cs="Times New Roman"/>
        </w:rPr>
      </w:pPr>
      <w:r w:rsidRPr="004A34D2">
        <w:rPr>
          <w:rFonts w:cs="Times New Roman"/>
        </w:rPr>
        <w:t>Without a sufficient connection between the third party and the crime, the evidence of a known third party suspect is simply not logically relevant.</w:t>
      </w:r>
    </w:p>
    <w:p w:rsidR="00F44E46" w:rsidRPr="004A34D2" w:rsidRDefault="00F44E46" w:rsidP="00F44E46">
      <w:pPr>
        <w:pStyle w:val="ParaNoNdepar-AltN"/>
        <w:rPr>
          <w:rFonts w:cs="Times New Roman"/>
          <w:szCs w:val="24"/>
        </w:rPr>
      </w:pPr>
      <w:r w:rsidRPr="004A34D2">
        <w:rPr>
          <w:rFonts w:cs="Times New Roman"/>
        </w:rPr>
        <w:t>There is no principled reason to require that the connection be established by evidence relating directly to the third party where that individual is unknown.  Such an articulation of the test ― designed, for example, to capture the motive, propensity or opportunity of a known third party to commit the crime ― would place an unrealistic burden on the accused.  How could a</w:t>
      </w:r>
      <w:r w:rsidRPr="004A34D2">
        <w:rPr>
          <w:rFonts w:cs="Times New Roman"/>
          <w:szCs w:val="24"/>
        </w:rPr>
        <w:t>n</w:t>
      </w:r>
      <w:r w:rsidRPr="004A34D2">
        <w:rPr>
          <w:rFonts w:cs="Times New Roman"/>
        </w:rPr>
        <w:t xml:space="preserve"> accused establish the motive, </w:t>
      </w:r>
      <w:r w:rsidRPr="004A34D2">
        <w:rPr>
          <w:rFonts w:cs="Times New Roman"/>
        </w:rPr>
        <w:lastRenderedPageBreak/>
        <w:t>propensity or opportunity of an unknown individual?</w:t>
      </w:r>
      <w:r>
        <w:rPr>
          <w:rFonts w:cs="Times New Roman"/>
        </w:rPr>
        <w:t xml:space="preserve">  (See, </w:t>
      </w:r>
      <w:r>
        <w:t xml:space="preserve">on this point, </w:t>
      </w:r>
      <w:r>
        <w:rPr>
          <w:i/>
          <w:iCs/>
          <w:lang w:val="en-US"/>
        </w:rPr>
        <w:t xml:space="preserve">State v. </w:t>
      </w:r>
      <w:proofErr w:type="spellStart"/>
      <w:r>
        <w:rPr>
          <w:i/>
          <w:iCs/>
          <w:lang w:val="en-US"/>
        </w:rPr>
        <w:t>Scheidell</w:t>
      </w:r>
      <w:proofErr w:type="spellEnd"/>
      <w:r>
        <w:rPr>
          <w:iCs/>
          <w:lang w:val="en-US"/>
        </w:rPr>
        <w:t>, 227 Wis.2d 285 (1999), at paras. 24-27.)</w:t>
      </w:r>
    </w:p>
    <w:p w:rsidR="00F44E46" w:rsidRPr="004A34D2" w:rsidRDefault="00F44E46" w:rsidP="00F44E46">
      <w:pPr>
        <w:pStyle w:val="ParaNoNdepar-AltN"/>
        <w:rPr>
          <w:rFonts w:cs="Times New Roman"/>
        </w:rPr>
      </w:pPr>
      <w:r w:rsidRPr="004A34D2">
        <w:rPr>
          <w:rFonts w:cs="Times New Roman"/>
        </w:rPr>
        <w:t>Where the third party’s identity is unknown, the nature of the connection must reflect a different factual matrix.  In such circumstances, the sufficient connection ― to anchor the relevance and probative value of the evidence ― generally arises from similarities between the crime charged and another crime that the accused could not possibly have committed.</w:t>
      </w:r>
    </w:p>
    <w:p w:rsidR="00F44E46" w:rsidRPr="004A34D2" w:rsidRDefault="00F44E46" w:rsidP="00F44E46">
      <w:pPr>
        <w:pStyle w:val="ParaNoNdepar-AltN"/>
        <w:rPr>
          <w:rFonts w:cs="Times New Roman"/>
        </w:rPr>
      </w:pPr>
      <w:r w:rsidRPr="004A34D2">
        <w:rPr>
          <w:rFonts w:cs="Times New Roman"/>
        </w:rPr>
        <w:t xml:space="preserve">This focus on the similarities between the offences is not a formulation of a new, categorical test. Rather, it reflects the principles underlying </w:t>
      </w:r>
      <w:proofErr w:type="spellStart"/>
      <w:r w:rsidRPr="004A34D2">
        <w:rPr>
          <w:rFonts w:cs="Times New Roman"/>
          <w:i/>
        </w:rPr>
        <w:t>Grandinetti</w:t>
      </w:r>
      <w:proofErr w:type="spellEnd"/>
      <w:r w:rsidRPr="004A34D2">
        <w:rPr>
          <w:rFonts w:cs="Times New Roman"/>
        </w:rPr>
        <w:t xml:space="preserve"> which play out differently in different factual contexts.  Like known third party suspect evidence, “in the absence of some nexus with the </w:t>
      </w:r>
      <w:r>
        <w:rPr>
          <w:rFonts w:cs="Times New Roman"/>
        </w:rPr>
        <w:t xml:space="preserve">alleged </w:t>
      </w:r>
      <w:r w:rsidRPr="004A34D2">
        <w:rPr>
          <w:rFonts w:cs="Times New Roman"/>
        </w:rPr>
        <w:t xml:space="preserve">offence”, unknown third party suspect evidence will constitute mere speculation </w:t>
      </w:r>
      <w:r>
        <w:rPr>
          <w:rFonts w:cs="Times New Roman"/>
        </w:rPr>
        <w:t>(</w:t>
      </w:r>
      <w:r w:rsidRPr="004A34D2">
        <w:rPr>
          <w:rFonts w:cs="Times New Roman"/>
          <w:i/>
        </w:rPr>
        <w:t>R. v. McMillan</w:t>
      </w:r>
      <w:r w:rsidRPr="004A34D2">
        <w:rPr>
          <w:rFonts w:cs="Times New Roman"/>
        </w:rPr>
        <w:t xml:space="preserve"> (1975), 7 O.R. (2d) 750 (C.A.), at p. 758</w:t>
      </w:r>
      <w:r>
        <w:rPr>
          <w:rFonts w:cs="Times New Roman"/>
        </w:rPr>
        <w:t xml:space="preserve">, </w:t>
      </w:r>
      <w:proofErr w:type="spellStart"/>
      <w:r>
        <w:rPr>
          <w:rFonts w:cs="Times New Roman"/>
        </w:rPr>
        <w:t>aff’d</w:t>
      </w:r>
      <w:proofErr w:type="spellEnd"/>
      <w:r>
        <w:rPr>
          <w:rFonts w:cs="Times New Roman"/>
        </w:rPr>
        <w:t xml:space="preserve"> [1977] 2 S.C.R. 824)</w:t>
      </w:r>
      <w:r w:rsidRPr="004A34D2">
        <w:rPr>
          <w:rFonts w:cs="Times New Roman"/>
        </w:rPr>
        <w:t>.  Unless the circumstances and similarities to the other offence are sufficient to suggest that the same individual committed both crimes, unknown third party suspect evidence will not be logically relevant.</w:t>
      </w:r>
    </w:p>
    <w:p w:rsidR="00F44E46" w:rsidRPr="004A34D2" w:rsidRDefault="00F44E46" w:rsidP="00F44E46">
      <w:pPr>
        <w:pStyle w:val="ParaNoNdepar-AltN"/>
        <w:rPr>
          <w:rFonts w:cs="Times New Roman"/>
        </w:rPr>
      </w:pPr>
      <w:r w:rsidRPr="004A34D2">
        <w:rPr>
          <w:rFonts w:cs="Times New Roman"/>
          <w:szCs w:val="24"/>
          <w:lang w:val="en-US"/>
        </w:rPr>
        <w:t xml:space="preserve">This is consistent with the approaches taken by other common law jurisdictions in assessing </w:t>
      </w:r>
      <w:proofErr w:type="spellStart"/>
      <w:r w:rsidRPr="004A34D2">
        <w:rPr>
          <w:rFonts w:cs="Times New Roman"/>
          <w:szCs w:val="24"/>
          <w:lang w:val="en-US"/>
        </w:rPr>
        <w:t>defence</w:t>
      </w:r>
      <w:proofErr w:type="spellEnd"/>
      <w:r w:rsidRPr="004A34D2">
        <w:rPr>
          <w:rFonts w:cs="Times New Roman"/>
          <w:szCs w:val="24"/>
          <w:lang w:val="en-US"/>
        </w:rPr>
        <w:t>-led evidence of similar acts.</w:t>
      </w:r>
      <w:r w:rsidRPr="004A34D2">
        <w:rPr>
          <w:rStyle w:val="FootnoteReference"/>
          <w:rFonts w:cs="Times New Roman"/>
          <w:szCs w:val="24"/>
          <w:lang w:val="en-US"/>
        </w:rPr>
        <w:footnoteReference w:id="2"/>
      </w:r>
    </w:p>
    <w:p w:rsidR="00F44E46" w:rsidRPr="004A34D2" w:rsidRDefault="00F44E46" w:rsidP="00F44E46">
      <w:pPr>
        <w:pStyle w:val="ParaNoNdepar-AltN"/>
        <w:rPr>
          <w:rFonts w:cs="Times New Roman"/>
        </w:rPr>
      </w:pPr>
      <w:r w:rsidRPr="004A34D2">
        <w:rPr>
          <w:rFonts w:cs="Times New Roman"/>
        </w:rPr>
        <w:lastRenderedPageBreak/>
        <w:t xml:space="preserve">A finding of logical relevance does not end the admissibility inquiry.  Even the </w:t>
      </w:r>
      <w:proofErr w:type="spellStart"/>
      <w:r w:rsidRPr="004A34D2">
        <w:rPr>
          <w:rFonts w:cs="Times New Roman"/>
          <w:i/>
        </w:rPr>
        <w:t>Grandinetti</w:t>
      </w:r>
      <w:proofErr w:type="spellEnd"/>
      <w:r w:rsidRPr="004A34D2">
        <w:rPr>
          <w:rFonts w:cs="Times New Roman"/>
        </w:rPr>
        <w:t xml:space="preserve"> sufficient connection test speaks only to the probative value side of the </w:t>
      </w:r>
      <w:proofErr w:type="spellStart"/>
      <w:r w:rsidRPr="004A34D2">
        <w:rPr>
          <w:rFonts w:cs="Times New Roman"/>
          <w:i/>
        </w:rPr>
        <w:t>Seaboyer</w:t>
      </w:r>
      <w:proofErr w:type="spellEnd"/>
      <w:r w:rsidRPr="004A34D2">
        <w:rPr>
          <w:rFonts w:cs="Times New Roman"/>
          <w:i/>
        </w:rPr>
        <w:t xml:space="preserve"> </w:t>
      </w:r>
      <w:r w:rsidRPr="004A34D2">
        <w:rPr>
          <w:rFonts w:cs="Times New Roman"/>
        </w:rPr>
        <w:t>equation.  Once the relevance threshold is met, the trial judge must still be satisfied that the probative value of the evidence tendered by the defence is not substantially outweighed by its prejudicial effects.</w:t>
      </w:r>
    </w:p>
    <w:p w:rsidR="00F44E46" w:rsidRPr="004A34D2" w:rsidRDefault="00F44E46" w:rsidP="008416AC">
      <w:pPr>
        <w:pStyle w:val="Title2LevelTitre2Niveau"/>
        <w:jc w:val="both"/>
        <w:rPr>
          <w:rFonts w:cs="Times New Roman"/>
        </w:rPr>
      </w:pPr>
      <w:r w:rsidRPr="004A34D2">
        <w:rPr>
          <w:rFonts w:cs="Times New Roman"/>
        </w:rPr>
        <w:t>The Admissibility Test for Crown-</w:t>
      </w:r>
      <w:r>
        <w:rPr>
          <w:rFonts w:cs="Times New Roman"/>
        </w:rPr>
        <w:t>l</w:t>
      </w:r>
      <w:r w:rsidRPr="004A34D2">
        <w:rPr>
          <w:rFonts w:cs="Times New Roman"/>
        </w:rPr>
        <w:t xml:space="preserve">ed Similar Fact Evidence Does </w:t>
      </w:r>
      <w:r>
        <w:rPr>
          <w:rFonts w:cs="Times New Roman"/>
        </w:rPr>
        <w:t>N</w:t>
      </w:r>
      <w:r w:rsidRPr="004A34D2">
        <w:rPr>
          <w:rFonts w:cs="Times New Roman"/>
        </w:rPr>
        <w:t>ot Apply to Defence-led Evidence of the Similar Acts of a Non-accused</w:t>
      </w:r>
    </w:p>
    <w:p w:rsidR="00F44E46" w:rsidRPr="004A34D2" w:rsidRDefault="00F44E46" w:rsidP="00F44E46">
      <w:pPr>
        <w:pStyle w:val="ParaNoNdepar-AltN"/>
        <w:rPr>
          <w:rFonts w:cs="Times New Roman"/>
          <w:i/>
          <w:szCs w:val="24"/>
          <w:lang w:val="en-US"/>
        </w:rPr>
      </w:pPr>
      <w:r w:rsidRPr="004A34D2">
        <w:rPr>
          <w:rFonts w:cs="Times New Roman"/>
          <w:szCs w:val="24"/>
          <w:lang w:val="en-US"/>
        </w:rPr>
        <w:t xml:space="preserve">Similar fact evidence is, most commonly, evidence of the </w:t>
      </w:r>
      <w:proofErr w:type="spellStart"/>
      <w:r w:rsidRPr="004A34D2">
        <w:rPr>
          <w:rFonts w:cs="Times New Roman"/>
          <w:szCs w:val="24"/>
          <w:lang w:val="en-US"/>
        </w:rPr>
        <w:t>accused’s</w:t>
      </w:r>
      <w:proofErr w:type="spellEnd"/>
      <w:r w:rsidRPr="004A34D2">
        <w:rPr>
          <w:rFonts w:cs="Times New Roman"/>
          <w:szCs w:val="24"/>
          <w:lang w:val="en-US"/>
        </w:rPr>
        <w:t xml:space="preserve"> prior bad acts led by the Crown.  Such evidence is presumptively inadmissible, as its highly prejudicial effects generally outweigh its probative value (</w:t>
      </w:r>
      <w:r w:rsidRPr="004A34D2">
        <w:rPr>
          <w:rFonts w:cs="Times New Roman"/>
          <w:i/>
          <w:szCs w:val="24"/>
          <w:lang w:val="en-US"/>
        </w:rPr>
        <w:t>R. v. Arp</w:t>
      </w:r>
      <w:r w:rsidRPr="004A34D2">
        <w:rPr>
          <w:rFonts w:cs="Times New Roman"/>
          <w:szCs w:val="24"/>
          <w:lang w:val="en-US"/>
        </w:rPr>
        <w:t xml:space="preserve">, [1998] 3 S.C.R. 339; </w:t>
      </w:r>
      <w:r w:rsidRPr="004A34D2">
        <w:rPr>
          <w:rFonts w:cs="Times New Roman"/>
          <w:i/>
          <w:szCs w:val="24"/>
          <w:lang w:val="en-US"/>
        </w:rPr>
        <w:t>Handy</w:t>
      </w:r>
      <w:r w:rsidRPr="004A34D2">
        <w:rPr>
          <w:rFonts w:cs="Times New Roman"/>
          <w:szCs w:val="24"/>
          <w:lang w:val="en-US"/>
        </w:rPr>
        <w:t xml:space="preserve">).  As this Court noted in </w:t>
      </w:r>
      <w:r w:rsidRPr="004A34D2">
        <w:rPr>
          <w:rFonts w:cs="Times New Roman"/>
          <w:i/>
          <w:szCs w:val="24"/>
          <w:lang w:val="en-US"/>
        </w:rPr>
        <w:t>R. v. B.</w:t>
      </w:r>
      <w:r>
        <w:rPr>
          <w:rFonts w:cs="Times New Roman"/>
          <w:i/>
          <w:szCs w:val="24"/>
          <w:lang w:val="en-US"/>
        </w:rPr>
        <w:t xml:space="preserve"> </w:t>
      </w:r>
      <w:r w:rsidRPr="004A34D2">
        <w:rPr>
          <w:rFonts w:cs="Times New Roman"/>
          <w:i/>
          <w:szCs w:val="24"/>
          <w:lang w:val="en-US"/>
        </w:rPr>
        <w:t>(C.R.)</w:t>
      </w:r>
      <w:r w:rsidRPr="004A34D2">
        <w:rPr>
          <w:rFonts w:cs="Times New Roman"/>
          <w:szCs w:val="24"/>
          <w:lang w:val="en-US"/>
        </w:rPr>
        <w:t xml:space="preserve">, </w:t>
      </w:r>
      <w:r>
        <w:rPr>
          <w:rFonts w:cs="Times New Roman"/>
          <w:szCs w:val="24"/>
          <w:lang w:val="en-US"/>
        </w:rPr>
        <w:t xml:space="preserve">[1990] 1 S.C.R. 717, at p. 732, </w:t>
      </w:r>
      <w:r w:rsidRPr="004A34D2">
        <w:rPr>
          <w:rFonts w:cs="Times New Roman"/>
          <w:szCs w:val="24"/>
          <w:lang w:val="en-US"/>
        </w:rPr>
        <w:t xml:space="preserve">putting evidence of the </w:t>
      </w:r>
      <w:proofErr w:type="spellStart"/>
      <w:r w:rsidRPr="004A34D2">
        <w:rPr>
          <w:rFonts w:cs="Times New Roman"/>
          <w:szCs w:val="24"/>
          <w:lang w:val="en-US"/>
        </w:rPr>
        <w:t>accused’s</w:t>
      </w:r>
      <w:proofErr w:type="spellEnd"/>
      <w:r w:rsidRPr="004A34D2">
        <w:rPr>
          <w:rFonts w:cs="Times New Roman"/>
          <w:szCs w:val="24"/>
          <w:lang w:val="en-US"/>
        </w:rPr>
        <w:t xml:space="preserve"> “prior immoral or illegal acts” before the jury inevitably results in a “heavy prejudice” to the accused.</w:t>
      </w:r>
      <w:r>
        <w:rPr>
          <w:rFonts w:cs="Times New Roman"/>
          <w:szCs w:val="24"/>
          <w:lang w:val="en-US"/>
        </w:rPr>
        <w:t xml:space="preserve">  </w:t>
      </w:r>
      <w:r w:rsidRPr="004A34D2">
        <w:rPr>
          <w:rFonts w:cs="Times New Roman"/>
          <w:szCs w:val="24"/>
          <w:lang w:val="en-US"/>
        </w:rPr>
        <w:t>The presumptive inadmissibility of this evidence is tied to both the moral aspect of this prejudice</w:t>
      </w:r>
      <w:r w:rsidRPr="004A34D2">
        <w:rPr>
          <w:rFonts w:cs="Times New Roman"/>
        </w:rPr>
        <w:t xml:space="preserve"> ― </w:t>
      </w:r>
      <w:r w:rsidRPr="004A34D2">
        <w:rPr>
          <w:rFonts w:cs="Times New Roman"/>
          <w:szCs w:val="24"/>
          <w:lang w:val="en-US"/>
        </w:rPr>
        <w:t xml:space="preserve">the danger that the </w:t>
      </w:r>
      <w:proofErr w:type="spellStart"/>
      <w:r w:rsidRPr="004A34D2">
        <w:rPr>
          <w:rFonts w:cs="Times New Roman"/>
          <w:szCs w:val="24"/>
          <w:lang w:val="en-US"/>
        </w:rPr>
        <w:t>trier</w:t>
      </w:r>
      <w:proofErr w:type="spellEnd"/>
      <w:r w:rsidRPr="004A34D2">
        <w:rPr>
          <w:rFonts w:cs="Times New Roman"/>
          <w:szCs w:val="24"/>
          <w:lang w:val="en-US"/>
        </w:rPr>
        <w:t xml:space="preserve"> of fact will wrongfully convict the accused simply to condemn her for her prior bad acts</w:t>
      </w:r>
      <w:r w:rsidRPr="004A34D2">
        <w:rPr>
          <w:rFonts w:cs="Times New Roman"/>
        </w:rPr>
        <w:t xml:space="preserve"> ― </w:t>
      </w:r>
      <w:r w:rsidRPr="004A34D2">
        <w:rPr>
          <w:rFonts w:cs="Times New Roman"/>
          <w:szCs w:val="24"/>
          <w:lang w:val="en-US"/>
        </w:rPr>
        <w:t>and the reasoning aspect of this prejudice</w:t>
      </w:r>
      <w:r w:rsidRPr="004A34D2">
        <w:rPr>
          <w:rFonts w:cs="Times New Roman"/>
        </w:rPr>
        <w:t xml:space="preserve"> ― </w:t>
      </w:r>
      <w:r w:rsidRPr="004A34D2">
        <w:rPr>
          <w:rFonts w:cs="Times New Roman"/>
          <w:szCs w:val="24"/>
          <w:lang w:val="en-US"/>
        </w:rPr>
        <w:t xml:space="preserve">the danger that the </w:t>
      </w:r>
      <w:proofErr w:type="spellStart"/>
      <w:r w:rsidRPr="004A34D2">
        <w:rPr>
          <w:rFonts w:cs="Times New Roman"/>
          <w:szCs w:val="24"/>
          <w:lang w:val="en-US"/>
        </w:rPr>
        <w:t>trier</w:t>
      </w:r>
      <w:proofErr w:type="spellEnd"/>
      <w:r w:rsidRPr="004A34D2">
        <w:rPr>
          <w:rFonts w:cs="Times New Roman"/>
          <w:szCs w:val="24"/>
          <w:lang w:val="en-US"/>
        </w:rPr>
        <w:t xml:space="preserve"> of fact will become distracted by the similar bad act evidence and accord it more weight than it merits (</w:t>
      </w:r>
      <w:r w:rsidRPr="004A34D2">
        <w:rPr>
          <w:rFonts w:cs="Times New Roman"/>
          <w:i/>
          <w:szCs w:val="24"/>
          <w:lang w:val="en-US"/>
        </w:rPr>
        <w:t>Handy</w:t>
      </w:r>
      <w:r w:rsidRPr="004A34D2">
        <w:rPr>
          <w:rFonts w:cs="Times New Roman"/>
          <w:szCs w:val="24"/>
          <w:lang w:val="en-US"/>
        </w:rPr>
        <w:t xml:space="preserve">, at paras. 139-47).  Exceptionally, </w:t>
      </w:r>
      <w:r w:rsidRPr="004A34D2">
        <w:rPr>
          <w:rFonts w:cs="Times New Roman"/>
          <w:szCs w:val="24"/>
          <w:lang w:val="en-US"/>
        </w:rPr>
        <w:lastRenderedPageBreak/>
        <w:t>similar fact evidence will be admitted where, based on the similarity of the alleged acts, the Crown “</w:t>
      </w:r>
      <w:proofErr w:type="spellStart"/>
      <w:r>
        <w:rPr>
          <w:rFonts w:cs="Times New Roman"/>
          <w:szCs w:val="24"/>
          <w:lang w:val="en-US"/>
        </w:rPr>
        <w:t>satisf</w:t>
      </w:r>
      <w:proofErr w:type="spellEnd"/>
      <w:r>
        <w:rPr>
          <w:rFonts w:cs="Times New Roman"/>
          <w:szCs w:val="24"/>
          <w:lang w:val="en-US"/>
        </w:rPr>
        <w:t>[</w:t>
      </w:r>
      <w:proofErr w:type="spellStart"/>
      <w:r w:rsidRPr="004A34D2">
        <w:rPr>
          <w:rFonts w:cs="Times New Roman"/>
          <w:szCs w:val="24"/>
          <w:lang w:val="en-US"/>
        </w:rPr>
        <w:t>ies</w:t>
      </w:r>
      <w:proofErr w:type="spellEnd"/>
      <w:r>
        <w:rPr>
          <w:rFonts w:cs="Times New Roman"/>
          <w:szCs w:val="24"/>
          <w:lang w:val="en-US"/>
        </w:rPr>
        <w:t>]</w:t>
      </w:r>
      <w:r w:rsidRPr="004A34D2">
        <w:rPr>
          <w:rFonts w:cs="Times New Roman"/>
          <w:szCs w:val="24"/>
          <w:lang w:val="en-US"/>
        </w:rPr>
        <w:t xml:space="preserve"> the trial judge on a balance of probabilities that </w:t>
      </w:r>
      <w:r>
        <w:rPr>
          <w:rFonts w:cs="Times New Roman"/>
          <w:szCs w:val="24"/>
          <w:lang w:val="en-US"/>
        </w:rPr>
        <w:t xml:space="preserve">. . . </w:t>
      </w:r>
      <w:r w:rsidRPr="004A34D2">
        <w:rPr>
          <w:rFonts w:cs="Times New Roman"/>
          <w:szCs w:val="24"/>
          <w:lang w:val="en-US"/>
        </w:rPr>
        <w:t xml:space="preserve">the probative value of the evidence in relation to a particular issue outweighs its potential prejudice and thereby justifies its reception” </w:t>
      </w:r>
      <w:r>
        <w:rPr>
          <w:rFonts w:cs="Times New Roman"/>
          <w:szCs w:val="24"/>
          <w:lang w:val="en-US"/>
        </w:rPr>
        <w:t>(</w:t>
      </w:r>
      <w:r w:rsidRPr="004A34D2">
        <w:rPr>
          <w:rFonts w:cs="Times New Roman"/>
          <w:i/>
          <w:szCs w:val="24"/>
          <w:lang w:val="en-US"/>
        </w:rPr>
        <w:t>Handy</w:t>
      </w:r>
      <w:r w:rsidRPr="004A34D2">
        <w:rPr>
          <w:rFonts w:cs="Times New Roman"/>
          <w:szCs w:val="24"/>
          <w:lang w:val="en-US"/>
        </w:rPr>
        <w:t xml:space="preserve">, at </w:t>
      </w:r>
      <w:proofErr w:type="spellStart"/>
      <w:r w:rsidRPr="004A34D2">
        <w:rPr>
          <w:rFonts w:cs="Times New Roman"/>
          <w:szCs w:val="24"/>
          <w:lang w:val="en-US"/>
        </w:rPr>
        <w:t>para</w:t>
      </w:r>
      <w:proofErr w:type="spellEnd"/>
      <w:r w:rsidRPr="004A34D2">
        <w:rPr>
          <w:rFonts w:cs="Times New Roman"/>
          <w:szCs w:val="24"/>
          <w:lang w:val="en-US"/>
        </w:rPr>
        <w:t>. 55</w:t>
      </w:r>
      <w:r>
        <w:rPr>
          <w:rFonts w:cs="Times New Roman"/>
          <w:szCs w:val="24"/>
          <w:lang w:val="en-US"/>
        </w:rPr>
        <w:t>)</w:t>
      </w:r>
      <w:r w:rsidRPr="004A34D2">
        <w:rPr>
          <w:rFonts w:cs="Times New Roman"/>
          <w:szCs w:val="24"/>
          <w:lang w:val="en-US"/>
        </w:rPr>
        <w:t xml:space="preserve">.  Where the Crown leads similar fact evidence to establish the </w:t>
      </w:r>
      <w:r w:rsidRPr="004A34D2">
        <w:rPr>
          <w:rFonts w:cs="Times New Roman"/>
          <w:i/>
          <w:szCs w:val="24"/>
          <w:lang w:val="en-US"/>
        </w:rPr>
        <w:t>identity of the perpetrator</w:t>
      </w:r>
      <w:r w:rsidRPr="004A34D2">
        <w:rPr>
          <w:rFonts w:cs="Times New Roman"/>
          <w:szCs w:val="24"/>
          <w:lang w:val="en-US"/>
        </w:rPr>
        <w:t xml:space="preserve">, the Crown must satisfy the trial judge that, on a balance of probabilities, “the same person committed the alleged similar acts” </w:t>
      </w:r>
      <w:r>
        <w:rPr>
          <w:rFonts w:cs="Times New Roman"/>
          <w:szCs w:val="24"/>
          <w:lang w:val="en-US"/>
        </w:rPr>
        <w:t>(</w:t>
      </w:r>
      <w:r w:rsidRPr="004A34D2">
        <w:rPr>
          <w:rFonts w:cs="Times New Roman"/>
          <w:i/>
          <w:szCs w:val="24"/>
          <w:lang w:val="en-US"/>
        </w:rPr>
        <w:t>Arp</w:t>
      </w:r>
      <w:r w:rsidRPr="004A34D2">
        <w:rPr>
          <w:rFonts w:cs="Times New Roman"/>
          <w:szCs w:val="24"/>
          <w:lang w:val="en-US"/>
        </w:rPr>
        <w:t xml:space="preserve">, at </w:t>
      </w:r>
      <w:proofErr w:type="spellStart"/>
      <w:r w:rsidRPr="004A34D2">
        <w:rPr>
          <w:rFonts w:cs="Times New Roman"/>
          <w:szCs w:val="24"/>
          <w:lang w:val="en-US"/>
        </w:rPr>
        <w:t>para</w:t>
      </w:r>
      <w:proofErr w:type="spellEnd"/>
      <w:r w:rsidRPr="004A34D2">
        <w:rPr>
          <w:rFonts w:cs="Times New Roman"/>
          <w:szCs w:val="24"/>
          <w:lang w:val="en-US"/>
        </w:rPr>
        <w:t>. 48</w:t>
      </w:r>
      <w:r>
        <w:rPr>
          <w:rFonts w:cs="Times New Roman"/>
          <w:szCs w:val="24"/>
          <w:lang w:val="en-US"/>
        </w:rPr>
        <w:t>)</w:t>
      </w:r>
      <w:r w:rsidRPr="004A34D2">
        <w:rPr>
          <w:rFonts w:cs="Times New Roman"/>
          <w:szCs w:val="24"/>
          <w:lang w:val="en-US"/>
        </w:rPr>
        <w:t>.</w:t>
      </w:r>
    </w:p>
    <w:p w:rsidR="00F44E46" w:rsidRPr="004A34D2" w:rsidRDefault="00F44E46" w:rsidP="00F44E46">
      <w:pPr>
        <w:pStyle w:val="ParaNoNdepar-AltN"/>
        <w:rPr>
          <w:rFonts w:cs="Times New Roman"/>
        </w:rPr>
      </w:pPr>
      <w:r w:rsidRPr="004A34D2">
        <w:rPr>
          <w:rFonts w:cs="Times New Roman"/>
          <w:szCs w:val="24"/>
          <w:lang w:val="en-US"/>
        </w:rPr>
        <w:t xml:space="preserve">In addition to applying the </w:t>
      </w:r>
      <w:proofErr w:type="spellStart"/>
      <w:r w:rsidRPr="004A34D2">
        <w:rPr>
          <w:rFonts w:cs="Times New Roman"/>
          <w:i/>
          <w:szCs w:val="24"/>
          <w:lang w:val="en-US"/>
        </w:rPr>
        <w:t>Grandinetti</w:t>
      </w:r>
      <w:proofErr w:type="spellEnd"/>
      <w:r w:rsidRPr="004A34D2">
        <w:rPr>
          <w:rFonts w:cs="Times New Roman"/>
          <w:i/>
          <w:szCs w:val="24"/>
          <w:lang w:val="en-US"/>
        </w:rPr>
        <w:t xml:space="preserve"> </w:t>
      </w:r>
      <w:r w:rsidRPr="004A34D2">
        <w:rPr>
          <w:rFonts w:cs="Times New Roman"/>
          <w:szCs w:val="24"/>
          <w:lang w:val="en-US"/>
        </w:rPr>
        <w:t xml:space="preserve">test for known third party suspects, the trial judge in the present case applied a </w:t>
      </w:r>
      <w:r>
        <w:rPr>
          <w:rFonts w:cs="Times New Roman"/>
          <w:szCs w:val="24"/>
          <w:lang w:val="en-US"/>
        </w:rPr>
        <w:t>“</w:t>
      </w:r>
      <w:r w:rsidRPr="004A34D2">
        <w:rPr>
          <w:rFonts w:cs="Times New Roman"/>
          <w:szCs w:val="24"/>
          <w:lang w:val="en-US"/>
        </w:rPr>
        <w:t>balance of probabilities</w:t>
      </w:r>
      <w:r>
        <w:rPr>
          <w:rFonts w:cs="Times New Roman"/>
          <w:szCs w:val="24"/>
          <w:lang w:val="en-US"/>
        </w:rPr>
        <w:t>”</w:t>
      </w:r>
      <w:r w:rsidRPr="004A34D2">
        <w:rPr>
          <w:rFonts w:cs="Times New Roman"/>
          <w:szCs w:val="24"/>
          <w:lang w:val="en-US"/>
        </w:rPr>
        <w:t xml:space="preserve"> threshold test to determine whether the P.W. incident actually occurred.  In so doing, he referred to the admissibility test for Crown-led similar fact evidence, as set out in </w:t>
      </w:r>
      <w:r w:rsidRPr="004A34D2">
        <w:rPr>
          <w:rFonts w:cs="Times New Roman"/>
          <w:i/>
          <w:szCs w:val="24"/>
          <w:lang w:val="en-US"/>
        </w:rPr>
        <w:t>Handy</w:t>
      </w:r>
      <w:r w:rsidRPr="004A34D2">
        <w:rPr>
          <w:rFonts w:cs="Times New Roman"/>
          <w:szCs w:val="24"/>
          <w:lang w:val="en-US"/>
        </w:rPr>
        <w:t>.  The Court of Appeal found that the evidence in question was “akin to similar</w:t>
      </w:r>
      <w:r>
        <w:rPr>
          <w:rFonts w:cs="Times New Roman"/>
          <w:szCs w:val="24"/>
          <w:lang w:val="en-US"/>
        </w:rPr>
        <w:t>-</w:t>
      </w:r>
      <w:r w:rsidRPr="004A34D2">
        <w:rPr>
          <w:rFonts w:cs="Times New Roman"/>
          <w:szCs w:val="24"/>
          <w:lang w:val="en-US"/>
        </w:rPr>
        <w:t xml:space="preserve">fact evidence”, but noted that, because this is </w:t>
      </w:r>
      <w:proofErr w:type="spellStart"/>
      <w:r w:rsidRPr="004A34D2">
        <w:rPr>
          <w:rFonts w:cs="Times New Roman"/>
          <w:szCs w:val="24"/>
          <w:lang w:val="en-US"/>
        </w:rPr>
        <w:t>defence</w:t>
      </w:r>
      <w:proofErr w:type="spellEnd"/>
      <w:r w:rsidRPr="004A34D2">
        <w:rPr>
          <w:rFonts w:cs="Times New Roman"/>
          <w:szCs w:val="24"/>
          <w:lang w:val="en-US"/>
        </w:rPr>
        <w:t xml:space="preserve">-led evidence, </w:t>
      </w:r>
      <w:proofErr w:type="spellStart"/>
      <w:r w:rsidRPr="004A34D2">
        <w:rPr>
          <w:rFonts w:cs="Times New Roman"/>
          <w:i/>
          <w:szCs w:val="24"/>
          <w:lang w:val="en-US"/>
        </w:rPr>
        <w:t>Seaboyer</w:t>
      </w:r>
      <w:proofErr w:type="spellEnd"/>
      <w:r w:rsidRPr="004A34D2">
        <w:rPr>
          <w:rFonts w:cs="Times New Roman"/>
          <w:szCs w:val="24"/>
          <w:lang w:val="en-US"/>
        </w:rPr>
        <w:t xml:space="preserve">, not </w:t>
      </w:r>
      <w:r w:rsidRPr="004A34D2">
        <w:rPr>
          <w:rFonts w:cs="Times New Roman"/>
          <w:i/>
          <w:szCs w:val="24"/>
          <w:lang w:val="en-US"/>
        </w:rPr>
        <w:t>Handy</w:t>
      </w:r>
      <w:r w:rsidRPr="004A34D2">
        <w:rPr>
          <w:rFonts w:cs="Times New Roman"/>
          <w:szCs w:val="24"/>
          <w:lang w:val="en-US"/>
        </w:rPr>
        <w:t>,</w:t>
      </w:r>
      <w:r w:rsidRPr="004A34D2">
        <w:rPr>
          <w:rFonts w:cs="Times New Roman"/>
          <w:i/>
          <w:szCs w:val="24"/>
          <w:lang w:val="en-US"/>
        </w:rPr>
        <w:t xml:space="preserve"> </w:t>
      </w:r>
      <w:r w:rsidRPr="004A34D2">
        <w:rPr>
          <w:rFonts w:cs="Times New Roman"/>
          <w:szCs w:val="24"/>
          <w:lang w:val="en-US"/>
        </w:rPr>
        <w:t>governs its admissibility</w:t>
      </w:r>
      <w:r>
        <w:rPr>
          <w:rFonts w:cs="Times New Roman"/>
          <w:szCs w:val="24"/>
          <w:lang w:val="en-US"/>
        </w:rPr>
        <w:t xml:space="preserve"> (paras. 73-74)</w:t>
      </w:r>
      <w:r w:rsidRPr="004A34D2">
        <w:rPr>
          <w:rFonts w:cs="Times New Roman"/>
          <w:szCs w:val="24"/>
          <w:lang w:val="en-US"/>
        </w:rPr>
        <w:t>.</w:t>
      </w:r>
    </w:p>
    <w:p w:rsidR="00F44E46" w:rsidRPr="004A34D2" w:rsidRDefault="00F44E46" w:rsidP="00F44E46">
      <w:pPr>
        <w:pStyle w:val="ParaNoNdepar-AltN"/>
        <w:rPr>
          <w:rFonts w:cs="Times New Roman"/>
        </w:rPr>
      </w:pPr>
      <w:r w:rsidRPr="004A34D2">
        <w:rPr>
          <w:rFonts w:cs="Times New Roman"/>
          <w:szCs w:val="24"/>
        </w:rPr>
        <w:t>This conclusion is consistent with the approach taken by Canadian appellate courts where evidence of a non-</w:t>
      </w:r>
      <w:proofErr w:type="spellStart"/>
      <w:r w:rsidRPr="004A34D2">
        <w:rPr>
          <w:rFonts w:cs="Times New Roman"/>
          <w:szCs w:val="24"/>
        </w:rPr>
        <w:t>accused’s</w:t>
      </w:r>
      <w:proofErr w:type="spellEnd"/>
      <w:r w:rsidRPr="004A34D2">
        <w:rPr>
          <w:rFonts w:cs="Times New Roman"/>
          <w:szCs w:val="24"/>
        </w:rPr>
        <w:t xml:space="preserve"> similar acts is sought to be introduced.  Appellate courts faced with this issue have consistently found that such evidence is not governed by the test </w:t>
      </w:r>
      <w:r w:rsidRPr="004A34D2">
        <w:rPr>
          <w:rFonts w:cs="Times New Roman"/>
          <w:szCs w:val="24"/>
          <w:lang w:val="en-US"/>
        </w:rPr>
        <w:t xml:space="preserve">applicable to evidence of an </w:t>
      </w:r>
      <w:proofErr w:type="spellStart"/>
      <w:r w:rsidRPr="004A34D2">
        <w:rPr>
          <w:rFonts w:cs="Times New Roman"/>
          <w:szCs w:val="24"/>
          <w:lang w:val="en-US"/>
        </w:rPr>
        <w:t>accused’s</w:t>
      </w:r>
      <w:proofErr w:type="spellEnd"/>
      <w:r w:rsidRPr="004A34D2">
        <w:rPr>
          <w:rFonts w:cs="Times New Roman"/>
          <w:szCs w:val="24"/>
          <w:lang w:val="en-US"/>
        </w:rPr>
        <w:t xml:space="preserve"> similar acts </w:t>
      </w:r>
      <w:r>
        <w:rPr>
          <w:rFonts w:cs="Times New Roman"/>
          <w:szCs w:val="24"/>
          <w:lang w:val="en-US"/>
        </w:rPr>
        <w:t>(</w:t>
      </w:r>
      <w:r w:rsidRPr="004A34D2">
        <w:rPr>
          <w:rFonts w:cs="Times New Roman"/>
          <w:szCs w:val="24"/>
          <w:lang w:val="en-US"/>
        </w:rPr>
        <w:t xml:space="preserve">see, for example, </w:t>
      </w:r>
      <w:r w:rsidRPr="004A34D2">
        <w:rPr>
          <w:rFonts w:cs="Times New Roman"/>
          <w:i/>
          <w:szCs w:val="24"/>
          <w:lang w:val="en-US"/>
        </w:rPr>
        <w:t xml:space="preserve">R. v. </w:t>
      </w:r>
      <w:proofErr w:type="spellStart"/>
      <w:r w:rsidRPr="004A34D2">
        <w:rPr>
          <w:rFonts w:cs="Times New Roman"/>
          <w:i/>
          <w:szCs w:val="24"/>
          <w:lang w:val="en-US"/>
        </w:rPr>
        <w:t>Scopelliti</w:t>
      </w:r>
      <w:proofErr w:type="spellEnd"/>
      <w:r w:rsidRPr="004A34D2">
        <w:rPr>
          <w:rFonts w:cs="Times New Roman"/>
          <w:szCs w:val="24"/>
          <w:lang w:val="en-US"/>
        </w:rPr>
        <w:t xml:space="preserve"> (198</w:t>
      </w:r>
      <w:r>
        <w:rPr>
          <w:rFonts w:cs="Times New Roman"/>
          <w:szCs w:val="24"/>
          <w:lang w:val="en-US"/>
        </w:rPr>
        <w:t>1</w:t>
      </w:r>
      <w:r w:rsidRPr="004A34D2">
        <w:rPr>
          <w:rFonts w:cs="Times New Roman"/>
          <w:szCs w:val="24"/>
          <w:lang w:val="en-US"/>
        </w:rPr>
        <w:t xml:space="preserve">), 34 O.R. (2d) 524 (C.A.); </w:t>
      </w:r>
      <w:r w:rsidRPr="004A34D2">
        <w:rPr>
          <w:rFonts w:cs="Times New Roman"/>
          <w:i/>
          <w:szCs w:val="24"/>
          <w:lang w:val="en-US"/>
        </w:rPr>
        <w:t xml:space="preserve">R. v. Pollock </w:t>
      </w:r>
      <w:r w:rsidRPr="004A34D2">
        <w:rPr>
          <w:rFonts w:cs="Times New Roman"/>
          <w:szCs w:val="24"/>
          <w:lang w:val="en-US"/>
        </w:rPr>
        <w:t xml:space="preserve">(2004), </w:t>
      </w:r>
      <w:r w:rsidRPr="004A34D2">
        <w:rPr>
          <w:rStyle w:val="nowrap"/>
          <w:rFonts w:cs="Times New Roman"/>
        </w:rPr>
        <w:t>187 C</w:t>
      </w:r>
      <w:r>
        <w:rPr>
          <w:rStyle w:val="nowrap"/>
          <w:rFonts w:cs="Times New Roman"/>
        </w:rPr>
        <w:t>.</w:t>
      </w:r>
      <w:r w:rsidRPr="004A34D2">
        <w:rPr>
          <w:rStyle w:val="nowrap"/>
          <w:rFonts w:cs="Times New Roman"/>
        </w:rPr>
        <w:t>C</w:t>
      </w:r>
      <w:r>
        <w:rPr>
          <w:rStyle w:val="nowrap"/>
          <w:rFonts w:cs="Times New Roman"/>
        </w:rPr>
        <w:t>.</w:t>
      </w:r>
      <w:r w:rsidRPr="004A34D2">
        <w:rPr>
          <w:rStyle w:val="nowrap"/>
          <w:rFonts w:cs="Times New Roman"/>
        </w:rPr>
        <w:t>C</w:t>
      </w:r>
      <w:r>
        <w:rPr>
          <w:rStyle w:val="nowrap"/>
          <w:rFonts w:cs="Times New Roman"/>
        </w:rPr>
        <w:t>.</w:t>
      </w:r>
      <w:r w:rsidRPr="004A34D2">
        <w:rPr>
          <w:rStyle w:val="nowrap"/>
          <w:rFonts w:cs="Times New Roman"/>
        </w:rPr>
        <w:t xml:space="preserve"> (3d) 213</w:t>
      </w:r>
      <w:r>
        <w:rPr>
          <w:rStyle w:val="nowrap"/>
          <w:rFonts w:cs="Times New Roman"/>
        </w:rPr>
        <w:t xml:space="preserve"> (Ont. C.A.)</w:t>
      </w:r>
      <w:r w:rsidRPr="004A34D2">
        <w:rPr>
          <w:rStyle w:val="nowrap"/>
          <w:rFonts w:cs="Times New Roman"/>
        </w:rPr>
        <w:t xml:space="preserve">, </w:t>
      </w:r>
      <w:r w:rsidRPr="004A34D2">
        <w:rPr>
          <w:rFonts w:cs="Times New Roman"/>
          <w:szCs w:val="24"/>
          <w:lang w:val="en-US"/>
        </w:rPr>
        <w:t xml:space="preserve">at </w:t>
      </w:r>
      <w:proofErr w:type="spellStart"/>
      <w:r w:rsidRPr="004A34D2">
        <w:rPr>
          <w:rFonts w:cs="Times New Roman"/>
          <w:szCs w:val="24"/>
          <w:lang w:val="en-US"/>
        </w:rPr>
        <w:t>para</w:t>
      </w:r>
      <w:proofErr w:type="spellEnd"/>
      <w:r w:rsidRPr="004A34D2">
        <w:rPr>
          <w:rFonts w:cs="Times New Roman"/>
          <w:szCs w:val="24"/>
          <w:lang w:val="en-US"/>
        </w:rPr>
        <w:t>. 104</w:t>
      </w:r>
      <w:r w:rsidRPr="000464AC">
        <w:rPr>
          <w:rFonts w:cs="Times New Roman"/>
          <w:szCs w:val="24"/>
          <w:lang w:val="en-US"/>
        </w:rPr>
        <w:t>;</w:t>
      </w:r>
      <w:r w:rsidRPr="004A34D2">
        <w:rPr>
          <w:rFonts w:cs="Times New Roman"/>
          <w:i/>
          <w:szCs w:val="24"/>
          <w:lang w:val="en-US"/>
        </w:rPr>
        <w:t xml:space="preserve"> R. v. Kendall</w:t>
      </w:r>
      <w:r w:rsidRPr="004A34D2">
        <w:rPr>
          <w:rFonts w:cs="Times New Roman"/>
          <w:szCs w:val="24"/>
          <w:lang w:val="en-US"/>
        </w:rPr>
        <w:t xml:space="preserve"> (1987), 35 C.C.C. (3d) 105</w:t>
      </w:r>
      <w:r>
        <w:rPr>
          <w:rFonts w:cs="Times New Roman"/>
          <w:szCs w:val="24"/>
          <w:lang w:val="en-US"/>
        </w:rPr>
        <w:t xml:space="preserve"> (Ont. C.A.)</w:t>
      </w:r>
      <w:r w:rsidRPr="004A34D2">
        <w:rPr>
          <w:rFonts w:cs="Times New Roman"/>
          <w:szCs w:val="24"/>
          <w:lang w:val="en-US"/>
        </w:rPr>
        <w:t xml:space="preserve">; </w:t>
      </w:r>
      <w:r w:rsidRPr="004A34D2">
        <w:rPr>
          <w:rFonts w:cs="Times New Roman"/>
          <w:i/>
          <w:szCs w:val="24"/>
          <w:lang w:val="en-US"/>
        </w:rPr>
        <w:t>R. v. Sims</w:t>
      </w:r>
      <w:r w:rsidRPr="004A34D2">
        <w:rPr>
          <w:rFonts w:cs="Times New Roman"/>
          <w:szCs w:val="24"/>
          <w:lang w:val="en-US"/>
        </w:rPr>
        <w:t xml:space="preserve"> (1994), 28 C.R. (4th) 231 (B.C.C.A.); </w:t>
      </w:r>
      <w:r w:rsidRPr="004A34D2">
        <w:rPr>
          <w:rFonts w:cs="Times New Roman"/>
          <w:i/>
          <w:szCs w:val="24"/>
          <w:lang w:val="en-US"/>
        </w:rPr>
        <w:t>R. v. Hamilton</w:t>
      </w:r>
      <w:r w:rsidRPr="004A34D2">
        <w:rPr>
          <w:rFonts w:cs="Times New Roman"/>
          <w:szCs w:val="24"/>
          <w:lang w:val="en-US"/>
        </w:rPr>
        <w:t>, 2003 BCCA 490</w:t>
      </w:r>
      <w:r>
        <w:rPr>
          <w:rFonts w:cs="Times New Roman"/>
          <w:szCs w:val="24"/>
          <w:lang w:val="en-US"/>
        </w:rPr>
        <w:t>, 180 C.C.C. (3d) 80</w:t>
      </w:r>
      <w:r w:rsidRPr="004A34D2">
        <w:rPr>
          <w:rFonts w:cs="Times New Roman"/>
          <w:szCs w:val="24"/>
          <w:lang w:val="en-US"/>
        </w:rPr>
        <w:t xml:space="preserve">; </w:t>
      </w:r>
      <w:r w:rsidRPr="004A34D2">
        <w:rPr>
          <w:rFonts w:cs="Times New Roman"/>
          <w:i/>
          <w:szCs w:val="24"/>
          <w:lang w:val="en-US"/>
        </w:rPr>
        <w:t xml:space="preserve">R. v. </w:t>
      </w:r>
      <w:proofErr w:type="spellStart"/>
      <w:r w:rsidRPr="004A34D2">
        <w:rPr>
          <w:rFonts w:cs="Times New Roman"/>
          <w:i/>
          <w:szCs w:val="24"/>
          <w:lang w:val="en-US"/>
        </w:rPr>
        <w:t>Brousseau</w:t>
      </w:r>
      <w:proofErr w:type="spellEnd"/>
      <w:r w:rsidRPr="004A34D2">
        <w:rPr>
          <w:rFonts w:cs="Times New Roman"/>
          <w:szCs w:val="24"/>
          <w:lang w:val="en-US"/>
        </w:rPr>
        <w:t>, 2006 QCCA 858</w:t>
      </w:r>
      <w:r>
        <w:rPr>
          <w:rFonts w:cs="Times New Roman"/>
          <w:szCs w:val="24"/>
          <w:lang w:val="en-US"/>
        </w:rPr>
        <w:t>)</w:t>
      </w:r>
      <w:r w:rsidRPr="004A34D2">
        <w:rPr>
          <w:rFonts w:cs="Times New Roman"/>
          <w:szCs w:val="24"/>
          <w:lang w:val="en-US"/>
        </w:rPr>
        <w:t>.</w:t>
      </w:r>
    </w:p>
    <w:p w:rsidR="00F44E46" w:rsidRPr="004A34D2" w:rsidRDefault="00F44E46" w:rsidP="00F44E46">
      <w:pPr>
        <w:pStyle w:val="ParaNoNdepar-AltN"/>
        <w:rPr>
          <w:rFonts w:cs="Times New Roman"/>
        </w:rPr>
      </w:pPr>
      <w:proofErr w:type="spellStart"/>
      <w:r w:rsidRPr="004A34D2">
        <w:rPr>
          <w:rFonts w:cs="Times New Roman"/>
          <w:szCs w:val="24"/>
          <w:lang w:val="en-US"/>
        </w:rPr>
        <w:lastRenderedPageBreak/>
        <w:t>Defence</w:t>
      </w:r>
      <w:proofErr w:type="spellEnd"/>
      <w:r w:rsidRPr="004A34D2">
        <w:rPr>
          <w:rFonts w:cs="Times New Roman"/>
          <w:szCs w:val="24"/>
          <w:lang w:val="en-US"/>
        </w:rPr>
        <w:t xml:space="preserve">-led evidence concerning an unknown third party suspect is only similar fact evidence in the sense that its probative value is derived from the similarity between the incidents where it is impossible for the accused to have committed the uncharged offence.  An onus requiring proof on a balance of probabilities is </w:t>
      </w:r>
      <w:r w:rsidRPr="004A34D2">
        <w:rPr>
          <w:rFonts w:cs="Times New Roman"/>
          <w:i/>
          <w:szCs w:val="24"/>
          <w:lang w:val="en-US"/>
        </w:rPr>
        <w:t>not</w:t>
      </w:r>
      <w:r w:rsidRPr="004A34D2">
        <w:rPr>
          <w:rFonts w:cs="Times New Roman"/>
          <w:szCs w:val="24"/>
          <w:lang w:val="en-US"/>
        </w:rPr>
        <w:t xml:space="preserve"> consistent with the lower evidential burden of the accused to put a </w:t>
      </w:r>
      <w:proofErr w:type="spellStart"/>
      <w:r w:rsidRPr="004A34D2">
        <w:rPr>
          <w:rFonts w:cs="Times New Roman"/>
          <w:szCs w:val="24"/>
          <w:lang w:val="en-US"/>
        </w:rPr>
        <w:t>defence</w:t>
      </w:r>
      <w:proofErr w:type="spellEnd"/>
      <w:r w:rsidRPr="004A34D2">
        <w:rPr>
          <w:rFonts w:cs="Times New Roman"/>
          <w:szCs w:val="24"/>
          <w:lang w:val="en-US"/>
        </w:rPr>
        <w:t xml:space="preserve"> in issue by adducing sufficient evidence “upon which a properly instructed jury acting reasonably could acquit” </w:t>
      </w:r>
      <w:r>
        <w:rPr>
          <w:rFonts w:cs="Times New Roman"/>
          <w:szCs w:val="24"/>
          <w:lang w:val="en-US"/>
        </w:rPr>
        <w:t>(</w:t>
      </w:r>
      <w:proofErr w:type="spellStart"/>
      <w:r w:rsidRPr="004A34D2">
        <w:rPr>
          <w:rFonts w:cs="Times New Roman"/>
          <w:i/>
          <w:szCs w:val="24"/>
          <w:lang w:val="en-US"/>
        </w:rPr>
        <w:t>Cinous</w:t>
      </w:r>
      <w:proofErr w:type="spellEnd"/>
      <w:r w:rsidRPr="004A34D2">
        <w:rPr>
          <w:rFonts w:cs="Times New Roman"/>
          <w:szCs w:val="24"/>
          <w:lang w:val="en-US"/>
        </w:rPr>
        <w:t xml:space="preserve">, at </w:t>
      </w:r>
      <w:proofErr w:type="spellStart"/>
      <w:r w:rsidRPr="004A34D2">
        <w:rPr>
          <w:rFonts w:cs="Times New Roman"/>
          <w:szCs w:val="24"/>
          <w:lang w:val="en-US"/>
        </w:rPr>
        <w:t>para</w:t>
      </w:r>
      <w:proofErr w:type="spellEnd"/>
      <w:r w:rsidRPr="004A34D2">
        <w:rPr>
          <w:rFonts w:cs="Times New Roman"/>
          <w:szCs w:val="24"/>
          <w:lang w:val="en-US"/>
        </w:rPr>
        <w:t>. 49</w:t>
      </w:r>
      <w:r>
        <w:rPr>
          <w:rFonts w:cs="Times New Roman"/>
          <w:szCs w:val="24"/>
          <w:lang w:val="en-US"/>
        </w:rPr>
        <w:t>)</w:t>
      </w:r>
      <w:r w:rsidRPr="004A34D2">
        <w:rPr>
          <w:rFonts w:cs="Times New Roman"/>
          <w:szCs w:val="24"/>
          <w:lang w:val="en-US"/>
        </w:rPr>
        <w:t xml:space="preserve">.  Rendering such </w:t>
      </w:r>
      <w:proofErr w:type="spellStart"/>
      <w:r w:rsidRPr="004A34D2">
        <w:rPr>
          <w:rFonts w:cs="Times New Roman"/>
          <w:szCs w:val="24"/>
          <w:lang w:val="en-US"/>
        </w:rPr>
        <w:t>defence</w:t>
      </w:r>
      <w:proofErr w:type="spellEnd"/>
      <w:r w:rsidRPr="004A34D2">
        <w:rPr>
          <w:rFonts w:cs="Times New Roman"/>
          <w:szCs w:val="24"/>
          <w:lang w:val="en-US"/>
        </w:rPr>
        <w:t xml:space="preserve">-led evidence presumptively inadmissible would effectively impose a persuasive burden on the accused to prove her innocence.  As this Court noted in </w:t>
      </w:r>
      <w:proofErr w:type="spellStart"/>
      <w:r w:rsidRPr="004A34D2">
        <w:rPr>
          <w:rFonts w:cs="Times New Roman"/>
          <w:i/>
          <w:szCs w:val="24"/>
          <w:lang w:val="en-US"/>
        </w:rPr>
        <w:t>Seaboyer</w:t>
      </w:r>
      <w:proofErr w:type="spellEnd"/>
      <w:r w:rsidRPr="004A34D2">
        <w:rPr>
          <w:rFonts w:cs="Times New Roman"/>
          <w:szCs w:val="24"/>
          <w:lang w:val="en-US"/>
        </w:rPr>
        <w:t xml:space="preserve">, the test governing </w:t>
      </w:r>
      <w:proofErr w:type="spellStart"/>
      <w:r w:rsidRPr="004A34D2">
        <w:rPr>
          <w:rFonts w:cs="Times New Roman"/>
          <w:szCs w:val="24"/>
          <w:lang w:val="en-US"/>
        </w:rPr>
        <w:t>defence</w:t>
      </w:r>
      <w:proofErr w:type="spellEnd"/>
      <w:r w:rsidRPr="004A34D2">
        <w:rPr>
          <w:rFonts w:cs="Times New Roman"/>
          <w:szCs w:val="24"/>
          <w:lang w:val="en-US"/>
        </w:rPr>
        <w:t>-led evidence must be accountable to “the fundamental tenet of our judicial system that an innocent person must not be convicted” (p. 611).</w:t>
      </w:r>
    </w:p>
    <w:p w:rsidR="00F44E46" w:rsidRPr="004A34D2" w:rsidRDefault="00F44E46" w:rsidP="00F44E46">
      <w:pPr>
        <w:pStyle w:val="ParaNoNdepar-AltN"/>
        <w:rPr>
          <w:rFonts w:cs="Times New Roman"/>
          <w:szCs w:val="24"/>
          <w:lang w:val="en-US"/>
        </w:rPr>
      </w:pPr>
      <w:r w:rsidRPr="004A34D2">
        <w:rPr>
          <w:rFonts w:cs="Times New Roman"/>
          <w:szCs w:val="24"/>
          <w:lang w:val="en-US"/>
        </w:rPr>
        <w:t>Moreover, unknown third party suspect evidence does not risk causing moral prejudice to the accused.  Such evidence is intended to be exculpatory when raised by an accused, as it was in this case.  Although the evidence engages some of the same reasoning prejudice concerns as does evidence of the prior bad acts of the accused (</w:t>
      </w:r>
      <w:r w:rsidRPr="004A34D2">
        <w:rPr>
          <w:rFonts w:cs="Times New Roman"/>
          <w:i/>
          <w:szCs w:val="24"/>
          <w:lang w:val="en-US"/>
        </w:rPr>
        <w:t>Arp</w:t>
      </w:r>
      <w:r w:rsidRPr="004A34D2">
        <w:rPr>
          <w:rFonts w:cs="Times New Roman"/>
          <w:szCs w:val="24"/>
          <w:lang w:val="en-US"/>
        </w:rPr>
        <w:t xml:space="preserve">, at </w:t>
      </w:r>
      <w:proofErr w:type="spellStart"/>
      <w:r w:rsidRPr="004A34D2">
        <w:rPr>
          <w:rFonts w:cs="Times New Roman"/>
          <w:szCs w:val="24"/>
          <w:lang w:val="en-US"/>
        </w:rPr>
        <w:t>para</w:t>
      </w:r>
      <w:proofErr w:type="spellEnd"/>
      <w:r w:rsidRPr="004A34D2">
        <w:rPr>
          <w:rFonts w:cs="Times New Roman"/>
          <w:szCs w:val="24"/>
          <w:lang w:val="en-US"/>
        </w:rPr>
        <w:t xml:space="preserve">. 40; </w:t>
      </w:r>
      <w:r w:rsidRPr="004A34D2">
        <w:rPr>
          <w:rFonts w:cs="Times New Roman"/>
          <w:i/>
          <w:szCs w:val="24"/>
          <w:lang w:val="en-US"/>
        </w:rPr>
        <w:t>Handy</w:t>
      </w:r>
      <w:r w:rsidRPr="004A34D2">
        <w:rPr>
          <w:rFonts w:cs="Times New Roman"/>
          <w:szCs w:val="24"/>
          <w:lang w:val="en-US"/>
        </w:rPr>
        <w:t xml:space="preserve">, at </w:t>
      </w:r>
      <w:proofErr w:type="spellStart"/>
      <w:r w:rsidRPr="004A34D2">
        <w:rPr>
          <w:rFonts w:cs="Times New Roman"/>
          <w:szCs w:val="24"/>
          <w:lang w:val="en-US"/>
        </w:rPr>
        <w:t>para</w:t>
      </w:r>
      <w:proofErr w:type="spellEnd"/>
      <w:r w:rsidRPr="004A34D2">
        <w:rPr>
          <w:rFonts w:cs="Times New Roman"/>
          <w:szCs w:val="24"/>
          <w:lang w:val="en-US"/>
        </w:rPr>
        <w:t xml:space="preserve">. 37), this prejudice can be addressed directly under </w:t>
      </w:r>
      <w:proofErr w:type="spellStart"/>
      <w:r w:rsidRPr="004A34D2">
        <w:rPr>
          <w:rFonts w:cs="Times New Roman"/>
          <w:i/>
          <w:szCs w:val="24"/>
          <w:lang w:val="en-US"/>
        </w:rPr>
        <w:t>Seaboyer</w:t>
      </w:r>
      <w:proofErr w:type="spellEnd"/>
      <w:r w:rsidRPr="004A34D2">
        <w:rPr>
          <w:rFonts w:cs="Times New Roman"/>
          <w:szCs w:val="24"/>
          <w:lang w:val="en-US"/>
        </w:rPr>
        <w:t>.</w:t>
      </w:r>
    </w:p>
    <w:p w:rsidR="00F44E46" w:rsidRPr="004A34D2" w:rsidRDefault="00F44E46" w:rsidP="00F44E46">
      <w:pPr>
        <w:pStyle w:val="ParaNoNdepar-AltN"/>
        <w:rPr>
          <w:rFonts w:cs="Times New Roman"/>
        </w:rPr>
      </w:pPr>
      <w:r w:rsidRPr="004A34D2">
        <w:rPr>
          <w:rFonts w:cs="Times New Roman"/>
        </w:rPr>
        <w:t>To conclude, the</w:t>
      </w:r>
      <w:r w:rsidRPr="004A34D2">
        <w:rPr>
          <w:rFonts w:cs="Times New Roman"/>
          <w:szCs w:val="24"/>
          <w:lang w:val="en-US"/>
        </w:rPr>
        <w:t xml:space="preserve"> balance of probabilities test governing the admissibility of similar fact evidence does not apply to unknown third party suspect evidence proffered by the accused.  The similarity of the acts goes to the relevance of the evidence, but imposing the onus of the </w:t>
      </w:r>
      <w:r w:rsidRPr="004A34D2">
        <w:rPr>
          <w:rFonts w:cs="Times New Roman"/>
          <w:i/>
          <w:szCs w:val="24"/>
          <w:lang w:val="en-US"/>
        </w:rPr>
        <w:t>Handy</w:t>
      </w:r>
      <w:r w:rsidRPr="004A34D2">
        <w:rPr>
          <w:rFonts w:cs="Times New Roman"/>
          <w:szCs w:val="24"/>
          <w:lang w:val="en-US"/>
        </w:rPr>
        <w:t xml:space="preserve"> test on the accused is neither consistent with the presumption of innocence nor necessary to protect the accused from moral </w:t>
      </w:r>
      <w:r w:rsidRPr="004A34D2">
        <w:rPr>
          <w:rFonts w:cs="Times New Roman"/>
          <w:szCs w:val="24"/>
          <w:lang w:val="en-US"/>
        </w:rPr>
        <w:lastRenderedPageBreak/>
        <w:t xml:space="preserve">prejudice.  Any reasoning prejudice or risks to the integrity of the trial process engaged by this evidence are better addressed directly within the </w:t>
      </w:r>
      <w:proofErr w:type="spellStart"/>
      <w:r w:rsidRPr="004A34D2">
        <w:rPr>
          <w:rFonts w:cs="Times New Roman"/>
          <w:i/>
          <w:szCs w:val="24"/>
          <w:lang w:val="en-US"/>
        </w:rPr>
        <w:t>Seaboyer</w:t>
      </w:r>
      <w:proofErr w:type="spellEnd"/>
      <w:r w:rsidRPr="004A34D2">
        <w:rPr>
          <w:rFonts w:cs="Times New Roman"/>
          <w:i/>
          <w:szCs w:val="24"/>
          <w:lang w:val="en-US"/>
        </w:rPr>
        <w:t xml:space="preserve"> </w:t>
      </w:r>
      <w:r w:rsidRPr="004A34D2">
        <w:rPr>
          <w:rFonts w:cs="Times New Roman"/>
          <w:szCs w:val="24"/>
          <w:lang w:val="en-US"/>
        </w:rPr>
        <w:t>framework.</w:t>
      </w:r>
    </w:p>
    <w:p w:rsidR="00F44E46" w:rsidRPr="004A34D2" w:rsidRDefault="00F44E46" w:rsidP="008416AC">
      <w:pPr>
        <w:pStyle w:val="Title2LevelTitre2Niveau"/>
        <w:jc w:val="both"/>
        <w:rPr>
          <w:rFonts w:cs="Times New Roman"/>
        </w:rPr>
      </w:pPr>
      <w:r w:rsidRPr="004A34D2">
        <w:rPr>
          <w:rFonts w:cs="Times New Roman"/>
        </w:rPr>
        <w:t xml:space="preserve">The </w:t>
      </w:r>
      <w:proofErr w:type="spellStart"/>
      <w:r w:rsidRPr="004A34D2">
        <w:rPr>
          <w:rFonts w:cs="Times New Roman"/>
        </w:rPr>
        <w:t>Seaboyer</w:t>
      </w:r>
      <w:proofErr w:type="spellEnd"/>
      <w:r w:rsidRPr="004A34D2">
        <w:rPr>
          <w:rFonts w:cs="Times New Roman"/>
        </w:rPr>
        <w:t xml:space="preserve"> Test Applies to the Admission of Unknown Third Party Suspect Evidence</w:t>
      </w:r>
    </w:p>
    <w:p w:rsidR="00F44E46" w:rsidRPr="004A34D2" w:rsidRDefault="00F44E46" w:rsidP="00F44E46">
      <w:pPr>
        <w:pStyle w:val="ParaNoNdepar-AltN"/>
        <w:rPr>
          <w:rFonts w:cs="Times New Roman"/>
        </w:rPr>
      </w:pPr>
      <w:r w:rsidRPr="004A34D2">
        <w:rPr>
          <w:rFonts w:cs="Times New Roman"/>
          <w:szCs w:val="24"/>
        </w:rPr>
        <w:t xml:space="preserve">In my view, the admissibility of evidence concerning an unknown third party suspect is best determined in accordance with the broader, principled approach to the admission of evidence found in </w:t>
      </w:r>
      <w:proofErr w:type="spellStart"/>
      <w:r w:rsidRPr="004A34D2">
        <w:rPr>
          <w:rFonts w:cs="Times New Roman"/>
          <w:i/>
          <w:szCs w:val="24"/>
        </w:rPr>
        <w:t>Seaboyer</w:t>
      </w:r>
      <w:proofErr w:type="spellEnd"/>
      <w:r w:rsidRPr="004A34D2">
        <w:rPr>
          <w:rFonts w:cs="Times New Roman"/>
          <w:szCs w:val="24"/>
        </w:rPr>
        <w:t xml:space="preserve">.  Evaluating the admissibility of this evidence under </w:t>
      </w:r>
      <w:proofErr w:type="spellStart"/>
      <w:r w:rsidRPr="004A34D2">
        <w:rPr>
          <w:rFonts w:cs="Times New Roman"/>
          <w:i/>
          <w:szCs w:val="24"/>
        </w:rPr>
        <w:t>Seaboyer</w:t>
      </w:r>
      <w:proofErr w:type="spellEnd"/>
      <w:r w:rsidRPr="004A34D2">
        <w:rPr>
          <w:rFonts w:cs="Times New Roman"/>
          <w:szCs w:val="24"/>
        </w:rPr>
        <w:t xml:space="preserve">, rather than under disparate tests not designed for its particularities, allows the trial judge to tailor her evaluation and weighing of the probative value and prejudicial effects of the evidence to the specific facts presented. </w:t>
      </w:r>
      <w:r w:rsidRPr="004A34D2">
        <w:rPr>
          <w:rFonts w:cs="Times New Roman"/>
          <w:i/>
          <w:szCs w:val="24"/>
        </w:rPr>
        <w:t xml:space="preserve"> </w:t>
      </w:r>
      <w:r w:rsidRPr="004A34D2">
        <w:rPr>
          <w:rFonts w:cs="Times New Roman"/>
          <w:szCs w:val="24"/>
        </w:rPr>
        <w:t xml:space="preserve">In accordance with </w:t>
      </w:r>
      <w:proofErr w:type="spellStart"/>
      <w:r w:rsidRPr="004A34D2">
        <w:rPr>
          <w:rFonts w:cs="Times New Roman"/>
          <w:i/>
          <w:szCs w:val="24"/>
        </w:rPr>
        <w:t>Seaboyer</w:t>
      </w:r>
      <w:proofErr w:type="spellEnd"/>
      <w:r w:rsidRPr="004A34D2">
        <w:rPr>
          <w:rFonts w:cs="Times New Roman"/>
          <w:szCs w:val="24"/>
        </w:rPr>
        <w:t xml:space="preserve">, once the evidence has been found to be relevant, unknown third party suspect </w:t>
      </w:r>
      <w:r w:rsidRPr="004A34D2">
        <w:rPr>
          <w:rFonts w:cs="Times New Roman"/>
          <w:szCs w:val="24"/>
          <w:lang w:val="en-US"/>
        </w:rPr>
        <w:t>evidence will be admitted unless its prejudicial effects substantially outweigh its probative value.</w:t>
      </w:r>
    </w:p>
    <w:p w:rsidR="00F44E46" w:rsidRPr="004A34D2" w:rsidRDefault="00F44E46" w:rsidP="00F44E46">
      <w:pPr>
        <w:pStyle w:val="ParaNoNdepar-AltN"/>
        <w:rPr>
          <w:rFonts w:cs="Times New Roman"/>
        </w:rPr>
      </w:pPr>
      <w:r w:rsidRPr="004A34D2">
        <w:rPr>
          <w:rFonts w:cs="Times New Roman"/>
          <w:lang w:eastAsia="en-CA"/>
        </w:rPr>
        <w:t xml:space="preserve">As noted above, there are two components to the </w:t>
      </w:r>
      <w:proofErr w:type="spellStart"/>
      <w:r w:rsidRPr="004A34D2">
        <w:rPr>
          <w:rFonts w:cs="Times New Roman"/>
          <w:i/>
          <w:lang w:eastAsia="en-CA"/>
        </w:rPr>
        <w:t>Seaboyer</w:t>
      </w:r>
      <w:proofErr w:type="spellEnd"/>
      <w:r w:rsidRPr="004A34D2">
        <w:rPr>
          <w:rFonts w:cs="Times New Roman"/>
          <w:lang w:eastAsia="en-CA"/>
        </w:rPr>
        <w:t xml:space="preserve"> analysis.  First, in applying </w:t>
      </w:r>
      <w:proofErr w:type="spellStart"/>
      <w:r w:rsidRPr="004A34D2">
        <w:rPr>
          <w:rFonts w:cs="Times New Roman"/>
          <w:i/>
          <w:lang w:eastAsia="en-CA"/>
        </w:rPr>
        <w:t>Seaboyer</w:t>
      </w:r>
      <w:proofErr w:type="spellEnd"/>
      <w:r w:rsidRPr="004A34D2">
        <w:rPr>
          <w:rFonts w:cs="Times New Roman"/>
          <w:lang w:eastAsia="en-CA"/>
        </w:rPr>
        <w:t xml:space="preserve">, the trial judge must assess the potential probative value of the evidence.  </w:t>
      </w:r>
      <w:r w:rsidRPr="004A34D2">
        <w:rPr>
          <w:rFonts w:cs="Times New Roman"/>
        </w:rPr>
        <w:t xml:space="preserve">Where the evidence relates to an unknown third party suspect, probative value will depend in part on the strength of the connection or nexus between the two events ― that is, the degree of similarity between the indicted crime and the allegedly similar incident. </w:t>
      </w:r>
      <w:r w:rsidRPr="004A34D2">
        <w:rPr>
          <w:rFonts w:cs="Times New Roman"/>
          <w:szCs w:val="24"/>
        </w:rPr>
        <w:t xml:space="preserve"> </w:t>
      </w:r>
      <w:r w:rsidRPr="004A34D2">
        <w:rPr>
          <w:rFonts w:cs="Times New Roman"/>
        </w:rPr>
        <w:t xml:space="preserve">As the Supreme Court of Wisconsin noted in </w:t>
      </w:r>
      <w:proofErr w:type="spellStart"/>
      <w:r w:rsidRPr="004A34D2">
        <w:rPr>
          <w:rFonts w:cs="Times New Roman"/>
          <w:i/>
        </w:rPr>
        <w:t>Scheidell</w:t>
      </w:r>
      <w:proofErr w:type="spellEnd"/>
      <w:r w:rsidRPr="004A34D2">
        <w:rPr>
          <w:rFonts w:cs="Times New Roman"/>
        </w:rPr>
        <w:t xml:space="preserve">, “the greater the similarity, complexity, and distinctiveness of the events, as </w:t>
      </w:r>
      <w:r w:rsidRPr="004A34D2">
        <w:rPr>
          <w:rFonts w:cs="Times New Roman"/>
        </w:rPr>
        <w:lastRenderedPageBreak/>
        <w:t>well as the relative frequency of the event, the s</w:t>
      </w:r>
      <w:r w:rsidR="008416AC">
        <w:rPr>
          <w:rFonts w:cs="Times New Roman"/>
        </w:rPr>
        <w:t>tronger the case for admission”</w:t>
      </w:r>
      <w:r>
        <w:rPr>
          <w:rFonts w:cs="Times New Roman"/>
        </w:rPr>
        <w:t xml:space="preserve"> (</w:t>
      </w:r>
      <w:proofErr w:type="spellStart"/>
      <w:r w:rsidRPr="004A34D2">
        <w:rPr>
          <w:rFonts w:cs="Times New Roman"/>
        </w:rPr>
        <w:t>para</w:t>
      </w:r>
      <w:proofErr w:type="spellEnd"/>
      <w:r w:rsidRPr="004A34D2">
        <w:rPr>
          <w:rFonts w:cs="Times New Roman"/>
        </w:rPr>
        <w:t>.</w:t>
      </w:r>
      <w:r w:rsidR="00E34E3A">
        <w:rPr>
          <w:rFonts w:cs="Times New Roman"/>
        </w:rPr>
        <w:t xml:space="preserve"> </w:t>
      </w:r>
      <w:r w:rsidRPr="004A34D2">
        <w:rPr>
          <w:rFonts w:cs="Times New Roman"/>
        </w:rPr>
        <w:t xml:space="preserve">41, citing </w:t>
      </w:r>
      <w:r w:rsidRPr="004A34D2">
        <w:rPr>
          <w:rFonts w:cs="Times New Roman"/>
          <w:i/>
        </w:rPr>
        <w:t>State v. Sullivan</w:t>
      </w:r>
      <w:r w:rsidRPr="004A34D2">
        <w:rPr>
          <w:rFonts w:cs="Times New Roman"/>
        </w:rPr>
        <w:t>, 216 Wis.2d 7</w:t>
      </w:r>
      <w:r>
        <w:rPr>
          <w:rFonts w:cs="Times New Roman"/>
        </w:rPr>
        <w:t xml:space="preserve">68 (1998), at </w:t>
      </w:r>
      <w:proofErr w:type="spellStart"/>
      <w:r>
        <w:rPr>
          <w:rFonts w:cs="Times New Roman"/>
        </w:rPr>
        <w:t>para</w:t>
      </w:r>
      <w:proofErr w:type="spellEnd"/>
      <w:r>
        <w:rPr>
          <w:rFonts w:cs="Times New Roman"/>
        </w:rPr>
        <w:t>. 54)</w:t>
      </w:r>
      <w:r w:rsidRPr="004A34D2">
        <w:rPr>
          <w:rFonts w:cs="Times New Roman"/>
        </w:rPr>
        <w:t>.</w:t>
      </w:r>
    </w:p>
    <w:p w:rsidR="00F44E46" w:rsidRPr="004A34D2" w:rsidRDefault="00F44E46" w:rsidP="00F44E46">
      <w:pPr>
        <w:pStyle w:val="ParaNoNdepar-AltN"/>
        <w:rPr>
          <w:rFonts w:cs="Times New Roman"/>
        </w:rPr>
      </w:pPr>
      <w:r w:rsidRPr="004A34D2">
        <w:rPr>
          <w:rFonts w:cs="Times New Roman"/>
          <w:lang w:eastAsia="en-CA"/>
        </w:rPr>
        <w:t>Second, the</w:t>
      </w:r>
      <w:r w:rsidRPr="004A34D2">
        <w:rPr>
          <w:rFonts w:cs="Times New Roman"/>
          <w:i/>
          <w:lang w:eastAsia="en-CA"/>
        </w:rPr>
        <w:t xml:space="preserve"> </w:t>
      </w:r>
      <w:proofErr w:type="spellStart"/>
      <w:r w:rsidRPr="004A34D2">
        <w:rPr>
          <w:rFonts w:cs="Times New Roman"/>
          <w:i/>
          <w:lang w:eastAsia="en-CA"/>
        </w:rPr>
        <w:t>Seaboyer</w:t>
      </w:r>
      <w:proofErr w:type="spellEnd"/>
      <w:r w:rsidRPr="004A34D2">
        <w:rPr>
          <w:rFonts w:cs="Times New Roman"/>
          <w:lang w:eastAsia="en-CA"/>
        </w:rPr>
        <w:t xml:space="preserve"> test is concerned with the potential prejudicial effects of the evidence.  Unknown third party suspect evidence, like Crown-led similar fact evidence, poses a particular risk of reasoning prejudice.  Introducing evidence of other crimes that are sufficiently similar to the crime charged may risk “the distraction of members of the jury from their proper focus on the charge itself aggravated by the consumption of time” </w:t>
      </w:r>
      <w:r>
        <w:rPr>
          <w:rFonts w:cs="Times New Roman"/>
          <w:lang w:eastAsia="en-CA"/>
        </w:rPr>
        <w:t>(</w:t>
      </w:r>
      <w:r w:rsidRPr="004A34D2">
        <w:rPr>
          <w:rFonts w:cs="Times New Roman"/>
          <w:i/>
          <w:lang w:eastAsia="en-CA"/>
        </w:rPr>
        <w:t>Handy</w:t>
      </w:r>
      <w:r w:rsidRPr="004A34D2">
        <w:rPr>
          <w:rFonts w:cs="Times New Roman"/>
          <w:lang w:eastAsia="en-CA"/>
        </w:rPr>
        <w:t xml:space="preserve">, at </w:t>
      </w:r>
      <w:proofErr w:type="spellStart"/>
      <w:r w:rsidRPr="004A34D2">
        <w:rPr>
          <w:rFonts w:cs="Times New Roman"/>
          <w:lang w:eastAsia="en-CA"/>
        </w:rPr>
        <w:t>para</w:t>
      </w:r>
      <w:proofErr w:type="spellEnd"/>
      <w:r w:rsidRPr="004A34D2">
        <w:rPr>
          <w:rFonts w:cs="Times New Roman"/>
          <w:lang w:eastAsia="en-CA"/>
        </w:rPr>
        <w:t>. 144</w:t>
      </w:r>
      <w:r>
        <w:rPr>
          <w:rFonts w:cs="Times New Roman"/>
          <w:lang w:eastAsia="en-CA"/>
        </w:rPr>
        <w:t>)</w:t>
      </w:r>
      <w:r w:rsidRPr="004A34D2">
        <w:rPr>
          <w:rFonts w:cs="Times New Roman"/>
          <w:lang w:eastAsia="en-CA"/>
        </w:rPr>
        <w:t>.</w:t>
      </w:r>
    </w:p>
    <w:p w:rsidR="00F44E46" w:rsidRPr="004A34D2" w:rsidRDefault="00F44E46" w:rsidP="00F44E46">
      <w:pPr>
        <w:pStyle w:val="ParaNoNdepar-AltN"/>
        <w:rPr>
          <w:rFonts w:cs="Times New Roman"/>
          <w:szCs w:val="24"/>
          <w:lang w:val="en-US"/>
        </w:rPr>
      </w:pPr>
      <w:r w:rsidRPr="004A34D2">
        <w:rPr>
          <w:rFonts w:cs="Times New Roman"/>
          <w:lang w:eastAsia="en-CA"/>
        </w:rPr>
        <w:t xml:space="preserve">However, these significant prejudicial effects must nonetheless be evaluated in accordance with the fundamental principles governing criminal proceedings.  In giving constitutional protection to the </w:t>
      </w:r>
      <w:proofErr w:type="spellStart"/>
      <w:r w:rsidRPr="004A34D2">
        <w:rPr>
          <w:rFonts w:cs="Times New Roman"/>
          <w:lang w:eastAsia="en-CA"/>
        </w:rPr>
        <w:t>accused’s</w:t>
      </w:r>
      <w:proofErr w:type="spellEnd"/>
      <w:r w:rsidRPr="004A34D2">
        <w:rPr>
          <w:rFonts w:cs="Times New Roman"/>
          <w:lang w:eastAsia="en-CA"/>
        </w:rPr>
        <w:t xml:space="preserve"> rights to make full answer and defence and to be presumed innocent until proven guilty, we must accept a certain amount of complexity, length, and distraction from the Crown’s case as a necessary concession to the actualization of those rights.</w:t>
      </w:r>
      <w:r>
        <w:rPr>
          <w:rFonts w:cs="Times New Roman"/>
          <w:lang w:eastAsia="en-CA"/>
        </w:rPr>
        <w:t xml:space="preserve">  (</w:t>
      </w:r>
      <w:r>
        <w:t>See, for example</w:t>
      </w:r>
      <w:r w:rsidR="00ED5CFF">
        <w:t>,</w:t>
      </w:r>
      <w:r>
        <w:t xml:space="preserve"> </w:t>
      </w:r>
      <w:proofErr w:type="spellStart"/>
      <w:r>
        <w:rPr>
          <w:i/>
        </w:rPr>
        <w:t>Scheidell</w:t>
      </w:r>
      <w:proofErr w:type="spellEnd"/>
      <w:r>
        <w:t xml:space="preserve">, at </w:t>
      </w:r>
      <w:proofErr w:type="spellStart"/>
      <w:r>
        <w:t>para</w:t>
      </w:r>
      <w:proofErr w:type="spellEnd"/>
      <w:r>
        <w:t xml:space="preserve">. 65, </w:t>
      </w:r>
      <w:r w:rsidRPr="009500ED">
        <w:t xml:space="preserve">per </w:t>
      </w:r>
      <w:r>
        <w:t>Abrahamson C.J., dissenting in the result.)</w:t>
      </w:r>
    </w:p>
    <w:p w:rsidR="00F44E46" w:rsidRPr="004A34D2" w:rsidRDefault="00F44E46" w:rsidP="00F44E46">
      <w:pPr>
        <w:pStyle w:val="ParaNoNdepar-AltN"/>
        <w:rPr>
          <w:rFonts w:cs="Times New Roman"/>
          <w:szCs w:val="24"/>
          <w:lang w:val="en-US"/>
        </w:rPr>
      </w:pPr>
      <w:r w:rsidRPr="004A34D2" w:rsidDel="00941C86">
        <w:rPr>
          <w:rFonts w:cs="Times New Roman"/>
        </w:rPr>
        <w:t xml:space="preserve">Contrary to the </w:t>
      </w:r>
      <w:r w:rsidRPr="004A34D2">
        <w:rPr>
          <w:rFonts w:cs="Times New Roman"/>
        </w:rPr>
        <w:t xml:space="preserve">Crown’s </w:t>
      </w:r>
      <w:r w:rsidRPr="004A34D2" w:rsidDel="00941C86">
        <w:rPr>
          <w:rFonts w:cs="Times New Roman"/>
        </w:rPr>
        <w:t xml:space="preserve">submissions, </w:t>
      </w:r>
      <w:r w:rsidRPr="004A34D2">
        <w:rPr>
          <w:rFonts w:cs="Times New Roman"/>
        </w:rPr>
        <w:t xml:space="preserve">applying </w:t>
      </w:r>
      <w:proofErr w:type="spellStart"/>
      <w:r w:rsidRPr="004A34D2">
        <w:rPr>
          <w:rFonts w:cs="Times New Roman"/>
          <w:i/>
        </w:rPr>
        <w:t>Seaboyer</w:t>
      </w:r>
      <w:proofErr w:type="spellEnd"/>
      <w:r w:rsidRPr="004A34D2" w:rsidDel="00941C86">
        <w:rPr>
          <w:rFonts w:cs="Times New Roman"/>
        </w:rPr>
        <w:t xml:space="preserve"> does not “</w:t>
      </w:r>
      <w:proofErr w:type="spellStart"/>
      <w:r w:rsidRPr="004A34D2" w:rsidDel="00941C86">
        <w:rPr>
          <w:rFonts w:cs="Times New Roman"/>
        </w:rPr>
        <w:t>mak</w:t>
      </w:r>
      <w:proofErr w:type="spellEnd"/>
      <w:r w:rsidR="00ED5CFF" w:rsidRPr="004A34D2" w:rsidDel="00941C86">
        <w:rPr>
          <w:rFonts w:cs="Times New Roman"/>
        </w:rPr>
        <w:t>[</w:t>
      </w:r>
      <w:r w:rsidRPr="004A34D2" w:rsidDel="00941C86">
        <w:rPr>
          <w:rFonts w:cs="Times New Roman"/>
        </w:rPr>
        <w:t>e] the test for admissibility turn on whether or not the third party is named” (A.F.</w:t>
      </w:r>
      <w:r>
        <w:rPr>
          <w:rFonts w:cs="Times New Roman"/>
        </w:rPr>
        <w:t>,</w:t>
      </w:r>
      <w:r w:rsidRPr="004A34D2" w:rsidDel="00941C86">
        <w:rPr>
          <w:rFonts w:cs="Times New Roman"/>
        </w:rPr>
        <w:t xml:space="preserve"> at </w:t>
      </w:r>
      <w:proofErr w:type="spellStart"/>
      <w:r w:rsidRPr="004A34D2" w:rsidDel="00941C86">
        <w:rPr>
          <w:rFonts w:cs="Times New Roman"/>
        </w:rPr>
        <w:t>para</w:t>
      </w:r>
      <w:proofErr w:type="spellEnd"/>
      <w:r w:rsidRPr="004A34D2" w:rsidDel="00941C86">
        <w:rPr>
          <w:rFonts w:cs="Times New Roman"/>
        </w:rPr>
        <w:t xml:space="preserve">. 44).  </w:t>
      </w:r>
      <w:r w:rsidRPr="004A34D2">
        <w:rPr>
          <w:rFonts w:cs="Times New Roman"/>
        </w:rPr>
        <w:t xml:space="preserve">Known third party suspect evidence </w:t>
      </w:r>
      <w:r w:rsidRPr="004A34D2" w:rsidDel="00941C86">
        <w:rPr>
          <w:rFonts w:cs="Times New Roman"/>
        </w:rPr>
        <w:t xml:space="preserve">is </w:t>
      </w:r>
      <w:r w:rsidRPr="004A34D2">
        <w:rPr>
          <w:rFonts w:cs="Times New Roman"/>
        </w:rPr>
        <w:t xml:space="preserve">already </w:t>
      </w:r>
      <w:r w:rsidRPr="004A34D2" w:rsidDel="00941C86">
        <w:rPr>
          <w:rFonts w:cs="Times New Roman"/>
        </w:rPr>
        <w:t xml:space="preserve">subject to the </w:t>
      </w:r>
      <w:proofErr w:type="spellStart"/>
      <w:r w:rsidRPr="004A34D2" w:rsidDel="00941C86">
        <w:rPr>
          <w:rFonts w:cs="Times New Roman"/>
          <w:i/>
        </w:rPr>
        <w:t>Seaboyer</w:t>
      </w:r>
      <w:proofErr w:type="spellEnd"/>
      <w:r w:rsidRPr="004A34D2" w:rsidDel="00941C86">
        <w:rPr>
          <w:rFonts w:cs="Times New Roman"/>
        </w:rPr>
        <w:t xml:space="preserve"> admissibility test:</w:t>
      </w:r>
      <w:r w:rsidRPr="004A34D2">
        <w:rPr>
          <w:rFonts w:cs="Times New Roman"/>
        </w:rPr>
        <w:t xml:space="preserve">  </w:t>
      </w:r>
      <w:r w:rsidRPr="004A34D2" w:rsidDel="00941C86">
        <w:rPr>
          <w:rFonts w:cs="Times New Roman"/>
        </w:rPr>
        <w:t xml:space="preserve">do the prejudicial effects substantially outweigh the probative value? </w:t>
      </w:r>
      <w:r w:rsidRPr="004A34D2">
        <w:rPr>
          <w:rFonts w:cs="Times New Roman"/>
        </w:rPr>
        <w:t xml:space="preserve"> </w:t>
      </w:r>
      <w:r w:rsidRPr="004A34D2" w:rsidDel="00941C86">
        <w:rPr>
          <w:rFonts w:cs="Times New Roman"/>
        </w:rPr>
        <w:t xml:space="preserve">(See, </w:t>
      </w:r>
      <w:r>
        <w:rPr>
          <w:rFonts w:cs="Times New Roman"/>
        </w:rPr>
        <w:t>for example</w:t>
      </w:r>
      <w:r w:rsidR="00ED5CFF">
        <w:rPr>
          <w:rFonts w:cs="Times New Roman"/>
        </w:rPr>
        <w:t>,</w:t>
      </w:r>
      <w:r>
        <w:rPr>
          <w:rFonts w:cs="Times New Roman"/>
        </w:rPr>
        <w:t xml:space="preserve"> </w:t>
      </w:r>
      <w:r w:rsidRPr="004A34D2" w:rsidDel="00941C86">
        <w:rPr>
          <w:rFonts w:cs="Times New Roman"/>
          <w:i/>
        </w:rPr>
        <w:t>R. v. Murphy</w:t>
      </w:r>
      <w:r w:rsidRPr="004A34D2" w:rsidDel="00941C86">
        <w:rPr>
          <w:rFonts w:cs="Times New Roman"/>
        </w:rPr>
        <w:t>, 2012 ONCA 573</w:t>
      </w:r>
      <w:r>
        <w:rPr>
          <w:rFonts w:cs="Times New Roman"/>
        </w:rPr>
        <w:t>, 295 O.A.C. 281</w:t>
      </w:r>
      <w:r w:rsidRPr="004A34D2" w:rsidDel="00941C86">
        <w:rPr>
          <w:rFonts w:cs="Times New Roman"/>
        </w:rPr>
        <w:t xml:space="preserve"> (</w:t>
      </w:r>
      <w:r w:rsidRPr="004A34D2">
        <w:rPr>
          <w:rFonts w:cs="Times New Roman"/>
        </w:rPr>
        <w:t>third party suspect evidence</w:t>
      </w:r>
      <w:r w:rsidRPr="004A34D2" w:rsidDel="00941C86">
        <w:rPr>
          <w:rFonts w:cs="Times New Roman"/>
        </w:rPr>
        <w:t>)</w:t>
      </w:r>
      <w:r w:rsidRPr="004A34D2">
        <w:rPr>
          <w:rFonts w:cs="Times New Roman"/>
        </w:rPr>
        <w:t>;</w:t>
      </w:r>
      <w:r w:rsidRPr="004A34D2">
        <w:rPr>
          <w:rFonts w:cs="Times New Roman"/>
          <w:i/>
        </w:rPr>
        <w:t xml:space="preserve"> R. v. Underwood</w:t>
      </w:r>
      <w:r w:rsidRPr="004A34D2">
        <w:rPr>
          <w:rFonts w:cs="Times New Roman"/>
        </w:rPr>
        <w:t>, 2002 ABCA 310</w:t>
      </w:r>
      <w:r>
        <w:rPr>
          <w:rFonts w:cs="Times New Roman"/>
        </w:rPr>
        <w:t xml:space="preserve">, 170 C.C.C. (3d) </w:t>
      </w:r>
      <w:r>
        <w:rPr>
          <w:rFonts w:cs="Times New Roman"/>
        </w:rPr>
        <w:lastRenderedPageBreak/>
        <w:t>500</w:t>
      </w:r>
      <w:r w:rsidRPr="004A34D2">
        <w:rPr>
          <w:rFonts w:cs="Times New Roman"/>
          <w:i/>
        </w:rPr>
        <w:t xml:space="preserve"> </w:t>
      </w:r>
      <w:r w:rsidRPr="004A34D2">
        <w:rPr>
          <w:rFonts w:cs="Times New Roman"/>
        </w:rPr>
        <w:t>(hearsay evidence of a third party suspect</w:t>
      </w:r>
      <w:r>
        <w:rPr>
          <w:rFonts w:cs="Times New Roman"/>
        </w:rPr>
        <w:t>).</w:t>
      </w:r>
      <w:r w:rsidRPr="004A34D2">
        <w:rPr>
          <w:rFonts w:cs="Times New Roman"/>
        </w:rPr>
        <w:t xml:space="preserve">)  Indeed, defence-led evidence is generally subject to </w:t>
      </w:r>
      <w:proofErr w:type="spellStart"/>
      <w:r w:rsidRPr="004A34D2">
        <w:rPr>
          <w:rFonts w:cs="Times New Roman"/>
          <w:i/>
        </w:rPr>
        <w:t>Seaboyer</w:t>
      </w:r>
      <w:proofErr w:type="spellEnd"/>
      <w:r w:rsidRPr="004A34D2">
        <w:rPr>
          <w:rFonts w:cs="Times New Roman"/>
        </w:rPr>
        <w:t xml:space="preserve"> </w:t>
      </w:r>
      <w:r>
        <w:rPr>
          <w:rFonts w:cs="Times New Roman"/>
        </w:rPr>
        <w:t>(</w:t>
      </w:r>
      <w:r w:rsidRPr="004A34D2" w:rsidDel="00941C86">
        <w:rPr>
          <w:rFonts w:cs="Times New Roman"/>
          <w:i/>
        </w:rPr>
        <w:t>Shearing</w:t>
      </w:r>
      <w:r w:rsidRPr="004A34D2" w:rsidDel="00941C86">
        <w:rPr>
          <w:rFonts w:cs="Times New Roman"/>
        </w:rPr>
        <w:t xml:space="preserve"> (defence cross-examination of a complainant); </w:t>
      </w:r>
      <w:r w:rsidRPr="004A34D2" w:rsidDel="00941C86">
        <w:rPr>
          <w:rFonts w:cs="Times New Roman"/>
          <w:i/>
        </w:rPr>
        <w:t>R. v. Clarke</w:t>
      </w:r>
      <w:r w:rsidRPr="004A34D2" w:rsidDel="00941C86">
        <w:rPr>
          <w:rFonts w:cs="Times New Roman"/>
        </w:rPr>
        <w:t xml:space="preserve"> (1998), 129 C.C.C. (3d) 1 (</w:t>
      </w:r>
      <w:r w:rsidRPr="004A34D2">
        <w:rPr>
          <w:rFonts w:cs="Times New Roman"/>
        </w:rPr>
        <w:t xml:space="preserve">complainant’s </w:t>
      </w:r>
      <w:r w:rsidRPr="004A34D2" w:rsidDel="00941C86">
        <w:rPr>
          <w:rFonts w:cs="Times New Roman"/>
        </w:rPr>
        <w:t>credibility);</w:t>
      </w:r>
      <w:r w:rsidRPr="004A34D2" w:rsidDel="00941C86">
        <w:rPr>
          <w:rFonts w:cs="Times New Roman"/>
          <w:i/>
        </w:rPr>
        <w:t xml:space="preserve"> R. v. Jackson</w:t>
      </w:r>
      <w:r w:rsidRPr="004A34D2" w:rsidDel="00941C86">
        <w:rPr>
          <w:rFonts w:cs="Times New Roman"/>
        </w:rPr>
        <w:t xml:space="preserve">, 2013 ONCA 632, </w:t>
      </w:r>
      <w:r>
        <w:rPr>
          <w:rFonts w:cs="Times New Roman"/>
        </w:rPr>
        <w:t xml:space="preserve">301 C.C.C. (3d) 358, </w:t>
      </w:r>
      <w:proofErr w:type="spellStart"/>
      <w:r>
        <w:rPr>
          <w:rFonts w:cs="Times New Roman"/>
        </w:rPr>
        <w:t>aff’d</w:t>
      </w:r>
      <w:proofErr w:type="spellEnd"/>
      <w:r>
        <w:rPr>
          <w:rFonts w:cs="Times New Roman"/>
        </w:rPr>
        <w:t xml:space="preserve"> </w:t>
      </w:r>
      <w:r w:rsidRPr="004A34D2" w:rsidDel="00941C86">
        <w:rPr>
          <w:rFonts w:cs="Times New Roman"/>
        </w:rPr>
        <w:t>2014 SCC 30</w:t>
      </w:r>
      <w:r>
        <w:rPr>
          <w:rFonts w:cs="Times New Roman"/>
        </w:rPr>
        <w:t>, [2014] 1 S.C.R. 672</w:t>
      </w:r>
      <w:r w:rsidRPr="004A34D2" w:rsidDel="00941C86">
        <w:rPr>
          <w:rFonts w:cs="Times New Roman"/>
        </w:rPr>
        <w:t xml:space="preserve"> (deceased victim’s criminal convictions);</w:t>
      </w:r>
      <w:r w:rsidRPr="004A34D2" w:rsidDel="00941C86">
        <w:rPr>
          <w:rFonts w:cs="Times New Roman"/>
          <w:i/>
        </w:rPr>
        <w:t xml:space="preserve"> R. v. C.</w:t>
      </w:r>
      <w:r>
        <w:rPr>
          <w:rFonts w:cs="Times New Roman"/>
          <w:i/>
        </w:rPr>
        <w:t xml:space="preserve"> </w:t>
      </w:r>
      <w:r w:rsidRPr="004A34D2" w:rsidDel="00941C86">
        <w:rPr>
          <w:rFonts w:cs="Times New Roman"/>
          <w:i/>
        </w:rPr>
        <w:t>(T.)</w:t>
      </w:r>
      <w:r w:rsidRPr="004A34D2" w:rsidDel="00941C86">
        <w:rPr>
          <w:rFonts w:cs="Times New Roman"/>
        </w:rPr>
        <w:t xml:space="preserve"> </w:t>
      </w:r>
      <w:r w:rsidRPr="004A34D2" w:rsidDel="00941C86">
        <w:rPr>
          <w:rFonts w:cs="Times New Roman"/>
          <w:lang w:val="en-US"/>
        </w:rPr>
        <w:t>(2004), 189 C.C.C. (3d) 473 (Ont. C.A.) (</w:t>
      </w:r>
      <w:proofErr w:type="gramStart"/>
      <w:r w:rsidRPr="004A34D2" w:rsidDel="00941C86">
        <w:rPr>
          <w:rFonts w:cs="Times New Roman"/>
          <w:lang w:val="en-US"/>
        </w:rPr>
        <w:t>third</w:t>
      </w:r>
      <w:proofErr w:type="gramEnd"/>
      <w:r w:rsidRPr="004A34D2">
        <w:rPr>
          <w:rFonts w:cs="Times New Roman"/>
          <w:lang w:val="en-US"/>
        </w:rPr>
        <w:t xml:space="preserve"> </w:t>
      </w:r>
      <w:r w:rsidRPr="004A34D2" w:rsidDel="00941C86">
        <w:rPr>
          <w:rFonts w:cs="Times New Roman"/>
          <w:lang w:val="en-US"/>
        </w:rPr>
        <w:t xml:space="preserve">party records in the possession of the accused); </w:t>
      </w:r>
      <w:r w:rsidRPr="004A34D2" w:rsidDel="00941C86">
        <w:rPr>
          <w:rFonts w:cs="Times New Roman"/>
          <w:i/>
          <w:lang w:val="en-US"/>
        </w:rPr>
        <w:t>Pollock</w:t>
      </w:r>
      <w:r w:rsidRPr="004A34D2" w:rsidDel="00941C86">
        <w:rPr>
          <w:rFonts w:cs="Times New Roman"/>
          <w:lang w:val="en-US"/>
        </w:rPr>
        <w:t xml:space="preserve"> (character evidence of a co-accused);</w:t>
      </w:r>
      <w:r w:rsidRPr="004A34D2" w:rsidDel="00941C86">
        <w:rPr>
          <w:rFonts w:cs="Times New Roman"/>
          <w:i/>
          <w:lang w:val="en-US"/>
        </w:rPr>
        <w:t xml:space="preserve"> </w:t>
      </w:r>
      <w:r w:rsidRPr="004A34D2" w:rsidDel="00941C86">
        <w:rPr>
          <w:rFonts w:cs="Times New Roman"/>
          <w:i/>
        </w:rPr>
        <w:t xml:space="preserve">R. v. </w:t>
      </w:r>
      <w:proofErr w:type="spellStart"/>
      <w:r w:rsidRPr="004A34D2" w:rsidDel="00941C86">
        <w:rPr>
          <w:rFonts w:cs="Times New Roman"/>
          <w:i/>
        </w:rPr>
        <w:t>Humaid</w:t>
      </w:r>
      <w:proofErr w:type="spellEnd"/>
      <w:r w:rsidRPr="004A34D2" w:rsidDel="00941C86">
        <w:rPr>
          <w:rFonts w:cs="Times New Roman"/>
        </w:rPr>
        <w:t xml:space="preserve"> (2006), 37 C.R. (6th) 347 (Ont. C.A.) (defence hearsay evidence);</w:t>
      </w:r>
      <w:r w:rsidRPr="004A34D2">
        <w:rPr>
          <w:rFonts w:cs="Times New Roman"/>
        </w:rPr>
        <w:t xml:space="preserve"> </w:t>
      </w:r>
      <w:r w:rsidRPr="004A34D2">
        <w:rPr>
          <w:rFonts w:cs="Times New Roman"/>
          <w:i/>
        </w:rPr>
        <w:t>Hamilton</w:t>
      </w:r>
      <w:r w:rsidRPr="004A34D2">
        <w:rPr>
          <w:rFonts w:cs="Times New Roman"/>
        </w:rPr>
        <w:t xml:space="preserve"> (bad character evidence of the deceased)</w:t>
      </w:r>
      <w:r>
        <w:rPr>
          <w:rFonts w:cs="Times New Roman"/>
        </w:rPr>
        <w:t>)</w:t>
      </w:r>
      <w:r w:rsidRPr="004A34D2" w:rsidDel="00941C86">
        <w:rPr>
          <w:rFonts w:cs="Times New Roman"/>
        </w:rPr>
        <w:t>.</w:t>
      </w:r>
      <w:r w:rsidRPr="004A34D2">
        <w:rPr>
          <w:rFonts w:cs="Times New Roman"/>
        </w:rPr>
        <w:t xml:space="preserve">  Thus, while the principles in </w:t>
      </w:r>
      <w:proofErr w:type="spellStart"/>
      <w:r w:rsidRPr="004A34D2">
        <w:rPr>
          <w:rFonts w:cs="Times New Roman"/>
          <w:i/>
        </w:rPr>
        <w:t>Seaboyer</w:t>
      </w:r>
      <w:proofErr w:type="spellEnd"/>
      <w:r w:rsidRPr="004A34D2">
        <w:rPr>
          <w:rFonts w:cs="Times New Roman"/>
        </w:rPr>
        <w:t xml:space="preserve"> will always apply, they play out differently in different situations.</w:t>
      </w:r>
    </w:p>
    <w:p w:rsidR="00F44E46" w:rsidRPr="004A34D2" w:rsidRDefault="00F44E46" w:rsidP="00F44E46">
      <w:pPr>
        <w:pStyle w:val="ParaNoNdepar-AltN"/>
        <w:rPr>
          <w:rFonts w:cs="Times New Roman"/>
          <w:szCs w:val="24"/>
          <w:lang w:val="en-US"/>
        </w:rPr>
      </w:pPr>
      <w:r w:rsidRPr="004A34D2">
        <w:rPr>
          <w:rFonts w:cs="Times New Roman"/>
          <w:lang w:eastAsia="en-CA"/>
        </w:rPr>
        <w:t xml:space="preserve">As this discussion demonstrates, many of the concerns animating the specific tests governing the admissibility of known third party suspect and similar fact evidence are also addressed in the </w:t>
      </w:r>
      <w:proofErr w:type="spellStart"/>
      <w:r w:rsidRPr="004A34D2">
        <w:rPr>
          <w:rFonts w:cs="Times New Roman"/>
          <w:i/>
          <w:lang w:eastAsia="en-CA"/>
        </w:rPr>
        <w:t>Seaboyer</w:t>
      </w:r>
      <w:proofErr w:type="spellEnd"/>
      <w:r w:rsidRPr="004A34D2">
        <w:rPr>
          <w:rFonts w:cs="Times New Roman"/>
          <w:i/>
          <w:lang w:eastAsia="en-CA"/>
        </w:rPr>
        <w:t xml:space="preserve"> </w:t>
      </w:r>
      <w:r w:rsidRPr="004A34D2">
        <w:rPr>
          <w:rFonts w:cs="Times New Roman"/>
          <w:lang w:eastAsia="en-CA"/>
        </w:rPr>
        <w:t>analysis.  In all cases, the evidence must be beyond mere speculation and conjecture.  The value of the evidence must be balanced against the risks posed to the integrity of the trial when a party seeks to expand the ambit of the trial to individuals or events not directly related to the crime indicted.</w:t>
      </w:r>
    </w:p>
    <w:p w:rsidR="00F44E46" w:rsidRPr="004A34D2" w:rsidRDefault="00F44E46" w:rsidP="00F44E46">
      <w:pPr>
        <w:pStyle w:val="Title2LevelTitre2Niveau"/>
        <w:rPr>
          <w:rFonts w:cs="Times New Roman"/>
        </w:rPr>
      </w:pPr>
      <w:r w:rsidRPr="004A34D2">
        <w:rPr>
          <w:rFonts w:cs="Times New Roman"/>
        </w:rPr>
        <w:t xml:space="preserve">The Trial Judge’s Role as Evidentiary Gatekeeper and the </w:t>
      </w:r>
      <w:proofErr w:type="spellStart"/>
      <w:r w:rsidRPr="004A34D2">
        <w:rPr>
          <w:rFonts w:cs="Times New Roman"/>
        </w:rPr>
        <w:t>Seaboyer</w:t>
      </w:r>
      <w:proofErr w:type="spellEnd"/>
      <w:r w:rsidRPr="004A34D2">
        <w:rPr>
          <w:rFonts w:cs="Times New Roman"/>
        </w:rPr>
        <w:t xml:space="preserve"> Test</w:t>
      </w:r>
    </w:p>
    <w:p w:rsidR="00F44E46" w:rsidRPr="004A34D2" w:rsidRDefault="00F44E46" w:rsidP="00F44E46">
      <w:pPr>
        <w:pStyle w:val="ParaNoNdepar-AltN"/>
        <w:rPr>
          <w:rFonts w:cs="Times New Roman"/>
        </w:rPr>
      </w:pPr>
      <w:r w:rsidRPr="004A34D2" w:rsidDel="00C34C6A">
        <w:rPr>
          <w:rFonts w:cs="Times New Roman"/>
        </w:rPr>
        <w:t>The Crown argues that the trial judge, as gatekeeper, must assess the quality and reliability of evidence as part of the admissibility inquiry.</w:t>
      </w:r>
      <w:r w:rsidRPr="004A34D2">
        <w:rPr>
          <w:rFonts w:cs="Times New Roman"/>
        </w:rPr>
        <w:t xml:space="preserve"> </w:t>
      </w:r>
      <w:r w:rsidRPr="004A34D2" w:rsidDel="00C34C6A">
        <w:rPr>
          <w:rFonts w:cs="Times New Roman"/>
        </w:rPr>
        <w:t xml:space="preserve"> In light of the elevated risks posed by unknown third party suspect evidence, the Crown submits </w:t>
      </w:r>
      <w:r w:rsidRPr="004A34D2" w:rsidDel="00C34C6A">
        <w:rPr>
          <w:rFonts w:cs="Times New Roman"/>
        </w:rPr>
        <w:lastRenderedPageBreak/>
        <w:t xml:space="preserve">that the Court of Appeal dangerously lowered the threshold for third party suspect evidence by applying the </w:t>
      </w:r>
      <w:r>
        <w:rPr>
          <w:rFonts w:cs="Times New Roman"/>
        </w:rPr>
        <w:t>“</w:t>
      </w:r>
      <w:r w:rsidRPr="004A34D2" w:rsidDel="00C34C6A">
        <w:rPr>
          <w:rFonts w:cs="Times New Roman"/>
        </w:rPr>
        <w:t>some evidence</w:t>
      </w:r>
      <w:r>
        <w:rPr>
          <w:rFonts w:cs="Times New Roman"/>
        </w:rPr>
        <w:t>”</w:t>
      </w:r>
      <w:r w:rsidRPr="004A34D2" w:rsidDel="00C34C6A">
        <w:rPr>
          <w:rFonts w:cs="Times New Roman"/>
        </w:rPr>
        <w:t xml:space="preserve"> standard articulated in </w:t>
      </w:r>
      <w:proofErr w:type="spellStart"/>
      <w:r w:rsidRPr="004A34D2">
        <w:rPr>
          <w:rFonts w:cs="Times New Roman"/>
          <w:i/>
        </w:rPr>
        <w:t>Cinous</w:t>
      </w:r>
      <w:proofErr w:type="spellEnd"/>
      <w:r w:rsidR="00ED5CFF" w:rsidRPr="00ED5CFF">
        <w:rPr>
          <w:rFonts w:cs="Times New Roman"/>
        </w:rPr>
        <w:t>.</w:t>
      </w:r>
      <w:r w:rsidRPr="004A34D2">
        <w:rPr>
          <w:rFonts w:cs="Times New Roman"/>
        </w:rPr>
        <w:t xml:space="preserve">  For the reasons that follow, I do not accept this submission.</w:t>
      </w:r>
    </w:p>
    <w:p w:rsidR="00F44E46" w:rsidRPr="004A34D2" w:rsidRDefault="00F44E46" w:rsidP="00F44E46">
      <w:pPr>
        <w:pStyle w:val="ParaNoNdepar-AltN"/>
        <w:rPr>
          <w:rFonts w:cs="Times New Roman"/>
        </w:rPr>
      </w:pPr>
      <w:r w:rsidRPr="004A34D2">
        <w:rPr>
          <w:rFonts w:cs="Times New Roman"/>
        </w:rPr>
        <w:t xml:space="preserve">The trial judge plays a fundamentally important role as evidentiary gatekeeper, tasked with preserving both the right of the accused to make full answer and defence and the integrity of the trial process.  To fulfill this mandate, the trial judge engages in a limited weighing of the evidence to ensure that the jury only considers evidence </w:t>
      </w:r>
      <w:r>
        <w:rPr>
          <w:rFonts w:cs="Times New Roman"/>
        </w:rPr>
        <w:t>(</w:t>
      </w:r>
      <w:r w:rsidRPr="004A34D2">
        <w:rPr>
          <w:rFonts w:cs="Times New Roman"/>
        </w:rPr>
        <w:t xml:space="preserve">1) </w:t>
      </w:r>
      <w:r>
        <w:rPr>
          <w:rFonts w:cs="Times New Roman"/>
        </w:rPr>
        <w:t xml:space="preserve">that </w:t>
      </w:r>
      <w:r w:rsidRPr="004A34D2">
        <w:rPr>
          <w:rFonts w:cs="Times New Roman"/>
        </w:rPr>
        <w:t xml:space="preserve">is relevant to </w:t>
      </w:r>
      <w:r>
        <w:rPr>
          <w:rFonts w:cs="Times New Roman"/>
        </w:rPr>
        <w:t xml:space="preserve">a fact in issue, including </w:t>
      </w:r>
      <w:r w:rsidRPr="004A34D2">
        <w:rPr>
          <w:rFonts w:cs="Times New Roman"/>
        </w:rPr>
        <w:t xml:space="preserve">an available defence; and </w:t>
      </w:r>
      <w:r>
        <w:rPr>
          <w:rFonts w:cs="Times New Roman"/>
        </w:rPr>
        <w:t>(</w:t>
      </w:r>
      <w:r w:rsidRPr="004A34D2">
        <w:rPr>
          <w:rFonts w:cs="Times New Roman"/>
        </w:rPr>
        <w:t xml:space="preserve">2) whose probative value is not substantially outweighed by its prejudicial effects.  These inquiries often overlap.  However, the trial judge is not permitted to invade the province of the jury and determine the strength of the evidence </w:t>
      </w:r>
      <w:r>
        <w:rPr>
          <w:rFonts w:cs="Times New Roman"/>
        </w:rPr>
        <w:t>(</w:t>
      </w:r>
      <w:r w:rsidRPr="004A34D2">
        <w:rPr>
          <w:rFonts w:cs="Times New Roman"/>
          <w:i/>
        </w:rPr>
        <w:t>R. v. Hart</w:t>
      </w:r>
      <w:r w:rsidRPr="002230B6">
        <w:rPr>
          <w:rFonts w:cs="Times New Roman"/>
        </w:rPr>
        <w:t xml:space="preserve">, </w:t>
      </w:r>
      <w:r w:rsidRPr="004A34D2">
        <w:rPr>
          <w:rFonts w:cs="Times New Roman"/>
        </w:rPr>
        <w:t xml:space="preserve">2014 SCC 52, [2014] 2 S.C.R. 544, at </w:t>
      </w:r>
      <w:proofErr w:type="spellStart"/>
      <w:r w:rsidRPr="004A34D2">
        <w:rPr>
          <w:rFonts w:cs="Times New Roman"/>
        </w:rPr>
        <w:t>para</w:t>
      </w:r>
      <w:proofErr w:type="spellEnd"/>
      <w:r w:rsidRPr="004A34D2">
        <w:rPr>
          <w:rFonts w:cs="Times New Roman"/>
        </w:rPr>
        <w:t>. 98</w:t>
      </w:r>
      <w:r>
        <w:rPr>
          <w:rFonts w:cs="Times New Roman"/>
        </w:rPr>
        <w:t>)</w:t>
      </w:r>
      <w:r w:rsidRPr="004A34D2">
        <w:rPr>
          <w:rFonts w:cs="Times New Roman"/>
        </w:rPr>
        <w:t>.</w:t>
      </w:r>
    </w:p>
    <w:p w:rsidR="00F44E46" w:rsidRPr="004A34D2" w:rsidRDefault="00F44E46" w:rsidP="00F44E46">
      <w:pPr>
        <w:pStyle w:val="ParaNoNdepar-AltN"/>
        <w:rPr>
          <w:rFonts w:cs="Times New Roman"/>
        </w:rPr>
      </w:pPr>
      <w:r w:rsidRPr="004A34D2">
        <w:rPr>
          <w:rFonts w:cs="Times New Roman"/>
        </w:rPr>
        <w:t xml:space="preserve">The trial judge must determine whether the evidence is logically relevant to an available defence </w:t>
      </w:r>
      <w:r>
        <w:rPr>
          <w:rFonts w:cs="Times New Roman"/>
        </w:rPr>
        <w:t>―</w:t>
      </w:r>
      <w:r w:rsidRPr="004A34D2">
        <w:rPr>
          <w:rFonts w:cs="Times New Roman"/>
        </w:rPr>
        <w:t xml:space="preserve"> one that can be put to the jury.  The air of reality test requires the trial judge, taking the proposed evidence at its greatest strength, to determine whether the record would contain </w:t>
      </w:r>
      <w:r>
        <w:rPr>
          <w:rFonts w:cs="Times New Roman"/>
        </w:rPr>
        <w:t>“</w:t>
      </w:r>
      <w:r w:rsidRPr="004A34D2">
        <w:rPr>
          <w:rFonts w:cs="Times New Roman"/>
        </w:rPr>
        <w:t>a sufficient factual foundation for a properly instructed jury to give effect to the defence</w:t>
      </w:r>
      <w:r>
        <w:rPr>
          <w:rFonts w:cs="Times New Roman"/>
        </w:rPr>
        <w:t>”</w:t>
      </w:r>
      <w:r w:rsidRPr="004A34D2">
        <w:rPr>
          <w:rFonts w:cs="Times New Roman"/>
        </w:rPr>
        <w:t xml:space="preserve"> </w:t>
      </w:r>
      <w:r>
        <w:rPr>
          <w:rFonts w:cs="Times New Roman"/>
        </w:rPr>
        <w:t>(</w:t>
      </w:r>
      <w:r w:rsidRPr="004A34D2">
        <w:rPr>
          <w:rFonts w:cs="Times New Roman"/>
          <w:i/>
        </w:rPr>
        <w:t xml:space="preserve">R. v. </w:t>
      </w:r>
      <w:proofErr w:type="spellStart"/>
      <w:r w:rsidRPr="004A34D2">
        <w:rPr>
          <w:rFonts w:cs="Times New Roman"/>
          <w:i/>
        </w:rPr>
        <w:t>Buzizi</w:t>
      </w:r>
      <w:proofErr w:type="spellEnd"/>
      <w:r w:rsidRPr="004A34D2">
        <w:rPr>
          <w:rFonts w:cs="Times New Roman"/>
        </w:rPr>
        <w:t xml:space="preserve">, 2013 SCC 27, [2013] 2 S.C.R. 248, at </w:t>
      </w:r>
      <w:proofErr w:type="spellStart"/>
      <w:r w:rsidRPr="004A34D2">
        <w:rPr>
          <w:rFonts w:cs="Times New Roman"/>
        </w:rPr>
        <w:t>para</w:t>
      </w:r>
      <w:proofErr w:type="spellEnd"/>
      <w:r w:rsidRPr="004A34D2">
        <w:rPr>
          <w:rFonts w:cs="Times New Roman"/>
        </w:rPr>
        <w:t>. 16</w:t>
      </w:r>
      <w:r>
        <w:rPr>
          <w:rFonts w:cs="Times New Roman"/>
        </w:rPr>
        <w:t>)</w:t>
      </w:r>
      <w:r w:rsidRPr="004A34D2">
        <w:rPr>
          <w:rFonts w:cs="Times New Roman"/>
        </w:rPr>
        <w:t>.  Where the defence</w:t>
      </w:r>
      <w:r>
        <w:rPr>
          <w:rFonts w:cs="Times New Roman"/>
        </w:rPr>
        <w:t>’</w:t>
      </w:r>
      <w:r w:rsidRPr="004A34D2">
        <w:rPr>
          <w:rFonts w:cs="Times New Roman"/>
        </w:rPr>
        <w:t>s theory is that an unknown third party committed the indicted crime, this factual foundation will be established by a sufficient connection between the crime for which the accused is charged and the allegedly similar incident(s), coupled with the impossibility that the accused committed the other offence.</w:t>
      </w:r>
    </w:p>
    <w:p w:rsidR="00F44E46" w:rsidRPr="004A34D2" w:rsidRDefault="00F44E46" w:rsidP="00F44E46">
      <w:pPr>
        <w:pStyle w:val="ParaNoNdepar-AltN"/>
        <w:rPr>
          <w:rFonts w:cs="Times New Roman"/>
        </w:rPr>
      </w:pPr>
      <w:r w:rsidRPr="004A34D2">
        <w:rPr>
          <w:rFonts w:cs="Times New Roman"/>
        </w:rPr>
        <w:lastRenderedPageBreak/>
        <w:t xml:space="preserve">The trial judge must also assess and balance the extent of the probative value and prejudicial effects of the evidence in accordance with </w:t>
      </w:r>
      <w:proofErr w:type="spellStart"/>
      <w:r w:rsidRPr="004A34D2">
        <w:rPr>
          <w:rFonts w:cs="Times New Roman"/>
          <w:i/>
        </w:rPr>
        <w:t>Seaboyer</w:t>
      </w:r>
      <w:proofErr w:type="spellEnd"/>
      <w:r w:rsidR="007C1480">
        <w:rPr>
          <w:rFonts w:cs="Times New Roman"/>
        </w:rPr>
        <w:t>.  Like the air of reality</w:t>
      </w:r>
      <w:r w:rsidRPr="004A34D2">
        <w:rPr>
          <w:rFonts w:cs="Times New Roman"/>
        </w:rPr>
        <w:t xml:space="preserve"> test, the </w:t>
      </w:r>
      <w:proofErr w:type="spellStart"/>
      <w:r w:rsidRPr="004A34D2">
        <w:rPr>
          <w:rFonts w:cs="Times New Roman"/>
          <w:i/>
        </w:rPr>
        <w:t>Seaboyer</w:t>
      </w:r>
      <w:proofErr w:type="spellEnd"/>
      <w:r w:rsidRPr="004A34D2">
        <w:rPr>
          <w:rFonts w:cs="Times New Roman"/>
          <w:i/>
        </w:rPr>
        <w:t xml:space="preserve"> </w:t>
      </w:r>
      <w:r w:rsidRPr="004A34D2">
        <w:rPr>
          <w:rFonts w:cs="Times New Roman"/>
        </w:rPr>
        <w:t>admissibility test does not permit the trial judge to decide how much weight to give the evidence or to make findings of fact.  Doing so would usurp the role of the jury and would place a persuasive burden on the accused inconsistent with the presumption of innocence.</w:t>
      </w:r>
    </w:p>
    <w:p w:rsidR="00F44E46" w:rsidRPr="004A34D2" w:rsidRDefault="00F44E46" w:rsidP="00F44E46">
      <w:pPr>
        <w:pStyle w:val="ParaNoNdepar-AltN"/>
        <w:rPr>
          <w:rFonts w:cs="Times New Roman"/>
        </w:rPr>
      </w:pPr>
      <w:r w:rsidRPr="004A34D2">
        <w:rPr>
          <w:rFonts w:cs="Times New Roman"/>
        </w:rPr>
        <w:t xml:space="preserve">The Crown argues that the substantial prejudice arising from evidence concerning an unknown third party suspect requires a higher threshold for both admissibility and putting the defence to the jury.  However, substantial prejudice does not require a higher threshold; it simply weighs heavier in the balance.  The </w:t>
      </w:r>
      <w:proofErr w:type="spellStart"/>
      <w:r w:rsidRPr="004A34D2">
        <w:rPr>
          <w:rFonts w:cs="Times New Roman"/>
          <w:i/>
        </w:rPr>
        <w:t>Seaboyer</w:t>
      </w:r>
      <w:proofErr w:type="spellEnd"/>
      <w:r w:rsidRPr="004A34D2">
        <w:rPr>
          <w:rFonts w:cs="Times New Roman"/>
        </w:rPr>
        <w:t xml:space="preserve"> admissibility test does not presuppose a particular level of prejudice or probative value for certain categories of evidence; instead, it requires a trial judge to conduct the balancing process contextually, based on the particularities of the evidence before her.  As an inherently individualized assessment, it is capable of responding to various levels and forms of prejudice.  No other test or higher threshold is required to protect the integrity of the trial process.</w:t>
      </w:r>
    </w:p>
    <w:p w:rsidR="00F44E46" w:rsidRPr="004A34D2" w:rsidRDefault="00F44E46" w:rsidP="00F44E46">
      <w:pPr>
        <w:pStyle w:val="ParaNoNdepar-AltN"/>
        <w:rPr>
          <w:rFonts w:cs="Times New Roman"/>
        </w:rPr>
      </w:pPr>
      <w:r w:rsidRPr="004A34D2">
        <w:rPr>
          <w:rFonts w:cs="Times New Roman"/>
        </w:rPr>
        <w:t xml:space="preserve">The same is true of the “some evidence” threshold in the air of reality test, which the Crown argues the Court of Appeal erred in applying in this case.  This standard does not indirectly lower the threshold for unknown third party suspect evidence.  Rather, this standard, when used in conjunction with the requirement for a sufficient connection between the crimes, respects the requirements of </w:t>
      </w:r>
      <w:r w:rsidRPr="004A34D2">
        <w:rPr>
          <w:rFonts w:cs="Times New Roman"/>
          <w:i/>
        </w:rPr>
        <w:t>Corbett</w:t>
      </w:r>
      <w:r w:rsidRPr="004A34D2">
        <w:rPr>
          <w:rFonts w:cs="Times New Roman"/>
        </w:rPr>
        <w:t xml:space="preserve">, </w:t>
      </w:r>
      <w:proofErr w:type="spellStart"/>
      <w:r w:rsidRPr="004A34D2">
        <w:rPr>
          <w:rFonts w:cs="Times New Roman"/>
          <w:i/>
        </w:rPr>
        <w:lastRenderedPageBreak/>
        <w:t>Seaboyer</w:t>
      </w:r>
      <w:proofErr w:type="spellEnd"/>
      <w:r w:rsidRPr="004A34D2">
        <w:rPr>
          <w:rFonts w:cs="Times New Roman"/>
          <w:i/>
        </w:rPr>
        <w:t xml:space="preserve"> </w:t>
      </w:r>
      <w:r w:rsidRPr="004A34D2">
        <w:rPr>
          <w:rFonts w:cs="Times New Roman"/>
        </w:rPr>
        <w:t xml:space="preserve">and </w:t>
      </w:r>
      <w:proofErr w:type="spellStart"/>
      <w:r w:rsidRPr="004A34D2">
        <w:rPr>
          <w:rFonts w:cs="Times New Roman"/>
          <w:i/>
        </w:rPr>
        <w:t>Cinous</w:t>
      </w:r>
      <w:proofErr w:type="spellEnd"/>
      <w:r w:rsidRPr="004A34D2">
        <w:rPr>
          <w:rFonts w:cs="Times New Roman"/>
        </w:rPr>
        <w:t xml:space="preserve">, and properly balances the integrity of the trial process with the </w:t>
      </w:r>
      <w:proofErr w:type="spellStart"/>
      <w:r w:rsidRPr="004A34D2">
        <w:rPr>
          <w:rFonts w:cs="Times New Roman"/>
        </w:rPr>
        <w:t>accused’s</w:t>
      </w:r>
      <w:proofErr w:type="spellEnd"/>
      <w:r w:rsidRPr="004A34D2">
        <w:rPr>
          <w:rFonts w:cs="Times New Roman"/>
        </w:rPr>
        <w:t xml:space="preserve"> right to make full answer and defence.</w:t>
      </w:r>
    </w:p>
    <w:p w:rsidR="00F44E46" w:rsidRPr="004A34D2" w:rsidRDefault="00F44E46" w:rsidP="00F44E46">
      <w:pPr>
        <w:pStyle w:val="ParaNoNdepar-AltN"/>
        <w:rPr>
          <w:rFonts w:eastAsia="Times New Roman" w:cs="Times New Roman"/>
        </w:rPr>
      </w:pPr>
      <w:r w:rsidRPr="004A34D2">
        <w:rPr>
          <w:rFonts w:eastAsia="Times New Roman" w:cs="Times New Roman"/>
        </w:rPr>
        <w:t>This conclusion does not, as the Crown submits it would, increase the scope of the Crown’s potential disclosure obligations such tha</w:t>
      </w:r>
      <w:r w:rsidRPr="004A34D2">
        <w:rPr>
          <w:rFonts w:cs="Times New Roman"/>
        </w:rPr>
        <w:t>t compliance becomes impossible.</w:t>
      </w:r>
      <w:r w:rsidRPr="004A34D2">
        <w:rPr>
          <w:rFonts w:eastAsia="Times New Roman" w:cs="Times New Roman"/>
        </w:rPr>
        <w:t xml:space="preserve">  The Crown continues to be required to disclose all relevant evidence to the defence </w:t>
      </w:r>
      <w:r>
        <w:rPr>
          <w:rFonts w:eastAsia="Times New Roman" w:cs="Times New Roman"/>
        </w:rPr>
        <w:t>(</w:t>
      </w:r>
      <w:r w:rsidRPr="004A34D2">
        <w:rPr>
          <w:rFonts w:eastAsia="Times New Roman" w:cs="Times New Roman"/>
          <w:i/>
        </w:rPr>
        <w:t xml:space="preserve">R. v. </w:t>
      </w:r>
      <w:proofErr w:type="spellStart"/>
      <w:r w:rsidRPr="004A34D2">
        <w:rPr>
          <w:rFonts w:eastAsia="Times New Roman" w:cs="Times New Roman"/>
          <w:i/>
        </w:rPr>
        <w:t>Stinchcombe</w:t>
      </w:r>
      <w:proofErr w:type="spellEnd"/>
      <w:r w:rsidRPr="004A34D2">
        <w:rPr>
          <w:rFonts w:eastAsia="Times New Roman" w:cs="Times New Roman"/>
        </w:rPr>
        <w:t>, [1991] 3 S.C.R. 326, at pp. 336-40</w:t>
      </w:r>
      <w:r>
        <w:rPr>
          <w:rFonts w:eastAsia="Times New Roman" w:cs="Times New Roman"/>
        </w:rPr>
        <w:t>)</w:t>
      </w:r>
      <w:r w:rsidRPr="004A34D2">
        <w:rPr>
          <w:rFonts w:eastAsia="Times New Roman" w:cs="Times New Roman"/>
        </w:rPr>
        <w:t xml:space="preserve">.  The application of the </w:t>
      </w:r>
      <w:proofErr w:type="spellStart"/>
      <w:r w:rsidRPr="004A34D2">
        <w:rPr>
          <w:rFonts w:eastAsia="Times New Roman" w:cs="Times New Roman"/>
          <w:i/>
        </w:rPr>
        <w:t>Stinchcombe</w:t>
      </w:r>
      <w:proofErr w:type="spellEnd"/>
      <w:r w:rsidRPr="004A34D2">
        <w:rPr>
          <w:rFonts w:eastAsia="Times New Roman" w:cs="Times New Roman"/>
          <w:i/>
        </w:rPr>
        <w:t xml:space="preserve"> </w:t>
      </w:r>
      <w:r w:rsidRPr="004A34D2">
        <w:rPr>
          <w:rFonts w:eastAsia="Times New Roman" w:cs="Times New Roman"/>
        </w:rPr>
        <w:t>test obviously depends on the circumstances of each case and each disclosure request.</w:t>
      </w:r>
    </w:p>
    <w:p w:rsidR="00F44E46" w:rsidRPr="004A34D2" w:rsidRDefault="00F44E46" w:rsidP="00F44E46">
      <w:pPr>
        <w:pStyle w:val="ParaNoNdepar-AltN"/>
        <w:rPr>
          <w:rFonts w:eastAsia="Times New Roman" w:cs="Times New Roman"/>
        </w:rPr>
      </w:pPr>
      <w:r w:rsidRPr="004A34D2">
        <w:rPr>
          <w:rFonts w:eastAsia="Times New Roman" w:cs="Times New Roman"/>
        </w:rPr>
        <w:t xml:space="preserve">In this case, the disclosure request was based on notes by the </w:t>
      </w:r>
      <w:r w:rsidRPr="004A34D2">
        <w:rPr>
          <w:rFonts w:cs="Times New Roman"/>
        </w:rPr>
        <w:t>lead investigator</w:t>
      </w:r>
      <w:r w:rsidRPr="004A34D2">
        <w:rPr>
          <w:rFonts w:eastAsia="Times New Roman" w:cs="Times New Roman"/>
        </w:rPr>
        <w:t xml:space="preserve"> in the police file on the </w:t>
      </w:r>
      <w:proofErr w:type="spellStart"/>
      <w:r w:rsidRPr="004A34D2">
        <w:rPr>
          <w:rFonts w:eastAsia="Times New Roman" w:cs="Times New Roman"/>
        </w:rPr>
        <w:t>Derksen</w:t>
      </w:r>
      <w:proofErr w:type="spellEnd"/>
      <w:r w:rsidRPr="004A34D2">
        <w:rPr>
          <w:rFonts w:eastAsia="Times New Roman" w:cs="Times New Roman"/>
        </w:rPr>
        <w:t xml:space="preserve"> murder concerning a similar crime (the P.W. incident) that </w:t>
      </w:r>
      <w:r w:rsidRPr="004A34D2">
        <w:rPr>
          <w:rFonts w:cs="Times New Roman"/>
        </w:rPr>
        <w:t>was “very probably”</w:t>
      </w:r>
      <w:r w:rsidRPr="004A34D2">
        <w:rPr>
          <w:rFonts w:eastAsia="Times New Roman" w:cs="Times New Roman"/>
        </w:rPr>
        <w:t xml:space="preserve"> c</w:t>
      </w:r>
      <w:r w:rsidRPr="004A34D2">
        <w:rPr>
          <w:rFonts w:cs="Times New Roman"/>
        </w:rPr>
        <w:t>onnected</w:t>
      </w:r>
      <w:r>
        <w:rPr>
          <w:rFonts w:cs="Times New Roman"/>
        </w:rPr>
        <w:t xml:space="preserve"> to the </w:t>
      </w:r>
      <w:proofErr w:type="spellStart"/>
      <w:r>
        <w:rPr>
          <w:rFonts w:cs="Times New Roman"/>
        </w:rPr>
        <w:t>Derksen</w:t>
      </w:r>
      <w:proofErr w:type="spellEnd"/>
      <w:r>
        <w:rPr>
          <w:rFonts w:cs="Times New Roman"/>
        </w:rPr>
        <w:t xml:space="preserve"> murder</w:t>
      </w:r>
      <w:r w:rsidRPr="004A34D2">
        <w:rPr>
          <w:rFonts w:cs="Times New Roman"/>
        </w:rPr>
        <w:t xml:space="preserve"> </w:t>
      </w:r>
      <w:r>
        <w:rPr>
          <w:rFonts w:cs="Times New Roman"/>
        </w:rPr>
        <w:t>(</w:t>
      </w:r>
      <w:r w:rsidRPr="004A34D2">
        <w:rPr>
          <w:rFonts w:cs="Times New Roman"/>
        </w:rPr>
        <w:t xml:space="preserve">A.R., </w:t>
      </w:r>
      <w:r>
        <w:rPr>
          <w:rFonts w:cs="Times New Roman"/>
        </w:rPr>
        <w:t>v</w:t>
      </w:r>
      <w:r w:rsidRPr="004A34D2">
        <w:rPr>
          <w:rFonts w:cs="Times New Roman"/>
        </w:rPr>
        <w:t>ol.</w:t>
      </w:r>
      <w:r w:rsidR="00E34E3A">
        <w:rPr>
          <w:rFonts w:cs="Times New Roman"/>
        </w:rPr>
        <w:t xml:space="preserve"> </w:t>
      </w:r>
      <w:r w:rsidRPr="004A34D2">
        <w:rPr>
          <w:rFonts w:cs="Times New Roman"/>
        </w:rPr>
        <w:t xml:space="preserve">II, </w:t>
      </w:r>
      <w:r>
        <w:rPr>
          <w:rFonts w:cs="Times New Roman"/>
        </w:rPr>
        <w:t xml:space="preserve">at </w:t>
      </w:r>
      <w:r w:rsidRPr="004A34D2">
        <w:rPr>
          <w:rFonts w:cs="Times New Roman"/>
        </w:rPr>
        <w:t>p. 135</w:t>
      </w:r>
      <w:r>
        <w:rPr>
          <w:rFonts w:cs="Times New Roman"/>
        </w:rPr>
        <w:t>)</w:t>
      </w:r>
      <w:r w:rsidRPr="004A34D2">
        <w:rPr>
          <w:rFonts w:eastAsia="Times New Roman" w:cs="Times New Roman"/>
        </w:rPr>
        <w:t>.  The evidence for which disclosure was sought was clearly relevant.</w:t>
      </w:r>
    </w:p>
    <w:p w:rsidR="00F44E46" w:rsidRPr="004A34D2" w:rsidRDefault="00F44E46" w:rsidP="00F44E46">
      <w:pPr>
        <w:pStyle w:val="ParaNoNdepar-AltN"/>
        <w:rPr>
          <w:rFonts w:cs="Times New Roman"/>
        </w:rPr>
      </w:pPr>
      <w:r w:rsidRPr="004A34D2">
        <w:rPr>
          <w:rFonts w:eastAsia="Times New Roman" w:cs="Times New Roman"/>
        </w:rPr>
        <w:t>Where the similarities or the temporal or geographic connections between the charged crime and the crime(s) for which disclosure is sought are insufficient, the evidence will not be relevant, and disclosure will not be required.  Allowing the defence to establish a sufficient connection with reference to the crimes, rather than to the suspect, does not extend the Crown’s duty of disclosure.</w:t>
      </w:r>
    </w:p>
    <w:p w:rsidR="00F44E46" w:rsidRPr="004A34D2" w:rsidRDefault="00F44E46" w:rsidP="00F44E46">
      <w:pPr>
        <w:pStyle w:val="ParaNoNdepar-AltN"/>
        <w:rPr>
          <w:rFonts w:eastAsia="Times New Roman" w:cs="Times New Roman"/>
        </w:rPr>
      </w:pPr>
      <w:r w:rsidRPr="004A34D2">
        <w:rPr>
          <w:rFonts w:eastAsia="Times New Roman" w:cs="Times New Roman"/>
        </w:rPr>
        <w:t xml:space="preserve">Nor does this conclusion jeopardize the Crown’s ability to protect the privacy interests of individuals implicated in unrelated criminal matters or the confidentiality of ongoing investigations.  The disclosure test remains one of </w:t>
      </w:r>
      <w:r w:rsidRPr="004A34D2">
        <w:rPr>
          <w:rFonts w:eastAsia="Times New Roman" w:cs="Times New Roman"/>
        </w:rPr>
        <w:lastRenderedPageBreak/>
        <w:t xml:space="preserve">relevancy, and the legislative measures that restrict disclosure to protect the privacy interests of individuals implicated in criminal matters continue to apply </w:t>
      </w:r>
      <w:r>
        <w:rPr>
          <w:rFonts w:eastAsia="Times New Roman" w:cs="Times New Roman"/>
        </w:rPr>
        <w:t>(</w:t>
      </w:r>
      <w:r w:rsidRPr="004A34D2">
        <w:rPr>
          <w:rFonts w:eastAsia="Times New Roman" w:cs="Times New Roman"/>
        </w:rPr>
        <w:t xml:space="preserve">see, for example, </w:t>
      </w:r>
      <w:r w:rsidRPr="004A34D2">
        <w:rPr>
          <w:rFonts w:eastAsia="Times New Roman" w:cs="Times New Roman"/>
          <w:i/>
        </w:rPr>
        <w:t>Criminal Code</w:t>
      </w:r>
      <w:r w:rsidRPr="004A34D2">
        <w:rPr>
          <w:rFonts w:eastAsia="Times New Roman" w:cs="Times New Roman"/>
        </w:rPr>
        <w:t>, R.S.C. 1985, c. C-46, ss. 278.1</w:t>
      </w:r>
      <w:r>
        <w:rPr>
          <w:rFonts w:eastAsia="Times New Roman" w:cs="Times New Roman"/>
        </w:rPr>
        <w:t xml:space="preserve"> to </w:t>
      </w:r>
      <w:r w:rsidRPr="004A34D2">
        <w:rPr>
          <w:rFonts w:eastAsia="Times New Roman" w:cs="Times New Roman"/>
        </w:rPr>
        <w:t>278.91;</w:t>
      </w:r>
      <w:r w:rsidRPr="004A34D2">
        <w:rPr>
          <w:rFonts w:eastAsia="Times New Roman" w:cs="Times New Roman"/>
          <w:i/>
        </w:rPr>
        <w:t xml:space="preserve"> R. v. </w:t>
      </w:r>
      <w:proofErr w:type="spellStart"/>
      <w:r w:rsidRPr="004A34D2">
        <w:rPr>
          <w:rFonts w:eastAsia="Times New Roman" w:cs="Times New Roman"/>
          <w:i/>
        </w:rPr>
        <w:t>Quesnelle</w:t>
      </w:r>
      <w:proofErr w:type="spellEnd"/>
      <w:r w:rsidRPr="004A34D2">
        <w:rPr>
          <w:rFonts w:eastAsia="Times New Roman" w:cs="Times New Roman"/>
        </w:rPr>
        <w:t>, 2014 SCC 46</w:t>
      </w:r>
      <w:r>
        <w:rPr>
          <w:rFonts w:eastAsia="Times New Roman" w:cs="Times New Roman"/>
        </w:rPr>
        <w:t>, [2014] 2 S.C.R. 390)</w:t>
      </w:r>
      <w:r w:rsidRPr="004A34D2">
        <w:rPr>
          <w:rFonts w:eastAsia="Times New Roman" w:cs="Times New Roman"/>
        </w:rPr>
        <w:t xml:space="preserve">. </w:t>
      </w:r>
      <w:r>
        <w:rPr>
          <w:rFonts w:eastAsia="Times New Roman" w:cs="Times New Roman"/>
        </w:rPr>
        <w:t xml:space="preserve"> </w:t>
      </w:r>
      <w:r w:rsidRPr="004A34D2">
        <w:rPr>
          <w:rFonts w:eastAsia="Times New Roman" w:cs="Times New Roman"/>
        </w:rPr>
        <w:t xml:space="preserve">Moreover, the Crown exercises discretion with respect to the manner and timing of disclosure, thus allowing the Crown to delay disclosure to ensure the safety of individuals involved in an ongoing investigation </w:t>
      </w:r>
      <w:r>
        <w:rPr>
          <w:rFonts w:eastAsia="Times New Roman" w:cs="Times New Roman"/>
        </w:rPr>
        <w:t>(</w:t>
      </w:r>
      <w:proofErr w:type="spellStart"/>
      <w:r w:rsidRPr="004A34D2">
        <w:rPr>
          <w:rFonts w:eastAsia="Times New Roman" w:cs="Times New Roman"/>
          <w:i/>
        </w:rPr>
        <w:t>Stinchcombe</w:t>
      </w:r>
      <w:proofErr w:type="spellEnd"/>
      <w:r w:rsidRPr="004A34D2">
        <w:rPr>
          <w:rFonts w:eastAsia="Times New Roman" w:cs="Times New Roman"/>
        </w:rPr>
        <w:t>, at pp. 339-40</w:t>
      </w:r>
      <w:r>
        <w:rPr>
          <w:rFonts w:eastAsia="Times New Roman" w:cs="Times New Roman"/>
        </w:rPr>
        <w:t>)</w:t>
      </w:r>
      <w:r w:rsidRPr="004A34D2">
        <w:rPr>
          <w:rFonts w:eastAsia="Times New Roman" w:cs="Times New Roman"/>
        </w:rPr>
        <w:t xml:space="preserve">.  This discretionary decision, like all other exercises of Crown discretion in disclosure matters, must be justified on review </w:t>
      </w:r>
      <w:r>
        <w:rPr>
          <w:rFonts w:eastAsia="Times New Roman" w:cs="Times New Roman"/>
        </w:rPr>
        <w:t>(</w:t>
      </w:r>
      <w:proofErr w:type="spellStart"/>
      <w:r w:rsidRPr="004A34D2">
        <w:rPr>
          <w:rFonts w:eastAsia="Times New Roman" w:cs="Times New Roman"/>
          <w:i/>
        </w:rPr>
        <w:t>Stinchcombe</w:t>
      </w:r>
      <w:proofErr w:type="spellEnd"/>
      <w:r w:rsidRPr="004A34D2">
        <w:rPr>
          <w:rFonts w:eastAsia="Times New Roman" w:cs="Times New Roman"/>
        </w:rPr>
        <w:t>, at p. 340</w:t>
      </w:r>
      <w:r>
        <w:rPr>
          <w:rFonts w:eastAsia="Times New Roman" w:cs="Times New Roman"/>
        </w:rPr>
        <w:t>)</w:t>
      </w:r>
      <w:r w:rsidRPr="004A34D2">
        <w:rPr>
          <w:rFonts w:eastAsia="Times New Roman" w:cs="Times New Roman"/>
        </w:rPr>
        <w:t>.</w:t>
      </w:r>
    </w:p>
    <w:p w:rsidR="00F44E46" w:rsidRPr="004A34D2" w:rsidRDefault="00F44E46" w:rsidP="00F44E46">
      <w:pPr>
        <w:pStyle w:val="Title2LevelTitre2Niveau"/>
        <w:rPr>
          <w:rFonts w:cs="Times New Roman"/>
        </w:rPr>
      </w:pPr>
      <w:r w:rsidRPr="004A34D2">
        <w:rPr>
          <w:rFonts w:cs="Times New Roman"/>
        </w:rPr>
        <w:t xml:space="preserve">Summary of Analysis </w:t>
      </w:r>
    </w:p>
    <w:p w:rsidR="00F44E46" w:rsidRPr="004A34D2" w:rsidRDefault="00F44E46" w:rsidP="00F44E46">
      <w:pPr>
        <w:pStyle w:val="ParaNoNdepar-AltN"/>
        <w:rPr>
          <w:rFonts w:eastAsia="Times New Roman" w:cs="Times New Roman"/>
        </w:rPr>
      </w:pPr>
      <w:r w:rsidRPr="004A34D2">
        <w:rPr>
          <w:rFonts w:eastAsia="Times New Roman" w:cs="Times New Roman"/>
        </w:rPr>
        <w:t xml:space="preserve">To summarize, </w:t>
      </w:r>
      <w:r w:rsidRPr="004A34D2">
        <w:rPr>
          <w:rFonts w:cs="Times New Roman"/>
        </w:rPr>
        <w:t xml:space="preserve">any elevated risks of prejudice that arise when an accused seeks to introduce evidence of an unknown third party suspect do not require the accused to satisfy a higher admissibility threshold or require the judge to engage in an enhanced evaluation of the evidence.  Existing rules achieve the appropriate balance </w:t>
      </w:r>
      <w:r>
        <w:rPr>
          <w:rFonts w:cs="Times New Roman"/>
        </w:rPr>
        <w:t>of</w:t>
      </w:r>
      <w:r w:rsidRPr="004A34D2">
        <w:rPr>
          <w:rFonts w:cs="Times New Roman"/>
        </w:rPr>
        <w:t xml:space="preserve"> </w:t>
      </w:r>
      <w:r w:rsidRPr="004A34D2">
        <w:rPr>
          <w:rFonts w:eastAsia="Times New Roman" w:cs="Times New Roman"/>
        </w:rPr>
        <w:t>maintain</w:t>
      </w:r>
      <w:r>
        <w:rPr>
          <w:rFonts w:eastAsia="Times New Roman" w:cs="Times New Roman"/>
        </w:rPr>
        <w:t>ing</w:t>
      </w:r>
      <w:r w:rsidRPr="004A34D2">
        <w:rPr>
          <w:rFonts w:eastAsia="Times New Roman" w:cs="Times New Roman"/>
        </w:rPr>
        <w:t xml:space="preserve"> the integrity of the trial process while protecting the right of an accused to make full answer and defence to the charges against her.</w:t>
      </w:r>
    </w:p>
    <w:p w:rsidR="00F44E46" w:rsidRDefault="00F44E46" w:rsidP="00F44E46">
      <w:pPr>
        <w:pStyle w:val="ParaNoNdepar-AltN"/>
        <w:rPr>
          <w:rFonts w:eastAsia="Times New Roman" w:cs="Times New Roman"/>
        </w:rPr>
      </w:pPr>
      <w:r w:rsidRPr="004A34D2">
        <w:rPr>
          <w:rFonts w:cs="Times New Roman"/>
        </w:rPr>
        <w:t>Thus,</w:t>
      </w:r>
      <w:r w:rsidRPr="004A34D2">
        <w:rPr>
          <w:rFonts w:eastAsia="Times New Roman" w:cs="Times New Roman"/>
        </w:rPr>
        <w:t xml:space="preserve"> </w:t>
      </w:r>
      <w:proofErr w:type="spellStart"/>
      <w:r w:rsidRPr="004A34D2">
        <w:rPr>
          <w:rFonts w:eastAsia="Times New Roman" w:cs="Times New Roman"/>
          <w:lang w:val="en-US"/>
        </w:rPr>
        <w:t>defence</w:t>
      </w:r>
      <w:proofErr w:type="spellEnd"/>
      <w:r w:rsidRPr="004A34D2">
        <w:rPr>
          <w:rFonts w:eastAsia="Times New Roman" w:cs="Times New Roman"/>
          <w:lang w:val="en-US"/>
        </w:rPr>
        <w:t xml:space="preserve"> evidence is admissible where</w:t>
      </w:r>
      <w:r w:rsidRPr="004A34D2">
        <w:rPr>
          <w:rFonts w:eastAsia="Times New Roman" w:cs="Times New Roman"/>
          <w:i/>
          <w:lang w:val="en-US"/>
        </w:rPr>
        <w:t xml:space="preserve"> </w:t>
      </w:r>
      <w:r w:rsidRPr="00146F11">
        <w:rPr>
          <w:rFonts w:eastAsia="Times New Roman" w:cs="Times New Roman"/>
          <w:lang w:val="en-US"/>
        </w:rPr>
        <w:t>(</w:t>
      </w:r>
      <w:r w:rsidRPr="004A34D2">
        <w:rPr>
          <w:rFonts w:eastAsia="Times New Roman" w:cs="Times New Roman"/>
          <w:lang w:val="en-US"/>
        </w:rPr>
        <w:t xml:space="preserve">1) the evidence is relevant to a fact in issue; and </w:t>
      </w:r>
      <w:r>
        <w:rPr>
          <w:rFonts w:eastAsia="Times New Roman" w:cs="Times New Roman"/>
          <w:lang w:val="en-US"/>
        </w:rPr>
        <w:t>(</w:t>
      </w:r>
      <w:r w:rsidRPr="004A34D2">
        <w:rPr>
          <w:rFonts w:eastAsia="Times New Roman" w:cs="Times New Roman"/>
          <w:lang w:val="en-US"/>
        </w:rPr>
        <w:t xml:space="preserve">2) the probative value of the evidence is not substantially outweighed by its prejudicial effects.  Where the connection between the evidence and a fact in issue at trial is not obvious, the air of reality test may help a trial judge in determining if the evidence tends to prove a </w:t>
      </w:r>
      <w:proofErr w:type="spellStart"/>
      <w:r w:rsidRPr="004A34D2">
        <w:rPr>
          <w:rFonts w:eastAsia="Times New Roman" w:cs="Times New Roman"/>
          <w:lang w:val="en-US"/>
        </w:rPr>
        <w:t>defence</w:t>
      </w:r>
      <w:proofErr w:type="spellEnd"/>
      <w:r w:rsidRPr="004A34D2">
        <w:rPr>
          <w:rFonts w:eastAsia="Times New Roman" w:cs="Times New Roman"/>
          <w:lang w:val="en-US"/>
        </w:rPr>
        <w:t xml:space="preserve"> that may become available.  </w:t>
      </w:r>
      <w:r w:rsidRPr="004A34D2">
        <w:rPr>
          <w:rFonts w:eastAsia="Times New Roman" w:cs="Times New Roman"/>
          <w:lang w:val="en-US"/>
        </w:rPr>
        <w:lastRenderedPageBreak/>
        <w:t>R</w:t>
      </w:r>
      <w:proofErr w:type="spellStart"/>
      <w:r w:rsidRPr="004A34D2">
        <w:rPr>
          <w:rFonts w:eastAsia="Times New Roman" w:cs="Times New Roman"/>
        </w:rPr>
        <w:t>elevant</w:t>
      </w:r>
      <w:proofErr w:type="spellEnd"/>
      <w:r w:rsidRPr="004A34D2">
        <w:rPr>
          <w:rFonts w:eastAsia="Times New Roman" w:cs="Times New Roman"/>
        </w:rPr>
        <w:t xml:space="preserve"> evidence concerning an unknown third party suspect will only be excluded where its prejudicial effects substantially outweigh its probative value.</w:t>
      </w:r>
    </w:p>
    <w:p w:rsidR="00F44E46" w:rsidRPr="004A34D2" w:rsidRDefault="00F44E46" w:rsidP="00F44E46">
      <w:pPr>
        <w:pStyle w:val="Title2LevelTitre2Niveau"/>
        <w:rPr>
          <w:rFonts w:cs="Times New Roman"/>
        </w:rPr>
      </w:pPr>
      <w:r w:rsidRPr="004A34D2">
        <w:rPr>
          <w:rFonts w:cs="Times New Roman"/>
        </w:rPr>
        <w:t>Application to the Facts</w:t>
      </w:r>
    </w:p>
    <w:p w:rsidR="00F44E46" w:rsidRPr="004A34D2" w:rsidRDefault="00F44E46" w:rsidP="00F44E46">
      <w:pPr>
        <w:pStyle w:val="ParaNoNdepar-AltN"/>
        <w:rPr>
          <w:rFonts w:cs="Times New Roman"/>
        </w:rPr>
      </w:pPr>
      <w:r w:rsidRPr="004A34D2">
        <w:rPr>
          <w:rFonts w:cs="Times New Roman"/>
        </w:rPr>
        <w:t>The trial judge erred in law in treating the evidence relating to the P.W. incident as known third party suspect evidence.  The connections tying a known third party to the charged crime ― generally motive, opportunity or propensity ― do not fit the context of an unknown third party suspect.  He also erred in requiring the accused to establish on a balance of probabilities that the alleged abduction took place.  There is no such evidentiary burden on the accused where he seeks to rely on the defence that an unknown third party committed the crime in question.  To the extent that the trial judge made findings of probative value and prejudicial effects, those findings are intimately tied to the incorrect balancing tests he used, and thus cannot be relied upon.</w:t>
      </w:r>
    </w:p>
    <w:p w:rsidR="00F44E46" w:rsidRPr="004A34D2" w:rsidRDefault="00F44E46" w:rsidP="00F44E46">
      <w:pPr>
        <w:pStyle w:val="ParaNoNdepar-AltN"/>
        <w:rPr>
          <w:rFonts w:cs="Times New Roman"/>
        </w:rPr>
      </w:pPr>
      <w:r w:rsidRPr="004A34D2">
        <w:rPr>
          <w:rFonts w:cs="Times New Roman"/>
        </w:rPr>
        <w:t xml:space="preserve">These errors entitled the Court of Appeal to conduct its own assessment of the evidence </w:t>
      </w:r>
      <w:r>
        <w:rPr>
          <w:rFonts w:cs="Times New Roman"/>
        </w:rPr>
        <w:t>(</w:t>
      </w:r>
      <w:proofErr w:type="spellStart"/>
      <w:r w:rsidRPr="004A34D2">
        <w:rPr>
          <w:rFonts w:cs="Times New Roman"/>
          <w:i/>
        </w:rPr>
        <w:t>Housen</w:t>
      </w:r>
      <w:proofErr w:type="spellEnd"/>
      <w:r w:rsidRPr="004A34D2">
        <w:rPr>
          <w:rFonts w:cs="Times New Roman"/>
          <w:i/>
        </w:rPr>
        <w:t xml:space="preserve"> v. </w:t>
      </w:r>
      <w:proofErr w:type="spellStart"/>
      <w:r w:rsidRPr="004A34D2">
        <w:rPr>
          <w:rFonts w:cs="Times New Roman"/>
          <w:i/>
        </w:rPr>
        <w:t>Nikolaisen</w:t>
      </w:r>
      <w:proofErr w:type="spellEnd"/>
      <w:r w:rsidRPr="004A34D2">
        <w:rPr>
          <w:rFonts w:cs="Times New Roman"/>
        </w:rPr>
        <w:t xml:space="preserve">, 2002 SCC 33, </w:t>
      </w:r>
      <w:r>
        <w:rPr>
          <w:rFonts w:cs="Times New Roman"/>
        </w:rPr>
        <w:t xml:space="preserve">[2002] 2 S.C.R. 235, </w:t>
      </w:r>
      <w:r w:rsidRPr="004A34D2">
        <w:rPr>
          <w:rFonts w:cs="Times New Roman"/>
        </w:rPr>
        <w:t>at paras.</w:t>
      </w:r>
      <w:r w:rsidR="00E34E3A">
        <w:rPr>
          <w:rFonts w:cs="Times New Roman"/>
        </w:rPr>
        <w:t xml:space="preserve"> </w:t>
      </w:r>
      <w:r w:rsidRPr="004A34D2">
        <w:rPr>
          <w:rFonts w:cs="Times New Roman"/>
        </w:rPr>
        <w:t>31-35</w:t>
      </w:r>
      <w:r>
        <w:rPr>
          <w:rFonts w:cs="Times New Roman"/>
        </w:rPr>
        <w:t>)</w:t>
      </w:r>
      <w:r w:rsidRPr="004A34D2">
        <w:rPr>
          <w:rFonts w:cs="Times New Roman"/>
        </w:rPr>
        <w:t xml:space="preserve">.  The </w:t>
      </w:r>
      <w:r>
        <w:rPr>
          <w:rFonts w:cs="Times New Roman"/>
        </w:rPr>
        <w:t>c</w:t>
      </w:r>
      <w:r w:rsidRPr="004A34D2">
        <w:rPr>
          <w:rFonts w:cs="Times New Roman"/>
        </w:rPr>
        <w:t xml:space="preserve">ourt considered P.W.’s </w:t>
      </w:r>
      <w:r w:rsidRPr="004A34D2">
        <w:rPr>
          <w:rFonts w:cs="Times New Roman"/>
          <w:i/>
        </w:rPr>
        <w:t xml:space="preserve">viva voce </w:t>
      </w:r>
      <w:r w:rsidRPr="004A34D2">
        <w:rPr>
          <w:rFonts w:cs="Times New Roman"/>
        </w:rPr>
        <w:t xml:space="preserve">testimony and her prior statements to the police, which the trial judge had accepted (for the purposes of the </w:t>
      </w:r>
      <w:proofErr w:type="spellStart"/>
      <w:r w:rsidRPr="004A34D2">
        <w:rPr>
          <w:rFonts w:cs="Times New Roman"/>
          <w:i/>
        </w:rPr>
        <w:t>voir</w:t>
      </w:r>
      <w:proofErr w:type="spellEnd"/>
      <w:r w:rsidRPr="004A34D2">
        <w:rPr>
          <w:rFonts w:cs="Times New Roman"/>
          <w:i/>
        </w:rPr>
        <w:t xml:space="preserve"> dire</w:t>
      </w:r>
      <w:r w:rsidRPr="004A34D2">
        <w:rPr>
          <w:rFonts w:cs="Times New Roman"/>
        </w:rPr>
        <w:t xml:space="preserve">) for the truth of their contents, in accordance with </w:t>
      </w:r>
      <w:r w:rsidRPr="004A34D2">
        <w:rPr>
          <w:rFonts w:cs="Times New Roman"/>
          <w:i/>
        </w:rPr>
        <w:t xml:space="preserve">R. v. </w:t>
      </w:r>
      <w:proofErr w:type="spellStart"/>
      <w:r w:rsidRPr="004A34D2">
        <w:rPr>
          <w:rFonts w:cs="Times New Roman"/>
          <w:i/>
        </w:rPr>
        <w:t>Khelawon</w:t>
      </w:r>
      <w:proofErr w:type="spellEnd"/>
      <w:r w:rsidRPr="004A34D2">
        <w:rPr>
          <w:rFonts w:cs="Times New Roman"/>
        </w:rPr>
        <w:t>, 2006 SCC 57</w:t>
      </w:r>
      <w:r>
        <w:rPr>
          <w:rFonts w:cs="Times New Roman"/>
        </w:rPr>
        <w:t xml:space="preserve">, [2006] 2 S.C.R. 787. </w:t>
      </w:r>
      <w:r w:rsidRPr="004A34D2">
        <w:rPr>
          <w:rFonts w:cs="Times New Roman"/>
        </w:rPr>
        <w:t xml:space="preserve"> The </w:t>
      </w:r>
      <w:r>
        <w:rPr>
          <w:rFonts w:cs="Times New Roman"/>
        </w:rPr>
        <w:t>c</w:t>
      </w:r>
      <w:r w:rsidRPr="004A34D2">
        <w:rPr>
          <w:rFonts w:cs="Times New Roman"/>
        </w:rPr>
        <w:t xml:space="preserve">ourt also considered other statements that had been admitted on the </w:t>
      </w:r>
      <w:proofErr w:type="spellStart"/>
      <w:r w:rsidRPr="004A34D2">
        <w:rPr>
          <w:rFonts w:cs="Times New Roman"/>
          <w:i/>
        </w:rPr>
        <w:t>voir</w:t>
      </w:r>
      <w:proofErr w:type="spellEnd"/>
      <w:r w:rsidRPr="004A34D2">
        <w:rPr>
          <w:rFonts w:cs="Times New Roman"/>
          <w:i/>
        </w:rPr>
        <w:t xml:space="preserve"> dire</w:t>
      </w:r>
      <w:r w:rsidRPr="004A34D2">
        <w:rPr>
          <w:rFonts w:cs="Times New Roman"/>
        </w:rPr>
        <w:t xml:space="preserve"> for the truth of their contents with the Crown’s consent</w:t>
      </w:r>
      <w:r>
        <w:rPr>
          <w:rFonts w:cs="Times New Roman"/>
        </w:rPr>
        <w:t>,</w:t>
      </w:r>
      <w:r w:rsidRPr="004A34D2">
        <w:rPr>
          <w:rFonts w:cs="Times New Roman"/>
        </w:rPr>
        <w:t xml:space="preserve"> and other evidence </w:t>
      </w:r>
      <w:r w:rsidRPr="004A34D2">
        <w:rPr>
          <w:rFonts w:cs="Times New Roman"/>
        </w:rPr>
        <w:lastRenderedPageBreak/>
        <w:t xml:space="preserve">pertaining to the incident, including the police reports noting a possible connection between the P.W. incident and the </w:t>
      </w:r>
      <w:proofErr w:type="spellStart"/>
      <w:r w:rsidRPr="004A34D2">
        <w:rPr>
          <w:rFonts w:cs="Times New Roman"/>
        </w:rPr>
        <w:t>Derksen</w:t>
      </w:r>
      <w:proofErr w:type="spellEnd"/>
      <w:r w:rsidRPr="004A34D2">
        <w:rPr>
          <w:rFonts w:cs="Times New Roman"/>
        </w:rPr>
        <w:t xml:space="preserve"> murder.</w:t>
      </w:r>
    </w:p>
    <w:p w:rsidR="00F44E46" w:rsidRPr="004A34D2" w:rsidRDefault="00F44E46" w:rsidP="00F44E46">
      <w:pPr>
        <w:pStyle w:val="ParaNoNdepar-AltN"/>
        <w:rPr>
          <w:rFonts w:cs="Times New Roman"/>
        </w:rPr>
      </w:pPr>
      <w:r w:rsidRPr="004A34D2">
        <w:rPr>
          <w:rFonts w:cs="Times New Roman"/>
        </w:rPr>
        <w:t xml:space="preserve">The Court of Appeal concluded that the evidence was “very relevant” and that its probative value arose from the marked similarities between the alleged abduction of P.W. and the crime for which </w:t>
      </w:r>
      <w:r>
        <w:rPr>
          <w:rFonts w:cs="Times New Roman"/>
        </w:rPr>
        <w:t xml:space="preserve">Mr. </w:t>
      </w:r>
      <w:r w:rsidRPr="004A34D2">
        <w:rPr>
          <w:rFonts w:cs="Times New Roman"/>
        </w:rPr>
        <w:t>Grant is charged.  In each case, the victim was of a similar age.  Both victims left school at the same time of day, on the same day of the week, nine months apart.  Both were left in unlocked shed-like premises in the same industrial area of Winnipeg, 2.6 kilometres apart.  Both victims were found abandoned with their hands and feet tied with similar knots.  In neither case was there evidence of physical or sexual assault.  The same type of gum wrapper was found at both scenes (although</w:t>
      </w:r>
      <w:r>
        <w:rPr>
          <w:rFonts w:cs="Times New Roman"/>
        </w:rPr>
        <w:t>,</w:t>
      </w:r>
      <w:r w:rsidRPr="004A34D2">
        <w:rPr>
          <w:rFonts w:cs="Times New Roman"/>
        </w:rPr>
        <w:t xml:space="preserve"> in the crime charged, it was found in the deceased’s pocket, suggesting it may have been hers).</w:t>
      </w:r>
    </w:p>
    <w:p w:rsidR="00F44E46" w:rsidRPr="004A34D2" w:rsidRDefault="00F44E46" w:rsidP="00F44E46">
      <w:pPr>
        <w:pStyle w:val="ParaNoNdepar-AltN"/>
        <w:rPr>
          <w:rFonts w:cs="Times New Roman"/>
        </w:rPr>
      </w:pPr>
      <w:r w:rsidRPr="004A34D2">
        <w:rPr>
          <w:rFonts w:cs="Times New Roman"/>
        </w:rPr>
        <w:t xml:space="preserve">I cannot accept the Crown’s submission that these similarities are insufficient on any test and that the evidence relied upon by the Court of Appeal would not be available at trial.  As the Crown cannot </w:t>
      </w:r>
      <w:proofErr w:type="spellStart"/>
      <w:r w:rsidRPr="004A34D2">
        <w:rPr>
          <w:rFonts w:cs="Times New Roman"/>
        </w:rPr>
        <w:t>resile</w:t>
      </w:r>
      <w:proofErr w:type="spellEnd"/>
      <w:r w:rsidRPr="004A34D2">
        <w:rPr>
          <w:rFonts w:cs="Times New Roman"/>
        </w:rPr>
        <w:t xml:space="preserve"> from its concession that the various statements were admissible for their truth for the purpose of determining admissibility, the Court of Appeal was entitled to rely upon this </w:t>
      </w:r>
      <w:proofErr w:type="spellStart"/>
      <w:r w:rsidRPr="004A34D2">
        <w:rPr>
          <w:rFonts w:cs="Times New Roman"/>
          <w:i/>
        </w:rPr>
        <w:t>voir</w:t>
      </w:r>
      <w:proofErr w:type="spellEnd"/>
      <w:r w:rsidRPr="004A34D2">
        <w:rPr>
          <w:rFonts w:cs="Times New Roman"/>
          <w:i/>
        </w:rPr>
        <w:t xml:space="preserve"> dire</w:t>
      </w:r>
      <w:r w:rsidRPr="004A34D2">
        <w:rPr>
          <w:rFonts w:cs="Times New Roman"/>
        </w:rPr>
        <w:t xml:space="preserve"> evidence in assessing its potential probative value.</w:t>
      </w:r>
    </w:p>
    <w:p w:rsidR="00F44E46" w:rsidRPr="004A34D2" w:rsidRDefault="00F44E46" w:rsidP="00F44E46">
      <w:pPr>
        <w:pStyle w:val="ParaNoNdepar-AltN"/>
        <w:rPr>
          <w:rFonts w:cs="Times New Roman"/>
        </w:rPr>
      </w:pPr>
      <w:r w:rsidRPr="004A34D2">
        <w:rPr>
          <w:rFonts w:cs="Times New Roman"/>
        </w:rPr>
        <w:t xml:space="preserve">The Court of Appeal was entitled to conclude that there was evidence upon which the jury could find that the subsequent crime </w:t>
      </w:r>
      <w:r>
        <w:rPr>
          <w:rFonts w:cs="Times New Roman"/>
        </w:rPr>
        <w:t xml:space="preserve">had </w:t>
      </w:r>
      <w:r w:rsidRPr="004A34D2">
        <w:rPr>
          <w:rFonts w:cs="Times New Roman"/>
        </w:rPr>
        <w:t>occurred and</w:t>
      </w:r>
      <w:r>
        <w:rPr>
          <w:rFonts w:cs="Times New Roman"/>
        </w:rPr>
        <w:t xml:space="preserve">, </w:t>
      </w:r>
      <w:r w:rsidRPr="004A34D2">
        <w:rPr>
          <w:rFonts w:cs="Times New Roman"/>
        </w:rPr>
        <w:t xml:space="preserve">having regard to the similarities, </w:t>
      </w:r>
      <w:r>
        <w:rPr>
          <w:rFonts w:cs="Times New Roman"/>
        </w:rPr>
        <w:t xml:space="preserve">that it </w:t>
      </w:r>
      <w:r w:rsidRPr="004A34D2">
        <w:rPr>
          <w:rFonts w:cs="Times New Roman"/>
        </w:rPr>
        <w:t xml:space="preserve">had been committed by the same person who killed </w:t>
      </w:r>
      <w:r w:rsidRPr="004A34D2">
        <w:rPr>
          <w:rFonts w:cs="Times New Roman"/>
        </w:rPr>
        <w:lastRenderedPageBreak/>
        <w:t>Cand</w:t>
      </w:r>
      <w:r>
        <w:rPr>
          <w:rFonts w:cs="Times New Roman"/>
        </w:rPr>
        <w:t>a</w:t>
      </w:r>
      <w:r w:rsidRPr="004A34D2">
        <w:rPr>
          <w:rFonts w:cs="Times New Roman"/>
        </w:rPr>
        <w:t xml:space="preserve">ce </w:t>
      </w:r>
      <w:proofErr w:type="spellStart"/>
      <w:r w:rsidRPr="004A34D2">
        <w:rPr>
          <w:rFonts w:cs="Times New Roman"/>
        </w:rPr>
        <w:t>Derks</w:t>
      </w:r>
      <w:r>
        <w:rPr>
          <w:rFonts w:cs="Times New Roman"/>
        </w:rPr>
        <w:t>en</w:t>
      </w:r>
      <w:proofErr w:type="spellEnd"/>
      <w:r w:rsidRPr="004A34D2">
        <w:rPr>
          <w:rFonts w:cs="Times New Roman"/>
        </w:rPr>
        <w:t>.  In light of the evidence that the accused could not have committed the other offence, there was some evidence capable of giving the unknown third party suspect defence an air of reality.</w:t>
      </w:r>
    </w:p>
    <w:p w:rsidR="00F44E46" w:rsidRPr="004A34D2" w:rsidRDefault="00F44E46" w:rsidP="00F44E46">
      <w:pPr>
        <w:pStyle w:val="ParaNoNdepar-AltN"/>
        <w:rPr>
          <w:rFonts w:cs="Times New Roman"/>
        </w:rPr>
      </w:pPr>
      <w:r w:rsidRPr="004A34D2">
        <w:rPr>
          <w:rFonts w:cs="Times New Roman"/>
        </w:rPr>
        <w:t xml:space="preserve">The Court of Appeal applied </w:t>
      </w:r>
      <w:proofErr w:type="spellStart"/>
      <w:r w:rsidRPr="004A34D2">
        <w:rPr>
          <w:rFonts w:cs="Times New Roman"/>
          <w:i/>
        </w:rPr>
        <w:t>Seaboyer</w:t>
      </w:r>
      <w:proofErr w:type="spellEnd"/>
      <w:r w:rsidRPr="004A34D2">
        <w:rPr>
          <w:rFonts w:cs="Times New Roman"/>
          <w:i/>
        </w:rPr>
        <w:t xml:space="preserve"> </w:t>
      </w:r>
      <w:r w:rsidRPr="004A34D2">
        <w:rPr>
          <w:rFonts w:cs="Times New Roman"/>
        </w:rPr>
        <w:t>as follows:</w:t>
      </w:r>
    </w:p>
    <w:p w:rsidR="00F44E46" w:rsidRPr="004A34D2" w:rsidRDefault="00F44E46" w:rsidP="00F44E46">
      <w:pPr>
        <w:pStyle w:val="Citation-AltC"/>
      </w:pPr>
      <w:r w:rsidRPr="004A34D2">
        <w:t xml:space="preserve">It is left to be decided whether this relevant evidence should be excluded because its prejudicial effect substantially outweighed its probative value. In this case, the only prejudicial effect would be the impact this evidence would have had on the trial process in what was an already complicated and lengthy trial.  From his reasons, the judge was obviously concerned about this impact.  In my view, that concern did not substantially outweigh the probative value.  </w:t>
      </w:r>
      <w:r>
        <w:t>[</w:t>
      </w:r>
      <w:proofErr w:type="spellStart"/>
      <w:r w:rsidRPr="004A34D2">
        <w:t>para</w:t>
      </w:r>
      <w:proofErr w:type="spellEnd"/>
      <w:r w:rsidRPr="004A34D2">
        <w:t>. 78</w:t>
      </w:r>
      <w:r>
        <w:t>]</w:t>
      </w:r>
    </w:p>
    <w:p w:rsidR="00F44E46" w:rsidRPr="004A34D2" w:rsidRDefault="00F44E46" w:rsidP="00F44E46">
      <w:pPr>
        <w:pStyle w:val="ParaNoNdepar-AltN"/>
        <w:rPr>
          <w:rFonts w:cs="Times New Roman"/>
        </w:rPr>
      </w:pPr>
      <w:proofErr w:type="spellStart"/>
      <w:r w:rsidRPr="004A34D2">
        <w:rPr>
          <w:rFonts w:cs="Times New Roman"/>
          <w:i/>
        </w:rPr>
        <w:t>Seaboyer</w:t>
      </w:r>
      <w:proofErr w:type="spellEnd"/>
      <w:r w:rsidRPr="004A34D2">
        <w:rPr>
          <w:rFonts w:cs="Times New Roman"/>
          <w:i/>
        </w:rPr>
        <w:t xml:space="preserve"> </w:t>
      </w:r>
      <w:r w:rsidRPr="004A34D2">
        <w:rPr>
          <w:rFonts w:cs="Times New Roman"/>
        </w:rPr>
        <w:t>requires the court to measure and weigh the extent of probative value and the extent of the prejudicial effect of the evidence.  Obviously, this balancing is highly fact driven and best done by the trial judge.  The prejudicial effects of this evidence primarily concern the impact on the complexity, focus, and length of the trial process.  To some extent, the trial judge can craft a process that will limit these prejudicial effects.  However, the trial judge did not address this issue in any detail.</w:t>
      </w:r>
    </w:p>
    <w:p w:rsidR="00F44E46" w:rsidRPr="004A34D2" w:rsidRDefault="00F44E46" w:rsidP="00F44E46">
      <w:pPr>
        <w:pStyle w:val="ParaNoNdepar-AltN"/>
        <w:rPr>
          <w:rFonts w:cs="Times New Roman"/>
        </w:rPr>
      </w:pPr>
      <w:r w:rsidRPr="004A34D2">
        <w:rPr>
          <w:rFonts w:cs="Times New Roman"/>
        </w:rPr>
        <w:t>While an appellate court is entitled to step into the shoes of the trial judge if the record permits, in this case, the Court of Appeal was not in the position to assess and weigh the extent of the probative value of the unknown third party suspect evidence and the extent of prejudicial effect of this evidence.</w:t>
      </w:r>
    </w:p>
    <w:p w:rsidR="00F44E46" w:rsidRPr="004A34D2" w:rsidRDefault="00F44E46" w:rsidP="00F44E46">
      <w:pPr>
        <w:pStyle w:val="ParaNoNdepar-AltN"/>
        <w:rPr>
          <w:rFonts w:cs="Times New Roman"/>
        </w:rPr>
      </w:pPr>
      <w:r w:rsidRPr="004A34D2">
        <w:rPr>
          <w:rFonts w:cs="Times New Roman"/>
        </w:rPr>
        <w:lastRenderedPageBreak/>
        <w:t>The trial judge’s legal errors were clearly not minor, and do not attract the application of the curative proviso in s. 686(1)(</w:t>
      </w:r>
      <w:r w:rsidRPr="006A7442">
        <w:rPr>
          <w:rFonts w:cs="Times New Roman"/>
          <w:i/>
        </w:rPr>
        <w:t>b</w:t>
      </w:r>
      <w:r w:rsidRPr="004A34D2">
        <w:rPr>
          <w:rFonts w:cs="Times New Roman"/>
        </w:rPr>
        <w:t>)(</w:t>
      </w:r>
      <w:r w:rsidRPr="006A7442">
        <w:rPr>
          <w:rFonts w:cs="Times New Roman"/>
        </w:rPr>
        <w:t>iii</w:t>
      </w:r>
      <w:r w:rsidRPr="004A34D2">
        <w:rPr>
          <w:rFonts w:cs="Times New Roman"/>
        </w:rPr>
        <w:t xml:space="preserve">) of the </w:t>
      </w:r>
      <w:r w:rsidRPr="004A34D2">
        <w:rPr>
          <w:rFonts w:cs="Times New Roman"/>
          <w:i/>
        </w:rPr>
        <w:t>Criminal Code</w:t>
      </w:r>
      <w:r w:rsidRPr="004A34D2">
        <w:rPr>
          <w:rFonts w:cs="Times New Roman"/>
        </w:rPr>
        <w:t xml:space="preserve">.  The verdict would not necessarily have been the same had the trial judge applied the correct principles in determining the test for the admissibility of this defence evidence </w:t>
      </w:r>
      <w:r>
        <w:rPr>
          <w:rFonts w:cs="Times New Roman"/>
        </w:rPr>
        <w:t>(</w:t>
      </w:r>
      <w:r w:rsidRPr="004A34D2">
        <w:rPr>
          <w:rFonts w:cs="Times New Roman"/>
          <w:i/>
        </w:rPr>
        <w:t>R. v. Morin</w:t>
      </w:r>
      <w:r w:rsidRPr="004A34D2">
        <w:rPr>
          <w:rFonts w:cs="Times New Roman"/>
        </w:rPr>
        <w:t>, [1988]</w:t>
      </w:r>
      <w:r w:rsidRPr="004A34D2">
        <w:rPr>
          <w:rFonts w:cs="Times New Roman"/>
          <w:i/>
        </w:rPr>
        <w:t xml:space="preserve"> </w:t>
      </w:r>
      <w:r w:rsidRPr="004A34D2">
        <w:rPr>
          <w:rFonts w:cs="Times New Roman"/>
        </w:rPr>
        <w:t xml:space="preserve">2 S.C.R. 345, at </w:t>
      </w:r>
      <w:r>
        <w:rPr>
          <w:rFonts w:cs="Times New Roman"/>
        </w:rPr>
        <w:t xml:space="preserve">p. </w:t>
      </w:r>
      <w:r w:rsidRPr="004A34D2">
        <w:rPr>
          <w:rFonts w:cs="Times New Roman"/>
        </w:rPr>
        <w:t>374</w:t>
      </w:r>
      <w:r>
        <w:rPr>
          <w:rFonts w:cs="Times New Roman"/>
        </w:rPr>
        <w:t>)</w:t>
      </w:r>
      <w:r w:rsidRPr="004A34D2">
        <w:rPr>
          <w:rFonts w:cs="Times New Roman"/>
        </w:rPr>
        <w:t xml:space="preserve">.  This case must be re-tried in any event.  In these circumstances, the balancing of the </w:t>
      </w:r>
      <w:proofErr w:type="spellStart"/>
      <w:r w:rsidRPr="004A34D2">
        <w:rPr>
          <w:rFonts w:cs="Times New Roman"/>
          <w:i/>
        </w:rPr>
        <w:t>Seaboyer</w:t>
      </w:r>
      <w:proofErr w:type="spellEnd"/>
      <w:r w:rsidRPr="004A34D2">
        <w:rPr>
          <w:rFonts w:cs="Times New Roman"/>
        </w:rPr>
        <w:t xml:space="preserve"> factors is best</w:t>
      </w:r>
      <w:r>
        <w:rPr>
          <w:rFonts w:cs="Times New Roman"/>
        </w:rPr>
        <w:t xml:space="preserve"> </w:t>
      </w:r>
      <w:r w:rsidRPr="004A34D2">
        <w:rPr>
          <w:rFonts w:cs="Times New Roman"/>
        </w:rPr>
        <w:t>left for the trial judge.</w:t>
      </w:r>
    </w:p>
    <w:p w:rsidR="00F44E46" w:rsidRPr="004A34D2" w:rsidRDefault="00F44E46" w:rsidP="00F44E46">
      <w:pPr>
        <w:pStyle w:val="ParaNoNdepar-AltN"/>
        <w:rPr>
          <w:rFonts w:cs="Times New Roman"/>
        </w:rPr>
      </w:pPr>
      <w:r w:rsidRPr="004A34D2">
        <w:rPr>
          <w:rFonts w:cs="Times New Roman"/>
        </w:rPr>
        <w:t xml:space="preserve">Before this Court, </w:t>
      </w:r>
      <w:r>
        <w:rPr>
          <w:rFonts w:cs="Times New Roman"/>
        </w:rPr>
        <w:t xml:space="preserve">Mr. </w:t>
      </w:r>
      <w:r w:rsidRPr="004A34D2">
        <w:rPr>
          <w:rFonts w:cs="Times New Roman"/>
        </w:rPr>
        <w:t>Grant also submitted a motion to adduce fresh evidence relating to DNA analysis and juror bias.  Because of my finding with respect to the admission of evidence relating to an unknown third party suspect, it is not necessary to deal with that motion.</w:t>
      </w:r>
    </w:p>
    <w:p w:rsidR="00F44E46" w:rsidRPr="004A34D2" w:rsidRDefault="00F44E46" w:rsidP="00F44E46">
      <w:pPr>
        <w:pStyle w:val="Title1LevelTitre1Niveau-AltL"/>
        <w:rPr>
          <w:rFonts w:cs="Times New Roman"/>
        </w:rPr>
      </w:pPr>
      <w:r w:rsidRPr="004A34D2">
        <w:rPr>
          <w:rFonts w:cs="Times New Roman"/>
        </w:rPr>
        <w:t>Disposition</w:t>
      </w:r>
    </w:p>
    <w:p w:rsidR="00F44E46" w:rsidRPr="004A34D2" w:rsidRDefault="00F44E46" w:rsidP="00F44E46">
      <w:pPr>
        <w:pStyle w:val="ParaNoNdepar-AltN"/>
        <w:rPr>
          <w:rFonts w:cs="Times New Roman"/>
        </w:rPr>
      </w:pPr>
      <w:r w:rsidRPr="004A34D2">
        <w:rPr>
          <w:rFonts w:cs="Times New Roman"/>
        </w:rPr>
        <w:t xml:space="preserve">The appeal is dismissed, and the Manitoba Court of Appeal’s </w:t>
      </w:r>
      <w:r>
        <w:rPr>
          <w:rFonts w:cs="Times New Roman"/>
        </w:rPr>
        <w:t xml:space="preserve">decision to </w:t>
      </w:r>
      <w:r w:rsidRPr="004A34D2">
        <w:rPr>
          <w:rFonts w:cs="Times New Roman"/>
        </w:rPr>
        <w:t>order a new trial is upheld.</w:t>
      </w:r>
    </w:p>
    <w:p w:rsidR="009B57B3" w:rsidRPr="000D119F" w:rsidRDefault="009B57B3" w:rsidP="00DC6FFE">
      <w:pPr>
        <w:pStyle w:val="SCCNormalDoubleSpacing"/>
        <w:spacing w:before="480" w:after="480"/>
        <w:rPr>
          <w:i/>
        </w:rPr>
      </w:pPr>
      <w:r w:rsidRPr="000D119F">
        <w:tab/>
      </w:r>
      <w:r w:rsidR="00656313" w:rsidRPr="000D119F">
        <w:rPr>
          <w:i/>
        </w:rPr>
        <w:t>Appeal</w:t>
      </w:r>
      <w:r w:rsidR="00082506" w:rsidRPr="000D119F">
        <w:rPr>
          <w:i/>
        </w:rPr>
        <w:t xml:space="preserve"> </w:t>
      </w:r>
      <w:r w:rsidR="004C089B" w:rsidRPr="000D119F">
        <w:rPr>
          <w:i/>
        </w:rPr>
        <w:t>dismissed</w:t>
      </w:r>
      <w:r w:rsidR="00082506" w:rsidRPr="000D119F">
        <w:rPr>
          <w:i/>
        </w:rPr>
        <w:t>.</w:t>
      </w:r>
    </w:p>
    <w:p w:rsidR="00082506" w:rsidRPr="000D119F" w:rsidRDefault="00DC6FFE" w:rsidP="00DC6FFE">
      <w:pPr>
        <w:pStyle w:val="SCCLawFirm"/>
        <w:spacing w:before="480" w:after="480"/>
      </w:pPr>
      <w:r w:rsidRPr="000D119F">
        <w:tab/>
        <w:t>Solicitor for the appellant:</w:t>
      </w:r>
      <w:r w:rsidR="00E34E3A">
        <w:t xml:space="preserve">  </w:t>
      </w:r>
      <w:r w:rsidR="00082506" w:rsidRPr="000D119F">
        <w:t>Attorney General of Manitoba, Winnipeg.</w:t>
      </w:r>
    </w:p>
    <w:p w:rsidR="00F44E46" w:rsidRPr="00F44E46" w:rsidRDefault="00082506" w:rsidP="00E34E3A">
      <w:pPr>
        <w:pStyle w:val="SCCLawFirm"/>
        <w:spacing w:before="480" w:after="480"/>
      </w:pPr>
      <w:r w:rsidRPr="000D119F">
        <w:tab/>
      </w:r>
      <w:r w:rsidR="00DC6FFE" w:rsidRPr="000D119F">
        <w:t>Solicitors for the respondent:</w:t>
      </w:r>
      <w:r w:rsidR="00E34E3A">
        <w:t xml:space="preserve">  </w:t>
      </w:r>
      <w:proofErr w:type="spellStart"/>
      <w:r w:rsidRPr="000D119F">
        <w:t>Gindin</w:t>
      </w:r>
      <w:proofErr w:type="spellEnd"/>
      <w:r w:rsidRPr="000D119F">
        <w:t xml:space="preserve">, </w:t>
      </w:r>
      <w:proofErr w:type="spellStart"/>
      <w:r w:rsidRPr="000D119F">
        <w:t>Wolson</w:t>
      </w:r>
      <w:proofErr w:type="spellEnd"/>
      <w:r w:rsidRPr="000D119F">
        <w:t xml:space="preserve">, </w:t>
      </w:r>
      <w:proofErr w:type="spellStart"/>
      <w:r w:rsidRPr="000D119F">
        <w:t>Simmonds</w:t>
      </w:r>
      <w:proofErr w:type="spellEnd"/>
      <w:r w:rsidRPr="000D119F">
        <w:t xml:space="preserve">, </w:t>
      </w:r>
      <w:proofErr w:type="spellStart"/>
      <w:r w:rsidRPr="000D119F">
        <w:t>Roitenberg</w:t>
      </w:r>
      <w:proofErr w:type="spellEnd"/>
      <w:r w:rsidRPr="000D119F">
        <w:t>, Wi</w:t>
      </w:r>
      <w:r w:rsidR="00C47434" w:rsidRPr="000D119F">
        <w:t>nnipeg</w:t>
      </w:r>
      <w:r w:rsidRPr="000D119F">
        <w:t>.</w:t>
      </w:r>
    </w:p>
    <w:sectPr w:rsidR="00F44E46" w:rsidRPr="00F44E46"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46" w:rsidRDefault="00F44E46">
      <w:r>
        <w:separator/>
      </w:r>
    </w:p>
  </w:endnote>
  <w:endnote w:type="continuationSeparator" w:id="0">
    <w:p w:rsidR="00F44E46" w:rsidRDefault="00F44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46" w:rsidRDefault="00F44E46">
      <w:r>
        <w:separator/>
      </w:r>
    </w:p>
  </w:footnote>
  <w:footnote w:type="continuationSeparator" w:id="0">
    <w:p w:rsidR="00F44E46" w:rsidRDefault="00F44E46">
      <w:r>
        <w:continuationSeparator/>
      </w:r>
    </w:p>
  </w:footnote>
  <w:footnote w:id="1">
    <w:p w:rsidR="00F44E46" w:rsidRPr="00F262E5" w:rsidRDefault="00F44E46" w:rsidP="00175928">
      <w:pPr>
        <w:pStyle w:val="FootnoteText"/>
        <w:ind w:left="450" w:hanging="450"/>
        <w:jc w:val="both"/>
      </w:pPr>
      <w:r>
        <w:rPr>
          <w:rStyle w:val="FootnoteReference"/>
        </w:rPr>
        <w:footnoteRef/>
      </w:r>
      <w:r w:rsidR="00175928">
        <w:tab/>
      </w:r>
      <w:r>
        <w:t xml:space="preserve">Transcript of oral reasons for judgment of the Honourable </w:t>
      </w:r>
      <w:r w:rsidRPr="004A34D2">
        <w:t xml:space="preserve">Associate </w:t>
      </w:r>
      <w:r w:rsidRPr="00B83F84">
        <w:t>C</w:t>
      </w:r>
      <w:r>
        <w:t xml:space="preserve">hief Justice </w:t>
      </w:r>
      <w:proofErr w:type="spellStart"/>
      <w:r>
        <w:t>Joyal</w:t>
      </w:r>
      <w:proofErr w:type="spellEnd"/>
      <w:r>
        <w:t xml:space="preserve"> (as he then was) of the Court of Queen’s Bench of Manitoba, dated</w:t>
      </w:r>
      <w:r w:rsidR="00C23C55">
        <w:t xml:space="preserve"> January 19, 2011, A.R., vol. I</w:t>
      </w:r>
      <w:r>
        <w:t>, at p.</w:t>
      </w:r>
      <w:r w:rsidR="00E34E3A">
        <w:t xml:space="preserve"> </w:t>
      </w:r>
      <w:r>
        <w:t>90.</w:t>
      </w:r>
    </w:p>
  </w:footnote>
  <w:footnote w:id="2">
    <w:p w:rsidR="00F44E46" w:rsidRDefault="00F44E46" w:rsidP="00175928">
      <w:pPr>
        <w:pStyle w:val="FootnoteText"/>
        <w:ind w:left="450" w:hanging="450"/>
        <w:jc w:val="both"/>
      </w:pPr>
      <w:r>
        <w:rPr>
          <w:rStyle w:val="FootnoteReference"/>
        </w:rPr>
        <w:footnoteRef/>
      </w:r>
      <w:r w:rsidR="008416AC">
        <w:t xml:space="preserve"> </w:t>
      </w:r>
      <w:r w:rsidR="008416AC">
        <w:tab/>
      </w:r>
      <w:r>
        <w:rPr>
          <w:color w:val="000000"/>
          <w:szCs w:val="24"/>
        </w:rPr>
        <w:t>Australian law requires the defence to show “a sufficient similarity between the two acts as to allow the jury to conclude that there is a real possibility that the same person was involved” (</w:t>
      </w:r>
      <w:r w:rsidRPr="002802FD">
        <w:rPr>
          <w:color w:val="000000"/>
          <w:szCs w:val="24"/>
        </w:rPr>
        <w:t>J.</w:t>
      </w:r>
      <w:r>
        <w:rPr>
          <w:color w:val="000000"/>
          <w:szCs w:val="24"/>
        </w:rPr>
        <w:t xml:space="preserve"> </w:t>
      </w:r>
      <w:r w:rsidRPr="002802FD">
        <w:rPr>
          <w:color w:val="000000"/>
          <w:szCs w:val="24"/>
        </w:rPr>
        <w:t xml:space="preserve">D. </w:t>
      </w:r>
      <w:proofErr w:type="spellStart"/>
      <w:r w:rsidRPr="002802FD">
        <w:rPr>
          <w:color w:val="000000"/>
          <w:szCs w:val="24"/>
        </w:rPr>
        <w:t>Heydon</w:t>
      </w:r>
      <w:proofErr w:type="spellEnd"/>
      <w:r w:rsidRPr="002802FD">
        <w:rPr>
          <w:color w:val="000000"/>
          <w:szCs w:val="24"/>
        </w:rPr>
        <w:t xml:space="preserve">, </w:t>
      </w:r>
      <w:r w:rsidRPr="002802FD">
        <w:rPr>
          <w:i/>
          <w:color w:val="000000"/>
          <w:szCs w:val="24"/>
        </w:rPr>
        <w:t>Cross on Evidence</w:t>
      </w:r>
      <w:r>
        <w:rPr>
          <w:color w:val="000000"/>
          <w:szCs w:val="24"/>
        </w:rPr>
        <w:t xml:space="preserve"> (9</w:t>
      </w:r>
      <w:r w:rsidRPr="00506967">
        <w:rPr>
          <w:color w:val="000000"/>
          <w:szCs w:val="24"/>
        </w:rPr>
        <w:t>th</w:t>
      </w:r>
      <w:r>
        <w:rPr>
          <w:color w:val="000000"/>
          <w:szCs w:val="24"/>
        </w:rPr>
        <w:t xml:space="preserve"> Aust. </w:t>
      </w:r>
      <w:r w:rsidRPr="002802FD">
        <w:rPr>
          <w:color w:val="000000"/>
          <w:szCs w:val="24"/>
        </w:rPr>
        <w:t>2013), at p. 713</w:t>
      </w:r>
      <w:r>
        <w:rPr>
          <w:color w:val="000000"/>
          <w:szCs w:val="24"/>
        </w:rPr>
        <w:t>).  In the United Kingdom, evidence of the bad character of someone other than the defendant is admissible where the similarities give the evidence “substantial probative value” (</w:t>
      </w:r>
      <w:r>
        <w:rPr>
          <w:i/>
          <w:szCs w:val="24"/>
          <w:lang w:val="en-US"/>
        </w:rPr>
        <w:t>Criminal Justice Act 2003</w:t>
      </w:r>
      <w:r>
        <w:rPr>
          <w:szCs w:val="24"/>
          <w:lang w:val="en-US"/>
        </w:rPr>
        <w:t xml:space="preserve"> (U.K.), 2003, c. 44, s. 100(1)(b), (3)(c) and (d); H. M. </w:t>
      </w:r>
      <w:proofErr w:type="spellStart"/>
      <w:r>
        <w:rPr>
          <w:szCs w:val="24"/>
          <w:lang w:val="en-US"/>
        </w:rPr>
        <w:t>Malek</w:t>
      </w:r>
      <w:proofErr w:type="spellEnd"/>
      <w:r>
        <w:rPr>
          <w:szCs w:val="24"/>
          <w:lang w:val="en-US"/>
        </w:rPr>
        <w:t xml:space="preserve"> et al., eds., </w:t>
      </w:r>
      <w:proofErr w:type="spellStart"/>
      <w:r>
        <w:rPr>
          <w:i/>
          <w:szCs w:val="24"/>
          <w:lang w:val="en-US"/>
        </w:rPr>
        <w:t>Phipson</w:t>
      </w:r>
      <w:proofErr w:type="spellEnd"/>
      <w:r>
        <w:rPr>
          <w:i/>
          <w:szCs w:val="24"/>
          <w:lang w:val="en-US"/>
        </w:rPr>
        <w:t xml:space="preserve"> on Evidence</w:t>
      </w:r>
      <w:r>
        <w:rPr>
          <w:szCs w:val="24"/>
          <w:lang w:val="en-US"/>
        </w:rPr>
        <w:t xml:space="preserve"> (18th ed. 2013), at paras. 22-04, 22-24 to 22-27).  </w:t>
      </w:r>
      <w:r>
        <w:rPr>
          <w:color w:val="000000"/>
          <w:szCs w:val="24"/>
        </w:rPr>
        <w:t>Similarly, in</w:t>
      </w:r>
      <w:r w:rsidRPr="005E70AA">
        <w:rPr>
          <w:szCs w:val="24"/>
          <w:lang w:val="en-US"/>
        </w:rPr>
        <w:t xml:space="preserve"> the United States, some federal and state jurisprudence holds that </w:t>
      </w:r>
      <w:proofErr w:type="spellStart"/>
      <w:r>
        <w:rPr>
          <w:szCs w:val="24"/>
          <w:lang w:val="en-US"/>
        </w:rPr>
        <w:t>defence</w:t>
      </w:r>
      <w:proofErr w:type="spellEnd"/>
      <w:r>
        <w:rPr>
          <w:szCs w:val="24"/>
          <w:lang w:val="en-US"/>
        </w:rPr>
        <w:t>-led</w:t>
      </w:r>
      <w:r w:rsidRPr="005E70AA">
        <w:rPr>
          <w:szCs w:val="24"/>
          <w:lang w:val="en-US"/>
        </w:rPr>
        <w:t xml:space="preserve"> evidence</w:t>
      </w:r>
      <w:r>
        <w:rPr>
          <w:szCs w:val="24"/>
          <w:lang w:val="en-US"/>
        </w:rPr>
        <w:t xml:space="preserve"> of similar acts </w:t>
      </w:r>
      <w:r w:rsidRPr="005E70AA">
        <w:rPr>
          <w:szCs w:val="24"/>
          <w:lang w:val="en-US"/>
        </w:rPr>
        <w:t>will be admissible where it is</w:t>
      </w:r>
      <w:r w:rsidRPr="005E70AA">
        <w:rPr>
          <w:color w:val="000000"/>
          <w:szCs w:val="24"/>
        </w:rPr>
        <w:t xml:space="preserve"> “sufficiently similar to the crime at bar so that it is relevant”</w:t>
      </w:r>
      <w:r>
        <w:rPr>
          <w:color w:val="000000"/>
          <w:szCs w:val="24"/>
        </w:rPr>
        <w:t xml:space="preserve"> (</w:t>
      </w:r>
      <w:r w:rsidRPr="005E70AA">
        <w:rPr>
          <w:i/>
          <w:color w:val="000000"/>
          <w:szCs w:val="24"/>
        </w:rPr>
        <w:t>U</w:t>
      </w:r>
      <w:r>
        <w:rPr>
          <w:i/>
          <w:color w:val="000000"/>
          <w:szCs w:val="24"/>
        </w:rPr>
        <w:t>nited States</w:t>
      </w:r>
      <w:r w:rsidRPr="005E70AA">
        <w:rPr>
          <w:i/>
          <w:color w:val="000000"/>
          <w:szCs w:val="24"/>
        </w:rPr>
        <w:t xml:space="preserve"> v. Stevens</w:t>
      </w:r>
      <w:r w:rsidRPr="005E70AA">
        <w:rPr>
          <w:color w:val="000000"/>
          <w:szCs w:val="24"/>
        </w:rPr>
        <w:t>, 935 F.2d 1380 (</w:t>
      </w:r>
      <w:r>
        <w:rPr>
          <w:color w:val="000000"/>
          <w:szCs w:val="24"/>
        </w:rPr>
        <w:t>3</w:t>
      </w:r>
      <w:r w:rsidRPr="008A0100">
        <w:rPr>
          <w:color w:val="000000"/>
          <w:szCs w:val="24"/>
        </w:rPr>
        <w:t>rd</w:t>
      </w:r>
      <w:r>
        <w:rPr>
          <w:color w:val="000000"/>
          <w:szCs w:val="24"/>
        </w:rPr>
        <w:t xml:space="preserve"> Cir. </w:t>
      </w:r>
      <w:r w:rsidRPr="005E70AA">
        <w:rPr>
          <w:color w:val="000000"/>
          <w:szCs w:val="24"/>
        </w:rPr>
        <w:t xml:space="preserve">1991), at p. 1384; </w:t>
      </w:r>
      <w:proofErr w:type="spellStart"/>
      <w:r w:rsidRPr="005E70AA">
        <w:rPr>
          <w:i/>
          <w:color w:val="000000"/>
          <w:szCs w:val="24"/>
        </w:rPr>
        <w:t>Scheidell</w:t>
      </w:r>
      <w:proofErr w:type="spellEnd"/>
      <w:r w:rsidRPr="005E70AA">
        <w:rPr>
          <w:color w:val="000000"/>
          <w:szCs w:val="24"/>
        </w:rPr>
        <w:t>, at p</w:t>
      </w:r>
      <w:r>
        <w:rPr>
          <w:color w:val="000000"/>
          <w:szCs w:val="24"/>
        </w:rPr>
        <w:t>aras</w:t>
      </w:r>
      <w:r w:rsidRPr="005E70AA">
        <w:rPr>
          <w:color w:val="000000"/>
          <w:szCs w:val="24"/>
        </w:rPr>
        <w:t>. 3</w:t>
      </w:r>
      <w:r>
        <w:rPr>
          <w:color w:val="000000"/>
          <w:szCs w:val="24"/>
        </w:rPr>
        <w:t>9</w:t>
      </w:r>
      <w:r w:rsidRPr="005E70AA">
        <w:rPr>
          <w:color w:val="000000"/>
          <w:szCs w:val="24"/>
        </w:rPr>
        <w:t>-</w:t>
      </w:r>
      <w:r>
        <w:rPr>
          <w:color w:val="000000"/>
          <w:szCs w:val="24"/>
        </w:rPr>
        <w:t>41</w:t>
      </w:r>
      <w:r w:rsidRPr="005E70AA">
        <w:rPr>
          <w:color w:val="000000"/>
          <w:szCs w:val="24"/>
        </w:rPr>
        <w:t xml:space="preserve">; </w:t>
      </w:r>
      <w:r w:rsidRPr="005E70AA">
        <w:rPr>
          <w:i/>
          <w:color w:val="000000"/>
          <w:szCs w:val="24"/>
        </w:rPr>
        <w:t>Wiley v. State</w:t>
      </w:r>
      <w:r w:rsidRPr="005E70AA">
        <w:rPr>
          <w:color w:val="000000"/>
          <w:szCs w:val="24"/>
        </w:rPr>
        <w:t>, 74 S.W.3d 399 (</w:t>
      </w:r>
      <w:r>
        <w:rPr>
          <w:color w:val="000000"/>
          <w:szCs w:val="24"/>
        </w:rPr>
        <w:t xml:space="preserve">Tex. Crim. App. </w:t>
      </w:r>
      <w:r w:rsidRPr="005E70AA">
        <w:rPr>
          <w:color w:val="000000"/>
          <w:szCs w:val="24"/>
        </w:rPr>
        <w:t>2002), at p. 406</w:t>
      </w:r>
      <w:r>
        <w:rPr>
          <w:color w:val="000000"/>
          <w:szCs w:val="24"/>
        </w:rPr>
        <w:t>;</w:t>
      </w:r>
      <w:r>
        <w:t xml:space="preserve"> </w:t>
      </w:r>
      <w:r w:rsidRPr="00150A55">
        <w:rPr>
          <w:i/>
          <w:color w:val="000000"/>
          <w:szCs w:val="24"/>
        </w:rPr>
        <w:t>United States v. McVeigh</w:t>
      </w:r>
      <w:r w:rsidRPr="00150A55">
        <w:rPr>
          <w:color w:val="000000"/>
          <w:szCs w:val="24"/>
        </w:rPr>
        <w:t>, 153 F.3d 1166 (</w:t>
      </w:r>
      <w:r>
        <w:rPr>
          <w:color w:val="000000"/>
          <w:szCs w:val="24"/>
        </w:rPr>
        <w:t>10</w:t>
      </w:r>
      <w:r w:rsidRPr="008A0100">
        <w:rPr>
          <w:color w:val="000000"/>
          <w:szCs w:val="24"/>
        </w:rPr>
        <w:t>th</w:t>
      </w:r>
      <w:r>
        <w:rPr>
          <w:color w:val="000000"/>
          <w:szCs w:val="24"/>
        </w:rPr>
        <w:t xml:space="preserve"> Cir. </w:t>
      </w:r>
      <w:r w:rsidRPr="00150A55">
        <w:rPr>
          <w:color w:val="000000"/>
          <w:szCs w:val="24"/>
        </w:rPr>
        <w:t xml:space="preserve">1998), at p. 1191; </w:t>
      </w:r>
      <w:r w:rsidRPr="00150A55">
        <w:rPr>
          <w:i/>
          <w:color w:val="000000"/>
          <w:szCs w:val="24"/>
        </w:rPr>
        <w:t>Caldwell v. State</w:t>
      </w:r>
      <w:r w:rsidRPr="00150A55">
        <w:rPr>
          <w:color w:val="000000"/>
          <w:szCs w:val="24"/>
        </w:rPr>
        <w:t>, 356 S.W.3d 42 (</w:t>
      </w:r>
      <w:r>
        <w:rPr>
          <w:color w:val="000000"/>
          <w:szCs w:val="24"/>
        </w:rPr>
        <w:t xml:space="preserve">Tex. Ct. App. </w:t>
      </w:r>
      <w:r w:rsidRPr="00150A55">
        <w:rPr>
          <w:color w:val="000000"/>
          <w:szCs w:val="24"/>
        </w:rPr>
        <w:t>2011)</w:t>
      </w:r>
      <w:r>
        <w:rPr>
          <w:color w:val="000000"/>
          <w:szCs w:val="24"/>
        </w:rPr>
        <w:t>,</w:t>
      </w:r>
      <w:r w:rsidRPr="00150A55">
        <w:rPr>
          <w:color w:val="000000"/>
          <w:szCs w:val="24"/>
        </w:rPr>
        <w:t xml:space="preserve"> at p. 47 (citing </w:t>
      </w:r>
      <w:r w:rsidRPr="00150A55">
        <w:rPr>
          <w:i/>
          <w:color w:val="000000"/>
          <w:szCs w:val="24"/>
        </w:rPr>
        <w:t>Wiley</w:t>
      </w:r>
      <w:r w:rsidRPr="00150A55">
        <w:rPr>
          <w:color w:val="000000"/>
          <w:szCs w:val="24"/>
        </w:rPr>
        <w:t xml:space="preserve"> and </w:t>
      </w:r>
      <w:r w:rsidRPr="00150A55">
        <w:rPr>
          <w:i/>
          <w:color w:val="000000"/>
          <w:szCs w:val="24"/>
        </w:rPr>
        <w:t>McVeigh</w:t>
      </w:r>
      <w:r w:rsidRPr="00150A55">
        <w:rPr>
          <w:color w:val="000000"/>
          <w:szCs w:val="24"/>
        </w:rPr>
        <w:t xml:space="preserve">); </w:t>
      </w:r>
      <w:r w:rsidRPr="00150A55">
        <w:rPr>
          <w:i/>
          <w:color w:val="000000"/>
          <w:szCs w:val="24"/>
        </w:rPr>
        <w:t>Davis v. State</w:t>
      </w:r>
      <w:r w:rsidRPr="00150A55">
        <w:rPr>
          <w:color w:val="000000"/>
          <w:szCs w:val="24"/>
        </w:rPr>
        <w:t>, 413 S.W.3d 816 (</w:t>
      </w:r>
      <w:r>
        <w:rPr>
          <w:color w:val="000000"/>
          <w:szCs w:val="24"/>
        </w:rPr>
        <w:t xml:space="preserve">Tex. Ct. App. </w:t>
      </w:r>
      <w:r w:rsidRPr="00150A55">
        <w:rPr>
          <w:color w:val="000000"/>
          <w:szCs w:val="24"/>
        </w:rPr>
        <w:t xml:space="preserve">2013), at p. 833 (citing </w:t>
      </w:r>
      <w:r w:rsidRPr="00150A55">
        <w:rPr>
          <w:i/>
          <w:color w:val="000000"/>
          <w:szCs w:val="24"/>
        </w:rPr>
        <w:t>Wiley</w:t>
      </w:r>
      <w:r w:rsidRPr="00150A55">
        <w:rPr>
          <w:color w:val="000000"/>
          <w:szCs w:val="24"/>
        </w:rPr>
        <w:t>)</w:t>
      </w:r>
      <w:r w:rsidR="008416AC">
        <w:rPr>
          <w:color w:val="000000"/>
          <w:szCs w:val="24"/>
        </w:rPr>
        <w:t>)</w:t>
      </w:r>
      <w:r>
        <w:rPr>
          <w:color w:val="000000"/>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46" w:rsidRPr="00450352" w:rsidRDefault="00F44E46"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F7254A"/>
    <w:multiLevelType w:val="hybridMultilevel"/>
    <w:tmpl w:val="2EC21DC0"/>
    <w:lvl w:ilvl="0" w:tplc="3A8C75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54AA6AD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Pr>
  <w:endnotePr>
    <w:endnote w:id="-1"/>
    <w:endnote w:id="0"/>
  </w:endnotePr>
  <w:compat/>
  <w:rsids>
    <w:rsidRoot w:val="0031414C"/>
    <w:rsid w:val="00000ED4"/>
    <w:rsid w:val="00001C6D"/>
    <w:rsid w:val="00025198"/>
    <w:rsid w:val="000578A3"/>
    <w:rsid w:val="000648CC"/>
    <w:rsid w:val="000649C3"/>
    <w:rsid w:val="0007047B"/>
    <w:rsid w:val="00073871"/>
    <w:rsid w:val="000760D2"/>
    <w:rsid w:val="00082506"/>
    <w:rsid w:val="000845A8"/>
    <w:rsid w:val="00095367"/>
    <w:rsid w:val="000B1D8F"/>
    <w:rsid w:val="000C1B9E"/>
    <w:rsid w:val="000C59B8"/>
    <w:rsid w:val="000C6AF0"/>
    <w:rsid w:val="000D119F"/>
    <w:rsid w:val="000D3F4B"/>
    <w:rsid w:val="00104F33"/>
    <w:rsid w:val="00111DE2"/>
    <w:rsid w:val="00112D01"/>
    <w:rsid w:val="00116B38"/>
    <w:rsid w:val="00135406"/>
    <w:rsid w:val="00135972"/>
    <w:rsid w:val="001426A9"/>
    <w:rsid w:val="00154D7C"/>
    <w:rsid w:val="001570B0"/>
    <w:rsid w:val="0015752C"/>
    <w:rsid w:val="00157737"/>
    <w:rsid w:val="00165277"/>
    <w:rsid w:val="00166F72"/>
    <w:rsid w:val="00170592"/>
    <w:rsid w:val="00175928"/>
    <w:rsid w:val="00181F38"/>
    <w:rsid w:val="001855A3"/>
    <w:rsid w:val="00186351"/>
    <w:rsid w:val="001917D9"/>
    <w:rsid w:val="00195D83"/>
    <w:rsid w:val="001A00C1"/>
    <w:rsid w:val="001A2E53"/>
    <w:rsid w:val="001B33E0"/>
    <w:rsid w:val="001B4573"/>
    <w:rsid w:val="001C779F"/>
    <w:rsid w:val="001D2468"/>
    <w:rsid w:val="001D2AC1"/>
    <w:rsid w:val="001D4E88"/>
    <w:rsid w:val="001D5950"/>
    <w:rsid w:val="001D5A6F"/>
    <w:rsid w:val="001E2A60"/>
    <w:rsid w:val="00220FC2"/>
    <w:rsid w:val="002222F4"/>
    <w:rsid w:val="002240A1"/>
    <w:rsid w:val="00224FC0"/>
    <w:rsid w:val="00225EA4"/>
    <w:rsid w:val="00226EAF"/>
    <w:rsid w:val="00231F3A"/>
    <w:rsid w:val="00234199"/>
    <w:rsid w:val="002406EE"/>
    <w:rsid w:val="00243EC8"/>
    <w:rsid w:val="00270D93"/>
    <w:rsid w:val="002745CC"/>
    <w:rsid w:val="00280F0C"/>
    <w:rsid w:val="002836D4"/>
    <w:rsid w:val="002B5983"/>
    <w:rsid w:val="002B7924"/>
    <w:rsid w:val="002C0B64"/>
    <w:rsid w:val="002D28C3"/>
    <w:rsid w:val="002D39A4"/>
    <w:rsid w:val="002E6705"/>
    <w:rsid w:val="002F55EE"/>
    <w:rsid w:val="00301D08"/>
    <w:rsid w:val="0030329A"/>
    <w:rsid w:val="0031086F"/>
    <w:rsid w:val="0031414C"/>
    <w:rsid w:val="00314E01"/>
    <w:rsid w:val="0032089D"/>
    <w:rsid w:val="003310DE"/>
    <w:rsid w:val="003323B0"/>
    <w:rsid w:val="003475EE"/>
    <w:rsid w:val="0035169A"/>
    <w:rsid w:val="0035259D"/>
    <w:rsid w:val="0036057A"/>
    <w:rsid w:val="00362D7C"/>
    <w:rsid w:val="00363738"/>
    <w:rsid w:val="00364B18"/>
    <w:rsid w:val="00365FF0"/>
    <w:rsid w:val="003A125D"/>
    <w:rsid w:val="003A4C70"/>
    <w:rsid w:val="003A5AC9"/>
    <w:rsid w:val="003B215F"/>
    <w:rsid w:val="003C3288"/>
    <w:rsid w:val="003C799C"/>
    <w:rsid w:val="003D0399"/>
    <w:rsid w:val="003E1C71"/>
    <w:rsid w:val="003F327B"/>
    <w:rsid w:val="00400E56"/>
    <w:rsid w:val="00406166"/>
    <w:rsid w:val="0040704B"/>
    <w:rsid w:val="00410A55"/>
    <w:rsid w:val="00411300"/>
    <w:rsid w:val="00415417"/>
    <w:rsid w:val="004205B0"/>
    <w:rsid w:val="00426659"/>
    <w:rsid w:val="00447D67"/>
    <w:rsid w:val="00447EC0"/>
    <w:rsid w:val="00450352"/>
    <w:rsid w:val="00454BDB"/>
    <w:rsid w:val="00456D67"/>
    <w:rsid w:val="00464800"/>
    <w:rsid w:val="00465132"/>
    <w:rsid w:val="00467418"/>
    <w:rsid w:val="0047008B"/>
    <w:rsid w:val="00472107"/>
    <w:rsid w:val="00480C90"/>
    <w:rsid w:val="0048396F"/>
    <w:rsid w:val="00492F31"/>
    <w:rsid w:val="00493C18"/>
    <w:rsid w:val="004962DA"/>
    <w:rsid w:val="004A600C"/>
    <w:rsid w:val="004A6118"/>
    <w:rsid w:val="004B4646"/>
    <w:rsid w:val="004C089B"/>
    <w:rsid w:val="004C478D"/>
    <w:rsid w:val="004D10A9"/>
    <w:rsid w:val="004E09C3"/>
    <w:rsid w:val="004E2A59"/>
    <w:rsid w:val="004E2C26"/>
    <w:rsid w:val="004F36FF"/>
    <w:rsid w:val="005125A8"/>
    <w:rsid w:val="005149A1"/>
    <w:rsid w:val="00521AE8"/>
    <w:rsid w:val="00527180"/>
    <w:rsid w:val="0054201E"/>
    <w:rsid w:val="00555291"/>
    <w:rsid w:val="00557308"/>
    <w:rsid w:val="00566AD1"/>
    <w:rsid w:val="00581FE1"/>
    <w:rsid w:val="00583EDE"/>
    <w:rsid w:val="005A3843"/>
    <w:rsid w:val="005A6079"/>
    <w:rsid w:val="005B4296"/>
    <w:rsid w:val="005E3BC2"/>
    <w:rsid w:val="005E4698"/>
    <w:rsid w:val="00610539"/>
    <w:rsid w:val="00613969"/>
    <w:rsid w:val="00625C35"/>
    <w:rsid w:val="006273E0"/>
    <w:rsid w:val="00634120"/>
    <w:rsid w:val="00636504"/>
    <w:rsid w:val="00650550"/>
    <w:rsid w:val="00652E83"/>
    <w:rsid w:val="00656313"/>
    <w:rsid w:val="006565F4"/>
    <w:rsid w:val="006669BB"/>
    <w:rsid w:val="00684EEA"/>
    <w:rsid w:val="0069689B"/>
    <w:rsid w:val="006A1551"/>
    <w:rsid w:val="006B5FF5"/>
    <w:rsid w:val="006E15CC"/>
    <w:rsid w:val="006F115C"/>
    <w:rsid w:val="006F19F3"/>
    <w:rsid w:val="006F30AF"/>
    <w:rsid w:val="00701759"/>
    <w:rsid w:val="00705C15"/>
    <w:rsid w:val="00705DA8"/>
    <w:rsid w:val="0071600E"/>
    <w:rsid w:val="007208D1"/>
    <w:rsid w:val="007235ED"/>
    <w:rsid w:val="00747288"/>
    <w:rsid w:val="00747DD3"/>
    <w:rsid w:val="007549C8"/>
    <w:rsid w:val="00754A0B"/>
    <w:rsid w:val="00754D7B"/>
    <w:rsid w:val="007625D8"/>
    <w:rsid w:val="00766D14"/>
    <w:rsid w:val="00767A0F"/>
    <w:rsid w:val="007A05F6"/>
    <w:rsid w:val="007B51AB"/>
    <w:rsid w:val="007B6F4A"/>
    <w:rsid w:val="007C0167"/>
    <w:rsid w:val="007C1480"/>
    <w:rsid w:val="007C2E1C"/>
    <w:rsid w:val="007E1C47"/>
    <w:rsid w:val="007E337A"/>
    <w:rsid w:val="007E5C70"/>
    <w:rsid w:val="007E7142"/>
    <w:rsid w:val="007F2FF5"/>
    <w:rsid w:val="007F3F08"/>
    <w:rsid w:val="00804CC6"/>
    <w:rsid w:val="008165ED"/>
    <w:rsid w:val="00817190"/>
    <w:rsid w:val="00820EE5"/>
    <w:rsid w:val="008260E2"/>
    <w:rsid w:val="008322BD"/>
    <w:rsid w:val="00833E0A"/>
    <w:rsid w:val="00834F73"/>
    <w:rsid w:val="008416AC"/>
    <w:rsid w:val="00841BFE"/>
    <w:rsid w:val="0086136F"/>
    <w:rsid w:val="00864CF8"/>
    <w:rsid w:val="00872819"/>
    <w:rsid w:val="0087457A"/>
    <w:rsid w:val="00874914"/>
    <w:rsid w:val="00882471"/>
    <w:rsid w:val="008871DD"/>
    <w:rsid w:val="00891422"/>
    <w:rsid w:val="00892E1A"/>
    <w:rsid w:val="008A3F29"/>
    <w:rsid w:val="008B660A"/>
    <w:rsid w:val="008C01DA"/>
    <w:rsid w:val="008D3720"/>
    <w:rsid w:val="008E49A5"/>
    <w:rsid w:val="008F78E9"/>
    <w:rsid w:val="00907A35"/>
    <w:rsid w:val="00911989"/>
    <w:rsid w:val="009179F9"/>
    <w:rsid w:val="009222B4"/>
    <w:rsid w:val="00922AB5"/>
    <w:rsid w:val="00933E5E"/>
    <w:rsid w:val="00935218"/>
    <w:rsid w:val="009403F3"/>
    <w:rsid w:val="009555B7"/>
    <w:rsid w:val="009567AA"/>
    <w:rsid w:val="00962311"/>
    <w:rsid w:val="00964BCA"/>
    <w:rsid w:val="00967374"/>
    <w:rsid w:val="0097180F"/>
    <w:rsid w:val="00984FA9"/>
    <w:rsid w:val="009A1EF6"/>
    <w:rsid w:val="009A200D"/>
    <w:rsid w:val="009A343A"/>
    <w:rsid w:val="009B2F23"/>
    <w:rsid w:val="009B567B"/>
    <w:rsid w:val="009B57B3"/>
    <w:rsid w:val="009C43AE"/>
    <w:rsid w:val="009C5B92"/>
    <w:rsid w:val="009D2920"/>
    <w:rsid w:val="009D5AEB"/>
    <w:rsid w:val="009E50AB"/>
    <w:rsid w:val="009E648A"/>
    <w:rsid w:val="009F0E33"/>
    <w:rsid w:val="00A030CE"/>
    <w:rsid w:val="00A149DF"/>
    <w:rsid w:val="00A1755C"/>
    <w:rsid w:val="00A2061A"/>
    <w:rsid w:val="00A21B90"/>
    <w:rsid w:val="00A25014"/>
    <w:rsid w:val="00A367E6"/>
    <w:rsid w:val="00A41805"/>
    <w:rsid w:val="00A42DCD"/>
    <w:rsid w:val="00A44EC9"/>
    <w:rsid w:val="00A52AFB"/>
    <w:rsid w:val="00A548CB"/>
    <w:rsid w:val="00A5521C"/>
    <w:rsid w:val="00A643E7"/>
    <w:rsid w:val="00A73C38"/>
    <w:rsid w:val="00AA09EB"/>
    <w:rsid w:val="00AB670D"/>
    <w:rsid w:val="00AF03C5"/>
    <w:rsid w:val="00B000D8"/>
    <w:rsid w:val="00B009B2"/>
    <w:rsid w:val="00B00F75"/>
    <w:rsid w:val="00B04F31"/>
    <w:rsid w:val="00B145B6"/>
    <w:rsid w:val="00B1473B"/>
    <w:rsid w:val="00B20450"/>
    <w:rsid w:val="00B21782"/>
    <w:rsid w:val="00B2332F"/>
    <w:rsid w:val="00B279EB"/>
    <w:rsid w:val="00B40570"/>
    <w:rsid w:val="00B41022"/>
    <w:rsid w:val="00B45F6E"/>
    <w:rsid w:val="00B50C81"/>
    <w:rsid w:val="00B557F8"/>
    <w:rsid w:val="00B815FC"/>
    <w:rsid w:val="00B93FBC"/>
    <w:rsid w:val="00B97B22"/>
    <w:rsid w:val="00BA7DA0"/>
    <w:rsid w:val="00BB2EE4"/>
    <w:rsid w:val="00BB594D"/>
    <w:rsid w:val="00BC2108"/>
    <w:rsid w:val="00BC4E94"/>
    <w:rsid w:val="00BC70C3"/>
    <w:rsid w:val="00BD0E9E"/>
    <w:rsid w:val="00BD1BEC"/>
    <w:rsid w:val="00BD32FF"/>
    <w:rsid w:val="00BF0A90"/>
    <w:rsid w:val="00C00968"/>
    <w:rsid w:val="00C02092"/>
    <w:rsid w:val="00C23C55"/>
    <w:rsid w:val="00C24D91"/>
    <w:rsid w:val="00C321DB"/>
    <w:rsid w:val="00C47434"/>
    <w:rsid w:val="00C53F14"/>
    <w:rsid w:val="00C56575"/>
    <w:rsid w:val="00C568C1"/>
    <w:rsid w:val="00C600CF"/>
    <w:rsid w:val="00C6084F"/>
    <w:rsid w:val="00C62A66"/>
    <w:rsid w:val="00C71458"/>
    <w:rsid w:val="00C72674"/>
    <w:rsid w:val="00C741BB"/>
    <w:rsid w:val="00C77613"/>
    <w:rsid w:val="00C828E7"/>
    <w:rsid w:val="00C86719"/>
    <w:rsid w:val="00C91975"/>
    <w:rsid w:val="00C921DD"/>
    <w:rsid w:val="00CA6391"/>
    <w:rsid w:val="00CB7B9C"/>
    <w:rsid w:val="00CC34BD"/>
    <w:rsid w:val="00CD15A6"/>
    <w:rsid w:val="00CE161A"/>
    <w:rsid w:val="00CE3171"/>
    <w:rsid w:val="00CF0CF9"/>
    <w:rsid w:val="00CF1601"/>
    <w:rsid w:val="00D0172F"/>
    <w:rsid w:val="00D05D3D"/>
    <w:rsid w:val="00D068A7"/>
    <w:rsid w:val="00D17476"/>
    <w:rsid w:val="00D22C39"/>
    <w:rsid w:val="00D30318"/>
    <w:rsid w:val="00D32086"/>
    <w:rsid w:val="00D3280F"/>
    <w:rsid w:val="00D3736B"/>
    <w:rsid w:val="00D37A3F"/>
    <w:rsid w:val="00D37C75"/>
    <w:rsid w:val="00D41F2D"/>
    <w:rsid w:val="00D4431D"/>
    <w:rsid w:val="00D4667A"/>
    <w:rsid w:val="00D5797D"/>
    <w:rsid w:val="00D628C5"/>
    <w:rsid w:val="00D63A1C"/>
    <w:rsid w:val="00D668AE"/>
    <w:rsid w:val="00D7516F"/>
    <w:rsid w:val="00D7736D"/>
    <w:rsid w:val="00D8579F"/>
    <w:rsid w:val="00D95F8E"/>
    <w:rsid w:val="00DA0590"/>
    <w:rsid w:val="00DA5A6E"/>
    <w:rsid w:val="00DB12AD"/>
    <w:rsid w:val="00DB7BEA"/>
    <w:rsid w:val="00DC1739"/>
    <w:rsid w:val="00DC1788"/>
    <w:rsid w:val="00DC6FFE"/>
    <w:rsid w:val="00DE319C"/>
    <w:rsid w:val="00DF0CA8"/>
    <w:rsid w:val="00DF2B48"/>
    <w:rsid w:val="00DF49A7"/>
    <w:rsid w:val="00E07EE2"/>
    <w:rsid w:val="00E07FD1"/>
    <w:rsid w:val="00E14659"/>
    <w:rsid w:val="00E24573"/>
    <w:rsid w:val="00E25E1E"/>
    <w:rsid w:val="00E27EE7"/>
    <w:rsid w:val="00E34E3A"/>
    <w:rsid w:val="00E35404"/>
    <w:rsid w:val="00E45109"/>
    <w:rsid w:val="00E47B7A"/>
    <w:rsid w:val="00E56A44"/>
    <w:rsid w:val="00E60269"/>
    <w:rsid w:val="00E77932"/>
    <w:rsid w:val="00E80645"/>
    <w:rsid w:val="00E8543F"/>
    <w:rsid w:val="00E97238"/>
    <w:rsid w:val="00E9738C"/>
    <w:rsid w:val="00E97830"/>
    <w:rsid w:val="00EC7043"/>
    <w:rsid w:val="00EC75D7"/>
    <w:rsid w:val="00ED5CFF"/>
    <w:rsid w:val="00EE2F21"/>
    <w:rsid w:val="00EE643C"/>
    <w:rsid w:val="00EF0683"/>
    <w:rsid w:val="00EF69D2"/>
    <w:rsid w:val="00EF766E"/>
    <w:rsid w:val="00F0070C"/>
    <w:rsid w:val="00F00EB7"/>
    <w:rsid w:val="00F05317"/>
    <w:rsid w:val="00F1720B"/>
    <w:rsid w:val="00F34B9E"/>
    <w:rsid w:val="00F36AB6"/>
    <w:rsid w:val="00F37A09"/>
    <w:rsid w:val="00F409CE"/>
    <w:rsid w:val="00F4379D"/>
    <w:rsid w:val="00F44E46"/>
    <w:rsid w:val="00F50D2D"/>
    <w:rsid w:val="00F5291C"/>
    <w:rsid w:val="00F52D69"/>
    <w:rsid w:val="00F56C8B"/>
    <w:rsid w:val="00F66810"/>
    <w:rsid w:val="00F70553"/>
    <w:rsid w:val="00F7738A"/>
    <w:rsid w:val="00F8074F"/>
    <w:rsid w:val="00F8369E"/>
    <w:rsid w:val="00F846D9"/>
    <w:rsid w:val="00F84DF4"/>
    <w:rsid w:val="00F85C97"/>
    <w:rsid w:val="00FA374E"/>
    <w:rsid w:val="00FA592D"/>
    <w:rsid w:val="00FB37D2"/>
    <w:rsid w:val="00FC156C"/>
    <w:rsid w:val="00FC2E37"/>
    <w:rsid w:val="00FC4EFB"/>
    <w:rsid w:val="00FD068D"/>
    <w:rsid w:val="00FD1B60"/>
    <w:rsid w:val="00FD4616"/>
    <w:rsid w:val="00FD4F28"/>
    <w:rsid w:val="00FE4D00"/>
    <w:rsid w:val="00FE6784"/>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F44E46"/>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2B5983"/>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44E46"/>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44E46"/>
    <w:rPr>
      <w:rFonts w:eastAsiaTheme="minorHAnsi" w:cstheme="minorBidi"/>
      <w:sz w:val="24"/>
      <w:szCs w:val="22"/>
      <w:lang w:eastAsia="en-US"/>
    </w:rPr>
  </w:style>
  <w:style w:type="paragraph" w:customStyle="1" w:styleId="SCCCoram">
    <w:name w:val="SCC.Coram"/>
    <w:basedOn w:val="Normal"/>
    <w:next w:val="Normal"/>
    <w:link w:val="SCCCoramChar"/>
    <w:rsid w:val="00F44E4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44E46"/>
    <w:rPr>
      <w:rFonts w:eastAsiaTheme="minorHAnsi" w:cstheme="minorBidi"/>
      <w:sz w:val="24"/>
      <w:szCs w:val="22"/>
      <w:lang w:eastAsia="en-US"/>
    </w:rPr>
  </w:style>
  <w:style w:type="table" w:styleId="TableGrid">
    <w:name w:val="Table Grid"/>
    <w:basedOn w:val="TableNormal"/>
    <w:uiPriority w:val="59"/>
    <w:rsid w:val="00F44E46"/>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44E4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44E4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44E4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44E46"/>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44E46"/>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F44E46"/>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F44E46"/>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F44E46"/>
    <w:pPr>
      <w:numPr>
        <w:ilvl w:val="4"/>
      </w:numPr>
      <w:tabs>
        <w:tab w:val="clear" w:pos="576"/>
        <w:tab w:val="left" w:pos="1620"/>
      </w:tabs>
      <w:ind w:left="1620" w:hanging="540"/>
    </w:pPr>
  </w:style>
  <w:style w:type="paragraph" w:styleId="TOC1">
    <w:name w:val="toc 1"/>
    <w:basedOn w:val="Normal"/>
    <w:next w:val="Normal"/>
    <w:autoRedefine/>
    <w:uiPriority w:val="39"/>
    <w:unhideWhenUsed/>
    <w:rsid w:val="00F44E4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44E4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44E4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44E4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44E4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44E46"/>
    <w:pPr>
      <w:tabs>
        <w:tab w:val="left" w:pos="2160"/>
        <w:tab w:val="right" w:leader="dot" w:pos="8270"/>
      </w:tabs>
      <w:spacing w:after="100"/>
      <w:ind w:left="1800"/>
    </w:pPr>
    <w:rPr>
      <w:noProof/>
    </w:rPr>
  </w:style>
  <w:style w:type="paragraph" w:customStyle="1" w:styleId="TitleTitre-AltT">
    <w:name w:val="Title / Titre - Alt T"/>
    <w:next w:val="ParaNoNdepar-AltN"/>
    <w:uiPriority w:val="3"/>
    <w:qFormat/>
    <w:rsid w:val="00F44E46"/>
    <w:pPr>
      <w:tabs>
        <w:tab w:val="left" w:pos="360"/>
      </w:tabs>
      <w:spacing w:before="480" w:after="720"/>
      <w:ind w:left="360" w:hanging="360"/>
      <w:jc w:val="both"/>
    </w:pPr>
    <w:rPr>
      <w:rFonts w:eastAsiaTheme="minorHAnsi" w:cstheme="minorBidi"/>
      <w:sz w:val="24"/>
      <w:szCs w:val="22"/>
      <w:lang w:eastAsia="en-US"/>
    </w:rPr>
  </w:style>
  <w:style w:type="paragraph" w:customStyle="1" w:styleId="citation11">
    <w:name w:val="citation11"/>
    <w:basedOn w:val="Normal"/>
    <w:rsid w:val="00F44E46"/>
    <w:pPr>
      <w:spacing w:before="100" w:beforeAutospacing="1"/>
      <w:ind w:left="567"/>
      <w:jc w:val="both"/>
    </w:pPr>
    <w:rPr>
      <w:rFonts w:ascii="Arial" w:hAnsi="Arial" w:cs="Arial"/>
      <w:szCs w:val="24"/>
      <w:lang w:val="en-US" w:eastAsia="en-US"/>
    </w:rPr>
  </w:style>
  <w:style w:type="paragraph" w:styleId="CommentText">
    <w:name w:val="annotation text"/>
    <w:basedOn w:val="Normal"/>
    <w:link w:val="CommentTextChar"/>
    <w:uiPriority w:val="99"/>
    <w:unhideWhenUsed/>
    <w:rsid w:val="00F44E46"/>
    <w:rPr>
      <w:sz w:val="20"/>
    </w:rPr>
  </w:style>
  <w:style w:type="character" w:customStyle="1" w:styleId="CommentTextChar">
    <w:name w:val="Comment Text Char"/>
    <w:basedOn w:val="DefaultParagraphFont"/>
    <w:link w:val="CommentText"/>
    <w:uiPriority w:val="99"/>
    <w:rsid w:val="00F44E46"/>
  </w:style>
  <w:style w:type="character" w:customStyle="1" w:styleId="CommentSubjectChar">
    <w:name w:val="Comment Subject Char"/>
    <w:basedOn w:val="CommentTextChar"/>
    <w:link w:val="CommentSubject"/>
    <w:uiPriority w:val="99"/>
    <w:semiHidden/>
    <w:rsid w:val="00F44E46"/>
    <w:rPr>
      <w:b/>
      <w:bCs/>
    </w:rPr>
  </w:style>
  <w:style w:type="paragraph" w:styleId="CommentSubject">
    <w:name w:val="annotation subject"/>
    <w:basedOn w:val="CommentText"/>
    <w:next w:val="CommentText"/>
    <w:link w:val="CommentSubjectChar"/>
    <w:uiPriority w:val="99"/>
    <w:semiHidden/>
    <w:unhideWhenUsed/>
    <w:rsid w:val="00F44E46"/>
    <w:rPr>
      <w:b/>
      <w:bCs/>
    </w:rPr>
  </w:style>
  <w:style w:type="paragraph" w:styleId="FootnoteText">
    <w:name w:val="footnote text"/>
    <w:basedOn w:val="Normal"/>
    <w:link w:val="FootnoteTextChar"/>
    <w:uiPriority w:val="99"/>
    <w:semiHidden/>
    <w:unhideWhenUsed/>
    <w:rsid w:val="00F44E46"/>
    <w:rPr>
      <w:sz w:val="20"/>
    </w:rPr>
  </w:style>
  <w:style w:type="character" w:customStyle="1" w:styleId="FootnoteTextChar">
    <w:name w:val="Footnote Text Char"/>
    <w:basedOn w:val="DefaultParagraphFont"/>
    <w:link w:val="FootnoteText"/>
    <w:uiPriority w:val="99"/>
    <w:semiHidden/>
    <w:rsid w:val="00F44E46"/>
  </w:style>
  <w:style w:type="character" w:styleId="FootnoteReference">
    <w:name w:val="footnote reference"/>
    <w:basedOn w:val="DefaultParagraphFont"/>
    <w:uiPriority w:val="99"/>
    <w:semiHidden/>
    <w:unhideWhenUsed/>
    <w:rsid w:val="00F44E46"/>
    <w:rPr>
      <w:vertAlign w:val="superscript"/>
    </w:rPr>
  </w:style>
  <w:style w:type="paragraph" w:styleId="ListParagraph">
    <w:name w:val="List Paragraph"/>
    <w:basedOn w:val="Normal"/>
    <w:uiPriority w:val="34"/>
    <w:rsid w:val="00F44E46"/>
    <w:pPr>
      <w:ind w:left="720"/>
      <w:contextualSpacing/>
    </w:pPr>
    <w:rPr>
      <w:szCs w:val="24"/>
    </w:rPr>
  </w:style>
  <w:style w:type="character" w:customStyle="1" w:styleId="nowrap">
    <w:name w:val="nowrap"/>
    <w:basedOn w:val="DefaultParagraphFont"/>
    <w:rsid w:val="00F44E46"/>
  </w:style>
  <w:style w:type="character" w:customStyle="1" w:styleId="SCCLsocPartyRoleChar">
    <w:name w:val="SCC.Lsoc.PartyRole Char"/>
    <w:basedOn w:val="DefaultParagraphFont"/>
    <w:rsid w:val="00365FF0"/>
    <w:rPr>
      <w:lang w:val="en-CA"/>
    </w:rPr>
  </w:style>
  <w:style w:type="paragraph" w:customStyle="1" w:styleId="SCCLsocPrefix">
    <w:name w:val="SCC.Lsoc.Prefix"/>
    <w:basedOn w:val="Normal"/>
    <w:next w:val="Normal"/>
    <w:link w:val="SCCLsocPrefixChar"/>
    <w:rsid w:val="00365FF0"/>
    <w:rPr>
      <w:rFonts w:eastAsiaTheme="minorHAnsi" w:cstheme="minorBidi"/>
      <w:b/>
      <w:smallCaps/>
      <w:szCs w:val="24"/>
      <w:lang w:eastAsia="en-US"/>
    </w:rPr>
  </w:style>
  <w:style w:type="character" w:customStyle="1" w:styleId="SCCLsocPrefixChar">
    <w:name w:val="SCC.Lsoc.Prefix Char"/>
    <w:basedOn w:val="DefaultParagraphFont"/>
    <w:link w:val="SCCLsocPrefix"/>
    <w:rsid w:val="00365FF0"/>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289479484">
      <w:bodyDiv w:val="1"/>
      <w:marLeft w:val="0"/>
      <w:marRight w:val="0"/>
      <w:marTop w:val="0"/>
      <w:marBottom w:val="0"/>
      <w:divBdr>
        <w:top w:val="none" w:sz="0" w:space="0" w:color="auto"/>
        <w:left w:val="none" w:sz="0" w:space="0" w:color="auto"/>
        <w:bottom w:val="none" w:sz="0" w:space="0" w:color="auto"/>
        <w:right w:val="none" w:sz="0" w:space="0" w:color="auto"/>
      </w:divBdr>
    </w:div>
    <w:div w:id="337732864">
      <w:bodyDiv w:val="1"/>
      <w:marLeft w:val="0"/>
      <w:marRight w:val="0"/>
      <w:marTop w:val="0"/>
      <w:marBottom w:val="0"/>
      <w:divBdr>
        <w:top w:val="none" w:sz="0" w:space="0" w:color="auto"/>
        <w:left w:val="none" w:sz="0" w:space="0" w:color="auto"/>
        <w:bottom w:val="none" w:sz="0" w:space="0" w:color="auto"/>
        <w:right w:val="none" w:sz="0" w:space="0" w:color="auto"/>
      </w:divBdr>
    </w:div>
    <w:div w:id="19247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6954</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2015-03-05T20:00:00Z</dcterms:created>
  <dcterms:modified xsi:type="dcterms:W3CDTF">2015-06-15T15:34:00Z</dcterms:modified>
</cp:coreProperties>
</file>