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20" w:rsidRDefault="00191B20" w:rsidP="00191B20">
      <w:pPr>
        <w:pStyle w:val="Court"/>
        <w:rPr>
          <w:lang w:val="en-US"/>
        </w:rPr>
      </w:pPr>
      <w:r>
        <w:rPr>
          <w:lang w:val="en-US"/>
        </w:rPr>
        <w:t>Supreme Court of Canada</w:t>
      </w:r>
    </w:p>
    <w:p w:rsidR="00191B20" w:rsidRDefault="00191B20" w:rsidP="00191B20">
      <w:pPr>
        <w:pStyle w:val="CitationLine"/>
        <w:rPr>
          <w:lang w:val="en-US"/>
        </w:rPr>
      </w:pPr>
      <w:r>
        <w:rPr>
          <w:color w:val="000000"/>
          <w:lang w:val="fr-FR"/>
        </w:rPr>
        <w:t>Rouleau</w:t>
      </w:r>
      <w:r>
        <w:rPr>
          <w:color w:val="000000"/>
          <w:lang w:val="en-US"/>
        </w:rPr>
        <w:t xml:space="preserve"> </w:t>
      </w:r>
      <w:r>
        <w:rPr>
          <w:i/>
          <w:iCs/>
          <w:color w:val="000000"/>
          <w:lang w:val="en-US"/>
        </w:rPr>
        <w:t>v.</w:t>
      </w:r>
      <w:r>
        <w:rPr>
          <w:color w:val="000000"/>
          <w:lang w:val="en-US"/>
        </w:rPr>
        <w:t xml:space="preserve"> </w:t>
      </w:r>
      <w:r>
        <w:rPr>
          <w:color w:val="000000"/>
          <w:lang w:val="fr-FR"/>
        </w:rPr>
        <w:t>Pouliot</w:t>
      </w:r>
      <w:r>
        <w:rPr>
          <w:lang w:val="en-US"/>
        </w:rPr>
        <w:t xml:space="preserve"> (1905) 36 SCR 26</w:t>
      </w:r>
    </w:p>
    <w:p w:rsidR="00191B20" w:rsidRDefault="00191B20" w:rsidP="00191B20">
      <w:pPr>
        <w:pStyle w:val="DateISO"/>
        <w:rPr>
          <w:lang w:val="en-US"/>
        </w:rPr>
      </w:pPr>
      <w:r>
        <w:rPr>
          <w:lang w:val="en-US"/>
        </w:rPr>
        <w:t>Date: 1905-03-20</w:t>
      </w:r>
    </w:p>
    <w:p w:rsidR="00122B25" w:rsidRDefault="00191B20" w:rsidP="00191B20">
      <w:pPr>
        <w:pStyle w:val="Metadata"/>
        <w:rPr>
          <w:lang w:val="en-US"/>
        </w:rPr>
      </w:pPr>
      <w:r>
        <w:rPr>
          <w:lang w:val="en-US"/>
        </w:rPr>
        <w:t>Samuel Rouleau</w:t>
      </w:r>
      <w:r w:rsidR="00122B25">
        <w:rPr>
          <w:lang w:val="en-US"/>
        </w:rPr>
        <w:t xml:space="preserve"> (Plaintiff)</w:t>
      </w:r>
    </w:p>
    <w:p w:rsidR="00122B25" w:rsidRDefault="00122B25" w:rsidP="00191B20">
      <w:pPr>
        <w:pStyle w:val="Metadata"/>
        <w:rPr>
          <w:lang w:val="en-US"/>
        </w:rPr>
      </w:pPr>
      <w:r>
        <w:rPr>
          <w:lang w:val="en-US"/>
        </w:rPr>
        <w:t>Appellant</w:t>
      </w:r>
    </w:p>
    <w:p w:rsidR="00122B25" w:rsidRDefault="00191B20" w:rsidP="00191B20">
      <w:pPr>
        <w:pStyle w:val="Metadata"/>
        <w:rPr>
          <w:lang w:val="en-US"/>
        </w:rPr>
      </w:pPr>
      <w:r>
        <w:rPr>
          <w:lang w:val="en-US"/>
        </w:rPr>
        <w:t>And</w:t>
      </w:r>
    </w:p>
    <w:p w:rsidR="00122B25" w:rsidRDefault="00191B20" w:rsidP="00191B20">
      <w:pPr>
        <w:pStyle w:val="Metadata"/>
        <w:rPr>
          <w:lang w:val="en-US"/>
        </w:rPr>
      </w:pPr>
      <w:r>
        <w:rPr>
          <w:lang w:val="en-US"/>
        </w:rPr>
        <w:t>Trefflé Pouliot</w:t>
      </w:r>
      <w:r w:rsidR="00122B25">
        <w:rPr>
          <w:lang w:val="en-US"/>
        </w:rPr>
        <w:t xml:space="preserve"> and </w:t>
      </w:r>
      <w:r>
        <w:rPr>
          <w:lang w:val="en-US"/>
        </w:rPr>
        <w:t>O</w:t>
      </w:r>
      <w:r w:rsidR="00122B25">
        <w:rPr>
          <w:lang w:val="en-US"/>
        </w:rPr>
        <w:t>thers (Defendants)</w:t>
      </w:r>
    </w:p>
    <w:p w:rsidR="00122B25" w:rsidRDefault="00122B25" w:rsidP="00191B20">
      <w:pPr>
        <w:pStyle w:val="Metadata"/>
        <w:rPr>
          <w:lang w:val="en-US"/>
        </w:rPr>
      </w:pPr>
      <w:r>
        <w:rPr>
          <w:lang w:val="en-US"/>
        </w:rPr>
        <w:t>Respondents</w:t>
      </w:r>
    </w:p>
    <w:p w:rsidR="00191B20" w:rsidRDefault="00191B20" w:rsidP="00191B20">
      <w:pPr>
        <w:pStyle w:val="Metadata"/>
        <w:rPr>
          <w:lang w:val="en-US"/>
        </w:rPr>
      </w:pPr>
      <w:r>
        <w:rPr>
          <w:lang w:val="en-US"/>
        </w:rPr>
        <w:t>1905: March 16; 1905: March 20</w:t>
      </w:r>
    </w:p>
    <w:p w:rsidR="00191B20" w:rsidRDefault="00191B20" w:rsidP="00191B20">
      <w:pPr>
        <w:pStyle w:val="Metadata"/>
        <w:rPr>
          <w:lang w:val="en-US"/>
        </w:rPr>
      </w:pPr>
      <w:r>
        <w:rPr>
          <w:lang w:val="en-US"/>
        </w:rPr>
        <w:t>Present:—Sedgewick, Girouard, Davies, Nesbitt and Idington JJ.</w:t>
      </w:r>
    </w:p>
    <w:p w:rsidR="00122B25" w:rsidRDefault="00122B25" w:rsidP="00191B20">
      <w:pPr>
        <w:pStyle w:val="Metadata"/>
        <w:rPr>
          <w:lang w:val="en-US"/>
        </w:rPr>
      </w:pPr>
      <w:r>
        <w:rPr>
          <w:lang w:val="en-US"/>
        </w:rPr>
        <w:t>ON APPEAL FROM THE COURT OF KING'S BENCH, APPEAL SIDE, PROVINCE OF QUEBEC.</w:t>
      </w:r>
    </w:p>
    <w:p w:rsidR="00122B25" w:rsidRDefault="00122B25" w:rsidP="00191B20">
      <w:pPr>
        <w:pStyle w:val="Keywords"/>
        <w:rPr>
          <w:lang w:val="en-US"/>
        </w:rPr>
      </w:pPr>
      <w:r>
        <w:rPr>
          <w:lang w:val="en-US"/>
        </w:rPr>
        <w:t>Appeal—Jurisdiction—Future rights—Toll bridge—Exclusive limits—Infringement of privilege—Matter in controversy.</w:t>
      </w:r>
    </w:p>
    <w:p w:rsidR="00122B25" w:rsidRDefault="00122B25" w:rsidP="00191B20">
      <w:pPr>
        <w:pStyle w:val="Summary"/>
        <w:rPr>
          <w:lang w:val="en-US"/>
        </w:rPr>
      </w:pPr>
      <w:r>
        <w:rPr>
          <w:lang w:val="en-US"/>
        </w:rPr>
        <w:t xml:space="preserve">The plaintiff's action was for $1,000 for damages for infringement of his toll bridge privileges, in virtue of the Act, 58 Geo. III. </w:t>
      </w:r>
      <w:r>
        <w:rPr>
          <w:lang w:val="fr-FR"/>
        </w:rPr>
        <w:t xml:space="preserve">ch. </w:t>
      </w:r>
      <w:r>
        <w:rPr>
          <w:lang w:val="en-US"/>
        </w:rPr>
        <w:t>20 (L.C.), by the construction of another bridge within the limit reserved, and for the demolition of the bridge, etc. The judgment appealed from dismissed the action. On a motion to quash the appeal;</w:t>
      </w:r>
    </w:p>
    <w:p w:rsidR="00122B25" w:rsidRDefault="00122B25" w:rsidP="00191B20">
      <w:pPr>
        <w:pStyle w:val="Summary"/>
        <w:rPr>
          <w:lang w:val="en-US"/>
        </w:rPr>
      </w:pPr>
      <w:r>
        <w:rPr>
          <w:i/>
          <w:iCs/>
          <w:lang w:val="en-US"/>
        </w:rPr>
        <w:t>Held</w:t>
      </w:r>
      <w:r>
        <w:rPr>
          <w:lang w:val="en-US"/>
        </w:rPr>
        <w:t xml:space="preserve">, that the matter in controversy affected future rights and, consequently, an appeal would lie to the Supreme Court of Canada. </w:t>
      </w:r>
      <w:r>
        <w:rPr>
          <w:i/>
          <w:iCs/>
          <w:lang w:val="en-US"/>
        </w:rPr>
        <w:t>Galarneau</w:t>
      </w:r>
      <w:r>
        <w:rPr>
          <w:lang w:val="en-US"/>
        </w:rPr>
        <w:t xml:space="preserve"> v. </w:t>
      </w:r>
      <w:r>
        <w:rPr>
          <w:i/>
          <w:iCs/>
          <w:lang w:val="en-US"/>
        </w:rPr>
        <w:t>Guilbault</w:t>
      </w:r>
      <w:r>
        <w:rPr>
          <w:lang w:val="en-US"/>
        </w:rPr>
        <w:t xml:space="preserve"> (10 Can. S.C.R. 579) and </w:t>
      </w:r>
      <w:r>
        <w:rPr>
          <w:i/>
          <w:iCs/>
          <w:lang w:val="en-US"/>
        </w:rPr>
        <w:t>Chamberland</w:t>
      </w:r>
      <w:r>
        <w:rPr>
          <w:lang w:val="en-US"/>
        </w:rPr>
        <w:t xml:space="preserve"> v. </w:t>
      </w:r>
      <w:r>
        <w:rPr>
          <w:i/>
          <w:iCs/>
          <w:lang w:val="en-US"/>
        </w:rPr>
        <w:t>Fortier</w:t>
      </w:r>
      <w:r>
        <w:rPr>
          <w:lang w:val="en-US"/>
        </w:rPr>
        <w:t xml:space="preserve"> (23 Can. S.C.R. 371) followed.</w:t>
      </w:r>
    </w:p>
    <w:p w:rsidR="00122B25" w:rsidRDefault="00122B25" w:rsidP="00191B20">
      <w:pPr>
        <w:pStyle w:val="History"/>
        <w:rPr>
          <w:lang w:val="en-US"/>
        </w:rPr>
      </w:pPr>
      <w:r>
        <w:rPr>
          <w:lang w:val="en-US"/>
        </w:rPr>
        <w:t>MOTION to quash an appeal from the judgment of the Court of King's Bench, appeal side, affirming the judgment of the Superior Court, District of Quebec, which dismissed the plaintiff's action with costs.</w:t>
      </w:r>
    </w:p>
    <w:p w:rsidR="00122B25" w:rsidRDefault="00122B25" w:rsidP="00191B20">
      <w:pPr>
        <w:pStyle w:val="History"/>
        <w:rPr>
          <w:rFonts w:cs="Arial"/>
          <w:color w:val="000000"/>
          <w:szCs w:val="24"/>
          <w:lang w:val="en-US"/>
        </w:rPr>
      </w:pPr>
      <w:r>
        <w:rPr>
          <w:rFonts w:cs="Arial"/>
          <w:color w:val="000000"/>
          <w:szCs w:val="24"/>
          <w:lang w:val="en-US"/>
        </w:rPr>
        <w:t xml:space="preserve">The plaintiff alleged that he was owner of a toll-bridge over the River Etchemin, to which there was a privilege attached, under the Act, 58 Geo. III. </w:t>
      </w:r>
      <w:r>
        <w:rPr>
          <w:rFonts w:cs="Arial"/>
          <w:color w:val="000000"/>
          <w:szCs w:val="24"/>
          <w:lang w:val="fr-FR"/>
        </w:rPr>
        <w:t xml:space="preserve">ch. </w:t>
      </w:r>
      <w:r>
        <w:rPr>
          <w:rFonts w:cs="Arial"/>
          <w:color w:val="000000"/>
          <w:szCs w:val="24"/>
          <w:lang w:val="en-US"/>
        </w:rPr>
        <w:t>20, (L.C.), forbidding the erection of any other bridge across that river within certain limits; that the defendants had infringed his rights and caused him damages by erecting a bridge across the river within the privileged limits, and he claimed $1,000 for damages, demolition of the newly constructed bridge, and other appropriate relief. The judgments of the courts below held that the new bridge had not been erected within the reserved limits and dismissed the action.</w:t>
      </w:r>
    </w:p>
    <w:p w:rsidR="00122B25" w:rsidRDefault="00365C12" w:rsidP="00365C12">
      <w:pPr>
        <w:pStyle w:val="Page"/>
        <w:rPr>
          <w:lang w:val="en-US"/>
        </w:rPr>
      </w:pPr>
      <w:r w:rsidRPr="00365C12">
        <w:rPr>
          <w:rFonts w:cs="Arial"/>
          <w:color w:val="000000"/>
          <w:szCs w:val="24"/>
          <w:lang w:val="en-US"/>
        </w:rPr>
        <w:t>[Page</w:t>
      </w:r>
      <w:r w:rsidR="00122B25">
        <w:rPr>
          <w:rFonts w:cs="Arial"/>
          <w:color w:val="000000"/>
          <w:szCs w:val="24"/>
          <w:lang w:val="en-US"/>
        </w:rPr>
        <w:t xml:space="preserve"> 27]</w:t>
      </w:r>
    </w:p>
    <w:p w:rsidR="00122B25" w:rsidRDefault="00122B25" w:rsidP="00191B20">
      <w:pPr>
        <w:pStyle w:val="History"/>
        <w:rPr>
          <w:rFonts w:cs="Arial"/>
          <w:color w:val="000000"/>
          <w:szCs w:val="24"/>
          <w:lang w:val="en-US"/>
        </w:rPr>
      </w:pPr>
      <w:r>
        <w:rPr>
          <w:rFonts w:cs="Arial"/>
          <w:color w:val="000000"/>
          <w:szCs w:val="24"/>
          <w:lang w:val="en-US"/>
        </w:rPr>
        <w:t>The plaintiff asserts the present appeal to the Supreme Court of Canada.</w:t>
      </w:r>
    </w:p>
    <w:p w:rsidR="00122B25" w:rsidRDefault="00122B25" w:rsidP="00191B20">
      <w:pPr>
        <w:pStyle w:val="Sollicitors"/>
        <w:rPr>
          <w:lang w:val="en-US"/>
        </w:rPr>
      </w:pPr>
      <w:r>
        <w:rPr>
          <w:iCs/>
          <w:lang w:val="en-US"/>
        </w:rPr>
        <w:lastRenderedPageBreak/>
        <w:t>Belcourt K.C.</w:t>
      </w:r>
      <w:r>
        <w:rPr>
          <w:lang w:val="en-US"/>
        </w:rPr>
        <w:t xml:space="preserve"> for the motion.</w:t>
      </w:r>
    </w:p>
    <w:p w:rsidR="00122B25" w:rsidRDefault="00122B25" w:rsidP="00191B20">
      <w:pPr>
        <w:pStyle w:val="Sollicitors"/>
        <w:rPr>
          <w:lang w:val="en-US"/>
        </w:rPr>
      </w:pPr>
      <w:r>
        <w:rPr>
          <w:iCs/>
          <w:lang w:val="en-US"/>
        </w:rPr>
        <w:t>Stuart K.C.</w:t>
      </w:r>
      <w:r>
        <w:rPr>
          <w:lang w:val="en-US"/>
        </w:rPr>
        <w:t xml:space="preserve"> contra.</w:t>
      </w:r>
    </w:p>
    <w:p w:rsidR="00122B25" w:rsidRDefault="00122B25" w:rsidP="00191B20">
      <w:pPr>
        <w:pStyle w:val="Reasons"/>
        <w:rPr>
          <w:lang w:val="en-US"/>
        </w:rPr>
      </w:pPr>
      <w:r>
        <w:rPr>
          <w:lang w:val="en-US"/>
        </w:rPr>
        <w:t>The judgment of the court was delivered by:</w:t>
      </w:r>
    </w:p>
    <w:p w:rsidR="00122B25" w:rsidRDefault="00122B25" w:rsidP="00191B20">
      <w:pPr>
        <w:pStyle w:val="Reasons"/>
        <w:rPr>
          <w:rFonts w:cs="Arial"/>
          <w:color w:val="000000"/>
          <w:szCs w:val="24"/>
          <w:lang w:val="en-US"/>
        </w:rPr>
      </w:pPr>
      <w:r>
        <w:rPr>
          <w:rFonts w:cs="Arial"/>
          <w:color w:val="000000"/>
          <w:szCs w:val="24"/>
          <w:lang w:val="en-US"/>
        </w:rPr>
        <w:t xml:space="preserve">GIROUARD J.—The decisions of this court in </w:t>
      </w:r>
      <w:r>
        <w:rPr>
          <w:rFonts w:cs="Arial"/>
          <w:i/>
          <w:iCs/>
          <w:color w:val="000000"/>
          <w:szCs w:val="24"/>
          <w:lang w:val="en-US"/>
        </w:rPr>
        <w:t>Chamberland</w:t>
      </w:r>
      <w:r>
        <w:rPr>
          <w:rFonts w:cs="Arial"/>
          <w:color w:val="000000"/>
          <w:szCs w:val="24"/>
          <w:lang w:val="en-US"/>
        </w:rPr>
        <w:t xml:space="preserve"> v. </w:t>
      </w:r>
      <w:r>
        <w:rPr>
          <w:rFonts w:cs="Arial"/>
          <w:i/>
          <w:iCs/>
          <w:color w:val="000000"/>
          <w:szCs w:val="24"/>
          <w:lang w:val="en-US"/>
        </w:rPr>
        <w:t>Fortier</w:t>
      </w:r>
      <w:r w:rsidR="000D34BD">
        <w:rPr>
          <w:rStyle w:val="FootnoteReference"/>
          <w:rFonts w:cs="Arial"/>
          <w:i/>
          <w:iCs/>
          <w:color w:val="000000"/>
          <w:szCs w:val="24"/>
          <w:lang w:val="en-US"/>
        </w:rPr>
        <w:footnoteReference w:id="2"/>
      </w:r>
      <w:r>
        <w:rPr>
          <w:rFonts w:cs="Arial"/>
          <w:color w:val="000000"/>
          <w:szCs w:val="24"/>
          <w:lang w:val="en-US"/>
        </w:rPr>
        <w:t xml:space="preserve"> and especially in </w:t>
      </w:r>
      <w:r>
        <w:rPr>
          <w:rFonts w:cs="Arial"/>
          <w:i/>
          <w:iCs/>
          <w:color w:val="000000"/>
          <w:szCs w:val="24"/>
          <w:lang w:val="en-US"/>
        </w:rPr>
        <w:t>Galarneau</w:t>
      </w:r>
      <w:r>
        <w:rPr>
          <w:rFonts w:cs="Arial"/>
          <w:color w:val="000000"/>
          <w:szCs w:val="24"/>
          <w:lang w:val="en-US"/>
        </w:rPr>
        <w:t xml:space="preserve"> v. </w:t>
      </w:r>
      <w:r>
        <w:rPr>
          <w:rFonts w:cs="Arial"/>
          <w:i/>
          <w:iCs/>
          <w:color w:val="000000"/>
          <w:szCs w:val="24"/>
          <w:lang w:val="en-US"/>
        </w:rPr>
        <w:t>Guilbault</w:t>
      </w:r>
      <w:r w:rsidR="000D34BD">
        <w:rPr>
          <w:rStyle w:val="FootnoteReference"/>
          <w:rFonts w:cs="Arial"/>
          <w:i/>
          <w:iCs/>
          <w:color w:val="000000"/>
          <w:szCs w:val="24"/>
          <w:lang w:val="en-US"/>
        </w:rPr>
        <w:footnoteReference w:id="3"/>
      </w:r>
      <w:r>
        <w:rPr>
          <w:rFonts w:cs="Arial"/>
          <w:color w:val="000000"/>
          <w:szCs w:val="24"/>
          <w:lang w:val="en-US"/>
        </w:rPr>
        <w:t xml:space="preserve"> dispose of this motion to quash. Future rights are clearly at stake.</w:t>
      </w:r>
    </w:p>
    <w:p w:rsidR="00122B25" w:rsidRDefault="00122B25" w:rsidP="00191B20">
      <w:pPr>
        <w:pStyle w:val="Reasons"/>
        <w:rPr>
          <w:rFonts w:cs="Arial"/>
          <w:color w:val="000000"/>
          <w:szCs w:val="24"/>
          <w:lang w:val="en-US"/>
        </w:rPr>
      </w:pPr>
      <w:r>
        <w:rPr>
          <w:rFonts w:cs="Arial"/>
          <w:color w:val="000000"/>
          <w:szCs w:val="24"/>
          <w:lang w:val="en-US"/>
        </w:rPr>
        <w:t>The motion to quash is rejected with costs.</w:t>
      </w:r>
    </w:p>
    <w:p w:rsidR="00122B25" w:rsidRPr="00191B20" w:rsidRDefault="00122B25" w:rsidP="00191B20">
      <w:pPr>
        <w:pStyle w:val="Reasons"/>
        <w:rPr>
          <w:lang w:val="en-US"/>
        </w:rPr>
      </w:pPr>
      <w:r w:rsidRPr="00191B20">
        <w:rPr>
          <w:lang w:val="en-US"/>
        </w:rPr>
        <w:t>Motion dismissed with costs.</w:t>
      </w:r>
    </w:p>
    <w:p w:rsidR="00122B25" w:rsidRDefault="00122B25" w:rsidP="00191B20">
      <w:pPr>
        <w:pStyle w:val="Sollicitors"/>
        <w:rPr>
          <w:lang w:val="en-US"/>
        </w:rPr>
      </w:pPr>
      <w:r>
        <w:rPr>
          <w:lang w:val="en-US"/>
        </w:rPr>
        <w:t xml:space="preserve">Solicitors for the appellants: </w:t>
      </w:r>
      <w:r>
        <w:rPr>
          <w:iCs/>
          <w:lang w:val="en-US"/>
        </w:rPr>
        <w:t>Belleau, Belleau &amp; Belleau.</w:t>
      </w:r>
    </w:p>
    <w:p w:rsidR="00D66814" w:rsidRDefault="00122B25" w:rsidP="00191B20">
      <w:pPr>
        <w:pStyle w:val="Sollicitors"/>
      </w:pPr>
      <w:r>
        <w:rPr>
          <w:lang w:val="en-US"/>
        </w:rPr>
        <w:t xml:space="preserve">Solicitors for the respondents: </w:t>
      </w:r>
      <w:r>
        <w:rPr>
          <w:iCs/>
          <w:lang w:val="en-US"/>
        </w:rPr>
        <w:t xml:space="preserve">Drouin, </w:t>
      </w:r>
      <w:r>
        <w:rPr>
          <w:iCs/>
          <w:lang w:val="fr-FR"/>
        </w:rPr>
        <w:t>Pelletier &amp;</w:t>
      </w:r>
      <w:r>
        <w:rPr>
          <w:iCs/>
          <w:lang w:val="en-US"/>
        </w:rPr>
        <w:t xml:space="preserve"> Baillargeon.</w:t>
      </w:r>
    </w:p>
    <w:sectPr w:rsidR="00D66814" w:rsidSect="000A02A9">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A81" w:rsidRDefault="00F53A81" w:rsidP="000A02A9">
      <w:r>
        <w:separator/>
      </w:r>
    </w:p>
  </w:endnote>
  <w:endnote w:type="continuationSeparator" w:id="1">
    <w:p w:rsidR="00F53A81" w:rsidRDefault="00F53A81" w:rsidP="000A0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9" w:rsidRDefault="000A0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9" w:rsidRDefault="000A02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9" w:rsidRDefault="000A0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A81" w:rsidRDefault="00F53A81" w:rsidP="000A02A9">
      <w:r>
        <w:separator/>
      </w:r>
    </w:p>
  </w:footnote>
  <w:footnote w:type="continuationSeparator" w:id="1">
    <w:p w:rsidR="00F53A81" w:rsidRDefault="00F53A81" w:rsidP="000A02A9">
      <w:r>
        <w:continuationSeparator/>
      </w:r>
    </w:p>
  </w:footnote>
  <w:footnote w:id="2">
    <w:p w:rsidR="000D34BD" w:rsidRPr="000D34BD" w:rsidRDefault="000D34BD">
      <w:pPr>
        <w:pStyle w:val="FootnoteText"/>
        <w:rPr>
          <w:sz w:val="20"/>
          <w:lang w:val="en-US"/>
        </w:rPr>
      </w:pPr>
      <w:r w:rsidRPr="000D34BD">
        <w:rPr>
          <w:rStyle w:val="FootnoteReference"/>
          <w:sz w:val="20"/>
        </w:rPr>
        <w:footnoteRef/>
      </w:r>
      <w:r w:rsidRPr="000D34BD">
        <w:rPr>
          <w:sz w:val="20"/>
        </w:rPr>
        <w:t xml:space="preserve"> </w:t>
      </w:r>
      <w:r w:rsidRPr="000D34BD">
        <w:rPr>
          <w:rFonts w:cs="Arial"/>
          <w:color w:val="000000"/>
          <w:sz w:val="20"/>
          <w:lang w:val="en-US"/>
        </w:rPr>
        <w:t>23 Can. S. C. R. 371 at p. 374.</w:t>
      </w:r>
    </w:p>
  </w:footnote>
  <w:footnote w:id="3">
    <w:p w:rsidR="000D34BD" w:rsidRPr="000D34BD" w:rsidRDefault="000D34BD">
      <w:pPr>
        <w:pStyle w:val="FootnoteText"/>
        <w:rPr>
          <w:sz w:val="20"/>
          <w:lang w:val="en-US"/>
        </w:rPr>
      </w:pPr>
      <w:r w:rsidRPr="000D34BD">
        <w:rPr>
          <w:rStyle w:val="FootnoteReference"/>
          <w:sz w:val="20"/>
        </w:rPr>
        <w:footnoteRef/>
      </w:r>
      <w:r w:rsidRPr="000D34BD">
        <w:rPr>
          <w:sz w:val="20"/>
        </w:rPr>
        <w:t xml:space="preserve"> </w:t>
      </w:r>
      <w:r w:rsidRPr="000D34BD">
        <w:rPr>
          <w:rFonts w:cs="Arial"/>
          <w:color w:val="000000"/>
          <w:sz w:val="20"/>
          <w:lang w:val="en-US"/>
        </w:rPr>
        <w:t>16 Can. S. C. R. 579.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9" w:rsidRDefault="000A02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9" w:rsidRDefault="000A02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9" w:rsidRDefault="000A02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0D421880">
      <w:start w:val="1"/>
      <w:numFmt w:val="decimal"/>
      <w:pStyle w:val="ParagNum"/>
      <w:lvlText w:val="[%1]"/>
      <w:lvlJc w:val="left"/>
      <w:pPr>
        <w:tabs>
          <w:tab w:val="num" w:pos="369"/>
        </w:tabs>
        <w:ind w:left="369" w:hanging="369"/>
      </w:pPr>
    </w:lvl>
    <w:lvl w:ilvl="1" w:tplc="6C962F46" w:tentative="1">
      <w:start w:val="1"/>
      <w:numFmt w:val="lowerLetter"/>
      <w:lvlText w:val="%2."/>
      <w:lvlJc w:val="left"/>
      <w:pPr>
        <w:tabs>
          <w:tab w:val="num" w:pos="1440"/>
        </w:tabs>
        <w:ind w:left="1440" w:hanging="360"/>
      </w:pPr>
    </w:lvl>
    <w:lvl w:ilvl="2" w:tplc="D988F7C4" w:tentative="1">
      <w:start w:val="1"/>
      <w:numFmt w:val="lowerRoman"/>
      <w:lvlText w:val="%3."/>
      <w:lvlJc w:val="right"/>
      <w:pPr>
        <w:tabs>
          <w:tab w:val="num" w:pos="2160"/>
        </w:tabs>
        <w:ind w:left="2160" w:hanging="180"/>
      </w:pPr>
    </w:lvl>
    <w:lvl w:ilvl="3" w:tplc="C2302940" w:tentative="1">
      <w:start w:val="1"/>
      <w:numFmt w:val="decimal"/>
      <w:lvlText w:val="%4."/>
      <w:lvlJc w:val="left"/>
      <w:pPr>
        <w:tabs>
          <w:tab w:val="num" w:pos="2880"/>
        </w:tabs>
        <w:ind w:left="2880" w:hanging="360"/>
      </w:pPr>
    </w:lvl>
    <w:lvl w:ilvl="4" w:tplc="D2468288" w:tentative="1">
      <w:start w:val="1"/>
      <w:numFmt w:val="lowerLetter"/>
      <w:lvlText w:val="%5."/>
      <w:lvlJc w:val="left"/>
      <w:pPr>
        <w:tabs>
          <w:tab w:val="num" w:pos="3600"/>
        </w:tabs>
        <w:ind w:left="3600" w:hanging="360"/>
      </w:pPr>
    </w:lvl>
    <w:lvl w:ilvl="5" w:tplc="FDEC0494" w:tentative="1">
      <w:start w:val="1"/>
      <w:numFmt w:val="lowerRoman"/>
      <w:lvlText w:val="%6."/>
      <w:lvlJc w:val="right"/>
      <w:pPr>
        <w:tabs>
          <w:tab w:val="num" w:pos="4320"/>
        </w:tabs>
        <w:ind w:left="4320" w:hanging="180"/>
      </w:pPr>
    </w:lvl>
    <w:lvl w:ilvl="6" w:tplc="F69E8E6C" w:tentative="1">
      <w:start w:val="1"/>
      <w:numFmt w:val="decimal"/>
      <w:lvlText w:val="%7."/>
      <w:lvlJc w:val="left"/>
      <w:pPr>
        <w:tabs>
          <w:tab w:val="num" w:pos="5040"/>
        </w:tabs>
        <w:ind w:left="5040" w:hanging="360"/>
      </w:pPr>
    </w:lvl>
    <w:lvl w:ilvl="7" w:tplc="50DC8B0E" w:tentative="1">
      <w:start w:val="1"/>
      <w:numFmt w:val="lowerLetter"/>
      <w:lvlText w:val="%8."/>
      <w:lvlJc w:val="left"/>
      <w:pPr>
        <w:tabs>
          <w:tab w:val="num" w:pos="5760"/>
        </w:tabs>
        <w:ind w:left="5760" w:hanging="360"/>
      </w:pPr>
    </w:lvl>
    <w:lvl w:ilvl="8" w:tplc="3A4CD17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2B25"/>
    <w:rsid w:val="000002E8"/>
    <w:rsid w:val="000A02A9"/>
    <w:rsid w:val="000C50FB"/>
    <w:rsid w:val="000D34BD"/>
    <w:rsid w:val="00122B25"/>
    <w:rsid w:val="00171888"/>
    <w:rsid w:val="00173235"/>
    <w:rsid w:val="00191B20"/>
    <w:rsid w:val="00195253"/>
    <w:rsid w:val="001C2DBF"/>
    <w:rsid w:val="00231681"/>
    <w:rsid w:val="002A1D3F"/>
    <w:rsid w:val="002D3829"/>
    <w:rsid w:val="00330640"/>
    <w:rsid w:val="00365C12"/>
    <w:rsid w:val="003B4306"/>
    <w:rsid w:val="00457960"/>
    <w:rsid w:val="00541E80"/>
    <w:rsid w:val="006441A4"/>
    <w:rsid w:val="008037D4"/>
    <w:rsid w:val="008C2CAF"/>
    <w:rsid w:val="00901431"/>
    <w:rsid w:val="009C08B5"/>
    <w:rsid w:val="00B64B42"/>
    <w:rsid w:val="00B968E3"/>
    <w:rsid w:val="00C717D5"/>
    <w:rsid w:val="00D66814"/>
    <w:rsid w:val="00DE0F63"/>
    <w:rsid w:val="00E556CF"/>
    <w:rsid w:val="00F53A81"/>
    <w:rsid w:val="00FD7B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5C1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65C1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65C1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65C12"/>
  </w:style>
  <w:style w:type="paragraph" w:styleId="Header">
    <w:name w:val="header"/>
    <w:basedOn w:val="Normal"/>
    <w:link w:val="HeaderChar"/>
    <w:uiPriority w:val="99"/>
    <w:unhideWhenUsed/>
    <w:rsid w:val="00365C12"/>
    <w:pPr>
      <w:tabs>
        <w:tab w:val="center" w:pos="4680"/>
        <w:tab w:val="right" w:pos="9360"/>
      </w:tabs>
    </w:pPr>
    <w:rPr>
      <w:rFonts w:ascii="Times New Roman" w:hAnsi="Times New Roman"/>
    </w:rPr>
  </w:style>
  <w:style w:type="character" w:customStyle="1" w:styleId="HeaderChar">
    <w:name w:val="Header Char"/>
    <w:link w:val="Header"/>
    <w:uiPriority w:val="99"/>
    <w:rsid w:val="00365C1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65C12"/>
    <w:pPr>
      <w:tabs>
        <w:tab w:val="center" w:pos="4680"/>
        <w:tab w:val="right" w:pos="9360"/>
      </w:tabs>
    </w:pPr>
    <w:rPr>
      <w:rFonts w:ascii="Times New Roman" w:hAnsi="Times New Roman"/>
    </w:rPr>
  </w:style>
  <w:style w:type="character" w:customStyle="1" w:styleId="FooterChar">
    <w:name w:val="Footer Char"/>
    <w:link w:val="Footer"/>
    <w:uiPriority w:val="99"/>
    <w:rsid w:val="00365C1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D382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65C12"/>
    <w:pPr>
      <w:spacing w:before="100" w:beforeAutospacing="1"/>
      <w:ind w:left="567"/>
      <w:jc w:val="both"/>
    </w:pPr>
  </w:style>
  <w:style w:type="paragraph" w:customStyle="1" w:styleId="Metadata">
    <w:name w:val="Metadata"/>
    <w:basedOn w:val="Normal"/>
    <w:rsid w:val="00365C12"/>
    <w:pPr>
      <w:spacing w:before="100" w:beforeAutospacing="1" w:after="100" w:afterAutospacing="1"/>
    </w:pPr>
    <w:rPr>
      <w:rFonts w:cs="Arial"/>
      <w:szCs w:val="24"/>
    </w:rPr>
  </w:style>
  <w:style w:type="paragraph" w:customStyle="1" w:styleId="Page">
    <w:name w:val="Page"/>
    <w:basedOn w:val="Normal"/>
    <w:link w:val="PageChar"/>
    <w:rsid w:val="00365C12"/>
    <w:pPr>
      <w:spacing w:before="100" w:beforeAutospacing="1" w:after="100" w:afterAutospacing="1"/>
    </w:pPr>
    <w:rPr>
      <w:i/>
    </w:rPr>
  </w:style>
  <w:style w:type="paragraph" w:styleId="FootnoteText">
    <w:name w:val="footnote text"/>
    <w:basedOn w:val="Normal"/>
    <w:link w:val="FootnoteTextChar"/>
    <w:autoRedefine/>
    <w:semiHidden/>
    <w:rsid w:val="00365C12"/>
    <w:rPr>
      <w:sz w:val="16"/>
      <w:szCs w:val="20"/>
    </w:rPr>
  </w:style>
  <w:style w:type="character" w:customStyle="1" w:styleId="FootnoteTextChar">
    <w:name w:val="Footnote Text Char"/>
    <w:link w:val="FootnoteText"/>
    <w:semiHidden/>
    <w:rsid w:val="00365C12"/>
    <w:rPr>
      <w:rFonts w:ascii="Arial" w:eastAsia="MS Mincho" w:hAnsi="Arial" w:cs="Times New Roman"/>
      <w:sz w:val="16"/>
      <w:szCs w:val="20"/>
      <w:lang w:val="en-CA" w:eastAsia="ja-JP"/>
    </w:rPr>
  </w:style>
  <w:style w:type="character" w:styleId="FootnoteReference">
    <w:name w:val="footnote reference"/>
    <w:semiHidden/>
    <w:rsid w:val="00365C12"/>
    <w:rPr>
      <w:vertAlign w:val="superscript"/>
    </w:rPr>
  </w:style>
  <w:style w:type="paragraph" w:customStyle="1" w:styleId="ParagNum">
    <w:name w:val="ParagNum"/>
    <w:basedOn w:val="Normal"/>
    <w:rsid w:val="00365C1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65C12"/>
    <w:pPr>
      <w:spacing w:before="100" w:beforeAutospacing="1" w:after="100" w:afterAutospacing="1" w:line="360" w:lineRule="auto"/>
    </w:pPr>
  </w:style>
  <w:style w:type="paragraph" w:customStyle="1" w:styleId="Indent2">
    <w:name w:val="Indent 2"/>
    <w:basedOn w:val="Indent1"/>
    <w:rsid w:val="00365C12"/>
    <w:pPr>
      <w:ind w:left="1134"/>
    </w:pPr>
  </w:style>
  <w:style w:type="paragraph" w:customStyle="1" w:styleId="Indent3">
    <w:name w:val="Indent 3"/>
    <w:basedOn w:val="Indent1"/>
    <w:rsid w:val="00365C12"/>
    <w:pPr>
      <w:ind w:left="1701"/>
    </w:pPr>
  </w:style>
  <w:style w:type="paragraph" w:customStyle="1" w:styleId="Indent4">
    <w:name w:val="Indent 4"/>
    <w:basedOn w:val="Indent1"/>
    <w:rsid w:val="00365C12"/>
    <w:pPr>
      <w:ind w:left="2268"/>
    </w:pPr>
  </w:style>
  <w:style w:type="paragraph" w:customStyle="1" w:styleId="Indent10">
    <w:name w:val="Indent1"/>
    <w:basedOn w:val="Reasons"/>
    <w:rsid w:val="00365C12"/>
    <w:pPr>
      <w:ind w:left="567"/>
    </w:pPr>
  </w:style>
  <w:style w:type="paragraph" w:customStyle="1" w:styleId="Indent20">
    <w:name w:val="Indent2"/>
    <w:basedOn w:val="Indent10"/>
    <w:rsid w:val="00365C12"/>
    <w:pPr>
      <w:ind w:left="1134"/>
    </w:pPr>
  </w:style>
  <w:style w:type="paragraph" w:customStyle="1" w:styleId="Indent30">
    <w:name w:val="Indent3"/>
    <w:basedOn w:val="Indent10"/>
    <w:rsid w:val="00365C12"/>
    <w:pPr>
      <w:ind w:left="1701"/>
    </w:pPr>
  </w:style>
  <w:style w:type="paragraph" w:customStyle="1" w:styleId="Indent40">
    <w:name w:val="Indent4"/>
    <w:basedOn w:val="Indent10"/>
    <w:rsid w:val="00365C12"/>
    <w:pPr>
      <w:ind w:left="2268"/>
    </w:pPr>
  </w:style>
  <w:style w:type="paragraph" w:customStyle="1" w:styleId="Keywords">
    <w:name w:val="Keywords"/>
    <w:basedOn w:val="Normal"/>
    <w:rsid w:val="00365C12"/>
    <w:pPr>
      <w:spacing w:before="100" w:beforeAutospacing="1" w:after="100" w:afterAutospacing="1"/>
    </w:pPr>
    <w:rPr>
      <w:rFonts w:cs="Arial"/>
      <w:i/>
      <w:szCs w:val="24"/>
    </w:rPr>
  </w:style>
  <w:style w:type="paragraph" w:customStyle="1" w:styleId="Summary">
    <w:name w:val="Summary"/>
    <w:basedOn w:val="Normal"/>
    <w:autoRedefine/>
    <w:rsid w:val="00365C12"/>
    <w:pPr>
      <w:spacing w:before="100" w:beforeAutospacing="1" w:after="100" w:afterAutospacing="1"/>
      <w:ind w:left="562" w:hanging="562"/>
    </w:pPr>
    <w:rPr>
      <w:rFonts w:cs="Arial"/>
    </w:rPr>
  </w:style>
  <w:style w:type="paragraph" w:customStyle="1" w:styleId="History">
    <w:name w:val="History"/>
    <w:basedOn w:val="Normal"/>
    <w:rsid w:val="00365C12"/>
    <w:pPr>
      <w:spacing w:before="100" w:beforeAutospacing="1" w:after="100" w:afterAutospacing="1"/>
      <w:ind w:firstLine="567"/>
    </w:pPr>
  </w:style>
  <w:style w:type="paragraph" w:customStyle="1" w:styleId="T1">
    <w:name w:val="T1"/>
    <w:basedOn w:val="Normal"/>
    <w:rsid w:val="00365C12"/>
    <w:pPr>
      <w:spacing w:before="240" w:after="100" w:afterAutospacing="1"/>
    </w:pPr>
    <w:rPr>
      <w:b/>
    </w:rPr>
  </w:style>
  <w:style w:type="paragraph" w:customStyle="1" w:styleId="T2">
    <w:name w:val="T2"/>
    <w:basedOn w:val="Normal"/>
    <w:rsid w:val="00365C12"/>
    <w:pPr>
      <w:spacing w:before="240" w:after="100" w:afterAutospacing="1"/>
    </w:pPr>
  </w:style>
  <w:style w:type="paragraph" w:customStyle="1" w:styleId="Sollicitors">
    <w:name w:val="Sollicitors"/>
    <w:basedOn w:val="Normal"/>
    <w:rsid w:val="00365C12"/>
    <w:pPr>
      <w:spacing w:before="100" w:beforeAutospacing="1" w:after="100" w:afterAutospacing="1"/>
    </w:pPr>
    <w:rPr>
      <w:i/>
    </w:rPr>
  </w:style>
  <w:style w:type="paragraph" w:customStyle="1" w:styleId="Court">
    <w:name w:val="Court"/>
    <w:basedOn w:val="Normal"/>
    <w:rsid w:val="00365C12"/>
    <w:rPr>
      <w:rFonts w:cs="Arial"/>
      <w:b/>
      <w:szCs w:val="24"/>
    </w:rPr>
  </w:style>
  <w:style w:type="character" w:customStyle="1" w:styleId="PageChar">
    <w:name w:val="Page Char"/>
    <w:link w:val="Page"/>
    <w:rsid w:val="00365C12"/>
    <w:rPr>
      <w:rFonts w:ascii="Arial" w:eastAsia="MS Mincho" w:hAnsi="Arial" w:cs="Times New Roman"/>
      <w:i/>
      <w:sz w:val="24"/>
      <w:szCs w:val="28"/>
      <w:lang w:val="en-CA" w:eastAsia="ja-JP"/>
    </w:rPr>
  </w:style>
  <w:style w:type="character" w:customStyle="1" w:styleId="ReasonsCar">
    <w:name w:val="Reasons Car"/>
    <w:link w:val="Reasons"/>
    <w:rsid w:val="00365C12"/>
    <w:rPr>
      <w:rFonts w:ascii="Arial" w:eastAsia="MS Mincho" w:hAnsi="Arial" w:cs="Times New Roman"/>
      <w:sz w:val="24"/>
      <w:szCs w:val="28"/>
      <w:lang w:val="en-CA" w:eastAsia="ja-JP"/>
    </w:rPr>
  </w:style>
  <w:style w:type="paragraph" w:customStyle="1" w:styleId="CitationLine">
    <w:name w:val="CitationLine"/>
    <w:basedOn w:val="Court"/>
    <w:rsid w:val="00365C12"/>
  </w:style>
  <w:style w:type="paragraph" w:customStyle="1" w:styleId="DateISO">
    <w:name w:val="DateISO"/>
    <w:basedOn w:val="Court"/>
    <w:rsid w:val="00365C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6</cp:revision>
  <dcterms:created xsi:type="dcterms:W3CDTF">2015-03-29T12:10:00Z</dcterms:created>
  <dcterms:modified xsi:type="dcterms:W3CDTF">2015-03-29T16:17:00Z</dcterms:modified>
</cp:coreProperties>
</file>