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1B" w:rsidRDefault="001F341B" w:rsidP="001F341B">
      <w:pPr>
        <w:pStyle w:val="Court"/>
        <w:rPr>
          <w:lang w:val="en-US"/>
        </w:rPr>
      </w:pPr>
      <w:r>
        <w:rPr>
          <w:lang w:val="en-US"/>
        </w:rPr>
        <w:t>Supreme Court of Canada</w:t>
      </w:r>
    </w:p>
    <w:p w:rsidR="001F341B" w:rsidRDefault="001F341B" w:rsidP="001F341B">
      <w:pPr>
        <w:pStyle w:val="CitationLine"/>
        <w:rPr>
          <w:lang w:val="en-US"/>
        </w:rPr>
      </w:pPr>
      <w:r w:rsidRPr="001F341B">
        <w:rPr>
          <w:lang w:val="en-US"/>
        </w:rPr>
        <w:t xml:space="preserve">City of Halifax </w:t>
      </w:r>
      <w:r w:rsidRPr="001F341B">
        <w:rPr>
          <w:i/>
          <w:iCs/>
          <w:lang w:val="en-US"/>
        </w:rPr>
        <w:t>v.</w:t>
      </w:r>
      <w:r w:rsidRPr="001F341B">
        <w:rPr>
          <w:lang w:val="en-US"/>
        </w:rPr>
        <w:t xml:space="preserve"> Kenny</w:t>
      </w:r>
      <w:r>
        <w:rPr>
          <w:lang w:val="en-US"/>
        </w:rPr>
        <w:t xml:space="preserve"> (1879) 3 SCR 497</w:t>
      </w:r>
    </w:p>
    <w:p w:rsidR="001F341B" w:rsidRDefault="001F341B" w:rsidP="001F341B">
      <w:pPr>
        <w:pStyle w:val="DateISO"/>
        <w:rPr>
          <w:lang w:val="en-US"/>
        </w:rPr>
      </w:pPr>
      <w:r>
        <w:rPr>
          <w:lang w:val="en-US"/>
        </w:rPr>
        <w:t>Date: 1879-06-04</w:t>
      </w:r>
    </w:p>
    <w:p w:rsidR="00E0371C" w:rsidRPr="001F341B" w:rsidRDefault="00E0371C" w:rsidP="001F341B">
      <w:pPr>
        <w:pStyle w:val="Metadata"/>
        <w:rPr>
          <w:lang w:val="en-US"/>
        </w:rPr>
      </w:pPr>
      <w:r w:rsidRPr="001F341B">
        <w:rPr>
          <w:lang w:val="en-US"/>
        </w:rPr>
        <w:t>THE CITY OF HALIFAX</w:t>
      </w:r>
    </w:p>
    <w:p w:rsidR="00E0371C" w:rsidRPr="001F341B" w:rsidRDefault="00022441" w:rsidP="001F341B">
      <w:pPr>
        <w:pStyle w:val="Metadata"/>
        <w:rPr>
          <w:lang w:val="en-US"/>
        </w:rPr>
      </w:pPr>
      <w:r>
        <w:rPr>
          <w:lang w:val="en-US"/>
        </w:rPr>
        <w:t>Appellants</w:t>
      </w:r>
    </w:p>
    <w:p w:rsidR="00E0371C" w:rsidRPr="001F341B" w:rsidRDefault="00E0371C" w:rsidP="001F341B">
      <w:pPr>
        <w:pStyle w:val="Metadata"/>
        <w:rPr>
          <w:lang w:val="en-US"/>
        </w:rPr>
      </w:pPr>
      <w:r w:rsidRPr="001F341B">
        <w:rPr>
          <w:lang w:val="en-US"/>
        </w:rPr>
        <w:t>AND</w:t>
      </w:r>
    </w:p>
    <w:p w:rsidR="00E0371C" w:rsidRPr="001F341B" w:rsidRDefault="00022441" w:rsidP="001F341B">
      <w:pPr>
        <w:pStyle w:val="Metadata"/>
        <w:rPr>
          <w:lang w:val="en-US"/>
        </w:rPr>
      </w:pPr>
      <w:r>
        <w:rPr>
          <w:lang w:val="en-US"/>
        </w:rPr>
        <w:t>THOMAS E. KENNY</w:t>
      </w:r>
    </w:p>
    <w:p w:rsidR="00E0371C" w:rsidRPr="001F341B" w:rsidRDefault="00022441" w:rsidP="001F341B">
      <w:pPr>
        <w:pStyle w:val="Metadata"/>
        <w:rPr>
          <w:lang w:val="en-US"/>
        </w:rPr>
      </w:pPr>
      <w:r>
        <w:rPr>
          <w:lang w:val="en-US"/>
        </w:rPr>
        <w:t>Respondent</w:t>
      </w:r>
    </w:p>
    <w:p w:rsidR="001F341B" w:rsidRDefault="001F341B" w:rsidP="001F341B">
      <w:pPr>
        <w:pStyle w:val="Metadata"/>
        <w:rPr>
          <w:lang w:val="en-US"/>
        </w:rPr>
      </w:pPr>
      <w:r>
        <w:rPr>
          <w:lang w:val="en-US"/>
        </w:rPr>
        <w:t>1879: June 4.</w:t>
      </w:r>
    </w:p>
    <w:p w:rsidR="001F341B" w:rsidRDefault="001F341B" w:rsidP="001F341B">
      <w:pPr>
        <w:pStyle w:val="Metadata"/>
        <w:rPr>
          <w:lang w:val="en-US"/>
        </w:rPr>
      </w:pPr>
      <w:r w:rsidRPr="001F341B">
        <w:rPr>
          <w:lang w:val="en-US"/>
        </w:rPr>
        <w:t>Present</w:t>
      </w:r>
      <w:r>
        <w:rPr>
          <w:lang w:val="en-US"/>
        </w:rPr>
        <w:t xml:space="preserve">:—Ritchie, C. J., and Strong, Fournier, Henry, </w:t>
      </w:r>
      <w:proofErr w:type="spellStart"/>
      <w:r>
        <w:rPr>
          <w:lang w:val="en-US"/>
        </w:rPr>
        <w:t>Taschereau</w:t>
      </w:r>
      <w:proofErr w:type="spellEnd"/>
      <w:r>
        <w:rPr>
          <w:lang w:val="en-US"/>
        </w:rPr>
        <w:t xml:space="preserve"> and Gwynne, J. J.</w:t>
      </w:r>
    </w:p>
    <w:p w:rsidR="00E0371C" w:rsidRDefault="00E0371C" w:rsidP="001F341B">
      <w:pPr>
        <w:pStyle w:val="Metadata"/>
        <w:rPr>
          <w:lang w:val="en-US"/>
        </w:rPr>
      </w:pPr>
      <w:proofErr w:type="gramStart"/>
      <w:r>
        <w:rPr>
          <w:lang w:val="en-US"/>
        </w:rPr>
        <w:t>ON APPEAL FROM THE SUPREME COURT OF NOVA SCOTIA.</w:t>
      </w:r>
      <w:proofErr w:type="gramEnd"/>
    </w:p>
    <w:p w:rsidR="00E0371C" w:rsidRDefault="00E0371C" w:rsidP="001F341B">
      <w:pPr>
        <w:pStyle w:val="Keywords"/>
        <w:rPr>
          <w:lang w:val="en-US"/>
        </w:rPr>
      </w:pPr>
      <w:r>
        <w:rPr>
          <w:lang w:val="en-US"/>
        </w:rPr>
        <w:t>Assessment of Ships—37 Vic., c. 30, sec. 1, and 27 Vic., c. 81, Rev. St. N. S</w:t>
      </w:r>
      <w:proofErr w:type="gramStart"/>
      <w:r>
        <w:rPr>
          <w:lang w:val="en-US"/>
        </w:rPr>
        <w:t>.—</w:t>
      </w:r>
      <w:proofErr w:type="gramEnd"/>
      <w:r>
        <w:rPr>
          <w:lang w:val="en-US"/>
        </w:rPr>
        <w:t xml:space="preserve"> Vessels not registered in Halifax not liable.</w:t>
      </w:r>
    </w:p>
    <w:p w:rsidR="00E0371C" w:rsidRDefault="00E0371C" w:rsidP="001F341B">
      <w:pPr>
        <w:pStyle w:val="Summary"/>
        <w:rPr>
          <w:lang w:val="en-US"/>
        </w:rPr>
      </w:pPr>
      <w:r>
        <w:rPr>
          <w:i/>
          <w:iCs/>
          <w:lang w:val="en-US"/>
        </w:rPr>
        <w:t>K.</w:t>
      </w:r>
      <w:r>
        <w:rPr>
          <w:lang w:val="en-US"/>
        </w:rPr>
        <w:t xml:space="preserve"> resides and does business in the city of </w:t>
      </w:r>
      <w:r>
        <w:rPr>
          <w:i/>
          <w:iCs/>
          <w:lang w:val="en-US"/>
        </w:rPr>
        <w:t>Halifax</w:t>
      </w:r>
      <w:r>
        <w:rPr>
          <w:lang w:val="en-US"/>
        </w:rPr>
        <w:t xml:space="preserve">, and is owner of ships which are not registered at the City of </w:t>
      </w:r>
      <w:r>
        <w:rPr>
          <w:i/>
          <w:iCs/>
          <w:lang w:val="en-US"/>
        </w:rPr>
        <w:t>Halifax</w:t>
      </w:r>
      <w:r>
        <w:rPr>
          <w:lang w:val="en-US"/>
        </w:rPr>
        <w:t xml:space="preserve">, and which have never visited the Port of </w:t>
      </w:r>
      <w:r>
        <w:rPr>
          <w:i/>
          <w:iCs/>
          <w:lang w:val="en-US"/>
        </w:rPr>
        <w:t>Halifax.</w:t>
      </w:r>
      <w:r>
        <w:rPr>
          <w:lang w:val="en-US"/>
        </w:rPr>
        <w:t xml:space="preserve"> </w:t>
      </w:r>
      <w:proofErr w:type="gramStart"/>
      <w:r>
        <w:rPr>
          <w:lang w:val="en-US"/>
        </w:rPr>
        <w:t xml:space="preserve">Under the authority of 37 Vic. c. 30 sec. 1 and 27 Vic., c. 81 </w:t>
      </w:r>
      <w:proofErr w:type="spellStart"/>
      <w:r>
        <w:rPr>
          <w:lang w:val="en-US"/>
        </w:rPr>
        <w:t>secs</w:t>
      </w:r>
      <w:proofErr w:type="spellEnd"/>
      <w:r>
        <w:rPr>
          <w:lang w:val="en-US"/>
        </w:rPr>
        <w:t>.</w:t>
      </w:r>
      <w:proofErr w:type="gramEnd"/>
      <w:r>
        <w:rPr>
          <w:lang w:val="en-US"/>
        </w:rPr>
        <w:t xml:space="preserve"> 340, 347, 361, Rev. St. </w:t>
      </w:r>
      <w:r>
        <w:rPr>
          <w:i/>
          <w:iCs/>
          <w:lang w:val="en-US"/>
        </w:rPr>
        <w:t>N. S.</w:t>
      </w:r>
      <w:r>
        <w:rPr>
          <w:lang w:val="en-US"/>
        </w:rPr>
        <w:t xml:space="preserve">, the assessors of the City of </w:t>
      </w:r>
      <w:r>
        <w:rPr>
          <w:i/>
          <w:iCs/>
          <w:lang w:val="en-US"/>
        </w:rPr>
        <w:t>Halifax</w:t>
      </w:r>
      <w:r>
        <w:rPr>
          <w:lang w:val="en-US"/>
        </w:rPr>
        <w:t xml:space="preserve"> valued the property of </w:t>
      </w:r>
      <w:r>
        <w:rPr>
          <w:i/>
          <w:iCs/>
          <w:lang w:val="en-US"/>
        </w:rPr>
        <w:t>K.</w:t>
      </w:r>
      <w:r>
        <w:rPr>
          <w:lang w:val="en-US"/>
        </w:rPr>
        <w:t xml:space="preserve"> and included therein the value of said vessels.</w:t>
      </w:r>
    </w:p>
    <w:p w:rsidR="00E0371C" w:rsidRDefault="00E0371C" w:rsidP="001F341B">
      <w:pPr>
        <w:pStyle w:val="Summary"/>
        <w:rPr>
          <w:szCs w:val="24"/>
          <w:lang w:val="en-US"/>
        </w:rPr>
      </w:pPr>
      <w:r>
        <w:rPr>
          <w:i/>
          <w:iCs/>
          <w:szCs w:val="24"/>
          <w:lang w:val="en-US"/>
        </w:rPr>
        <w:t>Held</w:t>
      </w:r>
      <w:r>
        <w:rPr>
          <w:szCs w:val="24"/>
          <w:lang w:val="en-US"/>
        </w:rPr>
        <w:t xml:space="preserve">: That vessels owned by a resident, but never registered at </w:t>
      </w:r>
      <w:r>
        <w:rPr>
          <w:i/>
          <w:iCs/>
          <w:szCs w:val="24"/>
          <w:lang w:val="en-US"/>
        </w:rPr>
        <w:t>Halifax</w:t>
      </w:r>
      <w:r>
        <w:rPr>
          <w:szCs w:val="24"/>
          <w:lang w:val="en-US"/>
        </w:rPr>
        <w:t>, and always sailing abroad, did not come within the meaning of the words "</w:t>
      </w:r>
      <w:r>
        <w:rPr>
          <w:i/>
          <w:iCs/>
          <w:szCs w:val="24"/>
          <w:lang w:val="en-US"/>
        </w:rPr>
        <w:t xml:space="preserve">whether such ships or vessels </w:t>
      </w:r>
      <w:proofErr w:type="gramStart"/>
      <w:r>
        <w:rPr>
          <w:i/>
          <w:iCs/>
          <w:szCs w:val="24"/>
          <w:lang w:val="en-US"/>
        </w:rPr>
        <w:t>be</w:t>
      </w:r>
      <w:proofErr w:type="gramEnd"/>
      <w:r>
        <w:rPr>
          <w:i/>
          <w:iCs/>
          <w:szCs w:val="24"/>
          <w:lang w:val="en-US"/>
        </w:rPr>
        <w:t xml:space="preserve"> at home or abroad at the time of assessment</w:t>
      </w:r>
      <w:r>
        <w:rPr>
          <w:szCs w:val="24"/>
          <w:lang w:val="en-US"/>
        </w:rPr>
        <w:t>," and therefore were not liable to be assessed for city taxes.</w:t>
      </w:r>
    </w:p>
    <w:p w:rsidR="00E0371C" w:rsidRDefault="00E0371C" w:rsidP="001F341B">
      <w:pPr>
        <w:pStyle w:val="History"/>
        <w:rPr>
          <w:lang w:val="en-US"/>
        </w:rPr>
      </w:pPr>
      <w:r w:rsidRPr="001F341B">
        <w:rPr>
          <w:lang w:val="en-US"/>
        </w:rPr>
        <w:t>Appeal</w:t>
      </w:r>
      <w:r>
        <w:rPr>
          <w:lang w:val="en-US"/>
        </w:rPr>
        <w:t xml:space="preserve"> from a judgment rendered by the Supreme Court of </w:t>
      </w:r>
      <w:r>
        <w:rPr>
          <w:i/>
          <w:iCs/>
          <w:lang w:val="en-US"/>
        </w:rPr>
        <w:t>Nova Scotia</w:t>
      </w:r>
      <w:r>
        <w:rPr>
          <w:lang w:val="en-US"/>
        </w:rPr>
        <w:t xml:space="preserve"> in favor of the respondent on a special case submitted to that court for determination.</w:t>
      </w:r>
    </w:p>
    <w:p w:rsidR="00E0371C" w:rsidRDefault="00E0371C" w:rsidP="001F341B">
      <w:pPr>
        <w:pStyle w:val="History"/>
        <w:rPr>
          <w:rFonts w:cs="Arial"/>
          <w:szCs w:val="24"/>
          <w:lang w:val="en-US"/>
        </w:rPr>
      </w:pPr>
      <w:r>
        <w:rPr>
          <w:rFonts w:cs="Arial"/>
          <w:szCs w:val="24"/>
          <w:lang w:val="en-US"/>
        </w:rPr>
        <w:t>The following is the special case entered:</w:t>
      </w:r>
    </w:p>
    <w:p w:rsidR="00E0371C" w:rsidRDefault="00E0371C" w:rsidP="001F341B">
      <w:pPr>
        <w:pStyle w:val="History"/>
        <w:rPr>
          <w:rFonts w:cs="Arial"/>
          <w:szCs w:val="24"/>
          <w:lang w:val="en-US"/>
        </w:rPr>
      </w:pPr>
      <w:r>
        <w:rPr>
          <w:rFonts w:cs="Arial"/>
          <w:szCs w:val="24"/>
          <w:lang w:val="en-US"/>
        </w:rPr>
        <w:t xml:space="preserve">"Case entered into by consent of parties for argument before the Supreme Court at </w:t>
      </w:r>
      <w:r>
        <w:rPr>
          <w:rFonts w:cs="Arial"/>
          <w:i/>
          <w:iCs/>
          <w:szCs w:val="24"/>
          <w:lang w:val="en-US"/>
        </w:rPr>
        <w:t>Halifax</w:t>
      </w:r>
      <w:r>
        <w:rPr>
          <w:rFonts w:cs="Arial"/>
          <w:szCs w:val="24"/>
          <w:lang w:val="en-US"/>
        </w:rPr>
        <w:t xml:space="preserve">, between the City of </w:t>
      </w:r>
      <w:r>
        <w:rPr>
          <w:rFonts w:cs="Arial"/>
          <w:i/>
          <w:iCs/>
          <w:szCs w:val="24"/>
          <w:lang w:val="en-US"/>
        </w:rPr>
        <w:t>Halifax</w:t>
      </w:r>
      <w:r>
        <w:rPr>
          <w:rFonts w:cs="Arial"/>
          <w:szCs w:val="24"/>
          <w:lang w:val="en-US"/>
        </w:rPr>
        <w:t xml:space="preserve"> and </w:t>
      </w:r>
      <w:r>
        <w:rPr>
          <w:rFonts w:cs="Arial"/>
          <w:i/>
          <w:iCs/>
          <w:szCs w:val="24"/>
          <w:lang w:val="en-US"/>
        </w:rPr>
        <w:t>Thomas E. Kenny.</w:t>
      </w:r>
    </w:p>
    <w:p w:rsidR="00E0371C" w:rsidRDefault="00E0371C" w:rsidP="001F341B">
      <w:pPr>
        <w:pStyle w:val="History"/>
        <w:rPr>
          <w:rFonts w:cs="Arial"/>
          <w:szCs w:val="24"/>
          <w:lang w:val="en-US"/>
        </w:rPr>
      </w:pPr>
      <w:r>
        <w:rPr>
          <w:rFonts w:cs="Arial"/>
          <w:szCs w:val="24"/>
          <w:lang w:val="en-US"/>
        </w:rPr>
        <w:t>"</w:t>
      </w:r>
      <w:r>
        <w:rPr>
          <w:rFonts w:cs="Arial"/>
          <w:i/>
          <w:iCs/>
          <w:szCs w:val="24"/>
          <w:lang w:val="en-US"/>
        </w:rPr>
        <w:t>Thomas E. Kenny</w:t>
      </w:r>
      <w:r>
        <w:rPr>
          <w:rFonts w:cs="Arial"/>
          <w:szCs w:val="24"/>
          <w:lang w:val="en-US"/>
        </w:rPr>
        <w:t xml:space="preserve"> resides and does business in the City of </w:t>
      </w:r>
      <w:r>
        <w:rPr>
          <w:rFonts w:cs="Arial"/>
          <w:i/>
          <w:iCs/>
          <w:szCs w:val="24"/>
          <w:lang w:val="en-US"/>
        </w:rPr>
        <w:t>Halifax</w:t>
      </w:r>
      <w:r>
        <w:rPr>
          <w:rFonts w:cs="Arial"/>
          <w:szCs w:val="24"/>
          <w:lang w:val="en-US"/>
        </w:rPr>
        <w:t xml:space="preserve">, and is the owner of ships which are not registered in </w:t>
      </w:r>
      <w:r>
        <w:rPr>
          <w:rFonts w:cs="Arial"/>
          <w:i/>
          <w:iCs/>
          <w:szCs w:val="24"/>
          <w:lang w:val="en-US"/>
        </w:rPr>
        <w:t>Halifax.</w:t>
      </w:r>
    </w:p>
    <w:p w:rsidR="00E0371C" w:rsidRDefault="00E0371C" w:rsidP="001F341B">
      <w:pPr>
        <w:pStyle w:val="History"/>
        <w:rPr>
          <w:rFonts w:cs="Arial"/>
          <w:szCs w:val="24"/>
          <w:lang w:val="en-US"/>
        </w:rPr>
      </w:pPr>
      <w:r>
        <w:rPr>
          <w:rFonts w:cs="Arial"/>
          <w:szCs w:val="24"/>
          <w:lang w:val="en-US"/>
        </w:rPr>
        <w:t xml:space="preserve">"The assessors of the City of </w:t>
      </w:r>
      <w:r>
        <w:rPr>
          <w:rFonts w:cs="Arial"/>
          <w:i/>
          <w:iCs/>
          <w:szCs w:val="24"/>
          <w:lang w:val="en-US"/>
        </w:rPr>
        <w:t>Halifax</w:t>
      </w:r>
      <w:r>
        <w:rPr>
          <w:rFonts w:cs="Arial"/>
          <w:szCs w:val="24"/>
          <w:lang w:val="en-US"/>
        </w:rPr>
        <w:t xml:space="preserve"> have valued the property of the said </w:t>
      </w:r>
      <w:r>
        <w:rPr>
          <w:rFonts w:cs="Arial"/>
          <w:i/>
          <w:iCs/>
          <w:szCs w:val="24"/>
          <w:lang w:val="en-US"/>
        </w:rPr>
        <w:t>Thomas E. Kenny</w:t>
      </w:r>
      <w:r>
        <w:rPr>
          <w:rFonts w:cs="Arial"/>
          <w:szCs w:val="24"/>
          <w:lang w:val="en-US"/>
        </w:rPr>
        <w:t xml:space="preserve"> liable for city rates, and have included therein the value of said vessels,</w:t>
      </w:r>
    </w:p>
    <w:p w:rsidR="00E0371C" w:rsidRDefault="00E05F39" w:rsidP="00E05F39">
      <w:pPr>
        <w:pStyle w:val="Page"/>
        <w:rPr>
          <w:lang w:val="en-US"/>
        </w:rPr>
      </w:pPr>
      <w:r>
        <w:rPr>
          <w:rFonts w:cs="Arial"/>
          <w:szCs w:val="24"/>
          <w:lang w:val="en-US"/>
        </w:rPr>
        <w:lastRenderedPageBreak/>
        <w:t xml:space="preserve">[Page </w:t>
      </w:r>
      <w:r w:rsidR="00E0371C">
        <w:rPr>
          <w:rFonts w:cs="Arial"/>
          <w:szCs w:val="24"/>
          <w:lang w:val="en-US"/>
        </w:rPr>
        <w:t>498]</w:t>
      </w:r>
    </w:p>
    <w:p w:rsidR="00E0371C" w:rsidRDefault="00E0371C" w:rsidP="001F341B">
      <w:pPr>
        <w:pStyle w:val="History"/>
        <w:ind w:firstLine="0"/>
        <w:rPr>
          <w:rFonts w:cs="Arial"/>
          <w:szCs w:val="24"/>
          <w:lang w:val="en-US"/>
        </w:rPr>
      </w:pPr>
      <w:proofErr w:type="gramStart"/>
      <w:r>
        <w:rPr>
          <w:rFonts w:cs="Arial"/>
          <w:szCs w:val="24"/>
          <w:lang w:val="en-US"/>
        </w:rPr>
        <w:t>as</w:t>
      </w:r>
      <w:proofErr w:type="gramEnd"/>
      <w:r>
        <w:rPr>
          <w:rFonts w:cs="Arial"/>
          <w:szCs w:val="24"/>
          <w:lang w:val="en-US"/>
        </w:rPr>
        <w:t xml:space="preserve"> if they had been within the city at the time of assessment. Said vessels were never in the port of </w:t>
      </w:r>
      <w:r>
        <w:rPr>
          <w:rFonts w:cs="Arial"/>
          <w:i/>
          <w:iCs/>
          <w:szCs w:val="24"/>
          <w:lang w:val="en-US"/>
        </w:rPr>
        <w:t>Halifax.</w:t>
      </w:r>
    </w:p>
    <w:p w:rsidR="00E0371C" w:rsidRDefault="00E0371C" w:rsidP="001F341B">
      <w:pPr>
        <w:pStyle w:val="History"/>
        <w:rPr>
          <w:rFonts w:cs="Arial"/>
          <w:szCs w:val="24"/>
          <w:lang w:val="en-US"/>
        </w:rPr>
      </w:pPr>
      <w:r>
        <w:rPr>
          <w:rFonts w:cs="Arial"/>
          <w:szCs w:val="24"/>
          <w:lang w:val="en-US"/>
        </w:rPr>
        <w:t xml:space="preserve">"The question for the opinion of the court is—whether or not the said </w:t>
      </w:r>
      <w:r>
        <w:rPr>
          <w:rFonts w:cs="Arial"/>
          <w:i/>
          <w:iCs/>
          <w:szCs w:val="24"/>
          <w:lang w:val="en-US"/>
        </w:rPr>
        <w:t>Thomas E. Kenny</w:t>
      </w:r>
      <w:r>
        <w:rPr>
          <w:rFonts w:cs="Arial"/>
          <w:szCs w:val="24"/>
          <w:lang w:val="en-US"/>
        </w:rPr>
        <w:t xml:space="preserve"> is liable, under the laws in force in relation to the City of </w:t>
      </w:r>
      <w:r>
        <w:rPr>
          <w:rFonts w:cs="Arial"/>
          <w:i/>
          <w:iCs/>
          <w:szCs w:val="24"/>
          <w:lang w:val="en-US"/>
        </w:rPr>
        <w:t>Halifax</w:t>
      </w:r>
      <w:r>
        <w:rPr>
          <w:rFonts w:cs="Arial"/>
          <w:szCs w:val="24"/>
          <w:lang w:val="en-US"/>
        </w:rPr>
        <w:t>, to be assessed for city taxes in respect to said vessels, or on account of his being the owner of them.</w:t>
      </w:r>
    </w:p>
    <w:p w:rsidR="00E0371C" w:rsidRDefault="00E0371C" w:rsidP="001F341B">
      <w:pPr>
        <w:pStyle w:val="History"/>
        <w:rPr>
          <w:rFonts w:cs="Arial"/>
          <w:szCs w:val="24"/>
          <w:lang w:val="en-US"/>
        </w:rPr>
      </w:pPr>
      <w:r>
        <w:rPr>
          <w:rFonts w:cs="Arial"/>
          <w:szCs w:val="24"/>
          <w:lang w:val="en-US"/>
        </w:rPr>
        <w:t xml:space="preserve">"If the Court should be of opinion that the said </w:t>
      </w:r>
      <w:r>
        <w:rPr>
          <w:rFonts w:cs="Arial"/>
          <w:i/>
          <w:iCs/>
          <w:szCs w:val="24"/>
          <w:lang w:val="en-US"/>
        </w:rPr>
        <w:t>Thomas E. Kenny</w:t>
      </w:r>
      <w:r>
        <w:rPr>
          <w:rFonts w:cs="Arial"/>
          <w:szCs w:val="24"/>
          <w:lang w:val="en-US"/>
        </w:rPr>
        <w:t xml:space="preserve"> is liable to pay such taxes, judgment to be entered against him for the City of </w:t>
      </w:r>
      <w:r>
        <w:rPr>
          <w:rFonts w:cs="Arial"/>
          <w:i/>
          <w:iCs/>
          <w:szCs w:val="24"/>
          <w:lang w:val="en-US"/>
        </w:rPr>
        <w:t>Halifax</w:t>
      </w:r>
      <w:r>
        <w:rPr>
          <w:rFonts w:cs="Arial"/>
          <w:szCs w:val="24"/>
          <w:lang w:val="en-US"/>
        </w:rPr>
        <w:t xml:space="preserve"> for the costs of preparing this case and argument, otherwise judgment to be entered for the said </w:t>
      </w:r>
      <w:r>
        <w:rPr>
          <w:rFonts w:cs="Arial"/>
          <w:i/>
          <w:iCs/>
          <w:szCs w:val="24"/>
          <w:lang w:val="en-US"/>
        </w:rPr>
        <w:t>Thomas E. Kenny</w:t>
      </w:r>
      <w:r>
        <w:rPr>
          <w:rFonts w:cs="Arial"/>
          <w:szCs w:val="24"/>
          <w:lang w:val="en-US"/>
        </w:rPr>
        <w:t xml:space="preserve"> against the City of </w:t>
      </w:r>
      <w:r>
        <w:rPr>
          <w:rFonts w:cs="Arial"/>
          <w:i/>
          <w:iCs/>
          <w:szCs w:val="24"/>
          <w:lang w:val="en-US"/>
        </w:rPr>
        <w:t>Halifax</w:t>
      </w:r>
      <w:r>
        <w:rPr>
          <w:rFonts w:cs="Arial"/>
          <w:szCs w:val="24"/>
          <w:lang w:val="en-US"/>
        </w:rPr>
        <w:t xml:space="preserve"> for such costs.</w:t>
      </w:r>
    </w:p>
    <w:p w:rsidR="00E0371C" w:rsidRDefault="00E0371C" w:rsidP="001F341B">
      <w:pPr>
        <w:pStyle w:val="History"/>
        <w:rPr>
          <w:rFonts w:cs="Arial"/>
          <w:szCs w:val="24"/>
          <w:lang w:val="en-US"/>
        </w:rPr>
      </w:pPr>
      <w:r>
        <w:rPr>
          <w:rFonts w:cs="Arial"/>
          <w:szCs w:val="24"/>
          <w:lang w:val="en-US"/>
        </w:rPr>
        <w:t>"It is, however, expressly agreed, that this case shall not stay or interfere with the collection of the rates for this year, and no judgment shall involve the repayment by the city of any rates already assessed."</w:t>
      </w:r>
    </w:p>
    <w:p w:rsidR="00E0371C" w:rsidRDefault="00E0371C" w:rsidP="001F341B">
      <w:pPr>
        <w:pStyle w:val="History"/>
        <w:rPr>
          <w:rFonts w:cs="Arial"/>
          <w:szCs w:val="24"/>
          <w:lang w:val="en-US"/>
        </w:rPr>
      </w:pPr>
      <w:r>
        <w:rPr>
          <w:rFonts w:cs="Arial"/>
          <w:szCs w:val="24"/>
          <w:lang w:val="en-US"/>
        </w:rPr>
        <w:t xml:space="preserve">The statutes which bear upon the" </w:t>
      </w:r>
      <w:proofErr w:type="gramStart"/>
      <w:r>
        <w:rPr>
          <w:rFonts w:cs="Arial"/>
          <w:szCs w:val="24"/>
          <w:lang w:val="en-US"/>
        </w:rPr>
        <w:t>question are</w:t>
      </w:r>
      <w:proofErr w:type="gramEnd"/>
      <w:r>
        <w:rPr>
          <w:rFonts w:cs="Arial"/>
          <w:szCs w:val="24"/>
          <w:lang w:val="en-US"/>
        </w:rPr>
        <w:t xml:space="preserve"> the following:</w:t>
      </w:r>
    </w:p>
    <w:p w:rsidR="00E0371C" w:rsidRDefault="00E0371C" w:rsidP="001F341B">
      <w:pPr>
        <w:pStyle w:val="History"/>
        <w:rPr>
          <w:rFonts w:cs="Arial"/>
          <w:szCs w:val="24"/>
          <w:lang w:val="en-US"/>
        </w:rPr>
      </w:pPr>
      <w:r>
        <w:rPr>
          <w:rFonts w:cs="Arial"/>
          <w:szCs w:val="24"/>
          <w:lang w:val="en-US"/>
        </w:rPr>
        <w:t xml:space="preserve">37 </w:t>
      </w:r>
      <w:proofErr w:type="spellStart"/>
      <w:proofErr w:type="gramStart"/>
      <w:r>
        <w:rPr>
          <w:rFonts w:cs="Arial"/>
          <w:szCs w:val="24"/>
          <w:lang w:val="en-US"/>
        </w:rPr>
        <w:t>Vict</w:t>
      </w:r>
      <w:proofErr w:type="spellEnd"/>
      <w:r>
        <w:rPr>
          <w:rFonts w:cs="Arial"/>
          <w:szCs w:val="24"/>
          <w:lang w:val="en-US"/>
        </w:rPr>
        <w:t>.,</w:t>
      </w:r>
      <w:proofErr w:type="gramEnd"/>
      <w:r>
        <w:rPr>
          <w:rFonts w:cs="Arial"/>
          <w:szCs w:val="24"/>
          <w:lang w:val="en-US"/>
        </w:rPr>
        <w:t xml:space="preserve"> c. 30, s. 1, (1874):</w:t>
      </w:r>
    </w:p>
    <w:p w:rsidR="00E0371C" w:rsidRDefault="00E0371C" w:rsidP="001F341B">
      <w:pPr>
        <w:pStyle w:val="History"/>
        <w:rPr>
          <w:rFonts w:cs="Arial"/>
          <w:szCs w:val="24"/>
          <w:lang w:val="en-US"/>
        </w:rPr>
      </w:pPr>
      <w:r>
        <w:rPr>
          <w:rFonts w:cs="Arial"/>
          <w:szCs w:val="24"/>
          <w:lang w:val="en-US"/>
        </w:rPr>
        <w:t xml:space="preserve">"The city council shall have power to assess on the inhabitants and the property </w:t>
      </w:r>
      <w:r>
        <w:rPr>
          <w:rFonts w:cs="Arial"/>
          <w:i/>
          <w:iCs/>
          <w:szCs w:val="24"/>
          <w:lang w:val="en-US"/>
        </w:rPr>
        <w:t>within the city annually</w:t>
      </w:r>
      <w:r>
        <w:rPr>
          <w:rFonts w:cs="Arial"/>
          <w:szCs w:val="24"/>
          <w:lang w:val="en-US"/>
        </w:rPr>
        <w:t>, such sum of money not exceeding one hundred thousand dollars, as may be necessary to defray the expenses which are by law authorized to be incurred on behalf of the city."</w:t>
      </w:r>
    </w:p>
    <w:p w:rsidR="00E0371C" w:rsidRDefault="00E0371C" w:rsidP="001F341B">
      <w:pPr>
        <w:pStyle w:val="History"/>
        <w:rPr>
          <w:rFonts w:cs="Arial"/>
          <w:szCs w:val="24"/>
          <w:lang w:val="en-US"/>
        </w:rPr>
      </w:pPr>
      <w:r>
        <w:rPr>
          <w:rFonts w:cs="Arial"/>
          <w:szCs w:val="24"/>
          <w:lang w:val="en-US"/>
        </w:rPr>
        <w:t>(This is, so far as this question is concerned, a re-enactment of section 330 of 27 Victoria, c. 81, (the city charter). Section 330 was repealed and a new section substituted by 33 Vic., c. 47 ss. 1 and 2 The substituted section last aforesaid was itself repealed, and the section above set forth substituted therefor.)</w:t>
      </w:r>
    </w:p>
    <w:p w:rsidR="00E0371C" w:rsidRDefault="00E0371C" w:rsidP="001F341B">
      <w:pPr>
        <w:pStyle w:val="History"/>
        <w:rPr>
          <w:rFonts w:cs="Arial"/>
          <w:szCs w:val="24"/>
          <w:lang w:val="en-US"/>
        </w:rPr>
      </w:pPr>
      <w:proofErr w:type="gramStart"/>
      <w:r>
        <w:rPr>
          <w:rFonts w:cs="Arial"/>
          <w:szCs w:val="24"/>
          <w:lang w:val="en-US"/>
        </w:rPr>
        <w:t>27 Victoria, c. 81, (The Halifax City Charter of 1864.)</w:t>
      </w:r>
      <w:proofErr w:type="gramEnd"/>
    </w:p>
    <w:p w:rsidR="00E0371C" w:rsidRDefault="00E0371C" w:rsidP="001F341B">
      <w:pPr>
        <w:pStyle w:val="History"/>
        <w:rPr>
          <w:rFonts w:cs="Arial"/>
          <w:szCs w:val="24"/>
          <w:lang w:val="en-US"/>
        </w:rPr>
      </w:pPr>
      <w:proofErr w:type="gramStart"/>
      <w:r>
        <w:rPr>
          <w:rFonts w:cs="Arial"/>
          <w:szCs w:val="24"/>
          <w:lang w:val="en-US"/>
        </w:rPr>
        <w:t>"s. 340.</w:t>
      </w:r>
      <w:proofErr w:type="gramEnd"/>
      <w:r>
        <w:rPr>
          <w:rFonts w:cs="Arial"/>
          <w:szCs w:val="24"/>
          <w:lang w:val="en-US"/>
        </w:rPr>
        <w:t xml:space="preserve"> The assessment shall be rated on the occupants of real estate, being yearly tenants, and in all other cases on the owners of property, by an equal</w:t>
      </w:r>
    </w:p>
    <w:p w:rsidR="00E0371C" w:rsidRDefault="00E05F39" w:rsidP="00E05F39">
      <w:pPr>
        <w:pStyle w:val="Page"/>
        <w:rPr>
          <w:lang w:val="en-US"/>
        </w:rPr>
      </w:pPr>
      <w:r>
        <w:rPr>
          <w:rFonts w:cs="Arial"/>
          <w:szCs w:val="24"/>
          <w:lang w:val="en-US"/>
        </w:rPr>
        <w:t xml:space="preserve">[Page </w:t>
      </w:r>
      <w:r w:rsidR="00E0371C">
        <w:rPr>
          <w:rFonts w:cs="Arial"/>
          <w:szCs w:val="24"/>
          <w:lang w:val="en-US"/>
        </w:rPr>
        <w:t>499]</w:t>
      </w:r>
    </w:p>
    <w:p w:rsidR="00E0371C" w:rsidRDefault="00E0371C" w:rsidP="001F341B">
      <w:pPr>
        <w:pStyle w:val="History"/>
        <w:ind w:firstLine="0"/>
        <w:rPr>
          <w:rFonts w:cs="Arial"/>
          <w:szCs w:val="24"/>
          <w:lang w:val="en-US"/>
        </w:rPr>
      </w:pPr>
      <w:r>
        <w:rPr>
          <w:rFonts w:cs="Arial"/>
          <w:szCs w:val="24"/>
          <w:lang w:val="en-US"/>
        </w:rPr>
        <w:t>pound rate upon the value of the real and personal estate within the city, whether such real and personal estate shall be possessed, occupied or owned by individuals, or by any joint stock company or corporation, and whether owned by parties resident or absent, according to the best knowledge and discretion of the city and ward assessors, subject to the exemptions hereinafter specified. The city council may direct the assessment to be made in the autumn of any year for the ensuing year, after the assessment has been made and the city rates imposed."</w:t>
      </w:r>
    </w:p>
    <w:p w:rsidR="00E0371C" w:rsidRDefault="00E0371C" w:rsidP="001F341B">
      <w:pPr>
        <w:pStyle w:val="History"/>
        <w:rPr>
          <w:rFonts w:cs="Arial"/>
          <w:szCs w:val="24"/>
          <w:lang w:val="en-US"/>
        </w:rPr>
      </w:pPr>
      <w:proofErr w:type="gramStart"/>
      <w:r>
        <w:rPr>
          <w:rFonts w:cs="Arial"/>
          <w:szCs w:val="24"/>
          <w:lang w:val="en-US"/>
        </w:rPr>
        <w:t>"Sec. 347.</w:t>
      </w:r>
      <w:proofErr w:type="gramEnd"/>
      <w:r>
        <w:rPr>
          <w:rFonts w:cs="Arial"/>
          <w:szCs w:val="24"/>
          <w:lang w:val="en-US"/>
        </w:rPr>
        <w:t xml:space="preserve"> Under the term 'personal estate,' shall be included all household furniture, </w:t>
      </w:r>
      <w:r>
        <w:rPr>
          <w:rFonts w:cs="Arial"/>
          <w:szCs w:val="24"/>
          <w:lang w:val="en-US"/>
        </w:rPr>
        <w:lastRenderedPageBreak/>
        <w:t xml:space="preserve">moneys, goods, </w:t>
      </w:r>
      <w:proofErr w:type="spellStart"/>
      <w:r>
        <w:rPr>
          <w:rFonts w:cs="Arial"/>
          <w:szCs w:val="24"/>
          <w:lang w:val="en-US"/>
        </w:rPr>
        <w:t>chatties</w:t>
      </w:r>
      <w:proofErr w:type="spellEnd"/>
      <w:r>
        <w:rPr>
          <w:rFonts w:cs="Arial"/>
          <w:szCs w:val="24"/>
          <w:lang w:val="en-US"/>
        </w:rPr>
        <w:t xml:space="preserve">, wares and merchandise, kept in public or private premises, or in the Queen's or other public warehouses: all ships and vessels, or shares in ships or vessels, owned by persons residing or having offices, or doing business within the city, whether such ships or vessels </w:t>
      </w:r>
      <w:r>
        <w:rPr>
          <w:rFonts w:cs="Arial"/>
          <w:i/>
          <w:iCs/>
          <w:szCs w:val="24"/>
          <w:lang w:val="en-US"/>
        </w:rPr>
        <w:t>be at home or abroad at the time of assessment</w:t>
      </w:r>
      <w:r>
        <w:rPr>
          <w:rFonts w:cs="Arial"/>
          <w:szCs w:val="24"/>
          <w:lang w:val="en-US"/>
        </w:rPr>
        <w:t xml:space="preserve">; also all public stocks, except provincial and city debentures of the said city of </w:t>
      </w:r>
      <w:r>
        <w:rPr>
          <w:rFonts w:cs="Arial"/>
          <w:i/>
          <w:iCs/>
          <w:szCs w:val="24"/>
          <w:lang w:val="en-US"/>
        </w:rPr>
        <w:t>Halifax</w:t>
      </w:r>
      <w:r>
        <w:rPr>
          <w:rFonts w:cs="Arial"/>
          <w:szCs w:val="24"/>
          <w:lang w:val="en-US"/>
        </w:rPr>
        <w:t>: there shall also be included under the term personal estate, stocks in public or private banking companies, water, gas, fire, marine, or life insurance companies, or associations, or other joint stock companies or corporations, whether public or private, doing business within the city; and all moneys belonging to the inhabitants of the city, invested in public or private securities within the city, and all bullion and coin, of gold or silver, all province notes, and notes of solvent banks, in the province or elsewhere, which may be in the possession, and the property of any citizen, or in the custody of a bank, or other party, or moneys deposited on deposit receipt, shall be considered as his moneys, and be assessed accordingly."</w:t>
      </w:r>
    </w:p>
    <w:p w:rsidR="00E0371C" w:rsidRDefault="00E0371C" w:rsidP="001F341B">
      <w:pPr>
        <w:pStyle w:val="History"/>
        <w:rPr>
          <w:rFonts w:cs="Arial"/>
          <w:szCs w:val="24"/>
          <w:lang w:val="en-US"/>
        </w:rPr>
      </w:pPr>
      <w:proofErr w:type="gramStart"/>
      <w:r>
        <w:rPr>
          <w:rFonts w:cs="Arial"/>
          <w:szCs w:val="24"/>
          <w:lang w:val="en-US"/>
        </w:rPr>
        <w:t>"Sec. 361.</w:t>
      </w:r>
      <w:proofErr w:type="gramEnd"/>
      <w:r>
        <w:rPr>
          <w:rFonts w:cs="Arial"/>
          <w:szCs w:val="24"/>
          <w:lang w:val="en-US"/>
        </w:rPr>
        <w:t xml:space="preserve"> As soon as the whole amount of real and personal property, on which any person, company, or</w:t>
      </w:r>
    </w:p>
    <w:p w:rsidR="00E0371C" w:rsidRDefault="00E05F39" w:rsidP="00E05F39">
      <w:pPr>
        <w:pStyle w:val="Page"/>
        <w:rPr>
          <w:lang w:val="en-US"/>
        </w:rPr>
      </w:pPr>
      <w:r>
        <w:rPr>
          <w:rFonts w:cs="Arial"/>
          <w:szCs w:val="24"/>
          <w:lang w:val="en-US"/>
        </w:rPr>
        <w:t xml:space="preserve">[Page </w:t>
      </w:r>
      <w:r w:rsidR="00E0371C">
        <w:rPr>
          <w:rFonts w:cs="Arial"/>
          <w:szCs w:val="24"/>
          <w:lang w:val="en-US"/>
        </w:rPr>
        <w:t>500]</w:t>
      </w:r>
    </w:p>
    <w:p w:rsidR="00E0371C" w:rsidRDefault="00E0371C" w:rsidP="001F341B">
      <w:pPr>
        <w:pStyle w:val="History"/>
        <w:ind w:firstLine="0"/>
        <w:rPr>
          <w:rFonts w:cs="Arial"/>
          <w:szCs w:val="24"/>
          <w:lang w:val="en-US"/>
        </w:rPr>
      </w:pPr>
      <w:r>
        <w:rPr>
          <w:rFonts w:cs="Arial"/>
          <w:szCs w:val="24"/>
          <w:lang w:val="en-US"/>
        </w:rPr>
        <w:t xml:space="preserve">corporation is to be assessed </w:t>
      </w:r>
      <w:r>
        <w:rPr>
          <w:rFonts w:cs="Arial"/>
          <w:i/>
          <w:iCs/>
          <w:szCs w:val="24"/>
          <w:lang w:val="en-US"/>
        </w:rPr>
        <w:t>within any ward</w:t>
      </w:r>
      <w:r>
        <w:rPr>
          <w:rFonts w:cs="Arial"/>
          <w:szCs w:val="24"/>
          <w:lang w:val="en-US"/>
        </w:rPr>
        <w:t xml:space="preserve"> of the city, is determined, the city assessor shall serve or cause to be served a notice of such valuation upon the person assessed, or his agent, or on the company or corporation, their officer, clerk, or agent. This notice shall be in the following form, in print or ink:</w:t>
      </w:r>
    </w:p>
    <w:tbl>
      <w:tblPr>
        <w:tblW w:w="5000" w:type="pct"/>
        <w:tblCellMar>
          <w:left w:w="40" w:type="dxa"/>
          <w:right w:w="40" w:type="dxa"/>
        </w:tblCellMar>
        <w:tblLook w:val="0000" w:firstRow="0" w:lastRow="0" w:firstColumn="0" w:lastColumn="0" w:noHBand="0" w:noVBand="0"/>
      </w:tblPr>
      <w:tblGrid>
        <w:gridCol w:w="1400"/>
        <w:gridCol w:w="1509"/>
        <w:gridCol w:w="2232"/>
        <w:gridCol w:w="2330"/>
        <w:gridCol w:w="2573"/>
      </w:tblGrid>
      <w:tr w:rsidR="00E0371C" w:rsidTr="005F6202">
        <w:trPr>
          <w:trHeight w:val="473"/>
        </w:trPr>
        <w:tc>
          <w:tcPr>
            <w:tcW w:w="697" w:type="pct"/>
            <w:tcBorders>
              <w:top w:val="single" w:sz="6" w:space="0" w:color="auto"/>
              <w:left w:val="nil"/>
              <w:bottom w:val="single" w:sz="4" w:space="0" w:color="auto"/>
              <w:right w:val="single" w:sz="6" w:space="0" w:color="auto"/>
            </w:tcBorders>
            <w:vAlign w:val="center"/>
          </w:tcPr>
          <w:p w:rsidR="00E0371C" w:rsidRDefault="00E0371C" w:rsidP="005F6202">
            <w:pPr>
              <w:jc w:val="center"/>
              <w:rPr>
                <w:rFonts w:cs="Arial"/>
                <w:szCs w:val="24"/>
                <w:lang w:val="en-US"/>
              </w:rPr>
            </w:pPr>
            <w:r>
              <w:rPr>
                <w:rFonts w:cs="Arial"/>
                <w:szCs w:val="24"/>
                <w:lang w:val="en-US"/>
              </w:rPr>
              <w:t>Ward No.</w:t>
            </w:r>
          </w:p>
        </w:tc>
        <w:tc>
          <w:tcPr>
            <w:tcW w:w="751" w:type="pct"/>
            <w:tcBorders>
              <w:top w:val="single" w:sz="6" w:space="0" w:color="auto"/>
              <w:left w:val="single" w:sz="6" w:space="0" w:color="auto"/>
              <w:bottom w:val="single" w:sz="4" w:space="0" w:color="auto"/>
              <w:right w:val="single" w:sz="6" w:space="0" w:color="auto"/>
            </w:tcBorders>
            <w:vAlign w:val="center"/>
          </w:tcPr>
          <w:p w:rsidR="00E0371C" w:rsidRDefault="00E0371C" w:rsidP="005F6202">
            <w:pPr>
              <w:jc w:val="center"/>
              <w:rPr>
                <w:rFonts w:cs="Arial"/>
                <w:szCs w:val="24"/>
                <w:lang w:val="en-US"/>
              </w:rPr>
            </w:pPr>
            <w:r>
              <w:rPr>
                <w:rFonts w:cs="Arial"/>
                <w:szCs w:val="24"/>
                <w:lang w:val="en-US"/>
              </w:rPr>
              <w:t>NAMES.</w:t>
            </w:r>
          </w:p>
        </w:tc>
        <w:tc>
          <w:tcPr>
            <w:tcW w:w="1111" w:type="pct"/>
            <w:tcBorders>
              <w:top w:val="single" w:sz="6" w:space="0" w:color="auto"/>
              <w:left w:val="single" w:sz="6" w:space="0" w:color="auto"/>
              <w:bottom w:val="single" w:sz="4" w:space="0" w:color="auto"/>
              <w:right w:val="single" w:sz="6" w:space="0" w:color="auto"/>
            </w:tcBorders>
            <w:vAlign w:val="center"/>
          </w:tcPr>
          <w:p w:rsidR="00E0371C" w:rsidRDefault="00E0371C" w:rsidP="005F6202">
            <w:pPr>
              <w:jc w:val="center"/>
              <w:rPr>
                <w:rFonts w:cs="Arial"/>
                <w:szCs w:val="24"/>
                <w:lang w:val="en-US"/>
              </w:rPr>
            </w:pPr>
            <w:r>
              <w:rPr>
                <w:rFonts w:cs="Arial"/>
                <w:szCs w:val="24"/>
                <w:lang w:val="en-US"/>
              </w:rPr>
              <w:t>Value of Real Estate as tenant or owner.</w:t>
            </w:r>
          </w:p>
        </w:tc>
        <w:tc>
          <w:tcPr>
            <w:tcW w:w="1160" w:type="pct"/>
            <w:tcBorders>
              <w:top w:val="single" w:sz="6" w:space="0" w:color="auto"/>
              <w:left w:val="single" w:sz="6" w:space="0" w:color="auto"/>
              <w:bottom w:val="single" w:sz="4" w:space="0" w:color="auto"/>
              <w:right w:val="single" w:sz="6" w:space="0" w:color="auto"/>
            </w:tcBorders>
            <w:vAlign w:val="center"/>
          </w:tcPr>
          <w:p w:rsidR="00E0371C" w:rsidRDefault="00E0371C" w:rsidP="005F6202">
            <w:pPr>
              <w:jc w:val="center"/>
              <w:rPr>
                <w:rFonts w:cs="Arial"/>
                <w:szCs w:val="24"/>
                <w:lang w:val="en-US"/>
              </w:rPr>
            </w:pPr>
            <w:r>
              <w:rPr>
                <w:rFonts w:cs="Arial"/>
                <w:szCs w:val="24"/>
                <w:lang w:val="en-US"/>
              </w:rPr>
              <w:t>Value of personal property.</w:t>
            </w:r>
          </w:p>
        </w:tc>
        <w:tc>
          <w:tcPr>
            <w:tcW w:w="1281" w:type="pct"/>
            <w:tcBorders>
              <w:top w:val="single" w:sz="6" w:space="0" w:color="auto"/>
              <w:left w:val="single" w:sz="6" w:space="0" w:color="auto"/>
              <w:bottom w:val="single" w:sz="4" w:space="0" w:color="auto"/>
              <w:right w:val="nil"/>
            </w:tcBorders>
            <w:vAlign w:val="center"/>
          </w:tcPr>
          <w:p w:rsidR="00E0371C" w:rsidRDefault="00E0371C" w:rsidP="005F6202">
            <w:pPr>
              <w:jc w:val="center"/>
              <w:rPr>
                <w:rFonts w:cs="Arial"/>
                <w:szCs w:val="24"/>
                <w:lang w:val="en-US"/>
              </w:rPr>
            </w:pPr>
            <w:r>
              <w:rPr>
                <w:rFonts w:cs="Arial"/>
                <w:szCs w:val="24"/>
                <w:lang w:val="en-US"/>
              </w:rPr>
              <w:t>Total amount on which Assessment is to be levied.</w:t>
            </w:r>
          </w:p>
        </w:tc>
      </w:tr>
      <w:tr w:rsidR="00E0371C" w:rsidTr="005F6202">
        <w:trPr>
          <w:trHeight w:val="1526"/>
        </w:trPr>
        <w:tc>
          <w:tcPr>
            <w:tcW w:w="697" w:type="pct"/>
            <w:tcBorders>
              <w:top w:val="single" w:sz="4" w:space="0" w:color="auto"/>
              <w:left w:val="nil"/>
              <w:bottom w:val="single" w:sz="6" w:space="0" w:color="auto"/>
              <w:right w:val="single" w:sz="6" w:space="0" w:color="auto"/>
            </w:tcBorders>
          </w:tcPr>
          <w:p w:rsidR="00E0371C" w:rsidRDefault="00E0371C" w:rsidP="00245A22">
            <w:pPr>
              <w:rPr>
                <w:rFonts w:cs="Arial"/>
                <w:szCs w:val="24"/>
                <w:lang w:val="en-US"/>
              </w:rPr>
            </w:pPr>
          </w:p>
        </w:tc>
        <w:tc>
          <w:tcPr>
            <w:tcW w:w="751" w:type="pct"/>
            <w:tcBorders>
              <w:top w:val="single" w:sz="4" w:space="0" w:color="auto"/>
              <w:left w:val="single" w:sz="6" w:space="0" w:color="auto"/>
              <w:bottom w:val="single" w:sz="6" w:space="0" w:color="auto"/>
              <w:right w:val="single" w:sz="6" w:space="0" w:color="auto"/>
            </w:tcBorders>
          </w:tcPr>
          <w:p w:rsidR="00E0371C" w:rsidRDefault="00E0371C" w:rsidP="00245A22">
            <w:pPr>
              <w:rPr>
                <w:rFonts w:cs="Arial"/>
                <w:szCs w:val="24"/>
                <w:lang w:val="en-US"/>
              </w:rPr>
            </w:pPr>
          </w:p>
        </w:tc>
        <w:tc>
          <w:tcPr>
            <w:tcW w:w="1111" w:type="pct"/>
            <w:tcBorders>
              <w:top w:val="single" w:sz="4" w:space="0" w:color="auto"/>
              <w:left w:val="single" w:sz="6" w:space="0" w:color="auto"/>
              <w:bottom w:val="single" w:sz="6" w:space="0" w:color="auto"/>
              <w:right w:val="single" w:sz="6" w:space="0" w:color="auto"/>
            </w:tcBorders>
          </w:tcPr>
          <w:p w:rsidR="00E0371C" w:rsidRDefault="00E0371C" w:rsidP="00245A22">
            <w:pPr>
              <w:rPr>
                <w:rFonts w:cs="Arial"/>
                <w:szCs w:val="24"/>
                <w:lang w:val="en-US"/>
              </w:rPr>
            </w:pPr>
          </w:p>
        </w:tc>
        <w:tc>
          <w:tcPr>
            <w:tcW w:w="1160" w:type="pct"/>
            <w:tcBorders>
              <w:top w:val="single" w:sz="4" w:space="0" w:color="auto"/>
              <w:left w:val="single" w:sz="6" w:space="0" w:color="auto"/>
              <w:bottom w:val="single" w:sz="6" w:space="0" w:color="auto"/>
              <w:right w:val="single" w:sz="6" w:space="0" w:color="auto"/>
            </w:tcBorders>
          </w:tcPr>
          <w:p w:rsidR="00E0371C" w:rsidRDefault="00E0371C" w:rsidP="00245A22">
            <w:pPr>
              <w:rPr>
                <w:rFonts w:cs="Arial"/>
                <w:szCs w:val="24"/>
                <w:lang w:val="en-US"/>
              </w:rPr>
            </w:pPr>
          </w:p>
        </w:tc>
        <w:tc>
          <w:tcPr>
            <w:tcW w:w="1281" w:type="pct"/>
            <w:tcBorders>
              <w:top w:val="single" w:sz="4" w:space="0" w:color="auto"/>
              <w:left w:val="single" w:sz="6" w:space="0" w:color="auto"/>
              <w:bottom w:val="single" w:sz="6" w:space="0" w:color="auto"/>
              <w:right w:val="nil"/>
            </w:tcBorders>
          </w:tcPr>
          <w:p w:rsidR="00E0371C" w:rsidRDefault="00E0371C" w:rsidP="00245A22">
            <w:pPr>
              <w:rPr>
                <w:rFonts w:cs="Arial"/>
                <w:szCs w:val="24"/>
                <w:lang w:val="en-US"/>
              </w:rPr>
            </w:pPr>
          </w:p>
        </w:tc>
      </w:tr>
    </w:tbl>
    <w:p w:rsidR="00E0371C" w:rsidRDefault="00E0371C" w:rsidP="00A6104D">
      <w:pPr>
        <w:pStyle w:val="History"/>
        <w:rPr>
          <w:rFonts w:cs="Arial"/>
          <w:szCs w:val="24"/>
          <w:lang w:val="en-US"/>
        </w:rPr>
      </w:pPr>
      <w:r>
        <w:rPr>
          <w:rFonts w:cs="Arial"/>
          <w:szCs w:val="24"/>
          <w:lang w:val="en-US"/>
        </w:rPr>
        <w:t xml:space="preserve">"I hereby give you notice that the assessors, to the best of their judgment, have made the above valuation of your real and personal estate </w:t>
      </w:r>
      <w:r>
        <w:rPr>
          <w:rFonts w:cs="Arial"/>
          <w:i/>
          <w:iCs/>
          <w:szCs w:val="24"/>
          <w:lang w:val="en-US"/>
        </w:rPr>
        <w:t>within</w:t>
      </w:r>
      <w:r>
        <w:rPr>
          <w:rFonts w:cs="Arial"/>
          <w:szCs w:val="24"/>
          <w:lang w:val="en-US"/>
        </w:rPr>
        <w:t xml:space="preserve"> ward No.—— of the city of </w:t>
      </w:r>
      <w:r>
        <w:rPr>
          <w:rFonts w:cs="Arial"/>
          <w:i/>
          <w:iCs/>
          <w:szCs w:val="24"/>
          <w:lang w:val="en-US"/>
        </w:rPr>
        <w:t>Halifax</w:t>
      </w:r>
      <w:r>
        <w:rPr>
          <w:rFonts w:cs="Arial"/>
          <w:szCs w:val="24"/>
          <w:lang w:val="en-US"/>
        </w:rPr>
        <w:t>, on which assessment for the current year is to be levied. If you wish to object thereto you are hereby notified to furnish me at my office in the city Court House, within fourteen days from this date, with a written statement under oath according to the form herewith served upon you."</w:t>
      </w:r>
    </w:p>
    <w:p w:rsidR="00A6104D" w:rsidRDefault="00E0371C" w:rsidP="00A6104D">
      <w:pPr>
        <w:pStyle w:val="History"/>
        <w:rPr>
          <w:rFonts w:cs="Arial"/>
          <w:szCs w:val="24"/>
          <w:lang w:val="en-US"/>
        </w:rPr>
      </w:pPr>
      <w:proofErr w:type="gramStart"/>
      <w:r>
        <w:rPr>
          <w:rFonts w:cs="Arial"/>
          <w:szCs w:val="24"/>
          <w:lang w:val="en-US"/>
        </w:rPr>
        <w:t>"To Mr.</w:t>
      </w:r>
      <w:proofErr w:type="gramEnd"/>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proofErr w:type="gramStart"/>
      <w:r>
        <w:rPr>
          <w:rFonts w:cs="Arial"/>
          <w:szCs w:val="24"/>
          <w:lang w:val="en-US"/>
        </w:rPr>
        <w:t>City Assessor.</w:t>
      </w:r>
      <w:proofErr w:type="gramEnd"/>
    </w:p>
    <w:p w:rsidR="00E0371C" w:rsidRDefault="00E0371C" w:rsidP="00A6104D">
      <w:pPr>
        <w:pStyle w:val="History"/>
        <w:rPr>
          <w:rFonts w:cs="Arial"/>
          <w:szCs w:val="24"/>
          <w:lang w:val="en-US"/>
        </w:rPr>
      </w:pPr>
      <w:r>
        <w:rPr>
          <w:rFonts w:cs="Arial"/>
          <w:szCs w:val="24"/>
          <w:lang w:val="en-US"/>
        </w:rPr>
        <w:t xml:space="preserve">Dated at </w:t>
      </w:r>
      <w:r>
        <w:rPr>
          <w:rFonts w:cs="Arial"/>
          <w:i/>
          <w:iCs/>
          <w:szCs w:val="24"/>
          <w:lang w:val="en-US"/>
        </w:rPr>
        <w:t>Halifax</w:t>
      </w:r>
      <w:r>
        <w:rPr>
          <w:rFonts w:cs="Arial"/>
          <w:szCs w:val="24"/>
          <w:lang w:val="en-US"/>
        </w:rPr>
        <w:t>,</w:t>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sidR="00A6104D">
        <w:rPr>
          <w:rFonts w:cs="Arial"/>
          <w:szCs w:val="24"/>
          <w:lang w:val="en-US"/>
        </w:rPr>
        <w:tab/>
      </w:r>
      <w:r>
        <w:rPr>
          <w:rFonts w:cs="Arial"/>
          <w:szCs w:val="24"/>
          <w:lang w:val="en-US"/>
        </w:rPr>
        <w:t>day</w:t>
      </w:r>
      <w:r w:rsidR="00A6104D">
        <w:rPr>
          <w:rFonts w:cs="Arial"/>
          <w:szCs w:val="24"/>
          <w:lang w:val="en-US"/>
        </w:rPr>
        <w:tab/>
      </w:r>
      <w:r w:rsidR="00A6104D">
        <w:rPr>
          <w:rFonts w:cs="Arial"/>
          <w:szCs w:val="24"/>
          <w:lang w:val="en-US"/>
        </w:rPr>
        <w:tab/>
      </w:r>
      <w:r w:rsidR="00A6104D">
        <w:rPr>
          <w:rFonts w:cs="Arial"/>
          <w:szCs w:val="24"/>
          <w:lang w:val="en-US"/>
        </w:rPr>
        <w:tab/>
      </w:r>
      <w:r>
        <w:rPr>
          <w:rFonts w:cs="Arial"/>
          <w:szCs w:val="24"/>
          <w:lang w:val="en-US"/>
        </w:rPr>
        <w:t>18</w:t>
      </w:r>
      <w:r w:rsidR="00A6104D">
        <w:rPr>
          <w:rFonts w:cs="Arial"/>
          <w:szCs w:val="24"/>
          <w:lang w:val="en-US"/>
        </w:rPr>
        <w:tab/>
      </w:r>
      <w:r>
        <w:rPr>
          <w:rFonts w:cs="Arial"/>
          <w:szCs w:val="24"/>
          <w:lang w:val="en-US"/>
        </w:rPr>
        <w:t>"</w:t>
      </w:r>
    </w:p>
    <w:p w:rsidR="00E0371C" w:rsidRDefault="00E0371C" w:rsidP="00A6104D">
      <w:pPr>
        <w:pStyle w:val="History"/>
        <w:rPr>
          <w:rFonts w:cs="Arial"/>
          <w:szCs w:val="24"/>
          <w:lang w:val="en-US"/>
        </w:rPr>
      </w:pPr>
      <w:r>
        <w:rPr>
          <w:rFonts w:cs="Arial"/>
          <w:szCs w:val="24"/>
          <w:lang w:val="en-US"/>
        </w:rPr>
        <w:t>These notices are to bear date on the days which they are respectively served.</w:t>
      </w:r>
    </w:p>
    <w:p w:rsidR="00E0371C" w:rsidRDefault="00E0371C" w:rsidP="00A6104D">
      <w:pPr>
        <w:pStyle w:val="History"/>
        <w:rPr>
          <w:rFonts w:cs="Arial"/>
          <w:smallCaps/>
          <w:szCs w:val="24"/>
          <w:lang w:val="en-US"/>
        </w:rPr>
      </w:pPr>
      <w:r>
        <w:rPr>
          <w:rFonts w:cs="Arial"/>
          <w:szCs w:val="24"/>
          <w:lang w:val="en-US"/>
        </w:rPr>
        <w:t xml:space="preserve">"After the service of the notice, fourteen days shall be allowed to the parties to be rated, or their agents, to furnish the city assessor with a written statement under oath of the real and </w:t>
      </w:r>
      <w:r>
        <w:rPr>
          <w:rFonts w:cs="Arial"/>
          <w:szCs w:val="24"/>
          <w:lang w:val="en-US"/>
        </w:rPr>
        <w:lastRenderedPageBreak/>
        <w:t xml:space="preserve">personal estate in the following form: </w:t>
      </w:r>
      <w:r>
        <w:rPr>
          <w:rFonts w:cs="Arial"/>
          <w:i/>
          <w:iCs/>
          <w:szCs w:val="24"/>
          <w:lang w:val="en-US"/>
        </w:rPr>
        <w:t xml:space="preserve">Statement of real and </w:t>
      </w:r>
      <w:proofErr w:type="spellStart"/>
      <w:r>
        <w:rPr>
          <w:rFonts w:cs="Arial"/>
          <w:i/>
          <w:iCs/>
          <w:szCs w:val="24"/>
          <w:lang w:val="en-US"/>
        </w:rPr>
        <w:t>personnl</w:t>
      </w:r>
      <w:proofErr w:type="spellEnd"/>
      <w:r>
        <w:rPr>
          <w:rFonts w:cs="Arial"/>
          <w:i/>
          <w:iCs/>
          <w:szCs w:val="24"/>
          <w:lang w:val="en-US"/>
        </w:rPr>
        <w:t xml:space="preserve"> property</w:t>
      </w:r>
      <w:r>
        <w:rPr>
          <w:rFonts w:cs="Arial"/>
          <w:szCs w:val="24"/>
          <w:lang w:val="en-US"/>
        </w:rPr>
        <w:t xml:space="preserve"> </w:t>
      </w:r>
      <w:r>
        <w:rPr>
          <w:rFonts w:cs="Arial"/>
          <w:smallCaps/>
          <w:szCs w:val="24"/>
          <w:lang w:val="en-US"/>
        </w:rPr>
        <w:t>within</w:t>
      </w:r>
      <w:r>
        <w:rPr>
          <w:rFonts w:cs="Arial"/>
          <w:szCs w:val="24"/>
          <w:lang w:val="en-US"/>
        </w:rPr>
        <w:t xml:space="preserve"> </w:t>
      </w:r>
      <w:r>
        <w:rPr>
          <w:rFonts w:cs="Arial"/>
          <w:i/>
          <w:iCs/>
          <w:szCs w:val="24"/>
          <w:lang w:val="en-US"/>
        </w:rPr>
        <w:t xml:space="preserve">Ward No.—of the City of Halifax, </w:t>
      </w:r>
      <w:r>
        <w:rPr>
          <w:rFonts w:cs="Arial"/>
          <w:smallCaps/>
          <w:szCs w:val="24"/>
          <w:lang w:val="en-US"/>
        </w:rPr>
        <w:t>liable to assessment</w:t>
      </w:r>
      <w:r>
        <w:rPr>
          <w:rFonts w:cs="Arial"/>
          <w:szCs w:val="24"/>
          <w:lang w:val="en-US"/>
        </w:rPr>
        <w:t>.</w:t>
      </w:r>
    </w:p>
    <w:tbl>
      <w:tblPr>
        <w:tblW w:w="5000" w:type="pct"/>
        <w:tblCellMar>
          <w:left w:w="40" w:type="dxa"/>
          <w:right w:w="40" w:type="dxa"/>
        </w:tblCellMar>
        <w:tblLook w:val="0000" w:firstRow="0" w:lastRow="0" w:firstColumn="0" w:lastColumn="0" w:noHBand="0" w:noVBand="0"/>
      </w:tblPr>
      <w:tblGrid>
        <w:gridCol w:w="7712"/>
        <w:gridCol w:w="2332"/>
      </w:tblGrid>
      <w:tr w:rsidR="00E0371C" w:rsidTr="00DE3789">
        <w:trPr>
          <w:trHeight w:val="209"/>
        </w:trPr>
        <w:tc>
          <w:tcPr>
            <w:tcW w:w="3839" w:type="pct"/>
            <w:tcBorders>
              <w:top w:val="nil"/>
              <w:left w:val="nil"/>
              <w:bottom w:val="nil"/>
              <w:right w:val="nil"/>
            </w:tcBorders>
          </w:tcPr>
          <w:p w:rsidR="00E0371C" w:rsidRDefault="00E0371C" w:rsidP="00245A22">
            <w:pPr>
              <w:rPr>
                <w:rFonts w:cs="Arial"/>
                <w:szCs w:val="24"/>
                <w:lang w:val="en-US"/>
              </w:rPr>
            </w:pPr>
          </w:p>
        </w:tc>
        <w:tc>
          <w:tcPr>
            <w:tcW w:w="1161" w:type="pct"/>
            <w:tcBorders>
              <w:top w:val="nil"/>
              <w:left w:val="nil"/>
              <w:bottom w:val="nil"/>
              <w:right w:val="nil"/>
            </w:tcBorders>
          </w:tcPr>
          <w:p w:rsidR="00E0371C" w:rsidRDefault="00E0371C" w:rsidP="00DE3789">
            <w:pPr>
              <w:jc w:val="center"/>
              <w:rPr>
                <w:rFonts w:cs="Arial"/>
                <w:szCs w:val="24"/>
                <w:lang w:val="en-US"/>
              </w:rPr>
            </w:pPr>
            <w:r>
              <w:rPr>
                <w:rFonts w:cs="Arial"/>
                <w:szCs w:val="24"/>
                <w:lang w:val="en-US"/>
              </w:rPr>
              <w:t xml:space="preserve">$ </w:t>
            </w:r>
            <w:proofErr w:type="spellStart"/>
            <w:proofErr w:type="gramStart"/>
            <w:r>
              <w:rPr>
                <w:rFonts w:cs="Arial"/>
                <w:szCs w:val="24"/>
                <w:lang w:val="en-US"/>
              </w:rPr>
              <w:t>cts</w:t>
            </w:r>
            <w:proofErr w:type="spellEnd"/>
            <w:proofErr w:type="gramEnd"/>
            <w:r>
              <w:rPr>
                <w:rFonts w:cs="Arial"/>
                <w:szCs w:val="24"/>
                <w:lang w:val="en-US"/>
              </w:rPr>
              <w:t>.</w:t>
            </w:r>
          </w:p>
        </w:tc>
      </w:tr>
      <w:tr w:rsidR="00E0371C" w:rsidTr="00DE3789">
        <w:trPr>
          <w:trHeight w:val="864"/>
        </w:trPr>
        <w:tc>
          <w:tcPr>
            <w:tcW w:w="3839" w:type="pct"/>
            <w:tcBorders>
              <w:top w:val="nil"/>
              <w:left w:val="nil"/>
              <w:bottom w:val="nil"/>
              <w:right w:val="nil"/>
            </w:tcBorders>
          </w:tcPr>
          <w:p w:rsidR="00E0371C" w:rsidRDefault="00E0371C" w:rsidP="00DE3789">
            <w:pPr>
              <w:pStyle w:val="History"/>
              <w:rPr>
                <w:rFonts w:cs="Arial"/>
                <w:szCs w:val="24"/>
                <w:lang w:val="en-US"/>
              </w:rPr>
            </w:pPr>
            <w:r>
              <w:rPr>
                <w:rFonts w:cs="Arial"/>
                <w:szCs w:val="24"/>
                <w:lang w:val="en-US"/>
              </w:rPr>
              <w:t>1. Real estate in possession of subscriber not rented to yearly tenants, estimated at ten times the yearly rent or value</w:t>
            </w:r>
          </w:p>
        </w:tc>
        <w:tc>
          <w:tcPr>
            <w:tcW w:w="1161" w:type="pct"/>
            <w:tcBorders>
              <w:top w:val="nil"/>
              <w:left w:val="nil"/>
              <w:bottom w:val="nil"/>
              <w:right w:val="nil"/>
            </w:tcBorders>
          </w:tcPr>
          <w:p w:rsidR="00E0371C" w:rsidRDefault="00E0371C" w:rsidP="00245A22">
            <w:pPr>
              <w:rPr>
                <w:rFonts w:cs="Arial"/>
                <w:szCs w:val="24"/>
                <w:lang w:val="en-US"/>
              </w:rPr>
            </w:pPr>
          </w:p>
        </w:tc>
      </w:tr>
    </w:tbl>
    <w:p w:rsidR="00E0371C" w:rsidRDefault="00E05F39" w:rsidP="00E05F39">
      <w:pPr>
        <w:pStyle w:val="Page"/>
        <w:rPr>
          <w:lang w:val="en-US"/>
        </w:rPr>
      </w:pPr>
      <w:r>
        <w:rPr>
          <w:rFonts w:cs="Arial"/>
          <w:szCs w:val="24"/>
          <w:lang w:val="en-US"/>
        </w:rPr>
        <w:t xml:space="preserve">[Page </w:t>
      </w:r>
      <w:r w:rsidR="00E0371C">
        <w:rPr>
          <w:rFonts w:cs="Arial"/>
          <w:szCs w:val="24"/>
          <w:lang w:val="en-US"/>
        </w:rPr>
        <w:t>501]</w:t>
      </w:r>
    </w:p>
    <w:tbl>
      <w:tblPr>
        <w:tblW w:w="5000" w:type="pct"/>
        <w:tblCellMar>
          <w:left w:w="40" w:type="dxa"/>
          <w:right w:w="40" w:type="dxa"/>
        </w:tblCellMar>
        <w:tblLook w:val="0000" w:firstRow="0" w:lastRow="0" w:firstColumn="0" w:lastColumn="0" w:noHBand="0" w:noVBand="0"/>
      </w:tblPr>
      <w:tblGrid>
        <w:gridCol w:w="7780"/>
        <w:gridCol w:w="2264"/>
      </w:tblGrid>
      <w:tr w:rsidR="00E0371C" w:rsidTr="00DE3789">
        <w:trPr>
          <w:trHeight w:val="918"/>
        </w:trPr>
        <w:tc>
          <w:tcPr>
            <w:tcW w:w="3873" w:type="pct"/>
          </w:tcPr>
          <w:p w:rsidR="00E0371C" w:rsidRDefault="00E0371C" w:rsidP="00DE3789">
            <w:pPr>
              <w:pStyle w:val="History"/>
              <w:rPr>
                <w:rFonts w:cs="Arial"/>
                <w:szCs w:val="24"/>
                <w:lang w:val="en-US"/>
              </w:rPr>
            </w:pPr>
            <w:r>
              <w:rPr>
                <w:rFonts w:cs="Arial"/>
                <w:szCs w:val="24"/>
                <w:lang w:val="en-US"/>
              </w:rPr>
              <w:t>2. Household furniture and movable property in dwelling and premises occupied by subscriber</w:t>
            </w:r>
          </w:p>
        </w:tc>
        <w:tc>
          <w:tcPr>
            <w:tcW w:w="1127" w:type="pct"/>
            <w:shd w:val="clear" w:color="auto" w:fill="auto"/>
          </w:tcPr>
          <w:p w:rsidR="00E0371C" w:rsidRDefault="00E0371C" w:rsidP="00245A22">
            <w:pPr>
              <w:rPr>
                <w:rFonts w:cs="Arial"/>
                <w:szCs w:val="24"/>
                <w:lang w:val="en-US"/>
              </w:rPr>
            </w:pPr>
          </w:p>
        </w:tc>
      </w:tr>
      <w:tr w:rsidR="00E0371C" w:rsidTr="00DE3789">
        <w:trPr>
          <w:trHeight w:val="515"/>
        </w:trPr>
        <w:tc>
          <w:tcPr>
            <w:tcW w:w="3873" w:type="pct"/>
          </w:tcPr>
          <w:p w:rsidR="00E0371C" w:rsidRDefault="00E0371C" w:rsidP="00DE3789">
            <w:pPr>
              <w:pStyle w:val="History"/>
              <w:rPr>
                <w:rFonts w:cs="Arial"/>
                <w:szCs w:val="24"/>
                <w:lang w:val="en-US"/>
              </w:rPr>
            </w:pPr>
            <w:r>
              <w:rPr>
                <w:rFonts w:cs="Arial"/>
                <w:szCs w:val="24"/>
                <w:lang w:val="en-US"/>
              </w:rPr>
              <w:t>3. Goods, wares and merchandize, within the ward</w:t>
            </w:r>
          </w:p>
        </w:tc>
        <w:tc>
          <w:tcPr>
            <w:tcW w:w="1127" w:type="pct"/>
            <w:shd w:val="clear" w:color="auto" w:fill="auto"/>
          </w:tcPr>
          <w:p w:rsidR="00E0371C" w:rsidRDefault="00E0371C" w:rsidP="00245A22">
            <w:pPr>
              <w:rPr>
                <w:rFonts w:cs="Arial"/>
                <w:szCs w:val="24"/>
                <w:lang w:val="en-US"/>
              </w:rPr>
            </w:pPr>
          </w:p>
        </w:tc>
      </w:tr>
      <w:tr w:rsidR="00E0371C" w:rsidTr="00DE3789">
        <w:trPr>
          <w:trHeight w:val="455"/>
        </w:trPr>
        <w:tc>
          <w:tcPr>
            <w:tcW w:w="3873" w:type="pct"/>
          </w:tcPr>
          <w:p w:rsidR="00E0371C" w:rsidRDefault="00E0371C" w:rsidP="00DE3789">
            <w:pPr>
              <w:pStyle w:val="History"/>
              <w:rPr>
                <w:rFonts w:cs="Arial"/>
                <w:szCs w:val="24"/>
                <w:lang w:val="en-US"/>
              </w:rPr>
            </w:pPr>
            <w:r>
              <w:rPr>
                <w:rFonts w:cs="Arial"/>
                <w:szCs w:val="24"/>
                <w:lang w:val="en-US"/>
              </w:rPr>
              <w:t>4. Moneys in possession or in bank, &amp;c.</w:t>
            </w:r>
          </w:p>
        </w:tc>
        <w:tc>
          <w:tcPr>
            <w:tcW w:w="1127" w:type="pct"/>
            <w:shd w:val="clear" w:color="auto" w:fill="auto"/>
          </w:tcPr>
          <w:p w:rsidR="00E0371C" w:rsidRDefault="00E0371C" w:rsidP="00245A22">
            <w:pPr>
              <w:rPr>
                <w:rFonts w:cs="Arial"/>
                <w:szCs w:val="24"/>
                <w:lang w:val="en-US"/>
              </w:rPr>
            </w:pPr>
          </w:p>
        </w:tc>
      </w:tr>
      <w:tr w:rsidR="00E0371C" w:rsidTr="00DE3789">
        <w:trPr>
          <w:trHeight w:val="822"/>
        </w:trPr>
        <w:tc>
          <w:tcPr>
            <w:tcW w:w="3873" w:type="pct"/>
          </w:tcPr>
          <w:p w:rsidR="00E0371C" w:rsidRDefault="00E0371C" w:rsidP="00DE3789">
            <w:pPr>
              <w:pStyle w:val="History"/>
              <w:rPr>
                <w:rFonts w:cs="Arial"/>
                <w:szCs w:val="24"/>
                <w:lang w:val="en-US"/>
              </w:rPr>
            </w:pPr>
            <w:r>
              <w:rPr>
                <w:rFonts w:cs="Arial"/>
                <w:szCs w:val="24"/>
                <w:lang w:val="en-US"/>
              </w:rPr>
              <w:t>5. Ships or vessels, or shares and interest therein, whether at home or abroad</w:t>
            </w:r>
          </w:p>
        </w:tc>
        <w:tc>
          <w:tcPr>
            <w:tcW w:w="1127" w:type="pct"/>
            <w:shd w:val="clear" w:color="auto" w:fill="auto"/>
          </w:tcPr>
          <w:p w:rsidR="00E0371C" w:rsidRDefault="00E0371C" w:rsidP="00245A22">
            <w:pPr>
              <w:rPr>
                <w:rFonts w:cs="Arial"/>
                <w:szCs w:val="24"/>
                <w:lang w:val="en-US"/>
              </w:rPr>
            </w:pPr>
          </w:p>
        </w:tc>
      </w:tr>
      <w:tr w:rsidR="00E0371C" w:rsidTr="00DE3789">
        <w:trPr>
          <w:trHeight w:val="807"/>
        </w:trPr>
        <w:tc>
          <w:tcPr>
            <w:tcW w:w="3873" w:type="pct"/>
          </w:tcPr>
          <w:p w:rsidR="00E0371C" w:rsidRDefault="00E0371C" w:rsidP="00DE3789">
            <w:pPr>
              <w:pStyle w:val="History"/>
              <w:rPr>
                <w:rFonts w:cs="Arial"/>
                <w:szCs w:val="24"/>
                <w:lang w:val="en-US"/>
              </w:rPr>
            </w:pPr>
            <w:r>
              <w:rPr>
                <w:rFonts w:cs="Arial"/>
                <w:szCs w:val="24"/>
                <w:lang w:val="en-US"/>
              </w:rPr>
              <w:t>6. Moneys invested in mortgage, or other security whatever, in the city.</w:t>
            </w:r>
          </w:p>
        </w:tc>
        <w:tc>
          <w:tcPr>
            <w:tcW w:w="1127" w:type="pct"/>
            <w:tcBorders>
              <w:bottom w:val="single" w:sz="4" w:space="0" w:color="auto"/>
            </w:tcBorders>
            <w:shd w:val="clear" w:color="auto" w:fill="auto"/>
          </w:tcPr>
          <w:p w:rsidR="00E0371C" w:rsidRDefault="00E0371C" w:rsidP="00245A22">
            <w:pPr>
              <w:rPr>
                <w:rFonts w:cs="Arial"/>
                <w:szCs w:val="24"/>
                <w:lang w:val="en-US"/>
              </w:rPr>
            </w:pPr>
          </w:p>
        </w:tc>
      </w:tr>
      <w:tr w:rsidR="00E0371C" w:rsidTr="00DE3789">
        <w:trPr>
          <w:trHeight w:val="333"/>
        </w:trPr>
        <w:tc>
          <w:tcPr>
            <w:tcW w:w="3873" w:type="pct"/>
          </w:tcPr>
          <w:p w:rsidR="00E0371C" w:rsidRDefault="00E0371C" w:rsidP="00DE3789">
            <w:pPr>
              <w:pStyle w:val="History"/>
              <w:ind w:left="4410" w:firstLine="0"/>
              <w:rPr>
                <w:rFonts w:cs="Arial"/>
                <w:szCs w:val="24"/>
                <w:lang w:val="en-US"/>
              </w:rPr>
            </w:pPr>
            <w:r>
              <w:rPr>
                <w:rFonts w:cs="Arial"/>
                <w:szCs w:val="24"/>
                <w:lang w:val="en-US"/>
              </w:rPr>
              <w:t>Total amount</w:t>
            </w:r>
          </w:p>
        </w:tc>
        <w:tc>
          <w:tcPr>
            <w:tcW w:w="1127" w:type="pct"/>
            <w:tcBorders>
              <w:top w:val="single" w:sz="4" w:space="0" w:color="auto"/>
            </w:tcBorders>
            <w:shd w:val="clear" w:color="auto" w:fill="auto"/>
          </w:tcPr>
          <w:p w:rsidR="00E0371C" w:rsidRDefault="00E0371C" w:rsidP="00245A22">
            <w:pPr>
              <w:rPr>
                <w:rFonts w:cs="Arial"/>
                <w:szCs w:val="24"/>
                <w:lang w:val="en-US"/>
              </w:rPr>
            </w:pPr>
            <w:r>
              <w:rPr>
                <w:rFonts w:cs="Arial"/>
                <w:szCs w:val="24"/>
                <w:lang w:val="en-US"/>
              </w:rPr>
              <w:t>$"</w:t>
            </w:r>
          </w:p>
        </w:tc>
      </w:tr>
    </w:tbl>
    <w:p w:rsidR="00E0371C" w:rsidRDefault="00E0371C" w:rsidP="00DE3789">
      <w:pPr>
        <w:pStyle w:val="History"/>
        <w:rPr>
          <w:rFonts w:cs="Arial"/>
          <w:szCs w:val="24"/>
          <w:lang w:val="en-US"/>
        </w:rPr>
      </w:pPr>
      <w:r>
        <w:rPr>
          <w:rFonts w:cs="Arial"/>
          <w:szCs w:val="24"/>
          <w:lang w:val="en-US"/>
        </w:rPr>
        <w:t>"In making this statement, each item or class of property shall be separately valued; and the amount admitted under each of the six classes of assessable property shall be separately stated; and the assessor shall not be bound to adopt such statement where each is not expressly valued."</w:t>
      </w:r>
    </w:p>
    <w:p w:rsidR="00E0371C" w:rsidRDefault="00E0371C" w:rsidP="00DE3789">
      <w:pPr>
        <w:pStyle w:val="History"/>
        <w:rPr>
          <w:rFonts w:cs="Arial"/>
          <w:szCs w:val="24"/>
          <w:lang w:val="en-US"/>
        </w:rPr>
      </w:pPr>
      <w:r>
        <w:rPr>
          <w:rFonts w:cs="Arial"/>
          <w:i/>
          <w:iCs/>
          <w:szCs w:val="24"/>
          <w:lang w:val="en-US"/>
        </w:rPr>
        <w:t>"The return of ships or vessels or shares therein shall</w:t>
      </w:r>
      <w:r>
        <w:rPr>
          <w:rFonts w:cs="Arial"/>
          <w:szCs w:val="24"/>
          <w:lang w:val="en-US"/>
        </w:rPr>
        <w:t xml:space="preserve">, in every case, be made by the party rated in the affidavit or return by him or </w:t>
      </w:r>
      <w:proofErr w:type="gramStart"/>
      <w:r>
        <w:rPr>
          <w:rFonts w:cs="Arial"/>
          <w:szCs w:val="24"/>
          <w:lang w:val="en-US"/>
        </w:rPr>
        <w:t>them</w:t>
      </w:r>
      <w:proofErr w:type="gramEnd"/>
      <w:r>
        <w:rPr>
          <w:rFonts w:cs="Arial"/>
          <w:szCs w:val="24"/>
          <w:lang w:val="en-US"/>
        </w:rPr>
        <w:t xml:space="preserve"> made, in the ward in which such person shall reside. Such return or statement shall be verified in every instance by an affidavit in the form following:"</w:t>
      </w:r>
    </w:p>
    <w:p w:rsidR="00E0371C" w:rsidRDefault="00E0371C" w:rsidP="00DE3789">
      <w:pPr>
        <w:pStyle w:val="History"/>
        <w:rPr>
          <w:rFonts w:cs="Arial"/>
          <w:szCs w:val="24"/>
          <w:lang w:val="en-US"/>
        </w:rPr>
      </w:pPr>
      <w:r>
        <w:rPr>
          <w:rFonts w:cs="Arial"/>
          <w:szCs w:val="24"/>
          <w:lang w:val="en-US"/>
        </w:rPr>
        <w:t xml:space="preserve">39 </w:t>
      </w:r>
      <w:proofErr w:type="spellStart"/>
      <w:proofErr w:type="gramStart"/>
      <w:r>
        <w:rPr>
          <w:rFonts w:cs="Arial"/>
          <w:szCs w:val="24"/>
          <w:lang w:val="en-US"/>
        </w:rPr>
        <w:t>Vict</w:t>
      </w:r>
      <w:proofErr w:type="spellEnd"/>
      <w:r>
        <w:rPr>
          <w:rFonts w:cs="Arial"/>
          <w:szCs w:val="24"/>
          <w:lang w:val="en-US"/>
        </w:rPr>
        <w:t>.,</w:t>
      </w:r>
      <w:proofErr w:type="gramEnd"/>
      <w:r>
        <w:rPr>
          <w:rFonts w:cs="Arial"/>
          <w:szCs w:val="24"/>
          <w:lang w:val="en-US"/>
        </w:rPr>
        <w:t xml:space="preserve"> Chap. 32, s. 10.</w:t>
      </w:r>
    </w:p>
    <w:p w:rsidR="00E0371C" w:rsidRDefault="00E0371C" w:rsidP="00DE3789">
      <w:pPr>
        <w:pStyle w:val="History"/>
        <w:rPr>
          <w:rFonts w:cs="Arial"/>
          <w:szCs w:val="24"/>
          <w:lang w:val="en-US"/>
        </w:rPr>
      </w:pPr>
      <w:r>
        <w:rPr>
          <w:rFonts w:cs="Arial"/>
          <w:szCs w:val="24"/>
          <w:lang w:val="en-US"/>
        </w:rPr>
        <w:t xml:space="preserve">"The failure to levy a Poll Tax has not affected nor shall it affect or diminish the validity or legality of any assessment made and levied within the City of </w:t>
      </w:r>
      <w:r>
        <w:rPr>
          <w:rFonts w:cs="Arial"/>
          <w:i/>
          <w:iCs/>
          <w:szCs w:val="24"/>
          <w:lang w:val="en-US"/>
        </w:rPr>
        <w:t>Halifax.</w:t>
      </w:r>
      <w:r>
        <w:rPr>
          <w:rFonts w:cs="Arial"/>
          <w:szCs w:val="24"/>
          <w:lang w:val="en-US"/>
        </w:rPr>
        <w:t>"</w:t>
      </w:r>
    </w:p>
    <w:p w:rsidR="00E0371C" w:rsidRDefault="00E0371C" w:rsidP="00DE3789">
      <w:pPr>
        <w:pStyle w:val="Sollicitors"/>
        <w:rPr>
          <w:lang w:val="en-US"/>
        </w:rPr>
      </w:pPr>
      <w:r>
        <w:rPr>
          <w:lang w:val="en-US"/>
        </w:rPr>
        <w:t xml:space="preserve">Mr. </w:t>
      </w:r>
      <w:r>
        <w:rPr>
          <w:iCs/>
          <w:lang w:val="en-US"/>
        </w:rPr>
        <w:t>Cockburn</w:t>
      </w:r>
      <w:r>
        <w:rPr>
          <w:lang w:val="en-US"/>
        </w:rPr>
        <w:t>, Q. C., for appellants:</w:t>
      </w:r>
    </w:p>
    <w:p w:rsidR="00E0371C" w:rsidRDefault="00E0371C" w:rsidP="00DE3789">
      <w:pPr>
        <w:pStyle w:val="History"/>
        <w:rPr>
          <w:rFonts w:cs="Arial"/>
          <w:szCs w:val="24"/>
          <w:lang w:val="en-US"/>
        </w:rPr>
      </w:pPr>
      <w:r>
        <w:rPr>
          <w:rFonts w:cs="Arial"/>
          <w:szCs w:val="24"/>
          <w:lang w:val="en-US"/>
        </w:rPr>
        <w:t xml:space="preserve">The point is whether a ship is </w:t>
      </w:r>
      <w:r>
        <w:rPr>
          <w:rFonts w:cs="Arial"/>
          <w:i/>
          <w:iCs/>
          <w:szCs w:val="24"/>
          <w:lang w:val="en-US"/>
        </w:rPr>
        <w:t>at home</w:t>
      </w:r>
      <w:r>
        <w:rPr>
          <w:rFonts w:cs="Arial"/>
          <w:szCs w:val="24"/>
          <w:lang w:val="en-US"/>
        </w:rPr>
        <w:t xml:space="preserve"> at </w:t>
      </w:r>
      <w:r>
        <w:rPr>
          <w:rFonts w:cs="Arial"/>
          <w:i/>
          <w:iCs/>
          <w:szCs w:val="24"/>
          <w:lang w:val="en-US"/>
        </w:rPr>
        <w:t>Halifax</w:t>
      </w:r>
      <w:r>
        <w:rPr>
          <w:rFonts w:cs="Arial"/>
          <w:szCs w:val="24"/>
          <w:lang w:val="en-US"/>
        </w:rPr>
        <w:t xml:space="preserve"> because her owner lives at </w:t>
      </w:r>
      <w:r>
        <w:rPr>
          <w:rFonts w:cs="Arial"/>
          <w:i/>
          <w:iCs/>
          <w:szCs w:val="24"/>
          <w:lang w:val="en-US"/>
        </w:rPr>
        <w:t>Halifax.</w:t>
      </w:r>
      <w:r>
        <w:rPr>
          <w:rFonts w:cs="Arial"/>
          <w:szCs w:val="24"/>
          <w:lang w:val="en-US"/>
        </w:rPr>
        <w:t xml:space="preserve"> There are a number of authorities which establish beyond a doubt that a state can tax persons residing in the state for the personal</w:t>
      </w:r>
    </w:p>
    <w:p w:rsidR="00E0371C" w:rsidRDefault="00E05F39" w:rsidP="00E05F39">
      <w:pPr>
        <w:pStyle w:val="Page"/>
        <w:rPr>
          <w:lang w:val="en-US"/>
        </w:rPr>
      </w:pPr>
      <w:r>
        <w:rPr>
          <w:rFonts w:cs="Arial"/>
          <w:szCs w:val="24"/>
          <w:lang w:val="en-US"/>
        </w:rPr>
        <w:t xml:space="preserve">[Page </w:t>
      </w:r>
      <w:r w:rsidR="00E0371C">
        <w:rPr>
          <w:rFonts w:cs="Arial"/>
          <w:szCs w:val="24"/>
          <w:lang w:val="en-US"/>
        </w:rPr>
        <w:t>502]</w:t>
      </w:r>
    </w:p>
    <w:p w:rsidR="00E0371C" w:rsidRDefault="00E0371C" w:rsidP="00DE3789">
      <w:pPr>
        <w:pStyle w:val="History"/>
        <w:ind w:firstLine="0"/>
        <w:rPr>
          <w:rFonts w:cs="Arial"/>
          <w:szCs w:val="24"/>
          <w:lang w:val="en-US"/>
        </w:rPr>
      </w:pPr>
      <w:proofErr w:type="gramStart"/>
      <w:r>
        <w:rPr>
          <w:rFonts w:cs="Arial"/>
          <w:szCs w:val="24"/>
          <w:lang w:val="en-US"/>
        </w:rPr>
        <w:lastRenderedPageBreak/>
        <w:t>property</w:t>
      </w:r>
      <w:proofErr w:type="gramEnd"/>
      <w:r>
        <w:rPr>
          <w:rFonts w:cs="Arial"/>
          <w:szCs w:val="24"/>
          <w:lang w:val="en-US"/>
        </w:rPr>
        <w:t xml:space="preserve"> outside of the state. I submit also, that on the principle "that personal property follows the person," and the property in question being movable and personal, and the Respondent's residence in </w:t>
      </w:r>
      <w:r>
        <w:rPr>
          <w:rFonts w:cs="Arial"/>
          <w:i/>
          <w:iCs/>
          <w:szCs w:val="24"/>
          <w:lang w:val="en-US"/>
        </w:rPr>
        <w:t>Halifax</w:t>
      </w:r>
      <w:r>
        <w:rPr>
          <w:rFonts w:cs="Arial"/>
          <w:szCs w:val="24"/>
          <w:lang w:val="en-US"/>
        </w:rPr>
        <w:t xml:space="preserve"> being admitted (that being necessary to give jurisdiction to the city authorities), the case falls clearly within the scope of the Act above cited.</w:t>
      </w:r>
    </w:p>
    <w:p w:rsidR="00E0371C" w:rsidRDefault="00E0371C" w:rsidP="00DE3789">
      <w:pPr>
        <w:pStyle w:val="History"/>
        <w:rPr>
          <w:rFonts w:cs="Arial"/>
          <w:szCs w:val="24"/>
          <w:lang w:val="en-US"/>
        </w:rPr>
      </w:pPr>
      <w:r>
        <w:rPr>
          <w:rFonts w:cs="Arial"/>
          <w:szCs w:val="24"/>
          <w:lang w:val="en-US"/>
        </w:rPr>
        <w:t xml:space="preserve">The case of </w:t>
      </w:r>
      <w:proofErr w:type="spellStart"/>
      <w:r>
        <w:rPr>
          <w:rFonts w:cs="Arial"/>
          <w:i/>
          <w:iCs/>
          <w:szCs w:val="24"/>
          <w:lang w:val="en-US"/>
        </w:rPr>
        <w:t>Nickle</w:t>
      </w:r>
      <w:proofErr w:type="spellEnd"/>
      <w:r>
        <w:rPr>
          <w:rFonts w:cs="Arial"/>
          <w:szCs w:val="24"/>
          <w:lang w:val="en-US"/>
        </w:rPr>
        <w:t xml:space="preserve"> v. </w:t>
      </w:r>
      <w:r>
        <w:rPr>
          <w:rFonts w:cs="Arial"/>
          <w:i/>
          <w:iCs/>
          <w:szCs w:val="24"/>
          <w:lang w:val="en-US"/>
        </w:rPr>
        <w:t>Douglas</w:t>
      </w:r>
      <w:r w:rsidR="00D551C6">
        <w:rPr>
          <w:rStyle w:val="Appelnotedebasdep"/>
          <w:rFonts w:cs="Arial"/>
          <w:i/>
          <w:iCs/>
          <w:szCs w:val="24"/>
          <w:lang w:val="en-US"/>
        </w:rPr>
        <w:footnoteReference w:id="1"/>
      </w:r>
      <w:r>
        <w:rPr>
          <w:rFonts w:cs="Arial"/>
          <w:szCs w:val="24"/>
          <w:lang w:val="en-US"/>
        </w:rPr>
        <w:t xml:space="preserve">, relied on by respondent, is not applicable, for under the Act of the </w:t>
      </w:r>
      <w:r>
        <w:rPr>
          <w:rFonts w:cs="Arial"/>
          <w:i/>
          <w:iCs/>
          <w:szCs w:val="24"/>
          <w:lang w:val="en-US"/>
        </w:rPr>
        <w:t>Ontario</w:t>
      </w:r>
      <w:r>
        <w:rPr>
          <w:rFonts w:cs="Arial"/>
          <w:szCs w:val="24"/>
          <w:lang w:val="en-US"/>
        </w:rPr>
        <w:t xml:space="preserve"> Legislature personal property within the Province was alone assessable, and the property taxed was stock in a bank doing business outside the Province.</w:t>
      </w:r>
    </w:p>
    <w:p w:rsidR="00E0371C" w:rsidRDefault="00E0371C" w:rsidP="00DE3789">
      <w:pPr>
        <w:pStyle w:val="History"/>
        <w:rPr>
          <w:rFonts w:cs="Arial"/>
          <w:szCs w:val="24"/>
          <w:lang w:val="en-US"/>
        </w:rPr>
      </w:pPr>
      <w:r>
        <w:rPr>
          <w:rFonts w:cs="Arial"/>
          <w:szCs w:val="24"/>
          <w:lang w:val="en-US"/>
        </w:rPr>
        <w:t xml:space="preserve">That the Legislature of </w:t>
      </w:r>
      <w:r>
        <w:rPr>
          <w:rFonts w:cs="Arial"/>
          <w:i/>
          <w:iCs/>
          <w:szCs w:val="24"/>
          <w:lang w:val="en-US"/>
        </w:rPr>
        <w:t>Nova Scotia</w:t>
      </w:r>
      <w:r>
        <w:rPr>
          <w:rFonts w:cs="Arial"/>
          <w:szCs w:val="24"/>
          <w:lang w:val="en-US"/>
        </w:rPr>
        <w:t xml:space="preserve"> has power, for municipal purposes, to authorize the assessment of personal property elsewhere, but owned by persons within the Province, is undoubted, and the only question here is whether the Legislature have clearly exercised that power, which, it is submitted, must be established from a correct construction of the statute referred to.</w:t>
      </w:r>
    </w:p>
    <w:p w:rsidR="00E0371C" w:rsidRDefault="00E0371C" w:rsidP="00DE3789">
      <w:pPr>
        <w:pStyle w:val="History"/>
        <w:rPr>
          <w:rFonts w:cs="Arial"/>
          <w:szCs w:val="24"/>
          <w:lang w:val="en-US"/>
        </w:rPr>
      </w:pPr>
      <w:r>
        <w:rPr>
          <w:rFonts w:cs="Arial"/>
          <w:szCs w:val="24"/>
          <w:lang w:val="en-US"/>
        </w:rPr>
        <w:t xml:space="preserve">The learned counsel relied on the following authorities: </w:t>
      </w:r>
      <w:proofErr w:type="spellStart"/>
      <w:r>
        <w:rPr>
          <w:rFonts w:cs="Arial"/>
          <w:i/>
          <w:iCs/>
          <w:szCs w:val="24"/>
          <w:lang w:val="en-US"/>
        </w:rPr>
        <w:t>Bulstrode</w:t>
      </w:r>
      <w:proofErr w:type="spellEnd"/>
      <w:r>
        <w:rPr>
          <w:rFonts w:cs="Arial"/>
          <w:i/>
          <w:iCs/>
          <w:szCs w:val="24"/>
          <w:lang w:val="en-US"/>
        </w:rPr>
        <w:t>, p.</w:t>
      </w:r>
      <w:r>
        <w:rPr>
          <w:rFonts w:cs="Arial"/>
          <w:szCs w:val="24"/>
          <w:lang w:val="en-US"/>
        </w:rPr>
        <w:t xml:space="preserve"> 355; </w:t>
      </w:r>
      <w:r>
        <w:rPr>
          <w:rFonts w:cs="Arial"/>
          <w:i/>
          <w:iCs/>
          <w:szCs w:val="24"/>
          <w:lang w:val="en-US"/>
        </w:rPr>
        <w:t>Tupper</w:t>
      </w:r>
      <w:r>
        <w:rPr>
          <w:rFonts w:cs="Arial"/>
          <w:szCs w:val="24"/>
          <w:lang w:val="en-US"/>
        </w:rPr>
        <w:t xml:space="preserve"> v. </w:t>
      </w:r>
      <w:r>
        <w:rPr>
          <w:rFonts w:cs="Arial"/>
          <w:i/>
          <w:iCs/>
          <w:szCs w:val="24"/>
          <w:lang w:val="en-US"/>
        </w:rPr>
        <w:t>Treasurer of the Hospital of St. Peter Port</w:t>
      </w:r>
      <w:r w:rsidR="00D551C6">
        <w:rPr>
          <w:rStyle w:val="Appelnotedebasdep"/>
          <w:rFonts w:cs="Arial"/>
          <w:i/>
          <w:iCs/>
          <w:szCs w:val="24"/>
          <w:lang w:val="en-US"/>
        </w:rPr>
        <w:footnoteReference w:id="2"/>
      </w:r>
      <w:r>
        <w:rPr>
          <w:rFonts w:cs="Arial"/>
          <w:szCs w:val="24"/>
          <w:lang w:val="en-US"/>
        </w:rPr>
        <w:t xml:space="preserve">; </w:t>
      </w:r>
      <w:r>
        <w:rPr>
          <w:rFonts w:cs="Arial"/>
          <w:i/>
          <w:iCs/>
          <w:szCs w:val="24"/>
          <w:lang w:val="en-US"/>
        </w:rPr>
        <w:t>The King</w:t>
      </w:r>
      <w:r>
        <w:rPr>
          <w:rFonts w:cs="Arial"/>
          <w:szCs w:val="24"/>
          <w:lang w:val="en-US"/>
        </w:rPr>
        <w:t xml:space="preserve"> v. </w:t>
      </w:r>
      <w:r>
        <w:rPr>
          <w:rFonts w:cs="Arial"/>
          <w:i/>
          <w:iCs/>
          <w:szCs w:val="24"/>
          <w:lang w:val="en-US"/>
        </w:rPr>
        <w:t>Hull Dock Co.</w:t>
      </w:r>
      <w:r w:rsidR="00D551C6">
        <w:rPr>
          <w:rStyle w:val="Appelnotedebasdep"/>
          <w:rFonts w:cs="Arial"/>
          <w:i/>
          <w:iCs/>
          <w:szCs w:val="24"/>
          <w:lang w:val="en-US"/>
        </w:rPr>
        <w:footnoteReference w:id="3"/>
      </w:r>
      <w:r>
        <w:rPr>
          <w:rFonts w:cs="Arial"/>
          <w:szCs w:val="24"/>
          <w:lang w:val="en-US"/>
        </w:rPr>
        <w:t xml:space="preserve">; </w:t>
      </w:r>
      <w:r>
        <w:rPr>
          <w:rFonts w:cs="Arial"/>
          <w:i/>
          <w:iCs/>
          <w:szCs w:val="24"/>
          <w:lang w:val="en-US"/>
        </w:rPr>
        <w:t>Re Ewing</w:t>
      </w:r>
      <w:r w:rsidR="00D551C6">
        <w:rPr>
          <w:rStyle w:val="Appelnotedebasdep"/>
          <w:rFonts w:cs="Arial"/>
          <w:i/>
          <w:iCs/>
          <w:szCs w:val="24"/>
          <w:lang w:val="en-US"/>
        </w:rPr>
        <w:footnoteReference w:id="4"/>
      </w:r>
      <w:r>
        <w:rPr>
          <w:rFonts w:cs="Arial"/>
          <w:szCs w:val="24"/>
          <w:lang w:val="en-US"/>
        </w:rPr>
        <w:t xml:space="preserve">; </w:t>
      </w:r>
      <w:r>
        <w:rPr>
          <w:rFonts w:cs="Arial"/>
          <w:i/>
          <w:iCs/>
          <w:szCs w:val="24"/>
          <w:lang w:val="en-US"/>
        </w:rPr>
        <w:t>Thompson</w:t>
      </w:r>
      <w:r>
        <w:rPr>
          <w:rFonts w:cs="Arial"/>
          <w:szCs w:val="24"/>
          <w:lang w:val="en-US"/>
        </w:rPr>
        <w:t xml:space="preserve"> v. </w:t>
      </w:r>
      <w:r>
        <w:rPr>
          <w:rFonts w:cs="Arial"/>
          <w:i/>
          <w:iCs/>
          <w:szCs w:val="24"/>
          <w:lang w:val="en-US"/>
        </w:rPr>
        <w:t>Advocate-General</w:t>
      </w:r>
      <w:r w:rsidR="00D551C6">
        <w:rPr>
          <w:rStyle w:val="Appelnotedebasdep"/>
          <w:rFonts w:cs="Arial"/>
          <w:i/>
          <w:iCs/>
          <w:szCs w:val="24"/>
          <w:lang w:val="en-US"/>
        </w:rPr>
        <w:footnoteReference w:id="5"/>
      </w:r>
      <w:r>
        <w:rPr>
          <w:rFonts w:cs="Arial"/>
          <w:szCs w:val="24"/>
          <w:lang w:val="en-US"/>
        </w:rPr>
        <w:t xml:space="preserve">; </w:t>
      </w:r>
      <w:r>
        <w:rPr>
          <w:rFonts w:cs="Arial"/>
          <w:i/>
          <w:iCs/>
          <w:szCs w:val="24"/>
          <w:lang w:val="en-US"/>
        </w:rPr>
        <w:t>Minturn</w:t>
      </w:r>
      <w:r>
        <w:rPr>
          <w:rFonts w:cs="Arial"/>
          <w:szCs w:val="24"/>
          <w:lang w:val="en-US"/>
        </w:rPr>
        <w:t xml:space="preserve"> v. </w:t>
      </w:r>
      <w:r>
        <w:rPr>
          <w:rFonts w:cs="Arial"/>
          <w:i/>
          <w:iCs/>
          <w:szCs w:val="24"/>
          <w:lang w:val="en-US"/>
        </w:rPr>
        <w:t>Hays</w:t>
      </w:r>
      <w:r w:rsidR="00D551C6">
        <w:rPr>
          <w:rStyle w:val="Appelnotedebasdep"/>
          <w:rFonts w:cs="Arial"/>
          <w:i/>
          <w:iCs/>
          <w:szCs w:val="24"/>
          <w:lang w:val="en-US"/>
        </w:rPr>
        <w:footnoteReference w:id="6"/>
      </w:r>
      <w:r>
        <w:rPr>
          <w:rFonts w:cs="Arial"/>
          <w:szCs w:val="24"/>
          <w:lang w:val="en-US"/>
        </w:rPr>
        <w:t xml:space="preserve">; </w:t>
      </w:r>
      <w:r>
        <w:rPr>
          <w:rFonts w:cs="Arial"/>
          <w:i/>
          <w:iCs/>
          <w:szCs w:val="24"/>
          <w:lang w:val="en-US"/>
        </w:rPr>
        <w:t>Peabody</w:t>
      </w:r>
      <w:r>
        <w:rPr>
          <w:rFonts w:cs="Arial"/>
          <w:szCs w:val="24"/>
          <w:lang w:val="en-US"/>
        </w:rPr>
        <w:t xml:space="preserve"> v. </w:t>
      </w:r>
      <w:r>
        <w:rPr>
          <w:rFonts w:cs="Arial"/>
          <w:i/>
          <w:iCs/>
          <w:szCs w:val="24"/>
          <w:lang w:val="en-US"/>
        </w:rPr>
        <w:t>County Comrs.</w:t>
      </w:r>
      <w:r w:rsidR="00D551C6">
        <w:rPr>
          <w:rStyle w:val="Appelnotedebasdep"/>
          <w:rFonts w:cs="Arial"/>
          <w:i/>
          <w:iCs/>
          <w:szCs w:val="24"/>
          <w:lang w:val="en-US"/>
        </w:rPr>
        <w:footnoteReference w:id="7"/>
      </w:r>
      <w:r>
        <w:rPr>
          <w:rFonts w:cs="Arial"/>
          <w:szCs w:val="24"/>
          <w:lang w:val="en-US"/>
        </w:rPr>
        <w:t xml:space="preserve">; </w:t>
      </w:r>
      <w:proofErr w:type="spellStart"/>
      <w:r>
        <w:rPr>
          <w:rFonts w:cs="Arial"/>
          <w:i/>
          <w:iCs/>
          <w:szCs w:val="24"/>
          <w:lang w:val="en-US"/>
        </w:rPr>
        <w:t>Reman</w:t>
      </w:r>
      <w:proofErr w:type="spellEnd"/>
      <w:r>
        <w:rPr>
          <w:rFonts w:cs="Arial"/>
          <w:szCs w:val="24"/>
          <w:lang w:val="en-US"/>
        </w:rPr>
        <w:t xml:space="preserve"> v. </w:t>
      </w:r>
      <w:r>
        <w:rPr>
          <w:rFonts w:cs="Arial"/>
          <w:i/>
          <w:iCs/>
          <w:szCs w:val="24"/>
          <w:lang w:val="en-US"/>
        </w:rPr>
        <w:t>Shepherd</w:t>
      </w:r>
      <w:r w:rsidR="00D551C6">
        <w:rPr>
          <w:rStyle w:val="Appelnotedebasdep"/>
          <w:rFonts w:cs="Arial"/>
          <w:i/>
          <w:iCs/>
          <w:szCs w:val="24"/>
          <w:lang w:val="en-US"/>
        </w:rPr>
        <w:footnoteReference w:id="8"/>
      </w:r>
      <w:r>
        <w:rPr>
          <w:rFonts w:cs="Arial"/>
          <w:szCs w:val="24"/>
          <w:lang w:val="en-US"/>
        </w:rPr>
        <w:t xml:space="preserve">; </w:t>
      </w:r>
      <w:r>
        <w:rPr>
          <w:rFonts w:cs="Arial"/>
          <w:i/>
          <w:iCs/>
          <w:szCs w:val="24"/>
          <w:lang w:val="en-US"/>
        </w:rPr>
        <w:t>Barratt</w:t>
      </w:r>
      <w:r>
        <w:rPr>
          <w:rFonts w:cs="Arial"/>
          <w:szCs w:val="24"/>
          <w:lang w:val="en-US"/>
        </w:rPr>
        <w:t xml:space="preserve"> v. </w:t>
      </w:r>
      <w:r>
        <w:rPr>
          <w:rFonts w:cs="Arial"/>
          <w:i/>
          <w:iCs/>
          <w:szCs w:val="24"/>
          <w:lang w:val="en-US"/>
        </w:rPr>
        <w:t>Henderson</w:t>
      </w:r>
      <w:r w:rsidR="00D551C6">
        <w:rPr>
          <w:rStyle w:val="Appelnotedebasdep"/>
          <w:rFonts w:cs="Arial"/>
          <w:i/>
          <w:iCs/>
          <w:szCs w:val="24"/>
          <w:lang w:val="en-US"/>
        </w:rPr>
        <w:footnoteReference w:id="9"/>
      </w:r>
      <w:r>
        <w:rPr>
          <w:rFonts w:cs="Arial"/>
          <w:szCs w:val="24"/>
          <w:lang w:val="en-US"/>
        </w:rPr>
        <w:t xml:space="preserve">; </w:t>
      </w:r>
      <w:r>
        <w:rPr>
          <w:rFonts w:cs="Arial"/>
          <w:i/>
          <w:iCs/>
          <w:szCs w:val="24"/>
          <w:lang w:val="en-US"/>
        </w:rPr>
        <w:t>Re Hood's Estate</w:t>
      </w:r>
      <w:r w:rsidR="00D551C6">
        <w:rPr>
          <w:rStyle w:val="Appelnotedebasdep"/>
          <w:rFonts w:cs="Arial"/>
          <w:i/>
          <w:iCs/>
          <w:szCs w:val="24"/>
          <w:lang w:val="en-US"/>
        </w:rPr>
        <w:footnoteReference w:id="10"/>
      </w:r>
      <w:r>
        <w:rPr>
          <w:rFonts w:cs="Arial"/>
          <w:szCs w:val="24"/>
          <w:lang w:val="en-US"/>
        </w:rPr>
        <w:t xml:space="preserve">; </w:t>
      </w:r>
      <w:r>
        <w:rPr>
          <w:rFonts w:cs="Arial"/>
          <w:i/>
          <w:iCs/>
          <w:szCs w:val="24"/>
          <w:lang w:val="en-US"/>
        </w:rPr>
        <w:t>Lott</w:t>
      </w:r>
      <w:r>
        <w:rPr>
          <w:rFonts w:cs="Arial"/>
          <w:szCs w:val="24"/>
          <w:lang w:val="en-US"/>
        </w:rPr>
        <w:t xml:space="preserve"> v. </w:t>
      </w:r>
      <w:r>
        <w:rPr>
          <w:rFonts w:cs="Arial"/>
          <w:i/>
          <w:iCs/>
          <w:szCs w:val="24"/>
          <w:lang w:val="en-US"/>
        </w:rPr>
        <w:t>Mobile</w:t>
      </w:r>
      <w:r w:rsidR="00D551C6">
        <w:rPr>
          <w:rStyle w:val="Appelnotedebasdep"/>
          <w:rFonts w:cs="Arial"/>
          <w:i/>
          <w:iCs/>
          <w:szCs w:val="24"/>
          <w:lang w:val="en-US"/>
        </w:rPr>
        <w:footnoteReference w:id="11"/>
      </w:r>
      <w:r>
        <w:rPr>
          <w:rFonts w:cs="Arial"/>
          <w:szCs w:val="24"/>
          <w:lang w:val="en-US"/>
        </w:rPr>
        <w:t xml:space="preserve">; </w:t>
      </w:r>
      <w:r>
        <w:rPr>
          <w:rFonts w:cs="Arial"/>
          <w:i/>
          <w:iCs/>
          <w:szCs w:val="24"/>
          <w:lang w:val="en-US"/>
        </w:rPr>
        <w:t>Hilliard's</w:t>
      </w:r>
      <w:r>
        <w:rPr>
          <w:rFonts w:cs="Arial"/>
          <w:szCs w:val="24"/>
          <w:lang w:val="en-US"/>
        </w:rPr>
        <w:t xml:space="preserve"> Law of Taxation</w:t>
      </w:r>
      <w:r w:rsidR="00D551C6">
        <w:rPr>
          <w:rStyle w:val="Appelnotedebasdep"/>
          <w:rFonts w:cs="Arial"/>
          <w:szCs w:val="24"/>
          <w:lang w:val="en-US"/>
        </w:rPr>
        <w:footnoteReference w:id="12"/>
      </w:r>
      <w:r>
        <w:rPr>
          <w:rFonts w:cs="Arial"/>
          <w:szCs w:val="24"/>
          <w:lang w:val="en-US"/>
        </w:rPr>
        <w:t>.</w:t>
      </w:r>
    </w:p>
    <w:p w:rsidR="00E0371C" w:rsidRDefault="00E0371C" w:rsidP="00DE3789">
      <w:pPr>
        <w:pStyle w:val="Sollicitors"/>
        <w:rPr>
          <w:lang w:val="en-US"/>
        </w:rPr>
      </w:pPr>
      <w:r>
        <w:rPr>
          <w:lang w:val="en-US"/>
        </w:rPr>
        <w:t xml:space="preserve">Mr. </w:t>
      </w:r>
      <w:proofErr w:type="spellStart"/>
      <w:r>
        <w:rPr>
          <w:iCs/>
          <w:lang w:val="en-US"/>
        </w:rPr>
        <w:t>Gormully</w:t>
      </w:r>
      <w:proofErr w:type="spellEnd"/>
      <w:r>
        <w:rPr>
          <w:lang w:val="en-US"/>
        </w:rPr>
        <w:t xml:space="preserve"> for respondent:—</w:t>
      </w:r>
    </w:p>
    <w:p w:rsidR="00E0371C" w:rsidRDefault="00E0371C" w:rsidP="00DE3789">
      <w:pPr>
        <w:pStyle w:val="History"/>
        <w:rPr>
          <w:rFonts w:cs="Arial"/>
          <w:szCs w:val="24"/>
          <w:lang w:val="en-US"/>
        </w:rPr>
      </w:pPr>
      <w:proofErr w:type="gramStart"/>
      <w:r>
        <w:rPr>
          <w:rFonts w:cs="Arial"/>
          <w:szCs w:val="24"/>
          <w:lang w:val="en-US"/>
        </w:rPr>
        <w:t xml:space="preserve">In order to interpret </w:t>
      </w:r>
      <w:proofErr w:type="spellStart"/>
      <w:r>
        <w:rPr>
          <w:rFonts w:cs="Arial"/>
          <w:szCs w:val="24"/>
          <w:lang w:val="en-US"/>
        </w:rPr>
        <w:t>secs</w:t>
      </w:r>
      <w:proofErr w:type="spellEnd"/>
      <w:r>
        <w:rPr>
          <w:rFonts w:cs="Arial"/>
          <w:szCs w:val="24"/>
          <w:lang w:val="en-US"/>
        </w:rPr>
        <w:t>.</w:t>
      </w:r>
      <w:proofErr w:type="gramEnd"/>
      <w:r>
        <w:rPr>
          <w:rFonts w:cs="Arial"/>
          <w:szCs w:val="24"/>
          <w:lang w:val="en-US"/>
        </w:rPr>
        <w:t xml:space="preserve"> 340 and 347 conferring the power of assessment they should be read together, and</w:t>
      </w:r>
    </w:p>
    <w:p w:rsidR="00E0371C" w:rsidRDefault="00E05F39" w:rsidP="00E05F39">
      <w:pPr>
        <w:pStyle w:val="Page"/>
        <w:rPr>
          <w:lang w:val="en-US"/>
        </w:rPr>
      </w:pPr>
      <w:r>
        <w:rPr>
          <w:rFonts w:cs="Arial"/>
          <w:szCs w:val="24"/>
          <w:lang w:val="en-US"/>
        </w:rPr>
        <w:t xml:space="preserve">[Page </w:t>
      </w:r>
      <w:r w:rsidR="00E0371C">
        <w:rPr>
          <w:rFonts w:cs="Arial"/>
          <w:szCs w:val="24"/>
          <w:lang w:val="en-US"/>
        </w:rPr>
        <w:t>503]</w:t>
      </w:r>
    </w:p>
    <w:p w:rsidR="00E0371C" w:rsidRDefault="00E0371C" w:rsidP="00DE3789">
      <w:pPr>
        <w:pStyle w:val="History"/>
        <w:ind w:firstLine="0"/>
        <w:rPr>
          <w:rFonts w:cs="Arial"/>
          <w:szCs w:val="24"/>
          <w:lang w:val="en-US"/>
        </w:rPr>
      </w:pPr>
      <w:proofErr w:type="gramStart"/>
      <w:r>
        <w:rPr>
          <w:rFonts w:cs="Arial"/>
          <w:szCs w:val="24"/>
          <w:lang w:val="en-US"/>
        </w:rPr>
        <w:t>it</w:t>
      </w:r>
      <w:proofErr w:type="gramEnd"/>
      <w:r>
        <w:rPr>
          <w:rFonts w:cs="Arial"/>
          <w:szCs w:val="24"/>
          <w:lang w:val="en-US"/>
        </w:rPr>
        <w:t xml:space="preserve"> will then be seen that the probable legislative intent was to authorize first the assessment of all inhabitants in respect of their property within the city, and then the assessment of all non-residents in respect of their property within the city. Possibly more felicitous language could have been found which would have defined more clearly and precisely the extent and the limits of the power intended to be conferred. But if the language used is at all vague or uncertain, if it gives rise to a reasonable doubt in the mind of the Court whether the right to assess personal property is confined to personal property within the city or not, then the appellants, by virtue of a familiar canon of construction applicable to all tax laws, must certainly fail. The canon referred to is that "every charge upon the subject must be imposed by clear and unambiguous language." In </w:t>
      </w:r>
      <w:proofErr w:type="spellStart"/>
      <w:r>
        <w:rPr>
          <w:rFonts w:cs="Arial"/>
          <w:i/>
          <w:iCs/>
          <w:szCs w:val="24"/>
          <w:lang w:val="en-US"/>
        </w:rPr>
        <w:t>Wroughton</w:t>
      </w:r>
      <w:proofErr w:type="spellEnd"/>
      <w:r>
        <w:rPr>
          <w:rFonts w:cs="Arial"/>
          <w:szCs w:val="24"/>
          <w:lang w:val="en-US"/>
        </w:rPr>
        <w:t xml:space="preserve"> v. </w:t>
      </w:r>
      <w:r>
        <w:rPr>
          <w:rFonts w:cs="Arial"/>
          <w:i/>
          <w:iCs/>
          <w:szCs w:val="24"/>
          <w:lang w:val="en-US"/>
        </w:rPr>
        <w:t>Turtle</w:t>
      </w:r>
      <w:r w:rsidR="00D551C6">
        <w:rPr>
          <w:rStyle w:val="Appelnotedebasdep"/>
          <w:rFonts w:cs="Arial"/>
          <w:i/>
          <w:iCs/>
          <w:szCs w:val="24"/>
          <w:lang w:val="en-US"/>
        </w:rPr>
        <w:footnoteReference w:id="13"/>
      </w:r>
      <w:r>
        <w:rPr>
          <w:rFonts w:cs="Arial"/>
          <w:szCs w:val="24"/>
          <w:lang w:val="en-US"/>
        </w:rPr>
        <w:t xml:space="preserve">, </w:t>
      </w:r>
      <w:r>
        <w:rPr>
          <w:rFonts w:cs="Arial"/>
          <w:i/>
          <w:iCs/>
          <w:szCs w:val="24"/>
          <w:lang w:val="en-US"/>
        </w:rPr>
        <w:t>Parke</w:t>
      </w:r>
      <w:r>
        <w:rPr>
          <w:rFonts w:cs="Arial"/>
          <w:szCs w:val="24"/>
          <w:lang w:val="en-US"/>
        </w:rPr>
        <w:t xml:space="preserve">, B., says, that it is a well settled rule of law that every charge upon the subject must be imposed by clear and </w:t>
      </w:r>
      <w:r>
        <w:rPr>
          <w:rFonts w:cs="Arial"/>
          <w:szCs w:val="24"/>
          <w:lang w:val="en-US"/>
        </w:rPr>
        <w:lastRenderedPageBreak/>
        <w:t xml:space="preserve">unambiguous words. See also </w:t>
      </w:r>
      <w:r>
        <w:rPr>
          <w:rFonts w:cs="Arial"/>
          <w:i/>
          <w:iCs/>
          <w:szCs w:val="24"/>
          <w:lang w:val="en-US"/>
        </w:rPr>
        <w:t>Cooley</w:t>
      </w:r>
      <w:r>
        <w:rPr>
          <w:rFonts w:cs="Arial"/>
          <w:szCs w:val="24"/>
          <w:lang w:val="en-US"/>
        </w:rPr>
        <w:t xml:space="preserve"> on taxation</w:t>
      </w:r>
      <w:r w:rsidR="00D551C6">
        <w:rPr>
          <w:rStyle w:val="Appelnotedebasdep"/>
          <w:rFonts w:cs="Arial"/>
          <w:szCs w:val="24"/>
          <w:lang w:val="en-US"/>
        </w:rPr>
        <w:footnoteReference w:id="14"/>
      </w:r>
      <w:r>
        <w:rPr>
          <w:rFonts w:cs="Arial"/>
          <w:szCs w:val="24"/>
          <w:lang w:val="en-US"/>
        </w:rPr>
        <w:t xml:space="preserve">, where a number of the English authorities are collected; </w:t>
      </w:r>
      <w:proofErr w:type="spellStart"/>
      <w:r>
        <w:rPr>
          <w:rFonts w:cs="Arial"/>
          <w:i/>
          <w:iCs/>
          <w:szCs w:val="24"/>
          <w:lang w:val="en-US"/>
        </w:rPr>
        <w:t>Nickle</w:t>
      </w:r>
      <w:proofErr w:type="spellEnd"/>
      <w:r>
        <w:rPr>
          <w:rFonts w:cs="Arial"/>
          <w:szCs w:val="24"/>
          <w:lang w:val="en-US"/>
        </w:rPr>
        <w:t xml:space="preserve"> v. </w:t>
      </w:r>
      <w:r>
        <w:rPr>
          <w:rFonts w:cs="Arial"/>
          <w:i/>
          <w:iCs/>
          <w:szCs w:val="24"/>
          <w:lang w:val="en-US"/>
        </w:rPr>
        <w:t>Douglas</w:t>
      </w:r>
      <w:r w:rsidR="00D551C6">
        <w:rPr>
          <w:rStyle w:val="Appelnotedebasdep"/>
          <w:rFonts w:cs="Arial"/>
          <w:i/>
          <w:iCs/>
          <w:szCs w:val="24"/>
          <w:lang w:val="en-US"/>
        </w:rPr>
        <w:footnoteReference w:id="15"/>
      </w:r>
      <w:r>
        <w:rPr>
          <w:rFonts w:cs="Arial"/>
          <w:szCs w:val="24"/>
          <w:lang w:val="en-US"/>
        </w:rPr>
        <w:t xml:space="preserve">. The cases cited by the appellant are not </w:t>
      </w:r>
      <w:proofErr w:type="gramStart"/>
      <w:r>
        <w:rPr>
          <w:rFonts w:cs="Arial"/>
          <w:szCs w:val="24"/>
          <w:lang w:val="en-US"/>
        </w:rPr>
        <w:t>applicable,</w:t>
      </w:r>
      <w:proofErr w:type="gramEnd"/>
      <w:r>
        <w:rPr>
          <w:rFonts w:cs="Arial"/>
          <w:szCs w:val="24"/>
          <w:lang w:val="en-US"/>
        </w:rPr>
        <w:t xml:space="preserve"> they are founded on the maxim of jurisprudence that personal property follows the person, which is not applicable to the present case.</w:t>
      </w:r>
    </w:p>
    <w:p w:rsidR="00E0371C" w:rsidRDefault="00E0371C" w:rsidP="00DE3789">
      <w:pPr>
        <w:pStyle w:val="History"/>
        <w:rPr>
          <w:rFonts w:cs="Arial"/>
          <w:szCs w:val="24"/>
          <w:lang w:val="en-US"/>
        </w:rPr>
      </w:pPr>
      <w:r>
        <w:rPr>
          <w:rFonts w:cs="Arial"/>
          <w:szCs w:val="24"/>
          <w:lang w:val="en-US"/>
        </w:rPr>
        <w:t xml:space="preserve">The maxim should be confined in its operation to cases of bankruptcy, marriage and succession.—(See </w:t>
      </w:r>
      <w:r>
        <w:rPr>
          <w:rFonts w:cs="Arial"/>
          <w:i/>
          <w:iCs/>
          <w:szCs w:val="24"/>
          <w:lang w:val="en-US"/>
        </w:rPr>
        <w:t>Wharton</w:t>
      </w:r>
      <w:r>
        <w:rPr>
          <w:rFonts w:cs="Arial"/>
          <w:szCs w:val="24"/>
          <w:lang w:val="en-US"/>
        </w:rPr>
        <w:t xml:space="preserve"> conflict of Laws. s. 311). It has no application to such property as ships, which have an actual </w:t>
      </w:r>
      <w:proofErr w:type="spellStart"/>
      <w:r>
        <w:rPr>
          <w:rFonts w:cs="Arial"/>
          <w:i/>
          <w:iCs/>
          <w:szCs w:val="24"/>
          <w:lang w:val="en-US"/>
        </w:rPr>
        <w:t>situs</w:t>
      </w:r>
      <w:proofErr w:type="spellEnd"/>
      <w:r>
        <w:rPr>
          <w:rFonts w:cs="Arial"/>
          <w:szCs w:val="24"/>
          <w:lang w:val="en-US"/>
        </w:rPr>
        <w:t xml:space="preserve"> when considering their locality for taxing purposes. The actual </w:t>
      </w:r>
      <w:proofErr w:type="spellStart"/>
      <w:r>
        <w:rPr>
          <w:rFonts w:cs="Arial"/>
          <w:i/>
          <w:iCs/>
          <w:szCs w:val="24"/>
          <w:lang w:val="en-US"/>
        </w:rPr>
        <w:t>situs</w:t>
      </w:r>
      <w:proofErr w:type="spellEnd"/>
      <w:r>
        <w:rPr>
          <w:rFonts w:cs="Arial"/>
          <w:szCs w:val="24"/>
          <w:lang w:val="en-US"/>
        </w:rPr>
        <w:t xml:space="preserve"> of a British ship for taxing purposes is her home port and her port of registry. This was the decision in </w:t>
      </w:r>
      <w:r>
        <w:rPr>
          <w:rFonts w:cs="Arial"/>
          <w:i/>
          <w:iCs/>
          <w:szCs w:val="24"/>
          <w:lang w:val="en-US"/>
        </w:rPr>
        <w:t>The King</w:t>
      </w:r>
      <w:r>
        <w:rPr>
          <w:rFonts w:cs="Arial"/>
          <w:szCs w:val="24"/>
          <w:lang w:val="en-US"/>
        </w:rPr>
        <w:t xml:space="preserve"> v. </w:t>
      </w:r>
      <w:r>
        <w:rPr>
          <w:rFonts w:cs="Arial"/>
          <w:i/>
          <w:iCs/>
          <w:szCs w:val="24"/>
          <w:lang w:val="en-US"/>
        </w:rPr>
        <w:t>White</w:t>
      </w:r>
      <w:r w:rsidR="00D551C6">
        <w:rPr>
          <w:rStyle w:val="Appelnotedebasdep"/>
          <w:rFonts w:cs="Arial"/>
          <w:i/>
          <w:iCs/>
          <w:szCs w:val="24"/>
          <w:lang w:val="en-US"/>
        </w:rPr>
        <w:footnoteReference w:id="16"/>
      </w:r>
      <w:r>
        <w:rPr>
          <w:rFonts w:cs="Arial"/>
          <w:szCs w:val="24"/>
          <w:lang w:val="en-US"/>
        </w:rPr>
        <w:t xml:space="preserve">, cited in Mr. Justice </w:t>
      </w:r>
      <w:proofErr w:type="spellStart"/>
      <w:r>
        <w:rPr>
          <w:rFonts w:cs="Arial"/>
          <w:i/>
          <w:iCs/>
          <w:szCs w:val="24"/>
          <w:lang w:val="en-US"/>
        </w:rPr>
        <w:t>Weatherbe's</w:t>
      </w:r>
      <w:proofErr w:type="spellEnd"/>
      <w:r>
        <w:rPr>
          <w:rFonts w:cs="Arial"/>
          <w:szCs w:val="24"/>
          <w:lang w:val="en-US"/>
        </w:rPr>
        <w:t xml:space="preserve"> judgment; it was also so decided by the</w:t>
      </w:r>
    </w:p>
    <w:p w:rsidR="00E0371C" w:rsidRDefault="00E05F39" w:rsidP="00E05F39">
      <w:pPr>
        <w:pStyle w:val="Page"/>
        <w:rPr>
          <w:lang w:val="en-US"/>
        </w:rPr>
      </w:pPr>
      <w:r>
        <w:rPr>
          <w:rFonts w:cs="Arial"/>
          <w:szCs w:val="24"/>
          <w:lang w:val="en-US"/>
        </w:rPr>
        <w:t xml:space="preserve">[Page </w:t>
      </w:r>
      <w:r w:rsidR="00E0371C">
        <w:rPr>
          <w:rFonts w:cs="Arial"/>
          <w:szCs w:val="24"/>
          <w:lang w:val="en-US"/>
        </w:rPr>
        <w:t>604]</w:t>
      </w:r>
    </w:p>
    <w:p w:rsidR="00E0371C" w:rsidRDefault="00E0371C" w:rsidP="00DE3789">
      <w:pPr>
        <w:pStyle w:val="History"/>
        <w:ind w:firstLine="0"/>
        <w:rPr>
          <w:rFonts w:cs="Arial"/>
          <w:szCs w:val="24"/>
          <w:lang w:val="en-US"/>
        </w:rPr>
      </w:pPr>
      <w:proofErr w:type="gramStart"/>
      <w:r>
        <w:rPr>
          <w:rFonts w:cs="Arial"/>
          <w:szCs w:val="24"/>
          <w:lang w:val="en-US"/>
        </w:rPr>
        <w:t xml:space="preserve">Supreme Court of the </w:t>
      </w:r>
      <w:r>
        <w:rPr>
          <w:rFonts w:cs="Arial"/>
          <w:i/>
          <w:iCs/>
          <w:szCs w:val="24"/>
          <w:lang w:val="en-US"/>
        </w:rPr>
        <w:t>United States</w:t>
      </w:r>
      <w:r>
        <w:rPr>
          <w:rFonts w:cs="Arial"/>
          <w:szCs w:val="24"/>
          <w:lang w:val="en-US"/>
        </w:rPr>
        <w:t xml:space="preserve">, in </w:t>
      </w:r>
      <w:r>
        <w:rPr>
          <w:rFonts w:cs="Arial"/>
          <w:i/>
          <w:iCs/>
          <w:szCs w:val="24"/>
          <w:lang w:val="en-US"/>
        </w:rPr>
        <w:t>Hayes</w:t>
      </w:r>
      <w:r>
        <w:rPr>
          <w:rFonts w:cs="Arial"/>
          <w:szCs w:val="24"/>
          <w:lang w:val="en-US"/>
        </w:rPr>
        <w:t xml:space="preserve"> v.</w:t>
      </w:r>
      <w:proofErr w:type="gramEnd"/>
      <w:r>
        <w:rPr>
          <w:rFonts w:cs="Arial"/>
          <w:szCs w:val="24"/>
          <w:lang w:val="en-US"/>
        </w:rPr>
        <w:t xml:space="preserve"> The </w:t>
      </w:r>
      <w:r>
        <w:rPr>
          <w:rFonts w:cs="Arial"/>
          <w:i/>
          <w:iCs/>
          <w:szCs w:val="24"/>
          <w:lang w:val="en-US"/>
        </w:rPr>
        <w:t xml:space="preserve">Pacific Mail </w:t>
      </w:r>
      <w:proofErr w:type="gramStart"/>
      <w:r>
        <w:rPr>
          <w:rFonts w:cs="Arial"/>
          <w:i/>
          <w:iCs/>
          <w:szCs w:val="24"/>
          <w:lang w:val="en-US"/>
        </w:rPr>
        <w:t>Co.</w:t>
      </w:r>
      <w:r w:rsidR="00D551C6">
        <w:rPr>
          <w:rStyle w:val="Appelnotedebasdep"/>
          <w:rFonts w:cs="Arial"/>
          <w:i/>
          <w:iCs/>
          <w:szCs w:val="24"/>
          <w:lang w:val="en-US"/>
        </w:rPr>
        <w:footnoteReference w:id="17"/>
      </w:r>
      <w:r>
        <w:rPr>
          <w:rFonts w:cs="Arial"/>
          <w:szCs w:val="24"/>
          <w:lang w:val="en-US"/>
        </w:rPr>
        <w:t xml:space="preserve">, and </w:t>
      </w:r>
      <w:r>
        <w:rPr>
          <w:rFonts w:cs="Arial"/>
          <w:i/>
          <w:iCs/>
          <w:szCs w:val="24"/>
          <w:lang w:val="en-US"/>
        </w:rPr>
        <w:t>Morgan</w:t>
      </w:r>
      <w:r>
        <w:rPr>
          <w:rFonts w:cs="Arial"/>
          <w:szCs w:val="24"/>
          <w:lang w:val="en-US"/>
        </w:rPr>
        <w:t xml:space="preserve"> v. </w:t>
      </w:r>
      <w:r>
        <w:rPr>
          <w:rFonts w:cs="Arial"/>
          <w:i/>
          <w:iCs/>
          <w:szCs w:val="24"/>
          <w:lang w:val="en-US"/>
        </w:rPr>
        <w:t>Parham</w:t>
      </w:r>
      <w:r w:rsidR="00D551C6">
        <w:rPr>
          <w:rStyle w:val="Appelnotedebasdep"/>
          <w:rFonts w:cs="Arial"/>
          <w:i/>
          <w:iCs/>
          <w:szCs w:val="24"/>
          <w:lang w:val="en-US"/>
        </w:rPr>
        <w:footnoteReference w:id="18"/>
      </w:r>
      <w:proofErr w:type="gramEnd"/>
      <w:r>
        <w:rPr>
          <w:rFonts w:cs="Arial"/>
          <w:szCs w:val="24"/>
          <w:lang w:val="en-US"/>
        </w:rPr>
        <w:t>.</w:t>
      </w:r>
    </w:p>
    <w:p w:rsidR="00E0371C" w:rsidRDefault="00E0371C" w:rsidP="00DE3789">
      <w:pPr>
        <w:pStyle w:val="History"/>
        <w:rPr>
          <w:rFonts w:cs="Arial"/>
          <w:szCs w:val="24"/>
          <w:lang w:val="en-US"/>
        </w:rPr>
      </w:pPr>
      <w:r>
        <w:rPr>
          <w:rFonts w:cs="Arial"/>
          <w:szCs w:val="24"/>
          <w:lang w:val="en-US"/>
        </w:rPr>
        <w:t xml:space="preserve">All principle and all analogy to be derived from statutes in </w:t>
      </w:r>
      <w:proofErr w:type="spellStart"/>
      <w:r>
        <w:rPr>
          <w:rFonts w:cs="Arial"/>
          <w:i/>
          <w:iCs/>
          <w:szCs w:val="24"/>
          <w:lang w:val="en-US"/>
        </w:rPr>
        <w:t>pari</w:t>
      </w:r>
      <w:proofErr w:type="spellEnd"/>
      <w:r>
        <w:rPr>
          <w:rFonts w:cs="Arial"/>
          <w:i/>
          <w:iCs/>
          <w:szCs w:val="24"/>
          <w:lang w:val="en-US"/>
        </w:rPr>
        <w:t xml:space="preserve"> </w:t>
      </w:r>
      <w:proofErr w:type="spellStart"/>
      <w:r>
        <w:rPr>
          <w:rFonts w:cs="Arial"/>
          <w:i/>
          <w:iCs/>
          <w:szCs w:val="24"/>
          <w:lang w:val="en-US"/>
        </w:rPr>
        <w:t>materia</w:t>
      </w:r>
      <w:proofErr w:type="spellEnd"/>
      <w:r>
        <w:rPr>
          <w:rFonts w:cs="Arial"/>
          <w:szCs w:val="24"/>
          <w:lang w:val="en-US"/>
        </w:rPr>
        <w:t xml:space="preserve"> seem to favor a construction which would, if possible, cut down the jurisdiction of the appellants to property within their territorial limits.</w:t>
      </w:r>
    </w:p>
    <w:p w:rsidR="00E0371C" w:rsidRDefault="00DE3789" w:rsidP="00DE3789">
      <w:pPr>
        <w:pStyle w:val="Reasons"/>
        <w:rPr>
          <w:lang w:val="en-US"/>
        </w:rPr>
      </w:pPr>
      <w:r>
        <w:rPr>
          <w:lang w:val="en-US"/>
        </w:rPr>
        <w:t>THE CHIEF JUSTICE:</w:t>
      </w:r>
    </w:p>
    <w:p w:rsidR="00E0371C" w:rsidRDefault="00E0371C" w:rsidP="00DE3789">
      <w:pPr>
        <w:pStyle w:val="Reasons"/>
        <w:rPr>
          <w:rFonts w:cs="Arial"/>
          <w:szCs w:val="24"/>
          <w:lang w:val="en-US"/>
        </w:rPr>
      </w:pPr>
      <w:r>
        <w:rPr>
          <w:rFonts w:cs="Arial"/>
          <w:szCs w:val="24"/>
          <w:lang w:val="en-US"/>
        </w:rPr>
        <w:t xml:space="preserve">I think this property could not be taxed. Under the act, I think, the rate upon the value of the real and personal estate means the real and personal estate </w:t>
      </w:r>
      <w:r>
        <w:rPr>
          <w:rFonts w:cs="Arial"/>
          <w:i/>
          <w:iCs/>
          <w:szCs w:val="24"/>
          <w:lang w:val="en-US"/>
        </w:rPr>
        <w:t>within</w:t>
      </w:r>
      <w:r>
        <w:rPr>
          <w:rFonts w:cs="Arial"/>
          <w:szCs w:val="24"/>
          <w:lang w:val="en-US"/>
        </w:rPr>
        <w:t xml:space="preserve"> the city, it does not mean by fiction of law property which is in </w:t>
      </w:r>
      <w:r>
        <w:rPr>
          <w:rFonts w:cs="Arial"/>
          <w:i/>
          <w:iCs/>
          <w:szCs w:val="24"/>
          <w:lang w:val="en-US"/>
        </w:rPr>
        <w:t>England.</w:t>
      </w:r>
      <w:r>
        <w:rPr>
          <w:rFonts w:cs="Arial"/>
          <w:szCs w:val="24"/>
          <w:lang w:val="en-US"/>
        </w:rPr>
        <w:t xml:space="preserve"> As regards ships, at </w:t>
      </w:r>
      <w:r>
        <w:rPr>
          <w:rFonts w:cs="Arial"/>
          <w:i/>
          <w:iCs/>
          <w:szCs w:val="24"/>
          <w:lang w:val="en-US"/>
        </w:rPr>
        <w:t>home</w:t>
      </w:r>
      <w:r>
        <w:rPr>
          <w:rFonts w:cs="Arial"/>
          <w:szCs w:val="24"/>
          <w:lang w:val="en-US"/>
        </w:rPr>
        <w:t xml:space="preserve"> or </w:t>
      </w:r>
      <w:r>
        <w:rPr>
          <w:rFonts w:cs="Arial"/>
          <w:i/>
          <w:iCs/>
          <w:szCs w:val="24"/>
          <w:lang w:val="en-US"/>
        </w:rPr>
        <w:t>abroad</w:t>
      </w:r>
      <w:r>
        <w:rPr>
          <w:rFonts w:cs="Arial"/>
          <w:szCs w:val="24"/>
          <w:lang w:val="en-US"/>
        </w:rPr>
        <w:t xml:space="preserve"> at the time of assessment, it must mean ships which have been registered at </w:t>
      </w:r>
      <w:r>
        <w:rPr>
          <w:rFonts w:cs="Arial"/>
          <w:i/>
          <w:iCs/>
          <w:szCs w:val="24"/>
          <w:lang w:val="en-US"/>
        </w:rPr>
        <w:t>Halifax</w:t>
      </w:r>
      <w:r>
        <w:rPr>
          <w:rFonts w:cs="Arial"/>
          <w:szCs w:val="24"/>
          <w:lang w:val="en-US"/>
        </w:rPr>
        <w:t xml:space="preserve">, the Port of Registry of a ship being her home port. It is too late now to raise the question whether appellant's vessels should have been registered at </w:t>
      </w:r>
      <w:r>
        <w:rPr>
          <w:rFonts w:cs="Arial"/>
          <w:i/>
          <w:iCs/>
          <w:szCs w:val="24"/>
          <w:lang w:val="en-US"/>
        </w:rPr>
        <w:t>Halifax, Halifax</w:t>
      </w:r>
      <w:r>
        <w:rPr>
          <w:rFonts w:cs="Arial"/>
          <w:szCs w:val="24"/>
          <w:lang w:val="en-US"/>
        </w:rPr>
        <w:t xml:space="preserve"> being the place of the owner's residence. We must assume the vessels were properly registered. There can be no doubt, as the case is put, that the appellant's vessels were not registered at </w:t>
      </w:r>
      <w:r>
        <w:rPr>
          <w:rFonts w:cs="Arial"/>
          <w:i/>
          <w:iCs/>
          <w:szCs w:val="24"/>
          <w:lang w:val="en-US"/>
        </w:rPr>
        <w:t>Halifax</w:t>
      </w:r>
      <w:r>
        <w:rPr>
          <w:rFonts w:cs="Arial"/>
          <w:szCs w:val="24"/>
          <w:lang w:val="en-US"/>
        </w:rPr>
        <w:t xml:space="preserve">, and have never been in </w:t>
      </w:r>
      <w:r>
        <w:rPr>
          <w:rFonts w:cs="Arial"/>
          <w:i/>
          <w:iCs/>
          <w:szCs w:val="24"/>
          <w:lang w:val="en-US"/>
        </w:rPr>
        <w:t>Halifax</w:t>
      </w:r>
      <w:r>
        <w:rPr>
          <w:rFonts w:cs="Arial"/>
          <w:szCs w:val="24"/>
          <w:lang w:val="en-US"/>
        </w:rPr>
        <w:t xml:space="preserve">, and so never were at home in the port of </w:t>
      </w:r>
      <w:r>
        <w:rPr>
          <w:rFonts w:cs="Arial"/>
          <w:i/>
          <w:iCs/>
          <w:szCs w:val="24"/>
          <w:lang w:val="en-US"/>
        </w:rPr>
        <w:t>Halifax</w:t>
      </w:r>
      <w:r>
        <w:rPr>
          <w:rFonts w:cs="Arial"/>
          <w:szCs w:val="24"/>
          <w:lang w:val="en-US"/>
        </w:rPr>
        <w:t xml:space="preserve">, nor actually or constructively </w:t>
      </w:r>
      <w:r>
        <w:rPr>
          <w:rFonts w:cs="Arial"/>
          <w:i/>
          <w:iCs/>
          <w:szCs w:val="24"/>
          <w:lang w:val="en-US"/>
        </w:rPr>
        <w:t>within</w:t>
      </w:r>
      <w:r>
        <w:rPr>
          <w:rFonts w:cs="Arial"/>
          <w:szCs w:val="24"/>
          <w:lang w:val="en-US"/>
        </w:rPr>
        <w:t xml:space="preserve"> the city of </w:t>
      </w:r>
      <w:r>
        <w:rPr>
          <w:rFonts w:cs="Arial"/>
          <w:i/>
          <w:iCs/>
          <w:szCs w:val="24"/>
          <w:lang w:val="en-US"/>
        </w:rPr>
        <w:t>Halifax</w:t>
      </w:r>
      <w:r>
        <w:rPr>
          <w:rFonts w:cs="Arial"/>
          <w:szCs w:val="24"/>
          <w:lang w:val="en-US"/>
        </w:rPr>
        <w:t xml:space="preserve">, and therefore do not come within the terms of section 347, of 27 Vic. </w:t>
      </w:r>
      <w:proofErr w:type="spellStart"/>
      <w:r>
        <w:rPr>
          <w:rFonts w:cs="Arial"/>
          <w:szCs w:val="24"/>
          <w:lang w:val="en-US"/>
        </w:rPr>
        <w:t>ch.</w:t>
      </w:r>
      <w:proofErr w:type="spellEnd"/>
      <w:r>
        <w:rPr>
          <w:rFonts w:cs="Arial"/>
          <w:szCs w:val="24"/>
          <w:lang w:val="en-US"/>
        </w:rPr>
        <w:t xml:space="preserve"> 81. </w:t>
      </w:r>
      <w:r>
        <w:rPr>
          <w:rFonts w:cs="Arial"/>
          <w:i/>
          <w:iCs/>
          <w:szCs w:val="24"/>
          <w:lang w:val="en-US"/>
        </w:rPr>
        <w:t>Rev. St. N. S.</w:t>
      </w:r>
      <w:r>
        <w:rPr>
          <w:rFonts w:cs="Arial"/>
          <w:szCs w:val="24"/>
          <w:lang w:val="en-US"/>
        </w:rPr>
        <w:t>, which says:</w:t>
      </w:r>
    </w:p>
    <w:p w:rsidR="00E0371C" w:rsidRDefault="00E0371C" w:rsidP="00DE3789">
      <w:pPr>
        <w:pStyle w:val="Indent1"/>
        <w:rPr>
          <w:lang w:val="en-US"/>
        </w:rPr>
      </w:pPr>
      <w:r>
        <w:rPr>
          <w:lang w:val="en-US"/>
        </w:rPr>
        <w:t xml:space="preserve">All ships and vessels, or </w:t>
      </w:r>
      <w:r>
        <w:rPr>
          <w:i/>
          <w:iCs/>
          <w:lang w:val="en-US"/>
        </w:rPr>
        <w:t>shares</w:t>
      </w:r>
      <w:r>
        <w:rPr>
          <w:lang w:val="en-US"/>
        </w:rPr>
        <w:t xml:space="preserve"> in ships or vessels * * * whether such ships or vessels </w:t>
      </w:r>
      <w:r>
        <w:rPr>
          <w:i/>
          <w:iCs/>
          <w:lang w:val="en-US"/>
        </w:rPr>
        <w:t>be at home or abroad</w:t>
      </w:r>
      <w:r>
        <w:rPr>
          <w:lang w:val="en-US"/>
        </w:rPr>
        <w:t xml:space="preserve"> at the time of </w:t>
      </w:r>
      <w:proofErr w:type="spellStart"/>
      <w:r>
        <w:rPr>
          <w:lang w:val="en-US"/>
        </w:rPr>
        <w:t>assesssment</w:t>
      </w:r>
      <w:proofErr w:type="spellEnd"/>
      <w:r>
        <w:rPr>
          <w:lang w:val="en-US"/>
        </w:rPr>
        <w:t>.</w:t>
      </w:r>
    </w:p>
    <w:p w:rsidR="00E0371C" w:rsidRDefault="00E0371C" w:rsidP="00DE3789">
      <w:pPr>
        <w:pStyle w:val="Reasons"/>
        <w:rPr>
          <w:rFonts w:cs="Arial"/>
          <w:szCs w:val="24"/>
          <w:lang w:val="en-US"/>
        </w:rPr>
      </w:pPr>
      <w:r>
        <w:rPr>
          <w:rFonts w:cs="Arial"/>
          <w:szCs w:val="24"/>
          <w:lang w:val="en-US"/>
        </w:rPr>
        <w:lastRenderedPageBreak/>
        <w:t>Under these circumstances, I think the appeal should be dismissed with costs.</w:t>
      </w:r>
    </w:p>
    <w:p w:rsidR="00E0371C" w:rsidRDefault="00DE3789" w:rsidP="00DE3789">
      <w:pPr>
        <w:pStyle w:val="Reasons"/>
        <w:rPr>
          <w:rFonts w:cs="Arial"/>
          <w:szCs w:val="24"/>
          <w:lang w:val="en-US"/>
        </w:rPr>
      </w:pPr>
      <w:r w:rsidRPr="00DE3789">
        <w:rPr>
          <w:rFonts w:cs="Arial"/>
          <w:szCs w:val="24"/>
          <w:lang w:val="en-US"/>
        </w:rPr>
        <w:t>STRONG, FOURNIER</w:t>
      </w:r>
      <w:r w:rsidR="00E0371C">
        <w:rPr>
          <w:rFonts w:cs="Arial"/>
          <w:szCs w:val="24"/>
          <w:lang w:val="en-US"/>
        </w:rPr>
        <w:t xml:space="preserve">, and </w:t>
      </w:r>
      <w:r w:rsidRPr="00DE3789">
        <w:rPr>
          <w:rFonts w:cs="Arial"/>
          <w:szCs w:val="24"/>
          <w:lang w:val="en-US"/>
        </w:rPr>
        <w:t>TASCHEREAU</w:t>
      </w:r>
      <w:r w:rsidR="00E0371C">
        <w:rPr>
          <w:rFonts w:cs="Arial"/>
          <w:szCs w:val="24"/>
          <w:lang w:val="en-US"/>
        </w:rPr>
        <w:t>, J. J., concurred.</w:t>
      </w:r>
    </w:p>
    <w:p w:rsidR="00E0371C" w:rsidRDefault="00E05F39" w:rsidP="00E05F39">
      <w:pPr>
        <w:pStyle w:val="Page"/>
        <w:rPr>
          <w:lang w:val="en-US"/>
        </w:rPr>
      </w:pPr>
      <w:r>
        <w:rPr>
          <w:rFonts w:cs="Arial"/>
          <w:szCs w:val="24"/>
          <w:lang w:val="en-US"/>
        </w:rPr>
        <w:t xml:space="preserve">[Page </w:t>
      </w:r>
      <w:r w:rsidR="00E0371C">
        <w:rPr>
          <w:rFonts w:cs="Arial"/>
          <w:szCs w:val="24"/>
          <w:lang w:val="en-US"/>
        </w:rPr>
        <w:t>505]</w:t>
      </w:r>
    </w:p>
    <w:p w:rsidR="00E0371C" w:rsidRDefault="00DE3789" w:rsidP="00DE3789">
      <w:pPr>
        <w:pStyle w:val="Reasons"/>
        <w:rPr>
          <w:rFonts w:cs="Arial"/>
          <w:szCs w:val="24"/>
          <w:lang w:val="en-US"/>
        </w:rPr>
      </w:pPr>
      <w:r w:rsidRPr="00DE3789">
        <w:rPr>
          <w:rFonts w:cs="Arial"/>
          <w:szCs w:val="24"/>
          <w:lang w:val="en-US"/>
        </w:rPr>
        <w:t>GWYNNE</w:t>
      </w:r>
      <w:r w:rsidR="00E0371C">
        <w:rPr>
          <w:rFonts w:cs="Arial"/>
          <w:szCs w:val="24"/>
          <w:lang w:val="en-US"/>
        </w:rPr>
        <w:t>, J:—</w:t>
      </w:r>
    </w:p>
    <w:p w:rsidR="00E0371C" w:rsidRDefault="00E0371C" w:rsidP="00DE3789">
      <w:pPr>
        <w:pStyle w:val="Reasons"/>
        <w:rPr>
          <w:rFonts w:cs="Arial"/>
          <w:szCs w:val="24"/>
          <w:lang w:val="en-US"/>
        </w:rPr>
      </w:pPr>
      <w:r>
        <w:rPr>
          <w:rFonts w:cs="Arial"/>
          <w:szCs w:val="24"/>
          <w:lang w:val="en-US"/>
        </w:rPr>
        <w:t>The reasons given by the court below are conclusive, and I concur with the Chief Justice that the appeal should be dismissed.</w:t>
      </w:r>
    </w:p>
    <w:p w:rsidR="00E0371C" w:rsidRPr="00DE3789" w:rsidRDefault="00E0371C" w:rsidP="00DE3789">
      <w:pPr>
        <w:pStyle w:val="Reasons"/>
        <w:rPr>
          <w:lang w:val="en-US"/>
        </w:rPr>
      </w:pPr>
      <w:r w:rsidRPr="00DE3789">
        <w:rPr>
          <w:lang w:val="en-US"/>
        </w:rPr>
        <w:t>Appeal dismissed with costs.</w:t>
      </w:r>
    </w:p>
    <w:p w:rsidR="00E0371C" w:rsidRDefault="00E0371C" w:rsidP="00DE3789">
      <w:pPr>
        <w:pStyle w:val="Sollicitors"/>
        <w:rPr>
          <w:lang w:val="en-US"/>
        </w:rPr>
      </w:pPr>
      <w:r>
        <w:rPr>
          <w:lang w:val="en-US"/>
        </w:rPr>
        <w:t xml:space="preserve">Solicitor for appellants: </w:t>
      </w:r>
      <w:r>
        <w:rPr>
          <w:iCs/>
          <w:lang w:val="en-US"/>
        </w:rPr>
        <w:t>Wm. Sutherland.</w:t>
      </w:r>
    </w:p>
    <w:p w:rsidR="00D66814" w:rsidRDefault="00E0371C" w:rsidP="00DE3789">
      <w:pPr>
        <w:pStyle w:val="Sollicitors"/>
        <w:rPr>
          <w:iCs/>
          <w:lang w:val="en-US"/>
        </w:rPr>
      </w:pPr>
      <w:r>
        <w:rPr>
          <w:lang w:val="en-US"/>
        </w:rPr>
        <w:t xml:space="preserve">Solicitor for respondent: </w:t>
      </w:r>
      <w:r>
        <w:rPr>
          <w:iCs/>
          <w:lang w:val="en-US"/>
        </w:rPr>
        <w:t>J. N. Ritchie.</w:t>
      </w:r>
    </w:p>
    <w:sectPr w:rsidR="00D66814" w:rsidSect="00A30CC8">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1138"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C1" w:rsidRDefault="004851C1" w:rsidP="00A30CC8">
      <w:r>
        <w:separator/>
      </w:r>
    </w:p>
  </w:endnote>
  <w:endnote w:type="continuationSeparator" w:id="0">
    <w:p w:rsidR="004851C1" w:rsidRDefault="004851C1" w:rsidP="00A3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Default="00A30CC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Pr="00A30CC8" w:rsidRDefault="00A30CC8">
    <w:pPr>
      <w:pStyle w:val="Pieddepage"/>
      <w:rPr>
        <w:rFonts w:ascii="Arial" w:hAnsi="Arial" w:cs="Arial"/>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Default="00A30C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C1" w:rsidRDefault="004851C1" w:rsidP="00A30CC8">
      <w:r>
        <w:separator/>
      </w:r>
    </w:p>
  </w:footnote>
  <w:footnote w:type="continuationSeparator" w:id="0">
    <w:p w:rsidR="004851C1" w:rsidRDefault="004851C1" w:rsidP="00A30CC8">
      <w:r>
        <w:continuationSeparator/>
      </w:r>
    </w:p>
  </w:footnote>
  <w:footnote w:id="1">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37 U. C. Q. B. 51.</w:t>
      </w:r>
      <w:proofErr w:type="gramEnd"/>
    </w:p>
  </w:footnote>
  <w:footnote w:id="2">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3 Knapp 406.</w:t>
      </w:r>
      <w:proofErr w:type="gramEnd"/>
    </w:p>
  </w:footnote>
  <w:footnote w:id="3">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3 B. &amp; C. 516.</w:t>
      </w:r>
      <w:proofErr w:type="gramEnd"/>
    </w:p>
  </w:footnote>
  <w:footnote w:id="4">
    <w:p w:rsidR="00D551C6" w:rsidRPr="00D551C6" w:rsidRDefault="00D551C6">
      <w:pPr>
        <w:pStyle w:val="Notedebasdepage"/>
        <w:rPr>
          <w:lang w:val="en-US"/>
        </w:rPr>
      </w:pPr>
      <w:r>
        <w:rPr>
          <w:rStyle w:val="Appelnotedebasdep"/>
        </w:rPr>
        <w:footnoteRef/>
      </w:r>
      <w:r>
        <w:t xml:space="preserve"> </w:t>
      </w:r>
      <w:r>
        <w:rPr>
          <w:rFonts w:cs="Arial"/>
          <w:szCs w:val="24"/>
          <w:lang w:val="en-US"/>
        </w:rPr>
        <w:t>1. Cr. &amp; Jer. 151, 158.</w:t>
      </w:r>
    </w:p>
  </w:footnote>
  <w:footnote w:id="5">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12 Cl. &amp; F. 1.</w:t>
      </w:r>
      <w:proofErr w:type="gramEnd"/>
    </w:p>
  </w:footnote>
  <w:footnote w:id="6">
    <w:p w:rsidR="00D551C6" w:rsidRPr="00D551C6" w:rsidRDefault="00D551C6">
      <w:pPr>
        <w:pStyle w:val="Notedebasdepage"/>
        <w:rPr>
          <w:lang w:val="en-US"/>
        </w:rPr>
      </w:pPr>
      <w:r>
        <w:rPr>
          <w:rStyle w:val="Appelnotedebasdep"/>
        </w:rPr>
        <w:footnoteRef/>
      </w:r>
      <w:r>
        <w:t xml:space="preserve"> </w:t>
      </w:r>
      <w:proofErr w:type="gramStart"/>
      <w:r w:rsidR="0030393C">
        <w:rPr>
          <w:rFonts w:cs="Arial"/>
          <w:szCs w:val="24"/>
          <w:lang w:val="en-US"/>
        </w:rPr>
        <w:t>2 [Illegible Text]</w:t>
      </w:r>
      <w:r>
        <w:rPr>
          <w:rFonts w:cs="Arial"/>
          <w:szCs w:val="24"/>
          <w:lang w:val="en-US"/>
        </w:rPr>
        <w:t xml:space="preserve"> 590.</w:t>
      </w:r>
      <w:proofErr w:type="gramEnd"/>
    </w:p>
  </w:footnote>
  <w:footnote w:id="7">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10 Grey Mass. 97.</w:t>
      </w:r>
      <w:bookmarkStart w:id="0" w:name="_GoBack"/>
      <w:bookmarkEnd w:id="0"/>
      <w:proofErr w:type="gramEnd"/>
    </w:p>
  </w:footnote>
  <w:footnote w:id="8">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27 Ind. 288.</w:t>
      </w:r>
      <w:proofErr w:type="gramEnd"/>
    </w:p>
  </w:footnote>
  <w:footnote w:id="9">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4 Bush 225.</w:t>
      </w:r>
      <w:proofErr w:type="gramEnd"/>
    </w:p>
  </w:footnote>
  <w:footnote w:id="10">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21 Penn. 106.</w:t>
      </w:r>
      <w:proofErr w:type="gramEnd"/>
    </w:p>
  </w:footnote>
  <w:footnote w:id="11">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43 Al. 578.</w:t>
      </w:r>
      <w:proofErr w:type="gramEnd"/>
    </w:p>
  </w:footnote>
  <w:footnote w:id="12">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Pp. 5, 7, 116, 117, 125, 128, 138.</w:t>
      </w:r>
      <w:proofErr w:type="gramEnd"/>
    </w:p>
  </w:footnote>
  <w:footnote w:id="13">
    <w:p w:rsidR="00D551C6" w:rsidRPr="00D551C6" w:rsidRDefault="00D551C6">
      <w:pPr>
        <w:pStyle w:val="Notedebasdepage"/>
        <w:rPr>
          <w:lang w:val="en-US"/>
        </w:rPr>
      </w:pPr>
      <w:r>
        <w:rPr>
          <w:rStyle w:val="Appelnotedebasdep"/>
        </w:rPr>
        <w:footnoteRef/>
      </w:r>
      <w:r>
        <w:t xml:space="preserve"> </w:t>
      </w:r>
      <w:r>
        <w:rPr>
          <w:rFonts w:cs="Arial"/>
          <w:szCs w:val="24"/>
          <w:lang w:val="en-US"/>
        </w:rPr>
        <w:t>11 M. &amp; W. 567.</w:t>
      </w:r>
    </w:p>
  </w:footnote>
  <w:footnote w:id="14">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Pp. 200 and 201.</w:t>
      </w:r>
      <w:proofErr w:type="gramEnd"/>
    </w:p>
  </w:footnote>
  <w:footnote w:id="15">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37 U. C. Q. B. 51.</w:t>
      </w:r>
      <w:proofErr w:type="gramEnd"/>
    </w:p>
  </w:footnote>
  <w:footnote w:id="16">
    <w:p w:rsidR="00D551C6" w:rsidRPr="00D551C6" w:rsidRDefault="00D551C6">
      <w:pPr>
        <w:pStyle w:val="Notedebasdepage"/>
        <w:rPr>
          <w:lang w:val="en-US"/>
        </w:rPr>
      </w:pPr>
      <w:r>
        <w:rPr>
          <w:rStyle w:val="Appelnotedebasdep"/>
        </w:rPr>
        <w:footnoteRef/>
      </w:r>
      <w:r>
        <w:t xml:space="preserve"> </w:t>
      </w:r>
      <w:r>
        <w:rPr>
          <w:rFonts w:cs="Arial"/>
          <w:szCs w:val="24"/>
          <w:lang w:val="en-US"/>
        </w:rPr>
        <w:t xml:space="preserve">4 </w:t>
      </w:r>
      <w:proofErr w:type="spellStart"/>
      <w:r>
        <w:rPr>
          <w:rFonts w:cs="Arial"/>
          <w:szCs w:val="24"/>
          <w:lang w:val="en-US"/>
        </w:rPr>
        <w:t>Durn</w:t>
      </w:r>
      <w:proofErr w:type="spellEnd"/>
      <w:r>
        <w:rPr>
          <w:rFonts w:cs="Arial"/>
          <w:szCs w:val="24"/>
          <w:lang w:val="en-US"/>
        </w:rPr>
        <w:t xml:space="preserve">. </w:t>
      </w:r>
      <w:proofErr w:type="gramStart"/>
      <w:r>
        <w:rPr>
          <w:rFonts w:cs="Arial"/>
          <w:szCs w:val="24"/>
          <w:lang w:val="en-US"/>
        </w:rPr>
        <w:t>&amp; E. 771.</w:t>
      </w:r>
      <w:proofErr w:type="gramEnd"/>
    </w:p>
  </w:footnote>
  <w:footnote w:id="17">
    <w:p w:rsidR="00D551C6" w:rsidRPr="00D551C6" w:rsidRDefault="00D551C6">
      <w:pPr>
        <w:pStyle w:val="Notedebasdepage"/>
        <w:rPr>
          <w:lang w:val="en-US"/>
        </w:rPr>
      </w:pPr>
      <w:r>
        <w:rPr>
          <w:rStyle w:val="Appelnotedebasdep"/>
        </w:rPr>
        <w:footnoteRef/>
      </w:r>
      <w:r>
        <w:t xml:space="preserve"> </w:t>
      </w:r>
      <w:r>
        <w:rPr>
          <w:rFonts w:cs="Arial"/>
          <w:szCs w:val="24"/>
          <w:lang w:val="en-US"/>
        </w:rPr>
        <w:t>17 How. U. S. R. 596.</w:t>
      </w:r>
    </w:p>
  </w:footnote>
  <w:footnote w:id="18">
    <w:p w:rsidR="00D551C6" w:rsidRPr="00D551C6" w:rsidRDefault="00D551C6">
      <w:pPr>
        <w:pStyle w:val="Notedebasdepage"/>
        <w:rPr>
          <w:lang w:val="en-US"/>
        </w:rPr>
      </w:pPr>
      <w:r>
        <w:rPr>
          <w:rStyle w:val="Appelnotedebasdep"/>
        </w:rPr>
        <w:footnoteRef/>
      </w:r>
      <w:r>
        <w:t xml:space="preserve"> </w:t>
      </w:r>
      <w:proofErr w:type="gramStart"/>
      <w:r>
        <w:rPr>
          <w:rFonts w:cs="Arial"/>
          <w:szCs w:val="24"/>
          <w:lang w:val="en-US"/>
        </w:rPr>
        <w:t>16 Wallace 472.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Default="00A30CC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Pr="00A30CC8" w:rsidRDefault="00A30CC8">
    <w:pPr>
      <w:pStyle w:val="En-tte"/>
      <w:rPr>
        <w:rFonts w:ascii="Arial" w:hAnsi="Arial" w:cs="Arial"/>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CC8" w:rsidRDefault="00A30CC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D6F752"/>
    <w:lvl w:ilvl="0">
      <w:start w:val="1"/>
      <w:numFmt w:val="decimal"/>
      <w:lvlText w:val="%1."/>
      <w:lvlJc w:val="left"/>
      <w:pPr>
        <w:tabs>
          <w:tab w:val="num" w:pos="1800"/>
        </w:tabs>
        <w:ind w:left="1800" w:hanging="360"/>
      </w:pPr>
    </w:lvl>
  </w:abstractNum>
  <w:abstractNum w:abstractNumId="1">
    <w:nsid w:val="FFFFFF7D"/>
    <w:multiLevelType w:val="singleLevel"/>
    <w:tmpl w:val="2FBA3B56"/>
    <w:lvl w:ilvl="0">
      <w:start w:val="1"/>
      <w:numFmt w:val="decimal"/>
      <w:lvlText w:val="%1."/>
      <w:lvlJc w:val="left"/>
      <w:pPr>
        <w:tabs>
          <w:tab w:val="num" w:pos="1440"/>
        </w:tabs>
        <w:ind w:left="1440" w:hanging="360"/>
      </w:pPr>
    </w:lvl>
  </w:abstractNum>
  <w:abstractNum w:abstractNumId="2">
    <w:nsid w:val="FFFFFF7E"/>
    <w:multiLevelType w:val="singleLevel"/>
    <w:tmpl w:val="9D041D52"/>
    <w:lvl w:ilvl="0">
      <w:start w:val="1"/>
      <w:numFmt w:val="decimal"/>
      <w:lvlText w:val="%1."/>
      <w:lvlJc w:val="left"/>
      <w:pPr>
        <w:tabs>
          <w:tab w:val="num" w:pos="1080"/>
        </w:tabs>
        <w:ind w:left="1080" w:hanging="360"/>
      </w:pPr>
    </w:lvl>
  </w:abstractNum>
  <w:abstractNum w:abstractNumId="3">
    <w:nsid w:val="FFFFFF7F"/>
    <w:multiLevelType w:val="singleLevel"/>
    <w:tmpl w:val="8C9E05CC"/>
    <w:lvl w:ilvl="0">
      <w:start w:val="1"/>
      <w:numFmt w:val="decimal"/>
      <w:lvlText w:val="%1."/>
      <w:lvlJc w:val="left"/>
      <w:pPr>
        <w:tabs>
          <w:tab w:val="num" w:pos="720"/>
        </w:tabs>
        <w:ind w:left="720" w:hanging="360"/>
      </w:pPr>
    </w:lvl>
  </w:abstractNum>
  <w:abstractNum w:abstractNumId="4">
    <w:nsid w:val="FFFFFF80"/>
    <w:multiLevelType w:val="singleLevel"/>
    <w:tmpl w:val="1DC096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FB4E6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F230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6FED8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B3E5956"/>
    <w:lvl w:ilvl="0">
      <w:start w:val="1"/>
      <w:numFmt w:val="decimal"/>
      <w:lvlText w:val="%1."/>
      <w:lvlJc w:val="left"/>
      <w:pPr>
        <w:tabs>
          <w:tab w:val="num" w:pos="360"/>
        </w:tabs>
        <w:ind w:left="360" w:hanging="360"/>
      </w:pPr>
    </w:lvl>
  </w:abstractNum>
  <w:abstractNum w:abstractNumId="9">
    <w:nsid w:val="FFFFFF89"/>
    <w:multiLevelType w:val="singleLevel"/>
    <w:tmpl w:val="821AC5CC"/>
    <w:lvl w:ilvl="0">
      <w:start w:val="1"/>
      <w:numFmt w:val="bullet"/>
      <w:lvlText w:val=""/>
      <w:lvlJc w:val="left"/>
      <w:pPr>
        <w:tabs>
          <w:tab w:val="num" w:pos="360"/>
        </w:tabs>
        <w:ind w:left="360" w:hanging="360"/>
      </w:pPr>
      <w:rPr>
        <w:rFonts w:ascii="Symbol" w:hAnsi="Symbol" w:hint="default"/>
      </w:rPr>
    </w:lvl>
  </w:abstractNum>
  <w:abstractNum w:abstractNumId="10">
    <w:nsid w:val="11806412"/>
    <w:multiLevelType w:val="singleLevel"/>
    <w:tmpl w:val="01C95598"/>
    <w:lvl w:ilvl="0">
      <w:start w:val="1"/>
      <w:numFmt w:val="lowerLetter"/>
      <w:lvlText w:val="(%1)"/>
      <w:lvlJc w:val="left"/>
      <w:pPr>
        <w:tabs>
          <w:tab w:val="num" w:pos="648"/>
        </w:tabs>
        <w:ind w:left="648" w:hanging="288"/>
      </w:pPr>
      <w:rPr>
        <w:color w:val="000000"/>
      </w:rPr>
    </w:lvl>
  </w:abstractNum>
  <w:abstractNum w:abstractNumId="11">
    <w:nsid w:val="52473A74"/>
    <w:multiLevelType w:val="singleLevel"/>
    <w:tmpl w:val="38E69D1B"/>
    <w:lvl w:ilvl="0">
      <w:start w:val="1"/>
      <w:numFmt w:val="lowerLetter"/>
      <w:lvlText w:val="(%1)"/>
      <w:lvlJc w:val="left"/>
      <w:pPr>
        <w:tabs>
          <w:tab w:val="num" w:pos="648"/>
        </w:tabs>
        <w:ind w:left="648" w:hanging="288"/>
      </w:pPr>
      <w:rPr>
        <w:color w:val="000000"/>
      </w:rPr>
    </w:lvl>
  </w:abstractNum>
  <w:abstractNum w:abstractNumId="12">
    <w:nsid w:val="577436C1"/>
    <w:multiLevelType w:val="hybridMultilevel"/>
    <w:tmpl w:val="75187CF6"/>
    <w:lvl w:ilvl="0" w:tplc="92A06EE0">
      <w:start w:val="1"/>
      <w:numFmt w:val="decimal"/>
      <w:pStyle w:val="ParagNum"/>
      <w:lvlText w:val="[%1]"/>
      <w:lvlJc w:val="left"/>
      <w:pPr>
        <w:tabs>
          <w:tab w:val="num" w:pos="369"/>
        </w:tabs>
        <w:ind w:left="369" w:hanging="369"/>
      </w:pPr>
    </w:lvl>
    <w:lvl w:ilvl="1" w:tplc="0722E100" w:tentative="1">
      <w:start w:val="1"/>
      <w:numFmt w:val="lowerLetter"/>
      <w:lvlText w:val="%2."/>
      <w:lvlJc w:val="left"/>
      <w:pPr>
        <w:tabs>
          <w:tab w:val="num" w:pos="1440"/>
        </w:tabs>
        <w:ind w:left="1440" w:hanging="360"/>
      </w:pPr>
    </w:lvl>
    <w:lvl w:ilvl="2" w:tplc="66E027B6" w:tentative="1">
      <w:start w:val="1"/>
      <w:numFmt w:val="lowerRoman"/>
      <w:lvlText w:val="%3."/>
      <w:lvlJc w:val="right"/>
      <w:pPr>
        <w:tabs>
          <w:tab w:val="num" w:pos="2160"/>
        </w:tabs>
        <w:ind w:left="2160" w:hanging="180"/>
      </w:pPr>
    </w:lvl>
    <w:lvl w:ilvl="3" w:tplc="DFE03E70" w:tentative="1">
      <w:start w:val="1"/>
      <w:numFmt w:val="decimal"/>
      <w:lvlText w:val="%4."/>
      <w:lvlJc w:val="left"/>
      <w:pPr>
        <w:tabs>
          <w:tab w:val="num" w:pos="2880"/>
        </w:tabs>
        <w:ind w:left="2880" w:hanging="360"/>
      </w:pPr>
    </w:lvl>
    <w:lvl w:ilvl="4" w:tplc="BB58B028" w:tentative="1">
      <w:start w:val="1"/>
      <w:numFmt w:val="lowerLetter"/>
      <w:lvlText w:val="%5."/>
      <w:lvlJc w:val="left"/>
      <w:pPr>
        <w:tabs>
          <w:tab w:val="num" w:pos="3600"/>
        </w:tabs>
        <w:ind w:left="3600" w:hanging="360"/>
      </w:pPr>
    </w:lvl>
    <w:lvl w:ilvl="5" w:tplc="7FCE890E" w:tentative="1">
      <w:start w:val="1"/>
      <w:numFmt w:val="lowerRoman"/>
      <w:lvlText w:val="%6."/>
      <w:lvlJc w:val="right"/>
      <w:pPr>
        <w:tabs>
          <w:tab w:val="num" w:pos="4320"/>
        </w:tabs>
        <w:ind w:left="4320" w:hanging="180"/>
      </w:pPr>
    </w:lvl>
    <w:lvl w:ilvl="6" w:tplc="8154E4EE" w:tentative="1">
      <w:start w:val="1"/>
      <w:numFmt w:val="decimal"/>
      <w:lvlText w:val="%7."/>
      <w:lvlJc w:val="left"/>
      <w:pPr>
        <w:tabs>
          <w:tab w:val="num" w:pos="5040"/>
        </w:tabs>
        <w:ind w:left="5040" w:hanging="360"/>
      </w:pPr>
    </w:lvl>
    <w:lvl w:ilvl="7" w:tplc="44528068" w:tentative="1">
      <w:start w:val="1"/>
      <w:numFmt w:val="lowerLetter"/>
      <w:lvlText w:val="%8."/>
      <w:lvlJc w:val="left"/>
      <w:pPr>
        <w:tabs>
          <w:tab w:val="num" w:pos="5760"/>
        </w:tabs>
        <w:ind w:left="5760" w:hanging="360"/>
      </w:pPr>
    </w:lvl>
    <w:lvl w:ilvl="8" w:tplc="B39A94AA"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attachedTemplate r:id="rId1"/>
  <w:linkStyl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371C"/>
    <w:rsid w:val="00001F64"/>
    <w:rsid w:val="00022441"/>
    <w:rsid w:val="00121348"/>
    <w:rsid w:val="00195253"/>
    <w:rsid w:val="001F341B"/>
    <w:rsid w:val="00211E8E"/>
    <w:rsid w:val="00223591"/>
    <w:rsid w:val="002D37F5"/>
    <w:rsid w:val="0030393C"/>
    <w:rsid w:val="003F6F52"/>
    <w:rsid w:val="004851C1"/>
    <w:rsid w:val="005352B4"/>
    <w:rsid w:val="005F6202"/>
    <w:rsid w:val="006909EC"/>
    <w:rsid w:val="006A403B"/>
    <w:rsid w:val="00742553"/>
    <w:rsid w:val="00814A9F"/>
    <w:rsid w:val="008F68E4"/>
    <w:rsid w:val="00A30CC8"/>
    <w:rsid w:val="00A6104D"/>
    <w:rsid w:val="00AF712A"/>
    <w:rsid w:val="00BD1461"/>
    <w:rsid w:val="00C717D5"/>
    <w:rsid w:val="00D3547D"/>
    <w:rsid w:val="00D551C6"/>
    <w:rsid w:val="00D66814"/>
    <w:rsid w:val="00DE3789"/>
    <w:rsid w:val="00E0371C"/>
    <w:rsid w:val="00E05F39"/>
    <w:rsid w:val="00FE3A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2441"/>
    <w:pPr>
      <w:widowControl w:val="0"/>
      <w:autoSpaceDE w:val="0"/>
      <w:autoSpaceDN w:val="0"/>
      <w:adjustRightInd w:val="0"/>
      <w:spacing w:after="0" w:line="240" w:lineRule="auto"/>
    </w:pPr>
    <w:rPr>
      <w:rFonts w:ascii="Arial" w:eastAsia="MS Mincho" w:hAnsi="Arial" w:cs="Times New Roman"/>
      <w:sz w:val="24"/>
      <w:szCs w:val="28"/>
      <w:lang w:val="en-CA" w:eastAsia="ja-JP"/>
    </w:rPr>
  </w:style>
  <w:style w:type="paragraph" w:styleId="Titre1">
    <w:name w:val="heading 1"/>
    <w:basedOn w:val="Normal"/>
    <w:next w:val="Normal"/>
    <w:link w:val="Titre1Car"/>
    <w:qFormat/>
    <w:rsid w:val="00022441"/>
    <w:pPr>
      <w:keepNext/>
      <w:spacing w:before="240" w:after="60"/>
      <w:outlineLvl w:val="0"/>
    </w:pPr>
    <w:rPr>
      <w:rFonts w:cs="Arial"/>
      <w:b/>
      <w:bCs/>
      <w:noProof/>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2441"/>
    <w:pPr>
      <w:tabs>
        <w:tab w:val="center" w:pos="4680"/>
        <w:tab w:val="right" w:pos="9360"/>
      </w:tabs>
    </w:pPr>
    <w:rPr>
      <w:rFonts w:ascii="Times New Roman" w:hAnsi="Times New Roman"/>
    </w:rPr>
  </w:style>
  <w:style w:type="character" w:customStyle="1" w:styleId="En-tteCar">
    <w:name w:val="En-tête Car"/>
    <w:link w:val="En-tte"/>
    <w:uiPriority w:val="99"/>
    <w:rsid w:val="00022441"/>
    <w:rPr>
      <w:rFonts w:ascii="Times New Roman" w:eastAsia="MS Mincho" w:hAnsi="Times New Roman" w:cs="Times New Roman"/>
      <w:sz w:val="24"/>
      <w:szCs w:val="28"/>
      <w:lang w:val="en-CA" w:eastAsia="ja-JP"/>
    </w:rPr>
  </w:style>
  <w:style w:type="paragraph" w:styleId="Pieddepage">
    <w:name w:val="footer"/>
    <w:basedOn w:val="Normal"/>
    <w:link w:val="PieddepageCar"/>
    <w:uiPriority w:val="99"/>
    <w:unhideWhenUsed/>
    <w:rsid w:val="00022441"/>
    <w:pPr>
      <w:tabs>
        <w:tab w:val="center" w:pos="4680"/>
        <w:tab w:val="right" w:pos="9360"/>
      </w:tabs>
    </w:pPr>
    <w:rPr>
      <w:rFonts w:ascii="Times New Roman" w:hAnsi="Times New Roman"/>
    </w:rPr>
  </w:style>
  <w:style w:type="character" w:customStyle="1" w:styleId="PieddepageCar">
    <w:name w:val="Pied de page Car"/>
    <w:link w:val="Pieddepage"/>
    <w:uiPriority w:val="99"/>
    <w:rsid w:val="00022441"/>
    <w:rPr>
      <w:rFonts w:ascii="Times New Roman" w:eastAsia="MS Mincho" w:hAnsi="Times New Roman" w:cs="Times New Roman"/>
      <w:sz w:val="24"/>
      <w:szCs w:val="28"/>
      <w:lang w:val="en-CA" w:eastAsia="ja-JP"/>
    </w:rPr>
  </w:style>
  <w:style w:type="character" w:customStyle="1" w:styleId="Titre1Car">
    <w:name w:val="Titre 1 Car"/>
    <w:basedOn w:val="Policepardfaut"/>
    <w:link w:val="Titre1"/>
    <w:rsid w:val="00742553"/>
    <w:rPr>
      <w:rFonts w:ascii="Arial" w:eastAsia="MS Mincho" w:hAnsi="Arial" w:cs="Arial"/>
      <w:b/>
      <w:bCs/>
      <w:noProof/>
      <w:kern w:val="32"/>
      <w:sz w:val="28"/>
      <w:szCs w:val="32"/>
      <w:lang w:val="en-CA" w:eastAsia="ja-JP"/>
    </w:rPr>
  </w:style>
  <w:style w:type="paragraph" w:customStyle="1" w:styleId="Indent1">
    <w:name w:val="Indent 1"/>
    <w:basedOn w:val="Normal"/>
    <w:next w:val="Normal"/>
    <w:rsid w:val="00022441"/>
    <w:pPr>
      <w:spacing w:before="100" w:beforeAutospacing="1"/>
      <w:ind w:left="567"/>
      <w:jc w:val="both"/>
    </w:pPr>
  </w:style>
  <w:style w:type="paragraph" w:customStyle="1" w:styleId="Metadata">
    <w:name w:val="Metadata"/>
    <w:basedOn w:val="Normal"/>
    <w:rsid w:val="00022441"/>
    <w:pPr>
      <w:spacing w:before="100" w:beforeAutospacing="1" w:after="100" w:afterAutospacing="1"/>
    </w:pPr>
    <w:rPr>
      <w:rFonts w:cs="Arial"/>
      <w:szCs w:val="24"/>
    </w:rPr>
  </w:style>
  <w:style w:type="paragraph" w:customStyle="1" w:styleId="Page">
    <w:name w:val="Page"/>
    <w:basedOn w:val="Normal"/>
    <w:link w:val="PageChar"/>
    <w:rsid w:val="00022441"/>
    <w:pPr>
      <w:spacing w:before="100" w:beforeAutospacing="1" w:after="100" w:afterAutospacing="1"/>
    </w:pPr>
    <w:rPr>
      <w:i/>
    </w:rPr>
  </w:style>
  <w:style w:type="paragraph" w:styleId="Notedebasdepage">
    <w:name w:val="footnote text"/>
    <w:basedOn w:val="Normal"/>
    <w:link w:val="NotedebasdepageCar"/>
    <w:autoRedefine/>
    <w:semiHidden/>
    <w:rsid w:val="00022441"/>
    <w:rPr>
      <w:sz w:val="16"/>
      <w:szCs w:val="20"/>
    </w:rPr>
  </w:style>
  <w:style w:type="character" w:customStyle="1" w:styleId="NotedebasdepageCar">
    <w:name w:val="Note de bas de page Car"/>
    <w:link w:val="Notedebasdepage"/>
    <w:semiHidden/>
    <w:rsid w:val="00022441"/>
    <w:rPr>
      <w:rFonts w:ascii="Arial" w:eastAsia="MS Mincho" w:hAnsi="Arial" w:cs="Times New Roman"/>
      <w:sz w:val="16"/>
      <w:szCs w:val="20"/>
      <w:lang w:val="en-CA" w:eastAsia="ja-JP"/>
    </w:rPr>
  </w:style>
  <w:style w:type="character" w:styleId="Appelnotedebasdep">
    <w:name w:val="footnote reference"/>
    <w:semiHidden/>
    <w:rsid w:val="00022441"/>
    <w:rPr>
      <w:vertAlign w:val="superscript"/>
    </w:rPr>
  </w:style>
  <w:style w:type="paragraph" w:customStyle="1" w:styleId="ParagNum">
    <w:name w:val="ParagNum"/>
    <w:basedOn w:val="Normal"/>
    <w:rsid w:val="00022441"/>
    <w:pPr>
      <w:numPr>
        <w:numId w:val="1"/>
      </w:numPr>
      <w:tabs>
        <w:tab w:val="clear" w:pos="369"/>
        <w:tab w:val="num" w:pos="360"/>
        <w:tab w:val="left" w:pos="720"/>
      </w:tabs>
      <w:spacing w:before="240"/>
      <w:ind w:left="0" w:firstLine="0"/>
      <w:jc w:val="both"/>
    </w:pPr>
    <w:rPr>
      <w:szCs w:val="24"/>
      <w:lang w:eastAsia="fr-FR"/>
    </w:rPr>
  </w:style>
  <w:style w:type="paragraph" w:customStyle="1" w:styleId="Reasons">
    <w:name w:val="Reasons"/>
    <w:basedOn w:val="Normal"/>
    <w:link w:val="ReasonsCar"/>
    <w:rsid w:val="00022441"/>
    <w:pPr>
      <w:spacing w:before="100" w:beforeAutospacing="1" w:after="100" w:afterAutospacing="1" w:line="360" w:lineRule="auto"/>
    </w:pPr>
  </w:style>
  <w:style w:type="paragraph" w:customStyle="1" w:styleId="Indent2">
    <w:name w:val="Indent 2"/>
    <w:basedOn w:val="Indent1"/>
    <w:rsid w:val="00022441"/>
    <w:pPr>
      <w:ind w:left="1134"/>
    </w:pPr>
  </w:style>
  <w:style w:type="paragraph" w:customStyle="1" w:styleId="Indent3">
    <w:name w:val="Indent 3"/>
    <w:basedOn w:val="Indent1"/>
    <w:rsid w:val="00022441"/>
    <w:pPr>
      <w:ind w:left="1701"/>
    </w:pPr>
  </w:style>
  <w:style w:type="paragraph" w:customStyle="1" w:styleId="Indent4">
    <w:name w:val="Indent 4"/>
    <w:basedOn w:val="Indent1"/>
    <w:rsid w:val="00022441"/>
    <w:pPr>
      <w:ind w:left="2268"/>
    </w:pPr>
  </w:style>
  <w:style w:type="paragraph" w:customStyle="1" w:styleId="Indent10">
    <w:name w:val="Indent1"/>
    <w:basedOn w:val="Reasons"/>
    <w:rsid w:val="00022441"/>
    <w:pPr>
      <w:ind w:left="567"/>
    </w:pPr>
  </w:style>
  <w:style w:type="paragraph" w:customStyle="1" w:styleId="Indent20">
    <w:name w:val="Indent2"/>
    <w:basedOn w:val="Indent10"/>
    <w:rsid w:val="00022441"/>
    <w:pPr>
      <w:ind w:left="1134"/>
    </w:pPr>
  </w:style>
  <w:style w:type="paragraph" w:customStyle="1" w:styleId="Indent30">
    <w:name w:val="Indent3"/>
    <w:basedOn w:val="Indent10"/>
    <w:rsid w:val="00022441"/>
    <w:pPr>
      <w:ind w:left="1701"/>
    </w:pPr>
  </w:style>
  <w:style w:type="paragraph" w:customStyle="1" w:styleId="Indent40">
    <w:name w:val="Indent4"/>
    <w:basedOn w:val="Indent10"/>
    <w:rsid w:val="00022441"/>
    <w:pPr>
      <w:ind w:left="2268"/>
    </w:pPr>
  </w:style>
  <w:style w:type="paragraph" w:customStyle="1" w:styleId="Keywords">
    <w:name w:val="Keywords"/>
    <w:basedOn w:val="Normal"/>
    <w:rsid w:val="00022441"/>
    <w:pPr>
      <w:spacing w:before="100" w:beforeAutospacing="1" w:after="100" w:afterAutospacing="1"/>
    </w:pPr>
    <w:rPr>
      <w:rFonts w:cs="Arial"/>
      <w:i/>
      <w:szCs w:val="24"/>
    </w:rPr>
  </w:style>
  <w:style w:type="paragraph" w:customStyle="1" w:styleId="Summary">
    <w:name w:val="Summary"/>
    <w:basedOn w:val="Normal"/>
    <w:autoRedefine/>
    <w:rsid w:val="00022441"/>
    <w:pPr>
      <w:spacing w:before="100" w:beforeAutospacing="1" w:after="100" w:afterAutospacing="1"/>
      <w:ind w:left="562" w:hanging="562"/>
    </w:pPr>
    <w:rPr>
      <w:rFonts w:cs="Arial"/>
    </w:rPr>
  </w:style>
  <w:style w:type="paragraph" w:customStyle="1" w:styleId="History">
    <w:name w:val="History"/>
    <w:basedOn w:val="Normal"/>
    <w:rsid w:val="00022441"/>
    <w:pPr>
      <w:spacing w:before="100" w:beforeAutospacing="1" w:after="100" w:afterAutospacing="1"/>
      <w:ind w:firstLine="567"/>
    </w:pPr>
  </w:style>
  <w:style w:type="paragraph" w:customStyle="1" w:styleId="T1">
    <w:name w:val="T1"/>
    <w:basedOn w:val="Normal"/>
    <w:rsid w:val="00022441"/>
    <w:pPr>
      <w:spacing w:before="240" w:after="100" w:afterAutospacing="1"/>
    </w:pPr>
    <w:rPr>
      <w:b/>
    </w:rPr>
  </w:style>
  <w:style w:type="paragraph" w:customStyle="1" w:styleId="T2">
    <w:name w:val="T2"/>
    <w:basedOn w:val="Normal"/>
    <w:rsid w:val="00022441"/>
    <w:pPr>
      <w:spacing w:before="240" w:after="100" w:afterAutospacing="1"/>
    </w:pPr>
  </w:style>
  <w:style w:type="paragraph" w:customStyle="1" w:styleId="Sollicitors">
    <w:name w:val="Sollicitors"/>
    <w:basedOn w:val="Normal"/>
    <w:rsid w:val="00022441"/>
    <w:pPr>
      <w:spacing w:before="100" w:beforeAutospacing="1" w:after="100" w:afterAutospacing="1"/>
    </w:pPr>
    <w:rPr>
      <w:i/>
    </w:rPr>
  </w:style>
  <w:style w:type="paragraph" w:customStyle="1" w:styleId="Court">
    <w:name w:val="Court"/>
    <w:basedOn w:val="Normal"/>
    <w:rsid w:val="00022441"/>
    <w:rPr>
      <w:rFonts w:cs="Arial"/>
      <w:b/>
      <w:szCs w:val="24"/>
    </w:rPr>
  </w:style>
  <w:style w:type="character" w:customStyle="1" w:styleId="PageChar">
    <w:name w:val="Page Char"/>
    <w:link w:val="Page"/>
    <w:rsid w:val="00022441"/>
    <w:rPr>
      <w:rFonts w:ascii="Arial" w:eastAsia="MS Mincho" w:hAnsi="Arial" w:cs="Times New Roman"/>
      <w:i/>
      <w:sz w:val="24"/>
      <w:szCs w:val="28"/>
      <w:lang w:val="en-CA" w:eastAsia="ja-JP"/>
    </w:rPr>
  </w:style>
  <w:style w:type="character" w:customStyle="1" w:styleId="ReasonsCar">
    <w:name w:val="Reasons Car"/>
    <w:link w:val="Reasons"/>
    <w:rsid w:val="00022441"/>
    <w:rPr>
      <w:rFonts w:ascii="Arial" w:eastAsia="MS Mincho" w:hAnsi="Arial" w:cs="Times New Roman"/>
      <w:sz w:val="24"/>
      <w:szCs w:val="28"/>
      <w:lang w:val="en-CA" w:eastAsia="ja-JP"/>
    </w:rPr>
  </w:style>
  <w:style w:type="paragraph" w:customStyle="1" w:styleId="CitationLine">
    <w:name w:val="CitationLine"/>
    <w:basedOn w:val="Court"/>
    <w:rsid w:val="00022441"/>
  </w:style>
  <w:style w:type="paragraph" w:customStyle="1" w:styleId="DateISO">
    <w:name w:val="DateISO"/>
    <w:basedOn w:val="Court"/>
    <w:rsid w:val="00022441"/>
  </w:style>
  <w:style w:type="paragraph" w:styleId="Listepuces">
    <w:name w:val="List Bullet"/>
    <w:basedOn w:val="Normal"/>
    <w:uiPriority w:val="99"/>
    <w:unhideWhenUsed/>
    <w:rsid w:val="00DE3789"/>
    <w:pPr>
      <w:tabs>
        <w:tab w:val="num" w:pos="360"/>
      </w:tabs>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LX-109_CSC_1876-1906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LX-109_CSC_1876-1906_Template.dotx</Template>
  <TotalTime>24</TotalTime>
  <Pages>1</Pages>
  <Words>2091</Words>
  <Characters>11504</Characters>
  <Application>Microsoft Office Word</Application>
  <DocSecurity>0</DocSecurity>
  <Lines>95</Lines>
  <Paragraphs>27</Paragraphs>
  <ScaleCrop>false</ScaleCrop>
  <Company/>
  <LinksUpToDate>false</LinksUpToDate>
  <CharactersWithSpaces>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User111</dc:creator>
  <cp:lastModifiedBy>Martine Lemery</cp:lastModifiedBy>
  <cp:revision>15</cp:revision>
  <dcterms:created xsi:type="dcterms:W3CDTF">2015-03-16T06:12:00Z</dcterms:created>
  <dcterms:modified xsi:type="dcterms:W3CDTF">2017-03-14T15:21:00Z</dcterms:modified>
</cp:coreProperties>
</file>