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43" w:rsidRDefault="00A27A43" w:rsidP="00A27A43">
      <w:pPr>
        <w:pStyle w:val="Court"/>
      </w:pPr>
      <w:r>
        <w:t>Supreme Court of Canada</w:t>
      </w:r>
    </w:p>
    <w:p w:rsidR="00A27A43" w:rsidRDefault="00A27A43" w:rsidP="00A27A43">
      <w:pPr>
        <w:pStyle w:val="CitationLine"/>
      </w:pPr>
      <w:r w:rsidRPr="00A27A43">
        <w:t xml:space="preserve">Guay </w:t>
      </w:r>
      <w:r w:rsidRPr="00A27A43">
        <w:rPr>
          <w:i/>
          <w:iCs/>
        </w:rPr>
        <w:t>v.</w:t>
      </w:r>
      <w:r w:rsidRPr="00A27A43">
        <w:t xml:space="preserve"> The Queen</w:t>
      </w:r>
      <w:r>
        <w:t xml:space="preserve"> (1889) 1</w:t>
      </w:r>
      <w:r w:rsidR="00AC7A78">
        <w:t>7</w:t>
      </w:r>
      <w:r>
        <w:t xml:space="preserve"> SCR 30</w:t>
      </w:r>
    </w:p>
    <w:p w:rsidR="00A27A43" w:rsidRDefault="00A27A43" w:rsidP="00A27A43">
      <w:pPr>
        <w:pStyle w:val="DateISO"/>
      </w:pPr>
      <w:r>
        <w:t>Date: 1889-04-30</w:t>
      </w:r>
    </w:p>
    <w:p w:rsidR="006F0F52" w:rsidRPr="00A27A43" w:rsidRDefault="00A27A43" w:rsidP="00A27A43">
      <w:pPr>
        <w:pStyle w:val="Metadata"/>
      </w:pPr>
      <w:r w:rsidRPr="00A27A43">
        <w:t>Benoni Guay</w:t>
      </w:r>
      <w:r w:rsidR="006F0F52" w:rsidRPr="00A27A43">
        <w:t xml:space="preserve"> (Claimant)</w:t>
      </w:r>
    </w:p>
    <w:p w:rsidR="006F0F52" w:rsidRPr="00A27A43" w:rsidRDefault="006F0F52" w:rsidP="00A27A43">
      <w:pPr>
        <w:pStyle w:val="Metadata"/>
      </w:pPr>
      <w:r w:rsidRPr="00A27A43">
        <w:t>Appellant</w:t>
      </w:r>
    </w:p>
    <w:p w:rsidR="006F0F52" w:rsidRPr="00A27A43" w:rsidRDefault="00A27A43" w:rsidP="00A27A43">
      <w:pPr>
        <w:pStyle w:val="Metadata"/>
      </w:pPr>
      <w:r w:rsidRPr="00A27A43">
        <w:t>And</w:t>
      </w:r>
    </w:p>
    <w:p w:rsidR="006F0F52" w:rsidRPr="00A27A43" w:rsidRDefault="00A27A43" w:rsidP="00A27A43">
      <w:pPr>
        <w:pStyle w:val="Metadata"/>
      </w:pPr>
      <w:r w:rsidRPr="00A27A43">
        <w:t>The Queen</w:t>
      </w:r>
      <w:r w:rsidR="006F0F52" w:rsidRPr="00A27A43">
        <w:t xml:space="preserve"> (Defendant)</w:t>
      </w:r>
    </w:p>
    <w:p w:rsidR="006F0F52" w:rsidRPr="00A27A43" w:rsidRDefault="006F0F52" w:rsidP="00A27A43">
      <w:pPr>
        <w:pStyle w:val="Metadata"/>
      </w:pPr>
      <w:r w:rsidRPr="00A27A43">
        <w:t>Respondent</w:t>
      </w:r>
    </w:p>
    <w:p w:rsidR="00A27A43" w:rsidRDefault="00A27A43" w:rsidP="00A27A43">
      <w:pPr>
        <w:pStyle w:val="Metadata"/>
      </w:pPr>
      <w:r>
        <w:t>1889: Feby. 12; 1889: April 30.</w:t>
      </w:r>
    </w:p>
    <w:p w:rsidR="00A27A43" w:rsidRDefault="00A27A43" w:rsidP="00A27A43">
      <w:pPr>
        <w:pStyle w:val="Metadata"/>
      </w:pPr>
      <w:r w:rsidRPr="00A27A43">
        <w:t>Present</w:t>
      </w:r>
      <w:r>
        <w:t>:—Strong, Fournier, Taschereau, Gwynne and Patterson JJ.</w:t>
      </w:r>
    </w:p>
    <w:p w:rsidR="006F0F52" w:rsidRDefault="006F0F52" w:rsidP="00A27A43">
      <w:pPr>
        <w:pStyle w:val="Metadata"/>
      </w:pPr>
      <w:r>
        <w:t>ON APPEAL FROM THE EXCHEQUER COURT.</w:t>
      </w:r>
    </w:p>
    <w:p w:rsidR="006F0F52" w:rsidRDefault="006F0F52" w:rsidP="00A27A43">
      <w:pPr>
        <w:pStyle w:val="Keywords"/>
      </w:pPr>
      <w:r>
        <w:t>Expropriation for Government Railway purposes—Severance of Land—Farm crossings—Compensation.</w:t>
      </w:r>
    </w:p>
    <w:p w:rsidR="006F0F52" w:rsidRDefault="006F0F52" w:rsidP="00A27A43">
      <w:pPr>
        <w:pStyle w:val="Summary"/>
      </w:pPr>
      <w:r>
        <w:t>Where land expropriated for Government railway purposes severed a farm, the owner although not at the time entitled to a farm crossing apart from contract was entitled to full compensation covering the future as well as the past for the depreciation of his land by the want of such a crossing.</w:t>
      </w:r>
    </w:p>
    <w:p w:rsidR="006F0F52" w:rsidRDefault="006F0F52" w:rsidP="00A27A43">
      <w:pPr>
        <w:pStyle w:val="Summary"/>
        <w:rPr>
          <w:szCs w:val="24"/>
        </w:rPr>
      </w:pPr>
      <w:r>
        <w:rPr>
          <w:szCs w:val="24"/>
        </w:rPr>
        <w:t>Gwynne J. dissenting on the ground that the owner was entitled to a crossing as a matter of law. [See now 52 V. c. 38 s. 3.]</w:t>
      </w:r>
    </w:p>
    <w:p w:rsidR="006F0F52" w:rsidRDefault="006F0F52" w:rsidP="00A27A43">
      <w:pPr>
        <w:pStyle w:val="History"/>
      </w:pPr>
      <w:r w:rsidRPr="00A27A43">
        <w:t>Appeal</w:t>
      </w:r>
      <w:r>
        <w:t xml:space="preserve"> from a judgment of the Exchequer Court of Canada, upon a claim for expropriation under the Government Railway Act.</w:t>
      </w:r>
    </w:p>
    <w:p w:rsidR="006F0F52" w:rsidRDefault="006F0F52" w:rsidP="00A27A43">
      <w:pPr>
        <w:pStyle w:val="History"/>
        <w:rPr>
          <w:rFonts w:cs="Arial"/>
          <w:szCs w:val="24"/>
        </w:rPr>
      </w:pPr>
      <w:r>
        <w:rPr>
          <w:rFonts w:cs="Arial"/>
          <w:szCs w:val="24"/>
        </w:rPr>
        <w:t>The appellant was the owner of two lots situate in the Parish of St. Joseph, Levis. On the 8th June, 1882, the Intercolonial Railway authorities expropriated two parcels of these lots for the construction of what is generally known under the name of the St. Charles Branch.</w:t>
      </w:r>
    </w:p>
    <w:p w:rsidR="006F0F52" w:rsidRDefault="006F0F52" w:rsidP="00A27A43">
      <w:pPr>
        <w:pStyle w:val="History"/>
        <w:rPr>
          <w:rFonts w:cs="Arial"/>
          <w:szCs w:val="24"/>
        </w:rPr>
      </w:pPr>
      <w:r>
        <w:rPr>
          <w:rFonts w:cs="Arial"/>
          <w:szCs w:val="24"/>
        </w:rPr>
        <w:t>The appellant thereupon filed the following claim, which was contested by the crown and referred to the Exchequer Court, to wit:</w:t>
      </w:r>
    </w:p>
    <w:p w:rsidR="006F0F52" w:rsidRDefault="006F0F52" w:rsidP="00EC75CA">
      <w:pPr>
        <w:pStyle w:val="History"/>
        <w:ind w:left="2160" w:firstLine="720"/>
        <w:rPr>
          <w:rFonts w:cs="Arial"/>
          <w:szCs w:val="24"/>
        </w:rPr>
      </w:pPr>
      <w:r>
        <w:rPr>
          <w:rFonts w:cs="Arial"/>
          <w:szCs w:val="24"/>
        </w:rPr>
        <w:t xml:space="preserve">Plan </w:t>
      </w:r>
      <w:r>
        <w:rPr>
          <w:rFonts w:cs="Arial"/>
          <w:szCs w:val="24"/>
          <w:lang w:val="fr-FR"/>
        </w:rPr>
        <w:t xml:space="preserve">Nos. </w:t>
      </w:r>
      <w:r>
        <w:rPr>
          <w:rFonts w:cs="Arial"/>
          <w:szCs w:val="24"/>
        </w:rPr>
        <w:t>1 &amp; 2—1st range.</w:t>
      </w:r>
    </w:p>
    <w:tbl>
      <w:tblPr>
        <w:tblW w:w="4433" w:type="pct"/>
        <w:tblInd w:w="940" w:type="dxa"/>
        <w:tblCellMar>
          <w:left w:w="40" w:type="dxa"/>
          <w:right w:w="40" w:type="dxa"/>
        </w:tblCellMar>
        <w:tblLook w:val="0000"/>
      </w:tblPr>
      <w:tblGrid>
        <w:gridCol w:w="5318"/>
        <w:gridCol w:w="1341"/>
        <w:gridCol w:w="1711"/>
      </w:tblGrid>
      <w:tr w:rsidR="00EC75CA" w:rsidTr="00EC75CA">
        <w:trPr>
          <w:trHeight w:val="278"/>
        </w:trPr>
        <w:tc>
          <w:tcPr>
            <w:tcW w:w="3177" w:type="pct"/>
          </w:tcPr>
          <w:p w:rsidR="00EC75CA" w:rsidRDefault="00EC75CA" w:rsidP="00AD437B">
            <w:pPr>
              <w:rPr>
                <w:rFonts w:cs="Arial"/>
                <w:szCs w:val="24"/>
              </w:rPr>
            </w:pPr>
            <w:r>
              <w:rPr>
                <w:rFonts w:cs="Arial"/>
                <w:szCs w:val="24"/>
              </w:rPr>
              <w:t>Land expropriated</w:t>
            </w:r>
          </w:p>
        </w:tc>
        <w:tc>
          <w:tcPr>
            <w:tcW w:w="801" w:type="pct"/>
          </w:tcPr>
          <w:p w:rsidR="00EC75CA" w:rsidRDefault="00EC75CA" w:rsidP="00EC75CA">
            <w:pPr>
              <w:jc w:val="right"/>
              <w:rPr>
                <w:rFonts w:cs="Arial"/>
                <w:szCs w:val="24"/>
              </w:rPr>
            </w:pPr>
            <w:r>
              <w:rPr>
                <w:rFonts w:cs="Arial"/>
                <w:szCs w:val="24"/>
              </w:rPr>
              <w:t>$ 200 00</w:t>
            </w:r>
          </w:p>
        </w:tc>
        <w:tc>
          <w:tcPr>
            <w:tcW w:w="1022" w:type="pct"/>
          </w:tcPr>
          <w:p w:rsidR="00EC75CA" w:rsidRDefault="00EC75CA" w:rsidP="00AD437B">
            <w:pPr>
              <w:rPr>
                <w:rFonts w:cs="Arial"/>
                <w:szCs w:val="24"/>
              </w:rPr>
            </w:pPr>
          </w:p>
        </w:tc>
      </w:tr>
      <w:tr w:rsidR="00EC75CA" w:rsidTr="00EC75CA">
        <w:trPr>
          <w:trHeight w:val="297"/>
        </w:trPr>
        <w:tc>
          <w:tcPr>
            <w:tcW w:w="3177" w:type="pct"/>
          </w:tcPr>
          <w:p w:rsidR="00EC75CA" w:rsidRDefault="00EC75CA" w:rsidP="00AD437B">
            <w:pPr>
              <w:rPr>
                <w:rFonts w:cs="Arial"/>
                <w:szCs w:val="24"/>
              </w:rPr>
            </w:pPr>
            <w:r>
              <w:rPr>
                <w:rFonts w:cs="Arial"/>
                <w:szCs w:val="24"/>
              </w:rPr>
              <w:lastRenderedPageBreak/>
              <w:t>Damages</w:t>
            </w:r>
          </w:p>
        </w:tc>
        <w:tc>
          <w:tcPr>
            <w:tcW w:w="801" w:type="pct"/>
          </w:tcPr>
          <w:p w:rsidR="00EC75CA" w:rsidRDefault="00EC75CA" w:rsidP="00EC75CA">
            <w:pPr>
              <w:jc w:val="right"/>
              <w:rPr>
                <w:rFonts w:cs="Arial"/>
                <w:szCs w:val="24"/>
              </w:rPr>
            </w:pPr>
            <w:r>
              <w:rPr>
                <w:rFonts w:cs="Arial"/>
                <w:szCs w:val="24"/>
              </w:rPr>
              <w:t>1,200 00</w:t>
            </w:r>
          </w:p>
        </w:tc>
        <w:tc>
          <w:tcPr>
            <w:tcW w:w="1022" w:type="pct"/>
          </w:tcPr>
          <w:p w:rsidR="00EC75CA" w:rsidRDefault="00EC75CA" w:rsidP="00AD437B">
            <w:pPr>
              <w:rPr>
                <w:rFonts w:cs="Arial"/>
                <w:szCs w:val="24"/>
              </w:rPr>
            </w:pPr>
          </w:p>
        </w:tc>
      </w:tr>
      <w:tr w:rsidR="00EC75CA" w:rsidTr="00EC75CA">
        <w:trPr>
          <w:trHeight w:val="249"/>
        </w:trPr>
        <w:tc>
          <w:tcPr>
            <w:tcW w:w="3177" w:type="pct"/>
          </w:tcPr>
          <w:p w:rsidR="00EC75CA" w:rsidRDefault="00EC75CA" w:rsidP="00AD437B">
            <w:pPr>
              <w:rPr>
                <w:rFonts w:cs="Arial"/>
                <w:szCs w:val="24"/>
              </w:rPr>
            </w:pPr>
          </w:p>
        </w:tc>
        <w:tc>
          <w:tcPr>
            <w:tcW w:w="801" w:type="pct"/>
          </w:tcPr>
          <w:p w:rsidR="00EC75CA" w:rsidRDefault="00EC75CA" w:rsidP="00AD437B">
            <w:pPr>
              <w:rPr>
                <w:rFonts w:cs="Arial"/>
                <w:szCs w:val="24"/>
              </w:rPr>
            </w:pPr>
            <w:r>
              <w:rPr>
                <w:rFonts w:cs="Arial"/>
                <w:szCs w:val="24"/>
              </w:rPr>
              <w:t>—————</w:t>
            </w:r>
          </w:p>
        </w:tc>
        <w:tc>
          <w:tcPr>
            <w:tcW w:w="1022" w:type="pct"/>
          </w:tcPr>
          <w:p w:rsidR="00EC75CA" w:rsidRDefault="00EC75CA" w:rsidP="00EC75CA">
            <w:pPr>
              <w:jc w:val="right"/>
              <w:rPr>
                <w:rFonts w:cs="Arial"/>
                <w:szCs w:val="24"/>
              </w:rPr>
            </w:pPr>
            <w:r>
              <w:rPr>
                <w:rFonts w:cs="Arial"/>
                <w:szCs w:val="24"/>
              </w:rPr>
              <w:t>$1,400 00</w:t>
            </w:r>
          </w:p>
        </w:tc>
      </w:tr>
    </w:tbl>
    <w:p w:rsidR="006F0F52" w:rsidRDefault="004E0300" w:rsidP="004E0300">
      <w:pPr>
        <w:pStyle w:val="Page"/>
      </w:pPr>
      <w:r>
        <w:rPr>
          <w:rFonts w:cs="Arial"/>
          <w:szCs w:val="24"/>
        </w:rPr>
        <w:t xml:space="preserve">[Page </w:t>
      </w:r>
      <w:r w:rsidR="006F0F52">
        <w:rPr>
          <w:rFonts w:cs="Arial"/>
          <w:szCs w:val="24"/>
        </w:rPr>
        <w:t>31]</w:t>
      </w:r>
    </w:p>
    <w:p w:rsidR="006F0F52" w:rsidRDefault="006F0F52" w:rsidP="00EC75CA">
      <w:pPr>
        <w:pStyle w:val="History"/>
        <w:ind w:left="2160" w:firstLine="720"/>
        <w:rPr>
          <w:rFonts w:cs="Arial"/>
          <w:szCs w:val="24"/>
        </w:rPr>
      </w:pPr>
      <w:r>
        <w:rPr>
          <w:rFonts w:cs="Arial"/>
          <w:szCs w:val="24"/>
        </w:rPr>
        <w:t>Plan No. 3—3rd Range.</w:t>
      </w:r>
    </w:p>
    <w:tbl>
      <w:tblPr>
        <w:tblW w:w="0" w:type="auto"/>
        <w:tblInd w:w="940" w:type="dxa"/>
        <w:tblLayout w:type="fixed"/>
        <w:tblCellMar>
          <w:left w:w="40" w:type="dxa"/>
          <w:right w:w="40" w:type="dxa"/>
        </w:tblCellMar>
        <w:tblLook w:val="0000"/>
      </w:tblPr>
      <w:tblGrid>
        <w:gridCol w:w="5310"/>
        <w:gridCol w:w="1350"/>
        <w:gridCol w:w="1710"/>
      </w:tblGrid>
      <w:tr w:rsidR="00EC75CA" w:rsidTr="00EC75CA">
        <w:trPr>
          <w:trHeight w:val="307"/>
        </w:trPr>
        <w:tc>
          <w:tcPr>
            <w:tcW w:w="5310" w:type="dxa"/>
          </w:tcPr>
          <w:p w:rsidR="00EC75CA" w:rsidRDefault="00EC75CA" w:rsidP="00AD437B">
            <w:pPr>
              <w:rPr>
                <w:rFonts w:cs="Arial"/>
                <w:szCs w:val="24"/>
              </w:rPr>
            </w:pPr>
            <w:r>
              <w:rPr>
                <w:rFonts w:cs="Arial"/>
                <w:szCs w:val="24"/>
              </w:rPr>
              <w:t>Land expropriated</w:t>
            </w:r>
          </w:p>
        </w:tc>
        <w:tc>
          <w:tcPr>
            <w:tcW w:w="1350" w:type="dxa"/>
          </w:tcPr>
          <w:p w:rsidR="00EC75CA" w:rsidRDefault="00EC75CA" w:rsidP="00EC75CA">
            <w:pPr>
              <w:jc w:val="right"/>
              <w:rPr>
                <w:rFonts w:cs="Arial"/>
                <w:szCs w:val="24"/>
              </w:rPr>
            </w:pPr>
            <w:r>
              <w:rPr>
                <w:rFonts w:cs="Arial"/>
                <w:szCs w:val="24"/>
              </w:rPr>
              <w:t>$120 00</w:t>
            </w:r>
          </w:p>
        </w:tc>
        <w:tc>
          <w:tcPr>
            <w:tcW w:w="1710" w:type="dxa"/>
          </w:tcPr>
          <w:p w:rsidR="00EC75CA" w:rsidRDefault="00EC75CA" w:rsidP="00AD437B">
            <w:pPr>
              <w:rPr>
                <w:rFonts w:cs="Arial"/>
                <w:szCs w:val="24"/>
              </w:rPr>
            </w:pPr>
          </w:p>
        </w:tc>
      </w:tr>
      <w:tr w:rsidR="00EC75CA" w:rsidTr="00EC75CA">
        <w:trPr>
          <w:trHeight w:val="238"/>
        </w:trPr>
        <w:tc>
          <w:tcPr>
            <w:tcW w:w="5310" w:type="dxa"/>
          </w:tcPr>
          <w:p w:rsidR="00EC75CA" w:rsidRDefault="00EC75CA" w:rsidP="00AD437B">
            <w:pPr>
              <w:rPr>
                <w:rFonts w:cs="Arial"/>
                <w:szCs w:val="24"/>
              </w:rPr>
            </w:pPr>
            <w:r>
              <w:rPr>
                <w:rFonts w:cs="Arial"/>
                <w:szCs w:val="24"/>
              </w:rPr>
              <w:t>Damages</w:t>
            </w:r>
          </w:p>
        </w:tc>
        <w:tc>
          <w:tcPr>
            <w:tcW w:w="1350" w:type="dxa"/>
          </w:tcPr>
          <w:p w:rsidR="00EC75CA" w:rsidRPr="00EC75CA" w:rsidRDefault="00EC75CA" w:rsidP="00EC75CA">
            <w:pPr>
              <w:jc w:val="right"/>
              <w:rPr>
                <w:rFonts w:cs="Arial"/>
                <w:szCs w:val="24"/>
              </w:rPr>
            </w:pPr>
            <w:r w:rsidRPr="00EC75CA">
              <w:rPr>
                <w:rFonts w:cs="Arial"/>
                <w:szCs w:val="24"/>
              </w:rPr>
              <w:t>380 00</w:t>
            </w:r>
          </w:p>
        </w:tc>
        <w:tc>
          <w:tcPr>
            <w:tcW w:w="1710" w:type="dxa"/>
          </w:tcPr>
          <w:p w:rsidR="00EC75CA" w:rsidRDefault="00EC75CA" w:rsidP="00AD437B">
            <w:pPr>
              <w:rPr>
                <w:rFonts w:cs="Arial"/>
                <w:szCs w:val="24"/>
                <w:u w:val="single"/>
              </w:rPr>
            </w:pPr>
          </w:p>
        </w:tc>
      </w:tr>
      <w:tr w:rsidR="00EC75CA" w:rsidTr="00EC75CA">
        <w:trPr>
          <w:trHeight w:val="343"/>
        </w:trPr>
        <w:tc>
          <w:tcPr>
            <w:tcW w:w="5310" w:type="dxa"/>
          </w:tcPr>
          <w:p w:rsidR="00EC75CA" w:rsidRDefault="00EC75CA" w:rsidP="00AD437B">
            <w:pPr>
              <w:rPr>
                <w:rFonts w:cs="Arial"/>
                <w:szCs w:val="24"/>
              </w:rPr>
            </w:pPr>
          </w:p>
        </w:tc>
        <w:tc>
          <w:tcPr>
            <w:tcW w:w="1350" w:type="dxa"/>
          </w:tcPr>
          <w:p w:rsidR="00EC75CA" w:rsidRPr="00EC75CA" w:rsidRDefault="00EC75CA" w:rsidP="00EC75CA">
            <w:pPr>
              <w:jc w:val="right"/>
              <w:rPr>
                <w:rFonts w:cs="Arial"/>
                <w:szCs w:val="24"/>
              </w:rPr>
            </w:pPr>
            <w:r w:rsidRPr="00EC75CA">
              <w:rPr>
                <w:rFonts w:cs="Arial"/>
                <w:szCs w:val="24"/>
              </w:rPr>
              <w:t>500 00</w:t>
            </w:r>
          </w:p>
        </w:tc>
        <w:tc>
          <w:tcPr>
            <w:tcW w:w="1710" w:type="dxa"/>
          </w:tcPr>
          <w:p w:rsidR="00EC75CA" w:rsidRDefault="00EC75CA" w:rsidP="00AD437B">
            <w:pPr>
              <w:rPr>
                <w:rFonts w:cs="Arial"/>
                <w:szCs w:val="24"/>
                <w:u w:val="single"/>
              </w:rPr>
            </w:pPr>
          </w:p>
        </w:tc>
      </w:tr>
      <w:tr w:rsidR="00EC75CA" w:rsidTr="00EC75CA">
        <w:trPr>
          <w:trHeight w:val="336"/>
        </w:trPr>
        <w:tc>
          <w:tcPr>
            <w:tcW w:w="5310" w:type="dxa"/>
          </w:tcPr>
          <w:p w:rsidR="00EC75CA" w:rsidRDefault="00EC75CA" w:rsidP="00AD437B">
            <w:pPr>
              <w:rPr>
                <w:rFonts w:cs="Arial"/>
                <w:szCs w:val="24"/>
              </w:rPr>
            </w:pPr>
          </w:p>
        </w:tc>
        <w:tc>
          <w:tcPr>
            <w:tcW w:w="1350" w:type="dxa"/>
          </w:tcPr>
          <w:p w:rsidR="00EC75CA" w:rsidRDefault="00EC75CA" w:rsidP="00EC75CA">
            <w:pPr>
              <w:jc w:val="right"/>
              <w:rPr>
                <w:rFonts w:cs="Arial"/>
                <w:szCs w:val="24"/>
              </w:rPr>
            </w:pPr>
            <w:r>
              <w:rPr>
                <w:rFonts w:cs="Arial"/>
                <w:szCs w:val="24"/>
              </w:rPr>
              <w:t>—————</w:t>
            </w:r>
          </w:p>
        </w:tc>
        <w:tc>
          <w:tcPr>
            <w:tcW w:w="1710" w:type="dxa"/>
          </w:tcPr>
          <w:p w:rsidR="00EC75CA" w:rsidRDefault="00EC75CA" w:rsidP="00EC75CA">
            <w:pPr>
              <w:jc w:val="right"/>
              <w:rPr>
                <w:rFonts w:cs="Arial"/>
                <w:szCs w:val="24"/>
              </w:rPr>
            </w:pPr>
            <w:r>
              <w:rPr>
                <w:rFonts w:cs="Arial"/>
                <w:szCs w:val="24"/>
              </w:rPr>
              <w:t>$1,900 00</w:t>
            </w:r>
          </w:p>
        </w:tc>
      </w:tr>
    </w:tbl>
    <w:p w:rsidR="006F0F52" w:rsidRDefault="006F0F52" w:rsidP="00EC75CA">
      <w:pPr>
        <w:pStyle w:val="History"/>
      </w:pPr>
      <w:r>
        <w:t>On the 30th day of June, 1888, the court awarded the claimant the sum of $1,070 as follows, to wit:</w:t>
      </w:r>
    </w:p>
    <w:p w:rsidR="006F0F52" w:rsidRDefault="006F0F52" w:rsidP="00EC75CA">
      <w:pPr>
        <w:pStyle w:val="History"/>
        <w:ind w:left="2160" w:firstLine="720"/>
        <w:rPr>
          <w:rFonts w:cs="Arial"/>
          <w:szCs w:val="24"/>
        </w:rPr>
      </w:pPr>
      <w:r>
        <w:rPr>
          <w:rFonts w:cs="Arial"/>
          <w:szCs w:val="24"/>
        </w:rPr>
        <w:t xml:space="preserve">Plan </w:t>
      </w:r>
      <w:r>
        <w:rPr>
          <w:rFonts w:cs="Arial"/>
          <w:szCs w:val="24"/>
          <w:lang w:val="fr-FR"/>
        </w:rPr>
        <w:t xml:space="preserve">Nos. </w:t>
      </w:r>
      <w:r>
        <w:rPr>
          <w:rFonts w:cs="Arial"/>
          <w:szCs w:val="24"/>
        </w:rPr>
        <w:t>1 and 2—1st Range.</w:t>
      </w:r>
    </w:p>
    <w:tbl>
      <w:tblPr>
        <w:tblW w:w="0" w:type="auto"/>
        <w:tblInd w:w="940" w:type="dxa"/>
        <w:tblLayout w:type="fixed"/>
        <w:tblCellMar>
          <w:left w:w="40" w:type="dxa"/>
          <w:right w:w="40" w:type="dxa"/>
        </w:tblCellMar>
        <w:tblLook w:val="0000"/>
      </w:tblPr>
      <w:tblGrid>
        <w:gridCol w:w="5400"/>
        <w:gridCol w:w="1350"/>
        <w:gridCol w:w="1350"/>
      </w:tblGrid>
      <w:tr w:rsidR="00EC75CA" w:rsidTr="00CE08EA">
        <w:trPr>
          <w:trHeight w:val="326"/>
        </w:trPr>
        <w:tc>
          <w:tcPr>
            <w:tcW w:w="5400" w:type="dxa"/>
          </w:tcPr>
          <w:p w:rsidR="00EC75CA" w:rsidRDefault="00EC75CA" w:rsidP="00AD437B">
            <w:pPr>
              <w:rPr>
                <w:rFonts w:cs="Arial"/>
                <w:szCs w:val="24"/>
              </w:rPr>
            </w:pPr>
            <w:r>
              <w:rPr>
                <w:rFonts w:cs="Arial"/>
                <w:szCs w:val="24"/>
              </w:rPr>
              <w:t>Land expropriated</w:t>
            </w:r>
          </w:p>
        </w:tc>
        <w:tc>
          <w:tcPr>
            <w:tcW w:w="1350" w:type="dxa"/>
          </w:tcPr>
          <w:p w:rsidR="00EC75CA" w:rsidRPr="00EC75CA" w:rsidRDefault="00EC75CA" w:rsidP="00EC75CA">
            <w:pPr>
              <w:jc w:val="right"/>
              <w:rPr>
                <w:rFonts w:cs="Arial"/>
                <w:szCs w:val="24"/>
              </w:rPr>
            </w:pPr>
            <w:r w:rsidRPr="00EC75CA">
              <w:rPr>
                <w:rFonts w:cs="Arial"/>
                <w:szCs w:val="24"/>
              </w:rPr>
              <w:t>$200 00</w:t>
            </w:r>
          </w:p>
        </w:tc>
        <w:tc>
          <w:tcPr>
            <w:tcW w:w="1350" w:type="dxa"/>
          </w:tcPr>
          <w:p w:rsidR="00EC75CA" w:rsidRPr="00EC75CA" w:rsidRDefault="00EC75CA" w:rsidP="00EC75CA">
            <w:pPr>
              <w:jc w:val="right"/>
              <w:rPr>
                <w:rFonts w:cs="Arial"/>
                <w:szCs w:val="24"/>
              </w:rPr>
            </w:pPr>
          </w:p>
        </w:tc>
      </w:tr>
      <w:tr w:rsidR="00EC75CA" w:rsidTr="00CE08EA">
        <w:trPr>
          <w:trHeight w:val="223"/>
        </w:trPr>
        <w:tc>
          <w:tcPr>
            <w:tcW w:w="5400" w:type="dxa"/>
          </w:tcPr>
          <w:p w:rsidR="00EC75CA" w:rsidRDefault="00EC75CA" w:rsidP="00AD437B">
            <w:pPr>
              <w:rPr>
                <w:rFonts w:cs="Arial"/>
                <w:szCs w:val="24"/>
              </w:rPr>
            </w:pPr>
            <w:r>
              <w:rPr>
                <w:rFonts w:cs="Arial"/>
                <w:szCs w:val="24"/>
              </w:rPr>
              <w:t>Damages</w:t>
            </w:r>
          </w:p>
        </w:tc>
        <w:tc>
          <w:tcPr>
            <w:tcW w:w="1350" w:type="dxa"/>
          </w:tcPr>
          <w:p w:rsidR="00EC75CA" w:rsidRPr="00EC75CA" w:rsidRDefault="00EC75CA" w:rsidP="00EC75CA">
            <w:pPr>
              <w:jc w:val="right"/>
              <w:rPr>
                <w:rFonts w:cs="Arial"/>
                <w:szCs w:val="24"/>
              </w:rPr>
            </w:pPr>
            <w:r w:rsidRPr="00EC75CA">
              <w:rPr>
                <w:rFonts w:cs="Arial"/>
                <w:szCs w:val="24"/>
              </w:rPr>
              <w:t>500 00</w:t>
            </w:r>
          </w:p>
        </w:tc>
        <w:tc>
          <w:tcPr>
            <w:tcW w:w="1350" w:type="dxa"/>
          </w:tcPr>
          <w:p w:rsidR="00EC75CA" w:rsidRPr="00EC75CA" w:rsidRDefault="00EC75CA" w:rsidP="00EC75CA">
            <w:pPr>
              <w:jc w:val="right"/>
              <w:rPr>
                <w:rFonts w:cs="Arial"/>
                <w:szCs w:val="24"/>
              </w:rPr>
            </w:pPr>
          </w:p>
        </w:tc>
      </w:tr>
      <w:tr w:rsidR="00EC75CA" w:rsidTr="00CE08EA">
        <w:trPr>
          <w:trHeight w:val="185"/>
        </w:trPr>
        <w:tc>
          <w:tcPr>
            <w:tcW w:w="5400" w:type="dxa"/>
          </w:tcPr>
          <w:p w:rsidR="00EC75CA" w:rsidRDefault="00EC75CA" w:rsidP="00AD437B">
            <w:pPr>
              <w:rPr>
                <w:rFonts w:cs="Arial"/>
                <w:szCs w:val="24"/>
              </w:rPr>
            </w:pPr>
          </w:p>
        </w:tc>
        <w:tc>
          <w:tcPr>
            <w:tcW w:w="1350" w:type="dxa"/>
          </w:tcPr>
          <w:p w:rsidR="00EC75CA" w:rsidRPr="00EC75CA" w:rsidRDefault="00EC75CA" w:rsidP="00EC75CA">
            <w:pPr>
              <w:jc w:val="right"/>
              <w:rPr>
                <w:rFonts w:cs="Arial"/>
                <w:szCs w:val="24"/>
              </w:rPr>
            </w:pPr>
            <w:r>
              <w:rPr>
                <w:rFonts w:cs="Arial"/>
                <w:szCs w:val="24"/>
              </w:rPr>
              <w:t>————</w:t>
            </w:r>
          </w:p>
        </w:tc>
        <w:tc>
          <w:tcPr>
            <w:tcW w:w="1350" w:type="dxa"/>
          </w:tcPr>
          <w:p w:rsidR="00EC75CA" w:rsidRPr="00EC75CA" w:rsidRDefault="00EC75CA" w:rsidP="00EC75CA">
            <w:pPr>
              <w:jc w:val="right"/>
              <w:rPr>
                <w:rFonts w:cs="Arial"/>
                <w:szCs w:val="24"/>
              </w:rPr>
            </w:pPr>
            <w:r w:rsidRPr="00EC75CA">
              <w:rPr>
                <w:rFonts w:cs="Arial"/>
                <w:szCs w:val="24"/>
              </w:rPr>
              <w:t>$ 700 00</w:t>
            </w:r>
          </w:p>
        </w:tc>
      </w:tr>
    </w:tbl>
    <w:p w:rsidR="006F0F52" w:rsidRDefault="006F0F52" w:rsidP="00EC75CA">
      <w:pPr>
        <w:pStyle w:val="History"/>
        <w:ind w:left="2160" w:firstLine="720"/>
        <w:rPr>
          <w:rFonts w:cs="Arial"/>
          <w:szCs w:val="24"/>
        </w:rPr>
      </w:pPr>
      <w:r>
        <w:rPr>
          <w:rFonts w:cs="Arial"/>
          <w:szCs w:val="24"/>
        </w:rPr>
        <w:t>Plan No. 3—2nd Range.</w:t>
      </w:r>
    </w:p>
    <w:tbl>
      <w:tblPr>
        <w:tblW w:w="0" w:type="auto"/>
        <w:tblInd w:w="940" w:type="dxa"/>
        <w:tblLayout w:type="fixed"/>
        <w:tblCellMar>
          <w:left w:w="40" w:type="dxa"/>
          <w:right w:w="40" w:type="dxa"/>
        </w:tblCellMar>
        <w:tblLook w:val="0000"/>
      </w:tblPr>
      <w:tblGrid>
        <w:gridCol w:w="5400"/>
        <w:gridCol w:w="1350"/>
        <w:gridCol w:w="1350"/>
      </w:tblGrid>
      <w:tr w:rsidR="00EC75CA" w:rsidTr="003F0E5B">
        <w:trPr>
          <w:trHeight w:val="278"/>
        </w:trPr>
        <w:tc>
          <w:tcPr>
            <w:tcW w:w="5400" w:type="dxa"/>
          </w:tcPr>
          <w:p w:rsidR="00EC75CA" w:rsidRDefault="00EC75CA" w:rsidP="00AD437B">
            <w:pPr>
              <w:rPr>
                <w:rFonts w:cs="Arial"/>
                <w:szCs w:val="24"/>
              </w:rPr>
            </w:pPr>
            <w:r>
              <w:rPr>
                <w:rFonts w:cs="Arial"/>
                <w:szCs w:val="24"/>
              </w:rPr>
              <w:t>Land expropriated</w:t>
            </w:r>
          </w:p>
        </w:tc>
        <w:tc>
          <w:tcPr>
            <w:tcW w:w="1350" w:type="dxa"/>
          </w:tcPr>
          <w:p w:rsidR="00EC75CA" w:rsidRPr="00EC75CA" w:rsidRDefault="00EC75CA" w:rsidP="00EC75CA">
            <w:pPr>
              <w:jc w:val="right"/>
              <w:rPr>
                <w:rFonts w:cs="Arial"/>
                <w:szCs w:val="24"/>
              </w:rPr>
            </w:pPr>
            <w:r w:rsidRPr="00EC75CA">
              <w:rPr>
                <w:rFonts w:cs="Arial"/>
                <w:szCs w:val="24"/>
              </w:rPr>
              <w:t>$120 00</w:t>
            </w:r>
          </w:p>
        </w:tc>
        <w:tc>
          <w:tcPr>
            <w:tcW w:w="1350" w:type="dxa"/>
          </w:tcPr>
          <w:p w:rsidR="00EC75CA" w:rsidRPr="00EC75CA" w:rsidRDefault="00EC75CA" w:rsidP="00AD437B">
            <w:pPr>
              <w:rPr>
                <w:rFonts w:cs="Arial"/>
                <w:szCs w:val="24"/>
              </w:rPr>
            </w:pPr>
          </w:p>
        </w:tc>
      </w:tr>
      <w:tr w:rsidR="00EC75CA" w:rsidTr="003F0E5B">
        <w:trPr>
          <w:trHeight w:val="235"/>
        </w:trPr>
        <w:tc>
          <w:tcPr>
            <w:tcW w:w="5400" w:type="dxa"/>
          </w:tcPr>
          <w:p w:rsidR="00EC75CA" w:rsidRDefault="00EC75CA" w:rsidP="00AD437B">
            <w:pPr>
              <w:rPr>
                <w:rFonts w:cs="Arial"/>
                <w:szCs w:val="24"/>
              </w:rPr>
            </w:pPr>
            <w:r>
              <w:rPr>
                <w:rFonts w:cs="Arial"/>
                <w:szCs w:val="24"/>
              </w:rPr>
              <w:t>Damages</w:t>
            </w:r>
          </w:p>
        </w:tc>
        <w:tc>
          <w:tcPr>
            <w:tcW w:w="1350" w:type="dxa"/>
          </w:tcPr>
          <w:p w:rsidR="00EC75CA" w:rsidRPr="00EC75CA" w:rsidRDefault="00EC75CA" w:rsidP="00EC75CA">
            <w:pPr>
              <w:jc w:val="right"/>
              <w:rPr>
                <w:rFonts w:cs="Arial"/>
                <w:szCs w:val="24"/>
              </w:rPr>
            </w:pPr>
            <w:r w:rsidRPr="00EC75CA">
              <w:rPr>
                <w:rFonts w:cs="Arial"/>
                <w:szCs w:val="24"/>
              </w:rPr>
              <w:t>250 00</w:t>
            </w:r>
          </w:p>
        </w:tc>
        <w:tc>
          <w:tcPr>
            <w:tcW w:w="1350" w:type="dxa"/>
          </w:tcPr>
          <w:p w:rsidR="00EC75CA" w:rsidRPr="00EC75CA" w:rsidRDefault="00EC75CA" w:rsidP="00AD437B">
            <w:pPr>
              <w:rPr>
                <w:rFonts w:cs="Arial"/>
                <w:szCs w:val="24"/>
              </w:rPr>
            </w:pPr>
          </w:p>
        </w:tc>
      </w:tr>
      <w:tr w:rsidR="00EC75CA" w:rsidTr="003F0E5B">
        <w:trPr>
          <w:trHeight w:val="197"/>
        </w:trPr>
        <w:tc>
          <w:tcPr>
            <w:tcW w:w="5400" w:type="dxa"/>
          </w:tcPr>
          <w:p w:rsidR="00EC75CA" w:rsidRDefault="00EC75CA" w:rsidP="00AD437B">
            <w:pPr>
              <w:rPr>
                <w:rFonts w:cs="Arial"/>
                <w:szCs w:val="24"/>
              </w:rPr>
            </w:pPr>
          </w:p>
        </w:tc>
        <w:tc>
          <w:tcPr>
            <w:tcW w:w="1350" w:type="dxa"/>
          </w:tcPr>
          <w:p w:rsidR="00EC75CA" w:rsidRPr="00EC75CA" w:rsidRDefault="00EC75CA" w:rsidP="00EC75CA">
            <w:pPr>
              <w:jc w:val="right"/>
              <w:rPr>
                <w:rFonts w:cs="Arial"/>
                <w:szCs w:val="24"/>
              </w:rPr>
            </w:pPr>
            <w:r w:rsidRPr="00EC75CA">
              <w:rPr>
                <w:rFonts w:cs="Arial"/>
                <w:szCs w:val="24"/>
              </w:rPr>
              <w:t>370 00</w:t>
            </w:r>
          </w:p>
        </w:tc>
        <w:tc>
          <w:tcPr>
            <w:tcW w:w="1350" w:type="dxa"/>
          </w:tcPr>
          <w:p w:rsidR="00EC75CA" w:rsidRPr="00EC75CA" w:rsidRDefault="00EC75CA" w:rsidP="00AD437B">
            <w:pPr>
              <w:rPr>
                <w:rFonts w:cs="Arial"/>
                <w:szCs w:val="24"/>
              </w:rPr>
            </w:pPr>
          </w:p>
        </w:tc>
      </w:tr>
      <w:tr w:rsidR="00EC75CA" w:rsidTr="003F0E5B">
        <w:trPr>
          <w:trHeight w:val="451"/>
        </w:trPr>
        <w:tc>
          <w:tcPr>
            <w:tcW w:w="5400" w:type="dxa"/>
          </w:tcPr>
          <w:p w:rsidR="00EC75CA" w:rsidRDefault="00EC75CA" w:rsidP="00AD437B">
            <w:pPr>
              <w:rPr>
                <w:rFonts w:cs="Arial"/>
                <w:szCs w:val="24"/>
              </w:rPr>
            </w:pPr>
          </w:p>
        </w:tc>
        <w:tc>
          <w:tcPr>
            <w:tcW w:w="1350" w:type="dxa"/>
          </w:tcPr>
          <w:p w:rsidR="00EC75CA" w:rsidRPr="00EC75CA" w:rsidRDefault="00EC75CA" w:rsidP="00EC75CA">
            <w:pPr>
              <w:jc w:val="right"/>
              <w:rPr>
                <w:rFonts w:cs="Arial"/>
                <w:szCs w:val="24"/>
              </w:rPr>
            </w:pPr>
            <w:r>
              <w:rPr>
                <w:rFonts w:cs="Arial"/>
                <w:szCs w:val="24"/>
              </w:rPr>
              <w:t>————</w:t>
            </w:r>
          </w:p>
        </w:tc>
        <w:tc>
          <w:tcPr>
            <w:tcW w:w="1350" w:type="dxa"/>
          </w:tcPr>
          <w:p w:rsidR="00EC75CA" w:rsidRPr="00EC75CA" w:rsidRDefault="00EC75CA" w:rsidP="00EC75CA">
            <w:pPr>
              <w:pStyle w:val="Reasons"/>
              <w:jc w:val="right"/>
            </w:pPr>
            <w:r w:rsidRPr="00EC75CA">
              <w:t>$1,70 00</w:t>
            </w:r>
          </w:p>
        </w:tc>
      </w:tr>
    </w:tbl>
    <w:p w:rsidR="006F0F52" w:rsidRDefault="006F0F52" w:rsidP="00EC75CA">
      <w:pPr>
        <w:pStyle w:val="History"/>
      </w:pPr>
      <w:r>
        <w:t>With this award the claimant was dissatisfied and hence the present appeal.</w:t>
      </w:r>
    </w:p>
    <w:p w:rsidR="006F0F52" w:rsidRDefault="006F0F52" w:rsidP="00EC75CA">
      <w:pPr>
        <w:pStyle w:val="History"/>
        <w:rPr>
          <w:rFonts w:cs="Arial"/>
          <w:szCs w:val="24"/>
        </w:rPr>
      </w:pPr>
      <w:r>
        <w:rPr>
          <w:rFonts w:cs="Arial"/>
          <w:szCs w:val="24"/>
        </w:rPr>
        <w:t>The court below having awarded the claimant the full amount he demanded for lands expropriated, and there being no cross appeal, this part of the award was not attacked.</w:t>
      </w:r>
    </w:p>
    <w:p w:rsidR="006F0F52" w:rsidRDefault="006F0F52" w:rsidP="00EC75CA">
      <w:pPr>
        <w:pStyle w:val="History"/>
        <w:rPr>
          <w:rFonts w:cs="Arial"/>
          <w:szCs w:val="24"/>
        </w:rPr>
      </w:pPr>
      <w:r>
        <w:rPr>
          <w:rFonts w:cs="Arial"/>
          <w:szCs w:val="24"/>
        </w:rPr>
        <w:t>The only question, therefore, that arose on this appeal was in relation to the amount of damages awarded on each of appellant's properties for depreciation of value caused by the construction of the railway.</w:t>
      </w:r>
    </w:p>
    <w:p w:rsidR="006F0F52" w:rsidRDefault="006F0F52" w:rsidP="00EC75CA">
      <w:pPr>
        <w:pStyle w:val="History"/>
        <w:rPr>
          <w:rFonts w:cs="Arial"/>
          <w:szCs w:val="24"/>
        </w:rPr>
      </w:pPr>
      <w:r>
        <w:rPr>
          <w:rFonts w:cs="Arial"/>
          <w:i/>
          <w:iCs/>
          <w:szCs w:val="24"/>
        </w:rPr>
        <w:t>Belleau</w:t>
      </w:r>
      <w:r>
        <w:rPr>
          <w:rFonts w:cs="Arial"/>
          <w:szCs w:val="24"/>
        </w:rPr>
        <w:t xml:space="preserve"> for appellant contended that a subway which was constructed upon lot 1 on the side of a hill was impassable, and that having no crossing nor gate upon lot 2 appellant had not received full compensation for the future as well as for the past in consequence of the want of such a crossing.</w:t>
      </w:r>
    </w:p>
    <w:p w:rsidR="006F0F52" w:rsidRDefault="006F0F52" w:rsidP="00EC75CA">
      <w:pPr>
        <w:pStyle w:val="History"/>
        <w:rPr>
          <w:rFonts w:cs="Arial"/>
          <w:szCs w:val="24"/>
        </w:rPr>
      </w:pPr>
      <w:r>
        <w:rPr>
          <w:rFonts w:cs="Arial"/>
          <w:i/>
          <w:iCs/>
          <w:szCs w:val="24"/>
        </w:rPr>
        <w:t>Angers</w:t>
      </w:r>
      <w:r>
        <w:rPr>
          <w:rFonts w:cs="Arial"/>
          <w:szCs w:val="24"/>
        </w:rPr>
        <w:t xml:space="preserve"> Q.C. for respondent contended that the hill is not steeper on lot 1 than it </w:t>
      </w:r>
      <w:r>
        <w:rPr>
          <w:rFonts w:cs="Arial"/>
          <w:szCs w:val="24"/>
        </w:rPr>
        <w:lastRenderedPageBreak/>
        <w:t>was before and that in</w:t>
      </w:r>
    </w:p>
    <w:p w:rsidR="006F0F52" w:rsidRDefault="004E0300" w:rsidP="004E0300">
      <w:pPr>
        <w:pStyle w:val="Page"/>
      </w:pPr>
      <w:r>
        <w:rPr>
          <w:rFonts w:cs="Arial"/>
          <w:szCs w:val="24"/>
        </w:rPr>
        <w:t xml:space="preserve">[Page </w:t>
      </w:r>
      <w:r w:rsidR="006F0F52">
        <w:rPr>
          <w:rFonts w:cs="Arial"/>
          <w:szCs w:val="24"/>
        </w:rPr>
        <w:t>32]</w:t>
      </w:r>
    </w:p>
    <w:p w:rsidR="006F0F52" w:rsidRDefault="006F0F52" w:rsidP="00EC75CA">
      <w:pPr>
        <w:pStyle w:val="History"/>
        <w:ind w:firstLine="0"/>
        <w:rPr>
          <w:rFonts w:cs="Arial"/>
          <w:szCs w:val="24"/>
        </w:rPr>
      </w:pPr>
      <w:r>
        <w:rPr>
          <w:rFonts w:cs="Arial"/>
          <w:szCs w:val="24"/>
        </w:rPr>
        <w:t>assessing the damages on lot 2 the learned judge had included the cost of the crossing.</w:t>
      </w:r>
    </w:p>
    <w:p w:rsidR="006F0F52" w:rsidRDefault="006F0F52" w:rsidP="00EC75CA">
      <w:pPr>
        <w:pStyle w:val="History"/>
        <w:rPr>
          <w:rFonts w:cs="Arial"/>
          <w:szCs w:val="24"/>
        </w:rPr>
      </w:pPr>
      <w:r>
        <w:rPr>
          <w:rFonts w:cs="Arial"/>
          <w:szCs w:val="24"/>
        </w:rPr>
        <w:t>The judgment of the majority of the court was delivered by</w:t>
      </w:r>
    </w:p>
    <w:p w:rsidR="006F0F52" w:rsidRDefault="00EC75CA" w:rsidP="00EC75CA">
      <w:pPr>
        <w:pStyle w:val="Reasons"/>
      </w:pPr>
      <w:r w:rsidRPr="00EC75CA">
        <w:t>PATTERSON</w:t>
      </w:r>
      <w:r>
        <w:t xml:space="preserve"> </w:t>
      </w:r>
      <w:r w:rsidR="006F0F52">
        <w:t>J.—This appeal raises no question beyond the amount of damages for the depreciation of or inconvenience caused in respect of the claimant's land, by severance and by the effect of the railway upon the natural flow of water upon his land. The amount awarded for the land expropriated is not complained of.</w:t>
      </w:r>
    </w:p>
    <w:p w:rsidR="006F0F52" w:rsidRDefault="006F0F52" w:rsidP="00EC75CA">
      <w:pPr>
        <w:pStyle w:val="Reasons"/>
        <w:rPr>
          <w:rFonts w:cs="Arial"/>
          <w:szCs w:val="24"/>
        </w:rPr>
      </w:pPr>
      <w:r>
        <w:rPr>
          <w:rFonts w:cs="Arial"/>
          <w:szCs w:val="24"/>
        </w:rPr>
        <w:t>It may be that we are as able to appreciate the evidence as was the learned judge in the court below, because the witnesses appear to have been examined before the registrar, but we are in no better position.</w:t>
      </w:r>
    </w:p>
    <w:p w:rsidR="006F0F52" w:rsidRDefault="006F0F52" w:rsidP="00EC75CA">
      <w:pPr>
        <w:pStyle w:val="Reasons"/>
        <w:rPr>
          <w:rFonts w:cs="Arial"/>
          <w:szCs w:val="24"/>
        </w:rPr>
      </w:pPr>
      <w:r>
        <w:rPr>
          <w:rFonts w:cs="Arial"/>
          <w:szCs w:val="24"/>
        </w:rPr>
        <w:t>I do not see any good reason to suppose that my estimate of the value of the opinions of the witnesses, if it differed from that formed by the learned judge, would be more likely to be right than his estimate; on the contrary I must regard the award as that of the tribunal primarily charged with the adjustment of compensation in these cases, and not to be disturbed unless a wrong principle appears to have been acted on, or unless some error as to facts or some oversight is apparent.</w:t>
      </w:r>
    </w:p>
    <w:p w:rsidR="006F0F52" w:rsidRDefault="006F0F52" w:rsidP="00EC75CA">
      <w:pPr>
        <w:pStyle w:val="Reasons"/>
        <w:rPr>
          <w:rFonts w:cs="Arial"/>
          <w:szCs w:val="24"/>
        </w:rPr>
      </w:pPr>
      <w:r>
        <w:rPr>
          <w:rFonts w:cs="Arial"/>
          <w:szCs w:val="24"/>
        </w:rPr>
        <w:t>The learned judge appears to have had before his attention all the considerations affecting the injury, and the only point on which I should criticise his decision is upon the question of farm crossings, particularly with reference to the property in the third range. As to that property, the learned judge remarks that the claimant was entitled to a crossing, and I understand him to attribute the depreciation of that portion of the property chiefly to the want of a crossing and to take that into account in estimating the damages</w:t>
      </w:r>
      <w:r w:rsidR="007A4B73">
        <w:rPr>
          <w:rStyle w:val="FootnoteReference"/>
          <w:rFonts w:cs="Arial"/>
          <w:szCs w:val="24"/>
        </w:rPr>
        <w:footnoteReference w:id="2"/>
      </w:r>
      <w:r>
        <w:rPr>
          <w:rFonts w:cs="Arial"/>
          <w:szCs w:val="24"/>
        </w:rPr>
        <w:t xml:space="preserve">. As explained in what I have said in </w:t>
      </w:r>
      <w:r>
        <w:rPr>
          <w:rFonts w:cs="Arial"/>
          <w:i/>
          <w:iCs/>
          <w:szCs w:val="24"/>
        </w:rPr>
        <w:t>Vézina's Case</w:t>
      </w:r>
      <w:r>
        <w:rPr>
          <w:rFonts w:cs="Arial"/>
          <w:szCs w:val="24"/>
        </w:rPr>
        <w:t>, I do not think the statutes give a right to a crossing over this</w:t>
      </w:r>
    </w:p>
    <w:p w:rsidR="006F0F52" w:rsidRDefault="004E0300" w:rsidP="004E0300">
      <w:pPr>
        <w:pStyle w:val="Page"/>
      </w:pPr>
      <w:r>
        <w:rPr>
          <w:rFonts w:cs="Arial"/>
          <w:szCs w:val="24"/>
        </w:rPr>
        <w:lastRenderedPageBreak/>
        <w:t xml:space="preserve">[Page </w:t>
      </w:r>
      <w:r w:rsidR="006F0F52">
        <w:rPr>
          <w:rFonts w:cs="Arial"/>
          <w:szCs w:val="24"/>
        </w:rPr>
        <w:t>33]</w:t>
      </w:r>
    </w:p>
    <w:p w:rsidR="006F0F52" w:rsidRDefault="006F0F52" w:rsidP="00EC75CA">
      <w:pPr>
        <w:pStyle w:val="Reasons"/>
        <w:rPr>
          <w:rFonts w:cs="Arial"/>
          <w:szCs w:val="24"/>
        </w:rPr>
      </w:pPr>
      <w:r>
        <w:rPr>
          <w:rFonts w:cs="Arial"/>
          <w:szCs w:val="24"/>
        </w:rPr>
        <w:t>railway apart from contract. If the right existed it would be enforceable notwithstanding the award in question, but when no right is given by statute or reserved by contract, full compensation, covering the future as well as the past, should be given.</w:t>
      </w:r>
    </w:p>
    <w:p w:rsidR="006F0F52" w:rsidRDefault="006F0F52" w:rsidP="00EC75CA">
      <w:pPr>
        <w:pStyle w:val="Reasons"/>
        <w:rPr>
          <w:rFonts w:cs="Arial"/>
          <w:szCs w:val="24"/>
        </w:rPr>
      </w:pPr>
      <w:r>
        <w:rPr>
          <w:rFonts w:cs="Arial"/>
          <w:szCs w:val="24"/>
        </w:rPr>
        <w:t>It is not quite clear that the award is intended to give this full compensation, wherefore it will be proper for us to put it beyond question.</w:t>
      </w:r>
    </w:p>
    <w:p w:rsidR="006F0F52" w:rsidRDefault="006F0F52" w:rsidP="00EC75CA">
      <w:pPr>
        <w:pStyle w:val="Reasons"/>
        <w:rPr>
          <w:rFonts w:cs="Arial"/>
          <w:szCs w:val="24"/>
        </w:rPr>
      </w:pPr>
      <w:r>
        <w:rPr>
          <w:rFonts w:cs="Arial"/>
          <w:szCs w:val="24"/>
        </w:rPr>
        <w:t>We therefore add one hundred dollars to the amount, which will still be less than the estimate of the witnesses for the claimant and not much above that of some of the witnesses for the crown.</w:t>
      </w:r>
    </w:p>
    <w:p w:rsidR="006F0F52" w:rsidRDefault="006F0F52" w:rsidP="00EC75CA">
      <w:pPr>
        <w:pStyle w:val="Reasons"/>
        <w:rPr>
          <w:rFonts w:cs="Arial"/>
          <w:szCs w:val="24"/>
        </w:rPr>
      </w:pPr>
      <w:r>
        <w:rPr>
          <w:rFonts w:cs="Arial"/>
          <w:szCs w:val="24"/>
        </w:rPr>
        <w:t>The award is thus increased from $1,070 to $1,170 and the appeal is allowed with costs.</w:t>
      </w:r>
    </w:p>
    <w:p w:rsidR="006F0F52" w:rsidRDefault="00EC75CA" w:rsidP="00EC75CA">
      <w:pPr>
        <w:pStyle w:val="Reasons"/>
        <w:rPr>
          <w:rFonts w:cs="Arial"/>
          <w:szCs w:val="24"/>
        </w:rPr>
      </w:pPr>
      <w:r w:rsidRPr="00EC75CA">
        <w:t>GWYNNE</w:t>
      </w:r>
      <w:r>
        <w:rPr>
          <w:rFonts w:cs="Arial"/>
          <w:szCs w:val="24"/>
        </w:rPr>
        <w:t xml:space="preserve"> </w:t>
      </w:r>
      <w:r w:rsidR="006F0F52">
        <w:rPr>
          <w:rFonts w:cs="Arial"/>
          <w:szCs w:val="24"/>
        </w:rPr>
        <w:t xml:space="preserve">J.—The only point in which any objection could, with propriety, as it appears to me, be made to the award of the learned judge of the Exchequer Court, is with respect to the sum of $250 allowed under the head of depreciation of the property in the 3rd range, if that sum was awarded upon the assumption that the owner was deprived of a right to cross the railway from one of the severed parts of his farm to the other. For the reasons given in </w:t>
      </w:r>
      <w:r w:rsidR="006F0F52">
        <w:rPr>
          <w:rFonts w:cs="Arial"/>
          <w:i/>
          <w:iCs/>
          <w:szCs w:val="24"/>
        </w:rPr>
        <w:t>Vezina</w:t>
      </w:r>
      <w:r w:rsidR="006F0F52">
        <w:rPr>
          <w:rFonts w:cs="Arial"/>
          <w:szCs w:val="24"/>
        </w:rPr>
        <w:t xml:space="preserve"> v. </w:t>
      </w:r>
      <w:r w:rsidR="006F0F52">
        <w:rPr>
          <w:rFonts w:cs="Arial"/>
          <w:i/>
          <w:iCs/>
          <w:szCs w:val="24"/>
        </w:rPr>
        <w:t>The Queen</w:t>
      </w:r>
      <w:r w:rsidR="007A4B73">
        <w:rPr>
          <w:rStyle w:val="FootnoteReference"/>
          <w:rFonts w:cs="Arial"/>
          <w:i/>
          <w:iCs/>
          <w:szCs w:val="24"/>
        </w:rPr>
        <w:footnoteReference w:id="3"/>
      </w:r>
      <w:r w:rsidR="006F0F52">
        <w:rPr>
          <w:rFonts w:cs="Arial"/>
          <w:szCs w:val="24"/>
        </w:rPr>
        <w:t>, I am of opinion that a person whose property is severed by a railway into two or more parts, access between which across the railway is necessary to the full enjoyment of the severed parts, cannot against his will be deprived of his right to have such access by a suitable crossing under or over the railway and cannot be compelled to accept pecuniary recompense in lieu of such a crossing. The statute which authorizes the construction of a railway across a man's property is not, in my judgment, open to the imputation that it justifies any such autocratic interference with the property of a person across whose lands a railway is</w:t>
      </w:r>
    </w:p>
    <w:p w:rsidR="006F0F52" w:rsidRDefault="004E0300" w:rsidP="004E0300">
      <w:pPr>
        <w:pStyle w:val="Page"/>
      </w:pPr>
      <w:r>
        <w:rPr>
          <w:rFonts w:cs="Arial"/>
          <w:szCs w:val="24"/>
        </w:rPr>
        <w:t xml:space="preserve">[Page </w:t>
      </w:r>
      <w:r w:rsidR="006F0F52">
        <w:rPr>
          <w:rFonts w:cs="Arial"/>
          <w:szCs w:val="24"/>
        </w:rPr>
        <w:t>34]</w:t>
      </w:r>
    </w:p>
    <w:p w:rsidR="006F0F52" w:rsidRDefault="006F0F52" w:rsidP="00EC75CA">
      <w:pPr>
        <w:pStyle w:val="Reasons"/>
        <w:rPr>
          <w:rFonts w:cs="Arial"/>
          <w:szCs w:val="24"/>
        </w:rPr>
      </w:pPr>
      <w:r>
        <w:rPr>
          <w:rFonts w:cs="Arial"/>
          <w:szCs w:val="24"/>
        </w:rPr>
        <w:lastRenderedPageBreak/>
        <w:t>authorized to be constructed, whether it be constructed by a company or by the Government. Again, on the other hand, a land owner cannot in my judgment compel a railway to compensate him in money as in lieu of a crossing which can be supplied. In the present case the Government has not appealed or raised any objection to the amount awarded, but lest payment of this amount might hereafter present an obstacle to the owner of the land obtaining a suitable crossing which, it is apparent, can readily be given, and as an act has been passed during the present session of Parliament, which, I think, gives ample power to the Exchequer Court to make an order in the proceedings upon expropriation for the construction of a suitable crossing in cases like the present, I am of opinion that we should remit the case to the Exchequer Court to be dealt with under that act. As to the grounds of appeal taken by the appellant, I cannot see anything which would justify us as an appellate tribunal in pronouncing the judgment of the learned judge of the Court of Exchequer to be erroneous. I think that there should be no costs given on the appeal.</w:t>
      </w:r>
    </w:p>
    <w:p w:rsidR="006F0F52" w:rsidRPr="00EC75CA" w:rsidRDefault="006F0F52" w:rsidP="00EC75CA">
      <w:pPr>
        <w:pStyle w:val="Reasons"/>
      </w:pPr>
      <w:r w:rsidRPr="00EC75CA">
        <w:t>Appeal allowed with costs</w:t>
      </w:r>
    </w:p>
    <w:p w:rsidR="006F0F52" w:rsidRDefault="006F0F52" w:rsidP="00EC75CA">
      <w:pPr>
        <w:pStyle w:val="Sollicitors"/>
      </w:pPr>
      <w:r>
        <w:t>Solicitors for appellant: Belleau, Stafford &amp; Belleau.</w:t>
      </w:r>
    </w:p>
    <w:p w:rsidR="006F0F52" w:rsidRDefault="006F0F52" w:rsidP="00EC75CA">
      <w:pPr>
        <w:pStyle w:val="Sollicitors"/>
      </w:pPr>
      <w:r>
        <w:t xml:space="preserve">Solicitors for respondent: </w:t>
      </w:r>
      <w:r>
        <w:rPr>
          <w:lang w:val="fr-FR"/>
        </w:rPr>
        <w:t>Casg</w:t>
      </w:r>
      <w:r>
        <w:t>rain, Angers &amp; Hamel.</w:t>
      </w:r>
    </w:p>
    <w:sectPr w:rsidR="006F0F52" w:rsidSect="008C0E3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838" w:rsidRDefault="00033838" w:rsidP="008C0E39">
      <w:r>
        <w:separator/>
      </w:r>
    </w:p>
  </w:endnote>
  <w:endnote w:type="continuationSeparator" w:id="1">
    <w:p w:rsidR="00033838" w:rsidRDefault="00033838" w:rsidP="008C0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39" w:rsidRDefault="008C0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39" w:rsidRDefault="008C0E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39" w:rsidRDefault="008C0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838" w:rsidRDefault="00033838" w:rsidP="008C0E39">
      <w:r>
        <w:separator/>
      </w:r>
    </w:p>
  </w:footnote>
  <w:footnote w:type="continuationSeparator" w:id="1">
    <w:p w:rsidR="00033838" w:rsidRDefault="00033838" w:rsidP="008C0E39">
      <w:r>
        <w:continuationSeparator/>
      </w:r>
    </w:p>
  </w:footnote>
  <w:footnote w:id="2">
    <w:p w:rsidR="007A4B73" w:rsidRPr="007A4B73" w:rsidRDefault="007A4B73">
      <w:pPr>
        <w:pStyle w:val="FootnoteText"/>
        <w:rPr>
          <w:lang w:val="en-US"/>
        </w:rPr>
      </w:pPr>
      <w:r>
        <w:rPr>
          <w:rStyle w:val="FootnoteReference"/>
        </w:rPr>
        <w:footnoteRef/>
      </w:r>
      <w:r>
        <w:t xml:space="preserve"> </w:t>
      </w:r>
      <w:r>
        <w:rPr>
          <w:rFonts w:cs="Arial"/>
          <w:szCs w:val="24"/>
        </w:rPr>
        <w:t xml:space="preserve">See p. 21 </w:t>
      </w:r>
      <w:r>
        <w:rPr>
          <w:rFonts w:cs="Arial"/>
          <w:szCs w:val="24"/>
          <w:lang w:val="fr-FR"/>
        </w:rPr>
        <w:t xml:space="preserve">et </w:t>
      </w:r>
      <w:r>
        <w:rPr>
          <w:rFonts w:cs="Arial"/>
          <w:szCs w:val="24"/>
        </w:rPr>
        <w:t>seq.</w:t>
      </w:r>
    </w:p>
  </w:footnote>
  <w:footnote w:id="3">
    <w:p w:rsidR="007A4B73" w:rsidRPr="007A4B73" w:rsidRDefault="007A4B73">
      <w:pPr>
        <w:pStyle w:val="FootnoteText"/>
        <w:rPr>
          <w:lang w:val="en-US"/>
        </w:rPr>
      </w:pPr>
      <w:r>
        <w:rPr>
          <w:rStyle w:val="FootnoteReference"/>
        </w:rPr>
        <w:footnoteRef/>
      </w:r>
      <w:r>
        <w:t xml:space="preserve"> </w:t>
      </w:r>
      <w:r>
        <w:rPr>
          <w:rFonts w:cs="Arial"/>
          <w:szCs w:val="24"/>
        </w:rPr>
        <w:t>17 Can. S. C. 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39" w:rsidRDefault="008C0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39" w:rsidRDefault="008C0E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39" w:rsidRDefault="008C0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4D64052">
      <w:start w:val="1"/>
      <w:numFmt w:val="decimal"/>
      <w:pStyle w:val="ParagNum"/>
      <w:lvlText w:val="[%1]"/>
      <w:lvlJc w:val="left"/>
      <w:pPr>
        <w:tabs>
          <w:tab w:val="num" w:pos="369"/>
        </w:tabs>
        <w:ind w:left="369" w:hanging="369"/>
      </w:pPr>
    </w:lvl>
    <w:lvl w:ilvl="1" w:tplc="F40C2CE6" w:tentative="1">
      <w:start w:val="1"/>
      <w:numFmt w:val="lowerLetter"/>
      <w:lvlText w:val="%2."/>
      <w:lvlJc w:val="left"/>
      <w:pPr>
        <w:tabs>
          <w:tab w:val="num" w:pos="1440"/>
        </w:tabs>
        <w:ind w:left="1440" w:hanging="360"/>
      </w:pPr>
    </w:lvl>
    <w:lvl w:ilvl="2" w:tplc="EA627600" w:tentative="1">
      <w:start w:val="1"/>
      <w:numFmt w:val="lowerRoman"/>
      <w:lvlText w:val="%3."/>
      <w:lvlJc w:val="right"/>
      <w:pPr>
        <w:tabs>
          <w:tab w:val="num" w:pos="2160"/>
        </w:tabs>
        <w:ind w:left="2160" w:hanging="180"/>
      </w:pPr>
    </w:lvl>
    <w:lvl w:ilvl="3" w:tplc="63EE0A80" w:tentative="1">
      <w:start w:val="1"/>
      <w:numFmt w:val="decimal"/>
      <w:lvlText w:val="%4."/>
      <w:lvlJc w:val="left"/>
      <w:pPr>
        <w:tabs>
          <w:tab w:val="num" w:pos="2880"/>
        </w:tabs>
        <w:ind w:left="2880" w:hanging="360"/>
      </w:pPr>
    </w:lvl>
    <w:lvl w:ilvl="4" w:tplc="198A11F6" w:tentative="1">
      <w:start w:val="1"/>
      <w:numFmt w:val="lowerLetter"/>
      <w:lvlText w:val="%5."/>
      <w:lvlJc w:val="left"/>
      <w:pPr>
        <w:tabs>
          <w:tab w:val="num" w:pos="3600"/>
        </w:tabs>
        <w:ind w:left="3600" w:hanging="360"/>
      </w:pPr>
    </w:lvl>
    <w:lvl w:ilvl="5" w:tplc="8CB6CB18" w:tentative="1">
      <w:start w:val="1"/>
      <w:numFmt w:val="lowerRoman"/>
      <w:lvlText w:val="%6."/>
      <w:lvlJc w:val="right"/>
      <w:pPr>
        <w:tabs>
          <w:tab w:val="num" w:pos="4320"/>
        </w:tabs>
        <w:ind w:left="4320" w:hanging="180"/>
      </w:pPr>
    </w:lvl>
    <w:lvl w:ilvl="6" w:tplc="03FE60C8" w:tentative="1">
      <w:start w:val="1"/>
      <w:numFmt w:val="decimal"/>
      <w:lvlText w:val="%7."/>
      <w:lvlJc w:val="left"/>
      <w:pPr>
        <w:tabs>
          <w:tab w:val="num" w:pos="5040"/>
        </w:tabs>
        <w:ind w:left="5040" w:hanging="360"/>
      </w:pPr>
    </w:lvl>
    <w:lvl w:ilvl="7" w:tplc="2BFEFC18" w:tentative="1">
      <w:start w:val="1"/>
      <w:numFmt w:val="lowerLetter"/>
      <w:lvlText w:val="%8."/>
      <w:lvlJc w:val="left"/>
      <w:pPr>
        <w:tabs>
          <w:tab w:val="num" w:pos="5760"/>
        </w:tabs>
        <w:ind w:left="5760" w:hanging="360"/>
      </w:pPr>
    </w:lvl>
    <w:lvl w:ilvl="8" w:tplc="CF34849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0F52"/>
    <w:rsid w:val="00013FDA"/>
    <w:rsid w:val="000173FB"/>
    <w:rsid w:val="00033838"/>
    <w:rsid w:val="000655EC"/>
    <w:rsid w:val="00077D2F"/>
    <w:rsid w:val="0008547A"/>
    <w:rsid w:val="000B6688"/>
    <w:rsid w:val="000C3415"/>
    <w:rsid w:val="000E318D"/>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A5AE0"/>
    <w:rsid w:val="003E5AF5"/>
    <w:rsid w:val="003F602F"/>
    <w:rsid w:val="00417E01"/>
    <w:rsid w:val="004277EE"/>
    <w:rsid w:val="0043543D"/>
    <w:rsid w:val="00442713"/>
    <w:rsid w:val="00457BC5"/>
    <w:rsid w:val="00463F5F"/>
    <w:rsid w:val="00482CDC"/>
    <w:rsid w:val="004C7ED4"/>
    <w:rsid w:val="004E0300"/>
    <w:rsid w:val="00511D93"/>
    <w:rsid w:val="00514003"/>
    <w:rsid w:val="00537980"/>
    <w:rsid w:val="00563767"/>
    <w:rsid w:val="005667DA"/>
    <w:rsid w:val="00593C8B"/>
    <w:rsid w:val="00644967"/>
    <w:rsid w:val="006D2BED"/>
    <w:rsid w:val="006D6F42"/>
    <w:rsid w:val="006E5FEA"/>
    <w:rsid w:val="006E6496"/>
    <w:rsid w:val="006F0F52"/>
    <w:rsid w:val="00747F2C"/>
    <w:rsid w:val="00751F7D"/>
    <w:rsid w:val="007969C4"/>
    <w:rsid w:val="007A4B73"/>
    <w:rsid w:val="007B0955"/>
    <w:rsid w:val="007B3A90"/>
    <w:rsid w:val="007D6DD5"/>
    <w:rsid w:val="008027F3"/>
    <w:rsid w:val="008344CE"/>
    <w:rsid w:val="008433A9"/>
    <w:rsid w:val="008550EF"/>
    <w:rsid w:val="00872F75"/>
    <w:rsid w:val="00880FBB"/>
    <w:rsid w:val="00884189"/>
    <w:rsid w:val="008B0B7A"/>
    <w:rsid w:val="008C0E39"/>
    <w:rsid w:val="00926406"/>
    <w:rsid w:val="009A7B1B"/>
    <w:rsid w:val="009D37B6"/>
    <w:rsid w:val="009D55B8"/>
    <w:rsid w:val="009E64DC"/>
    <w:rsid w:val="00A27A43"/>
    <w:rsid w:val="00A42830"/>
    <w:rsid w:val="00A4371F"/>
    <w:rsid w:val="00A54E5B"/>
    <w:rsid w:val="00A600CD"/>
    <w:rsid w:val="00A61128"/>
    <w:rsid w:val="00A94C52"/>
    <w:rsid w:val="00AB09B8"/>
    <w:rsid w:val="00AC7A78"/>
    <w:rsid w:val="00B007EC"/>
    <w:rsid w:val="00B177F7"/>
    <w:rsid w:val="00B41B49"/>
    <w:rsid w:val="00B44E7F"/>
    <w:rsid w:val="00B532F0"/>
    <w:rsid w:val="00B639A4"/>
    <w:rsid w:val="00B772A6"/>
    <w:rsid w:val="00BC4595"/>
    <w:rsid w:val="00C035C7"/>
    <w:rsid w:val="00C372DF"/>
    <w:rsid w:val="00C45FBD"/>
    <w:rsid w:val="00C54EB9"/>
    <w:rsid w:val="00C7016B"/>
    <w:rsid w:val="00C7057C"/>
    <w:rsid w:val="00C93FA5"/>
    <w:rsid w:val="00CB726B"/>
    <w:rsid w:val="00CC50DD"/>
    <w:rsid w:val="00CD1289"/>
    <w:rsid w:val="00CD1F09"/>
    <w:rsid w:val="00CD50FC"/>
    <w:rsid w:val="00CE2A11"/>
    <w:rsid w:val="00CF1E48"/>
    <w:rsid w:val="00D00550"/>
    <w:rsid w:val="00D260F9"/>
    <w:rsid w:val="00D306D2"/>
    <w:rsid w:val="00D45866"/>
    <w:rsid w:val="00D9036C"/>
    <w:rsid w:val="00DC4119"/>
    <w:rsid w:val="00DE30DC"/>
    <w:rsid w:val="00E06B30"/>
    <w:rsid w:val="00E1124B"/>
    <w:rsid w:val="00E114A9"/>
    <w:rsid w:val="00E117BD"/>
    <w:rsid w:val="00E30F5A"/>
    <w:rsid w:val="00E40016"/>
    <w:rsid w:val="00E407E4"/>
    <w:rsid w:val="00E43349"/>
    <w:rsid w:val="00E51D18"/>
    <w:rsid w:val="00E86DF4"/>
    <w:rsid w:val="00EB3437"/>
    <w:rsid w:val="00EC75CA"/>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A7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C7A7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C7A7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C7A78"/>
  </w:style>
  <w:style w:type="paragraph" w:styleId="Header">
    <w:name w:val="header"/>
    <w:basedOn w:val="Normal"/>
    <w:link w:val="HeaderChar"/>
    <w:uiPriority w:val="99"/>
    <w:unhideWhenUsed/>
    <w:rsid w:val="00AC7A78"/>
    <w:pPr>
      <w:tabs>
        <w:tab w:val="center" w:pos="4680"/>
        <w:tab w:val="right" w:pos="9360"/>
      </w:tabs>
    </w:pPr>
    <w:rPr>
      <w:rFonts w:ascii="Times New Roman" w:hAnsi="Times New Roman"/>
    </w:rPr>
  </w:style>
  <w:style w:type="character" w:customStyle="1" w:styleId="HeaderChar">
    <w:name w:val="Header Char"/>
    <w:link w:val="Header"/>
    <w:uiPriority w:val="99"/>
    <w:rsid w:val="00AC7A7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C7A78"/>
    <w:pPr>
      <w:tabs>
        <w:tab w:val="center" w:pos="4680"/>
        <w:tab w:val="right" w:pos="9360"/>
      </w:tabs>
    </w:pPr>
    <w:rPr>
      <w:rFonts w:ascii="Times New Roman" w:hAnsi="Times New Roman"/>
    </w:rPr>
  </w:style>
  <w:style w:type="character" w:customStyle="1" w:styleId="FooterChar">
    <w:name w:val="Footer Char"/>
    <w:link w:val="Footer"/>
    <w:uiPriority w:val="99"/>
    <w:rsid w:val="00AC7A7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44E7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C7A78"/>
    <w:pPr>
      <w:spacing w:before="100" w:beforeAutospacing="1"/>
      <w:ind w:left="567"/>
      <w:jc w:val="both"/>
    </w:pPr>
  </w:style>
  <w:style w:type="paragraph" w:customStyle="1" w:styleId="Metadata">
    <w:name w:val="Metadata"/>
    <w:basedOn w:val="Normal"/>
    <w:rsid w:val="00AC7A78"/>
    <w:pPr>
      <w:spacing w:before="100" w:beforeAutospacing="1" w:after="100" w:afterAutospacing="1"/>
    </w:pPr>
    <w:rPr>
      <w:rFonts w:cs="Arial"/>
      <w:szCs w:val="24"/>
    </w:rPr>
  </w:style>
  <w:style w:type="paragraph" w:customStyle="1" w:styleId="Page">
    <w:name w:val="Page"/>
    <w:basedOn w:val="Normal"/>
    <w:link w:val="PageChar"/>
    <w:rsid w:val="00AC7A78"/>
    <w:pPr>
      <w:spacing w:before="100" w:beforeAutospacing="1" w:after="100" w:afterAutospacing="1"/>
    </w:pPr>
    <w:rPr>
      <w:i/>
    </w:rPr>
  </w:style>
  <w:style w:type="paragraph" w:styleId="FootnoteText">
    <w:name w:val="footnote text"/>
    <w:basedOn w:val="Normal"/>
    <w:link w:val="FootnoteTextChar"/>
    <w:autoRedefine/>
    <w:semiHidden/>
    <w:rsid w:val="00AC7A78"/>
    <w:rPr>
      <w:sz w:val="16"/>
      <w:szCs w:val="20"/>
    </w:rPr>
  </w:style>
  <w:style w:type="character" w:customStyle="1" w:styleId="FootnoteTextChar">
    <w:name w:val="Footnote Text Char"/>
    <w:link w:val="FootnoteText"/>
    <w:semiHidden/>
    <w:rsid w:val="00AC7A78"/>
    <w:rPr>
      <w:rFonts w:ascii="Arial" w:eastAsia="MS Mincho" w:hAnsi="Arial" w:cs="Times New Roman"/>
      <w:sz w:val="16"/>
      <w:szCs w:val="20"/>
      <w:lang w:val="en-CA" w:eastAsia="ja-JP"/>
    </w:rPr>
  </w:style>
  <w:style w:type="character" w:styleId="FootnoteReference">
    <w:name w:val="footnote reference"/>
    <w:semiHidden/>
    <w:rsid w:val="00AC7A78"/>
    <w:rPr>
      <w:vertAlign w:val="superscript"/>
    </w:rPr>
  </w:style>
  <w:style w:type="paragraph" w:customStyle="1" w:styleId="ParagNum">
    <w:name w:val="ParagNum"/>
    <w:basedOn w:val="Normal"/>
    <w:rsid w:val="00AC7A7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C7A78"/>
    <w:pPr>
      <w:spacing w:before="100" w:beforeAutospacing="1" w:after="100" w:afterAutospacing="1" w:line="360" w:lineRule="auto"/>
    </w:pPr>
  </w:style>
  <w:style w:type="paragraph" w:customStyle="1" w:styleId="Indent2">
    <w:name w:val="Indent 2"/>
    <w:basedOn w:val="Indent1"/>
    <w:rsid w:val="00AC7A78"/>
    <w:pPr>
      <w:ind w:left="1134"/>
    </w:pPr>
  </w:style>
  <w:style w:type="paragraph" w:customStyle="1" w:styleId="Indent3">
    <w:name w:val="Indent 3"/>
    <w:basedOn w:val="Indent1"/>
    <w:rsid w:val="00AC7A78"/>
    <w:pPr>
      <w:ind w:left="1701"/>
    </w:pPr>
  </w:style>
  <w:style w:type="paragraph" w:customStyle="1" w:styleId="Indent4">
    <w:name w:val="Indent 4"/>
    <w:basedOn w:val="Indent1"/>
    <w:rsid w:val="00AC7A78"/>
    <w:pPr>
      <w:ind w:left="2268"/>
    </w:pPr>
  </w:style>
  <w:style w:type="paragraph" w:customStyle="1" w:styleId="Indent10">
    <w:name w:val="Indent1"/>
    <w:basedOn w:val="Reasons"/>
    <w:rsid w:val="00AC7A78"/>
    <w:pPr>
      <w:ind w:left="567"/>
    </w:pPr>
  </w:style>
  <w:style w:type="paragraph" w:customStyle="1" w:styleId="Indent20">
    <w:name w:val="Indent2"/>
    <w:basedOn w:val="Indent10"/>
    <w:rsid w:val="00AC7A78"/>
    <w:pPr>
      <w:ind w:left="1134"/>
    </w:pPr>
  </w:style>
  <w:style w:type="paragraph" w:customStyle="1" w:styleId="Indent30">
    <w:name w:val="Indent3"/>
    <w:basedOn w:val="Indent10"/>
    <w:rsid w:val="00AC7A78"/>
    <w:pPr>
      <w:ind w:left="1701"/>
    </w:pPr>
  </w:style>
  <w:style w:type="paragraph" w:customStyle="1" w:styleId="Indent40">
    <w:name w:val="Indent4"/>
    <w:basedOn w:val="Indent10"/>
    <w:rsid w:val="00AC7A78"/>
    <w:pPr>
      <w:ind w:left="2268"/>
    </w:pPr>
  </w:style>
  <w:style w:type="paragraph" w:customStyle="1" w:styleId="Keywords">
    <w:name w:val="Keywords"/>
    <w:basedOn w:val="Normal"/>
    <w:rsid w:val="00AC7A78"/>
    <w:pPr>
      <w:spacing w:before="100" w:beforeAutospacing="1" w:after="100" w:afterAutospacing="1"/>
    </w:pPr>
    <w:rPr>
      <w:rFonts w:cs="Arial"/>
      <w:i/>
      <w:szCs w:val="24"/>
    </w:rPr>
  </w:style>
  <w:style w:type="paragraph" w:customStyle="1" w:styleId="Summary">
    <w:name w:val="Summary"/>
    <w:basedOn w:val="Normal"/>
    <w:autoRedefine/>
    <w:rsid w:val="00AC7A78"/>
    <w:pPr>
      <w:spacing w:before="100" w:beforeAutospacing="1" w:after="100" w:afterAutospacing="1"/>
      <w:ind w:left="562" w:hanging="562"/>
    </w:pPr>
    <w:rPr>
      <w:rFonts w:cs="Arial"/>
    </w:rPr>
  </w:style>
  <w:style w:type="paragraph" w:customStyle="1" w:styleId="History">
    <w:name w:val="History"/>
    <w:basedOn w:val="Normal"/>
    <w:rsid w:val="00AC7A78"/>
    <w:pPr>
      <w:spacing w:before="100" w:beforeAutospacing="1" w:after="100" w:afterAutospacing="1"/>
      <w:ind w:firstLine="567"/>
    </w:pPr>
  </w:style>
  <w:style w:type="paragraph" w:customStyle="1" w:styleId="T1">
    <w:name w:val="T1"/>
    <w:basedOn w:val="Normal"/>
    <w:rsid w:val="00AC7A78"/>
    <w:pPr>
      <w:spacing w:before="240" w:after="100" w:afterAutospacing="1"/>
    </w:pPr>
    <w:rPr>
      <w:b/>
    </w:rPr>
  </w:style>
  <w:style w:type="paragraph" w:customStyle="1" w:styleId="T2">
    <w:name w:val="T2"/>
    <w:basedOn w:val="Normal"/>
    <w:rsid w:val="00AC7A78"/>
    <w:pPr>
      <w:spacing w:before="240" w:after="100" w:afterAutospacing="1"/>
    </w:pPr>
  </w:style>
  <w:style w:type="paragraph" w:customStyle="1" w:styleId="Sollicitors">
    <w:name w:val="Sollicitors"/>
    <w:basedOn w:val="Normal"/>
    <w:rsid w:val="00AC7A78"/>
    <w:pPr>
      <w:spacing w:before="100" w:beforeAutospacing="1" w:after="100" w:afterAutospacing="1"/>
    </w:pPr>
    <w:rPr>
      <w:i/>
    </w:rPr>
  </w:style>
  <w:style w:type="paragraph" w:customStyle="1" w:styleId="Court">
    <w:name w:val="Court"/>
    <w:basedOn w:val="Normal"/>
    <w:rsid w:val="00AC7A78"/>
    <w:rPr>
      <w:rFonts w:cs="Arial"/>
      <w:b/>
      <w:szCs w:val="24"/>
    </w:rPr>
  </w:style>
  <w:style w:type="character" w:customStyle="1" w:styleId="PageChar">
    <w:name w:val="Page Char"/>
    <w:link w:val="Page"/>
    <w:rsid w:val="00AC7A78"/>
    <w:rPr>
      <w:rFonts w:ascii="Arial" w:eastAsia="MS Mincho" w:hAnsi="Arial" w:cs="Times New Roman"/>
      <w:i/>
      <w:sz w:val="24"/>
      <w:szCs w:val="28"/>
      <w:lang w:val="en-CA" w:eastAsia="ja-JP"/>
    </w:rPr>
  </w:style>
  <w:style w:type="character" w:customStyle="1" w:styleId="ReasonsCar">
    <w:name w:val="Reasons Car"/>
    <w:link w:val="Reasons"/>
    <w:rsid w:val="00AC7A78"/>
    <w:rPr>
      <w:rFonts w:ascii="Arial" w:eastAsia="MS Mincho" w:hAnsi="Arial" w:cs="Times New Roman"/>
      <w:sz w:val="24"/>
      <w:szCs w:val="28"/>
      <w:lang w:val="en-CA" w:eastAsia="ja-JP"/>
    </w:rPr>
  </w:style>
  <w:style w:type="paragraph" w:customStyle="1" w:styleId="CitationLine">
    <w:name w:val="CitationLine"/>
    <w:basedOn w:val="Court"/>
    <w:rsid w:val="00AC7A78"/>
  </w:style>
  <w:style w:type="paragraph" w:customStyle="1" w:styleId="DateISO">
    <w:name w:val="DateISO"/>
    <w:basedOn w:val="Court"/>
    <w:rsid w:val="00AC7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48</TotalTime>
  <Pages>5</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2015-03-19T06:03:00Z</dcterms:created>
  <dcterms:modified xsi:type="dcterms:W3CDTF">2015-03-23T13:05:00Z</dcterms:modified>
</cp:coreProperties>
</file>