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A3" w:rsidRDefault="009115A3" w:rsidP="009115A3">
      <w:pPr>
        <w:pStyle w:val="Court"/>
      </w:pPr>
      <w:r>
        <w:t>Supreme Court of Canada</w:t>
      </w:r>
    </w:p>
    <w:p w:rsidR="009115A3" w:rsidRDefault="009115A3" w:rsidP="009115A3">
      <w:pPr>
        <w:pStyle w:val="CitationLine"/>
      </w:pPr>
      <w:r w:rsidRPr="009115A3">
        <w:t xml:space="preserve">Power </w:t>
      </w:r>
      <w:r w:rsidRPr="009115A3">
        <w:rPr>
          <w:i/>
          <w:iCs/>
        </w:rPr>
        <w:t>v.</w:t>
      </w:r>
      <w:r w:rsidRPr="009115A3">
        <w:t xml:space="preserve"> Meagher</w:t>
      </w:r>
      <w:r>
        <w:t xml:space="preserve"> (1890) 17 SCR 287</w:t>
      </w:r>
    </w:p>
    <w:p w:rsidR="009115A3" w:rsidRDefault="009115A3" w:rsidP="009115A3">
      <w:pPr>
        <w:pStyle w:val="DateISO"/>
      </w:pPr>
      <w:r>
        <w:t>Date: 1890-06-13</w:t>
      </w:r>
    </w:p>
    <w:p w:rsidR="00565134" w:rsidRPr="009115A3" w:rsidRDefault="009115A3" w:rsidP="009115A3">
      <w:pPr>
        <w:pStyle w:val="Metadata"/>
      </w:pPr>
      <w:r w:rsidRPr="009115A3">
        <w:t>Lawrence G. Power</w:t>
      </w:r>
      <w:r w:rsidR="00565134" w:rsidRPr="009115A3">
        <w:t xml:space="preserve"> (Plaintiff)</w:t>
      </w:r>
    </w:p>
    <w:p w:rsidR="00565134" w:rsidRPr="009115A3" w:rsidRDefault="00565134" w:rsidP="009115A3">
      <w:pPr>
        <w:pStyle w:val="Metadata"/>
      </w:pPr>
      <w:r w:rsidRPr="009115A3">
        <w:t>Appellant</w:t>
      </w:r>
    </w:p>
    <w:p w:rsidR="00565134" w:rsidRPr="009115A3" w:rsidRDefault="009115A3" w:rsidP="009115A3">
      <w:pPr>
        <w:pStyle w:val="Metadata"/>
      </w:pPr>
      <w:r w:rsidRPr="009115A3">
        <w:t>And</w:t>
      </w:r>
    </w:p>
    <w:p w:rsidR="00565134" w:rsidRPr="009115A3" w:rsidRDefault="009115A3" w:rsidP="009115A3">
      <w:pPr>
        <w:pStyle w:val="Metadata"/>
      </w:pPr>
      <w:r w:rsidRPr="009115A3">
        <w:t>Nicholas H. Meagher</w:t>
      </w:r>
      <w:r w:rsidR="00565134" w:rsidRPr="009115A3">
        <w:t xml:space="preserve"> (Defendant)</w:t>
      </w:r>
    </w:p>
    <w:p w:rsidR="00565134" w:rsidRPr="009115A3" w:rsidRDefault="00565134" w:rsidP="009115A3">
      <w:pPr>
        <w:pStyle w:val="Metadata"/>
        <w:rPr>
          <w:lang w:val="fr-FR"/>
        </w:rPr>
      </w:pPr>
      <w:r w:rsidRPr="009115A3">
        <w:rPr>
          <w:lang w:val="fr-FR"/>
        </w:rPr>
        <w:t>Respondent</w:t>
      </w:r>
    </w:p>
    <w:p w:rsidR="009115A3" w:rsidRDefault="009115A3" w:rsidP="009115A3">
      <w:pPr>
        <w:pStyle w:val="Metadata"/>
      </w:pPr>
      <w:r>
        <w:t>1890: Feby. 22; June 13.</w:t>
      </w:r>
    </w:p>
    <w:p w:rsidR="009115A3" w:rsidRDefault="009115A3" w:rsidP="009115A3">
      <w:pPr>
        <w:pStyle w:val="Metadata"/>
      </w:pPr>
      <w:r w:rsidRPr="009115A3">
        <w:t>Present</w:t>
      </w:r>
      <w:r>
        <w:t>.—Sir W. J. Ritchie C.J. and Fournier, Taschereau, Gwynne and Patterson JJ.</w:t>
      </w:r>
    </w:p>
    <w:p w:rsidR="00565134" w:rsidRDefault="00565134" w:rsidP="009115A3">
      <w:pPr>
        <w:pStyle w:val="Metadata"/>
      </w:pPr>
      <w:r>
        <w:t>ON APPEAL FROM THE SUPREME COURT OF NOVA SCOTIA.</w:t>
      </w:r>
    </w:p>
    <w:p w:rsidR="00565134" w:rsidRDefault="00565134" w:rsidP="009115A3">
      <w:pPr>
        <w:pStyle w:val="Keywords"/>
      </w:pPr>
      <w:r>
        <w:t>Trustees—Commission to—Rule of law.</w:t>
      </w:r>
    </w:p>
    <w:p w:rsidR="00565134" w:rsidRDefault="00565134" w:rsidP="009115A3">
      <w:pPr>
        <w:pStyle w:val="Summary"/>
      </w:pPr>
      <w:r>
        <w:t>In the Province of Nova Scotia prior to the passing of 51 V. c. 11 s. 69 the rule of English law relating to commission to trustees was in force, and no such commission could be allowed unless provided by the trust.</w:t>
      </w:r>
    </w:p>
    <w:p w:rsidR="00565134" w:rsidRDefault="00565134" w:rsidP="009115A3">
      <w:pPr>
        <w:pStyle w:val="History"/>
      </w:pPr>
      <w:r w:rsidRPr="009115A3">
        <w:t>Appeal</w:t>
      </w:r>
      <w:r>
        <w:t xml:space="preserve"> from a decision of the Supreme Court of Nova Scotia</w:t>
      </w:r>
      <w:r w:rsidR="00C2528D">
        <w:rPr>
          <w:rStyle w:val="FootnoteReference"/>
        </w:rPr>
        <w:footnoteReference w:id="2"/>
      </w:r>
      <w:r>
        <w:t xml:space="preserve"> affirming the judgment at the trial in favor of the defendant.</w:t>
      </w:r>
    </w:p>
    <w:p w:rsidR="00565134" w:rsidRDefault="00565134" w:rsidP="009115A3">
      <w:pPr>
        <w:pStyle w:val="History"/>
        <w:rPr>
          <w:rFonts w:cs="Arial"/>
          <w:szCs w:val="24"/>
        </w:rPr>
      </w:pPr>
      <w:r>
        <w:rPr>
          <w:rFonts w:cs="Arial"/>
          <w:szCs w:val="24"/>
        </w:rPr>
        <w:t>The only question raised in this case is: Has a trustee under a will in the Province of Nova Scotia a right</w:t>
      </w:r>
    </w:p>
    <w:p w:rsidR="00565134" w:rsidRDefault="00774CAE" w:rsidP="00774CAE">
      <w:pPr>
        <w:pStyle w:val="Page"/>
      </w:pPr>
      <w:r>
        <w:rPr>
          <w:rFonts w:cs="Arial"/>
          <w:szCs w:val="24"/>
        </w:rPr>
        <w:t xml:space="preserve">[Page </w:t>
      </w:r>
      <w:r w:rsidR="00565134">
        <w:rPr>
          <w:rFonts w:cs="Arial"/>
          <w:szCs w:val="24"/>
        </w:rPr>
        <w:t>288]</w:t>
      </w:r>
    </w:p>
    <w:p w:rsidR="00565134" w:rsidRDefault="00565134" w:rsidP="00735E63">
      <w:pPr>
        <w:pStyle w:val="History"/>
        <w:ind w:firstLine="0"/>
        <w:rPr>
          <w:rFonts w:cs="Arial"/>
          <w:szCs w:val="24"/>
        </w:rPr>
      </w:pPr>
      <w:r>
        <w:rPr>
          <w:rFonts w:cs="Arial"/>
          <w:szCs w:val="24"/>
        </w:rPr>
        <w:t>to a commission on the funds of the estate for his services when no provision is made therefor in the will?</w:t>
      </w:r>
    </w:p>
    <w:p w:rsidR="00565134" w:rsidRDefault="00565134" w:rsidP="00735E63">
      <w:pPr>
        <w:pStyle w:val="History"/>
        <w:rPr>
          <w:rFonts w:cs="Arial"/>
          <w:szCs w:val="24"/>
        </w:rPr>
      </w:pPr>
      <w:r>
        <w:rPr>
          <w:rFonts w:cs="Arial"/>
          <w:szCs w:val="24"/>
        </w:rPr>
        <w:t>The court below, affirming the decision of the trial judge, held that the English practice refusing such commission is not in force in Nova Scotia, and gave judgment for the defendant who claimed a commission as such a trustee. The plaintiff, an executor and legatee under the will, appealed from that decision to the Supreme Court of Canada.</w:t>
      </w:r>
    </w:p>
    <w:p w:rsidR="00565134" w:rsidRDefault="00565134" w:rsidP="00735E63">
      <w:pPr>
        <w:pStyle w:val="History"/>
        <w:rPr>
          <w:rFonts w:cs="Arial"/>
          <w:szCs w:val="24"/>
        </w:rPr>
      </w:pPr>
      <w:r>
        <w:rPr>
          <w:rFonts w:cs="Arial"/>
          <w:szCs w:val="24"/>
        </w:rPr>
        <w:t xml:space="preserve">The appellant in person. The rule in England refusing such a commission as is </w:t>
      </w:r>
      <w:r>
        <w:rPr>
          <w:rFonts w:cs="Arial"/>
          <w:szCs w:val="24"/>
        </w:rPr>
        <w:lastRenderedPageBreak/>
        <w:t xml:space="preserve">claimed in this case is well established; </w:t>
      </w:r>
      <w:r>
        <w:rPr>
          <w:rFonts w:cs="Arial"/>
          <w:i/>
          <w:iCs/>
          <w:szCs w:val="24"/>
        </w:rPr>
        <w:t>Robinson</w:t>
      </w:r>
      <w:r>
        <w:rPr>
          <w:rFonts w:cs="Arial"/>
          <w:szCs w:val="24"/>
        </w:rPr>
        <w:t xml:space="preserve"> v. </w:t>
      </w:r>
      <w:r>
        <w:rPr>
          <w:rFonts w:cs="Arial"/>
          <w:i/>
          <w:iCs/>
          <w:szCs w:val="24"/>
        </w:rPr>
        <w:t>Pett</w:t>
      </w:r>
      <w:r w:rsidR="00C2528D">
        <w:rPr>
          <w:rStyle w:val="FootnoteReference"/>
          <w:rFonts w:cs="Arial"/>
          <w:i/>
          <w:iCs/>
          <w:szCs w:val="24"/>
        </w:rPr>
        <w:footnoteReference w:id="3"/>
      </w:r>
      <w:r>
        <w:rPr>
          <w:rFonts w:cs="Arial"/>
          <w:szCs w:val="24"/>
        </w:rPr>
        <w:t>; Williams on Executors</w:t>
      </w:r>
      <w:r w:rsidR="00C2528D">
        <w:rPr>
          <w:rStyle w:val="FootnoteReference"/>
          <w:rFonts w:cs="Arial"/>
          <w:szCs w:val="24"/>
        </w:rPr>
        <w:footnoteReference w:id="4"/>
      </w:r>
      <w:r>
        <w:rPr>
          <w:rFonts w:cs="Arial"/>
          <w:szCs w:val="24"/>
        </w:rPr>
        <w:t>; Lewin on Trusts</w:t>
      </w:r>
      <w:r w:rsidR="00C2528D">
        <w:rPr>
          <w:rStyle w:val="FootnoteReference"/>
          <w:rFonts w:cs="Arial"/>
          <w:szCs w:val="24"/>
        </w:rPr>
        <w:footnoteReference w:id="5"/>
      </w:r>
      <w:r>
        <w:rPr>
          <w:rFonts w:cs="Arial"/>
          <w:szCs w:val="24"/>
        </w:rPr>
        <w:t xml:space="preserve">; </w:t>
      </w:r>
      <w:r>
        <w:rPr>
          <w:rFonts w:cs="Arial"/>
          <w:i/>
          <w:iCs/>
          <w:szCs w:val="24"/>
        </w:rPr>
        <w:t>Barrett</w:t>
      </w:r>
      <w:r>
        <w:rPr>
          <w:rFonts w:cs="Arial"/>
          <w:szCs w:val="24"/>
        </w:rPr>
        <w:t xml:space="preserve"> v. </w:t>
      </w:r>
      <w:r>
        <w:rPr>
          <w:rFonts w:cs="Arial"/>
          <w:i/>
          <w:iCs/>
          <w:szCs w:val="24"/>
        </w:rPr>
        <w:t>Hartley</w:t>
      </w:r>
      <w:r w:rsidR="00C2528D">
        <w:rPr>
          <w:rStyle w:val="FootnoteReference"/>
          <w:rFonts w:cs="Arial"/>
          <w:i/>
          <w:iCs/>
          <w:szCs w:val="24"/>
        </w:rPr>
        <w:footnoteReference w:id="6"/>
      </w:r>
      <w:r>
        <w:rPr>
          <w:rFonts w:cs="Arial"/>
          <w:szCs w:val="24"/>
        </w:rPr>
        <w:t>.</w:t>
      </w:r>
    </w:p>
    <w:p w:rsidR="00565134" w:rsidRDefault="00565134" w:rsidP="00735E63">
      <w:pPr>
        <w:pStyle w:val="History"/>
        <w:rPr>
          <w:rFonts w:cs="Arial"/>
          <w:szCs w:val="24"/>
        </w:rPr>
      </w:pPr>
      <w:r>
        <w:rPr>
          <w:rFonts w:cs="Arial"/>
          <w:szCs w:val="24"/>
        </w:rPr>
        <w:t>In all the cases cited in the judgments delivered in the court below, as forming exceptions to the general rule, the circumstances were peculiar and they cannot be regarded as shaking the rule.</w:t>
      </w:r>
    </w:p>
    <w:p w:rsidR="00565134" w:rsidRDefault="00565134" w:rsidP="00735E63">
      <w:pPr>
        <w:pStyle w:val="History"/>
        <w:rPr>
          <w:rFonts w:cs="Arial"/>
          <w:szCs w:val="24"/>
        </w:rPr>
      </w:pPr>
      <w:r>
        <w:rPr>
          <w:rFonts w:cs="Arial"/>
          <w:szCs w:val="24"/>
        </w:rPr>
        <w:t>In none of the cases cited from the East Indies was a commission allowed to trustees, though it was allowed to executors. The West India cases were all decided under a local act.</w:t>
      </w:r>
    </w:p>
    <w:p w:rsidR="00565134" w:rsidRDefault="00565134" w:rsidP="00735E63">
      <w:pPr>
        <w:pStyle w:val="History"/>
        <w:rPr>
          <w:rFonts w:cs="Arial"/>
          <w:szCs w:val="24"/>
        </w:rPr>
      </w:pPr>
      <w:r>
        <w:rPr>
          <w:rFonts w:cs="Arial"/>
          <w:szCs w:val="24"/>
        </w:rPr>
        <w:t>Then in the absence of any legislative provision governing it in Nova Scotia this case must be decided under the rule of the Chancery Court in England.</w:t>
      </w:r>
    </w:p>
    <w:p w:rsidR="00565134" w:rsidRDefault="00565134" w:rsidP="00735E63">
      <w:pPr>
        <w:pStyle w:val="History"/>
        <w:rPr>
          <w:rFonts w:cs="Arial"/>
          <w:szCs w:val="24"/>
        </w:rPr>
      </w:pPr>
      <w:r>
        <w:rPr>
          <w:rFonts w:cs="Arial"/>
          <w:szCs w:val="24"/>
        </w:rPr>
        <w:t xml:space="preserve">The application of English law to these colonies has been dealt with in </w:t>
      </w:r>
      <w:r>
        <w:rPr>
          <w:rFonts w:cs="Arial"/>
          <w:i/>
          <w:iCs/>
          <w:szCs w:val="24"/>
        </w:rPr>
        <w:t>Uniacke</w:t>
      </w:r>
      <w:r>
        <w:rPr>
          <w:rFonts w:cs="Arial"/>
          <w:szCs w:val="24"/>
        </w:rPr>
        <w:t xml:space="preserve"> v. </w:t>
      </w:r>
      <w:r>
        <w:rPr>
          <w:rFonts w:cs="Arial"/>
          <w:i/>
          <w:iCs/>
          <w:szCs w:val="24"/>
        </w:rPr>
        <w:t>Dickson</w:t>
      </w:r>
      <w:r w:rsidR="00C2528D">
        <w:rPr>
          <w:rStyle w:val="FootnoteReference"/>
          <w:rFonts w:cs="Arial"/>
          <w:i/>
          <w:iCs/>
          <w:szCs w:val="24"/>
        </w:rPr>
        <w:footnoteReference w:id="7"/>
      </w:r>
      <w:r>
        <w:rPr>
          <w:rFonts w:cs="Arial"/>
          <w:szCs w:val="24"/>
        </w:rPr>
        <w:t xml:space="preserve">; </w:t>
      </w:r>
      <w:r>
        <w:rPr>
          <w:rFonts w:cs="Arial"/>
          <w:i/>
          <w:iCs/>
          <w:szCs w:val="24"/>
        </w:rPr>
        <w:t>Doe d. Anderson</w:t>
      </w:r>
      <w:r>
        <w:rPr>
          <w:rFonts w:cs="Arial"/>
          <w:szCs w:val="24"/>
        </w:rPr>
        <w:t xml:space="preserve"> v. </w:t>
      </w:r>
      <w:r>
        <w:rPr>
          <w:rFonts w:cs="Arial"/>
          <w:i/>
          <w:iCs/>
          <w:szCs w:val="24"/>
        </w:rPr>
        <w:t>Todd</w:t>
      </w:r>
      <w:r w:rsidR="00C2528D">
        <w:rPr>
          <w:rStyle w:val="FootnoteReference"/>
          <w:rFonts w:cs="Arial"/>
          <w:i/>
          <w:iCs/>
          <w:szCs w:val="24"/>
        </w:rPr>
        <w:footnoteReference w:id="8"/>
      </w:r>
      <w:r>
        <w:rPr>
          <w:rFonts w:cs="Arial"/>
          <w:szCs w:val="24"/>
        </w:rPr>
        <w:t xml:space="preserve">; </w:t>
      </w:r>
      <w:r>
        <w:rPr>
          <w:rFonts w:cs="Arial"/>
          <w:i/>
          <w:iCs/>
          <w:szCs w:val="24"/>
        </w:rPr>
        <w:t>Kerr</w:t>
      </w:r>
      <w:r>
        <w:rPr>
          <w:rFonts w:cs="Arial"/>
          <w:szCs w:val="24"/>
        </w:rPr>
        <w:t xml:space="preserve"> v. </w:t>
      </w:r>
      <w:r>
        <w:rPr>
          <w:rFonts w:cs="Arial"/>
          <w:i/>
          <w:iCs/>
          <w:szCs w:val="24"/>
        </w:rPr>
        <w:t>Burns</w:t>
      </w:r>
      <w:r w:rsidR="00C2528D">
        <w:rPr>
          <w:rStyle w:val="FootnoteReference"/>
          <w:rFonts w:cs="Arial"/>
          <w:i/>
          <w:iCs/>
          <w:szCs w:val="24"/>
        </w:rPr>
        <w:footnoteReference w:id="9"/>
      </w:r>
      <w:r>
        <w:rPr>
          <w:rFonts w:cs="Arial"/>
          <w:szCs w:val="24"/>
        </w:rPr>
        <w:t xml:space="preserve">; see also </w:t>
      </w:r>
      <w:r>
        <w:rPr>
          <w:rFonts w:cs="Arial"/>
          <w:i/>
          <w:iCs/>
          <w:szCs w:val="24"/>
        </w:rPr>
        <w:t>Kelly</w:t>
      </w:r>
      <w:r>
        <w:rPr>
          <w:rFonts w:cs="Arial"/>
          <w:szCs w:val="24"/>
        </w:rPr>
        <w:t xml:space="preserve"> v. </w:t>
      </w:r>
      <w:r>
        <w:rPr>
          <w:rFonts w:cs="Arial"/>
          <w:i/>
          <w:iCs/>
          <w:szCs w:val="24"/>
        </w:rPr>
        <w:t>Jones</w:t>
      </w:r>
      <w:r w:rsidR="00C2528D">
        <w:rPr>
          <w:rStyle w:val="FootnoteReference"/>
          <w:rFonts w:cs="Arial"/>
          <w:i/>
          <w:iCs/>
          <w:szCs w:val="24"/>
        </w:rPr>
        <w:footnoteReference w:id="10"/>
      </w:r>
      <w:r>
        <w:rPr>
          <w:rFonts w:cs="Arial"/>
          <w:szCs w:val="24"/>
        </w:rPr>
        <w:t xml:space="preserve">; </w:t>
      </w:r>
      <w:r>
        <w:rPr>
          <w:rFonts w:cs="Arial"/>
          <w:i/>
          <w:iCs/>
          <w:szCs w:val="24"/>
        </w:rPr>
        <w:t>Deedes</w:t>
      </w:r>
      <w:r>
        <w:rPr>
          <w:rFonts w:cs="Arial"/>
          <w:szCs w:val="24"/>
        </w:rPr>
        <w:t xml:space="preserve"> v. </w:t>
      </w:r>
      <w:r>
        <w:rPr>
          <w:rFonts w:cs="Arial"/>
          <w:i/>
          <w:iCs/>
          <w:szCs w:val="24"/>
        </w:rPr>
        <w:t>Graham</w:t>
      </w:r>
      <w:r w:rsidR="00C2528D">
        <w:rPr>
          <w:rStyle w:val="FootnoteReference"/>
          <w:rFonts w:cs="Arial"/>
          <w:i/>
          <w:iCs/>
          <w:szCs w:val="24"/>
        </w:rPr>
        <w:footnoteReference w:id="11"/>
      </w:r>
      <w:r>
        <w:rPr>
          <w:rFonts w:cs="Arial"/>
          <w:szCs w:val="24"/>
        </w:rPr>
        <w:t>.</w:t>
      </w:r>
    </w:p>
    <w:p w:rsidR="00565134" w:rsidRDefault="00565134" w:rsidP="00735E63">
      <w:pPr>
        <w:pStyle w:val="History"/>
        <w:rPr>
          <w:rFonts w:cs="Arial"/>
          <w:szCs w:val="24"/>
        </w:rPr>
      </w:pPr>
      <w:r>
        <w:rPr>
          <w:rFonts w:cs="Arial"/>
          <w:szCs w:val="24"/>
        </w:rPr>
        <w:t xml:space="preserve">It is contended that the practice has always been to allow these commissions but the law cannot be changed by a mere practice; </w:t>
      </w:r>
      <w:r>
        <w:rPr>
          <w:rFonts w:cs="Arial"/>
          <w:i/>
          <w:iCs/>
          <w:szCs w:val="24"/>
        </w:rPr>
        <w:t>Hamilton</w:t>
      </w:r>
      <w:r>
        <w:rPr>
          <w:rFonts w:cs="Arial"/>
          <w:szCs w:val="24"/>
        </w:rPr>
        <w:t xml:space="preserve"> v. </w:t>
      </w:r>
      <w:r>
        <w:rPr>
          <w:rFonts w:cs="Arial"/>
          <w:i/>
          <w:iCs/>
          <w:szCs w:val="24"/>
        </w:rPr>
        <w:t>Baker</w:t>
      </w:r>
      <w:r w:rsidR="00C2528D">
        <w:rPr>
          <w:rStyle w:val="FootnoteReference"/>
          <w:rFonts w:cs="Arial"/>
          <w:i/>
          <w:iCs/>
          <w:szCs w:val="24"/>
        </w:rPr>
        <w:footnoteReference w:id="12"/>
      </w:r>
      <w:r>
        <w:rPr>
          <w:rFonts w:cs="Arial"/>
          <w:szCs w:val="24"/>
        </w:rPr>
        <w:t>. Moreover</w:t>
      </w:r>
    </w:p>
    <w:p w:rsidR="00565134" w:rsidRDefault="00774CAE" w:rsidP="00774CAE">
      <w:pPr>
        <w:pStyle w:val="Page"/>
      </w:pPr>
      <w:r>
        <w:rPr>
          <w:rFonts w:cs="Arial"/>
          <w:szCs w:val="24"/>
        </w:rPr>
        <w:t xml:space="preserve">[Page </w:t>
      </w:r>
      <w:r w:rsidR="00565134">
        <w:rPr>
          <w:rFonts w:cs="Arial"/>
          <w:szCs w:val="24"/>
        </w:rPr>
        <w:t>289]</w:t>
      </w:r>
    </w:p>
    <w:p w:rsidR="00565134" w:rsidRDefault="00565134" w:rsidP="00735E63">
      <w:pPr>
        <w:pStyle w:val="History"/>
        <w:ind w:firstLine="0"/>
        <w:rPr>
          <w:rFonts w:cs="Arial"/>
          <w:szCs w:val="24"/>
        </w:rPr>
      </w:pPr>
      <w:r>
        <w:rPr>
          <w:rFonts w:cs="Arial"/>
          <w:szCs w:val="24"/>
        </w:rPr>
        <w:t xml:space="preserve">the practice has not been proved. See </w:t>
      </w:r>
      <w:r>
        <w:rPr>
          <w:rFonts w:cs="Arial"/>
          <w:i/>
          <w:iCs/>
          <w:szCs w:val="24"/>
        </w:rPr>
        <w:t>Freeman</w:t>
      </w:r>
      <w:r>
        <w:rPr>
          <w:rFonts w:cs="Arial"/>
          <w:szCs w:val="24"/>
        </w:rPr>
        <w:t xml:space="preserve"> v. </w:t>
      </w:r>
      <w:r>
        <w:rPr>
          <w:rFonts w:cs="Arial"/>
          <w:i/>
          <w:iCs/>
          <w:szCs w:val="24"/>
        </w:rPr>
        <w:t>Fairlie</w:t>
      </w:r>
      <w:r w:rsidR="00C2528D">
        <w:rPr>
          <w:rStyle w:val="FootnoteReference"/>
          <w:rFonts w:cs="Arial"/>
          <w:i/>
          <w:iCs/>
          <w:szCs w:val="24"/>
        </w:rPr>
        <w:footnoteReference w:id="13"/>
      </w:r>
      <w:r>
        <w:rPr>
          <w:rFonts w:cs="Arial"/>
          <w:szCs w:val="24"/>
        </w:rPr>
        <w:t>.</w:t>
      </w:r>
    </w:p>
    <w:p w:rsidR="00565134" w:rsidRDefault="00565134" w:rsidP="00735E63">
      <w:pPr>
        <w:pStyle w:val="History"/>
        <w:rPr>
          <w:rFonts w:cs="Arial"/>
          <w:szCs w:val="24"/>
        </w:rPr>
      </w:pPr>
      <w:r>
        <w:rPr>
          <w:rFonts w:cs="Arial"/>
          <w:szCs w:val="24"/>
        </w:rPr>
        <w:t xml:space="preserve">Before the passing of the present statute in Ontario these commissions were not allowed; </w:t>
      </w:r>
      <w:r>
        <w:rPr>
          <w:rFonts w:cs="Arial"/>
          <w:i/>
          <w:iCs/>
          <w:szCs w:val="24"/>
        </w:rPr>
        <w:t>Wilson</w:t>
      </w:r>
      <w:r>
        <w:rPr>
          <w:rFonts w:cs="Arial"/>
          <w:szCs w:val="24"/>
        </w:rPr>
        <w:t xml:space="preserve"> v. </w:t>
      </w:r>
      <w:r>
        <w:rPr>
          <w:rFonts w:cs="Arial"/>
          <w:i/>
          <w:iCs/>
          <w:szCs w:val="24"/>
        </w:rPr>
        <w:t>Proudfoot</w:t>
      </w:r>
      <w:r w:rsidR="00C2528D">
        <w:rPr>
          <w:rStyle w:val="FootnoteReference"/>
          <w:rFonts w:cs="Arial"/>
          <w:i/>
          <w:iCs/>
          <w:szCs w:val="24"/>
        </w:rPr>
        <w:footnoteReference w:id="14"/>
      </w:r>
      <w:r>
        <w:rPr>
          <w:rFonts w:cs="Arial"/>
          <w:szCs w:val="24"/>
        </w:rPr>
        <w:t xml:space="preserve">; </w:t>
      </w:r>
      <w:r>
        <w:rPr>
          <w:rFonts w:cs="Arial"/>
          <w:i/>
          <w:iCs/>
          <w:szCs w:val="24"/>
        </w:rPr>
        <w:t>Deedes</w:t>
      </w:r>
      <w:r>
        <w:rPr>
          <w:rFonts w:cs="Arial"/>
          <w:szCs w:val="24"/>
        </w:rPr>
        <w:t xml:space="preserve"> v. </w:t>
      </w:r>
      <w:r>
        <w:rPr>
          <w:rFonts w:cs="Arial"/>
          <w:i/>
          <w:iCs/>
          <w:szCs w:val="24"/>
        </w:rPr>
        <w:t>Graham</w:t>
      </w:r>
      <w:r w:rsidR="00C2528D">
        <w:rPr>
          <w:rStyle w:val="FootnoteReference"/>
          <w:rFonts w:cs="Arial"/>
          <w:i/>
          <w:iCs/>
          <w:szCs w:val="24"/>
        </w:rPr>
        <w:footnoteReference w:id="15"/>
      </w:r>
      <w:r>
        <w:rPr>
          <w:rFonts w:cs="Arial"/>
          <w:szCs w:val="24"/>
        </w:rPr>
        <w:t xml:space="preserve">. And the same has been held in the State of New York; </w:t>
      </w:r>
      <w:r>
        <w:rPr>
          <w:rFonts w:cs="Arial"/>
          <w:i/>
          <w:iCs/>
          <w:szCs w:val="24"/>
        </w:rPr>
        <w:t>Green</w:t>
      </w:r>
      <w:r>
        <w:rPr>
          <w:rFonts w:cs="Arial"/>
          <w:szCs w:val="24"/>
        </w:rPr>
        <w:t xml:space="preserve"> v. </w:t>
      </w:r>
      <w:r>
        <w:rPr>
          <w:rFonts w:cs="Arial"/>
          <w:i/>
          <w:iCs/>
          <w:szCs w:val="24"/>
        </w:rPr>
        <w:t>Winter</w:t>
      </w:r>
      <w:r w:rsidR="00C2528D">
        <w:rPr>
          <w:rStyle w:val="FootnoteReference"/>
          <w:rFonts w:cs="Arial"/>
          <w:i/>
          <w:iCs/>
          <w:szCs w:val="24"/>
        </w:rPr>
        <w:footnoteReference w:id="16"/>
      </w:r>
      <w:r>
        <w:rPr>
          <w:rFonts w:cs="Arial"/>
          <w:szCs w:val="24"/>
        </w:rPr>
        <w:t xml:space="preserve">; </w:t>
      </w:r>
      <w:r>
        <w:rPr>
          <w:rFonts w:cs="Arial"/>
          <w:i/>
          <w:iCs/>
          <w:szCs w:val="24"/>
        </w:rPr>
        <w:t>Manning</w:t>
      </w:r>
      <w:r>
        <w:rPr>
          <w:rFonts w:cs="Arial"/>
          <w:szCs w:val="24"/>
        </w:rPr>
        <w:t xml:space="preserve"> v. </w:t>
      </w:r>
      <w:r>
        <w:rPr>
          <w:rFonts w:cs="Arial"/>
          <w:i/>
          <w:iCs/>
          <w:szCs w:val="24"/>
        </w:rPr>
        <w:t>Manning</w:t>
      </w:r>
      <w:r w:rsidR="00C2528D">
        <w:rPr>
          <w:rStyle w:val="FootnoteReference"/>
          <w:rFonts w:cs="Arial"/>
          <w:i/>
          <w:iCs/>
          <w:szCs w:val="24"/>
        </w:rPr>
        <w:footnoteReference w:id="17"/>
      </w:r>
      <w:r>
        <w:rPr>
          <w:rFonts w:cs="Arial"/>
          <w:szCs w:val="24"/>
        </w:rPr>
        <w:t>.</w:t>
      </w:r>
    </w:p>
    <w:p w:rsidR="00565134" w:rsidRDefault="00565134" w:rsidP="00735E63">
      <w:pPr>
        <w:pStyle w:val="History"/>
        <w:rPr>
          <w:rFonts w:cs="Arial"/>
          <w:szCs w:val="24"/>
        </w:rPr>
      </w:pPr>
      <w:r>
        <w:rPr>
          <w:rFonts w:cs="Arial"/>
          <w:szCs w:val="24"/>
        </w:rPr>
        <w:t>Executors and trustees do not stand in the same position in respect to commissions and an executor is not a trustee until he passes his accounts; Perry on Trusts</w:t>
      </w:r>
      <w:r w:rsidR="00C2528D">
        <w:rPr>
          <w:rStyle w:val="FootnoteReference"/>
          <w:rFonts w:cs="Arial"/>
          <w:szCs w:val="24"/>
        </w:rPr>
        <w:footnoteReference w:id="18"/>
      </w:r>
      <w:r>
        <w:rPr>
          <w:rFonts w:cs="Arial"/>
          <w:szCs w:val="24"/>
        </w:rPr>
        <w:t>; Walker on Executors</w:t>
      </w:r>
      <w:r w:rsidR="00C2528D">
        <w:rPr>
          <w:rStyle w:val="FootnoteReference"/>
          <w:rFonts w:cs="Arial"/>
          <w:szCs w:val="24"/>
        </w:rPr>
        <w:footnoteReference w:id="19"/>
      </w:r>
      <w:r>
        <w:rPr>
          <w:rFonts w:cs="Arial"/>
          <w:szCs w:val="24"/>
        </w:rPr>
        <w:t xml:space="preserve">; </w:t>
      </w:r>
      <w:r>
        <w:rPr>
          <w:rFonts w:cs="Arial"/>
          <w:i/>
          <w:iCs/>
          <w:szCs w:val="24"/>
        </w:rPr>
        <w:t>Conkey</w:t>
      </w:r>
      <w:r>
        <w:rPr>
          <w:rFonts w:cs="Arial"/>
          <w:szCs w:val="24"/>
        </w:rPr>
        <w:t xml:space="preserve"> v. </w:t>
      </w:r>
      <w:r>
        <w:rPr>
          <w:rFonts w:cs="Arial"/>
          <w:i/>
          <w:iCs/>
          <w:szCs w:val="24"/>
        </w:rPr>
        <w:t>Dickinson</w:t>
      </w:r>
      <w:r w:rsidR="00C2528D">
        <w:rPr>
          <w:rStyle w:val="FootnoteReference"/>
          <w:rFonts w:cs="Arial"/>
          <w:i/>
          <w:iCs/>
          <w:szCs w:val="24"/>
        </w:rPr>
        <w:footnoteReference w:id="20"/>
      </w:r>
      <w:r>
        <w:rPr>
          <w:rFonts w:cs="Arial"/>
          <w:szCs w:val="24"/>
        </w:rPr>
        <w:t xml:space="preserve">; </w:t>
      </w:r>
      <w:r>
        <w:rPr>
          <w:rFonts w:cs="Arial"/>
          <w:i/>
          <w:iCs/>
          <w:szCs w:val="24"/>
        </w:rPr>
        <w:t>Miller</w:t>
      </w:r>
      <w:r>
        <w:rPr>
          <w:rFonts w:cs="Arial"/>
          <w:szCs w:val="24"/>
        </w:rPr>
        <w:t xml:space="preserve"> v. </w:t>
      </w:r>
      <w:r>
        <w:rPr>
          <w:rFonts w:cs="Arial"/>
          <w:i/>
          <w:iCs/>
          <w:szCs w:val="24"/>
        </w:rPr>
        <w:t>Congdon</w:t>
      </w:r>
      <w:r w:rsidR="00C2528D">
        <w:rPr>
          <w:rStyle w:val="FootnoteReference"/>
          <w:rFonts w:cs="Arial"/>
          <w:i/>
          <w:iCs/>
          <w:szCs w:val="24"/>
        </w:rPr>
        <w:footnoteReference w:id="21"/>
      </w:r>
      <w:r>
        <w:rPr>
          <w:rFonts w:cs="Arial"/>
          <w:szCs w:val="24"/>
        </w:rPr>
        <w:t xml:space="preserve">; </w:t>
      </w:r>
      <w:r>
        <w:rPr>
          <w:rFonts w:cs="Arial"/>
          <w:i/>
          <w:iCs/>
          <w:szCs w:val="24"/>
        </w:rPr>
        <w:t>Prior</w:t>
      </w:r>
      <w:r>
        <w:rPr>
          <w:rFonts w:cs="Arial"/>
          <w:szCs w:val="24"/>
        </w:rPr>
        <w:t xml:space="preserve"> v. </w:t>
      </w:r>
      <w:r>
        <w:rPr>
          <w:rFonts w:cs="Arial"/>
          <w:i/>
          <w:iCs/>
          <w:szCs w:val="24"/>
        </w:rPr>
        <w:lastRenderedPageBreak/>
        <w:t>Talbot</w:t>
      </w:r>
      <w:r w:rsidR="00C2528D">
        <w:rPr>
          <w:rStyle w:val="FootnoteReference"/>
          <w:rFonts w:cs="Arial"/>
          <w:i/>
          <w:iCs/>
          <w:szCs w:val="24"/>
        </w:rPr>
        <w:footnoteReference w:id="22"/>
      </w:r>
      <w:r>
        <w:rPr>
          <w:rFonts w:cs="Arial"/>
          <w:szCs w:val="24"/>
        </w:rPr>
        <w:t>.</w:t>
      </w:r>
    </w:p>
    <w:p w:rsidR="00565134" w:rsidRDefault="00565134" w:rsidP="00735E63">
      <w:pPr>
        <w:pStyle w:val="History"/>
        <w:rPr>
          <w:rFonts w:cs="Arial"/>
          <w:szCs w:val="24"/>
        </w:rPr>
      </w:pPr>
      <w:r>
        <w:rPr>
          <w:rFonts w:cs="Arial"/>
          <w:szCs w:val="24"/>
        </w:rPr>
        <w:t>The will provided a sum as compensation to the trustees and if it was not considered sufficient the defendant should have refused to accept the trust. By accepting it he does so subject to all the provisions of the instrument creating it and the law governing the same.</w:t>
      </w:r>
    </w:p>
    <w:p w:rsidR="00565134" w:rsidRDefault="00565134" w:rsidP="00735E63">
      <w:pPr>
        <w:pStyle w:val="History"/>
        <w:rPr>
          <w:rFonts w:cs="Arial"/>
          <w:szCs w:val="24"/>
        </w:rPr>
      </w:pPr>
      <w:r>
        <w:rPr>
          <w:rFonts w:cs="Arial"/>
          <w:szCs w:val="24"/>
        </w:rPr>
        <w:t xml:space="preserve">Henry Q.C. for the respondent. There are numerous exceptions to the English rule; </w:t>
      </w:r>
      <w:r>
        <w:rPr>
          <w:rFonts w:cs="Arial"/>
          <w:i/>
          <w:iCs/>
          <w:szCs w:val="24"/>
        </w:rPr>
        <w:t>Brown</w:t>
      </w:r>
      <w:r>
        <w:rPr>
          <w:rFonts w:cs="Arial"/>
          <w:szCs w:val="24"/>
        </w:rPr>
        <w:t xml:space="preserve"> v. </w:t>
      </w:r>
      <w:r>
        <w:rPr>
          <w:rFonts w:cs="Arial"/>
          <w:i/>
          <w:iCs/>
          <w:szCs w:val="24"/>
        </w:rPr>
        <w:t>Litton</w:t>
      </w:r>
      <w:r w:rsidR="00C2528D">
        <w:rPr>
          <w:rStyle w:val="FootnoteReference"/>
          <w:rFonts w:cs="Arial"/>
          <w:i/>
          <w:iCs/>
          <w:szCs w:val="24"/>
        </w:rPr>
        <w:footnoteReference w:id="23"/>
      </w:r>
      <w:r>
        <w:rPr>
          <w:rFonts w:cs="Arial"/>
          <w:szCs w:val="24"/>
        </w:rPr>
        <w:t xml:space="preserve">; </w:t>
      </w:r>
      <w:r>
        <w:rPr>
          <w:rFonts w:cs="Arial"/>
          <w:i/>
          <w:iCs/>
          <w:szCs w:val="24"/>
        </w:rPr>
        <w:t>Forster</w:t>
      </w:r>
      <w:r>
        <w:rPr>
          <w:rFonts w:cs="Arial"/>
          <w:szCs w:val="24"/>
        </w:rPr>
        <w:t xml:space="preserve"> v. </w:t>
      </w:r>
      <w:r>
        <w:rPr>
          <w:rFonts w:cs="Arial"/>
          <w:i/>
          <w:iCs/>
          <w:szCs w:val="24"/>
        </w:rPr>
        <w:t>Riddley</w:t>
      </w:r>
      <w:r w:rsidR="00C2528D">
        <w:rPr>
          <w:rStyle w:val="FootnoteReference"/>
          <w:rFonts w:cs="Arial"/>
          <w:i/>
          <w:iCs/>
          <w:szCs w:val="24"/>
        </w:rPr>
        <w:footnoteReference w:id="24"/>
      </w:r>
      <w:r>
        <w:rPr>
          <w:rFonts w:cs="Arial"/>
          <w:szCs w:val="24"/>
        </w:rPr>
        <w:t xml:space="preserve">; and the court in England has made a distinction in respect to the colonies, assigning as a reason that it would be difficult to get suitable persons to act as trustees without compensation. See </w:t>
      </w:r>
      <w:r>
        <w:rPr>
          <w:rFonts w:cs="Arial"/>
          <w:i/>
          <w:iCs/>
          <w:szCs w:val="24"/>
        </w:rPr>
        <w:t>Chambers</w:t>
      </w:r>
      <w:r>
        <w:rPr>
          <w:rFonts w:cs="Arial"/>
          <w:szCs w:val="24"/>
        </w:rPr>
        <w:t xml:space="preserve"> v. </w:t>
      </w:r>
      <w:r>
        <w:rPr>
          <w:rFonts w:cs="Arial"/>
          <w:i/>
          <w:iCs/>
          <w:szCs w:val="24"/>
        </w:rPr>
        <w:t>Goldwin</w:t>
      </w:r>
      <w:r w:rsidR="00C2528D">
        <w:rPr>
          <w:rStyle w:val="FootnoteReference"/>
          <w:rFonts w:cs="Arial"/>
          <w:i/>
          <w:iCs/>
          <w:szCs w:val="24"/>
        </w:rPr>
        <w:footnoteReference w:id="25"/>
      </w:r>
      <w:r>
        <w:rPr>
          <w:rFonts w:cs="Arial"/>
          <w:szCs w:val="24"/>
        </w:rPr>
        <w:t xml:space="preserve">; </w:t>
      </w:r>
      <w:r>
        <w:rPr>
          <w:rFonts w:cs="Arial"/>
          <w:i/>
          <w:iCs/>
          <w:szCs w:val="24"/>
        </w:rPr>
        <w:t>Denton</w:t>
      </w:r>
      <w:r>
        <w:rPr>
          <w:rFonts w:cs="Arial"/>
          <w:szCs w:val="24"/>
        </w:rPr>
        <w:t xml:space="preserve"> v. </w:t>
      </w:r>
      <w:r>
        <w:rPr>
          <w:rFonts w:cs="Arial"/>
          <w:i/>
          <w:iCs/>
          <w:szCs w:val="24"/>
        </w:rPr>
        <w:t>Davy</w:t>
      </w:r>
      <w:r w:rsidR="00C2528D">
        <w:rPr>
          <w:rStyle w:val="FootnoteReference"/>
          <w:rFonts w:cs="Arial"/>
          <w:i/>
          <w:iCs/>
          <w:szCs w:val="24"/>
        </w:rPr>
        <w:footnoteReference w:id="26"/>
      </w:r>
      <w:r>
        <w:rPr>
          <w:rFonts w:cs="Arial"/>
          <w:szCs w:val="24"/>
        </w:rPr>
        <w:t xml:space="preserve">; </w:t>
      </w:r>
      <w:r>
        <w:rPr>
          <w:rFonts w:cs="Arial"/>
          <w:i/>
          <w:iCs/>
          <w:szCs w:val="24"/>
        </w:rPr>
        <w:t>Chetham</w:t>
      </w:r>
      <w:r>
        <w:rPr>
          <w:rFonts w:cs="Arial"/>
          <w:szCs w:val="24"/>
        </w:rPr>
        <w:t xml:space="preserve"> v. </w:t>
      </w:r>
      <w:r>
        <w:rPr>
          <w:rFonts w:cs="Arial"/>
          <w:i/>
          <w:iCs/>
          <w:szCs w:val="24"/>
        </w:rPr>
        <w:t>Lord Audley</w:t>
      </w:r>
      <w:r w:rsidR="00C2528D">
        <w:rPr>
          <w:rStyle w:val="FootnoteReference"/>
          <w:rFonts w:cs="Arial"/>
          <w:i/>
          <w:iCs/>
          <w:szCs w:val="24"/>
        </w:rPr>
        <w:footnoteReference w:id="27"/>
      </w:r>
      <w:r>
        <w:rPr>
          <w:rFonts w:cs="Arial"/>
          <w:szCs w:val="24"/>
        </w:rPr>
        <w:t>.</w:t>
      </w:r>
    </w:p>
    <w:p w:rsidR="00565134" w:rsidRDefault="00565134" w:rsidP="00735E63">
      <w:pPr>
        <w:pStyle w:val="History"/>
        <w:rPr>
          <w:rFonts w:cs="Arial"/>
          <w:szCs w:val="24"/>
        </w:rPr>
      </w:pPr>
      <w:r>
        <w:rPr>
          <w:rFonts w:cs="Arial"/>
          <w:szCs w:val="24"/>
        </w:rPr>
        <w:t xml:space="preserve">The case of </w:t>
      </w:r>
      <w:r>
        <w:rPr>
          <w:rFonts w:cs="Arial"/>
          <w:i/>
          <w:iCs/>
          <w:szCs w:val="24"/>
        </w:rPr>
        <w:t>Uniacke</w:t>
      </w:r>
      <w:r>
        <w:rPr>
          <w:rFonts w:cs="Arial"/>
          <w:szCs w:val="24"/>
        </w:rPr>
        <w:t xml:space="preserve"> v. </w:t>
      </w:r>
      <w:r>
        <w:rPr>
          <w:rFonts w:cs="Arial"/>
          <w:i/>
          <w:iCs/>
          <w:szCs w:val="24"/>
        </w:rPr>
        <w:t>Dickson</w:t>
      </w:r>
      <w:r w:rsidR="00C2528D">
        <w:rPr>
          <w:rStyle w:val="FootnoteReference"/>
          <w:rFonts w:cs="Arial"/>
          <w:i/>
          <w:iCs/>
          <w:szCs w:val="24"/>
        </w:rPr>
        <w:footnoteReference w:id="28"/>
      </w:r>
      <w:r>
        <w:rPr>
          <w:rFonts w:cs="Arial"/>
          <w:szCs w:val="24"/>
        </w:rPr>
        <w:t xml:space="preserve"> is a leading case in Nova Scotia and lays down a rule for the application</w:t>
      </w:r>
    </w:p>
    <w:p w:rsidR="00565134" w:rsidRDefault="00774CAE" w:rsidP="00774CAE">
      <w:pPr>
        <w:pStyle w:val="Page"/>
      </w:pPr>
      <w:r>
        <w:rPr>
          <w:rFonts w:cs="Arial"/>
          <w:szCs w:val="24"/>
        </w:rPr>
        <w:t xml:space="preserve">[Page </w:t>
      </w:r>
      <w:r w:rsidR="00565134">
        <w:rPr>
          <w:rFonts w:cs="Arial"/>
          <w:szCs w:val="24"/>
        </w:rPr>
        <w:t>290]</w:t>
      </w:r>
    </w:p>
    <w:p w:rsidR="00565134" w:rsidRDefault="00565134" w:rsidP="00735E63">
      <w:pPr>
        <w:pStyle w:val="History"/>
        <w:ind w:firstLine="0"/>
        <w:rPr>
          <w:rFonts w:cs="Arial"/>
          <w:szCs w:val="24"/>
        </w:rPr>
      </w:pPr>
      <w:r>
        <w:rPr>
          <w:rFonts w:cs="Arial"/>
          <w:szCs w:val="24"/>
        </w:rPr>
        <w:t xml:space="preserve">of English law to the colonies: See also </w:t>
      </w:r>
      <w:r>
        <w:rPr>
          <w:rFonts w:cs="Arial"/>
          <w:i/>
          <w:iCs/>
          <w:szCs w:val="24"/>
        </w:rPr>
        <w:t>Collins</w:t>
      </w:r>
      <w:r>
        <w:rPr>
          <w:rFonts w:cs="Arial"/>
          <w:szCs w:val="24"/>
        </w:rPr>
        <w:t xml:space="preserve"> v. </w:t>
      </w:r>
      <w:r>
        <w:rPr>
          <w:rFonts w:cs="Arial"/>
          <w:i/>
          <w:iCs/>
          <w:szCs w:val="24"/>
        </w:rPr>
        <w:t>Story</w:t>
      </w:r>
      <w:r w:rsidR="00C2528D">
        <w:rPr>
          <w:rStyle w:val="FootnoteReference"/>
          <w:rFonts w:cs="Arial"/>
          <w:i/>
          <w:iCs/>
          <w:szCs w:val="24"/>
        </w:rPr>
        <w:footnoteReference w:id="29"/>
      </w:r>
      <w:r>
        <w:rPr>
          <w:rFonts w:cs="Arial"/>
          <w:szCs w:val="24"/>
        </w:rPr>
        <w:t xml:space="preserve">; </w:t>
      </w:r>
      <w:r>
        <w:rPr>
          <w:rFonts w:cs="Arial"/>
          <w:i/>
          <w:iCs/>
          <w:szCs w:val="24"/>
        </w:rPr>
        <w:t>Caldwell</w:t>
      </w:r>
      <w:r>
        <w:rPr>
          <w:rFonts w:cs="Arial"/>
          <w:szCs w:val="24"/>
        </w:rPr>
        <w:t xml:space="preserve"> v. </w:t>
      </w:r>
      <w:r>
        <w:rPr>
          <w:rFonts w:cs="Arial"/>
          <w:i/>
          <w:iCs/>
          <w:szCs w:val="24"/>
        </w:rPr>
        <w:t>Kinsman</w:t>
      </w:r>
      <w:r w:rsidR="00C2528D">
        <w:rPr>
          <w:rStyle w:val="FootnoteReference"/>
          <w:rFonts w:cs="Arial"/>
          <w:i/>
          <w:iCs/>
          <w:szCs w:val="24"/>
        </w:rPr>
        <w:footnoteReference w:id="30"/>
      </w:r>
      <w:r>
        <w:rPr>
          <w:rFonts w:cs="Arial"/>
          <w:szCs w:val="24"/>
        </w:rPr>
        <w:t>.</w:t>
      </w:r>
    </w:p>
    <w:p w:rsidR="00565134" w:rsidRDefault="00565134" w:rsidP="00735E63">
      <w:pPr>
        <w:pStyle w:val="History"/>
        <w:rPr>
          <w:rFonts w:cs="Arial"/>
          <w:szCs w:val="24"/>
        </w:rPr>
      </w:pPr>
      <w:r>
        <w:rPr>
          <w:rFonts w:cs="Arial"/>
          <w:szCs w:val="24"/>
        </w:rPr>
        <w:t xml:space="preserve">The English rule has been held inapplicable in Massachusetts; </w:t>
      </w:r>
      <w:r>
        <w:rPr>
          <w:rFonts w:cs="Arial"/>
          <w:i/>
          <w:iCs/>
          <w:szCs w:val="24"/>
        </w:rPr>
        <w:t>Barrell</w:t>
      </w:r>
      <w:r>
        <w:rPr>
          <w:rFonts w:cs="Arial"/>
          <w:szCs w:val="24"/>
        </w:rPr>
        <w:t xml:space="preserve"> v. </w:t>
      </w:r>
      <w:r>
        <w:rPr>
          <w:rFonts w:cs="Arial"/>
          <w:i/>
          <w:iCs/>
          <w:szCs w:val="24"/>
        </w:rPr>
        <w:t>Joy</w:t>
      </w:r>
      <w:r w:rsidR="00C2528D">
        <w:rPr>
          <w:rStyle w:val="FootnoteReference"/>
          <w:rFonts w:cs="Arial"/>
          <w:i/>
          <w:iCs/>
          <w:szCs w:val="24"/>
        </w:rPr>
        <w:footnoteReference w:id="31"/>
      </w:r>
      <w:r>
        <w:rPr>
          <w:rFonts w:cs="Arial"/>
          <w:szCs w:val="24"/>
        </w:rPr>
        <w:t xml:space="preserve">; </w:t>
      </w:r>
      <w:r>
        <w:rPr>
          <w:rFonts w:cs="Arial"/>
          <w:i/>
          <w:iCs/>
          <w:szCs w:val="24"/>
        </w:rPr>
        <w:t>Gibson's Case</w:t>
      </w:r>
      <w:r w:rsidR="00C2528D">
        <w:rPr>
          <w:rStyle w:val="FootnoteReference"/>
          <w:rFonts w:cs="Arial"/>
          <w:i/>
          <w:iCs/>
          <w:szCs w:val="24"/>
        </w:rPr>
        <w:footnoteReference w:id="32"/>
      </w:r>
      <w:r>
        <w:rPr>
          <w:rFonts w:cs="Arial"/>
          <w:szCs w:val="24"/>
        </w:rPr>
        <w:t>.</w:t>
      </w:r>
    </w:p>
    <w:p w:rsidR="00565134" w:rsidRDefault="00565134" w:rsidP="00735E63">
      <w:pPr>
        <w:pStyle w:val="History"/>
        <w:rPr>
          <w:rFonts w:cs="Arial"/>
          <w:szCs w:val="24"/>
        </w:rPr>
      </w:pPr>
      <w:r>
        <w:rPr>
          <w:rFonts w:cs="Arial"/>
          <w:szCs w:val="24"/>
        </w:rPr>
        <w:t xml:space="preserve">The allowance in the will was to the executors and had no relation to the trusts created. See </w:t>
      </w:r>
      <w:r>
        <w:rPr>
          <w:rFonts w:cs="Arial"/>
          <w:i/>
          <w:iCs/>
          <w:szCs w:val="24"/>
        </w:rPr>
        <w:t>Ex parte Dover</w:t>
      </w:r>
      <w:r w:rsidR="00C2528D">
        <w:rPr>
          <w:rStyle w:val="FootnoteReference"/>
          <w:rFonts w:cs="Arial"/>
          <w:i/>
          <w:iCs/>
          <w:szCs w:val="24"/>
        </w:rPr>
        <w:footnoteReference w:id="33"/>
      </w:r>
      <w:r>
        <w:rPr>
          <w:rFonts w:cs="Arial"/>
          <w:szCs w:val="24"/>
        </w:rPr>
        <w:t xml:space="preserve">; </w:t>
      </w:r>
      <w:r>
        <w:rPr>
          <w:rFonts w:cs="Arial"/>
          <w:i/>
          <w:iCs/>
          <w:szCs w:val="24"/>
          <w:lang w:val="fr-FR"/>
        </w:rPr>
        <w:t>Dix</w:t>
      </w:r>
      <w:r>
        <w:rPr>
          <w:rFonts w:cs="Arial"/>
          <w:szCs w:val="24"/>
          <w:lang w:val="fr-FR"/>
        </w:rPr>
        <w:t xml:space="preserve"> </w:t>
      </w:r>
      <w:r>
        <w:rPr>
          <w:rFonts w:cs="Arial"/>
          <w:szCs w:val="24"/>
        </w:rPr>
        <w:t xml:space="preserve">v. </w:t>
      </w:r>
      <w:r>
        <w:rPr>
          <w:rFonts w:cs="Arial"/>
          <w:i/>
          <w:iCs/>
          <w:szCs w:val="24"/>
        </w:rPr>
        <w:t>Burford</w:t>
      </w:r>
      <w:r w:rsidR="00C2528D">
        <w:rPr>
          <w:rStyle w:val="FootnoteReference"/>
          <w:rFonts w:cs="Arial"/>
          <w:i/>
          <w:iCs/>
          <w:szCs w:val="24"/>
        </w:rPr>
        <w:footnoteReference w:id="34"/>
      </w:r>
      <w:r>
        <w:rPr>
          <w:rFonts w:cs="Arial"/>
          <w:szCs w:val="24"/>
        </w:rPr>
        <w:t>.</w:t>
      </w:r>
    </w:p>
    <w:p w:rsidR="00565134" w:rsidRDefault="00565134" w:rsidP="00735E63">
      <w:pPr>
        <w:pStyle w:val="Reasons"/>
      </w:pPr>
      <w:r w:rsidRPr="00735E63">
        <w:t>Sir</w:t>
      </w:r>
      <w:r>
        <w:t xml:space="preserve"> W. J. </w:t>
      </w:r>
      <w:r w:rsidR="00735E63" w:rsidRPr="00735E63">
        <w:t>RITCHIE</w:t>
      </w:r>
      <w:r w:rsidR="00735E63">
        <w:t xml:space="preserve"> </w:t>
      </w:r>
      <w:r>
        <w:t xml:space="preserve">C. J.—I agree with Mr. Justice Weatherbee that the principle of the law of England that trustees were not allowed for their services when remuneration was not expressly provided for, but that the same should be gratuitous, is clearly established by the authorities, and I think the same principle is as applicable to Nova Scotia as to England, and as there does not appear to be any legislative authority or judicial decision to the contrary it must be held to be the law of Nova Scotia until the same shall be changed by the legislature. The legislature appears, prior to this case, to have dealt with </w:t>
      </w:r>
      <w:r>
        <w:lastRenderedPageBreak/>
        <w:t xml:space="preserve">the office of both executors and trustees and to have allowed a commission for his services to the former but only the costs and expenses to the latter; this is a strong confirmation of what the law was, and an equally strong intimation that the legislature did not intend to alter it; that having changed the policy of the law in respect to executors the legislature left the case of trustees untouched until 51 Vic. </w:t>
      </w:r>
      <w:r>
        <w:rPr>
          <w:lang w:val="fr-FR"/>
        </w:rPr>
        <w:t xml:space="preserve">ch. </w:t>
      </w:r>
      <w:r>
        <w:t>11 sec. 69, passed in 1888, where compensation was for the first time provided for trustees, and the provision was made applicable to trusts constituted or created either before or after the commencement of the act but not to affect any suit or other legal proceeding pending at the time of its commencement. It is difficult to conceive how the legislature could more</w:t>
      </w:r>
    </w:p>
    <w:p w:rsidR="00565134" w:rsidRDefault="00774CAE" w:rsidP="00774CAE">
      <w:pPr>
        <w:pStyle w:val="Page"/>
      </w:pPr>
      <w:r>
        <w:rPr>
          <w:rFonts w:cs="Arial"/>
          <w:szCs w:val="24"/>
        </w:rPr>
        <w:t xml:space="preserve">[Page </w:t>
      </w:r>
      <w:r w:rsidR="00565134">
        <w:rPr>
          <w:rFonts w:cs="Arial"/>
          <w:szCs w:val="24"/>
        </w:rPr>
        <w:t>291]</w:t>
      </w:r>
    </w:p>
    <w:p w:rsidR="00565134" w:rsidRDefault="00565134" w:rsidP="00735E63">
      <w:pPr>
        <w:pStyle w:val="Reasons"/>
        <w:rPr>
          <w:rFonts w:cs="Arial"/>
          <w:szCs w:val="24"/>
        </w:rPr>
      </w:pPr>
      <w:r>
        <w:rPr>
          <w:rFonts w:cs="Arial"/>
          <w:szCs w:val="24"/>
        </w:rPr>
        <w:t>clearly have expressed its intention to change the law in relation to the remuneration to trustees.</w:t>
      </w:r>
    </w:p>
    <w:p w:rsidR="00565134" w:rsidRDefault="00565134" w:rsidP="00735E63">
      <w:pPr>
        <w:pStyle w:val="Reasons"/>
        <w:rPr>
          <w:rFonts w:cs="Arial"/>
          <w:szCs w:val="24"/>
        </w:rPr>
      </w:pPr>
      <w:r>
        <w:rPr>
          <w:rFonts w:cs="Arial"/>
          <w:szCs w:val="24"/>
        </w:rPr>
        <w:t>Under these circumstances I am clearly of opinion that this appeal should be allowed, the judgment of the Supreme Court of Nova Scotia reversed, and the judgment of Mr. Justice Ritchie set aside and judgment entered for the appellant for the amount claimed with costs of the trial and of both appeals.</w:t>
      </w:r>
    </w:p>
    <w:p w:rsidR="00565134" w:rsidRDefault="00735E63" w:rsidP="00735E63">
      <w:pPr>
        <w:pStyle w:val="Reasons"/>
        <w:rPr>
          <w:rFonts w:cs="Arial"/>
          <w:szCs w:val="24"/>
        </w:rPr>
      </w:pPr>
      <w:r w:rsidRPr="00735E63">
        <w:t>FOURNIER</w:t>
      </w:r>
      <w:r>
        <w:rPr>
          <w:rFonts w:cs="Arial"/>
          <w:szCs w:val="24"/>
        </w:rPr>
        <w:t xml:space="preserve"> </w:t>
      </w:r>
      <w:r w:rsidR="00565134">
        <w:rPr>
          <w:rFonts w:cs="Arial"/>
          <w:szCs w:val="24"/>
        </w:rPr>
        <w:t>J. concurred.</w:t>
      </w:r>
    </w:p>
    <w:p w:rsidR="00565134" w:rsidRDefault="00735E63" w:rsidP="00735E63">
      <w:pPr>
        <w:pStyle w:val="Reasons"/>
        <w:rPr>
          <w:rFonts w:cs="Arial"/>
          <w:szCs w:val="24"/>
        </w:rPr>
      </w:pPr>
      <w:r w:rsidRPr="00735E63">
        <w:t>TASCHEREAU</w:t>
      </w:r>
      <w:r>
        <w:rPr>
          <w:rFonts w:cs="Arial"/>
          <w:szCs w:val="24"/>
        </w:rPr>
        <w:t xml:space="preserve"> </w:t>
      </w:r>
      <w:r w:rsidR="00565134">
        <w:rPr>
          <w:rFonts w:cs="Arial"/>
          <w:szCs w:val="24"/>
        </w:rPr>
        <w:t>J.—I am of opinion that the appeal should be allowed with costs and judgment entered for the plaintiff for the reasons given by Weatherbee and Townshend JJ. in the court below.</w:t>
      </w:r>
    </w:p>
    <w:p w:rsidR="00565134" w:rsidRDefault="00735E63" w:rsidP="00735E63">
      <w:pPr>
        <w:pStyle w:val="Reasons"/>
        <w:rPr>
          <w:rFonts w:cs="Arial"/>
          <w:szCs w:val="24"/>
        </w:rPr>
      </w:pPr>
      <w:r w:rsidRPr="00735E63">
        <w:t>GWYNNE</w:t>
      </w:r>
      <w:r>
        <w:rPr>
          <w:rFonts w:cs="Arial"/>
          <w:szCs w:val="24"/>
        </w:rPr>
        <w:t xml:space="preserve"> </w:t>
      </w:r>
      <w:r w:rsidR="00565134">
        <w:rPr>
          <w:rFonts w:cs="Arial"/>
          <w:szCs w:val="24"/>
        </w:rPr>
        <w:t xml:space="preserve">J.—In my opinion it is apparent upon the will of the testator that the devise of the $700 given to each of the executors therein named for his services was intended to be given to them, and if the trusts of the will should be accepted it was to be taken by them, in full compensation for all the duties of every description imposed upon them by the will in the execution of the trust purposes thereof, including that of paying over to the appellant the whole of the income to arise from the sum directed by the will to be </w:t>
      </w:r>
      <w:r w:rsidR="00565134">
        <w:rPr>
          <w:rFonts w:cs="Arial"/>
          <w:szCs w:val="24"/>
        </w:rPr>
        <w:lastRenderedPageBreak/>
        <w:t>invested for his benefit. The defendant, in my opinion, can make no claim for any sum beyond the seven hundred dollars which it is admitted he has received. This appeal, therefore, should be allowed with costs, and judgment be ordered to be entered in the court below in favor of the plaintiff for the full amount claimed by him, with costs of suit.</w:t>
      </w:r>
    </w:p>
    <w:p w:rsidR="00565134" w:rsidRDefault="00735E63" w:rsidP="00735E63">
      <w:pPr>
        <w:pStyle w:val="Reasons"/>
        <w:rPr>
          <w:rFonts w:cs="Arial"/>
          <w:szCs w:val="24"/>
        </w:rPr>
      </w:pPr>
      <w:r w:rsidRPr="00735E63">
        <w:t>PATTERSON</w:t>
      </w:r>
      <w:r>
        <w:rPr>
          <w:rFonts w:cs="Arial"/>
          <w:szCs w:val="24"/>
        </w:rPr>
        <w:t xml:space="preserve"> </w:t>
      </w:r>
      <w:r w:rsidR="00565134">
        <w:rPr>
          <w:rFonts w:cs="Arial"/>
          <w:szCs w:val="24"/>
        </w:rPr>
        <w:t>J. concurred.</w:t>
      </w:r>
    </w:p>
    <w:p w:rsidR="00565134" w:rsidRPr="00735E63" w:rsidRDefault="00565134" w:rsidP="00735E63">
      <w:pPr>
        <w:pStyle w:val="Reasons"/>
      </w:pPr>
      <w:r w:rsidRPr="00735E63">
        <w:t>Appeal allowed with costs.</w:t>
      </w:r>
    </w:p>
    <w:p w:rsidR="00565134" w:rsidRDefault="00565134" w:rsidP="00735E63">
      <w:pPr>
        <w:pStyle w:val="Sollicitors"/>
      </w:pPr>
      <w:r>
        <w:t xml:space="preserve">Solicitor for appellant: </w:t>
      </w:r>
      <w:r>
        <w:rPr>
          <w:iCs/>
          <w:lang w:val="fr-FR"/>
        </w:rPr>
        <w:t xml:space="preserve">C. </w:t>
      </w:r>
      <w:r>
        <w:rPr>
          <w:iCs/>
        </w:rPr>
        <w:t>S. Harrington.</w:t>
      </w:r>
    </w:p>
    <w:p w:rsidR="003824D9" w:rsidRDefault="00565134" w:rsidP="00735E63">
      <w:pPr>
        <w:pStyle w:val="Sollicitors"/>
      </w:pPr>
      <w:r>
        <w:t xml:space="preserve">Solicitor for respondent: </w:t>
      </w:r>
      <w:r>
        <w:rPr>
          <w:iCs/>
        </w:rPr>
        <w:t>H. McD. Henry.</w:t>
      </w:r>
    </w:p>
    <w:sectPr w:rsidR="003824D9" w:rsidSect="005342F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300" w:rsidRDefault="00627300" w:rsidP="005342F5">
      <w:r>
        <w:separator/>
      </w:r>
    </w:p>
  </w:endnote>
  <w:endnote w:type="continuationSeparator" w:id="1">
    <w:p w:rsidR="00627300" w:rsidRDefault="00627300" w:rsidP="005342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F5" w:rsidRDefault="005342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F5" w:rsidRDefault="005342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F5" w:rsidRDefault="00534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300" w:rsidRDefault="00627300" w:rsidP="005342F5">
      <w:r>
        <w:separator/>
      </w:r>
    </w:p>
  </w:footnote>
  <w:footnote w:type="continuationSeparator" w:id="1">
    <w:p w:rsidR="00627300" w:rsidRDefault="00627300" w:rsidP="005342F5">
      <w:r>
        <w:continuationSeparator/>
      </w:r>
    </w:p>
  </w:footnote>
  <w:footnote w:id="2">
    <w:p w:rsidR="00C2528D" w:rsidRPr="00C2528D" w:rsidRDefault="00C2528D">
      <w:pPr>
        <w:pStyle w:val="FootnoteText"/>
        <w:rPr>
          <w:lang w:val="en-US"/>
        </w:rPr>
      </w:pPr>
      <w:r>
        <w:rPr>
          <w:rStyle w:val="FootnoteReference"/>
        </w:rPr>
        <w:footnoteRef/>
      </w:r>
      <w:r>
        <w:t xml:space="preserve"> </w:t>
      </w:r>
      <w:r>
        <w:rPr>
          <w:rFonts w:cs="Arial"/>
          <w:szCs w:val="24"/>
        </w:rPr>
        <w:t>21 N. S. Rep. 184.</w:t>
      </w:r>
    </w:p>
  </w:footnote>
  <w:footnote w:id="3">
    <w:p w:rsidR="00C2528D" w:rsidRPr="00C2528D" w:rsidRDefault="00C2528D">
      <w:pPr>
        <w:pStyle w:val="FootnoteText"/>
        <w:rPr>
          <w:lang w:val="en-US"/>
        </w:rPr>
      </w:pPr>
      <w:r>
        <w:rPr>
          <w:rStyle w:val="FootnoteReference"/>
        </w:rPr>
        <w:footnoteRef/>
      </w:r>
      <w:r>
        <w:t xml:space="preserve"> </w:t>
      </w:r>
      <w:r>
        <w:rPr>
          <w:rFonts w:cs="Arial"/>
          <w:szCs w:val="24"/>
        </w:rPr>
        <w:t>3 P. Wms. 249; 2 White &amp; Tudor's L.C. 6 ed. p. 214.</w:t>
      </w:r>
    </w:p>
  </w:footnote>
  <w:footnote w:id="4">
    <w:p w:rsidR="00C2528D" w:rsidRPr="00C2528D" w:rsidRDefault="00C2528D">
      <w:pPr>
        <w:pStyle w:val="FootnoteText"/>
        <w:rPr>
          <w:lang w:val="en-US"/>
        </w:rPr>
      </w:pPr>
      <w:r>
        <w:rPr>
          <w:rStyle w:val="FootnoteReference"/>
        </w:rPr>
        <w:footnoteRef/>
      </w:r>
      <w:r>
        <w:t xml:space="preserve"> </w:t>
      </w:r>
      <w:r>
        <w:rPr>
          <w:rFonts w:cs="Arial"/>
          <w:szCs w:val="24"/>
        </w:rPr>
        <w:t>8 ed. p. 1860.</w:t>
      </w:r>
    </w:p>
  </w:footnote>
  <w:footnote w:id="5">
    <w:p w:rsidR="00C2528D" w:rsidRPr="00C2528D" w:rsidRDefault="00C2528D">
      <w:pPr>
        <w:pStyle w:val="FootnoteText"/>
        <w:rPr>
          <w:lang w:val="en-US"/>
        </w:rPr>
      </w:pPr>
      <w:r>
        <w:rPr>
          <w:rStyle w:val="FootnoteReference"/>
        </w:rPr>
        <w:footnoteRef/>
      </w:r>
      <w:r>
        <w:t xml:space="preserve"> </w:t>
      </w:r>
      <w:r>
        <w:rPr>
          <w:rFonts w:cs="Arial"/>
          <w:szCs w:val="24"/>
        </w:rPr>
        <w:t xml:space="preserve">8 ed. c. 24 p. 627 </w:t>
      </w:r>
      <w:r>
        <w:rPr>
          <w:rFonts w:cs="Arial"/>
          <w:i/>
          <w:iCs/>
          <w:szCs w:val="24"/>
          <w:lang w:val="fr-FR"/>
        </w:rPr>
        <w:t xml:space="preserve">et </w:t>
      </w:r>
      <w:r>
        <w:rPr>
          <w:rFonts w:cs="Arial"/>
          <w:i/>
          <w:iCs/>
          <w:szCs w:val="24"/>
        </w:rPr>
        <w:t>seq.</w:t>
      </w:r>
    </w:p>
  </w:footnote>
  <w:footnote w:id="6">
    <w:p w:rsidR="00C2528D" w:rsidRPr="00C2528D" w:rsidRDefault="00C2528D">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2 Eq. 789.</w:t>
      </w:r>
    </w:p>
  </w:footnote>
  <w:footnote w:id="7">
    <w:p w:rsidR="00C2528D" w:rsidRPr="00C2528D" w:rsidRDefault="00C2528D">
      <w:pPr>
        <w:pStyle w:val="FootnoteText"/>
        <w:rPr>
          <w:lang w:val="en-US"/>
        </w:rPr>
      </w:pPr>
      <w:r>
        <w:rPr>
          <w:rStyle w:val="FootnoteReference"/>
        </w:rPr>
        <w:footnoteRef/>
      </w:r>
      <w:r>
        <w:t xml:space="preserve"> </w:t>
      </w:r>
      <w:r>
        <w:rPr>
          <w:rFonts w:cs="Arial"/>
          <w:szCs w:val="24"/>
        </w:rPr>
        <w:t>James 287.</w:t>
      </w:r>
    </w:p>
  </w:footnote>
  <w:footnote w:id="8">
    <w:p w:rsidR="00C2528D" w:rsidRPr="00C2528D" w:rsidRDefault="00C2528D">
      <w:pPr>
        <w:pStyle w:val="FootnoteText"/>
        <w:rPr>
          <w:lang w:val="en-US"/>
        </w:rPr>
      </w:pPr>
      <w:r>
        <w:rPr>
          <w:rStyle w:val="FootnoteReference"/>
        </w:rPr>
        <w:footnoteRef/>
      </w:r>
      <w:r>
        <w:t xml:space="preserve"> </w:t>
      </w:r>
      <w:r w:rsidRPr="00663CF6">
        <w:rPr>
          <w:rFonts w:cs="Arial"/>
          <w:iCs/>
          <w:szCs w:val="24"/>
        </w:rPr>
        <w:t>2</w:t>
      </w:r>
      <w:r w:rsidRPr="00663CF6">
        <w:rPr>
          <w:rFonts w:cs="Arial"/>
          <w:szCs w:val="24"/>
        </w:rPr>
        <w:t xml:space="preserve"> </w:t>
      </w:r>
      <w:r>
        <w:rPr>
          <w:rFonts w:cs="Arial"/>
          <w:szCs w:val="24"/>
        </w:rPr>
        <w:t>U.C.Q.B. 82.</w:t>
      </w:r>
    </w:p>
  </w:footnote>
  <w:footnote w:id="9">
    <w:p w:rsidR="00C2528D" w:rsidRPr="00C2528D" w:rsidRDefault="00C2528D">
      <w:pPr>
        <w:pStyle w:val="FootnoteText"/>
        <w:rPr>
          <w:lang w:val="en-US"/>
        </w:rPr>
      </w:pPr>
      <w:r>
        <w:rPr>
          <w:rStyle w:val="FootnoteReference"/>
        </w:rPr>
        <w:footnoteRef/>
      </w:r>
      <w:r>
        <w:t xml:space="preserve"> </w:t>
      </w:r>
      <w:r>
        <w:rPr>
          <w:rFonts w:cs="Arial"/>
          <w:szCs w:val="24"/>
        </w:rPr>
        <w:t>4 Allen (N.B.) 604.</w:t>
      </w:r>
    </w:p>
  </w:footnote>
  <w:footnote w:id="10">
    <w:p w:rsidR="00C2528D" w:rsidRPr="00C2528D" w:rsidRDefault="00C2528D">
      <w:pPr>
        <w:pStyle w:val="FootnoteText"/>
        <w:rPr>
          <w:lang w:val="en-US"/>
        </w:rPr>
      </w:pPr>
      <w:r>
        <w:rPr>
          <w:rStyle w:val="FootnoteReference"/>
        </w:rPr>
        <w:footnoteRef/>
      </w:r>
      <w:r>
        <w:t xml:space="preserve"> </w:t>
      </w:r>
      <w:r>
        <w:rPr>
          <w:rFonts w:cs="Arial"/>
          <w:szCs w:val="24"/>
        </w:rPr>
        <w:t>2 Allen (N.B.) 473.</w:t>
      </w:r>
    </w:p>
  </w:footnote>
  <w:footnote w:id="11">
    <w:p w:rsidR="00C2528D" w:rsidRPr="00C2528D" w:rsidRDefault="00C2528D">
      <w:pPr>
        <w:pStyle w:val="FootnoteText"/>
        <w:rPr>
          <w:lang w:val="en-US"/>
        </w:rPr>
      </w:pPr>
      <w:r>
        <w:rPr>
          <w:rStyle w:val="FootnoteReference"/>
        </w:rPr>
        <w:footnoteRef/>
      </w:r>
      <w:r>
        <w:t xml:space="preserve"> </w:t>
      </w:r>
      <w:r>
        <w:rPr>
          <w:rFonts w:cs="Arial"/>
          <w:szCs w:val="24"/>
        </w:rPr>
        <w:t>20 Gr. 258.</w:t>
      </w:r>
    </w:p>
  </w:footnote>
  <w:footnote w:id="12">
    <w:p w:rsidR="00C2528D" w:rsidRPr="00C2528D" w:rsidRDefault="00C2528D">
      <w:pPr>
        <w:pStyle w:val="FootnoteText"/>
        <w:rPr>
          <w:lang w:val="en-US"/>
        </w:rPr>
      </w:pPr>
      <w:r>
        <w:rPr>
          <w:rStyle w:val="FootnoteReference"/>
        </w:rPr>
        <w:footnoteRef/>
      </w:r>
      <w:r>
        <w:t xml:space="preserve"> </w:t>
      </w:r>
      <w:r>
        <w:rPr>
          <w:rFonts w:cs="Arial"/>
          <w:szCs w:val="24"/>
        </w:rPr>
        <w:t xml:space="preserve">14 App. </w:t>
      </w:r>
      <w:r>
        <w:rPr>
          <w:rFonts w:cs="Arial"/>
          <w:szCs w:val="24"/>
          <w:lang w:val="fr-FR"/>
        </w:rPr>
        <w:t xml:space="preserve">Cas. </w:t>
      </w:r>
      <w:r>
        <w:rPr>
          <w:rFonts w:cs="Arial"/>
          <w:szCs w:val="24"/>
        </w:rPr>
        <w:t>209.</w:t>
      </w:r>
    </w:p>
  </w:footnote>
  <w:footnote w:id="13">
    <w:p w:rsidR="00C2528D" w:rsidRPr="00C2528D" w:rsidRDefault="00C2528D">
      <w:pPr>
        <w:pStyle w:val="FootnoteText"/>
        <w:rPr>
          <w:lang w:val="en-US"/>
        </w:rPr>
      </w:pPr>
      <w:r>
        <w:rPr>
          <w:rStyle w:val="FootnoteReference"/>
        </w:rPr>
        <w:footnoteRef/>
      </w:r>
      <w:r>
        <w:t xml:space="preserve"> </w:t>
      </w:r>
      <w:r>
        <w:rPr>
          <w:rFonts w:cs="Arial"/>
          <w:szCs w:val="24"/>
        </w:rPr>
        <w:t xml:space="preserve">3 </w:t>
      </w:r>
      <w:r>
        <w:rPr>
          <w:rFonts w:cs="Arial"/>
          <w:szCs w:val="24"/>
          <w:lang w:val="fr-FR"/>
        </w:rPr>
        <w:t xml:space="preserve">Mer. </w:t>
      </w:r>
      <w:r>
        <w:rPr>
          <w:rFonts w:cs="Arial"/>
          <w:szCs w:val="24"/>
        </w:rPr>
        <w:t>24.</w:t>
      </w:r>
    </w:p>
  </w:footnote>
  <w:footnote w:id="14">
    <w:p w:rsidR="00C2528D" w:rsidRPr="00C2528D" w:rsidRDefault="00C2528D">
      <w:pPr>
        <w:pStyle w:val="FootnoteText"/>
        <w:rPr>
          <w:lang w:val="en-US"/>
        </w:rPr>
      </w:pPr>
      <w:r>
        <w:rPr>
          <w:rStyle w:val="FootnoteReference"/>
        </w:rPr>
        <w:footnoteRef/>
      </w:r>
      <w:r>
        <w:t xml:space="preserve"> </w:t>
      </w:r>
      <w:r>
        <w:rPr>
          <w:rFonts w:cs="Arial"/>
          <w:szCs w:val="24"/>
        </w:rPr>
        <w:t>15 Gr. 103.</w:t>
      </w:r>
    </w:p>
  </w:footnote>
  <w:footnote w:id="15">
    <w:p w:rsidR="00C2528D" w:rsidRPr="00C2528D" w:rsidRDefault="00C2528D">
      <w:pPr>
        <w:pStyle w:val="FootnoteText"/>
        <w:rPr>
          <w:lang w:val="en-US"/>
        </w:rPr>
      </w:pPr>
      <w:r>
        <w:rPr>
          <w:rStyle w:val="FootnoteReference"/>
        </w:rPr>
        <w:footnoteRef/>
      </w:r>
      <w:r>
        <w:t xml:space="preserve"> </w:t>
      </w:r>
      <w:r>
        <w:rPr>
          <w:rFonts w:cs="Arial"/>
          <w:szCs w:val="24"/>
        </w:rPr>
        <w:t>20 Gr. 258.</w:t>
      </w:r>
    </w:p>
  </w:footnote>
  <w:footnote w:id="16">
    <w:p w:rsidR="00C2528D" w:rsidRPr="00C2528D" w:rsidRDefault="00C2528D">
      <w:pPr>
        <w:pStyle w:val="FootnoteText"/>
        <w:rPr>
          <w:lang w:val="en-US"/>
        </w:rPr>
      </w:pPr>
      <w:r>
        <w:rPr>
          <w:rStyle w:val="FootnoteReference"/>
        </w:rPr>
        <w:footnoteRef/>
      </w:r>
      <w:r>
        <w:t xml:space="preserve"> </w:t>
      </w:r>
      <w:r>
        <w:rPr>
          <w:rFonts w:cs="Arial"/>
          <w:szCs w:val="24"/>
        </w:rPr>
        <w:t xml:space="preserve">1 Johns. </w:t>
      </w:r>
      <w:r>
        <w:rPr>
          <w:rFonts w:cs="Arial"/>
          <w:szCs w:val="24"/>
          <w:lang w:val="fr-FR"/>
        </w:rPr>
        <w:t xml:space="preserve">Ch. </w:t>
      </w:r>
      <w:r>
        <w:rPr>
          <w:rFonts w:cs="Arial"/>
          <w:szCs w:val="24"/>
        </w:rPr>
        <w:t>26 at p. 36.</w:t>
      </w:r>
    </w:p>
  </w:footnote>
  <w:footnote w:id="17">
    <w:p w:rsidR="00C2528D" w:rsidRPr="00C2528D" w:rsidRDefault="00C2528D">
      <w:pPr>
        <w:pStyle w:val="FootnoteText"/>
        <w:rPr>
          <w:lang w:val="en-US"/>
        </w:rPr>
      </w:pPr>
      <w:r>
        <w:rPr>
          <w:rStyle w:val="FootnoteReference"/>
        </w:rPr>
        <w:footnoteRef/>
      </w:r>
      <w:r>
        <w:t xml:space="preserve"> </w:t>
      </w:r>
      <w:r>
        <w:rPr>
          <w:rFonts w:cs="Arial"/>
          <w:szCs w:val="24"/>
        </w:rPr>
        <w:t xml:space="preserve">1 Johns. </w:t>
      </w:r>
      <w:r>
        <w:rPr>
          <w:rFonts w:cs="Arial"/>
          <w:szCs w:val="24"/>
          <w:lang w:val="fr-FR"/>
        </w:rPr>
        <w:t xml:space="preserve">Ch. </w:t>
      </w:r>
      <w:r>
        <w:rPr>
          <w:rFonts w:cs="Arial"/>
          <w:szCs w:val="24"/>
        </w:rPr>
        <w:t>527.</w:t>
      </w:r>
    </w:p>
  </w:footnote>
  <w:footnote w:id="18">
    <w:p w:rsidR="00C2528D" w:rsidRPr="00C2528D" w:rsidRDefault="00C2528D">
      <w:pPr>
        <w:pStyle w:val="FootnoteText"/>
        <w:rPr>
          <w:lang w:val="en-US"/>
        </w:rPr>
      </w:pPr>
      <w:r>
        <w:rPr>
          <w:rStyle w:val="FootnoteReference"/>
        </w:rPr>
        <w:footnoteRef/>
      </w:r>
      <w:r>
        <w:t xml:space="preserve"> </w:t>
      </w:r>
      <w:r>
        <w:rPr>
          <w:rFonts w:cs="Arial"/>
          <w:szCs w:val="24"/>
        </w:rPr>
        <w:t>4 Ed. sec. 12, 263.</w:t>
      </w:r>
    </w:p>
  </w:footnote>
  <w:footnote w:id="19">
    <w:p w:rsidR="00C2528D" w:rsidRPr="00C2528D" w:rsidRDefault="00C2528D">
      <w:pPr>
        <w:pStyle w:val="FootnoteText"/>
        <w:rPr>
          <w:lang w:val="en-US"/>
        </w:rPr>
      </w:pPr>
      <w:r>
        <w:rPr>
          <w:rStyle w:val="FootnoteReference"/>
        </w:rPr>
        <w:footnoteRef/>
      </w:r>
      <w:r>
        <w:t xml:space="preserve"> </w:t>
      </w:r>
      <w:r>
        <w:rPr>
          <w:rFonts w:cs="Arial"/>
          <w:szCs w:val="24"/>
        </w:rPr>
        <w:t>P. 246.</w:t>
      </w:r>
    </w:p>
  </w:footnote>
  <w:footnote w:id="20">
    <w:p w:rsidR="00C2528D" w:rsidRPr="00C2528D" w:rsidRDefault="00C2528D">
      <w:pPr>
        <w:pStyle w:val="FootnoteText"/>
        <w:rPr>
          <w:lang w:val="en-US"/>
        </w:rPr>
      </w:pPr>
      <w:r>
        <w:rPr>
          <w:rStyle w:val="FootnoteReference"/>
        </w:rPr>
        <w:footnoteRef/>
      </w:r>
      <w:r>
        <w:t xml:space="preserve"> </w:t>
      </w:r>
      <w:r>
        <w:rPr>
          <w:rFonts w:cs="Arial"/>
          <w:szCs w:val="24"/>
        </w:rPr>
        <w:t>13 Met. (Mass.) 51.</w:t>
      </w:r>
    </w:p>
  </w:footnote>
  <w:footnote w:id="21">
    <w:p w:rsidR="00C2528D" w:rsidRPr="00C2528D" w:rsidRDefault="00C2528D">
      <w:pPr>
        <w:pStyle w:val="FootnoteText"/>
        <w:rPr>
          <w:lang w:val="en-US"/>
        </w:rPr>
      </w:pPr>
      <w:r>
        <w:rPr>
          <w:rStyle w:val="FootnoteReference"/>
        </w:rPr>
        <w:footnoteRef/>
      </w:r>
      <w:r>
        <w:t xml:space="preserve"> </w:t>
      </w:r>
      <w:r>
        <w:rPr>
          <w:rFonts w:cs="Arial"/>
          <w:szCs w:val="24"/>
        </w:rPr>
        <w:t>14 Gray 114.</w:t>
      </w:r>
    </w:p>
  </w:footnote>
  <w:footnote w:id="22">
    <w:p w:rsidR="00C2528D" w:rsidRPr="00C2528D" w:rsidRDefault="00C2528D">
      <w:pPr>
        <w:pStyle w:val="FootnoteText"/>
        <w:rPr>
          <w:lang w:val="en-US"/>
        </w:rPr>
      </w:pPr>
      <w:r>
        <w:rPr>
          <w:rStyle w:val="FootnoteReference"/>
        </w:rPr>
        <w:footnoteRef/>
      </w:r>
      <w:r>
        <w:t xml:space="preserve"> </w:t>
      </w:r>
      <w:r>
        <w:rPr>
          <w:rFonts w:cs="Arial"/>
          <w:szCs w:val="24"/>
        </w:rPr>
        <w:t>10 Cush. 1.</w:t>
      </w:r>
    </w:p>
  </w:footnote>
  <w:footnote w:id="23">
    <w:p w:rsidR="00C2528D" w:rsidRPr="00C2528D" w:rsidRDefault="00C2528D">
      <w:pPr>
        <w:pStyle w:val="FootnoteText"/>
        <w:rPr>
          <w:lang w:val="en-US"/>
        </w:rPr>
      </w:pPr>
      <w:r>
        <w:rPr>
          <w:rStyle w:val="FootnoteReference"/>
        </w:rPr>
        <w:footnoteRef/>
      </w:r>
      <w:r>
        <w:t xml:space="preserve"> </w:t>
      </w:r>
      <w:r>
        <w:rPr>
          <w:rFonts w:cs="Arial"/>
          <w:szCs w:val="24"/>
        </w:rPr>
        <w:t>1 P. Wms. 140.</w:t>
      </w:r>
    </w:p>
  </w:footnote>
  <w:footnote w:id="24">
    <w:p w:rsidR="00C2528D" w:rsidRPr="00C2528D" w:rsidRDefault="00C2528D">
      <w:pPr>
        <w:pStyle w:val="FootnoteText"/>
        <w:rPr>
          <w:lang w:val="en-US"/>
        </w:rPr>
      </w:pPr>
      <w:r>
        <w:rPr>
          <w:rStyle w:val="FootnoteReference"/>
        </w:rPr>
        <w:footnoteRef/>
      </w:r>
      <w:r>
        <w:t xml:space="preserve"> </w:t>
      </w:r>
      <w:r>
        <w:rPr>
          <w:rFonts w:cs="Arial"/>
          <w:szCs w:val="24"/>
        </w:rPr>
        <w:t>4 DeG.J. &amp; S. 452.</w:t>
      </w:r>
    </w:p>
  </w:footnote>
  <w:footnote w:id="25">
    <w:p w:rsidR="00C2528D" w:rsidRPr="00C2528D" w:rsidRDefault="00C2528D">
      <w:pPr>
        <w:pStyle w:val="FootnoteText"/>
        <w:rPr>
          <w:lang w:val="en-US"/>
        </w:rPr>
      </w:pPr>
      <w:r>
        <w:rPr>
          <w:rStyle w:val="FootnoteReference"/>
        </w:rPr>
        <w:footnoteRef/>
      </w:r>
      <w:r>
        <w:t xml:space="preserve"> </w:t>
      </w:r>
      <w:r>
        <w:rPr>
          <w:rFonts w:cs="Arial"/>
          <w:szCs w:val="24"/>
        </w:rPr>
        <w:t>9 Ves. 254.</w:t>
      </w:r>
    </w:p>
  </w:footnote>
  <w:footnote w:id="26">
    <w:p w:rsidR="00C2528D" w:rsidRPr="00C2528D" w:rsidRDefault="00C2528D">
      <w:pPr>
        <w:pStyle w:val="FootnoteText"/>
        <w:rPr>
          <w:lang w:val="en-US"/>
        </w:rPr>
      </w:pPr>
      <w:r>
        <w:rPr>
          <w:rStyle w:val="FootnoteReference"/>
        </w:rPr>
        <w:footnoteRef/>
      </w:r>
      <w:r>
        <w:t xml:space="preserve"> </w:t>
      </w:r>
      <w:r>
        <w:rPr>
          <w:rFonts w:cs="Arial"/>
          <w:szCs w:val="24"/>
        </w:rPr>
        <w:t>1 Moo. P.C. 15.</w:t>
      </w:r>
    </w:p>
  </w:footnote>
  <w:footnote w:id="27">
    <w:p w:rsidR="00C2528D" w:rsidRPr="00C2528D" w:rsidRDefault="00C2528D">
      <w:pPr>
        <w:pStyle w:val="FootnoteText"/>
        <w:rPr>
          <w:lang w:val="en-US"/>
        </w:rPr>
      </w:pPr>
      <w:r>
        <w:rPr>
          <w:rStyle w:val="FootnoteReference"/>
        </w:rPr>
        <w:footnoteRef/>
      </w:r>
      <w:r>
        <w:t xml:space="preserve"> </w:t>
      </w:r>
      <w:r>
        <w:rPr>
          <w:rFonts w:cs="Arial"/>
          <w:szCs w:val="24"/>
        </w:rPr>
        <w:t>4 Ves. 72.</w:t>
      </w:r>
    </w:p>
  </w:footnote>
  <w:footnote w:id="28">
    <w:p w:rsidR="00C2528D" w:rsidRPr="00C2528D" w:rsidRDefault="00C2528D">
      <w:pPr>
        <w:pStyle w:val="FootnoteText"/>
        <w:rPr>
          <w:lang w:val="en-US"/>
        </w:rPr>
      </w:pPr>
      <w:r>
        <w:rPr>
          <w:rStyle w:val="FootnoteReference"/>
        </w:rPr>
        <w:footnoteRef/>
      </w:r>
      <w:r>
        <w:t xml:space="preserve"> </w:t>
      </w:r>
      <w:r>
        <w:rPr>
          <w:rFonts w:cs="Arial"/>
          <w:szCs w:val="24"/>
        </w:rPr>
        <w:t>James 287.</w:t>
      </w:r>
    </w:p>
  </w:footnote>
  <w:footnote w:id="29">
    <w:p w:rsidR="00C2528D" w:rsidRPr="00C2528D" w:rsidRDefault="00C2528D">
      <w:pPr>
        <w:pStyle w:val="FootnoteText"/>
        <w:rPr>
          <w:lang w:val="en-US"/>
        </w:rPr>
      </w:pPr>
      <w:r>
        <w:rPr>
          <w:rStyle w:val="FootnoteReference"/>
        </w:rPr>
        <w:footnoteRef/>
      </w:r>
      <w:r>
        <w:t xml:space="preserve"> </w:t>
      </w:r>
      <w:r>
        <w:rPr>
          <w:rFonts w:cs="Arial"/>
          <w:szCs w:val="24"/>
        </w:rPr>
        <w:t>James 141.</w:t>
      </w:r>
    </w:p>
  </w:footnote>
  <w:footnote w:id="30">
    <w:p w:rsidR="00C2528D" w:rsidRPr="00C2528D" w:rsidRDefault="00C2528D">
      <w:pPr>
        <w:pStyle w:val="FootnoteText"/>
        <w:rPr>
          <w:lang w:val="en-US"/>
        </w:rPr>
      </w:pPr>
      <w:r>
        <w:rPr>
          <w:rStyle w:val="FootnoteReference"/>
        </w:rPr>
        <w:footnoteRef/>
      </w:r>
      <w:r>
        <w:t xml:space="preserve"> </w:t>
      </w:r>
      <w:r>
        <w:rPr>
          <w:rFonts w:cs="Arial"/>
          <w:szCs w:val="24"/>
        </w:rPr>
        <w:t>James 405.</w:t>
      </w:r>
    </w:p>
  </w:footnote>
  <w:footnote w:id="31">
    <w:p w:rsidR="00C2528D" w:rsidRPr="00C2528D" w:rsidRDefault="00C2528D">
      <w:pPr>
        <w:pStyle w:val="FootnoteText"/>
        <w:rPr>
          <w:lang w:val="en-US"/>
        </w:rPr>
      </w:pPr>
      <w:r>
        <w:rPr>
          <w:rStyle w:val="FootnoteReference"/>
        </w:rPr>
        <w:footnoteRef/>
      </w:r>
      <w:r>
        <w:t xml:space="preserve"> </w:t>
      </w:r>
      <w:r>
        <w:rPr>
          <w:rFonts w:cs="Arial"/>
          <w:szCs w:val="24"/>
        </w:rPr>
        <w:t>16 Mass. 221.</w:t>
      </w:r>
    </w:p>
  </w:footnote>
  <w:footnote w:id="32">
    <w:p w:rsidR="00C2528D" w:rsidRPr="00C2528D" w:rsidRDefault="00C2528D">
      <w:pPr>
        <w:pStyle w:val="FootnoteText"/>
        <w:rPr>
          <w:lang w:val="en-US"/>
        </w:rPr>
      </w:pPr>
      <w:r>
        <w:rPr>
          <w:rStyle w:val="FootnoteReference"/>
        </w:rPr>
        <w:footnoteRef/>
      </w:r>
      <w:r>
        <w:t xml:space="preserve"> </w:t>
      </w:r>
      <w:r>
        <w:rPr>
          <w:rFonts w:cs="Arial"/>
          <w:szCs w:val="24"/>
        </w:rPr>
        <w:t>17 Am. Dec. 266.</w:t>
      </w:r>
    </w:p>
  </w:footnote>
  <w:footnote w:id="33">
    <w:p w:rsidR="00C2528D" w:rsidRPr="00C2528D" w:rsidRDefault="00C2528D">
      <w:pPr>
        <w:pStyle w:val="FootnoteText"/>
        <w:rPr>
          <w:lang w:val="en-US"/>
        </w:rPr>
      </w:pPr>
      <w:r>
        <w:rPr>
          <w:rStyle w:val="FootnoteReference"/>
        </w:rPr>
        <w:footnoteRef/>
      </w:r>
      <w:r>
        <w:t xml:space="preserve"> </w:t>
      </w:r>
      <w:r>
        <w:rPr>
          <w:rFonts w:cs="Arial"/>
          <w:szCs w:val="24"/>
        </w:rPr>
        <w:t>5 Sim. 500.</w:t>
      </w:r>
    </w:p>
  </w:footnote>
  <w:footnote w:id="34">
    <w:p w:rsidR="00C2528D" w:rsidRPr="00C2528D" w:rsidRDefault="00C2528D">
      <w:pPr>
        <w:pStyle w:val="FootnoteText"/>
        <w:rPr>
          <w:lang w:val="en-US"/>
        </w:rPr>
      </w:pPr>
      <w:r>
        <w:rPr>
          <w:rStyle w:val="FootnoteReference"/>
        </w:rPr>
        <w:footnoteRef/>
      </w:r>
      <w:r>
        <w:t xml:space="preserve"> </w:t>
      </w:r>
      <w:r>
        <w:rPr>
          <w:rFonts w:cs="Arial"/>
          <w:szCs w:val="24"/>
        </w:rPr>
        <w:t>19 Beav. 409.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F5" w:rsidRDefault="005342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F5" w:rsidRDefault="005342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F5" w:rsidRDefault="00534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E232554C">
      <w:start w:val="1"/>
      <w:numFmt w:val="decimal"/>
      <w:pStyle w:val="ParagNum"/>
      <w:lvlText w:val="[%1]"/>
      <w:lvlJc w:val="left"/>
      <w:pPr>
        <w:tabs>
          <w:tab w:val="num" w:pos="369"/>
        </w:tabs>
        <w:ind w:left="369" w:hanging="369"/>
      </w:pPr>
    </w:lvl>
    <w:lvl w:ilvl="1" w:tplc="B60A2DE8" w:tentative="1">
      <w:start w:val="1"/>
      <w:numFmt w:val="lowerLetter"/>
      <w:lvlText w:val="%2."/>
      <w:lvlJc w:val="left"/>
      <w:pPr>
        <w:tabs>
          <w:tab w:val="num" w:pos="1440"/>
        </w:tabs>
        <w:ind w:left="1440" w:hanging="360"/>
      </w:pPr>
    </w:lvl>
    <w:lvl w:ilvl="2" w:tplc="96941E58" w:tentative="1">
      <w:start w:val="1"/>
      <w:numFmt w:val="lowerRoman"/>
      <w:lvlText w:val="%3."/>
      <w:lvlJc w:val="right"/>
      <w:pPr>
        <w:tabs>
          <w:tab w:val="num" w:pos="2160"/>
        </w:tabs>
        <w:ind w:left="2160" w:hanging="180"/>
      </w:pPr>
    </w:lvl>
    <w:lvl w:ilvl="3" w:tplc="5CB05CE4" w:tentative="1">
      <w:start w:val="1"/>
      <w:numFmt w:val="decimal"/>
      <w:lvlText w:val="%4."/>
      <w:lvlJc w:val="left"/>
      <w:pPr>
        <w:tabs>
          <w:tab w:val="num" w:pos="2880"/>
        </w:tabs>
        <w:ind w:left="2880" w:hanging="360"/>
      </w:pPr>
    </w:lvl>
    <w:lvl w:ilvl="4" w:tplc="E9DAD210" w:tentative="1">
      <w:start w:val="1"/>
      <w:numFmt w:val="lowerLetter"/>
      <w:lvlText w:val="%5."/>
      <w:lvlJc w:val="left"/>
      <w:pPr>
        <w:tabs>
          <w:tab w:val="num" w:pos="3600"/>
        </w:tabs>
        <w:ind w:left="3600" w:hanging="360"/>
      </w:pPr>
    </w:lvl>
    <w:lvl w:ilvl="5" w:tplc="3474A404" w:tentative="1">
      <w:start w:val="1"/>
      <w:numFmt w:val="lowerRoman"/>
      <w:lvlText w:val="%6."/>
      <w:lvlJc w:val="right"/>
      <w:pPr>
        <w:tabs>
          <w:tab w:val="num" w:pos="4320"/>
        </w:tabs>
        <w:ind w:left="4320" w:hanging="180"/>
      </w:pPr>
    </w:lvl>
    <w:lvl w:ilvl="6" w:tplc="9FF056E0" w:tentative="1">
      <w:start w:val="1"/>
      <w:numFmt w:val="decimal"/>
      <w:lvlText w:val="%7."/>
      <w:lvlJc w:val="left"/>
      <w:pPr>
        <w:tabs>
          <w:tab w:val="num" w:pos="5040"/>
        </w:tabs>
        <w:ind w:left="5040" w:hanging="360"/>
      </w:pPr>
    </w:lvl>
    <w:lvl w:ilvl="7" w:tplc="6C102F08" w:tentative="1">
      <w:start w:val="1"/>
      <w:numFmt w:val="lowerLetter"/>
      <w:lvlText w:val="%8."/>
      <w:lvlJc w:val="left"/>
      <w:pPr>
        <w:tabs>
          <w:tab w:val="num" w:pos="5760"/>
        </w:tabs>
        <w:ind w:left="5760" w:hanging="360"/>
      </w:pPr>
    </w:lvl>
    <w:lvl w:ilvl="8" w:tplc="AAB0D3D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5134"/>
    <w:rsid w:val="00013FDA"/>
    <w:rsid w:val="000173FB"/>
    <w:rsid w:val="000655EC"/>
    <w:rsid w:val="00077D2F"/>
    <w:rsid w:val="0008547A"/>
    <w:rsid w:val="000B6688"/>
    <w:rsid w:val="000C3415"/>
    <w:rsid w:val="000F5DA4"/>
    <w:rsid w:val="00121409"/>
    <w:rsid w:val="00125F0C"/>
    <w:rsid w:val="00126A8E"/>
    <w:rsid w:val="001459BA"/>
    <w:rsid w:val="001505EE"/>
    <w:rsid w:val="001837F3"/>
    <w:rsid w:val="00196901"/>
    <w:rsid w:val="001D0D42"/>
    <w:rsid w:val="001D5C4A"/>
    <w:rsid w:val="001F37FF"/>
    <w:rsid w:val="001F6A76"/>
    <w:rsid w:val="002209AC"/>
    <w:rsid w:val="002428EB"/>
    <w:rsid w:val="002A74DD"/>
    <w:rsid w:val="002B30C5"/>
    <w:rsid w:val="002C186C"/>
    <w:rsid w:val="002D5E01"/>
    <w:rsid w:val="002F4F64"/>
    <w:rsid w:val="002F7D00"/>
    <w:rsid w:val="00361108"/>
    <w:rsid w:val="003824D9"/>
    <w:rsid w:val="003E325D"/>
    <w:rsid w:val="003E5AF5"/>
    <w:rsid w:val="003F602F"/>
    <w:rsid w:val="004277EE"/>
    <w:rsid w:val="0043543D"/>
    <w:rsid w:val="00442713"/>
    <w:rsid w:val="00457BC5"/>
    <w:rsid w:val="00463F5F"/>
    <w:rsid w:val="00482CDC"/>
    <w:rsid w:val="00493124"/>
    <w:rsid w:val="004C7ED4"/>
    <w:rsid w:val="00511D93"/>
    <w:rsid w:val="00514003"/>
    <w:rsid w:val="005342F5"/>
    <w:rsid w:val="00537980"/>
    <w:rsid w:val="00563767"/>
    <w:rsid w:val="00565134"/>
    <w:rsid w:val="005667DA"/>
    <w:rsid w:val="00593052"/>
    <w:rsid w:val="00593C8B"/>
    <w:rsid w:val="005E31D8"/>
    <w:rsid w:val="00627300"/>
    <w:rsid w:val="00644967"/>
    <w:rsid w:val="006D2BED"/>
    <w:rsid w:val="006D6F42"/>
    <w:rsid w:val="006E5FEA"/>
    <w:rsid w:val="00735E63"/>
    <w:rsid w:val="00747F2C"/>
    <w:rsid w:val="00751F7D"/>
    <w:rsid w:val="00774CAE"/>
    <w:rsid w:val="007969C4"/>
    <w:rsid w:val="007B3A90"/>
    <w:rsid w:val="007D6DD5"/>
    <w:rsid w:val="008027F3"/>
    <w:rsid w:val="008433A9"/>
    <w:rsid w:val="008550EF"/>
    <w:rsid w:val="00872F75"/>
    <w:rsid w:val="00880FBB"/>
    <w:rsid w:val="008B0B7A"/>
    <w:rsid w:val="009115A3"/>
    <w:rsid w:val="00926406"/>
    <w:rsid w:val="009A7B1B"/>
    <w:rsid w:val="009D37B6"/>
    <w:rsid w:val="009E64DC"/>
    <w:rsid w:val="00A42830"/>
    <w:rsid w:val="00A4371F"/>
    <w:rsid w:val="00A54E5B"/>
    <w:rsid w:val="00A61128"/>
    <w:rsid w:val="00A94C52"/>
    <w:rsid w:val="00AB09B8"/>
    <w:rsid w:val="00AB3726"/>
    <w:rsid w:val="00B007EC"/>
    <w:rsid w:val="00B177F7"/>
    <w:rsid w:val="00B36201"/>
    <w:rsid w:val="00B41B49"/>
    <w:rsid w:val="00B532F0"/>
    <w:rsid w:val="00B639A4"/>
    <w:rsid w:val="00B772A6"/>
    <w:rsid w:val="00BC4595"/>
    <w:rsid w:val="00C2528D"/>
    <w:rsid w:val="00C372DF"/>
    <w:rsid w:val="00C45FBD"/>
    <w:rsid w:val="00C54EB9"/>
    <w:rsid w:val="00C7016B"/>
    <w:rsid w:val="00C93FA5"/>
    <w:rsid w:val="00CB726B"/>
    <w:rsid w:val="00CC50DD"/>
    <w:rsid w:val="00CD1289"/>
    <w:rsid w:val="00CD1F09"/>
    <w:rsid w:val="00CD2316"/>
    <w:rsid w:val="00CD50FC"/>
    <w:rsid w:val="00CE2A11"/>
    <w:rsid w:val="00CF1E48"/>
    <w:rsid w:val="00D00550"/>
    <w:rsid w:val="00D306D2"/>
    <w:rsid w:val="00D45866"/>
    <w:rsid w:val="00D9036C"/>
    <w:rsid w:val="00DB48A3"/>
    <w:rsid w:val="00DC4119"/>
    <w:rsid w:val="00DE30DC"/>
    <w:rsid w:val="00E1124B"/>
    <w:rsid w:val="00E114A9"/>
    <w:rsid w:val="00E117BD"/>
    <w:rsid w:val="00E30F5A"/>
    <w:rsid w:val="00E40016"/>
    <w:rsid w:val="00E407E4"/>
    <w:rsid w:val="00E43349"/>
    <w:rsid w:val="00E51D18"/>
    <w:rsid w:val="00E577A2"/>
    <w:rsid w:val="00E86DF4"/>
    <w:rsid w:val="00EB3437"/>
    <w:rsid w:val="00EF2358"/>
    <w:rsid w:val="00F11147"/>
    <w:rsid w:val="00F13669"/>
    <w:rsid w:val="00F177D8"/>
    <w:rsid w:val="00F464C6"/>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59B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459B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459B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459BA"/>
  </w:style>
  <w:style w:type="paragraph" w:styleId="Header">
    <w:name w:val="header"/>
    <w:basedOn w:val="Normal"/>
    <w:link w:val="HeaderChar"/>
    <w:uiPriority w:val="99"/>
    <w:unhideWhenUsed/>
    <w:rsid w:val="001459BA"/>
    <w:pPr>
      <w:tabs>
        <w:tab w:val="center" w:pos="4680"/>
        <w:tab w:val="right" w:pos="9360"/>
      </w:tabs>
    </w:pPr>
    <w:rPr>
      <w:rFonts w:ascii="Times New Roman" w:hAnsi="Times New Roman"/>
    </w:rPr>
  </w:style>
  <w:style w:type="character" w:customStyle="1" w:styleId="HeaderChar">
    <w:name w:val="Header Char"/>
    <w:link w:val="Header"/>
    <w:uiPriority w:val="99"/>
    <w:rsid w:val="001459B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459BA"/>
    <w:pPr>
      <w:tabs>
        <w:tab w:val="center" w:pos="4680"/>
        <w:tab w:val="right" w:pos="9360"/>
      </w:tabs>
    </w:pPr>
    <w:rPr>
      <w:rFonts w:ascii="Times New Roman" w:hAnsi="Times New Roman"/>
    </w:rPr>
  </w:style>
  <w:style w:type="character" w:customStyle="1" w:styleId="FooterChar">
    <w:name w:val="Footer Char"/>
    <w:link w:val="Footer"/>
    <w:uiPriority w:val="99"/>
    <w:rsid w:val="001459B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9312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459BA"/>
    <w:pPr>
      <w:spacing w:before="100" w:beforeAutospacing="1"/>
      <w:ind w:left="567"/>
      <w:jc w:val="both"/>
    </w:pPr>
  </w:style>
  <w:style w:type="paragraph" w:customStyle="1" w:styleId="Metadata">
    <w:name w:val="Metadata"/>
    <w:basedOn w:val="Normal"/>
    <w:rsid w:val="001459BA"/>
    <w:pPr>
      <w:spacing w:before="100" w:beforeAutospacing="1" w:after="100" w:afterAutospacing="1"/>
    </w:pPr>
    <w:rPr>
      <w:rFonts w:cs="Arial"/>
      <w:szCs w:val="24"/>
    </w:rPr>
  </w:style>
  <w:style w:type="paragraph" w:customStyle="1" w:styleId="Page">
    <w:name w:val="Page"/>
    <w:basedOn w:val="Normal"/>
    <w:link w:val="PageChar"/>
    <w:rsid w:val="001459BA"/>
    <w:pPr>
      <w:spacing w:before="100" w:beforeAutospacing="1" w:after="100" w:afterAutospacing="1"/>
    </w:pPr>
    <w:rPr>
      <w:i/>
    </w:rPr>
  </w:style>
  <w:style w:type="paragraph" w:styleId="FootnoteText">
    <w:name w:val="footnote text"/>
    <w:basedOn w:val="Normal"/>
    <w:link w:val="FootnoteTextChar"/>
    <w:autoRedefine/>
    <w:semiHidden/>
    <w:rsid w:val="001459BA"/>
    <w:rPr>
      <w:sz w:val="16"/>
      <w:szCs w:val="20"/>
    </w:rPr>
  </w:style>
  <w:style w:type="character" w:customStyle="1" w:styleId="FootnoteTextChar">
    <w:name w:val="Footnote Text Char"/>
    <w:link w:val="FootnoteText"/>
    <w:semiHidden/>
    <w:rsid w:val="001459BA"/>
    <w:rPr>
      <w:rFonts w:ascii="Arial" w:eastAsia="MS Mincho" w:hAnsi="Arial" w:cs="Times New Roman"/>
      <w:sz w:val="16"/>
      <w:szCs w:val="20"/>
      <w:lang w:val="en-CA" w:eastAsia="ja-JP"/>
    </w:rPr>
  </w:style>
  <w:style w:type="character" w:styleId="FootnoteReference">
    <w:name w:val="footnote reference"/>
    <w:semiHidden/>
    <w:rsid w:val="001459BA"/>
    <w:rPr>
      <w:vertAlign w:val="superscript"/>
    </w:rPr>
  </w:style>
  <w:style w:type="paragraph" w:customStyle="1" w:styleId="ParagNum">
    <w:name w:val="ParagNum"/>
    <w:basedOn w:val="Normal"/>
    <w:rsid w:val="001459B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459BA"/>
    <w:pPr>
      <w:spacing w:before="100" w:beforeAutospacing="1" w:after="100" w:afterAutospacing="1" w:line="360" w:lineRule="auto"/>
    </w:pPr>
  </w:style>
  <w:style w:type="paragraph" w:customStyle="1" w:styleId="Indent2">
    <w:name w:val="Indent 2"/>
    <w:basedOn w:val="Indent1"/>
    <w:rsid w:val="001459BA"/>
    <w:pPr>
      <w:ind w:left="1134"/>
    </w:pPr>
  </w:style>
  <w:style w:type="paragraph" w:customStyle="1" w:styleId="Indent3">
    <w:name w:val="Indent 3"/>
    <w:basedOn w:val="Indent1"/>
    <w:rsid w:val="001459BA"/>
    <w:pPr>
      <w:ind w:left="1701"/>
    </w:pPr>
  </w:style>
  <w:style w:type="paragraph" w:customStyle="1" w:styleId="Indent4">
    <w:name w:val="Indent 4"/>
    <w:basedOn w:val="Indent1"/>
    <w:rsid w:val="001459BA"/>
    <w:pPr>
      <w:ind w:left="2268"/>
    </w:pPr>
  </w:style>
  <w:style w:type="paragraph" w:customStyle="1" w:styleId="Indent10">
    <w:name w:val="Indent1"/>
    <w:basedOn w:val="Reasons"/>
    <w:rsid w:val="001459BA"/>
    <w:pPr>
      <w:ind w:left="567"/>
    </w:pPr>
  </w:style>
  <w:style w:type="paragraph" w:customStyle="1" w:styleId="Indent20">
    <w:name w:val="Indent2"/>
    <w:basedOn w:val="Indent10"/>
    <w:rsid w:val="001459BA"/>
    <w:pPr>
      <w:ind w:left="1134"/>
    </w:pPr>
  </w:style>
  <w:style w:type="paragraph" w:customStyle="1" w:styleId="Indent30">
    <w:name w:val="Indent3"/>
    <w:basedOn w:val="Indent10"/>
    <w:rsid w:val="001459BA"/>
    <w:pPr>
      <w:ind w:left="1701"/>
    </w:pPr>
  </w:style>
  <w:style w:type="paragraph" w:customStyle="1" w:styleId="Indent40">
    <w:name w:val="Indent4"/>
    <w:basedOn w:val="Indent10"/>
    <w:rsid w:val="001459BA"/>
    <w:pPr>
      <w:ind w:left="2268"/>
    </w:pPr>
  </w:style>
  <w:style w:type="paragraph" w:customStyle="1" w:styleId="Keywords">
    <w:name w:val="Keywords"/>
    <w:basedOn w:val="Normal"/>
    <w:rsid w:val="001459BA"/>
    <w:pPr>
      <w:spacing w:before="100" w:beforeAutospacing="1" w:after="100" w:afterAutospacing="1"/>
    </w:pPr>
    <w:rPr>
      <w:rFonts w:cs="Arial"/>
      <w:i/>
      <w:szCs w:val="24"/>
    </w:rPr>
  </w:style>
  <w:style w:type="paragraph" w:customStyle="1" w:styleId="Summary">
    <w:name w:val="Summary"/>
    <w:basedOn w:val="Normal"/>
    <w:autoRedefine/>
    <w:rsid w:val="001459BA"/>
    <w:pPr>
      <w:spacing w:before="100" w:beforeAutospacing="1" w:after="100" w:afterAutospacing="1"/>
      <w:ind w:left="562" w:hanging="562"/>
    </w:pPr>
    <w:rPr>
      <w:rFonts w:cs="Arial"/>
    </w:rPr>
  </w:style>
  <w:style w:type="paragraph" w:customStyle="1" w:styleId="History">
    <w:name w:val="History"/>
    <w:basedOn w:val="Normal"/>
    <w:rsid w:val="001459BA"/>
    <w:pPr>
      <w:spacing w:before="100" w:beforeAutospacing="1" w:after="100" w:afterAutospacing="1"/>
      <w:ind w:firstLine="567"/>
    </w:pPr>
  </w:style>
  <w:style w:type="paragraph" w:customStyle="1" w:styleId="T1">
    <w:name w:val="T1"/>
    <w:basedOn w:val="Normal"/>
    <w:rsid w:val="001459BA"/>
    <w:pPr>
      <w:spacing w:before="240" w:after="100" w:afterAutospacing="1"/>
    </w:pPr>
    <w:rPr>
      <w:b/>
    </w:rPr>
  </w:style>
  <w:style w:type="paragraph" w:customStyle="1" w:styleId="T2">
    <w:name w:val="T2"/>
    <w:basedOn w:val="Normal"/>
    <w:rsid w:val="001459BA"/>
    <w:pPr>
      <w:spacing w:before="240" w:after="100" w:afterAutospacing="1"/>
    </w:pPr>
  </w:style>
  <w:style w:type="paragraph" w:customStyle="1" w:styleId="Sollicitors">
    <w:name w:val="Sollicitors"/>
    <w:basedOn w:val="Normal"/>
    <w:rsid w:val="001459BA"/>
    <w:pPr>
      <w:spacing w:before="100" w:beforeAutospacing="1" w:after="100" w:afterAutospacing="1"/>
    </w:pPr>
    <w:rPr>
      <w:i/>
    </w:rPr>
  </w:style>
  <w:style w:type="paragraph" w:customStyle="1" w:styleId="Court">
    <w:name w:val="Court"/>
    <w:basedOn w:val="Normal"/>
    <w:rsid w:val="001459BA"/>
    <w:rPr>
      <w:rFonts w:cs="Arial"/>
      <w:b/>
      <w:szCs w:val="24"/>
    </w:rPr>
  </w:style>
  <w:style w:type="character" w:customStyle="1" w:styleId="PageChar">
    <w:name w:val="Page Char"/>
    <w:link w:val="Page"/>
    <w:rsid w:val="001459BA"/>
    <w:rPr>
      <w:rFonts w:ascii="Arial" w:eastAsia="MS Mincho" w:hAnsi="Arial" w:cs="Times New Roman"/>
      <w:i/>
      <w:sz w:val="24"/>
      <w:szCs w:val="28"/>
      <w:lang w:val="en-CA" w:eastAsia="ja-JP"/>
    </w:rPr>
  </w:style>
  <w:style w:type="character" w:customStyle="1" w:styleId="ReasonsCar">
    <w:name w:val="Reasons Car"/>
    <w:link w:val="Reasons"/>
    <w:rsid w:val="001459BA"/>
    <w:rPr>
      <w:rFonts w:ascii="Arial" w:eastAsia="MS Mincho" w:hAnsi="Arial" w:cs="Times New Roman"/>
      <w:sz w:val="24"/>
      <w:szCs w:val="28"/>
      <w:lang w:val="en-CA" w:eastAsia="ja-JP"/>
    </w:rPr>
  </w:style>
  <w:style w:type="paragraph" w:customStyle="1" w:styleId="CitationLine">
    <w:name w:val="CitationLine"/>
    <w:basedOn w:val="Court"/>
    <w:rsid w:val="001459BA"/>
  </w:style>
  <w:style w:type="paragraph" w:customStyle="1" w:styleId="DateISO">
    <w:name w:val="DateISO"/>
    <w:basedOn w:val="Court"/>
    <w:rsid w:val="001459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5</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2015-03-19T06:08:00Z</dcterms:created>
  <dcterms:modified xsi:type="dcterms:W3CDTF">2015-03-23T13:03:00Z</dcterms:modified>
</cp:coreProperties>
</file>