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B6" w:rsidRDefault="00AA60B6" w:rsidP="00AA60B6">
      <w:pPr>
        <w:pStyle w:val="Court"/>
      </w:pPr>
      <w:r>
        <w:t>Supreme Court of Canada</w:t>
      </w:r>
    </w:p>
    <w:p w:rsidR="00AA60B6" w:rsidRDefault="00AA60B6" w:rsidP="00AA60B6">
      <w:pPr>
        <w:pStyle w:val="CitationLine"/>
      </w:pPr>
      <w:r w:rsidRPr="00AA60B6">
        <w:t xml:space="preserve">Stuart </w:t>
      </w:r>
      <w:r w:rsidRPr="00AA60B6">
        <w:rPr>
          <w:i/>
          <w:iCs/>
        </w:rPr>
        <w:t xml:space="preserve">v. </w:t>
      </w:r>
      <w:r w:rsidRPr="00AA60B6">
        <w:t>Mott</w:t>
      </w:r>
      <w:r>
        <w:t xml:space="preserve"> (1894) 23 SCR 153</w:t>
      </w:r>
    </w:p>
    <w:p w:rsidR="00AA60B6" w:rsidRDefault="00AA60B6" w:rsidP="00AA60B6">
      <w:pPr>
        <w:pStyle w:val="DateISO"/>
      </w:pPr>
      <w:r>
        <w:t>Date: 1894-05-01</w:t>
      </w:r>
    </w:p>
    <w:p w:rsidR="00496E16" w:rsidRPr="00AA60B6" w:rsidRDefault="00AA60B6" w:rsidP="00AA60B6">
      <w:pPr>
        <w:pStyle w:val="Metadata"/>
      </w:pPr>
      <w:r w:rsidRPr="00AA60B6">
        <w:t xml:space="preserve">George </w:t>
      </w:r>
      <w:r w:rsidR="00496E16" w:rsidRPr="00AA60B6">
        <w:t xml:space="preserve">W. </w:t>
      </w:r>
      <w:r w:rsidRPr="00AA60B6">
        <w:t>Stuart</w:t>
      </w:r>
      <w:r>
        <w:t xml:space="preserve"> </w:t>
      </w:r>
      <w:r w:rsidR="00496E16" w:rsidRPr="00AA60B6">
        <w:t>(Plaintiff)</w:t>
      </w:r>
    </w:p>
    <w:p w:rsidR="00496E16" w:rsidRPr="00AA60B6" w:rsidRDefault="00496E16" w:rsidP="00AA60B6">
      <w:pPr>
        <w:pStyle w:val="Metadata"/>
      </w:pPr>
      <w:r w:rsidRPr="00AA60B6">
        <w:t>Appellant</w:t>
      </w:r>
    </w:p>
    <w:p w:rsidR="00496E16" w:rsidRPr="00AA60B6" w:rsidRDefault="00AA60B6" w:rsidP="00AA60B6">
      <w:pPr>
        <w:pStyle w:val="Metadata"/>
      </w:pPr>
      <w:r>
        <w:t>A</w:t>
      </w:r>
      <w:r w:rsidR="00496E16" w:rsidRPr="00AA60B6">
        <w:t>nd</w:t>
      </w:r>
    </w:p>
    <w:p w:rsidR="00496E16" w:rsidRPr="00AA60B6" w:rsidRDefault="00AA60B6" w:rsidP="00AA60B6">
      <w:pPr>
        <w:pStyle w:val="Metadata"/>
      </w:pPr>
      <w:r w:rsidRPr="00AA60B6">
        <w:t xml:space="preserve">Charles </w:t>
      </w:r>
      <w:r w:rsidR="00496E16" w:rsidRPr="00AA60B6">
        <w:t xml:space="preserve">F. </w:t>
      </w:r>
      <w:r w:rsidRPr="00AA60B6">
        <w:t>Mott</w:t>
      </w:r>
      <w:r>
        <w:t xml:space="preserve"> </w:t>
      </w:r>
      <w:r w:rsidR="00496E16" w:rsidRPr="00AA60B6">
        <w:t>(Defendant)</w:t>
      </w:r>
    </w:p>
    <w:p w:rsidR="00496E16" w:rsidRPr="00AA60B6" w:rsidRDefault="00496E16" w:rsidP="00AA60B6">
      <w:pPr>
        <w:pStyle w:val="Metadata"/>
      </w:pPr>
      <w:r w:rsidRPr="00AA60B6">
        <w:t>Respondent</w:t>
      </w:r>
    </w:p>
    <w:p w:rsidR="00AA60B6" w:rsidRDefault="00AA60B6" w:rsidP="00AA60B6">
      <w:pPr>
        <w:pStyle w:val="Metadata"/>
      </w:pPr>
      <w:r>
        <w:rPr>
          <w:smallCaps/>
        </w:rPr>
        <w:t xml:space="preserve">1893: </w:t>
      </w:r>
      <w:r>
        <w:t>Dec.1,</w:t>
      </w:r>
      <w:r>
        <w:rPr>
          <w:b/>
          <w:bCs/>
        </w:rPr>
        <w:t xml:space="preserve"> </w:t>
      </w:r>
      <w:r>
        <w:rPr>
          <w:smallCaps/>
        </w:rPr>
        <w:t xml:space="preserve">2, 1894: </w:t>
      </w:r>
      <w:r>
        <w:t>May 1.</w:t>
      </w:r>
    </w:p>
    <w:p w:rsidR="00AA60B6" w:rsidRDefault="00AA60B6" w:rsidP="00AA60B6">
      <w:pPr>
        <w:pStyle w:val="Metadata"/>
      </w:pPr>
      <w:r w:rsidRPr="00AA60B6">
        <w:t>Present</w:t>
      </w:r>
      <w:r>
        <w:t>—Sir Henry Strong C.J. and Fournier, Taschereau, Gwynne, Sedgewick and King JJ.</w:t>
      </w:r>
    </w:p>
    <w:p w:rsidR="00496E16" w:rsidRDefault="00496E16" w:rsidP="00AA60B6">
      <w:pPr>
        <w:pStyle w:val="Metadata"/>
        <w:rPr>
          <w:i/>
          <w:iCs/>
        </w:rPr>
      </w:pPr>
      <w:r>
        <w:t xml:space="preserve">ON APPEAL FROM THE SUPREME COURT OF NOVA SCOTIA. </w:t>
      </w:r>
      <w:r>
        <w:rPr>
          <w:i/>
          <w:iCs/>
        </w:rPr>
        <w:t>Res judicata—Different causes of action.</w:t>
      </w:r>
    </w:p>
    <w:p w:rsidR="00496E16" w:rsidRDefault="00496E16" w:rsidP="00AA60B6">
      <w:pPr>
        <w:pStyle w:val="Summary"/>
      </w:pPr>
      <w:r>
        <w:t>S. brought a suit for performance of an alleged verbal agreement by M. to give him one-eighth of an interest of his, M.'s interest in a gold mine but failed to recover as the court held the alleged agreement to be within the Statute of Frauds. On the hearing M. swore that he had agreed to give S. one-eighth of his interest in the proceeds of the mine when sold, and after the sale S. brought another action for payment of such share of the proceeds.</w:t>
      </w:r>
    </w:p>
    <w:p w:rsidR="00496E16" w:rsidRDefault="00496E16" w:rsidP="00AA60B6">
      <w:pPr>
        <w:pStyle w:val="Summary"/>
        <w:rPr>
          <w:szCs w:val="24"/>
        </w:rPr>
      </w:pPr>
      <w:r>
        <w:rPr>
          <w:i/>
          <w:iCs/>
          <w:szCs w:val="24"/>
        </w:rPr>
        <w:t xml:space="preserve">Held, </w:t>
      </w:r>
      <w:r>
        <w:rPr>
          <w:szCs w:val="24"/>
        </w:rPr>
        <w:t>reversing the decision of the Supreme Court of Nova Scotia, Fournier and Taschereau JJ</w:t>
      </w:r>
      <w:r>
        <w:rPr>
          <w:i/>
          <w:iCs/>
          <w:szCs w:val="24"/>
        </w:rPr>
        <w:t xml:space="preserve">. </w:t>
      </w:r>
      <w:r>
        <w:rPr>
          <w:szCs w:val="24"/>
        </w:rPr>
        <w:t>dissenting, that S. was not estopped by the first judgment against him from bringing another action.</w:t>
      </w:r>
    </w:p>
    <w:p w:rsidR="00496E16" w:rsidRDefault="00496E16" w:rsidP="00AA60B6">
      <w:pPr>
        <w:pStyle w:val="History"/>
      </w:pPr>
      <w:r w:rsidRPr="00AA60B6">
        <w:t>Appeal</w:t>
      </w:r>
      <w:r>
        <w:rPr>
          <w:smallCaps/>
        </w:rPr>
        <w:t xml:space="preserve"> </w:t>
      </w:r>
      <w:r>
        <w:t>from a decision of the Supreme Court of Nova Scotia</w:t>
      </w:r>
      <w:r w:rsidR="002F181A">
        <w:rPr>
          <w:rStyle w:val="FootnoteReference"/>
        </w:rPr>
        <w:footnoteReference w:id="2"/>
      </w:r>
      <w:r>
        <w:t xml:space="preserve"> reversing the judgment at the trial for the plaintiff.</w:t>
      </w:r>
    </w:p>
    <w:p w:rsidR="00496E16" w:rsidRDefault="00496E16" w:rsidP="00AA60B6">
      <w:pPr>
        <w:pStyle w:val="History"/>
        <w:rPr>
          <w:rFonts w:cs="Arial"/>
          <w:szCs w:val="24"/>
        </w:rPr>
      </w:pPr>
      <w:r>
        <w:rPr>
          <w:rFonts w:cs="Arial"/>
          <w:szCs w:val="24"/>
        </w:rPr>
        <w:t>The facts of the case are sufficiently set out in the above head-note.</w:t>
      </w:r>
    </w:p>
    <w:p w:rsidR="00496E16" w:rsidRDefault="00496E16" w:rsidP="00AA60B6">
      <w:pPr>
        <w:pStyle w:val="Sollicitors"/>
      </w:pPr>
      <w:r>
        <w:rPr>
          <w:iCs/>
        </w:rPr>
        <w:t xml:space="preserve">Osler </w:t>
      </w:r>
      <w:r>
        <w:t>Q</w:t>
      </w:r>
      <w:r>
        <w:rPr>
          <w:smallCaps/>
        </w:rPr>
        <w:t xml:space="preserve">.C. </w:t>
      </w:r>
      <w:r>
        <w:t xml:space="preserve">and </w:t>
      </w:r>
      <w:r>
        <w:rPr>
          <w:iCs/>
        </w:rPr>
        <w:t xml:space="preserve">Newcombe </w:t>
      </w:r>
      <w:r>
        <w:t>for the appellant.</w:t>
      </w:r>
    </w:p>
    <w:p w:rsidR="00496E16" w:rsidRDefault="00496E16" w:rsidP="00AA60B6">
      <w:pPr>
        <w:pStyle w:val="Sollicitors"/>
      </w:pPr>
      <w:r>
        <w:rPr>
          <w:iCs/>
        </w:rPr>
        <w:t xml:space="preserve">Borden </w:t>
      </w:r>
      <w:r>
        <w:t>Q</w:t>
      </w:r>
      <w:r>
        <w:rPr>
          <w:smallCaps/>
        </w:rPr>
        <w:t xml:space="preserve">.C. </w:t>
      </w:r>
      <w:r>
        <w:t xml:space="preserve">and </w:t>
      </w:r>
      <w:r>
        <w:rPr>
          <w:iCs/>
        </w:rPr>
        <w:t xml:space="preserve">Mellish </w:t>
      </w:r>
      <w:r>
        <w:t>for the respondent.</w:t>
      </w:r>
    </w:p>
    <w:p w:rsidR="00496E16" w:rsidRDefault="00AA60B6" w:rsidP="00AA60B6">
      <w:pPr>
        <w:pStyle w:val="Reasons"/>
      </w:pPr>
      <w:r w:rsidRPr="00AA60B6">
        <w:t>THE CHIEF JUSTICE</w:t>
      </w:r>
      <w:r w:rsidR="00496E16">
        <w:t xml:space="preserve">.—The majority of the court are of opinion that the appeal should </w:t>
      </w:r>
      <w:r w:rsidR="00496E16">
        <w:lastRenderedPageBreak/>
        <w:t>be allowed and the judgment of Mr. Justice Townshend restored.</w:t>
      </w:r>
    </w:p>
    <w:p w:rsidR="00496E16" w:rsidRDefault="00AA60B6" w:rsidP="00AA60B6">
      <w:pPr>
        <w:pStyle w:val="Reasons"/>
        <w:rPr>
          <w:rFonts w:cs="Arial"/>
          <w:szCs w:val="24"/>
        </w:rPr>
      </w:pPr>
      <w:r w:rsidRPr="00AA60B6">
        <w:rPr>
          <w:rFonts w:cs="Arial"/>
          <w:szCs w:val="24"/>
        </w:rPr>
        <w:t>FOURNIER</w:t>
      </w:r>
      <w:r>
        <w:rPr>
          <w:rFonts w:cs="Arial"/>
          <w:smallCaps/>
          <w:szCs w:val="24"/>
        </w:rPr>
        <w:t xml:space="preserve"> </w:t>
      </w:r>
      <w:r w:rsidR="00496E16">
        <w:rPr>
          <w:rFonts w:cs="Arial"/>
          <w:szCs w:val="24"/>
        </w:rPr>
        <w:t>J.—</w:t>
      </w:r>
      <w:r w:rsidR="00496E16">
        <w:rPr>
          <w:rFonts w:cs="Arial"/>
          <w:smallCaps/>
          <w:szCs w:val="24"/>
        </w:rPr>
        <w:t xml:space="preserve">I </w:t>
      </w:r>
      <w:r w:rsidR="00496E16">
        <w:rPr>
          <w:rFonts w:cs="Arial"/>
          <w:szCs w:val="24"/>
        </w:rPr>
        <w:t>am of opinion that the appeal should be dismissed.</w:t>
      </w:r>
    </w:p>
    <w:p w:rsidR="00496E16" w:rsidRDefault="00AA60B6" w:rsidP="00AA60B6">
      <w:pPr>
        <w:pStyle w:val="Reasons"/>
        <w:rPr>
          <w:rFonts w:cs="Arial"/>
          <w:szCs w:val="24"/>
        </w:rPr>
      </w:pPr>
      <w:r w:rsidRPr="00AA60B6">
        <w:rPr>
          <w:rFonts w:cs="Arial"/>
          <w:szCs w:val="24"/>
        </w:rPr>
        <w:t>TASCHEREAU</w:t>
      </w:r>
      <w:r>
        <w:rPr>
          <w:rFonts w:cs="Arial"/>
          <w:smallCaps/>
          <w:szCs w:val="24"/>
        </w:rPr>
        <w:t xml:space="preserve"> </w:t>
      </w:r>
      <w:r w:rsidR="00496E16">
        <w:rPr>
          <w:rFonts w:cs="Arial"/>
          <w:szCs w:val="24"/>
        </w:rPr>
        <w:t>J.—</w:t>
      </w:r>
      <w:r w:rsidR="00496E16">
        <w:rPr>
          <w:rFonts w:cs="Arial"/>
          <w:smallCaps/>
          <w:szCs w:val="24"/>
        </w:rPr>
        <w:t xml:space="preserve">I </w:t>
      </w:r>
      <w:r w:rsidR="00496E16">
        <w:rPr>
          <w:rFonts w:cs="Arial"/>
          <w:szCs w:val="24"/>
        </w:rPr>
        <w:t>think that the plaintiff's action was rightly dismissed. He is estopped from taking</w:t>
      </w:r>
    </w:p>
    <w:p w:rsidR="00496E16" w:rsidRDefault="00E64439" w:rsidP="00E64439">
      <w:pPr>
        <w:pStyle w:val="Page"/>
      </w:pPr>
      <w:r>
        <w:rPr>
          <w:rFonts w:cs="Arial"/>
          <w:szCs w:val="24"/>
        </w:rPr>
        <w:t xml:space="preserve">[Page </w:t>
      </w:r>
      <w:r w:rsidR="00496E16">
        <w:rPr>
          <w:rFonts w:cs="Arial"/>
          <w:szCs w:val="24"/>
        </w:rPr>
        <w:t>154]</w:t>
      </w:r>
    </w:p>
    <w:p w:rsidR="00496E16" w:rsidRDefault="00496E16" w:rsidP="00B04889">
      <w:pPr>
        <w:pStyle w:val="Reasons"/>
        <w:rPr>
          <w:rFonts w:cs="Arial"/>
          <w:szCs w:val="24"/>
        </w:rPr>
      </w:pPr>
      <w:r>
        <w:rPr>
          <w:rFonts w:cs="Arial"/>
          <w:szCs w:val="24"/>
        </w:rPr>
        <w:t>the position he would now take. I would dismiss the appeal.</w:t>
      </w:r>
    </w:p>
    <w:p w:rsidR="00496E16" w:rsidRDefault="00B04889" w:rsidP="00B04889">
      <w:pPr>
        <w:pStyle w:val="Reasons"/>
        <w:rPr>
          <w:rFonts w:cs="Arial"/>
          <w:szCs w:val="24"/>
        </w:rPr>
      </w:pPr>
      <w:r w:rsidRPr="00B04889">
        <w:rPr>
          <w:rFonts w:cs="Arial"/>
          <w:szCs w:val="24"/>
        </w:rPr>
        <w:t>GWYNNE</w:t>
      </w:r>
      <w:r>
        <w:rPr>
          <w:rFonts w:cs="Arial"/>
          <w:smallCaps/>
          <w:szCs w:val="24"/>
        </w:rPr>
        <w:t xml:space="preserve"> </w:t>
      </w:r>
      <w:r w:rsidR="00496E16">
        <w:rPr>
          <w:rFonts w:cs="Arial"/>
          <w:smallCaps/>
          <w:szCs w:val="24"/>
        </w:rPr>
        <w:t>J.</w:t>
      </w:r>
      <w:r w:rsidR="00496E16">
        <w:rPr>
          <w:rFonts w:cs="Arial"/>
          <w:szCs w:val="24"/>
        </w:rPr>
        <w:t xml:space="preserve">—I am of opinion that this appeal should be allowed with costs and that the judgment of the court of first instance in favour of the plaintiff should be restored. The only real defence to the action urged before us was that the plaintiff's cause of action was estopped and barred by a judgment rendered in favour of the defendant in a former action at suit of the plain tiff which, as was contended, operated as </w:t>
      </w:r>
      <w:r w:rsidR="00496E16">
        <w:rPr>
          <w:rFonts w:cs="Arial"/>
          <w:i/>
          <w:iCs/>
          <w:szCs w:val="24"/>
        </w:rPr>
        <w:t xml:space="preserve">res Judicata </w:t>
      </w:r>
      <w:r w:rsidR="00496E16">
        <w:rPr>
          <w:rFonts w:cs="Arial"/>
          <w:szCs w:val="24"/>
        </w:rPr>
        <w:t>upon the matter of the present action; but concurring herein with the learned judge of first instance, I am of opinion that there is nothing in the former action which operates as a bar or estoppel in the present.</w:t>
      </w:r>
    </w:p>
    <w:p w:rsidR="00496E16" w:rsidRDefault="00B04889" w:rsidP="00B04889">
      <w:pPr>
        <w:pStyle w:val="Reasons"/>
        <w:rPr>
          <w:rFonts w:cs="Arial"/>
          <w:szCs w:val="24"/>
        </w:rPr>
      </w:pPr>
      <w:r w:rsidRPr="00B04889">
        <w:rPr>
          <w:rFonts w:cs="Arial"/>
          <w:szCs w:val="24"/>
        </w:rPr>
        <w:t>KING</w:t>
      </w:r>
      <w:r>
        <w:rPr>
          <w:rFonts w:cs="Arial"/>
          <w:smallCaps/>
          <w:szCs w:val="24"/>
        </w:rPr>
        <w:t xml:space="preserve"> </w:t>
      </w:r>
      <w:r w:rsidR="00496E16">
        <w:rPr>
          <w:rFonts w:cs="Arial"/>
          <w:smallCaps/>
          <w:szCs w:val="24"/>
        </w:rPr>
        <w:t>J.</w:t>
      </w:r>
      <w:r w:rsidR="00496E16">
        <w:rPr>
          <w:rFonts w:cs="Arial"/>
          <w:szCs w:val="24"/>
        </w:rPr>
        <w:t>—I concur in the allowance of this appeal</w:t>
      </w:r>
    </w:p>
    <w:p w:rsidR="00496E16" w:rsidRDefault="00496E16" w:rsidP="00B04889">
      <w:pPr>
        <w:pStyle w:val="Reasons"/>
      </w:pPr>
      <w:r>
        <w:t>Appeal allowed with cost</w:t>
      </w:r>
    </w:p>
    <w:p w:rsidR="00496E16" w:rsidRDefault="00496E16" w:rsidP="00B04889">
      <w:pPr>
        <w:pStyle w:val="Sollicitors"/>
        <w:rPr>
          <w:iCs/>
        </w:rPr>
      </w:pPr>
      <w:r>
        <w:t xml:space="preserve">Solicitors for appellant: </w:t>
      </w:r>
      <w:r>
        <w:rPr>
          <w:iCs/>
        </w:rPr>
        <w:t>Henry, Harris &amp; Henry.</w:t>
      </w:r>
    </w:p>
    <w:p w:rsidR="003824D9" w:rsidRDefault="00496E16" w:rsidP="00B04889">
      <w:pPr>
        <w:pStyle w:val="Sollicitors"/>
      </w:pPr>
      <w:r>
        <w:t xml:space="preserve">Solicitors for respondent: </w:t>
      </w:r>
      <w:r>
        <w:rPr>
          <w:iCs/>
        </w:rPr>
        <w:t>Lyons &amp; Lyons.</w:t>
      </w:r>
    </w:p>
    <w:sectPr w:rsidR="003824D9" w:rsidSect="00194F9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2C5" w:rsidRDefault="000952C5" w:rsidP="00194F98">
      <w:r>
        <w:separator/>
      </w:r>
    </w:p>
  </w:endnote>
  <w:endnote w:type="continuationSeparator" w:id="1">
    <w:p w:rsidR="000952C5" w:rsidRDefault="000952C5" w:rsidP="00194F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98" w:rsidRDefault="00194F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98" w:rsidRDefault="00194F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98" w:rsidRDefault="00194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2C5" w:rsidRDefault="000952C5" w:rsidP="00194F98">
      <w:r>
        <w:separator/>
      </w:r>
    </w:p>
  </w:footnote>
  <w:footnote w:type="continuationSeparator" w:id="1">
    <w:p w:rsidR="000952C5" w:rsidRDefault="000952C5" w:rsidP="00194F98">
      <w:r>
        <w:continuationSeparator/>
      </w:r>
    </w:p>
  </w:footnote>
  <w:footnote w:id="2">
    <w:p w:rsidR="002F181A" w:rsidRPr="002F181A" w:rsidRDefault="002F181A">
      <w:pPr>
        <w:pStyle w:val="FootnoteText"/>
        <w:rPr>
          <w:lang w:val="en-US"/>
        </w:rPr>
      </w:pPr>
      <w:r>
        <w:rPr>
          <w:rStyle w:val="FootnoteReference"/>
        </w:rPr>
        <w:footnoteRef/>
      </w:r>
      <w:r>
        <w:t xml:space="preserve"> </w:t>
      </w:r>
      <w:r>
        <w:rPr>
          <w:rFonts w:cs="Arial"/>
          <w:smallCaps/>
          <w:szCs w:val="24"/>
        </w:rPr>
        <w:t xml:space="preserve">24 </w:t>
      </w:r>
      <w:r w:rsidRPr="00AA60B6">
        <w:rPr>
          <w:rFonts w:cs="Arial"/>
          <w:szCs w:val="24"/>
        </w:rPr>
        <w:t>N</w:t>
      </w:r>
      <w:r>
        <w:rPr>
          <w:rFonts w:cs="Arial"/>
          <w:smallCaps/>
          <w:szCs w:val="24"/>
        </w:rPr>
        <w:t xml:space="preserve">. </w:t>
      </w:r>
      <w:r>
        <w:rPr>
          <w:rFonts w:cs="Arial"/>
          <w:szCs w:val="24"/>
        </w:rPr>
        <w:t xml:space="preserve">S. Rep. </w:t>
      </w:r>
      <w:r>
        <w:rPr>
          <w:rFonts w:cs="Arial"/>
          <w:smallCaps/>
          <w:szCs w:val="24"/>
        </w:rPr>
        <w:t>526.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98" w:rsidRDefault="00194F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98" w:rsidRDefault="00194F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98" w:rsidRDefault="00194F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6E16"/>
    <w:rsid w:val="00013FDA"/>
    <w:rsid w:val="000173FB"/>
    <w:rsid w:val="00063C14"/>
    <w:rsid w:val="000655EC"/>
    <w:rsid w:val="00077D2F"/>
    <w:rsid w:val="000952C5"/>
    <w:rsid w:val="000B6688"/>
    <w:rsid w:val="000C3415"/>
    <w:rsid w:val="000D1863"/>
    <w:rsid w:val="00121409"/>
    <w:rsid w:val="00125F0C"/>
    <w:rsid w:val="00126A8E"/>
    <w:rsid w:val="001837F3"/>
    <w:rsid w:val="00194F98"/>
    <w:rsid w:val="001D0D42"/>
    <w:rsid w:val="001D5C4A"/>
    <w:rsid w:val="001F6A76"/>
    <w:rsid w:val="002209AC"/>
    <w:rsid w:val="002428EB"/>
    <w:rsid w:val="002A74DD"/>
    <w:rsid w:val="002B30C5"/>
    <w:rsid w:val="002C186C"/>
    <w:rsid w:val="002C7DC7"/>
    <w:rsid w:val="002D5E01"/>
    <w:rsid w:val="002F181A"/>
    <w:rsid w:val="002F4F64"/>
    <w:rsid w:val="002F7D00"/>
    <w:rsid w:val="00361108"/>
    <w:rsid w:val="003824D9"/>
    <w:rsid w:val="003E5AF5"/>
    <w:rsid w:val="003F602F"/>
    <w:rsid w:val="004277EE"/>
    <w:rsid w:val="0043543D"/>
    <w:rsid w:val="00442713"/>
    <w:rsid w:val="00457BC5"/>
    <w:rsid w:val="00463F5F"/>
    <w:rsid w:val="00482CDC"/>
    <w:rsid w:val="00496E16"/>
    <w:rsid w:val="004C7ED4"/>
    <w:rsid w:val="00511D93"/>
    <w:rsid w:val="00514003"/>
    <w:rsid w:val="00537980"/>
    <w:rsid w:val="00563767"/>
    <w:rsid w:val="005667DA"/>
    <w:rsid w:val="00593C8B"/>
    <w:rsid w:val="005B0191"/>
    <w:rsid w:val="00644967"/>
    <w:rsid w:val="00673FB9"/>
    <w:rsid w:val="006D2BED"/>
    <w:rsid w:val="006D6F42"/>
    <w:rsid w:val="006E5FEA"/>
    <w:rsid w:val="00747F2C"/>
    <w:rsid w:val="00751F7D"/>
    <w:rsid w:val="007969C4"/>
    <w:rsid w:val="007A43B1"/>
    <w:rsid w:val="007B3A90"/>
    <w:rsid w:val="007D6DD5"/>
    <w:rsid w:val="008027F3"/>
    <w:rsid w:val="008433A9"/>
    <w:rsid w:val="008550EF"/>
    <w:rsid w:val="00872F75"/>
    <w:rsid w:val="00880FBB"/>
    <w:rsid w:val="008B0B7A"/>
    <w:rsid w:val="00926406"/>
    <w:rsid w:val="009A7B1B"/>
    <w:rsid w:val="009D37B6"/>
    <w:rsid w:val="009E64DC"/>
    <w:rsid w:val="00A15F51"/>
    <w:rsid w:val="00A42830"/>
    <w:rsid w:val="00A4371F"/>
    <w:rsid w:val="00A54E5B"/>
    <w:rsid w:val="00A61128"/>
    <w:rsid w:val="00A94C52"/>
    <w:rsid w:val="00AA60B6"/>
    <w:rsid w:val="00AB09B8"/>
    <w:rsid w:val="00B007EC"/>
    <w:rsid w:val="00B04889"/>
    <w:rsid w:val="00B177F7"/>
    <w:rsid w:val="00B41B49"/>
    <w:rsid w:val="00B532F0"/>
    <w:rsid w:val="00B639A4"/>
    <w:rsid w:val="00B64DD7"/>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229DC"/>
    <w:rsid w:val="00D306D2"/>
    <w:rsid w:val="00D45866"/>
    <w:rsid w:val="00D9036C"/>
    <w:rsid w:val="00DA645A"/>
    <w:rsid w:val="00DB1D33"/>
    <w:rsid w:val="00DC4119"/>
    <w:rsid w:val="00DE30DC"/>
    <w:rsid w:val="00E1124B"/>
    <w:rsid w:val="00E114A9"/>
    <w:rsid w:val="00E117BD"/>
    <w:rsid w:val="00E12221"/>
    <w:rsid w:val="00E30F5A"/>
    <w:rsid w:val="00E40016"/>
    <w:rsid w:val="00E407E4"/>
    <w:rsid w:val="00E43349"/>
    <w:rsid w:val="00E51D18"/>
    <w:rsid w:val="00E64439"/>
    <w:rsid w:val="00E86DF4"/>
    <w:rsid w:val="00EB3437"/>
    <w:rsid w:val="00EF2358"/>
    <w:rsid w:val="00F13669"/>
    <w:rsid w:val="00F177D8"/>
    <w:rsid w:val="00F60320"/>
    <w:rsid w:val="00F64D86"/>
    <w:rsid w:val="00FA66A7"/>
    <w:rsid w:val="00FD6D9C"/>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443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6443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6443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64439"/>
  </w:style>
  <w:style w:type="paragraph" w:styleId="Header">
    <w:name w:val="header"/>
    <w:basedOn w:val="Normal"/>
    <w:link w:val="HeaderChar"/>
    <w:uiPriority w:val="99"/>
    <w:unhideWhenUsed/>
    <w:rsid w:val="00E64439"/>
    <w:pPr>
      <w:tabs>
        <w:tab w:val="center" w:pos="4680"/>
        <w:tab w:val="right" w:pos="9360"/>
      </w:tabs>
    </w:pPr>
    <w:rPr>
      <w:rFonts w:ascii="Times New Roman" w:hAnsi="Times New Roman"/>
    </w:rPr>
  </w:style>
  <w:style w:type="character" w:customStyle="1" w:styleId="HeaderChar">
    <w:name w:val="Header Char"/>
    <w:link w:val="Header"/>
    <w:uiPriority w:val="99"/>
    <w:rsid w:val="00E6443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64439"/>
    <w:pPr>
      <w:tabs>
        <w:tab w:val="center" w:pos="4680"/>
        <w:tab w:val="right" w:pos="9360"/>
      </w:tabs>
    </w:pPr>
    <w:rPr>
      <w:rFonts w:ascii="Times New Roman" w:hAnsi="Times New Roman"/>
    </w:rPr>
  </w:style>
  <w:style w:type="character" w:customStyle="1" w:styleId="FooterChar">
    <w:name w:val="Footer Char"/>
    <w:link w:val="Footer"/>
    <w:uiPriority w:val="99"/>
    <w:rsid w:val="00E6443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229D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64439"/>
    <w:pPr>
      <w:spacing w:before="100" w:beforeAutospacing="1"/>
      <w:ind w:left="567"/>
      <w:jc w:val="both"/>
    </w:pPr>
  </w:style>
  <w:style w:type="paragraph" w:customStyle="1" w:styleId="Metadata">
    <w:name w:val="Metadata"/>
    <w:basedOn w:val="Normal"/>
    <w:rsid w:val="00E64439"/>
    <w:pPr>
      <w:spacing w:before="100" w:beforeAutospacing="1" w:after="100" w:afterAutospacing="1"/>
    </w:pPr>
    <w:rPr>
      <w:rFonts w:cs="Arial"/>
      <w:szCs w:val="24"/>
    </w:rPr>
  </w:style>
  <w:style w:type="paragraph" w:customStyle="1" w:styleId="Page">
    <w:name w:val="Page"/>
    <w:basedOn w:val="Normal"/>
    <w:link w:val="PageChar"/>
    <w:rsid w:val="00E64439"/>
    <w:pPr>
      <w:spacing w:before="100" w:beforeAutospacing="1" w:after="100" w:afterAutospacing="1"/>
    </w:pPr>
    <w:rPr>
      <w:i/>
    </w:rPr>
  </w:style>
  <w:style w:type="paragraph" w:styleId="FootnoteText">
    <w:name w:val="footnote text"/>
    <w:basedOn w:val="Normal"/>
    <w:link w:val="FootnoteTextChar"/>
    <w:autoRedefine/>
    <w:semiHidden/>
    <w:rsid w:val="00E64439"/>
    <w:rPr>
      <w:sz w:val="16"/>
      <w:szCs w:val="20"/>
    </w:rPr>
  </w:style>
  <w:style w:type="character" w:customStyle="1" w:styleId="FootnoteTextChar">
    <w:name w:val="Footnote Text Char"/>
    <w:link w:val="FootnoteText"/>
    <w:semiHidden/>
    <w:rsid w:val="00E64439"/>
    <w:rPr>
      <w:rFonts w:ascii="Arial" w:eastAsia="MS Mincho" w:hAnsi="Arial" w:cs="Times New Roman"/>
      <w:sz w:val="16"/>
      <w:szCs w:val="20"/>
      <w:lang w:val="en-CA" w:eastAsia="ja-JP"/>
    </w:rPr>
  </w:style>
  <w:style w:type="character" w:styleId="FootnoteReference">
    <w:name w:val="footnote reference"/>
    <w:semiHidden/>
    <w:rsid w:val="00E64439"/>
    <w:rPr>
      <w:vertAlign w:val="superscript"/>
    </w:rPr>
  </w:style>
  <w:style w:type="paragraph" w:customStyle="1" w:styleId="ParagNum">
    <w:name w:val="ParagNum"/>
    <w:basedOn w:val="Normal"/>
    <w:rsid w:val="00E6443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64439"/>
    <w:pPr>
      <w:spacing w:before="100" w:beforeAutospacing="1" w:after="100" w:afterAutospacing="1" w:line="360" w:lineRule="auto"/>
    </w:pPr>
  </w:style>
  <w:style w:type="paragraph" w:customStyle="1" w:styleId="Indent2">
    <w:name w:val="Indent 2"/>
    <w:basedOn w:val="Indent1"/>
    <w:rsid w:val="00E64439"/>
    <w:pPr>
      <w:ind w:left="1134"/>
    </w:pPr>
  </w:style>
  <w:style w:type="paragraph" w:customStyle="1" w:styleId="Indent3">
    <w:name w:val="Indent 3"/>
    <w:basedOn w:val="Indent1"/>
    <w:rsid w:val="00E64439"/>
    <w:pPr>
      <w:ind w:left="1701"/>
    </w:pPr>
  </w:style>
  <w:style w:type="paragraph" w:customStyle="1" w:styleId="Indent4">
    <w:name w:val="Indent 4"/>
    <w:basedOn w:val="Indent1"/>
    <w:rsid w:val="00E64439"/>
    <w:pPr>
      <w:ind w:left="2268"/>
    </w:pPr>
  </w:style>
  <w:style w:type="paragraph" w:customStyle="1" w:styleId="Indent10">
    <w:name w:val="Indent1"/>
    <w:basedOn w:val="Reasons"/>
    <w:rsid w:val="00E64439"/>
    <w:pPr>
      <w:ind w:left="567"/>
    </w:pPr>
  </w:style>
  <w:style w:type="paragraph" w:customStyle="1" w:styleId="Indent20">
    <w:name w:val="Indent2"/>
    <w:basedOn w:val="Indent10"/>
    <w:rsid w:val="00E64439"/>
    <w:pPr>
      <w:ind w:left="1134"/>
    </w:pPr>
  </w:style>
  <w:style w:type="paragraph" w:customStyle="1" w:styleId="Indent30">
    <w:name w:val="Indent3"/>
    <w:basedOn w:val="Indent10"/>
    <w:rsid w:val="00E64439"/>
    <w:pPr>
      <w:ind w:left="1701"/>
    </w:pPr>
  </w:style>
  <w:style w:type="paragraph" w:customStyle="1" w:styleId="Indent40">
    <w:name w:val="Indent4"/>
    <w:basedOn w:val="Indent10"/>
    <w:rsid w:val="00E64439"/>
    <w:pPr>
      <w:ind w:left="2268"/>
    </w:pPr>
  </w:style>
  <w:style w:type="paragraph" w:customStyle="1" w:styleId="Keywords">
    <w:name w:val="Keywords"/>
    <w:basedOn w:val="Normal"/>
    <w:rsid w:val="00E64439"/>
    <w:pPr>
      <w:spacing w:before="100" w:beforeAutospacing="1" w:after="100" w:afterAutospacing="1"/>
    </w:pPr>
    <w:rPr>
      <w:rFonts w:cs="Arial"/>
      <w:i/>
      <w:szCs w:val="24"/>
    </w:rPr>
  </w:style>
  <w:style w:type="paragraph" w:customStyle="1" w:styleId="Summary">
    <w:name w:val="Summary"/>
    <w:basedOn w:val="Normal"/>
    <w:autoRedefine/>
    <w:rsid w:val="00E64439"/>
    <w:pPr>
      <w:spacing w:before="100" w:beforeAutospacing="1" w:after="100" w:afterAutospacing="1"/>
      <w:ind w:left="562" w:hanging="562"/>
    </w:pPr>
    <w:rPr>
      <w:rFonts w:cs="Arial"/>
    </w:rPr>
  </w:style>
  <w:style w:type="paragraph" w:customStyle="1" w:styleId="History">
    <w:name w:val="History"/>
    <w:basedOn w:val="Normal"/>
    <w:rsid w:val="00E64439"/>
    <w:pPr>
      <w:spacing w:before="100" w:beforeAutospacing="1" w:after="100" w:afterAutospacing="1"/>
      <w:ind w:firstLine="567"/>
    </w:pPr>
  </w:style>
  <w:style w:type="paragraph" w:customStyle="1" w:styleId="T1">
    <w:name w:val="T1"/>
    <w:basedOn w:val="Normal"/>
    <w:rsid w:val="00E64439"/>
    <w:pPr>
      <w:spacing w:before="240" w:after="100" w:afterAutospacing="1"/>
    </w:pPr>
    <w:rPr>
      <w:b/>
    </w:rPr>
  </w:style>
  <w:style w:type="paragraph" w:customStyle="1" w:styleId="T2">
    <w:name w:val="T2"/>
    <w:basedOn w:val="Normal"/>
    <w:rsid w:val="00E64439"/>
    <w:pPr>
      <w:spacing w:before="240" w:after="100" w:afterAutospacing="1"/>
    </w:pPr>
  </w:style>
  <w:style w:type="paragraph" w:customStyle="1" w:styleId="Sollicitors">
    <w:name w:val="Sollicitors"/>
    <w:basedOn w:val="Normal"/>
    <w:rsid w:val="00E64439"/>
    <w:pPr>
      <w:spacing w:before="100" w:beforeAutospacing="1" w:after="100" w:afterAutospacing="1"/>
    </w:pPr>
    <w:rPr>
      <w:i/>
    </w:rPr>
  </w:style>
  <w:style w:type="paragraph" w:customStyle="1" w:styleId="Court">
    <w:name w:val="Court"/>
    <w:basedOn w:val="Normal"/>
    <w:rsid w:val="00E64439"/>
    <w:rPr>
      <w:rFonts w:cs="Arial"/>
      <w:b/>
      <w:szCs w:val="24"/>
    </w:rPr>
  </w:style>
  <w:style w:type="character" w:customStyle="1" w:styleId="PageChar">
    <w:name w:val="Page Char"/>
    <w:link w:val="Page"/>
    <w:rsid w:val="00E64439"/>
    <w:rPr>
      <w:rFonts w:ascii="Arial" w:eastAsia="MS Mincho" w:hAnsi="Arial" w:cs="Times New Roman"/>
      <w:i/>
      <w:sz w:val="24"/>
      <w:szCs w:val="28"/>
      <w:lang w:val="en-CA" w:eastAsia="ja-JP"/>
    </w:rPr>
  </w:style>
  <w:style w:type="character" w:customStyle="1" w:styleId="ReasonsCar">
    <w:name w:val="Reasons Car"/>
    <w:link w:val="Reasons"/>
    <w:rsid w:val="00E64439"/>
    <w:rPr>
      <w:rFonts w:ascii="Arial" w:eastAsia="MS Mincho" w:hAnsi="Arial" w:cs="Times New Roman"/>
      <w:sz w:val="24"/>
      <w:szCs w:val="28"/>
      <w:lang w:val="en-CA" w:eastAsia="ja-JP"/>
    </w:rPr>
  </w:style>
  <w:style w:type="paragraph" w:customStyle="1" w:styleId="CitationLine">
    <w:name w:val="CitationLine"/>
    <w:basedOn w:val="Court"/>
    <w:rsid w:val="00E64439"/>
  </w:style>
  <w:style w:type="paragraph" w:customStyle="1" w:styleId="DateISO">
    <w:name w:val="DateISO"/>
    <w:basedOn w:val="Court"/>
    <w:rsid w:val="00E64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2015-03-17T12:44:00Z</dcterms:created>
  <dcterms:modified xsi:type="dcterms:W3CDTF">2015-03-23T10:20:00Z</dcterms:modified>
</cp:coreProperties>
</file>