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3E" w:rsidRDefault="0027473E" w:rsidP="0027473E">
      <w:pPr>
        <w:pStyle w:val="Court"/>
      </w:pPr>
      <w:r>
        <w:t>Supreme Court of Canada</w:t>
      </w:r>
    </w:p>
    <w:p w:rsidR="0027473E" w:rsidRDefault="0027473E" w:rsidP="0027473E">
      <w:pPr>
        <w:pStyle w:val="CitationLine"/>
      </w:pPr>
      <w:r>
        <w:t xml:space="preserve">Scammell </w:t>
      </w:r>
      <w:r>
        <w:rPr>
          <w:i/>
          <w:iCs/>
        </w:rPr>
        <w:t xml:space="preserve">v. </w:t>
      </w:r>
      <w:r>
        <w:t>Clarke (1894) 23 SCR 307</w:t>
      </w:r>
    </w:p>
    <w:p w:rsidR="0027473E" w:rsidRDefault="0027473E" w:rsidP="0027473E">
      <w:pPr>
        <w:pStyle w:val="DateISO"/>
      </w:pPr>
      <w:r>
        <w:t>Date: 1894-05-01</w:t>
      </w:r>
    </w:p>
    <w:p w:rsidR="00743A4C" w:rsidRDefault="0027473E" w:rsidP="00B33667">
      <w:pPr>
        <w:pStyle w:val="Metadata"/>
      </w:pPr>
      <w:r>
        <w:t xml:space="preserve">Scammell </w:t>
      </w:r>
      <w:r>
        <w:rPr>
          <w:i/>
          <w:iCs/>
        </w:rPr>
        <w:t xml:space="preserve">v. </w:t>
      </w:r>
      <w:r>
        <w:t>Clarke</w:t>
      </w:r>
    </w:p>
    <w:p w:rsidR="00743A4C" w:rsidRDefault="00743A4C" w:rsidP="00B33667">
      <w:pPr>
        <w:pStyle w:val="Metadata"/>
      </w:pPr>
      <w:r>
        <w:t>TWO CASES.</w:t>
      </w:r>
    </w:p>
    <w:p w:rsidR="0027473E" w:rsidRDefault="0027473E" w:rsidP="00B33667">
      <w:pPr>
        <w:pStyle w:val="Metadata"/>
      </w:pPr>
      <w:r>
        <w:t xml:space="preserve">1894: Feb. </w:t>
      </w:r>
      <w:r>
        <w:rPr>
          <w:smallCaps/>
        </w:rPr>
        <w:t xml:space="preserve">21, 22, 23; 1894: </w:t>
      </w:r>
      <w:r>
        <w:t>May 1.</w:t>
      </w:r>
    </w:p>
    <w:p w:rsidR="0027473E" w:rsidRDefault="0027473E" w:rsidP="0027473E">
      <w:pPr>
        <w:pStyle w:val="Metadata"/>
      </w:pPr>
      <w:r w:rsidRPr="0027473E">
        <w:t>Present</w:t>
      </w:r>
      <w:r>
        <w:rPr>
          <w:smallCaps/>
        </w:rPr>
        <w:t>:</w:t>
      </w:r>
      <w:r>
        <w:t xml:space="preserve">—Fournier, Taschereau, Gwynne and Sedgewick </w:t>
      </w:r>
      <w:r>
        <w:rPr>
          <w:smallCaps/>
        </w:rPr>
        <w:t>J J.</w:t>
      </w:r>
    </w:p>
    <w:p w:rsidR="00743A4C" w:rsidRDefault="00743A4C" w:rsidP="0027473E">
      <w:pPr>
        <w:pStyle w:val="Keywords"/>
      </w:pPr>
      <w:r>
        <w:t>New trial—Improper reception and rejection of evidence—Nominal damages.</w:t>
      </w:r>
    </w:p>
    <w:p w:rsidR="00743A4C" w:rsidRDefault="00743A4C" w:rsidP="0027473E">
      <w:pPr>
        <w:pStyle w:val="History"/>
      </w:pPr>
      <w:r w:rsidRPr="0027473E">
        <w:t>Appeal</w:t>
      </w:r>
      <w:r>
        <w:rPr>
          <w:smallCaps/>
        </w:rPr>
        <w:t xml:space="preserve"> </w:t>
      </w:r>
      <w:r>
        <w:t>from decisions of the Supreme Court of New Brunswick</w:t>
      </w:r>
      <w:r w:rsidR="00F80E5D">
        <w:rPr>
          <w:rStyle w:val="FootnoteReference"/>
        </w:rPr>
        <w:footnoteReference w:id="2"/>
      </w:r>
      <w:r>
        <w:t xml:space="preserve"> in favour of the respondent Clarke.</w:t>
      </w:r>
    </w:p>
    <w:p w:rsidR="00743A4C" w:rsidRDefault="00743A4C" w:rsidP="0027473E">
      <w:pPr>
        <w:pStyle w:val="History"/>
        <w:rPr>
          <w:rFonts w:cs="Arial"/>
          <w:szCs w:val="24"/>
        </w:rPr>
      </w:pPr>
      <w:r>
        <w:rPr>
          <w:rFonts w:cs="Arial"/>
          <w:szCs w:val="24"/>
        </w:rPr>
        <w:t>Clarke brought an action for the price of timber supplied to Scammell under a written agreement which was defended on the ground that the timber was not of the quality contracted for. The plaintiff having obtained a verdict a new trial was moved for on a great number of grounds only two of which were relied on in argument. The rule for a new trial was made absolute unless the plaintiff filed a consent to his verdict being reduced and such consent being filed the rule was discharged and the verdict stood for the reduced amount.</w:t>
      </w:r>
    </w:p>
    <w:p w:rsidR="00743A4C" w:rsidRDefault="00743A4C" w:rsidP="0027473E">
      <w:pPr>
        <w:pStyle w:val="History"/>
        <w:rPr>
          <w:rFonts w:cs="Arial"/>
          <w:szCs w:val="24"/>
        </w:rPr>
      </w:pPr>
      <w:r>
        <w:rPr>
          <w:rFonts w:cs="Arial"/>
          <w:szCs w:val="24"/>
        </w:rPr>
        <w:t>Another action was brought by Scammell against Clark for damages in not supplying timber up to the standard the contract required. In this action a verdict was given for the defendant and a new trial was moved for the main ground urged being that plaintiff was entitled to nominal damages at least. The court was of opinion that the plaintiff was entitled to nominal damages, but refused a new trial to enable him to have a verdict therefor. Scammell appealed from both decisions to the Supreme Court of Canada.</w:t>
      </w:r>
    </w:p>
    <w:p w:rsidR="00743A4C" w:rsidRDefault="00743A4C" w:rsidP="0027473E">
      <w:pPr>
        <w:pStyle w:val="History"/>
        <w:rPr>
          <w:rFonts w:cs="Arial"/>
          <w:szCs w:val="24"/>
        </w:rPr>
      </w:pPr>
      <w:r>
        <w:rPr>
          <w:rFonts w:cs="Arial"/>
          <w:szCs w:val="24"/>
        </w:rPr>
        <w:t>Both appeals were dismissed the Supreme Court being of opinion that the objections to the verdicts for</w:t>
      </w:r>
    </w:p>
    <w:p w:rsidR="00743A4C" w:rsidRDefault="00FB386D" w:rsidP="00FB386D">
      <w:pPr>
        <w:pStyle w:val="Page"/>
      </w:pPr>
      <w:r>
        <w:rPr>
          <w:rFonts w:cs="Arial"/>
          <w:szCs w:val="24"/>
        </w:rPr>
        <w:t xml:space="preserve">[Page </w:t>
      </w:r>
      <w:r w:rsidR="00743A4C">
        <w:rPr>
          <w:rFonts w:cs="Arial"/>
          <w:szCs w:val="24"/>
        </w:rPr>
        <w:t>308]</w:t>
      </w:r>
    </w:p>
    <w:p w:rsidR="00743A4C" w:rsidRDefault="00743A4C" w:rsidP="00B33667">
      <w:pPr>
        <w:pStyle w:val="History"/>
        <w:ind w:firstLine="0"/>
        <w:rPr>
          <w:rFonts w:cs="Arial"/>
          <w:szCs w:val="24"/>
        </w:rPr>
      </w:pPr>
      <w:r>
        <w:rPr>
          <w:rFonts w:cs="Arial"/>
          <w:szCs w:val="24"/>
        </w:rPr>
        <w:t>improper reception and rejection of evidence were properly overruled by the court below and the new trial to enable Scammell to recover nominal damages was properly refused.</w:t>
      </w:r>
    </w:p>
    <w:p w:rsidR="00743A4C" w:rsidRDefault="00743A4C" w:rsidP="00B33667">
      <w:pPr>
        <w:pStyle w:val="Reasons"/>
      </w:pPr>
      <w:r>
        <w:t>Appeals dismissed with costs.</w:t>
      </w:r>
    </w:p>
    <w:p w:rsidR="00743A4C" w:rsidRDefault="00743A4C" w:rsidP="00B33667">
      <w:pPr>
        <w:pStyle w:val="Sollicitors"/>
      </w:pPr>
      <w:r>
        <w:rPr>
          <w:iCs/>
        </w:rPr>
        <w:lastRenderedPageBreak/>
        <w:t xml:space="preserve">Palmer </w:t>
      </w:r>
      <w:r>
        <w:t>Q.C. for appellants.</w:t>
      </w:r>
    </w:p>
    <w:p w:rsidR="003824D9" w:rsidRDefault="00743A4C" w:rsidP="00B33667">
      <w:pPr>
        <w:pStyle w:val="Sollicitors"/>
      </w:pPr>
      <w:r>
        <w:rPr>
          <w:iCs/>
        </w:rPr>
        <w:t xml:space="preserve">W. B. Wallace </w:t>
      </w:r>
      <w:r>
        <w:t>for the respondent.</w:t>
      </w:r>
    </w:p>
    <w:sectPr w:rsidR="003824D9" w:rsidSect="0051473D">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959" w:rsidRDefault="00FF0959" w:rsidP="0051473D">
      <w:r>
        <w:separator/>
      </w:r>
    </w:p>
  </w:endnote>
  <w:endnote w:type="continuationSeparator" w:id="1">
    <w:p w:rsidR="00FF0959" w:rsidRDefault="00FF0959" w:rsidP="00514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D" w:rsidRDefault="005147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D" w:rsidRDefault="005147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D" w:rsidRDefault="00514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959" w:rsidRDefault="00FF0959" w:rsidP="0051473D">
      <w:r>
        <w:separator/>
      </w:r>
    </w:p>
  </w:footnote>
  <w:footnote w:type="continuationSeparator" w:id="1">
    <w:p w:rsidR="00FF0959" w:rsidRDefault="00FF0959" w:rsidP="0051473D">
      <w:r>
        <w:continuationSeparator/>
      </w:r>
    </w:p>
  </w:footnote>
  <w:footnote w:id="2">
    <w:p w:rsidR="00F80E5D" w:rsidRPr="00F80E5D" w:rsidRDefault="00F80E5D">
      <w:pPr>
        <w:pStyle w:val="FootnoteText"/>
        <w:rPr>
          <w:lang w:val="en-US"/>
        </w:rPr>
      </w:pPr>
      <w:r>
        <w:rPr>
          <w:rStyle w:val="FootnoteReference"/>
        </w:rPr>
        <w:footnoteRef/>
      </w:r>
      <w:r>
        <w:t xml:space="preserve"> </w:t>
      </w:r>
      <w:r>
        <w:rPr>
          <w:rFonts w:cs="Arial"/>
          <w:smallCaps/>
          <w:szCs w:val="24"/>
        </w:rPr>
        <w:t xml:space="preserve">31 </w:t>
      </w:r>
      <w:r>
        <w:rPr>
          <w:rFonts w:cs="Arial"/>
          <w:szCs w:val="24"/>
        </w:rPr>
        <w:t>N. B. Rep. 250, 265.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D" w:rsidRDefault="005147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D" w:rsidRDefault="005147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73D" w:rsidRDefault="00514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3A4C"/>
    <w:rsid w:val="00013FDA"/>
    <w:rsid w:val="000173FB"/>
    <w:rsid w:val="000655EC"/>
    <w:rsid w:val="00077D2F"/>
    <w:rsid w:val="000B6688"/>
    <w:rsid w:val="000C3415"/>
    <w:rsid w:val="00121409"/>
    <w:rsid w:val="00125F0C"/>
    <w:rsid w:val="00126A8E"/>
    <w:rsid w:val="001837F3"/>
    <w:rsid w:val="001B7226"/>
    <w:rsid w:val="001D0CD5"/>
    <w:rsid w:val="001D0D42"/>
    <w:rsid w:val="001D5C4A"/>
    <w:rsid w:val="001E663C"/>
    <w:rsid w:val="001F6A76"/>
    <w:rsid w:val="002209AC"/>
    <w:rsid w:val="002428EB"/>
    <w:rsid w:val="0027473E"/>
    <w:rsid w:val="002A74DD"/>
    <w:rsid w:val="002B30C5"/>
    <w:rsid w:val="002C186C"/>
    <w:rsid w:val="002D5E01"/>
    <w:rsid w:val="002F4F64"/>
    <w:rsid w:val="002F7D00"/>
    <w:rsid w:val="00307386"/>
    <w:rsid w:val="003450F7"/>
    <w:rsid w:val="00361108"/>
    <w:rsid w:val="003824D9"/>
    <w:rsid w:val="003E5AF5"/>
    <w:rsid w:val="003F602F"/>
    <w:rsid w:val="004277EE"/>
    <w:rsid w:val="0043543D"/>
    <w:rsid w:val="00442713"/>
    <w:rsid w:val="00457BC5"/>
    <w:rsid w:val="00463F5F"/>
    <w:rsid w:val="00482CDC"/>
    <w:rsid w:val="004C7ED4"/>
    <w:rsid w:val="00511D93"/>
    <w:rsid w:val="00514003"/>
    <w:rsid w:val="0051473D"/>
    <w:rsid w:val="00537980"/>
    <w:rsid w:val="00563767"/>
    <w:rsid w:val="005667DA"/>
    <w:rsid w:val="00593C8B"/>
    <w:rsid w:val="00644967"/>
    <w:rsid w:val="006D2BED"/>
    <w:rsid w:val="006D6F42"/>
    <w:rsid w:val="006E5FEA"/>
    <w:rsid w:val="00743A4C"/>
    <w:rsid w:val="00747F2C"/>
    <w:rsid w:val="00751F7D"/>
    <w:rsid w:val="007969C4"/>
    <w:rsid w:val="007B3A90"/>
    <w:rsid w:val="007D6DD5"/>
    <w:rsid w:val="008027F3"/>
    <w:rsid w:val="0081156D"/>
    <w:rsid w:val="008433A9"/>
    <w:rsid w:val="008550EF"/>
    <w:rsid w:val="00872F75"/>
    <w:rsid w:val="00880FBB"/>
    <w:rsid w:val="008B0B7A"/>
    <w:rsid w:val="00926406"/>
    <w:rsid w:val="009A7B1B"/>
    <w:rsid w:val="009D37B6"/>
    <w:rsid w:val="009E64DC"/>
    <w:rsid w:val="00A3480C"/>
    <w:rsid w:val="00A42830"/>
    <w:rsid w:val="00A4371F"/>
    <w:rsid w:val="00A54E5B"/>
    <w:rsid w:val="00A61128"/>
    <w:rsid w:val="00A94C52"/>
    <w:rsid w:val="00AB09B8"/>
    <w:rsid w:val="00B007EC"/>
    <w:rsid w:val="00B177F7"/>
    <w:rsid w:val="00B33667"/>
    <w:rsid w:val="00B41B49"/>
    <w:rsid w:val="00B532F0"/>
    <w:rsid w:val="00B639A4"/>
    <w:rsid w:val="00B772A6"/>
    <w:rsid w:val="00BC4595"/>
    <w:rsid w:val="00C372DF"/>
    <w:rsid w:val="00C45FBD"/>
    <w:rsid w:val="00C54EB9"/>
    <w:rsid w:val="00C7016B"/>
    <w:rsid w:val="00C77FAC"/>
    <w:rsid w:val="00C93FA5"/>
    <w:rsid w:val="00CB726B"/>
    <w:rsid w:val="00CC50DD"/>
    <w:rsid w:val="00CD1289"/>
    <w:rsid w:val="00CD1F09"/>
    <w:rsid w:val="00CD50FC"/>
    <w:rsid w:val="00CE2A11"/>
    <w:rsid w:val="00CF1E48"/>
    <w:rsid w:val="00D00550"/>
    <w:rsid w:val="00D306D2"/>
    <w:rsid w:val="00D45866"/>
    <w:rsid w:val="00D9036C"/>
    <w:rsid w:val="00DC1419"/>
    <w:rsid w:val="00DC4119"/>
    <w:rsid w:val="00DE30DC"/>
    <w:rsid w:val="00E1124B"/>
    <w:rsid w:val="00E114A9"/>
    <w:rsid w:val="00E117BD"/>
    <w:rsid w:val="00E12221"/>
    <w:rsid w:val="00E30F5A"/>
    <w:rsid w:val="00E40016"/>
    <w:rsid w:val="00E407E4"/>
    <w:rsid w:val="00E43349"/>
    <w:rsid w:val="00E51D18"/>
    <w:rsid w:val="00E86DF4"/>
    <w:rsid w:val="00EB3437"/>
    <w:rsid w:val="00EF2358"/>
    <w:rsid w:val="00EF3C13"/>
    <w:rsid w:val="00F102D6"/>
    <w:rsid w:val="00F13669"/>
    <w:rsid w:val="00F177D8"/>
    <w:rsid w:val="00F31E91"/>
    <w:rsid w:val="00F60320"/>
    <w:rsid w:val="00F64D86"/>
    <w:rsid w:val="00F80E5D"/>
    <w:rsid w:val="00FA66A7"/>
    <w:rsid w:val="00FB386D"/>
    <w:rsid w:val="00FF04C7"/>
    <w:rsid w:val="00FF09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386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B386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B386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B386D"/>
  </w:style>
  <w:style w:type="paragraph" w:styleId="Header">
    <w:name w:val="header"/>
    <w:basedOn w:val="Normal"/>
    <w:link w:val="HeaderChar"/>
    <w:uiPriority w:val="99"/>
    <w:unhideWhenUsed/>
    <w:rsid w:val="00FB386D"/>
    <w:pPr>
      <w:tabs>
        <w:tab w:val="center" w:pos="4680"/>
        <w:tab w:val="right" w:pos="9360"/>
      </w:tabs>
    </w:pPr>
    <w:rPr>
      <w:rFonts w:ascii="Times New Roman" w:hAnsi="Times New Roman"/>
    </w:rPr>
  </w:style>
  <w:style w:type="character" w:customStyle="1" w:styleId="HeaderChar">
    <w:name w:val="Header Char"/>
    <w:link w:val="Header"/>
    <w:uiPriority w:val="99"/>
    <w:rsid w:val="00FB386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B386D"/>
    <w:pPr>
      <w:tabs>
        <w:tab w:val="center" w:pos="4680"/>
        <w:tab w:val="right" w:pos="9360"/>
      </w:tabs>
    </w:pPr>
    <w:rPr>
      <w:rFonts w:ascii="Times New Roman" w:hAnsi="Times New Roman"/>
    </w:rPr>
  </w:style>
  <w:style w:type="character" w:customStyle="1" w:styleId="FooterChar">
    <w:name w:val="Footer Char"/>
    <w:link w:val="Footer"/>
    <w:uiPriority w:val="99"/>
    <w:rsid w:val="00FB386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B722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B386D"/>
    <w:pPr>
      <w:spacing w:before="100" w:beforeAutospacing="1"/>
      <w:ind w:left="567"/>
      <w:jc w:val="both"/>
    </w:pPr>
  </w:style>
  <w:style w:type="paragraph" w:customStyle="1" w:styleId="Metadata">
    <w:name w:val="Metadata"/>
    <w:basedOn w:val="Normal"/>
    <w:rsid w:val="00FB386D"/>
    <w:pPr>
      <w:spacing w:before="100" w:beforeAutospacing="1" w:after="100" w:afterAutospacing="1"/>
    </w:pPr>
    <w:rPr>
      <w:rFonts w:cs="Arial"/>
      <w:szCs w:val="24"/>
    </w:rPr>
  </w:style>
  <w:style w:type="paragraph" w:customStyle="1" w:styleId="Page">
    <w:name w:val="Page"/>
    <w:basedOn w:val="Normal"/>
    <w:link w:val="PageChar"/>
    <w:rsid w:val="00FB386D"/>
    <w:pPr>
      <w:spacing w:before="100" w:beforeAutospacing="1" w:after="100" w:afterAutospacing="1"/>
    </w:pPr>
    <w:rPr>
      <w:i/>
    </w:rPr>
  </w:style>
  <w:style w:type="paragraph" w:styleId="FootnoteText">
    <w:name w:val="footnote text"/>
    <w:basedOn w:val="Normal"/>
    <w:link w:val="FootnoteTextChar"/>
    <w:autoRedefine/>
    <w:semiHidden/>
    <w:rsid w:val="00FB386D"/>
    <w:rPr>
      <w:sz w:val="16"/>
      <w:szCs w:val="20"/>
    </w:rPr>
  </w:style>
  <w:style w:type="character" w:customStyle="1" w:styleId="FootnoteTextChar">
    <w:name w:val="Footnote Text Char"/>
    <w:link w:val="FootnoteText"/>
    <w:semiHidden/>
    <w:rsid w:val="00FB386D"/>
    <w:rPr>
      <w:rFonts w:ascii="Arial" w:eastAsia="MS Mincho" w:hAnsi="Arial" w:cs="Times New Roman"/>
      <w:sz w:val="16"/>
      <w:szCs w:val="20"/>
      <w:lang w:val="en-CA" w:eastAsia="ja-JP"/>
    </w:rPr>
  </w:style>
  <w:style w:type="character" w:styleId="FootnoteReference">
    <w:name w:val="footnote reference"/>
    <w:semiHidden/>
    <w:rsid w:val="00FB386D"/>
    <w:rPr>
      <w:vertAlign w:val="superscript"/>
    </w:rPr>
  </w:style>
  <w:style w:type="paragraph" w:customStyle="1" w:styleId="ParagNum">
    <w:name w:val="ParagNum"/>
    <w:basedOn w:val="Normal"/>
    <w:rsid w:val="00FB386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B386D"/>
    <w:pPr>
      <w:spacing w:before="100" w:beforeAutospacing="1" w:after="100" w:afterAutospacing="1" w:line="360" w:lineRule="auto"/>
    </w:pPr>
  </w:style>
  <w:style w:type="paragraph" w:customStyle="1" w:styleId="Indent2">
    <w:name w:val="Indent 2"/>
    <w:basedOn w:val="Indent1"/>
    <w:rsid w:val="00FB386D"/>
    <w:pPr>
      <w:ind w:left="1134"/>
    </w:pPr>
  </w:style>
  <w:style w:type="paragraph" w:customStyle="1" w:styleId="Indent3">
    <w:name w:val="Indent 3"/>
    <w:basedOn w:val="Indent1"/>
    <w:rsid w:val="00FB386D"/>
    <w:pPr>
      <w:ind w:left="1701"/>
    </w:pPr>
  </w:style>
  <w:style w:type="paragraph" w:customStyle="1" w:styleId="Indent4">
    <w:name w:val="Indent 4"/>
    <w:basedOn w:val="Indent1"/>
    <w:rsid w:val="00FB386D"/>
    <w:pPr>
      <w:ind w:left="2268"/>
    </w:pPr>
  </w:style>
  <w:style w:type="paragraph" w:customStyle="1" w:styleId="Indent10">
    <w:name w:val="Indent1"/>
    <w:basedOn w:val="Reasons"/>
    <w:rsid w:val="00FB386D"/>
    <w:pPr>
      <w:ind w:left="567"/>
    </w:pPr>
  </w:style>
  <w:style w:type="paragraph" w:customStyle="1" w:styleId="Indent20">
    <w:name w:val="Indent2"/>
    <w:basedOn w:val="Indent10"/>
    <w:rsid w:val="00FB386D"/>
    <w:pPr>
      <w:ind w:left="1134"/>
    </w:pPr>
  </w:style>
  <w:style w:type="paragraph" w:customStyle="1" w:styleId="Indent30">
    <w:name w:val="Indent3"/>
    <w:basedOn w:val="Indent10"/>
    <w:rsid w:val="00FB386D"/>
    <w:pPr>
      <w:ind w:left="1701"/>
    </w:pPr>
  </w:style>
  <w:style w:type="paragraph" w:customStyle="1" w:styleId="Indent40">
    <w:name w:val="Indent4"/>
    <w:basedOn w:val="Indent10"/>
    <w:rsid w:val="00FB386D"/>
    <w:pPr>
      <w:ind w:left="2268"/>
    </w:pPr>
  </w:style>
  <w:style w:type="paragraph" w:customStyle="1" w:styleId="Keywords">
    <w:name w:val="Keywords"/>
    <w:basedOn w:val="Normal"/>
    <w:rsid w:val="00FB386D"/>
    <w:pPr>
      <w:spacing w:before="100" w:beforeAutospacing="1" w:after="100" w:afterAutospacing="1"/>
    </w:pPr>
    <w:rPr>
      <w:rFonts w:cs="Arial"/>
      <w:i/>
      <w:szCs w:val="24"/>
    </w:rPr>
  </w:style>
  <w:style w:type="paragraph" w:customStyle="1" w:styleId="Summary">
    <w:name w:val="Summary"/>
    <w:basedOn w:val="Normal"/>
    <w:autoRedefine/>
    <w:rsid w:val="00FB386D"/>
    <w:pPr>
      <w:spacing w:before="100" w:beforeAutospacing="1" w:after="100" w:afterAutospacing="1"/>
      <w:ind w:left="562" w:hanging="562"/>
    </w:pPr>
    <w:rPr>
      <w:rFonts w:cs="Arial"/>
    </w:rPr>
  </w:style>
  <w:style w:type="paragraph" w:customStyle="1" w:styleId="History">
    <w:name w:val="History"/>
    <w:basedOn w:val="Normal"/>
    <w:rsid w:val="00FB386D"/>
    <w:pPr>
      <w:spacing w:before="100" w:beforeAutospacing="1" w:after="100" w:afterAutospacing="1"/>
      <w:ind w:firstLine="567"/>
    </w:pPr>
  </w:style>
  <w:style w:type="paragraph" w:customStyle="1" w:styleId="T1">
    <w:name w:val="T1"/>
    <w:basedOn w:val="Normal"/>
    <w:rsid w:val="00FB386D"/>
    <w:pPr>
      <w:spacing w:before="240" w:after="100" w:afterAutospacing="1"/>
    </w:pPr>
    <w:rPr>
      <w:b/>
    </w:rPr>
  </w:style>
  <w:style w:type="paragraph" w:customStyle="1" w:styleId="T2">
    <w:name w:val="T2"/>
    <w:basedOn w:val="Normal"/>
    <w:rsid w:val="00FB386D"/>
    <w:pPr>
      <w:spacing w:before="240" w:after="100" w:afterAutospacing="1"/>
    </w:pPr>
  </w:style>
  <w:style w:type="paragraph" w:customStyle="1" w:styleId="Sollicitors">
    <w:name w:val="Sollicitors"/>
    <w:basedOn w:val="Normal"/>
    <w:rsid w:val="00FB386D"/>
    <w:pPr>
      <w:spacing w:before="100" w:beforeAutospacing="1" w:after="100" w:afterAutospacing="1"/>
    </w:pPr>
    <w:rPr>
      <w:i/>
    </w:rPr>
  </w:style>
  <w:style w:type="paragraph" w:customStyle="1" w:styleId="Court">
    <w:name w:val="Court"/>
    <w:basedOn w:val="Normal"/>
    <w:rsid w:val="00FB386D"/>
    <w:rPr>
      <w:rFonts w:cs="Arial"/>
      <w:b/>
      <w:szCs w:val="24"/>
    </w:rPr>
  </w:style>
  <w:style w:type="character" w:customStyle="1" w:styleId="PageChar">
    <w:name w:val="Page Char"/>
    <w:link w:val="Page"/>
    <w:rsid w:val="00FB386D"/>
    <w:rPr>
      <w:rFonts w:ascii="Arial" w:eastAsia="MS Mincho" w:hAnsi="Arial" w:cs="Times New Roman"/>
      <w:i/>
      <w:sz w:val="24"/>
      <w:szCs w:val="28"/>
      <w:lang w:val="en-CA" w:eastAsia="ja-JP"/>
    </w:rPr>
  </w:style>
  <w:style w:type="character" w:customStyle="1" w:styleId="ReasonsCar">
    <w:name w:val="Reasons Car"/>
    <w:link w:val="Reasons"/>
    <w:rsid w:val="00FB386D"/>
    <w:rPr>
      <w:rFonts w:ascii="Arial" w:eastAsia="MS Mincho" w:hAnsi="Arial" w:cs="Times New Roman"/>
      <w:sz w:val="24"/>
      <w:szCs w:val="28"/>
      <w:lang w:val="en-CA" w:eastAsia="ja-JP"/>
    </w:rPr>
  </w:style>
  <w:style w:type="paragraph" w:customStyle="1" w:styleId="CitationLine">
    <w:name w:val="CitationLine"/>
    <w:basedOn w:val="Court"/>
    <w:rsid w:val="00FB386D"/>
  </w:style>
  <w:style w:type="paragraph" w:customStyle="1" w:styleId="DateISO">
    <w:name w:val="DateISO"/>
    <w:basedOn w:val="Court"/>
    <w:rsid w:val="00FB38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2015-03-17T12:43:00Z</dcterms:created>
  <dcterms:modified xsi:type="dcterms:W3CDTF">2015-03-23T10:20:00Z</dcterms:modified>
</cp:coreProperties>
</file>