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F6" w:rsidRDefault="001810F6" w:rsidP="001810F6">
      <w:pPr>
        <w:pStyle w:val="Court"/>
      </w:pPr>
      <w:r>
        <w:t>Supreme Court of Canada</w:t>
      </w:r>
    </w:p>
    <w:p w:rsidR="001810F6" w:rsidRDefault="001810F6" w:rsidP="001810F6">
      <w:pPr>
        <w:pStyle w:val="CitationLine"/>
      </w:pPr>
      <w:r w:rsidRPr="001810F6">
        <w:t xml:space="preserve">The Chatham National Bank </w:t>
      </w:r>
      <w:r w:rsidRPr="001810F6">
        <w:rPr>
          <w:i/>
          <w:iCs/>
        </w:rPr>
        <w:t xml:space="preserve">v. </w:t>
      </w:r>
      <w:r w:rsidRPr="001810F6">
        <w:t>McKeen</w:t>
      </w:r>
      <w:r>
        <w:t xml:space="preserve"> (1895) 24 SCR 348</w:t>
      </w:r>
    </w:p>
    <w:p w:rsidR="001810F6" w:rsidRDefault="001810F6" w:rsidP="001810F6">
      <w:pPr>
        <w:pStyle w:val="DateISO"/>
      </w:pPr>
      <w:r>
        <w:t>Date: 1895-05-06</w:t>
      </w:r>
    </w:p>
    <w:p w:rsidR="00133BA5" w:rsidRPr="001810F6" w:rsidRDefault="001810F6" w:rsidP="001810F6">
      <w:pPr>
        <w:pStyle w:val="Metadata"/>
      </w:pPr>
      <w:r w:rsidRPr="001810F6">
        <w:t>The Chatham National Bank</w:t>
      </w:r>
    </w:p>
    <w:p w:rsidR="00133BA5" w:rsidRPr="001810F6" w:rsidRDefault="00133BA5" w:rsidP="001810F6">
      <w:pPr>
        <w:pStyle w:val="Metadata"/>
      </w:pPr>
      <w:r w:rsidRPr="001810F6">
        <w:t>Appellant</w:t>
      </w:r>
    </w:p>
    <w:p w:rsidR="00133BA5" w:rsidRPr="001810F6" w:rsidRDefault="001810F6" w:rsidP="001810F6">
      <w:pPr>
        <w:pStyle w:val="Metadata"/>
      </w:pPr>
      <w:r>
        <w:t>A</w:t>
      </w:r>
      <w:r w:rsidR="00133BA5" w:rsidRPr="001810F6">
        <w:t>nd</w:t>
      </w:r>
    </w:p>
    <w:p w:rsidR="00133BA5" w:rsidRPr="001810F6" w:rsidRDefault="001810F6" w:rsidP="001810F6">
      <w:pPr>
        <w:pStyle w:val="Metadata"/>
      </w:pPr>
      <w:r w:rsidRPr="001810F6">
        <w:t>Lewis</w:t>
      </w:r>
      <w:r w:rsidR="00133BA5" w:rsidRPr="001810F6">
        <w:t xml:space="preserve"> McK</w:t>
      </w:r>
      <w:r w:rsidRPr="001810F6">
        <w:t>een</w:t>
      </w:r>
      <w:r w:rsidR="00133BA5" w:rsidRPr="001810F6">
        <w:t xml:space="preserve"> and Eastern Trust Company, Liquidators of </w:t>
      </w:r>
      <w:r w:rsidR="00462E54">
        <w:t>t</w:t>
      </w:r>
      <w:r w:rsidR="00133BA5" w:rsidRPr="001810F6">
        <w:t>he Mabou Coal and Gypsum Co.</w:t>
      </w:r>
    </w:p>
    <w:p w:rsidR="00133BA5" w:rsidRPr="001810F6" w:rsidRDefault="00133BA5" w:rsidP="001810F6">
      <w:pPr>
        <w:pStyle w:val="Metadata"/>
      </w:pPr>
      <w:r w:rsidRPr="001810F6">
        <w:t>Respondents</w:t>
      </w:r>
    </w:p>
    <w:p w:rsidR="001810F6" w:rsidRPr="00D91704" w:rsidRDefault="001810F6" w:rsidP="001810F6">
      <w:pPr>
        <w:pStyle w:val="Metadata"/>
      </w:pPr>
      <w:r w:rsidRPr="00D91704">
        <w:t>1895</w:t>
      </w:r>
      <w:r>
        <w:t xml:space="preserve">: Feb. 19, 20; 1895: </w:t>
      </w:r>
      <w:r w:rsidRPr="00D91704">
        <w:t>May 6.</w:t>
      </w:r>
    </w:p>
    <w:p w:rsidR="001810F6" w:rsidRDefault="001810F6" w:rsidP="001810F6">
      <w:pPr>
        <w:pStyle w:val="Metadata"/>
        <w:rPr>
          <w:smallCaps/>
        </w:rPr>
      </w:pPr>
      <w:r w:rsidRPr="001810F6">
        <w:t>Present</w:t>
      </w:r>
      <w:r w:rsidRPr="00D91704">
        <w:rPr>
          <w:smallCaps/>
        </w:rPr>
        <w:t>:</w:t>
      </w:r>
      <w:r w:rsidRPr="00D91704">
        <w:t xml:space="preserve">—Sir Henry Strong </w:t>
      </w:r>
      <w:r w:rsidRPr="001810F6">
        <w:t>C</w:t>
      </w:r>
      <w:r w:rsidRPr="00D91704">
        <w:t>.J., and Fournier, Taschereau, Sedgewick and King JJ.</w:t>
      </w:r>
    </w:p>
    <w:p w:rsidR="00133BA5" w:rsidRPr="001810F6" w:rsidRDefault="001810F6" w:rsidP="001810F6">
      <w:pPr>
        <w:pStyle w:val="Metadata"/>
      </w:pPr>
      <w:r w:rsidRPr="001810F6">
        <w:t>ON APPEAL FROM THE SUPREME COURT OF NOVA SCOTIA.</w:t>
      </w:r>
    </w:p>
    <w:p w:rsidR="00133BA5" w:rsidRPr="00D91704" w:rsidRDefault="00133BA5" w:rsidP="001810F6">
      <w:pPr>
        <w:pStyle w:val="Keywords"/>
      </w:pPr>
      <w:r w:rsidRPr="00D91704">
        <w:t>Winding-up Act—Sale by liquidator—Purchase by director of insolvent company—Fiduciary relationship—R. S. C. c. 129 s. 34.</w:t>
      </w:r>
    </w:p>
    <w:p w:rsidR="00133BA5" w:rsidRPr="00D91704" w:rsidRDefault="00133BA5" w:rsidP="001810F6">
      <w:pPr>
        <w:pStyle w:val="Summary"/>
      </w:pPr>
      <w:r w:rsidRPr="00D91704">
        <w:t xml:space="preserve">Upon the appointment of a liquidator for a company being wound up under </w:t>
      </w:r>
      <w:r w:rsidRPr="00D91704">
        <w:rPr>
          <w:smallCaps/>
        </w:rPr>
        <w:t xml:space="preserve">r. </w:t>
      </w:r>
      <w:r w:rsidRPr="00D91704">
        <w:t xml:space="preserve">S. </w:t>
      </w:r>
      <w:r w:rsidRPr="00D91704">
        <w:rPr>
          <w:smallCaps/>
        </w:rPr>
        <w:t xml:space="preserve">c. </w:t>
      </w:r>
      <w:r w:rsidRPr="00D91704">
        <w:t>c. 129 (The Winding-up Act) if the powers of the directors are not continued as provided by s. 34 of the Act their fiduciary relations to the company or its shareholders are at an end and a sale to them by the liquidator of the company is valid.</w:t>
      </w:r>
    </w:p>
    <w:p w:rsidR="00133BA5" w:rsidRPr="00D91704" w:rsidRDefault="001810F6" w:rsidP="001810F6">
      <w:pPr>
        <w:pStyle w:val="History"/>
      </w:pPr>
      <w:r w:rsidRPr="001810F6">
        <w:t>APPEAL</w:t>
      </w:r>
      <w:r w:rsidRPr="00D91704">
        <w:rPr>
          <w:smallCaps/>
        </w:rPr>
        <w:t xml:space="preserve"> </w:t>
      </w:r>
      <w:r w:rsidR="00133BA5" w:rsidRPr="00D91704">
        <w:t>from a decision of the Supreme Court of Nova Scotia reversing the ruling of the Chief Justice who refused to confirm a sale by the liquidator of the Mabou Coal and Gypsum Company to the respondent McKeen of property of the company.</w:t>
      </w:r>
    </w:p>
    <w:p w:rsidR="00133BA5" w:rsidRPr="00D91704" w:rsidRDefault="00133BA5" w:rsidP="001810F6">
      <w:pPr>
        <w:pStyle w:val="History"/>
        <w:rPr>
          <w:rFonts w:cs="Arial"/>
          <w:szCs w:val="24"/>
        </w:rPr>
      </w:pPr>
      <w:r w:rsidRPr="00D91704">
        <w:rPr>
          <w:rFonts w:cs="Arial"/>
          <w:szCs w:val="24"/>
        </w:rPr>
        <w:t>At the time the winding-up order was made the respondent, McKeen, was a director of the insolvent company and the sole question for decision was whether or not his position as such director continued after the order was made so as to prevent him from becoming a purchaser of the property of the company from the liquidator. The Chief Justice held that it did and refused to confirm the sale but his ruling was reversed by the full court.</w:t>
      </w:r>
    </w:p>
    <w:p w:rsidR="00133BA5" w:rsidRPr="00D91704" w:rsidRDefault="00133BA5" w:rsidP="00D86497">
      <w:pPr>
        <w:pStyle w:val="History"/>
        <w:rPr>
          <w:rFonts w:cs="Arial"/>
          <w:szCs w:val="24"/>
        </w:rPr>
      </w:pPr>
      <w:r w:rsidRPr="00D91704">
        <w:rPr>
          <w:rFonts w:cs="Arial"/>
          <w:i/>
          <w:iCs/>
          <w:szCs w:val="24"/>
        </w:rPr>
        <w:t xml:space="preserve">Gormully </w:t>
      </w:r>
      <w:r w:rsidRPr="00D91704">
        <w:rPr>
          <w:rFonts w:cs="Arial"/>
          <w:szCs w:val="24"/>
        </w:rPr>
        <w:t xml:space="preserve">Q.C. and </w:t>
      </w:r>
      <w:r w:rsidRPr="00D91704">
        <w:rPr>
          <w:rFonts w:cs="Arial"/>
          <w:i/>
          <w:iCs/>
          <w:szCs w:val="24"/>
        </w:rPr>
        <w:t xml:space="preserve">Orde </w:t>
      </w:r>
      <w:r w:rsidRPr="00D91704">
        <w:rPr>
          <w:rFonts w:cs="Arial"/>
          <w:szCs w:val="24"/>
        </w:rPr>
        <w:t>for the appellant. Though the powers of directors cease when the winding-up</w:t>
      </w:r>
    </w:p>
    <w:p w:rsidR="00133BA5" w:rsidRPr="00D91704" w:rsidRDefault="00CA40FE" w:rsidP="00CA40FE">
      <w:pPr>
        <w:pStyle w:val="Page"/>
      </w:pPr>
      <w:r>
        <w:rPr>
          <w:rFonts w:cs="Arial"/>
          <w:szCs w:val="24"/>
        </w:rPr>
        <w:t xml:space="preserve">[Page </w:t>
      </w:r>
      <w:r w:rsidR="00133BA5" w:rsidRPr="00D91704">
        <w:rPr>
          <w:rFonts w:cs="Arial"/>
          <w:szCs w:val="24"/>
        </w:rPr>
        <w:t>349]</w:t>
      </w:r>
    </w:p>
    <w:p w:rsidR="00133BA5" w:rsidRPr="00D91704" w:rsidRDefault="00133BA5" w:rsidP="00D86497">
      <w:pPr>
        <w:pStyle w:val="History"/>
        <w:ind w:firstLine="0"/>
        <w:rPr>
          <w:rFonts w:cs="Arial"/>
          <w:szCs w:val="24"/>
        </w:rPr>
      </w:pPr>
      <w:r w:rsidRPr="00D91704">
        <w:rPr>
          <w:rFonts w:cs="Arial"/>
          <w:szCs w:val="24"/>
        </w:rPr>
        <w:lastRenderedPageBreak/>
        <w:t xml:space="preserve">order is made their duties do not. </w:t>
      </w:r>
      <w:r w:rsidRPr="00D91704">
        <w:rPr>
          <w:rFonts w:cs="Arial"/>
          <w:i/>
          <w:iCs/>
          <w:szCs w:val="24"/>
        </w:rPr>
        <w:t xml:space="preserve">Madrid Bank </w:t>
      </w:r>
      <w:r w:rsidRPr="00D91704">
        <w:rPr>
          <w:rFonts w:cs="Arial"/>
          <w:szCs w:val="24"/>
        </w:rPr>
        <w:t xml:space="preserve">v. </w:t>
      </w:r>
      <w:r w:rsidRPr="00D91704">
        <w:rPr>
          <w:rFonts w:cs="Arial"/>
          <w:i/>
          <w:iCs/>
          <w:szCs w:val="24"/>
        </w:rPr>
        <w:t>Bayley</w:t>
      </w:r>
      <w:r w:rsidR="00502CB3">
        <w:rPr>
          <w:rStyle w:val="FootnoteReference"/>
          <w:rFonts w:cs="Arial"/>
          <w:i/>
          <w:iCs/>
          <w:szCs w:val="24"/>
        </w:rPr>
        <w:footnoteReference w:id="2"/>
      </w:r>
      <w:r w:rsidRPr="00D91704">
        <w:rPr>
          <w:rFonts w:cs="Arial"/>
          <w:szCs w:val="24"/>
        </w:rPr>
        <w:t>.</w:t>
      </w:r>
    </w:p>
    <w:p w:rsidR="00133BA5" w:rsidRPr="00D91704" w:rsidRDefault="00133BA5" w:rsidP="00D86497">
      <w:pPr>
        <w:pStyle w:val="History"/>
        <w:rPr>
          <w:rFonts w:cs="Arial"/>
          <w:szCs w:val="24"/>
        </w:rPr>
      </w:pPr>
      <w:r w:rsidRPr="00D91704">
        <w:rPr>
          <w:rFonts w:cs="Arial"/>
          <w:szCs w:val="24"/>
        </w:rPr>
        <w:t xml:space="preserve">As to duties of superseded directors see </w:t>
      </w:r>
      <w:r w:rsidRPr="00D91704">
        <w:rPr>
          <w:rFonts w:cs="Arial"/>
          <w:i/>
          <w:iCs/>
          <w:szCs w:val="24"/>
        </w:rPr>
        <w:t xml:space="preserve">Grover </w:t>
      </w:r>
      <w:r w:rsidRPr="00D91704">
        <w:rPr>
          <w:rFonts w:cs="Arial"/>
          <w:szCs w:val="24"/>
        </w:rPr>
        <w:t xml:space="preserve">v. </w:t>
      </w:r>
      <w:r w:rsidRPr="00D91704">
        <w:rPr>
          <w:rFonts w:cs="Arial"/>
          <w:i/>
          <w:iCs/>
          <w:szCs w:val="24"/>
        </w:rPr>
        <w:t>Hugell</w:t>
      </w:r>
      <w:r w:rsidR="00502CB3">
        <w:rPr>
          <w:rStyle w:val="FootnoteReference"/>
          <w:rFonts w:cs="Arial"/>
          <w:i/>
          <w:iCs/>
          <w:szCs w:val="24"/>
        </w:rPr>
        <w:footnoteReference w:id="3"/>
      </w:r>
      <w:r w:rsidRPr="00D91704">
        <w:rPr>
          <w:rFonts w:cs="Arial"/>
          <w:szCs w:val="24"/>
        </w:rPr>
        <w:t xml:space="preserve">; </w:t>
      </w:r>
      <w:r w:rsidRPr="00D91704">
        <w:rPr>
          <w:rFonts w:cs="Arial"/>
          <w:i/>
          <w:iCs/>
          <w:szCs w:val="24"/>
        </w:rPr>
        <w:t>Ex parte James</w:t>
      </w:r>
      <w:r w:rsidR="00502CB3">
        <w:rPr>
          <w:rStyle w:val="FootnoteReference"/>
          <w:rFonts w:cs="Arial"/>
          <w:i/>
          <w:iCs/>
          <w:szCs w:val="24"/>
        </w:rPr>
        <w:footnoteReference w:id="4"/>
      </w:r>
      <w:r w:rsidRPr="00D91704">
        <w:rPr>
          <w:rFonts w:cs="Arial"/>
          <w:szCs w:val="24"/>
        </w:rPr>
        <w:t xml:space="preserve">; </w:t>
      </w:r>
      <w:r w:rsidRPr="00D91704">
        <w:rPr>
          <w:rFonts w:cs="Arial"/>
          <w:i/>
          <w:iCs/>
          <w:szCs w:val="24"/>
        </w:rPr>
        <w:t xml:space="preserve">Tennant </w:t>
      </w:r>
      <w:r w:rsidRPr="00D91704">
        <w:rPr>
          <w:rFonts w:cs="Arial"/>
          <w:szCs w:val="24"/>
        </w:rPr>
        <w:t xml:space="preserve">v. </w:t>
      </w:r>
      <w:r w:rsidRPr="00D91704">
        <w:rPr>
          <w:rFonts w:cs="Arial"/>
          <w:i/>
          <w:iCs/>
          <w:szCs w:val="24"/>
        </w:rPr>
        <w:t>Trenchard</w:t>
      </w:r>
      <w:r w:rsidR="00502CB3">
        <w:rPr>
          <w:rStyle w:val="FootnoteReference"/>
          <w:rFonts w:cs="Arial"/>
          <w:i/>
          <w:iCs/>
          <w:szCs w:val="24"/>
        </w:rPr>
        <w:footnoteReference w:id="5"/>
      </w:r>
      <w:r w:rsidRPr="00D91704">
        <w:rPr>
          <w:rFonts w:cs="Arial"/>
          <w:szCs w:val="24"/>
        </w:rPr>
        <w:t>.</w:t>
      </w:r>
    </w:p>
    <w:p w:rsidR="00133BA5" w:rsidRPr="00D91704" w:rsidRDefault="00133BA5" w:rsidP="00D86497">
      <w:pPr>
        <w:pStyle w:val="History"/>
        <w:rPr>
          <w:rFonts w:cs="Arial"/>
          <w:szCs w:val="24"/>
        </w:rPr>
      </w:pPr>
      <w:r w:rsidRPr="00D91704">
        <w:rPr>
          <w:rFonts w:cs="Arial"/>
          <w:i/>
          <w:iCs/>
          <w:szCs w:val="24"/>
        </w:rPr>
        <w:t xml:space="preserve">Code </w:t>
      </w:r>
      <w:r w:rsidRPr="00D91704">
        <w:rPr>
          <w:rFonts w:cs="Arial"/>
          <w:szCs w:val="24"/>
        </w:rPr>
        <w:t xml:space="preserve">for the respondent referred to </w:t>
      </w:r>
      <w:r w:rsidRPr="00D91704">
        <w:rPr>
          <w:rFonts w:cs="Arial"/>
          <w:i/>
          <w:iCs/>
          <w:szCs w:val="24"/>
        </w:rPr>
        <w:t>Re Alexandra Hall Co.</w:t>
      </w:r>
      <w:r w:rsidR="00502CB3">
        <w:rPr>
          <w:rStyle w:val="FootnoteReference"/>
          <w:rFonts w:cs="Arial"/>
          <w:i/>
          <w:iCs/>
          <w:szCs w:val="24"/>
        </w:rPr>
        <w:footnoteReference w:id="6"/>
      </w:r>
      <w:r w:rsidRPr="00D91704">
        <w:rPr>
          <w:rFonts w:cs="Arial"/>
          <w:szCs w:val="24"/>
        </w:rPr>
        <w:t xml:space="preserve">; </w:t>
      </w:r>
      <w:r w:rsidRPr="00D91704">
        <w:rPr>
          <w:rFonts w:cs="Arial"/>
          <w:i/>
          <w:iCs/>
          <w:szCs w:val="24"/>
        </w:rPr>
        <w:t xml:space="preserve">Coles </w:t>
      </w:r>
      <w:r w:rsidRPr="00D91704">
        <w:rPr>
          <w:rFonts w:cs="Arial"/>
          <w:szCs w:val="24"/>
        </w:rPr>
        <w:t xml:space="preserve">v. </w:t>
      </w:r>
      <w:r w:rsidRPr="00D91704">
        <w:rPr>
          <w:rFonts w:cs="Arial"/>
          <w:i/>
          <w:iCs/>
          <w:szCs w:val="24"/>
        </w:rPr>
        <w:t>Trecothick</w:t>
      </w:r>
      <w:r w:rsidR="00502CB3">
        <w:rPr>
          <w:rStyle w:val="FootnoteReference"/>
          <w:rFonts w:cs="Arial"/>
          <w:i/>
          <w:iCs/>
          <w:szCs w:val="24"/>
        </w:rPr>
        <w:footnoteReference w:id="7"/>
      </w:r>
      <w:r w:rsidRPr="00D91704">
        <w:rPr>
          <w:rFonts w:cs="Arial"/>
          <w:szCs w:val="24"/>
        </w:rPr>
        <w:t>.</w:t>
      </w:r>
    </w:p>
    <w:p w:rsidR="00133BA5" w:rsidRPr="00D91704" w:rsidRDefault="00133BA5" w:rsidP="00D86497">
      <w:pPr>
        <w:pStyle w:val="Reasons"/>
      </w:pPr>
      <w:r w:rsidRPr="00D91704">
        <w:t>The judgment of the court was delivered by:</w:t>
      </w:r>
    </w:p>
    <w:p w:rsidR="00133BA5" w:rsidRPr="00D91704" w:rsidRDefault="00D86497" w:rsidP="00D86497">
      <w:pPr>
        <w:pStyle w:val="Reasons"/>
        <w:rPr>
          <w:rFonts w:cs="Arial"/>
          <w:szCs w:val="24"/>
        </w:rPr>
      </w:pPr>
      <w:r w:rsidRPr="00D86497">
        <w:rPr>
          <w:rFonts w:cs="Arial"/>
          <w:szCs w:val="24"/>
        </w:rPr>
        <w:t>THE CHIEF JUSTICE</w:t>
      </w:r>
      <w:r w:rsidR="00133BA5" w:rsidRPr="00D91704">
        <w:rPr>
          <w:rFonts w:cs="Arial"/>
          <w:szCs w:val="24"/>
        </w:rPr>
        <w:t>.—A careful consideration of this case since the argument has led me to the conclusion that the judgment of the Supreme Court of Nova Scotia is right and ought not to be disturbed.</w:t>
      </w:r>
    </w:p>
    <w:p w:rsidR="00133BA5" w:rsidRPr="00D91704" w:rsidRDefault="00133BA5" w:rsidP="00EC1BA3">
      <w:pPr>
        <w:pStyle w:val="Reasons"/>
        <w:rPr>
          <w:rFonts w:cs="Arial"/>
          <w:szCs w:val="24"/>
        </w:rPr>
      </w:pPr>
      <w:r w:rsidRPr="00D91704">
        <w:rPr>
          <w:rFonts w:cs="Arial"/>
          <w:szCs w:val="24"/>
        </w:rPr>
        <w:t>By the 34th section of the Winding Up Act it is enacted that:—</w:t>
      </w:r>
    </w:p>
    <w:p w:rsidR="00133BA5" w:rsidRPr="00D91704" w:rsidRDefault="00133BA5" w:rsidP="00EC1BA3">
      <w:pPr>
        <w:pStyle w:val="Indent1"/>
      </w:pPr>
      <w:r w:rsidRPr="00D91704">
        <w:t>Upon the appointment of the liquidator all the powers of the directors shall cease except in so far as the court or the liquidator sanctions a continuance of such powers.</w:t>
      </w:r>
    </w:p>
    <w:p w:rsidR="00133BA5" w:rsidRPr="00D91704" w:rsidRDefault="00133BA5" w:rsidP="00EC1BA3">
      <w:pPr>
        <w:pStyle w:val="Reasons"/>
        <w:rPr>
          <w:rFonts w:cs="Arial"/>
          <w:szCs w:val="24"/>
        </w:rPr>
      </w:pPr>
      <w:r w:rsidRPr="00D91704">
        <w:rPr>
          <w:rFonts w:cs="Arial"/>
          <w:szCs w:val="24"/>
        </w:rPr>
        <w:t>We have nothing before us to show that there was any continuance of powers to the directors in the present case.</w:t>
      </w:r>
    </w:p>
    <w:p w:rsidR="00133BA5" w:rsidRPr="00D91704" w:rsidRDefault="00133BA5" w:rsidP="00EC1BA3">
      <w:pPr>
        <w:pStyle w:val="Reasons"/>
        <w:rPr>
          <w:rFonts w:cs="Arial"/>
          <w:szCs w:val="24"/>
        </w:rPr>
      </w:pPr>
      <w:r w:rsidRPr="00D91704">
        <w:rPr>
          <w:rFonts w:cs="Arial"/>
          <w:szCs w:val="24"/>
        </w:rPr>
        <w:t>It does not therefore appear that there was any fiduciary relationship subsisting between Mr. McKeen and the company or its shareholders when he became a purchaser at the sale which the order appealed from upholds. I can see no reason therefore why the sale should not be confirmed.</w:t>
      </w:r>
    </w:p>
    <w:p w:rsidR="00133BA5" w:rsidRPr="00D91704" w:rsidRDefault="00133BA5" w:rsidP="00EC1BA3">
      <w:pPr>
        <w:pStyle w:val="Reasons"/>
        <w:rPr>
          <w:rFonts w:cs="Arial"/>
          <w:szCs w:val="24"/>
        </w:rPr>
      </w:pPr>
      <w:r w:rsidRPr="00D91704">
        <w:rPr>
          <w:rFonts w:cs="Arial"/>
          <w:smallCaps/>
          <w:szCs w:val="24"/>
        </w:rPr>
        <w:t xml:space="preserve">I </w:t>
      </w:r>
      <w:r w:rsidRPr="00D91704">
        <w:rPr>
          <w:rFonts w:cs="Arial"/>
          <w:szCs w:val="24"/>
        </w:rPr>
        <w:t>have examined the note of the Alexandra Hall Co. case in the Weekly Notes</w:t>
      </w:r>
      <w:r w:rsidR="00502CB3">
        <w:rPr>
          <w:rStyle w:val="FootnoteReference"/>
          <w:rFonts w:cs="Arial"/>
          <w:szCs w:val="24"/>
        </w:rPr>
        <w:footnoteReference w:id="8"/>
      </w:r>
      <w:r w:rsidRPr="00D91704">
        <w:rPr>
          <w:rFonts w:cs="Arial"/>
          <w:szCs w:val="24"/>
        </w:rPr>
        <w:t xml:space="preserve"> and although the report is certainly very meagre, yet it seems to be an authority for the decision now under appeal.</w:t>
      </w:r>
    </w:p>
    <w:p w:rsidR="00133BA5" w:rsidRPr="00D91704" w:rsidRDefault="00CA40FE" w:rsidP="00CA40FE">
      <w:pPr>
        <w:pStyle w:val="Page"/>
      </w:pPr>
      <w:r>
        <w:rPr>
          <w:rFonts w:cs="Arial"/>
          <w:szCs w:val="24"/>
        </w:rPr>
        <w:t xml:space="preserve">[Page </w:t>
      </w:r>
      <w:r w:rsidR="00133BA5" w:rsidRPr="00D91704">
        <w:rPr>
          <w:rFonts w:cs="Arial"/>
          <w:szCs w:val="24"/>
        </w:rPr>
        <w:t>350]</w:t>
      </w:r>
    </w:p>
    <w:p w:rsidR="00133BA5" w:rsidRPr="00D91704" w:rsidRDefault="00133BA5" w:rsidP="00EC1BA3">
      <w:pPr>
        <w:pStyle w:val="Reasons"/>
        <w:rPr>
          <w:rFonts w:cs="Arial"/>
          <w:szCs w:val="24"/>
        </w:rPr>
      </w:pPr>
      <w:r w:rsidRPr="00D91704">
        <w:rPr>
          <w:rFonts w:cs="Arial"/>
          <w:smallCaps/>
          <w:szCs w:val="24"/>
        </w:rPr>
        <w:lastRenderedPageBreak/>
        <w:t xml:space="preserve">I </w:t>
      </w:r>
      <w:r w:rsidRPr="00D91704">
        <w:rPr>
          <w:rFonts w:cs="Arial"/>
          <w:szCs w:val="24"/>
        </w:rPr>
        <w:t>do not write at greater length because I entirely agree in the judgment of Mr. Justice Townshend in which the case is fully and clearly treated.</w:t>
      </w:r>
    </w:p>
    <w:p w:rsidR="00133BA5" w:rsidRPr="00D91704" w:rsidRDefault="00133BA5" w:rsidP="00EC1BA3">
      <w:pPr>
        <w:pStyle w:val="Reasons"/>
        <w:rPr>
          <w:rFonts w:cs="Arial"/>
          <w:szCs w:val="24"/>
        </w:rPr>
      </w:pPr>
      <w:r w:rsidRPr="00D91704">
        <w:rPr>
          <w:rFonts w:cs="Arial"/>
          <w:szCs w:val="24"/>
        </w:rPr>
        <w:t>The appeal must be dismissed with costs.</w:t>
      </w:r>
    </w:p>
    <w:p w:rsidR="00133BA5" w:rsidRPr="00EC1BA3" w:rsidRDefault="00133BA5" w:rsidP="00EC1BA3">
      <w:pPr>
        <w:pStyle w:val="Reasons"/>
      </w:pPr>
      <w:r w:rsidRPr="00EC1BA3">
        <w:t>Appeal dismissed with costs.</w:t>
      </w:r>
    </w:p>
    <w:p w:rsidR="00133BA5" w:rsidRPr="00D91704" w:rsidRDefault="00133BA5" w:rsidP="00EC1BA3">
      <w:pPr>
        <w:pStyle w:val="Sollicitors"/>
        <w:rPr>
          <w:iCs/>
        </w:rPr>
      </w:pPr>
      <w:r w:rsidRPr="00D91704">
        <w:t xml:space="preserve">Solicitors for the appellant: </w:t>
      </w:r>
      <w:r w:rsidRPr="00D91704">
        <w:rPr>
          <w:iCs/>
        </w:rPr>
        <w:t>Silver &amp; Payzant.</w:t>
      </w:r>
    </w:p>
    <w:p w:rsidR="00133BA5" w:rsidRPr="00D91704" w:rsidRDefault="00133BA5" w:rsidP="00EC1BA3">
      <w:pPr>
        <w:pStyle w:val="Sollicitors"/>
        <w:rPr>
          <w:iCs/>
        </w:rPr>
      </w:pPr>
      <w:r w:rsidRPr="00D91704">
        <w:t xml:space="preserve">Solicitors for the respondent McKeen: </w:t>
      </w:r>
      <w:r w:rsidRPr="00D91704">
        <w:rPr>
          <w:iCs/>
        </w:rPr>
        <w:t>Ross, Mellish &amp; Mathers.</w:t>
      </w:r>
    </w:p>
    <w:p w:rsidR="003824D9" w:rsidRDefault="00133BA5" w:rsidP="00EC1BA3">
      <w:pPr>
        <w:pStyle w:val="Sollicitors"/>
      </w:pPr>
      <w:r w:rsidRPr="00D91704">
        <w:t xml:space="preserve">Solicitors for the respondent Eastern Trust Co.: </w:t>
      </w:r>
      <w:r w:rsidRPr="00D91704">
        <w:rPr>
          <w:iCs/>
        </w:rPr>
        <w:t>W. &amp; J. A. McDonald.</w:t>
      </w:r>
    </w:p>
    <w:sectPr w:rsidR="003824D9" w:rsidSect="003F2EC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D54" w:rsidRDefault="00482D54" w:rsidP="003F2EC2">
      <w:r>
        <w:separator/>
      </w:r>
    </w:p>
  </w:endnote>
  <w:endnote w:type="continuationSeparator" w:id="1">
    <w:p w:rsidR="00482D54" w:rsidRDefault="00482D54" w:rsidP="003F2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D54" w:rsidRDefault="00482D54" w:rsidP="003F2EC2">
      <w:r>
        <w:separator/>
      </w:r>
    </w:p>
  </w:footnote>
  <w:footnote w:type="continuationSeparator" w:id="1">
    <w:p w:rsidR="00482D54" w:rsidRDefault="00482D54" w:rsidP="003F2EC2">
      <w:r>
        <w:continuationSeparator/>
      </w:r>
    </w:p>
  </w:footnote>
  <w:footnote w:id="2">
    <w:p w:rsidR="00502CB3" w:rsidRPr="00502CB3" w:rsidRDefault="00502CB3">
      <w:pPr>
        <w:pStyle w:val="FootnoteText"/>
        <w:rPr>
          <w:lang w:val="en-US"/>
        </w:rPr>
      </w:pPr>
      <w:r>
        <w:rPr>
          <w:rStyle w:val="FootnoteReference"/>
        </w:rPr>
        <w:footnoteRef/>
      </w:r>
      <w:r>
        <w:t xml:space="preserve"> </w:t>
      </w:r>
      <w:r w:rsidRPr="00D91704">
        <w:rPr>
          <w:rFonts w:cs="Arial"/>
          <w:szCs w:val="24"/>
        </w:rPr>
        <w:t>L. R. 2. Q. B. 37.</w:t>
      </w:r>
    </w:p>
  </w:footnote>
  <w:footnote w:id="3">
    <w:p w:rsidR="00502CB3" w:rsidRPr="00502CB3" w:rsidRDefault="00502CB3">
      <w:pPr>
        <w:pStyle w:val="FootnoteText"/>
        <w:rPr>
          <w:lang w:val="en-US"/>
        </w:rPr>
      </w:pPr>
      <w:r>
        <w:rPr>
          <w:rStyle w:val="FootnoteReference"/>
        </w:rPr>
        <w:footnoteRef/>
      </w:r>
      <w:r>
        <w:t xml:space="preserve"> </w:t>
      </w:r>
      <w:r w:rsidRPr="00D91704">
        <w:rPr>
          <w:rFonts w:cs="Arial"/>
          <w:szCs w:val="24"/>
        </w:rPr>
        <w:t>3 Buss. 428.</w:t>
      </w:r>
    </w:p>
  </w:footnote>
  <w:footnote w:id="4">
    <w:p w:rsidR="00502CB3" w:rsidRPr="00502CB3" w:rsidRDefault="00502CB3">
      <w:pPr>
        <w:pStyle w:val="FootnoteText"/>
        <w:rPr>
          <w:lang w:val="en-US"/>
        </w:rPr>
      </w:pPr>
      <w:r>
        <w:rPr>
          <w:rStyle w:val="FootnoteReference"/>
        </w:rPr>
        <w:footnoteRef/>
      </w:r>
      <w:r>
        <w:t xml:space="preserve"> </w:t>
      </w:r>
      <w:r w:rsidRPr="00D91704">
        <w:rPr>
          <w:rFonts w:cs="Arial"/>
          <w:szCs w:val="24"/>
        </w:rPr>
        <w:t>8 Ves. 337.</w:t>
      </w:r>
    </w:p>
  </w:footnote>
  <w:footnote w:id="5">
    <w:p w:rsidR="00502CB3" w:rsidRPr="00502CB3" w:rsidRDefault="00502CB3">
      <w:pPr>
        <w:pStyle w:val="FootnoteText"/>
        <w:rPr>
          <w:lang w:val="en-US"/>
        </w:rPr>
      </w:pPr>
      <w:r>
        <w:rPr>
          <w:rStyle w:val="FootnoteReference"/>
        </w:rPr>
        <w:footnoteRef/>
      </w:r>
      <w:r>
        <w:t xml:space="preserve"> </w:t>
      </w:r>
      <w:r w:rsidRPr="00D91704">
        <w:rPr>
          <w:rFonts w:cs="Arial"/>
          <w:szCs w:val="24"/>
        </w:rPr>
        <w:t>4 Ch. App. 537.</w:t>
      </w:r>
    </w:p>
  </w:footnote>
  <w:footnote w:id="6">
    <w:p w:rsidR="00502CB3" w:rsidRPr="00502CB3" w:rsidRDefault="00502CB3">
      <w:pPr>
        <w:pStyle w:val="FootnoteText"/>
        <w:rPr>
          <w:lang w:val="en-US"/>
        </w:rPr>
      </w:pPr>
      <w:r>
        <w:rPr>
          <w:rStyle w:val="FootnoteReference"/>
        </w:rPr>
        <w:footnoteRef/>
      </w:r>
      <w:r>
        <w:t xml:space="preserve"> </w:t>
      </w:r>
      <w:r w:rsidRPr="00D91704">
        <w:rPr>
          <w:rFonts w:cs="Arial"/>
          <w:szCs w:val="24"/>
        </w:rPr>
        <w:t>W. N. [1867] p. 67.</w:t>
      </w:r>
    </w:p>
  </w:footnote>
  <w:footnote w:id="7">
    <w:p w:rsidR="00502CB3" w:rsidRPr="00502CB3" w:rsidRDefault="00502CB3">
      <w:pPr>
        <w:pStyle w:val="FootnoteText"/>
        <w:rPr>
          <w:lang w:val="en-US"/>
        </w:rPr>
      </w:pPr>
      <w:r>
        <w:rPr>
          <w:rStyle w:val="FootnoteReference"/>
        </w:rPr>
        <w:footnoteRef/>
      </w:r>
      <w:r>
        <w:t xml:space="preserve"> </w:t>
      </w:r>
      <w:r w:rsidRPr="00D91704">
        <w:rPr>
          <w:rFonts w:cs="Arial"/>
          <w:szCs w:val="24"/>
        </w:rPr>
        <w:t>9 Ves. 234.</w:t>
      </w:r>
    </w:p>
  </w:footnote>
  <w:footnote w:id="8">
    <w:p w:rsidR="00502CB3" w:rsidRPr="00502CB3" w:rsidRDefault="00502CB3">
      <w:pPr>
        <w:pStyle w:val="FootnoteText"/>
        <w:rPr>
          <w:lang w:val="en-US"/>
        </w:rPr>
      </w:pPr>
      <w:r>
        <w:rPr>
          <w:rStyle w:val="FootnoteReference"/>
        </w:rPr>
        <w:footnoteRef/>
      </w:r>
      <w:r>
        <w:t xml:space="preserve"> </w:t>
      </w:r>
      <w:r w:rsidRPr="00D91704">
        <w:rPr>
          <w:rFonts w:cs="Arial"/>
          <w:szCs w:val="24"/>
        </w:rPr>
        <w:t>[1867] p.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C2" w:rsidRDefault="003F2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5700B00">
      <w:start w:val="1"/>
      <w:numFmt w:val="decimal"/>
      <w:pStyle w:val="ParagNum"/>
      <w:lvlText w:val="[%1]"/>
      <w:lvlJc w:val="left"/>
      <w:pPr>
        <w:tabs>
          <w:tab w:val="num" w:pos="369"/>
        </w:tabs>
        <w:ind w:left="369" w:hanging="369"/>
      </w:pPr>
    </w:lvl>
    <w:lvl w:ilvl="1" w:tplc="515CAA46" w:tentative="1">
      <w:start w:val="1"/>
      <w:numFmt w:val="lowerLetter"/>
      <w:lvlText w:val="%2."/>
      <w:lvlJc w:val="left"/>
      <w:pPr>
        <w:tabs>
          <w:tab w:val="num" w:pos="1440"/>
        </w:tabs>
        <w:ind w:left="1440" w:hanging="360"/>
      </w:pPr>
    </w:lvl>
    <w:lvl w:ilvl="2" w:tplc="E2BE2082" w:tentative="1">
      <w:start w:val="1"/>
      <w:numFmt w:val="lowerRoman"/>
      <w:lvlText w:val="%3."/>
      <w:lvlJc w:val="right"/>
      <w:pPr>
        <w:tabs>
          <w:tab w:val="num" w:pos="2160"/>
        </w:tabs>
        <w:ind w:left="2160" w:hanging="180"/>
      </w:pPr>
    </w:lvl>
    <w:lvl w:ilvl="3" w:tplc="9146A6E0" w:tentative="1">
      <w:start w:val="1"/>
      <w:numFmt w:val="decimal"/>
      <w:lvlText w:val="%4."/>
      <w:lvlJc w:val="left"/>
      <w:pPr>
        <w:tabs>
          <w:tab w:val="num" w:pos="2880"/>
        </w:tabs>
        <w:ind w:left="2880" w:hanging="360"/>
      </w:pPr>
    </w:lvl>
    <w:lvl w:ilvl="4" w:tplc="760AC9B8" w:tentative="1">
      <w:start w:val="1"/>
      <w:numFmt w:val="lowerLetter"/>
      <w:lvlText w:val="%5."/>
      <w:lvlJc w:val="left"/>
      <w:pPr>
        <w:tabs>
          <w:tab w:val="num" w:pos="3600"/>
        </w:tabs>
        <w:ind w:left="3600" w:hanging="360"/>
      </w:pPr>
    </w:lvl>
    <w:lvl w:ilvl="5" w:tplc="353A515A" w:tentative="1">
      <w:start w:val="1"/>
      <w:numFmt w:val="lowerRoman"/>
      <w:lvlText w:val="%6."/>
      <w:lvlJc w:val="right"/>
      <w:pPr>
        <w:tabs>
          <w:tab w:val="num" w:pos="4320"/>
        </w:tabs>
        <w:ind w:left="4320" w:hanging="180"/>
      </w:pPr>
    </w:lvl>
    <w:lvl w:ilvl="6" w:tplc="6EB0C4F2" w:tentative="1">
      <w:start w:val="1"/>
      <w:numFmt w:val="decimal"/>
      <w:lvlText w:val="%7."/>
      <w:lvlJc w:val="left"/>
      <w:pPr>
        <w:tabs>
          <w:tab w:val="num" w:pos="5040"/>
        </w:tabs>
        <w:ind w:left="5040" w:hanging="360"/>
      </w:pPr>
    </w:lvl>
    <w:lvl w:ilvl="7" w:tplc="F95832C8" w:tentative="1">
      <w:start w:val="1"/>
      <w:numFmt w:val="lowerLetter"/>
      <w:lvlText w:val="%8."/>
      <w:lvlJc w:val="left"/>
      <w:pPr>
        <w:tabs>
          <w:tab w:val="num" w:pos="5760"/>
        </w:tabs>
        <w:ind w:left="5760" w:hanging="360"/>
      </w:pPr>
    </w:lvl>
    <w:lvl w:ilvl="8" w:tplc="AC98CDF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3BA5"/>
    <w:rsid w:val="00013FDA"/>
    <w:rsid w:val="000173FB"/>
    <w:rsid w:val="000655EC"/>
    <w:rsid w:val="00077D2F"/>
    <w:rsid w:val="000B6688"/>
    <w:rsid w:val="000C3415"/>
    <w:rsid w:val="000F6B94"/>
    <w:rsid w:val="00121409"/>
    <w:rsid w:val="00125F0C"/>
    <w:rsid w:val="00126A8E"/>
    <w:rsid w:val="00133BA5"/>
    <w:rsid w:val="001810F6"/>
    <w:rsid w:val="001837F3"/>
    <w:rsid w:val="001D0D42"/>
    <w:rsid w:val="001D5C4A"/>
    <w:rsid w:val="001F6A76"/>
    <w:rsid w:val="002209AC"/>
    <w:rsid w:val="002428EB"/>
    <w:rsid w:val="002A74DD"/>
    <w:rsid w:val="002B30C5"/>
    <w:rsid w:val="002C186C"/>
    <w:rsid w:val="002D5E01"/>
    <w:rsid w:val="002F4F64"/>
    <w:rsid w:val="002F7D00"/>
    <w:rsid w:val="003056B8"/>
    <w:rsid w:val="00361108"/>
    <w:rsid w:val="003824D9"/>
    <w:rsid w:val="0038773E"/>
    <w:rsid w:val="003E5AF5"/>
    <w:rsid w:val="003F2EC2"/>
    <w:rsid w:val="003F602F"/>
    <w:rsid w:val="004277EE"/>
    <w:rsid w:val="0043543D"/>
    <w:rsid w:val="00440477"/>
    <w:rsid w:val="00442713"/>
    <w:rsid w:val="00457BC5"/>
    <w:rsid w:val="00462E54"/>
    <w:rsid w:val="00463F5F"/>
    <w:rsid w:val="00482CDC"/>
    <w:rsid w:val="00482D54"/>
    <w:rsid w:val="004C7ED4"/>
    <w:rsid w:val="004F7A6C"/>
    <w:rsid w:val="00502CB3"/>
    <w:rsid w:val="00511D93"/>
    <w:rsid w:val="00514003"/>
    <w:rsid w:val="00537980"/>
    <w:rsid w:val="00560D7E"/>
    <w:rsid w:val="00563767"/>
    <w:rsid w:val="005667DA"/>
    <w:rsid w:val="00593C8B"/>
    <w:rsid w:val="00644967"/>
    <w:rsid w:val="006C6E22"/>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41DC0"/>
    <w:rsid w:val="0094486D"/>
    <w:rsid w:val="009A7B1B"/>
    <w:rsid w:val="009D1DF7"/>
    <w:rsid w:val="009D37B6"/>
    <w:rsid w:val="009E64DC"/>
    <w:rsid w:val="00A42830"/>
    <w:rsid w:val="00A4371F"/>
    <w:rsid w:val="00A54E5B"/>
    <w:rsid w:val="00A61128"/>
    <w:rsid w:val="00A94C52"/>
    <w:rsid w:val="00AB09B8"/>
    <w:rsid w:val="00AD4B0F"/>
    <w:rsid w:val="00B007EC"/>
    <w:rsid w:val="00B177F7"/>
    <w:rsid w:val="00B41B49"/>
    <w:rsid w:val="00B532F0"/>
    <w:rsid w:val="00B62A87"/>
    <w:rsid w:val="00B639A4"/>
    <w:rsid w:val="00B772A6"/>
    <w:rsid w:val="00B85536"/>
    <w:rsid w:val="00BC4595"/>
    <w:rsid w:val="00C372DF"/>
    <w:rsid w:val="00C45FBD"/>
    <w:rsid w:val="00C54EB9"/>
    <w:rsid w:val="00C7016B"/>
    <w:rsid w:val="00C93FA5"/>
    <w:rsid w:val="00CA40FE"/>
    <w:rsid w:val="00CB726B"/>
    <w:rsid w:val="00CC50DD"/>
    <w:rsid w:val="00CD1289"/>
    <w:rsid w:val="00CD1F09"/>
    <w:rsid w:val="00CD50FC"/>
    <w:rsid w:val="00CE2A11"/>
    <w:rsid w:val="00CF1E48"/>
    <w:rsid w:val="00CF356A"/>
    <w:rsid w:val="00D00550"/>
    <w:rsid w:val="00D306D2"/>
    <w:rsid w:val="00D45866"/>
    <w:rsid w:val="00D86497"/>
    <w:rsid w:val="00D9036C"/>
    <w:rsid w:val="00D9607C"/>
    <w:rsid w:val="00DC4119"/>
    <w:rsid w:val="00DE30DC"/>
    <w:rsid w:val="00E1124B"/>
    <w:rsid w:val="00E114A9"/>
    <w:rsid w:val="00E117BD"/>
    <w:rsid w:val="00E121FB"/>
    <w:rsid w:val="00E30F5A"/>
    <w:rsid w:val="00E40016"/>
    <w:rsid w:val="00E407E4"/>
    <w:rsid w:val="00E43349"/>
    <w:rsid w:val="00E51D18"/>
    <w:rsid w:val="00E86DF4"/>
    <w:rsid w:val="00EB3437"/>
    <w:rsid w:val="00EC1BA3"/>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E5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462E5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462E5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62E54"/>
  </w:style>
  <w:style w:type="paragraph" w:styleId="Header">
    <w:name w:val="header"/>
    <w:basedOn w:val="Normal"/>
    <w:link w:val="HeaderChar"/>
    <w:uiPriority w:val="99"/>
    <w:unhideWhenUsed/>
    <w:rsid w:val="00462E54"/>
    <w:pPr>
      <w:tabs>
        <w:tab w:val="center" w:pos="4680"/>
        <w:tab w:val="right" w:pos="9360"/>
      </w:tabs>
    </w:pPr>
    <w:rPr>
      <w:rFonts w:ascii="Times New Roman" w:hAnsi="Times New Roman"/>
    </w:rPr>
  </w:style>
  <w:style w:type="character" w:customStyle="1" w:styleId="HeaderChar">
    <w:name w:val="Header Char"/>
    <w:link w:val="Header"/>
    <w:uiPriority w:val="99"/>
    <w:rsid w:val="00462E5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462E54"/>
    <w:pPr>
      <w:tabs>
        <w:tab w:val="center" w:pos="4680"/>
        <w:tab w:val="right" w:pos="9360"/>
      </w:tabs>
    </w:pPr>
    <w:rPr>
      <w:rFonts w:ascii="Times New Roman" w:hAnsi="Times New Roman"/>
    </w:rPr>
  </w:style>
  <w:style w:type="character" w:customStyle="1" w:styleId="FooterChar">
    <w:name w:val="Footer Char"/>
    <w:link w:val="Footer"/>
    <w:uiPriority w:val="99"/>
    <w:rsid w:val="00462E5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D4B0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462E54"/>
    <w:pPr>
      <w:spacing w:before="100" w:beforeAutospacing="1"/>
      <w:ind w:left="567"/>
      <w:jc w:val="both"/>
    </w:pPr>
  </w:style>
  <w:style w:type="paragraph" w:customStyle="1" w:styleId="Metadata">
    <w:name w:val="Metadata"/>
    <w:basedOn w:val="Normal"/>
    <w:rsid w:val="00462E54"/>
    <w:pPr>
      <w:spacing w:before="100" w:beforeAutospacing="1" w:after="100" w:afterAutospacing="1"/>
    </w:pPr>
    <w:rPr>
      <w:rFonts w:cs="Arial"/>
      <w:szCs w:val="24"/>
    </w:rPr>
  </w:style>
  <w:style w:type="paragraph" w:customStyle="1" w:styleId="Page">
    <w:name w:val="Page"/>
    <w:basedOn w:val="Normal"/>
    <w:link w:val="PageChar"/>
    <w:rsid w:val="00462E54"/>
    <w:pPr>
      <w:spacing w:before="100" w:beforeAutospacing="1" w:after="100" w:afterAutospacing="1"/>
    </w:pPr>
    <w:rPr>
      <w:i/>
    </w:rPr>
  </w:style>
  <w:style w:type="paragraph" w:styleId="FootnoteText">
    <w:name w:val="footnote text"/>
    <w:basedOn w:val="Normal"/>
    <w:link w:val="FootnoteTextChar"/>
    <w:autoRedefine/>
    <w:semiHidden/>
    <w:rsid w:val="00462E54"/>
    <w:rPr>
      <w:sz w:val="16"/>
      <w:szCs w:val="20"/>
    </w:rPr>
  </w:style>
  <w:style w:type="character" w:customStyle="1" w:styleId="FootnoteTextChar">
    <w:name w:val="Footnote Text Char"/>
    <w:link w:val="FootnoteText"/>
    <w:semiHidden/>
    <w:rsid w:val="00462E54"/>
    <w:rPr>
      <w:rFonts w:ascii="Arial" w:eastAsia="MS Mincho" w:hAnsi="Arial" w:cs="Times New Roman"/>
      <w:sz w:val="16"/>
      <w:szCs w:val="20"/>
      <w:lang w:val="en-CA" w:eastAsia="ja-JP"/>
    </w:rPr>
  </w:style>
  <w:style w:type="character" w:styleId="FootnoteReference">
    <w:name w:val="footnote reference"/>
    <w:semiHidden/>
    <w:rsid w:val="00462E54"/>
    <w:rPr>
      <w:vertAlign w:val="superscript"/>
    </w:rPr>
  </w:style>
  <w:style w:type="paragraph" w:customStyle="1" w:styleId="ParagNum">
    <w:name w:val="ParagNum"/>
    <w:basedOn w:val="Normal"/>
    <w:rsid w:val="00462E5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462E54"/>
    <w:pPr>
      <w:spacing w:before="100" w:beforeAutospacing="1" w:after="100" w:afterAutospacing="1" w:line="360" w:lineRule="auto"/>
    </w:pPr>
  </w:style>
  <w:style w:type="paragraph" w:customStyle="1" w:styleId="Indent2">
    <w:name w:val="Indent 2"/>
    <w:basedOn w:val="Indent1"/>
    <w:rsid w:val="00462E54"/>
    <w:pPr>
      <w:ind w:left="1134"/>
    </w:pPr>
  </w:style>
  <w:style w:type="paragraph" w:customStyle="1" w:styleId="Indent3">
    <w:name w:val="Indent 3"/>
    <w:basedOn w:val="Indent1"/>
    <w:rsid w:val="00462E54"/>
    <w:pPr>
      <w:ind w:left="1701"/>
    </w:pPr>
  </w:style>
  <w:style w:type="paragraph" w:customStyle="1" w:styleId="Indent4">
    <w:name w:val="Indent 4"/>
    <w:basedOn w:val="Indent1"/>
    <w:rsid w:val="00462E54"/>
    <w:pPr>
      <w:ind w:left="2268"/>
    </w:pPr>
  </w:style>
  <w:style w:type="paragraph" w:customStyle="1" w:styleId="Indent10">
    <w:name w:val="Indent1"/>
    <w:basedOn w:val="Reasons"/>
    <w:rsid w:val="00462E54"/>
    <w:pPr>
      <w:ind w:left="567"/>
    </w:pPr>
  </w:style>
  <w:style w:type="paragraph" w:customStyle="1" w:styleId="Indent20">
    <w:name w:val="Indent2"/>
    <w:basedOn w:val="Indent10"/>
    <w:rsid w:val="00462E54"/>
    <w:pPr>
      <w:ind w:left="1134"/>
    </w:pPr>
  </w:style>
  <w:style w:type="paragraph" w:customStyle="1" w:styleId="Indent30">
    <w:name w:val="Indent3"/>
    <w:basedOn w:val="Indent10"/>
    <w:rsid w:val="00462E54"/>
    <w:pPr>
      <w:ind w:left="1701"/>
    </w:pPr>
  </w:style>
  <w:style w:type="paragraph" w:customStyle="1" w:styleId="Indent40">
    <w:name w:val="Indent4"/>
    <w:basedOn w:val="Indent10"/>
    <w:rsid w:val="00462E54"/>
    <w:pPr>
      <w:ind w:left="2268"/>
    </w:pPr>
  </w:style>
  <w:style w:type="paragraph" w:customStyle="1" w:styleId="Keywords">
    <w:name w:val="Keywords"/>
    <w:basedOn w:val="Normal"/>
    <w:rsid w:val="00462E54"/>
    <w:pPr>
      <w:spacing w:before="100" w:beforeAutospacing="1" w:after="100" w:afterAutospacing="1"/>
    </w:pPr>
    <w:rPr>
      <w:rFonts w:cs="Arial"/>
      <w:i/>
      <w:szCs w:val="24"/>
    </w:rPr>
  </w:style>
  <w:style w:type="paragraph" w:customStyle="1" w:styleId="Summary">
    <w:name w:val="Summary"/>
    <w:basedOn w:val="Normal"/>
    <w:autoRedefine/>
    <w:rsid w:val="00462E54"/>
    <w:pPr>
      <w:spacing w:before="100" w:beforeAutospacing="1" w:after="100" w:afterAutospacing="1"/>
      <w:ind w:left="562" w:hanging="562"/>
    </w:pPr>
    <w:rPr>
      <w:rFonts w:cs="Arial"/>
    </w:rPr>
  </w:style>
  <w:style w:type="paragraph" w:customStyle="1" w:styleId="History">
    <w:name w:val="History"/>
    <w:basedOn w:val="Normal"/>
    <w:rsid w:val="00462E54"/>
    <w:pPr>
      <w:spacing w:before="100" w:beforeAutospacing="1" w:after="100" w:afterAutospacing="1"/>
      <w:ind w:firstLine="567"/>
    </w:pPr>
  </w:style>
  <w:style w:type="paragraph" w:customStyle="1" w:styleId="T1">
    <w:name w:val="T1"/>
    <w:basedOn w:val="Normal"/>
    <w:rsid w:val="00462E54"/>
    <w:pPr>
      <w:spacing w:before="240" w:after="100" w:afterAutospacing="1"/>
    </w:pPr>
    <w:rPr>
      <w:b/>
    </w:rPr>
  </w:style>
  <w:style w:type="paragraph" w:customStyle="1" w:styleId="T2">
    <w:name w:val="T2"/>
    <w:basedOn w:val="Normal"/>
    <w:rsid w:val="00462E54"/>
    <w:pPr>
      <w:spacing w:before="240" w:after="100" w:afterAutospacing="1"/>
    </w:pPr>
  </w:style>
  <w:style w:type="paragraph" w:customStyle="1" w:styleId="Sollicitors">
    <w:name w:val="Sollicitors"/>
    <w:basedOn w:val="Normal"/>
    <w:rsid w:val="00462E54"/>
    <w:pPr>
      <w:spacing w:before="100" w:beforeAutospacing="1" w:after="100" w:afterAutospacing="1"/>
    </w:pPr>
    <w:rPr>
      <w:i/>
    </w:rPr>
  </w:style>
  <w:style w:type="paragraph" w:customStyle="1" w:styleId="Court">
    <w:name w:val="Court"/>
    <w:basedOn w:val="Normal"/>
    <w:rsid w:val="00462E54"/>
    <w:rPr>
      <w:rFonts w:cs="Arial"/>
      <w:b/>
      <w:szCs w:val="24"/>
    </w:rPr>
  </w:style>
  <w:style w:type="character" w:customStyle="1" w:styleId="PageChar">
    <w:name w:val="Page Char"/>
    <w:link w:val="Page"/>
    <w:rsid w:val="00462E54"/>
    <w:rPr>
      <w:rFonts w:ascii="Arial" w:eastAsia="MS Mincho" w:hAnsi="Arial" w:cs="Times New Roman"/>
      <w:i/>
      <w:sz w:val="24"/>
      <w:szCs w:val="28"/>
      <w:lang w:val="en-CA" w:eastAsia="ja-JP"/>
    </w:rPr>
  </w:style>
  <w:style w:type="character" w:customStyle="1" w:styleId="ReasonsCar">
    <w:name w:val="Reasons Car"/>
    <w:link w:val="Reasons"/>
    <w:rsid w:val="00462E54"/>
    <w:rPr>
      <w:rFonts w:ascii="Arial" w:eastAsia="MS Mincho" w:hAnsi="Arial" w:cs="Times New Roman"/>
      <w:sz w:val="24"/>
      <w:szCs w:val="28"/>
      <w:lang w:val="en-CA" w:eastAsia="ja-JP"/>
    </w:rPr>
  </w:style>
  <w:style w:type="paragraph" w:customStyle="1" w:styleId="CitationLine">
    <w:name w:val="CitationLine"/>
    <w:basedOn w:val="Court"/>
    <w:rsid w:val="00462E54"/>
  </w:style>
  <w:style w:type="paragraph" w:customStyle="1" w:styleId="DateISO">
    <w:name w:val="DateISO"/>
    <w:basedOn w:val="Court"/>
    <w:rsid w:val="00462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2015-03-17T08:10:00Z</dcterms:created>
  <dcterms:modified xsi:type="dcterms:W3CDTF">2015-03-23T14:47:00Z</dcterms:modified>
</cp:coreProperties>
</file>