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84F" w:rsidRDefault="0078084F" w:rsidP="0078084F">
      <w:pPr>
        <w:pStyle w:val="Court"/>
      </w:pPr>
      <w:r>
        <w:t>Supreme Court of Canada</w:t>
      </w:r>
    </w:p>
    <w:p w:rsidR="0078084F" w:rsidRDefault="0078084F" w:rsidP="0078084F">
      <w:pPr>
        <w:pStyle w:val="CitationLine"/>
      </w:pPr>
      <w:r w:rsidRPr="0078084F">
        <w:t xml:space="preserve">St. Stephen’s </w:t>
      </w:r>
      <w:r>
        <w:t>B</w:t>
      </w:r>
      <w:r w:rsidRPr="0078084F">
        <w:t xml:space="preserve">ank </w:t>
      </w:r>
      <w:r w:rsidRPr="0078084F">
        <w:rPr>
          <w:i/>
          <w:iCs/>
        </w:rPr>
        <w:t xml:space="preserve">v. </w:t>
      </w:r>
      <w:r w:rsidRPr="0078084F">
        <w:t>Bonness</w:t>
      </w:r>
      <w:r>
        <w:t xml:space="preserve"> (1895) 24 SCR 710</w:t>
      </w:r>
    </w:p>
    <w:p w:rsidR="0078084F" w:rsidRDefault="0078084F" w:rsidP="0078084F">
      <w:pPr>
        <w:pStyle w:val="DateISO"/>
      </w:pPr>
      <w:r>
        <w:t xml:space="preserve">Date: </w:t>
      </w:r>
      <w:r w:rsidR="00EE06A0">
        <w:t>1895-05-06</w:t>
      </w:r>
    </w:p>
    <w:p w:rsidR="0074774D" w:rsidRPr="0074774D" w:rsidRDefault="0074774D" w:rsidP="0074774D">
      <w:pPr>
        <w:pStyle w:val="Metadata"/>
      </w:pPr>
      <w:r w:rsidRPr="0074774D">
        <w:t xml:space="preserve">St. Stephen’s Bank </w:t>
      </w:r>
      <w:r w:rsidRPr="0074774D">
        <w:rPr>
          <w:iCs/>
        </w:rPr>
        <w:t xml:space="preserve">v. </w:t>
      </w:r>
      <w:r w:rsidRPr="0074774D">
        <w:t>Bonness</w:t>
      </w:r>
    </w:p>
    <w:p w:rsidR="00055A5C" w:rsidRPr="00D91704" w:rsidRDefault="00055A5C" w:rsidP="0074774D">
      <w:pPr>
        <w:pStyle w:val="Metadata"/>
      </w:pPr>
      <w:r w:rsidRPr="00D91704">
        <w:t>1894</w:t>
      </w:r>
      <w:r w:rsidR="0078084F">
        <w:t xml:space="preserve">: Nov. 9; </w:t>
      </w:r>
      <w:r w:rsidRPr="00D91704">
        <w:t>1895</w:t>
      </w:r>
      <w:r w:rsidR="0078084F">
        <w:t xml:space="preserve">: </w:t>
      </w:r>
      <w:r w:rsidRPr="00D91704">
        <w:t>May 6.</w:t>
      </w:r>
    </w:p>
    <w:p w:rsidR="00055A5C" w:rsidRPr="00D91704" w:rsidRDefault="00055A5C" w:rsidP="0074774D">
      <w:pPr>
        <w:pStyle w:val="Metadata"/>
      </w:pPr>
      <w:r w:rsidRPr="0078084F">
        <w:t>Present</w:t>
      </w:r>
      <w:r w:rsidRPr="00D91704">
        <w:rPr>
          <w:smallCaps/>
        </w:rPr>
        <w:t>:</w:t>
      </w:r>
      <w:r w:rsidRPr="00D91704">
        <w:t xml:space="preserve">—Sir Henry Strong </w:t>
      </w:r>
      <w:r w:rsidRPr="00D91704">
        <w:rPr>
          <w:smallCaps/>
        </w:rPr>
        <w:t xml:space="preserve">C.J., </w:t>
      </w:r>
      <w:r w:rsidRPr="00D91704">
        <w:t>and Taschereau, Gwynne, Sedgewick and King JJ.</w:t>
      </w:r>
    </w:p>
    <w:p w:rsidR="00055A5C" w:rsidRPr="00D91704" w:rsidRDefault="00055A5C" w:rsidP="0078084F">
      <w:pPr>
        <w:pStyle w:val="Keywords"/>
      </w:pPr>
      <w:r w:rsidRPr="00D91704">
        <w:t>Promissory note—Consideration—Accommodation—Discharge—Agreement.</w:t>
      </w:r>
    </w:p>
    <w:p w:rsidR="00055A5C" w:rsidRPr="00D91704" w:rsidRDefault="00055A5C" w:rsidP="0078084F">
      <w:pPr>
        <w:pStyle w:val="History"/>
      </w:pPr>
      <w:r w:rsidRPr="0078084F">
        <w:t>Appeal</w:t>
      </w:r>
      <w:r w:rsidRPr="00D91704">
        <w:rPr>
          <w:smallCaps/>
        </w:rPr>
        <w:t xml:space="preserve"> </w:t>
      </w:r>
      <w:r w:rsidRPr="00D91704">
        <w:t>from a decision of the Supreme Court of New Brunswick affirming, by an equally divided court, the verdict for defendant at the trial.</w:t>
      </w:r>
    </w:p>
    <w:p w:rsidR="00055A5C" w:rsidRPr="00D91704" w:rsidRDefault="00055A5C" w:rsidP="0078084F">
      <w:pPr>
        <w:pStyle w:val="History"/>
        <w:rPr>
          <w:rFonts w:cs="Arial"/>
          <w:szCs w:val="24"/>
        </w:rPr>
      </w:pPr>
      <w:r w:rsidRPr="00D91704">
        <w:rPr>
          <w:rFonts w:cs="Arial"/>
          <w:szCs w:val="24"/>
        </w:rPr>
        <w:t xml:space="preserve">The action in this case was on a promissory note indorsed by defendant, who pleaded that it was indorsed on the express understanding that he was not to be called upon to pay it and that he was discharged by the bank subsequently taking security from the makers, At the trial the defendant had a verdict, the jury finding that the bank, on taking security, had agreed that the note in suit should be paid out of the proceeds. On motion, pursuant to leave reserved, for judgment for plaintiffs or a new trial, the court </w:t>
      </w:r>
      <w:r w:rsidRPr="00D91704">
        <w:rPr>
          <w:rFonts w:cs="Arial"/>
          <w:i/>
          <w:iCs/>
          <w:szCs w:val="24"/>
        </w:rPr>
        <w:t xml:space="preserve">en banc </w:t>
      </w:r>
      <w:r w:rsidRPr="00D91704">
        <w:rPr>
          <w:rFonts w:cs="Arial"/>
          <w:szCs w:val="24"/>
        </w:rPr>
        <w:t>was equally divided and the verdict stood.</w:t>
      </w:r>
    </w:p>
    <w:p w:rsidR="00055A5C" w:rsidRPr="00D91704" w:rsidRDefault="003706F2" w:rsidP="003706F2">
      <w:pPr>
        <w:pStyle w:val="Page"/>
      </w:pPr>
      <w:r>
        <w:rPr>
          <w:rFonts w:cs="Arial"/>
          <w:szCs w:val="24"/>
        </w:rPr>
        <w:t xml:space="preserve">[Page </w:t>
      </w:r>
      <w:r w:rsidR="00055A5C" w:rsidRPr="00D91704">
        <w:rPr>
          <w:rFonts w:cs="Arial"/>
          <w:szCs w:val="24"/>
        </w:rPr>
        <w:t>711]</w:t>
      </w:r>
    </w:p>
    <w:p w:rsidR="00055A5C" w:rsidRPr="00D91704" w:rsidRDefault="00055A5C" w:rsidP="0074774D">
      <w:pPr>
        <w:pStyle w:val="History"/>
        <w:rPr>
          <w:rFonts w:cs="Arial"/>
          <w:szCs w:val="24"/>
        </w:rPr>
      </w:pPr>
      <w:r w:rsidRPr="00D91704">
        <w:rPr>
          <w:rFonts w:cs="Arial"/>
          <w:szCs w:val="24"/>
        </w:rPr>
        <w:t>The Supreme Court, Gwynne J. dissenting, ordered a new trial on the ground that the finding of the jury did not warrant the verdict for defendant.</w:t>
      </w:r>
    </w:p>
    <w:p w:rsidR="00055A5C" w:rsidRPr="00D91704" w:rsidRDefault="00055A5C" w:rsidP="0074774D">
      <w:pPr>
        <w:pStyle w:val="Reasons"/>
      </w:pPr>
      <w:r w:rsidRPr="00D91704">
        <w:t>Appeal allowed and new trial ordered.</w:t>
      </w:r>
    </w:p>
    <w:p w:rsidR="00055A5C" w:rsidRPr="00D91704" w:rsidRDefault="00055A5C" w:rsidP="0074774D">
      <w:pPr>
        <w:pStyle w:val="Sollicitors"/>
      </w:pPr>
      <w:r w:rsidRPr="00D91704">
        <w:rPr>
          <w:iCs/>
        </w:rPr>
        <w:t xml:space="preserve">Weldon </w:t>
      </w:r>
      <w:r w:rsidRPr="00D91704">
        <w:t>Q.C, for the appellants.</w:t>
      </w:r>
    </w:p>
    <w:p w:rsidR="003824D9" w:rsidRDefault="00055A5C" w:rsidP="0074774D">
      <w:pPr>
        <w:pStyle w:val="Sollicitors"/>
      </w:pPr>
      <w:r w:rsidRPr="00D91704">
        <w:rPr>
          <w:iCs/>
        </w:rPr>
        <w:t xml:space="preserve">Pugsley </w:t>
      </w:r>
      <w:r w:rsidRPr="00D91704">
        <w:t>Q.C. for the respondent.</w:t>
      </w:r>
    </w:p>
    <w:sectPr w:rsidR="003824D9" w:rsidSect="008D00B1">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8C7" w:rsidRDefault="002328C7" w:rsidP="008D00B1">
      <w:r>
        <w:separator/>
      </w:r>
    </w:p>
  </w:endnote>
  <w:endnote w:type="continuationSeparator" w:id="1">
    <w:p w:rsidR="002328C7" w:rsidRDefault="002328C7" w:rsidP="008D00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B1" w:rsidRDefault="008D00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B1" w:rsidRDefault="008D00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B1" w:rsidRPr="00230A7A" w:rsidRDefault="008D00B1" w:rsidP="008D00B1">
    <w:pPr>
      <w:pStyle w:val="Footer"/>
      <w:rPr>
        <w:rFonts w:ascii="Arial" w:hAnsi="Arial" w:cs="Arial"/>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8C7" w:rsidRDefault="002328C7" w:rsidP="008D00B1">
      <w:r>
        <w:separator/>
      </w:r>
    </w:p>
  </w:footnote>
  <w:footnote w:type="continuationSeparator" w:id="1">
    <w:p w:rsidR="002328C7" w:rsidRDefault="002328C7" w:rsidP="008D0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B1" w:rsidRDefault="008D00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B1" w:rsidRDefault="008D00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B1" w:rsidRPr="00230A7A" w:rsidRDefault="008D00B1" w:rsidP="008D00B1">
    <w:pPr>
      <w:pStyle w:val="Footer"/>
      <w:rPr>
        <w:rFonts w:ascii="Arial" w:hAnsi="Arial" w:cs="Arial"/>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C5700B00">
      <w:start w:val="1"/>
      <w:numFmt w:val="decimal"/>
      <w:pStyle w:val="ParagNum"/>
      <w:lvlText w:val="[%1]"/>
      <w:lvlJc w:val="left"/>
      <w:pPr>
        <w:tabs>
          <w:tab w:val="num" w:pos="369"/>
        </w:tabs>
        <w:ind w:left="369" w:hanging="369"/>
      </w:pPr>
    </w:lvl>
    <w:lvl w:ilvl="1" w:tplc="515CAA46" w:tentative="1">
      <w:start w:val="1"/>
      <w:numFmt w:val="lowerLetter"/>
      <w:lvlText w:val="%2."/>
      <w:lvlJc w:val="left"/>
      <w:pPr>
        <w:tabs>
          <w:tab w:val="num" w:pos="1440"/>
        </w:tabs>
        <w:ind w:left="1440" w:hanging="360"/>
      </w:pPr>
    </w:lvl>
    <w:lvl w:ilvl="2" w:tplc="E2BE2082" w:tentative="1">
      <w:start w:val="1"/>
      <w:numFmt w:val="lowerRoman"/>
      <w:lvlText w:val="%3."/>
      <w:lvlJc w:val="right"/>
      <w:pPr>
        <w:tabs>
          <w:tab w:val="num" w:pos="2160"/>
        </w:tabs>
        <w:ind w:left="2160" w:hanging="180"/>
      </w:pPr>
    </w:lvl>
    <w:lvl w:ilvl="3" w:tplc="9146A6E0" w:tentative="1">
      <w:start w:val="1"/>
      <w:numFmt w:val="decimal"/>
      <w:lvlText w:val="%4."/>
      <w:lvlJc w:val="left"/>
      <w:pPr>
        <w:tabs>
          <w:tab w:val="num" w:pos="2880"/>
        </w:tabs>
        <w:ind w:left="2880" w:hanging="360"/>
      </w:pPr>
    </w:lvl>
    <w:lvl w:ilvl="4" w:tplc="760AC9B8" w:tentative="1">
      <w:start w:val="1"/>
      <w:numFmt w:val="lowerLetter"/>
      <w:lvlText w:val="%5."/>
      <w:lvlJc w:val="left"/>
      <w:pPr>
        <w:tabs>
          <w:tab w:val="num" w:pos="3600"/>
        </w:tabs>
        <w:ind w:left="3600" w:hanging="360"/>
      </w:pPr>
    </w:lvl>
    <w:lvl w:ilvl="5" w:tplc="353A515A" w:tentative="1">
      <w:start w:val="1"/>
      <w:numFmt w:val="lowerRoman"/>
      <w:lvlText w:val="%6."/>
      <w:lvlJc w:val="right"/>
      <w:pPr>
        <w:tabs>
          <w:tab w:val="num" w:pos="4320"/>
        </w:tabs>
        <w:ind w:left="4320" w:hanging="180"/>
      </w:pPr>
    </w:lvl>
    <w:lvl w:ilvl="6" w:tplc="6EB0C4F2" w:tentative="1">
      <w:start w:val="1"/>
      <w:numFmt w:val="decimal"/>
      <w:lvlText w:val="%7."/>
      <w:lvlJc w:val="left"/>
      <w:pPr>
        <w:tabs>
          <w:tab w:val="num" w:pos="5040"/>
        </w:tabs>
        <w:ind w:left="5040" w:hanging="360"/>
      </w:pPr>
    </w:lvl>
    <w:lvl w:ilvl="7" w:tplc="F95832C8" w:tentative="1">
      <w:start w:val="1"/>
      <w:numFmt w:val="lowerLetter"/>
      <w:lvlText w:val="%8."/>
      <w:lvlJc w:val="left"/>
      <w:pPr>
        <w:tabs>
          <w:tab w:val="num" w:pos="5760"/>
        </w:tabs>
        <w:ind w:left="5760" w:hanging="360"/>
      </w:pPr>
    </w:lvl>
    <w:lvl w:ilvl="8" w:tplc="AC98CDF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5A5C"/>
    <w:rsid w:val="00013FDA"/>
    <w:rsid w:val="000173FB"/>
    <w:rsid w:val="00055A5C"/>
    <w:rsid w:val="000655EC"/>
    <w:rsid w:val="00073FB2"/>
    <w:rsid w:val="00077D2F"/>
    <w:rsid w:val="000B6688"/>
    <w:rsid w:val="000C3415"/>
    <w:rsid w:val="000D5814"/>
    <w:rsid w:val="00121409"/>
    <w:rsid w:val="00125F0C"/>
    <w:rsid w:val="00126A8E"/>
    <w:rsid w:val="001837F3"/>
    <w:rsid w:val="001D0D42"/>
    <w:rsid w:val="001D5C4A"/>
    <w:rsid w:val="001F6A76"/>
    <w:rsid w:val="002209AC"/>
    <w:rsid w:val="002328C7"/>
    <w:rsid w:val="002428EB"/>
    <w:rsid w:val="002A74DD"/>
    <w:rsid w:val="002B30C5"/>
    <w:rsid w:val="002C186C"/>
    <w:rsid w:val="002D5E01"/>
    <w:rsid w:val="002F4F64"/>
    <w:rsid w:val="002F7D00"/>
    <w:rsid w:val="0033743F"/>
    <w:rsid w:val="00361108"/>
    <w:rsid w:val="003706F2"/>
    <w:rsid w:val="003824D9"/>
    <w:rsid w:val="003C6676"/>
    <w:rsid w:val="003E5AF5"/>
    <w:rsid w:val="003F602F"/>
    <w:rsid w:val="004277EE"/>
    <w:rsid w:val="0043543D"/>
    <w:rsid w:val="00442713"/>
    <w:rsid w:val="00457BC5"/>
    <w:rsid w:val="00463F5F"/>
    <w:rsid w:val="00482CDC"/>
    <w:rsid w:val="004C7ED4"/>
    <w:rsid w:val="004F7A6C"/>
    <w:rsid w:val="00511D93"/>
    <w:rsid w:val="00514003"/>
    <w:rsid w:val="00537980"/>
    <w:rsid w:val="00563767"/>
    <w:rsid w:val="005667DA"/>
    <w:rsid w:val="00593C8B"/>
    <w:rsid w:val="00644967"/>
    <w:rsid w:val="006D2BED"/>
    <w:rsid w:val="006D6F42"/>
    <w:rsid w:val="006E5FEA"/>
    <w:rsid w:val="0074774D"/>
    <w:rsid w:val="00747F2C"/>
    <w:rsid w:val="00751F7D"/>
    <w:rsid w:val="0078084F"/>
    <w:rsid w:val="007969C4"/>
    <w:rsid w:val="007B3A90"/>
    <w:rsid w:val="007D1A9D"/>
    <w:rsid w:val="007D6DD5"/>
    <w:rsid w:val="008027F3"/>
    <w:rsid w:val="00830877"/>
    <w:rsid w:val="008433A9"/>
    <w:rsid w:val="008550EF"/>
    <w:rsid w:val="00872F75"/>
    <w:rsid w:val="00880FBB"/>
    <w:rsid w:val="008B0B7A"/>
    <w:rsid w:val="008C3685"/>
    <w:rsid w:val="008D00B1"/>
    <w:rsid w:val="00926406"/>
    <w:rsid w:val="009A7B1B"/>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C4595"/>
    <w:rsid w:val="00C03C46"/>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60A7F"/>
    <w:rsid w:val="00D9036C"/>
    <w:rsid w:val="00DC4119"/>
    <w:rsid w:val="00DE30DC"/>
    <w:rsid w:val="00E1124B"/>
    <w:rsid w:val="00E114A9"/>
    <w:rsid w:val="00E117BD"/>
    <w:rsid w:val="00E30F5A"/>
    <w:rsid w:val="00E40016"/>
    <w:rsid w:val="00E407E4"/>
    <w:rsid w:val="00E43349"/>
    <w:rsid w:val="00E51D18"/>
    <w:rsid w:val="00E86DF4"/>
    <w:rsid w:val="00E94006"/>
    <w:rsid w:val="00EA7055"/>
    <w:rsid w:val="00EB3437"/>
    <w:rsid w:val="00EC53C1"/>
    <w:rsid w:val="00EE06A0"/>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06A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EE06A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EE06A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E06A0"/>
  </w:style>
  <w:style w:type="paragraph" w:styleId="Header">
    <w:name w:val="header"/>
    <w:basedOn w:val="Normal"/>
    <w:link w:val="HeaderChar"/>
    <w:uiPriority w:val="99"/>
    <w:unhideWhenUsed/>
    <w:rsid w:val="00EE06A0"/>
    <w:pPr>
      <w:tabs>
        <w:tab w:val="center" w:pos="4680"/>
        <w:tab w:val="right" w:pos="9360"/>
      </w:tabs>
    </w:pPr>
    <w:rPr>
      <w:rFonts w:ascii="Times New Roman" w:hAnsi="Times New Roman"/>
    </w:rPr>
  </w:style>
  <w:style w:type="character" w:customStyle="1" w:styleId="HeaderChar">
    <w:name w:val="Header Char"/>
    <w:link w:val="Header"/>
    <w:uiPriority w:val="99"/>
    <w:rsid w:val="00EE06A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EE06A0"/>
    <w:pPr>
      <w:tabs>
        <w:tab w:val="center" w:pos="4680"/>
        <w:tab w:val="right" w:pos="9360"/>
      </w:tabs>
    </w:pPr>
    <w:rPr>
      <w:rFonts w:ascii="Times New Roman" w:hAnsi="Times New Roman"/>
    </w:rPr>
  </w:style>
  <w:style w:type="character" w:customStyle="1" w:styleId="FooterChar">
    <w:name w:val="Footer Char"/>
    <w:link w:val="Footer"/>
    <w:uiPriority w:val="99"/>
    <w:rsid w:val="00EE06A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C03C46"/>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EE06A0"/>
    <w:pPr>
      <w:spacing w:before="100" w:beforeAutospacing="1"/>
      <w:ind w:left="567"/>
      <w:jc w:val="both"/>
    </w:pPr>
  </w:style>
  <w:style w:type="paragraph" w:customStyle="1" w:styleId="Metadata">
    <w:name w:val="Metadata"/>
    <w:basedOn w:val="Normal"/>
    <w:rsid w:val="00EE06A0"/>
    <w:pPr>
      <w:spacing w:before="100" w:beforeAutospacing="1" w:after="100" w:afterAutospacing="1"/>
    </w:pPr>
    <w:rPr>
      <w:rFonts w:cs="Arial"/>
      <w:szCs w:val="24"/>
    </w:rPr>
  </w:style>
  <w:style w:type="paragraph" w:customStyle="1" w:styleId="Page">
    <w:name w:val="Page"/>
    <w:basedOn w:val="Normal"/>
    <w:link w:val="PageChar"/>
    <w:rsid w:val="00EE06A0"/>
    <w:pPr>
      <w:spacing w:before="100" w:beforeAutospacing="1" w:after="100" w:afterAutospacing="1"/>
    </w:pPr>
    <w:rPr>
      <w:i/>
    </w:rPr>
  </w:style>
  <w:style w:type="paragraph" w:styleId="FootnoteText">
    <w:name w:val="footnote text"/>
    <w:basedOn w:val="Normal"/>
    <w:link w:val="FootnoteTextChar"/>
    <w:autoRedefine/>
    <w:semiHidden/>
    <w:rsid w:val="00EE06A0"/>
    <w:rPr>
      <w:sz w:val="16"/>
      <w:szCs w:val="20"/>
    </w:rPr>
  </w:style>
  <w:style w:type="character" w:customStyle="1" w:styleId="FootnoteTextChar">
    <w:name w:val="Footnote Text Char"/>
    <w:link w:val="FootnoteText"/>
    <w:semiHidden/>
    <w:rsid w:val="00EE06A0"/>
    <w:rPr>
      <w:rFonts w:ascii="Arial" w:eastAsia="MS Mincho" w:hAnsi="Arial" w:cs="Times New Roman"/>
      <w:sz w:val="16"/>
      <w:szCs w:val="20"/>
      <w:lang w:val="en-CA" w:eastAsia="ja-JP"/>
    </w:rPr>
  </w:style>
  <w:style w:type="character" w:styleId="FootnoteReference">
    <w:name w:val="footnote reference"/>
    <w:semiHidden/>
    <w:rsid w:val="00EE06A0"/>
    <w:rPr>
      <w:vertAlign w:val="superscript"/>
    </w:rPr>
  </w:style>
  <w:style w:type="paragraph" w:customStyle="1" w:styleId="ParagNum">
    <w:name w:val="ParagNum"/>
    <w:basedOn w:val="Normal"/>
    <w:rsid w:val="00EE06A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EE06A0"/>
    <w:pPr>
      <w:spacing w:before="100" w:beforeAutospacing="1" w:after="100" w:afterAutospacing="1" w:line="360" w:lineRule="auto"/>
    </w:pPr>
  </w:style>
  <w:style w:type="paragraph" w:customStyle="1" w:styleId="Indent2">
    <w:name w:val="Indent 2"/>
    <w:basedOn w:val="Indent1"/>
    <w:rsid w:val="00EE06A0"/>
    <w:pPr>
      <w:ind w:left="1134"/>
    </w:pPr>
  </w:style>
  <w:style w:type="paragraph" w:customStyle="1" w:styleId="Indent3">
    <w:name w:val="Indent 3"/>
    <w:basedOn w:val="Indent1"/>
    <w:rsid w:val="00EE06A0"/>
    <w:pPr>
      <w:ind w:left="1701"/>
    </w:pPr>
  </w:style>
  <w:style w:type="paragraph" w:customStyle="1" w:styleId="Indent4">
    <w:name w:val="Indent 4"/>
    <w:basedOn w:val="Indent1"/>
    <w:rsid w:val="00EE06A0"/>
    <w:pPr>
      <w:ind w:left="2268"/>
    </w:pPr>
  </w:style>
  <w:style w:type="paragraph" w:customStyle="1" w:styleId="Indent10">
    <w:name w:val="Indent1"/>
    <w:basedOn w:val="Reasons"/>
    <w:rsid w:val="00EE06A0"/>
    <w:pPr>
      <w:ind w:left="567"/>
    </w:pPr>
  </w:style>
  <w:style w:type="paragraph" w:customStyle="1" w:styleId="Indent20">
    <w:name w:val="Indent2"/>
    <w:basedOn w:val="Indent10"/>
    <w:rsid w:val="00EE06A0"/>
    <w:pPr>
      <w:ind w:left="1134"/>
    </w:pPr>
  </w:style>
  <w:style w:type="paragraph" w:customStyle="1" w:styleId="Indent30">
    <w:name w:val="Indent3"/>
    <w:basedOn w:val="Indent10"/>
    <w:rsid w:val="00EE06A0"/>
    <w:pPr>
      <w:ind w:left="1701"/>
    </w:pPr>
  </w:style>
  <w:style w:type="paragraph" w:customStyle="1" w:styleId="Indent40">
    <w:name w:val="Indent4"/>
    <w:basedOn w:val="Indent10"/>
    <w:rsid w:val="00EE06A0"/>
    <w:pPr>
      <w:ind w:left="2268"/>
    </w:pPr>
  </w:style>
  <w:style w:type="paragraph" w:customStyle="1" w:styleId="Keywords">
    <w:name w:val="Keywords"/>
    <w:basedOn w:val="Normal"/>
    <w:rsid w:val="00EE06A0"/>
    <w:pPr>
      <w:spacing w:before="100" w:beforeAutospacing="1" w:after="100" w:afterAutospacing="1"/>
    </w:pPr>
    <w:rPr>
      <w:rFonts w:cs="Arial"/>
      <w:i/>
      <w:szCs w:val="24"/>
    </w:rPr>
  </w:style>
  <w:style w:type="paragraph" w:customStyle="1" w:styleId="Summary">
    <w:name w:val="Summary"/>
    <w:basedOn w:val="Normal"/>
    <w:autoRedefine/>
    <w:rsid w:val="00EE06A0"/>
    <w:pPr>
      <w:spacing w:before="100" w:beforeAutospacing="1" w:after="100" w:afterAutospacing="1"/>
      <w:ind w:left="562" w:hanging="562"/>
    </w:pPr>
    <w:rPr>
      <w:rFonts w:cs="Arial"/>
    </w:rPr>
  </w:style>
  <w:style w:type="paragraph" w:customStyle="1" w:styleId="History">
    <w:name w:val="History"/>
    <w:basedOn w:val="Normal"/>
    <w:rsid w:val="00EE06A0"/>
    <w:pPr>
      <w:spacing w:before="100" w:beforeAutospacing="1" w:after="100" w:afterAutospacing="1"/>
      <w:ind w:firstLine="567"/>
    </w:pPr>
  </w:style>
  <w:style w:type="paragraph" w:customStyle="1" w:styleId="T1">
    <w:name w:val="T1"/>
    <w:basedOn w:val="Normal"/>
    <w:rsid w:val="00EE06A0"/>
    <w:pPr>
      <w:spacing w:before="240" w:after="100" w:afterAutospacing="1"/>
    </w:pPr>
    <w:rPr>
      <w:b/>
    </w:rPr>
  </w:style>
  <w:style w:type="paragraph" w:customStyle="1" w:styleId="T2">
    <w:name w:val="T2"/>
    <w:basedOn w:val="Normal"/>
    <w:rsid w:val="00EE06A0"/>
    <w:pPr>
      <w:spacing w:before="240" w:after="100" w:afterAutospacing="1"/>
    </w:pPr>
  </w:style>
  <w:style w:type="paragraph" w:customStyle="1" w:styleId="Sollicitors">
    <w:name w:val="Sollicitors"/>
    <w:basedOn w:val="Normal"/>
    <w:rsid w:val="00EE06A0"/>
    <w:pPr>
      <w:spacing w:before="100" w:beforeAutospacing="1" w:after="100" w:afterAutospacing="1"/>
    </w:pPr>
    <w:rPr>
      <w:i/>
    </w:rPr>
  </w:style>
  <w:style w:type="paragraph" w:customStyle="1" w:styleId="Court">
    <w:name w:val="Court"/>
    <w:basedOn w:val="Normal"/>
    <w:rsid w:val="00EE06A0"/>
    <w:rPr>
      <w:rFonts w:cs="Arial"/>
      <w:b/>
      <w:szCs w:val="24"/>
    </w:rPr>
  </w:style>
  <w:style w:type="character" w:customStyle="1" w:styleId="PageChar">
    <w:name w:val="Page Char"/>
    <w:link w:val="Page"/>
    <w:rsid w:val="00EE06A0"/>
    <w:rPr>
      <w:rFonts w:ascii="Arial" w:eastAsia="MS Mincho" w:hAnsi="Arial" w:cs="Times New Roman"/>
      <w:i/>
      <w:sz w:val="24"/>
      <w:szCs w:val="28"/>
      <w:lang w:val="en-CA" w:eastAsia="ja-JP"/>
    </w:rPr>
  </w:style>
  <w:style w:type="character" w:customStyle="1" w:styleId="ReasonsCar">
    <w:name w:val="Reasons Car"/>
    <w:link w:val="Reasons"/>
    <w:rsid w:val="00EE06A0"/>
    <w:rPr>
      <w:rFonts w:ascii="Arial" w:eastAsia="MS Mincho" w:hAnsi="Arial" w:cs="Times New Roman"/>
      <w:sz w:val="24"/>
      <w:szCs w:val="28"/>
      <w:lang w:val="en-CA" w:eastAsia="ja-JP"/>
    </w:rPr>
  </w:style>
  <w:style w:type="paragraph" w:customStyle="1" w:styleId="CitationLine">
    <w:name w:val="CitationLine"/>
    <w:basedOn w:val="Court"/>
    <w:rsid w:val="00EE06A0"/>
  </w:style>
  <w:style w:type="paragraph" w:customStyle="1" w:styleId="DateISO">
    <w:name w:val="DateISO"/>
    <w:basedOn w:val="Court"/>
    <w:rsid w:val="00EE06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2015-03-17T08:09:00Z</dcterms:created>
  <dcterms:modified xsi:type="dcterms:W3CDTF">2015-03-23T14:43:00Z</dcterms:modified>
</cp:coreProperties>
</file>