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82" w:rsidRDefault="005C1982" w:rsidP="005C1982">
      <w:pPr>
        <w:pStyle w:val="Court"/>
      </w:pPr>
      <w:r>
        <w:t>Supreme Court of Canada</w:t>
      </w:r>
    </w:p>
    <w:p w:rsidR="005C1982" w:rsidRDefault="00AA463E" w:rsidP="005C1982">
      <w:pPr>
        <w:pStyle w:val="CitationLine"/>
      </w:pPr>
      <w:r w:rsidRPr="005C1982">
        <w:t>Cummings</w:t>
      </w:r>
      <w:r>
        <w:t xml:space="preserve"> </w:t>
      </w:r>
      <w:r w:rsidRPr="00AA463E">
        <w:rPr>
          <w:i/>
        </w:rPr>
        <w:t>v</w:t>
      </w:r>
      <w:r>
        <w:t xml:space="preserve">. </w:t>
      </w:r>
      <w:r w:rsidRPr="005C1982">
        <w:t>Taylor</w:t>
      </w:r>
      <w:r>
        <w:t xml:space="preserve"> </w:t>
      </w:r>
      <w:r w:rsidR="005C1982">
        <w:t>(1898) 28 SCR 337</w:t>
      </w:r>
    </w:p>
    <w:p w:rsidR="005C1982" w:rsidRDefault="005C1982" w:rsidP="005C1982">
      <w:pPr>
        <w:pStyle w:val="DateISO"/>
      </w:pPr>
      <w:r>
        <w:t>Date: 1898-05-06</w:t>
      </w:r>
    </w:p>
    <w:p w:rsidR="002D463D" w:rsidRPr="005C1982" w:rsidRDefault="005C1982" w:rsidP="005C1982">
      <w:pPr>
        <w:pStyle w:val="Metadata"/>
      </w:pPr>
      <w:r w:rsidRPr="005C1982">
        <w:t>William Cummings &amp; Sons</w:t>
      </w:r>
      <w:r w:rsidR="002D463D" w:rsidRPr="005C1982">
        <w:t xml:space="preserve"> (Defendants)</w:t>
      </w:r>
    </w:p>
    <w:p w:rsidR="002D463D" w:rsidRPr="005C1982" w:rsidRDefault="002D463D" w:rsidP="005C1982">
      <w:pPr>
        <w:pStyle w:val="Metadata"/>
      </w:pPr>
      <w:r w:rsidRPr="005C1982">
        <w:t>Appellants</w:t>
      </w:r>
    </w:p>
    <w:p w:rsidR="002D463D" w:rsidRPr="005C1982" w:rsidRDefault="005C1982" w:rsidP="005C1982">
      <w:pPr>
        <w:pStyle w:val="Metadata"/>
      </w:pPr>
      <w:r>
        <w:t>A</w:t>
      </w:r>
      <w:r w:rsidR="002D463D" w:rsidRPr="005C1982">
        <w:t>nd</w:t>
      </w:r>
    </w:p>
    <w:p w:rsidR="002D463D" w:rsidRPr="005C1982" w:rsidRDefault="005C1982" w:rsidP="005C1982">
      <w:pPr>
        <w:pStyle w:val="Metadata"/>
      </w:pPr>
      <w:r w:rsidRPr="005C1982">
        <w:t xml:space="preserve">Robert Taylor </w:t>
      </w:r>
      <w:r>
        <w:t>a</w:t>
      </w:r>
      <w:r w:rsidRPr="005C1982">
        <w:t>nd Bauld Gibson &amp; Co</w:t>
      </w:r>
      <w:r w:rsidR="002D463D" w:rsidRPr="005C1982">
        <w:t>. (Plaintiffs)</w:t>
      </w:r>
    </w:p>
    <w:p w:rsidR="002D463D" w:rsidRPr="005C1982" w:rsidRDefault="002D463D" w:rsidP="005C1982">
      <w:pPr>
        <w:pStyle w:val="Metadata"/>
      </w:pPr>
      <w:r w:rsidRPr="005C1982">
        <w:t>Respondents</w:t>
      </w:r>
    </w:p>
    <w:p w:rsidR="005C1982" w:rsidRDefault="005C1982" w:rsidP="005C1982">
      <w:pPr>
        <w:pStyle w:val="Metadata"/>
      </w:pPr>
      <w:r>
        <w:rPr>
          <w:smallCaps/>
        </w:rPr>
        <w:t xml:space="preserve">1898: </w:t>
      </w:r>
      <w:r>
        <w:rPr>
          <w:lang w:val="fr-FR"/>
        </w:rPr>
        <w:t>Feb.</w:t>
      </w:r>
      <w:r>
        <w:t xml:space="preserve"> 15</w:t>
      </w:r>
      <w:r>
        <w:rPr>
          <w:lang w:val="fr-FR"/>
        </w:rPr>
        <w:t xml:space="preserve">; 1898: </w:t>
      </w:r>
      <w:r>
        <w:t>May 6.</w:t>
      </w:r>
    </w:p>
    <w:p w:rsidR="005C1982" w:rsidRDefault="005C1982" w:rsidP="005C1982">
      <w:pPr>
        <w:pStyle w:val="Metadata"/>
      </w:pPr>
      <w:r w:rsidRPr="005C1982">
        <w:t>Present</w:t>
      </w:r>
      <w:r>
        <w:t>:—Taschereau, Gwynne, Sedgewick, King and Girouard</w:t>
      </w:r>
    </w:p>
    <w:p w:rsidR="002D463D" w:rsidRDefault="002D463D" w:rsidP="005C1982">
      <w:pPr>
        <w:pStyle w:val="Metadata"/>
      </w:pPr>
      <w:r>
        <w:t>ON APPEAL FROM THE SUPREME COURT OF NOVA SCOTIA.</w:t>
      </w:r>
    </w:p>
    <w:p w:rsidR="002D463D" w:rsidRDefault="002D463D" w:rsidP="005C1982">
      <w:pPr>
        <w:pStyle w:val="Keywords"/>
      </w:pPr>
      <w:r>
        <w:t>Assignment for benefit of creditors—Preferred creditors—Money paid under voidable assignment—Levy and sale under execution—Statute of Elizabeth.</w:t>
      </w:r>
    </w:p>
    <w:p w:rsidR="002D463D" w:rsidRDefault="002D463D" w:rsidP="005C1982">
      <w:pPr>
        <w:pStyle w:val="Summary"/>
      </w:pPr>
      <w:r>
        <w:t xml:space="preserve">Where an assignment has been held void as against the statute, </w:t>
      </w:r>
      <w:r>
        <w:rPr>
          <w:smallCaps/>
        </w:rPr>
        <w:t xml:space="preserve">13 </w:t>
      </w:r>
      <w:r>
        <w:t xml:space="preserve">Eliz. c. </w:t>
      </w:r>
      <w:r>
        <w:rPr>
          <w:smallCaps/>
        </w:rPr>
        <w:t xml:space="preserve">5, </w:t>
      </w:r>
      <w:r>
        <w:t>and the result of such decision is that a creditor who had subsequently obtained judgment against the assignor and, notwithstanding the assignment, sold all the debtor's personal property so transferred, becomes entitled to all the personal property of the assignor levied upon by him under his execution, such creditor has no legal right and no equity to an account or to follow moneys received by the assignee or paid by him under such assignment in respect to which he has not secured a prior claim by taking the necessary proceedings to make them exigible.</w:t>
      </w:r>
    </w:p>
    <w:p w:rsidR="002D463D" w:rsidRDefault="002D463D" w:rsidP="005C1982">
      <w:pPr>
        <w:pStyle w:val="History"/>
      </w:pPr>
      <w:r w:rsidRPr="005C1982">
        <w:t>Appeal</w:t>
      </w:r>
      <w:r>
        <w:rPr>
          <w:smallCaps/>
        </w:rPr>
        <w:t xml:space="preserve"> </w:t>
      </w:r>
      <w:r>
        <w:t>from the judgment of the Supreme Court of Nova Scotia</w:t>
      </w:r>
      <w:r w:rsidR="00A43F58">
        <w:rPr>
          <w:rStyle w:val="FootnoteReference"/>
        </w:rPr>
        <w:footnoteReference w:id="2"/>
      </w:r>
      <w:r>
        <w:t>, dismissing an appeal by the present appellants and affirming the judgment of the trial judge which declared that a certain deed of assignment was fraudulent and void as against the creditors of the assignor, appointed a receiver to his estate and directed accounts to be taken of such portion thereof as may have come into the hands of the present appellants either under the said deed of assignment or otherwise.</w:t>
      </w:r>
    </w:p>
    <w:p w:rsidR="002D463D" w:rsidRDefault="002D463D" w:rsidP="005C1982">
      <w:pPr>
        <w:pStyle w:val="History"/>
        <w:rPr>
          <w:rFonts w:cs="Arial"/>
          <w:szCs w:val="24"/>
        </w:rPr>
      </w:pPr>
      <w:r>
        <w:rPr>
          <w:rFonts w:cs="Arial"/>
          <w:szCs w:val="24"/>
        </w:rPr>
        <w:t>One Neil McKinnon made an assignment for the benefit of his creditors, to Selden W. Cummings, a solicitor, who acted under a power of attorney from</w:t>
      </w:r>
    </w:p>
    <w:p w:rsidR="002D463D" w:rsidRDefault="00667D92" w:rsidP="00667D92">
      <w:pPr>
        <w:pStyle w:val="Page"/>
      </w:pPr>
      <w:r>
        <w:rPr>
          <w:rFonts w:cs="Arial"/>
          <w:szCs w:val="24"/>
        </w:rPr>
        <w:t xml:space="preserve">[Page </w:t>
      </w:r>
      <w:r w:rsidR="002D463D">
        <w:rPr>
          <w:rFonts w:cs="Arial"/>
          <w:szCs w:val="24"/>
        </w:rPr>
        <w:t>338]</w:t>
      </w:r>
    </w:p>
    <w:p w:rsidR="002D463D" w:rsidRDefault="002D463D" w:rsidP="00A532AE">
      <w:pPr>
        <w:pStyle w:val="History"/>
        <w:ind w:firstLine="0"/>
        <w:rPr>
          <w:rFonts w:cs="Arial"/>
          <w:szCs w:val="24"/>
        </w:rPr>
      </w:pPr>
      <w:r>
        <w:rPr>
          <w:rFonts w:cs="Arial"/>
          <w:szCs w:val="24"/>
        </w:rPr>
        <w:lastRenderedPageBreak/>
        <w:t xml:space="preserve">the appellants. Shortly after the making of the assignment, Robert Taylor, one of the appellants, recovered judgment, which he recorded against the lands so assigned and issued an execution thereon against McKinnon under which the sheriff levied upon and sold the assignor's personal property remaining at the time of levy. The assignee thereupon took action against the sheriff for the conversion of the said personal property, and the sheriff justified under the execution, and attacked the assignment under the statute, 13 Eliz. ch. 5. The trial judge in that action decided in favour of the plaintiff, and upheld the assignment, and his judgment was sustained on appeal to the Supreme Court of Nova Scotia </w:t>
      </w:r>
      <w:r>
        <w:rPr>
          <w:rFonts w:cs="Arial"/>
          <w:i/>
          <w:iCs/>
          <w:szCs w:val="24"/>
        </w:rPr>
        <w:t xml:space="preserve">in banc, </w:t>
      </w:r>
      <w:r>
        <w:rPr>
          <w:rFonts w:cs="Arial"/>
          <w:szCs w:val="24"/>
        </w:rPr>
        <w:t>but on further appeal, was reversed by the Supreme Court of Canada</w:t>
      </w:r>
      <w:r w:rsidR="00A43F58">
        <w:rPr>
          <w:rStyle w:val="FootnoteReference"/>
          <w:rFonts w:cs="Arial"/>
          <w:szCs w:val="24"/>
        </w:rPr>
        <w:footnoteReference w:id="3"/>
      </w:r>
      <w:r>
        <w:rPr>
          <w:rFonts w:cs="Arial"/>
          <w:szCs w:val="24"/>
        </w:rPr>
        <w:t>.</w:t>
      </w:r>
    </w:p>
    <w:p w:rsidR="002D463D" w:rsidRDefault="002D463D" w:rsidP="005C1982">
      <w:pPr>
        <w:pStyle w:val="History"/>
        <w:rPr>
          <w:rFonts w:cs="Arial"/>
          <w:szCs w:val="24"/>
        </w:rPr>
      </w:pPr>
      <w:r>
        <w:rPr>
          <w:rFonts w:cs="Arial"/>
          <w:szCs w:val="24"/>
        </w:rPr>
        <w:t>In January, 1895, between the date of the argument of the last appeal and the delivery of judgment by the Supreme Court of Canada, the assignor brought his books to the appellants' office and assigned the book debts to them.</w:t>
      </w:r>
    </w:p>
    <w:p w:rsidR="002D463D" w:rsidRDefault="002D463D" w:rsidP="005C1982">
      <w:pPr>
        <w:pStyle w:val="History"/>
        <w:rPr>
          <w:rFonts w:cs="Arial"/>
          <w:szCs w:val="24"/>
        </w:rPr>
      </w:pPr>
      <w:r>
        <w:rPr>
          <w:rFonts w:cs="Arial"/>
          <w:szCs w:val="24"/>
        </w:rPr>
        <w:t>The present action was commenced in June, 1895, by the respondents, judgment creditors of McKinnon, against him, his assignee and two preferred creditors, the appellants and The Peoples' Bank of Halifax, claiming:—(</w:t>
      </w:r>
      <w:r>
        <w:rPr>
          <w:rFonts w:cs="Arial"/>
          <w:i/>
          <w:iCs/>
          <w:szCs w:val="24"/>
        </w:rPr>
        <w:t>a</w:t>
      </w:r>
      <w:r>
        <w:rPr>
          <w:rFonts w:cs="Arial"/>
          <w:szCs w:val="24"/>
        </w:rPr>
        <w:t>)</w:t>
      </w:r>
      <w:r>
        <w:rPr>
          <w:rFonts w:cs="Arial"/>
          <w:i/>
          <w:iCs/>
          <w:szCs w:val="24"/>
        </w:rPr>
        <w:t xml:space="preserve"> </w:t>
      </w:r>
      <w:r>
        <w:rPr>
          <w:rFonts w:cs="Arial"/>
          <w:szCs w:val="24"/>
        </w:rPr>
        <w:t>A declaration that the said deed of assignment was fraudulent and void as against the plaintiffs and other creditors of the said assignor; (</w:t>
      </w:r>
      <w:r>
        <w:rPr>
          <w:rFonts w:cs="Arial"/>
          <w:i/>
          <w:iCs/>
          <w:szCs w:val="24"/>
        </w:rPr>
        <w:t>b</w:t>
      </w:r>
      <w:r>
        <w:rPr>
          <w:rFonts w:cs="Arial"/>
          <w:szCs w:val="24"/>
        </w:rPr>
        <w:t>)</w:t>
      </w:r>
      <w:r>
        <w:rPr>
          <w:rFonts w:cs="Arial"/>
          <w:i/>
          <w:iCs/>
          <w:szCs w:val="24"/>
        </w:rPr>
        <w:t xml:space="preserve"> </w:t>
      </w:r>
      <w:r>
        <w:rPr>
          <w:rFonts w:cs="Arial"/>
          <w:szCs w:val="24"/>
        </w:rPr>
        <w:t>An account from the appellants of all property, money and assets received or paid by them under the provisions of said deed of assignment; (</w:t>
      </w:r>
      <w:r>
        <w:rPr>
          <w:rFonts w:cs="Arial"/>
          <w:i/>
          <w:iCs/>
          <w:szCs w:val="24"/>
        </w:rPr>
        <w:t>c</w:t>
      </w:r>
      <w:r>
        <w:rPr>
          <w:rFonts w:cs="Arial"/>
          <w:szCs w:val="24"/>
        </w:rPr>
        <w:t>)</w:t>
      </w:r>
      <w:r>
        <w:rPr>
          <w:rFonts w:cs="Arial"/>
          <w:i/>
          <w:iCs/>
          <w:szCs w:val="24"/>
        </w:rPr>
        <w:t xml:space="preserve"> </w:t>
      </w:r>
      <w:r>
        <w:rPr>
          <w:rFonts w:cs="Arial"/>
          <w:szCs w:val="24"/>
        </w:rPr>
        <w:t>Payment of the respondent's claim out of any property, moneys, and assets received by the appellants under said assignment; (</w:t>
      </w:r>
      <w:r>
        <w:rPr>
          <w:rFonts w:cs="Arial"/>
          <w:i/>
          <w:iCs/>
          <w:szCs w:val="24"/>
        </w:rPr>
        <w:t>d</w:t>
      </w:r>
      <w:r>
        <w:rPr>
          <w:rFonts w:cs="Arial"/>
          <w:szCs w:val="24"/>
        </w:rPr>
        <w:t>)</w:t>
      </w:r>
      <w:r>
        <w:rPr>
          <w:rFonts w:cs="Arial"/>
          <w:i/>
          <w:iCs/>
          <w:szCs w:val="24"/>
        </w:rPr>
        <w:t xml:space="preserve"> </w:t>
      </w:r>
      <w:r>
        <w:rPr>
          <w:rFonts w:cs="Arial"/>
          <w:szCs w:val="24"/>
        </w:rPr>
        <w:t>The appointment of a receiver for all the</w:t>
      </w:r>
    </w:p>
    <w:p w:rsidR="002D463D" w:rsidRDefault="00667D92" w:rsidP="00667D92">
      <w:pPr>
        <w:pStyle w:val="Page"/>
      </w:pPr>
      <w:r>
        <w:rPr>
          <w:rFonts w:cs="Arial"/>
          <w:szCs w:val="24"/>
        </w:rPr>
        <w:t xml:space="preserve">[Page </w:t>
      </w:r>
      <w:r w:rsidR="002D463D">
        <w:rPr>
          <w:rFonts w:cs="Arial"/>
          <w:szCs w:val="24"/>
        </w:rPr>
        <w:t>339]</w:t>
      </w:r>
    </w:p>
    <w:p w:rsidR="002D463D" w:rsidRDefault="002D463D" w:rsidP="00A532AE">
      <w:pPr>
        <w:pStyle w:val="History"/>
        <w:ind w:firstLine="0"/>
        <w:rPr>
          <w:rFonts w:cs="Arial"/>
          <w:szCs w:val="24"/>
        </w:rPr>
      </w:pPr>
      <w:r>
        <w:rPr>
          <w:rFonts w:cs="Arial"/>
          <w:szCs w:val="24"/>
        </w:rPr>
        <w:t>property, moneys, and assets hereinbefore mentioned; and the usual injunction, orders, directions, and so forth.</w:t>
      </w:r>
    </w:p>
    <w:p w:rsidR="002D463D" w:rsidRDefault="002D463D" w:rsidP="005C1982">
      <w:pPr>
        <w:pStyle w:val="History"/>
        <w:rPr>
          <w:rFonts w:cs="Arial"/>
          <w:szCs w:val="24"/>
        </w:rPr>
      </w:pPr>
      <w:r>
        <w:rPr>
          <w:rFonts w:cs="Arial"/>
          <w:szCs w:val="24"/>
        </w:rPr>
        <w:t xml:space="preserve">The appellants admitted the deed to be void for the reasons expressed in </w:t>
      </w:r>
      <w:r>
        <w:rPr>
          <w:rFonts w:cs="Arial"/>
          <w:i/>
          <w:iCs/>
          <w:szCs w:val="24"/>
        </w:rPr>
        <w:t xml:space="preserve">McDonald </w:t>
      </w:r>
      <w:r>
        <w:rPr>
          <w:rFonts w:cs="Arial"/>
          <w:szCs w:val="24"/>
        </w:rPr>
        <w:t xml:space="preserve">v. </w:t>
      </w:r>
      <w:r>
        <w:rPr>
          <w:rFonts w:cs="Arial"/>
          <w:i/>
          <w:iCs/>
          <w:szCs w:val="24"/>
        </w:rPr>
        <w:t>Cummings</w:t>
      </w:r>
      <w:r w:rsidR="00A43F58">
        <w:rPr>
          <w:rStyle w:val="FootnoteReference"/>
          <w:rFonts w:cs="Arial"/>
          <w:i/>
          <w:iCs/>
          <w:szCs w:val="24"/>
        </w:rPr>
        <w:footnoteReference w:id="4"/>
      </w:r>
      <w:r>
        <w:rPr>
          <w:rFonts w:cs="Arial"/>
          <w:szCs w:val="24"/>
        </w:rPr>
        <w:t>, but denied any liability to account for the moneys received by them or for the book debts assigned to them. They set up (</w:t>
      </w:r>
      <w:r>
        <w:rPr>
          <w:rFonts w:cs="Arial"/>
          <w:i/>
          <w:iCs/>
          <w:szCs w:val="24"/>
        </w:rPr>
        <w:t>a</w:t>
      </w:r>
      <w:r>
        <w:rPr>
          <w:rFonts w:cs="Arial"/>
          <w:szCs w:val="24"/>
        </w:rPr>
        <w:t>)</w:t>
      </w:r>
      <w:r>
        <w:rPr>
          <w:rFonts w:cs="Arial"/>
          <w:i/>
          <w:iCs/>
          <w:szCs w:val="24"/>
        </w:rPr>
        <w:t xml:space="preserve"> </w:t>
      </w:r>
      <w:r>
        <w:rPr>
          <w:rFonts w:cs="Arial"/>
          <w:szCs w:val="24"/>
        </w:rPr>
        <w:t>the sale of the personal property of the insolvent under the execution of the plaintiff, Robert Taylor; (</w:t>
      </w:r>
      <w:r>
        <w:rPr>
          <w:rFonts w:cs="Arial"/>
          <w:i/>
          <w:iCs/>
          <w:szCs w:val="24"/>
        </w:rPr>
        <w:t>b</w:t>
      </w:r>
      <w:r>
        <w:rPr>
          <w:rFonts w:cs="Arial"/>
          <w:szCs w:val="24"/>
        </w:rPr>
        <w:t>)</w:t>
      </w:r>
      <w:r>
        <w:rPr>
          <w:rFonts w:cs="Arial"/>
          <w:i/>
          <w:iCs/>
          <w:szCs w:val="24"/>
        </w:rPr>
        <w:t xml:space="preserve"> </w:t>
      </w:r>
      <w:r>
        <w:rPr>
          <w:rFonts w:cs="Arial"/>
          <w:szCs w:val="24"/>
        </w:rPr>
        <w:t>that all the moneys received for goods or debts, with the exception of $169, had been paid over by the debtor to creditors; (</w:t>
      </w:r>
      <w:r>
        <w:rPr>
          <w:rFonts w:cs="Arial"/>
          <w:i/>
          <w:iCs/>
          <w:szCs w:val="24"/>
        </w:rPr>
        <w:t>c</w:t>
      </w:r>
      <w:r>
        <w:rPr>
          <w:rFonts w:cs="Arial"/>
          <w:szCs w:val="24"/>
        </w:rPr>
        <w:t>)</w:t>
      </w:r>
      <w:r>
        <w:rPr>
          <w:rFonts w:cs="Arial"/>
          <w:i/>
          <w:iCs/>
          <w:szCs w:val="24"/>
        </w:rPr>
        <w:t xml:space="preserve"> </w:t>
      </w:r>
      <w:r>
        <w:rPr>
          <w:rFonts w:cs="Arial"/>
          <w:szCs w:val="24"/>
        </w:rPr>
        <w:t>that these payments amounted to $839.88 and were made before the judgment of the Supreme Court of Canada above referred to, and to the creditors intended to be preferred by the said deed of assignment, including the Peoples' Bank of Halifax, and (</w:t>
      </w:r>
      <w:r>
        <w:rPr>
          <w:rFonts w:cs="Arial"/>
          <w:i/>
          <w:iCs/>
          <w:szCs w:val="24"/>
        </w:rPr>
        <w:t>d</w:t>
      </w:r>
      <w:r>
        <w:rPr>
          <w:rFonts w:cs="Arial"/>
          <w:szCs w:val="24"/>
        </w:rPr>
        <w:t>)</w:t>
      </w:r>
      <w:r>
        <w:rPr>
          <w:rFonts w:cs="Arial"/>
          <w:i/>
          <w:iCs/>
          <w:szCs w:val="24"/>
        </w:rPr>
        <w:t xml:space="preserve"> </w:t>
      </w:r>
      <w:r>
        <w:rPr>
          <w:rFonts w:cs="Arial"/>
          <w:szCs w:val="24"/>
        </w:rPr>
        <w:t xml:space="preserve">that the balance of the moneys, said $169, came into the hands of the defendant, Selden W. Cummings, and was by him paid over to the appellants shortly after the said judgment in pursuance of an order made shortly before the said judgment by the debtor McKinnon on the said Selden W. Cummings, in favour of the appellants, creditors of the said Neil McKinnon. They alleged also that McKinnon at the same time assigned the balance of his book debts, the only other asset outside </w:t>
      </w:r>
      <w:r>
        <w:rPr>
          <w:rFonts w:cs="Arial"/>
          <w:szCs w:val="24"/>
        </w:rPr>
        <w:lastRenderedPageBreak/>
        <w:t>the land, to the appellants, and after the said judgment and before this action was commenced that the respondents delivered the books of account to the appellants and assented to the transfer.</w:t>
      </w:r>
    </w:p>
    <w:p w:rsidR="002D463D" w:rsidRDefault="002D463D" w:rsidP="00A532AE">
      <w:pPr>
        <w:pStyle w:val="History"/>
        <w:rPr>
          <w:rFonts w:cs="Arial"/>
          <w:szCs w:val="24"/>
        </w:rPr>
      </w:pPr>
      <w:r>
        <w:rPr>
          <w:rFonts w:cs="Arial"/>
          <w:szCs w:val="24"/>
        </w:rPr>
        <w:t xml:space="preserve">The action was tried before Townshend J. without a jury and the learned judge, so far as the respondents on this appeal are affected, decided that, at the time the moneys were received by them, and the debts were assigned to them, they were aware that the deed had been attacked as fraudulent and void and under the decision of the court in </w:t>
      </w:r>
      <w:r>
        <w:rPr>
          <w:rFonts w:cs="Arial"/>
          <w:i/>
          <w:iCs/>
          <w:szCs w:val="24"/>
        </w:rPr>
        <w:t xml:space="preserve">Cox </w:t>
      </w:r>
      <w:r>
        <w:rPr>
          <w:rFonts w:cs="Arial"/>
          <w:szCs w:val="24"/>
        </w:rPr>
        <w:t xml:space="preserve">v. </w:t>
      </w:r>
      <w:r>
        <w:rPr>
          <w:rFonts w:cs="Arial"/>
          <w:i/>
          <w:iCs/>
          <w:szCs w:val="24"/>
        </w:rPr>
        <w:t>Worrall</w:t>
      </w:r>
      <w:r w:rsidR="00A43F58">
        <w:rPr>
          <w:rStyle w:val="FootnoteReference"/>
          <w:rFonts w:cs="Arial"/>
          <w:i/>
          <w:iCs/>
          <w:szCs w:val="24"/>
        </w:rPr>
        <w:footnoteReference w:id="5"/>
      </w:r>
      <w:r>
        <w:rPr>
          <w:rFonts w:cs="Arial"/>
          <w:szCs w:val="24"/>
        </w:rPr>
        <w:t xml:space="preserve"> they could</w:t>
      </w:r>
    </w:p>
    <w:p w:rsidR="002D463D" w:rsidRDefault="00667D92" w:rsidP="00667D92">
      <w:pPr>
        <w:pStyle w:val="Page"/>
      </w:pPr>
      <w:r>
        <w:rPr>
          <w:rFonts w:cs="Arial"/>
          <w:szCs w:val="24"/>
        </w:rPr>
        <w:t xml:space="preserve">[Page </w:t>
      </w:r>
      <w:r w:rsidR="002D463D">
        <w:rPr>
          <w:rFonts w:cs="Arial"/>
          <w:szCs w:val="24"/>
        </w:rPr>
        <w:t>340]</w:t>
      </w:r>
    </w:p>
    <w:p w:rsidR="002D463D" w:rsidRDefault="002D463D" w:rsidP="00A532AE">
      <w:pPr>
        <w:pStyle w:val="History"/>
        <w:ind w:firstLine="0"/>
        <w:rPr>
          <w:rFonts w:cs="Arial"/>
          <w:szCs w:val="24"/>
        </w:rPr>
      </w:pPr>
      <w:r>
        <w:rPr>
          <w:rFonts w:cs="Arial"/>
          <w:szCs w:val="24"/>
        </w:rPr>
        <w:t>not retain the same against the creditors in the action.</w:t>
      </w:r>
    </w:p>
    <w:p w:rsidR="002D463D" w:rsidRDefault="002D463D" w:rsidP="00A532AE">
      <w:pPr>
        <w:pStyle w:val="History"/>
        <w:rPr>
          <w:rFonts w:cs="Arial"/>
          <w:szCs w:val="24"/>
        </w:rPr>
      </w:pPr>
      <w:r>
        <w:rPr>
          <w:rFonts w:cs="Arial"/>
          <w:szCs w:val="24"/>
        </w:rPr>
        <w:t>The result was that the deed of assignment made by McKinnon to Selden W. Cummings, was declared fraudulent and void as against the creditors of the assignor; that a receiver was appointed for all the moneys, assets and property of the assignor, and that an account was ordered to be taken of the same which have come into the hands of defendants, William Cummings &amp; Son, either under the deed of assignment or otherwise, and also from the defendant, McKinnon.</w:t>
      </w:r>
    </w:p>
    <w:p w:rsidR="002D463D" w:rsidRDefault="002D463D" w:rsidP="00A532AE">
      <w:pPr>
        <w:pStyle w:val="History"/>
        <w:rPr>
          <w:rFonts w:cs="Arial"/>
          <w:szCs w:val="24"/>
        </w:rPr>
      </w:pPr>
      <w:r>
        <w:rPr>
          <w:rFonts w:cs="Arial"/>
          <w:szCs w:val="24"/>
        </w:rPr>
        <w:t xml:space="preserve">A decree was taken on that judgment, and the present appellants appealed therefrom and from the decree thereon to the Supreme Court of Nova Scotia </w:t>
      </w:r>
      <w:r>
        <w:rPr>
          <w:rFonts w:cs="Arial"/>
          <w:i/>
          <w:iCs/>
          <w:szCs w:val="24"/>
        </w:rPr>
        <w:t xml:space="preserve">en banc. </w:t>
      </w:r>
      <w:r>
        <w:rPr>
          <w:rFonts w:cs="Arial"/>
          <w:szCs w:val="24"/>
        </w:rPr>
        <w:t>The appeal was heard before Weatherbe, Graham and Henry JJ. who were unanimous in dismissing the appeal, and the formal judgment dismissing the appeal of William Cummings &amp; Son, also dismissed an appeal of the defendant, McKinnon, and made each of the said appellants liable for all the costs of the appeal. From that judgment the present appeal is taken.</w:t>
      </w:r>
    </w:p>
    <w:p w:rsidR="002D463D" w:rsidRDefault="002D463D" w:rsidP="00A532AE">
      <w:pPr>
        <w:pStyle w:val="History"/>
        <w:rPr>
          <w:rFonts w:cs="Arial"/>
          <w:szCs w:val="24"/>
        </w:rPr>
      </w:pPr>
      <w:r>
        <w:rPr>
          <w:rFonts w:cs="Arial"/>
          <w:i/>
          <w:iCs/>
          <w:szCs w:val="24"/>
        </w:rPr>
        <w:t xml:space="preserve">Lovett </w:t>
      </w:r>
      <w:r>
        <w:rPr>
          <w:rFonts w:cs="Arial"/>
          <w:szCs w:val="24"/>
        </w:rPr>
        <w:t xml:space="preserve">for the appellants. In this action the plaintiffs, the present respondents, sought to follow the sum of $200 paid by the assignor, McKinnon, to the Peoples' Bank under the deed of assignment, into the hands of that corporation. Their action was dismissed by the trial judge and the Supreme Court of Nova Scotia on the ground that the Peoples' Bank was a </w:t>
      </w:r>
      <w:r>
        <w:rPr>
          <w:rFonts w:cs="Arial"/>
          <w:i/>
          <w:iCs/>
          <w:szCs w:val="24"/>
        </w:rPr>
        <w:t xml:space="preserve">bonâ fide </w:t>
      </w:r>
      <w:r>
        <w:rPr>
          <w:rFonts w:cs="Arial"/>
          <w:szCs w:val="24"/>
        </w:rPr>
        <w:t>payee for value without notice, and on appeal to this court the judgments below were affirmed</w:t>
      </w:r>
      <w:r w:rsidR="00A43F58">
        <w:rPr>
          <w:rStyle w:val="FootnoteReference"/>
          <w:rFonts w:cs="Arial"/>
          <w:szCs w:val="24"/>
        </w:rPr>
        <w:footnoteReference w:id="6"/>
      </w:r>
      <w:r>
        <w:rPr>
          <w:rFonts w:cs="Arial"/>
          <w:szCs w:val="24"/>
        </w:rPr>
        <w:t>. We refer to the opinion delivered by Mr. Justice Sedgewick at pages 592 and 593. The trial judge decided against the present appellants in deference to the opinion of the majority of the Supreme Court of Nova Scotia in</w:t>
      </w:r>
    </w:p>
    <w:p w:rsidR="002D463D" w:rsidRDefault="00667D92" w:rsidP="00667D92">
      <w:pPr>
        <w:pStyle w:val="Page"/>
      </w:pPr>
      <w:r>
        <w:rPr>
          <w:rFonts w:cs="Arial"/>
          <w:szCs w:val="24"/>
        </w:rPr>
        <w:t xml:space="preserve">[Page </w:t>
      </w:r>
      <w:r w:rsidR="002D463D">
        <w:rPr>
          <w:rFonts w:cs="Arial"/>
          <w:szCs w:val="24"/>
        </w:rPr>
        <w:t>341]</w:t>
      </w:r>
    </w:p>
    <w:p w:rsidR="002D463D" w:rsidRDefault="002D463D" w:rsidP="00A532AE">
      <w:pPr>
        <w:pStyle w:val="History"/>
        <w:ind w:firstLine="0"/>
        <w:rPr>
          <w:rFonts w:cs="Arial"/>
          <w:i/>
          <w:iCs/>
          <w:szCs w:val="24"/>
        </w:rPr>
      </w:pPr>
      <w:r>
        <w:rPr>
          <w:rFonts w:cs="Arial"/>
          <w:i/>
          <w:iCs/>
          <w:szCs w:val="24"/>
        </w:rPr>
        <w:t xml:space="preserve">Cox </w:t>
      </w:r>
      <w:r>
        <w:rPr>
          <w:rFonts w:cs="Arial"/>
          <w:szCs w:val="24"/>
        </w:rPr>
        <w:t xml:space="preserve">v. </w:t>
      </w:r>
      <w:r>
        <w:rPr>
          <w:rFonts w:cs="Arial"/>
          <w:i/>
          <w:iCs/>
          <w:szCs w:val="24"/>
        </w:rPr>
        <w:t>Worrall</w:t>
      </w:r>
      <w:r w:rsidR="00A43F58">
        <w:rPr>
          <w:rStyle w:val="FootnoteReference"/>
          <w:rFonts w:cs="Arial"/>
          <w:i/>
          <w:iCs/>
          <w:szCs w:val="24"/>
        </w:rPr>
        <w:footnoteReference w:id="7"/>
      </w:r>
      <w:r>
        <w:rPr>
          <w:rFonts w:cs="Arial"/>
          <w:szCs w:val="24"/>
        </w:rPr>
        <w:t xml:space="preserve">, now overruled and expressly stated that but for that case he would </w:t>
      </w:r>
      <w:r>
        <w:rPr>
          <w:rFonts w:cs="Arial"/>
          <w:szCs w:val="24"/>
        </w:rPr>
        <w:lastRenderedPageBreak/>
        <w:t xml:space="preserve">have dismissed the action as against them, and the Supreme Court of Nova Scotia also followed </w:t>
      </w:r>
      <w:r>
        <w:rPr>
          <w:rFonts w:cs="Arial"/>
          <w:i/>
          <w:iCs/>
          <w:szCs w:val="24"/>
        </w:rPr>
        <w:t xml:space="preserve">Cox </w:t>
      </w:r>
      <w:r>
        <w:rPr>
          <w:rFonts w:cs="Arial"/>
          <w:szCs w:val="24"/>
        </w:rPr>
        <w:t xml:space="preserve">v. </w:t>
      </w:r>
      <w:r>
        <w:rPr>
          <w:rFonts w:cs="Arial"/>
          <w:i/>
          <w:iCs/>
          <w:szCs w:val="24"/>
        </w:rPr>
        <w:t>Worrall.</w:t>
      </w:r>
    </w:p>
    <w:p w:rsidR="002D463D" w:rsidRDefault="002D463D" w:rsidP="00A532AE">
      <w:pPr>
        <w:pStyle w:val="History"/>
        <w:rPr>
          <w:rFonts w:cs="Arial"/>
          <w:szCs w:val="24"/>
        </w:rPr>
      </w:pPr>
      <w:r>
        <w:rPr>
          <w:rFonts w:cs="Arial"/>
          <w:szCs w:val="24"/>
        </w:rPr>
        <w:t xml:space="preserve">There are only two views to be taken of the facts. 1st. William Cummings &amp; Son being creditors of Neil McKinnon received the assets under the deed on account of the claim due to them by McKinnon and for which they were preferred. 2ndly. They received these assets from the debtor independent of the deed and in payment of a </w:t>
      </w:r>
      <w:r>
        <w:rPr>
          <w:rFonts w:cs="Arial"/>
          <w:i/>
          <w:iCs/>
          <w:szCs w:val="24"/>
        </w:rPr>
        <w:t xml:space="preserve">bonâ fide </w:t>
      </w:r>
      <w:r>
        <w:rPr>
          <w:rFonts w:cs="Arial"/>
          <w:szCs w:val="24"/>
        </w:rPr>
        <w:t>claim against him. In the first view of the facts the appellants are clearly within the decision quoted above. In the second view their position is still stronger because they are in the position of creditors obtaining payment from their debtor, and if other creditors have no equity to follow money paid by the assignee under the deed, they certainly have no equity to follow payments made by the debtor to other creditors independent of the deed.</w:t>
      </w:r>
    </w:p>
    <w:p w:rsidR="002D463D" w:rsidRDefault="002D463D" w:rsidP="00A532AE">
      <w:pPr>
        <w:pStyle w:val="History"/>
        <w:rPr>
          <w:rFonts w:cs="Arial"/>
          <w:szCs w:val="24"/>
        </w:rPr>
      </w:pPr>
      <w:r>
        <w:rPr>
          <w:rFonts w:cs="Arial"/>
          <w:szCs w:val="24"/>
        </w:rPr>
        <w:t>The appellants refer to the following authorities:—</w:t>
      </w:r>
      <w:r>
        <w:rPr>
          <w:rFonts w:cs="Arial"/>
          <w:i/>
          <w:iCs/>
          <w:szCs w:val="24"/>
        </w:rPr>
        <w:t xml:space="preserve">Higgins </w:t>
      </w:r>
      <w:r>
        <w:rPr>
          <w:rFonts w:cs="Arial"/>
          <w:szCs w:val="24"/>
        </w:rPr>
        <w:t xml:space="preserve">v. </w:t>
      </w:r>
      <w:r>
        <w:rPr>
          <w:rFonts w:cs="Arial"/>
          <w:i/>
          <w:iCs/>
          <w:szCs w:val="24"/>
        </w:rPr>
        <w:t>York Buildings Co.</w:t>
      </w:r>
      <w:r w:rsidR="00A43F58">
        <w:rPr>
          <w:rStyle w:val="FootnoteReference"/>
          <w:rFonts w:cs="Arial"/>
          <w:i/>
          <w:iCs/>
          <w:szCs w:val="24"/>
        </w:rPr>
        <w:footnoteReference w:id="8"/>
      </w:r>
      <w:r>
        <w:rPr>
          <w:rFonts w:cs="Arial"/>
          <w:szCs w:val="24"/>
        </w:rPr>
        <w:t xml:space="preserve">; </w:t>
      </w:r>
      <w:r>
        <w:rPr>
          <w:rFonts w:cs="Arial"/>
          <w:i/>
          <w:iCs/>
          <w:szCs w:val="24"/>
        </w:rPr>
        <w:t xml:space="preserve">Reese River Silver Mining Co. </w:t>
      </w:r>
      <w:r>
        <w:rPr>
          <w:rFonts w:cs="Arial"/>
          <w:szCs w:val="24"/>
        </w:rPr>
        <w:t xml:space="preserve">v. </w:t>
      </w:r>
      <w:r>
        <w:rPr>
          <w:rFonts w:cs="Arial"/>
          <w:i/>
          <w:iCs/>
          <w:szCs w:val="24"/>
        </w:rPr>
        <w:t>Atwell</w:t>
      </w:r>
      <w:r w:rsidR="00A43F58">
        <w:rPr>
          <w:rStyle w:val="FootnoteReference"/>
          <w:rFonts w:cs="Arial"/>
          <w:i/>
          <w:iCs/>
          <w:szCs w:val="24"/>
        </w:rPr>
        <w:footnoteReference w:id="9"/>
      </w:r>
      <w:r>
        <w:rPr>
          <w:rFonts w:cs="Arial"/>
          <w:szCs w:val="24"/>
        </w:rPr>
        <w:t xml:space="preserve">; </w:t>
      </w:r>
      <w:r>
        <w:rPr>
          <w:rFonts w:cs="Arial"/>
          <w:i/>
          <w:iCs/>
          <w:szCs w:val="24"/>
        </w:rPr>
        <w:t xml:space="preserve">Cornish </w:t>
      </w:r>
      <w:r>
        <w:rPr>
          <w:rFonts w:cs="Arial"/>
          <w:szCs w:val="24"/>
        </w:rPr>
        <w:t xml:space="preserve">v. </w:t>
      </w:r>
      <w:r>
        <w:rPr>
          <w:rFonts w:cs="Arial"/>
          <w:i/>
          <w:iCs/>
          <w:szCs w:val="24"/>
        </w:rPr>
        <w:t>Clark</w:t>
      </w:r>
      <w:r w:rsidR="00A43F58">
        <w:rPr>
          <w:rStyle w:val="FootnoteReference"/>
          <w:rFonts w:cs="Arial"/>
          <w:i/>
          <w:iCs/>
          <w:szCs w:val="24"/>
        </w:rPr>
        <w:footnoteReference w:id="10"/>
      </w:r>
      <w:r>
        <w:rPr>
          <w:rFonts w:cs="Arial"/>
          <w:szCs w:val="24"/>
        </w:rPr>
        <w:t xml:space="preserve">; </w:t>
      </w:r>
      <w:r>
        <w:rPr>
          <w:rFonts w:cs="Arial"/>
          <w:i/>
          <w:iCs/>
          <w:szCs w:val="24"/>
        </w:rPr>
        <w:t xml:space="preserve">Bott </w:t>
      </w:r>
      <w:r>
        <w:rPr>
          <w:rFonts w:cs="Arial"/>
          <w:szCs w:val="24"/>
        </w:rPr>
        <w:t xml:space="preserve">v. </w:t>
      </w:r>
      <w:r>
        <w:rPr>
          <w:rFonts w:cs="Arial"/>
          <w:i/>
          <w:iCs/>
          <w:szCs w:val="24"/>
        </w:rPr>
        <w:t>Smith</w:t>
      </w:r>
      <w:r w:rsidR="00A43F58">
        <w:rPr>
          <w:rStyle w:val="FootnoteReference"/>
          <w:rFonts w:cs="Arial"/>
          <w:i/>
          <w:iCs/>
          <w:szCs w:val="24"/>
        </w:rPr>
        <w:footnoteReference w:id="11"/>
      </w:r>
      <w:r>
        <w:rPr>
          <w:rFonts w:cs="Arial"/>
          <w:szCs w:val="24"/>
        </w:rPr>
        <w:t xml:space="preserve">; </w:t>
      </w:r>
      <w:r>
        <w:rPr>
          <w:rFonts w:cs="Arial"/>
          <w:i/>
          <w:iCs/>
          <w:szCs w:val="24"/>
        </w:rPr>
        <w:t xml:space="preserve">Blenkinsopp </w:t>
      </w:r>
      <w:r>
        <w:rPr>
          <w:rFonts w:cs="Arial"/>
          <w:szCs w:val="24"/>
        </w:rPr>
        <w:t xml:space="preserve">v. </w:t>
      </w:r>
      <w:r>
        <w:rPr>
          <w:rFonts w:cs="Arial"/>
          <w:i/>
          <w:iCs/>
          <w:szCs w:val="24"/>
        </w:rPr>
        <w:t>Blenkinsopp</w:t>
      </w:r>
      <w:r w:rsidR="00A43F58">
        <w:rPr>
          <w:rStyle w:val="FootnoteReference"/>
          <w:rFonts w:cs="Arial"/>
          <w:i/>
          <w:iCs/>
          <w:szCs w:val="24"/>
        </w:rPr>
        <w:footnoteReference w:id="12"/>
      </w:r>
      <w:r>
        <w:rPr>
          <w:rFonts w:cs="Arial"/>
          <w:szCs w:val="24"/>
        </w:rPr>
        <w:t xml:space="preserve">; </w:t>
      </w:r>
      <w:r>
        <w:rPr>
          <w:rFonts w:cs="Arial"/>
          <w:i/>
          <w:iCs/>
          <w:szCs w:val="24"/>
        </w:rPr>
        <w:t>In re Maddever</w:t>
      </w:r>
      <w:r w:rsidR="00A43F58">
        <w:rPr>
          <w:rStyle w:val="FootnoteReference"/>
          <w:rFonts w:cs="Arial"/>
          <w:i/>
          <w:iCs/>
          <w:szCs w:val="24"/>
        </w:rPr>
        <w:footnoteReference w:id="13"/>
      </w:r>
      <w:r>
        <w:rPr>
          <w:rFonts w:cs="Arial"/>
          <w:szCs w:val="24"/>
        </w:rPr>
        <w:t xml:space="preserve">; </w:t>
      </w:r>
      <w:r>
        <w:rPr>
          <w:rFonts w:cs="Arial"/>
          <w:i/>
          <w:iCs/>
          <w:szCs w:val="24"/>
        </w:rPr>
        <w:t xml:space="preserve">Longeway </w:t>
      </w:r>
      <w:r>
        <w:rPr>
          <w:rFonts w:cs="Arial"/>
          <w:szCs w:val="24"/>
        </w:rPr>
        <w:t xml:space="preserve">v. </w:t>
      </w:r>
      <w:r>
        <w:rPr>
          <w:rFonts w:cs="Arial"/>
          <w:i/>
          <w:iCs/>
          <w:szCs w:val="24"/>
        </w:rPr>
        <w:t>Mitchell</w:t>
      </w:r>
      <w:r w:rsidR="00A43F58">
        <w:rPr>
          <w:rStyle w:val="FootnoteReference"/>
          <w:rFonts w:cs="Arial"/>
          <w:i/>
          <w:iCs/>
          <w:szCs w:val="24"/>
        </w:rPr>
        <w:footnoteReference w:id="14"/>
      </w:r>
      <w:r>
        <w:rPr>
          <w:rFonts w:cs="Arial"/>
          <w:szCs w:val="24"/>
        </w:rPr>
        <w:t xml:space="preserve">; </w:t>
      </w:r>
      <w:r>
        <w:rPr>
          <w:rFonts w:cs="Arial"/>
          <w:i/>
          <w:iCs/>
          <w:szCs w:val="24"/>
        </w:rPr>
        <w:t xml:space="preserve">Wills </w:t>
      </w:r>
      <w:r>
        <w:rPr>
          <w:rFonts w:cs="Arial"/>
          <w:szCs w:val="24"/>
        </w:rPr>
        <w:t xml:space="preserve">v. </w:t>
      </w:r>
      <w:r>
        <w:rPr>
          <w:rFonts w:cs="Arial"/>
          <w:i/>
          <w:iCs/>
          <w:szCs w:val="24"/>
        </w:rPr>
        <w:t>Luff</w:t>
      </w:r>
      <w:r w:rsidR="00A43F58">
        <w:rPr>
          <w:rStyle w:val="FootnoteReference"/>
          <w:rFonts w:cs="Arial"/>
          <w:i/>
          <w:iCs/>
          <w:szCs w:val="24"/>
        </w:rPr>
        <w:footnoteReference w:id="15"/>
      </w:r>
      <w:r>
        <w:rPr>
          <w:rFonts w:cs="Arial"/>
          <w:szCs w:val="24"/>
        </w:rPr>
        <w:t xml:space="preserve">; and </w:t>
      </w:r>
      <w:r>
        <w:rPr>
          <w:rFonts w:cs="Arial"/>
          <w:i/>
          <w:iCs/>
          <w:szCs w:val="24"/>
        </w:rPr>
        <w:t xml:space="preserve">Salt </w:t>
      </w:r>
      <w:r>
        <w:rPr>
          <w:rFonts w:cs="Arial"/>
          <w:szCs w:val="24"/>
        </w:rPr>
        <w:t xml:space="preserve">v. </w:t>
      </w:r>
      <w:r>
        <w:rPr>
          <w:rFonts w:cs="Arial"/>
          <w:i/>
          <w:iCs/>
          <w:szCs w:val="24"/>
        </w:rPr>
        <w:t xml:space="preserve">Cooper </w:t>
      </w:r>
      <w:r>
        <w:rPr>
          <w:rFonts w:cs="Arial"/>
          <w:szCs w:val="24"/>
        </w:rPr>
        <w:t>there cited</w:t>
      </w:r>
      <w:r w:rsidR="00A43F58">
        <w:rPr>
          <w:rStyle w:val="FootnoteReference"/>
          <w:rFonts w:cs="Arial"/>
          <w:szCs w:val="24"/>
        </w:rPr>
        <w:footnoteReference w:id="16"/>
      </w:r>
      <w:r>
        <w:rPr>
          <w:rFonts w:cs="Arial"/>
          <w:szCs w:val="24"/>
        </w:rPr>
        <w:t xml:space="preserve">; </w:t>
      </w:r>
      <w:r>
        <w:rPr>
          <w:rFonts w:cs="Arial"/>
          <w:i/>
          <w:iCs/>
          <w:szCs w:val="24"/>
        </w:rPr>
        <w:t xml:space="preserve">Davis </w:t>
      </w:r>
      <w:r>
        <w:rPr>
          <w:rFonts w:cs="Arial"/>
          <w:szCs w:val="24"/>
        </w:rPr>
        <w:t xml:space="preserve">v. </w:t>
      </w:r>
      <w:r>
        <w:rPr>
          <w:rFonts w:cs="Arial"/>
          <w:i/>
          <w:iCs/>
          <w:szCs w:val="24"/>
        </w:rPr>
        <w:t>Wickson</w:t>
      </w:r>
      <w:r w:rsidR="00A43F58">
        <w:rPr>
          <w:rStyle w:val="FootnoteReference"/>
          <w:rFonts w:cs="Arial"/>
          <w:i/>
          <w:iCs/>
          <w:szCs w:val="24"/>
        </w:rPr>
        <w:footnoteReference w:id="17"/>
      </w:r>
      <w:r>
        <w:rPr>
          <w:rFonts w:cs="Arial"/>
          <w:szCs w:val="24"/>
        </w:rPr>
        <w:t xml:space="preserve">; </w:t>
      </w:r>
      <w:r>
        <w:rPr>
          <w:rFonts w:cs="Arial"/>
          <w:i/>
          <w:iCs/>
          <w:szCs w:val="24"/>
        </w:rPr>
        <w:t xml:space="preserve">Masuret </w:t>
      </w:r>
      <w:r>
        <w:rPr>
          <w:rFonts w:cs="Arial"/>
          <w:szCs w:val="24"/>
        </w:rPr>
        <w:t xml:space="preserve">v. </w:t>
      </w:r>
      <w:r>
        <w:rPr>
          <w:rFonts w:cs="Arial"/>
          <w:i/>
          <w:iCs/>
          <w:szCs w:val="24"/>
        </w:rPr>
        <w:t>Stewart</w:t>
      </w:r>
      <w:r w:rsidR="00A43F58">
        <w:rPr>
          <w:rStyle w:val="FootnoteReference"/>
          <w:rFonts w:cs="Arial"/>
          <w:i/>
          <w:iCs/>
          <w:szCs w:val="24"/>
        </w:rPr>
        <w:footnoteReference w:id="18"/>
      </w:r>
      <w:r>
        <w:rPr>
          <w:rFonts w:cs="Arial"/>
          <w:szCs w:val="24"/>
        </w:rPr>
        <w:t xml:space="preserve">; </w:t>
      </w:r>
      <w:r>
        <w:rPr>
          <w:rFonts w:cs="Arial"/>
          <w:i/>
          <w:iCs/>
          <w:szCs w:val="24"/>
        </w:rPr>
        <w:t xml:space="preserve">Holmes </w:t>
      </w:r>
      <w:r>
        <w:rPr>
          <w:rFonts w:cs="Arial"/>
          <w:szCs w:val="24"/>
        </w:rPr>
        <w:t xml:space="preserve">v. </w:t>
      </w:r>
      <w:r>
        <w:rPr>
          <w:rFonts w:cs="Arial"/>
          <w:i/>
          <w:iCs/>
          <w:szCs w:val="24"/>
        </w:rPr>
        <w:t>Millage</w:t>
      </w:r>
      <w:r w:rsidR="00A43F58">
        <w:rPr>
          <w:rStyle w:val="FootnoteReference"/>
          <w:rFonts w:cs="Arial"/>
          <w:i/>
          <w:iCs/>
          <w:szCs w:val="24"/>
        </w:rPr>
        <w:footnoteReference w:id="19"/>
      </w:r>
      <w:r>
        <w:rPr>
          <w:rFonts w:cs="Arial"/>
          <w:szCs w:val="24"/>
        </w:rPr>
        <w:t xml:space="preserve">; </w:t>
      </w:r>
      <w:r>
        <w:rPr>
          <w:rFonts w:cs="Arial"/>
          <w:i/>
          <w:iCs/>
          <w:szCs w:val="24"/>
        </w:rPr>
        <w:t xml:space="preserve">Tennant </w:t>
      </w:r>
      <w:r>
        <w:rPr>
          <w:rFonts w:cs="Arial"/>
          <w:szCs w:val="24"/>
        </w:rPr>
        <w:t xml:space="preserve">v. </w:t>
      </w:r>
      <w:r>
        <w:rPr>
          <w:rFonts w:cs="Arial"/>
          <w:i/>
          <w:iCs/>
          <w:szCs w:val="24"/>
        </w:rPr>
        <w:t>Gallow</w:t>
      </w:r>
      <w:r w:rsidR="00A43F58">
        <w:rPr>
          <w:rStyle w:val="FootnoteReference"/>
          <w:rFonts w:cs="Arial"/>
          <w:i/>
          <w:iCs/>
          <w:szCs w:val="24"/>
        </w:rPr>
        <w:footnoteReference w:id="20"/>
      </w:r>
      <w:r>
        <w:rPr>
          <w:rFonts w:cs="Arial"/>
          <w:szCs w:val="24"/>
        </w:rPr>
        <w:t xml:space="preserve">; </w:t>
      </w:r>
      <w:r>
        <w:rPr>
          <w:rFonts w:cs="Arial"/>
          <w:i/>
          <w:iCs/>
          <w:szCs w:val="24"/>
        </w:rPr>
        <w:t xml:space="preserve">Harris </w:t>
      </w:r>
      <w:r>
        <w:rPr>
          <w:rFonts w:cs="Arial"/>
          <w:szCs w:val="24"/>
        </w:rPr>
        <w:t xml:space="preserve">v. </w:t>
      </w:r>
      <w:r>
        <w:rPr>
          <w:rFonts w:cs="Arial"/>
          <w:i/>
          <w:iCs/>
          <w:szCs w:val="24"/>
        </w:rPr>
        <w:t>Beauchamp</w:t>
      </w:r>
      <w:r w:rsidR="00A43F58">
        <w:rPr>
          <w:rStyle w:val="FootnoteReference"/>
          <w:rFonts w:cs="Arial"/>
          <w:i/>
          <w:iCs/>
          <w:szCs w:val="24"/>
        </w:rPr>
        <w:footnoteReference w:id="21"/>
      </w:r>
      <w:r>
        <w:rPr>
          <w:rFonts w:cs="Arial"/>
          <w:szCs w:val="24"/>
        </w:rPr>
        <w:t xml:space="preserve">; </w:t>
      </w:r>
      <w:r>
        <w:rPr>
          <w:rFonts w:cs="Arial"/>
          <w:i/>
          <w:iCs/>
          <w:szCs w:val="24"/>
        </w:rPr>
        <w:t xml:space="preserve">Crowninshield </w:t>
      </w:r>
      <w:r>
        <w:rPr>
          <w:rFonts w:cs="Arial"/>
          <w:szCs w:val="24"/>
        </w:rPr>
        <w:t xml:space="preserve">v. </w:t>
      </w:r>
      <w:r>
        <w:rPr>
          <w:rFonts w:cs="Arial"/>
          <w:i/>
          <w:iCs/>
          <w:szCs w:val="24"/>
        </w:rPr>
        <w:t>Kittridge</w:t>
      </w:r>
      <w:r w:rsidR="00A43F58">
        <w:rPr>
          <w:rStyle w:val="FootnoteReference"/>
          <w:rFonts w:cs="Arial"/>
          <w:i/>
          <w:iCs/>
          <w:szCs w:val="24"/>
        </w:rPr>
        <w:footnoteReference w:id="22"/>
      </w:r>
      <w:r>
        <w:rPr>
          <w:rFonts w:cs="Arial"/>
          <w:szCs w:val="24"/>
        </w:rPr>
        <w:t xml:space="preserve">; In re </w:t>
      </w:r>
      <w:r>
        <w:rPr>
          <w:rFonts w:cs="Arial"/>
          <w:i/>
          <w:iCs/>
          <w:szCs w:val="24"/>
        </w:rPr>
        <w:t>Shephard</w:t>
      </w:r>
      <w:r w:rsidR="00A43F58">
        <w:rPr>
          <w:rStyle w:val="FootnoteReference"/>
          <w:rFonts w:cs="Arial"/>
          <w:i/>
          <w:iCs/>
          <w:szCs w:val="24"/>
        </w:rPr>
        <w:footnoteReference w:id="23"/>
      </w:r>
      <w:r>
        <w:rPr>
          <w:rFonts w:cs="Arial"/>
          <w:szCs w:val="24"/>
        </w:rPr>
        <w:t>;</w:t>
      </w:r>
    </w:p>
    <w:p w:rsidR="002D463D" w:rsidRDefault="00667D92" w:rsidP="00667D92">
      <w:pPr>
        <w:pStyle w:val="Page"/>
      </w:pPr>
      <w:r>
        <w:rPr>
          <w:rFonts w:cs="Arial"/>
          <w:szCs w:val="24"/>
        </w:rPr>
        <w:t xml:space="preserve">[Page </w:t>
      </w:r>
      <w:r w:rsidR="002D463D">
        <w:rPr>
          <w:rFonts w:cs="Arial"/>
          <w:szCs w:val="24"/>
        </w:rPr>
        <w:t>342]</w:t>
      </w:r>
    </w:p>
    <w:p w:rsidR="002D463D" w:rsidRDefault="002D463D" w:rsidP="00A532AE">
      <w:pPr>
        <w:pStyle w:val="History"/>
        <w:ind w:firstLine="0"/>
        <w:rPr>
          <w:rFonts w:cs="Arial"/>
          <w:szCs w:val="24"/>
        </w:rPr>
      </w:pPr>
      <w:r>
        <w:rPr>
          <w:rFonts w:cs="Arial"/>
          <w:szCs w:val="24"/>
        </w:rPr>
        <w:t xml:space="preserve">Burrell on Assignments, (4th ed.) sec. 461; May on Fraudulent Conveyances, p. 528; 2 Bigelow on Fraud, p. 419, 462, 490, 493; Bump on Fraudulent Conveyances, p. 566; </w:t>
      </w:r>
      <w:r>
        <w:rPr>
          <w:rFonts w:cs="Arial"/>
          <w:i/>
          <w:iCs/>
          <w:szCs w:val="24"/>
        </w:rPr>
        <w:t xml:space="preserve">Cox </w:t>
      </w:r>
      <w:r>
        <w:rPr>
          <w:rFonts w:cs="Arial"/>
          <w:szCs w:val="24"/>
        </w:rPr>
        <w:t xml:space="preserve">v. </w:t>
      </w:r>
      <w:r>
        <w:rPr>
          <w:rFonts w:cs="Arial"/>
          <w:i/>
          <w:iCs/>
          <w:szCs w:val="24"/>
        </w:rPr>
        <w:t>Worrall</w:t>
      </w:r>
      <w:r w:rsidR="00A43F58">
        <w:rPr>
          <w:rStyle w:val="FootnoteReference"/>
          <w:rFonts w:cs="Arial"/>
          <w:i/>
          <w:iCs/>
          <w:szCs w:val="24"/>
        </w:rPr>
        <w:footnoteReference w:id="24"/>
      </w:r>
      <w:r>
        <w:rPr>
          <w:rFonts w:cs="Arial"/>
          <w:szCs w:val="24"/>
        </w:rPr>
        <w:t>, per Townshend J.</w:t>
      </w:r>
    </w:p>
    <w:p w:rsidR="002D463D" w:rsidRDefault="002D463D" w:rsidP="00A532AE">
      <w:pPr>
        <w:pStyle w:val="History"/>
        <w:rPr>
          <w:rFonts w:cs="Arial"/>
          <w:szCs w:val="24"/>
        </w:rPr>
      </w:pPr>
      <w:r>
        <w:rPr>
          <w:rFonts w:cs="Arial"/>
          <w:szCs w:val="24"/>
        </w:rPr>
        <w:t>So far as the assignment of the book debts is concerned that instrument is not impeached in this action and there was no evidence on which it could be impeached.</w:t>
      </w:r>
    </w:p>
    <w:p w:rsidR="002D463D" w:rsidRDefault="002D463D" w:rsidP="00A532AE">
      <w:pPr>
        <w:pStyle w:val="History"/>
        <w:rPr>
          <w:rFonts w:cs="Arial"/>
          <w:szCs w:val="24"/>
        </w:rPr>
      </w:pPr>
      <w:r>
        <w:rPr>
          <w:rFonts w:cs="Arial"/>
          <w:szCs w:val="24"/>
        </w:rPr>
        <w:t xml:space="preserve">The receiver is not entitled to recover from these appellants the money and property received by them in right of the debtor, since the transaction remains good as between the debtor and the appellants and in any event the appellants could set off </w:t>
      </w:r>
      <w:r>
        <w:rPr>
          <w:rFonts w:cs="Arial"/>
          <w:szCs w:val="24"/>
        </w:rPr>
        <w:lastRenderedPageBreak/>
        <w:t>their debt in an action by the receiver and he can not recover in right of the assignee, he is not put in the assignees shoes, and, in any event, the assignee could not recover the property. It is not established that the creditors attacking the deed have any equity to recover back property received from the debtor by other creditors. The statute of Elizabeth confers no such rights and outside of the statutes the equities are equal and the appellants are in possession.</w:t>
      </w:r>
    </w:p>
    <w:p w:rsidR="002D463D" w:rsidRDefault="002D463D" w:rsidP="00A532AE">
      <w:pPr>
        <w:pStyle w:val="History"/>
        <w:rPr>
          <w:rFonts w:cs="Arial"/>
          <w:i/>
          <w:iCs/>
          <w:szCs w:val="24"/>
        </w:rPr>
      </w:pPr>
      <w:r>
        <w:rPr>
          <w:rFonts w:cs="Arial"/>
          <w:i/>
          <w:iCs/>
          <w:szCs w:val="24"/>
        </w:rPr>
        <w:t xml:space="preserve">McNeil </w:t>
      </w:r>
      <w:r>
        <w:rPr>
          <w:rFonts w:cs="Arial"/>
          <w:szCs w:val="24"/>
        </w:rPr>
        <w:t xml:space="preserve">for the respondents. The appellants were parties to the assignment and to the fraud which rendered it void, </w:t>
      </w:r>
      <w:r>
        <w:rPr>
          <w:rFonts w:cs="Arial"/>
          <w:i/>
          <w:iCs/>
          <w:szCs w:val="24"/>
        </w:rPr>
        <w:t xml:space="preserve">Cummings </w:t>
      </w:r>
      <w:r>
        <w:rPr>
          <w:rFonts w:cs="Arial"/>
          <w:szCs w:val="24"/>
        </w:rPr>
        <w:t xml:space="preserve">v. </w:t>
      </w:r>
      <w:r>
        <w:rPr>
          <w:rFonts w:cs="Arial"/>
          <w:i/>
          <w:iCs/>
          <w:szCs w:val="24"/>
        </w:rPr>
        <w:t>McDonald</w:t>
      </w:r>
      <w:r w:rsidR="00A43F58">
        <w:rPr>
          <w:rStyle w:val="FootnoteReference"/>
          <w:rFonts w:cs="Arial"/>
          <w:i/>
          <w:iCs/>
          <w:szCs w:val="24"/>
        </w:rPr>
        <w:footnoteReference w:id="25"/>
      </w:r>
      <w:r>
        <w:rPr>
          <w:rFonts w:cs="Arial"/>
          <w:szCs w:val="24"/>
        </w:rPr>
        <w:t>. See also decision by Graham J. in the court below</w:t>
      </w:r>
      <w:r w:rsidR="00A43F58">
        <w:rPr>
          <w:rStyle w:val="FootnoteReference"/>
          <w:rFonts w:cs="Arial"/>
          <w:szCs w:val="24"/>
        </w:rPr>
        <w:footnoteReference w:id="26"/>
      </w:r>
      <w:r>
        <w:rPr>
          <w:rFonts w:cs="Arial"/>
          <w:szCs w:val="24"/>
        </w:rPr>
        <w:t xml:space="preserve"> at pages 168 </w:t>
      </w:r>
      <w:r>
        <w:rPr>
          <w:rFonts w:cs="Arial"/>
          <w:i/>
          <w:iCs/>
          <w:szCs w:val="24"/>
        </w:rPr>
        <w:t xml:space="preserve">et seq. </w:t>
      </w:r>
      <w:r>
        <w:rPr>
          <w:rFonts w:cs="Arial"/>
          <w:szCs w:val="24"/>
        </w:rPr>
        <w:t xml:space="preserve">Being parties to the fraud, although creditors of the assignor, they cannot retain what they obtained by virtue thereof. No person [can take advantage of his own wrong. </w:t>
      </w:r>
      <w:r>
        <w:rPr>
          <w:rFonts w:cs="Arial"/>
          <w:i/>
          <w:iCs/>
          <w:szCs w:val="24"/>
        </w:rPr>
        <w:t xml:space="preserve">Cox </w:t>
      </w:r>
      <w:r>
        <w:rPr>
          <w:rFonts w:cs="Arial"/>
          <w:szCs w:val="24"/>
        </w:rPr>
        <w:t xml:space="preserve">v. </w:t>
      </w:r>
      <w:r>
        <w:rPr>
          <w:rFonts w:cs="Arial"/>
          <w:i/>
          <w:iCs/>
          <w:szCs w:val="24"/>
        </w:rPr>
        <w:t xml:space="preserve">Worrall </w:t>
      </w:r>
      <w:r w:rsidRPr="00A43F58">
        <w:rPr>
          <w:rFonts w:cs="Arial"/>
          <w:szCs w:val="24"/>
          <w:highlight w:val="yellow"/>
        </w:rPr>
        <w:t>(1)</w:t>
      </w:r>
      <w:r>
        <w:rPr>
          <w:rFonts w:cs="Arial"/>
          <w:szCs w:val="24"/>
        </w:rPr>
        <w:t xml:space="preserve">; </w:t>
      </w:r>
      <w:r>
        <w:rPr>
          <w:rFonts w:cs="Arial"/>
          <w:i/>
          <w:iCs/>
          <w:szCs w:val="24"/>
        </w:rPr>
        <w:t xml:space="preserve">Bury </w:t>
      </w:r>
      <w:r>
        <w:rPr>
          <w:rFonts w:cs="Arial"/>
          <w:szCs w:val="24"/>
        </w:rPr>
        <w:t xml:space="preserve">v. </w:t>
      </w:r>
      <w:r>
        <w:rPr>
          <w:rFonts w:cs="Arial"/>
          <w:i/>
          <w:iCs/>
          <w:szCs w:val="24"/>
        </w:rPr>
        <w:t>Murray</w:t>
      </w:r>
      <w:r w:rsidR="00A43F58">
        <w:rPr>
          <w:rStyle w:val="FootnoteReference"/>
          <w:rFonts w:cs="Arial"/>
          <w:i/>
          <w:iCs/>
          <w:szCs w:val="24"/>
        </w:rPr>
        <w:footnoteReference w:id="27"/>
      </w:r>
      <w:r>
        <w:rPr>
          <w:rFonts w:cs="Arial"/>
          <w:i/>
          <w:iCs/>
          <w:szCs w:val="24"/>
        </w:rPr>
        <w:t xml:space="preserve">; </w:t>
      </w:r>
      <w:r>
        <w:rPr>
          <w:rFonts w:cs="Arial"/>
          <w:szCs w:val="24"/>
        </w:rPr>
        <w:t xml:space="preserve">Winslow's Private Arrangements between Debtors and Creditors, pp. 156-7; </w:t>
      </w:r>
      <w:r>
        <w:rPr>
          <w:rFonts w:cs="Arial"/>
          <w:i/>
          <w:iCs/>
          <w:szCs w:val="24"/>
        </w:rPr>
        <w:t xml:space="preserve">Knight </w:t>
      </w:r>
      <w:r>
        <w:rPr>
          <w:rFonts w:cs="Arial"/>
          <w:szCs w:val="24"/>
        </w:rPr>
        <w:t xml:space="preserve">v. </w:t>
      </w:r>
      <w:r>
        <w:rPr>
          <w:rFonts w:cs="Arial"/>
          <w:i/>
          <w:iCs/>
          <w:szCs w:val="24"/>
        </w:rPr>
        <w:t>Hunt</w:t>
      </w:r>
      <w:r w:rsidR="00A43F58">
        <w:rPr>
          <w:rStyle w:val="FootnoteReference"/>
          <w:rFonts w:cs="Arial"/>
          <w:i/>
          <w:iCs/>
          <w:szCs w:val="24"/>
        </w:rPr>
        <w:footnoteReference w:id="28"/>
      </w:r>
      <w:r>
        <w:rPr>
          <w:rFonts w:cs="Arial"/>
          <w:szCs w:val="24"/>
        </w:rPr>
        <w:t xml:space="preserve">; </w:t>
      </w:r>
      <w:r>
        <w:rPr>
          <w:rFonts w:cs="Arial"/>
          <w:i/>
          <w:iCs/>
          <w:szCs w:val="24"/>
        </w:rPr>
        <w:t xml:space="preserve">Howden </w:t>
      </w:r>
      <w:r>
        <w:rPr>
          <w:rFonts w:cs="Arial"/>
          <w:szCs w:val="24"/>
        </w:rPr>
        <w:t>v</w:t>
      </w:r>
      <w:r>
        <w:rPr>
          <w:rFonts w:cs="Arial"/>
          <w:i/>
          <w:iCs/>
          <w:szCs w:val="24"/>
        </w:rPr>
        <w:t>: Haigh</w:t>
      </w:r>
      <w:r w:rsidR="00A43F58">
        <w:rPr>
          <w:rStyle w:val="FootnoteReference"/>
          <w:rFonts w:cs="Arial"/>
          <w:i/>
          <w:iCs/>
          <w:szCs w:val="24"/>
        </w:rPr>
        <w:footnoteReference w:id="29"/>
      </w:r>
      <w:r>
        <w:rPr>
          <w:rFonts w:cs="Arial"/>
          <w:szCs w:val="24"/>
        </w:rPr>
        <w:t xml:space="preserve">; </w:t>
      </w:r>
      <w:r>
        <w:rPr>
          <w:rFonts w:cs="Arial"/>
          <w:i/>
          <w:iCs/>
          <w:szCs w:val="24"/>
        </w:rPr>
        <w:t xml:space="preserve">Higgins </w:t>
      </w:r>
      <w:r>
        <w:rPr>
          <w:rFonts w:cs="Arial"/>
          <w:szCs w:val="24"/>
        </w:rPr>
        <w:t xml:space="preserve">v. </w:t>
      </w:r>
      <w:r>
        <w:rPr>
          <w:rFonts w:cs="Arial"/>
          <w:i/>
          <w:iCs/>
          <w:szCs w:val="24"/>
        </w:rPr>
        <w:t>Pitt</w:t>
      </w:r>
      <w:r w:rsidR="00A43F58">
        <w:rPr>
          <w:rStyle w:val="FootnoteReference"/>
          <w:rFonts w:cs="Arial"/>
          <w:i/>
          <w:iCs/>
          <w:szCs w:val="24"/>
        </w:rPr>
        <w:footnoteReference w:id="30"/>
      </w:r>
      <w:r>
        <w:rPr>
          <w:rFonts w:cs="Arial"/>
          <w:i/>
          <w:iCs/>
          <w:szCs w:val="24"/>
        </w:rPr>
        <w:t>.</w:t>
      </w:r>
    </w:p>
    <w:p w:rsidR="002D463D" w:rsidRDefault="00667D92" w:rsidP="00667D92">
      <w:pPr>
        <w:pStyle w:val="Page"/>
      </w:pPr>
      <w:r>
        <w:rPr>
          <w:rFonts w:cs="Arial"/>
          <w:szCs w:val="24"/>
        </w:rPr>
        <w:t xml:space="preserve">[Page </w:t>
      </w:r>
      <w:r w:rsidR="002D463D">
        <w:rPr>
          <w:rFonts w:cs="Arial"/>
          <w:szCs w:val="24"/>
        </w:rPr>
        <w:t>343]</w:t>
      </w:r>
    </w:p>
    <w:p w:rsidR="002D463D" w:rsidRDefault="002D463D" w:rsidP="00A532AE">
      <w:pPr>
        <w:pStyle w:val="History"/>
        <w:ind w:firstLine="0"/>
        <w:rPr>
          <w:rFonts w:cs="Arial"/>
          <w:szCs w:val="24"/>
        </w:rPr>
      </w:pPr>
      <w:r>
        <w:rPr>
          <w:rFonts w:cs="Arial"/>
          <w:szCs w:val="24"/>
        </w:rPr>
        <w:t xml:space="preserve">A person cannot avail himself of the fraud of another, unless he is innocent and has given some valuable consideration. A </w:t>
      </w:r>
      <w:r>
        <w:rPr>
          <w:rFonts w:cs="Arial"/>
          <w:i/>
          <w:iCs/>
          <w:szCs w:val="24"/>
        </w:rPr>
        <w:t xml:space="preserve">fortiori, </w:t>
      </w:r>
      <w:r>
        <w:rPr>
          <w:rFonts w:cs="Arial"/>
          <w:szCs w:val="24"/>
        </w:rPr>
        <w:t xml:space="preserve">a person who is cognizant of the fraud and a party to it cannot avail himself of the benefit gained thereby. </w:t>
      </w:r>
      <w:r>
        <w:rPr>
          <w:rFonts w:cs="Arial"/>
          <w:i/>
          <w:iCs/>
          <w:szCs w:val="24"/>
        </w:rPr>
        <w:t xml:space="preserve">Bury </w:t>
      </w:r>
      <w:r>
        <w:rPr>
          <w:rFonts w:cs="Arial"/>
          <w:szCs w:val="24"/>
        </w:rPr>
        <w:t xml:space="preserve">v. </w:t>
      </w:r>
      <w:r>
        <w:rPr>
          <w:rFonts w:cs="Arial"/>
          <w:i/>
          <w:iCs/>
          <w:szCs w:val="24"/>
        </w:rPr>
        <w:t>Murray</w:t>
      </w:r>
      <w:r w:rsidR="00A43F58">
        <w:rPr>
          <w:rStyle w:val="FootnoteReference"/>
          <w:rFonts w:cs="Arial"/>
          <w:i/>
          <w:iCs/>
          <w:szCs w:val="24"/>
        </w:rPr>
        <w:footnoteReference w:id="31"/>
      </w:r>
      <w:r>
        <w:rPr>
          <w:rFonts w:cs="Arial"/>
          <w:szCs w:val="24"/>
        </w:rPr>
        <w:t xml:space="preserve"> at page 84; </w:t>
      </w:r>
      <w:r>
        <w:rPr>
          <w:rFonts w:cs="Arial"/>
          <w:i/>
          <w:iCs/>
          <w:szCs w:val="24"/>
        </w:rPr>
        <w:t xml:space="preserve">Scholefield </w:t>
      </w:r>
      <w:r>
        <w:rPr>
          <w:rFonts w:cs="Arial"/>
          <w:szCs w:val="24"/>
        </w:rPr>
        <w:t>v</w:t>
      </w:r>
      <w:r>
        <w:rPr>
          <w:rFonts w:cs="Arial"/>
          <w:i/>
          <w:iCs/>
          <w:szCs w:val="24"/>
        </w:rPr>
        <w:t>. Tempter</w:t>
      </w:r>
      <w:r w:rsidR="00A43F58">
        <w:rPr>
          <w:rStyle w:val="FootnoteReference"/>
          <w:rFonts w:cs="Arial"/>
          <w:i/>
          <w:iCs/>
          <w:szCs w:val="24"/>
        </w:rPr>
        <w:footnoteReference w:id="32"/>
      </w:r>
      <w:r>
        <w:rPr>
          <w:rFonts w:cs="Arial"/>
          <w:szCs w:val="24"/>
        </w:rPr>
        <w:t xml:space="preserve">; </w:t>
      </w:r>
      <w:r>
        <w:rPr>
          <w:rFonts w:cs="Arial"/>
          <w:i/>
          <w:iCs/>
          <w:szCs w:val="24"/>
        </w:rPr>
        <w:t xml:space="preserve">Huguenin </w:t>
      </w:r>
      <w:r>
        <w:rPr>
          <w:rFonts w:cs="Arial"/>
          <w:szCs w:val="24"/>
        </w:rPr>
        <w:t xml:space="preserve">v. </w:t>
      </w:r>
      <w:r>
        <w:rPr>
          <w:rFonts w:cs="Arial"/>
          <w:i/>
          <w:iCs/>
          <w:szCs w:val="24"/>
        </w:rPr>
        <w:t>Baseley</w:t>
      </w:r>
      <w:r w:rsidR="00A43F58">
        <w:rPr>
          <w:rStyle w:val="FootnoteReference"/>
          <w:rFonts w:cs="Arial"/>
          <w:i/>
          <w:iCs/>
          <w:szCs w:val="24"/>
        </w:rPr>
        <w:footnoteReference w:id="33"/>
      </w:r>
      <w:r>
        <w:rPr>
          <w:rFonts w:cs="Arial"/>
          <w:szCs w:val="24"/>
        </w:rPr>
        <w:t xml:space="preserve"> at page 289; </w:t>
      </w:r>
      <w:r>
        <w:rPr>
          <w:rFonts w:cs="Arial"/>
          <w:i/>
          <w:iCs/>
          <w:szCs w:val="24"/>
        </w:rPr>
        <w:t xml:space="preserve">Daubeny </w:t>
      </w:r>
      <w:r>
        <w:rPr>
          <w:rFonts w:cs="Arial"/>
          <w:szCs w:val="24"/>
        </w:rPr>
        <w:t xml:space="preserve">v. </w:t>
      </w:r>
      <w:r>
        <w:rPr>
          <w:rFonts w:cs="Arial"/>
          <w:i/>
          <w:iCs/>
          <w:szCs w:val="24"/>
        </w:rPr>
        <w:t>Cockburn</w:t>
      </w:r>
      <w:r w:rsidR="00A43F58">
        <w:rPr>
          <w:rStyle w:val="FootnoteReference"/>
          <w:rFonts w:cs="Arial"/>
          <w:i/>
          <w:iCs/>
          <w:szCs w:val="24"/>
        </w:rPr>
        <w:footnoteReference w:id="34"/>
      </w:r>
      <w:r>
        <w:rPr>
          <w:rFonts w:cs="Arial"/>
          <w:szCs w:val="24"/>
        </w:rPr>
        <w:t xml:space="preserve"> at page 643; </w:t>
      </w:r>
      <w:r>
        <w:rPr>
          <w:rFonts w:cs="Arial"/>
          <w:i/>
          <w:iCs/>
          <w:szCs w:val="24"/>
        </w:rPr>
        <w:t xml:space="preserve">Topham </w:t>
      </w:r>
      <w:r>
        <w:rPr>
          <w:rFonts w:cs="Arial"/>
          <w:szCs w:val="24"/>
        </w:rPr>
        <w:t xml:space="preserve">v. </w:t>
      </w:r>
      <w:r>
        <w:rPr>
          <w:rFonts w:cs="Arial"/>
          <w:i/>
          <w:iCs/>
          <w:szCs w:val="24"/>
        </w:rPr>
        <w:t>Duke of Portand</w:t>
      </w:r>
      <w:r w:rsidR="00A43F58">
        <w:rPr>
          <w:rStyle w:val="FootnoteReference"/>
          <w:rFonts w:cs="Arial"/>
          <w:i/>
          <w:iCs/>
          <w:szCs w:val="24"/>
        </w:rPr>
        <w:footnoteReference w:id="35"/>
      </w:r>
      <w:r>
        <w:rPr>
          <w:rFonts w:cs="Arial"/>
          <w:szCs w:val="24"/>
        </w:rPr>
        <w:t xml:space="preserve"> at page 569.</w:t>
      </w:r>
    </w:p>
    <w:p w:rsidR="002D463D" w:rsidRDefault="002D463D" w:rsidP="00A532AE">
      <w:pPr>
        <w:pStyle w:val="History"/>
        <w:rPr>
          <w:rFonts w:cs="Arial"/>
          <w:szCs w:val="24"/>
        </w:rPr>
      </w:pPr>
      <w:r>
        <w:rPr>
          <w:rFonts w:cs="Arial"/>
          <w:szCs w:val="24"/>
        </w:rPr>
        <w:t xml:space="preserve">The respondents, before this action, recovered judgment for their debts against the assignor, and issued thereon legal executions, and realized all they could by virtue thereof. The assignment was in this action declared fraudulent and void, under the statute 13 Elizabeth, ch. 5, the appellants being not only cognizant of, but parties to the fraud which vitiated the deed. In an action to avoid the deed under such circumstances the respondents are entitled to an accounting from the appellants for all they received under the void deed, and all consequential relief by way of equitable execution. N. S. Judicature Act, 1884, sec. 13, sub-sec. 7, R. S., 5th series, p. 806. Also s. 12, </w:t>
      </w:r>
      <w:r>
        <w:rPr>
          <w:rFonts w:cs="Arial"/>
          <w:szCs w:val="24"/>
          <w:lang w:val="it-IT"/>
        </w:rPr>
        <w:t xml:space="preserve">ss. </w:t>
      </w:r>
      <w:r>
        <w:rPr>
          <w:rFonts w:cs="Arial"/>
          <w:szCs w:val="24"/>
        </w:rPr>
        <w:t xml:space="preserve">7, p. 804; Daniels, Ch. Pr. Vol. L, pp. 931-2. </w:t>
      </w:r>
      <w:r>
        <w:rPr>
          <w:rFonts w:cs="Arial"/>
          <w:i/>
          <w:iCs/>
          <w:szCs w:val="24"/>
        </w:rPr>
        <w:t>Ex parte Evans; in re Watkins</w:t>
      </w:r>
      <w:r w:rsidR="00A43F58">
        <w:rPr>
          <w:rStyle w:val="FootnoteReference"/>
          <w:rFonts w:cs="Arial"/>
          <w:i/>
          <w:iCs/>
          <w:szCs w:val="24"/>
        </w:rPr>
        <w:footnoteReference w:id="36"/>
      </w:r>
      <w:r>
        <w:rPr>
          <w:rFonts w:cs="Arial"/>
          <w:szCs w:val="24"/>
        </w:rPr>
        <w:t xml:space="preserve">; </w:t>
      </w:r>
      <w:r>
        <w:rPr>
          <w:rFonts w:cs="Arial"/>
          <w:i/>
          <w:iCs/>
          <w:szCs w:val="24"/>
        </w:rPr>
        <w:t xml:space="preserve">Anglo-Italian Bank </w:t>
      </w:r>
      <w:r>
        <w:rPr>
          <w:rFonts w:cs="Arial"/>
          <w:szCs w:val="24"/>
        </w:rPr>
        <w:t xml:space="preserve">v. </w:t>
      </w:r>
      <w:r>
        <w:rPr>
          <w:rFonts w:cs="Arial"/>
          <w:i/>
          <w:iCs/>
          <w:szCs w:val="24"/>
        </w:rPr>
        <w:t>Davies</w:t>
      </w:r>
      <w:r w:rsidR="00A43F58">
        <w:rPr>
          <w:rStyle w:val="FootnoteReference"/>
          <w:rFonts w:cs="Arial"/>
          <w:i/>
          <w:iCs/>
          <w:szCs w:val="24"/>
        </w:rPr>
        <w:footnoteReference w:id="37"/>
      </w:r>
      <w:r>
        <w:rPr>
          <w:rFonts w:cs="Arial"/>
          <w:szCs w:val="24"/>
        </w:rPr>
        <w:t xml:space="preserve">; </w:t>
      </w:r>
      <w:r>
        <w:rPr>
          <w:rFonts w:cs="Arial"/>
          <w:i/>
          <w:iCs/>
          <w:szCs w:val="24"/>
        </w:rPr>
        <w:t xml:space="preserve">Smith </w:t>
      </w:r>
      <w:r>
        <w:rPr>
          <w:rFonts w:cs="Arial"/>
          <w:szCs w:val="24"/>
        </w:rPr>
        <w:t xml:space="preserve">v. </w:t>
      </w:r>
      <w:r>
        <w:rPr>
          <w:rFonts w:cs="Arial"/>
          <w:i/>
          <w:iCs/>
          <w:szCs w:val="24"/>
        </w:rPr>
        <w:t>Cornell</w:t>
      </w:r>
      <w:r w:rsidR="00A43F58">
        <w:rPr>
          <w:rStyle w:val="FootnoteReference"/>
          <w:rFonts w:cs="Arial"/>
          <w:i/>
          <w:iCs/>
          <w:szCs w:val="24"/>
        </w:rPr>
        <w:footnoteReference w:id="38"/>
      </w:r>
      <w:r>
        <w:rPr>
          <w:rFonts w:cs="Arial"/>
          <w:szCs w:val="24"/>
        </w:rPr>
        <w:t xml:space="preserve">; </w:t>
      </w:r>
      <w:r>
        <w:rPr>
          <w:rFonts w:cs="Arial"/>
          <w:i/>
          <w:iCs/>
          <w:szCs w:val="24"/>
        </w:rPr>
        <w:t>In re Pope</w:t>
      </w:r>
      <w:r w:rsidR="00A43F58">
        <w:rPr>
          <w:rStyle w:val="FootnoteReference"/>
          <w:rFonts w:cs="Arial"/>
          <w:i/>
          <w:iCs/>
          <w:szCs w:val="24"/>
        </w:rPr>
        <w:footnoteReference w:id="39"/>
      </w:r>
      <w:r>
        <w:rPr>
          <w:rFonts w:cs="Arial"/>
          <w:szCs w:val="24"/>
        </w:rPr>
        <w:t xml:space="preserve">; </w:t>
      </w:r>
      <w:r>
        <w:rPr>
          <w:rFonts w:cs="Arial"/>
          <w:i/>
          <w:iCs/>
          <w:szCs w:val="24"/>
        </w:rPr>
        <w:t xml:space="preserve">Reese River Silver Mining Co. </w:t>
      </w:r>
      <w:r>
        <w:rPr>
          <w:rFonts w:cs="Arial"/>
          <w:szCs w:val="24"/>
        </w:rPr>
        <w:t xml:space="preserve">v. </w:t>
      </w:r>
      <w:r>
        <w:rPr>
          <w:rFonts w:cs="Arial"/>
          <w:i/>
          <w:iCs/>
          <w:szCs w:val="24"/>
        </w:rPr>
        <w:t>Atwell</w:t>
      </w:r>
      <w:r w:rsidR="00A43F58">
        <w:rPr>
          <w:rStyle w:val="FootnoteReference"/>
          <w:rFonts w:cs="Arial"/>
          <w:i/>
          <w:iCs/>
          <w:szCs w:val="24"/>
        </w:rPr>
        <w:footnoteReference w:id="40"/>
      </w:r>
      <w:r>
        <w:rPr>
          <w:rFonts w:cs="Arial"/>
          <w:szCs w:val="24"/>
        </w:rPr>
        <w:t xml:space="preserve"> at page 352; </w:t>
      </w:r>
      <w:r>
        <w:rPr>
          <w:rFonts w:cs="Arial"/>
          <w:i/>
          <w:iCs/>
          <w:szCs w:val="24"/>
        </w:rPr>
        <w:t xml:space="preserve">Longeway </w:t>
      </w:r>
      <w:r>
        <w:rPr>
          <w:rFonts w:cs="Arial"/>
          <w:szCs w:val="24"/>
        </w:rPr>
        <w:t xml:space="preserve">v. </w:t>
      </w:r>
      <w:r>
        <w:rPr>
          <w:rFonts w:cs="Arial"/>
          <w:i/>
          <w:iCs/>
          <w:szCs w:val="24"/>
        </w:rPr>
        <w:t xml:space="preserve">Mitchell </w:t>
      </w:r>
      <w:r>
        <w:rPr>
          <w:rFonts w:cs="Arial"/>
          <w:szCs w:val="24"/>
        </w:rPr>
        <w:t>at page 193</w:t>
      </w:r>
      <w:r w:rsidR="00A43F58">
        <w:rPr>
          <w:rStyle w:val="FootnoteReference"/>
          <w:rFonts w:cs="Arial"/>
          <w:szCs w:val="24"/>
        </w:rPr>
        <w:footnoteReference w:id="41"/>
      </w:r>
      <w:r>
        <w:rPr>
          <w:rFonts w:cs="Arial"/>
          <w:szCs w:val="24"/>
        </w:rPr>
        <w:t xml:space="preserve">; </w:t>
      </w:r>
      <w:r>
        <w:rPr>
          <w:rFonts w:cs="Arial"/>
          <w:i/>
          <w:iCs/>
          <w:szCs w:val="24"/>
        </w:rPr>
        <w:t xml:space="preserve">McGall </w:t>
      </w:r>
      <w:r>
        <w:rPr>
          <w:rFonts w:cs="Arial"/>
          <w:szCs w:val="24"/>
        </w:rPr>
        <w:t xml:space="preserve">v. </w:t>
      </w:r>
      <w:r>
        <w:rPr>
          <w:rFonts w:cs="Arial"/>
          <w:i/>
          <w:iCs/>
          <w:szCs w:val="24"/>
        </w:rPr>
        <w:t>McDonald</w:t>
      </w:r>
      <w:r w:rsidR="00A43F58">
        <w:rPr>
          <w:rStyle w:val="FootnoteReference"/>
          <w:rFonts w:cs="Arial"/>
          <w:i/>
          <w:iCs/>
          <w:szCs w:val="24"/>
        </w:rPr>
        <w:footnoteReference w:id="42"/>
      </w:r>
      <w:r>
        <w:rPr>
          <w:rFonts w:cs="Arial"/>
          <w:szCs w:val="24"/>
        </w:rPr>
        <w:t xml:space="preserve">; </w:t>
      </w:r>
      <w:r>
        <w:rPr>
          <w:rFonts w:cs="Arial"/>
          <w:i/>
          <w:iCs/>
          <w:szCs w:val="24"/>
        </w:rPr>
        <w:t xml:space="preserve">The </w:t>
      </w:r>
      <w:r>
        <w:rPr>
          <w:rFonts w:cs="Arial"/>
          <w:i/>
          <w:iCs/>
          <w:szCs w:val="24"/>
        </w:rPr>
        <w:lastRenderedPageBreak/>
        <w:t xml:space="preserve">Queen </w:t>
      </w:r>
      <w:r>
        <w:rPr>
          <w:rFonts w:cs="Arial"/>
          <w:szCs w:val="24"/>
        </w:rPr>
        <w:t xml:space="preserve">v. </w:t>
      </w:r>
      <w:r>
        <w:rPr>
          <w:rFonts w:cs="Arial"/>
          <w:i/>
          <w:iCs/>
          <w:szCs w:val="24"/>
        </w:rPr>
        <w:t>Judge of the County Court of Lincolnshire</w:t>
      </w:r>
      <w:r w:rsidR="00A43F58">
        <w:rPr>
          <w:rStyle w:val="FootnoteReference"/>
          <w:rFonts w:cs="Arial"/>
          <w:i/>
          <w:iCs/>
          <w:szCs w:val="24"/>
        </w:rPr>
        <w:footnoteReference w:id="43"/>
      </w:r>
      <w:r>
        <w:rPr>
          <w:rFonts w:cs="Arial"/>
          <w:szCs w:val="24"/>
        </w:rPr>
        <w:t xml:space="preserve">; per Hawkins J., at p. 171; </w:t>
      </w:r>
      <w:r>
        <w:rPr>
          <w:rFonts w:cs="Arial"/>
          <w:i/>
          <w:iCs/>
          <w:szCs w:val="24"/>
        </w:rPr>
        <w:t xml:space="preserve">Westhead </w:t>
      </w:r>
      <w:r>
        <w:rPr>
          <w:rFonts w:cs="Arial"/>
          <w:szCs w:val="24"/>
        </w:rPr>
        <w:t xml:space="preserve">v. </w:t>
      </w:r>
      <w:r>
        <w:rPr>
          <w:rFonts w:cs="Arial"/>
          <w:i/>
          <w:iCs/>
          <w:szCs w:val="24"/>
        </w:rPr>
        <w:t>Riley</w:t>
      </w:r>
      <w:r w:rsidR="00A43F58">
        <w:rPr>
          <w:rStyle w:val="FootnoteReference"/>
          <w:rFonts w:cs="Arial"/>
          <w:i/>
          <w:iCs/>
          <w:szCs w:val="24"/>
        </w:rPr>
        <w:footnoteReference w:id="44"/>
      </w:r>
      <w:r>
        <w:rPr>
          <w:rFonts w:cs="Arial"/>
          <w:szCs w:val="24"/>
        </w:rPr>
        <w:t>.</w:t>
      </w:r>
    </w:p>
    <w:p w:rsidR="002D463D" w:rsidRDefault="002D463D" w:rsidP="00A532AE">
      <w:pPr>
        <w:pStyle w:val="History"/>
        <w:rPr>
          <w:rFonts w:cs="Arial"/>
          <w:szCs w:val="24"/>
        </w:rPr>
      </w:pPr>
      <w:r>
        <w:rPr>
          <w:rFonts w:cs="Arial"/>
          <w:szCs w:val="24"/>
        </w:rPr>
        <w:t>So long as the property of the executive debtor remains distinguishable, and so long as no purchaser for</w:t>
      </w:r>
    </w:p>
    <w:p w:rsidR="002D463D" w:rsidRDefault="00667D92" w:rsidP="00667D92">
      <w:pPr>
        <w:pStyle w:val="Page"/>
      </w:pPr>
      <w:r>
        <w:rPr>
          <w:rFonts w:cs="Arial"/>
          <w:szCs w:val="24"/>
        </w:rPr>
        <w:t xml:space="preserve">[Page </w:t>
      </w:r>
      <w:r w:rsidR="002D463D">
        <w:rPr>
          <w:rFonts w:cs="Arial"/>
          <w:szCs w:val="24"/>
        </w:rPr>
        <w:t>344]</w:t>
      </w:r>
    </w:p>
    <w:p w:rsidR="002D463D" w:rsidRDefault="002D463D" w:rsidP="00A532AE">
      <w:pPr>
        <w:pStyle w:val="History"/>
        <w:ind w:firstLine="0"/>
        <w:rPr>
          <w:rFonts w:cs="Arial"/>
          <w:szCs w:val="24"/>
        </w:rPr>
      </w:pPr>
      <w:r>
        <w:rPr>
          <w:rFonts w:cs="Arial"/>
          <w:szCs w:val="24"/>
        </w:rPr>
        <w:t xml:space="preserve">value without notice in tervenes, so long may the court award relief against that property in the hands of fraudulent or voluntary holders. </w:t>
      </w:r>
      <w:r>
        <w:rPr>
          <w:rFonts w:cs="Arial"/>
          <w:i/>
          <w:iCs/>
          <w:szCs w:val="24"/>
        </w:rPr>
        <w:t xml:space="preserve">Tennant </w:t>
      </w:r>
      <w:r>
        <w:rPr>
          <w:rFonts w:cs="Arial"/>
          <w:szCs w:val="24"/>
        </w:rPr>
        <w:t xml:space="preserve">v. </w:t>
      </w:r>
      <w:r>
        <w:rPr>
          <w:rFonts w:cs="Arial"/>
          <w:i/>
          <w:iCs/>
          <w:szCs w:val="24"/>
        </w:rPr>
        <w:t>Gallow</w:t>
      </w:r>
      <w:r w:rsidR="00A43F58">
        <w:rPr>
          <w:rStyle w:val="FootnoteReference"/>
          <w:rFonts w:cs="Arial"/>
          <w:i/>
          <w:iCs/>
          <w:szCs w:val="24"/>
        </w:rPr>
        <w:footnoteReference w:id="45"/>
      </w:r>
      <w:r>
        <w:rPr>
          <w:rFonts w:cs="Arial"/>
          <w:szCs w:val="24"/>
        </w:rPr>
        <w:t xml:space="preserve">. at p. 61; </w:t>
      </w:r>
      <w:r>
        <w:rPr>
          <w:rFonts w:cs="Arial"/>
          <w:i/>
          <w:iCs/>
          <w:szCs w:val="24"/>
        </w:rPr>
        <w:t xml:space="preserve">Masuret </w:t>
      </w:r>
      <w:r>
        <w:rPr>
          <w:rFonts w:cs="Arial"/>
          <w:szCs w:val="24"/>
        </w:rPr>
        <w:t xml:space="preserve">v. </w:t>
      </w:r>
      <w:r>
        <w:rPr>
          <w:rFonts w:cs="Arial"/>
          <w:i/>
          <w:iCs/>
          <w:szCs w:val="24"/>
        </w:rPr>
        <w:t>Stewart et al</w:t>
      </w:r>
      <w:r w:rsidR="00A43F58">
        <w:rPr>
          <w:rStyle w:val="FootnoteReference"/>
          <w:rFonts w:cs="Arial"/>
          <w:i/>
          <w:iCs/>
          <w:szCs w:val="24"/>
        </w:rPr>
        <w:footnoteReference w:id="46"/>
      </w:r>
      <w:r>
        <w:rPr>
          <w:rFonts w:cs="Arial"/>
          <w:szCs w:val="24"/>
        </w:rPr>
        <w:t xml:space="preserve">; </w:t>
      </w:r>
      <w:r>
        <w:rPr>
          <w:rFonts w:cs="Arial"/>
          <w:i/>
          <w:iCs/>
          <w:szCs w:val="24"/>
        </w:rPr>
        <w:t xml:space="preserve">Cornish </w:t>
      </w:r>
      <w:r>
        <w:rPr>
          <w:rFonts w:cs="Arial"/>
          <w:szCs w:val="24"/>
        </w:rPr>
        <w:t xml:space="preserve">v. </w:t>
      </w:r>
      <w:r>
        <w:rPr>
          <w:rFonts w:cs="Arial"/>
          <w:i/>
          <w:iCs/>
          <w:szCs w:val="24"/>
        </w:rPr>
        <w:t>Clark</w:t>
      </w:r>
      <w:r w:rsidR="00A43F58">
        <w:rPr>
          <w:rStyle w:val="FootnoteReference"/>
          <w:rFonts w:cs="Arial"/>
          <w:i/>
          <w:iCs/>
          <w:szCs w:val="24"/>
        </w:rPr>
        <w:footnoteReference w:id="47"/>
      </w:r>
      <w:r>
        <w:rPr>
          <w:rFonts w:cs="Arial"/>
          <w:szCs w:val="24"/>
        </w:rPr>
        <w:t>.</w:t>
      </w:r>
    </w:p>
    <w:p w:rsidR="002D463D" w:rsidRDefault="002D463D" w:rsidP="00A532AE">
      <w:pPr>
        <w:pStyle w:val="History"/>
        <w:rPr>
          <w:rFonts w:cs="Arial"/>
          <w:szCs w:val="24"/>
        </w:rPr>
      </w:pPr>
      <w:r>
        <w:rPr>
          <w:rFonts w:cs="Arial"/>
          <w:szCs w:val="24"/>
        </w:rPr>
        <w:t xml:space="preserve">Book debts are in the broad sense of the word exigible, and being in the hands of the appellants, fraudulent holders, they will be compelled to account for them to the creditors. </w:t>
      </w:r>
      <w:r>
        <w:rPr>
          <w:rFonts w:cs="Arial"/>
          <w:i/>
          <w:iCs/>
          <w:szCs w:val="24"/>
        </w:rPr>
        <w:t xml:space="preserve">Labatt </w:t>
      </w:r>
      <w:r>
        <w:rPr>
          <w:rFonts w:cs="Arial"/>
          <w:szCs w:val="24"/>
        </w:rPr>
        <w:t xml:space="preserve">v. </w:t>
      </w:r>
      <w:r>
        <w:rPr>
          <w:rFonts w:cs="Arial"/>
          <w:i/>
          <w:iCs/>
          <w:szCs w:val="24"/>
        </w:rPr>
        <w:t>Bixel</w:t>
      </w:r>
      <w:r w:rsidR="00A43F58">
        <w:rPr>
          <w:rStyle w:val="FootnoteReference"/>
          <w:rFonts w:cs="Arial"/>
          <w:i/>
          <w:iCs/>
          <w:szCs w:val="24"/>
        </w:rPr>
        <w:footnoteReference w:id="48"/>
      </w:r>
      <w:r>
        <w:rPr>
          <w:rFonts w:cs="Arial"/>
          <w:szCs w:val="24"/>
        </w:rPr>
        <w:t xml:space="preserve">; </w:t>
      </w:r>
      <w:r>
        <w:rPr>
          <w:rFonts w:cs="Arial"/>
          <w:i/>
          <w:iCs/>
          <w:szCs w:val="24"/>
        </w:rPr>
        <w:t xml:space="preserve">Meharg </w:t>
      </w:r>
      <w:r>
        <w:rPr>
          <w:rFonts w:cs="Arial"/>
          <w:szCs w:val="24"/>
        </w:rPr>
        <w:t xml:space="preserve">v. </w:t>
      </w:r>
      <w:r>
        <w:rPr>
          <w:rFonts w:cs="Arial"/>
          <w:i/>
          <w:iCs/>
          <w:szCs w:val="24"/>
        </w:rPr>
        <w:t>Lumbers</w:t>
      </w:r>
      <w:r w:rsidR="00A43F58">
        <w:rPr>
          <w:rStyle w:val="FootnoteReference"/>
          <w:rFonts w:cs="Arial"/>
          <w:i/>
          <w:iCs/>
          <w:szCs w:val="24"/>
        </w:rPr>
        <w:footnoteReference w:id="49"/>
      </w:r>
      <w:r>
        <w:rPr>
          <w:rFonts w:cs="Arial"/>
          <w:szCs w:val="24"/>
        </w:rPr>
        <w:t>.</w:t>
      </w:r>
    </w:p>
    <w:p w:rsidR="002D463D" w:rsidRDefault="002D463D" w:rsidP="00A532AE">
      <w:pPr>
        <w:pStyle w:val="History"/>
        <w:rPr>
          <w:rFonts w:cs="Arial"/>
          <w:szCs w:val="24"/>
        </w:rPr>
      </w:pPr>
      <w:r>
        <w:rPr>
          <w:rFonts w:cs="Arial"/>
          <w:szCs w:val="24"/>
        </w:rPr>
        <w:t xml:space="preserve">The assignment made in January, 1895, from McKinnon to the appellant, William Cummings was of no avail:—Because the choses in action intended thereby to be assigned had previously been vested in Selden W. Cummings by the assignment for the benefit of creditors, dated November 11th, 1892, and this was known to William Cummings;—Because, the assignment for the benefit of the creditors was binding between the parties, and he was a party to the assignment, his firm, as creditors of the assignor, having executed the same, and,-—Because after this assignment had been executed by the as signor, assignee, and any of the creditors, it was irrevocable. May on Fraudulent Conveyances (Blackstone Series) pp. 69, </w:t>
      </w:r>
      <w:r>
        <w:rPr>
          <w:rFonts w:cs="Arial"/>
          <w:smallCaps/>
          <w:szCs w:val="24"/>
        </w:rPr>
        <w:t xml:space="preserve">70, </w:t>
      </w:r>
      <w:r>
        <w:rPr>
          <w:rFonts w:cs="Arial"/>
          <w:szCs w:val="24"/>
        </w:rPr>
        <w:t xml:space="preserve">331, 471; </w:t>
      </w:r>
      <w:r>
        <w:rPr>
          <w:rFonts w:cs="Arial"/>
          <w:i/>
          <w:iCs/>
          <w:szCs w:val="24"/>
        </w:rPr>
        <w:t xml:space="preserve">Curtis </w:t>
      </w:r>
      <w:r>
        <w:rPr>
          <w:rFonts w:cs="Arial"/>
          <w:smallCaps/>
          <w:szCs w:val="24"/>
        </w:rPr>
        <w:t>v</w:t>
      </w:r>
      <w:r>
        <w:rPr>
          <w:rFonts w:cs="Arial"/>
          <w:szCs w:val="24"/>
        </w:rPr>
        <w:t xml:space="preserve">. </w:t>
      </w:r>
      <w:r>
        <w:rPr>
          <w:rFonts w:cs="Arial"/>
          <w:i/>
          <w:iCs/>
          <w:szCs w:val="24"/>
        </w:rPr>
        <w:t>Price</w:t>
      </w:r>
      <w:r w:rsidR="00A43F58">
        <w:rPr>
          <w:rStyle w:val="FootnoteReference"/>
          <w:rFonts w:cs="Arial"/>
          <w:i/>
          <w:iCs/>
          <w:szCs w:val="24"/>
        </w:rPr>
        <w:footnoteReference w:id="50"/>
      </w:r>
      <w:r>
        <w:rPr>
          <w:rFonts w:cs="Arial"/>
          <w:szCs w:val="24"/>
        </w:rPr>
        <w:t xml:space="preserve"> at page 103; </w:t>
      </w:r>
      <w:r>
        <w:rPr>
          <w:rFonts w:cs="Arial"/>
          <w:i/>
          <w:iCs/>
          <w:szCs w:val="24"/>
        </w:rPr>
        <w:t xml:space="preserve">Smith </w:t>
      </w:r>
      <w:r>
        <w:rPr>
          <w:rFonts w:cs="Arial"/>
          <w:szCs w:val="24"/>
        </w:rPr>
        <w:t>v</w:t>
      </w:r>
      <w:r>
        <w:rPr>
          <w:rFonts w:cs="Arial"/>
          <w:i/>
          <w:iCs/>
          <w:szCs w:val="24"/>
        </w:rPr>
        <w:t>. Cherrill</w:t>
      </w:r>
      <w:r w:rsidR="00A43F58">
        <w:rPr>
          <w:rStyle w:val="FootnoteReference"/>
          <w:rFonts w:cs="Arial"/>
          <w:i/>
          <w:iCs/>
          <w:szCs w:val="24"/>
        </w:rPr>
        <w:footnoteReference w:id="51"/>
      </w:r>
      <w:r>
        <w:rPr>
          <w:rFonts w:cs="Arial"/>
          <w:szCs w:val="24"/>
        </w:rPr>
        <w:t xml:space="preserve">; </w:t>
      </w:r>
      <w:r>
        <w:rPr>
          <w:rFonts w:cs="Arial"/>
          <w:i/>
          <w:iCs/>
          <w:szCs w:val="24"/>
        </w:rPr>
        <w:t xml:space="preserve">Tanqueray </w:t>
      </w:r>
      <w:r>
        <w:rPr>
          <w:rFonts w:cs="Arial"/>
          <w:szCs w:val="24"/>
        </w:rPr>
        <w:t xml:space="preserve">v. </w:t>
      </w:r>
      <w:r>
        <w:rPr>
          <w:rFonts w:cs="Arial"/>
          <w:i/>
          <w:iCs/>
          <w:szCs w:val="24"/>
        </w:rPr>
        <w:t>Bowles</w:t>
      </w:r>
      <w:r w:rsidR="00A43F58">
        <w:rPr>
          <w:rStyle w:val="FootnoteReference"/>
          <w:rFonts w:cs="Arial"/>
          <w:i/>
          <w:iCs/>
          <w:szCs w:val="24"/>
        </w:rPr>
        <w:footnoteReference w:id="52"/>
      </w:r>
      <w:r>
        <w:rPr>
          <w:rFonts w:cs="Arial"/>
          <w:szCs w:val="24"/>
        </w:rPr>
        <w:t xml:space="preserve">, at page 157; </w:t>
      </w:r>
      <w:r>
        <w:rPr>
          <w:rFonts w:cs="Arial"/>
          <w:i/>
          <w:iCs/>
          <w:szCs w:val="24"/>
        </w:rPr>
        <w:t xml:space="preserve">French </w:t>
      </w:r>
      <w:r>
        <w:rPr>
          <w:rFonts w:cs="Arial"/>
          <w:szCs w:val="24"/>
        </w:rPr>
        <w:t xml:space="preserve">v. </w:t>
      </w:r>
      <w:r>
        <w:rPr>
          <w:rFonts w:cs="Arial"/>
          <w:i/>
          <w:iCs/>
          <w:szCs w:val="24"/>
        </w:rPr>
        <w:t>French</w:t>
      </w:r>
      <w:r w:rsidR="00A43F58">
        <w:rPr>
          <w:rStyle w:val="FootnoteReference"/>
          <w:rFonts w:cs="Arial"/>
          <w:i/>
          <w:iCs/>
          <w:szCs w:val="24"/>
        </w:rPr>
        <w:footnoteReference w:id="53"/>
      </w:r>
      <w:r>
        <w:rPr>
          <w:rFonts w:cs="Arial"/>
          <w:szCs w:val="24"/>
        </w:rPr>
        <w:t xml:space="preserve">, at page 103; 2 Bigelow on Frauds, p. 408. See also cases cited in 9 Can. </w:t>
      </w:r>
      <w:r>
        <w:rPr>
          <w:rFonts w:cs="Arial"/>
          <w:smallCaps/>
          <w:szCs w:val="24"/>
        </w:rPr>
        <w:t xml:space="preserve">L. T. </w:t>
      </w:r>
      <w:r>
        <w:rPr>
          <w:rFonts w:cs="Arial"/>
          <w:szCs w:val="24"/>
        </w:rPr>
        <w:t xml:space="preserve">125 &amp; 145, and </w:t>
      </w:r>
      <w:r>
        <w:rPr>
          <w:rFonts w:cs="Arial"/>
          <w:i/>
          <w:iCs/>
          <w:szCs w:val="24"/>
        </w:rPr>
        <w:t xml:space="preserve">Kincaid </w:t>
      </w:r>
      <w:r>
        <w:rPr>
          <w:rFonts w:cs="Arial"/>
          <w:szCs w:val="24"/>
        </w:rPr>
        <w:t xml:space="preserve">v. </w:t>
      </w:r>
      <w:r>
        <w:rPr>
          <w:rFonts w:cs="Arial"/>
          <w:i/>
          <w:iCs/>
          <w:szCs w:val="24"/>
        </w:rPr>
        <w:t>Kincaid</w:t>
      </w:r>
      <w:r w:rsidR="00A43F58">
        <w:rPr>
          <w:rStyle w:val="FootnoteReference"/>
          <w:rFonts w:cs="Arial"/>
          <w:i/>
          <w:iCs/>
          <w:szCs w:val="24"/>
        </w:rPr>
        <w:footnoteReference w:id="54"/>
      </w:r>
      <w:r>
        <w:rPr>
          <w:rFonts w:cs="Arial"/>
          <w:szCs w:val="24"/>
        </w:rPr>
        <w:t xml:space="preserve">; and </w:t>
      </w:r>
      <w:r>
        <w:rPr>
          <w:rFonts w:cs="Arial"/>
          <w:i/>
          <w:iCs/>
          <w:szCs w:val="24"/>
        </w:rPr>
        <w:t xml:space="preserve">Salt </w:t>
      </w:r>
      <w:r>
        <w:rPr>
          <w:rFonts w:cs="Arial"/>
          <w:szCs w:val="24"/>
        </w:rPr>
        <w:t xml:space="preserve">v. </w:t>
      </w:r>
      <w:r>
        <w:rPr>
          <w:rFonts w:cs="Arial"/>
          <w:i/>
          <w:iCs/>
          <w:szCs w:val="24"/>
        </w:rPr>
        <w:t>Cooper</w:t>
      </w:r>
      <w:r w:rsidR="00A43F58">
        <w:rPr>
          <w:rStyle w:val="FootnoteReference"/>
          <w:rFonts w:cs="Arial"/>
          <w:i/>
          <w:iCs/>
          <w:szCs w:val="24"/>
        </w:rPr>
        <w:footnoteReference w:id="55"/>
      </w:r>
      <w:r>
        <w:rPr>
          <w:rFonts w:cs="Arial"/>
          <w:szCs w:val="24"/>
        </w:rPr>
        <w:t xml:space="preserve"> at page 552.</w:t>
      </w:r>
    </w:p>
    <w:p w:rsidR="002D463D" w:rsidRDefault="00A532AE" w:rsidP="00A532AE">
      <w:pPr>
        <w:pStyle w:val="Reasons"/>
      </w:pPr>
      <w:r w:rsidRPr="00A532AE">
        <w:t>TASCHEREAU</w:t>
      </w:r>
      <w:r>
        <w:rPr>
          <w:smallCaps/>
        </w:rPr>
        <w:t xml:space="preserve"> </w:t>
      </w:r>
      <w:r w:rsidR="002D463D">
        <w:t>J.—</w:t>
      </w:r>
      <w:r>
        <w:t>I</w:t>
      </w:r>
      <w:r w:rsidR="002D463D">
        <w:t xml:space="preserve"> would be of opinion to adopt Mr. Justice Graham's reasoning in the court below, and</w:t>
      </w:r>
    </w:p>
    <w:p w:rsidR="002D463D" w:rsidRDefault="00667D92" w:rsidP="00667D92">
      <w:pPr>
        <w:pStyle w:val="Page"/>
      </w:pPr>
      <w:r>
        <w:rPr>
          <w:rFonts w:cs="Arial"/>
          <w:szCs w:val="24"/>
        </w:rPr>
        <w:t xml:space="preserve">[Page </w:t>
      </w:r>
      <w:r w:rsidR="002D463D">
        <w:rPr>
          <w:rFonts w:cs="Arial"/>
          <w:szCs w:val="24"/>
        </w:rPr>
        <w:t>345]</w:t>
      </w:r>
    </w:p>
    <w:p w:rsidR="002D463D" w:rsidRDefault="002D463D" w:rsidP="00A532AE">
      <w:pPr>
        <w:pStyle w:val="Reasons"/>
        <w:rPr>
          <w:rFonts w:cs="Arial"/>
          <w:szCs w:val="24"/>
        </w:rPr>
      </w:pPr>
      <w:r>
        <w:rPr>
          <w:rFonts w:cs="Arial"/>
          <w:szCs w:val="24"/>
        </w:rPr>
        <w:lastRenderedPageBreak/>
        <w:t>dismiss this appeal. The majority of the court, however, have come to the conclusion that the appeal should be allowed.</w:t>
      </w:r>
    </w:p>
    <w:p w:rsidR="002D463D" w:rsidRDefault="00A532AE" w:rsidP="00A532AE">
      <w:pPr>
        <w:pStyle w:val="Reasons"/>
        <w:rPr>
          <w:rFonts w:cs="Arial"/>
          <w:szCs w:val="24"/>
        </w:rPr>
      </w:pPr>
      <w:r w:rsidRPr="00A532AE">
        <w:t>GWYNNE</w:t>
      </w:r>
      <w:r>
        <w:rPr>
          <w:rFonts w:cs="Arial"/>
          <w:smallCaps/>
          <w:szCs w:val="24"/>
        </w:rPr>
        <w:t xml:space="preserve"> </w:t>
      </w:r>
      <w:r w:rsidR="002D463D">
        <w:rPr>
          <w:rFonts w:cs="Arial"/>
          <w:szCs w:val="24"/>
        </w:rPr>
        <w:t>J.—Was of opinion that the appeal should be allowed for reasons given by Mr. Justice Sedgewick.</w:t>
      </w:r>
    </w:p>
    <w:p w:rsidR="002D463D" w:rsidRDefault="00A532AE" w:rsidP="00A532AE">
      <w:pPr>
        <w:pStyle w:val="Reasons"/>
        <w:rPr>
          <w:rFonts w:cs="Arial"/>
          <w:szCs w:val="24"/>
        </w:rPr>
      </w:pPr>
      <w:r w:rsidRPr="00A532AE">
        <w:t>SEDGEWICK</w:t>
      </w:r>
      <w:r>
        <w:rPr>
          <w:rFonts w:cs="Arial"/>
          <w:smallCaps/>
          <w:szCs w:val="24"/>
        </w:rPr>
        <w:t xml:space="preserve"> </w:t>
      </w:r>
      <w:r w:rsidR="002D463D">
        <w:rPr>
          <w:rFonts w:cs="Arial"/>
          <w:szCs w:val="24"/>
        </w:rPr>
        <w:t>J.—On the 11th November, 1892, one Neil McKinnon made a general assignment to the defendant Selden W. Cummings, he then being in insolvent circumstances. Robert Taylor, one of the present plaintiffs, who subsequently obtained judgment against McKinnon notwithstanding this assignment, issued execution, recorded it in the county where McKinnon's lands were situated, and under it sold through the sheriff all the personal property transferred by the assignment. The assignee, Selden W. Cummings, then brought his action against the sheriff claiming under the assignment. That action was decided in favour of Cummings by the courts in Nova Scotia, but upon appeal to this court we held that the assignment was void as against the statute, 13 Eliz., chap. 5</w:t>
      </w:r>
      <w:r w:rsidR="00A43F58">
        <w:rPr>
          <w:rStyle w:val="FootnoteReference"/>
          <w:rFonts w:cs="Arial"/>
          <w:szCs w:val="24"/>
        </w:rPr>
        <w:footnoteReference w:id="56"/>
      </w:r>
      <w:r w:rsidR="002D463D">
        <w:rPr>
          <w:rFonts w:cs="Arial"/>
          <w:szCs w:val="24"/>
        </w:rPr>
        <w:t>, the result being that Taylor, the present plaintiff was held entitled to the proceeds of all of the personal property of McKinnon, levied upon by him under his execution. After that determination the plaintiff Taylor instituted these proceedings, making the insolvent trustee under the assignment, and William Cummings &amp; Sons and the Peoples' Bank of Halifax, the latter having received benefits under it, defendants, by which they sought:—</w:t>
      </w:r>
    </w:p>
    <w:p w:rsidR="002D463D" w:rsidRDefault="002D463D" w:rsidP="00A532AE">
      <w:pPr>
        <w:pStyle w:val="Reasons"/>
        <w:rPr>
          <w:rFonts w:cs="Arial"/>
          <w:szCs w:val="24"/>
        </w:rPr>
      </w:pPr>
      <w:r>
        <w:rPr>
          <w:rFonts w:cs="Arial"/>
          <w:szCs w:val="24"/>
        </w:rPr>
        <w:t>(</w:t>
      </w:r>
      <w:r>
        <w:rPr>
          <w:rFonts w:cs="Arial"/>
          <w:i/>
          <w:iCs/>
          <w:szCs w:val="24"/>
        </w:rPr>
        <w:t>a.</w:t>
      </w:r>
      <w:r>
        <w:rPr>
          <w:rFonts w:cs="Arial"/>
          <w:szCs w:val="24"/>
        </w:rPr>
        <w:t>)</w:t>
      </w:r>
      <w:r>
        <w:rPr>
          <w:rFonts w:cs="Arial"/>
          <w:i/>
          <w:iCs/>
          <w:szCs w:val="24"/>
        </w:rPr>
        <w:t xml:space="preserve"> </w:t>
      </w:r>
      <w:r>
        <w:rPr>
          <w:rFonts w:cs="Arial"/>
          <w:szCs w:val="24"/>
        </w:rPr>
        <w:t>A declaration that the assignment in question was fraudulent as against the plaintiff and the other creditors.</w:t>
      </w:r>
    </w:p>
    <w:p w:rsidR="002D463D" w:rsidRDefault="00667D92" w:rsidP="00667D92">
      <w:pPr>
        <w:pStyle w:val="Page"/>
      </w:pPr>
      <w:r>
        <w:rPr>
          <w:rFonts w:cs="Arial"/>
          <w:szCs w:val="24"/>
        </w:rPr>
        <w:t xml:space="preserve">[Page </w:t>
      </w:r>
      <w:r w:rsidR="002D463D">
        <w:rPr>
          <w:rFonts w:cs="Arial"/>
          <w:szCs w:val="24"/>
        </w:rPr>
        <w:t>346]</w:t>
      </w:r>
    </w:p>
    <w:p w:rsidR="002D463D" w:rsidRDefault="002D463D" w:rsidP="00A532AE">
      <w:pPr>
        <w:pStyle w:val="Reasons"/>
        <w:rPr>
          <w:rFonts w:cs="Arial"/>
          <w:szCs w:val="24"/>
        </w:rPr>
      </w:pPr>
      <w:r>
        <w:rPr>
          <w:rFonts w:cs="Arial"/>
          <w:szCs w:val="24"/>
        </w:rPr>
        <w:t>(</w:t>
      </w:r>
      <w:r>
        <w:rPr>
          <w:rFonts w:cs="Arial"/>
          <w:i/>
          <w:iCs/>
          <w:szCs w:val="24"/>
        </w:rPr>
        <w:t>b</w:t>
      </w:r>
      <w:r>
        <w:rPr>
          <w:rFonts w:cs="Arial"/>
          <w:szCs w:val="24"/>
        </w:rPr>
        <w:t>.) An account from the defendants, other than the insolvent, of all moneys received under the assignment.</w:t>
      </w:r>
    </w:p>
    <w:p w:rsidR="002D463D" w:rsidRDefault="002D463D" w:rsidP="00A532AE">
      <w:pPr>
        <w:pStyle w:val="Reasons"/>
        <w:rPr>
          <w:rFonts w:cs="Arial"/>
          <w:szCs w:val="24"/>
        </w:rPr>
      </w:pPr>
      <w:r>
        <w:rPr>
          <w:rFonts w:cs="Arial"/>
          <w:szCs w:val="24"/>
        </w:rPr>
        <w:t>(</w:t>
      </w:r>
      <w:r>
        <w:rPr>
          <w:rFonts w:cs="Arial"/>
          <w:i/>
          <w:iCs/>
          <w:szCs w:val="24"/>
        </w:rPr>
        <w:t>c.</w:t>
      </w:r>
      <w:r>
        <w:rPr>
          <w:rFonts w:cs="Arial"/>
          <w:szCs w:val="24"/>
        </w:rPr>
        <w:t>)</w:t>
      </w:r>
      <w:r>
        <w:rPr>
          <w:rFonts w:cs="Arial"/>
          <w:i/>
          <w:iCs/>
          <w:szCs w:val="24"/>
        </w:rPr>
        <w:t xml:space="preserve"> </w:t>
      </w:r>
      <w:r>
        <w:rPr>
          <w:rFonts w:cs="Arial"/>
          <w:szCs w:val="24"/>
        </w:rPr>
        <w:t>Payment of the plaintiff's claim out of such moneys.</w:t>
      </w:r>
    </w:p>
    <w:p w:rsidR="002D463D" w:rsidRDefault="002D463D" w:rsidP="00A532AE">
      <w:pPr>
        <w:pStyle w:val="Reasons"/>
        <w:rPr>
          <w:rFonts w:cs="Arial"/>
          <w:szCs w:val="24"/>
        </w:rPr>
      </w:pPr>
      <w:r>
        <w:rPr>
          <w:rFonts w:cs="Arial"/>
          <w:szCs w:val="24"/>
        </w:rPr>
        <w:lastRenderedPageBreak/>
        <w:t>(</w:t>
      </w:r>
      <w:r>
        <w:rPr>
          <w:rFonts w:cs="Arial"/>
          <w:i/>
          <w:iCs/>
          <w:szCs w:val="24"/>
        </w:rPr>
        <w:t>d.</w:t>
      </w:r>
      <w:r>
        <w:rPr>
          <w:rFonts w:cs="Arial"/>
          <w:szCs w:val="24"/>
        </w:rPr>
        <w:t>)</w:t>
      </w:r>
      <w:r>
        <w:rPr>
          <w:rFonts w:cs="Arial"/>
          <w:i/>
          <w:iCs/>
          <w:szCs w:val="24"/>
        </w:rPr>
        <w:t xml:space="preserve"> </w:t>
      </w:r>
      <w:r>
        <w:rPr>
          <w:rFonts w:cs="Arial"/>
          <w:szCs w:val="24"/>
        </w:rPr>
        <w:t>The appointment of a receiver; and</w:t>
      </w:r>
    </w:p>
    <w:p w:rsidR="002D463D" w:rsidRDefault="002D463D" w:rsidP="00A532AE">
      <w:pPr>
        <w:pStyle w:val="Reasons"/>
        <w:rPr>
          <w:rFonts w:cs="Arial"/>
          <w:szCs w:val="24"/>
        </w:rPr>
      </w:pPr>
      <w:r>
        <w:rPr>
          <w:rFonts w:cs="Arial"/>
          <w:szCs w:val="24"/>
        </w:rPr>
        <w:t>(</w:t>
      </w:r>
      <w:r>
        <w:rPr>
          <w:rFonts w:cs="Arial"/>
          <w:i/>
          <w:iCs/>
          <w:szCs w:val="24"/>
        </w:rPr>
        <w:t>e</w:t>
      </w:r>
      <w:r>
        <w:rPr>
          <w:rFonts w:cs="Arial"/>
          <w:szCs w:val="24"/>
        </w:rPr>
        <w:t>.) An injunction.</w:t>
      </w:r>
    </w:p>
    <w:p w:rsidR="002D463D" w:rsidRDefault="002D463D" w:rsidP="00A532AE">
      <w:pPr>
        <w:pStyle w:val="Reasons"/>
        <w:rPr>
          <w:rFonts w:cs="Arial"/>
          <w:szCs w:val="24"/>
        </w:rPr>
      </w:pPr>
      <w:r>
        <w:rPr>
          <w:rFonts w:cs="Arial"/>
          <w:szCs w:val="24"/>
        </w:rPr>
        <w:t>In that action a judgment was entered for the plaintiffs giving them the declaration and account asked for, and appointing a receiver. That judgment was sustained upon appeal to the Supreme Court of Nova Scotia, except in regard to the Peoples' Bank, against which the action was dismissed. This is the second appeal before us from the judgment in question.</w:t>
      </w:r>
    </w:p>
    <w:p w:rsidR="002D463D" w:rsidRDefault="002D463D" w:rsidP="00A532AE">
      <w:pPr>
        <w:pStyle w:val="Reasons"/>
        <w:rPr>
          <w:rFonts w:cs="Arial"/>
          <w:szCs w:val="24"/>
        </w:rPr>
      </w:pPr>
      <w:r>
        <w:rPr>
          <w:rFonts w:cs="Arial"/>
          <w:szCs w:val="24"/>
        </w:rPr>
        <w:t>In the first appeal we decided that the claim of the plaintiff for an account against Wm. Cummings &amp; Sons and the Peoples' Bank, with a view of making them pay over to the creditors the moneys received by them under the assignment on account of the assignor entitled to them was untenable; that under English law, in the absence of any right of, or interest in, property transferred no decree could be made dealing with it, except a decree setting aside the assignment attacked. It follows, we think, as a necessary consequence, that this appeal must be allowed. The plaintiffs are entitled to whatever benefits they can get from the fact that the assignment in question has been declared void and may adopt such remedies as they see fit in order to obtain recovery of the balance of their debt from any debts, personal property, or real estate upon which they have or had any lien or charge or other right under their judgments or under any execution issued upon them. But so far as the evidence shows they have never taken any steps by garnishee process to obtain a charge upon the debts of the insolvent, and as to the personal property they have already</w:t>
      </w:r>
    </w:p>
    <w:p w:rsidR="002D463D" w:rsidRDefault="00667D92" w:rsidP="00667D92">
      <w:pPr>
        <w:pStyle w:val="Page"/>
      </w:pPr>
      <w:r>
        <w:rPr>
          <w:rFonts w:cs="Arial"/>
          <w:szCs w:val="24"/>
        </w:rPr>
        <w:t xml:space="preserve">[Page </w:t>
      </w:r>
      <w:r w:rsidR="002D463D">
        <w:rPr>
          <w:rFonts w:cs="Arial"/>
          <w:szCs w:val="24"/>
        </w:rPr>
        <w:t>347]</w:t>
      </w:r>
    </w:p>
    <w:p w:rsidR="002D463D" w:rsidRDefault="002D463D" w:rsidP="00A532AE">
      <w:pPr>
        <w:pStyle w:val="Reasons"/>
        <w:rPr>
          <w:rFonts w:cs="Arial"/>
          <w:szCs w:val="24"/>
        </w:rPr>
      </w:pPr>
      <w:r>
        <w:rPr>
          <w:rFonts w:cs="Arial"/>
          <w:szCs w:val="24"/>
        </w:rPr>
        <w:t xml:space="preserve">obtained the proceeds of it under their execution. As they have no interest, either legal or equitable, in the debts of the insolvent, they have no legal right except by taking the necessary statutory proceedings to make them exigible, nor have they any equity to follow the moneys received by the assignee under his deed or paid by him under it. If the decree in this case can be supported there would appear to be but little necessity for </w:t>
      </w:r>
      <w:r>
        <w:rPr>
          <w:rFonts w:cs="Arial"/>
          <w:szCs w:val="24"/>
        </w:rPr>
        <w:lastRenderedPageBreak/>
        <w:t>a bankruptcy law, as, if it can be supported, the Supreme Court of Nova Scotia is itself a bankruptcy court empowered by its judgment, without any statutory or other authority that I am aware of, to take possession of an insolvent's estate and distribute it as it may think fit, whether ratably or otherwise, amongst creditors. The decree appealed from may be sustained so far as it contains a declaration that the assignment in question is void, but inasmuch as no case has been made out for the taking of an account or for the appointment of a receiver, the decree must be amended in that regard, the appellants being allowed all costs both here and in the court below.</w:t>
      </w:r>
    </w:p>
    <w:p w:rsidR="002D463D" w:rsidRDefault="00A532AE" w:rsidP="00A532AE">
      <w:pPr>
        <w:pStyle w:val="Reasons"/>
        <w:rPr>
          <w:rFonts w:cs="Arial"/>
          <w:szCs w:val="24"/>
        </w:rPr>
      </w:pPr>
      <w:r w:rsidRPr="00A532AE">
        <w:t>KING</w:t>
      </w:r>
      <w:r>
        <w:rPr>
          <w:rFonts w:cs="Arial"/>
          <w:smallCaps/>
          <w:szCs w:val="24"/>
        </w:rPr>
        <w:t xml:space="preserve"> </w:t>
      </w:r>
      <w:r w:rsidR="002D463D">
        <w:rPr>
          <w:rFonts w:cs="Arial"/>
          <w:szCs w:val="24"/>
        </w:rPr>
        <w:t xml:space="preserve">and </w:t>
      </w:r>
      <w:r w:rsidRPr="00A532AE">
        <w:rPr>
          <w:rFonts w:cs="Arial"/>
          <w:szCs w:val="24"/>
        </w:rPr>
        <w:t>GIROUARD</w:t>
      </w:r>
      <w:r>
        <w:rPr>
          <w:rFonts w:cs="Arial"/>
          <w:smallCaps/>
          <w:szCs w:val="24"/>
        </w:rPr>
        <w:t xml:space="preserve"> </w:t>
      </w:r>
      <w:r w:rsidR="002D463D">
        <w:rPr>
          <w:rFonts w:cs="Arial"/>
          <w:szCs w:val="24"/>
        </w:rPr>
        <w:t>JJ. concurred in the dismissal of the appeal for the reasons given by Mr. Justice Sedgewick.</w:t>
      </w:r>
    </w:p>
    <w:p w:rsidR="002D463D" w:rsidRDefault="002D463D" w:rsidP="00A532AE">
      <w:pPr>
        <w:pStyle w:val="Reasons"/>
      </w:pPr>
      <w:r>
        <w:t>Appeal allowed with costs.</w:t>
      </w:r>
    </w:p>
    <w:p w:rsidR="002D463D" w:rsidRDefault="002D463D" w:rsidP="00A532AE">
      <w:pPr>
        <w:pStyle w:val="Sollicitors"/>
        <w:rPr>
          <w:iCs/>
        </w:rPr>
      </w:pPr>
      <w:r>
        <w:t xml:space="preserve">Solicitor for the appellants: </w:t>
      </w:r>
      <w:r>
        <w:rPr>
          <w:iCs/>
        </w:rPr>
        <w:t>H. A. Lovett.</w:t>
      </w:r>
    </w:p>
    <w:p w:rsidR="003824D9" w:rsidRDefault="002D463D" w:rsidP="00A532AE">
      <w:pPr>
        <w:pStyle w:val="Sollicitors"/>
      </w:pPr>
      <w:r>
        <w:t xml:space="preserve">Solicitor for the respondents: </w:t>
      </w:r>
      <w:r>
        <w:rPr>
          <w:iCs/>
        </w:rPr>
        <w:t>Alexander McNeil.</w:t>
      </w:r>
    </w:p>
    <w:sectPr w:rsidR="003824D9" w:rsidSect="00BE121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D86" w:rsidRDefault="001E3D86" w:rsidP="00BE1219">
      <w:r>
        <w:separator/>
      </w:r>
    </w:p>
  </w:endnote>
  <w:endnote w:type="continuationSeparator" w:id="1">
    <w:p w:rsidR="001E3D86" w:rsidRDefault="001E3D86" w:rsidP="00BE1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19" w:rsidRDefault="00BE12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19" w:rsidRDefault="00BE12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19" w:rsidRDefault="00BE12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D86" w:rsidRDefault="001E3D86" w:rsidP="00BE1219">
      <w:r>
        <w:separator/>
      </w:r>
    </w:p>
  </w:footnote>
  <w:footnote w:type="continuationSeparator" w:id="1">
    <w:p w:rsidR="001E3D86" w:rsidRDefault="001E3D86" w:rsidP="00BE1219">
      <w:r>
        <w:continuationSeparator/>
      </w:r>
    </w:p>
  </w:footnote>
  <w:footnote w:id="2">
    <w:p w:rsidR="00A43F58" w:rsidRPr="00A43F58" w:rsidRDefault="00A43F58">
      <w:pPr>
        <w:pStyle w:val="FootnoteText"/>
        <w:rPr>
          <w:lang w:val="en-US"/>
        </w:rPr>
      </w:pPr>
      <w:r>
        <w:rPr>
          <w:rStyle w:val="FootnoteReference"/>
        </w:rPr>
        <w:footnoteRef/>
      </w:r>
      <w:r>
        <w:t xml:space="preserve"> </w:t>
      </w:r>
      <w:r>
        <w:rPr>
          <w:rFonts w:cs="Arial"/>
          <w:smallCaps/>
          <w:szCs w:val="24"/>
        </w:rPr>
        <w:t xml:space="preserve">29 </w:t>
      </w:r>
      <w:r>
        <w:rPr>
          <w:rFonts w:cs="Arial"/>
          <w:szCs w:val="24"/>
        </w:rPr>
        <w:t xml:space="preserve">N. S. Rep. </w:t>
      </w:r>
      <w:r>
        <w:rPr>
          <w:rFonts w:cs="Arial"/>
          <w:smallCaps/>
          <w:szCs w:val="24"/>
        </w:rPr>
        <w:t>162.</w:t>
      </w:r>
    </w:p>
  </w:footnote>
  <w:footnote w:id="3">
    <w:p w:rsidR="00A43F58" w:rsidRPr="00A43F58" w:rsidRDefault="00A43F58">
      <w:pPr>
        <w:pStyle w:val="FootnoteText"/>
        <w:rPr>
          <w:lang w:val="en-US"/>
        </w:rPr>
      </w:pPr>
      <w:r>
        <w:rPr>
          <w:rStyle w:val="FootnoteReference"/>
        </w:rPr>
        <w:footnoteRef/>
      </w:r>
      <w:r>
        <w:t xml:space="preserve"> </w:t>
      </w:r>
      <w:r>
        <w:rPr>
          <w:rFonts w:cs="Arial"/>
          <w:i/>
          <w:iCs/>
          <w:szCs w:val="24"/>
        </w:rPr>
        <w:t xml:space="preserve">Sub nomine, McDonald </w:t>
      </w:r>
      <w:r>
        <w:rPr>
          <w:rFonts w:cs="Arial"/>
          <w:szCs w:val="24"/>
        </w:rPr>
        <w:t xml:space="preserve">v. </w:t>
      </w:r>
      <w:r>
        <w:rPr>
          <w:rFonts w:cs="Arial"/>
          <w:i/>
          <w:iCs/>
          <w:szCs w:val="24"/>
        </w:rPr>
        <w:t xml:space="preserve">Cummings, </w:t>
      </w:r>
      <w:r>
        <w:rPr>
          <w:rFonts w:cs="Arial"/>
          <w:szCs w:val="24"/>
        </w:rPr>
        <w:t>24 Can. S. C. R. 321.</w:t>
      </w:r>
    </w:p>
  </w:footnote>
  <w:footnote w:id="4">
    <w:p w:rsidR="00A43F58" w:rsidRPr="00A43F58" w:rsidRDefault="00A43F58">
      <w:pPr>
        <w:pStyle w:val="FootnoteText"/>
        <w:rPr>
          <w:lang w:val="en-US"/>
        </w:rPr>
      </w:pPr>
      <w:r>
        <w:rPr>
          <w:rStyle w:val="FootnoteReference"/>
        </w:rPr>
        <w:footnoteRef/>
      </w:r>
      <w:r>
        <w:t xml:space="preserve"> </w:t>
      </w:r>
      <w:r>
        <w:rPr>
          <w:rFonts w:cs="Arial"/>
          <w:szCs w:val="24"/>
        </w:rPr>
        <w:t>24 Can. S. C. R. 321.</w:t>
      </w:r>
    </w:p>
  </w:footnote>
  <w:footnote w:id="5">
    <w:p w:rsidR="00A43F58" w:rsidRPr="00A43F58" w:rsidRDefault="00A43F58">
      <w:pPr>
        <w:pStyle w:val="FootnoteText"/>
        <w:rPr>
          <w:lang w:val="en-US"/>
        </w:rPr>
      </w:pPr>
      <w:r>
        <w:rPr>
          <w:rStyle w:val="FootnoteReference"/>
        </w:rPr>
        <w:footnoteRef/>
      </w:r>
      <w:r>
        <w:t xml:space="preserve"> </w:t>
      </w:r>
      <w:r>
        <w:rPr>
          <w:rFonts w:cs="Arial"/>
          <w:szCs w:val="24"/>
        </w:rPr>
        <w:t>26 N. S. Rep. 366.</w:t>
      </w:r>
    </w:p>
  </w:footnote>
  <w:footnote w:id="6">
    <w:p w:rsidR="00A43F58" w:rsidRPr="00A43F58" w:rsidRDefault="00A43F58">
      <w:pPr>
        <w:pStyle w:val="FootnoteText"/>
        <w:rPr>
          <w:lang w:val="en-US"/>
        </w:rPr>
      </w:pPr>
      <w:r>
        <w:rPr>
          <w:rStyle w:val="FootnoteReference"/>
        </w:rPr>
        <w:footnoteRef/>
      </w:r>
      <w:r>
        <w:t xml:space="preserve"> </w:t>
      </w:r>
      <w:r>
        <w:rPr>
          <w:rFonts w:cs="Arial"/>
          <w:szCs w:val="24"/>
        </w:rPr>
        <w:t>27 Can. S. C. It. 589.</w:t>
      </w:r>
    </w:p>
  </w:footnote>
  <w:footnote w:id="7">
    <w:p w:rsidR="00A43F58" w:rsidRPr="00A43F58" w:rsidRDefault="00A43F58">
      <w:pPr>
        <w:pStyle w:val="FootnoteText"/>
        <w:rPr>
          <w:lang w:val="en-US"/>
        </w:rPr>
      </w:pPr>
      <w:r>
        <w:rPr>
          <w:rStyle w:val="FootnoteReference"/>
        </w:rPr>
        <w:footnoteRef/>
      </w:r>
      <w:r>
        <w:t xml:space="preserve"> </w:t>
      </w:r>
      <w:r>
        <w:rPr>
          <w:rFonts w:cs="Arial"/>
          <w:szCs w:val="24"/>
        </w:rPr>
        <w:t>26 N. S. Rep. 366.</w:t>
      </w:r>
    </w:p>
  </w:footnote>
  <w:footnote w:id="8">
    <w:p w:rsidR="00A43F58" w:rsidRPr="00A43F58" w:rsidRDefault="00A43F58">
      <w:pPr>
        <w:pStyle w:val="FootnoteText"/>
        <w:rPr>
          <w:lang w:val="en-US"/>
        </w:rPr>
      </w:pPr>
      <w:r>
        <w:rPr>
          <w:rStyle w:val="FootnoteReference"/>
        </w:rPr>
        <w:footnoteRef/>
      </w:r>
      <w:r>
        <w:t xml:space="preserve"> </w:t>
      </w:r>
      <w:r>
        <w:rPr>
          <w:rFonts w:cs="Arial"/>
          <w:szCs w:val="24"/>
        </w:rPr>
        <w:t>2 Atkyns 107.</w:t>
      </w:r>
    </w:p>
  </w:footnote>
  <w:footnote w:id="9">
    <w:p w:rsidR="00A43F58" w:rsidRPr="00A43F58" w:rsidRDefault="00A43F58">
      <w:pPr>
        <w:pStyle w:val="FootnoteText"/>
        <w:rPr>
          <w:lang w:val="en-US"/>
        </w:rPr>
      </w:pPr>
      <w:r>
        <w:rPr>
          <w:rStyle w:val="FootnoteReference"/>
        </w:rPr>
        <w:footnoteRef/>
      </w:r>
      <w:r>
        <w:t xml:space="preserve"> </w:t>
      </w:r>
      <w:r>
        <w:rPr>
          <w:rFonts w:cs="Arial"/>
          <w:szCs w:val="24"/>
        </w:rPr>
        <w:t>L. R. 7 Eq. 347.</w:t>
      </w:r>
    </w:p>
  </w:footnote>
  <w:footnote w:id="10">
    <w:p w:rsidR="00A43F58" w:rsidRPr="00A43F58" w:rsidRDefault="00A43F58">
      <w:pPr>
        <w:pStyle w:val="FootnoteText"/>
        <w:rPr>
          <w:lang w:val="en-US"/>
        </w:rPr>
      </w:pPr>
      <w:r>
        <w:rPr>
          <w:rStyle w:val="FootnoteReference"/>
        </w:rPr>
        <w:footnoteRef/>
      </w:r>
      <w:r>
        <w:t xml:space="preserve"> </w:t>
      </w:r>
      <w:r>
        <w:rPr>
          <w:rFonts w:cs="Arial"/>
          <w:szCs w:val="24"/>
        </w:rPr>
        <w:t>L. R. 14 Eq. 184.</w:t>
      </w:r>
    </w:p>
  </w:footnote>
  <w:footnote w:id="11">
    <w:p w:rsidR="00A43F58" w:rsidRPr="00A43F58" w:rsidRDefault="00A43F58">
      <w:pPr>
        <w:pStyle w:val="FootnoteText"/>
        <w:rPr>
          <w:lang w:val="en-US"/>
        </w:rPr>
      </w:pPr>
      <w:r>
        <w:rPr>
          <w:rStyle w:val="FootnoteReference"/>
        </w:rPr>
        <w:footnoteRef/>
      </w:r>
      <w:r>
        <w:t xml:space="preserve"> </w:t>
      </w:r>
      <w:r>
        <w:rPr>
          <w:rFonts w:cs="Arial"/>
          <w:szCs w:val="24"/>
        </w:rPr>
        <w:t>21 Beav. 511.</w:t>
      </w:r>
    </w:p>
  </w:footnote>
  <w:footnote w:id="12">
    <w:p w:rsidR="00A43F58" w:rsidRPr="00A43F58" w:rsidRDefault="00A43F58">
      <w:pPr>
        <w:pStyle w:val="FootnoteText"/>
        <w:rPr>
          <w:lang w:val="en-US"/>
        </w:rPr>
      </w:pPr>
      <w:r>
        <w:rPr>
          <w:rStyle w:val="FootnoteReference"/>
        </w:rPr>
        <w:footnoteRef/>
      </w:r>
      <w:r>
        <w:t xml:space="preserve"> </w:t>
      </w:r>
      <w:r>
        <w:rPr>
          <w:rFonts w:cs="Arial"/>
          <w:szCs w:val="24"/>
        </w:rPr>
        <w:t>1 DeG., M &amp; G. 495.</w:t>
      </w:r>
    </w:p>
  </w:footnote>
  <w:footnote w:id="13">
    <w:p w:rsidR="00A43F58" w:rsidRPr="00A43F58" w:rsidRDefault="00A43F58">
      <w:pPr>
        <w:pStyle w:val="FootnoteText"/>
        <w:rPr>
          <w:lang w:val="en-US"/>
        </w:rPr>
      </w:pPr>
      <w:r>
        <w:rPr>
          <w:rStyle w:val="FootnoteReference"/>
        </w:rPr>
        <w:footnoteRef/>
      </w:r>
      <w:r>
        <w:t xml:space="preserve"> </w:t>
      </w:r>
      <w:r>
        <w:rPr>
          <w:rFonts w:cs="Arial"/>
          <w:szCs w:val="24"/>
        </w:rPr>
        <w:t>27 Ch. D. 523.</w:t>
      </w:r>
    </w:p>
  </w:footnote>
  <w:footnote w:id="14">
    <w:p w:rsidR="00A43F58" w:rsidRPr="00A43F58" w:rsidRDefault="00A43F58">
      <w:pPr>
        <w:pStyle w:val="FootnoteText"/>
        <w:rPr>
          <w:lang w:val="en-US"/>
        </w:rPr>
      </w:pPr>
      <w:r>
        <w:rPr>
          <w:rStyle w:val="FootnoteReference"/>
        </w:rPr>
        <w:footnoteRef/>
      </w:r>
      <w:r>
        <w:t xml:space="preserve"> </w:t>
      </w:r>
      <w:r>
        <w:rPr>
          <w:rFonts w:cs="Arial"/>
          <w:szCs w:val="24"/>
        </w:rPr>
        <w:t>17 Gr. 190.</w:t>
      </w:r>
    </w:p>
  </w:footnote>
  <w:footnote w:id="15">
    <w:p w:rsidR="00A43F58" w:rsidRPr="00A43F58" w:rsidRDefault="00A43F58">
      <w:pPr>
        <w:pStyle w:val="FootnoteText"/>
        <w:rPr>
          <w:lang w:val="en-US"/>
        </w:rPr>
      </w:pPr>
      <w:r>
        <w:rPr>
          <w:rStyle w:val="FootnoteReference"/>
        </w:rPr>
        <w:footnoteRef/>
      </w:r>
      <w:r>
        <w:t xml:space="preserve"> </w:t>
      </w:r>
      <w:r>
        <w:rPr>
          <w:rFonts w:cs="Arial"/>
          <w:szCs w:val="24"/>
        </w:rPr>
        <w:t>38 Ch. D. 197.</w:t>
      </w:r>
    </w:p>
  </w:footnote>
  <w:footnote w:id="16">
    <w:p w:rsidR="00A43F58" w:rsidRPr="00A43F58" w:rsidRDefault="00A43F58">
      <w:pPr>
        <w:pStyle w:val="FootnoteText"/>
        <w:rPr>
          <w:lang w:val="en-US"/>
        </w:rPr>
      </w:pPr>
      <w:r>
        <w:rPr>
          <w:rStyle w:val="FootnoteReference"/>
        </w:rPr>
        <w:footnoteRef/>
      </w:r>
      <w:r>
        <w:t xml:space="preserve"> </w:t>
      </w:r>
      <w:r>
        <w:rPr>
          <w:rFonts w:cs="Arial"/>
          <w:szCs w:val="24"/>
        </w:rPr>
        <w:t>16 Ch. D. 544.</w:t>
      </w:r>
    </w:p>
  </w:footnote>
  <w:footnote w:id="17">
    <w:p w:rsidR="00A43F58" w:rsidRPr="00A43F58" w:rsidRDefault="00A43F58">
      <w:pPr>
        <w:pStyle w:val="FootnoteText"/>
        <w:rPr>
          <w:lang w:val="en-US"/>
        </w:rPr>
      </w:pPr>
      <w:r>
        <w:rPr>
          <w:rStyle w:val="FootnoteReference"/>
        </w:rPr>
        <w:footnoteRef/>
      </w:r>
      <w:r>
        <w:t xml:space="preserve"> </w:t>
      </w:r>
      <w:r>
        <w:rPr>
          <w:rFonts w:cs="Arial"/>
          <w:szCs w:val="24"/>
        </w:rPr>
        <w:t>1 O. R. 369.</w:t>
      </w:r>
    </w:p>
  </w:footnote>
  <w:footnote w:id="18">
    <w:p w:rsidR="00A43F58" w:rsidRPr="00A43F58" w:rsidRDefault="00A43F58">
      <w:pPr>
        <w:pStyle w:val="FootnoteText"/>
        <w:rPr>
          <w:lang w:val="en-US"/>
        </w:rPr>
      </w:pPr>
      <w:r>
        <w:rPr>
          <w:rStyle w:val="FootnoteReference"/>
        </w:rPr>
        <w:footnoteRef/>
      </w:r>
      <w:r>
        <w:t xml:space="preserve"> </w:t>
      </w:r>
      <w:r>
        <w:rPr>
          <w:rFonts w:cs="Arial"/>
          <w:szCs w:val="24"/>
        </w:rPr>
        <w:t>22 O. R. 290.</w:t>
      </w:r>
    </w:p>
  </w:footnote>
  <w:footnote w:id="19">
    <w:p w:rsidR="00A43F58" w:rsidRPr="00A43F58" w:rsidRDefault="00A43F58">
      <w:pPr>
        <w:pStyle w:val="FootnoteText"/>
        <w:rPr>
          <w:lang w:val="en-US"/>
        </w:rPr>
      </w:pPr>
      <w:r>
        <w:rPr>
          <w:rStyle w:val="FootnoteReference"/>
        </w:rPr>
        <w:footnoteRef/>
      </w:r>
      <w:r w:rsidR="00414E82">
        <w:t xml:space="preserve"> </w:t>
      </w:r>
      <w:r>
        <w:rPr>
          <w:rFonts w:cs="Arial"/>
          <w:szCs w:val="24"/>
        </w:rPr>
        <w:t>[1893] 1 Q. B. 551.</w:t>
      </w:r>
    </w:p>
  </w:footnote>
  <w:footnote w:id="20">
    <w:p w:rsidR="00A43F58" w:rsidRPr="00A43F58" w:rsidRDefault="00A43F58">
      <w:pPr>
        <w:pStyle w:val="FootnoteText"/>
        <w:rPr>
          <w:lang w:val="en-US"/>
        </w:rPr>
      </w:pPr>
      <w:r>
        <w:rPr>
          <w:rStyle w:val="FootnoteReference"/>
        </w:rPr>
        <w:footnoteRef/>
      </w:r>
      <w:r>
        <w:t xml:space="preserve"> </w:t>
      </w:r>
      <w:r>
        <w:rPr>
          <w:rFonts w:cs="Arial"/>
          <w:szCs w:val="24"/>
        </w:rPr>
        <w:t>25 O. R. 56.</w:t>
      </w:r>
    </w:p>
  </w:footnote>
  <w:footnote w:id="21">
    <w:p w:rsidR="00A43F58" w:rsidRPr="00A43F58" w:rsidRDefault="00A43F58">
      <w:pPr>
        <w:pStyle w:val="FootnoteText"/>
        <w:rPr>
          <w:lang w:val="en-US"/>
        </w:rPr>
      </w:pPr>
      <w:r>
        <w:rPr>
          <w:rStyle w:val="FootnoteReference"/>
        </w:rPr>
        <w:footnoteRef/>
      </w:r>
      <w:r w:rsidR="00414E82">
        <w:t xml:space="preserve"> </w:t>
      </w:r>
      <w:r>
        <w:rPr>
          <w:rFonts w:cs="Arial"/>
          <w:szCs w:val="24"/>
        </w:rPr>
        <w:t>[1894] 1 Q. B. 801.</w:t>
      </w:r>
    </w:p>
  </w:footnote>
  <w:footnote w:id="22">
    <w:p w:rsidR="00A43F58" w:rsidRPr="00A43F58" w:rsidRDefault="00A43F58">
      <w:pPr>
        <w:pStyle w:val="FootnoteText"/>
        <w:rPr>
          <w:lang w:val="en-US"/>
        </w:rPr>
      </w:pPr>
      <w:r>
        <w:rPr>
          <w:rStyle w:val="FootnoteReference"/>
        </w:rPr>
        <w:footnoteRef/>
      </w:r>
      <w:r>
        <w:t xml:space="preserve"> </w:t>
      </w:r>
      <w:r>
        <w:rPr>
          <w:rFonts w:cs="Arial"/>
          <w:szCs w:val="24"/>
        </w:rPr>
        <w:t>7 Metc. (Mass.) 520.</w:t>
      </w:r>
    </w:p>
  </w:footnote>
  <w:footnote w:id="23">
    <w:p w:rsidR="00A43F58" w:rsidRPr="00A43F58" w:rsidRDefault="00A43F58">
      <w:pPr>
        <w:pStyle w:val="FootnoteText"/>
        <w:rPr>
          <w:lang w:val="en-US"/>
        </w:rPr>
      </w:pPr>
      <w:r>
        <w:rPr>
          <w:rStyle w:val="FootnoteReference"/>
        </w:rPr>
        <w:footnoteRef/>
      </w:r>
      <w:r>
        <w:t xml:space="preserve"> </w:t>
      </w:r>
      <w:r>
        <w:rPr>
          <w:rFonts w:cs="Arial"/>
          <w:szCs w:val="24"/>
        </w:rPr>
        <w:t>43 Ch. D. 131.</w:t>
      </w:r>
    </w:p>
  </w:footnote>
  <w:footnote w:id="24">
    <w:p w:rsidR="00A43F58" w:rsidRPr="00A43F58" w:rsidRDefault="00A43F58">
      <w:pPr>
        <w:pStyle w:val="FootnoteText"/>
        <w:rPr>
          <w:lang w:val="en-US"/>
        </w:rPr>
      </w:pPr>
      <w:r>
        <w:rPr>
          <w:rStyle w:val="FootnoteReference"/>
        </w:rPr>
        <w:footnoteRef/>
      </w:r>
      <w:r>
        <w:t xml:space="preserve"> </w:t>
      </w:r>
      <w:r>
        <w:rPr>
          <w:rFonts w:cs="Arial"/>
          <w:szCs w:val="24"/>
        </w:rPr>
        <w:t>26 N. S. R. 366.</w:t>
      </w:r>
    </w:p>
  </w:footnote>
  <w:footnote w:id="25">
    <w:p w:rsidR="00A43F58" w:rsidRPr="00A43F58" w:rsidRDefault="00A43F58">
      <w:pPr>
        <w:pStyle w:val="FootnoteText"/>
        <w:rPr>
          <w:lang w:val="en-US"/>
        </w:rPr>
      </w:pPr>
      <w:r>
        <w:rPr>
          <w:rStyle w:val="FootnoteReference"/>
        </w:rPr>
        <w:footnoteRef/>
      </w:r>
      <w:r>
        <w:t xml:space="preserve"> </w:t>
      </w:r>
      <w:r>
        <w:rPr>
          <w:rFonts w:cs="Arial"/>
          <w:szCs w:val="24"/>
        </w:rPr>
        <w:t>24 Can. S. C. R. 321.</w:t>
      </w:r>
    </w:p>
  </w:footnote>
  <w:footnote w:id="26">
    <w:p w:rsidR="00A43F58" w:rsidRPr="00A43F58" w:rsidRDefault="00A43F58">
      <w:pPr>
        <w:pStyle w:val="FootnoteText"/>
        <w:rPr>
          <w:lang w:val="en-US"/>
        </w:rPr>
      </w:pPr>
      <w:r>
        <w:rPr>
          <w:rStyle w:val="FootnoteReference"/>
        </w:rPr>
        <w:footnoteRef/>
      </w:r>
      <w:r>
        <w:t xml:space="preserve"> </w:t>
      </w:r>
      <w:r>
        <w:rPr>
          <w:rFonts w:cs="Arial"/>
          <w:szCs w:val="24"/>
        </w:rPr>
        <w:t>29 N. S. R. 162.</w:t>
      </w:r>
    </w:p>
  </w:footnote>
  <w:footnote w:id="27">
    <w:p w:rsidR="00A43F58" w:rsidRPr="00A43F58" w:rsidRDefault="00A43F58">
      <w:pPr>
        <w:pStyle w:val="FootnoteText"/>
        <w:rPr>
          <w:lang w:val="en-US"/>
        </w:rPr>
      </w:pPr>
      <w:r>
        <w:rPr>
          <w:rStyle w:val="FootnoteReference"/>
        </w:rPr>
        <w:footnoteRef/>
      </w:r>
      <w:r>
        <w:t xml:space="preserve"> </w:t>
      </w:r>
      <w:r>
        <w:rPr>
          <w:rFonts w:cs="Arial"/>
          <w:szCs w:val="24"/>
        </w:rPr>
        <w:t>24 Can. S. C. R. 77</w:t>
      </w:r>
    </w:p>
  </w:footnote>
  <w:footnote w:id="28">
    <w:p w:rsidR="00A43F58" w:rsidRPr="00A43F58" w:rsidRDefault="00A43F58">
      <w:pPr>
        <w:pStyle w:val="FootnoteText"/>
        <w:rPr>
          <w:lang w:val="en-US"/>
        </w:rPr>
      </w:pPr>
      <w:r>
        <w:rPr>
          <w:rStyle w:val="FootnoteReference"/>
        </w:rPr>
        <w:footnoteRef/>
      </w:r>
      <w:r>
        <w:t xml:space="preserve"> </w:t>
      </w:r>
      <w:r>
        <w:rPr>
          <w:rFonts w:cs="Arial"/>
          <w:szCs w:val="24"/>
        </w:rPr>
        <w:t>5 Bing. 432.</w:t>
      </w:r>
    </w:p>
  </w:footnote>
  <w:footnote w:id="29">
    <w:p w:rsidR="00A43F58" w:rsidRPr="00A43F58" w:rsidRDefault="00A43F58">
      <w:pPr>
        <w:pStyle w:val="FootnoteText"/>
        <w:rPr>
          <w:lang w:val="en-US"/>
        </w:rPr>
      </w:pPr>
      <w:r>
        <w:rPr>
          <w:rStyle w:val="FootnoteReference"/>
        </w:rPr>
        <w:footnoteRef/>
      </w:r>
      <w:r>
        <w:t xml:space="preserve"> </w:t>
      </w:r>
      <w:r>
        <w:rPr>
          <w:rFonts w:cs="Arial"/>
          <w:szCs w:val="24"/>
        </w:rPr>
        <w:t>11 A. &amp; E. 1033.</w:t>
      </w:r>
    </w:p>
  </w:footnote>
  <w:footnote w:id="30">
    <w:p w:rsidR="00A43F58" w:rsidRPr="00A43F58" w:rsidRDefault="00A43F58">
      <w:pPr>
        <w:pStyle w:val="FootnoteText"/>
        <w:rPr>
          <w:lang w:val="en-US"/>
        </w:rPr>
      </w:pPr>
      <w:r>
        <w:rPr>
          <w:rStyle w:val="FootnoteReference"/>
        </w:rPr>
        <w:footnoteRef/>
      </w:r>
      <w:r>
        <w:t xml:space="preserve"> </w:t>
      </w:r>
      <w:r>
        <w:rPr>
          <w:rFonts w:cs="Arial"/>
          <w:szCs w:val="24"/>
        </w:rPr>
        <w:t>4 Ex. 312.</w:t>
      </w:r>
    </w:p>
  </w:footnote>
  <w:footnote w:id="31">
    <w:p w:rsidR="00A43F58" w:rsidRPr="00A43F58" w:rsidRDefault="00A43F58">
      <w:pPr>
        <w:pStyle w:val="FootnoteText"/>
        <w:rPr>
          <w:lang w:val="en-US"/>
        </w:rPr>
      </w:pPr>
      <w:r>
        <w:rPr>
          <w:rStyle w:val="FootnoteReference"/>
        </w:rPr>
        <w:footnoteRef/>
      </w:r>
      <w:r>
        <w:t xml:space="preserve"> </w:t>
      </w:r>
      <w:r>
        <w:rPr>
          <w:rFonts w:cs="Arial"/>
          <w:szCs w:val="24"/>
        </w:rPr>
        <w:t>24 Can. S. C. R. 77.</w:t>
      </w:r>
    </w:p>
  </w:footnote>
  <w:footnote w:id="32">
    <w:p w:rsidR="00A43F58" w:rsidRPr="00A43F58" w:rsidRDefault="00A43F58">
      <w:pPr>
        <w:pStyle w:val="FootnoteText"/>
        <w:rPr>
          <w:lang w:val="en-US"/>
        </w:rPr>
      </w:pPr>
      <w:r>
        <w:rPr>
          <w:rStyle w:val="FootnoteReference"/>
        </w:rPr>
        <w:footnoteRef/>
      </w:r>
      <w:r>
        <w:t xml:space="preserve"> </w:t>
      </w:r>
      <w:r>
        <w:rPr>
          <w:rFonts w:cs="Arial"/>
          <w:szCs w:val="24"/>
        </w:rPr>
        <w:t>4 DeG. &amp; J. 429.</w:t>
      </w:r>
    </w:p>
  </w:footnote>
  <w:footnote w:id="33">
    <w:p w:rsidR="00A43F58" w:rsidRPr="00A43F58" w:rsidRDefault="00A43F58">
      <w:pPr>
        <w:pStyle w:val="FootnoteText"/>
        <w:rPr>
          <w:lang w:val="en-US"/>
        </w:rPr>
      </w:pPr>
      <w:r>
        <w:rPr>
          <w:rStyle w:val="FootnoteReference"/>
        </w:rPr>
        <w:footnoteRef/>
      </w:r>
      <w:r>
        <w:t xml:space="preserve"> </w:t>
      </w:r>
      <w:r>
        <w:rPr>
          <w:rFonts w:cs="Arial"/>
          <w:szCs w:val="24"/>
        </w:rPr>
        <w:t>14 Ves. 273.</w:t>
      </w:r>
    </w:p>
  </w:footnote>
  <w:footnote w:id="34">
    <w:p w:rsidR="00A43F58" w:rsidRPr="00A43F58" w:rsidRDefault="00A43F58">
      <w:pPr>
        <w:pStyle w:val="FootnoteText"/>
        <w:rPr>
          <w:lang w:val="en-US"/>
        </w:rPr>
      </w:pPr>
      <w:r>
        <w:rPr>
          <w:rStyle w:val="FootnoteReference"/>
        </w:rPr>
        <w:footnoteRef/>
      </w:r>
      <w:r>
        <w:t xml:space="preserve"> </w:t>
      </w:r>
      <w:r>
        <w:rPr>
          <w:rFonts w:cs="Arial"/>
          <w:szCs w:val="24"/>
        </w:rPr>
        <w:t>1 Mer. 626.</w:t>
      </w:r>
    </w:p>
  </w:footnote>
  <w:footnote w:id="35">
    <w:p w:rsidR="00A43F58" w:rsidRPr="00A43F58" w:rsidRDefault="00A43F58">
      <w:pPr>
        <w:pStyle w:val="FootnoteText"/>
        <w:rPr>
          <w:lang w:val="en-US"/>
        </w:rPr>
      </w:pPr>
      <w:r>
        <w:rPr>
          <w:rStyle w:val="FootnoteReference"/>
        </w:rPr>
        <w:footnoteRef/>
      </w:r>
      <w:r>
        <w:t xml:space="preserve"> </w:t>
      </w:r>
      <w:r>
        <w:rPr>
          <w:rFonts w:cs="Arial"/>
          <w:szCs w:val="24"/>
        </w:rPr>
        <w:t>1 DeG. J. &amp; S. 517.</w:t>
      </w:r>
    </w:p>
  </w:footnote>
  <w:footnote w:id="36">
    <w:p w:rsidR="00A43F58" w:rsidRPr="00A43F58" w:rsidRDefault="00A43F58">
      <w:pPr>
        <w:pStyle w:val="FootnoteText"/>
        <w:rPr>
          <w:lang w:val="en-US"/>
        </w:rPr>
      </w:pPr>
      <w:r>
        <w:rPr>
          <w:rStyle w:val="FootnoteReference"/>
        </w:rPr>
        <w:footnoteRef/>
      </w:r>
      <w:r>
        <w:t xml:space="preserve"> </w:t>
      </w:r>
      <w:r>
        <w:rPr>
          <w:rFonts w:cs="Arial"/>
          <w:szCs w:val="24"/>
        </w:rPr>
        <w:t>11 Ch. D. 691; 13 Ch. D. 252.</w:t>
      </w:r>
    </w:p>
  </w:footnote>
  <w:footnote w:id="37">
    <w:p w:rsidR="00A43F58" w:rsidRPr="00A43F58" w:rsidRDefault="00A43F58">
      <w:pPr>
        <w:pStyle w:val="FootnoteText"/>
        <w:rPr>
          <w:lang w:val="en-US"/>
        </w:rPr>
      </w:pPr>
      <w:r>
        <w:rPr>
          <w:rStyle w:val="FootnoteReference"/>
        </w:rPr>
        <w:footnoteRef/>
      </w:r>
      <w:r>
        <w:t xml:space="preserve"> </w:t>
      </w:r>
      <w:r>
        <w:rPr>
          <w:rFonts w:cs="Arial"/>
          <w:szCs w:val="24"/>
        </w:rPr>
        <w:t>9 Ch. D. 275.</w:t>
      </w:r>
    </w:p>
  </w:footnote>
  <w:footnote w:id="38">
    <w:p w:rsidR="00A43F58" w:rsidRPr="00A43F58" w:rsidRDefault="00A43F58">
      <w:pPr>
        <w:pStyle w:val="FootnoteText"/>
        <w:rPr>
          <w:lang w:val="en-US"/>
        </w:rPr>
      </w:pPr>
      <w:r>
        <w:rPr>
          <w:rStyle w:val="FootnoteReference"/>
        </w:rPr>
        <w:footnoteRef/>
      </w:r>
      <w:r>
        <w:t xml:space="preserve"> </w:t>
      </w:r>
      <w:r>
        <w:rPr>
          <w:rFonts w:cs="Arial"/>
          <w:szCs w:val="24"/>
        </w:rPr>
        <w:t>6 Q. B. D. 75.</w:t>
      </w:r>
    </w:p>
  </w:footnote>
  <w:footnote w:id="39">
    <w:p w:rsidR="00A43F58" w:rsidRPr="00A43F58" w:rsidRDefault="00A43F58">
      <w:pPr>
        <w:pStyle w:val="FootnoteText"/>
        <w:rPr>
          <w:lang w:val="en-US"/>
        </w:rPr>
      </w:pPr>
      <w:r>
        <w:rPr>
          <w:rStyle w:val="FootnoteReference"/>
        </w:rPr>
        <w:footnoteRef/>
      </w:r>
      <w:r>
        <w:t xml:space="preserve"> </w:t>
      </w:r>
      <w:r>
        <w:rPr>
          <w:rFonts w:cs="Arial"/>
          <w:szCs w:val="24"/>
        </w:rPr>
        <w:t>17 Q. B. D. 743.</w:t>
      </w:r>
    </w:p>
  </w:footnote>
  <w:footnote w:id="40">
    <w:p w:rsidR="00A43F58" w:rsidRPr="00A43F58" w:rsidRDefault="00A43F58">
      <w:pPr>
        <w:pStyle w:val="FootnoteText"/>
        <w:rPr>
          <w:lang w:val="en-US"/>
        </w:rPr>
      </w:pPr>
      <w:r>
        <w:rPr>
          <w:rStyle w:val="FootnoteReference"/>
        </w:rPr>
        <w:footnoteRef/>
      </w:r>
      <w:r>
        <w:t xml:space="preserve"> </w:t>
      </w:r>
      <w:r>
        <w:rPr>
          <w:rFonts w:cs="Arial"/>
          <w:szCs w:val="24"/>
        </w:rPr>
        <w:t>L. R. 7 Eq. 347.</w:t>
      </w:r>
    </w:p>
  </w:footnote>
  <w:footnote w:id="41">
    <w:p w:rsidR="00A43F58" w:rsidRPr="00A43F58" w:rsidRDefault="00A43F58">
      <w:pPr>
        <w:pStyle w:val="FootnoteText"/>
        <w:rPr>
          <w:lang w:val="en-US"/>
        </w:rPr>
      </w:pPr>
      <w:r>
        <w:rPr>
          <w:rStyle w:val="FootnoteReference"/>
        </w:rPr>
        <w:footnoteRef/>
      </w:r>
      <w:r>
        <w:t xml:space="preserve"> </w:t>
      </w:r>
      <w:r>
        <w:rPr>
          <w:rFonts w:cs="Arial"/>
          <w:szCs w:val="24"/>
        </w:rPr>
        <w:t>17 Gr. 190.</w:t>
      </w:r>
    </w:p>
  </w:footnote>
  <w:footnote w:id="42">
    <w:p w:rsidR="00A43F58" w:rsidRPr="00A43F58" w:rsidRDefault="00A43F58">
      <w:pPr>
        <w:pStyle w:val="FootnoteText"/>
        <w:rPr>
          <w:lang w:val="en-US"/>
        </w:rPr>
      </w:pPr>
      <w:r>
        <w:rPr>
          <w:rStyle w:val="FootnoteReference"/>
        </w:rPr>
        <w:footnoteRef/>
      </w:r>
      <w:r>
        <w:t xml:space="preserve"> </w:t>
      </w:r>
      <w:r>
        <w:rPr>
          <w:rFonts w:cs="Arial"/>
          <w:szCs w:val="24"/>
        </w:rPr>
        <w:t>13 Can. S. C. R. 247.</w:t>
      </w:r>
    </w:p>
  </w:footnote>
  <w:footnote w:id="43">
    <w:p w:rsidR="00A43F58" w:rsidRPr="00A43F58" w:rsidRDefault="00A43F58">
      <w:pPr>
        <w:pStyle w:val="FootnoteText"/>
        <w:rPr>
          <w:lang w:val="en-US"/>
        </w:rPr>
      </w:pPr>
      <w:r>
        <w:rPr>
          <w:rStyle w:val="FootnoteReference"/>
        </w:rPr>
        <w:footnoteRef/>
      </w:r>
      <w:r>
        <w:t xml:space="preserve"> </w:t>
      </w:r>
      <w:r>
        <w:rPr>
          <w:rFonts w:cs="Arial"/>
          <w:szCs w:val="24"/>
        </w:rPr>
        <w:t>20 Q. B. D. 167.</w:t>
      </w:r>
    </w:p>
  </w:footnote>
  <w:footnote w:id="44">
    <w:p w:rsidR="00A43F58" w:rsidRPr="00A43F58" w:rsidRDefault="00A43F58">
      <w:pPr>
        <w:pStyle w:val="FootnoteText"/>
        <w:rPr>
          <w:lang w:val="en-US"/>
        </w:rPr>
      </w:pPr>
      <w:r>
        <w:rPr>
          <w:rStyle w:val="FootnoteReference"/>
        </w:rPr>
        <w:footnoteRef/>
      </w:r>
      <w:r>
        <w:t xml:space="preserve"> </w:t>
      </w:r>
      <w:r>
        <w:rPr>
          <w:rFonts w:cs="Arial"/>
          <w:szCs w:val="24"/>
        </w:rPr>
        <w:t>25 Ch. D. 413.</w:t>
      </w:r>
    </w:p>
  </w:footnote>
  <w:footnote w:id="45">
    <w:p w:rsidR="00A43F58" w:rsidRPr="00A43F58" w:rsidRDefault="00A43F58">
      <w:pPr>
        <w:pStyle w:val="FootnoteText"/>
        <w:rPr>
          <w:lang w:val="en-US"/>
        </w:rPr>
      </w:pPr>
      <w:r>
        <w:rPr>
          <w:rStyle w:val="FootnoteReference"/>
        </w:rPr>
        <w:footnoteRef/>
      </w:r>
      <w:r>
        <w:t xml:space="preserve"> </w:t>
      </w:r>
      <w:r>
        <w:rPr>
          <w:rFonts w:cs="Arial"/>
          <w:szCs w:val="24"/>
        </w:rPr>
        <w:t>25 O. R. 56.</w:t>
      </w:r>
    </w:p>
  </w:footnote>
  <w:footnote w:id="46">
    <w:p w:rsidR="00A43F58" w:rsidRPr="00A43F58" w:rsidRDefault="00A43F58">
      <w:pPr>
        <w:pStyle w:val="FootnoteText"/>
        <w:rPr>
          <w:lang w:val="en-US"/>
        </w:rPr>
      </w:pPr>
      <w:r>
        <w:rPr>
          <w:rStyle w:val="FootnoteReference"/>
        </w:rPr>
        <w:footnoteRef/>
      </w:r>
      <w:r>
        <w:t xml:space="preserve"> </w:t>
      </w:r>
      <w:r>
        <w:rPr>
          <w:rFonts w:cs="Arial"/>
          <w:szCs w:val="24"/>
        </w:rPr>
        <w:t>22 O. R. 290.</w:t>
      </w:r>
    </w:p>
  </w:footnote>
  <w:footnote w:id="47">
    <w:p w:rsidR="00A43F58" w:rsidRPr="00A43F58" w:rsidRDefault="00A43F58">
      <w:pPr>
        <w:pStyle w:val="FootnoteText"/>
        <w:rPr>
          <w:lang w:val="en-US"/>
        </w:rPr>
      </w:pPr>
      <w:r>
        <w:rPr>
          <w:rStyle w:val="FootnoteReference"/>
        </w:rPr>
        <w:footnoteRef/>
      </w:r>
      <w:r>
        <w:t xml:space="preserve"> </w:t>
      </w:r>
      <w:r>
        <w:rPr>
          <w:rFonts w:cs="Arial"/>
          <w:szCs w:val="24"/>
        </w:rPr>
        <w:t>L. R. 14 Eq. 184.</w:t>
      </w:r>
    </w:p>
  </w:footnote>
  <w:footnote w:id="48">
    <w:p w:rsidR="00A43F58" w:rsidRPr="00A43F58" w:rsidRDefault="00A43F58">
      <w:pPr>
        <w:pStyle w:val="FootnoteText"/>
        <w:rPr>
          <w:lang w:val="en-US"/>
        </w:rPr>
      </w:pPr>
      <w:r>
        <w:rPr>
          <w:rStyle w:val="FootnoteReference"/>
        </w:rPr>
        <w:footnoteRef/>
      </w:r>
      <w:r>
        <w:t xml:space="preserve"> </w:t>
      </w:r>
      <w:r>
        <w:rPr>
          <w:rFonts w:cs="Arial"/>
          <w:szCs w:val="24"/>
        </w:rPr>
        <w:t>28 Gr. 593.</w:t>
      </w:r>
    </w:p>
  </w:footnote>
  <w:footnote w:id="49">
    <w:p w:rsidR="00A43F58" w:rsidRPr="00A43F58" w:rsidRDefault="00A43F58">
      <w:pPr>
        <w:pStyle w:val="FootnoteText"/>
        <w:rPr>
          <w:lang w:val="en-US"/>
        </w:rPr>
      </w:pPr>
      <w:r>
        <w:rPr>
          <w:rStyle w:val="FootnoteReference"/>
        </w:rPr>
        <w:footnoteRef/>
      </w:r>
      <w:r>
        <w:t xml:space="preserve"> </w:t>
      </w:r>
      <w:r>
        <w:rPr>
          <w:rFonts w:cs="Arial"/>
          <w:szCs w:val="24"/>
        </w:rPr>
        <w:t>23 Ont. App. R. 51.</w:t>
      </w:r>
    </w:p>
  </w:footnote>
  <w:footnote w:id="50">
    <w:p w:rsidR="00A43F58" w:rsidRPr="00A43F58" w:rsidRDefault="00A43F58">
      <w:pPr>
        <w:pStyle w:val="FootnoteText"/>
        <w:rPr>
          <w:lang w:val="en-US"/>
        </w:rPr>
      </w:pPr>
      <w:r>
        <w:rPr>
          <w:rStyle w:val="FootnoteReference"/>
        </w:rPr>
        <w:footnoteRef/>
      </w:r>
      <w:r>
        <w:t xml:space="preserve"> </w:t>
      </w:r>
      <w:r>
        <w:rPr>
          <w:rFonts w:cs="Arial"/>
          <w:szCs w:val="24"/>
        </w:rPr>
        <w:t>12 Ves. 89.</w:t>
      </w:r>
    </w:p>
  </w:footnote>
  <w:footnote w:id="51">
    <w:p w:rsidR="00A43F58" w:rsidRPr="00A43F58" w:rsidRDefault="00A43F58">
      <w:pPr>
        <w:pStyle w:val="FootnoteText"/>
        <w:rPr>
          <w:lang w:val="en-US"/>
        </w:rPr>
      </w:pPr>
      <w:r>
        <w:rPr>
          <w:rStyle w:val="FootnoteReference"/>
        </w:rPr>
        <w:footnoteRef/>
      </w:r>
      <w:r>
        <w:t xml:space="preserve"> </w:t>
      </w:r>
      <w:r>
        <w:rPr>
          <w:rFonts w:cs="Arial"/>
          <w:szCs w:val="24"/>
        </w:rPr>
        <w:t>L. R. 4 Eq. 390.</w:t>
      </w:r>
    </w:p>
  </w:footnote>
  <w:footnote w:id="52">
    <w:p w:rsidR="00A43F58" w:rsidRPr="00A43F58" w:rsidRDefault="00A43F58">
      <w:pPr>
        <w:pStyle w:val="FootnoteText"/>
        <w:rPr>
          <w:lang w:val="en-US"/>
        </w:rPr>
      </w:pPr>
      <w:r>
        <w:rPr>
          <w:rStyle w:val="FootnoteReference"/>
        </w:rPr>
        <w:footnoteRef/>
      </w:r>
      <w:r>
        <w:t xml:space="preserve"> </w:t>
      </w:r>
      <w:r>
        <w:rPr>
          <w:rFonts w:cs="Arial"/>
          <w:szCs w:val="24"/>
        </w:rPr>
        <w:t>L. R. 14. Eq. 151.</w:t>
      </w:r>
    </w:p>
  </w:footnote>
  <w:footnote w:id="53">
    <w:p w:rsidR="00A43F58" w:rsidRPr="00A43F58" w:rsidRDefault="00A43F58">
      <w:pPr>
        <w:pStyle w:val="FootnoteText"/>
        <w:rPr>
          <w:lang w:val="en-US"/>
        </w:rPr>
      </w:pPr>
      <w:r>
        <w:rPr>
          <w:rStyle w:val="FootnoteReference"/>
        </w:rPr>
        <w:footnoteRef/>
      </w:r>
      <w:r>
        <w:t xml:space="preserve"> </w:t>
      </w:r>
      <w:r>
        <w:rPr>
          <w:rFonts w:cs="Arial"/>
          <w:szCs w:val="24"/>
        </w:rPr>
        <w:t>6 DeG. M. &amp; G. 95.</w:t>
      </w:r>
    </w:p>
  </w:footnote>
  <w:footnote w:id="54">
    <w:p w:rsidR="00A43F58" w:rsidRPr="00A43F58" w:rsidRDefault="00A43F58">
      <w:pPr>
        <w:pStyle w:val="FootnoteText"/>
        <w:rPr>
          <w:lang w:val="en-US"/>
        </w:rPr>
      </w:pPr>
      <w:r>
        <w:rPr>
          <w:rStyle w:val="FootnoteReference"/>
        </w:rPr>
        <w:footnoteRef/>
      </w:r>
      <w:r>
        <w:t xml:space="preserve"> </w:t>
      </w:r>
      <w:r>
        <w:rPr>
          <w:rFonts w:cs="Arial"/>
          <w:szCs w:val="24"/>
        </w:rPr>
        <w:t>12 Ont. P. R. 462.</w:t>
      </w:r>
    </w:p>
  </w:footnote>
  <w:footnote w:id="55">
    <w:p w:rsidR="00A43F58" w:rsidRPr="00A43F58" w:rsidRDefault="00A43F58">
      <w:pPr>
        <w:pStyle w:val="FootnoteText"/>
        <w:rPr>
          <w:lang w:val="en-US"/>
        </w:rPr>
      </w:pPr>
      <w:r>
        <w:rPr>
          <w:rStyle w:val="FootnoteReference"/>
        </w:rPr>
        <w:footnoteRef/>
      </w:r>
      <w:r>
        <w:t xml:space="preserve"> </w:t>
      </w:r>
      <w:r>
        <w:rPr>
          <w:rFonts w:cs="Arial"/>
          <w:szCs w:val="24"/>
        </w:rPr>
        <w:t>16 Ch. D. 544.</w:t>
      </w:r>
    </w:p>
  </w:footnote>
  <w:footnote w:id="56">
    <w:p w:rsidR="00A43F58" w:rsidRPr="00A43F58" w:rsidRDefault="00A43F58">
      <w:pPr>
        <w:pStyle w:val="FootnoteText"/>
        <w:rPr>
          <w:lang w:val="en-US"/>
        </w:rPr>
      </w:pPr>
      <w:r>
        <w:rPr>
          <w:rStyle w:val="FootnoteReference"/>
        </w:rPr>
        <w:footnoteRef/>
      </w:r>
      <w:r>
        <w:t xml:space="preserve"> </w:t>
      </w:r>
      <w:r>
        <w:rPr>
          <w:rFonts w:cs="Arial"/>
          <w:szCs w:val="24"/>
        </w:rPr>
        <w:t>Can. 24 S. C. R. 321.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19" w:rsidRDefault="00BE12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19" w:rsidRDefault="00BE12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19" w:rsidRDefault="00BE12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1E4F59E">
      <w:start w:val="1"/>
      <w:numFmt w:val="decimal"/>
      <w:pStyle w:val="ParagNum"/>
      <w:lvlText w:val="[%1]"/>
      <w:lvlJc w:val="left"/>
      <w:pPr>
        <w:tabs>
          <w:tab w:val="num" w:pos="369"/>
        </w:tabs>
        <w:ind w:left="369" w:hanging="369"/>
      </w:pPr>
    </w:lvl>
    <w:lvl w:ilvl="1" w:tplc="4EC8B7D4" w:tentative="1">
      <w:start w:val="1"/>
      <w:numFmt w:val="lowerLetter"/>
      <w:lvlText w:val="%2."/>
      <w:lvlJc w:val="left"/>
      <w:pPr>
        <w:tabs>
          <w:tab w:val="num" w:pos="1440"/>
        </w:tabs>
        <w:ind w:left="1440" w:hanging="360"/>
      </w:pPr>
    </w:lvl>
    <w:lvl w:ilvl="2" w:tplc="CE46137C" w:tentative="1">
      <w:start w:val="1"/>
      <w:numFmt w:val="lowerRoman"/>
      <w:lvlText w:val="%3."/>
      <w:lvlJc w:val="right"/>
      <w:pPr>
        <w:tabs>
          <w:tab w:val="num" w:pos="2160"/>
        </w:tabs>
        <w:ind w:left="2160" w:hanging="180"/>
      </w:pPr>
    </w:lvl>
    <w:lvl w:ilvl="3" w:tplc="FF1EA52E" w:tentative="1">
      <w:start w:val="1"/>
      <w:numFmt w:val="decimal"/>
      <w:lvlText w:val="%4."/>
      <w:lvlJc w:val="left"/>
      <w:pPr>
        <w:tabs>
          <w:tab w:val="num" w:pos="2880"/>
        </w:tabs>
        <w:ind w:left="2880" w:hanging="360"/>
      </w:pPr>
    </w:lvl>
    <w:lvl w:ilvl="4" w:tplc="45066464" w:tentative="1">
      <w:start w:val="1"/>
      <w:numFmt w:val="lowerLetter"/>
      <w:lvlText w:val="%5."/>
      <w:lvlJc w:val="left"/>
      <w:pPr>
        <w:tabs>
          <w:tab w:val="num" w:pos="3600"/>
        </w:tabs>
        <w:ind w:left="3600" w:hanging="360"/>
      </w:pPr>
    </w:lvl>
    <w:lvl w:ilvl="5" w:tplc="CC30F66C" w:tentative="1">
      <w:start w:val="1"/>
      <w:numFmt w:val="lowerRoman"/>
      <w:lvlText w:val="%6."/>
      <w:lvlJc w:val="right"/>
      <w:pPr>
        <w:tabs>
          <w:tab w:val="num" w:pos="4320"/>
        </w:tabs>
        <w:ind w:left="4320" w:hanging="180"/>
      </w:pPr>
    </w:lvl>
    <w:lvl w:ilvl="6" w:tplc="2C262690" w:tentative="1">
      <w:start w:val="1"/>
      <w:numFmt w:val="decimal"/>
      <w:lvlText w:val="%7."/>
      <w:lvlJc w:val="left"/>
      <w:pPr>
        <w:tabs>
          <w:tab w:val="num" w:pos="5040"/>
        </w:tabs>
        <w:ind w:left="5040" w:hanging="360"/>
      </w:pPr>
    </w:lvl>
    <w:lvl w:ilvl="7" w:tplc="CB1456A4" w:tentative="1">
      <w:start w:val="1"/>
      <w:numFmt w:val="lowerLetter"/>
      <w:lvlText w:val="%8."/>
      <w:lvlJc w:val="left"/>
      <w:pPr>
        <w:tabs>
          <w:tab w:val="num" w:pos="5760"/>
        </w:tabs>
        <w:ind w:left="5760" w:hanging="360"/>
      </w:pPr>
    </w:lvl>
    <w:lvl w:ilvl="8" w:tplc="505E7D7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463D"/>
    <w:rsid w:val="00013FDA"/>
    <w:rsid w:val="000173FB"/>
    <w:rsid w:val="00017EE0"/>
    <w:rsid w:val="000655EC"/>
    <w:rsid w:val="00077D2F"/>
    <w:rsid w:val="0008547A"/>
    <w:rsid w:val="000B6688"/>
    <w:rsid w:val="000C3415"/>
    <w:rsid w:val="00121409"/>
    <w:rsid w:val="00125F0C"/>
    <w:rsid w:val="00126A8E"/>
    <w:rsid w:val="001505EE"/>
    <w:rsid w:val="001837F3"/>
    <w:rsid w:val="001D0D42"/>
    <w:rsid w:val="001D5C4A"/>
    <w:rsid w:val="001E3D86"/>
    <w:rsid w:val="001F6A76"/>
    <w:rsid w:val="002209AC"/>
    <w:rsid w:val="002428EB"/>
    <w:rsid w:val="002A74DD"/>
    <w:rsid w:val="002B30C5"/>
    <w:rsid w:val="002C186C"/>
    <w:rsid w:val="002D463D"/>
    <w:rsid w:val="002D5E01"/>
    <w:rsid w:val="002F4F64"/>
    <w:rsid w:val="002F7D00"/>
    <w:rsid w:val="00361108"/>
    <w:rsid w:val="003824D9"/>
    <w:rsid w:val="003C17F0"/>
    <w:rsid w:val="003E5AF5"/>
    <w:rsid w:val="003F602F"/>
    <w:rsid w:val="00414E82"/>
    <w:rsid w:val="004277EE"/>
    <w:rsid w:val="0043543D"/>
    <w:rsid w:val="00442713"/>
    <w:rsid w:val="00457BC5"/>
    <w:rsid w:val="00463F5F"/>
    <w:rsid w:val="00482CDC"/>
    <w:rsid w:val="004C7ED4"/>
    <w:rsid w:val="00511D93"/>
    <w:rsid w:val="00514003"/>
    <w:rsid w:val="0052072E"/>
    <w:rsid w:val="00537980"/>
    <w:rsid w:val="00563767"/>
    <w:rsid w:val="005667DA"/>
    <w:rsid w:val="00593C8B"/>
    <w:rsid w:val="005C1982"/>
    <w:rsid w:val="005E0C21"/>
    <w:rsid w:val="00644967"/>
    <w:rsid w:val="00667D92"/>
    <w:rsid w:val="006D2BED"/>
    <w:rsid w:val="006D6F42"/>
    <w:rsid w:val="006E5FEA"/>
    <w:rsid w:val="00747F2C"/>
    <w:rsid w:val="00751F7D"/>
    <w:rsid w:val="00773F14"/>
    <w:rsid w:val="007969C4"/>
    <w:rsid w:val="007B1B0D"/>
    <w:rsid w:val="007B3A90"/>
    <w:rsid w:val="007D6DD5"/>
    <w:rsid w:val="008027F3"/>
    <w:rsid w:val="008433A9"/>
    <w:rsid w:val="008550EF"/>
    <w:rsid w:val="00872F75"/>
    <w:rsid w:val="00880FBB"/>
    <w:rsid w:val="008B0B7A"/>
    <w:rsid w:val="00926406"/>
    <w:rsid w:val="009A7B1B"/>
    <w:rsid w:val="009D37B6"/>
    <w:rsid w:val="009E64DC"/>
    <w:rsid w:val="00A42830"/>
    <w:rsid w:val="00A4371F"/>
    <w:rsid w:val="00A43F58"/>
    <w:rsid w:val="00A532AE"/>
    <w:rsid w:val="00A54E5B"/>
    <w:rsid w:val="00A61128"/>
    <w:rsid w:val="00A94C52"/>
    <w:rsid w:val="00AA463E"/>
    <w:rsid w:val="00AB0628"/>
    <w:rsid w:val="00AB09B8"/>
    <w:rsid w:val="00AB26A5"/>
    <w:rsid w:val="00B007EC"/>
    <w:rsid w:val="00B177F7"/>
    <w:rsid w:val="00B36B46"/>
    <w:rsid w:val="00B41B49"/>
    <w:rsid w:val="00B532F0"/>
    <w:rsid w:val="00B639A4"/>
    <w:rsid w:val="00B772A6"/>
    <w:rsid w:val="00BC4595"/>
    <w:rsid w:val="00BE1219"/>
    <w:rsid w:val="00C372DF"/>
    <w:rsid w:val="00C45FBD"/>
    <w:rsid w:val="00C46EAE"/>
    <w:rsid w:val="00C54EB9"/>
    <w:rsid w:val="00C61EC8"/>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444DF"/>
    <w:rsid w:val="00F5131F"/>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463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A463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A463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A463E"/>
  </w:style>
  <w:style w:type="paragraph" w:styleId="Header">
    <w:name w:val="header"/>
    <w:basedOn w:val="Normal"/>
    <w:link w:val="HeaderChar"/>
    <w:uiPriority w:val="99"/>
    <w:unhideWhenUsed/>
    <w:rsid w:val="00AA463E"/>
    <w:pPr>
      <w:tabs>
        <w:tab w:val="center" w:pos="4680"/>
        <w:tab w:val="right" w:pos="9360"/>
      </w:tabs>
    </w:pPr>
    <w:rPr>
      <w:rFonts w:ascii="Times New Roman" w:hAnsi="Times New Roman"/>
    </w:rPr>
  </w:style>
  <w:style w:type="character" w:customStyle="1" w:styleId="HeaderChar">
    <w:name w:val="Header Char"/>
    <w:link w:val="Header"/>
    <w:uiPriority w:val="99"/>
    <w:rsid w:val="00AA463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A463E"/>
    <w:pPr>
      <w:tabs>
        <w:tab w:val="center" w:pos="4680"/>
        <w:tab w:val="right" w:pos="9360"/>
      </w:tabs>
    </w:pPr>
    <w:rPr>
      <w:rFonts w:ascii="Times New Roman" w:hAnsi="Times New Roman"/>
    </w:rPr>
  </w:style>
  <w:style w:type="character" w:customStyle="1" w:styleId="FooterChar">
    <w:name w:val="Footer Char"/>
    <w:link w:val="Footer"/>
    <w:uiPriority w:val="99"/>
    <w:rsid w:val="00AA463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444D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A463E"/>
    <w:pPr>
      <w:spacing w:before="100" w:beforeAutospacing="1"/>
      <w:ind w:left="567"/>
      <w:jc w:val="both"/>
    </w:pPr>
  </w:style>
  <w:style w:type="paragraph" w:customStyle="1" w:styleId="Metadata">
    <w:name w:val="Metadata"/>
    <w:basedOn w:val="Normal"/>
    <w:rsid w:val="00AA463E"/>
    <w:pPr>
      <w:spacing w:before="100" w:beforeAutospacing="1" w:after="100" w:afterAutospacing="1"/>
    </w:pPr>
    <w:rPr>
      <w:rFonts w:cs="Arial"/>
      <w:szCs w:val="24"/>
    </w:rPr>
  </w:style>
  <w:style w:type="paragraph" w:customStyle="1" w:styleId="Page">
    <w:name w:val="Page"/>
    <w:basedOn w:val="Normal"/>
    <w:link w:val="PageChar"/>
    <w:rsid w:val="00AA463E"/>
    <w:pPr>
      <w:spacing w:before="100" w:beforeAutospacing="1" w:after="100" w:afterAutospacing="1"/>
    </w:pPr>
    <w:rPr>
      <w:i/>
    </w:rPr>
  </w:style>
  <w:style w:type="paragraph" w:styleId="FootnoteText">
    <w:name w:val="footnote text"/>
    <w:basedOn w:val="Normal"/>
    <w:link w:val="FootnoteTextChar"/>
    <w:autoRedefine/>
    <w:semiHidden/>
    <w:rsid w:val="00AA463E"/>
    <w:rPr>
      <w:sz w:val="16"/>
      <w:szCs w:val="20"/>
    </w:rPr>
  </w:style>
  <w:style w:type="character" w:customStyle="1" w:styleId="FootnoteTextChar">
    <w:name w:val="Footnote Text Char"/>
    <w:link w:val="FootnoteText"/>
    <w:semiHidden/>
    <w:rsid w:val="00AA463E"/>
    <w:rPr>
      <w:rFonts w:ascii="Arial" w:eastAsia="MS Mincho" w:hAnsi="Arial" w:cs="Times New Roman"/>
      <w:sz w:val="16"/>
      <w:szCs w:val="20"/>
      <w:lang w:val="en-CA" w:eastAsia="ja-JP"/>
    </w:rPr>
  </w:style>
  <w:style w:type="character" w:styleId="FootnoteReference">
    <w:name w:val="footnote reference"/>
    <w:semiHidden/>
    <w:rsid w:val="00AA463E"/>
    <w:rPr>
      <w:vertAlign w:val="superscript"/>
    </w:rPr>
  </w:style>
  <w:style w:type="paragraph" w:customStyle="1" w:styleId="ParagNum">
    <w:name w:val="ParagNum"/>
    <w:basedOn w:val="Normal"/>
    <w:rsid w:val="00AA463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A463E"/>
    <w:pPr>
      <w:spacing w:before="100" w:beforeAutospacing="1" w:after="100" w:afterAutospacing="1" w:line="360" w:lineRule="auto"/>
    </w:pPr>
  </w:style>
  <w:style w:type="paragraph" w:customStyle="1" w:styleId="Indent2">
    <w:name w:val="Indent 2"/>
    <w:basedOn w:val="Indent1"/>
    <w:rsid w:val="00AA463E"/>
    <w:pPr>
      <w:ind w:left="1134"/>
    </w:pPr>
  </w:style>
  <w:style w:type="paragraph" w:customStyle="1" w:styleId="Indent3">
    <w:name w:val="Indent 3"/>
    <w:basedOn w:val="Indent1"/>
    <w:rsid w:val="00AA463E"/>
    <w:pPr>
      <w:ind w:left="1701"/>
    </w:pPr>
  </w:style>
  <w:style w:type="paragraph" w:customStyle="1" w:styleId="Indent4">
    <w:name w:val="Indent 4"/>
    <w:basedOn w:val="Indent1"/>
    <w:rsid w:val="00AA463E"/>
    <w:pPr>
      <w:ind w:left="2268"/>
    </w:pPr>
  </w:style>
  <w:style w:type="paragraph" w:customStyle="1" w:styleId="Indent10">
    <w:name w:val="Indent1"/>
    <w:basedOn w:val="Reasons"/>
    <w:rsid w:val="00AA463E"/>
    <w:pPr>
      <w:ind w:left="567"/>
    </w:pPr>
  </w:style>
  <w:style w:type="paragraph" w:customStyle="1" w:styleId="Indent20">
    <w:name w:val="Indent2"/>
    <w:basedOn w:val="Indent10"/>
    <w:rsid w:val="00AA463E"/>
    <w:pPr>
      <w:ind w:left="1134"/>
    </w:pPr>
  </w:style>
  <w:style w:type="paragraph" w:customStyle="1" w:styleId="Indent30">
    <w:name w:val="Indent3"/>
    <w:basedOn w:val="Indent10"/>
    <w:rsid w:val="00AA463E"/>
    <w:pPr>
      <w:ind w:left="1701"/>
    </w:pPr>
  </w:style>
  <w:style w:type="paragraph" w:customStyle="1" w:styleId="Indent40">
    <w:name w:val="Indent4"/>
    <w:basedOn w:val="Indent10"/>
    <w:rsid w:val="00AA463E"/>
    <w:pPr>
      <w:ind w:left="2268"/>
    </w:pPr>
  </w:style>
  <w:style w:type="paragraph" w:customStyle="1" w:styleId="Keywords">
    <w:name w:val="Keywords"/>
    <w:basedOn w:val="Normal"/>
    <w:rsid w:val="00AA463E"/>
    <w:pPr>
      <w:spacing w:before="100" w:beforeAutospacing="1" w:after="100" w:afterAutospacing="1"/>
    </w:pPr>
    <w:rPr>
      <w:rFonts w:cs="Arial"/>
      <w:i/>
      <w:szCs w:val="24"/>
    </w:rPr>
  </w:style>
  <w:style w:type="paragraph" w:customStyle="1" w:styleId="Summary">
    <w:name w:val="Summary"/>
    <w:basedOn w:val="Normal"/>
    <w:autoRedefine/>
    <w:rsid w:val="00AA463E"/>
    <w:pPr>
      <w:spacing w:before="100" w:beforeAutospacing="1" w:after="100" w:afterAutospacing="1"/>
      <w:ind w:left="562" w:hanging="562"/>
    </w:pPr>
    <w:rPr>
      <w:rFonts w:cs="Arial"/>
    </w:rPr>
  </w:style>
  <w:style w:type="paragraph" w:customStyle="1" w:styleId="History">
    <w:name w:val="History"/>
    <w:basedOn w:val="Normal"/>
    <w:rsid w:val="00AA463E"/>
    <w:pPr>
      <w:spacing w:before="100" w:beforeAutospacing="1" w:after="100" w:afterAutospacing="1"/>
      <w:ind w:firstLine="567"/>
    </w:pPr>
  </w:style>
  <w:style w:type="paragraph" w:customStyle="1" w:styleId="T1">
    <w:name w:val="T1"/>
    <w:basedOn w:val="Normal"/>
    <w:rsid w:val="00AA463E"/>
    <w:pPr>
      <w:spacing w:before="240" w:after="100" w:afterAutospacing="1"/>
    </w:pPr>
    <w:rPr>
      <w:b/>
    </w:rPr>
  </w:style>
  <w:style w:type="paragraph" w:customStyle="1" w:styleId="T2">
    <w:name w:val="T2"/>
    <w:basedOn w:val="Normal"/>
    <w:rsid w:val="00AA463E"/>
    <w:pPr>
      <w:spacing w:before="240" w:after="100" w:afterAutospacing="1"/>
    </w:pPr>
  </w:style>
  <w:style w:type="paragraph" w:customStyle="1" w:styleId="Sollicitors">
    <w:name w:val="Sollicitors"/>
    <w:basedOn w:val="Normal"/>
    <w:rsid w:val="00AA463E"/>
    <w:pPr>
      <w:spacing w:before="100" w:beforeAutospacing="1" w:after="100" w:afterAutospacing="1"/>
    </w:pPr>
    <w:rPr>
      <w:i/>
    </w:rPr>
  </w:style>
  <w:style w:type="paragraph" w:customStyle="1" w:styleId="Court">
    <w:name w:val="Court"/>
    <w:basedOn w:val="Normal"/>
    <w:rsid w:val="00AA463E"/>
    <w:rPr>
      <w:rFonts w:cs="Arial"/>
      <w:b/>
      <w:szCs w:val="24"/>
    </w:rPr>
  </w:style>
  <w:style w:type="character" w:customStyle="1" w:styleId="PageChar">
    <w:name w:val="Page Char"/>
    <w:link w:val="Page"/>
    <w:rsid w:val="00AA463E"/>
    <w:rPr>
      <w:rFonts w:ascii="Arial" w:eastAsia="MS Mincho" w:hAnsi="Arial" w:cs="Times New Roman"/>
      <w:i/>
      <w:sz w:val="24"/>
      <w:szCs w:val="28"/>
      <w:lang w:val="en-CA" w:eastAsia="ja-JP"/>
    </w:rPr>
  </w:style>
  <w:style w:type="character" w:customStyle="1" w:styleId="ReasonsCar">
    <w:name w:val="Reasons Car"/>
    <w:link w:val="Reasons"/>
    <w:rsid w:val="00AA463E"/>
    <w:rPr>
      <w:rFonts w:ascii="Arial" w:eastAsia="MS Mincho" w:hAnsi="Arial" w:cs="Times New Roman"/>
      <w:sz w:val="24"/>
      <w:szCs w:val="28"/>
      <w:lang w:val="en-CA" w:eastAsia="ja-JP"/>
    </w:rPr>
  </w:style>
  <w:style w:type="paragraph" w:customStyle="1" w:styleId="CitationLine">
    <w:name w:val="CitationLine"/>
    <w:basedOn w:val="Court"/>
    <w:rsid w:val="00AA463E"/>
  </w:style>
  <w:style w:type="paragraph" w:customStyle="1" w:styleId="DateISO">
    <w:name w:val="DateISO"/>
    <w:basedOn w:val="Court"/>
    <w:rsid w:val="00AA46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9</Pages>
  <Words>2661</Words>
  <Characters>15172</Characters>
  <Application>Microsoft Office Word</Application>
  <DocSecurity>0</DocSecurity>
  <Lines>126</Lines>
  <Paragraphs>35</Paragraphs>
  <ScaleCrop>false</ScaleCrop>
  <Company/>
  <LinksUpToDate>false</LinksUpToDate>
  <CharactersWithSpaces>17798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2015-03-19T05:39:00Z</dcterms:created>
  <dcterms:modified xsi:type="dcterms:W3CDTF">2015-03-23T15:12:00Z</dcterms:modified>
</cp:coreProperties>
</file>