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7" w:rsidRDefault="00AD67A7" w:rsidP="00AD67A7">
      <w:pPr>
        <w:pStyle w:val="Court"/>
      </w:pPr>
      <w:r>
        <w:t>Supreme Court of Canada</w:t>
      </w:r>
    </w:p>
    <w:p w:rsidR="00AD67A7" w:rsidRDefault="00AD67A7" w:rsidP="00AD67A7">
      <w:pPr>
        <w:pStyle w:val="CitationLine"/>
      </w:pPr>
      <w:r w:rsidRPr="00B432E8">
        <w:t xml:space="preserve">Smith </w:t>
      </w:r>
      <w:r w:rsidRPr="00B432E8">
        <w:rPr>
          <w:i/>
          <w:iCs/>
        </w:rPr>
        <w:t xml:space="preserve">v. </w:t>
      </w:r>
      <w:r w:rsidRPr="00B432E8">
        <w:t xml:space="preserve">The Saint John City Railway Company </w:t>
      </w:r>
      <w:r w:rsidR="00B432E8">
        <w:t>a</w:t>
      </w:r>
      <w:r w:rsidRPr="00B432E8">
        <w:t xml:space="preserve">nd The Consolidated Electric Company </w:t>
      </w:r>
      <w:r w:rsidRPr="00B432E8">
        <w:rPr>
          <w:i/>
          <w:iCs/>
        </w:rPr>
        <w:t xml:space="preserve">v </w:t>
      </w:r>
      <w:r w:rsidRPr="00B432E8">
        <w:t xml:space="preserve">The Atlantic Trust Company </w:t>
      </w:r>
      <w:r w:rsidR="00B432E8">
        <w:t>a</w:t>
      </w:r>
      <w:r w:rsidRPr="00B432E8">
        <w:t xml:space="preserve">nd The Consolidated Electric Company </w:t>
      </w:r>
      <w:r w:rsidRPr="00B432E8">
        <w:rPr>
          <w:i/>
          <w:iCs/>
        </w:rPr>
        <w:t xml:space="preserve">v. </w:t>
      </w:r>
      <w:r w:rsidRPr="00B432E8">
        <w:t>Pratt (1898) 28 SCR 603</w:t>
      </w:r>
    </w:p>
    <w:p w:rsidR="00AD67A7" w:rsidRDefault="00AD67A7" w:rsidP="00AD67A7">
      <w:pPr>
        <w:pStyle w:val="DateISO"/>
      </w:pPr>
      <w:r>
        <w:t>Date: 1898-06-14</w:t>
      </w:r>
    </w:p>
    <w:p w:rsidR="00715347" w:rsidRPr="00AD67A7" w:rsidRDefault="00AD67A7" w:rsidP="00AD67A7">
      <w:pPr>
        <w:pStyle w:val="Metadata"/>
      </w:pPr>
      <w:r w:rsidRPr="00AD67A7">
        <w:t>Frederick H</w:t>
      </w:r>
      <w:r w:rsidR="00715347" w:rsidRPr="00AD67A7">
        <w:t xml:space="preserve">. </w:t>
      </w:r>
      <w:r w:rsidRPr="00AD67A7">
        <w:t>Smith</w:t>
      </w:r>
      <w:r w:rsidR="00715347" w:rsidRPr="00AD67A7">
        <w:t xml:space="preserve">, </w:t>
      </w:r>
      <w:r w:rsidRPr="00AD67A7">
        <w:t xml:space="preserve">Trustee </w:t>
      </w:r>
      <w:r w:rsidR="00715347" w:rsidRPr="00AD67A7">
        <w:t>(Plaintiff)</w:t>
      </w:r>
    </w:p>
    <w:p w:rsidR="00715347" w:rsidRPr="00AD67A7" w:rsidRDefault="00715347" w:rsidP="00AD67A7">
      <w:pPr>
        <w:pStyle w:val="Metadata"/>
      </w:pPr>
      <w:r w:rsidRPr="00AD67A7">
        <w:t>Appellant</w:t>
      </w:r>
    </w:p>
    <w:p w:rsidR="00715347" w:rsidRPr="00AD67A7" w:rsidRDefault="00AD67A7" w:rsidP="00AD67A7">
      <w:pPr>
        <w:pStyle w:val="Metadata"/>
      </w:pPr>
      <w:r>
        <w:t>A</w:t>
      </w:r>
      <w:r w:rsidR="00715347" w:rsidRPr="00AD67A7">
        <w:t>nd</w:t>
      </w:r>
    </w:p>
    <w:p w:rsidR="00715347" w:rsidRPr="00AD67A7" w:rsidRDefault="00AD67A7" w:rsidP="00AD67A7">
      <w:pPr>
        <w:pStyle w:val="Metadata"/>
      </w:pPr>
      <w:r w:rsidRPr="00AD67A7">
        <w:t xml:space="preserve">The Saint John City Railway Company </w:t>
      </w:r>
      <w:r>
        <w:t>a</w:t>
      </w:r>
      <w:r w:rsidRPr="00AD67A7">
        <w:t>nd Others</w:t>
      </w:r>
      <w:r w:rsidR="00715347" w:rsidRPr="00AD67A7">
        <w:t xml:space="preserve"> (Defendants)</w:t>
      </w:r>
    </w:p>
    <w:p w:rsidR="00715347" w:rsidRPr="00AD67A7" w:rsidRDefault="00715347" w:rsidP="00AD67A7">
      <w:pPr>
        <w:pStyle w:val="Metadata"/>
      </w:pPr>
      <w:r w:rsidRPr="00AD67A7">
        <w:t>Respondents</w:t>
      </w:r>
    </w:p>
    <w:p w:rsidR="00715347" w:rsidRPr="00AD67A7" w:rsidRDefault="00AD67A7" w:rsidP="00AD67A7">
      <w:pPr>
        <w:pStyle w:val="Metadata"/>
      </w:pPr>
      <w:r w:rsidRPr="00AD67A7">
        <w:t xml:space="preserve">The Consolidated Electric Company </w:t>
      </w:r>
      <w:r w:rsidR="00715347" w:rsidRPr="00AD67A7">
        <w:t>(Plaintiff)</w:t>
      </w:r>
    </w:p>
    <w:p w:rsidR="00715347" w:rsidRPr="00AD67A7" w:rsidRDefault="00715347" w:rsidP="00AD67A7">
      <w:pPr>
        <w:pStyle w:val="Metadata"/>
      </w:pPr>
      <w:r w:rsidRPr="00AD67A7">
        <w:t>Appellant</w:t>
      </w:r>
    </w:p>
    <w:p w:rsidR="00715347" w:rsidRPr="00AD67A7" w:rsidRDefault="00AD67A7" w:rsidP="00AD67A7">
      <w:pPr>
        <w:pStyle w:val="Metadata"/>
      </w:pPr>
      <w:r>
        <w:t>A</w:t>
      </w:r>
      <w:r w:rsidR="00715347" w:rsidRPr="00AD67A7">
        <w:t>nd</w:t>
      </w:r>
    </w:p>
    <w:p w:rsidR="00715347" w:rsidRPr="00AD67A7" w:rsidRDefault="00AD67A7" w:rsidP="00AD67A7">
      <w:pPr>
        <w:pStyle w:val="Metadata"/>
      </w:pPr>
      <w:r w:rsidRPr="00AD67A7">
        <w:t xml:space="preserve">The Atlantic Trust Company </w:t>
      </w:r>
      <w:r>
        <w:t>a</w:t>
      </w:r>
      <w:r w:rsidRPr="00AD67A7">
        <w:t xml:space="preserve">nd Others </w:t>
      </w:r>
      <w:r w:rsidR="00715347" w:rsidRPr="00AD67A7">
        <w:t>(Defendants)</w:t>
      </w:r>
    </w:p>
    <w:p w:rsidR="00715347" w:rsidRPr="00AD67A7" w:rsidRDefault="00715347" w:rsidP="00AD67A7">
      <w:pPr>
        <w:pStyle w:val="Metadata"/>
      </w:pPr>
      <w:r w:rsidRPr="00AD67A7">
        <w:t>Respondents</w:t>
      </w:r>
    </w:p>
    <w:p w:rsidR="00715347" w:rsidRPr="00AD67A7" w:rsidRDefault="00AD67A7" w:rsidP="00AD67A7">
      <w:pPr>
        <w:pStyle w:val="Metadata"/>
      </w:pPr>
      <w:r w:rsidRPr="00AD67A7">
        <w:t xml:space="preserve">The Consolidated Electric Company </w:t>
      </w:r>
      <w:r w:rsidR="00715347" w:rsidRPr="00AD67A7">
        <w:t>(Defendant)</w:t>
      </w:r>
    </w:p>
    <w:p w:rsidR="00715347" w:rsidRPr="00AD67A7" w:rsidRDefault="00715347" w:rsidP="00AD67A7">
      <w:pPr>
        <w:pStyle w:val="Metadata"/>
      </w:pPr>
      <w:r w:rsidRPr="00AD67A7">
        <w:t>Appellant</w:t>
      </w:r>
    </w:p>
    <w:p w:rsidR="00715347" w:rsidRPr="00AD67A7" w:rsidRDefault="00AD67A7" w:rsidP="00AD67A7">
      <w:pPr>
        <w:pStyle w:val="Metadata"/>
      </w:pPr>
      <w:r>
        <w:t>A</w:t>
      </w:r>
      <w:r w:rsidR="00715347" w:rsidRPr="00AD67A7">
        <w:t>nd</w:t>
      </w:r>
    </w:p>
    <w:p w:rsidR="00715347" w:rsidRPr="00AD67A7" w:rsidRDefault="00AD67A7" w:rsidP="00AD67A7">
      <w:pPr>
        <w:pStyle w:val="Metadata"/>
      </w:pPr>
      <w:r w:rsidRPr="00AD67A7">
        <w:t xml:space="preserve">Nathan </w:t>
      </w:r>
      <w:r>
        <w:t>D</w:t>
      </w:r>
      <w:r w:rsidRPr="00AD67A7">
        <w:t xml:space="preserve">. Pratt and </w:t>
      </w:r>
      <w:r>
        <w:t>O</w:t>
      </w:r>
      <w:r w:rsidRPr="00AD67A7">
        <w:t>thers</w:t>
      </w:r>
      <w:r w:rsidR="00715347" w:rsidRPr="00AD67A7">
        <w:t xml:space="preserve"> (Plaintiffs)</w:t>
      </w:r>
    </w:p>
    <w:p w:rsidR="00715347" w:rsidRPr="00AD67A7" w:rsidRDefault="00715347" w:rsidP="00AD67A7">
      <w:pPr>
        <w:pStyle w:val="Metadata"/>
      </w:pPr>
      <w:r w:rsidRPr="00AD67A7">
        <w:t>Respondents</w:t>
      </w:r>
    </w:p>
    <w:p w:rsidR="00AD67A7" w:rsidRDefault="00AD67A7" w:rsidP="00AD67A7">
      <w:pPr>
        <w:pStyle w:val="Metadata"/>
      </w:pPr>
      <w:r>
        <w:t>1898: May 9, 10; 1898: June 14.</w:t>
      </w:r>
    </w:p>
    <w:p w:rsidR="00AD67A7" w:rsidRDefault="00AD67A7" w:rsidP="00AD67A7">
      <w:pPr>
        <w:pStyle w:val="Metadata"/>
      </w:pPr>
      <w:r w:rsidRPr="00AD67A7">
        <w:t>Present</w:t>
      </w:r>
      <w:r>
        <w:t xml:space="preserve">:—Taschereau, Gwynne, Sedgewick, King and Girouard </w:t>
      </w:r>
      <w:r>
        <w:rPr>
          <w:smallCaps/>
        </w:rPr>
        <w:t>JJ.</w:t>
      </w:r>
    </w:p>
    <w:p w:rsidR="00715347" w:rsidRDefault="00715347" w:rsidP="00AD67A7">
      <w:pPr>
        <w:pStyle w:val="Metadata"/>
      </w:pPr>
      <w:r>
        <w:t>ON APPEAL FROM THE SUPREME COURT OF NEW BRUNSWICK.</w:t>
      </w:r>
    </w:p>
    <w:p w:rsidR="00715347" w:rsidRDefault="00715347" w:rsidP="00AD67A7">
      <w:pPr>
        <w:pStyle w:val="Keywords"/>
      </w:pPr>
      <w:r>
        <w:t>Appeal—Discretion of court appealed from—Costs.</w:t>
      </w:r>
    </w:p>
    <w:p w:rsidR="00715347" w:rsidRDefault="00715347" w:rsidP="00AD67A7">
      <w:pPr>
        <w:pStyle w:val="Summary"/>
      </w:pPr>
      <w:r>
        <w:t xml:space="preserve">It is only when some fundamental principle of justice has been ignored or some other </w:t>
      </w:r>
      <w:r>
        <w:lastRenderedPageBreak/>
        <w:t>gross error appears that the Supreme Court will interfere with the discretion of provincial courts in awarding or withholding costs.</w:t>
      </w:r>
    </w:p>
    <w:p w:rsidR="00715347" w:rsidRDefault="00715347" w:rsidP="00AD67A7">
      <w:pPr>
        <w:pStyle w:val="History"/>
      </w:pPr>
      <w:r w:rsidRPr="00AD67A7">
        <w:t>Appeal</w:t>
      </w:r>
      <w:r>
        <w:rPr>
          <w:smallCaps/>
        </w:rPr>
        <w:t xml:space="preserve"> </w:t>
      </w:r>
      <w:r>
        <w:t>from a decision of the Supreme Court of New Brunswick affirming the order of Hanington J. who decreed that the three suits had been consolidated by order of the late Judge in Equity, and that the costs should be taxed on the basis of such consolidation.</w:t>
      </w:r>
    </w:p>
    <w:p w:rsidR="00715347" w:rsidRDefault="00715347" w:rsidP="00AD67A7">
      <w:pPr>
        <w:pStyle w:val="History"/>
        <w:rPr>
          <w:rFonts w:cs="Arial"/>
          <w:szCs w:val="24"/>
        </w:rPr>
      </w:pPr>
      <w:r>
        <w:rPr>
          <w:rFonts w:cs="Arial"/>
          <w:szCs w:val="24"/>
        </w:rPr>
        <w:t>Mr. Justice Palmer, the late Judge in Equity, when the cases first came before him for hearing directed a</w:t>
      </w:r>
    </w:p>
    <w:p w:rsidR="00715347" w:rsidRDefault="00C53094" w:rsidP="00C53094">
      <w:pPr>
        <w:pStyle w:val="Page"/>
      </w:pPr>
      <w:r>
        <w:rPr>
          <w:rFonts w:cs="Arial"/>
          <w:szCs w:val="24"/>
        </w:rPr>
        <w:t xml:space="preserve">[Page </w:t>
      </w:r>
      <w:r w:rsidR="00715347">
        <w:rPr>
          <w:rFonts w:cs="Arial"/>
          <w:szCs w:val="24"/>
        </w:rPr>
        <w:t>604]</w:t>
      </w:r>
    </w:p>
    <w:p w:rsidR="00715347" w:rsidRDefault="00715347" w:rsidP="006F44A1">
      <w:pPr>
        <w:pStyle w:val="History"/>
        <w:ind w:firstLine="0"/>
        <w:rPr>
          <w:rFonts w:cs="Arial"/>
          <w:szCs w:val="24"/>
        </w:rPr>
      </w:pPr>
      <w:r>
        <w:rPr>
          <w:rFonts w:cs="Arial"/>
          <w:szCs w:val="24"/>
        </w:rPr>
        <w:t>consolidation, but no order was taken out by the plaintiffs. Judge Palmer having retired the hearing was proceeded with before Mr. Justice Hanington who gave effect to the previous direction and ordered the costs to be taxed as on a consolidated case. The full court affirmed this order and an appeal was then taken to this court.</w:t>
      </w:r>
    </w:p>
    <w:p w:rsidR="00715347" w:rsidRDefault="00715347" w:rsidP="006F44A1">
      <w:pPr>
        <w:pStyle w:val="History"/>
        <w:rPr>
          <w:rFonts w:cs="Arial"/>
          <w:szCs w:val="24"/>
        </w:rPr>
      </w:pPr>
      <w:r>
        <w:rPr>
          <w:rFonts w:cs="Arial"/>
          <w:i/>
          <w:iCs/>
          <w:szCs w:val="24"/>
        </w:rPr>
        <w:t xml:space="preserve">Pugsley </w:t>
      </w:r>
      <w:r>
        <w:rPr>
          <w:rFonts w:cs="Arial"/>
          <w:szCs w:val="24"/>
        </w:rPr>
        <w:t>Q.C. for the appellants. There was no formal order for consolidation issued and Judge Palmer could not have directed it as separate pleas were made in the three suits.</w:t>
      </w:r>
    </w:p>
    <w:p w:rsidR="00715347" w:rsidRDefault="00715347" w:rsidP="006F44A1">
      <w:pPr>
        <w:pStyle w:val="History"/>
        <w:rPr>
          <w:rFonts w:cs="Arial"/>
          <w:szCs w:val="24"/>
        </w:rPr>
      </w:pPr>
      <w:r>
        <w:rPr>
          <w:rFonts w:cs="Arial"/>
          <w:szCs w:val="24"/>
        </w:rPr>
        <w:t xml:space="preserve">An appeal will lie in these cases though they involve a question of costs only as the orders for taxation were made in error as to the facts and in violation of the rules of practice; </w:t>
      </w:r>
      <w:r>
        <w:rPr>
          <w:rFonts w:cs="Arial"/>
          <w:i/>
          <w:iCs/>
          <w:szCs w:val="24"/>
        </w:rPr>
        <w:t xml:space="preserve">Archbald </w:t>
      </w:r>
      <w:r>
        <w:rPr>
          <w:rFonts w:cs="Arial"/>
          <w:szCs w:val="24"/>
        </w:rPr>
        <w:t xml:space="preserve">v. </w:t>
      </w:r>
      <w:r>
        <w:rPr>
          <w:rFonts w:cs="Arial"/>
          <w:i/>
          <w:iCs/>
          <w:szCs w:val="24"/>
        </w:rPr>
        <w:t>Delisle</w:t>
      </w:r>
      <w:r w:rsidR="00B305D3">
        <w:rPr>
          <w:rStyle w:val="FootnoteReference"/>
          <w:rFonts w:cs="Arial"/>
          <w:i/>
          <w:iCs/>
          <w:szCs w:val="24"/>
        </w:rPr>
        <w:footnoteReference w:id="2"/>
      </w:r>
      <w:r>
        <w:rPr>
          <w:rFonts w:cs="Arial"/>
          <w:szCs w:val="24"/>
        </w:rPr>
        <w:t xml:space="preserve">. </w:t>
      </w:r>
      <w:r>
        <w:rPr>
          <w:rFonts w:cs="Arial"/>
          <w:i/>
          <w:iCs/>
          <w:szCs w:val="24"/>
        </w:rPr>
        <w:t xml:space="preserve">In re Chennell, Jones </w:t>
      </w:r>
      <w:r>
        <w:rPr>
          <w:rFonts w:cs="Arial"/>
          <w:szCs w:val="24"/>
        </w:rPr>
        <w:t xml:space="preserve">v. </w:t>
      </w:r>
      <w:r>
        <w:rPr>
          <w:rFonts w:cs="Arial"/>
          <w:i/>
          <w:iCs/>
          <w:szCs w:val="24"/>
        </w:rPr>
        <w:t>Chennell</w:t>
      </w:r>
      <w:r w:rsidR="00B305D3">
        <w:rPr>
          <w:rStyle w:val="FootnoteReference"/>
          <w:rFonts w:cs="Arial"/>
          <w:i/>
          <w:iCs/>
          <w:szCs w:val="24"/>
        </w:rPr>
        <w:footnoteReference w:id="3"/>
      </w:r>
      <w:r>
        <w:rPr>
          <w:rFonts w:cs="Arial"/>
          <w:szCs w:val="24"/>
        </w:rPr>
        <w:t>.</w:t>
      </w:r>
    </w:p>
    <w:p w:rsidR="00715347" w:rsidRDefault="00715347" w:rsidP="006F44A1">
      <w:pPr>
        <w:pStyle w:val="History"/>
        <w:rPr>
          <w:rFonts w:cs="Arial"/>
          <w:szCs w:val="24"/>
        </w:rPr>
      </w:pPr>
      <w:r>
        <w:rPr>
          <w:rFonts w:cs="Arial"/>
          <w:szCs w:val="24"/>
        </w:rPr>
        <w:t>The order was not made by Mr. Justice Hanington in the exercise of a judicial discretion and if it were an appeal would lie, as sec. 27 of The Supreme Court Act does not apply to decretal orders in equity. And see Daniels' Chancery Practice, 6 ed. pp. 1271 and 1274.</w:t>
      </w:r>
    </w:p>
    <w:p w:rsidR="00715347" w:rsidRDefault="00715347" w:rsidP="006F44A1">
      <w:pPr>
        <w:pStyle w:val="History"/>
        <w:rPr>
          <w:rFonts w:cs="Arial"/>
          <w:szCs w:val="24"/>
        </w:rPr>
      </w:pPr>
      <w:r>
        <w:rPr>
          <w:rFonts w:cs="Arial"/>
          <w:i/>
          <w:iCs/>
          <w:szCs w:val="24"/>
        </w:rPr>
        <w:t xml:space="preserve">W. Cassels </w:t>
      </w:r>
      <w:r>
        <w:rPr>
          <w:rFonts w:cs="Arial"/>
          <w:szCs w:val="24"/>
        </w:rPr>
        <w:t xml:space="preserve">Q.C., </w:t>
      </w:r>
      <w:r>
        <w:rPr>
          <w:rFonts w:cs="Arial"/>
          <w:i/>
          <w:iCs/>
          <w:szCs w:val="24"/>
        </w:rPr>
        <w:t xml:space="preserve">Stockton </w:t>
      </w:r>
      <w:r>
        <w:rPr>
          <w:rFonts w:cs="Arial"/>
          <w:szCs w:val="24"/>
        </w:rPr>
        <w:t xml:space="preserve">Q.C. and </w:t>
      </w:r>
      <w:r>
        <w:rPr>
          <w:rFonts w:cs="Arial"/>
          <w:i/>
          <w:iCs/>
          <w:szCs w:val="24"/>
        </w:rPr>
        <w:t xml:space="preserve">Tilley </w:t>
      </w:r>
      <w:r>
        <w:rPr>
          <w:rFonts w:cs="Arial"/>
          <w:szCs w:val="24"/>
        </w:rPr>
        <w:t xml:space="preserve">for the several respondents. The order for consolidation was properly granted on application of the plaintiffs. </w:t>
      </w:r>
      <w:r>
        <w:rPr>
          <w:rFonts w:cs="Arial"/>
          <w:i/>
          <w:iCs/>
          <w:szCs w:val="24"/>
        </w:rPr>
        <w:t xml:space="preserve">Martin </w:t>
      </w:r>
      <w:r>
        <w:rPr>
          <w:rFonts w:cs="Arial"/>
          <w:szCs w:val="24"/>
        </w:rPr>
        <w:t xml:space="preserve">v. </w:t>
      </w:r>
      <w:r>
        <w:rPr>
          <w:rFonts w:cs="Arial"/>
          <w:i/>
          <w:iCs/>
          <w:szCs w:val="24"/>
        </w:rPr>
        <w:t>Martin &amp; Co.</w:t>
      </w:r>
      <w:r w:rsidR="00B305D3">
        <w:rPr>
          <w:rStyle w:val="FootnoteReference"/>
          <w:rFonts w:cs="Arial"/>
          <w:i/>
          <w:iCs/>
          <w:szCs w:val="24"/>
        </w:rPr>
        <w:footnoteReference w:id="4"/>
      </w:r>
      <w:r>
        <w:rPr>
          <w:rFonts w:cs="Arial"/>
          <w:szCs w:val="24"/>
        </w:rPr>
        <w:t>.</w:t>
      </w:r>
    </w:p>
    <w:p w:rsidR="00715347" w:rsidRDefault="00715347" w:rsidP="006F44A1">
      <w:pPr>
        <w:pStyle w:val="History"/>
        <w:rPr>
          <w:rFonts w:cs="Arial"/>
          <w:szCs w:val="24"/>
        </w:rPr>
      </w:pPr>
      <w:r>
        <w:rPr>
          <w:rFonts w:cs="Arial"/>
          <w:szCs w:val="24"/>
        </w:rPr>
        <w:t xml:space="preserve">There is no appeal on a question of costs. </w:t>
      </w:r>
      <w:r>
        <w:rPr>
          <w:rFonts w:cs="Arial"/>
          <w:i/>
          <w:iCs/>
          <w:szCs w:val="24"/>
        </w:rPr>
        <w:t xml:space="preserve">The Managers Metropolitan Asylum District </w:t>
      </w:r>
      <w:r>
        <w:rPr>
          <w:rFonts w:cs="Arial"/>
          <w:szCs w:val="24"/>
        </w:rPr>
        <w:t xml:space="preserve">v. </w:t>
      </w:r>
      <w:r>
        <w:rPr>
          <w:rFonts w:cs="Arial"/>
          <w:i/>
          <w:iCs/>
          <w:szCs w:val="24"/>
        </w:rPr>
        <w:t>Hill</w:t>
      </w:r>
      <w:r w:rsidR="00B305D3">
        <w:rPr>
          <w:rStyle w:val="FootnoteReference"/>
          <w:rFonts w:cs="Arial"/>
          <w:i/>
          <w:iCs/>
          <w:szCs w:val="24"/>
        </w:rPr>
        <w:footnoteReference w:id="5"/>
      </w:r>
      <w:r>
        <w:rPr>
          <w:rFonts w:cs="Arial"/>
          <w:szCs w:val="24"/>
        </w:rPr>
        <w:t xml:space="preserve">; </w:t>
      </w:r>
      <w:r>
        <w:rPr>
          <w:rFonts w:cs="Arial"/>
          <w:i/>
          <w:iCs/>
          <w:szCs w:val="24"/>
        </w:rPr>
        <w:t xml:space="preserve">McGugan </w:t>
      </w:r>
      <w:r>
        <w:rPr>
          <w:rFonts w:cs="Arial"/>
          <w:szCs w:val="24"/>
        </w:rPr>
        <w:t xml:space="preserve">v. </w:t>
      </w:r>
      <w:r>
        <w:rPr>
          <w:rFonts w:cs="Arial"/>
          <w:i/>
          <w:iCs/>
          <w:szCs w:val="24"/>
        </w:rPr>
        <w:t>Mc-Gugan</w:t>
      </w:r>
      <w:r w:rsidR="00B305D3">
        <w:rPr>
          <w:rStyle w:val="FootnoteReference"/>
          <w:rFonts w:cs="Arial"/>
          <w:i/>
          <w:iCs/>
          <w:szCs w:val="24"/>
        </w:rPr>
        <w:footnoteReference w:id="6"/>
      </w:r>
      <w:r>
        <w:rPr>
          <w:rFonts w:cs="Arial"/>
          <w:szCs w:val="24"/>
        </w:rPr>
        <w:t>,</w:t>
      </w:r>
    </w:p>
    <w:p w:rsidR="00715347" w:rsidRDefault="00715347" w:rsidP="006F44A1">
      <w:pPr>
        <w:pStyle w:val="Reasons"/>
      </w:pPr>
      <w:r>
        <w:t>The judgment of the court was delivered by:</w:t>
      </w:r>
    </w:p>
    <w:p w:rsidR="00715347" w:rsidRDefault="006F44A1" w:rsidP="006F44A1">
      <w:pPr>
        <w:pStyle w:val="Reasons"/>
        <w:rPr>
          <w:rFonts w:cs="Arial"/>
          <w:szCs w:val="24"/>
        </w:rPr>
      </w:pPr>
      <w:r w:rsidRPr="006F44A1">
        <w:lastRenderedPageBreak/>
        <w:t>SEDGEWICK</w:t>
      </w:r>
      <w:r>
        <w:rPr>
          <w:rFonts w:cs="Arial"/>
          <w:smallCaps/>
          <w:szCs w:val="24"/>
        </w:rPr>
        <w:t xml:space="preserve"> </w:t>
      </w:r>
      <w:r w:rsidR="00715347">
        <w:rPr>
          <w:rFonts w:cs="Arial"/>
          <w:szCs w:val="24"/>
        </w:rPr>
        <w:t>J.—We are all of opinion that these appeals should not be allowed.</w:t>
      </w:r>
    </w:p>
    <w:p w:rsidR="00715347" w:rsidRDefault="00715347" w:rsidP="006F44A1">
      <w:pPr>
        <w:pStyle w:val="Reasons"/>
        <w:rPr>
          <w:rFonts w:cs="Arial"/>
          <w:szCs w:val="24"/>
        </w:rPr>
      </w:pPr>
      <w:r>
        <w:rPr>
          <w:rFonts w:cs="Arial"/>
          <w:szCs w:val="24"/>
        </w:rPr>
        <w:t>They relate solely to an order of Mr. Justice Hanington asking that the costs of several actions should be taxed as if these actions had been consolidated by a formal order as they were intended to be as evidenced</w:t>
      </w:r>
    </w:p>
    <w:p w:rsidR="00715347" w:rsidRDefault="00C53094" w:rsidP="00C53094">
      <w:pPr>
        <w:pStyle w:val="Page"/>
      </w:pPr>
      <w:r>
        <w:rPr>
          <w:rFonts w:cs="Arial"/>
          <w:szCs w:val="24"/>
        </w:rPr>
        <w:t xml:space="preserve">[Page </w:t>
      </w:r>
      <w:r w:rsidR="00715347">
        <w:rPr>
          <w:rFonts w:cs="Arial"/>
          <w:szCs w:val="24"/>
        </w:rPr>
        <w:t>605]</w:t>
      </w:r>
    </w:p>
    <w:p w:rsidR="00715347" w:rsidRDefault="00715347" w:rsidP="006F44A1">
      <w:pPr>
        <w:pStyle w:val="Reasons"/>
        <w:rPr>
          <w:rFonts w:cs="Arial"/>
          <w:szCs w:val="24"/>
        </w:rPr>
      </w:pPr>
      <w:r>
        <w:rPr>
          <w:rFonts w:cs="Arial"/>
          <w:szCs w:val="24"/>
        </w:rPr>
        <w:t>by the verbal direction of Mr. Justice Palmer then sitting as Judge in Equity and hearing the cases.</w:t>
      </w:r>
    </w:p>
    <w:p w:rsidR="00715347" w:rsidRDefault="00715347" w:rsidP="006F44A1">
      <w:pPr>
        <w:pStyle w:val="Reasons"/>
        <w:rPr>
          <w:rFonts w:cs="Arial"/>
          <w:szCs w:val="24"/>
        </w:rPr>
      </w:pPr>
      <w:r>
        <w:rPr>
          <w:rFonts w:cs="Arial"/>
          <w:szCs w:val="24"/>
        </w:rPr>
        <w:t>It is only in extreme cases where some fundamental principle of justice has been ignored, or where some gross error appears that this court will interfere with the discretion of provincial courts in awarding or withholding costs. This is not such a case. For my own part I think the order of Mr. Justice Hanington was properly made. There was no doubt that Mr. Justice Palmer when at an early stage he heard these cases directed that they should be consolidated and that direction was a matter of record.</w:t>
      </w:r>
    </w:p>
    <w:p w:rsidR="00715347" w:rsidRDefault="00715347" w:rsidP="006F44A1">
      <w:pPr>
        <w:pStyle w:val="Reasons"/>
        <w:rPr>
          <w:rFonts w:cs="Arial"/>
          <w:szCs w:val="24"/>
        </w:rPr>
      </w:pPr>
      <w:r>
        <w:rPr>
          <w:rFonts w:cs="Arial"/>
          <w:szCs w:val="24"/>
        </w:rPr>
        <w:t>If the appellants, they having the conduct of the several oases, did not choose to take out the order they have only themselves to blame, and Mr. Justice Hanington was perfectly right in putting in formal shape what was the expressed intention of his predecessor.</w:t>
      </w:r>
    </w:p>
    <w:p w:rsidR="00715347" w:rsidRDefault="00715347" w:rsidP="006F44A1">
      <w:pPr>
        <w:pStyle w:val="Reasons"/>
        <w:rPr>
          <w:rFonts w:cs="Arial"/>
          <w:szCs w:val="24"/>
        </w:rPr>
      </w:pPr>
      <w:r>
        <w:rPr>
          <w:rFonts w:cs="Arial"/>
          <w:szCs w:val="24"/>
        </w:rPr>
        <w:t>The learned counsel for the appellants, it seems to us, gave a wider scope to the order appealed from than we think it bears. The taxing authority will doubtless tax him not only for all the disbursements in the three cases but for all work necessarily done over and above what would have been done had there been only one suit.</w:t>
      </w:r>
    </w:p>
    <w:p w:rsidR="00715347" w:rsidRDefault="00715347" w:rsidP="006F44A1">
      <w:pPr>
        <w:pStyle w:val="Reasons"/>
        <w:rPr>
          <w:rFonts w:cs="Arial"/>
          <w:szCs w:val="24"/>
        </w:rPr>
      </w:pPr>
      <w:r>
        <w:rPr>
          <w:rFonts w:cs="Arial"/>
          <w:szCs w:val="24"/>
        </w:rPr>
        <w:t>The appeal is dismissed with costs.</w:t>
      </w:r>
    </w:p>
    <w:p w:rsidR="00715347" w:rsidRPr="006F44A1" w:rsidRDefault="00715347" w:rsidP="006F44A1">
      <w:pPr>
        <w:pStyle w:val="Reasons"/>
      </w:pPr>
      <w:r w:rsidRPr="006F44A1">
        <w:t>Appeal dismissed with costs.</w:t>
      </w:r>
    </w:p>
    <w:p w:rsidR="00715347" w:rsidRDefault="00715347" w:rsidP="006F44A1">
      <w:pPr>
        <w:pStyle w:val="Sollicitors"/>
        <w:rPr>
          <w:iCs/>
        </w:rPr>
      </w:pPr>
      <w:r>
        <w:t xml:space="preserve">Solicitor for the appellants: </w:t>
      </w:r>
      <w:r>
        <w:rPr>
          <w:iCs/>
        </w:rPr>
        <w:t>William Pugsley.</w:t>
      </w:r>
    </w:p>
    <w:p w:rsidR="00715347" w:rsidRDefault="00715347" w:rsidP="006F44A1">
      <w:pPr>
        <w:pStyle w:val="Sollicitors"/>
        <w:rPr>
          <w:iCs/>
        </w:rPr>
      </w:pPr>
      <w:r>
        <w:lastRenderedPageBreak/>
        <w:t xml:space="preserve">Solicitor for the respondents, The St. John City Railway Company and others: </w:t>
      </w:r>
      <w:r>
        <w:rPr>
          <w:iCs/>
        </w:rPr>
        <w:t>Arthur I. Trueman.</w:t>
      </w:r>
    </w:p>
    <w:p w:rsidR="00715347" w:rsidRDefault="00715347" w:rsidP="006F44A1">
      <w:pPr>
        <w:pStyle w:val="Sollicitors"/>
        <w:rPr>
          <w:iCs/>
        </w:rPr>
      </w:pPr>
      <w:r>
        <w:t xml:space="preserve">Solicitor for the respondents, The Imperial Trust Company of Canada: </w:t>
      </w:r>
      <w:r>
        <w:rPr>
          <w:iCs/>
        </w:rPr>
        <w:t>L. P. D. Tilley.</w:t>
      </w:r>
    </w:p>
    <w:p w:rsidR="00715347" w:rsidRDefault="00715347" w:rsidP="006F44A1">
      <w:pPr>
        <w:pStyle w:val="Sollicitors"/>
        <w:rPr>
          <w:iCs/>
        </w:rPr>
      </w:pPr>
      <w:r>
        <w:t xml:space="preserve">Solicitor for the respondents, The Molsons Bank and New Brunswick Electric Company: </w:t>
      </w:r>
      <w:r>
        <w:rPr>
          <w:iCs/>
        </w:rPr>
        <w:t>C. T. Coster.</w:t>
      </w:r>
    </w:p>
    <w:p w:rsidR="00715347" w:rsidRDefault="00715347" w:rsidP="006F44A1">
      <w:pPr>
        <w:pStyle w:val="Sollicitors"/>
        <w:rPr>
          <w:iCs/>
        </w:rPr>
      </w:pPr>
      <w:r>
        <w:t xml:space="preserve">Solicitor for the respondent Pratt: </w:t>
      </w:r>
      <w:r>
        <w:rPr>
          <w:iCs/>
        </w:rPr>
        <w:t>A. G. Blair.</w:t>
      </w:r>
    </w:p>
    <w:p w:rsidR="003824D9" w:rsidRDefault="00715347" w:rsidP="006F44A1">
      <w:pPr>
        <w:pStyle w:val="Sollicitors"/>
      </w:pPr>
      <w:r>
        <w:t xml:space="preserve">Solicitor for the respondent Hay ward: </w:t>
      </w:r>
      <w:r>
        <w:rPr>
          <w:iCs/>
        </w:rPr>
        <w:t>H A. McKeown.</w:t>
      </w:r>
    </w:p>
    <w:sectPr w:rsidR="003824D9" w:rsidSect="001715A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24" w:rsidRDefault="00F67924" w:rsidP="001715A3">
      <w:r>
        <w:separator/>
      </w:r>
    </w:p>
  </w:endnote>
  <w:endnote w:type="continuationSeparator" w:id="1">
    <w:p w:rsidR="00F67924" w:rsidRDefault="00F67924" w:rsidP="00171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24" w:rsidRDefault="00F67924" w:rsidP="001715A3">
      <w:r>
        <w:separator/>
      </w:r>
    </w:p>
  </w:footnote>
  <w:footnote w:type="continuationSeparator" w:id="1">
    <w:p w:rsidR="00F67924" w:rsidRDefault="00F67924" w:rsidP="001715A3">
      <w:r>
        <w:continuationSeparator/>
      </w:r>
    </w:p>
  </w:footnote>
  <w:footnote w:id="2">
    <w:p w:rsidR="00B305D3" w:rsidRPr="00B305D3" w:rsidRDefault="00B305D3">
      <w:pPr>
        <w:pStyle w:val="FootnoteText"/>
        <w:rPr>
          <w:lang w:val="en-US"/>
        </w:rPr>
      </w:pPr>
      <w:r>
        <w:rPr>
          <w:rStyle w:val="FootnoteReference"/>
        </w:rPr>
        <w:footnoteRef/>
      </w:r>
      <w:r>
        <w:t xml:space="preserve"> </w:t>
      </w:r>
      <w:r>
        <w:rPr>
          <w:rFonts w:cs="Arial"/>
          <w:smallCaps/>
          <w:szCs w:val="24"/>
        </w:rPr>
        <w:t xml:space="preserve">25 </w:t>
      </w:r>
      <w:r>
        <w:rPr>
          <w:rFonts w:cs="Arial"/>
          <w:szCs w:val="24"/>
        </w:rPr>
        <w:t xml:space="preserve">Can. </w:t>
      </w:r>
      <w:r>
        <w:rPr>
          <w:rFonts w:cs="Arial"/>
          <w:smallCaps/>
          <w:szCs w:val="24"/>
        </w:rPr>
        <w:t xml:space="preserve">S. </w:t>
      </w:r>
      <w:r>
        <w:rPr>
          <w:rFonts w:cs="Arial"/>
          <w:szCs w:val="24"/>
        </w:rPr>
        <w:t xml:space="preserve">C. </w:t>
      </w:r>
      <w:r>
        <w:rPr>
          <w:rFonts w:cs="Arial"/>
          <w:smallCaps/>
          <w:szCs w:val="24"/>
        </w:rPr>
        <w:t>R. 1.</w:t>
      </w:r>
    </w:p>
  </w:footnote>
  <w:footnote w:id="3">
    <w:p w:rsidR="00B305D3" w:rsidRPr="00B305D3" w:rsidRDefault="00B305D3">
      <w:pPr>
        <w:pStyle w:val="FootnoteText"/>
        <w:rPr>
          <w:lang w:val="en-US"/>
        </w:rPr>
      </w:pPr>
      <w:r>
        <w:rPr>
          <w:rStyle w:val="FootnoteReference"/>
        </w:rPr>
        <w:footnoteRef/>
      </w:r>
      <w:r>
        <w:t xml:space="preserve"> </w:t>
      </w:r>
      <w:r>
        <w:rPr>
          <w:rFonts w:cs="Arial"/>
          <w:smallCaps/>
          <w:szCs w:val="24"/>
        </w:rPr>
        <w:t xml:space="preserve">8 </w:t>
      </w:r>
      <w:r>
        <w:rPr>
          <w:rFonts w:cs="Arial"/>
          <w:szCs w:val="24"/>
        </w:rPr>
        <w:t xml:space="preserve">Ch. </w:t>
      </w:r>
      <w:r>
        <w:rPr>
          <w:rFonts w:cs="Arial"/>
          <w:smallCaps/>
          <w:szCs w:val="24"/>
        </w:rPr>
        <w:t>D. 492.</w:t>
      </w:r>
    </w:p>
  </w:footnote>
  <w:footnote w:id="4">
    <w:p w:rsidR="00B305D3" w:rsidRPr="00B305D3" w:rsidRDefault="00B305D3">
      <w:pPr>
        <w:pStyle w:val="FootnoteText"/>
        <w:rPr>
          <w:lang w:val="en-US"/>
        </w:rPr>
      </w:pPr>
      <w:r>
        <w:rPr>
          <w:rStyle w:val="FootnoteReference"/>
        </w:rPr>
        <w:footnoteRef/>
      </w:r>
      <w:r>
        <w:t xml:space="preserve"> </w:t>
      </w:r>
      <w:r>
        <w:rPr>
          <w:rFonts w:cs="Arial"/>
          <w:smallCaps/>
          <w:szCs w:val="24"/>
        </w:rPr>
        <w:t xml:space="preserve">[1897] 1 </w:t>
      </w:r>
      <w:r>
        <w:rPr>
          <w:rFonts w:cs="Arial"/>
          <w:szCs w:val="24"/>
        </w:rPr>
        <w:t xml:space="preserve">Q. </w:t>
      </w:r>
      <w:r>
        <w:rPr>
          <w:rFonts w:cs="Arial"/>
          <w:smallCaps/>
          <w:szCs w:val="24"/>
        </w:rPr>
        <w:t>B. 429.</w:t>
      </w:r>
    </w:p>
  </w:footnote>
  <w:footnote w:id="5">
    <w:p w:rsidR="00B305D3" w:rsidRPr="00B305D3" w:rsidRDefault="00B305D3">
      <w:pPr>
        <w:pStyle w:val="FootnoteText"/>
        <w:rPr>
          <w:lang w:val="en-US"/>
        </w:rPr>
      </w:pPr>
      <w:r>
        <w:rPr>
          <w:rStyle w:val="FootnoteReference"/>
        </w:rPr>
        <w:footnoteRef/>
      </w:r>
      <w:r>
        <w:t xml:space="preserve"> </w:t>
      </w:r>
      <w:r>
        <w:rPr>
          <w:rFonts w:cs="Arial"/>
          <w:smallCaps/>
          <w:szCs w:val="24"/>
        </w:rPr>
        <w:t xml:space="preserve">5 </w:t>
      </w:r>
      <w:r>
        <w:rPr>
          <w:rFonts w:cs="Arial"/>
          <w:szCs w:val="24"/>
        </w:rPr>
        <w:t xml:space="preserve">App. Cas. </w:t>
      </w:r>
      <w:r>
        <w:rPr>
          <w:rFonts w:cs="Arial"/>
          <w:smallCaps/>
          <w:szCs w:val="24"/>
        </w:rPr>
        <w:t>582.</w:t>
      </w:r>
    </w:p>
  </w:footnote>
  <w:footnote w:id="6">
    <w:p w:rsidR="00B305D3" w:rsidRPr="00B305D3" w:rsidRDefault="00B305D3">
      <w:pPr>
        <w:pStyle w:val="FootnoteText"/>
        <w:rPr>
          <w:lang w:val="en-US"/>
        </w:rPr>
      </w:pPr>
      <w:r>
        <w:rPr>
          <w:rStyle w:val="FootnoteReference"/>
        </w:rPr>
        <w:footnoteRef/>
      </w:r>
      <w:r>
        <w:t xml:space="preserve"> </w:t>
      </w:r>
      <w:r>
        <w:rPr>
          <w:rFonts w:cs="Arial"/>
          <w:smallCaps/>
          <w:szCs w:val="24"/>
        </w:rPr>
        <w:t xml:space="preserve">21 </w:t>
      </w:r>
      <w:r>
        <w:rPr>
          <w:rFonts w:cs="Arial"/>
          <w:szCs w:val="24"/>
        </w:rPr>
        <w:t xml:space="preserve">Can. </w:t>
      </w:r>
      <w:r>
        <w:rPr>
          <w:rFonts w:cs="Arial"/>
          <w:smallCaps/>
          <w:szCs w:val="24"/>
        </w:rPr>
        <w:t xml:space="preserve">S. </w:t>
      </w:r>
      <w:r>
        <w:rPr>
          <w:rFonts w:cs="Arial"/>
          <w:szCs w:val="24"/>
        </w:rPr>
        <w:t xml:space="preserve">C. </w:t>
      </w:r>
      <w:r>
        <w:rPr>
          <w:rFonts w:cs="Arial"/>
          <w:smallCaps/>
          <w:szCs w:val="24"/>
        </w:rPr>
        <w:t>R. 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A3" w:rsidRDefault="00171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5347"/>
    <w:rsid w:val="00013FDA"/>
    <w:rsid w:val="000173FB"/>
    <w:rsid w:val="00030CE7"/>
    <w:rsid w:val="000655EC"/>
    <w:rsid w:val="00077D2F"/>
    <w:rsid w:val="0008547A"/>
    <w:rsid w:val="000B6688"/>
    <w:rsid w:val="000C3415"/>
    <w:rsid w:val="00121409"/>
    <w:rsid w:val="00125F0C"/>
    <w:rsid w:val="00126A8E"/>
    <w:rsid w:val="001505EE"/>
    <w:rsid w:val="001715A3"/>
    <w:rsid w:val="001837F3"/>
    <w:rsid w:val="001D0D42"/>
    <w:rsid w:val="001D5C4A"/>
    <w:rsid w:val="001F6A76"/>
    <w:rsid w:val="002209AC"/>
    <w:rsid w:val="002428EB"/>
    <w:rsid w:val="002A74DD"/>
    <w:rsid w:val="002B30C5"/>
    <w:rsid w:val="002C186C"/>
    <w:rsid w:val="002D5E01"/>
    <w:rsid w:val="002F4F64"/>
    <w:rsid w:val="002F7D00"/>
    <w:rsid w:val="0035704C"/>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67874"/>
    <w:rsid w:val="00593C8B"/>
    <w:rsid w:val="00644967"/>
    <w:rsid w:val="006D2BED"/>
    <w:rsid w:val="006D6F42"/>
    <w:rsid w:val="006E5FEA"/>
    <w:rsid w:val="006F44A1"/>
    <w:rsid w:val="00715347"/>
    <w:rsid w:val="00747F2C"/>
    <w:rsid w:val="00751F7D"/>
    <w:rsid w:val="0075459F"/>
    <w:rsid w:val="007969C4"/>
    <w:rsid w:val="007B3A90"/>
    <w:rsid w:val="007D6DD5"/>
    <w:rsid w:val="008027F3"/>
    <w:rsid w:val="00841426"/>
    <w:rsid w:val="008433A9"/>
    <w:rsid w:val="00851EBD"/>
    <w:rsid w:val="008550EF"/>
    <w:rsid w:val="00872F75"/>
    <w:rsid w:val="00880FBB"/>
    <w:rsid w:val="008B0B7A"/>
    <w:rsid w:val="00926406"/>
    <w:rsid w:val="009A7B1B"/>
    <w:rsid w:val="009D37B6"/>
    <w:rsid w:val="009E64DC"/>
    <w:rsid w:val="00A20D3C"/>
    <w:rsid w:val="00A42830"/>
    <w:rsid w:val="00A4371F"/>
    <w:rsid w:val="00A54E5B"/>
    <w:rsid w:val="00A61128"/>
    <w:rsid w:val="00A94C52"/>
    <w:rsid w:val="00AB09B8"/>
    <w:rsid w:val="00AB53E1"/>
    <w:rsid w:val="00AD67A7"/>
    <w:rsid w:val="00B007EC"/>
    <w:rsid w:val="00B177F7"/>
    <w:rsid w:val="00B305D3"/>
    <w:rsid w:val="00B41B49"/>
    <w:rsid w:val="00B432E8"/>
    <w:rsid w:val="00B532F0"/>
    <w:rsid w:val="00B639A4"/>
    <w:rsid w:val="00B71155"/>
    <w:rsid w:val="00B772A6"/>
    <w:rsid w:val="00BC4595"/>
    <w:rsid w:val="00BE443F"/>
    <w:rsid w:val="00C372DF"/>
    <w:rsid w:val="00C45FBD"/>
    <w:rsid w:val="00C53094"/>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754D"/>
    <w:rsid w:val="00DC4119"/>
    <w:rsid w:val="00DE30DC"/>
    <w:rsid w:val="00E1124B"/>
    <w:rsid w:val="00E114A9"/>
    <w:rsid w:val="00E117BD"/>
    <w:rsid w:val="00E30F5A"/>
    <w:rsid w:val="00E37FFD"/>
    <w:rsid w:val="00E40016"/>
    <w:rsid w:val="00E407E4"/>
    <w:rsid w:val="00E43349"/>
    <w:rsid w:val="00E51D18"/>
    <w:rsid w:val="00E86DF4"/>
    <w:rsid w:val="00EB3437"/>
    <w:rsid w:val="00EC5EE0"/>
    <w:rsid w:val="00EF2358"/>
    <w:rsid w:val="00F13669"/>
    <w:rsid w:val="00F177D8"/>
    <w:rsid w:val="00F60320"/>
    <w:rsid w:val="00F64D86"/>
    <w:rsid w:val="00F67924"/>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2E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432E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432E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32E8"/>
  </w:style>
  <w:style w:type="paragraph" w:styleId="Header">
    <w:name w:val="header"/>
    <w:basedOn w:val="Normal"/>
    <w:link w:val="HeaderChar"/>
    <w:uiPriority w:val="99"/>
    <w:unhideWhenUsed/>
    <w:rsid w:val="00B432E8"/>
    <w:pPr>
      <w:tabs>
        <w:tab w:val="center" w:pos="4680"/>
        <w:tab w:val="right" w:pos="9360"/>
      </w:tabs>
    </w:pPr>
    <w:rPr>
      <w:rFonts w:ascii="Times New Roman" w:hAnsi="Times New Roman"/>
    </w:rPr>
  </w:style>
  <w:style w:type="character" w:customStyle="1" w:styleId="HeaderChar">
    <w:name w:val="Header Char"/>
    <w:link w:val="Header"/>
    <w:uiPriority w:val="99"/>
    <w:rsid w:val="00B432E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432E8"/>
    <w:pPr>
      <w:tabs>
        <w:tab w:val="center" w:pos="4680"/>
        <w:tab w:val="right" w:pos="9360"/>
      </w:tabs>
    </w:pPr>
    <w:rPr>
      <w:rFonts w:ascii="Times New Roman" w:hAnsi="Times New Roman"/>
    </w:rPr>
  </w:style>
  <w:style w:type="character" w:customStyle="1" w:styleId="FooterChar">
    <w:name w:val="Footer Char"/>
    <w:link w:val="Footer"/>
    <w:uiPriority w:val="99"/>
    <w:rsid w:val="00B432E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51EB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432E8"/>
    <w:pPr>
      <w:spacing w:before="100" w:beforeAutospacing="1"/>
      <w:ind w:left="567"/>
      <w:jc w:val="both"/>
    </w:pPr>
  </w:style>
  <w:style w:type="paragraph" w:customStyle="1" w:styleId="Metadata">
    <w:name w:val="Metadata"/>
    <w:basedOn w:val="Normal"/>
    <w:rsid w:val="00B432E8"/>
    <w:pPr>
      <w:spacing w:before="100" w:beforeAutospacing="1" w:after="100" w:afterAutospacing="1"/>
    </w:pPr>
    <w:rPr>
      <w:rFonts w:cs="Arial"/>
      <w:szCs w:val="24"/>
    </w:rPr>
  </w:style>
  <w:style w:type="paragraph" w:customStyle="1" w:styleId="Page">
    <w:name w:val="Page"/>
    <w:basedOn w:val="Normal"/>
    <w:link w:val="PageChar"/>
    <w:rsid w:val="00B432E8"/>
    <w:pPr>
      <w:spacing w:before="100" w:beforeAutospacing="1" w:after="100" w:afterAutospacing="1"/>
    </w:pPr>
    <w:rPr>
      <w:i/>
    </w:rPr>
  </w:style>
  <w:style w:type="paragraph" w:styleId="FootnoteText">
    <w:name w:val="footnote text"/>
    <w:basedOn w:val="Normal"/>
    <w:link w:val="FootnoteTextChar"/>
    <w:autoRedefine/>
    <w:semiHidden/>
    <w:rsid w:val="00B432E8"/>
    <w:rPr>
      <w:sz w:val="16"/>
      <w:szCs w:val="20"/>
    </w:rPr>
  </w:style>
  <w:style w:type="character" w:customStyle="1" w:styleId="FootnoteTextChar">
    <w:name w:val="Footnote Text Char"/>
    <w:link w:val="FootnoteText"/>
    <w:semiHidden/>
    <w:rsid w:val="00B432E8"/>
    <w:rPr>
      <w:rFonts w:ascii="Arial" w:eastAsia="MS Mincho" w:hAnsi="Arial" w:cs="Times New Roman"/>
      <w:sz w:val="16"/>
      <w:szCs w:val="20"/>
      <w:lang w:val="en-CA" w:eastAsia="ja-JP"/>
    </w:rPr>
  </w:style>
  <w:style w:type="character" w:styleId="FootnoteReference">
    <w:name w:val="footnote reference"/>
    <w:semiHidden/>
    <w:rsid w:val="00B432E8"/>
    <w:rPr>
      <w:vertAlign w:val="superscript"/>
    </w:rPr>
  </w:style>
  <w:style w:type="paragraph" w:customStyle="1" w:styleId="ParagNum">
    <w:name w:val="ParagNum"/>
    <w:basedOn w:val="Normal"/>
    <w:rsid w:val="00B432E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432E8"/>
    <w:pPr>
      <w:spacing w:before="100" w:beforeAutospacing="1" w:after="100" w:afterAutospacing="1" w:line="360" w:lineRule="auto"/>
    </w:pPr>
  </w:style>
  <w:style w:type="paragraph" w:customStyle="1" w:styleId="Indent2">
    <w:name w:val="Indent 2"/>
    <w:basedOn w:val="Indent1"/>
    <w:rsid w:val="00B432E8"/>
    <w:pPr>
      <w:ind w:left="1134"/>
    </w:pPr>
  </w:style>
  <w:style w:type="paragraph" w:customStyle="1" w:styleId="Indent3">
    <w:name w:val="Indent 3"/>
    <w:basedOn w:val="Indent1"/>
    <w:rsid w:val="00B432E8"/>
    <w:pPr>
      <w:ind w:left="1701"/>
    </w:pPr>
  </w:style>
  <w:style w:type="paragraph" w:customStyle="1" w:styleId="Indent4">
    <w:name w:val="Indent 4"/>
    <w:basedOn w:val="Indent1"/>
    <w:rsid w:val="00B432E8"/>
    <w:pPr>
      <w:ind w:left="2268"/>
    </w:pPr>
  </w:style>
  <w:style w:type="paragraph" w:customStyle="1" w:styleId="Indent10">
    <w:name w:val="Indent1"/>
    <w:basedOn w:val="Reasons"/>
    <w:rsid w:val="00B432E8"/>
    <w:pPr>
      <w:ind w:left="567"/>
    </w:pPr>
  </w:style>
  <w:style w:type="paragraph" w:customStyle="1" w:styleId="Indent20">
    <w:name w:val="Indent2"/>
    <w:basedOn w:val="Indent10"/>
    <w:rsid w:val="00B432E8"/>
    <w:pPr>
      <w:ind w:left="1134"/>
    </w:pPr>
  </w:style>
  <w:style w:type="paragraph" w:customStyle="1" w:styleId="Indent30">
    <w:name w:val="Indent3"/>
    <w:basedOn w:val="Indent10"/>
    <w:rsid w:val="00B432E8"/>
    <w:pPr>
      <w:ind w:left="1701"/>
    </w:pPr>
  </w:style>
  <w:style w:type="paragraph" w:customStyle="1" w:styleId="Indent40">
    <w:name w:val="Indent4"/>
    <w:basedOn w:val="Indent10"/>
    <w:rsid w:val="00B432E8"/>
    <w:pPr>
      <w:ind w:left="2268"/>
    </w:pPr>
  </w:style>
  <w:style w:type="paragraph" w:customStyle="1" w:styleId="Keywords">
    <w:name w:val="Keywords"/>
    <w:basedOn w:val="Normal"/>
    <w:rsid w:val="00B432E8"/>
    <w:pPr>
      <w:spacing w:before="100" w:beforeAutospacing="1" w:after="100" w:afterAutospacing="1"/>
    </w:pPr>
    <w:rPr>
      <w:rFonts w:cs="Arial"/>
      <w:i/>
      <w:szCs w:val="24"/>
    </w:rPr>
  </w:style>
  <w:style w:type="paragraph" w:customStyle="1" w:styleId="Summary">
    <w:name w:val="Summary"/>
    <w:basedOn w:val="Normal"/>
    <w:autoRedefine/>
    <w:rsid w:val="00B432E8"/>
    <w:pPr>
      <w:spacing w:before="100" w:beforeAutospacing="1" w:after="100" w:afterAutospacing="1"/>
      <w:ind w:left="562" w:hanging="562"/>
    </w:pPr>
    <w:rPr>
      <w:rFonts w:cs="Arial"/>
    </w:rPr>
  </w:style>
  <w:style w:type="paragraph" w:customStyle="1" w:styleId="History">
    <w:name w:val="History"/>
    <w:basedOn w:val="Normal"/>
    <w:rsid w:val="00B432E8"/>
    <w:pPr>
      <w:spacing w:before="100" w:beforeAutospacing="1" w:after="100" w:afterAutospacing="1"/>
      <w:ind w:firstLine="567"/>
    </w:pPr>
  </w:style>
  <w:style w:type="paragraph" w:customStyle="1" w:styleId="T1">
    <w:name w:val="T1"/>
    <w:basedOn w:val="Normal"/>
    <w:rsid w:val="00B432E8"/>
    <w:pPr>
      <w:spacing w:before="240" w:after="100" w:afterAutospacing="1"/>
    </w:pPr>
    <w:rPr>
      <w:b/>
    </w:rPr>
  </w:style>
  <w:style w:type="paragraph" w:customStyle="1" w:styleId="T2">
    <w:name w:val="T2"/>
    <w:basedOn w:val="Normal"/>
    <w:rsid w:val="00B432E8"/>
    <w:pPr>
      <w:spacing w:before="240" w:after="100" w:afterAutospacing="1"/>
    </w:pPr>
  </w:style>
  <w:style w:type="paragraph" w:customStyle="1" w:styleId="Sollicitors">
    <w:name w:val="Sollicitors"/>
    <w:basedOn w:val="Normal"/>
    <w:rsid w:val="00B432E8"/>
    <w:pPr>
      <w:spacing w:before="100" w:beforeAutospacing="1" w:after="100" w:afterAutospacing="1"/>
    </w:pPr>
    <w:rPr>
      <w:i/>
    </w:rPr>
  </w:style>
  <w:style w:type="paragraph" w:customStyle="1" w:styleId="Court">
    <w:name w:val="Court"/>
    <w:basedOn w:val="Normal"/>
    <w:rsid w:val="00B432E8"/>
    <w:rPr>
      <w:rFonts w:cs="Arial"/>
      <w:b/>
      <w:szCs w:val="24"/>
    </w:rPr>
  </w:style>
  <w:style w:type="character" w:customStyle="1" w:styleId="PageChar">
    <w:name w:val="Page Char"/>
    <w:link w:val="Page"/>
    <w:rsid w:val="00B432E8"/>
    <w:rPr>
      <w:rFonts w:ascii="Arial" w:eastAsia="MS Mincho" w:hAnsi="Arial" w:cs="Times New Roman"/>
      <w:i/>
      <w:sz w:val="24"/>
      <w:szCs w:val="28"/>
      <w:lang w:val="en-CA" w:eastAsia="ja-JP"/>
    </w:rPr>
  </w:style>
  <w:style w:type="character" w:customStyle="1" w:styleId="ReasonsCar">
    <w:name w:val="Reasons Car"/>
    <w:link w:val="Reasons"/>
    <w:rsid w:val="00B432E8"/>
    <w:rPr>
      <w:rFonts w:ascii="Arial" w:eastAsia="MS Mincho" w:hAnsi="Arial" w:cs="Times New Roman"/>
      <w:sz w:val="24"/>
      <w:szCs w:val="28"/>
      <w:lang w:val="en-CA" w:eastAsia="ja-JP"/>
    </w:rPr>
  </w:style>
  <w:style w:type="paragraph" w:customStyle="1" w:styleId="CitationLine">
    <w:name w:val="CitationLine"/>
    <w:basedOn w:val="Court"/>
    <w:rsid w:val="00B432E8"/>
  </w:style>
  <w:style w:type="paragraph" w:customStyle="1" w:styleId="DateISO">
    <w:name w:val="DateISO"/>
    <w:basedOn w:val="Court"/>
    <w:rsid w:val="00B432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4</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2015-03-19T05:39:00Z</dcterms:created>
  <dcterms:modified xsi:type="dcterms:W3CDTF">2015-03-23T15:38:00Z</dcterms:modified>
</cp:coreProperties>
</file>