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682" w:rsidRPr="001A656E" w:rsidRDefault="005C6682" w:rsidP="005C6682">
      <w:pPr>
        <w:pStyle w:val="Court"/>
      </w:pPr>
      <w:r w:rsidRPr="001A656E">
        <w:t>Supreme Court of Canada</w:t>
      </w:r>
    </w:p>
    <w:p w:rsidR="005C6682" w:rsidRPr="001A656E" w:rsidRDefault="00777680" w:rsidP="005C6682">
      <w:pPr>
        <w:pStyle w:val="CitationLine"/>
      </w:pPr>
      <w:r w:rsidRPr="001A656E">
        <w:rPr>
          <w:lang w:val="de-DE"/>
        </w:rPr>
        <w:t>Jones</w:t>
      </w:r>
      <w:r w:rsidRPr="001A656E">
        <w:t xml:space="preserve"> </w:t>
      </w:r>
      <w:r w:rsidRPr="001A656E">
        <w:rPr>
          <w:i/>
          <w:iCs/>
        </w:rPr>
        <w:t xml:space="preserve">v. </w:t>
      </w:r>
      <w:r w:rsidRPr="001A656E">
        <w:t xml:space="preserve">The City of </w:t>
      </w:r>
      <w:r w:rsidRPr="001A656E">
        <w:rPr>
          <w:lang w:val="it-IT"/>
        </w:rPr>
        <w:t>Saint John</w:t>
      </w:r>
      <w:r w:rsidRPr="001A656E">
        <w:t xml:space="preserve"> </w:t>
      </w:r>
      <w:r w:rsidR="005C6682" w:rsidRPr="001A656E">
        <w:t>(190</w:t>
      </w:r>
      <w:r w:rsidR="00AC64F8">
        <w:t>1</w:t>
      </w:r>
      <w:r w:rsidR="005C6682" w:rsidRPr="001A656E">
        <w:t>) 31 SCR 320</w:t>
      </w:r>
    </w:p>
    <w:p w:rsidR="005C6682" w:rsidRPr="001A656E" w:rsidRDefault="005C6682" w:rsidP="005C6682">
      <w:pPr>
        <w:pStyle w:val="DateISO"/>
      </w:pPr>
      <w:r w:rsidRPr="001A656E">
        <w:t>Date: 1901-05-07</w:t>
      </w:r>
    </w:p>
    <w:p w:rsidR="00C206DC" w:rsidRPr="001A656E" w:rsidRDefault="005C6682" w:rsidP="005C6682">
      <w:pPr>
        <w:pStyle w:val="Metadata"/>
      </w:pPr>
      <w:r w:rsidRPr="001A656E">
        <w:t>Simeon Jones (Plaintiff)</w:t>
      </w:r>
    </w:p>
    <w:p w:rsidR="00C206DC" w:rsidRPr="001A656E" w:rsidRDefault="005C6682" w:rsidP="005C6682">
      <w:pPr>
        <w:pStyle w:val="Metadata"/>
      </w:pPr>
      <w:r w:rsidRPr="001A656E">
        <w:t>Appellant</w:t>
      </w:r>
    </w:p>
    <w:p w:rsidR="00C206DC" w:rsidRPr="001A656E" w:rsidRDefault="005C6682" w:rsidP="005C6682">
      <w:pPr>
        <w:pStyle w:val="Metadata"/>
      </w:pPr>
      <w:r w:rsidRPr="001A656E">
        <w:t>And</w:t>
      </w:r>
    </w:p>
    <w:p w:rsidR="00C206DC" w:rsidRPr="001A656E" w:rsidRDefault="005C6682" w:rsidP="005C6682">
      <w:pPr>
        <w:pStyle w:val="Metadata"/>
      </w:pPr>
      <w:r w:rsidRPr="001A656E">
        <w:t>The City of Saint John (Defendant)</w:t>
      </w:r>
    </w:p>
    <w:p w:rsidR="00C206DC" w:rsidRPr="001A656E" w:rsidRDefault="005C6682" w:rsidP="005C6682">
      <w:pPr>
        <w:pStyle w:val="Metadata"/>
      </w:pPr>
      <w:r w:rsidRPr="001A656E">
        <w:t>Respondent</w:t>
      </w:r>
    </w:p>
    <w:p w:rsidR="005C6682" w:rsidRPr="001A656E" w:rsidRDefault="005C6682" w:rsidP="005C6682">
      <w:pPr>
        <w:pStyle w:val="Metadata"/>
      </w:pPr>
      <w:r w:rsidRPr="001A656E">
        <w:t>1901: May 7.</w:t>
      </w:r>
    </w:p>
    <w:p w:rsidR="005C6682" w:rsidRPr="001A656E" w:rsidRDefault="005C6682" w:rsidP="005C6682">
      <w:pPr>
        <w:pStyle w:val="Metadata"/>
      </w:pPr>
      <w:r w:rsidRPr="001A656E">
        <w:t>Present</w:t>
      </w:r>
      <w:r w:rsidRPr="001A656E">
        <w:rPr>
          <w:smallCaps/>
        </w:rPr>
        <w:t>:</w:t>
      </w:r>
      <w:r w:rsidRPr="001A656E">
        <w:t>—Sir Henry Strong C.J. and Taschereau, Gwynne, Sedgewick and Girouard JJ.</w:t>
      </w:r>
    </w:p>
    <w:p w:rsidR="00C206DC" w:rsidRPr="001A656E" w:rsidRDefault="00C206DC" w:rsidP="005C6682">
      <w:pPr>
        <w:pStyle w:val="Metadata"/>
      </w:pPr>
      <w:r w:rsidRPr="001A656E">
        <w:t>ON APPEAL FROM THE SUPREME COURT OF NEW BRUNSWICK.</w:t>
      </w:r>
    </w:p>
    <w:p w:rsidR="00C206DC" w:rsidRPr="001A656E" w:rsidRDefault="00C206DC" w:rsidP="005C6682">
      <w:pPr>
        <w:pStyle w:val="Keywords"/>
      </w:pPr>
      <w:r w:rsidRPr="001A656E">
        <w:t>Assessment and taxes—Appeal from assessment—Judgment confirming—Payment under protest—Res judicata.</w:t>
      </w:r>
    </w:p>
    <w:p w:rsidR="00C206DC" w:rsidRPr="001A656E" w:rsidRDefault="00C206DC" w:rsidP="005C6682">
      <w:pPr>
        <w:pStyle w:val="Summary"/>
      </w:pPr>
      <w:r w:rsidRPr="001A656E">
        <w:t>J., having been asssessed in 1896 on personal property as a resident of St. John, N.B., appealed without success to the appeals committee of the common council and then applied to the Supreme Court of New Brunswick for a writ of certiorari to quash the assessment, which was refused. An execution having been threatened he then paid the taxes under protest. In 1897 he was again assessed under the same circumstances, and took the same course with the exception of appealing to the Supreme Court of Canada from the judgment refusing a certiorari, and that court held the assessment void and ordered the writ to issue for quashing. J. then brought an action for repayment of the amount paid for the assessment in 1896.</w:t>
      </w:r>
    </w:p>
    <w:p w:rsidR="00C206DC" w:rsidRPr="001A656E" w:rsidRDefault="00C206DC" w:rsidP="005C6682">
      <w:pPr>
        <w:pStyle w:val="Summary"/>
        <w:rPr>
          <w:szCs w:val="24"/>
        </w:rPr>
      </w:pPr>
      <w:r w:rsidRPr="001A656E">
        <w:rPr>
          <w:i/>
          <w:iCs/>
          <w:szCs w:val="24"/>
        </w:rPr>
        <w:t xml:space="preserve">Held, </w:t>
      </w:r>
      <w:r w:rsidRPr="001A656E">
        <w:rPr>
          <w:szCs w:val="24"/>
        </w:rPr>
        <w:t xml:space="preserve">affirming the judgment of the Supreme Court of New Brunswick, that the judgment refusing a certiorari to quash the assessment in 1896 was </w:t>
      </w:r>
      <w:r w:rsidRPr="001A656E">
        <w:rPr>
          <w:i/>
          <w:iCs/>
          <w:szCs w:val="24"/>
        </w:rPr>
        <w:t xml:space="preserve">res judicata </w:t>
      </w:r>
      <w:r w:rsidRPr="001A656E">
        <w:rPr>
          <w:szCs w:val="24"/>
        </w:rPr>
        <w:t>against J., and he could not recover the amount so paid.</w:t>
      </w:r>
    </w:p>
    <w:p w:rsidR="00C206DC" w:rsidRPr="001A656E" w:rsidRDefault="00C206DC" w:rsidP="005C6682">
      <w:pPr>
        <w:pStyle w:val="History"/>
      </w:pPr>
      <w:r w:rsidRPr="001A656E">
        <w:t>Appeal</w:t>
      </w:r>
      <w:r w:rsidRPr="001A656E">
        <w:rPr>
          <w:smallCaps/>
        </w:rPr>
        <w:t xml:space="preserve"> </w:t>
      </w:r>
      <w:r w:rsidRPr="001A656E">
        <w:t>from a decision of the Supreme Court of New Brunswick setting aside a verdict at the trial in favour of the plaintiff and ordering judgment to be entered for the defendant.</w:t>
      </w:r>
    </w:p>
    <w:p w:rsidR="00C206DC" w:rsidRPr="001A656E" w:rsidRDefault="00C206DC" w:rsidP="005C6682">
      <w:pPr>
        <w:pStyle w:val="History"/>
        <w:rPr>
          <w:rFonts w:cs="Arial"/>
          <w:szCs w:val="24"/>
        </w:rPr>
      </w:pPr>
      <w:r w:rsidRPr="001A656E">
        <w:rPr>
          <w:rFonts w:cs="Arial"/>
          <w:szCs w:val="24"/>
        </w:rPr>
        <w:t>The material facts are set out in the above head-note.</w:t>
      </w:r>
    </w:p>
    <w:p w:rsidR="00C206DC" w:rsidRPr="001A656E" w:rsidRDefault="00C206DC" w:rsidP="00777680">
      <w:pPr>
        <w:pStyle w:val="History"/>
        <w:rPr>
          <w:rFonts w:cs="Arial"/>
          <w:szCs w:val="24"/>
        </w:rPr>
      </w:pPr>
      <w:r w:rsidRPr="001A656E">
        <w:rPr>
          <w:rFonts w:cs="Arial"/>
          <w:i/>
          <w:iCs/>
          <w:szCs w:val="24"/>
        </w:rPr>
        <w:t xml:space="preserve">Currey K.C. </w:t>
      </w:r>
      <w:r w:rsidRPr="001A656E">
        <w:rPr>
          <w:rFonts w:cs="Arial"/>
          <w:szCs w:val="24"/>
        </w:rPr>
        <w:t>for the appellant. The assessment for 1896, the amount of which was paid by plaintiff and which he now seeks to recover, was precisely the same</w:t>
      </w:r>
    </w:p>
    <w:p w:rsidR="00C206DC" w:rsidRPr="001A656E" w:rsidRDefault="003806A9" w:rsidP="003806A9">
      <w:pPr>
        <w:pStyle w:val="Page"/>
      </w:pPr>
      <w:r>
        <w:rPr>
          <w:rFonts w:cs="Arial"/>
          <w:szCs w:val="24"/>
        </w:rPr>
        <w:lastRenderedPageBreak/>
        <w:t xml:space="preserve">[Page </w:t>
      </w:r>
      <w:r w:rsidR="00C206DC" w:rsidRPr="001A656E">
        <w:rPr>
          <w:rFonts w:cs="Arial"/>
          <w:szCs w:val="24"/>
        </w:rPr>
        <w:t>321]</w:t>
      </w:r>
    </w:p>
    <w:p w:rsidR="00C206DC" w:rsidRPr="001A656E" w:rsidRDefault="00C206DC" w:rsidP="003206C2">
      <w:pPr>
        <w:pStyle w:val="History"/>
        <w:ind w:firstLine="0"/>
        <w:rPr>
          <w:rFonts w:cs="Arial"/>
          <w:szCs w:val="24"/>
        </w:rPr>
      </w:pPr>
      <w:r w:rsidRPr="001A656E">
        <w:rPr>
          <w:rFonts w:cs="Arial"/>
          <w:szCs w:val="24"/>
        </w:rPr>
        <w:t xml:space="preserve">as that for 1897 which was declared illegal by this court. </w:t>
      </w:r>
      <w:r w:rsidRPr="001A656E">
        <w:rPr>
          <w:rFonts w:cs="Arial"/>
          <w:i/>
          <w:iCs/>
          <w:szCs w:val="24"/>
        </w:rPr>
        <w:t xml:space="preserve">Jones </w:t>
      </w:r>
      <w:r w:rsidRPr="001A656E">
        <w:rPr>
          <w:rFonts w:cs="Arial"/>
          <w:szCs w:val="24"/>
        </w:rPr>
        <w:t xml:space="preserve">v. </w:t>
      </w:r>
      <w:r w:rsidRPr="001A656E">
        <w:rPr>
          <w:rFonts w:cs="Arial"/>
          <w:i/>
          <w:iCs/>
          <w:szCs w:val="24"/>
        </w:rPr>
        <w:t>City of St. John</w:t>
      </w:r>
      <w:r w:rsidR="001A656E" w:rsidRPr="001A656E">
        <w:rPr>
          <w:rStyle w:val="FootnoteReference"/>
          <w:rFonts w:cs="Arial"/>
          <w:i/>
          <w:iCs/>
          <w:szCs w:val="24"/>
        </w:rPr>
        <w:footnoteReference w:id="2"/>
      </w:r>
      <w:r w:rsidRPr="001A656E">
        <w:rPr>
          <w:rFonts w:cs="Arial"/>
          <w:szCs w:val="24"/>
        </w:rPr>
        <w:t xml:space="preserve">. He has, therefore, a right to be repaid the money to which the city was never entitled. </w:t>
      </w:r>
      <w:r w:rsidRPr="001A656E">
        <w:rPr>
          <w:rFonts w:cs="Arial"/>
          <w:i/>
          <w:iCs/>
          <w:szCs w:val="24"/>
        </w:rPr>
        <w:t xml:space="preserve">City of London </w:t>
      </w:r>
      <w:r w:rsidRPr="001A656E">
        <w:rPr>
          <w:rFonts w:cs="Arial"/>
          <w:szCs w:val="24"/>
        </w:rPr>
        <w:t xml:space="preserve">v. </w:t>
      </w:r>
      <w:r w:rsidRPr="001A656E">
        <w:rPr>
          <w:rFonts w:cs="Arial"/>
          <w:i/>
          <w:iCs/>
          <w:szCs w:val="24"/>
        </w:rPr>
        <w:t>Watt</w:t>
      </w:r>
      <w:r w:rsidR="001A656E" w:rsidRPr="001A656E">
        <w:rPr>
          <w:rStyle w:val="FootnoteReference"/>
          <w:rFonts w:cs="Arial"/>
          <w:i/>
          <w:iCs/>
          <w:szCs w:val="24"/>
        </w:rPr>
        <w:footnoteReference w:id="3"/>
      </w:r>
      <w:r w:rsidRPr="001A656E">
        <w:rPr>
          <w:rFonts w:cs="Arial"/>
          <w:szCs w:val="24"/>
        </w:rPr>
        <w:t xml:space="preserve">; </w:t>
      </w:r>
      <w:r w:rsidRPr="001A656E">
        <w:rPr>
          <w:rFonts w:cs="Arial"/>
          <w:i/>
          <w:iCs/>
          <w:szCs w:val="24"/>
        </w:rPr>
        <w:t xml:space="preserve">Preston </w:t>
      </w:r>
      <w:r w:rsidRPr="001A656E">
        <w:rPr>
          <w:rFonts w:cs="Arial"/>
          <w:szCs w:val="24"/>
        </w:rPr>
        <w:t xml:space="preserve">v. </w:t>
      </w:r>
      <w:r w:rsidRPr="001A656E">
        <w:rPr>
          <w:rFonts w:cs="Arial"/>
          <w:i/>
          <w:iCs/>
          <w:szCs w:val="24"/>
        </w:rPr>
        <w:t>City of Boston</w:t>
      </w:r>
      <w:r w:rsidR="001A656E" w:rsidRPr="001A656E">
        <w:rPr>
          <w:rStyle w:val="FootnoteReference"/>
          <w:rFonts w:cs="Arial"/>
          <w:i/>
          <w:iCs/>
          <w:szCs w:val="24"/>
        </w:rPr>
        <w:footnoteReference w:id="4"/>
      </w:r>
      <w:r w:rsidRPr="001A656E">
        <w:rPr>
          <w:rFonts w:cs="Arial"/>
          <w:szCs w:val="24"/>
        </w:rPr>
        <w:t>.</w:t>
      </w:r>
    </w:p>
    <w:p w:rsidR="00C206DC" w:rsidRPr="001A656E" w:rsidRDefault="00C206DC" w:rsidP="003206C2">
      <w:pPr>
        <w:pStyle w:val="History"/>
        <w:rPr>
          <w:rFonts w:cs="Arial"/>
          <w:szCs w:val="24"/>
        </w:rPr>
      </w:pPr>
      <w:r w:rsidRPr="001A656E">
        <w:rPr>
          <w:rFonts w:cs="Arial"/>
          <w:szCs w:val="24"/>
        </w:rPr>
        <w:t xml:space="preserve">The appeals committee was without jurisdiction as the assessment was illegal and consequently the judgment refusing certiorari is not </w:t>
      </w:r>
      <w:r w:rsidRPr="001A656E">
        <w:rPr>
          <w:rFonts w:cs="Arial"/>
          <w:i/>
          <w:iCs/>
          <w:szCs w:val="24"/>
        </w:rPr>
        <w:t xml:space="preserve">res judicata </w:t>
      </w:r>
      <w:r w:rsidRPr="001A656E">
        <w:rPr>
          <w:rFonts w:cs="Arial"/>
          <w:szCs w:val="24"/>
        </w:rPr>
        <w:t xml:space="preserve">against the plaintiff. </w:t>
      </w:r>
      <w:r w:rsidRPr="001A656E">
        <w:rPr>
          <w:rFonts w:cs="Arial"/>
          <w:i/>
          <w:iCs/>
          <w:szCs w:val="24"/>
        </w:rPr>
        <w:t xml:space="preserve">Mayor, &amp;c., of London </w:t>
      </w:r>
      <w:r w:rsidRPr="001A656E">
        <w:rPr>
          <w:rFonts w:cs="Arial"/>
          <w:szCs w:val="24"/>
        </w:rPr>
        <w:t xml:space="preserve">v. </w:t>
      </w:r>
      <w:r w:rsidRPr="001A656E">
        <w:rPr>
          <w:rFonts w:cs="Arial"/>
          <w:i/>
          <w:iCs/>
          <w:szCs w:val="24"/>
        </w:rPr>
        <w:t>Cox</w:t>
      </w:r>
      <w:r w:rsidR="001A656E" w:rsidRPr="001A656E">
        <w:rPr>
          <w:rStyle w:val="FootnoteReference"/>
          <w:rFonts w:cs="Arial"/>
          <w:i/>
          <w:iCs/>
          <w:szCs w:val="24"/>
        </w:rPr>
        <w:footnoteReference w:id="5"/>
      </w:r>
      <w:r w:rsidRPr="001A656E">
        <w:rPr>
          <w:rFonts w:cs="Arial"/>
          <w:szCs w:val="24"/>
        </w:rPr>
        <w:t>.</w:t>
      </w:r>
    </w:p>
    <w:p w:rsidR="00C206DC" w:rsidRPr="001A656E" w:rsidRDefault="00C206DC" w:rsidP="003206C2">
      <w:pPr>
        <w:pStyle w:val="History"/>
        <w:rPr>
          <w:rFonts w:cs="Arial"/>
          <w:szCs w:val="24"/>
        </w:rPr>
      </w:pPr>
      <w:r w:rsidRPr="001A656E">
        <w:rPr>
          <w:rFonts w:cs="Arial"/>
          <w:i/>
          <w:iCs/>
          <w:szCs w:val="24"/>
        </w:rPr>
        <w:t xml:space="preserve">C. J. Coster </w:t>
      </w:r>
      <w:r w:rsidRPr="001A656E">
        <w:rPr>
          <w:rFonts w:cs="Arial"/>
          <w:szCs w:val="24"/>
        </w:rPr>
        <w:t xml:space="preserve">for the respondent. The appellant cannot set up want of jurisdiction in the inferior court unless such defect appears on the face of its proceedings. </w:t>
      </w:r>
      <w:r w:rsidRPr="001A656E">
        <w:rPr>
          <w:rFonts w:cs="Arial"/>
          <w:i/>
          <w:iCs/>
          <w:szCs w:val="24"/>
        </w:rPr>
        <w:t xml:space="preserve">Colonial Bank of Australasia </w:t>
      </w:r>
      <w:r w:rsidRPr="001A656E">
        <w:rPr>
          <w:rFonts w:cs="Arial"/>
          <w:szCs w:val="24"/>
        </w:rPr>
        <w:t xml:space="preserve">v. </w:t>
      </w:r>
      <w:r w:rsidRPr="001A656E">
        <w:rPr>
          <w:rFonts w:cs="Arial"/>
          <w:i/>
          <w:iCs/>
          <w:szCs w:val="24"/>
        </w:rPr>
        <w:t>Willan</w:t>
      </w:r>
      <w:r w:rsidR="001A656E" w:rsidRPr="001A656E">
        <w:rPr>
          <w:rStyle w:val="FootnoteReference"/>
          <w:rFonts w:cs="Arial"/>
          <w:i/>
          <w:iCs/>
          <w:szCs w:val="24"/>
        </w:rPr>
        <w:footnoteReference w:id="6"/>
      </w:r>
      <w:r w:rsidRPr="001A656E">
        <w:rPr>
          <w:rFonts w:cs="Arial"/>
          <w:szCs w:val="24"/>
        </w:rPr>
        <w:t xml:space="preserve"> following </w:t>
      </w:r>
      <w:r w:rsidRPr="001A656E">
        <w:rPr>
          <w:rFonts w:cs="Arial"/>
          <w:i/>
          <w:iCs/>
          <w:szCs w:val="24"/>
        </w:rPr>
        <w:t xml:space="preserve">Reg. </w:t>
      </w:r>
      <w:r w:rsidRPr="001A656E">
        <w:rPr>
          <w:rFonts w:cs="Arial"/>
          <w:szCs w:val="24"/>
        </w:rPr>
        <w:t xml:space="preserve">v. </w:t>
      </w:r>
      <w:r w:rsidRPr="001A656E">
        <w:rPr>
          <w:rFonts w:cs="Arial"/>
          <w:i/>
          <w:iCs/>
          <w:szCs w:val="24"/>
        </w:rPr>
        <w:t>Bolton</w:t>
      </w:r>
      <w:r w:rsidR="001A656E" w:rsidRPr="001A656E">
        <w:rPr>
          <w:rStyle w:val="FootnoteReference"/>
          <w:rFonts w:cs="Arial"/>
          <w:i/>
          <w:iCs/>
          <w:szCs w:val="24"/>
        </w:rPr>
        <w:footnoteReference w:id="7"/>
      </w:r>
      <w:r w:rsidRPr="001A656E">
        <w:rPr>
          <w:rFonts w:cs="Arial"/>
          <w:szCs w:val="24"/>
        </w:rPr>
        <w:t xml:space="preserve">. See also </w:t>
      </w:r>
      <w:r w:rsidRPr="001A656E">
        <w:rPr>
          <w:rFonts w:cs="Arial"/>
          <w:i/>
          <w:iCs/>
          <w:szCs w:val="24"/>
        </w:rPr>
        <w:t xml:space="preserve">Brittain </w:t>
      </w:r>
      <w:r w:rsidRPr="001A656E">
        <w:rPr>
          <w:rFonts w:cs="Arial"/>
          <w:szCs w:val="24"/>
        </w:rPr>
        <w:t xml:space="preserve">v. </w:t>
      </w:r>
      <w:r w:rsidRPr="001A656E">
        <w:rPr>
          <w:rFonts w:cs="Arial"/>
          <w:i/>
          <w:iCs/>
          <w:szCs w:val="24"/>
        </w:rPr>
        <w:t>Kinnaird</w:t>
      </w:r>
      <w:r w:rsidR="001A656E" w:rsidRPr="001A656E">
        <w:rPr>
          <w:rStyle w:val="FootnoteReference"/>
          <w:rFonts w:cs="Arial"/>
          <w:i/>
          <w:iCs/>
          <w:szCs w:val="24"/>
        </w:rPr>
        <w:footnoteReference w:id="8"/>
      </w:r>
      <w:r w:rsidRPr="001A656E">
        <w:rPr>
          <w:rFonts w:cs="Arial"/>
          <w:szCs w:val="24"/>
        </w:rPr>
        <w:t>.</w:t>
      </w:r>
    </w:p>
    <w:p w:rsidR="00C206DC" w:rsidRPr="001A656E" w:rsidRDefault="00C206DC" w:rsidP="003206C2">
      <w:pPr>
        <w:pStyle w:val="History"/>
        <w:rPr>
          <w:rFonts w:cs="Arial"/>
          <w:szCs w:val="24"/>
        </w:rPr>
      </w:pPr>
      <w:r w:rsidRPr="001A656E">
        <w:rPr>
          <w:rFonts w:cs="Arial"/>
          <w:szCs w:val="24"/>
        </w:rPr>
        <w:t xml:space="preserve">The appellant having paid the tax voluntarily after the judgment refusing a certiorari such judgment is </w:t>
      </w:r>
      <w:r w:rsidRPr="001A656E">
        <w:rPr>
          <w:rFonts w:cs="Arial"/>
          <w:i/>
          <w:iCs/>
          <w:szCs w:val="24"/>
        </w:rPr>
        <w:t>res judicata. Flitters v. Allfrey</w:t>
      </w:r>
      <w:r w:rsidR="001A656E" w:rsidRPr="001A656E">
        <w:rPr>
          <w:rStyle w:val="FootnoteReference"/>
          <w:rFonts w:cs="Arial"/>
          <w:i/>
          <w:iCs/>
          <w:szCs w:val="24"/>
        </w:rPr>
        <w:footnoteReference w:id="9"/>
      </w:r>
      <w:r w:rsidRPr="001A656E">
        <w:rPr>
          <w:rFonts w:cs="Arial"/>
          <w:szCs w:val="24"/>
        </w:rPr>
        <w:t>.</w:t>
      </w:r>
    </w:p>
    <w:p w:rsidR="00C206DC" w:rsidRPr="001A656E" w:rsidRDefault="00C206DC" w:rsidP="003206C2">
      <w:pPr>
        <w:pStyle w:val="Reasons"/>
      </w:pPr>
      <w:r w:rsidRPr="001A656E">
        <w:t>The judgment of the court was delivered by;</w:t>
      </w:r>
    </w:p>
    <w:p w:rsidR="00C206DC" w:rsidRPr="001A656E" w:rsidRDefault="003206C2" w:rsidP="003206C2">
      <w:pPr>
        <w:pStyle w:val="Reasons"/>
        <w:rPr>
          <w:rFonts w:cs="Arial"/>
          <w:szCs w:val="24"/>
        </w:rPr>
      </w:pPr>
      <w:r w:rsidRPr="001A656E">
        <w:rPr>
          <w:rFonts w:cs="Arial"/>
          <w:szCs w:val="24"/>
        </w:rPr>
        <w:t>THE CHIEF JUSTICE</w:t>
      </w:r>
      <w:r w:rsidRPr="001A656E">
        <w:rPr>
          <w:rFonts w:cs="Arial"/>
          <w:smallCaps/>
          <w:szCs w:val="24"/>
        </w:rPr>
        <w:t xml:space="preserve"> </w:t>
      </w:r>
      <w:r w:rsidR="00C206DC" w:rsidRPr="001A656E">
        <w:rPr>
          <w:rFonts w:cs="Arial"/>
          <w:szCs w:val="24"/>
        </w:rPr>
        <w:t>(oral).—I have read very carefully the opinion delivered by Mr. Justice Barker in the Supreme Court of New Brunswick, and I entirely agree with it. The taxes of 1896, which form the subject of the present action, fall within the same category as those of 1897 in respect to which we gave our former judgment (1). But putting this entirely out of the question, here we find that Mr. Jones, after having been assessed, applied to the statutory tribunal, the appeals committee of the common council, which had authority to deal with the subject matter, and rendered the decision in consequence of which he paid</w:t>
      </w:r>
    </w:p>
    <w:p w:rsidR="00C206DC" w:rsidRPr="001A656E" w:rsidRDefault="003806A9" w:rsidP="003806A9">
      <w:pPr>
        <w:pStyle w:val="Page"/>
      </w:pPr>
      <w:r>
        <w:rPr>
          <w:rFonts w:cs="Arial"/>
          <w:szCs w:val="24"/>
        </w:rPr>
        <w:t xml:space="preserve">[Page </w:t>
      </w:r>
      <w:r w:rsidR="00C206DC" w:rsidRPr="001A656E">
        <w:rPr>
          <w:rFonts w:cs="Arial"/>
          <w:szCs w:val="24"/>
        </w:rPr>
        <w:t>322]</w:t>
      </w:r>
    </w:p>
    <w:p w:rsidR="00C206DC" w:rsidRPr="001A656E" w:rsidRDefault="00C206DC" w:rsidP="003206C2">
      <w:pPr>
        <w:pStyle w:val="Reasons"/>
        <w:rPr>
          <w:rFonts w:cs="Arial"/>
          <w:szCs w:val="24"/>
        </w:rPr>
      </w:pPr>
      <w:r w:rsidRPr="001A656E">
        <w:rPr>
          <w:rFonts w:cs="Arial"/>
          <w:szCs w:val="24"/>
        </w:rPr>
        <w:t xml:space="preserve">the taxes now sought to be recovered. This alone would have constituted </w:t>
      </w:r>
      <w:r w:rsidRPr="001A656E">
        <w:rPr>
          <w:rFonts w:cs="Arial"/>
          <w:i/>
          <w:iCs/>
          <w:szCs w:val="24"/>
        </w:rPr>
        <w:t xml:space="preserve">res judicata </w:t>
      </w:r>
      <w:r w:rsidRPr="001A656E">
        <w:rPr>
          <w:rFonts w:cs="Arial"/>
          <w:szCs w:val="24"/>
        </w:rPr>
        <w:t xml:space="preserve">against him, but we have more. The plaintiff appealed to the Supreme Court of New Brunswick, before making the payment, which he made only after that court had </w:t>
      </w:r>
      <w:r w:rsidRPr="001A656E">
        <w:rPr>
          <w:rFonts w:cs="Arial"/>
          <w:szCs w:val="24"/>
        </w:rPr>
        <w:lastRenderedPageBreak/>
        <w:t xml:space="preserve">affirmed the decision of the appeals committee. As was suggested by my brother Taschereau, if the Supreme Court had decided the other way, it would have been </w:t>
      </w:r>
      <w:r w:rsidRPr="001A656E">
        <w:rPr>
          <w:rFonts w:cs="Arial"/>
          <w:i/>
          <w:iCs/>
          <w:szCs w:val="24"/>
        </w:rPr>
        <w:t xml:space="preserve">res judicata </w:t>
      </w:r>
      <w:r w:rsidRPr="001A656E">
        <w:rPr>
          <w:rFonts w:cs="Arial"/>
          <w:szCs w:val="24"/>
        </w:rPr>
        <w:t>in favour of Jones.</w:t>
      </w:r>
    </w:p>
    <w:p w:rsidR="00C206DC" w:rsidRPr="001A656E" w:rsidRDefault="00C206DC" w:rsidP="003206C2">
      <w:pPr>
        <w:pStyle w:val="Reasons"/>
        <w:rPr>
          <w:rFonts w:cs="Arial"/>
          <w:szCs w:val="24"/>
        </w:rPr>
      </w:pPr>
      <w:r w:rsidRPr="001A656E">
        <w:rPr>
          <w:rFonts w:cs="Arial"/>
          <w:szCs w:val="24"/>
        </w:rPr>
        <w:t>I think the appeal should be dismissed with costs.</w:t>
      </w:r>
    </w:p>
    <w:p w:rsidR="00C206DC" w:rsidRPr="001A656E" w:rsidRDefault="00C206DC" w:rsidP="003206C2">
      <w:pPr>
        <w:pStyle w:val="Reasons"/>
      </w:pPr>
      <w:r w:rsidRPr="001A656E">
        <w:t>Appeal dismissed with costs.</w:t>
      </w:r>
    </w:p>
    <w:p w:rsidR="00C206DC" w:rsidRPr="001A656E" w:rsidRDefault="00C206DC" w:rsidP="003206C2">
      <w:pPr>
        <w:pStyle w:val="Sollicitors"/>
        <w:rPr>
          <w:iCs/>
        </w:rPr>
      </w:pPr>
      <w:r w:rsidRPr="001A656E">
        <w:t xml:space="preserve">Solicitor for the appellant: </w:t>
      </w:r>
      <w:r w:rsidRPr="001A656E">
        <w:rPr>
          <w:iCs/>
        </w:rPr>
        <w:t>L. A. Currey.</w:t>
      </w:r>
    </w:p>
    <w:p w:rsidR="003824D9" w:rsidRDefault="00C206DC" w:rsidP="003206C2">
      <w:pPr>
        <w:pStyle w:val="Sollicitors"/>
      </w:pPr>
      <w:r w:rsidRPr="001A656E">
        <w:t xml:space="preserve">Solicitor for the respondent: </w:t>
      </w:r>
      <w:r w:rsidRPr="001A656E">
        <w:rPr>
          <w:iCs/>
        </w:rPr>
        <w:t>C J. Coster.</w:t>
      </w:r>
    </w:p>
    <w:sectPr w:rsidR="003824D9" w:rsidSect="00C206DC">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686" w:rsidRDefault="00AB5686" w:rsidP="00C206DC">
      <w:r>
        <w:separator/>
      </w:r>
    </w:p>
  </w:endnote>
  <w:endnote w:type="continuationSeparator" w:id="1">
    <w:p w:rsidR="00AB5686" w:rsidRDefault="00AB5686" w:rsidP="00C206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6DC" w:rsidRDefault="00C206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6DC" w:rsidRDefault="00C206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6DC" w:rsidRDefault="00C206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686" w:rsidRDefault="00AB5686" w:rsidP="00C206DC">
      <w:r>
        <w:separator/>
      </w:r>
    </w:p>
  </w:footnote>
  <w:footnote w:type="continuationSeparator" w:id="1">
    <w:p w:rsidR="00AB5686" w:rsidRDefault="00AB5686" w:rsidP="00C206DC">
      <w:r>
        <w:continuationSeparator/>
      </w:r>
    </w:p>
  </w:footnote>
  <w:footnote w:id="2">
    <w:p w:rsidR="001A656E" w:rsidRPr="001A656E" w:rsidRDefault="001A656E">
      <w:pPr>
        <w:pStyle w:val="FootnoteText"/>
        <w:rPr>
          <w:lang w:val="en-US"/>
        </w:rPr>
      </w:pPr>
      <w:r>
        <w:rPr>
          <w:rStyle w:val="FootnoteReference"/>
        </w:rPr>
        <w:footnoteRef/>
      </w:r>
      <w:r>
        <w:t xml:space="preserve"> </w:t>
      </w:r>
      <w:r>
        <w:rPr>
          <w:rFonts w:cs="Arial"/>
          <w:szCs w:val="24"/>
        </w:rPr>
        <w:t>30 Can. S. C. R. 122.</w:t>
      </w:r>
    </w:p>
  </w:footnote>
  <w:footnote w:id="3">
    <w:p w:rsidR="001A656E" w:rsidRPr="001A656E" w:rsidRDefault="001A656E">
      <w:pPr>
        <w:pStyle w:val="FootnoteText"/>
        <w:rPr>
          <w:lang w:val="en-US"/>
        </w:rPr>
      </w:pPr>
      <w:r>
        <w:rPr>
          <w:rStyle w:val="FootnoteReference"/>
        </w:rPr>
        <w:footnoteRef/>
      </w:r>
      <w:r>
        <w:t xml:space="preserve"> </w:t>
      </w:r>
      <w:r>
        <w:rPr>
          <w:rFonts w:cs="Arial"/>
          <w:szCs w:val="24"/>
        </w:rPr>
        <w:t>22 Can. S. C. R. 300.</w:t>
      </w:r>
    </w:p>
  </w:footnote>
  <w:footnote w:id="4">
    <w:p w:rsidR="001A656E" w:rsidRPr="001A656E" w:rsidRDefault="001A656E">
      <w:pPr>
        <w:pStyle w:val="FootnoteText"/>
        <w:rPr>
          <w:lang w:val="en-US"/>
        </w:rPr>
      </w:pPr>
      <w:r>
        <w:rPr>
          <w:rStyle w:val="FootnoteReference"/>
        </w:rPr>
        <w:footnoteRef/>
      </w:r>
      <w:r>
        <w:t xml:space="preserve"> </w:t>
      </w:r>
      <w:r>
        <w:rPr>
          <w:rFonts w:cs="Arial"/>
          <w:szCs w:val="24"/>
        </w:rPr>
        <w:t>12 Pick. (Mass.) 7.</w:t>
      </w:r>
    </w:p>
  </w:footnote>
  <w:footnote w:id="5">
    <w:p w:rsidR="001A656E" w:rsidRPr="001A656E" w:rsidRDefault="001A656E">
      <w:pPr>
        <w:pStyle w:val="FootnoteText"/>
        <w:rPr>
          <w:lang w:val="en-US"/>
        </w:rPr>
      </w:pPr>
      <w:r>
        <w:rPr>
          <w:rStyle w:val="FootnoteReference"/>
        </w:rPr>
        <w:footnoteRef/>
      </w:r>
      <w:r>
        <w:t xml:space="preserve"> </w:t>
      </w:r>
      <w:r>
        <w:rPr>
          <w:rFonts w:cs="Arial"/>
          <w:szCs w:val="24"/>
        </w:rPr>
        <w:t>L. R. 2 H. L. 239.</w:t>
      </w:r>
    </w:p>
  </w:footnote>
  <w:footnote w:id="6">
    <w:p w:rsidR="001A656E" w:rsidRPr="001A656E" w:rsidRDefault="001A656E">
      <w:pPr>
        <w:pStyle w:val="FootnoteText"/>
        <w:rPr>
          <w:lang w:val="en-US"/>
        </w:rPr>
      </w:pPr>
      <w:r>
        <w:rPr>
          <w:rStyle w:val="FootnoteReference"/>
        </w:rPr>
        <w:footnoteRef/>
      </w:r>
      <w:r>
        <w:t xml:space="preserve"> </w:t>
      </w:r>
      <w:r>
        <w:rPr>
          <w:rFonts w:cs="Arial"/>
          <w:szCs w:val="24"/>
        </w:rPr>
        <w:t>L. R. 5 P. C. 417.</w:t>
      </w:r>
    </w:p>
  </w:footnote>
  <w:footnote w:id="7">
    <w:p w:rsidR="001A656E" w:rsidRPr="001A656E" w:rsidRDefault="001A656E">
      <w:pPr>
        <w:pStyle w:val="FootnoteText"/>
        <w:rPr>
          <w:lang w:val="en-US"/>
        </w:rPr>
      </w:pPr>
      <w:r>
        <w:rPr>
          <w:rStyle w:val="FootnoteReference"/>
        </w:rPr>
        <w:footnoteRef/>
      </w:r>
      <w:r>
        <w:t xml:space="preserve"> </w:t>
      </w:r>
      <w:r>
        <w:rPr>
          <w:rFonts w:cs="Arial"/>
          <w:szCs w:val="24"/>
        </w:rPr>
        <w:t>1 Q. B. 66.</w:t>
      </w:r>
    </w:p>
  </w:footnote>
  <w:footnote w:id="8">
    <w:p w:rsidR="001A656E" w:rsidRPr="001A656E" w:rsidRDefault="001A656E">
      <w:pPr>
        <w:pStyle w:val="FootnoteText"/>
        <w:rPr>
          <w:lang w:val="en-US"/>
        </w:rPr>
      </w:pPr>
      <w:r>
        <w:rPr>
          <w:rStyle w:val="FootnoteReference"/>
        </w:rPr>
        <w:footnoteRef/>
      </w:r>
      <w:r>
        <w:t xml:space="preserve"> </w:t>
      </w:r>
      <w:r>
        <w:rPr>
          <w:rFonts w:cs="Arial"/>
          <w:szCs w:val="24"/>
        </w:rPr>
        <w:t>1 Brod. &amp; B. 432.</w:t>
      </w:r>
    </w:p>
  </w:footnote>
  <w:footnote w:id="9">
    <w:p w:rsidR="001A656E" w:rsidRPr="001A656E" w:rsidRDefault="001A656E">
      <w:pPr>
        <w:pStyle w:val="FootnoteText"/>
        <w:rPr>
          <w:lang w:val="en-US"/>
        </w:rPr>
      </w:pPr>
      <w:r>
        <w:rPr>
          <w:rStyle w:val="FootnoteReference"/>
        </w:rPr>
        <w:footnoteRef/>
      </w:r>
      <w:r>
        <w:t xml:space="preserve"> </w:t>
      </w:r>
      <w:r>
        <w:rPr>
          <w:rFonts w:cs="Arial"/>
          <w:szCs w:val="24"/>
        </w:rPr>
        <w:t xml:space="preserve">L. R. 10 </w:t>
      </w:r>
      <w:r>
        <w:rPr>
          <w:rFonts w:cs="Arial"/>
          <w:smallCaps/>
          <w:szCs w:val="24"/>
        </w:rPr>
        <w:t xml:space="preserve">C. </w:t>
      </w:r>
      <w:r>
        <w:rPr>
          <w:rFonts w:cs="Arial"/>
          <w:szCs w:val="24"/>
        </w:rPr>
        <w:t>P. 29.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6DC" w:rsidRDefault="00C206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6DC" w:rsidRDefault="00C206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6DC" w:rsidRDefault="00C206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FE3E5900">
      <w:start w:val="1"/>
      <w:numFmt w:val="decimal"/>
      <w:pStyle w:val="ParagNum"/>
      <w:lvlText w:val="[%1]"/>
      <w:lvlJc w:val="left"/>
      <w:pPr>
        <w:tabs>
          <w:tab w:val="num" w:pos="369"/>
        </w:tabs>
        <w:ind w:left="369" w:hanging="369"/>
      </w:pPr>
    </w:lvl>
    <w:lvl w:ilvl="1" w:tplc="B2E6B536" w:tentative="1">
      <w:start w:val="1"/>
      <w:numFmt w:val="lowerLetter"/>
      <w:lvlText w:val="%2."/>
      <w:lvlJc w:val="left"/>
      <w:pPr>
        <w:tabs>
          <w:tab w:val="num" w:pos="1440"/>
        </w:tabs>
        <w:ind w:left="1440" w:hanging="360"/>
      </w:pPr>
    </w:lvl>
    <w:lvl w:ilvl="2" w:tplc="84B6BFF8" w:tentative="1">
      <w:start w:val="1"/>
      <w:numFmt w:val="lowerRoman"/>
      <w:lvlText w:val="%3."/>
      <w:lvlJc w:val="right"/>
      <w:pPr>
        <w:tabs>
          <w:tab w:val="num" w:pos="2160"/>
        </w:tabs>
        <w:ind w:left="2160" w:hanging="180"/>
      </w:pPr>
    </w:lvl>
    <w:lvl w:ilvl="3" w:tplc="18780544" w:tentative="1">
      <w:start w:val="1"/>
      <w:numFmt w:val="decimal"/>
      <w:lvlText w:val="%4."/>
      <w:lvlJc w:val="left"/>
      <w:pPr>
        <w:tabs>
          <w:tab w:val="num" w:pos="2880"/>
        </w:tabs>
        <w:ind w:left="2880" w:hanging="360"/>
      </w:pPr>
    </w:lvl>
    <w:lvl w:ilvl="4" w:tplc="5E72C472" w:tentative="1">
      <w:start w:val="1"/>
      <w:numFmt w:val="lowerLetter"/>
      <w:lvlText w:val="%5."/>
      <w:lvlJc w:val="left"/>
      <w:pPr>
        <w:tabs>
          <w:tab w:val="num" w:pos="3600"/>
        </w:tabs>
        <w:ind w:left="3600" w:hanging="360"/>
      </w:pPr>
    </w:lvl>
    <w:lvl w:ilvl="5" w:tplc="F09EA0E4" w:tentative="1">
      <w:start w:val="1"/>
      <w:numFmt w:val="lowerRoman"/>
      <w:lvlText w:val="%6."/>
      <w:lvlJc w:val="right"/>
      <w:pPr>
        <w:tabs>
          <w:tab w:val="num" w:pos="4320"/>
        </w:tabs>
        <w:ind w:left="4320" w:hanging="180"/>
      </w:pPr>
    </w:lvl>
    <w:lvl w:ilvl="6" w:tplc="D33C5D30" w:tentative="1">
      <w:start w:val="1"/>
      <w:numFmt w:val="decimal"/>
      <w:lvlText w:val="%7."/>
      <w:lvlJc w:val="left"/>
      <w:pPr>
        <w:tabs>
          <w:tab w:val="num" w:pos="5040"/>
        </w:tabs>
        <w:ind w:left="5040" w:hanging="360"/>
      </w:pPr>
    </w:lvl>
    <w:lvl w:ilvl="7" w:tplc="6F8A7C06" w:tentative="1">
      <w:start w:val="1"/>
      <w:numFmt w:val="lowerLetter"/>
      <w:lvlText w:val="%8."/>
      <w:lvlJc w:val="left"/>
      <w:pPr>
        <w:tabs>
          <w:tab w:val="num" w:pos="5760"/>
        </w:tabs>
        <w:ind w:left="5760" w:hanging="360"/>
      </w:pPr>
    </w:lvl>
    <w:lvl w:ilvl="8" w:tplc="6C7E7F3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206DC"/>
    <w:rsid w:val="00013FDA"/>
    <w:rsid w:val="000173FB"/>
    <w:rsid w:val="000655EC"/>
    <w:rsid w:val="00077D2F"/>
    <w:rsid w:val="0008547A"/>
    <w:rsid w:val="000B6688"/>
    <w:rsid w:val="000C3415"/>
    <w:rsid w:val="00112B28"/>
    <w:rsid w:val="00121409"/>
    <w:rsid w:val="00125F0C"/>
    <w:rsid w:val="00126A8E"/>
    <w:rsid w:val="00131F55"/>
    <w:rsid w:val="001837F3"/>
    <w:rsid w:val="001A656E"/>
    <w:rsid w:val="001C3C9F"/>
    <w:rsid w:val="001D0D42"/>
    <w:rsid w:val="001D5C4A"/>
    <w:rsid w:val="001F6A76"/>
    <w:rsid w:val="002209AC"/>
    <w:rsid w:val="002428EB"/>
    <w:rsid w:val="002A058E"/>
    <w:rsid w:val="002A74DD"/>
    <w:rsid w:val="002B30C5"/>
    <w:rsid w:val="002C186C"/>
    <w:rsid w:val="002D5E01"/>
    <w:rsid w:val="002F4F64"/>
    <w:rsid w:val="002F7D00"/>
    <w:rsid w:val="003206C2"/>
    <w:rsid w:val="00361108"/>
    <w:rsid w:val="003806A9"/>
    <w:rsid w:val="003824D9"/>
    <w:rsid w:val="003E5AF5"/>
    <w:rsid w:val="003F602F"/>
    <w:rsid w:val="004277EE"/>
    <w:rsid w:val="0043543D"/>
    <w:rsid w:val="00442713"/>
    <w:rsid w:val="00457BC5"/>
    <w:rsid w:val="00463F5F"/>
    <w:rsid w:val="00482CDC"/>
    <w:rsid w:val="004C7ED4"/>
    <w:rsid w:val="00511D93"/>
    <w:rsid w:val="00514003"/>
    <w:rsid w:val="00537980"/>
    <w:rsid w:val="00563767"/>
    <w:rsid w:val="005667DA"/>
    <w:rsid w:val="00593C8B"/>
    <w:rsid w:val="005C6682"/>
    <w:rsid w:val="006330E7"/>
    <w:rsid w:val="00644967"/>
    <w:rsid w:val="006D2BED"/>
    <w:rsid w:val="006D6F42"/>
    <w:rsid w:val="006E5FEA"/>
    <w:rsid w:val="00747F2C"/>
    <w:rsid w:val="00751F7D"/>
    <w:rsid w:val="00777680"/>
    <w:rsid w:val="0079490B"/>
    <w:rsid w:val="007969C4"/>
    <w:rsid w:val="007A2A46"/>
    <w:rsid w:val="007B3A90"/>
    <w:rsid w:val="007D6DD5"/>
    <w:rsid w:val="008027F3"/>
    <w:rsid w:val="008433A9"/>
    <w:rsid w:val="008550EF"/>
    <w:rsid w:val="00872F75"/>
    <w:rsid w:val="00880FBB"/>
    <w:rsid w:val="008B0B7A"/>
    <w:rsid w:val="00926406"/>
    <w:rsid w:val="00943952"/>
    <w:rsid w:val="009A7B1B"/>
    <w:rsid w:val="009D37B6"/>
    <w:rsid w:val="009D55A2"/>
    <w:rsid w:val="009E64DC"/>
    <w:rsid w:val="00A42830"/>
    <w:rsid w:val="00A4371F"/>
    <w:rsid w:val="00A54E5B"/>
    <w:rsid w:val="00A61128"/>
    <w:rsid w:val="00A94C52"/>
    <w:rsid w:val="00AB09B8"/>
    <w:rsid w:val="00AB5686"/>
    <w:rsid w:val="00AC64F8"/>
    <w:rsid w:val="00B007EC"/>
    <w:rsid w:val="00B177F7"/>
    <w:rsid w:val="00B41B49"/>
    <w:rsid w:val="00B532F0"/>
    <w:rsid w:val="00B639A4"/>
    <w:rsid w:val="00B772A6"/>
    <w:rsid w:val="00B84BF0"/>
    <w:rsid w:val="00BB34B1"/>
    <w:rsid w:val="00BC4595"/>
    <w:rsid w:val="00C206DC"/>
    <w:rsid w:val="00C372DF"/>
    <w:rsid w:val="00C45FBD"/>
    <w:rsid w:val="00C54EB9"/>
    <w:rsid w:val="00C63CC1"/>
    <w:rsid w:val="00C7016B"/>
    <w:rsid w:val="00C90433"/>
    <w:rsid w:val="00C93FA5"/>
    <w:rsid w:val="00CA2FCC"/>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64F8"/>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AC64F8"/>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AC64F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C64F8"/>
  </w:style>
  <w:style w:type="paragraph" w:styleId="Header">
    <w:name w:val="header"/>
    <w:basedOn w:val="Normal"/>
    <w:link w:val="HeaderChar"/>
    <w:uiPriority w:val="99"/>
    <w:unhideWhenUsed/>
    <w:rsid w:val="00AC64F8"/>
    <w:pPr>
      <w:tabs>
        <w:tab w:val="center" w:pos="4680"/>
        <w:tab w:val="right" w:pos="9360"/>
      </w:tabs>
    </w:pPr>
    <w:rPr>
      <w:rFonts w:ascii="Times New Roman" w:hAnsi="Times New Roman"/>
    </w:rPr>
  </w:style>
  <w:style w:type="character" w:customStyle="1" w:styleId="HeaderChar">
    <w:name w:val="Header Char"/>
    <w:link w:val="Header"/>
    <w:uiPriority w:val="99"/>
    <w:rsid w:val="00AC64F8"/>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AC64F8"/>
    <w:pPr>
      <w:tabs>
        <w:tab w:val="center" w:pos="4680"/>
        <w:tab w:val="right" w:pos="9360"/>
      </w:tabs>
    </w:pPr>
    <w:rPr>
      <w:rFonts w:ascii="Times New Roman" w:hAnsi="Times New Roman"/>
    </w:rPr>
  </w:style>
  <w:style w:type="character" w:customStyle="1" w:styleId="FooterChar">
    <w:name w:val="Footer Char"/>
    <w:link w:val="Footer"/>
    <w:uiPriority w:val="99"/>
    <w:rsid w:val="00AC64F8"/>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B84BF0"/>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AC64F8"/>
    <w:pPr>
      <w:spacing w:before="100" w:beforeAutospacing="1"/>
      <w:ind w:left="567"/>
      <w:jc w:val="both"/>
    </w:pPr>
  </w:style>
  <w:style w:type="paragraph" w:customStyle="1" w:styleId="Metadata">
    <w:name w:val="Metadata"/>
    <w:basedOn w:val="Normal"/>
    <w:rsid w:val="00AC64F8"/>
    <w:pPr>
      <w:spacing w:before="100" w:beforeAutospacing="1" w:after="100" w:afterAutospacing="1"/>
    </w:pPr>
    <w:rPr>
      <w:rFonts w:cs="Arial"/>
      <w:szCs w:val="24"/>
    </w:rPr>
  </w:style>
  <w:style w:type="paragraph" w:customStyle="1" w:styleId="Page">
    <w:name w:val="Page"/>
    <w:basedOn w:val="Normal"/>
    <w:link w:val="PageChar"/>
    <w:rsid w:val="00AC64F8"/>
    <w:pPr>
      <w:spacing w:before="100" w:beforeAutospacing="1" w:after="100" w:afterAutospacing="1"/>
    </w:pPr>
    <w:rPr>
      <w:i/>
    </w:rPr>
  </w:style>
  <w:style w:type="paragraph" w:styleId="FootnoteText">
    <w:name w:val="footnote text"/>
    <w:basedOn w:val="Normal"/>
    <w:link w:val="FootnoteTextChar"/>
    <w:autoRedefine/>
    <w:semiHidden/>
    <w:rsid w:val="00AC64F8"/>
    <w:rPr>
      <w:sz w:val="16"/>
      <w:szCs w:val="20"/>
    </w:rPr>
  </w:style>
  <w:style w:type="character" w:customStyle="1" w:styleId="FootnoteTextChar">
    <w:name w:val="Footnote Text Char"/>
    <w:link w:val="FootnoteText"/>
    <w:semiHidden/>
    <w:rsid w:val="00AC64F8"/>
    <w:rPr>
      <w:rFonts w:ascii="Arial" w:eastAsia="MS Mincho" w:hAnsi="Arial" w:cs="Times New Roman"/>
      <w:sz w:val="16"/>
      <w:szCs w:val="20"/>
      <w:lang w:val="en-CA" w:eastAsia="ja-JP"/>
    </w:rPr>
  </w:style>
  <w:style w:type="character" w:styleId="FootnoteReference">
    <w:name w:val="footnote reference"/>
    <w:semiHidden/>
    <w:rsid w:val="00AC64F8"/>
    <w:rPr>
      <w:vertAlign w:val="superscript"/>
    </w:rPr>
  </w:style>
  <w:style w:type="paragraph" w:customStyle="1" w:styleId="ParagNum">
    <w:name w:val="ParagNum"/>
    <w:basedOn w:val="Normal"/>
    <w:rsid w:val="00AC64F8"/>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AC64F8"/>
    <w:pPr>
      <w:spacing w:before="100" w:beforeAutospacing="1" w:after="100" w:afterAutospacing="1" w:line="360" w:lineRule="auto"/>
    </w:pPr>
  </w:style>
  <w:style w:type="paragraph" w:customStyle="1" w:styleId="Indent2">
    <w:name w:val="Indent 2"/>
    <w:basedOn w:val="Indent1"/>
    <w:rsid w:val="00AC64F8"/>
    <w:pPr>
      <w:ind w:left="1134"/>
    </w:pPr>
  </w:style>
  <w:style w:type="paragraph" w:customStyle="1" w:styleId="Indent3">
    <w:name w:val="Indent 3"/>
    <w:basedOn w:val="Indent1"/>
    <w:rsid w:val="00AC64F8"/>
    <w:pPr>
      <w:ind w:left="1701"/>
    </w:pPr>
  </w:style>
  <w:style w:type="paragraph" w:customStyle="1" w:styleId="Indent4">
    <w:name w:val="Indent 4"/>
    <w:basedOn w:val="Indent1"/>
    <w:rsid w:val="00AC64F8"/>
    <w:pPr>
      <w:ind w:left="2268"/>
    </w:pPr>
  </w:style>
  <w:style w:type="paragraph" w:customStyle="1" w:styleId="Indent10">
    <w:name w:val="Indent1"/>
    <w:basedOn w:val="Reasons"/>
    <w:rsid w:val="00AC64F8"/>
    <w:pPr>
      <w:ind w:left="567"/>
    </w:pPr>
  </w:style>
  <w:style w:type="paragraph" w:customStyle="1" w:styleId="Indent20">
    <w:name w:val="Indent2"/>
    <w:basedOn w:val="Indent10"/>
    <w:rsid w:val="00AC64F8"/>
    <w:pPr>
      <w:ind w:left="1134"/>
    </w:pPr>
  </w:style>
  <w:style w:type="paragraph" w:customStyle="1" w:styleId="Indent30">
    <w:name w:val="Indent3"/>
    <w:basedOn w:val="Indent10"/>
    <w:rsid w:val="00AC64F8"/>
    <w:pPr>
      <w:ind w:left="1701"/>
    </w:pPr>
  </w:style>
  <w:style w:type="paragraph" w:customStyle="1" w:styleId="Indent40">
    <w:name w:val="Indent4"/>
    <w:basedOn w:val="Indent10"/>
    <w:rsid w:val="00AC64F8"/>
    <w:pPr>
      <w:ind w:left="2268"/>
    </w:pPr>
  </w:style>
  <w:style w:type="paragraph" w:customStyle="1" w:styleId="Keywords">
    <w:name w:val="Keywords"/>
    <w:basedOn w:val="Normal"/>
    <w:rsid w:val="00AC64F8"/>
    <w:pPr>
      <w:spacing w:before="100" w:beforeAutospacing="1" w:after="100" w:afterAutospacing="1"/>
    </w:pPr>
    <w:rPr>
      <w:rFonts w:cs="Arial"/>
      <w:i/>
      <w:szCs w:val="24"/>
    </w:rPr>
  </w:style>
  <w:style w:type="paragraph" w:customStyle="1" w:styleId="Summary">
    <w:name w:val="Summary"/>
    <w:basedOn w:val="Normal"/>
    <w:autoRedefine/>
    <w:rsid w:val="00AC64F8"/>
    <w:pPr>
      <w:spacing w:before="100" w:beforeAutospacing="1" w:after="100" w:afterAutospacing="1"/>
      <w:ind w:left="562" w:hanging="562"/>
    </w:pPr>
    <w:rPr>
      <w:rFonts w:cs="Arial"/>
    </w:rPr>
  </w:style>
  <w:style w:type="paragraph" w:customStyle="1" w:styleId="History">
    <w:name w:val="History"/>
    <w:basedOn w:val="Normal"/>
    <w:rsid w:val="00AC64F8"/>
    <w:pPr>
      <w:spacing w:before="100" w:beforeAutospacing="1" w:after="100" w:afterAutospacing="1"/>
      <w:ind w:firstLine="567"/>
    </w:pPr>
  </w:style>
  <w:style w:type="paragraph" w:customStyle="1" w:styleId="T1">
    <w:name w:val="T1"/>
    <w:basedOn w:val="Normal"/>
    <w:rsid w:val="00AC64F8"/>
    <w:pPr>
      <w:spacing w:before="240" w:after="100" w:afterAutospacing="1"/>
    </w:pPr>
    <w:rPr>
      <w:b/>
    </w:rPr>
  </w:style>
  <w:style w:type="paragraph" w:customStyle="1" w:styleId="T2">
    <w:name w:val="T2"/>
    <w:basedOn w:val="Normal"/>
    <w:rsid w:val="00AC64F8"/>
    <w:pPr>
      <w:spacing w:before="240" w:after="100" w:afterAutospacing="1"/>
    </w:pPr>
  </w:style>
  <w:style w:type="paragraph" w:customStyle="1" w:styleId="Sollicitors">
    <w:name w:val="Sollicitors"/>
    <w:basedOn w:val="Normal"/>
    <w:rsid w:val="00AC64F8"/>
    <w:pPr>
      <w:spacing w:before="100" w:beforeAutospacing="1" w:after="100" w:afterAutospacing="1"/>
    </w:pPr>
    <w:rPr>
      <w:i/>
    </w:rPr>
  </w:style>
  <w:style w:type="paragraph" w:customStyle="1" w:styleId="Court">
    <w:name w:val="Court"/>
    <w:basedOn w:val="Normal"/>
    <w:rsid w:val="00AC64F8"/>
    <w:rPr>
      <w:rFonts w:cs="Arial"/>
      <w:b/>
      <w:szCs w:val="24"/>
    </w:rPr>
  </w:style>
  <w:style w:type="character" w:customStyle="1" w:styleId="PageChar">
    <w:name w:val="Page Char"/>
    <w:link w:val="Page"/>
    <w:rsid w:val="00AC64F8"/>
    <w:rPr>
      <w:rFonts w:ascii="Arial" w:eastAsia="MS Mincho" w:hAnsi="Arial" w:cs="Times New Roman"/>
      <w:i/>
      <w:sz w:val="24"/>
      <w:szCs w:val="28"/>
      <w:lang w:val="en-CA" w:eastAsia="ja-JP"/>
    </w:rPr>
  </w:style>
  <w:style w:type="character" w:customStyle="1" w:styleId="ReasonsCar">
    <w:name w:val="Reasons Car"/>
    <w:link w:val="Reasons"/>
    <w:rsid w:val="00AC64F8"/>
    <w:rPr>
      <w:rFonts w:ascii="Arial" w:eastAsia="MS Mincho" w:hAnsi="Arial" w:cs="Times New Roman"/>
      <w:sz w:val="24"/>
      <w:szCs w:val="28"/>
      <w:lang w:val="en-CA" w:eastAsia="ja-JP"/>
    </w:rPr>
  </w:style>
  <w:style w:type="paragraph" w:customStyle="1" w:styleId="CitationLine">
    <w:name w:val="CitationLine"/>
    <w:basedOn w:val="Court"/>
    <w:rsid w:val="00AC64F8"/>
  </w:style>
  <w:style w:type="paragraph" w:customStyle="1" w:styleId="DateISO">
    <w:name w:val="DateISO"/>
    <w:basedOn w:val="Court"/>
    <w:rsid w:val="00AC64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4</TotalTime>
  <Pages>3</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2015-03-19T12:56:00Z</dcterms:created>
  <dcterms:modified xsi:type="dcterms:W3CDTF">2015-03-23T04:13:00Z</dcterms:modified>
</cp:coreProperties>
</file>