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5B" w:rsidRPr="00183102" w:rsidRDefault="00D80E5B" w:rsidP="00D80E5B">
      <w:pPr>
        <w:pStyle w:val="Court"/>
      </w:pPr>
      <w:r w:rsidRPr="00183102">
        <w:t>Supreme Court of Canada</w:t>
      </w:r>
    </w:p>
    <w:p w:rsidR="00D80E5B" w:rsidRPr="00183102" w:rsidRDefault="00661C7E" w:rsidP="00D80E5B">
      <w:pPr>
        <w:pStyle w:val="CitationLine"/>
      </w:pPr>
      <w:r w:rsidRPr="00183102">
        <w:t xml:space="preserve">The Western </w:t>
      </w:r>
      <w:r w:rsidRPr="00183102">
        <w:rPr>
          <w:lang w:val="fr-FR"/>
        </w:rPr>
        <w:t>Assurance</w:t>
      </w:r>
      <w:r w:rsidRPr="00183102">
        <w:t xml:space="preserve"> Company </w:t>
      </w:r>
      <w:r w:rsidRPr="00183102">
        <w:rPr>
          <w:i/>
          <w:iCs/>
        </w:rPr>
        <w:t xml:space="preserve">v. </w:t>
      </w:r>
      <w:r w:rsidRPr="00183102">
        <w:rPr>
          <w:lang w:val="es-ES_tradnl"/>
        </w:rPr>
        <w:t>Temple</w:t>
      </w:r>
      <w:r w:rsidRPr="00183102">
        <w:t xml:space="preserve"> </w:t>
      </w:r>
      <w:r w:rsidR="00D80E5B" w:rsidRPr="00183102">
        <w:t>(190</w:t>
      </w:r>
      <w:r w:rsidR="002D56F5">
        <w:t>1</w:t>
      </w:r>
      <w:r w:rsidR="00D80E5B" w:rsidRPr="00183102">
        <w:t>) 31 SCR 373</w:t>
      </w:r>
    </w:p>
    <w:p w:rsidR="00D80E5B" w:rsidRPr="00183102" w:rsidRDefault="00D80E5B" w:rsidP="00D80E5B">
      <w:pPr>
        <w:pStyle w:val="DateISO"/>
      </w:pPr>
      <w:r w:rsidRPr="00183102">
        <w:t>Date: 1901-06-05</w:t>
      </w:r>
    </w:p>
    <w:p w:rsidR="00320307" w:rsidRPr="00183102" w:rsidRDefault="00661C7E" w:rsidP="00661C7E">
      <w:pPr>
        <w:pStyle w:val="Metadata"/>
      </w:pPr>
      <w:r w:rsidRPr="00183102">
        <w:t>The Western Assurance Company</w:t>
      </w:r>
      <w:r w:rsidR="00320307" w:rsidRPr="00183102">
        <w:t xml:space="preserve"> (Defendant)</w:t>
      </w:r>
    </w:p>
    <w:p w:rsidR="00320307" w:rsidRPr="00183102" w:rsidRDefault="00320307" w:rsidP="00661C7E">
      <w:pPr>
        <w:pStyle w:val="Metadata"/>
      </w:pPr>
      <w:r w:rsidRPr="00183102">
        <w:t>Appellant</w:t>
      </w:r>
    </w:p>
    <w:p w:rsidR="00320307" w:rsidRPr="00183102" w:rsidRDefault="00661C7E" w:rsidP="00661C7E">
      <w:pPr>
        <w:pStyle w:val="Metadata"/>
      </w:pPr>
      <w:r w:rsidRPr="00183102">
        <w:t>A</w:t>
      </w:r>
      <w:r w:rsidR="00320307" w:rsidRPr="00183102">
        <w:t>nd</w:t>
      </w:r>
    </w:p>
    <w:p w:rsidR="00320307" w:rsidRPr="00183102" w:rsidRDefault="00661C7E" w:rsidP="00661C7E">
      <w:pPr>
        <w:pStyle w:val="Metadata"/>
      </w:pPr>
      <w:r w:rsidRPr="00183102">
        <w:t xml:space="preserve">Thomas </w:t>
      </w:r>
      <w:r w:rsidR="00320307" w:rsidRPr="00183102">
        <w:t xml:space="preserve">A. </w:t>
      </w:r>
      <w:r w:rsidRPr="00183102">
        <w:t xml:space="preserve">Temple </w:t>
      </w:r>
      <w:r w:rsidR="00320307" w:rsidRPr="00183102">
        <w:t>(Plaintiff)</w:t>
      </w:r>
    </w:p>
    <w:p w:rsidR="00320307" w:rsidRPr="00183102" w:rsidRDefault="00320307" w:rsidP="00661C7E">
      <w:pPr>
        <w:pStyle w:val="Metadata"/>
      </w:pPr>
      <w:r w:rsidRPr="00183102">
        <w:t>Respondent</w:t>
      </w:r>
    </w:p>
    <w:p w:rsidR="00661C7E" w:rsidRPr="00183102" w:rsidRDefault="00661C7E" w:rsidP="00661C7E">
      <w:pPr>
        <w:pStyle w:val="Metadata"/>
      </w:pPr>
      <w:r w:rsidRPr="00183102">
        <w:t>1901: May 17; 1901: June 5.</w:t>
      </w:r>
    </w:p>
    <w:p w:rsidR="00661C7E" w:rsidRPr="00183102" w:rsidRDefault="00661C7E" w:rsidP="00661C7E">
      <w:pPr>
        <w:pStyle w:val="Metadata"/>
      </w:pPr>
      <w:r w:rsidRPr="00183102">
        <w:t>Present</w:t>
      </w:r>
      <w:r w:rsidRPr="00183102">
        <w:rPr>
          <w:smallCaps/>
        </w:rPr>
        <w:t>:</w:t>
      </w:r>
      <w:r w:rsidRPr="00183102">
        <w:t>—Sir Henry Strong C.J. and Taschereau, Gwynne, Sedgewick and Girouard JJ.</w:t>
      </w:r>
    </w:p>
    <w:p w:rsidR="00320307" w:rsidRPr="00183102" w:rsidRDefault="00320307" w:rsidP="00661C7E">
      <w:pPr>
        <w:pStyle w:val="Metadata"/>
      </w:pPr>
      <w:r w:rsidRPr="00183102">
        <w:t>ON APPEAL FROM THE SUPREME COURT OF NEW BRUNSWICK.</w:t>
      </w:r>
    </w:p>
    <w:p w:rsidR="00320307" w:rsidRPr="00183102" w:rsidRDefault="00320307" w:rsidP="00661C7E">
      <w:pPr>
        <w:pStyle w:val="Keywords"/>
      </w:pPr>
      <w:r w:rsidRPr="00183102">
        <w:t>Insurance against fire—Condition in policy—Interest of insured—Mortgagor as owner—Further insurance—Estoppel—Pleading.</w:t>
      </w:r>
    </w:p>
    <w:p w:rsidR="00320307" w:rsidRPr="00183102" w:rsidRDefault="00320307" w:rsidP="00661C7E">
      <w:pPr>
        <w:pStyle w:val="Summary"/>
      </w:pPr>
      <w:r w:rsidRPr="00183102">
        <w:t>By a condition in a policy of insurance against fire the policy was to become void "if the assured is not the sole and unconditional owner of the property * * or if the interest of the assured in the property whether as owner, trustee * * mortgagee, lessee or otherwise is not truly stated."</w:t>
      </w:r>
    </w:p>
    <w:p w:rsidR="00320307" w:rsidRPr="00183102" w:rsidRDefault="00320307" w:rsidP="00661C7E">
      <w:pPr>
        <w:pStyle w:val="Summary"/>
        <w:rPr>
          <w:szCs w:val="24"/>
        </w:rPr>
      </w:pPr>
      <w:r w:rsidRPr="00183102">
        <w:rPr>
          <w:i/>
          <w:iCs/>
          <w:szCs w:val="24"/>
        </w:rPr>
        <w:t xml:space="preserve">Held, </w:t>
      </w:r>
      <w:r w:rsidRPr="00183102">
        <w:rPr>
          <w:szCs w:val="24"/>
        </w:rPr>
        <w:t>that a mortgagor was sole and unconditional owner within the terms of said condition.</w:t>
      </w:r>
    </w:p>
    <w:p w:rsidR="00320307" w:rsidRPr="00183102" w:rsidRDefault="00320307" w:rsidP="00661C7E">
      <w:pPr>
        <w:pStyle w:val="Summary"/>
        <w:rPr>
          <w:szCs w:val="24"/>
        </w:rPr>
      </w:pPr>
      <w:r w:rsidRPr="00183102">
        <w:rPr>
          <w:szCs w:val="24"/>
        </w:rPr>
        <w:t>By another condition the policy would be avoided if the assured should have or obtain other insurance, whether valid or not, on the property. The assured applied for other insurance but before being notified of the acceptance of his application the premises were destroyed by fire.</w:t>
      </w:r>
    </w:p>
    <w:p w:rsidR="00320307" w:rsidRPr="00183102" w:rsidRDefault="00320307" w:rsidP="00661C7E">
      <w:pPr>
        <w:pStyle w:val="Summary"/>
        <w:rPr>
          <w:szCs w:val="24"/>
        </w:rPr>
      </w:pPr>
      <w:r w:rsidRPr="00183102">
        <w:rPr>
          <w:i/>
          <w:iCs/>
          <w:szCs w:val="24"/>
        </w:rPr>
        <w:t xml:space="preserve">Held, </w:t>
      </w:r>
      <w:r w:rsidRPr="00183102">
        <w:rPr>
          <w:szCs w:val="24"/>
        </w:rPr>
        <w:t xml:space="preserve">that there was no breach of said condition. </w:t>
      </w:r>
      <w:r w:rsidRPr="00183102">
        <w:rPr>
          <w:i/>
          <w:iCs/>
          <w:szCs w:val="24"/>
        </w:rPr>
        <w:t xml:space="preserve">Commercial Union Assurance Co. </w:t>
      </w:r>
      <w:r w:rsidRPr="00183102">
        <w:rPr>
          <w:szCs w:val="24"/>
        </w:rPr>
        <w:t xml:space="preserve">v. </w:t>
      </w:r>
      <w:r w:rsidRPr="00183102">
        <w:rPr>
          <w:i/>
          <w:iCs/>
          <w:szCs w:val="24"/>
        </w:rPr>
        <w:t xml:space="preserve">Temple, </w:t>
      </w:r>
      <w:r w:rsidRPr="00183102">
        <w:rPr>
          <w:szCs w:val="24"/>
        </w:rPr>
        <w:t>(29 Can. S. C. R. 206) followed.</w:t>
      </w:r>
    </w:p>
    <w:p w:rsidR="00320307" w:rsidRPr="00183102" w:rsidRDefault="00320307" w:rsidP="00661C7E">
      <w:pPr>
        <w:pStyle w:val="Summary"/>
        <w:rPr>
          <w:szCs w:val="24"/>
        </w:rPr>
      </w:pPr>
      <w:r w:rsidRPr="00183102">
        <w:rPr>
          <w:szCs w:val="24"/>
        </w:rPr>
        <w:t>In one count of his declaration plaintiff admitted a breach of said condition but alleged that it was waived. On the trial counsel agreed that the facts proved in the case against the Commercial Union should be taken as proved in the present case. These facts showed, as held by the decision in the previous case, that there was no breach.</w:t>
      </w:r>
    </w:p>
    <w:p w:rsidR="00320307" w:rsidRPr="00183102" w:rsidRDefault="00320307" w:rsidP="00661C7E">
      <w:pPr>
        <w:pStyle w:val="Summary"/>
        <w:rPr>
          <w:szCs w:val="24"/>
        </w:rPr>
      </w:pPr>
      <w:r w:rsidRPr="00183102">
        <w:rPr>
          <w:i/>
          <w:iCs/>
          <w:szCs w:val="24"/>
        </w:rPr>
        <w:lastRenderedPageBreak/>
        <w:t xml:space="preserve">Held, </w:t>
      </w:r>
      <w:r w:rsidRPr="00183102">
        <w:rPr>
          <w:szCs w:val="24"/>
        </w:rPr>
        <w:t>that the agreement at the trial prevented the appellant company from claiming that respondent was estopped from denying that there had been a violation of the condition.</w:t>
      </w:r>
    </w:p>
    <w:p w:rsidR="00320307" w:rsidRPr="00183102" w:rsidRDefault="00320307" w:rsidP="00661C7E">
      <w:pPr>
        <w:pStyle w:val="History"/>
      </w:pPr>
      <w:r w:rsidRPr="00183102">
        <w:t>Appeal</w:t>
      </w:r>
      <w:r w:rsidRPr="00183102">
        <w:rPr>
          <w:smallCaps/>
        </w:rPr>
        <w:t xml:space="preserve"> </w:t>
      </w:r>
      <w:r w:rsidRPr="00183102">
        <w:t>from a decision of the Supreme Court of New Brunswick sustaining the verdict at the trial in favour of the plaintiff.</w:t>
      </w:r>
    </w:p>
    <w:p w:rsidR="00320307" w:rsidRPr="00183102" w:rsidRDefault="00700840" w:rsidP="00700840">
      <w:pPr>
        <w:pStyle w:val="Page"/>
      </w:pPr>
      <w:r>
        <w:rPr>
          <w:rFonts w:cs="Arial"/>
          <w:szCs w:val="24"/>
        </w:rPr>
        <w:t xml:space="preserve">[Page </w:t>
      </w:r>
      <w:r w:rsidR="00320307" w:rsidRPr="00183102">
        <w:rPr>
          <w:rFonts w:cs="Arial"/>
          <w:szCs w:val="24"/>
        </w:rPr>
        <w:t>374]</w:t>
      </w:r>
    </w:p>
    <w:p w:rsidR="00320307" w:rsidRPr="00183102" w:rsidRDefault="00320307" w:rsidP="00807C82">
      <w:pPr>
        <w:pStyle w:val="History"/>
        <w:rPr>
          <w:rFonts w:cs="Arial"/>
          <w:szCs w:val="24"/>
        </w:rPr>
      </w:pPr>
      <w:r w:rsidRPr="00183102">
        <w:rPr>
          <w:rFonts w:cs="Arial"/>
          <w:szCs w:val="24"/>
        </w:rPr>
        <w:t>The questions to be decided on the appeal are sufficiently stated in the above head note.</w:t>
      </w:r>
    </w:p>
    <w:p w:rsidR="00320307" w:rsidRPr="00183102" w:rsidRDefault="00320307" w:rsidP="00807C82">
      <w:pPr>
        <w:pStyle w:val="History"/>
        <w:rPr>
          <w:rFonts w:cs="Arial"/>
          <w:szCs w:val="24"/>
        </w:rPr>
      </w:pPr>
      <w:r w:rsidRPr="00183102">
        <w:rPr>
          <w:rFonts w:cs="Arial"/>
          <w:i/>
          <w:iCs/>
          <w:szCs w:val="24"/>
        </w:rPr>
        <w:t xml:space="preserve">Leighton McCarthy </w:t>
      </w:r>
      <w:r w:rsidRPr="00183102">
        <w:rPr>
          <w:rFonts w:cs="Arial"/>
          <w:szCs w:val="24"/>
        </w:rPr>
        <w:t>for the appellant. The condition as to other insurance is not the same as that in the Commercial Union case. In this policy other insurance even if invalid will avoid the policy.</w:t>
      </w:r>
    </w:p>
    <w:p w:rsidR="00320307" w:rsidRPr="00183102" w:rsidRDefault="00320307" w:rsidP="00807C82">
      <w:pPr>
        <w:pStyle w:val="History"/>
        <w:rPr>
          <w:rFonts w:cs="Arial"/>
          <w:szCs w:val="24"/>
        </w:rPr>
      </w:pPr>
      <w:r w:rsidRPr="00183102">
        <w:rPr>
          <w:rFonts w:cs="Arial"/>
          <w:szCs w:val="24"/>
        </w:rPr>
        <w:t>Plaintiff having admitted in his declaration and at the trial that he had effected other insurance without consent is estopped from denying a breach of the condition. Ewart on Estoppel p. 187.</w:t>
      </w:r>
    </w:p>
    <w:p w:rsidR="00320307" w:rsidRPr="00183102" w:rsidRDefault="00320307" w:rsidP="00807C82">
      <w:pPr>
        <w:pStyle w:val="History"/>
        <w:rPr>
          <w:rFonts w:cs="Arial"/>
          <w:szCs w:val="24"/>
        </w:rPr>
      </w:pPr>
      <w:r w:rsidRPr="00183102">
        <w:rPr>
          <w:rFonts w:cs="Arial"/>
          <w:szCs w:val="24"/>
        </w:rPr>
        <w:t xml:space="preserve">There was a mortgage on the property when the policy issued and plaintiff thereby ceased to be owner and his interest not being disclosed the policy, was void. See </w:t>
      </w:r>
      <w:r w:rsidRPr="00183102">
        <w:rPr>
          <w:rFonts w:cs="Arial"/>
          <w:i/>
          <w:iCs/>
          <w:szCs w:val="24"/>
        </w:rPr>
        <w:t xml:space="preserve">Citizens Insurance Co. of Canada </w:t>
      </w:r>
      <w:r w:rsidRPr="00183102">
        <w:rPr>
          <w:rFonts w:cs="Arial"/>
          <w:szCs w:val="24"/>
        </w:rPr>
        <w:t xml:space="preserve">v. </w:t>
      </w:r>
      <w:r w:rsidRPr="00183102">
        <w:rPr>
          <w:rFonts w:cs="Arial"/>
          <w:i/>
          <w:iCs/>
          <w:szCs w:val="24"/>
        </w:rPr>
        <w:t>Salterio</w:t>
      </w:r>
      <w:r w:rsidR="00183102" w:rsidRPr="00183102">
        <w:rPr>
          <w:rStyle w:val="FootnoteReference"/>
          <w:rFonts w:cs="Arial"/>
          <w:i/>
          <w:iCs/>
          <w:szCs w:val="24"/>
        </w:rPr>
        <w:footnoteReference w:id="2"/>
      </w:r>
      <w:r w:rsidRPr="00183102">
        <w:rPr>
          <w:rFonts w:cs="Arial"/>
          <w:szCs w:val="24"/>
        </w:rPr>
        <w:t xml:space="preserve">; </w:t>
      </w:r>
      <w:r w:rsidRPr="00183102">
        <w:rPr>
          <w:rFonts w:cs="Arial"/>
          <w:i/>
          <w:iCs/>
          <w:szCs w:val="24"/>
        </w:rPr>
        <w:t xml:space="preserve">Torrop </w:t>
      </w:r>
      <w:r w:rsidRPr="00183102">
        <w:rPr>
          <w:rFonts w:cs="Arial"/>
          <w:szCs w:val="24"/>
        </w:rPr>
        <w:t xml:space="preserve">v. </w:t>
      </w:r>
      <w:r w:rsidRPr="00183102">
        <w:rPr>
          <w:rFonts w:cs="Arial"/>
          <w:i/>
          <w:iCs/>
          <w:szCs w:val="24"/>
        </w:rPr>
        <w:t>Imperial Fire Insurance Co.</w:t>
      </w:r>
      <w:r w:rsidR="00183102" w:rsidRPr="00183102">
        <w:rPr>
          <w:rStyle w:val="FootnoteReference"/>
          <w:rFonts w:cs="Arial"/>
          <w:i/>
          <w:iCs/>
          <w:szCs w:val="24"/>
        </w:rPr>
        <w:footnoteReference w:id="3"/>
      </w:r>
      <w:r w:rsidRPr="00183102">
        <w:rPr>
          <w:rFonts w:cs="Arial"/>
          <w:szCs w:val="24"/>
        </w:rPr>
        <w:t xml:space="preserve">; </w:t>
      </w:r>
      <w:r w:rsidRPr="00183102">
        <w:rPr>
          <w:rFonts w:cs="Arial"/>
          <w:i/>
          <w:iCs/>
          <w:szCs w:val="24"/>
        </w:rPr>
        <w:t xml:space="preserve">WestChester Fire Insurance Co </w:t>
      </w:r>
      <w:r w:rsidRPr="00183102">
        <w:rPr>
          <w:rFonts w:cs="Arial"/>
          <w:szCs w:val="24"/>
        </w:rPr>
        <w:t xml:space="preserve">v. </w:t>
      </w:r>
      <w:r w:rsidRPr="00183102">
        <w:rPr>
          <w:rFonts w:cs="Arial"/>
          <w:i/>
          <w:iCs/>
          <w:szCs w:val="24"/>
        </w:rPr>
        <w:t>Weaver</w:t>
      </w:r>
      <w:r w:rsidR="00183102" w:rsidRPr="00183102">
        <w:rPr>
          <w:rStyle w:val="FootnoteReference"/>
          <w:rFonts w:cs="Arial"/>
          <w:i/>
          <w:iCs/>
          <w:szCs w:val="24"/>
        </w:rPr>
        <w:footnoteReference w:id="4"/>
      </w:r>
      <w:r w:rsidRPr="00183102">
        <w:rPr>
          <w:rFonts w:cs="Arial"/>
          <w:szCs w:val="24"/>
        </w:rPr>
        <w:t>.</w:t>
      </w:r>
    </w:p>
    <w:p w:rsidR="00320307" w:rsidRPr="00183102" w:rsidRDefault="00320307" w:rsidP="00807C82">
      <w:pPr>
        <w:pStyle w:val="History"/>
        <w:rPr>
          <w:rFonts w:cs="Arial"/>
          <w:szCs w:val="24"/>
        </w:rPr>
      </w:pPr>
      <w:r w:rsidRPr="00183102">
        <w:rPr>
          <w:rFonts w:cs="Arial"/>
          <w:szCs w:val="24"/>
        </w:rPr>
        <w:t>(Respondent's counsel were only required to argue the last point.)</w:t>
      </w:r>
    </w:p>
    <w:p w:rsidR="00320307" w:rsidRPr="00183102" w:rsidRDefault="00320307" w:rsidP="00807C82">
      <w:pPr>
        <w:pStyle w:val="History"/>
        <w:rPr>
          <w:rFonts w:cs="Arial"/>
          <w:szCs w:val="24"/>
        </w:rPr>
      </w:pPr>
      <w:r w:rsidRPr="00183102">
        <w:rPr>
          <w:rFonts w:cs="Arial"/>
          <w:i/>
          <w:iCs/>
          <w:szCs w:val="24"/>
        </w:rPr>
        <w:t xml:space="preserve">Pugsley K.C., </w:t>
      </w:r>
      <w:r w:rsidRPr="00183102">
        <w:rPr>
          <w:rFonts w:cs="Arial"/>
          <w:szCs w:val="24"/>
        </w:rPr>
        <w:t xml:space="preserve">Atty. Gen. of New Brunswick, for the respondent. A mortgagor is always regarded as the owner of the mortgaged property. In </w:t>
      </w:r>
      <w:r w:rsidRPr="00183102">
        <w:rPr>
          <w:rFonts w:cs="Arial"/>
          <w:i/>
          <w:iCs/>
          <w:szCs w:val="24"/>
        </w:rPr>
        <w:t xml:space="preserve">North British and Mercantile Ins. Co. </w:t>
      </w:r>
      <w:r w:rsidRPr="00183102">
        <w:rPr>
          <w:rFonts w:cs="Arial"/>
          <w:szCs w:val="24"/>
        </w:rPr>
        <w:t xml:space="preserve">v. </w:t>
      </w:r>
      <w:r w:rsidRPr="00183102">
        <w:rPr>
          <w:rFonts w:cs="Arial"/>
          <w:i/>
          <w:iCs/>
          <w:szCs w:val="24"/>
        </w:rPr>
        <w:t>McLellan</w:t>
      </w:r>
      <w:r w:rsidR="00183102" w:rsidRPr="00183102">
        <w:rPr>
          <w:rStyle w:val="FootnoteReference"/>
          <w:rFonts w:cs="Arial"/>
          <w:i/>
          <w:iCs/>
          <w:szCs w:val="24"/>
        </w:rPr>
        <w:footnoteReference w:id="5"/>
      </w:r>
      <w:r w:rsidRPr="00183102">
        <w:rPr>
          <w:rFonts w:cs="Arial"/>
          <w:szCs w:val="24"/>
        </w:rPr>
        <w:t xml:space="preserve"> the Chief Justice said "a mortgagor is deemed the owner of the property mortgaged both in a popular and a technical sense."</w:t>
      </w:r>
    </w:p>
    <w:p w:rsidR="00320307" w:rsidRPr="00183102" w:rsidRDefault="00320307" w:rsidP="00807C82">
      <w:pPr>
        <w:pStyle w:val="History"/>
        <w:rPr>
          <w:rFonts w:cs="Arial"/>
          <w:szCs w:val="24"/>
        </w:rPr>
      </w:pPr>
      <w:r w:rsidRPr="00183102">
        <w:rPr>
          <w:rFonts w:cs="Arial"/>
          <w:szCs w:val="24"/>
        </w:rPr>
        <w:t>The insurers who must state the nature of the interest insured are named in the policy and the mortgagor is not one.</w:t>
      </w:r>
    </w:p>
    <w:p w:rsidR="00320307" w:rsidRPr="00183102" w:rsidRDefault="00320307" w:rsidP="00807C82">
      <w:pPr>
        <w:pStyle w:val="History"/>
        <w:rPr>
          <w:rFonts w:cs="Arial"/>
          <w:szCs w:val="24"/>
        </w:rPr>
      </w:pPr>
      <w:r w:rsidRPr="00183102">
        <w:rPr>
          <w:rFonts w:cs="Arial"/>
          <w:szCs w:val="24"/>
        </w:rPr>
        <w:t xml:space="preserve">Every decision of the courts in the United States and Canada dealing with this condition has held the mortgagor to be the owner. See </w:t>
      </w:r>
      <w:r w:rsidRPr="00183102">
        <w:rPr>
          <w:rFonts w:cs="Arial"/>
          <w:i/>
          <w:iCs/>
          <w:szCs w:val="24"/>
        </w:rPr>
        <w:t xml:space="preserve">Dolliver </w:t>
      </w:r>
      <w:r w:rsidRPr="00183102">
        <w:rPr>
          <w:rFonts w:cs="Arial"/>
          <w:szCs w:val="24"/>
        </w:rPr>
        <w:t xml:space="preserve">v. </w:t>
      </w:r>
      <w:r w:rsidRPr="00183102">
        <w:rPr>
          <w:rFonts w:cs="Arial"/>
          <w:i/>
          <w:iCs/>
          <w:szCs w:val="24"/>
        </w:rPr>
        <w:t>St. Joseph Fire &amp; Marine Ins. Co.</w:t>
      </w:r>
      <w:r w:rsidR="00183102" w:rsidRPr="00183102">
        <w:rPr>
          <w:rStyle w:val="FootnoteReference"/>
          <w:rFonts w:cs="Arial"/>
          <w:i/>
          <w:iCs/>
          <w:szCs w:val="24"/>
        </w:rPr>
        <w:footnoteReference w:id="6"/>
      </w:r>
      <w:r w:rsidRPr="00183102">
        <w:rPr>
          <w:rFonts w:cs="Arial"/>
          <w:szCs w:val="24"/>
        </w:rPr>
        <w:t xml:space="preserve">; </w:t>
      </w:r>
      <w:r w:rsidRPr="00183102">
        <w:rPr>
          <w:rFonts w:cs="Arial"/>
          <w:i/>
          <w:iCs/>
          <w:szCs w:val="24"/>
        </w:rPr>
        <w:t xml:space="preserve">Friezen </w:t>
      </w:r>
      <w:r w:rsidRPr="00183102">
        <w:rPr>
          <w:rFonts w:cs="Arial"/>
          <w:szCs w:val="24"/>
        </w:rPr>
        <w:t xml:space="preserve">v. </w:t>
      </w:r>
      <w:r w:rsidRPr="00183102">
        <w:rPr>
          <w:rFonts w:cs="Arial"/>
          <w:i/>
          <w:iCs/>
          <w:szCs w:val="24"/>
        </w:rPr>
        <w:t>Allemania Fire Insurance Co.</w:t>
      </w:r>
      <w:r w:rsidR="00183102" w:rsidRPr="00183102">
        <w:rPr>
          <w:rStyle w:val="FootnoteReference"/>
          <w:rFonts w:cs="Arial"/>
          <w:i/>
          <w:iCs/>
          <w:szCs w:val="24"/>
        </w:rPr>
        <w:footnoteReference w:id="7"/>
      </w:r>
      <w:r w:rsidRPr="00183102">
        <w:rPr>
          <w:rFonts w:cs="Arial"/>
          <w:szCs w:val="24"/>
        </w:rPr>
        <w:t xml:space="preserve">; </w:t>
      </w:r>
      <w:r w:rsidRPr="00183102">
        <w:rPr>
          <w:rFonts w:cs="Arial"/>
          <w:i/>
          <w:iCs/>
          <w:szCs w:val="24"/>
        </w:rPr>
        <w:t xml:space="preserve">Insurance Co. </w:t>
      </w:r>
      <w:r w:rsidRPr="00183102">
        <w:rPr>
          <w:rFonts w:cs="Arial"/>
          <w:szCs w:val="24"/>
        </w:rPr>
        <w:t xml:space="preserve">v. </w:t>
      </w:r>
      <w:r w:rsidRPr="00183102">
        <w:rPr>
          <w:rFonts w:cs="Arial"/>
          <w:i/>
          <w:iCs/>
          <w:szCs w:val="24"/>
        </w:rPr>
        <w:t>Haven</w:t>
      </w:r>
      <w:r w:rsidR="00183102" w:rsidRPr="00183102">
        <w:rPr>
          <w:rStyle w:val="FootnoteReference"/>
          <w:rFonts w:cs="Arial"/>
          <w:i/>
          <w:iCs/>
          <w:szCs w:val="24"/>
        </w:rPr>
        <w:footnoteReference w:id="8"/>
      </w:r>
      <w:r w:rsidRPr="00183102">
        <w:rPr>
          <w:rFonts w:cs="Arial"/>
          <w:szCs w:val="24"/>
        </w:rPr>
        <w:t>.</w:t>
      </w:r>
    </w:p>
    <w:p w:rsidR="00320307" w:rsidRPr="00183102" w:rsidRDefault="00700840" w:rsidP="00700840">
      <w:pPr>
        <w:pStyle w:val="Page"/>
      </w:pPr>
      <w:r>
        <w:rPr>
          <w:rFonts w:cs="Arial"/>
          <w:szCs w:val="24"/>
        </w:rPr>
        <w:t xml:space="preserve">[Page </w:t>
      </w:r>
      <w:r w:rsidR="00320307" w:rsidRPr="00183102">
        <w:rPr>
          <w:rFonts w:cs="Arial"/>
          <w:szCs w:val="24"/>
        </w:rPr>
        <w:t>375]</w:t>
      </w:r>
    </w:p>
    <w:p w:rsidR="00320307" w:rsidRPr="00183102" w:rsidRDefault="00320307" w:rsidP="00807C82">
      <w:pPr>
        <w:pStyle w:val="History"/>
        <w:rPr>
          <w:rFonts w:cs="Arial"/>
          <w:szCs w:val="24"/>
        </w:rPr>
      </w:pPr>
      <w:r w:rsidRPr="00183102">
        <w:rPr>
          <w:rFonts w:cs="Arial"/>
          <w:i/>
          <w:iCs/>
          <w:szCs w:val="24"/>
        </w:rPr>
        <w:lastRenderedPageBreak/>
        <w:t xml:space="preserve">Masters K.C. </w:t>
      </w:r>
      <w:r w:rsidRPr="00183102">
        <w:rPr>
          <w:rFonts w:cs="Arial"/>
          <w:szCs w:val="24"/>
        </w:rPr>
        <w:t xml:space="preserve">follows for respondent. The wording of the condition shows that the term owner was intended to include a mortgagor, and in some policies the mortgagor is referred to as owner. </w:t>
      </w:r>
      <w:r w:rsidRPr="00183102">
        <w:rPr>
          <w:rFonts w:cs="Arial"/>
          <w:i/>
          <w:iCs/>
          <w:szCs w:val="24"/>
        </w:rPr>
        <w:t xml:space="preserve">Hopkins </w:t>
      </w:r>
      <w:r w:rsidRPr="00183102">
        <w:rPr>
          <w:rFonts w:cs="Arial"/>
          <w:szCs w:val="24"/>
        </w:rPr>
        <w:t xml:space="preserve">v. </w:t>
      </w:r>
      <w:r w:rsidRPr="00183102">
        <w:rPr>
          <w:rFonts w:cs="Arial"/>
          <w:i/>
          <w:iCs/>
          <w:szCs w:val="24"/>
        </w:rPr>
        <w:t>Provincial Insurance Co.</w:t>
      </w:r>
      <w:r w:rsidR="00183102" w:rsidRPr="00183102">
        <w:rPr>
          <w:rStyle w:val="FootnoteReference"/>
          <w:rFonts w:cs="Arial"/>
          <w:i/>
          <w:iCs/>
          <w:szCs w:val="24"/>
        </w:rPr>
        <w:footnoteReference w:id="9"/>
      </w:r>
      <w:r w:rsidRPr="00183102">
        <w:rPr>
          <w:rFonts w:cs="Arial"/>
          <w:szCs w:val="24"/>
        </w:rPr>
        <w:t>.</w:t>
      </w:r>
    </w:p>
    <w:p w:rsidR="00320307" w:rsidRPr="00183102" w:rsidRDefault="00320307" w:rsidP="00807C82">
      <w:pPr>
        <w:pStyle w:val="History"/>
        <w:rPr>
          <w:rFonts w:cs="Arial"/>
          <w:szCs w:val="24"/>
        </w:rPr>
      </w:pPr>
      <w:r w:rsidRPr="00183102">
        <w:rPr>
          <w:rFonts w:cs="Arial"/>
          <w:szCs w:val="24"/>
        </w:rPr>
        <w:t xml:space="preserve">In </w:t>
      </w:r>
      <w:r w:rsidRPr="00183102">
        <w:rPr>
          <w:rFonts w:cs="Arial"/>
          <w:i/>
          <w:iCs/>
          <w:szCs w:val="24"/>
        </w:rPr>
        <w:t xml:space="preserve">Sinclair </w:t>
      </w:r>
      <w:r w:rsidRPr="00183102">
        <w:rPr>
          <w:rFonts w:cs="Arial"/>
          <w:szCs w:val="24"/>
        </w:rPr>
        <w:t xml:space="preserve">v. </w:t>
      </w:r>
      <w:r w:rsidRPr="00183102">
        <w:rPr>
          <w:rFonts w:cs="Arial"/>
          <w:i/>
          <w:iCs/>
          <w:szCs w:val="24"/>
        </w:rPr>
        <w:t>Canadian Mutual Fire Insurance Co.</w:t>
      </w:r>
      <w:r w:rsidR="00183102" w:rsidRPr="00183102">
        <w:rPr>
          <w:rStyle w:val="FootnoteReference"/>
          <w:rFonts w:cs="Arial"/>
          <w:i/>
          <w:iCs/>
          <w:szCs w:val="24"/>
        </w:rPr>
        <w:footnoteReference w:id="10"/>
      </w:r>
      <w:r w:rsidR="00183102" w:rsidRPr="00183102">
        <w:rPr>
          <w:rFonts w:cs="Arial"/>
          <w:i/>
          <w:iCs/>
          <w:szCs w:val="24"/>
        </w:rPr>
        <w:t xml:space="preserve"> </w:t>
      </w:r>
      <w:r w:rsidRPr="00183102">
        <w:rPr>
          <w:rFonts w:cs="Arial"/>
          <w:szCs w:val="24"/>
        </w:rPr>
        <w:t>a mortgagor was held to be "absolute owner" of the mortgaged property.</w:t>
      </w:r>
    </w:p>
    <w:p w:rsidR="00320307" w:rsidRPr="00183102" w:rsidRDefault="00320307" w:rsidP="00807C82">
      <w:pPr>
        <w:pStyle w:val="History"/>
        <w:rPr>
          <w:rFonts w:cs="Arial"/>
          <w:szCs w:val="24"/>
        </w:rPr>
      </w:pPr>
      <w:r w:rsidRPr="00183102">
        <w:rPr>
          <w:rFonts w:cs="Arial"/>
          <w:szCs w:val="24"/>
        </w:rPr>
        <w:t>A mortgagee has a conditional interest, but not a mortgagor.</w:t>
      </w:r>
    </w:p>
    <w:p w:rsidR="00320307" w:rsidRPr="00183102" w:rsidRDefault="00320307" w:rsidP="00807C82">
      <w:pPr>
        <w:pStyle w:val="Reasons"/>
      </w:pPr>
      <w:r w:rsidRPr="00183102">
        <w:t>The judgment of the court was delivered by:</w:t>
      </w:r>
    </w:p>
    <w:p w:rsidR="00320307" w:rsidRPr="00183102" w:rsidRDefault="00807C82" w:rsidP="00807C82">
      <w:pPr>
        <w:pStyle w:val="Reasons"/>
        <w:rPr>
          <w:rFonts w:cs="Arial"/>
          <w:szCs w:val="24"/>
        </w:rPr>
      </w:pPr>
      <w:r w:rsidRPr="00183102">
        <w:rPr>
          <w:rFonts w:cs="Arial"/>
          <w:szCs w:val="24"/>
        </w:rPr>
        <w:t>THE CHIEF JUSTICE</w:t>
      </w:r>
      <w:r w:rsidRPr="00183102">
        <w:rPr>
          <w:rFonts w:cs="Arial"/>
          <w:smallCaps/>
          <w:szCs w:val="24"/>
        </w:rPr>
        <w:t xml:space="preserve"> </w:t>
      </w:r>
      <w:r w:rsidR="00320307" w:rsidRPr="00183102">
        <w:rPr>
          <w:rFonts w:cs="Arial"/>
          <w:szCs w:val="24"/>
        </w:rPr>
        <w:t xml:space="preserve">—We are all of opinion that the respondent was the sole and unconditional owner of the property within the meaning of the conditions of the policy, and that the interest of the assured was not untruly stated by him. </w:t>
      </w:r>
      <w:r w:rsidR="00320307" w:rsidRPr="00183102">
        <w:rPr>
          <w:rFonts w:cs="Arial"/>
          <w:i/>
          <w:iCs/>
          <w:szCs w:val="24"/>
        </w:rPr>
        <w:t>The North British and Mercantile Ins. Co. v. McLellan</w:t>
      </w:r>
      <w:r w:rsidR="00183102" w:rsidRPr="00183102">
        <w:rPr>
          <w:rStyle w:val="FootnoteReference"/>
          <w:rFonts w:cs="Arial"/>
          <w:i/>
          <w:iCs/>
          <w:szCs w:val="24"/>
        </w:rPr>
        <w:footnoteReference w:id="11"/>
      </w:r>
      <w:r w:rsidR="00320307" w:rsidRPr="00183102">
        <w:rPr>
          <w:rFonts w:cs="Arial"/>
          <w:szCs w:val="24"/>
        </w:rPr>
        <w:t xml:space="preserve">, and </w:t>
      </w:r>
      <w:r w:rsidR="00320307" w:rsidRPr="00183102">
        <w:rPr>
          <w:rFonts w:cs="Arial"/>
          <w:i/>
          <w:iCs/>
          <w:szCs w:val="24"/>
        </w:rPr>
        <w:t xml:space="preserve">Dolliver </w:t>
      </w:r>
      <w:r w:rsidR="00320307" w:rsidRPr="00183102">
        <w:rPr>
          <w:rFonts w:cs="Arial"/>
          <w:szCs w:val="24"/>
        </w:rPr>
        <w:t xml:space="preserve">v </w:t>
      </w:r>
      <w:r w:rsidR="00320307" w:rsidRPr="00183102">
        <w:rPr>
          <w:rFonts w:cs="Arial"/>
          <w:i/>
          <w:iCs/>
          <w:szCs w:val="24"/>
        </w:rPr>
        <w:t>St. Joseph Fire &amp; Marine Insurance Co.</w:t>
      </w:r>
      <w:r w:rsidR="00183102" w:rsidRPr="00183102">
        <w:rPr>
          <w:rStyle w:val="FootnoteReference"/>
          <w:rFonts w:cs="Arial"/>
          <w:i/>
          <w:iCs/>
          <w:szCs w:val="24"/>
        </w:rPr>
        <w:footnoteReference w:id="12"/>
      </w:r>
      <w:r w:rsidR="00320307" w:rsidRPr="00183102">
        <w:rPr>
          <w:rFonts w:cs="Arial"/>
          <w:szCs w:val="24"/>
        </w:rPr>
        <w:t>, are authorities in point.</w:t>
      </w:r>
    </w:p>
    <w:p w:rsidR="00320307" w:rsidRPr="00183102" w:rsidRDefault="00320307" w:rsidP="00807C82">
      <w:pPr>
        <w:pStyle w:val="Reasons"/>
        <w:rPr>
          <w:rFonts w:cs="Arial"/>
          <w:szCs w:val="24"/>
        </w:rPr>
      </w:pPr>
      <w:r w:rsidRPr="00183102">
        <w:rPr>
          <w:rFonts w:cs="Arial"/>
          <w:szCs w:val="24"/>
        </w:rPr>
        <w:t xml:space="preserve">The other objections relied on in the appellants' factum, viz., that the assurance in the Quebec Assurance Co invalidated the policy, was, we think, rightly considered by the Supreme Court of New Brunswick to have been decided adversely to the contention of the appellant in the former case of </w:t>
      </w:r>
      <w:r w:rsidRPr="00183102">
        <w:rPr>
          <w:rFonts w:cs="Arial"/>
          <w:i/>
          <w:iCs/>
          <w:szCs w:val="24"/>
        </w:rPr>
        <w:t xml:space="preserve">Temple </w:t>
      </w:r>
      <w:r w:rsidRPr="00183102">
        <w:rPr>
          <w:rFonts w:cs="Arial"/>
          <w:szCs w:val="24"/>
        </w:rPr>
        <w:t xml:space="preserve">v. </w:t>
      </w:r>
      <w:r w:rsidRPr="00183102">
        <w:rPr>
          <w:rFonts w:cs="Arial"/>
          <w:i/>
          <w:iCs/>
          <w:szCs w:val="24"/>
        </w:rPr>
        <w:t>The Commercial Union Assurance Co.</w:t>
      </w:r>
      <w:r w:rsidR="00183102" w:rsidRPr="00183102">
        <w:rPr>
          <w:rStyle w:val="FootnoteReference"/>
          <w:rFonts w:cs="Arial"/>
          <w:i/>
          <w:iCs/>
          <w:szCs w:val="24"/>
        </w:rPr>
        <w:footnoteReference w:id="13"/>
      </w:r>
      <w:r w:rsidR="00183102" w:rsidRPr="00183102">
        <w:rPr>
          <w:rFonts w:cs="Arial"/>
          <w:i/>
          <w:iCs/>
          <w:szCs w:val="24"/>
        </w:rPr>
        <w:t xml:space="preserve"> </w:t>
      </w:r>
      <w:r w:rsidRPr="00183102">
        <w:rPr>
          <w:rFonts w:cs="Arial"/>
          <w:szCs w:val="24"/>
        </w:rPr>
        <w:t>by which we are bound.</w:t>
      </w:r>
    </w:p>
    <w:p w:rsidR="00320307" w:rsidRPr="00183102" w:rsidRDefault="00320307" w:rsidP="00807C82">
      <w:pPr>
        <w:pStyle w:val="Reasons"/>
        <w:rPr>
          <w:rFonts w:cs="Arial"/>
          <w:szCs w:val="24"/>
        </w:rPr>
      </w:pPr>
      <w:r w:rsidRPr="00183102">
        <w:rPr>
          <w:rFonts w:cs="Arial"/>
          <w:szCs w:val="24"/>
        </w:rPr>
        <w:t xml:space="preserve">The question of estoppel not referred to in the factum, but raised for the first time at the argument here, is not open to the appellant under the agreement come to at the trial that the facts proved in </w:t>
      </w:r>
      <w:r w:rsidRPr="00183102">
        <w:rPr>
          <w:rFonts w:cs="Arial"/>
          <w:i/>
          <w:iCs/>
          <w:szCs w:val="24"/>
        </w:rPr>
        <w:t xml:space="preserve">Temple </w:t>
      </w:r>
      <w:r w:rsidRPr="00183102">
        <w:rPr>
          <w:rFonts w:cs="Arial"/>
          <w:szCs w:val="24"/>
        </w:rPr>
        <w:t xml:space="preserve">v. </w:t>
      </w:r>
      <w:r w:rsidRPr="00183102">
        <w:rPr>
          <w:rFonts w:cs="Arial"/>
          <w:i/>
          <w:iCs/>
          <w:szCs w:val="24"/>
        </w:rPr>
        <w:t xml:space="preserve">The Commercial Union Assurance Co. </w:t>
      </w:r>
      <w:r w:rsidRPr="00183102">
        <w:rPr>
          <w:rFonts w:cs="Arial"/>
          <w:szCs w:val="24"/>
        </w:rPr>
        <w:t>(5) should be taken as proved in this case, and that upon this evidence with any additional facts which either party might prove, the case should be decided. This agreement entirely</w:t>
      </w:r>
    </w:p>
    <w:p w:rsidR="00320307" w:rsidRPr="00183102" w:rsidRDefault="00700840" w:rsidP="00700840">
      <w:pPr>
        <w:pStyle w:val="Page"/>
      </w:pPr>
      <w:r>
        <w:rPr>
          <w:rFonts w:cs="Arial"/>
          <w:szCs w:val="24"/>
        </w:rPr>
        <w:t xml:space="preserve">[Page </w:t>
      </w:r>
      <w:r w:rsidR="00320307" w:rsidRPr="00183102">
        <w:rPr>
          <w:rFonts w:cs="Arial"/>
          <w:szCs w:val="24"/>
        </w:rPr>
        <w:t>376]</w:t>
      </w:r>
    </w:p>
    <w:p w:rsidR="00320307" w:rsidRPr="00183102" w:rsidRDefault="00320307" w:rsidP="00807C82">
      <w:pPr>
        <w:pStyle w:val="Reasons"/>
        <w:rPr>
          <w:rFonts w:cs="Arial"/>
          <w:szCs w:val="24"/>
        </w:rPr>
      </w:pPr>
      <w:r w:rsidRPr="00183102">
        <w:rPr>
          <w:rFonts w:cs="Arial"/>
          <w:szCs w:val="24"/>
        </w:rPr>
        <w:t>precludes the highly technical objection of an estoppel on the pleadings.</w:t>
      </w:r>
    </w:p>
    <w:p w:rsidR="00320307" w:rsidRPr="00183102" w:rsidRDefault="00320307" w:rsidP="00807C82">
      <w:pPr>
        <w:pStyle w:val="Reasons"/>
        <w:rPr>
          <w:rFonts w:cs="Arial"/>
          <w:szCs w:val="24"/>
        </w:rPr>
      </w:pPr>
      <w:r w:rsidRPr="00183102">
        <w:rPr>
          <w:rFonts w:cs="Arial"/>
          <w:szCs w:val="24"/>
        </w:rPr>
        <w:lastRenderedPageBreak/>
        <w:t>Concurring as we do in the reasons given in the judgment of the court appealed from, it is unnecessary to write more fully.</w:t>
      </w:r>
    </w:p>
    <w:p w:rsidR="00320307" w:rsidRPr="00183102" w:rsidRDefault="00320307" w:rsidP="00807C82">
      <w:pPr>
        <w:pStyle w:val="Reasons"/>
      </w:pPr>
      <w:r w:rsidRPr="00183102">
        <w:t>The appeal is dismissed with costs.</w:t>
      </w:r>
    </w:p>
    <w:p w:rsidR="00320307" w:rsidRPr="00183102" w:rsidRDefault="00320307" w:rsidP="00807C82">
      <w:pPr>
        <w:pStyle w:val="Reasons"/>
      </w:pPr>
      <w:r w:rsidRPr="00183102">
        <w:t>Appeal dismissed with costs.</w:t>
      </w:r>
    </w:p>
    <w:p w:rsidR="00320307" w:rsidRPr="00183102" w:rsidRDefault="00320307" w:rsidP="00807C82">
      <w:pPr>
        <w:pStyle w:val="Sollicitors"/>
        <w:rPr>
          <w:iCs/>
        </w:rPr>
      </w:pPr>
      <w:r w:rsidRPr="00183102">
        <w:t>Solicitor for the appellant</w:t>
      </w:r>
      <w:r w:rsidRPr="00183102">
        <w:rPr>
          <w:iCs/>
        </w:rPr>
        <w:t>: J. A. Belyea.</w:t>
      </w:r>
    </w:p>
    <w:p w:rsidR="003824D9" w:rsidRDefault="00320307" w:rsidP="00807C82">
      <w:pPr>
        <w:pStyle w:val="Sollicitors"/>
      </w:pPr>
      <w:r w:rsidRPr="00183102">
        <w:t xml:space="preserve">Solicitor for the respondent: </w:t>
      </w:r>
      <w:r w:rsidRPr="00183102">
        <w:rPr>
          <w:iCs/>
        </w:rPr>
        <w:t>Wm. Pugsley.</w:t>
      </w:r>
    </w:p>
    <w:sectPr w:rsidR="003824D9" w:rsidSect="0032030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26" w:rsidRDefault="00FE2D26" w:rsidP="00320307">
      <w:r>
        <w:separator/>
      </w:r>
    </w:p>
  </w:endnote>
  <w:endnote w:type="continuationSeparator" w:id="1">
    <w:p w:rsidR="00FE2D26" w:rsidRDefault="00FE2D26" w:rsidP="00320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26" w:rsidRDefault="00FE2D26" w:rsidP="00320307">
      <w:r>
        <w:separator/>
      </w:r>
    </w:p>
  </w:footnote>
  <w:footnote w:type="continuationSeparator" w:id="1">
    <w:p w:rsidR="00FE2D26" w:rsidRDefault="00FE2D26" w:rsidP="00320307">
      <w:r>
        <w:continuationSeparator/>
      </w:r>
    </w:p>
  </w:footnote>
  <w:footnote w:id="2">
    <w:p w:rsidR="00183102" w:rsidRPr="00183102" w:rsidRDefault="00183102">
      <w:pPr>
        <w:pStyle w:val="FootnoteText"/>
        <w:rPr>
          <w:lang w:val="en-US"/>
        </w:rPr>
      </w:pPr>
      <w:r>
        <w:rPr>
          <w:rStyle w:val="FootnoteReference"/>
        </w:rPr>
        <w:footnoteRef/>
      </w:r>
      <w:r>
        <w:t xml:space="preserve"> </w:t>
      </w:r>
      <w:r>
        <w:rPr>
          <w:rFonts w:cs="Arial"/>
          <w:szCs w:val="24"/>
        </w:rPr>
        <w:t xml:space="preserve">23 </w:t>
      </w:r>
      <w:r>
        <w:rPr>
          <w:rFonts w:cs="Arial"/>
          <w:szCs w:val="24"/>
          <w:lang w:val="fr-FR"/>
        </w:rPr>
        <w:t xml:space="preserve">Can. S. C. </w:t>
      </w:r>
      <w:r>
        <w:rPr>
          <w:rFonts w:cs="Arial"/>
          <w:szCs w:val="24"/>
        </w:rPr>
        <w:t>R. 155.</w:t>
      </w:r>
    </w:p>
  </w:footnote>
  <w:footnote w:id="3">
    <w:p w:rsidR="00183102" w:rsidRPr="00183102" w:rsidRDefault="00183102">
      <w:pPr>
        <w:pStyle w:val="FootnoteText"/>
        <w:rPr>
          <w:lang w:val="en-US"/>
        </w:rPr>
      </w:pPr>
      <w:r>
        <w:rPr>
          <w:rStyle w:val="FootnoteReference"/>
        </w:rPr>
        <w:footnoteRef/>
      </w:r>
      <w:r>
        <w:t xml:space="preserve"> </w:t>
      </w:r>
      <w:r>
        <w:rPr>
          <w:rFonts w:cs="Arial"/>
          <w:szCs w:val="24"/>
        </w:rPr>
        <w:t xml:space="preserve">26 Can. </w:t>
      </w:r>
      <w:r>
        <w:rPr>
          <w:rFonts w:cs="Arial"/>
          <w:szCs w:val="24"/>
          <w:lang w:val="fr-FR"/>
        </w:rPr>
        <w:t xml:space="preserve">S. C. </w:t>
      </w:r>
      <w:r>
        <w:rPr>
          <w:rFonts w:cs="Arial"/>
          <w:szCs w:val="24"/>
        </w:rPr>
        <w:t>R. 585.</w:t>
      </w:r>
    </w:p>
  </w:footnote>
  <w:footnote w:id="4">
    <w:p w:rsidR="00183102" w:rsidRPr="00183102" w:rsidRDefault="00183102">
      <w:pPr>
        <w:pStyle w:val="FootnoteText"/>
        <w:rPr>
          <w:lang w:val="en-US"/>
        </w:rPr>
      </w:pPr>
      <w:r>
        <w:rPr>
          <w:rStyle w:val="FootnoteReference"/>
        </w:rPr>
        <w:footnoteRef/>
      </w:r>
      <w:r>
        <w:t xml:space="preserve"> </w:t>
      </w:r>
      <w:r>
        <w:rPr>
          <w:rFonts w:cs="Arial"/>
          <w:szCs w:val="24"/>
        </w:rPr>
        <w:t>70 Md. 536.</w:t>
      </w:r>
    </w:p>
  </w:footnote>
  <w:footnote w:id="5">
    <w:p w:rsidR="00183102" w:rsidRPr="00183102" w:rsidRDefault="00183102">
      <w:pPr>
        <w:pStyle w:val="FootnoteText"/>
        <w:rPr>
          <w:lang w:val="en-US"/>
        </w:rPr>
      </w:pPr>
      <w:r>
        <w:rPr>
          <w:rStyle w:val="FootnoteReference"/>
        </w:rPr>
        <w:footnoteRef/>
      </w:r>
      <w:r>
        <w:t xml:space="preserve"> </w:t>
      </w:r>
      <w:r>
        <w:rPr>
          <w:rFonts w:cs="Arial"/>
          <w:szCs w:val="24"/>
        </w:rPr>
        <w:t xml:space="preserve">21 Can. </w:t>
      </w:r>
      <w:r>
        <w:rPr>
          <w:rFonts w:cs="Arial"/>
          <w:szCs w:val="24"/>
          <w:lang w:val="fr-FR"/>
        </w:rPr>
        <w:t xml:space="preserve">S. C. </w:t>
      </w:r>
      <w:r>
        <w:rPr>
          <w:rFonts w:cs="Arial"/>
          <w:szCs w:val="24"/>
        </w:rPr>
        <w:t>R. 288.</w:t>
      </w:r>
    </w:p>
  </w:footnote>
  <w:footnote w:id="6">
    <w:p w:rsidR="00183102" w:rsidRPr="00183102" w:rsidRDefault="00183102">
      <w:pPr>
        <w:pStyle w:val="FootnoteText"/>
        <w:rPr>
          <w:lang w:val="en-US"/>
        </w:rPr>
      </w:pPr>
      <w:r>
        <w:rPr>
          <w:rStyle w:val="FootnoteReference"/>
        </w:rPr>
        <w:footnoteRef/>
      </w:r>
      <w:r>
        <w:t xml:space="preserve"> </w:t>
      </w:r>
      <w:r>
        <w:rPr>
          <w:rFonts w:cs="Arial"/>
          <w:szCs w:val="24"/>
        </w:rPr>
        <w:t>128 Mass. 315.</w:t>
      </w:r>
    </w:p>
  </w:footnote>
  <w:footnote w:id="7">
    <w:p w:rsidR="00183102" w:rsidRPr="00183102" w:rsidRDefault="00183102">
      <w:pPr>
        <w:pStyle w:val="FootnoteText"/>
        <w:rPr>
          <w:lang w:val="en-US"/>
        </w:rPr>
      </w:pPr>
      <w:r>
        <w:rPr>
          <w:rStyle w:val="FootnoteReference"/>
        </w:rPr>
        <w:footnoteRef/>
      </w:r>
      <w:r>
        <w:t xml:space="preserve"> </w:t>
      </w:r>
      <w:r>
        <w:rPr>
          <w:rFonts w:cs="Arial"/>
          <w:szCs w:val="24"/>
        </w:rPr>
        <w:t>30 Fed. Rep. 352.</w:t>
      </w:r>
    </w:p>
  </w:footnote>
  <w:footnote w:id="8">
    <w:p w:rsidR="00183102" w:rsidRPr="00183102" w:rsidRDefault="00183102">
      <w:pPr>
        <w:pStyle w:val="FootnoteText"/>
        <w:rPr>
          <w:lang w:val="en-US"/>
        </w:rPr>
      </w:pPr>
      <w:r>
        <w:rPr>
          <w:rStyle w:val="FootnoteReference"/>
        </w:rPr>
        <w:footnoteRef/>
      </w:r>
      <w:r>
        <w:t xml:space="preserve"> </w:t>
      </w:r>
      <w:r>
        <w:rPr>
          <w:rFonts w:cs="Arial"/>
          <w:szCs w:val="24"/>
        </w:rPr>
        <w:t xml:space="preserve">95 U. </w:t>
      </w:r>
      <w:r>
        <w:rPr>
          <w:rFonts w:cs="Arial"/>
          <w:szCs w:val="24"/>
          <w:lang w:val="fr-FR"/>
        </w:rPr>
        <w:t xml:space="preserve">S. </w:t>
      </w:r>
      <w:r>
        <w:rPr>
          <w:rFonts w:cs="Arial"/>
          <w:szCs w:val="24"/>
        </w:rPr>
        <w:t>R. 242.</w:t>
      </w:r>
    </w:p>
  </w:footnote>
  <w:footnote w:id="9">
    <w:p w:rsidR="00183102" w:rsidRPr="00183102" w:rsidRDefault="00183102">
      <w:pPr>
        <w:pStyle w:val="FootnoteText"/>
        <w:rPr>
          <w:lang w:val="en-US"/>
        </w:rPr>
      </w:pPr>
      <w:r>
        <w:rPr>
          <w:rStyle w:val="FootnoteReference"/>
        </w:rPr>
        <w:footnoteRef/>
      </w:r>
      <w:r>
        <w:t xml:space="preserve"> </w:t>
      </w:r>
      <w:r>
        <w:rPr>
          <w:rFonts w:cs="Arial"/>
          <w:szCs w:val="24"/>
        </w:rPr>
        <w:t>18 U. C. C. P. 74.</w:t>
      </w:r>
    </w:p>
  </w:footnote>
  <w:footnote w:id="10">
    <w:p w:rsidR="00183102" w:rsidRPr="00183102" w:rsidRDefault="00183102">
      <w:pPr>
        <w:pStyle w:val="FootnoteText"/>
        <w:rPr>
          <w:lang w:val="en-US"/>
        </w:rPr>
      </w:pPr>
      <w:r>
        <w:rPr>
          <w:rStyle w:val="FootnoteReference"/>
        </w:rPr>
        <w:footnoteRef/>
      </w:r>
      <w:r>
        <w:t xml:space="preserve"> </w:t>
      </w:r>
      <w:r>
        <w:rPr>
          <w:rFonts w:cs="Arial"/>
          <w:szCs w:val="24"/>
        </w:rPr>
        <w:t>40 U. C. Q. B. 206.</w:t>
      </w:r>
    </w:p>
  </w:footnote>
  <w:footnote w:id="11">
    <w:p w:rsidR="00183102" w:rsidRPr="00183102" w:rsidRDefault="00183102">
      <w:pPr>
        <w:pStyle w:val="FootnoteText"/>
        <w:rPr>
          <w:lang w:val="en-US"/>
        </w:rPr>
      </w:pPr>
      <w:r>
        <w:rPr>
          <w:rStyle w:val="FootnoteReference"/>
        </w:rPr>
        <w:footnoteRef/>
      </w:r>
      <w:r>
        <w:t xml:space="preserve"> </w:t>
      </w:r>
      <w:r>
        <w:rPr>
          <w:rFonts w:cs="Arial"/>
          <w:szCs w:val="24"/>
        </w:rPr>
        <w:t>21 Can. S. C. R. 288.</w:t>
      </w:r>
    </w:p>
  </w:footnote>
  <w:footnote w:id="12">
    <w:p w:rsidR="00183102" w:rsidRPr="00183102" w:rsidRDefault="00183102">
      <w:pPr>
        <w:pStyle w:val="FootnoteText"/>
        <w:rPr>
          <w:lang w:val="en-US"/>
        </w:rPr>
      </w:pPr>
      <w:r>
        <w:rPr>
          <w:rStyle w:val="FootnoteReference"/>
        </w:rPr>
        <w:footnoteRef/>
      </w:r>
      <w:r>
        <w:t xml:space="preserve"> </w:t>
      </w:r>
      <w:r>
        <w:rPr>
          <w:rFonts w:cs="Arial"/>
          <w:szCs w:val="24"/>
        </w:rPr>
        <w:t>128 Mass. 315.</w:t>
      </w:r>
    </w:p>
  </w:footnote>
  <w:footnote w:id="13">
    <w:p w:rsidR="00183102" w:rsidRPr="00183102" w:rsidRDefault="00183102">
      <w:pPr>
        <w:pStyle w:val="FootnoteText"/>
        <w:rPr>
          <w:lang w:val="en-US"/>
        </w:rPr>
      </w:pPr>
      <w:r>
        <w:rPr>
          <w:rStyle w:val="FootnoteReference"/>
        </w:rPr>
        <w:footnoteRef/>
      </w:r>
      <w:r>
        <w:t xml:space="preserve"> </w:t>
      </w:r>
      <w:r>
        <w:rPr>
          <w:rFonts w:cs="Arial"/>
          <w:szCs w:val="24"/>
        </w:rPr>
        <w:t>29 Can. S. C. R. 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07" w:rsidRDefault="0032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0307"/>
    <w:rsid w:val="00013FDA"/>
    <w:rsid w:val="000173FB"/>
    <w:rsid w:val="000648D3"/>
    <w:rsid w:val="000655EC"/>
    <w:rsid w:val="00077D2F"/>
    <w:rsid w:val="0008547A"/>
    <w:rsid w:val="000B6688"/>
    <w:rsid w:val="000C3415"/>
    <w:rsid w:val="00121409"/>
    <w:rsid w:val="00125F0C"/>
    <w:rsid w:val="00126A8E"/>
    <w:rsid w:val="001649AB"/>
    <w:rsid w:val="00183102"/>
    <w:rsid w:val="001837F3"/>
    <w:rsid w:val="001D0D42"/>
    <w:rsid w:val="001D5C4A"/>
    <w:rsid w:val="001F6A76"/>
    <w:rsid w:val="002209AC"/>
    <w:rsid w:val="002428EB"/>
    <w:rsid w:val="002A74DD"/>
    <w:rsid w:val="002B30C5"/>
    <w:rsid w:val="002C186C"/>
    <w:rsid w:val="002D56F5"/>
    <w:rsid w:val="002D5E01"/>
    <w:rsid w:val="002F4F64"/>
    <w:rsid w:val="002F7D00"/>
    <w:rsid w:val="00320307"/>
    <w:rsid w:val="00341139"/>
    <w:rsid w:val="00361108"/>
    <w:rsid w:val="003824D9"/>
    <w:rsid w:val="003E5AF5"/>
    <w:rsid w:val="003F602F"/>
    <w:rsid w:val="0042011B"/>
    <w:rsid w:val="004277EE"/>
    <w:rsid w:val="0043543D"/>
    <w:rsid w:val="00442713"/>
    <w:rsid w:val="00457BC5"/>
    <w:rsid w:val="00463F5F"/>
    <w:rsid w:val="00482CDC"/>
    <w:rsid w:val="004C7ED4"/>
    <w:rsid w:val="00511D93"/>
    <w:rsid w:val="00514003"/>
    <w:rsid w:val="00537980"/>
    <w:rsid w:val="0055607C"/>
    <w:rsid w:val="00563767"/>
    <w:rsid w:val="005667DA"/>
    <w:rsid w:val="00593C8B"/>
    <w:rsid w:val="006330E7"/>
    <w:rsid w:val="00644967"/>
    <w:rsid w:val="006570B7"/>
    <w:rsid w:val="00661C7E"/>
    <w:rsid w:val="006D2BED"/>
    <w:rsid w:val="006D6F42"/>
    <w:rsid w:val="006E5FEA"/>
    <w:rsid w:val="00700840"/>
    <w:rsid w:val="00747F2C"/>
    <w:rsid w:val="00751F7D"/>
    <w:rsid w:val="007969C4"/>
    <w:rsid w:val="007B3A90"/>
    <w:rsid w:val="007D6DD5"/>
    <w:rsid w:val="008027F3"/>
    <w:rsid w:val="00807C82"/>
    <w:rsid w:val="008433A9"/>
    <w:rsid w:val="008550EF"/>
    <w:rsid w:val="00872F75"/>
    <w:rsid w:val="00880FBB"/>
    <w:rsid w:val="008B0B7A"/>
    <w:rsid w:val="008F618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61720"/>
    <w:rsid w:val="00C7016B"/>
    <w:rsid w:val="00C93FA5"/>
    <w:rsid w:val="00CB726B"/>
    <w:rsid w:val="00CC50DD"/>
    <w:rsid w:val="00CD1289"/>
    <w:rsid w:val="00CD1F09"/>
    <w:rsid w:val="00CD50FC"/>
    <w:rsid w:val="00CE2A11"/>
    <w:rsid w:val="00CF1E48"/>
    <w:rsid w:val="00D00550"/>
    <w:rsid w:val="00D306D2"/>
    <w:rsid w:val="00D45866"/>
    <w:rsid w:val="00D714C8"/>
    <w:rsid w:val="00D80E5B"/>
    <w:rsid w:val="00D9036C"/>
    <w:rsid w:val="00DC4119"/>
    <w:rsid w:val="00DE0DFD"/>
    <w:rsid w:val="00DE30DC"/>
    <w:rsid w:val="00E1124B"/>
    <w:rsid w:val="00E114A9"/>
    <w:rsid w:val="00E117BD"/>
    <w:rsid w:val="00E30F5A"/>
    <w:rsid w:val="00E40016"/>
    <w:rsid w:val="00E4050B"/>
    <w:rsid w:val="00E407E4"/>
    <w:rsid w:val="00E43349"/>
    <w:rsid w:val="00E51D18"/>
    <w:rsid w:val="00E86DF4"/>
    <w:rsid w:val="00EB3437"/>
    <w:rsid w:val="00EF2358"/>
    <w:rsid w:val="00F00C18"/>
    <w:rsid w:val="00F13669"/>
    <w:rsid w:val="00F177D8"/>
    <w:rsid w:val="00F35E8A"/>
    <w:rsid w:val="00F60320"/>
    <w:rsid w:val="00F64D86"/>
    <w:rsid w:val="00F84871"/>
    <w:rsid w:val="00FA66A7"/>
    <w:rsid w:val="00FE2D26"/>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6F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D56F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D56F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56F5"/>
  </w:style>
  <w:style w:type="paragraph" w:styleId="Header">
    <w:name w:val="header"/>
    <w:basedOn w:val="Normal"/>
    <w:link w:val="HeaderChar"/>
    <w:uiPriority w:val="99"/>
    <w:unhideWhenUsed/>
    <w:rsid w:val="002D56F5"/>
    <w:pPr>
      <w:tabs>
        <w:tab w:val="center" w:pos="4680"/>
        <w:tab w:val="right" w:pos="9360"/>
      </w:tabs>
    </w:pPr>
    <w:rPr>
      <w:rFonts w:ascii="Times New Roman" w:hAnsi="Times New Roman"/>
    </w:rPr>
  </w:style>
  <w:style w:type="character" w:customStyle="1" w:styleId="HeaderChar">
    <w:name w:val="Header Char"/>
    <w:link w:val="Header"/>
    <w:uiPriority w:val="99"/>
    <w:rsid w:val="002D56F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D56F5"/>
    <w:pPr>
      <w:tabs>
        <w:tab w:val="center" w:pos="4680"/>
        <w:tab w:val="right" w:pos="9360"/>
      </w:tabs>
    </w:pPr>
    <w:rPr>
      <w:rFonts w:ascii="Times New Roman" w:hAnsi="Times New Roman"/>
    </w:rPr>
  </w:style>
  <w:style w:type="character" w:customStyle="1" w:styleId="FooterChar">
    <w:name w:val="Footer Char"/>
    <w:link w:val="Footer"/>
    <w:uiPriority w:val="99"/>
    <w:rsid w:val="002D56F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714C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D56F5"/>
    <w:pPr>
      <w:spacing w:before="100" w:beforeAutospacing="1"/>
      <w:ind w:left="567"/>
      <w:jc w:val="both"/>
    </w:pPr>
  </w:style>
  <w:style w:type="paragraph" w:customStyle="1" w:styleId="Metadata">
    <w:name w:val="Metadata"/>
    <w:basedOn w:val="Normal"/>
    <w:rsid w:val="002D56F5"/>
    <w:pPr>
      <w:spacing w:before="100" w:beforeAutospacing="1" w:after="100" w:afterAutospacing="1"/>
    </w:pPr>
    <w:rPr>
      <w:rFonts w:cs="Arial"/>
      <w:szCs w:val="24"/>
    </w:rPr>
  </w:style>
  <w:style w:type="paragraph" w:customStyle="1" w:styleId="Page">
    <w:name w:val="Page"/>
    <w:basedOn w:val="Normal"/>
    <w:link w:val="PageChar"/>
    <w:rsid w:val="002D56F5"/>
    <w:pPr>
      <w:spacing w:before="100" w:beforeAutospacing="1" w:after="100" w:afterAutospacing="1"/>
    </w:pPr>
    <w:rPr>
      <w:i/>
    </w:rPr>
  </w:style>
  <w:style w:type="paragraph" w:styleId="FootnoteText">
    <w:name w:val="footnote text"/>
    <w:basedOn w:val="Normal"/>
    <w:link w:val="FootnoteTextChar"/>
    <w:autoRedefine/>
    <w:semiHidden/>
    <w:rsid w:val="002D56F5"/>
    <w:rPr>
      <w:sz w:val="16"/>
      <w:szCs w:val="20"/>
    </w:rPr>
  </w:style>
  <w:style w:type="character" w:customStyle="1" w:styleId="FootnoteTextChar">
    <w:name w:val="Footnote Text Char"/>
    <w:link w:val="FootnoteText"/>
    <w:semiHidden/>
    <w:rsid w:val="002D56F5"/>
    <w:rPr>
      <w:rFonts w:ascii="Arial" w:eastAsia="MS Mincho" w:hAnsi="Arial" w:cs="Times New Roman"/>
      <w:sz w:val="16"/>
      <w:szCs w:val="20"/>
      <w:lang w:val="en-CA" w:eastAsia="ja-JP"/>
    </w:rPr>
  </w:style>
  <w:style w:type="character" w:styleId="FootnoteReference">
    <w:name w:val="footnote reference"/>
    <w:semiHidden/>
    <w:rsid w:val="002D56F5"/>
    <w:rPr>
      <w:vertAlign w:val="superscript"/>
    </w:rPr>
  </w:style>
  <w:style w:type="paragraph" w:customStyle="1" w:styleId="ParagNum">
    <w:name w:val="ParagNum"/>
    <w:basedOn w:val="Normal"/>
    <w:rsid w:val="002D56F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D56F5"/>
    <w:pPr>
      <w:spacing w:before="100" w:beforeAutospacing="1" w:after="100" w:afterAutospacing="1" w:line="360" w:lineRule="auto"/>
    </w:pPr>
  </w:style>
  <w:style w:type="paragraph" w:customStyle="1" w:styleId="Indent2">
    <w:name w:val="Indent 2"/>
    <w:basedOn w:val="Indent1"/>
    <w:rsid w:val="002D56F5"/>
    <w:pPr>
      <w:ind w:left="1134"/>
    </w:pPr>
  </w:style>
  <w:style w:type="paragraph" w:customStyle="1" w:styleId="Indent3">
    <w:name w:val="Indent 3"/>
    <w:basedOn w:val="Indent1"/>
    <w:rsid w:val="002D56F5"/>
    <w:pPr>
      <w:ind w:left="1701"/>
    </w:pPr>
  </w:style>
  <w:style w:type="paragraph" w:customStyle="1" w:styleId="Indent4">
    <w:name w:val="Indent 4"/>
    <w:basedOn w:val="Indent1"/>
    <w:rsid w:val="002D56F5"/>
    <w:pPr>
      <w:ind w:left="2268"/>
    </w:pPr>
  </w:style>
  <w:style w:type="paragraph" w:customStyle="1" w:styleId="Indent10">
    <w:name w:val="Indent1"/>
    <w:basedOn w:val="Reasons"/>
    <w:rsid w:val="002D56F5"/>
    <w:pPr>
      <w:ind w:left="567"/>
    </w:pPr>
  </w:style>
  <w:style w:type="paragraph" w:customStyle="1" w:styleId="Indent20">
    <w:name w:val="Indent2"/>
    <w:basedOn w:val="Indent10"/>
    <w:rsid w:val="002D56F5"/>
    <w:pPr>
      <w:ind w:left="1134"/>
    </w:pPr>
  </w:style>
  <w:style w:type="paragraph" w:customStyle="1" w:styleId="Indent30">
    <w:name w:val="Indent3"/>
    <w:basedOn w:val="Indent10"/>
    <w:rsid w:val="002D56F5"/>
    <w:pPr>
      <w:ind w:left="1701"/>
    </w:pPr>
  </w:style>
  <w:style w:type="paragraph" w:customStyle="1" w:styleId="Indent40">
    <w:name w:val="Indent4"/>
    <w:basedOn w:val="Indent10"/>
    <w:rsid w:val="002D56F5"/>
    <w:pPr>
      <w:ind w:left="2268"/>
    </w:pPr>
  </w:style>
  <w:style w:type="paragraph" w:customStyle="1" w:styleId="Keywords">
    <w:name w:val="Keywords"/>
    <w:basedOn w:val="Normal"/>
    <w:rsid w:val="002D56F5"/>
    <w:pPr>
      <w:spacing w:before="100" w:beforeAutospacing="1" w:after="100" w:afterAutospacing="1"/>
    </w:pPr>
    <w:rPr>
      <w:rFonts w:cs="Arial"/>
      <w:i/>
      <w:szCs w:val="24"/>
    </w:rPr>
  </w:style>
  <w:style w:type="paragraph" w:customStyle="1" w:styleId="Summary">
    <w:name w:val="Summary"/>
    <w:basedOn w:val="Normal"/>
    <w:autoRedefine/>
    <w:rsid w:val="002D56F5"/>
    <w:pPr>
      <w:spacing w:before="100" w:beforeAutospacing="1" w:after="100" w:afterAutospacing="1"/>
      <w:ind w:left="562" w:hanging="562"/>
    </w:pPr>
    <w:rPr>
      <w:rFonts w:cs="Arial"/>
    </w:rPr>
  </w:style>
  <w:style w:type="paragraph" w:customStyle="1" w:styleId="History">
    <w:name w:val="History"/>
    <w:basedOn w:val="Normal"/>
    <w:rsid w:val="002D56F5"/>
    <w:pPr>
      <w:spacing w:before="100" w:beforeAutospacing="1" w:after="100" w:afterAutospacing="1"/>
      <w:ind w:firstLine="567"/>
    </w:pPr>
  </w:style>
  <w:style w:type="paragraph" w:customStyle="1" w:styleId="T1">
    <w:name w:val="T1"/>
    <w:basedOn w:val="Normal"/>
    <w:rsid w:val="002D56F5"/>
    <w:pPr>
      <w:spacing w:before="240" w:after="100" w:afterAutospacing="1"/>
    </w:pPr>
    <w:rPr>
      <w:b/>
    </w:rPr>
  </w:style>
  <w:style w:type="paragraph" w:customStyle="1" w:styleId="T2">
    <w:name w:val="T2"/>
    <w:basedOn w:val="Normal"/>
    <w:rsid w:val="002D56F5"/>
    <w:pPr>
      <w:spacing w:before="240" w:after="100" w:afterAutospacing="1"/>
    </w:pPr>
  </w:style>
  <w:style w:type="paragraph" w:customStyle="1" w:styleId="Sollicitors">
    <w:name w:val="Sollicitors"/>
    <w:basedOn w:val="Normal"/>
    <w:rsid w:val="002D56F5"/>
    <w:pPr>
      <w:spacing w:before="100" w:beforeAutospacing="1" w:after="100" w:afterAutospacing="1"/>
    </w:pPr>
    <w:rPr>
      <w:i/>
    </w:rPr>
  </w:style>
  <w:style w:type="paragraph" w:customStyle="1" w:styleId="Court">
    <w:name w:val="Court"/>
    <w:basedOn w:val="Normal"/>
    <w:rsid w:val="002D56F5"/>
    <w:rPr>
      <w:rFonts w:cs="Arial"/>
      <w:b/>
      <w:szCs w:val="24"/>
    </w:rPr>
  </w:style>
  <w:style w:type="character" w:customStyle="1" w:styleId="PageChar">
    <w:name w:val="Page Char"/>
    <w:link w:val="Page"/>
    <w:rsid w:val="002D56F5"/>
    <w:rPr>
      <w:rFonts w:ascii="Arial" w:eastAsia="MS Mincho" w:hAnsi="Arial" w:cs="Times New Roman"/>
      <w:i/>
      <w:sz w:val="24"/>
      <w:szCs w:val="28"/>
      <w:lang w:val="en-CA" w:eastAsia="ja-JP"/>
    </w:rPr>
  </w:style>
  <w:style w:type="character" w:customStyle="1" w:styleId="ReasonsCar">
    <w:name w:val="Reasons Car"/>
    <w:link w:val="Reasons"/>
    <w:rsid w:val="002D56F5"/>
    <w:rPr>
      <w:rFonts w:ascii="Arial" w:eastAsia="MS Mincho" w:hAnsi="Arial" w:cs="Times New Roman"/>
      <w:sz w:val="24"/>
      <w:szCs w:val="28"/>
      <w:lang w:val="en-CA" w:eastAsia="ja-JP"/>
    </w:rPr>
  </w:style>
  <w:style w:type="paragraph" w:customStyle="1" w:styleId="CitationLine">
    <w:name w:val="CitationLine"/>
    <w:basedOn w:val="Court"/>
    <w:rsid w:val="002D56F5"/>
  </w:style>
  <w:style w:type="paragraph" w:customStyle="1" w:styleId="DateISO">
    <w:name w:val="DateISO"/>
    <w:basedOn w:val="Court"/>
    <w:rsid w:val="002D56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4</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2015-03-19T12:55:00Z</dcterms:created>
  <dcterms:modified xsi:type="dcterms:W3CDTF">2015-03-23T04:17:00Z</dcterms:modified>
</cp:coreProperties>
</file>