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74" w:rsidRDefault="008B2C74" w:rsidP="008B2C74">
      <w:pPr>
        <w:pStyle w:val="Court"/>
      </w:pPr>
      <w:r>
        <w:t>Supreme Court of Canada</w:t>
      </w:r>
    </w:p>
    <w:p w:rsidR="008B2C74" w:rsidRDefault="008B2C74" w:rsidP="008B2C74">
      <w:pPr>
        <w:pStyle w:val="CitationLine"/>
      </w:pPr>
      <w:r>
        <w:t xml:space="preserve">The Town of Truro </w:t>
      </w:r>
      <w:r>
        <w:rPr>
          <w:i/>
          <w:iCs/>
        </w:rPr>
        <w:t xml:space="preserve">v. </w:t>
      </w:r>
      <w:r>
        <w:t>Archibald (1901) 31 SCR 380</w:t>
      </w:r>
    </w:p>
    <w:p w:rsidR="008B2C74" w:rsidRDefault="008B2C74" w:rsidP="008B2C74">
      <w:pPr>
        <w:pStyle w:val="DateISO"/>
      </w:pPr>
      <w:r>
        <w:t xml:space="preserve">Date: </w:t>
      </w:r>
      <w:r w:rsidR="00284F35">
        <w:t>1901-05-13</w:t>
      </w:r>
    </w:p>
    <w:p w:rsidR="00747F51" w:rsidRDefault="008B2C74" w:rsidP="00284F35">
      <w:pPr>
        <w:pStyle w:val="Metadata"/>
      </w:pPr>
      <w:r>
        <w:t>The Town of Truro</w:t>
      </w:r>
      <w:r w:rsidR="00747F51">
        <w:t xml:space="preserve"> </w:t>
      </w:r>
      <w:r w:rsidR="00747F51">
        <w:rPr>
          <w:i/>
          <w:iCs/>
        </w:rPr>
        <w:t xml:space="preserve">v. </w:t>
      </w:r>
      <w:r>
        <w:t>Archibald</w:t>
      </w:r>
    </w:p>
    <w:p w:rsidR="008B2C74" w:rsidRDefault="008B2C74" w:rsidP="00284F35">
      <w:pPr>
        <w:pStyle w:val="Metadata"/>
      </w:pPr>
      <w:r>
        <w:t>1901: Feb. 22, 25; 1901: May 13.</w:t>
      </w:r>
    </w:p>
    <w:p w:rsidR="008B2C74" w:rsidRDefault="008B2C74" w:rsidP="00284F35">
      <w:pPr>
        <w:pStyle w:val="Metadata"/>
      </w:pPr>
      <w:r w:rsidRPr="008B2C74">
        <w:t>Present</w:t>
      </w:r>
      <w:r>
        <w:t>:—Taschereau, Gwynne, Sedgewick and Girouard JJ.</w:t>
      </w:r>
    </w:p>
    <w:p w:rsidR="004237D2" w:rsidRDefault="004237D2" w:rsidP="004237D2">
      <w:pPr>
        <w:pStyle w:val="Metadata"/>
      </w:pPr>
      <w:r>
        <w:t>(Mr. Justice King was present at the argument but died before judgment was delivered.)</w:t>
      </w:r>
    </w:p>
    <w:p w:rsidR="00747F51" w:rsidRDefault="00747F51" w:rsidP="00284F35">
      <w:pPr>
        <w:pStyle w:val="Keywords"/>
      </w:pPr>
      <w:r>
        <w:t>Municipal drains—Continuing trespass—Limitation of actions ex delictu—58 V. c. 4, s. 295 (N. S.)—Verdict.</w:t>
      </w:r>
    </w:p>
    <w:p w:rsidR="00747F51" w:rsidRDefault="00747F51" w:rsidP="00284F35">
      <w:pPr>
        <w:pStyle w:val="History"/>
      </w:pPr>
      <w:r w:rsidRPr="00284F35">
        <w:t>Appeal</w:t>
      </w:r>
      <w:r>
        <w:rPr>
          <w:smallCaps/>
        </w:rPr>
        <w:t xml:space="preserve"> </w:t>
      </w:r>
      <w:r>
        <w:t xml:space="preserve">from a judgment of the Supreme Court of Nova Scotia, </w:t>
      </w:r>
      <w:r>
        <w:rPr>
          <w:i/>
          <w:iCs/>
        </w:rPr>
        <w:t>en banc</w:t>
      </w:r>
      <w:r w:rsidR="00CC71C2">
        <w:rPr>
          <w:rStyle w:val="FootnoteReference"/>
          <w:i/>
          <w:iCs/>
        </w:rPr>
        <w:footnoteReference w:id="2"/>
      </w:r>
      <w:r>
        <w:t>, reversing the judgment entered for the defendant on findings of the jury at the trial and maintaining the plaintiff's action with costs.</w:t>
      </w:r>
    </w:p>
    <w:p w:rsidR="00747F51" w:rsidRDefault="00747F51" w:rsidP="00284F35">
      <w:pPr>
        <w:pStyle w:val="History"/>
        <w:rPr>
          <w:rFonts w:cs="Arial"/>
          <w:szCs w:val="24"/>
        </w:rPr>
      </w:pPr>
      <w:r>
        <w:rPr>
          <w:rFonts w:cs="Arial"/>
          <w:szCs w:val="24"/>
        </w:rPr>
        <w:t xml:space="preserve">The plaintiff's action was for trespass by the municipal corporation constructing and maintaining a drain through his land. The jury found that the drain had been constructed in 1886 "by virtue of the Streets Commissioner's power of office." The plaintiff, although aware of the existence of the drain at the time, made no objection till 1896, when the land caved in. The court below held that the jury had found that the defendant had constructed the drain by its agent, and that the trespass, being a continuing one, was not barred by the limitation provided in the "Towns' Incorporation Act of 1895" for actions </w:t>
      </w:r>
      <w:r>
        <w:rPr>
          <w:rFonts w:cs="Arial"/>
          <w:i/>
          <w:iCs/>
          <w:szCs w:val="24"/>
        </w:rPr>
        <w:t xml:space="preserve">ex delictu </w:t>
      </w:r>
      <w:r>
        <w:rPr>
          <w:rFonts w:cs="Arial"/>
          <w:szCs w:val="24"/>
        </w:rPr>
        <w:t>against towns.</w:t>
      </w:r>
    </w:p>
    <w:p w:rsidR="00747F51" w:rsidRDefault="00747F51" w:rsidP="004237D2">
      <w:pPr>
        <w:pStyle w:val="Reasons"/>
      </w:pPr>
      <w:r>
        <w:t>After hearing counsel for the parties, the court reserved judgment, and on a subsequent day, dismissed the appeal with costs.</w:t>
      </w:r>
    </w:p>
    <w:p w:rsidR="00747F51" w:rsidRDefault="00747F51" w:rsidP="004237D2">
      <w:pPr>
        <w:pStyle w:val="Reasons"/>
      </w:pPr>
      <w:r>
        <w:t>Appeal dismissed with costs.</w:t>
      </w:r>
    </w:p>
    <w:p w:rsidR="00747F51" w:rsidRDefault="00747F51" w:rsidP="004237D2">
      <w:pPr>
        <w:pStyle w:val="Sollicitors"/>
      </w:pPr>
      <w:r>
        <w:rPr>
          <w:iCs/>
        </w:rPr>
        <w:t xml:space="preserve">Borden K.C. </w:t>
      </w:r>
      <w:r>
        <w:t xml:space="preserve">and </w:t>
      </w:r>
      <w:r>
        <w:rPr>
          <w:iCs/>
        </w:rPr>
        <w:t xml:space="preserve">Lovett </w:t>
      </w:r>
      <w:r>
        <w:t>for the appellant.</w:t>
      </w:r>
    </w:p>
    <w:p w:rsidR="00747F51" w:rsidRDefault="00747F51" w:rsidP="004237D2">
      <w:pPr>
        <w:pStyle w:val="Sollicitors"/>
      </w:pPr>
      <w:r>
        <w:rPr>
          <w:iCs/>
        </w:rPr>
        <w:t xml:space="preserve">Mellish </w:t>
      </w:r>
      <w:r>
        <w:t>for the respondent.</w:t>
      </w:r>
    </w:p>
    <w:sectPr w:rsidR="00747F51" w:rsidSect="00747F5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0E" w:rsidRDefault="003A4C0E" w:rsidP="00747F51">
      <w:r>
        <w:separator/>
      </w:r>
    </w:p>
  </w:endnote>
  <w:endnote w:type="continuationSeparator" w:id="1">
    <w:p w:rsidR="003A4C0E" w:rsidRDefault="003A4C0E" w:rsidP="00747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1" w:rsidRDefault="00747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1" w:rsidRDefault="00747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1" w:rsidRDefault="00747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0E" w:rsidRDefault="003A4C0E" w:rsidP="00747F51">
      <w:r>
        <w:separator/>
      </w:r>
    </w:p>
  </w:footnote>
  <w:footnote w:type="continuationSeparator" w:id="1">
    <w:p w:rsidR="003A4C0E" w:rsidRDefault="003A4C0E" w:rsidP="00747F51">
      <w:r>
        <w:continuationSeparator/>
      </w:r>
    </w:p>
  </w:footnote>
  <w:footnote w:id="2">
    <w:p w:rsidR="00CC71C2" w:rsidRPr="00CC71C2" w:rsidRDefault="00CC71C2">
      <w:pPr>
        <w:pStyle w:val="FootnoteText"/>
        <w:rPr>
          <w:lang w:val="en-US"/>
        </w:rPr>
      </w:pPr>
      <w:r>
        <w:rPr>
          <w:rStyle w:val="FootnoteReference"/>
        </w:rPr>
        <w:footnoteRef/>
      </w:r>
      <w:r>
        <w:t xml:space="preserve"> </w:t>
      </w:r>
      <w:r>
        <w:rPr>
          <w:rFonts w:cs="Arial"/>
          <w:szCs w:val="24"/>
        </w:rPr>
        <w:t>33 N. S. Rep. 401.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1" w:rsidRDefault="00747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1" w:rsidRDefault="00747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1" w:rsidRDefault="00747F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26D772">
      <w:start w:val="1"/>
      <w:numFmt w:val="decimal"/>
      <w:pStyle w:val="ParagNum"/>
      <w:lvlText w:val="[%1]"/>
      <w:lvlJc w:val="left"/>
      <w:pPr>
        <w:tabs>
          <w:tab w:val="num" w:pos="369"/>
        </w:tabs>
        <w:ind w:left="369" w:hanging="369"/>
      </w:pPr>
    </w:lvl>
    <w:lvl w:ilvl="1" w:tplc="EE6A198A" w:tentative="1">
      <w:start w:val="1"/>
      <w:numFmt w:val="lowerLetter"/>
      <w:lvlText w:val="%2."/>
      <w:lvlJc w:val="left"/>
      <w:pPr>
        <w:tabs>
          <w:tab w:val="num" w:pos="1440"/>
        </w:tabs>
        <w:ind w:left="1440" w:hanging="360"/>
      </w:pPr>
    </w:lvl>
    <w:lvl w:ilvl="2" w:tplc="19CE7716" w:tentative="1">
      <w:start w:val="1"/>
      <w:numFmt w:val="lowerRoman"/>
      <w:lvlText w:val="%3."/>
      <w:lvlJc w:val="right"/>
      <w:pPr>
        <w:tabs>
          <w:tab w:val="num" w:pos="2160"/>
        </w:tabs>
        <w:ind w:left="2160" w:hanging="180"/>
      </w:pPr>
    </w:lvl>
    <w:lvl w:ilvl="3" w:tplc="195EAAC4" w:tentative="1">
      <w:start w:val="1"/>
      <w:numFmt w:val="decimal"/>
      <w:lvlText w:val="%4."/>
      <w:lvlJc w:val="left"/>
      <w:pPr>
        <w:tabs>
          <w:tab w:val="num" w:pos="2880"/>
        </w:tabs>
        <w:ind w:left="2880" w:hanging="360"/>
      </w:pPr>
    </w:lvl>
    <w:lvl w:ilvl="4" w:tplc="A25C0DF6" w:tentative="1">
      <w:start w:val="1"/>
      <w:numFmt w:val="lowerLetter"/>
      <w:lvlText w:val="%5."/>
      <w:lvlJc w:val="left"/>
      <w:pPr>
        <w:tabs>
          <w:tab w:val="num" w:pos="3600"/>
        </w:tabs>
        <w:ind w:left="3600" w:hanging="360"/>
      </w:pPr>
    </w:lvl>
    <w:lvl w:ilvl="5" w:tplc="E33045D0" w:tentative="1">
      <w:start w:val="1"/>
      <w:numFmt w:val="lowerRoman"/>
      <w:lvlText w:val="%6."/>
      <w:lvlJc w:val="right"/>
      <w:pPr>
        <w:tabs>
          <w:tab w:val="num" w:pos="4320"/>
        </w:tabs>
        <w:ind w:left="4320" w:hanging="180"/>
      </w:pPr>
    </w:lvl>
    <w:lvl w:ilvl="6" w:tplc="8D266A8C" w:tentative="1">
      <w:start w:val="1"/>
      <w:numFmt w:val="decimal"/>
      <w:lvlText w:val="%7."/>
      <w:lvlJc w:val="left"/>
      <w:pPr>
        <w:tabs>
          <w:tab w:val="num" w:pos="5040"/>
        </w:tabs>
        <w:ind w:left="5040" w:hanging="360"/>
      </w:pPr>
    </w:lvl>
    <w:lvl w:ilvl="7" w:tplc="F2CADDEE" w:tentative="1">
      <w:start w:val="1"/>
      <w:numFmt w:val="lowerLetter"/>
      <w:lvlText w:val="%8."/>
      <w:lvlJc w:val="left"/>
      <w:pPr>
        <w:tabs>
          <w:tab w:val="num" w:pos="5760"/>
        </w:tabs>
        <w:ind w:left="5760" w:hanging="360"/>
      </w:pPr>
    </w:lvl>
    <w:lvl w:ilvl="8" w:tplc="8B1C3D7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F51"/>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226AD"/>
    <w:rsid w:val="002428EB"/>
    <w:rsid w:val="00284F35"/>
    <w:rsid w:val="002A74DD"/>
    <w:rsid w:val="002B30C5"/>
    <w:rsid w:val="002C186C"/>
    <w:rsid w:val="002D5E01"/>
    <w:rsid w:val="002F4F64"/>
    <w:rsid w:val="002F7D00"/>
    <w:rsid w:val="00325366"/>
    <w:rsid w:val="00361108"/>
    <w:rsid w:val="003824D9"/>
    <w:rsid w:val="003A4C0E"/>
    <w:rsid w:val="003E5AF5"/>
    <w:rsid w:val="003F602F"/>
    <w:rsid w:val="00402D9A"/>
    <w:rsid w:val="004237D2"/>
    <w:rsid w:val="004277EE"/>
    <w:rsid w:val="0043543D"/>
    <w:rsid w:val="00442713"/>
    <w:rsid w:val="00453336"/>
    <w:rsid w:val="00457BC5"/>
    <w:rsid w:val="00463F5F"/>
    <w:rsid w:val="00482CDC"/>
    <w:rsid w:val="004C7ED4"/>
    <w:rsid w:val="00511D93"/>
    <w:rsid w:val="00514003"/>
    <w:rsid w:val="00537980"/>
    <w:rsid w:val="00563767"/>
    <w:rsid w:val="005667DA"/>
    <w:rsid w:val="00593C8B"/>
    <w:rsid w:val="006330E7"/>
    <w:rsid w:val="00644967"/>
    <w:rsid w:val="006D2BED"/>
    <w:rsid w:val="006D6F42"/>
    <w:rsid w:val="006E5FEA"/>
    <w:rsid w:val="00747F2C"/>
    <w:rsid w:val="00747F51"/>
    <w:rsid w:val="00751F7D"/>
    <w:rsid w:val="007969C4"/>
    <w:rsid w:val="007B3A90"/>
    <w:rsid w:val="007D1FED"/>
    <w:rsid w:val="007D6DD5"/>
    <w:rsid w:val="00801E2D"/>
    <w:rsid w:val="008027F3"/>
    <w:rsid w:val="008433A9"/>
    <w:rsid w:val="008550EF"/>
    <w:rsid w:val="00872F75"/>
    <w:rsid w:val="00880FBB"/>
    <w:rsid w:val="008B0B7A"/>
    <w:rsid w:val="008B2C74"/>
    <w:rsid w:val="00926406"/>
    <w:rsid w:val="009A7B1B"/>
    <w:rsid w:val="009D37B6"/>
    <w:rsid w:val="009E64DC"/>
    <w:rsid w:val="00A42830"/>
    <w:rsid w:val="00A4371F"/>
    <w:rsid w:val="00A54E5B"/>
    <w:rsid w:val="00A61128"/>
    <w:rsid w:val="00A94C52"/>
    <w:rsid w:val="00AB09B8"/>
    <w:rsid w:val="00B007EC"/>
    <w:rsid w:val="00B15E59"/>
    <w:rsid w:val="00B177F7"/>
    <w:rsid w:val="00B41B49"/>
    <w:rsid w:val="00B532F0"/>
    <w:rsid w:val="00B639A4"/>
    <w:rsid w:val="00B772A6"/>
    <w:rsid w:val="00BC4595"/>
    <w:rsid w:val="00C3394E"/>
    <w:rsid w:val="00C372DF"/>
    <w:rsid w:val="00C45FBD"/>
    <w:rsid w:val="00C54EB9"/>
    <w:rsid w:val="00C7016B"/>
    <w:rsid w:val="00C93FA5"/>
    <w:rsid w:val="00CB726B"/>
    <w:rsid w:val="00CC50DD"/>
    <w:rsid w:val="00CC71C2"/>
    <w:rsid w:val="00CD1289"/>
    <w:rsid w:val="00CD1F09"/>
    <w:rsid w:val="00CD50FC"/>
    <w:rsid w:val="00CE2A11"/>
    <w:rsid w:val="00CF1E48"/>
    <w:rsid w:val="00D00550"/>
    <w:rsid w:val="00D0556E"/>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1C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C71C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C71C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C71C2"/>
  </w:style>
  <w:style w:type="paragraph" w:styleId="Header">
    <w:name w:val="header"/>
    <w:basedOn w:val="Normal"/>
    <w:link w:val="HeaderChar"/>
    <w:uiPriority w:val="99"/>
    <w:unhideWhenUsed/>
    <w:rsid w:val="00CC71C2"/>
    <w:pPr>
      <w:tabs>
        <w:tab w:val="center" w:pos="4680"/>
        <w:tab w:val="right" w:pos="9360"/>
      </w:tabs>
    </w:pPr>
    <w:rPr>
      <w:rFonts w:ascii="Times New Roman" w:hAnsi="Times New Roman"/>
    </w:rPr>
  </w:style>
  <w:style w:type="character" w:customStyle="1" w:styleId="HeaderChar">
    <w:name w:val="Header Char"/>
    <w:link w:val="Header"/>
    <w:uiPriority w:val="99"/>
    <w:rsid w:val="00CC71C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C71C2"/>
    <w:pPr>
      <w:tabs>
        <w:tab w:val="center" w:pos="4680"/>
        <w:tab w:val="right" w:pos="9360"/>
      </w:tabs>
    </w:pPr>
    <w:rPr>
      <w:rFonts w:ascii="Times New Roman" w:hAnsi="Times New Roman"/>
    </w:rPr>
  </w:style>
  <w:style w:type="character" w:customStyle="1" w:styleId="FooterChar">
    <w:name w:val="Footer Char"/>
    <w:link w:val="Footer"/>
    <w:uiPriority w:val="99"/>
    <w:rsid w:val="00CC71C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02D9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C71C2"/>
    <w:pPr>
      <w:spacing w:before="100" w:beforeAutospacing="1"/>
      <w:ind w:left="567"/>
      <w:jc w:val="both"/>
    </w:pPr>
  </w:style>
  <w:style w:type="paragraph" w:customStyle="1" w:styleId="Metadata">
    <w:name w:val="Metadata"/>
    <w:basedOn w:val="Normal"/>
    <w:rsid w:val="00CC71C2"/>
    <w:pPr>
      <w:spacing w:before="100" w:beforeAutospacing="1" w:after="100" w:afterAutospacing="1"/>
    </w:pPr>
    <w:rPr>
      <w:rFonts w:cs="Arial"/>
      <w:szCs w:val="24"/>
    </w:rPr>
  </w:style>
  <w:style w:type="paragraph" w:customStyle="1" w:styleId="Page">
    <w:name w:val="Page"/>
    <w:basedOn w:val="Normal"/>
    <w:link w:val="PageChar"/>
    <w:rsid w:val="00CC71C2"/>
    <w:pPr>
      <w:spacing w:before="100" w:beforeAutospacing="1" w:after="100" w:afterAutospacing="1"/>
    </w:pPr>
    <w:rPr>
      <w:i/>
    </w:rPr>
  </w:style>
  <w:style w:type="paragraph" w:styleId="FootnoteText">
    <w:name w:val="footnote text"/>
    <w:basedOn w:val="Normal"/>
    <w:link w:val="FootnoteTextChar"/>
    <w:autoRedefine/>
    <w:semiHidden/>
    <w:rsid w:val="00CC71C2"/>
    <w:rPr>
      <w:sz w:val="16"/>
      <w:szCs w:val="20"/>
    </w:rPr>
  </w:style>
  <w:style w:type="character" w:customStyle="1" w:styleId="FootnoteTextChar">
    <w:name w:val="Footnote Text Char"/>
    <w:link w:val="FootnoteText"/>
    <w:semiHidden/>
    <w:rsid w:val="00CC71C2"/>
    <w:rPr>
      <w:rFonts w:ascii="Arial" w:eastAsia="MS Mincho" w:hAnsi="Arial" w:cs="Times New Roman"/>
      <w:sz w:val="16"/>
      <w:szCs w:val="20"/>
      <w:lang w:val="en-CA" w:eastAsia="ja-JP"/>
    </w:rPr>
  </w:style>
  <w:style w:type="character" w:styleId="FootnoteReference">
    <w:name w:val="footnote reference"/>
    <w:semiHidden/>
    <w:rsid w:val="00CC71C2"/>
    <w:rPr>
      <w:vertAlign w:val="superscript"/>
    </w:rPr>
  </w:style>
  <w:style w:type="paragraph" w:customStyle="1" w:styleId="ParagNum">
    <w:name w:val="ParagNum"/>
    <w:basedOn w:val="Normal"/>
    <w:rsid w:val="00CC71C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C71C2"/>
    <w:pPr>
      <w:spacing w:before="100" w:beforeAutospacing="1" w:after="100" w:afterAutospacing="1" w:line="360" w:lineRule="auto"/>
    </w:pPr>
  </w:style>
  <w:style w:type="paragraph" w:customStyle="1" w:styleId="Indent2">
    <w:name w:val="Indent 2"/>
    <w:basedOn w:val="Indent1"/>
    <w:rsid w:val="00CC71C2"/>
    <w:pPr>
      <w:ind w:left="1134"/>
    </w:pPr>
  </w:style>
  <w:style w:type="paragraph" w:customStyle="1" w:styleId="Indent3">
    <w:name w:val="Indent 3"/>
    <w:basedOn w:val="Indent1"/>
    <w:rsid w:val="00CC71C2"/>
    <w:pPr>
      <w:ind w:left="1701"/>
    </w:pPr>
  </w:style>
  <w:style w:type="paragraph" w:customStyle="1" w:styleId="Indent4">
    <w:name w:val="Indent 4"/>
    <w:basedOn w:val="Indent1"/>
    <w:rsid w:val="00CC71C2"/>
    <w:pPr>
      <w:ind w:left="2268"/>
    </w:pPr>
  </w:style>
  <w:style w:type="paragraph" w:customStyle="1" w:styleId="Indent10">
    <w:name w:val="Indent1"/>
    <w:basedOn w:val="Reasons"/>
    <w:rsid w:val="00CC71C2"/>
    <w:pPr>
      <w:ind w:left="567"/>
    </w:pPr>
  </w:style>
  <w:style w:type="paragraph" w:customStyle="1" w:styleId="Indent20">
    <w:name w:val="Indent2"/>
    <w:basedOn w:val="Indent10"/>
    <w:rsid w:val="00CC71C2"/>
    <w:pPr>
      <w:ind w:left="1134"/>
    </w:pPr>
  </w:style>
  <w:style w:type="paragraph" w:customStyle="1" w:styleId="Indent30">
    <w:name w:val="Indent3"/>
    <w:basedOn w:val="Indent10"/>
    <w:rsid w:val="00CC71C2"/>
    <w:pPr>
      <w:ind w:left="1701"/>
    </w:pPr>
  </w:style>
  <w:style w:type="paragraph" w:customStyle="1" w:styleId="Indent40">
    <w:name w:val="Indent4"/>
    <w:basedOn w:val="Indent10"/>
    <w:rsid w:val="00CC71C2"/>
    <w:pPr>
      <w:ind w:left="2268"/>
    </w:pPr>
  </w:style>
  <w:style w:type="paragraph" w:customStyle="1" w:styleId="Keywords">
    <w:name w:val="Keywords"/>
    <w:basedOn w:val="Normal"/>
    <w:rsid w:val="00CC71C2"/>
    <w:pPr>
      <w:spacing w:before="100" w:beforeAutospacing="1" w:after="100" w:afterAutospacing="1"/>
    </w:pPr>
    <w:rPr>
      <w:rFonts w:cs="Arial"/>
      <w:i/>
      <w:szCs w:val="24"/>
    </w:rPr>
  </w:style>
  <w:style w:type="paragraph" w:customStyle="1" w:styleId="Summary">
    <w:name w:val="Summary"/>
    <w:basedOn w:val="Normal"/>
    <w:autoRedefine/>
    <w:rsid w:val="00CC71C2"/>
    <w:pPr>
      <w:spacing w:before="100" w:beforeAutospacing="1" w:after="100" w:afterAutospacing="1"/>
      <w:ind w:left="562" w:hanging="562"/>
    </w:pPr>
    <w:rPr>
      <w:rFonts w:cs="Arial"/>
    </w:rPr>
  </w:style>
  <w:style w:type="paragraph" w:customStyle="1" w:styleId="History">
    <w:name w:val="History"/>
    <w:basedOn w:val="Normal"/>
    <w:rsid w:val="00CC71C2"/>
    <w:pPr>
      <w:spacing w:before="100" w:beforeAutospacing="1" w:after="100" w:afterAutospacing="1"/>
      <w:ind w:firstLine="567"/>
    </w:pPr>
  </w:style>
  <w:style w:type="paragraph" w:customStyle="1" w:styleId="T1">
    <w:name w:val="T1"/>
    <w:basedOn w:val="Normal"/>
    <w:rsid w:val="00CC71C2"/>
    <w:pPr>
      <w:spacing w:before="240" w:after="100" w:afterAutospacing="1"/>
    </w:pPr>
    <w:rPr>
      <w:b/>
    </w:rPr>
  </w:style>
  <w:style w:type="paragraph" w:customStyle="1" w:styleId="T2">
    <w:name w:val="T2"/>
    <w:basedOn w:val="Normal"/>
    <w:rsid w:val="00CC71C2"/>
    <w:pPr>
      <w:spacing w:before="240" w:after="100" w:afterAutospacing="1"/>
    </w:pPr>
  </w:style>
  <w:style w:type="paragraph" w:customStyle="1" w:styleId="Sollicitors">
    <w:name w:val="Sollicitors"/>
    <w:basedOn w:val="Normal"/>
    <w:rsid w:val="00CC71C2"/>
    <w:pPr>
      <w:spacing w:before="100" w:beforeAutospacing="1" w:after="100" w:afterAutospacing="1"/>
    </w:pPr>
    <w:rPr>
      <w:i/>
    </w:rPr>
  </w:style>
  <w:style w:type="paragraph" w:customStyle="1" w:styleId="Court">
    <w:name w:val="Court"/>
    <w:basedOn w:val="Normal"/>
    <w:rsid w:val="00CC71C2"/>
    <w:rPr>
      <w:rFonts w:cs="Arial"/>
      <w:b/>
      <w:szCs w:val="24"/>
    </w:rPr>
  </w:style>
  <w:style w:type="character" w:customStyle="1" w:styleId="PageChar">
    <w:name w:val="Page Char"/>
    <w:link w:val="Page"/>
    <w:rsid w:val="00CC71C2"/>
    <w:rPr>
      <w:rFonts w:ascii="Arial" w:eastAsia="MS Mincho" w:hAnsi="Arial" w:cs="Times New Roman"/>
      <w:i/>
      <w:sz w:val="24"/>
      <w:szCs w:val="28"/>
      <w:lang w:val="en-CA" w:eastAsia="ja-JP"/>
    </w:rPr>
  </w:style>
  <w:style w:type="character" w:customStyle="1" w:styleId="ReasonsCar">
    <w:name w:val="Reasons Car"/>
    <w:link w:val="Reasons"/>
    <w:rsid w:val="00CC71C2"/>
    <w:rPr>
      <w:rFonts w:ascii="Arial" w:eastAsia="MS Mincho" w:hAnsi="Arial" w:cs="Times New Roman"/>
      <w:sz w:val="24"/>
      <w:szCs w:val="28"/>
      <w:lang w:val="en-CA" w:eastAsia="ja-JP"/>
    </w:rPr>
  </w:style>
  <w:style w:type="paragraph" w:customStyle="1" w:styleId="CitationLine">
    <w:name w:val="CitationLine"/>
    <w:basedOn w:val="Court"/>
    <w:rsid w:val="00CC71C2"/>
  </w:style>
  <w:style w:type="paragraph" w:customStyle="1" w:styleId="DateISO">
    <w:name w:val="DateISO"/>
    <w:basedOn w:val="Court"/>
    <w:rsid w:val="00CC7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5</cp:revision>
  <dcterms:created xsi:type="dcterms:W3CDTF">2015-03-19T12:55:00Z</dcterms:created>
  <dcterms:modified xsi:type="dcterms:W3CDTF">2015-03-21T03:33:00Z</dcterms:modified>
</cp:coreProperties>
</file>