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3A" w:rsidRDefault="004F3F3A" w:rsidP="004F3F3A">
      <w:pPr>
        <w:pStyle w:val="Court"/>
      </w:pPr>
      <w:r>
        <w:t>Supreme Court of Canada</w:t>
      </w:r>
    </w:p>
    <w:p w:rsidR="004F3F3A" w:rsidRDefault="004F3F3A" w:rsidP="004F3F3A">
      <w:pPr>
        <w:pStyle w:val="CitationLine"/>
      </w:pPr>
      <w:r w:rsidRPr="004F3F3A">
        <w:rPr>
          <w:i/>
          <w:iCs/>
        </w:rPr>
        <w:t xml:space="preserve">In re </w:t>
      </w:r>
      <w:r w:rsidRPr="004F3F3A">
        <w:t>White</w:t>
      </w:r>
      <w:r w:rsidR="0078131A">
        <w:t xml:space="preserve">, </w:t>
      </w:r>
      <w:bookmarkStart w:id="0" w:name="_GoBack"/>
      <w:bookmarkEnd w:id="0"/>
      <w:r>
        <w:t>(1901) 31 SCR 383</w:t>
      </w:r>
    </w:p>
    <w:p w:rsidR="004F3F3A" w:rsidRDefault="004F3F3A" w:rsidP="004F3F3A">
      <w:pPr>
        <w:pStyle w:val="DateISO"/>
      </w:pPr>
      <w:r>
        <w:t>Date: 1901-05-17</w:t>
      </w:r>
    </w:p>
    <w:p w:rsidR="002C3F07" w:rsidRDefault="004F3F3A" w:rsidP="00896BBD">
      <w:pPr>
        <w:pStyle w:val="Metadata"/>
      </w:pPr>
      <w:r>
        <w:rPr>
          <w:i/>
          <w:iCs/>
        </w:rPr>
        <w:t xml:space="preserve">In Re </w:t>
      </w:r>
      <w:r>
        <w:t>Patrick White</w:t>
      </w:r>
    </w:p>
    <w:p w:rsidR="004F3F3A" w:rsidRDefault="004F3F3A" w:rsidP="00896BBD">
      <w:pPr>
        <w:pStyle w:val="Metadata"/>
      </w:pPr>
      <w:r>
        <w:t>1901: May 17.</w:t>
      </w:r>
    </w:p>
    <w:p w:rsidR="004F3F3A" w:rsidRDefault="004F3F3A" w:rsidP="00896BBD">
      <w:pPr>
        <w:pStyle w:val="Metadata"/>
      </w:pPr>
      <w:r w:rsidRPr="004F3F3A">
        <w:t>Present</w:t>
      </w:r>
      <w:r>
        <w:t>:—His Lordship Mr. Justice Sedgewick, (in Chambers.)</w:t>
      </w:r>
    </w:p>
    <w:p w:rsidR="002C3F07" w:rsidRDefault="002C3F07" w:rsidP="00896BBD">
      <w:pPr>
        <w:pStyle w:val="Metadata"/>
      </w:pPr>
      <w:r>
        <w:t>ON APPLICATION IN CHAMBERS FOR A WRIT OF HABEAS CORPUS.</w:t>
      </w:r>
    </w:p>
    <w:p w:rsidR="002C3F07" w:rsidRDefault="002C3F07" w:rsidP="004F3F3A">
      <w:pPr>
        <w:pStyle w:val="Keywords"/>
      </w:pPr>
      <w:r>
        <w:t>Practice—Habeas corpus—Binding effect of judgment in provincial court.</w:t>
      </w:r>
    </w:p>
    <w:p w:rsidR="002C3F07" w:rsidRDefault="002C3F07" w:rsidP="004F3F3A">
      <w:pPr>
        <w:pStyle w:val="Summary"/>
      </w:pPr>
      <w:r>
        <w:t xml:space="preserve">An application for a writ of </w:t>
      </w:r>
      <w:r>
        <w:rPr>
          <w:i/>
          <w:iCs/>
        </w:rPr>
        <w:t>habeas corpus was</w:t>
      </w:r>
      <w:r>
        <w:rPr>
          <w:i/>
          <w:iCs/>
          <w:smallCaps/>
        </w:rPr>
        <w:t xml:space="preserve"> </w:t>
      </w:r>
      <w:r>
        <w:t>referred by the judge to the Supreme Court of the province and, after hearing, the application was refused. On application subsequently made to a judge of the Supreme Court of Canada, in chambers;</w:t>
      </w:r>
    </w:p>
    <w:p w:rsidR="002C3F07" w:rsidRDefault="002C3F07" w:rsidP="004F3F3A">
      <w:pPr>
        <w:pStyle w:val="Summary"/>
        <w:rPr>
          <w:szCs w:val="24"/>
        </w:rPr>
      </w:pPr>
      <w:r>
        <w:rPr>
          <w:i/>
          <w:iCs/>
          <w:szCs w:val="24"/>
        </w:rPr>
        <w:t xml:space="preserve">Held, </w:t>
      </w:r>
      <w:r>
        <w:rPr>
          <w:szCs w:val="24"/>
        </w:rPr>
        <w:t>that under the circumstances it would be improper to interfere with the decision of the provincial court.</w:t>
      </w:r>
    </w:p>
    <w:p w:rsidR="002C3F07" w:rsidRDefault="002C3F07" w:rsidP="004F3F3A">
      <w:pPr>
        <w:pStyle w:val="History"/>
      </w:pPr>
      <w:r w:rsidRPr="004F3F3A">
        <w:t>Application</w:t>
      </w:r>
      <w:r>
        <w:t xml:space="preserve"> to Sedgewick </w:t>
      </w:r>
      <w:r>
        <w:rPr>
          <w:smallCaps/>
        </w:rPr>
        <w:t xml:space="preserve">J., </w:t>
      </w:r>
      <w:r>
        <w:t xml:space="preserve">in chambers, for a writ of </w:t>
      </w:r>
      <w:r>
        <w:rPr>
          <w:i/>
          <w:iCs/>
        </w:rPr>
        <w:t xml:space="preserve">habeas corpus </w:t>
      </w:r>
      <w:r>
        <w:t>to inquire into the cause of commitment of the petitioner on a conviction by the Stipendiary Magistrate of the City of Halifax, N.S.</w:t>
      </w:r>
    </w:p>
    <w:p w:rsidR="002C3F07" w:rsidRDefault="002C3F07" w:rsidP="004F3F3A">
      <w:pPr>
        <w:pStyle w:val="History"/>
        <w:rPr>
          <w:rFonts w:cs="Arial"/>
          <w:szCs w:val="24"/>
        </w:rPr>
      </w:pPr>
      <w:r>
        <w:rPr>
          <w:rFonts w:cs="Arial"/>
          <w:szCs w:val="24"/>
        </w:rPr>
        <w:t>The circumstances under which the application was made are stated in the judgment reported.</w:t>
      </w:r>
    </w:p>
    <w:p w:rsidR="002C3F07" w:rsidRDefault="002C3F07" w:rsidP="00896BBD">
      <w:pPr>
        <w:pStyle w:val="Sollicitors"/>
      </w:pPr>
      <w:r>
        <w:rPr>
          <w:iCs/>
        </w:rPr>
        <w:t xml:space="preserve">Haydon </w:t>
      </w:r>
      <w:r>
        <w:t>for the application.</w:t>
      </w:r>
    </w:p>
    <w:p w:rsidR="002C3F07" w:rsidRDefault="002C3F07" w:rsidP="00896BBD">
      <w:pPr>
        <w:pStyle w:val="Sollicitors"/>
      </w:pPr>
      <w:r>
        <w:t>Newcombe K.C. contra.</w:t>
      </w:r>
    </w:p>
    <w:p w:rsidR="002C3F07" w:rsidRDefault="002C3F07" w:rsidP="00896BBD">
      <w:pPr>
        <w:pStyle w:val="Reasons"/>
      </w:pPr>
      <w:r>
        <w:t>After hearing the parties the following judgment was pronounced by:</w:t>
      </w:r>
    </w:p>
    <w:p w:rsidR="002C3F07" w:rsidRDefault="004F3F3A" w:rsidP="004F3F3A">
      <w:pPr>
        <w:pStyle w:val="Reasons"/>
        <w:rPr>
          <w:rFonts w:cs="Arial"/>
          <w:szCs w:val="24"/>
        </w:rPr>
      </w:pPr>
      <w:r w:rsidRPr="004F3F3A">
        <w:t>SEDGEWICK</w:t>
      </w:r>
      <w:r>
        <w:rPr>
          <w:rFonts w:cs="Arial"/>
          <w:smallCaps/>
          <w:szCs w:val="24"/>
        </w:rPr>
        <w:t xml:space="preserve"> </w:t>
      </w:r>
      <w:r w:rsidR="002C3F07">
        <w:rPr>
          <w:rFonts w:cs="Arial"/>
          <w:smallCaps/>
          <w:szCs w:val="24"/>
        </w:rPr>
        <w:t>J.</w:t>
      </w:r>
      <w:r w:rsidR="002C3F07">
        <w:rPr>
          <w:rFonts w:cs="Arial"/>
          <w:szCs w:val="24"/>
        </w:rPr>
        <w:t xml:space="preserve">—The applicant is confined in a Nova Scotia gaol by virtue of a conviction of the Stipendiary Magistrate of the City of Halifax for stealing certain goods "in or from" a warehouse belonging to the Intercolonial Railway. He first applied to the Chief Justice of his province for a writ of </w:t>
      </w:r>
      <w:r w:rsidR="002C3F07">
        <w:rPr>
          <w:rFonts w:cs="Arial"/>
          <w:i/>
          <w:iCs/>
          <w:szCs w:val="24"/>
        </w:rPr>
        <w:t xml:space="preserve">habeas corpus </w:t>
      </w:r>
      <w:r w:rsidR="002C3F07">
        <w:rPr>
          <w:rFonts w:cs="Arial"/>
          <w:szCs w:val="24"/>
        </w:rPr>
        <w:t xml:space="preserve">which was refused. Then he applied to Graham </w:t>
      </w:r>
      <w:r w:rsidR="002C3F07">
        <w:rPr>
          <w:rFonts w:cs="Arial"/>
          <w:smallCaps/>
          <w:szCs w:val="24"/>
        </w:rPr>
        <w:t xml:space="preserve">J. </w:t>
      </w:r>
      <w:r w:rsidR="002C3F07">
        <w:rPr>
          <w:rFonts w:cs="Arial"/>
          <w:szCs w:val="24"/>
        </w:rPr>
        <w:t>who referred the matter to the Supreme Court. After argument and due consideration his application was again refused, two judges dissenting. No appeal was</w:t>
      </w:r>
    </w:p>
    <w:p w:rsidR="002C3F07" w:rsidRDefault="00405AD9" w:rsidP="00405AD9">
      <w:pPr>
        <w:pStyle w:val="Page"/>
      </w:pPr>
      <w:r>
        <w:rPr>
          <w:rFonts w:cs="Arial"/>
          <w:szCs w:val="24"/>
        </w:rPr>
        <w:lastRenderedPageBreak/>
        <w:t xml:space="preserve">[Page </w:t>
      </w:r>
      <w:r w:rsidR="002C3F07">
        <w:rPr>
          <w:rFonts w:cs="Arial"/>
          <w:szCs w:val="24"/>
        </w:rPr>
        <w:t>384]</w:t>
      </w:r>
    </w:p>
    <w:p w:rsidR="002C3F07" w:rsidRDefault="002C3F07" w:rsidP="00896BBD">
      <w:pPr>
        <w:pStyle w:val="Reasons"/>
        <w:rPr>
          <w:rFonts w:cs="Arial"/>
          <w:szCs w:val="24"/>
        </w:rPr>
      </w:pPr>
      <w:r>
        <w:rPr>
          <w:rFonts w:cs="Arial"/>
          <w:szCs w:val="24"/>
        </w:rPr>
        <w:t>taken from such judgment and he now renews his application to me, a judge of the Supreme Court of Canada, under section 32 of the Supreme and Exchequer Courts Act.</w:t>
      </w:r>
    </w:p>
    <w:p w:rsidR="002C3F07" w:rsidRDefault="002C3F07" w:rsidP="00896BBD">
      <w:pPr>
        <w:pStyle w:val="Reasons"/>
        <w:rPr>
          <w:rFonts w:cs="Arial"/>
          <w:szCs w:val="24"/>
        </w:rPr>
      </w:pPr>
      <w:r>
        <w:rPr>
          <w:rFonts w:cs="Arial"/>
          <w:szCs w:val="24"/>
        </w:rPr>
        <w:t xml:space="preserve">That section may give me all the power which the common and statute law gives to judges of superior courts in matters of </w:t>
      </w:r>
      <w:r>
        <w:rPr>
          <w:rFonts w:cs="Arial"/>
          <w:i/>
          <w:iCs/>
          <w:szCs w:val="24"/>
        </w:rPr>
        <w:t xml:space="preserve">habeas corpus, </w:t>
      </w:r>
      <w:r>
        <w:rPr>
          <w:rFonts w:cs="Arial"/>
          <w:szCs w:val="24"/>
        </w:rPr>
        <w:t>but it does not constitute me a court of appeal with jurisdiction to void or reverse judgments of the Supreme Court of Nova Scotia. If I have in the premises equal and co-ordinate power with a judge of that court, my power most certainly does not extend further. The suggestion is almost impertinent, but were either of the two judges of the provincial court who until now, have had no part in the matter, to grant the writ and, in spite of the judgment of the Supreme Court, and in vindication and assertion as well of his autonomy as of his possibly superior and conceivably infallible knowledge of law, to release the prisoner, his action, violating elementary principles as to legal authority and precedent, would be open to not undeserved censure. In the case supposed he would unhesitatingly and without question accept as law the judgment of his court. And what he should and would do, I must also do.</w:t>
      </w:r>
    </w:p>
    <w:p w:rsidR="002C3F07" w:rsidRDefault="002C3F07" w:rsidP="00896BBD">
      <w:pPr>
        <w:pStyle w:val="Reasons"/>
        <w:rPr>
          <w:rFonts w:cs="Arial"/>
          <w:szCs w:val="24"/>
        </w:rPr>
      </w:pPr>
      <w:r>
        <w:rPr>
          <w:rFonts w:cs="Arial"/>
          <w:szCs w:val="24"/>
        </w:rPr>
        <w:t>Even if I thought the imprisonment illegal, (which I do not), I would not, and under the circumstances above stated, I cannot interfere.</w:t>
      </w:r>
    </w:p>
    <w:p w:rsidR="002C3F07" w:rsidRDefault="002C3F07" w:rsidP="00896BBD">
      <w:pPr>
        <w:pStyle w:val="Reasons"/>
        <w:rPr>
          <w:rFonts w:cs="Arial"/>
          <w:szCs w:val="24"/>
        </w:rPr>
      </w:pPr>
      <w:r>
        <w:rPr>
          <w:rFonts w:cs="Arial"/>
          <w:szCs w:val="24"/>
        </w:rPr>
        <w:t>The application is refused.</w:t>
      </w:r>
    </w:p>
    <w:p w:rsidR="003824D9" w:rsidRDefault="002C3F07" w:rsidP="00896BBD">
      <w:pPr>
        <w:pStyle w:val="Reasons"/>
      </w:pPr>
      <w:r w:rsidRPr="00896BBD">
        <w:t>Application refused.</w:t>
      </w:r>
    </w:p>
    <w:sectPr w:rsidR="003824D9" w:rsidSect="002C3F07">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08" w:rsidRDefault="00F35608" w:rsidP="002C3F07">
      <w:r>
        <w:separator/>
      </w:r>
    </w:p>
  </w:endnote>
  <w:endnote w:type="continuationSeparator" w:id="0">
    <w:p w:rsidR="00F35608" w:rsidRDefault="00F35608" w:rsidP="002C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07" w:rsidRDefault="002C3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07" w:rsidRDefault="002C3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07" w:rsidRDefault="002C3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08" w:rsidRDefault="00F35608" w:rsidP="002C3F07">
      <w:r>
        <w:separator/>
      </w:r>
    </w:p>
  </w:footnote>
  <w:footnote w:type="continuationSeparator" w:id="0">
    <w:p w:rsidR="00F35608" w:rsidRDefault="00F35608" w:rsidP="002C3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07" w:rsidRDefault="002C3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07" w:rsidRDefault="002C3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07" w:rsidRDefault="002C3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07"/>
    <w:rsid w:val="00013FDA"/>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35FEE"/>
    <w:rsid w:val="002428EB"/>
    <w:rsid w:val="00265301"/>
    <w:rsid w:val="002A74DD"/>
    <w:rsid w:val="002B30C5"/>
    <w:rsid w:val="002C186C"/>
    <w:rsid w:val="002C3F07"/>
    <w:rsid w:val="002D5E01"/>
    <w:rsid w:val="002F4F64"/>
    <w:rsid w:val="002F7D00"/>
    <w:rsid w:val="00361108"/>
    <w:rsid w:val="003824D9"/>
    <w:rsid w:val="003E5AF5"/>
    <w:rsid w:val="003F602F"/>
    <w:rsid w:val="00405AD9"/>
    <w:rsid w:val="004277EE"/>
    <w:rsid w:val="0043543D"/>
    <w:rsid w:val="00442713"/>
    <w:rsid w:val="00457BC5"/>
    <w:rsid w:val="00463F5F"/>
    <w:rsid w:val="004725E1"/>
    <w:rsid w:val="00482CDC"/>
    <w:rsid w:val="004C7ED4"/>
    <w:rsid w:val="004F3F3A"/>
    <w:rsid w:val="00511D93"/>
    <w:rsid w:val="005134B5"/>
    <w:rsid w:val="00514003"/>
    <w:rsid w:val="00537980"/>
    <w:rsid w:val="00563767"/>
    <w:rsid w:val="005667DA"/>
    <w:rsid w:val="00575C54"/>
    <w:rsid w:val="0058223C"/>
    <w:rsid w:val="00593C8B"/>
    <w:rsid w:val="006330E7"/>
    <w:rsid w:val="00644967"/>
    <w:rsid w:val="006B31F5"/>
    <w:rsid w:val="006D2BED"/>
    <w:rsid w:val="006D6F42"/>
    <w:rsid w:val="006E5FEA"/>
    <w:rsid w:val="00747F2C"/>
    <w:rsid w:val="00751F7D"/>
    <w:rsid w:val="0078131A"/>
    <w:rsid w:val="00782A60"/>
    <w:rsid w:val="007969C4"/>
    <w:rsid w:val="007B3A90"/>
    <w:rsid w:val="007D6DD5"/>
    <w:rsid w:val="0080107B"/>
    <w:rsid w:val="008027F3"/>
    <w:rsid w:val="008433A9"/>
    <w:rsid w:val="008550EF"/>
    <w:rsid w:val="00872F75"/>
    <w:rsid w:val="00880FBB"/>
    <w:rsid w:val="00896BBD"/>
    <w:rsid w:val="008B0B7A"/>
    <w:rsid w:val="00926406"/>
    <w:rsid w:val="009A7B1B"/>
    <w:rsid w:val="009D37B6"/>
    <w:rsid w:val="009E64DC"/>
    <w:rsid w:val="00A35ADC"/>
    <w:rsid w:val="00A42830"/>
    <w:rsid w:val="00A4371F"/>
    <w:rsid w:val="00A54E5B"/>
    <w:rsid w:val="00A61128"/>
    <w:rsid w:val="00A94C52"/>
    <w:rsid w:val="00A95CC9"/>
    <w:rsid w:val="00AB09B8"/>
    <w:rsid w:val="00B007EC"/>
    <w:rsid w:val="00B177F7"/>
    <w:rsid w:val="00B41B49"/>
    <w:rsid w:val="00B532F0"/>
    <w:rsid w:val="00B639A4"/>
    <w:rsid w:val="00B772A6"/>
    <w:rsid w:val="00BC4595"/>
    <w:rsid w:val="00C372DF"/>
    <w:rsid w:val="00C45FBD"/>
    <w:rsid w:val="00C54EB9"/>
    <w:rsid w:val="00C7016B"/>
    <w:rsid w:val="00C93FA5"/>
    <w:rsid w:val="00CB0B7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608"/>
    <w:rsid w:val="00F35E8A"/>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5E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725E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5E1"/>
    <w:pPr>
      <w:tabs>
        <w:tab w:val="center" w:pos="4680"/>
        <w:tab w:val="right" w:pos="9360"/>
      </w:tabs>
    </w:pPr>
    <w:rPr>
      <w:rFonts w:ascii="Times New Roman" w:hAnsi="Times New Roman"/>
    </w:rPr>
  </w:style>
  <w:style w:type="character" w:customStyle="1" w:styleId="HeaderChar">
    <w:name w:val="Header Char"/>
    <w:link w:val="Header"/>
    <w:uiPriority w:val="99"/>
    <w:rsid w:val="004725E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725E1"/>
    <w:pPr>
      <w:tabs>
        <w:tab w:val="center" w:pos="4680"/>
        <w:tab w:val="right" w:pos="9360"/>
      </w:tabs>
    </w:pPr>
    <w:rPr>
      <w:rFonts w:ascii="Times New Roman" w:hAnsi="Times New Roman"/>
    </w:rPr>
  </w:style>
  <w:style w:type="character" w:customStyle="1" w:styleId="FooterChar">
    <w:name w:val="Footer Char"/>
    <w:link w:val="Footer"/>
    <w:uiPriority w:val="99"/>
    <w:rsid w:val="004725E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95CC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725E1"/>
    <w:pPr>
      <w:spacing w:before="100" w:beforeAutospacing="1"/>
      <w:ind w:left="567"/>
      <w:jc w:val="both"/>
    </w:pPr>
  </w:style>
  <w:style w:type="paragraph" w:customStyle="1" w:styleId="Metadata">
    <w:name w:val="Metadata"/>
    <w:basedOn w:val="Normal"/>
    <w:rsid w:val="004725E1"/>
    <w:pPr>
      <w:spacing w:before="100" w:beforeAutospacing="1" w:after="100" w:afterAutospacing="1"/>
    </w:pPr>
    <w:rPr>
      <w:rFonts w:cs="Arial"/>
      <w:szCs w:val="24"/>
    </w:rPr>
  </w:style>
  <w:style w:type="paragraph" w:customStyle="1" w:styleId="Page">
    <w:name w:val="Page"/>
    <w:basedOn w:val="Normal"/>
    <w:link w:val="PageChar"/>
    <w:rsid w:val="004725E1"/>
    <w:pPr>
      <w:spacing w:before="100" w:beforeAutospacing="1" w:after="100" w:afterAutospacing="1"/>
    </w:pPr>
    <w:rPr>
      <w:i/>
    </w:rPr>
  </w:style>
  <w:style w:type="paragraph" w:styleId="FootnoteText">
    <w:name w:val="footnote text"/>
    <w:basedOn w:val="Normal"/>
    <w:link w:val="FootnoteTextChar"/>
    <w:autoRedefine/>
    <w:semiHidden/>
    <w:rsid w:val="004725E1"/>
    <w:rPr>
      <w:sz w:val="16"/>
      <w:szCs w:val="20"/>
    </w:rPr>
  </w:style>
  <w:style w:type="character" w:customStyle="1" w:styleId="FootnoteTextChar">
    <w:name w:val="Footnote Text Char"/>
    <w:link w:val="FootnoteText"/>
    <w:semiHidden/>
    <w:rsid w:val="004725E1"/>
    <w:rPr>
      <w:rFonts w:ascii="Arial" w:eastAsia="MS Mincho" w:hAnsi="Arial" w:cs="Times New Roman"/>
      <w:sz w:val="16"/>
      <w:szCs w:val="20"/>
      <w:lang w:val="en-CA" w:eastAsia="ja-JP"/>
    </w:rPr>
  </w:style>
  <w:style w:type="character" w:styleId="FootnoteReference">
    <w:name w:val="footnote reference"/>
    <w:semiHidden/>
    <w:rsid w:val="004725E1"/>
    <w:rPr>
      <w:vertAlign w:val="superscript"/>
    </w:rPr>
  </w:style>
  <w:style w:type="paragraph" w:customStyle="1" w:styleId="ParagNum">
    <w:name w:val="ParagNum"/>
    <w:basedOn w:val="Normal"/>
    <w:rsid w:val="004725E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725E1"/>
    <w:pPr>
      <w:spacing w:before="100" w:beforeAutospacing="1" w:after="100" w:afterAutospacing="1" w:line="360" w:lineRule="auto"/>
    </w:pPr>
  </w:style>
  <w:style w:type="paragraph" w:customStyle="1" w:styleId="Indent2">
    <w:name w:val="Indent 2"/>
    <w:basedOn w:val="Indent1"/>
    <w:rsid w:val="004725E1"/>
    <w:pPr>
      <w:ind w:left="1134"/>
    </w:pPr>
  </w:style>
  <w:style w:type="paragraph" w:customStyle="1" w:styleId="Indent3">
    <w:name w:val="Indent 3"/>
    <w:basedOn w:val="Indent1"/>
    <w:rsid w:val="004725E1"/>
    <w:pPr>
      <w:ind w:left="1701"/>
    </w:pPr>
  </w:style>
  <w:style w:type="paragraph" w:customStyle="1" w:styleId="Indent4">
    <w:name w:val="Indent 4"/>
    <w:basedOn w:val="Indent1"/>
    <w:rsid w:val="004725E1"/>
    <w:pPr>
      <w:ind w:left="2268"/>
    </w:pPr>
  </w:style>
  <w:style w:type="paragraph" w:customStyle="1" w:styleId="Indent10">
    <w:name w:val="Indent1"/>
    <w:basedOn w:val="Reasons"/>
    <w:rsid w:val="004725E1"/>
    <w:pPr>
      <w:ind w:left="567"/>
    </w:pPr>
  </w:style>
  <w:style w:type="paragraph" w:customStyle="1" w:styleId="Indent20">
    <w:name w:val="Indent2"/>
    <w:basedOn w:val="Indent10"/>
    <w:rsid w:val="004725E1"/>
    <w:pPr>
      <w:ind w:left="1134"/>
    </w:pPr>
  </w:style>
  <w:style w:type="paragraph" w:customStyle="1" w:styleId="Indent30">
    <w:name w:val="Indent3"/>
    <w:basedOn w:val="Indent10"/>
    <w:rsid w:val="004725E1"/>
    <w:pPr>
      <w:ind w:left="1701"/>
    </w:pPr>
  </w:style>
  <w:style w:type="paragraph" w:customStyle="1" w:styleId="Indent40">
    <w:name w:val="Indent4"/>
    <w:basedOn w:val="Indent10"/>
    <w:rsid w:val="004725E1"/>
    <w:pPr>
      <w:ind w:left="2268"/>
    </w:pPr>
  </w:style>
  <w:style w:type="paragraph" w:customStyle="1" w:styleId="Keywords">
    <w:name w:val="Keywords"/>
    <w:basedOn w:val="Normal"/>
    <w:rsid w:val="004725E1"/>
    <w:pPr>
      <w:spacing w:before="100" w:beforeAutospacing="1" w:after="100" w:afterAutospacing="1"/>
    </w:pPr>
    <w:rPr>
      <w:rFonts w:cs="Arial"/>
      <w:i/>
      <w:szCs w:val="24"/>
    </w:rPr>
  </w:style>
  <w:style w:type="paragraph" w:customStyle="1" w:styleId="Summary">
    <w:name w:val="Summary"/>
    <w:basedOn w:val="Normal"/>
    <w:autoRedefine/>
    <w:rsid w:val="004725E1"/>
    <w:pPr>
      <w:spacing w:before="100" w:beforeAutospacing="1" w:after="100" w:afterAutospacing="1"/>
      <w:ind w:left="562" w:hanging="562"/>
    </w:pPr>
    <w:rPr>
      <w:rFonts w:cs="Arial"/>
    </w:rPr>
  </w:style>
  <w:style w:type="paragraph" w:customStyle="1" w:styleId="History">
    <w:name w:val="History"/>
    <w:basedOn w:val="Normal"/>
    <w:rsid w:val="004725E1"/>
    <w:pPr>
      <w:spacing w:before="100" w:beforeAutospacing="1" w:after="100" w:afterAutospacing="1"/>
      <w:ind w:firstLine="567"/>
    </w:pPr>
  </w:style>
  <w:style w:type="paragraph" w:customStyle="1" w:styleId="T1">
    <w:name w:val="T1"/>
    <w:basedOn w:val="Normal"/>
    <w:rsid w:val="004725E1"/>
    <w:pPr>
      <w:spacing w:before="240" w:after="100" w:afterAutospacing="1"/>
    </w:pPr>
    <w:rPr>
      <w:b/>
    </w:rPr>
  </w:style>
  <w:style w:type="paragraph" w:customStyle="1" w:styleId="T2">
    <w:name w:val="T2"/>
    <w:basedOn w:val="Normal"/>
    <w:rsid w:val="004725E1"/>
    <w:pPr>
      <w:spacing w:before="240" w:after="100" w:afterAutospacing="1"/>
    </w:pPr>
  </w:style>
  <w:style w:type="paragraph" w:customStyle="1" w:styleId="Sollicitors">
    <w:name w:val="Sollicitors"/>
    <w:basedOn w:val="Normal"/>
    <w:rsid w:val="004725E1"/>
    <w:pPr>
      <w:spacing w:before="100" w:beforeAutospacing="1" w:after="100" w:afterAutospacing="1"/>
    </w:pPr>
    <w:rPr>
      <w:i/>
    </w:rPr>
  </w:style>
  <w:style w:type="paragraph" w:customStyle="1" w:styleId="Court">
    <w:name w:val="Court"/>
    <w:basedOn w:val="Normal"/>
    <w:rsid w:val="004725E1"/>
    <w:rPr>
      <w:rFonts w:cs="Arial"/>
      <w:b/>
      <w:szCs w:val="24"/>
    </w:rPr>
  </w:style>
  <w:style w:type="character" w:customStyle="1" w:styleId="PageChar">
    <w:name w:val="Page Char"/>
    <w:link w:val="Page"/>
    <w:rsid w:val="004725E1"/>
    <w:rPr>
      <w:rFonts w:ascii="Arial" w:eastAsia="MS Mincho" w:hAnsi="Arial" w:cs="Times New Roman"/>
      <w:i/>
      <w:sz w:val="24"/>
      <w:szCs w:val="28"/>
      <w:lang w:val="en-CA" w:eastAsia="ja-JP"/>
    </w:rPr>
  </w:style>
  <w:style w:type="character" w:customStyle="1" w:styleId="ReasonsCar">
    <w:name w:val="Reasons Car"/>
    <w:link w:val="Reasons"/>
    <w:rsid w:val="004725E1"/>
    <w:rPr>
      <w:rFonts w:ascii="Arial" w:eastAsia="MS Mincho" w:hAnsi="Arial" w:cs="Times New Roman"/>
      <w:sz w:val="24"/>
      <w:szCs w:val="28"/>
      <w:lang w:val="en-CA" w:eastAsia="ja-JP"/>
    </w:rPr>
  </w:style>
  <w:style w:type="paragraph" w:customStyle="1" w:styleId="CitationLine">
    <w:name w:val="CitationLine"/>
    <w:basedOn w:val="Court"/>
    <w:rsid w:val="004725E1"/>
  </w:style>
  <w:style w:type="paragraph" w:customStyle="1" w:styleId="DateISO">
    <w:name w:val="DateISO"/>
    <w:basedOn w:val="Court"/>
    <w:rsid w:val="00472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5E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725E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5E1"/>
    <w:pPr>
      <w:tabs>
        <w:tab w:val="center" w:pos="4680"/>
        <w:tab w:val="right" w:pos="9360"/>
      </w:tabs>
    </w:pPr>
    <w:rPr>
      <w:rFonts w:ascii="Times New Roman" w:hAnsi="Times New Roman"/>
    </w:rPr>
  </w:style>
  <w:style w:type="character" w:customStyle="1" w:styleId="HeaderChar">
    <w:name w:val="Header Char"/>
    <w:link w:val="Header"/>
    <w:uiPriority w:val="99"/>
    <w:rsid w:val="004725E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725E1"/>
    <w:pPr>
      <w:tabs>
        <w:tab w:val="center" w:pos="4680"/>
        <w:tab w:val="right" w:pos="9360"/>
      </w:tabs>
    </w:pPr>
    <w:rPr>
      <w:rFonts w:ascii="Times New Roman" w:hAnsi="Times New Roman"/>
    </w:rPr>
  </w:style>
  <w:style w:type="character" w:customStyle="1" w:styleId="FooterChar">
    <w:name w:val="Footer Char"/>
    <w:link w:val="Footer"/>
    <w:uiPriority w:val="99"/>
    <w:rsid w:val="004725E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95CC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725E1"/>
    <w:pPr>
      <w:spacing w:before="100" w:beforeAutospacing="1"/>
      <w:ind w:left="567"/>
      <w:jc w:val="both"/>
    </w:pPr>
  </w:style>
  <w:style w:type="paragraph" w:customStyle="1" w:styleId="Metadata">
    <w:name w:val="Metadata"/>
    <w:basedOn w:val="Normal"/>
    <w:rsid w:val="004725E1"/>
    <w:pPr>
      <w:spacing w:before="100" w:beforeAutospacing="1" w:after="100" w:afterAutospacing="1"/>
    </w:pPr>
    <w:rPr>
      <w:rFonts w:cs="Arial"/>
      <w:szCs w:val="24"/>
    </w:rPr>
  </w:style>
  <w:style w:type="paragraph" w:customStyle="1" w:styleId="Page">
    <w:name w:val="Page"/>
    <w:basedOn w:val="Normal"/>
    <w:link w:val="PageChar"/>
    <w:rsid w:val="004725E1"/>
    <w:pPr>
      <w:spacing w:before="100" w:beforeAutospacing="1" w:after="100" w:afterAutospacing="1"/>
    </w:pPr>
    <w:rPr>
      <w:i/>
    </w:rPr>
  </w:style>
  <w:style w:type="paragraph" w:styleId="FootnoteText">
    <w:name w:val="footnote text"/>
    <w:basedOn w:val="Normal"/>
    <w:link w:val="FootnoteTextChar"/>
    <w:autoRedefine/>
    <w:semiHidden/>
    <w:rsid w:val="004725E1"/>
    <w:rPr>
      <w:sz w:val="16"/>
      <w:szCs w:val="20"/>
    </w:rPr>
  </w:style>
  <w:style w:type="character" w:customStyle="1" w:styleId="FootnoteTextChar">
    <w:name w:val="Footnote Text Char"/>
    <w:link w:val="FootnoteText"/>
    <w:semiHidden/>
    <w:rsid w:val="004725E1"/>
    <w:rPr>
      <w:rFonts w:ascii="Arial" w:eastAsia="MS Mincho" w:hAnsi="Arial" w:cs="Times New Roman"/>
      <w:sz w:val="16"/>
      <w:szCs w:val="20"/>
      <w:lang w:val="en-CA" w:eastAsia="ja-JP"/>
    </w:rPr>
  </w:style>
  <w:style w:type="character" w:styleId="FootnoteReference">
    <w:name w:val="footnote reference"/>
    <w:semiHidden/>
    <w:rsid w:val="004725E1"/>
    <w:rPr>
      <w:vertAlign w:val="superscript"/>
    </w:rPr>
  </w:style>
  <w:style w:type="paragraph" w:customStyle="1" w:styleId="ParagNum">
    <w:name w:val="ParagNum"/>
    <w:basedOn w:val="Normal"/>
    <w:rsid w:val="004725E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725E1"/>
    <w:pPr>
      <w:spacing w:before="100" w:beforeAutospacing="1" w:after="100" w:afterAutospacing="1" w:line="360" w:lineRule="auto"/>
    </w:pPr>
  </w:style>
  <w:style w:type="paragraph" w:customStyle="1" w:styleId="Indent2">
    <w:name w:val="Indent 2"/>
    <w:basedOn w:val="Indent1"/>
    <w:rsid w:val="004725E1"/>
    <w:pPr>
      <w:ind w:left="1134"/>
    </w:pPr>
  </w:style>
  <w:style w:type="paragraph" w:customStyle="1" w:styleId="Indent3">
    <w:name w:val="Indent 3"/>
    <w:basedOn w:val="Indent1"/>
    <w:rsid w:val="004725E1"/>
    <w:pPr>
      <w:ind w:left="1701"/>
    </w:pPr>
  </w:style>
  <w:style w:type="paragraph" w:customStyle="1" w:styleId="Indent4">
    <w:name w:val="Indent 4"/>
    <w:basedOn w:val="Indent1"/>
    <w:rsid w:val="004725E1"/>
    <w:pPr>
      <w:ind w:left="2268"/>
    </w:pPr>
  </w:style>
  <w:style w:type="paragraph" w:customStyle="1" w:styleId="Indent10">
    <w:name w:val="Indent1"/>
    <w:basedOn w:val="Reasons"/>
    <w:rsid w:val="004725E1"/>
    <w:pPr>
      <w:ind w:left="567"/>
    </w:pPr>
  </w:style>
  <w:style w:type="paragraph" w:customStyle="1" w:styleId="Indent20">
    <w:name w:val="Indent2"/>
    <w:basedOn w:val="Indent10"/>
    <w:rsid w:val="004725E1"/>
    <w:pPr>
      <w:ind w:left="1134"/>
    </w:pPr>
  </w:style>
  <w:style w:type="paragraph" w:customStyle="1" w:styleId="Indent30">
    <w:name w:val="Indent3"/>
    <w:basedOn w:val="Indent10"/>
    <w:rsid w:val="004725E1"/>
    <w:pPr>
      <w:ind w:left="1701"/>
    </w:pPr>
  </w:style>
  <w:style w:type="paragraph" w:customStyle="1" w:styleId="Indent40">
    <w:name w:val="Indent4"/>
    <w:basedOn w:val="Indent10"/>
    <w:rsid w:val="004725E1"/>
    <w:pPr>
      <w:ind w:left="2268"/>
    </w:pPr>
  </w:style>
  <w:style w:type="paragraph" w:customStyle="1" w:styleId="Keywords">
    <w:name w:val="Keywords"/>
    <w:basedOn w:val="Normal"/>
    <w:rsid w:val="004725E1"/>
    <w:pPr>
      <w:spacing w:before="100" w:beforeAutospacing="1" w:after="100" w:afterAutospacing="1"/>
    </w:pPr>
    <w:rPr>
      <w:rFonts w:cs="Arial"/>
      <w:i/>
      <w:szCs w:val="24"/>
    </w:rPr>
  </w:style>
  <w:style w:type="paragraph" w:customStyle="1" w:styleId="Summary">
    <w:name w:val="Summary"/>
    <w:basedOn w:val="Normal"/>
    <w:autoRedefine/>
    <w:rsid w:val="004725E1"/>
    <w:pPr>
      <w:spacing w:before="100" w:beforeAutospacing="1" w:after="100" w:afterAutospacing="1"/>
      <w:ind w:left="562" w:hanging="562"/>
    </w:pPr>
    <w:rPr>
      <w:rFonts w:cs="Arial"/>
    </w:rPr>
  </w:style>
  <w:style w:type="paragraph" w:customStyle="1" w:styleId="History">
    <w:name w:val="History"/>
    <w:basedOn w:val="Normal"/>
    <w:rsid w:val="004725E1"/>
    <w:pPr>
      <w:spacing w:before="100" w:beforeAutospacing="1" w:after="100" w:afterAutospacing="1"/>
      <w:ind w:firstLine="567"/>
    </w:pPr>
  </w:style>
  <w:style w:type="paragraph" w:customStyle="1" w:styleId="T1">
    <w:name w:val="T1"/>
    <w:basedOn w:val="Normal"/>
    <w:rsid w:val="004725E1"/>
    <w:pPr>
      <w:spacing w:before="240" w:after="100" w:afterAutospacing="1"/>
    </w:pPr>
    <w:rPr>
      <w:b/>
    </w:rPr>
  </w:style>
  <w:style w:type="paragraph" w:customStyle="1" w:styleId="T2">
    <w:name w:val="T2"/>
    <w:basedOn w:val="Normal"/>
    <w:rsid w:val="004725E1"/>
    <w:pPr>
      <w:spacing w:before="240" w:after="100" w:afterAutospacing="1"/>
    </w:pPr>
  </w:style>
  <w:style w:type="paragraph" w:customStyle="1" w:styleId="Sollicitors">
    <w:name w:val="Sollicitors"/>
    <w:basedOn w:val="Normal"/>
    <w:rsid w:val="004725E1"/>
    <w:pPr>
      <w:spacing w:before="100" w:beforeAutospacing="1" w:after="100" w:afterAutospacing="1"/>
    </w:pPr>
    <w:rPr>
      <w:i/>
    </w:rPr>
  </w:style>
  <w:style w:type="paragraph" w:customStyle="1" w:styleId="Court">
    <w:name w:val="Court"/>
    <w:basedOn w:val="Normal"/>
    <w:rsid w:val="004725E1"/>
    <w:rPr>
      <w:rFonts w:cs="Arial"/>
      <w:b/>
      <w:szCs w:val="24"/>
    </w:rPr>
  </w:style>
  <w:style w:type="character" w:customStyle="1" w:styleId="PageChar">
    <w:name w:val="Page Char"/>
    <w:link w:val="Page"/>
    <w:rsid w:val="004725E1"/>
    <w:rPr>
      <w:rFonts w:ascii="Arial" w:eastAsia="MS Mincho" w:hAnsi="Arial" w:cs="Times New Roman"/>
      <w:i/>
      <w:sz w:val="24"/>
      <w:szCs w:val="28"/>
      <w:lang w:val="en-CA" w:eastAsia="ja-JP"/>
    </w:rPr>
  </w:style>
  <w:style w:type="character" w:customStyle="1" w:styleId="ReasonsCar">
    <w:name w:val="Reasons Car"/>
    <w:link w:val="Reasons"/>
    <w:rsid w:val="004725E1"/>
    <w:rPr>
      <w:rFonts w:ascii="Arial" w:eastAsia="MS Mincho" w:hAnsi="Arial" w:cs="Times New Roman"/>
      <w:sz w:val="24"/>
      <w:szCs w:val="28"/>
      <w:lang w:val="en-CA" w:eastAsia="ja-JP"/>
    </w:rPr>
  </w:style>
  <w:style w:type="paragraph" w:customStyle="1" w:styleId="CitationLine">
    <w:name w:val="CitationLine"/>
    <w:basedOn w:val="Court"/>
    <w:rsid w:val="004725E1"/>
  </w:style>
  <w:style w:type="paragraph" w:customStyle="1" w:styleId="DateISO">
    <w:name w:val="DateISO"/>
    <w:basedOn w:val="Court"/>
    <w:rsid w:val="0047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0</TotalTime>
  <Pages>2</Pages>
  <Words>459</Words>
  <Characters>2526</Characters>
  <Application>Microsoft Office Word</Application>
  <DocSecurity>0</DocSecurity>
  <Lines>21</Lines>
  <Paragraphs>5</Paragraphs>
  <ScaleCrop>false</ScaleCrop>
  <Company>Lexum</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2017-05-24T15:34:00Z</dcterms:created>
  <dcterms:modified xsi:type="dcterms:W3CDTF">2017-05-24T15:34:00Z</dcterms:modified>
</cp:coreProperties>
</file>