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E93" w:rsidRPr="00515A0B" w:rsidRDefault="00A97E93" w:rsidP="00A97E93">
      <w:pPr>
        <w:pStyle w:val="Court"/>
      </w:pPr>
      <w:r w:rsidRPr="00515A0B">
        <w:t>Supreme Court of Canada</w:t>
      </w:r>
    </w:p>
    <w:p w:rsidR="00A97E93" w:rsidRPr="00515A0B" w:rsidRDefault="00A97E93" w:rsidP="00A97E93">
      <w:pPr>
        <w:pStyle w:val="CitationLine"/>
      </w:pPr>
      <w:proofErr w:type="spellStart"/>
      <w:r w:rsidRPr="00515A0B">
        <w:t>Kaulbach</w:t>
      </w:r>
      <w:proofErr w:type="spellEnd"/>
      <w:r w:rsidRPr="00515A0B">
        <w:t xml:space="preserve"> </w:t>
      </w:r>
      <w:r w:rsidR="001D1F99" w:rsidRPr="001D1F99">
        <w:rPr>
          <w:i/>
        </w:rPr>
        <w:t>v</w:t>
      </w:r>
      <w:r w:rsidR="001D1F99">
        <w:t xml:space="preserve">. </w:t>
      </w:r>
      <w:proofErr w:type="spellStart"/>
      <w:r w:rsidRPr="00515A0B">
        <w:t>Arohbold</w:t>
      </w:r>
      <w:proofErr w:type="spellEnd"/>
      <w:r w:rsidRPr="00515A0B">
        <w:t xml:space="preserve"> (1901) 31 SCR 387</w:t>
      </w:r>
    </w:p>
    <w:p w:rsidR="00A97E93" w:rsidRPr="00515A0B" w:rsidRDefault="00A97E93" w:rsidP="00A97E93">
      <w:pPr>
        <w:pStyle w:val="DateISO"/>
      </w:pPr>
      <w:r w:rsidRPr="00515A0B">
        <w:t>Date: 1901-10-29</w:t>
      </w:r>
    </w:p>
    <w:p w:rsidR="004052C2" w:rsidRPr="00515A0B" w:rsidRDefault="00A97E93" w:rsidP="00A97E93">
      <w:pPr>
        <w:pStyle w:val="Metadata"/>
      </w:pPr>
      <w:r w:rsidRPr="00515A0B">
        <w:t xml:space="preserve">Helen M. C. </w:t>
      </w:r>
      <w:proofErr w:type="spellStart"/>
      <w:r w:rsidRPr="00515A0B">
        <w:t>Kaulbach</w:t>
      </w:r>
      <w:proofErr w:type="spellEnd"/>
    </w:p>
    <w:p w:rsidR="004052C2" w:rsidRPr="00515A0B" w:rsidRDefault="00A97E93" w:rsidP="00A97E93">
      <w:pPr>
        <w:pStyle w:val="Metadata"/>
      </w:pPr>
      <w:r w:rsidRPr="00515A0B">
        <w:t>Appellant</w:t>
      </w:r>
    </w:p>
    <w:p w:rsidR="004052C2" w:rsidRPr="00515A0B" w:rsidRDefault="00A97E93" w:rsidP="00A97E93">
      <w:pPr>
        <w:pStyle w:val="Metadata"/>
      </w:pPr>
      <w:r w:rsidRPr="00515A0B">
        <w:t>And</w:t>
      </w:r>
    </w:p>
    <w:p w:rsidR="004052C2" w:rsidRPr="00515A0B" w:rsidRDefault="00A97E93" w:rsidP="00A97E93">
      <w:pPr>
        <w:pStyle w:val="Metadata"/>
      </w:pPr>
      <w:r w:rsidRPr="00515A0B">
        <w:t xml:space="preserve">Francis H. W. </w:t>
      </w:r>
      <w:proofErr w:type="spellStart"/>
      <w:r w:rsidRPr="00515A0B">
        <w:t>Archbold</w:t>
      </w:r>
      <w:proofErr w:type="spellEnd"/>
      <w:r w:rsidRPr="00515A0B">
        <w:t xml:space="preserve"> and James R. </w:t>
      </w:r>
      <w:proofErr w:type="spellStart"/>
      <w:r w:rsidRPr="00515A0B">
        <w:t>Lithgood</w:t>
      </w:r>
      <w:proofErr w:type="spellEnd"/>
      <w:r w:rsidRPr="00515A0B">
        <w:t>, Executors</w:t>
      </w:r>
    </w:p>
    <w:p w:rsidR="004052C2" w:rsidRPr="00515A0B" w:rsidRDefault="00A97E93" w:rsidP="00A97E93">
      <w:pPr>
        <w:pStyle w:val="Metadata"/>
      </w:pPr>
      <w:r w:rsidRPr="00515A0B">
        <w:t>Respondents</w:t>
      </w:r>
    </w:p>
    <w:p w:rsidR="004052C2" w:rsidRPr="00515A0B" w:rsidRDefault="00A97E93" w:rsidP="00A97E93">
      <w:pPr>
        <w:pStyle w:val="Metadata"/>
      </w:pPr>
      <w:proofErr w:type="gramStart"/>
      <w:r w:rsidRPr="00515A0B">
        <w:rPr>
          <w:i/>
          <w:iCs/>
        </w:rPr>
        <w:t xml:space="preserve">In Re </w:t>
      </w:r>
      <w:r w:rsidRPr="00515A0B">
        <w:t xml:space="preserve">Will of Edward P. </w:t>
      </w:r>
      <w:proofErr w:type="spellStart"/>
      <w:r w:rsidRPr="00515A0B">
        <w:t>Archbold</w:t>
      </w:r>
      <w:proofErr w:type="spellEnd"/>
      <w:r w:rsidRPr="00515A0B">
        <w:t>.</w:t>
      </w:r>
      <w:proofErr w:type="gramEnd"/>
    </w:p>
    <w:p w:rsidR="00A97E93" w:rsidRPr="00515A0B" w:rsidRDefault="00A97E93" w:rsidP="00A97E93">
      <w:pPr>
        <w:pStyle w:val="Metadata"/>
      </w:pPr>
      <w:r w:rsidRPr="00515A0B">
        <w:t>1901: May 7, 8, 13, 14; 1901: Oct. 29.</w:t>
      </w:r>
    </w:p>
    <w:p w:rsidR="00A97E93" w:rsidRPr="00515A0B" w:rsidRDefault="00A97E93" w:rsidP="00A97E93">
      <w:pPr>
        <w:pStyle w:val="Metadata"/>
      </w:pPr>
      <w:r w:rsidRPr="00515A0B">
        <w:t xml:space="preserve">Present:—Sir Henry Strong C. J. and </w:t>
      </w:r>
      <w:proofErr w:type="spellStart"/>
      <w:r w:rsidRPr="00515A0B">
        <w:t>Taschereau</w:t>
      </w:r>
      <w:proofErr w:type="spellEnd"/>
      <w:r w:rsidRPr="00515A0B">
        <w:t xml:space="preserve">, Gwynne, </w:t>
      </w:r>
      <w:proofErr w:type="spellStart"/>
      <w:r w:rsidRPr="00515A0B">
        <w:t>Sedgewick</w:t>
      </w:r>
      <w:proofErr w:type="spellEnd"/>
      <w:r w:rsidRPr="00515A0B">
        <w:t xml:space="preserve"> and </w:t>
      </w:r>
      <w:proofErr w:type="spellStart"/>
      <w:r w:rsidRPr="00515A0B">
        <w:t>Girouard</w:t>
      </w:r>
      <w:proofErr w:type="spellEnd"/>
      <w:r w:rsidRPr="00515A0B">
        <w:t xml:space="preserve"> JJ.</w:t>
      </w:r>
    </w:p>
    <w:p w:rsidR="004052C2" w:rsidRPr="00515A0B" w:rsidRDefault="004052C2" w:rsidP="00A97E93">
      <w:pPr>
        <w:pStyle w:val="Metadata"/>
      </w:pPr>
      <w:proofErr w:type="gramStart"/>
      <w:r w:rsidRPr="00515A0B">
        <w:t>ON APPEAL FROM THE SUPREME COURT OF NOVA SCOTIA.</w:t>
      </w:r>
      <w:proofErr w:type="gramEnd"/>
    </w:p>
    <w:p w:rsidR="004052C2" w:rsidRPr="00515A0B" w:rsidRDefault="004052C2" w:rsidP="00A97E93">
      <w:pPr>
        <w:pStyle w:val="Keywords"/>
      </w:pPr>
      <w:r w:rsidRPr="00515A0B">
        <w:t>Will—Capacity of testator— Undue influence.</w:t>
      </w:r>
    </w:p>
    <w:p w:rsidR="004052C2" w:rsidRPr="00515A0B" w:rsidRDefault="004052C2" w:rsidP="00A97E93">
      <w:pPr>
        <w:pStyle w:val="Summary"/>
      </w:pPr>
      <w:r w:rsidRPr="00515A0B">
        <w:t>A codicil to a will executed shortly before the testator's death, increasing the provision made by a former codicil for a niece of his wife who had lived with him for nearly thirty years, a considerable portion of which she was his housekeeper, was attacked as having been executed on account of undue influence by the niece.</w:t>
      </w:r>
    </w:p>
    <w:p w:rsidR="004052C2" w:rsidRPr="00515A0B" w:rsidRDefault="004052C2" w:rsidP="00A97E93">
      <w:pPr>
        <w:pStyle w:val="Summary"/>
        <w:rPr>
          <w:szCs w:val="24"/>
        </w:rPr>
      </w:pPr>
      <w:r w:rsidRPr="00515A0B">
        <w:rPr>
          <w:i/>
          <w:iCs/>
          <w:szCs w:val="24"/>
        </w:rPr>
        <w:t xml:space="preserve">Held, </w:t>
      </w:r>
      <w:r w:rsidRPr="00515A0B">
        <w:rPr>
          <w:szCs w:val="24"/>
        </w:rPr>
        <w:t xml:space="preserve">reversing the judgment of the Supreme Court of Nova Scotia, </w:t>
      </w:r>
      <w:proofErr w:type="spellStart"/>
      <w:r w:rsidRPr="00515A0B">
        <w:rPr>
          <w:szCs w:val="24"/>
        </w:rPr>
        <w:t>Taschereau</w:t>
      </w:r>
      <w:proofErr w:type="spellEnd"/>
      <w:r w:rsidRPr="00515A0B">
        <w:rPr>
          <w:szCs w:val="24"/>
        </w:rPr>
        <w:t xml:space="preserve"> and </w:t>
      </w:r>
      <w:proofErr w:type="spellStart"/>
      <w:r w:rsidRPr="00515A0B">
        <w:rPr>
          <w:szCs w:val="24"/>
        </w:rPr>
        <w:t>Sedgewick</w:t>
      </w:r>
      <w:proofErr w:type="spellEnd"/>
      <w:r w:rsidRPr="00515A0B">
        <w:rPr>
          <w:szCs w:val="24"/>
        </w:rPr>
        <w:t xml:space="preserve"> JJ</w:t>
      </w:r>
      <w:r w:rsidRPr="00515A0B">
        <w:rPr>
          <w:i/>
          <w:iCs/>
          <w:szCs w:val="24"/>
        </w:rPr>
        <w:t xml:space="preserve">. </w:t>
      </w:r>
      <w:proofErr w:type="gramStart"/>
      <w:r w:rsidRPr="00515A0B">
        <w:rPr>
          <w:szCs w:val="24"/>
        </w:rPr>
        <w:t>dissenting</w:t>
      </w:r>
      <w:proofErr w:type="gramEnd"/>
      <w:r w:rsidRPr="00515A0B">
        <w:rPr>
          <w:szCs w:val="24"/>
        </w:rPr>
        <w:t>, that as the testator was shown to be capable of executing a will at the time he made the codicil, considering the relations between him and his niece even if it had been proved that she urged him to make better provision for her than he had previously done such would not have amounted to undue influence.</w:t>
      </w:r>
    </w:p>
    <w:p w:rsidR="004052C2" w:rsidRPr="00515A0B" w:rsidRDefault="004052C2" w:rsidP="00A97E93">
      <w:pPr>
        <w:pStyle w:val="Summary"/>
        <w:rPr>
          <w:szCs w:val="24"/>
        </w:rPr>
      </w:pPr>
      <w:r w:rsidRPr="00515A0B">
        <w:rPr>
          <w:i/>
          <w:iCs/>
          <w:szCs w:val="24"/>
        </w:rPr>
        <w:t xml:space="preserve">Held, </w:t>
      </w:r>
      <w:r w:rsidRPr="00515A0B">
        <w:rPr>
          <w:szCs w:val="24"/>
        </w:rPr>
        <w:t xml:space="preserve">also, following </w:t>
      </w:r>
      <w:proofErr w:type="spellStart"/>
      <w:r w:rsidRPr="00515A0B">
        <w:rPr>
          <w:i/>
          <w:iCs/>
          <w:szCs w:val="24"/>
        </w:rPr>
        <w:t>Piera</w:t>
      </w:r>
      <w:proofErr w:type="spellEnd"/>
      <w:r w:rsidRPr="00515A0B">
        <w:rPr>
          <w:i/>
          <w:iCs/>
          <w:szCs w:val="24"/>
        </w:rPr>
        <w:t xml:space="preserve"> </w:t>
      </w:r>
      <w:r w:rsidRPr="00515A0B">
        <w:rPr>
          <w:szCs w:val="24"/>
        </w:rPr>
        <w:t xml:space="preserve">v. </w:t>
      </w:r>
      <w:proofErr w:type="spellStart"/>
      <w:r w:rsidRPr="00515A0B">
        <w:rPr>
          <w:i/>
          <w:iCs/>
          <w:szCs w:val="24"/>
        </w:rPr>
        <w:t>Perera</w:t>
      </w:r>
      <w:proofErr w:type="spellEnd"/>
      <w:r w:rsidRPr="00515A0B">
        <w:rPr>
          <w:i/>
          <w:iCs/>
          <w:szCs w:val="24"/>
        </w:rPr>
        <w:t xml:space="preserve"> </w:t>
      </w:r>
      <w:r w:rsidRPr="00515A0B">
        <w:rPr>
          <w:szCs w:val="24"/>
        </w:rPr>
        <w:t>([1901] A. C. 354) that even if there was ground for saying that the testator was not at the time of execution capable of making a will if he were when he gave the instructions the codicil would still have been valid.</w:t>
      </w:r>
    </w:p>
    <w:p w:rsidR="004052C2" w:rsidRPr="00515A0B" w:rsidRDefault="004052C2" w:rsidP="00A97E93">
      <w:pPr>
        <w:pStyle w:val="History"/>
      </w:pPr>
      <w:r w:rsidRPr="00515A0B">
        <w:t>Appeal</w:t>
      </w:r>
      <w:r w:rsidRPr="00515A0B">
        <w:rPr>
          <w:smallCaps/>
        </w:rPr>
        <w:t xml:space="preserve"> </w:t>
      </w:r>
      <w:r w:rsidRPr="00515A0B">
        <w:t xml:space="preserve">from a decision of the Supreme Court of Nova Scotia affirming the ruling of the Probate Court Judge who refused to admit to probate a second codicil to the will of Edward P. </w:t>
      </w:r>
      <w:proofErr w:type="spellStart"/>
      <w:r w:rsidRPr="00515A0B">
        <w:t>Archbold</w:t>
      </w:r>
      <w:proofErr w:type="spellEnd"/>
      <w:r w:rsidRPr="00515A0B">
        <w:t>.</w:t>
      </w:r>
    </w:p>
    <w:p w:rsidR="004052C2" w:rsidRPr="00515A0B" w:rsidRDefault="004052C2" w:rsidP="00A97E93">
      <w:pPr>
        <w:pStyle w:val="History"/>
        <w:rPr>
          <w:rFonts w:cs="Arial"/>
          <w:szCs w:val="24"/>
        </w:rPr>
      </w:pPr>
      <w:r w:rsidRPr="00515A0B">
        <w:rPr>
          <w:rFonts w:cs="Arial"/>
          <w:szCs w:val="24"/>
        </w:rPr>
        <w:lastRenderedPageBreak/>
        <w:t xml:space="preserve">The testator, E. P. </w:t>
      </w:r>
      <w:proofErr w:type="spellStart"/>
      <w:r w:rsidRPr="00515A0B">
        <w:rPr>
          <w:rFonts w:cs="Arial"/>
          <w:szCs w:val="24"/>
        </w:rPr>
        <w:t>Archbold</w:t>
      </w:r>
      <w:proofErr w:type="spellEnd"/>
      <w:r w:rsidRPr="00515A0B">
        <w:rPr>
          <w:rFonts w:cs="Arial"/>
          <w:szCs w:val="24"/>
        </w:rPr>
        <w:t>, died on June 29th, 1898, aged 83 years. By his will he left $600 a year to the appellant which was increased to $800 by a codicil not attacked in these proceedings. A second</w:t>
      </w:r>
    </w:p>
    <w:p w:rsidR="004052C2" w:rsidRPr="00515A0B" w:rsidRDefault="00584566" w:rsidP="00584566">
      <w:pPr>
        <w:pStyle w:val="Page"/>
      </w:pPr>
      <w:r>
        <w:rPr>
          <w:rFonts w:cs="Arial"/>
          <w:szCs w:val="24"/>
        </w:rPr>
        <w:t xml:space="preserve">[Page </w:t>
      </w:r>
      <w:r w:rsidR="004052C2" w:rsidRPr="00515A0B">
        <w:rPr>
          <w:rFonts w:cs="Arial"/>
          <w:szCs w:val="24"/>
        </w:rPr>
        <w:t>388]</w:t>
      </w:r>
    </w:p>
    <w:p w:rsidR="004052C2" w:rsidRPr="00515A0B" w:rsidRDefault="004052C2" w:rsidP="00377CB9">
      <w:pPr>
        <w:pStyle w:val="History"/>
        <w:ind w:firstLine="0"/>
        <w:rPr>
          <w:rFonts w:cs="Arial"/>
          <w:szCs w:val="24"/>
        </w:rPr>
      </w:pPr>
      <w:r w:rsidRPr="00515A0B">
        <w:rPr>
          <w:rFonts w:cs="Arial"/>
          <w:szCs w:val="24"/>
        </w:rPr>
        <w:t>codicil, increasing the annuity to $1,000 and bearing date June 16th, 1898, was refused probate, the probate Judge holding that the appellant had not satisfied the conscience of the court that the testator was capable of making a will at that date and that it expressed his last will.</w:t>
      </w:r>
    </w:p>
    <w:p w:rsidR="004052C2" w:rsidRPr="00515A0B" w:rsidRDefault="004052C2" w:rsidP="00377CB9">
      <w:pPr>
        <w:pStyle w:val="History"/>
        <w:rPr>
          <w:rFonts w:cs="Arial"/>
          <w:szCs w:val="24"/>
        </w:rPr>
      </w:pPr>
      <w:r w:rsidRPr="00515A0B">
        <w:rPr>
          <w:rFonts w:cs="Arial"/>
          <w:szCs w:val="24"/>
        </w:rPr>
        <w:t xml:space="preserve">The executors impeached the last codicil on the grounds that the testator was too infirm and feeble in mind to administer his. </w:t>
      </w:r>
      <w:proofErr w:type="gramStart"/>
      <w:r w:rsidRPr="00515A0B">
        <w:rPr>
          <w:rFonts w:cs="Arial"/>
          <w:szCs w:val="24"/>
        </w:rPr>
        <w:t>affairs</w:t>
      </w:r>
      <w:proofErr w:type="gramEnd"/>
      <w:r w:rsidRPr="00515A0B">
        <w:rPr>
          <w:rFonts w:cs="Arial"/>
          <w:szCs w:val="24"/>
        </w:rPr>
        <w:t>; that the codicil was made at the instigation and under the influence of the appellant; and that it was prepared and executed during the absence of the residuary legatee, testator's only son, and secretly, which were suspicious circumstances not explained away by the latter. The Supreme Court of Nova Scotia, the Chief Justice dissenting, affirmed the ruling of the Probate Judge in refusing probate of this codicil.</w:t>
      </w:r>
    </w:p>
    <w:p w:rsidR="004052C2" w:rsidRPr="00515A0B" w:rsidRDefault="004052C2" w:rsidP="00377CB9">
      <w:pPr>
        <w:pStyle w:val="History"/>
        <w:rPr>
          <w:rFonts w:cs="Arial"/>
          <w:szCs w:val="24"/>
        </w:rPr>
      </w:pPr>
      <w:proofErr w:type="spellStart"/>
      <w:proofErr w:type="gramStart"/>
      <w:r w:rsidRPr="00515A0B">
        <w:rPr>
          <w:rFonts w:cs="Arial"/>
          <w:i/>
          <w:iCs/>
          <w:szCs w:val="24"/>
        </w:rPr>
        <w:t>Newcombe</w:t>
      </w:r>
      <w:proofErr w:type="spellEnd"/>
      <w:r w:rsidRPr="00515A0B">
        <w:rPr>
          <w:rFonts w:cs="Arial"/>
          <w:i/>
          <w:iCs/>
          <w:szCs w:val="24"/>
        </w:rPr>
        <w:t xml:space="preserve"> K. C. </w:t>
      </w:r>
      <w:r w:rsidRPr="00515A0B">
        <w:rPr>
          <w:rFonts w:cs="Arial"/>
          <w:szCs w:val="24"/>
        </w:rPr>
        <w:t>for the appellant.</w:t>
      </w:r>
      <w:proofErr w:type="gramEnd"/>
      <w:r w:rsidRPr="00515A0B">
        <w:rPr>
          <w:rFonts w:cs="Arial"/>
          <w:szCs w:val="24"/>
        </w:rPr>
        <w:t xml:space="preserve"> Suspicions entertained by the court must be "pregnant suspicions" in order to justify rejection; </w:t>
      </w:r>
      <w:proofErr w:type="spellStart"/>
      <w:r w:rsidRPr="00515A0B">
        <w:rPr>
          <w:rFonts w:cs="Arial"/>
          <w:i/>
          <w:iCs/>
          <w:szCs w:val="24"/>
        </w:rPr>
        <w:t>Raworth</w:t>
      </w:r>
      <w:proofErr w:type="spellEnd"/>
      <w:r w:rsidRPr="00515A0B">
        <w:rPr>
          <w:rFonts w:cs="Arial"/>
          <w:i/>
          <w:iCs/>
          <w:szCs w:val="24"/>
        </w:rPr>
        <w:t xml:space="preserve"> </w:t>
      </w:r>
      <w:r w:rsidRPr="00515A0B">
        <w:rPr>
          <w:rFonts w:cs="Arial"/>
          <w:szCs w:val="24"/>
        </w:rPr>
        <w:t xml:space="preserve">v. </w:t>
      </w:r>
      <w:r w:rsidRPr="00515A0B">
        <w:rPr>
          <w:rFonts w:cs="Arial"/>
          <w:i/>
          <w:iCs/>
          <w:szCs w:val="24"/>
        </w:rPr>
        <w:t>Marriott</w:t>
      </w:r>
      <w:r w:rsidR="00515A0B" w:rsidRPr="00515A0B">
        <w:rPr>
          <w:rStyle w:val="Appelnotedebasdep"/>
          <w:rFonts w:cs="Arial"/>
          <w:i/>
          <w:iCs/>
          <w:szCs w:val="24"/>
        </w:rPr>
        <w:footnoteReference w:id="1"/>
      </w:r>
      <w:r w:rsidRPr="00515A0B">
        <w:rPr>
          <w:rFonts w:cs="Arial"/>
          <w:szCs w:val="24"/>
        </w:rPr>
        <w:t xml:space="preserve">; </w:t>
      </w:r>
      <w:proofErr w:type="spellStart"/>
      <w:r w:rsidRPr="00515A0B">
        <w:rPr>
          <w:rFonts w:cs="Arial"/>
          <w:i/>
          <w:iCs/>
          <w:szCs w:val="24"/>
        </w:rPr>
        <w:t>Goodacre</w:t>
      </w:r>
      <w:proofErr w:type="spellEnd"/>
      <w:r w:rsidRPr="00515A0B">
        <w:rPr>
          <w:rFonts w:cs="Arial"/>
          <w:i/>
          <w:iCs/>
          <w:szCs w:val="24"/>
        </w:rPr>
        <w:t xml:space="preserve"> </w:t>
      </w:r>
      <w:r w:rsidRPr="00515A0B">
        <w:rPr>
          <w:rFonts w:cs="Arial"/>
          <w:szCs w:val="24"/>
        </w:rPr>
        <w:t xml:space="preserve">v. </w:t>
      </w:r>
      <w:r w:rsidRPr="00515A0B">
        <w:rPr>
          <w:rFonts w:cs="Arial"/>
          <w:i/>
          <w:iCs/>
          <w:szCs w:val="24"/>
        </w:rPr>
        <w:t>Smith</w:t>
      </w:r>
      <w:r w:rsidR="00515A0B" w:rsidRPr="00515A0B">
        <w:rPr>
          <w:rStyle w:val="Appelnotedebasdep"/>
          <w:rFonts w:cs="Arial"/>
          <w:i/>
          <w:iCs/>
          <w:szCs w:val="24"/>
        </w:rPr>
        <w:footnoteReference w:id="2"/>
      </w:r>
      <w:r w:rsidRPr="00515A0B">
        <w:rPr>
          <w:rFonts w:cs="Arial"/>
          <w:szCs w:val="24"/>
        </w:rPr>
        <w:t xml:space="preserve">. The testator's instructions were sufficient; it is not necessary to show that the codicil was read over by him before he signed it; </w:t>
      </w:r>
      <w:proofErr w:type="spellStart"/>
      <w:r w:rsidRPr="00515A0B">
        <w:rPr>
          <w:rFonts w:cs="Arial"/>
          <w:i/>
          <w:iCs/>
          <w:szCs w:val="24"/>
        </w:rPr>
        <w:t>Raworth</w:t>
      </w:r>
      <w:proofErr w:type="spellEnd"/>
      <w:r w:rsidRPr="00515A0B">
        <w:rPr>
          <w:rFonts w:cs="Arial"/>
          <w:i/>
          <w:iCs/>
          <w:szCs w:val="24"/>
        </w:rPr>
        <w:t xml:space="preserve"> </w:t>
      </w:r>
      <w:r w:rsidRPr="00515A0B">
        <w:rPr>
          <w:rFonts w:cs="Arial"/>
          <w:szCs w:val="24"/>
        </w:rPr>
        <w:t xml:space="preserve">v. </w:t>
      </w:r>
      <w:r w:rsidRPr="00515A0B">
        <w:rPr>
          <w:rFonts w:cs="Arial"/>
          <w:i/>
          <w:iCs/>
          <w:szCs w:val="24"/>
        </w:rPr>
        <w:t xml:space="preserve">Marriott </w:t>
      </w:r>
      <w:r w:rsidRPr="00515A0B">
        <w:rPr>
          <w:rFonts w:cs="Arial"/>
          <w:szCs w:val="24"/>
        </w:rPr>
        <w:t xml:space="preserve">(1); </w:t>
      </w:r>
      <w:proofErr w:type="spellStart"/>
      <w:r w:rsidRPr="00515A0B">
        <w:rPr>
          <w:rFonts w:cs="Arial"/>
          <w:i/>
          <w:iCs/>
          <w:szCs w:val="24"/>
        </w:rPr>
        <w:t>Goodacre</w:t>
      </w:r>
      <w:proofErr w:type="spellEnd"/>
      <w:r w:rsidRPr="00515A0B">
        <w:rPr>
          <w:rFonts w:cs="Arial"/>
          <w:i/>
          <w:iCs/>
          <w:szCs w:val="24"/>
        </w:rPr>
        <w:t xml:space="preserve"> </w:t>
      </w:r>
      <w:r w:rsidRPr="00515A0B">
        <w:rPr>
          <w:rFonts w:cs="Arial"/>
          <w:szCs w:val="24"/>
        </w:rPr>
        <w:t xml:space="preserve">v. </w:t>
      </w:r>
      <w:r w:rsidRPr="00515A0B">
        <w:rPr>
          <w:rFonts w:cs="Arial"/>
          <w:i/>
          <w:iCs/>
          <w:szCs w:val="24"/>
        </w:rPr>
        <w:t xml:space="preserve">Smith </w:t>
      </w:r>
      <w:r w:rsidRPr="00515A0B">
        <w:rPr>
          <w:rFonts w:cs="Arial"/>
          <w:szCs w:val="24"/>
        </w:rPr>
        <w:t xml:space="preserve">(2); </w:t>
      </w:r>
      <w:r w:rsidRPr="00515A0B">
        <w:rPr>
          <w:rFonts w:cs="Arial"/>
          <w:i/>
          <w:iCs/>
          <w:szCs w:val="24"/>
        </w:rPr>
        <w:t xml:space="preserve">Parker </w:t>
      </w:r>
      <w:r w:rsidRPr="00515A0B">
        <w:rPr>
          <w:rFonts w:cs="Arial"/>
          <w:szCs w:val="24"/>
        </w:rPr>
        <w:t xml:space="preserve">v. </w:t>
      </w:r>
      <w:proofErr w:type="spellStart"/>
      <w:r w:rsidRPr="00515A0B">
        <w:rPr>
          <w:rFonts w:cs="Arial"/>
          <w:i/>
          <w:iCs/>
          <w:szCs w:val="24"/>
        </w:rPr>
        <w:t>Felgate</w:t>
      </w:r>
      <w:proofErr w:type="spellEnd"/>
      <w:r w:rsidR="00515A0B" w:rsidRPr="00515A0B">
        <w:rPr>
          <w:rStyle w:val="Appelnotedebasdep"/>
          <w:rFonts w:cs="Arial"/>
          <w:i/>
          <w:iCs/>
          <w:szCs w:val="24"/>
        </w:rPr>
        <w:footnoteReference w:id="3"/>
      </w:r>
      <w:r w:rsidRPr="00515A0B">
        <w:rPr>
          <w:rFonts w:cs="Arial"/>
          <w:szCs w:val="24"/>
        </w:rPr>
        <w:t xml:space="preserve">. As to the law respecting undue influence we refer to </w:t>
      </w:r>
      <w:r w:rsidRPr="00515A0B">
        <w:rPr>
          <w:rFonts w:cs="Arial"/>
          <w:i/>
          <w:iCs/>
          <w:szCs w:val="24"/>
        </w:rPr>
        <w:t xml:space="preserve">Adams </w:t>
      </w:r>
      <w:r w:rsidRPr="00515A0B">
        <w:rPr>
          <w:rFonts w:cs="Arial"/>
          <w:szCs w:val="24"/>
        </w:rPr>
        <w:t>v.</w:t>
      </w:r>
      <w:r w:rsidRPr="00515A0B">
        <w:rPr>
          <w:rFonts w:cs="Arial"/>
          <w:i/>
          <w:iCs/>
          <w:szCs w:val="24"/>
        </w:rPr>
        <w:t xml:space="preserve"> </w:t>
      </w:r>
      <w:proofErr w:type="spellStart"/>
      <w:r w:rsidRPr="00515A0B">
        <w:rPr>
          <w:rFonts w:cs="Arial"/>
          <w:i/>
          <w:iCs/>
          <w:szCs w:val="24"/>
        </w:rPr>
        <w:t>McBeath</w:t>
      </w:r>
      <w:proofErr w:type="spellEnd"/>
      <w:r w:rsidR="00515A0B" w:rsidRPr="00515A0B">
        <w:rPr>
          <w:rStyle w:val="Appelnotedebasdep"/>
          <w:rFonts w:cs="Arial"/>
          <w:i/>
          <w:iCs/>
          <w:szCs w:val="24"/>
        </w:rPr>
        <w:footnoteReference w:id="4"/>
      </w:r>
      <w:r w:rsidRPr="00515A0B">
        <w:rPr>
          <w:rFonts w:cs="Arial"/>
          <w:szCs w:val="24"/>
        </w:rPr>
        <w:t xml:space="preserve">; </w:t>
      </w:r>
      <w:r w:rsidRPr="00515A0B">
        <w:rPr>
          <w:rFonts w:cs="Arial"/>
          <w:i/>
          <w:iCs/>
          <w:szCs w:val="24"/>
        </w:rPr>
        <w:t xml:space="preserve">Hall </w:t>
      </w:r>
      <w:r w:rsidRPr="00515A0B">
        <w:rPr>
          <w:rFonts w:cs="Arial"/>
          <w:szCs w:val="24"/>
        </w:rPr>
        <w:t xml:space="preserve">v. </w:t>
      </w:r>
      <w:r w:rsidRPr="00515A0B">
        <w:rPr>
          <w:rFonts w:cs="Arial"/>
          <w:i/>
          <w:iCs/>
          <w:szCs w:val="24"/>
        </w:rPr>
        <w:t>Hall</w:t>
      </w:r>
      <w:r w:rsidR="00515A0B" w:rsidRPr="00515A0B">
        <w:rPr>
          <w:rStyle w:val="Appelnotedebasdep"/>
          <w:rFonts w:cs="Arial"/>
          <w:i/>
          <w:iCs/>
          <w:szCs w:val="24"/>
        </w:rPr>
        <w:footnoteReference w:id="5"/>
      </w:r>
      <w:r w:rsidRPr="00515A0B">
        <w:rPr>
          <w:rFonts w:cs="Arial"/>
          <w:szCs w:val="24"/>
        </w:rPr>
        <w:t xml:space="preserve">; </w:t>
      </w:r>
      <w:r w:rsidRPr="00515A0B">
        <w:rPr>
          <w:rFonts w:cs="Arial"/>
          <w:i/>
          <w:iCs/>
          <w:szCs w:val="24"/>
        </w:rPr>
        <w:t xml:space="preserve">Beamish </w:t>
      </w:r>
      <w:r w:rsidRPr="00515A0B">
        <w:rPr>
          <w:rFonts w:cs="Arial"/>
          <w:szCs w:val="24"/>
        </w:rPr>
        <w:t xml:space="preserve">v. </w:t>
      </w:r>
      <w:r w:rsidRPr="00515A0B">
        <w:rPr>
          <w:rFonts w:cs="Arial"/>
          <w:i/>
          <w:iCs/>
          <w:szCs w:val="24"/>
        </w:rPr>
        <w:t>Beamish</w:t>
      </w:r>
      <w:r w:rsidR="00515A0B" w:rsidRPr="00515A0B">
        <w:rPr>
          <w:rStyle w:val="Appelnotedebasdep"/>
          <w:rFonts w:cs="Arial"/>
          <w:i/>
          <w:iCs/>
          <w:szCs w:val="24"/>
        </w:rPr>
        <w:footnoteReference w:id="6"/>
      </w:r>
      <w:r w:rsidRPr="00515A0B">
        <w:rPr>
          <w:rFonts w:cs="Arial"/>
          <w:i/>
          <w:iCs/>
          <w:szCs w:val="24"/>
        </w:rPr>
        <w:t>;</w:t>
      </w:r>
      <w:r w:rsidRPr="00515A0B">
        <w:rPr>
          <w:rFonts w:cs="Arial"/>
          <w:szCs w:val="24"/>
        </w:rPr>
        <w:t xml:space="preserve"> </w:t>
      </w:r>
      <w:proofErr w:type="spellStart"/>
      <w:r w:rsidRPr="00515A0B">
        <w:rPr>
          <w:rFonts w:cs="Arial"/>
          <w:i/>
          <w:iCs/>
          <w:szCs w:val="24"/>
        </w:rPr>
        <w:t>Wingrove</w:t>
      </w:r>
      <w:proofErr w:type="spellEnd"/>
      <w:r w:rsidRPr="00515A0B">
        <w:rPr>
          <w:rFonts w:cs="Arial"/>
          <w:i/>
          <w:iCs/>
          <w:szCs w:val="24"/>
        </w:rPr>
        <w:t xml:space="preserve"> </w:t>
      </w:r>
      <w:r w:rsidRPr="00515A0B">
        <w:rPr>
          <w:rFonts w:cs="Arial"/>
          <w:szCs w:val="24"/>
        </w:rPr>
        <w:t>v.</w:t>
      </w:r>
      <w:r w:rsidRPr="00515A0B">
        <w:rPr>
          <w:rFonts w:cs="Arial"/>
          <w:i/>
          <w:iCs/>
          <w:szCs w:val="24"/>
        </w:rPr>
        <w:t xml:space="preserve"> </w:t>
      </w:r>
      <w:proofErr w:type="spellStart"/>
      <w:r w:rsidRPr="00515A0B">
        <w:rPr>
          <w:rFonts w:cs="Arial"/>
          <w:i/>
          <w:iCs/>
          <w:szCs w:val="24"/>
        </w:rPr>
        <w:t>Wingrove</w:t>
      </w:r>
      <w:proofErr w:type="spellEnd"/>
      <w:r w:rsidR="00515A0B" w:rsidRPr="00515A0B">
        <w:rPr>
          <w:rStyle w:val="Appelnotedebasdep"/>
          <w:rFonts w:cs="Arial"/>
          <w:i/>
          <w:iCs/>
          <w:szCs w:val="24"/>
        </w:rPr>
        <w:footnoteReference w:id="7"/>
      </w:r>
      <w:r w:rsidRPr="00515A0B">
        <w:rPr>
          <w:rFonts w:cs="Arial"/>
          <w:i/>
          <w:iCs/>
          <w:szCs w:val="24"/>
        </w:rPr>
        <w:t xml:space="preserve">; </w:t>
      </w:r>
      <w:proofErr w:type="spellStart"/>
      <w:r w:rsidRPr="00515A0B">
        <w:rPr>
          <w:rFonts w:cs="Arial"/>
          <w:i/>
          <w:iCs/>
          <w:szCs w:val="24"/>
        </w:rPr>
        <w:t>Boyse</w:t>
      </w:r>
      <w:proofErr w:type="spellEnd"/>
      <w:r w:rsidRPr="00515A0B">
        <w:rPr>
          <w:rFonts w:cs="Arial"/>
          <w:i/>
          <w:iCs/>
          <w:szCs w:val="24"/>
        </w:rPr>
        <w:t xml:space="preserve"> </w:t>
      </w:r>
      <w:r w:rsidRPr="00515A0B">
        <w:rPr>
          <w:rFonts w:cs="Arial"/>
          <w:szCs w:val="24"/>
        </w:rPr>
        <w:t xml:space="preserve">v. </w:t>
      </w:r>
      <w:proofErr w:type="spellStart"/>
      <w:r w:rsidRPr="00515A0B">
        <w:rPr>
          <w:rFonts w:cs="Arial"/>
          <w:i/>
          <w:iCs/>
          <w:szCs w:val="24"/>
        </w:rPr>
        <w:t>Rossborough</w:t>
      </w:r>
      <w:proofErr w:type="spellEnd"/>
      <w:r w:rsidR="00515A0B" w:rsidRPr="00515A0B">
        <w:rPr>
          <w:rStyle w:val="Appelnotedebasdep"/>
          <w:rFonts w:cs="Arial"/>
          <w:i/>
          <w:iCs/>
          <w:szCs w:val="24"/>
        </w:rPr>
        <w:footnoteReference w:id="8"/>
      </w:r>
      <w:r w:rsidRPr="00515A0B">
        <w:rPr>
          <w:rFonts w:cs="Arial"/>
          <w:szCs w:val="24"/>
        </w:rPr>
        <w:t xml:space="preserve">; </w:t>
      </w:r>
      <w:proofErr w:type="spellStart"/>
      <w:r w:rsidRPr="00515A0B">
        <w:rPr>
          <w:rFonts w:cs="Arial"/>
          <w:i/>
          <w:iCs/>
          <w:szCs w:val="24"/>
        </w:rPr>
        <w:t>Parfitt</w:t>
      </w:r>
      <w:proofErr w:type="spellEnd"/>
      <w:r w:rsidRPr="00515A0B">
        <w:rPr>
          <w:rFonts w:cs="Arial"/>
          <w:i/>
          <w:iCs/>
          <w:szCs w:val="24"/>
        </w:rPr>
        <w:t xml:space="preserve"> </w:t>
      </w:r>
      <w:r w:rsidRPr="00515A0B">
        <w:rPr>
          <w:rFonts w:cs="Arial"/>
          <w:szCs w:val="24"/>
        </w:rPr>
        <w:t xml:space="preserve">v. </w:t>
      </w:r>
      <w:r w:rsidRPr="00515A0B">
        <w:rPr>
          <w:rFonts w:cs="Arial"/>
          <w:i/>
          <w:iCs/>
          <w:szCs w:val="24"/>
        </w:rPr>
        <w:t>Lawless</w:t>
      </w:r>
      <w:r w:rsidR="00515A0B" w:rsidRPr="00515A0B">
        <w:rPr>
          <w:rStyle w:val="Appelnotedebasdep"/>
          <w:rFonts w:cs="Arial"/>
          <w:i/>
          <w:iCs/>
          <w:szCs w:val="24"/>
        </w:rPr>
        <w:footnoteReference w:id="9"/>
      </w:r>
      <w:r w:rsidRPr="00515A0B">
        <w:rPr>
          <w:rFonts w:cs="Arial"/>
          <w:szCs w:val="24"/>
        </w:rPr>
        <w:t xml:space="preserve">. The judge in first instance admitted improper evidence on the part of the executors, and improperly excluded evidence favourable to appellant, </w:t>
      </w:r>
      <w:proofErr w:type="spellStart"/>
      <w:r w:rsidRPr="00515A0B">
        <w:rPr>
          <w:rFonts w:cs="Arial"/>
          <w:i/>
          <w:iCs/>
          <w:szCs w:val="24"/>
        </w:rPr>
        <w:t>Crowninshield</w:t>
      </w:r>
      <w:proofErr w:type="spellEnd"/>
      <w:r w:rsidRPr="00515A0B">
        <w:rPr>
          <w:rFonts w:cs="Arial"/>
          <w:i/>
          <w:iCs/>
          <w:szCs w:val="24"/>
        </w:rPr>
        <w:t xml:space="preserve"> </w:t>
      </w:r>
      <w:r w:rsidRPr="00515A0B">
        <w:rPr>
          <w:rFonts w:cs="Arial"/>
          <w:szCs w:val="24"/>
        </w:rPr>
        <w:t>v.</w:t>
      </w:r>
    </w:p>
    <w:p w:rsidR="004052C2" w:rsidRPr="00515A0B" w:rsidRDefault="00584566" w:rsidP="00584566">
      <w:pPr>
        <w:pStyle w:val="Page"/>
      </w:pPr>
      <w:r>
        <w:rPr>
          <w:rFonts w:cs="Arial"/>
          <w:szCs w:val="24"/>
        </w:rPr>
        <w:t xml:space="preserve">[Page </w:t>
      </w:r>
      <w:r w:rsidR="004052C2" w:rsidRPr="00515A0B">
        <w:rPr>
          <w:rFonts w:cs="Arial"/>
          <w:szCs w:val="24"/>
        </w:rPr>
        <w:t>389]</w:t>
      </w:r>
    </w:p>
    <w:p w:rsidR="004052C2" w:rsidRPr="00515A0B" w:rsidRDefault="004052C2" w:rsidP="00377CB9">
      <w:pPr>
        <w:pStyle w:val="History"/>
        <w:ind w:firstLine="0"/>
        <w:rPr>
          <w:rFonts w:cs="Arial"/>
          <w:szCs w:val="24"/>
        </w:rPr>
      </w:pPr>
      <w:proofErr w:type="spellStart"/>
      <w:proofErr w:type="gramStart"/>
      <w:r w:rsidRPr="00515A0B">
        <w:rPr>
          <w:rFonts w:cs="Arial"/>
          <w:i/>
          <w:iCs/>
          <w:szCs w:val="24"/>
        </w:rPr>
        <w:t>Crowninshield</w:t>
      </w:r>
      <w:proofErr w:type="spellEnd"/>
      <w:r w:rsidR="00515A0B" w:rsidRPr="00515A0B">
        <w:rPr>
          <w:rStyle w:val="Appelnotedebasdep"/>
          <w:rFonts w:cs="Arial"/>
          <w:i/>
          <w:iCs/>
          <w:szCs w:val="24"/>
        </w:rPr>
        <w:footnoteReference w:id="10"/>
      </w:r>
      <w:r w:rsidRPr="00515A0B">
        <w:rPr>
          <w:rFonts w:cs="Arial"/>
          <w:szCs w:val="24"/>
        </w:rPr>
        <w:t>.</w:t>
      </w:r>
      <w:proofErr w:type="gramEnd"/>
      <w:r w:rsidRPr="00515A0B">
        <w:rPr>
          <w:rFonts w:cs="Arial"/>
          <w:szCs w:val="24"/>
        </w:rPr>
        <w:t xml:space="preserve"> We also rely upon </w:t>
      </w:r>
      <w:r w:rsidRPr="00515A0B">
        <w:rPr>
          <w:rFonts w:cs="Arial"/>
          <w:i/>
          <w:iCs/>
          <w:szCs w:val="24"/>
        </w:rPr>
        <w:t xml:space="preserve">Aitkin </w:t>
      </w:r>
      <w:r w:rsidRPr="00515A0B">
        <w:rPr>
          <w:rFonts w:cs="Arial"/>
          <w:szCs w:val="24"/>
        </w:rPr>
        <w:t xml:space="preserve">v. </w:t>
      </w:r>
      <w:proofErr w:type="spellStart"/>
      <w:r w:rsidRPr="00515A0B">
        <w:rPr>
          <w:rFonts w:cs="Arial"/>
          <w:i/>
          <w:iCs/>
          <w:szCs w:val="24"/>
        </w:rPr>
        <w:t>McMeckan</w:t>
      </w:r>
      <w:proofErr w:type="spellEnd"/>
      <w:r w:rsidR="00515A0B" w:rsidRPr="00515A0B">
        <w:rPr>
          <w:rStyle w:val="Appelnotedebasdep"/>
          <w:rFonts w:cs="Arial"/>
          <w:i/>
          <w:iCs/>
          <w:szCs w:val="24"/>
        </w:rPr>
        <w:footnoteReference w:id="11"/>
      </w:r>
      <w:r w:rsidRPr="00515A0B">
        <w:rPr>
          <w:rFonts w:cs="Arial"/>
          <w:i/>
          <w:iCs/>
          <w:szCs w:val="24"/>
        </w:rPr>
        <w:t xml:space="preserve">; Re </w:t>
      </w:r>
      <w:proofErr w:type="spellStart"/>
      <w:r w:rsidRPr="00515A0B">
        <w:rPr>
          <w:rFonts w:cs="Arial"/>
          <w:i/>
          <w:iCs/>
          <w:szCs w:val="24"/>
        </w:rPr>
        <w:t>Stulz</w:t>
      </w:r>
      <w:proofErr w:type="spellEnd"/>
      <w:r w:rsidR="00515A0B" w:rsidRPr="00515A0B">
        <w:rPr>
          <w:rStyle w:val="Appelnotedebasdep"/>
          <w:rFonts w:cs="Arial"/>
          <w:i/>
          <w:iCs/>
          <w:szCs w:val="24"/>
        </w:rPr>
        <w:footnoteReference w:id="12"/>
      </w:r>
      <w:r w:rsidRPr="00515A0B">
        <w:rPr>
          <w:rFonts w:cs="Arial"/>
          <w:szCs w:val="24"/>
        </w:rPr>
        <w:t>.</w:t>
      </w:r>
    </w:p>
    <w:p w:rsidR="004052C2" w:rsidRPr="00515A0B" w:rsidRDefault="004052C2" w:rsidP="00377CB9">
      <w:pPr>
        <w:pStyle w:val="History"/>
        <w:rPr>
          <w:rFonts w:cs="Arial"/>
          <w:szCs w:val="24"/>
        </w:rPr>
      </w:pPr>
      <w:proofErr w:type="spellStart"/>
      <w:proofErr w:type="gramStart"/>
      <w:r w:rsidRPr="00515A0B">
        <w:rPr>
          <w:rFonts w:cs="Arial"/>
          <w:i/>
          <w:iCs/>
          <w:szCs w:val="24"/>
        </w:rPr>
        <w:t>Drysdale</w:t>
      </w:r>
      <w:proofErr w:type="spellEnd"/>
      <w:r w:rsidRPr="00515A0B">
        <w:rPr>
          <w:rFonts w:cs="Arial"/>
          <w:i/>
          <w:iCs/>
          <w:szCs w:val="24"/>
        </w:rPr>
        <w:t xml:space="preserve"> K.C. </w:t>
      </w:r>
      <w:r w:rsidRPr="00515A0B">
        <w:rPr>
          <w:rFonts w:cs="Arial"/>
          <w:szCs w:val="24"/>
        </w:rPr>
        <w:t>for the respondents.</w:t>
      </w:r>
      <w:proofErr w:type="gramEnd"/>
      <w:r w:rsidRPr="00515A0B">
        <w:rPr>
          <w:rFonts w:cs="Arial"/>
          <w:szCs w:val="24"/>
        </w:rPr>
        <w:t xml:space="preserve"> The question involved in this appeal is one of fact, passed upon by the trial court and the Court of Appeal, and ought not to be reversed </w:t>
      </w:r>
      <w:r w:rsidRPr="00515A0B">
        <w:rPr>
          <w:rFonts w:cs="Arial"/>
          <w:i/>
          <w:iCs/>
          <w:szCs w:val="24"/>
        </w:rPr>
        <w:t xml:space="preserve">City of Montreal </w:t>
      </w:r>
      <w:r w:rsidRPr="00515A0B">
        <w:rPr>
          <w:rFonts w:cs="Arial"/>
          <w:szCs w:val="24"/>
        </w:rPr>
        <w:t xml:space="preserve">v. </w:t>
      </w:r>
      <w:proofErr w:type="spellStart"/>
      <w:r w:rsidRPr="00515A0B">
        <w:rPr>
          <w:rFonts w:cs="Arial"/>
          <w:i/>
          <w:iCs/>
          <w:szCs w:val="24"/>
        </w:rPr>
        <w:t>Cadieux</w:t>
      </w:r>
      <w:proofErr w:type="spellEnd"/>
      <w:r w:rsidR="00515A0B" w:rsidRPr="00515A0B">
        <w:rPr>
          <w:rStyle w:val="Appelnotedebasdep"/>
          <w:rFonts w:cs="Arial"/>
          <w:i/>
          <w:iCs/>
          <w:szCs w:val="24"/>
        </w:rPr>
        <w:footnoteReference w:id="13"/>
      </w:r>
      <w:r w:rsidRPr="00515A0B">
        <w:rPr>
          <w:rFonts w:cs="Arial"/>
          <w:szCs w:val="24"/>
        </w:rPr>
        <w:t xml:space="preserve">; </w:t>
      </w:r>
      <w:proofErr w:type="spellStart"/>
      <w:r w:rsidRPr="00515A0B">
        <w:rPr>
          <w:rFonts w:cs="Arial"/>
          <w:i/>
          <w:iCs/>
          <w:szCs w:val="24"/>
        </w:rPr>
        <w:t>Senesac</w:t>
      </w:r>
      <w:proofErr w:type="spellEnd"/>
      <w:r w:rsidRPr="00515A0B">
        <w:rPr>
          <w:rFonts w:cs="Arial"/>
          <w:i/>
          <w:iCs/>
          <w:szCs w:val="24"/>
        </w:rPr>
        <w:t xml:space="preserve"> </w:t>
      </w:r>
      <w:r w:rsidRPr="00515A0B">
        <w:rPr>
          <w:rFonts w:cs="Arial"/>
          <w:szCs w:val="24"/>
        </w:rPr>
        <w:t xml:space="preserve">v. </w:t>
      </w:r>
      <w:r w:rsidRPr="00515A0B">
        <w:rPr>
          <w:rFonts w:cs="Arial"/>
          <w:i/>
          <w:iCs/>
          <w:szCs w:val="24"/>
        </w:rPr>
        <w:t>Central Vermont Railway Co.</w:t>
      </w:r>
      <w:r w:rsidR="00515A0B" w:rsidRPr="00515A0B">
        <w:rPr>
          <w:rStyle w:val="Appelnotedebasdep"/>
          <w:rFonts w:cs="Arial"/>
          <w:i/>
          <w:iCs/>
          <w:szCs w:val="24"/>
        </w:rPr>
        <w:footnoteReference w:id="14"/>
      </w:r>
      <w:r w:rsidR="00515A0B">
        <w:rPr>
          <w:rFonts w:cs="Arial"/>
          <w:i/>
          <w:iCs/>
          <w:szCs w:val="24"/>
        </w:rPr>
        <w:t xml:space="preserve"> </w:t>
      </w:r>
      <w:r w:rsidRPr="00515A0B">
        <w:rPr>
          <w:rFonts w:cs="Arial"/>
          <w:szCs w:val="24"/>
        </w:rPr>
        <w:t xml:space="preserve">The </w:t>
      </w:r>
      <w:r w:rsidRPr="00515A0B">
        <w:rPr>
          <w:rFonts w:cs="Arial"/>
          <w:szCs w:val="24"/>
        </w:rPr>
        <w:lastRenderedPageBreak/>
        <w:t xml:space="preserve">concurrent </w:t>
      </w:r>
      <w:r w:rsidR="00C562BC">
        <w:rPr>
          <w:rFonts w:cs="Arial"/>
          <w:szCs w:val="24"/>
        </w:rPr>
        <w:t>findings</w:t>
      </w:r>
      <w:bookmarkStart w:id="0" w:name="_GoBack"/>
      <w:bookmarkEnd w:id="0"/>
      <w:r w:rsidR="00D82FDC" w:rsidRPr="00515A0B">
        <w:rPr>
          <w:rFonts w:cs="Arial"/>
          <w:szCs w:val="24"/>
        </w:rPr>
        <w:t xml:space="preserve"> </w:t>
      </w:r>
      <w:r w:rsidRPr="00515A0B">
        <w:rPr>
          <w:rFonts w:cs="Arial"/>
          <w:szCs w:val="24"/>
        </w:rPr>
        <w:t xml:space="preserve">on questions of fact in the courts below </w:t>
      </w:r>
      <w:r w:rsidR="00D82FDC">
        <w:rPr>
          <w:rFonts w:cs="Arial"/>
          <w:szCs w:val="24"/>
        </w:rPr>
        <w:t xml:space="preserve">should </w:t>
      </w:r>
      <w:r w:rsidRPr="00515A0B">
        <w:rPr>
          <w:rFonts w:cs="Arial"/>
          <w:szCs w:val="24"/>
        </w:rPr>
        <w:t>not be interfered with upon appeal.</w:t>
      </w:r>
    </w:p>
    <w:p w:rsidR="004052C2" w:rsidRPr="00515A0B" w:rsidRDefault="004052C2" w:rsidP="00377CB9">
      <w:pPr>
        <w:pStyle w:val="History"/>
        <w:rPr>
          <w:rFonts w:cs="Arial"/>
          <w:szCs w:val="24"/>
        </w:rPr>
      </w:pPr>
      <w:r w:rsidRPr="00515A0B">
        <w:rPr>
          <w:rFonts w:cs="Arial"/>
          <w:szCs w:val="24"/>
        </w:rPr>
        <w:t xml:space="preserve">The second codicil was prepared by appellant, who takes a large benefit under its terms, under circumstances which raise the suspicion of the court; it ought not to be pronounced for unless the party propounding it adduces evidence which removes such suspicion and satisfies the court that the will was the voluntary act of the testator, and that he knew and approved the contents of the instrument. </w:t>
      </w:r>
      <w:proofErr w:type="spellStart"/>
      <w:r w:rsidRPr="00515A0B">
        <w:rPr>
          <w:rFonts w:cs="Arial"/>
          <w:i/>
          <w:iCs/>
          <w:szCs w:val="24"/>
        </w:rPr>
        <w:t>Tyrrell</w:t>
      </w:r>
      <w:proofErr w:type="spellEnd"/>
      <w:r w:rsidRPr="00515A0B">
        <w:rPr>
          <w:rFonts w:cs="Arial"/>
          <w:i/>
          <w:iCs/>
          <w:szCs w:val="24"/>
        </w:rPr>
        <w:t xml:space="preserve"> </w:t>
      </w:r>
      <w:r w:rsidRPr="00515A0B">
        <w:rPr>
          <w:rFonts w:cs="Arial"/>
          <w:szCs w:val="24"/>
        </w:rPr>
        <w:t xml:space="preserve">v. </w:t>
      </w:r>
      <w:proofErr w:type="spellStart"/>
      <w:r w:rsidRPr="00515A0B">
        <w:rPr>
          <w:rFonts w:cs="Arial"/>
          <w:i/>
          <w:iCs/>
          <w:szCs w:val="24"/>
        </w:rPr>
        <w:t>Painton</w:t>
      </w:r>
      <w:proofErr w:type="spellEnd"/>
      <w:r w:rsidR="00515A0B" w:rsidRPr="00515A0B">
        <w:rPr>
          <w:rStyle w:val="Appelnotedebasdep"/>
          <w:rFonts w:cs="Arial"/>
          <w:i/>
          <w:iCs/>
          <w:szCs w:val="24"/>
        </w:rPr>
        <w:footnoteReference w:id="15"/>
      </w:r>
      <w:r w:rsidRPr="00515A0B">
        <w:rPr>
          <w:rFonts w:cs="Arial"/>
          <w:szCs w:val="24"/>
        </w:rPr>
        <w:t xml:space="preserve">; </w:t>
      </w:r>
      <w:r w:rsidRPr="00515A0B">
        <w:rPr>
          <w:rFonts w:cs="Arial"/>
          <w:i/>
          <w:iCs/>
          <w:szCs w:val="24"/>
        </w:rPr>
        <w:t xml:space="preserve">Fulton </w:t>
      </w:r>
      <w:r w:rsidRPr="00515A0B">
        <w:rPr>
          <w:rFonts w:cs="Arial"/>
          <w:szCs w:val="24"/>
        </w:rPr>
        <w:t xml:space="preserve">v. </w:t>
      </w:r>
      <w:r w:rsidRPr="00515A0B">
        <w:rPr>
          <w:rFonts w:cs="Arial"/>
          <w:i/>
          <w:iCs/>
          <w:szCs w:val="24"/>
        </w:rPr>
        <w:t>Andrew</w:t>
      </w:r>
      <w:r w:rsidR="00515A0B" w:rsidRPr="00515A0B">
        <w:rPr>
          <w:rStyle w:val="Appelnotedebasdep"/>
          <w:rFonts w:cs="Arial"/>
          <w:i/>
          <w:iCs/>
          <w:szCs w:val="24"/>
        </w:rPr>
        <w:footnoteReference w:id="16"/>
      </w:r>
      <w:r w:rsidRPr="00515A0B">
        <w:rPr>
          <w:rFonts w:cs="Arial"/>
          <w:szCs w:val="24"/>
        </w:rPr>
        <w:t xml:space="preserve">; </w:t>
      </w:r>
      <w:r w:rsidRPr="00515A0B">
        <w:rPr>
          <w:rFonts w:cs="Arial"/>
          <w:i/>
          <w:iCs/>
          <w:szCs w:val="24"/>
        </w:rPr>
        <w:t xml:space="preserve">Barry </w:t>
      </w:r>
      <w:r w:rsidRPr="00515A0B">
        <w:rPr>
          <w:rFonts w:cs="Arial"/>
          <w:szCs w:val="24"/>
        </w:rPr>
        <w:t xml:space="preserve">v. </w:t>
      </w:r>
      <w:proofErr w:type="spellStart"/>
      <w:r w:rsidRPr="00515A0B">
        <w:rPr>
          <w:rFonts w:cs="Arial"/>
          <w:i/>
          <w:iCs/>
          <w:szCs w:val="24"/>
        </w:rPr>
        <w:t>Butlin</w:t>
      </w:r>
      <w:proofErr w:type="spellEnd"/>
      <w:r w:rsidR="00515A0B" w:rsidRPr="00515A0B">
        <w:rPr>
          <w:rStyle w:val="Appelnotedebasdep"/>
          <w:rFonts w:cs="Arial"/>
          <w:i/>
          <w:iCs/>
          <w:szCs w:val="24"/>
        </w:rPr>
        <w:footnoteReference w:id="17"/>
      </w:r>
      <w:r w:rsidRPr="00515A0B">
        <w:rPr>
          <w:rFonts w:cs="Arial"/>
          <w:szCs w:val="24"/>
        </w:rPr>
        <w:t xml:space="preserve">; </w:t>
      </w:r>
      <w:proofErr w:type="spellStart"/>
      <w:r w:rsidRPr="00515A0B">
        <w:rPr>
          <w:rFonts w:cs="Arial"/>
          <w:i/>
          <w:iCs/>
          <w:szCs w:val="24"/>
        </w:rPr>
        <w:t>Ashwell</w:t>
      </w:r>
      <w:proofErr w:type="spellEnd"/>
      <w:r w:rsidRPr="00515A0B">
        <w:rPr>
          <w:rFonts w:cs="Arial"/>
          <w:i/>
          <w:iCs/>
          <w:szCs w:val="24"/>
        </w:rPr>
        <w:t xml:space="preserve"> </w:t>
      </w:r>
      <w:r w:rsidRPr="00515A0B">
        <w:rPr>
          <w:rFonts w:cs="Arial"/>
          <w:szCs w:val="24"/>
        </w:rPr>
        <w:t xml:space="preserve">v. </w:t>
      </w:r>
      <w:proofErr w:type="spellStart"/>
      <w:r w:rsidRPr="00515A0B">
        <w:rPr>
          <w:rFonts w:cs="Arial"/>
          <w:i/>
          <w:iCs/>
          <w:szCs w:val="24"/>
        </w:rPr>
        <w:t>Lomi</w:t>
      </w:r>
      <w:proofErr w:type="spellEnd"/>
      <w:r w:rsidR="00515A0B" w:rsidRPr="00515A0B">
        <w:rPr>
          <w:rStyle w:val="Appelnotedebasdep"/>
          <w:rFonts w:cs="Arial"/>
          <w:i/>
          <w:iCs/>
          <w:szCs w:val="24"/>
        </w:rPr>
        <w:footnoteReference w:id="18"/>
      </w:r>
      <w:r w:rsidRPr="00515A0B">
        <w:rPr>
          <w:rFonts w:cs="Arial"/>
          <w:szCs w:val="24"/>
        </w:rPr>
        <w:t xml:space="preserve">; </w:t>
      </w:r>
      <w:r w:rsidRPr="00515A0B">
        <w:rPr>
          <w:rFonts w:cs="Arial"/>
          <w:i/>
          <w:iCs/>
          <w:szCs w:val="24"/>
        </w:rPr>
        <w:t xml:space="preserve">Baker </w:t>
      </w:r>
      <w:r w:rsidRPr="00515A0B">
        <w:rPr>
          <w:rFonts w:cs="Arial"/>
          <w:szCs w:val="24"/>
        </w:rPr>
        <w:t xml:space="preserve">v. </w:t>
      </w:r>
      <w:proofErr w:type="spellStart"/>
      <w:r w:rsidRPr="00515A0B">
        <w:rPr>
          <w:rFonts w:cs="Arial"/>
          <w:i/>
          <w:iCs/>
          <w:szCs w:val="24"/>
        </w:rPr>
        <w:t>Batt</w:t>
      </w:r>
      <w:proofErr w:type="spellEnd"/>
      <w:r w:rsidR="00515A0B" w:rsidRPr="00515A0B">
        <w:rPr>
          <w:rStyle w:val="Appelnotedebasdep"/>
          <w:rFonts w:cs="Arial"/>
          <w:i/>
          <w:iCs/>
          <w:szCs w:val="24"/>
        </w:rPr>
        <w:footnoteReference w:id="19"/>
      </w:r>
      <w:r w:rsidRPr="00515A0B">
        <w:rPr>
          <w:rFonts w:cs="Arial"/>
          <w:szCs w:val="24"/>
        </w:rPr>
        <w:t xml:space="preserve">; </w:t>
      </w:r>
      <w:r w:rsidRPr="00515A0B">
        <w:rPr>
          <w:rFonts w:cs="Arial"/>
          <w:i/>
          <w:iCs/>
          <w:szCs w:val="24"/>
        </w:rPr>
        <w:t xml:space="preserve">Parker </w:t>
      </w:r>
      <w:r w:rsidRPr="00515A0B">
        <w:rPr>
          <w:rFonts w:cs="Arial"/>
          <w:szCs w:val="24"/>
        </w:rPr>
        <w:t xml:space="preserve">v. </w:t>
      </w:r>
      <w:r w:rsidRPr="00515A0B">
        <w:rPr>
          <w:rFonts w:cs="Arial"/>
          <w:i/>
          <w:iCs/>
          <w:szCs w:val="24"/>
        </w:rPr>
        <w:t>Duncan</w:t>
      </w:r>
      <w:r w:rsidR="00515A0B" w:rsidRPr="00515A0B">
        <w:rPr>
          <w:rStyle w:val="Appelnotedebasdep"/>
          <w:rFonts w:cs="Arial"/>
          <w:i/>
          <w:iCs/>
          <w:szCs w:val="24"/>
        </w:rPr>
        <w:footnoteReference w:id="20"/>
      </w:r>
      <w:r w:rsidRPr="00515A0B">
        <w:rPr>
          <w:rFonts w:cs="Arial"/>
          <w:szCs w:val="24"/>
        </w:rPr>
        <w:t xml:space="preserve">; </w:t>
      </w:r>
      <w:r w:rsidRPr="00515A0B">
        <w:rPr>
          <w:rFonts w:cs="Arial"/>
          <w:i/>
          <w:iCs/>
          <w:szCs w:val="24"/>
        </w:rPr>
        <w:t xml:space="preserve">Brown </w:t>
      </w:r>
      <w:r w:rsidRPr="00515A0B">
        <w:rPr>
          <w:rFonts w:cs="Arial"/>
          <w:szCs w:val="24"/>
        </w:rPr>
        <w:t xml:space="preserve">v. </w:t>
      </w:r>
      <w:r w:rsidRPr="00515A0B">
        <w:rPr>
          <w:rFonts w:cs="Arial"/>
          <w:i/>
          <w:iCs/>
          <w:szCs w:val="24"/>
        </w:rPr>
        <w:t>Fisher</w:t>
      </w:r>
      <w:r w:rsidR="00515A0B" w:rsidRPr="00515A0B">
        <w:rPr>
          <w:rStyle w:val="Appelnotedebasdep"/>
          <w:rFonts w:cs="Arial"/>
          <w:i/>
          <w:iCs/>
          <w:szCs w:val="24"/>
        </w:rPr>
        <w:footnoteReference w:id="21"/>
      </w:r>
      <w:r w:rsidRPr="00515A0B">
        <w:rPr>
          <w:rFonts w:cs="Arial"/>
          <w:i/>
          <w:iCs/>
          <w:szCs w:val="24"/>
        </w:rPr>
        <w:t>;</w:t>
      </w:r>
      <w:r w:rsidRPr="00515A0B">
        <w:rPr>
          <w:rFonts w:cs="Arial"/>
          <w:szCs w:val="24"/>
        </w:rPr>
        <w:t xml:space="preserve"> </w:t>
      </w:r>
      <w:proofErr w:type="spellStart"/>
      <w:r w:rsidRPr="00515A0B">
        <w:rPr>
          <w:rFonts w:cs="Arial"/>
          <w:i/>
          <w:iCs/>
          <w:szCs w:val="24"/>
        </w:rPr>
        <w:t>Parfitt</w:t>
      </w:r>
      <w:proofErr w:type="spellEnd"/>
      <w:r w:rsidRPr="00515A0B">
        <w:rPr>
          <w:rFonts w:cs="Arial"/>
          <w:i/>
          <w:iCs/>
          <w:szCs w:val="24"/>
        </w:rPr>
        <w:t xml:space="preserve"> </w:t>
      </w:r>
      <w:r w:rsidRPr="00515A0B">
        <w:rPr>
          <w:rFonts w:cs="Arial"/>
          <w:szCs w:val="24"/>
        </w:rPr>
        <w:t xml:space="preserve">v. </w:t>
      </w:r>
      <w:r w:rsidRPr="00515A0B">
        <w:rPr>
          <w:rFonts w:cs="Arial"/>
          <w:i/>
          <w:iCs/>
          <w:szCs w:val="24"/>
        </w:rPr>
        <w:t>Lawless</w:t>
      </w:r>
      <w:r w:rsidR="00515A0B" w:rsidRPr="00515A0B">
        <w:rPr>
          <w:rStyle w:val="Appelnotedebasdep"/>
          <w:rFonts w:cs="Arial"/>
          <w:i/>
          <w:iCs/>
          <w:szCs w:val="24"/>
        </w:rPr>
        <w:footnoteReference w:id="22"/>
      </w:r>
      <w:r w:rsidRPr="00515A0B">
        <w:rPr>
          <w:rFonts w:cs="Arial"/>
          <w:szCs w:val="24"/>
        </w:rPr>
        <w:t>.</w:t>
      </w:r>
    </w:p>
    <w:p w:rsidR="004052C2" w:rsidRPr="00515A0B" w:rsidRDefault="004052C2" w:rsidP="00377CB9">
      <w:pPr>
        <w:pStyle w:val="History"/>
        <w:rPr>
          <w:rFonts w:cs="Arial"/>
          <w:szCs w:val="24"/>
        </w:rPr>
      </w:pPr>
      <w:r w:rsidRPr="00515A0B">
        <w:rPr>
          <w:rFonts w:cs="Arial"/>
          <w:szCs w:val="24"/>
        </w:rPr>
        <w:t>The learned counsel then dealt with the alleged suspicious circumstances attending the preparation and execution of the will and contended that they indicated both improper influence by the appellant and incapacity of the testator.</w:t>
      </w:r>
    </w:p>
    <w:p w:rsidR="004052C2" w:rsidRPr="00515A0B" w:rsidRDefault="004052C2" w:rsidP="00377CB9">
      <w:pPr>
        <w:pStyle w:val="History"/>
        <w:rPr>
          <w:rFonts w:cs="Arial"/>
          <w:szCs w:val="24"/>
        </w:rPr>
      </w:pPr>
      <w:r w:rsidRPr="00515A0B">
        <w:rPr>
          <w:rFonts w:cs="Arial"/>
          <w:szCs w:val="24"/>
        </w:rPr>
        <w:t>The appellant, by the codicil, practically raises her own annuity from the $800 a year provided in the former codicil to $S</w:t>
      </w:r>
      <w:proofErr w:type="gramStart"/>
      <w:r w:rsidRPr="00515A0B">
        <w:rPr>
          <w:rFonts w:cs="Arial"/>
          <w:szCs w:val="24"/>
        </w:rPr>
        <w:t>,250</w:t>
      </w:r>
      <w:proofErr w:type="gramEnd"/>
      <w:r w:rsidRPr="00515A0B">
        <w:rPr>
          <w:rFonts w:cs="Arial"/>
          <w:szCs w:val="24"/>
        </w:rPr>
        <w:t xml:space="preserve"> a year at no remote date, as by the death of any one of the three annuitants (both the others being advanced in years), the provisions for</w:t>
      </w:r>
    </w:p>
    <w:p w:rsidR="004052C2" w:rsidRPr="00515A0B" w:rsidRDefault="00584566" w:rsidP="00584566">
      <w:pPr>
        <w:pStyle w:val="Page"/>
      </w:pPr>
      <w:r>
        <w:rPr>
          <w:rFonts w:cs="Arial"/>
          <w:szCs w:val="24"/>
        </w:rPr>
        <w:t xml:space="preserve">[Page </w:t>
      </w:r>
      <w:r w:rsidR="004052C2" w:rsidRPr="00515A0B">
        <w:rPr>
          <w:rFonts w:cs="Arial"/>
          <w:szCs w:val="24"/>
        </w:rPr>
        <w:t>390]</w:t>
      </w:r>
    </w:p>
    <w:p w:rsidR="004052C2" w:rsidRPr="00515A0B" w:rsidRDefault="004052C2" w:rsidP="00377CB9">
      <w:pPr>
        <w:pStyle w:val="History"/>
        <w:ind w:firstLine="0"/>
        <w:rPr>
          <w:rFonts w:cs="Arial"/>
          <w:szCs w:val="24"/>
        </w:rPr>
      </w:pPr>
      <w:proofErr w:type="gramStart"/>
      <w:r w:rsidRPr="00515A0B">
        <w:rPr>
          <w:rFonts w:cs="Arial"/>
          <w:szCs w:val="24"/>
        </w:rPr>
        <w:t>the</w:t>
      </w:r>
      <w:proofErr w:type="gramEnd"/>
      <w:r w:rsidRPr="00515A0B">
        <w:rPr>
          <w:rFonts w:cs="Arial"/>
          <w:szCs w:val="24"/>
        </w:rPr>
        <w:t xml:space="preserve"> annuitant who dies accrue to the survivors and the whole amount provided for the three annu</w:t>
      </w:r>
      <w:r w:rsidR="00377CB9" w:rsidRPr="00515A0B">
        <w:rPr>
          <w:rFonts w:cs="Arial"/>
          <w:szCs w:val="24"/>
        </w:rPr>
        <w:t>i</w:t>
      </w:r>
      <w:r w:rsidRPr="00515A0B">
        <w:rPr>
          <w:rFonts w:cs="Arial"/>
          <w:szCs w:val="24"/>
        </w:rPr>
        <w:t xml:space="preserve">ties goes to the last survivor during life. The trial judge discredited the appellant and disbelieved her story; and was fully justified in doing so, not only by her demeanour but in the matter of her testimony; and her statements are improbable, inconsistent, contradicted and uncorroborated. As a large </w:t>
      </w:r>
      <w:proofErr w:type="spellStart"/>
      <w:r w:rsidRPr="00515A0B">
        <w:rPr>
          <w:rFonts w:cs="Arial"/>
          <w:szCs w:val="24"/>
        </w:rPr>
        <w:t>benificiary</w:t>
      </w:r>
      <w:proofErr w:type="spellEnd"/>
      <w:r w:rsidRPr="00515A0B">
        <w:rPr>
          <w:rFonts w:cs="Arial"/>
          <w:szCs w:val="24"/>
        </w:rPr>
        <w:t>, who procured the codicil in her favour, she was bound to see that the testator received proper and independent advice, and the testimony in support of the codicil should not be that of herself alone, but independent and impartial.</w:t>
      </w:r>
    </w:p>
    <w:p w:rsidR="004052C2" w:rsidRPr="00515A0B" w:rsidRDefault="004052C2" w:rsidP="00377CB9">
      <w:pPr>
        <w:pStyle w:val="Reasons"/>
      </w:pPr>
      <w:r w:rsidRPr="00515A0B">
        <w:t>The judgment of the majority of the court was delivered by:</w:t>
      </w:r>
    </w:p>
    <w:p w:rsidR="004052C2" w:rsidRPr="00515A0B" w:rsidRDefault="00377CB9" w:rsidP="00377CB9">
      <w:pPr>
        <w:pStyle w:val="Reasons"/>
        <w:rPr>
          <w:rFonts w:cs="Arial"/>
          <w:szCs w:val="24"/>
        </w:rPr>
      </w:pPr>
      <w:r w:rsidRPr="00515A0B">
        <w:t>GWYNNE</w:t>
      </w:r>
      <w:r w:rsidRPr="00515A0B">
        <w:rPr>
          <w:rFonts w:cs="Arial"/>
          <w:szCs w:val="24"/>
        </w:rPr>
        <w:t xml:space="preserve"> </w:t>
      </w:r>
      <w:r w:rsidR="004052C2" w:rsidRPr="00515A0B">
        <w:rPr>
          <w:rFonts w:cs="Arial"/>
          <w:szCs w:val="24"/>
        </w:rPr>
        <w:t xml:space="preserve">J.—In </w:t>
      </w:r>
      <w:r w:rsidR="004052C2" w:rsidRPr="00515A0B">
        <w:rPr>
          <w:rFonts w:cs="Arial"/>
          <w:i/>
          <w:iCs/>
          <w:szCs w:val="24"/>
        </w:rPr>
        <w:t xml:space="preserve">Adams </w:t>
      </w:r>
      <w:r w:rsidR="004052C2" w:rsidRPr="00515A0B">
        <w:rPr>
          <w:rFonts w:cs="Arial"/>
          <w:szCs w:val="24"/>
        </w:rPr>
        <w:t xml:space="preserve">v. </w:t>
      </w:r>
      <w:proofErr w:type="spellStart"/>
      <w:r w:rsidR="004052C2" w:rsidRPr="00515A0B">
        <w:rPr>
          <w:rFonts w:cs="Arial"/>
          <w:i/>
          <w:iCs/>
          <w:szCs w:val="24"/>
        </w:rPr>
        <w:t>McBeath</w:t>
      </w:r>
      <w:proofErr w:type="spellEnd"/>
      <w:r w:rsidR="00515A0B" w:rsidRPr="00515A0B">
        <w:rPr>
          <w:rStyle w:val="Appelnotedebasdep"/>
          <w:rFonts w:cs="Arial"/>
          <w:i/>
          <w:iCs/>
          <w:szCs w:val="24"/>
        </w:rPr>
        <w:footnoteReference w:id="23"/>
      </w:r>
      <w:r w:rsidR="004052C2" w:rsidRPr="00515A0B">
        <w:rPr>
          <w:rFonts w:cs="Arial"/>
          <w:szCs w:val="24"/>
        </w:rPr>
        <w:t xml:space="preserve"> I was unable to concur in the judgment of this court affirming a will executed under the </w:t>
      </w:r>
      <w:proofErr w:type="spellStart"/>
      <w:r w:rsidR="004052C2" w:rsidRPr="00515A0B">
        <w:rPr>
          <w:rFonts w:cs="Arial"/>
          <w:szCs w:val="24"/>
          <w:lang w:val="es-ES_tradnl"/>
        </w:rPr>
        <w:t>circumstances</w:t>
      </w:r>
      <w:proofErr w:type="spellEnd"/>
      <w:r w:rsidR="004052C2" w:rsidRPr="00515A0B">
        <w:rPr>
          <w:rFonts w:cs="Arial"/>
          <w:szCs w:val="24"/>
        </w:rPr>
        <w:t xml:space="preserve"> appearing in that case, for the reason that in my opinion the case came within the principle laid down by the House of </w:t>
      </w:r>
      <w:r w:rsidR="004052C2" w:rsidRPr="00515A0B">
        <w:rPr>
          <w:rFonts w:cs="Arial"/>
          <w:szCs w:val="24"/>
        </w:rPr>
        <w:lastRenderedPageBreak/>
        <w:t xml:space="preserve">Lords in </w:t>
      </w:r>
      <w:r w:rsidR="004052C2" w:rsidRPr="00515A0B">
        <w:rPr>
          <w:rFonts w:cs="Arial"/>
          <w:i/>
          <w:iCs/>
          <w:szCs w:val="24"/>
        </w:rPr>
        <w:t>Fulton v. Andrew</w:t>
      </w:r>
      <w:r w:rsidR="00515A0B" w:rsidRPr="00515A0B">
        <w:rPr>
          <w:rStyle w:val="Appelnotedebasdep"/>
          <w:rFonts w:cs="Arial"/>
          <w:i/>
          <w:iCs/>
          <w:szCs w:val="24"/>
        </w:rPr>
        <w:footnoteReference w:id="24"/>
      </w:r>
      <w:r w:rsidR="004052C2" w:rsidRPr="00515A0B">
        <w:rPr>
          <w:rFonts w:cs="Arial"/>
          <w:szCs w:val="24"/>
        </w:rPr>
        <w:t xml:space="preserve">; by the Privy Council in </w:t>
      </w:r>
      <w:r w:rsidR="004052C2" w:rsidRPr="00515A0B">
        <w:rPr>
          <w:rFonts w:cs="Arial"/>
          <w:i/>
          <w:iCs/>
          <w:szCs w:val="24"/>
        </w:rPr>
        <w:t xml:space="preserve">Baker </w:t>
      </w:r>
      <w:r w:rsidR="004052C2" w:rsidRPr="00515A0B">
        <w:rPr>
          <w:rFonts w:cs="Arial"/>
          <w:szCs w:val="24"/>
        </w:rPr>
        <w:t xml:space="preserve">v. </w:t>
      </w:r>
      <w:r w:rsidR="004052C2" w:rsidRPr="00515A0B">
        <w:rPr>
          <w:rFonts w:cs="Arial"/>
          <w:i/>
          <w:iCs/>
          <w:szCs w:val="24"/>
        </w:rPr>
        <w:t>Bait</w:t>
      </w:r>
      <w:r w:rsidR="00515A0B" w:rsidRPr="00515A0B">
        <w:rPr>
          <w:rStyle w:val="Appelnotedebasdep"/>
          <w:rFonts w:cs="Arial"/>
          <w:i/>
          <w:iCs/>
          <w:szCs w:val="24"/>
        </w:rPr>
        <w:footnoteReference w:id="25"/>
      </w:r>
      <w:r w:rsidR="004052C2" w:rsidRPr="00515A0B">
        <w:rPr>
          <w:rFonts w:cs="Arial"/>
          <w:szCs w:val="24"/>
        </w:rPr>
        <w:t xml:space="preserve">; and </w:t>
      </w:r>
      <w:r w:rsidR="004052C2" w:rsidRPr="00515A0B">
        <w:rPr>
          <w:rFonts w:cs="Arial"/>
          <w:i/>
          <w:iCs/>
          <w:szCs w:val="24"/>
        </w:rPr>
        <w:t xml:space="preserve">Barry </w:t>
      </w:r>
      <w:r w:rsidR="004052C2" w:rsidRPr="00515A0B">
        <w:rPr>
          <w:rFonts w:cs="Arial"/>
          <w:szCs w:val="24"/>
        </w:rPr>
        <w:t xml:space="preserve">v. </w:t>
      </w:r>
      <w:proofErr w:type="spellStart"/>
      <w:r w:rsidR="004052C2" w:rsidRPr="00515A0B">
        <w:rPr>
          <w:rFonts w:cs="Arial"/>
          <w:i/>
          <w:iCs/>
          <w:szCs w:val="24"/>
        </w:rPr>
        <w:t>Bu</w:t>
      </w:r>
      <w:r w:rsidR="00D82FDC">
        <w:rPr>
          <w:rFonts w:cs="Arial"/>
          <w:i/>
          <w:iCs/>
          <w:szCs w:val="24"/>
        </w:rPr>
        <w:t>t</w:t>
      </w:r>
      <w:r w:rsidR="004052C2" w:rsidRPr="00515A0B">
        <w:rPr>
          <w:rFonts w:cs="Arial"/>
          <w:i/>
          <w:iCs/>
          <w:szCs w:val="24"/>
        </w:rPr>
        <w:t>lin</w:t>
      </w:r>
      <w:proofErr w:type="spellEnd"/>
      <w:r w:rsidR="00515A0B" w:rsidRPr="00515A0B">
        <w:rPr>
          <w:rStyle w:val="Appelnotedebasdep"/>
          <w:rFonts w:cs="Arial"/>
          <w:i/>
          <w:iCs/>
          <w:szCs w:val="24"/>
        </w:rPr>
        <w:footnoteReference w:id="26"/>
      </w:r>
      <w:r w:rsidR="004052C2" w:rsidRPr="00515A0B">
        <w:rPr>
          <w:rFonts w:cs="Arial"/>
          <w:szCs w:val="24"/>
        </w:rPr>
        <w:t xml:space="preserve">; by Sir John </w:t>
      </w:r>
      <w:proofErr w:type="spellStart"/>
      <w:r w:rsidR="004052C2" w:rsidRPr="00515A0B">
        <w:rPr>
          <w:rFonts w:cs="Arial"/>
          <w:szCs w:val="24"/>
        </w:rPr>
        <w:t>Nicholl</w:t>
      </w:r>
      <w:proofErr w:type="spellEnd"/>
      <w:r w:rsidR="004052C2" w:rsidRPr="00515A0B">
        <w:rPr>
          <w:rFonts w:cs="Arial"/>
          <w:szCs w:val="24"/>
        </w:rPr>
        <w:t xml:space="preserve"> in </w:t>
      </w:r>
      <w:proofErr w:type="spellStart"/>
      <w:r w:rsidR="004052C2" w:rsidRPr="00515A0B">
        <w:rPr>
          <w:rFonts w:cs="Arial"/>
          <w:i/>
          <w:iCs/>
          <w:szCs w:val="24"/>
        </w:rPr>
        <w:t>Paske</w:t>
      </w:r>
      <w:proofErr w:type="spellEnd"/>
      <w:r w:rsidR="004052C2" w:rsidRPr="00515A0B">
        <w:rPr>
          <w:rFonts w:cs="Arial"/>
          <w:i/>
          <w:iCs/>
          <w:szCs w:val="24"/>
        </w:rPr>
        <w:t xml:space="preserve"> </w:t>
      </w:r>
      <w:r w:rsidR="004052C2" w:rsidRPr="00515A0B">
        <w:rPr>
          <w:rFonts w:cs="Arial"/>
          <w:szCs w:val="24"/>
        </w:rPr>
        <w:t xml:space="preserve">v. </w:t>
      </w:r>
      <w:proofErr w:type="spellStart"/>
      <w:r w:rsidR="004052C2" w:rsidRPr="00515A0B">
        <w:rPr>
          <w:rFonts w:cs="Arial"/>
          <w:i/>
          <w:iCs/>
          <w:szCs w:val="24"/>
        </w:rPr>
        <w:t>Ollat</w:t>
      </w:r>
      <w:proofErr w:type="spellEnd"/>
      <w:r w:rsidR="00515A0B" w:rsidRPr="00515A0B">
        <w:rPr>
          <w:rStyle w:val="Appelnotedebasdep"/>
          <w:rFonts w:cs="Arial"/>
          <w:i/>
          <w:iCs/>
          <w:szCs w:val="24"/>
        </w:rPr>
        <w:footnoteReference w:id="27"/>
      </w:r>
      <w:r w:rsidR="004052C2" w:rsidRPr="00515A0B">
        <w:rPr>
          <w:rFonts w:cs="Arial"/>
          <w:szCs w:val="24"/>
        </w:rPr>
        <w:t xml:space="preserve">; </w:t>
      </w:r>
      <w:proofErr w:type="spellStart"/>
      <w:r w:rsidR="004052C2" w:rsidRPr="00515A0B">
        <w:rPr>
          <w:rFonts w:cs="Arial"/>
          <w:i/>
          <w:iCs/>
          <w:szCs w:val="24"/>
        </w:rPr>
        <w:t>Billinghurst</w:t>
      </w:r>
      <w:proofErr w:type="spellEnd"/>
      <w:r w:rsidR="004052C2" w:rsidRPr="00515A0B">
        <w:rPr>
          <w:rFonts w:cs="Arial"/>
          <w:i/>
          <w:iCs/>
          <w:szCs w:val="24"/>
        </w:rPr>
        <w:t xml:space="preserve"> </w:t>
      </w:r>
      <w:r w:rsidR="004052C2" w:rsidRPr="00515A0B">
        <w:rPr>
          <w:rFonts w:cs="Arial"/>
          <w:szCs w:val="24"/>
        </w:rPr>
        <w:t xml:space="preserve">v. </w:t>
      </w:r>
      <w:r w:rsidR="004052C2" w:rsidRPr="00515A0B">
        <w:rPr>
          <w:rFonts w:cs="Arial"/>
          <w:i/>
          <w:iCs/>
          <w:szCs w:val="24"/>
        </w:rPr>
        <w:t>Vickers</w:t>
      </w:r>
      <w:r w:rsidR="00515A0B" w:rsidRPr="00515A0B">
        <w:rPr>
          <w:rStyle w:val="Appelnotedebasdep"/>
          <w:rFonts w:cs="Arial"/>
          <w:i/>
          <w:iCs/>
          <w:szCs w:val="24"/>
        </w:rPr>
        <w:footnoteReference w:id="28"/>
      </w:r>
      <w:r w:rsidR="004052C2" w:rsidRPr="00515A0B">
        <w:rPr>
          <w:rFonts w:cs="Arial"/>
          <w:szCs w:val="24"/>
        </w:rPr>
        <w:t xml:space="preserve">; </w:t>
      </w:r>
      <w:r w:rsidR="004052C2" w:rsidRPr="00515A0B">
        <w:rPr>
          <w:rFonts w:cs="Arial"/>
          <w:i/>
          <w:iCs/>
          <w:szCs w:val="24"/>
        </w:rPr>
        <w:t xml:space="preserve">Ingram </w:t>
      </w:r>
      <w:r w:rsidR="004052C2" w:rsidRPr="00515A0B">
        <w:rPr>
          <w:rFonts w:cs="Arial"/>
          <w:szCs w:val="24"/>
        </w:rPr>
        <w:t xml:space="preserve">v. </w:t>
      </w:r>
      <w:r w:rsidR="004052C2" w:rsidRPr="00515A0B">
        <w:rPr>
          <w:rFonts w:cs="Arial"/>
          <w:i/>
          <w:iCs/>
          <w:szCs w:val="24"/>
        </w:rPr>
        <w:t>Wyatt</w:t>
      </w:r>
      <w:r w:rsidR="00515A0B" w:rsidRPr="00515A0B">
        <w:rPr>
          <w:rStyle w:val="Appelnotedebasdep"/>
          <w:rFonts w:cs="Arial"/>
          <w:i/>
          <w:iCs/>
          <w:szCs w:val="24"/>
        </w:rPr>
        <w:footnoteReference w:id="29"/>
      </w:r>
      <w:r w:rsidR="004052C2" w:rsidRPr="00515A0B">
        <w:rPr>
          <w:rFonts w:cs="Arial"/>
          <w:szCs w:val="24"/>
        </w:rPr>
        <w:t xml:space="preserve">; and by Sir John </w:t>
      </w:r>
      <w:proofErr w:type="spellStart"/>
      <w:r w:rsidR="004052C2" w:rsidRPr="00515A0B">
        <w:rPr>
          <w:rFonts w:cs="Arial"/>
          <w:szCs w:val="24"/>
        </w:rPr>
        <w:t>Hannen</w:t>
      </w:r>
      <w:proofErr w:type="spellEnd"/>
      <w:r w:rsidR="004052C2" w:rsidRPr="00515A0B">
        <w:rPr>
          <w:rFonts w:cs="Arial"/>
          <w:szCs w:val="24"/>
        </w:rPr>
        <w:t xml:space="preserve"> in </w:t>
      </w:r>
      <w:r w:rsidR="004052C2" w:rsidRPr="00515A0B">
        <w:rPr>
          <w:rFonts w:cs="Arial"/>
          <w:i/>
          <w:iCs/>
          <w:szCs w:val="24"/>
        </w:rPr>
        <w:t xml:space="preserve">Parker </w:t>
      </w:r>
      <w:r w:rsidR="004052C2" w:rsidRPr="00515A0B">
        <w:rPr>
          <w:rFonts w:cs="Arial"/>
          <w:szCs w:val="24"/>
        </w:rPr>
        <w:t xml:space="preserve">v. </w:t>
      </w:r>
      <w:r w:rsidR="004052C2" w:rsidRPr="00515A0B">
        <w:rPr>
          <w:rFonts w:cs="Arial"/>
          <w:i/>
          <w:iCs/>
          <w:szCs w:val="24"/>
        </w:rPr>
        <w:t>Duncan</w:t>
      </w:r>
      <w:r w:rsidR="00515A0B" w:rsidRPr="00515A0B">
        <w:rPr>
          <w:rStyle w:val="Appelnotedebasdep"/>
          <w:rFonts w:cs="Arial"/>
          <w:i/>
          <w:iCs/>
          <w:szCs w:val="24"/>
        </w:rPr>
        <w:footnoteReference w:id="30"/>
      </w:r>
      <w:r w:rsidR="004052C2" w:rsidRPr="00515A0B">
        <w:rPr>
          <w:rFonts w:cs="Arial"/>
          <w:szCs w:val="24"/>
        </w:rPr>
        <w:t xml:space="preserve">; and </w:t>
      </w:r>
      <w:proofErr w:type="spellStart"/>
      <w:r w:rsidR="004052C2" w:rsidRPr="00515A0B">
        <w:rPr>
          <w:rFonts w:cs="Arial"/>
          <w:i/>
          <w:iCs/>
          <w:szCs w:val="24"/>
        </w:rPr>
        <w:t>Broupn</w:t>
      </w:r>
      <w:proofErr w:type="spellEnd"/>
      <w:r w:rsidR="004052C2" w:rsidRPr="00515A0B">
        <w:rPr>
          <w:rFonts w:cs="Arial"/>
          <w:i/>
          <w:iCs/>
          <w:szCs w:val="24"/>
        </w:rPr>
        <w:t xml:space="preserve"> </w:t>
      </w:r>
      <w:r w:rsidR="004052C2" w:rsidRPr="00515A0B">
        <w:rPr>
          <w:rFonts w:cs="Arial"/>
          <w:szCs w:val="24"/>
        </w:rPr>
        <w:t xml:space="preserve">v. </w:t>
      </w:r>
      <w:r w:rsidR="004052C2" w:rsidRPr="00515A0B">
        <w:rPr>
          <w:rFonts w:cs="Arial"/>
          <w:i/>
          <w:iCs/>
          <w:szCs w:val="24"/>
        </w:rPr>
        <w:t>Fisher</w:t>
      </w:r>
      <w:r w:rsidR="00515A0B" w:rsidRPr="00515A0B">
        <w:rPr>
          <w:rStyle w:val="Appelnotedebasdep"/>
          <w:rFonts w:cs="Arial"/>
          <w:i/>
          <w:iCs/>
          <w:szCs w:val="24"/>
        </w:rPr>
        <w:footnoteReference w:id="31"/>
      </w:r>
      <w:r w:rsidR="004052C2" w:rsidRPr="00515A0B">
        <w:rPr>
          <w:rFonts w:cs="Arial"/>
          <w:szCs w:val="24"/>
        </w:rPr>
        <w:t>; and because I was of opinion that the person who had caused the will in question in that case to be prepared and executed giving all the property of the deceased to himself, had not removed the burthen imposed upon him by the principle laid down in those cases.</w:t>
      </w:r>
    </w:p>
    <w:p w:rsidR="004052C2" w:rsidRPr="00515A0B" w:rsidRDefault="004052C2" w:rsidP="00377CB9">
      <w:pPr>
        <w:pStyle w:val="Reasons"/>
        <w:rPr>
          <w:rFonts w:cs="Arial"/>
          <w:szCs w:val="24"/>
        </w:rPr>
      </w:pPr>
      <w:r w:rsidRPr="00515A0B">
        <w:rPr>
          <w:rFonts w:cs="Arial"/>
          <w:szCs w:val="24"/>
        </w:rPr>
        <w:t>In the present case I can see nothing in the evidence which brings it within the principle laid down in the above cases; nothing whatever justifying the</w:t>
      </w:r>
    </w:p>
    <w:p w:rsidR="004052C2" w:rsidRPr="00515A0B" w:rsidRDefault="00584566" w:rsidP="00584566">
      <w:pPr>
        <w:pStyle w:val="Page"/>
      </w:pPr>
      <w:r>
        <w:rPr>
          <w:rFonts w:cs="Arial"/>
          <w:szCs w:val="24"/>
        </w:rPr>
        <w:t xml:space="preserve">[Page </w:t>
      </w:r>
      <w:r w:rsidR="004052C2" w:rsidRPr="00515A0B">
        <w:rPr>
          <w:rFonts w:cs="Arial"/>
          <w:szCs w:val="24"/>
        </w:rPr>
        <w:t>391]</w:t>
      </w:r>
    </w:p>
    <w:p w:rsidR="004052C2" w:rsidRPr="00515A0B" w:rsidRDefault="004052C2" w:rsidP="00377CB9">
      <w:pPr>
        <w:pStyle w:val="Reasons"/>
        <w:rPr>
          <w:rFonts w:cs="Arial"/>
          <w:szCs w:val="24"/>
        </w:rPr>
      </w:pPr>
      <w:proofErr w:type="gramStart"/>
      <w:r w:rsidRPr="00515A0B">
        <w:rPr>
          <w:rFonts w:cs="Arial"/>
          <w:szCs w:val="24"/>
        </w:rPr>
        <w:t>impeachment</w:t>
      </w:r>
      <w:proofErr w:type="gramEnd"/>
      <w:r w:rsidRPr="00515A0B">
        <w:rPr>
          <w:rFonts w:cs="Arial"/>
          <w:szCs w:val="24"/>
        </w:rPr>
        <w:t xml:space="preserve"> of any conduct of the appellant in connection with the testator's making the codicil in question, as constituting undue influence.</w:t>
      </w:r>
    </w:p>
    <w:p w:rsidR="004052C2" w:rsidRPr="00515A0B" w:rsidRDefault="004052C2" w:rsidP="00377CB9">
      <w:pPr>
        <w:pStyle w:val="Reasons"/>
        <w:rPr>
          <w:rFonts w:cs="Arial"/>
          <w:szCs w:val="24"/>
        </w:rPr>
      </w:pPr>
      <w:r w:rsidRPr="00515A0B">
        <w:rPr>
          <w:rFonts w:cs="Arial"/>
          <w:szCs w:val="24"/>
        </w:rPr>
        <w:t xml:space="preserve">It is quite possible, although no evidence of the fact was offered, that as a niece of the testator's deceased wife who had lived with her uncle the testator for many years, and in the latter years of his life as his housekeeper, the appellant may have persuaded the testator that he should make some better provision for her than was contained in his will as then already made, but such persuasion if established could not be characterised as undue influence. There is in my opinion no evidence of the codicil which is impeached having been procured to be executed by any undue influence whatever exercised by her. The evidence abundantly establishes the competency of the testator and that a day or two before he caused the codicil to be prepared he communicated to an intimate friend his intention to alter his will, whereupon that friend advised him to consult a solicitor, which it appears that he did, and the codicil was prepared by a professional gentleman of the highest reputation, upon instructions given both in writing under the testator's hand and also orally; and the codicil so prepared the testator copied in his </w:t>
      </w:r>
      <w:r w:rsidRPr="00515A0B">
        <w:rPr>
          <w:rFonts w:cs="Arial"/>
          <w:szCs w:val="24"/>
        </w:rPr>
        <w:lastRenderedPageBreak/>
        <w:t xml:space="preserve">own handwriting and executed. The recent case of </w:t>
      </w:r>
      <w:proofErr w:type="spellStart"/>
      <w:r w:rsidRPr="00515A0B">
        <w:rPr>
          <w:rFonts w:cs="Arial"/>
          <w:i/>
          <w:iCs/>
          <w:szCs w:val="24"/>
        </w:rPr>
        <w:t>Perera</w:t>
      </w:r>
      <w:proofErr w:type="spellEnd"/>
      <w:r w:rsidRPr="00515A0B">
        <w:rPr>
          <w:rFonts w:cs="Arial"/>
          <w:i/>
          <w:iCs/>
          <w:szCs w:val="24"/>
        </w:rPr>
        <w:t xml:space="preserve"> </w:t>
      </w:r>
      <w:r w:rsidRPr="00515A0B">
        <w:rPr>
          <w:rFonts w:cs="Arial"/>
          <w:szCs w:val="24"/>
        </w:rPr>
        <w:t xml:space="preserve">v. </w:t>
      </w:r>
      <w:proofErr w:type="spellStart"/>
      <w:r w:rsidRPr="00515A0B">
        <w:rPr>
          <w:rFonts w:cs="Arial"/>
          <w:i/>
          <w:iCs/>
          <w:szCs w:val="24"/>
        </w:rPr>
        <w:t>Perera</w:t>
      </w:r>
      <w:proofErr w:type="spellEnd"/>
      <w:r w:rsidR="00515A0B" w:rsidRPr="00515A0B">
        <w:rPr>
          <w:rStyle w:val="Appelnotedebasdep"/>
          <w:rFonts w:cs="Arial"/>
          <w:i/>
          <w:iCs/>
          <w:szCs w:val="24"/>
        </w:rPr>
        <w:footnoteReference w:id="32"/>
      </w:r>
      <w:r w:rsidRPr="00515A0B">
        <w:rPr>
          <w:rFonts w:cs="Arial"/>
          <w:szCs w:val="24"/>
        </w:rPr>
        <w:t xml:space="preserve">, in approving </w:t>
      </w:r>
      <w:r w:rsidRPr="00515A0B">
        <w:rPr>
          <w:rFonts w:cs="Arial"/>
          <w:i/>
          <w:iCs/>
          <w:szCs w:val="24"/>
        </w:rPr>
        <w:t xml:space="preserve">Parker </w:t>
      </w:r>
      <w:r w:rsidRPr="00515A0B">
        <w:rPr>
          <w:rFonts w:cs="Arial"/>
          <w:szCs w:val="24"/>
        </w:rPr>
        <w:t xml:space="preserve">v. </w:t>
      </w:r>
      <w:proofErr w:type="spellStart"/>
      <w:r w:rsidRPr="00515A0B">
        <w:rPr>
          <w:rFonts w:cs="Arial"/>
          <w:i/>
          <w:iCs/>
          <w:szCs w:val="24"/>
        </w:rPr>
        <w:t>Felgate</w:t>
      </w:r>
      <w:proofErr w:type="spellEnd"/>
      <w:r w:rsidR="00515A0B" w:rsidRPr="00515A0B">
        <w:rPr>
          <w:rStyle w:val="Appelnotedebasdep"/>
          <w:rFonts w:cs="Arial"/>
          <w:i/>
          <w:iCs/>
          <w:szCs w:val="24"/>
        </w:rPr>
        <w:footnoteReference w:id="33"/>
      </w:r>
      <w:r w:rsidRPr="00515A0B">
        <w:rPr>
          <w:rFonts w:cs="Arial"/>
          <w:szCs w:val="24"/>
        </w:rPr>
        <w:t>, is an instructive case which would have supported this will even if there had been any foundation for a suggestion that the testator had not sufficient mental capacity to make a will. The appeal should, in my opinion, be allowed with costs and probate be ordered to be granted of the will and codicils.</w:t>
      </w:r>
    </w:p>
    <w:p w:rsidR="004052C2" w:rsidRPr="00515A0B" w:rsidRDefault="00377CB9" w:rsidP="00377CB9">
      <w:pPr>
        <w:pStyle w:val="Reasons"/>
        <w:rPr>
          <w:rFonts w:cs="Arial"/>
          <w:szCs w:val="24"/>
        </w:rPr>
      </w:pPr>
      <w:proofErr w:type="gramStart"/>
      <w:r w:rsidRPr="00515A0B">
        <w:rPr>
          <w:rFonts w:cs="Arial"/>
          <w:szCs w:val="24"/>
        </w:rPr>
        <w:t xml:space="preserve">TASCHEREAU </w:t>
      </w:r>
      <w:r w:rsidR="004052C2" w:rsidRPr="00515A0B">
        <w:rPr>
          <w:rFonts w:cs="Arial"/>
          <w:szCs w:val="24"/>
        </w:rPr>
        <w:t xml:space="preserve">and </w:t>
      </w:r>
      <w:r w:rsidRPr="00515A0B">
        <w:rPr>
          <w:rFonts w:cs="Arial"/>
          <w:szCs w:val="24"/>
        </w:rPr>
        <w:t>SEDGEWICK</w:t>
      </w:r>
      <w:r w:rsidRPr="00515A0B">
        <w:rPr>
          <w:rFonts w:cs="Arial"/>
          <w:smallCaps/>
          <w:szCs w:val="24"/>
        </w:rPr>
        <w:t xml:space="preserve"> </w:t>
      </w:r>
      <w:r w:rsidR="004052C2" w:rsidRPr="00515A0B">
        <w:rPr>
          <w:rFonts w:cs="Arial"/>
          <w:szCs w:val="24"/>
        </w:rPr>
        <w:t>JJ.</w:t>
      </w:r>
      <w:proofErr w:type="gramEnd"/>
      <w:r w:rsidR="004052C2" w:rsidRPr="00515A0B">
        <w:rPr>
          <w:rFonts w:cs="Arial"/>
          <w:szCs w:val="24"/>
        </w:rPr>
        <w:t xml:space="preserve"> </w:t>
      </w:r>
      <w:proofErr w:type="gramStart"/>
      <w:r w:rsidR="004052C2" w:rsidRPr="00515A0B">
        <w:rPr>
          <w:rFonts w:cs="Arial"/>
          <w:szCs w:val="24"/>
        </w:rPr>
        <w:t>were</w:t>
      </w:r>
      <w:proofErr w:type="gramEnd"/>
      <w:r w:rsidR="004052C2" w:rsidRPr="00515A0B">
        <w:rPr>
          <w:rFonts w:cs="Arial"/>
          <w:szCs w:val="24"/>
        </w:rPr>
        <w:t xml:space="preserve"> of opinion that the appeal should be dismissed.</w:t>
      </w:r>
    </w:p>
    <w:p w:rsidR="004052C2" w:rsidRPr="00515A0B" w:rsidRDefault="004052C2" w:rsidP="00377CB9">
      <w:pPr>
        <w:pStyle w:val="Reasons"/>
      </w:pPr>
      <w:r w:rsidRPr="00515A0B">
        <w:t>Appeal allowed with costs.</w:t>
      </w:r>
    </w:p>
    <w:p w:rsidR="004052C2" w:rsidRPr="00515A0B" w:rsidRDefault="004052C2" w:rsidP="00377CB9">
      <w:pPr>
        <w:pStyle w:val="Sollicitors"/>
        <w:rPr>
          <w:iCs/>
        </w:rPr>
      </w:pPr>
      <w:r w:rsidRPr="00515A0B">
        <w:t xml:space="preserve">Solicitors for the appellant: </w:t>
      </w:r>
      <w:r w:rsidRPr="00515A0B">
        <w:rPr>
          <w:iCs/>
        </w:rPr>
        <w:t>Borden, Ritchie &amp; Chisholm.</w:t>
      </w:r>
    </w:p>
    <w:p w:rsidR="004052C2" w:rsidRDefault="004052C2" w:rsidP="00377CB9">
      <w:pPr>
        <w:pStyle w:val="Sollicitors"/>
        <w:rPr>
          <w:iCs/>
        </w:rPr>
      </w:pPr>
      <w:r w:rsidRPr="00515A0B">
        <w:t xml:space="preserve">Solicitors for the respondents: </w:t>
      </w:r>
      <w:proofErr w:type="spellStart"/>
      <w:r w:rsidRPr="00515A0B">
        <w:rPr>
          <w:iCs/>
        </w:rPr>
        <w:t>Drysdale</w:t>
      </w:r>
      <w:proofErr w:type="spellEnd"/>
      <w:r w:rsidRPr="00515A0B">
        <w:rPr>
          <w:iCs/>
        </w:rPr>
        <w:t xml:space="preserve"> &amp; McInnis.</w:t>
      </w:r>
    </w:p>
    <w:sectPr w:rsidR="004052C2" w:rsidSect="004052C2">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378" w:rsidRDefault="006A4378" w:rsidP="004052C2">
      <w:r>
        <w:separator/>
      </w:r>
    </w:p>
  </w:endnote>
  <w:endnote w:type="continuationSeparator" w:id="0">
    <w:p w:rsidR="006A4378" w:rsidRDefault="006A4378" w:rsidP="0040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2C2" w:rsidRDefault="004052C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2C2" w:rsidRDefault="004052C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2C2" w:rsidRDefault="004052C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378" w:rsidRDefault="006A4378" w:rsidP="004052C2">
      <w:r>
        <w:separator/>
      </w:r>
    </w:p>
  </w:footnote>
  <w:footnote w:type="continuationSeparator" w:id="0">
    <w:p w:rsidR="006A4378" w:rsidRDefault="006A4378" w:rsidP="004052C2">
      <w:r>
        <w:continuationSeparator/>
      </w:r>
    </w:p>
  </w:footnote>
  <w:footnote w:id="1">
    <w:p w:rsidR="00515A0B" w:rsidRPr="00515A0B" w:rsidRDefault="00515A0B">
      <w:pPr>
        <w:pStyle w:val="Notedebasdepage"/>
        <w:rPr>
          <w:lang w:val="en-US"/>
        </w:rPr>
      </w:pPr>
      <w:r>
        <w:rPr>
          <w:rStyle w:val="Appelnotedebasdep"/>
        </w:rPr>
        <w:footnoteRef/>
      </w:r>
      <w:r>
        <w:t xml:space="preserve"> </w:t>
      </w:r>
      <w:proofErr w:type="gramStart"/>
      <w:r>
        <w:rPr>
          <w:rFonts w:cs="Arial"/>
          <w:szCs w:val="24"/>
        </w:rPr>
        <w:t xml:space="preserve">1 </w:t>
      </w:r>
      <w:proofErr w:type="spellStart"/>
      <w:r>
        <w:rPr>
          <w:rFonts w:cs="Arial"/>
          <w:szCs w:val="24"/>
        </w:rPr>
        <w:t>Myl</w:t>
      </w:r>
      <w:proofErr w:type="spellEnd"/>
      <w:r>
        <w:rPr>
          <w:rFonts w:cs="Arial"/>
          <w:szCs w:val="24"/>
        </w:rPr>
        <w:t>.</w:t>
      </w:r>
      <w:proofErr w:type="gramEnd"/>
      <w:r>
        <w:rPr>
          <w:rFonts w:cs="Arial"/>
          <w:szCs w:val="24"/>
        </w:rPr>
        <w:t xml:space="preserve"> </w:t>
      </w:r>
      <w:proofErr w:type="gramStart"/>
      <w:r>
        <w:rPr>
          <w:rFonts w:cs="Arial"/>
          <w:szCs w:val="24"/>
        </w:rPr>
        <w:t>&amp; K. 643.</w:t>
      </w:r>
      <w:proofErr w:type="gramEnd"/>
    </w:p>
  </w:footnote>
  <w:footnote w:id="2">
    <w:p w:rsidR="00515A0B" w:rsidRPr="00515A0B" w:rsidRDefault="00515A0B">
      <w:pPr>
        <w:pStyle w:val="Notedebasdepage"/>
        <w:rPr>
          <w:lang w:val="en-US"/>
        </w:rPr>
      </w:pPr>
      <w:r>
        <w:rPr>
          <w:rStyle w:val="Appelnotedebasdep"/>
        </w:rPr>
        <w:footnoteRef/>
      </w:r>
      <w:r>
        <w:t xml:space="preserve"> </w:t>
      </w:r>
      <w:r>
        <w:rPr>
          <w:rFonts w:cs="Arial"/>
          <w:szCs w:val="24"/>
        </w:rPr>
        <w:t>L. R. 1 P. &amp; D. 359.</w:t>
      </w:r>
    </w:p>
  </w:footnote>
  <w:footnote w:id="3">
    <w:p w:rsidR="00515A0B" w:rsidRPr="00515A0B" w:rsidRDefault="00515A0B">
      <w:pPr>
        <w:pStyle w:val="Notedebasdepage"/>
        <w:rPr>
          <w:lang w:val="en-US"/>
        </w:rPr>
      </w:pPr>
      <w:r>
        <w:rPr>
          <w:rStyle w:val="Appelnotedebasdep"/>
        </w:rPr>
        <w:footnoteRef/>
      </w:r>
      <w:r>
        <w:t xml:space="preserve"> </w:t>
      </w:r>
      <w:proofErr w:type="gramStart"/>
      <w:r>
        <w:rPr>
          <w:rFonts w:cs="Arial"/>
          <w:szCs w:val="24"/>
        </w:rPr>
        <w:t>8 P. D. 171.</w:t>
      </w:r>
      <w:proofErr w:type="gramEnd"/>
    </w:p>
  </w:footnote>
  <w:footnote w:id="4">
    <w:p w:rsidR="00515A0B" w:rsidRPr="00515A0B" w:rsidRDefault="00515A0B">
      <w:pPr>
        <w:pStyle w:val="Notedebasdepage"/>
        <w:rPr>
          <w:lang w:val="en-US"/>
        </w:rPr>
      </w:pPr>
      <w:r>
        <w:rPr>
          <w:rStyle w:val="Appelnotedebasdep"/>
        </w:rPr>
        <w:footnoteRef/>
      </w:r>
      <w:r>
        <w:t xml:space="preserve"> </w:t>
      </w:r>
      <w:proofErr w:type="gramStart"/>
      <w:r>
        <w:rPr>
          <w:rFonts w:cs="Arial"/>
          <w:szCs w:val="24"/>
        </w:rPr>
        <w:t>27 Can. S. C. R. 13.</w:t>
      </w:r>
      <w:proofErr w:type="gramEnd"/>
    </w:p>
  </w:footnote>
  <w:footnote w:id="5">
    <w:p w:rsidR="00515A0B" w:rsidRPr="00515A0B" w:rsidRDefault="00515A0B">
      <w:pPr>
        <w:pStyle w:val="Notedebasdepage"/>
        <w:rPr>
          <w:lang w:val="en-US"/>
        </w:rPr>
      </w:pPr>
      <w:r>
        <w:rPr>
          <w:rStyle w:val="Appelnotedebasdep"/>
        </w:rPr>
        <w:footnoteRef/>
      </w:r>
      <w:r>
        <w:t xml:space="preserve"> </w:t>
      </w:r>
      <w:r>
        <w:rPr>
          <w:rFonts w:cs="Arial"/>
          <w:szCs w:val="24"/>
        </w:rPr>
        <w:t>L. R. 1 P. &amp; D. 481.</w:t>
      </w:r>
    </w:p>
  </w:footnote>
  <w:footnote w:id="6">
    <w:p w:rsidR="00515A0B" w:rsidRPr="00515A0B" w:rsidRDefault="00515A0B">
      <w:pPr>
        <w:pStyle w:val="Notedebasdepage"/>
        <w:rPr>
          <w:lang w:val="en-US"/>
        </w:rPr>
      </w:pPr>
      <w:r>
        <w:rPr>
          <w:rStyle w:val="Appelnotedebasdep"/>
        </w:rPr>
        <w:footnoteRef/>
      </w:r>
      <w:r>
        <w:t xml:space="preserve"> </w:t>
      </w:r>
      <w:proofErr w:type="gramStart"/>
      <w:r>
        <w:rPr>
          <w:rFonts w:cs="Arial"/>
          <w:szCs w:val="24"/>
        </w:rPr>
        <w:t>[1894] 1 Ir. 7.</w:t>
      </w:r>
      <w:proofErr w:type="gramEnd"/>
    </w:p>
  </w:footnote>
  <w:footnote w:id="7">
    <w:p w:rsidR="00515A0B" w:rsidRPr="00515A0B" w:rsidRDefault="00515A0B">
      <w:pPr>
        <w:pStyle w:val="Notedebasdepage"/>
        <w:rPr>
          <w:lang w:val="en-US"/>
        </w:rPr>
      </w:pPr>
      <w:r>
        <w:rPr>
          <w:rStyle w:val="Appelnotedebasdep"/>
        </w:rPr>
        <w:footnoteRef/>
      </w:r>
      <w:r>
        <w:t xml:space="preserve"> </w:t>
      </w:r>
      <w:proofErr w:type="gramStart"/>
      <w:r>
        <w:rPr>
          <w:rFonts w:cs="Arial"/>
          <w:szCs w:val="24"/>
        </w:rPr>
        <w:t>11 P. D. 81.</w:t>
      </w:r>
      <w:proofErr w:type="gramEnd"/>
    </w:p>
  </w:footnote>
  <w:footnote w:id="8">
    <w:p w:rsidR="00515A0B" w:rsidRPr="00515A0B" w:rsidRDefault="00515A0B">
      <w:pPr>
        <w:pStyle w:val="Notedebasdepage"/>
        <w:rPr>
          <w:lang w:val="en-US"/>
        </w:rPr>
      </w:pPr>
      <w:r>
        <w:rPr>
          <w:rStyle w:val="Appelnotedebasdep"/>
        </w:rPr>
        <w:footnoteRef/>
      </w:r>
      <w:r>
        <w:t xml:space="preserve"> </w:t>
      </w:r>
      <w:r>
        <w:rPr>
          <w:rFonts w:cs="Arial"/>
          <w:szCs w:val="24"/>
        </w:rPr>
        <w:t xml:space="preserve">6 H. L. </w:t>
      </w:r>
      <w:proofErr w:type="spellStart"/>
      <w:proofErr w:type="gramStart"/>
      <w:r>
        <w:rPr>
          <w:rFonts w:cs="Arial"/>
          <w:szCs w:val="24"/>
        </w:rPr>
        <w:t>Cas</w:t>
      </w:r>
      <w:proofErr w:type="spellEnd"/>
      <w:proofErr w:type="gramEnd"/>
      <w:r>
        <w:rPr>
          <w:rFonts w:cs="Arial"/>
          <w:szCs w:val="24"/>
        </w:rPr>
        <w:t>. 2.</w:t>
      </w:r>
    </w:p>
  </w:footnote>
  <w:footnote w:id="9">
    <w:p w:rsidR="00515A0B" w:rsidRPr="00515A0B" w:rsidRDefault="00515A0B">
      <w:pPr>
        <w:pStyle w:val="Notedebasdepage"/>
        <w:rPr>
          <w:lang w:val="en-US"/>
        </w:rPr>
      </w:pPr>
      <w:r>
        <w:rPr>
          <w:rStyle w:val="Appelnotedebasdep"/>
        </w:rPr>
        <w:footnoteRef/>
      </w:r>
      <w:r>
        <w:t xml:space="preserve"> </w:t>
      </w:r>
      <w:r>
        <w:rPr>
          <w:rFonts w:cs="Arial"/>
          <w:szCs w:val="24"/>
        </w:rPr>
        <w:t>L. R. 2 P. &amp; D. 462.</w:t>
      </w:r>
    </w:p>
  </w:footnote>
  <w:footnote w:id="10">
    <w:p w:rsidR="00515A0B" w:rsidRPr="00515A0B" w:rsidRDefault="00515A0B">
      <w:pPr>
        <w:pStyle w:val="Notedebasdepage"/>
        <w:rPr>
          <w:lang w:val="en-US"/>
        </w:rPr>
      </w:pPr>
      <w:r>
        <w:rPr>
          <w:rStyle w:val="Appelnotedebasdep"/>
        </w:rPr>
        <w:footnoteRef/>
      </w:r>
      <w:r>
        <w:t xml:space="preserve"> </w:t>
      </w:r>
      <w:proofErr w:type="gramStart"/>
      <w:r>
        <w:rPr>
          <w:rFonts w:cs="Arial"/>
          <w:szCs w:val="24"/>
        </w:rPr>
        <w:t>2 Gray (Mass.) 524.</w:t>
      </w:r>
      <w:proofErr w:type="gramEnd"/>
    </w:p>
  </w:footnote>
  <w:footnote w:id="11">
    <w:p w:rsidR="00515A0B" w:rsidRPr="00515A0B" w:rsidRDefault="00515A0B">
      <w:pPr>
        <w:pStyle w:val="Notedebasdepage"/>
        <w:rPr>
          <w:lang w:val="en-US"/>
        </w:rPr>
      </w:pPr>
      <w:r>
        <w:rPr>
          <w:rStyle w:val="Appelnotedebasdep"/>
        </w:rPr>
        <w:footnoteRef/>
      </w:r>
      <w:r>
        <w:t xml:space="preserve"> </w:t>
      </w:r>
      <w:proofErr w:type="gramStart"/>
      <w:r>
        <w:rPr>
          <w:rFonts w:cs="Arial"/>
          <w:szCs w:val="24"/>
        </w:rPr>
        <w:t>[1895] A. C. 310.</w:t>
      </w:r>
      <w:proofErr w:type="gramEnd"/>
    </w:p>
  </w:footnote>
  <w:footnote w:id="12">
    <w:p w:rsidR="00515A0B" w:rsidRPr="00515A0B" w:rsidRDefault="00515A0B">
      <w:pPr>
        <w:pStyle w:val="Notedebasdepage"/>
        <w:rPr>
          <w:lang w:val="en-US"/>
        </w:rPr>
      </w:pPr>
      <w:r>
        <w:rPr>
          <w:rStyle w:val="Appelnotedebasdep"/>
        </w:rPr>
        <w:footnoteRef/>
      </w:r>
      <w:r>
        <w:t xml:space="preserve"> </w:t>
      </w:r>
      <w:proofErr w:type="gramStart"/>
      <w:r>
        <w:rPr>
          <w:rFonts w:cs="Arial"/>
          <w:szCs w:val="24"/>
        </w:rPr>
        <w:t xml:space="preserve">17 </w:t>
      </w:r>
      <w:proofErr w:type="spellStart"/>
      <w:r>
        <w:rPr>
          <w:rFonts w:cs="Arial"/>
          <w:szCs w:val="24"/>
        </w:rPr>
        <w:t>Jur</w:t>
      </w:r>
      <w:proofErr w:type="spellEnd"/>
      <w:r>
        <w:rPr>
          <w:rFonts w:cs="Arial"/>
          <w:szCs w:val="24"/>
        </w:rPr>
        <w:t>.</w:t>
      </w:r>
      <w:proofErr w:type="gramEnd"/>
      <w:r>
        <w:rPr>
          <w:rFonts w:cs="Arial"/>
          <w:szCs w:val="24"/>
        </w:rPr>
        <w:t xml:space="preserve"> 749.</w:t>
      </w:r>
    </w:p>
  </w:footnote>
  <w:footnote w:id="13">
    <w:p w:rsidR="00515A0B" w:rsidRPr="00515A0B" w:rsidRDefault="00515A0B">
      <w:pPr>
        <w:pStyle w:val="Notedebasdepage"/>
        <w:rPr>
          <w:lang w:val="en-US"/>
        </w:rPr>
      </w:pPr>
      <w:r>
        <w:rPr>
          <w:rStyle w:val="Appelnotedebasdep"/>
        </w:rPr>
        <w:footnoteRef/>
      </w:r>
      <w:r>
        <w:t xml:space="preserve"> </w:t>
      </w:r>
      <w:proofErr w:type="gramStart"/>
      <w:r>
        <w:rPr>
          <w:rFonts w:cs="Arial"/>
          <w:szCs w:val="24"/>
        </w:rPr>
        <w:t>29 Can. S. C. R. 6</w:t>
      </w:r>
      <w:r w:rsidR="00D82FDC">
        <w:rPr>
          <w:rFonts w:cs="Arial"/>
          <w:szCs w:val="24"/>
        </w:rPr>
        <w:t>1</w:t>
      </w:r>
      <w:r>
        <w:rPr>
          <w:rFonts w:cs="Arial"/>
          <w:szCs w:val="24"/>
        </w:rPr>
        <w:t>6.</w:t>
      </w:r>
      <w:proofErr w:type="gramEnd"/>
    </w:p>
  </w:footnote>
  <w:footnote w:id="14">
    <w:p w:rsidR="00515A0B" w:rsidRPr="00515A0B" w:rsidRDefault="00515A0B">
      <w:pPr>
        <w:pStyle w:val="Notedebasdepage"/>
        <w:rPr>
          <w:lang w:val="en-US"/>
        </w:rPr>
      </w:pPr>
      <w:r>
        <w:rPr>
          <w:rStyle w:val="Appelnotedebasdep"/>
        </w:rPr>
        <w:footnoteRef/>
      </w:r>
      <w:r>
        <w:t xml:space="preserve"> </w:t>
      </w:r>
      <w:proofErr w:type="gramStart"/>
      <w:r>
        <w:rPr>
          <w:rFonts w:cs="Arial"/>
          <w:szCs w:val="24"/>
        </w:rPr>
        <w:t>26 Can. S. C. R. 641.</w:t>
      </w:r>
      <w:proofErr w:type="gramEnd"/>
    </w:p>
  </w:footnote>
  <w:footnote w:id="15">
    <w:p w:rsidR="00515A0B" w:rsidRPr="00515A0B" w:rsidRDefault="00515A0B">
      <w:pPr>
        <w:pStyle w:val="Notedebasdepage"/>
        <w:rPr>
          <w:lang w:val="en-US"/>
        </w:rPr>
      </w:pPr>
      <w:r>
        <w:rPr>
          <w:rStyle w:val="Appelnotedebasdep"/>
        </w:rPr>
        <w:footnoteRef/>
      </w:r>
      <w:r>
        <w:t xml:space="preserve"> </w:t>
      </w:r>
      <w:proofErr w:type="gramStart"/>
      <w:r>
        <w:rPr>
          <w:rFonts w:cs="Arial"/>
          <w:szCs w:val="24"/>
        </w:rPr>
        <w:t>[1894] P. D. 151.</w:t>
      </w:r>
      <w:proofErr w:type="gramEnd"/>
    </w:p>
  </w:footnote>
  <w:footnote w:id="16">
    <w:p w:rsidR="00515A0B" w:rsidRPr="00515A0B" w:rsidRDefault="00515A0B">
      <w:pPr>
        <w:pStyle w:val="Notedebasdepage"/>
        <w:rPr>
          <w:lang w:val="en-US"/>
        </w:rPr>
      </w:pPr>
      <w:r>
        <w:rPr>
          <w:rStyle w:val="Appelnotedebasdep"/>
        </w:rPr>
        <w:footnoteRef/>
      </w:r>
      <w:r>
        <w:t xml:space="preserve"> </w:t>
      </w:r>
      <w:r>
        <w:rPr>
          <w:rFonts w:cs="Arial"/>
          <w:szCs w:val="24"/>
        </w:rPr>
        <w:t>L. R. 7 H. L. 448.</w:t>
      </w:r>
    </w:p>
  </w:footnote>
  <w:footnote w:id="17">
    <w:p w:rsidR="00515A0B" w:rsidRPr="00515A0B" w:rsidRDefault="00515A0B">
      <w:pPr>
        <w:pStyle w:val="Notedebasdepage"/>
        <w:rPr>
          <w:lang w:val="en-US"/>
        </w:rPr>
      </w:pPr>
      <w:r>
        <w:rPr>
          <w:rStyle w:val="Appelnotedebasdep"/>
        </w:rPr>
        <w:footnoteRef/>
      </w:r>
      <w:r>
        <w:t xml:space="preserve"> </w:t>
      </w:r>
      <w:r>
        <w:rPr>
          <w:rFonts w:cs="Arial"/>
          <w:szCs w:val="24"/>
        </w:rPr>
        <w:t xml:space="preserve">2 </w:t>
      </w:r>
      <w:proofErr w:type="gramStart"/>
      <w:r>
        <w:rPr>
          <w:rFonts w:cs="Arial"/>
          <w:szCs w:val="24"/>
        </w:rPr>
        <w:t>Moo</w:t>
      </w:r>
      <w:proofErr w:type="gramEnd"/>
      <w:r>
        <w:rPr>
          <w:rFonts w:cs="Arial"/>
          <w:szCs w:val="24"/>
        </w:rPr>
        <w:t>. P. C. 480.</w:t>
      </w:r>
    </w:p>
  </w:footnote>
  <w:footnote w:id="18">
    <w:p w:rsidR="00515A0B" w:rsidRPr="00515A0B" w:rsidRDefault="00515A0B">
      <w:pPr>
        <w:pStyle w:val="Notedebasdepage"/>
        <w:rPr>
          <w:lang w:val="en-US"/>
        </w:rPr>
      </w:pPr>
      <w:r>
        <w:rPr>
          <w:rStyle w:val="Appelnotedebasdep"/>
        </w:rPr>
        <w:footnoteRef/>
      </w:r>
      <w:r>
        <w:t xml:space="preserve"> </w:t>
      </w:r>
      <w:r>
        <w:rPr>
          <w:rFonts w:cs="Arial"/>
          <w:szCs w:val="24"/>
        </w:rPr>
        <w:t>L. R. 2 P. &amp; D. 477.</w:t>
      </w:r>
    </w:p>
  </w:footnote>
  <w:footnote w:id="19">
    <w:p w:rsidR="00515A0B" w:rsidRPr="00515A0B" w:rsidRDefault="00515A0B">
      <w:pPr>
        <w:pStyle w:val="Notedebasdepage"/>
        <w:rPr>
          <w:lang w:val="en-US"/>
        </w:rPr>
      </w:pPr>
      <w:r>
        <w:rPr>
          <w:rStyle w:val="Appelnotedebasdep"/>
        </w:rPr>
        <w:footnoteRef/>
      </w:r>
      <w:r>
        <w:t xml:space="preserve"> </w:t>
      </w:r>
      <w:r>
        <w:rPr>
          <w:rFonts w:cs="Arial"/>
          <w:szCs w:val="24"/>
        </w:rPr>
        <w:t xml:space="preserve">2 </w:t>
      </w:r>
      <w:proofErr w:type="gramStart"/>
      <w:r>
        <w:rPr>
          <w:rFonts w:cs="Arial"/>
          <w:szCs w:val="24"/>
        </w:rPr>
        <w:t>Moo</w:t>
      </w:r>
      <w:proofErr w:type="gramEnd"/>
      <w:r>
        <w:rPr>
          <w:rFonts w:cs="Arial"/>
          <w:szCs w:val="24"/>
        </w:rPr>
        <w:t>. P. C. 317.</w:t>
      </w:r>
    </w:p>
  </w:footnote>
  <w:footnote w:id="20">
    <w:p w:rsidR="00515A0B" w:rsidRPr="00515A0B" w:rsidRDefault="00515A0B">
      <w:pPr>
        <w:pStyle w:val="Notedebasdepage"/>
        <w:rPr>
          <w:lang w:val="en-US"/>
        </w:rPr>
      </w:pPr>
      <w:r>
        <w:rPr>
          <w:rStyle w:val="Appelnotedebasdep"/>
        </w:rPr>
        <w:footnoteRef/>
      </w:r>
      <w:r>
        <w:t xml:space="preserve"> </w:t>
      </w:r>
      <w:r>
        <w:rPr>
          <w:rFonts w:cs="Arial"/>
          <w:szCs w:val="24"/>
        </w:rPr>
        <w:t>62 Law Times 642.</w:t>
      </w:r>
    </w:p>
  </w:footnote>
  <w:footnote w:id="21">
    <w:p w:rsidR="00515A0B" w:rsidRPr="00515A0B" w:rsidRDefault="00515A0B">
      <w:pPr>
        <w:pStyle w:val="Notedebasdepage"/>
        <w:rPr>
          <w:lang w:val="en-US"/>
        </w:rPr>
      </w:pPr>
      <w:r>
        <w:rPr>
          <w:rStyle w:val="Appelnotedebasdep"/>
        </w:rPr>
        <w:footnoteRef/>
      </w:r>
      <w:r>
        <w:t xml:space="preserve"> </w:t>
      </w:r>
      <w:r>
        <w:rPr>
          <w:rFonts w:cs="Arial"/>
          <w:szCs w:val="24"/>
        </w:rPr>
        <w:t>63 Law Times 465.</w:t>
      </w:r>
    </w:p>
  </w:footnote>
  <w:footnote w:id="22">
    <w:p w:rsidR="00515A0B" w:rsidRPr="00515A0B" w:rsidRDefault="00515A0B">
      <w:pPr>
        <w:pStyle w:val="Notedebasdepage"/>
        <w:rPr>
          <w:lang w:val="en-US"/>
        </w:rPr>
      </w:pPr>
      <w:r>
        <w:rPr>
          <w:rStyle w:val="Appelnotedebasdep"/>
        </w:rPr>
        <w:footnoteRef/>
      </w:r>
      <w:r>
        <w:t xml:space="preserve"> </w:t>
      </w:r>
      <w:r>
        <w:rPr>
          <w:rFonts w:cs="Arial"/>
          <w:szCs w:val="24"/>
        </w:rPr>
        <w:t>L. R. 2 P. &amp; D. 462.</w:t>
      </w:r>
    </w:p>
  </w:footnote>
  <w:footnote w:id="23">
    <w:p w:rsidR="00515A0B" w:rsidRPr="00515A0B" w:rsidRDefault="00515A0B">
      <w:pPr>
        <w:pStyle w:val="Notedebasdepage"/>
        <w:rPr>
          <w:lang w:val="en-US"/>
        </w:rPr>
      </w:pPr>
      <w:r>
        <w:rPr>
          <w:rStyle w:val="Appelnotedebasdep"/>
        </w:rPr>
        <w:footnoteRef/>
      </w:r>
      <w:r>
        <w:t xml:space="preserve"> </w:t>
      </w:r>
      <w:proofErr w:type="gramStart"/>
      <w:r>
        <w:rPr>
          <w:rFonts w:cs="Arial"/>
          <w:szCs w:val="24"/>
        </w:rPr>
        <w:t>27 Can. S. C. R. 13.</w:t>
      </w:r>
      <w:proofErr w:type="gramEnd"/>
    </w:p>
  </w:footnote>
  <w:footnote w:id="24">
    <w:p w:rsidR="00515A0B" w:rsidRPr="00515A0B" w:rsidRDefault="00515A0B">
      <w:pPr>
        <w:pStyle w:val="Notedebasdepage"/>
        <w:rPr>
          <w:lang w:val="en-US"/>
        </w:rPr>
      </w:pPr>
      <w:r>
        <w:rPr>
          <w:rStyle w:val="Appelnotedebasdep"/>
        </w:rPr>
        <w:footnoteRef/>
      </w:r>
      <w:r>
        <w:t xml:space="preserve"> </w:t>
      </w:r>
      <w:r>
        <w:rPr>
          <w:rFonts w:cs="Arial"/>
          <w:szCs w:val="24"/>
        </w:rPr>
        <w:t>L. R. 7 H. L. 448.</w:t>
      </w:r>
    </w:p>
  </w:footnote>
  <w:footnote w:id="25">
    <w:p w:rsidR="00515A0B" w:rsidRPr="00515A0B" w:rsidRDefault="00515A0B">
      <w:pPr>
        <w:pStyle w:val="Notedebasdepage"/>
        <w:rPr>
          <w:lang w:val="en-US"/>
        </w:rPr>
      </w:pPr>
      <w:r>
        <w:rPr>
          <w:rStyle w:val="Appelnotedebasdep"/>
        </w:rPr>
        <w:footnoteRef/>
      </w:r>
      <w:r>
        <w:t xml:space="preserve"> </w:t>
      </w:r>
      <w:r>
        <w:rPr>
          <w:rFonts w:cs="Arial"/>
          <w:szCs w:val="24"/>
        </w:rPr>
        <w:t xml:space="preserve">2 </w:t>
      </w:r>
      <w:proofErr w:type="gramStart"/>
      <w:r>
        <w:rPr>
          <w:rFonts w:cs="Arial"/>
          <w:szCs w:val="24"/>
        </w:rPr>
        <w:t>Moo</w:t>
      </w:r>
      <w:proofErr w:type="gramEnd"/>
      <w:r>
        <w:rPr>
          <w:rFonts w:cs="Arial"/>
          <w:szCs w:val="24"/>
        </w:rPr>
        <w:t>. P. C. 317.</w:t>
      </w:r>
    </w:p>
  </w:footnote>
  <w:footnote w:id="26">
    <w:p w:rsidR="00515A0B" w:rsidRPr="00515A0B" w:rsidRDefault="00515A0B">
      <w:pPr>
        <w:pStyle w:val="Notedebasdepage"/>
        <w:rPr>
          <w:lang w:val="en-US"/>
        </w:rPr>
      </w:pPr>
      <w:r>
        <w:rPr>
          <w:rStyle w:val="Appelnotedebasdep"/>
        </w:rPr>
        <w:footnoteRef/>
      </w:r>
      <w:r>
        <w:t xml:space="preserve"> </w:t>
      </w:r>
      <w:r>
        <w:rPr>
          <w:rFonts w:cs="Arial"/>
          <w:szCs w:val="24"/>
        </w:rPr>
        <w:t xml:space="preserve">2 </w:t>
      </w:r>
      <w:proofErr w:type="gramStart"/>
      <w:r>
        <w:rPr>
          <w:rFonts w:cs="Arial"/>
          <w:szCs w:val="24"/>
        </w:rPr>
        <w:t>Moo</w:t>
      </w:r>
      <w:proofErr w:type="gramEnd"/>
      <w:r>
        <w:rPr>
          <w:rFonts w:cs="Arial"/>
          <w:szCs w:val="24"/>
        </w:rPr>
        <w:t>. P. C. 480.</w:t>
      </w:r>
    </w:p>
  </w:footnote>
  <w:footnote w:id="27">
    <w:p w:rsidR="00515A0B" w:rsidRPr="00515A0B" w:rsidRDefault="00515A0B">
      <w:pPr>
        <w:pStyle w:val="Notedebasdepage"/>
        <w:rPr>
          <w:lang w:val="en-US"/>
        </w:rPr>
      </w:pPr>
      <w:r>
        <w:rPr>
          <w:rStyle w:val="Appelnotedebasdep"/>
        </w:rPr>
        <w:footnoteRef/>
      </w:r>
      <w:r>
        <w:t xml:space="preserve"> </w:t>
      </w:r>
      <w:proofErr w:type="gramStart"/>
      <w:r>
        <w:rPr>
          <w:rFonts w:cs="Arial"/>
          <w:szCs w:val="24"/>
        </w:rPr>
        <w:t xml:space="preserve">2 </w:t>
      </w:r>
      <w:proofErr w:type="spellStart"/>
      <w:r w:rsidR="00D82FDC">
        <w:rPr>
          <w:rFonts w:cs="Arial"/>
          <w:szCs w:val="24"/>
        </w:rPr>
        <w:t>P</w:t>
      </w:r>
      <w:r>
        <w:rPr>
          <w:rFonts w:cs="Arial"/>
          <w:szCs w:val="24"/>
        </w:rPr>
        <w:t>hillim</w:t>
      </w:r>
      <w:proofErr w:type="spellEnd"/>
      <w:r>
        <w:rPr>
          <w:rFonts w:cs="Arial"/>
          <w:szCs w:val="24"/>
        </w:rPr>
        <w:t>.</w:t>
      </w:r>
      <w:proofErr w:type="gramEnd"/>
      <w:r>
        <w:rPr>
          <w:rFonts w:cs="Arial"/>
          <w:szCs w:val="24"/>
        </w:rPr>
        <w:t xml:space="preserve"> 323.</w:t>
      </w:r>
    </w:p>
  </w:footnote>
  <w:footnote w:id="28">
    <w:p w:rsidR="00515A0B" w:rsidRPr="00515A0B" w:rsidRDefault="00515A0B">
      <w:pPr>
        <w:pStyle w:val="Notedebasdepage"/>
        <w:rPr>
          <w:lang w:val="en-US"/>
        </w:rPr>
      </w:pPr>
      <w:r>
        <w:rPr>
          <w:rStyle w:val="Appelnotedebasdep"/>
        </w:rPr>
        <w:footnoteRef/>
      </w:r>
      <w:r>
        <w:t xml:space="preserve"> </w:t>
      </w:r>
      <w:proofErr w:type="gramStart"/>
      <w:r>
        <w:rPr>
          <w:rFonts w:cs="Arial"/>
          <w:szCs w:val="24"/>
        </w:rPr>
        <w:t xml:space="preserve">1 </w:t>
      </w:r>
      <w:proofErr w:type="spellStart"/>
      <w:r w:rsidR="00D82FDC">
        <w:rPr>
          <w:rFonts w:cs="Arial"/>
          <w:szCs w:val="24"/>
        </w:rPr>
        <w:t>P</w:t>
      </w:r>
      <w:r>
        <w:rPr>
          <w:rFonts w:cs="Arial"/>
          <w:szCs w:val="24"/>
        </w:rPr>
        <w:t>hillim</w:t>
      </w:r>
      <w:proofErr w:type="spellEnd"/>
      <w:r>
        <w:rPr>
          <w:rFonts w:cs="Arial"/>
          <w:szCs w:val="24"/>
        </w:rPr>
        <w:t>.</w:t>
      </w:r>
      <w:proofErr w:type="gramEnd"/>
      <w:r>
        <w:rPr>
          <w:rFonts w:cs="Arial"/>
          <w:szCs w:val="24"/>
        </w:rPr>
        <w:t xml:space="preserve"> 187.</w:t>
      </w:r>
    </w:p>
  </w:footnote>
  <w:footnote w:id="29">
    <w:p w:rsidR="00515A0B" w:rsidRPr="00515A0B" w:rsidRDefault="00515A0B">
      <w:pPr>
        <w:pStyle w:val="Notedebasdepage"/>
        <w:rPr>
          <w:lang w:val="en-US"/>
        </w:rPr>
      </w:pPr>
      <w:r>
        <w:rPr>
          <w:rStyle w:val="Appelnotedebasdep"/>
        </w:rPr>
        <w:footnoteRef/>
      </w:r>
      <w:r>
        <w:t xml:space="preserve"> </w:t>
      </w:r>
      <w:proofErr w:type="gramStart"/>
      <w:r>
        <w:rPr>
          <w:rFonts w:cs="Arial"/>
          <w:szCs w:val="24"/>
        </w:rPr>
        <w:t xml:space="preserve">1 </w:t>
      </w:r>
      <w:proofErr w:type="spellStart"/>
      <w:r w:rsidR="00D82FDC">
        <w:rPr>
          <w:rFonts w:cs="Arial"/>
          <w:szCs w:val="24"/>
        </w:rPr>
        <w:t>H</w:t>
      </w:r>
      <w:r>
        <w:rPr>
          <w:rFonts w:cs="Arial"/>
          <w:szCs w:val="24"/>
        </w:rPr>
        <w:t>agg</w:t>
      </w:r>
      <w:proofErr w:type="spellEnd"/>
      <w:r>
        <w:rPr>
          <w:rFonts w:cs="Arial"/>
          <w:szCs w:val="24"/>
        </w:rPr>
        <w:t>.</w:t>
      </w:r>
      <w:proofErr w:type="gramEnd"/>
      <w:r>
        <w:rPr>
          <w:rFonts w:cs="Arial"/>
          <w:szCs w:val="24"/>
        </w:rPr>
        <w:t xml:space="preserve"> </w:t>
      </w:r>
      <w:proofErr w:type="spellStart"/>
      <w:proofErr w:type="gramStart"/>
      <w:r>
        <w:rPr>
          <w:rFonts w:cs="Arial"/>
          <w:szCs w:val="24"/>
        </w:rPr>
        <w:t>Ecc</w:t>
      </w:r>
      <w:proofErr w:type="spellEnd"/>
      <w:r>
        <w:rPr>
          <w:rFonts w:cs="Arial"/>
          <w:szCs w:val="24"/>
        </w:rPr>
        <w:t>.</w:t>
      </w:r>
      <w:proofErr w:type="gramEnd"/>
      <w:r>
        <w:rPr>
          <w:rFonts w:cs="Arial"/>
          <w:szCs w:val="24"/>
        </w:rPr>
        <w:t xml:space="preserve"> 384.</w:t>
      </w:r>
    </w:p>
  </w:footnote>
  <w:footnote w:id="30">
    <w:p w:rsidR="00515A0B" w:rsidRPr="00515A0B" w:rsidRDefault="00515A0B">
      <w:pPr>
        <w:pStyle w:val="Notedebasdepage"/>
        <w:rPr>
          <w:lang w:val="en-US"/>
        </w:rPr>
      </w:pPr>
      <w:r>
        <w:rPr>
          <w:rStyle w:val="Appelnotedebasdep"/>
        </w:rPr>
        <w:footnoteRef/>
      </w:r>
      <w:r>
        <w:t xml:space="preserve"> </w:t>
      </w:r>
      <w:proofErr w:type="gramStart"/>
      <w:r>
        <w:rPr>
          <w:rFonts w:cs="Arial"/>
          <w:szCs w:val="24"/>
        </w:rPr>
        <w:t>62 L. T. N. S. 642.</w:t>
      </w:r>
      <w:proofErr w:type="gramEnd"/>
    </w:p>
  </w:footnote>
  <w:footnote w:id="31">
    <w:p w:rsidR="00515A0B" w:rsidRPr="00515A0B" w:rsidRDefault="00515A0B">
      <w:pPr>
        <w:pStyle w:val="Notedebasdepage"/>
        <w:rPr>
          <w:lang w:val="en-US"/>
        </w:rPr>
      </w:pPr>
      <w:r>
        <w:rPr>
          <w:rStyle w:val="Appelnotedebasdep"/>
        </w:rPr>
        <w:footnoteRef/>
      </w:r>
      <w:r>
        <w:t xml:space="preserve"> </w:t>
      </w:r>
      <w:proofErr w:type="gramStart"/>
      <w:r>
        <w:rPr>
          <w:rFonts w:cs="Arial"/>
          <w:szCs w:val="24"/>
        </w:rPr>
        <w:t>63 L. T. N. S. 465.</w:t>
      </w:r>
      <w:proofErr w:type="gramEnd"/>
    </w:p>
  </w:footnote>
  <w:footnote w:id="32">
    <w:p w:rsidR="00515A0B" w:rsidRPr="00515A0B" w:rsidRDefault="00515A0B">
      <w:pPr>
        <w:pStyle w:val="Notedebasdepage"/>
        <w:rPr>
          <w:lang w:val="en-US"/>
        </w:rPr>
      </w:pPr>
      <w:r>
        <w:rPr>
          <w:rStyle w:val="Appelnotedebasdep"/>
        </w:rPr>
        <w:footnoteRef/>
      </w:r>
      <w:r>
        <w:t xml:space="preserve"> </w:t>
      </w:r>
      <w:proofErr w:type="gramStart"/>
      <w:r>
        <w:rPr>
          <w:rFonts w:cs="Arial"/>
          <w:szCs w:val="24"/>
        </w:rPr>
        <w:t>[1901] A</w:t>
      </w:r>
      <w:r>
        <w:rPr>
          <w:rFonts w:cs="Arial"/>
          <w:smallCaps/>
          <w:szCs w:val="24"/>
        </w:rPr>
        <w:t>. C. 354.</w:t>
      </w:r>
      <w:proofErr w:type="gramEnd"/>
    </w:p>
  </w:footnote>
  <w:footnote w:id="33">
    <w:p w:rsidR="00515A0B" w:rsidRPr="00515A0B" w:rsidRDefault="00515A0B">
      <w:pPr>
        <w:pStyle w:val="Notedebasdepage"/>
        <w:rPr>
          <w:lang w:val="en-US"/>
        </w:rPr>
      </w:pPr>
      <w:r>
        <w:rPr>
          <w:rStyle w:val="Appelnotedebasdep"/>
        </w:rPr>
        <w:footnoteRef/>
      </w:r>
      <w:r>
        <w:t xml:space="preserve"> </w:t>
      </w:r>
      <w:proofErr w:type="gramStart"/>
      <w:r>
        <w:rPr>
          <w:rFonts w:cs="Arial"/>
          <w:szCs w:val="24"/>
        </w:rPr>
        <w:t>8 P</w:t>
      </w:r>
      <w:r>
        <w:rPr>
          <w:rFonts w:cs="Arial"/>
          <w:smallCaps/>
          <w:szCs w:val="24"/>
        </w:rPr>
        <w:t xml:space="preserve">. </w:t>
      </w:r>
      <w:r>
        <w:rPr>
          <w:rFonts w:cs="Arial"/>
          <w:szCs w:val="24"/>
        </w:rPr>
        <w:t>D. 171.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2C2" w:rsidRDefault="004052C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2C2" w:rsidRDefault="004052C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2C2" w:rsidRDefault="004052C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98D0F6E2">
      <w:start w:val="1"/>
      <w:numFmt w:val="decimal"/>
      <w:pStyle w:val="ParagNum"/>
      <w:lvlText w:val="[%1]"/>
      <w:lvlJc w:val="left"/>
      <w:pPr>
        <w:tabs>
          <w:tab w:val="num" w:pos="369"/>
        </w:tabs>
        <w:ind w:left="369" w:hanging="369"/>
      </w:pPr>
    </w:lvl>
    <w:lvl w:ilvl="1" w:tplc="DCD434D6" w:tentative="1">
      <w:start w:val="1"/>
      <w:numFmt w:val="lowerLetter"/>
      <w:lvlText w:val="%2."/>
      <w:lvlJc w:val="left"/>
      <w:pPr>
        <w:tabs>
          <w:tab w:val="num" w:pos="1440"/>
        </w:tabs>
        <w:ind w:left="1440" w:hanging="360"/>
      </w:pPr>
    </w:lvl>
    <w:lvl w:ilvl="2" w:tplc="7714A78A" w:tentative="1">
      <w:start w:val="1"/>
      <w:numFmt w:val="lowerRoman"/>
      <w:lvlText w:val="%3."/>
      <w:lvlJc w:val="right"/>
      <w:pPr>
        <w:tabs>
          <w:tab w:val="num" w:pos="2160"/>
        </w:tabs>
        <w:ind w:left="2160" w:hanging="180"/>
      </w:pPr>
    </w:lvl>
    <w:lvl w:ilvl="3" w:tplc="052227A4" w:tentative="1">
      <w:start w:val="1"/>
      <w:numFmt w:val="decimal"/>
      <w:lvlText w:val="%4."/>
      <w:lvlJc w:val="left"/>
      <w:pPr>
        <w:tabs>
          <w:tab w:val="num" w:pos="2880"/>
        </w:tabs>
        <w:ind w:left="2880" w:hanging="360"/>
      </w:pPr>
    </w:lvl>
    <w:lvl w:ilvl="4" w:tplc="291A2442" w:tentative="1">
      <w:start w:val="1"/>
      <w:numFmt w:val="lowerLetter"/>
      <w:lvlText w:val="%5."/>
      <w:lvlJc w:val="left"/>
      <w:pPr>
        <w:tabs>
          <w:tab w:val="num" w:pos="3600"/>
        </w:tabs>
        <w:ind w:left="3600" w:hanging="360"/>
      </w:pPr>
    </w:lvl>
    <w:lvl w:ilvl="5" w:tplc="5232A698" w:tentative="1">
      <w:start w:val="1"/>
      <w:numFmt w:val="lowerRoman"/>
      <w:lvlText w:val="%6."/>
      <w:lvlJc w:val="right"/>
      <w:pPr>
        <w:tabs>
          <w:tab w:val="num" w:pos="4320"/>
        </w:tabs>
        <w:ind w:left="4320" w:hanging="180"/>
      </w:pPr>
    </w:lvl>
    <w:lvl w:ilvl="6" w:tplc="AF60675E" w:tentative="1">
      <w:start w:val="1"/>
      <w:numFmt w:val="decimal"/>
      <w:lvlText w:val="%7."/>
      <w:lvlJc w:val="left"/>
      <w:pPr>
        <w:tabs>
          <w:tab w:val="num" w:pos="5040"/>
        </w:tabs>
        <w:ind w:left="5040" w:hanging="360"/>
      </w:pPr>
    </w:lvl>
    <w:lvl w:ilvl="7" w:tplc="0A164926" w:tentative="1">
      <w:start w:val="1"/>
      <w:numFmt w:val="lowerLetter"/>
      <w:lvlText w:val="%8."/>
      <w:lvlJc w:val="left"/>
      <w:pPr>
        <w:tabs>
          <w:tab w:val="num" w:pos="5760"/>
        </w:tabs>
        <w:ind w:left="5760" w:hanging="360"/>
      </w:pPr>
    </w:lvl>
    <w:lvl w:ilvl="8" w:tplc="8D94E83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52C2"/>
    <w:rsid w:val="00013FDA"/>
    <w:rsid w:val="000173FB"/>
    <w:rsid w:val="000462EE"/>
    <w:rsid w:val="000655EC"/>
    <w:rsid w:val="00077D2F"/>
    <w:rsid w:val="0008547A"/>
    <w:rsid w:val="000B6688"/>
    <w:rsid w:val="000C3415"/>
    <w:rsid w:val="00121409"/>
    <w:rsid w:val="00125F0C"/>
    <w:rsid w:val="00126A8E"/>
    <w:rsid w:val="001837F3"/>
    <w:rsid w:val="001A55F5"/>
    <w:rsid w:val="001D0D42"/>
    <w:rsid w:val="001D1F99"/>
    <w:rsid w:val="001D5C4A"/>
    <w:rsid w:val="001F6A76"/>
    <w:rsid w:val="002209AC"/>
    <w:rsid w:val="002428EB"/>
    <w:rsid w:val="00296637"/>
    <w:rsid w:val="002A74DD"/>
    <w:rsid w:val="002B30C5"/>
    <w:rsid w:val="002C186C"/>
    <w:rsid w:val="002D5E01"/>
    <w:rsid w:val="002F4F64"/>
    <w:rsid w:val="002F7D00"/>
    <w:rsid w:val="00361108"/>
    <w:rsid w:val="00377CB9"/>
    <w:rsid w:val="003824D9"/>
    <w:rsid w:val="003E5AF5"/>
    <w:rsid w:val="003F602F"/>
    <w:rsid w:val="004052C2"/>
    <w:rsid w:val="00413C60"/>
    <w:rsid w:val="004277EE"/>
    <w:rsid w:val="0043543D"/>
    <w:rsid w:val="00442713"/>
    <w:rsid w:val="00457BC5"/>
    <w:rsid w:val="00463F5F"/>
    <w:rsid w:val="00482CDC"/>
    <w:rsid w:val="004C7ED4"/>
    <w:rsid w:val="00511D93"/>
    <w:rsid w:val="00514003"/>
    <w:rsid w:val="00515A0B"/>
    <w:rsid w:val="00537980"/>
    <w:rsid w:val="00563767"/>
    <w:rsid w:val="005667DA"/>
    <w:rsid w:val="00584566"/>
    <w:rsid w:val="00593C8B"/>
    <w:rsid w:val="006236CA"/>
    <w:rsid w:val="006330E7"/>
    <w:rsid w:val="00644967"/>
    <w:rsid w:val="006A20A4"/>
    <w:rsid w:val="006A4378"/>
    <w:rsid w:val="006D2BED"/>
    <w:rsid w:val="006D6F42"/>
    <w:rsid w:val="006E5FEA"/>
    <w:rsid w:val="00747F2C"/>
    <w:rsid w:val="00751F7D"/>
    <w:rsid w:val="007969C4"/>
    <w:rsid w:val="007B3A90"/>
    <w:rsid w:val="007D6DD5"/>
    <w:rsid w:val="008027F3"/>
    <w:rsid w:val="008206F0"/>
    <w:rsid w:val="008433A9"/>
    <w:rsid w:val="008550EF"/>
    <w:rsid w:val="00872F75"/>
    <w:rsid w:val="00880FBB"/>
    <w:rsid w:val="008B0B7A"/>
    <w:rsid w:val="008D6D1C"/>
    <w:rsid w:val="00923850"/>
    <w:rsid w:val="00926406"/>
    <w:rsid w:val="009A7B1B"/>
    <w:rsid w:val="009D37B6"/>
    <w:rsid w:val="009D6CDF"/>
    <w:rsid w:val="009E64DC"/>
    <w:rsid w:val="00A42830"/>
    <w:rsid w:val="00A4371F"/>
    <w:rsid w:val="00A54E5B"/>
    <w:rsid w:val="00A61128"/>
    <w:rsid w:val="00A64119"/>
    <w:rsid w:val="00A94C52"/>
    <w:rsid w:val="00A97E93"/>
    <w:rsid w:val="00AB09B8"/>
    <w:rsid w:val="00AF2327"/>
    <w:rsid w:val="00B007EC"/>
    <w:rsid w:val="00B177F7"/>
    <w:rsid w:val="00B41B49"/>
    <w:rsid w:val="00B532F0"/>
    <w:rsid w:val="00B639A4"/>
    <w:rsid w:val="00B772A6"/>
    <w:rsid w:val="00BC4595"/>
    <w:rsid w:val="00C157F0"/>
    <w:rsid w:val="00C372DF"/>
    <w:rsid w:val="00C45FBD"/>
    <w:rsid w:val="00C54EB9"/>
    <w:rsid w:val="00C562BC"/>
    <w:rsid w:val="00C7016B"/>
    <w:rsid w:val="00C93FA5"/>
    <w:rsid w:val="00CB6D0A"/>
    <w:rsid w:val="00CB726B"/>
    <w:rsid w:val="00CC50DD"/>
    <w:rsid w:val="00CD1289"/>
    <w:rsid w:val="00CD1F09"/>
    <w:rsid w:val="00CD50FC"/>
    <w:rsid w:val="00CE2A11"/>
    <w:rsid w:val="00CF1E48"/>
    <w:rsid w:val="00D00550"/>
    <w:rsid w:val="00D306D2"/>
    <w:rsid w:val="00D34889"/>
    <w:rsid w:val="00D45866"/>
    <w:rsid w:val="00D82FDC"/>
    <w:rsid w:val="00D9036C"/>
    <w:rsid w:val="00DC4119"/>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35E8A"/>
    <w:rsid w:val="00F60320"/>
    <w:rsid w:val="00F64D86"/>
    <w:rsid w:val="00FA66A7"/>
    <w:rsid w:val="00FF04C7"/>
    <w:rsid w:val="00FF2E7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2327"/>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Titre1">
    <w:name w:val="heading 1"/>
    <w:basedOn w:val="Normal"/>
    <w:next w:val="Normal"/>
    <w:link w:val="Titre1Car"/>
    <w:qFormat/>
    <w:rsid w:val="00AF2327"/>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F2327"/>
    <w:pPr>
      <w:tabs>
        <w:tab w:val="center" w:pos="4680"/>
        <w:tab w:val="right" w:pos="9360"/>
      </w:tabs>
    </w:pPr>
    <w:rPr>
      <w:rFonts w:ascii="Times New Roman" w:hAnsi="Times New Roman"/>
    </w:rPr>
  </w:style>
  <w:style w:type="character" w:customStyle="1" w:styleId="En-tteCar">
    <w:name w:val="En-tête Car"/>
    <w:link w:val="En-tte"/>
    <w:uiPriority w:val="99"/>
    <w:rsid w:val="00AF2327"/>
    <w:rPr>
      <w:rFonts w:ascii="Times New Roman" w:eastAsia="MS Mincho" w:hAnsi="Times New Roman" w:cs="Times New Roman"/>
      <w:sz w:val="24"/>
      <w:szCs w:val="28"/>
      <w:lang w:val="en-CA" w:eastAsia="ja-JP"/>
    </w:rPr>
  </w:style>
  <w:style w:type="paragraph" w:styleId="Pieddepage">
    <w:name w:val="footer"/>
    <w:basedOn w:val="Normal"/>
    <w:link w:val="PieddepageCar"/>
    <w:uiPriority w:val="99"/>
    <w:unhideWhenUsed/>
    <w:rsid w:val="00AF2327"/>
    <w:pPr>
      <w:tabs>
        <w:tab w:val="center" w:pos="4680"/>
        <w:tab w:val="right" w:pos="9360"/>
      </w:tabs>
    </w:pPr>
    <w:rPr>
      <w:rFonts w:ascii="Times New Roman" w:hAnsi="Times New Roman"/>
    </w:rPr>
  </w:style>
  <w:style w:type="character" w:customStyle="1" w:styleId="PieddepageCar">
    <w:name w:val="Pied de page Car"/>
    <w:link w:val="Pieddepage"/>
    <w:uiPriority w:val="99"/>
    <w:rsid w:val="00AF2327"/>
    <w:rPr>
      <w:rFonts w:ascii="Times New Roman" w:eastAsia="MS Mincho" w:hAnsi="Times New Roman" w:cs="Times New Roman"/>
      <w:sz w:val="24"/>
      <w:szCs w:val="28"/>
      <w:lang w:val="en-CA" w:eastAsia="ja-JP"/>
    </w:rPr>
  </w:style>
  <w:style w:type="character" w:customStyle="1" w:styleId="Titre1Car">
    <w:name w:val="Titre 1 Car"/>
    <w:basedOn w:val="Policepardfaut"/>
    <w:link w:val="Titre1"/>
    <w:rsid w:val="00C157F0"/>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AF2327"/>
    <w:pPr>
      <w:spacing w:before="100" w:beforeAutospacing="1"/>
      <w:ind w:left="567"/>
      <w:jc w:val="both"/>
    </w:pPr>
  </w:style>
  <w:style w:type="paragraph" w:customStyle="1" w:styleId="Metadata">
    <w:name w:val="Metadata"/>
    <w:basedOn w:val="Normal"/>
    <w:rsid w:val="00AF2327"/>
    <w:pPr>
      <w:spacing w:before="100" w:beforeAutospacing="1" w:after="100" w:afterAutospacing="1"/>
    </w:pPr>
    <w:rPr>
      <w:rFonts w:cs="Arial"/>
      <w:szCs w:val="24"/>
    </w:rPr>
  </w:style>
  <w:style w:type="paragraph" w:customStyle="1" w:styleId="Page">
    <w:name w:val="Page"/>
    <w:basedOn w:val="Normal"/>
    <w:link w:val="PageChar"/>
    <w:rsid w:val="00AF2327"/>
    <w:pPr>
      <w:spacing w:before="100" w:beforeAutospacing="1" w:after="100" w:afterAutospacing="1"/>
    </w:pPr>
    <w:rPr>
      <w:i/>
    </w:rPr>
  </w:style>
  <w:style w:type="paragraph" w:styleId="Notedebasdepage">
    <w:name w:val="footnote text"/>
    <w:basedOn w:val="Normal"/>
    <w:link w:val="NotedebasdepageCar"/>
    <w:autoRedefine/>
    <w:semiHidden/>
    <w:rsid w:val="00AF2327"/>
    <w:rPr>
      <w:sz w:val="16"/>
      <w:szCs w:val="20"/>
    </w:rPr>
  </w:style>
  <w:style w:type="character" w:customStyle="1" w:styleId="NotedebasdepageCar">
    <w:name w:val="Note de bas de page Car"/>
    <w:link w:val="Notedebasdepage"/>
    <w:semiHidden/>
    <w:rsid w:val="00AF2327"/>
    <w:rPr>
      <w:rFonts w:ascii="Arial" w:eastAsia="MS Mincho" w:hAnsi="Arial" w:cs="Times New Roman"/>
      <w:sz w:val="16"/>
      <w:szCs w:val="20"/>
      <w:lang w:val="en-CA" w:eastAsia="ja-JP"/>
    </w:rPr>
  </w:style>
  <w:style w:type="character" w:styleId="Appelnotedebasdep">
    <w:name w:val="footnote reference"/>
    <w:semiHidden/>
    <w:rsid w:val="00AF2327"/>
    <w:rPr>
      <w:vertAlign w:val="superscript"/>
    </w:rPr>
  </w:style>
  <w:style w:type="paragraph" w:customStyle="1" w:styleId="ParagNum">
    <w:name w:val="ParagNum"/>
    <w:basedOn w:val="Normal"/>
    <w:rsid w:val="00AF2327"/>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AF2327"/>
    <w:pPr>
      <w:spacing w:before="100" w:beforeAutospacing="1" w:after="100" w:afterAutospacing="1" w:line="360" w:lineRule="auto"/>
    </w:pPr>
  </w:style>
  <w:style w:type="paragraph" w:customStyle="1" w:styleId="Indent2">
    <w:name w:val="Indent 2"/>
    <w:basedOn w:val="Indent1"/>
    <w:rsid w:val="00AF2327"/>
    <w:pPr>
      <w:ind w:left="1134"/>
    </w:pPr>
  </w:style>
  <w:style w:type="paragraph" w:customStyle="1" w:styleId="Indent3">
    <w:name w:val="Indent 3"/>
    <w:basedOn w:val="Indent1"/>
    <w:rsid w:val="00AF2327"/>
    <w:pPr>
      <w:ind w:left="1701"/>
    </w:pPr>
  </w:style>
  <w:style w:type="paragraph" w:customStyle="1" w:styleId="Indent4">
    <w:name w:val="Indent 4"/>
    <w:basedOn w:val="Indent1"/>
    <w:rsid w:val="00AF2327"/>
    <w:pPr>
      <w:ind w:left="2268"/>
    </w:pPr>
  </w:style>
  <w:style w:type="paragraph" w:customStyle="1" w:styleId="Indent10">
    <w:name w:val="Indent1"/>
    <w:basedOn w:val="Reasons"/>
    <w:rsid w:val="00AF2327"/>
    <w:pPr>
      <w:ind w:left="567"/>
    </w:pPr>
  </w:style>
  <w:style w:type="paragraph" w:customStyle="1" w:styleId="Indent20">
    <w:name w:val="Indent2"/>
    <w:basedOn w:val="Indent10"/>
    <w:rsid w:val="00AF2327"/>
    <w:pPr>
      <w:ind w:left="1134"/>
    </w:pPr>
  </w:style>
  <w:style w:type="paragraph" w:customStyle="1" w:styleId="Indent30">
    <w:name w:val="Indent3"/>
    <w:basedOn w:val="Indent10"/>
    <w:rsid w:val="00AF2327"/>
    <w:pPr>
      <w:ind w:left="1701"/>
    </w:pPr>
  </w:style>
  <w:style w:type="paragraph" w:customStyle="1" w:styleId="Indent40">
    <w:name w:val="Indent4"/>
    <w:basedOn w:val="Indent10"/>
    <w:rsid w:val="00AF2327"/>
    <w:pPr>
      <w:ind w:left="2268"/>
    </w:pPr>
  </w:style>
  <w:style w:type="paragraph" w:customStyle="1" w:styleId="Keywords">
    <w:name w:val="Keywords"/>
    <w:basedOn w:val="Normal"/>
    <w:rsid w:val="00AF2327"/>
    <w:pPr>
      <w:spacing w:before="100" w:beforeAutospacing="1" w:after="100" w:afterAutospacing="1"/>
    </w:pPr>
    <w:rPr>
      <w:rFonts w:cs="Arial"/>
      <w:i/>
      <w:szCs w:val="24"/>
    </w:rPr>
  </w:style>
  <w:style w:type="paragraph" w:customStyle="1" w:styleId="Summary">
    <w:name w:val="Summary"/>
    <w:basedOn w:val="Normal"/>
    <w:autoRedefine/>
    <w:rsid w:val="00AF2327"/>
    <w:pPr>
      <w:spacing w:before="100" w:beforeAutospacing="1" w:after="100" w:afterAutospacing="1"/>
      <w:ind w:left="562" w:hanging="562"/>
    </w:pPr>
    <w:rPr>
      <w:rFonts w:cs="Arial"/>
    </w:rPr>
  </w:style>
  <w:style w:type="paragraph" w:customStyle="1" w:styleId="History">
    <w:name w:val="History"/>
    <w:basedOn w:val="Normal"/>
    <w:rsid w:val="00AF2327"/>
    <w:pPr>
      <w:spacing w:before="100" w:beforeAutospacing="1" w:after="100" w:afterAutospacing="1"/>
      <w:ind w:firstLine="567"/>
    </w:pPr>
  </w:style>
  <w:style w:type="paragraph" w:customStyle="1" w:styleId="T1">
    <w:name w:val="T1"/>
    <w:basedOn w:val="Normal"/>
    <w:rsid w:val="00AF2327"/>
    <w:pPr>
      <w:spacing w:before="240" w:after="100" w:afterAutospacing="1"/>
    </w:pPr>
    <w:rPr>
      <w:b/>
    </w:rPr>
  </w:style>
  <w:style w:type="paragraph" w:customStyle="1" w:styleId="T2">
    <w:name w:val="T2"/>
    <w:basedOn w:val="Normal"/>
    <w:rsid w:val="00AF2327"/>
    <w:pPr>
      <w:spacing w:before="240" w:after="100" w:afterAutospacing="1"/>
    </w:pPr>
  </w:style>
  <w:style w:type="paragraph" w:customStyle="1" w:styleId="Sollicitors">
    <w:name w:val="Sollicitors"/>
    <w:basedOn w:val="Normal"/>
    <w:rsid w:val="00AF2327"/>
    <w:pPr>
      <w:spacing w:before="100" w:beforeAutospacing="1" w:after="100" w:afterAutospacing="1"/>
    </w:pPr>
    <w:rPr>
      <w:i/>
    </w:rPr>
  </w:style>
  <w:style w:type="paragraph" w:customStyle="1" w:styleId="Court">
    <w:name w:val="Court"/>
    <w:basedOn w:val="Normal"/>
    <w:rsid w:val="00AF2327"/>
    <w:rPr>
      <w:rFonts w:cs="Arial"/>
      <w:b/>
      <w:szCs w:val="24"/>
    </w:rPr>
  </w:style>
  <w:style w:type="character" w:customStyle="1" w:styleId="PageChar">
    <w:name w:val="Page Char"/>
    <w:link w:val="Page"/>
    <w:rsid w:val="00AF2327"/>
    <w:rPr>
      <w:rFonts w:ascii="Arial" w:eastAsia="MS Mincho" w:hAnsi="Arial" w:cs="Times New Roman"/>
      <w:i/>
      <w:sz w:val="24"/>
      <w:szCs w:val="28"/>
      <w:lang w:val="en-CA" w:eastAsia="ja-JP"/>
    </w:rPr>
  </w:style>
  <w:style w:type="character" w:customStyle="1" w:styleId="ReasonsCar">
    <w:name w:val="Reasons Car"/>
    <w:link w:val="Reasons"/>
    <w:rsid w:val="00AF2327"/>
    <w:rPr>
      <w:rFonts w:ascii="Arial" w:eastAsia="MS Mincho" w:hAnsi="Arial" w:cs="Times New Roman"/>
      <w:sz w:val="24"/>
      <w:szCs w:val="28"/>
      <w:lang w:val="en-CA" w:eastAsia="ja-JP"/>
    </w:rPr>
  </w:style>
  <w:style w:type="paragraph" w:customStyle="1" w:styleId="CitationLine">
    <w:name w:val="CitationLine"/>
    <w:basedOn w:val="Court"/>
    <w:rsid w:val="00AF2327"/>
  </w:style>
  <w:style w:type="paragraph" w:customStyle="1" w:styleId="DateISO">
    <w:name w:val="DateISO"/>
    <w:basedOn w:val="Court"/>
    <w:rsid w:val="00AF23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LX-109_CSC_1876-1906_Template.dotx</Template>
  <TotalTime>22</TotalTime>
  <Pages>1</Pages>
  <Words>1290</Words>
  <Characters>7099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Martine Lemery</cp:lastModifiedBy>
  <cp:revision>10</cp:revision>
  <dcterms:created xsi:type="dcterms:W3CDTF">2015-03-19T12:54:00Z</dcterms:created>
  <dcterms:modified xsi:type="dcterms:W3CDTF">2017-03-14T13:17:00Z</dcterms:modified>
</cp:coreProperties>
</file>