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F1" w:rsidRPr="0006160B" w:rsidRDefault="001473F1" w:rsidP="001473F1">
      <w:pPr>
        <w:pStyle w:val="Court"/>
      </w:pPr>
      <w:r w:rsidRPr="0006160B">
        <w:t>Supreme Court of Canada</w:t>
      </w:r>
    </w:p>
    <w:p w:rsidR="001473F1" w:rsidRPr="0006160B" w:rsidRDefault="001473F1" w:rsidP="001473F1">
      <w:pPr>
        <w:pStyle w:val="CitationLine"/>
      </w:pPr>
      <w:r w:rsidRPr="0006160B">
        <w:t xml:space="preserve">Peters </w:t>
      </w:r>
      <w:r w:rsidRPr="0006160B">
        <w:rPr>
          <w:i/>
          <w:iCs/>
        </w:rPr>
        <w:t xml:space="preserve">v. </w:t>
      </w:r>
      <w:r w:rsidRPr="0006160B">
        <w:t>Worrall (1902) 32 SCR 52</w:t>
      </w:r>
    </w:p>
    <w:p w:rsidR="001473F1" w:rsidRPr="0006160B" w:rsidRDefault="001473F1" w:rsidP="001473F1">
      <w:pPr>
        <w:pStyle w:val="DateISO"/>
      </w:pPr>
      <w:r w:rsidRPr="0006160B">
        <w:t xml:space="preserve">Date: </w:t>
      </w:r>
      <w:r w:rsidR="0006160B" w:rsidRPr="0006160B">
        <w:t>1902-02-20</w:t>
      </w:r>
    </w:p>
    <w:p w:rsidR="00F73C8A" w:rsidRPr="0006160B" w:rsidRDefault="001473F1" w:rsidP="001473F1">
      <w:pPr>
        <w:pStyle w:val="Metadata"/>
      </w:pPr>
      <w:r w:rsidRPr="0006160B">
        <w:t>John Peters &amp; Co. (Defendants)</w:t>
      </w:r>
    </w:p>
    <w:p w:rsidR="00F73C8A" w:rsidRPr="0006160B" w:rsidRDefault="001473F1" w:rsidP="001473F1">
      <w:pPr>
        <w:pStyle w:val="Metadata"/>
      </w:pPr>
      <w:r w:rsidRPr="0006160B">
        <w:t>Appellants</w:t>
      </w:r>
    </w:p>
    <w:p w:rsidR="00F73C8A" w:rsidRPr="0006160B" w:rsidRDefault="001473F1" w:rsidP="001473F1">
      <w:pPr>
        <w:pStyle w:val="Metadata"/>
      </w:pPr>
      <w:r w:rsidRPr="0006160B">
        <w:t>And</w:t>
      </w:r>
    </w:p>
    <w:p w:rsidR="00F73C8A" w:rsidRPr="0006160B" w:rsidRDefault="001473F1" w:rsidP="001473F1">
      <w:pPr>
        <w:pStyle w:val="Metadata"/>
      </w:pPr>
      <w:r w:rsidRPr="0006160B">
        <w:t>Mary Worrall (Plaintiff)</w:t>
      </w:r>
    </w:p>
    <w:p w:rsidR="00F73C8A" w:rsidRPr="0006160B" w:rsidRDefault="001473F1" w:rsidP="001473F1">
      <w:pPr>
        <w:pStyle w:val="Metadata"/>
      </w:pPr>
      <w:r w:rsidRPr="0006160B">
        <w:t>Respondent</w:t>
      </w:r>
    </w:p>
    <w:p w:rsidR="001473F1" w:rsidRPr="0006160B" w:rsidRDefault="001473F1" w:rsidP="001473F1">
      <w:pPr>
        <w:pStyle w:val="Metadata"/>
      </w:pPr>
      <w:r w:rsidRPr="0006160B">
        <w:t>1901: Nov. 25; 1902: Feb. 20.</w:t>
      </w:r>
    </w:p>
    <w:p w:rsidR="001473F1" w:rsidRPr="0006160B" w:rsidRDefault="001473F1" w:rsidP="001473F1">
      <w:pPr>
        <w:pStyle w:val="Metadata"/>
        <w:rPr>
          <w:smallCaps/>
        </w:rPr>
      </w:pPr>
      <w:r w:rsidRPr="0006160B">
        <w:t>Present</w:t>
      </w:r>
      <w:r w:rsidRPr="0006160B">
        <w:rPr>
          <w:smallCaps/>
        </w:rPr>
        <w:t>:</w:t>
      </w:r>
      <w:r w:rsidRPr="0006160B">
        <w:t>—Taschereau, Sedgewick, Girouard and Davies JJ.</w:t>
      </w:r>
    </w:p>
    <w:p w:rsidR="003369B4" w:rsidRPr="0006160B" w:rsidRDefault="003369B4" w:rsidP="001473F1">
      <w:pPr>
        <w:pStyle w:val="Metadata"/>
      </w:pPr>
      <w:r w:rsidRPr="0006160B">
        <w:t>[Mr. Justice Gwynne was present at the argument but died before judgment was given.]</w:t>
      </w:r>
    </w:p>
    <w:p w:rsidR="00F73C8A" w:rsidRPr="0006160B" w:rsidRDefault="001473F1" w:rsidP="001473F1">
      <w:pPr>
        <w:pStyle w:val="Metadata"/>
      </w:pPr>
      <w:r w:rsidRPr="0006160B">
        <w:t>ON APPEAL FROM THE SUPREME COURT OF NOVA SCOTIA.</w:t>
      </w:r>
    </w:p>
    <w:p w:rsidR="00F73C8A" w:rsidRPr="0006160B" w:rsidRDefault="00F73C8A" w:rsidP="001473F1">
      <w:pPr>
        <w:pStyle w:val="Keywords"/>
      </w:pPr>
      <w:r w:rsidRPr="0006160B">
        <w:t>Action for account—Agent's returns—Compromise—Subsequent discovery of error—Rectification—Prejudice.</w:t>
      </w:r>
    </w:p>
    <w:p w:rsidR="00F73C8A" w:rsidRPr="0006160B" w:rsidRDefault="00F73C8A" w:rsidP="001473F1">
      <w:pPr>
        <w:pStyle w:val="Summary"/>
      </w:pPr>
      <w:r w:rsidRPr="0006160B">
        <w:rPr>
          <w:smallCaps/>
        </w:rPr>
        <w:t>P.</w:t>
      </w:r>
      <w:r w:rsidRPr="0006160B">
        <w:t xml:space="preserve"> was agent to manage the wharf property of </w:t>
      </w:r>
      <w:r w:rsidRPr="0006160B">
        <w:rPr>
          <w:smallCaps/>
        </w:rPr>
        <w:t>W.,</w:t>
      </w:r>
      <w:r w:rsidRPr="0006160B">
        <w:t xml:space="preserve"> and receive the rents and profits thereof, being paid by commission. When his agency terminated W. was unable to obtain an account from him and brought an action therefor which was compromised by </w:t>
      </w:r>
      <w:r w:rsidRPr="0006160B">
        <w:rPr>
          <w:smallCaps/>
        </w:rPr>
        <w:t xml:space="preserve">p. </w:t>
      </w:r>
      <w:r w:rsidRPr="0006160B">
        <w:t xml:space="preserve">paying $375 giving $125 cash and a note for the balance and receiving an assignment of all debts due to W. in respect to the wharf property during his agency, a list of which was prepared at the time. Shortly before the note became due </w:t>
      </w:r>
      <w:r w:rsidRPr="0006160B">
        <w:rPr>
          <w:smallCaps/>
        </w:rPr>
        <w:t>P.</w:t>
      </w:r>
      <w:r w:rsidRPr="0006160B">
        <w:t xml:space="preserve"> discovered that, on one of the accounts assigned to him, $100 had been paid and demanded credit on his note for that sum. This W. refused, and in an action on the note </w:t>
      </w:r>
      <w:r w:rsidRPr="0006160B">
        <w:rPr>
          <w:smallCaps/>
        </w:rPr>
        <w:t xml:space="preserve">p. </w:t>
      </w:r>
      <w:r w:rsidRPr="0006160B">
        <w:t>claimed that the error avoided the compromise and that the note was without consideration or, in the alternative, that the note should be rectified.</w:t>
      </w:r>
    </w:p>
    <w:p w:rsidR="00F73C8A" w:rsidRPr="0006160B" w:rsidRDefault="00F73C8A" w:rsidP="001473F1">
      <w:pPr>
        <w:pStyle w:val="Summary"/>
        <w:rPr>
          <w:szCs w:val="24"/>
        </w:rPr>
      </w:pPr>
      <w:r w:rsidRPr="0006160B">
        <w:rPr>
          <w:i/>
          <w:iCs/>
          <w:szCs w:val="24"/>
        </w:rPr>
        <w:t xml:space="preserve">Held, </w:t>
      </w:r>
      <w:r w:rsidRPr="0006160B">
        <w:rPr>
          <w:szCs w:val="24"/>
        </w:rPr>
        <w:t xml:space="preserve">affirming the judgment of the Supreme Court of Nova Scotia, that as it appeared that </w:t>
      </w:r>
      <w:r w:rsidRPr="0006160B">
        <w:rPr>
          <w:smallCaps/>
          <w:szCs w:val="24"/>
        </w:rPr>
        <w:t>P</w:t>
      </w:r>
      <w:r w:rsidRPr="0006160B">
        <w:rPr>
          <w:szCs w:val="24"/>
        </w:rPr>
        <w:t xml:space="preserve">.'s attorney had knowledge of the error before the compromise was effected, and as, by the compromise, W. was prevented from going fully into the accounts and perhaps establishing greater liability on the part of </w:t>
      </w:r>
      <w:r w:rsidRPr="0006160B">
        <w:rPr>
          <w:smallCaps/>
          <w:szCs w:val="24"/>
        </w:rPr>
        <w:t xml:space="preserve">P., </w:t>
      </w:r>
      <w:r w:rsidRPr="0006160B">
        <w:rPr>
          <w:szCs w:val="24"/>
        </w:rPr>
        <w:t>W. was entitled to recover the full amount of the note.</w:t>
      </w:r>
    </w:p>
    <w:p w:rsidR="00F73C8A" w:rsidRPr="0006160B" w:rsidRDefault="00F73C8A" w:rsidP="001473F1">
      <w:pPr>
        <w:pStyle w:val="History"/>
      </w:pPr>
      <w:r w:rsidRPr="0006160B">
        <w:t xml:space="preserve">Appeal from the decision of the Supreme Court of Nova Scotia reversing the judgment at the trial in so far as it allowed the defendant a deduction of $100 from the </w:t>
      </w:r>
      <w:r w:rsidRPr="0006160B">
        <w:lastRenderedPageBreak/>
        <w:t>amount of the note sued on.</w:t>
      </w:r>
    </w:p>
    <w:p w:rsidR="00F73C8A" w:rsidRPr="0006160B" w:rsidRDefault="00F73C8A" w:rsidP="001473F1">
      <w:pPr>
        <w:pStyle w:val="History"/>
        <w:rPr>
          <w:rFonts w:cs="Arial"/>
          <w:szCs w:val="24"/>
        </w:rPr>
      </w:pPr>
      <w:r w:rsidRPr="0006160B">
        <w:rPr>
          <w:rFonts w:cs="Arial"/>
          <w:szCs w:val="24"/>
        </w:rPr>
        <w:t>The action was on a promissory note given to settle a suit for an account as stated in the above head-note.</w:t>
      </w:r>
    </w:p>
    <w:p w:rsidR="00F73C8A" w:rsidRPr="0006160B" w:rsidRDefault="000A1E32" w:rsidP="000A1E32">
      <w:pPr>
        <w:pStyle w:val="Page"/>
      </w:pPr>
      <w:r w:rsidRPr="0006160B">
        <w:rPr>
          <w:rFonts w:cs="Arial"/>
          <w:szCs w:val="24"/>
        </w:rPr>
        <w:t xml:space="preserve">[Page </w:t>
      </w:r>
      <w:r w:rsidR="00F73C8A" w:rsidRPr="0006160B">
        <w:rPr>
          <w:rFonts w:cs="Arial"/>
          <w:szCs w:val="24"/>
        </w:rPr>
        <w:t>53]</w:t>
      </w:r>
    </w:p>
    <w:p w:rsidR="00F73C8A" w:rsidRPr="0006160B" w:rsidRDefault="00F73C8A" w:rsidP="003369B4">
      <w:pPr>
        <w:pStyle w:val="History"/>
        <w:ind w:firstLine="0"/>
        <w:rPr>
          <w:rFonts w:cs="Arial"/>
          <w:szCs w:val="24"/>
        </w:rPr>
      </w:pPr>
      <w:r w:rsidRPr="0006160B">
        <w:rPr>
          <w:rFonts w:cs="Arial"/>
          <w:szCs w:val="24"/>
        </w:rPr>
        <w:t>The defence set up was the error above stated and, by way of counterclaim it was asked that the action should be dismissed on the ground that the compromise was void and inoperative, and the note given without consideration, or, in the alternative, that the note be rectified by $100 being indorsed on it as a payment.</w:t>
      </w:r>
    </w:p>
    <w:p w:rsidR="00F73C8A" w:rsidRPr="0006160B" w:rsidRDefault="00F73C8A" w:rsidP="003369B4">
      <w:pPr>
        <w:pStyle w:val="History"/>
        <w:rPr>
          <w:rFonts w:cs="Arial"/>
          <w:szCs w:val="24"/>
        </w:rPr>
      </w:pPr>
      <w:r w:rsidRPr="0006160B">
        <w:rPr>
          <w:rFonts w:cs="Arial"/>
          <w:szCs w:val="24"/>
        </w:rPr>
        <w:t>The trial judge held that the error was due to defendant's own carelessness but plaintiff could not take advantage of it to get $100 more than she was entitled to. Defendant appealed asking for dismissal of the action, or, at all events, for reversal of the judgment against him for costs. The plaintiff cross-appealed, claiming judgment for the full amount of the note. The appeal was dismissed and the cross-appeal allowed. The defendant then appealed to the Supreme Court.</w:t>
      </w:r>
    </w:p>
    <w:p w:rsidR="00F73C8A" w:rsidRPr="0006160B" w:rsidRDefault="00F73C8A" w:rsidP="003369B4">
      <w:pPr>
        <w:pStyle w:val="History"/>
        <w:rPr>
          <w:rFonts w:cs="Arial"/>
          <w:szCs w:val="24"/>
        </w:rPr>
      </w:pPr>
      <w:r w:rsidRPr="0006160B">
        <w:rPr>
          <w:rFonts w:cs="Arial"/>
          <w:i/>
          <w:iCs/>
          <w:szCs w:val="24"/>
        </w:rPr>
        <w:t xml:space="preserve">Drysdale K.C. </w:t>
      </w:r>
      <w:r w:rsidRPr="0006160B">
        <w:rPr>
          <w:rFonts w:cs="Arial"/>
          <w:szCs w:val="24"/>
        </w:rPr>
        <w:t xml:space="preserve">and </w:t>
      </w:r>
      <w:r w:rsidRPr="0006160B">
        <w:rPr>
          <w:rFonts w:cs="Arial"/>
          <w:i/>
          <w:iCs/>
          <w:szCs w:val="24"/>
        </w:rPr>
        <w:t xml:space="preserve">Mellish </w:t>
      </w:r>
      <w:r w:rsidRPr="0006160B">
        <w:rPr>
          <w:rFonts w:cs="Arial"/>
          <w:szCs w:val="24"/>
        </w:rPr>
        <w:t xml:space="preserve">for the appellant. A contract incapable of performance by reason of mutual mistake is void. </w:t>
      </w:r>
      <w:r w:rsidRPr="0006160B">
        <w:rPr>
          <w:rFonts w:cs="Arial"/>
          <w:i/>
          <w:iCs/>
          <w:szCs w:val="24"/>
        </w:rPr>
        <w:t xml:space="preserve">Durham </w:t>
      </w:r>
      <w:r w:rsidRPr="0006160B">
        <w:rPr>
          <w:rFonts w:cs="Arial"/>
          <w:szCs w:val="24"/>
        </w:rPr>
        <w:t xml:space="preserve">v. </w:t>
      </w:r>
      <w:r w:rsidRPr="0006160B">
        <w:rPr>
          <w:rFonts w:cs="Arial"/>
          <w:i/>
          <w:iCs/>
          <w:szCs w:val="24"/>
        </w:rPr>
        <w:t>Legard</w:t>
      </w:r>
      <w:r w:rsidR="00574DBC" w:rsidRPr="0006160B">
        <w:rPr>
          <w:rStyle w:val="FootnoteReference"/>
          <w:rFonts w:cs="Arial"/>
          <w:i/>
          <w:iCs/>
          <w:szCs w:val="24"/>
        </w:rPr>
        <w:footnoteReference w:id="2"/>
      </w:r>
      <w:r w:rsidRPr="0006160B">
        <w:rPr>
          <w:rFonts w:cs="Arial"/>
          <w:szCs w:val="24"/>
        </w:rPr>
        <w:t xml:space="preserve">; </w:t>
      </w:r>
      <w:r w:rsidRPr="0006160B">
        <w:rPr>
          <w:rFonts w:cs="Arial"/>
          <w:i/>
          <w:iCs/>
          <w:szCs w:val="24"/>
        </w:rPr>
        <w:t xml:space="preserve">Couturier </w:t>
      </w:r>
      <w:r w:rsidRPr="0006160B">
        <w:rPr>
          <w:rFonts w:cs="Arial"/>
          <w:szCs w:val="24"/>
        </w:rPr>
        <w:t xml:space="preserve">v. </w:t>
      </w:r>
      <w:r w:rsidRPr="0006160B">
        <w:rPr>
          <w:rFonts w:cs="Arial"/>
          <w:i/>
          <w:iCs/>
          <w:szCs w:val="24"/>
        </w:rPr>
        <w:t>Hastie</w:t>
      </w:r>
      <w:r w:rsidR="00574DBC" w:rsidRPr="0006160B">
        <w:rPr>
          <w:rStyle w:val="FootnoteReference"/>
          <w:rFonts w:cs="Arial"/>
          <w:i/>
          <w:iCs/>
          <w:szCs w:val="24"/>
        </w:rPr>
        <w:footnoteReference w:id="3"/>
      </w:r>
      <w:r w:rsidRPr="0006160B">
        <w:rPr>
          <w:rFonts w:cs="Arial"/>
          <w:szCs w:val="24"/>
        </w:rPr>
        <w:t xml:space="preserve">. If respondent was not mistaken she was guilty of fraud in undertaking to assign to appellant a debt which she knew did not exist. </w:t>
      </w:r>
      <w:r w:rsidRPr="0006160B">
        <w:rPr>
          <w:rFonts w:cs="Arial"/>
          <w:i/>
          <w:iCs/>
          <w:szCs w:val="24"/>
        </w:rPr>
        <w:t xml:space="preserve">Paget </w:t>
      </w:r>
      <w:r w:rsidRPr="0006160B">
        <w:rPr>
          <w:rFonts w:cs="Arial"/>
          <w:szCs w:val="24"/>
        </w:rPr>
        <w:t xml:space="preserve">v. </w:t>
      </w:r>
      <w:r w:rsidRPr="0006160B">
        <w:rPr>
          <w:rFonts w:cs="Arial"/>
          <w:i/>
          <w:iCs/>
          <w:szCs w:val="24"/>
        </w:rPr>
        <w:t>Marshall</w:t>
      </w:r>
      <w:r w:rsidR="00574DBC" w:rsidRPr="0006160B">
        <w:rPr>
          <w:rStyle w:val="FootnoteReference"/>
          <w:rFonts w:cs="Arial"/>
          <w:i/>
          <w:iCs/>
          <w:szCs w:val="24"/>
        </w:rPr>
        <w:footnoteReference w:id="4"/>
      </w:r>
      <w:r w:rsidRPr="0006160B">
        <w:rPr>
          <w:rFonts w:cs="Arial"/>
          <w:szCs w:val="24"/>
        </w:rPr>
        <w:t xml:space="preserve">; </w:t>
      </w:r>
      <w:r w:rsidRPr="0006160B">
        <w:rPr>
          <w:rFonts w:cs="Arial"/>
          <w:i/>
          <w:iCs/>
          <w:szCs w:val="24"/>
        </w:rPr>
        <w:t xml:space="preserve">New London Credit Syndicate </w:t>
      </w:r>
      <w:r w:rsidRPr="0006160B">
        <w:rPr>
          <w:rFonts w:cs="Arial"/>
          <w:szCs w:val="24"/>
        </w:rPr>
        <w:t xml:space="preserve">v. </w:t>
      </w:r>
      <w:r w:rsidRPr="0006160B">
        <w:rPr>
          <w:rFonts w:cs="Arial"/>
          <w:i/>
          <w:iCs/>
          <w:szCs w:val="24"/>
        </w:rPr>
        <w:t>Neale</w:t>
      </w:r>
      <w:r w:rsidR="00574DBC" w:rsidRPr="0006160B">
        <w:rPr>
          <w:rStyle w:val="FootnoteReference"/>
          <w:rFonts w:cs="Arial"/>
          <w:i/>
          <w:iCs/>
          <w:szCs w:val="24"/>
        </w:rPr>
        <w:footnoteReference w:id="5"/>
      </w:r>
      <w:r w:rsidRPr="0006160B">
        <w:rPr>
          <w:rFonts w:cs="Arial"/>
          <w:szCs w:val="24"/>
        </w:rPr>
        <w:t xml:space="preserve">; </w:t>
      </w:r>
      <w:r w:rsidRPr="0006160B">
        <w:rPr>
          <w:rFonts w:cs="Arial"/>
          <w:i/>
          <w:iCs/>
          <w:szCs w:val="24"/>
        </w:rPr>
        <w:t xml:space="preserve">Ward </w:t>
      </w:r>
      <w:r w:rsidRPr="0006160B">
        <w:rPr>
          <w:rFonts w:cs="Arial"/>
          <w:szCs w:val="24"/>
        </w:rPr>
        <w:t xml:space="preserve">v. </w:t>
      </w:r>
      <w:r w:rsidRPr="0006160B">
        <w:rPr>
          <w:rFonts w:cs="Arial"/>
          <w:i/>
          <w:iCs/>
          <w:szCs w:val="24"/>
        </w:rPr>
        <w:t>Wallis</w:t>
      </w:r>
      <w:r w:rsidR="00574DBC" w:rsidRPr="0006160B">
        <w:rPr>
          <w:rStyle w:val="FootnoteReference"/>
          <w:rFonts w:cs="Arial"/>
          <w:i/>
          <w:iCs/>
          <w:szCs w:val="24"/>
        </w:rPr>
        <w:footnoteReference w:id="6"/>
      </w:r>
      <w:r w:rsidRPr="0006160B">
        <w:rPr>
          <w:rFonts w:cs="Arial"/>
          <w:szCs w:val="24"/>
        </w:rPr>
        <w:t xml:space="preserve">; </w:t>
      </w:r>
      <w:r w:rsidRPr="0006160B">
        <w:rPr>
          <w:rFonts w:cs="Arial"/>
          <w:i/>
          <w:iCs/>
          <w:szCs w:val="24"/>
        </w:rPr>
        <w:t xml:space="preserve">May </w:t>
      </w:r>
      <w:r w:rsidRPr="0006160B">
        <w:rPr>
          <w:rFonts w:cs="Arial"/>
          <w:szCs w:val="24"/>
        </w:rPr>
        <w:t xml:space="preserve">v. </w:t>
      </w:r>
      <w:r w:rsidRPr="0006160B">
        <w:rPr>
          <w:rFonts w:cs="Arial"/>
          <w:i/>
          <w:iCs/>
          <w:szCs w:val="24"/>
        </w:rPr>
        <w:t>Piatt</w:t>
      </w:r>
      <w:r w:rsidR="00574DBC" w:rsidRPr="0006160B">
        <w:rPr>
          <w:rStyle w:val="FootnoteReference"/>
          <w:rFonts w:cs="Arial"/>
          <w:i/>
          <w:iCs/>
          <w:szCs w:val="24"/>
        </w:rPr>
        <w:footnoteReference w:id="7"/>
      </w:r>
      <w:r w:rsidRPr="0006160B">
        <w:rPr>
          <w:rFonts w:cs="Arial"/>
          <w:szCs w:val="24"/>
        </w:rPr>
        <w:t xml:space="preserve">; </w:t>
      </w:r>
      <w:r w:rsidRPr="0006160B">
        <w:rPr>
          <w:rFonts w:cs="Arial"/>
          <w:i/>
          <w:iCs/>
          <w:szCs w:val="24"/>
        </w:rPr>
        <w:t>Wright's case</w:t>
      </w:r>
      <w:r w:rsidR="00574DBC" w:rsidRPr="0006160B">
        <w:rPr>
          <w:rStyle w:val="FootnoteReference"/>
          <w:rFonts w:cs="Arial"/>
          <w:i/>
          <w:iCs/>
          <w:szCs w:val="24"/>
        </w:rPr>
        <w:footnoteReference w:id="8"/>
      </w:r>
      <w:r w:rsidRPr="0006160B">
        <w:rPr>
          <w:rFonts w:cs="Arial"/>
          <w:szCs w:val="24"/>
        </w:rPr>
        <w:t>; Pollock on Contracts (4 ed.) Bl. Ser. p. 573.</w:t>
      </w:r>
    </w:p>
    <w:p w:rsidR="00F73C8A" w:rsidRPr="0006160B" w:rsidRDefault="00F73C8A" w:rsidP="003369B4">
      <w:pPr>
        <w:pStyle w:val="History"/>
        <w:rPr>
          <w:rFonts w:cs="Arial"/>
          <w:szCs w:val="24"/>
        </w:rPr>
      </w:pPr>
      <w:r w:rsidRPr="0006160B">
        <w:rPr>
          <w:rFonts w:cs="Arial"/>
          <w:i/>
          <w:iCs/>
          <w:szCs w:val="24"/>
        </w:rPr>
        <w:t xml:space="preserve">Harrington K.C </w:t>
      </w:r>
      <w:r w:rsidRPr="0006160B">
        <w:rPr>
          <w:rFonts w:cs="Arial"/>
          <w:szCs w:val="24"/>
        </w:rPr>
        <w:t xml:space="preserve">for the respondent. The fact that the note was given in compromise of pending litigation places this case in a category specially recognized by the law. </w:t>
      </w:r>
      <w:r w:rsidRPr="0006160B">
        <w:rPr>
          <w:rFonts w:cs="Arial"/>
          <w:i/>
          <w:iCs/>
          <w:szCs w:val="24"/>
        </w:rPr>
        <w:t xml:space="preserve">Paget </w:t>
      </w:r>
      <w:r w:rsidRPr="0006160B">
        <w:rPr>
          <w:rFonts w:cs="Arial"/>
          <w:szCs w:val="24"/>
        </w:rPr>
        <w:t xml:space="preserve">v. </w:t>
      </w:r>
      <w:r w:rsidRPr="0006160B">
        <w:rPr>
          <w:rFonts w:cs="Arial"/>
          <w:i/>
          <w:iCs/>
          <w:szCs w:val="24"/>
        </w:rPr>
        <w:t xml:space="preserve">Marshall </w:t>
      </w:r>
      <w:r w:rsidRPr="0006160B">
        <w:rPr>
          <w:rFonts w:cs="Arial"/>
          <w:szCs w:val="24"/>
        </w:rPr>
        <w:t xml:space="preserve">(3); Kerr on Mistake pp. 474, 475, 478; </w:t>
      </w:r>
      <w:r w:rsidRPr="0006160B">
        <w:rPr>
          <w:rFonts w:cs="Arial"/>
          <w:i/>
          <w:iCs/>
          <w:szCs w:val="24"/>
        </w:rPr>
        <w:t xml:space="preserve">Trigge </w:t>
      </w:r>
      <w:r w:rsidRPr="0006160B">
        <w:rPr>
          <w:rFonts w:cs="Arial"/>
          <w:szCs w:val="24"/>
        </w:rPr>
        <w:t xml:space="preserve">v. </w:t>
      </w:r>
      <w:r w:rsidRPr="0006160B">
        <w:rPr>
          <w:rFonts w:cs="Arial"/>
          <w:i/>
          <w:iCs/>
          <w:szCs w:val="24"/>
        </w:rPr>
        <w:t>Lavallée</w:t>
      </w:r>
      <w:r w:rsidR="00574DBC" w:rsidRPr="0006160B">
        <w:rPr>
          <w:rStyle w:val="FootnoteReference"/>
          <w:rFonts w:cs="Arial"/>
          <w:i/>
          <w:iCs/>
          <w:szCs w:val="24"/>
        </w:rPr>
        <w:footnoteReference w:id="9"/>
      </w:r>
      <w:r w:rsidRPr="0006160B">
        <w:rPr>
          <w:rFonts w:cs="Arial"/>
          <w:szCs w:val="24"/>
        </w:rPr>
        <w:t xml:space="preserve">: </w:t>
      </w:r>
      <w:r w:rsidRPr="0006160B">
        <w:rPr>
          <w:rFonts w:cs="Arial"/>
          <w:i/>
          <w:iCs/>
          <w:szCs w:val="24"/>
        </w:rPr>
        <w:t xml:space="preserve">Dixon </w:t>
      </w:r>
      <w:r w:rsidRPr="0006160B">
        <w:rPr>
          <w:rFonts w:cs="Arial"/>
          <w:szCs w:val="24"/>
        </w:rPr>
        <w:t xml:space="preserve">v. </w:t>
      </w:r>
      <w:r w:rsidRPr="0006160B">
        <w:rPr>
          <w:rFonts w:cs="Arial"/>
          <w:i/>
          <w:iCs/>
          <w:szCs w:val="24"/>
        </w:rPr>
        <w:t>Evans</w:t>
      </w:r>
      <w:r w:rsidR="00574DBC" w:rsidRPr="0006160B">
        <w:rPr>
          <w:rStyle w:val="FootnoteReference"/>
          <w:rFonts w:cs="Arial"/>
          <w:i/>
          <w:iCs/>
          <w:szCs w:val="24"/>
        </w:rPr>
        <w:footnoteReference w:id="10"/>
      </w:r>
      <w:r w:rsidRPr="0006160B">
        <w:rPr>
          <w:rFonts w:cs="Arial"/>
          <w:i/>
          <w:iCs/>
          <w:szCs w:val="24"/>
        </w:rPr>
        <w:t xml:space="preserve">; Pickering </w:t>
      </w:r>
      <w:r w:rsidRPr="0006160B">
        <w:rPr>
          <w:rFonts w:cs="Arial"/>
          <w:szCs w:val="24"/>
        </w:rPr>
        <w:t xml:space="preserve">v. </w:t>
      </w:r>
      <w:r w:rsidRPr="0006160B">
        <w:rPr>
          <w:rFonts w:cs="Arial"/>
          <w:i/>
          <w:iCs/>
          <w:szCs w:val="24"/>
        </w:rPr>
        <w:t>Pickering</w:t>
      </w:r>
      <w:r w:rsidR="00574DBC" w:rsidRPr="0006160B">
        <w:rPr>
          <w:rStyle w:val="FootnoteReference"/>
          <w:rFonts w:cs="Arial"/>
          <w:i/>
          <w:iCs/>
          <w:szCs w:val="24"/>
        </w:rPr>
        <w:footnoteReference w:id="11"/>
      </w:r>
      <w:r w:rsidRPr="0006160B">
        <w:rPr>
          <w:rFonts w:cs="Arial"/>
          <w:szCs w:val="24"/>
        </w:rPr>
        <w:t xml:space="preserve">; </w:t>
      </w:r>
      <w:r w:rsidRPr="0006160B">
        <w:rPr>
          <w:rFonts w:cs="Arial"/>
          <w:i/>
          <w:iCs/>
          <w:szCs w:val="24"/>
        </w:rPr>
        <w:t xml:space="preserve">Beauchamp </w:t>
      </w:r>
      <w:r w:rsidRPr="0006160B">
        <w:rPr>
          <w:rFonts w:cs="Arial"/>
          <w:szCs w:val="24"/>
        </w:rPr>
        <w:t xml:space="preserve">v. </w:t>
      </w:r>
      <w:r w:rsidRPr="0006160B">
        <w:rPr>
          <w:rFonts w:cs="Arial"/>
          <w:i/>
          <w:iCs/>
          <w:szCs w:val="24"/>
        </w:rPr>
        <w:t>Wynn</w:t>
      </w:r>
      <w:r w:rsidR="00574DBC" w:rsidRPr="0006160B">
        <w:rPr>
          <w:rStyle w:val="FootnoteReference"/>
          <w:rFonts w:cs="Arial"/>
          <w:i/>
          <w:iCs/>
          <w:szCs w:val="24"/>
        </w:rPr>
        <w:footnoteReference w:id="12"/>
      </w:r>
      <w:r w:rsidRPr="0006160B">
        <w:rPr>
          <w:rFonts w:cs="Arial"/>
          <w:szCs w:val="24"/>
        </w:rPr>
        <w:t>.</w:t>
      </w:r>
    </w:p>
    <w:p w:rsidR="00F73C8A" w:rsidRPr="0006160B" w:rsidRDefault="000A1E32" w:rsidP="000A1E32">
      <w:pPr>
        <w:pStyle w:val="Page"/>
      </w:pPr>
      <w:r w:rsidRPr="0006160B">
        <w:rPr>
          <w:rFonts w:cs="Arial"/>
          <w:szCs w:val="24"/>
        </w:rPr>
        <w:t xml:space="preserve">[Page </w:t>
      </w:r>
      <w:r w:rsidR="00F73C8A" w:rsidRPr="0006160B">
        <w:rPr>
          <w:rFonts w:cs="Arial"/>
          <w:szCs w:val="24"/>
        </w:rPr>
        <w:t>54]</w:t>
      </w:r>
    </w:p>
    <w:p w:rsidR="00F73C8A" w:rsidRPr="0006160B" w:rsidRDefault="00F73C8A" w:rsidP="003369B4">
      <w:pPr>
        <w:pStyle w:val="Reasons"/>
      </w:pPr>
      <w:r w:rsidRPr="0006160B">
        <w:t>The judgment of the court was delivered by:</w:t>
      </w:r>
    </w:p>
    <w:p w:rsidR="00F73C8A" w:rsidRPr="0006160B" w:rsidRDefault="003369B4" w:rsidP="003369B4">
      <w:pPr>
        <w:pStyle w:val="Reasons"/>
        <w:rPr>
          <w:rFonts w:cs="Arial"/>
          <w:szCs w:val="24"/>
        </w:rPr>
      </w:pPr>
      <w:r w:rsidRPr="0006160B">
        <w:t>DAVIES</w:t>
      </w:r>
      <w:r w:rsidRPr="0006160B">
        <w:rPr>
          <w:rFonts w:cs="Arial"/>
          <w:smallCaps/>
          <w:szCs w:val="24"/>
        </w:rPr>
        <w:t xml:space="preserve"> </w:t>
      </w:r>
      <w:r w:rsidR="00F73C8A" w:rsidRPr="0006160B">
        <w:rPr>
          <w:rFonts w:cs="Arial"/>
          <w:szCs w:val="24"/>
        </w:rPr>
        <w:t xml:space="preserve">J.—I am of opinion this appeal should be dismissed. The alleged mistake of </w:t>
      </w:r>
      <w:r w:rsidR="00F73C8A" w:rsidRPr="0006160B">
        <w:rPr>
          <w:rFonts w:cs="Arial"/>
          <w:szCs w:val="24"/>
        </w:rPr>
        <w:lastRenderedPageBreak/>
        <w:t xml:space="preserve">$100 was known to Worrall's attorney at the time the settlement was being negotiated. He communicated the knowledge to Peters's attorney with whom the negotiations were carried on. At any rate the fact that Peter's attorney had such knowledge at the time he agreed to the settlement was found by the learned Chief Justice who tried the cause and on evidence which I think fully justified the finding. With full knowledge therefore of the necessary facts on both sides, a settlement of outstanding accounts was proposed and accepted, and it is now contended that this settlement should be upset because the written memorandum in which the negotiations were conducted showed one of the accounts which Peters was to have had assigned to him to be $100 larger than it really was. It does not appear to me that this fact, known to the attorneys of the parties at the time and acted upon by both of them, should be allowed to operate to defeat </w:t>
      </w:r>
      <w:r w:rsidR="00F73C8A" w:rsidRPr="0006160B">
        <w:rPr>
          <w:rFonts w:cs="Arial"/>
          <w:szCs w:val="24"/>
          <w:lang w:val="it-IT"/>
        </w:rPr>
        <w:t xml:space="preserve">the </w:t>
      </w:r>
      <w:r w:rsidR="00F73C8A" w:rsidRPr="0006160B">
        <w:rPr>
          <w:rFonts w:cs="Arial"/>
          <w:szCs w:val="24"/>
        </w:rPr>
        <w:t>agreed settlement. In itself the settlement appears to be a fair one and if the $100 was deducted from the amount Peters agreed to pay he would be gaining an unjust advantage.</w:t>
      </w:r>
    </w:p>
    <w:p w:rsidR="00F73C8A" w:rsidRPr="0006160B" w:rsidRDefault="00F73C8A" w:rsidP="003369B4">
      <w:pPr>
        <w:pStyle w:val="Reasons"/>
        <w:rPr>
          <w:rFonts w:cs="Arial"/>
          <w:szCs w:val="24"/>
        </w:rPr>
      </w:pPr>
      <w:r w:rsidRPr="0006160B">
        <w:rPr>
          <w:rFonts w:cs="Arial"/>
          <w:szCs w:val="24"/>
        </w:rPr>
        <w:t>The appeal should be dismissed with costs.</w:t>
      </w:r>
    </w:p>
    <w:p w:rsidR="00F73C8A" w:rsidRPr="0006160B" w:rsidRDefault="00F73C8A" w:rsidP="003369B4">
      <w:pPr>
        <w:pStyle w:val="Reasons"/>
      </w:pPr>
      <w:r w:rsidRPr="0006160B">
        <w:t>Appeal dismissed with costs.</w:t>
      </w:r>
    </w:p>
    <w:p w:rsidR="00F73C8A" w:rsidRPr="0006160B" w:rsidRDefault="00F73C8A" w:rsidP="003369B4">
      <w:pPr>
        <w:pStyle w:val="Sollicitors"/>
        <w:rPr>
          <w:iCs/>
        </w:rPr>
      </w:pPr>
      <w:r w:rsidRPr="0006160B">
        <w:t xml:space="preserve">Solicitor for the appellant: </w:t>
      </w:r>
      <w:r w:rsidRPr="0006160B">
        <w:rPr>
          <w:iCs/>
        </w:rPr>
        <w:t>F. F. Mathers.</w:t>
      </w:r>
    </w:p>
    <w:p w:rsidR="003824D9" w:rsidRDefault="00F73C8A" w:rsidP="003369B4">
      <w:pPr>
        <w:pStyle w:val="Sollicitors"/>
      </w:pPr>
      <w:r w:rsidRPr="0006160B">
        <w:t xml:space="preserve">Solicitor for the respondent: </w:t>
      </w:r>
      <w:r w:rsidRPr="0006160B">
        <w:rPr>
          <w:iCs/>
        </w:rPr>
        <w:t>C. P.</w:t>
      </w:r>
      <w:r w:rsidRPr="0006160B">
        <w:t xml:space="preserve"> </w:t>
      </w:r>
      <w:r w:rsidRPr="0006160B">
        <w:rPr>
          <w:iCs/>
        </w:rPr>
        <w:t>Fullerton.</w:t>
      </w:r>
    </w:p>
    <w:sectPr w:rsidR="003824D9" w:rsidSect="00F73C8A">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EBA" w:rsidRDefault="001E3EBA" w:rsidP="00F73C8A">
      <w:r>
        <w:separator/>
      </w:r>
    </w:p>
  </w:endnote>
  <w:endnote w:type="continuationSeparator" w:id="1">
    <w:p w:rsidR="001E3EBA" w:rsidRDefault="001E3EBA" w:rsidP="00F73C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8A" w:rsidRDefault="00F73C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8A" w:rsidRDefault="00F73C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8A" w:rsidRDefault="00F73C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EBA" w:rsidRDefault="001E3EBA" w:rsidP="00F73C8A">
      <w:r>
        <w:separator/>
      </w:r>
    </w:p>
  </w:footnote>
  <w:footnote w:type="continuationSeparator" w:id="1">
    <w:p w:rsidR="001E3EBA" w:rsidRDefault="001E3EBA" w:rsidP="00F73C8A">
      <w:r>
        <w:continuationSeparator/>
      </w:r>
    </w:p>
  </w:footnote>
  <w:footnote w:id="2">
    <w:p w:rsidR="00574DBC" w:rsidRPr="00574DBC" w:rsidRDefault="00574DBC">
      <w:pPr>
        <w:pStyle w:val="FootnoteText"/>
        <w:rPr>
          <w:lang w:val="en-US"/>
        </w:rPr>
      </w:pPr>
      <w:r>
        <w:rPr>
          <w:rStyle w:val="FootnoteReference"/>
        </w:rPr>
        <w:footnoteRef/>
      </w:r>
      <w:r>
        <w:t xml:space="preserve"> </w:t>
      </w:r>
      <w:r>
        <w:rPr>
          <w:rFonts w:cs="Arial"/>
          <w:szCs w:val="24"/>
        </w:rPr>
        <w:t>34 Beav. 611.</w:t>
      </w:r>
    </w:p>
  </w:footnote>
  <w:footnote w:id="3">
    <w:p w:rsidR="00574DBC" w:rsidRPr="00574DBC" w:rsidRDefault="00574DBC">
      <w:pPr>
        <w:pStyle w:val="FootnoteText"/>
        <w:rPr>
          <w:lang w:val="en-US"/>
        </w:rPr>
      </w:pPr>
      <w:r>
        <w:rPr>
          <w:rStyle w:val="FootnoteReference"/>
        </w:rPr>
        <w:footnoteRef/>
      </w:r>
      <w:r>
        <w:t xml:space="preserve"> </w:t>
      </w:r>
      <w:r>
        <w:rPr>
          <w:rFonts w:cs="Arial"/>
          <w:szCs w:val="24"/>
        </w:rPr>
        <w:t>9 Ex 102.</w:t>
      </w:r>
    </w:p>
  </w:footnote>
  <w:footnote w:id="4">
    <w:p w:rsidR="00574DBC" w:rsidRPr="00574DBC" w:rsidRDefault="00574DBC">
      <w:pPr>
        <w:pStyle w:val="FootnoteText"/>
        <w:rPr>
          <w:lang w:val="en-US"/>
        </w:rPr>
      </w:pPr>
      <w:r>
        <w:rPr>
          <w:rStyle w:val="FootnoteReference"/>
        </w:rPr>
        <w:footnoteRef/>
      </w:r>
      <w:r>
        <w:t xml:space="preserve"> </w:t>
      </w:r>
      <w:r>
        <w:rPr>
          <w:rFonts w:cs="Arial"/>
          <w:szCs w:val="24"/>
        </w:rPr>
        <w:t>L. R. 28 Ch. D. 255.</w:t>
      </w:r>
    </w:p>
  </w:footnote>
  <w:footnote w:id="5">
    <w:p w:rsidR="00574DBC" w:rsidRPr="00574DBC" w:rsidRDefault="00574DBC">
      <w:pPr>
        <w:pStyle w:val="FootnoteText"/>
        <w:rPr>
          <w:lang w:val="en-US"/>
        </w:rPr>
      </w:pPr>
      <w:r>
        <w:rPr>
          <w:rStyle w:val="FootnoteReference"/>
        </w:rPr>
        <w:footnoteRef/>
      </w:r>
      <w:r>
        <w:t xml:space="preserve"> </w:t>
      </w:r>
      <w:r>
        <w:rPr>
          <w:rFonts w:cs="Arial"/>
          <w:szCs w:val="24"/>
        </w:rPr>
        <w:t>[1898] 2 Q. B. 487.</w:t>
      </w:r>
    </w:p>
  </w:footnote>
  <w:footnote w:id="6">
    <w:p w:rsidR="00574DBC" w:rsidRPr="00574DBC" w:rsidRDefault="00574DBC">
      <w:pPr>
        <w:pStyle w:val="FootnoteText"/>
        <w:rPr>
          <w:lang w:val="en-US"/>
        </w:rPr>
      </w:pPr>
      <w:r>
        <w:rPr>
          <w:rStyle w:val="FootnoteReference"/>
        </w:rPr>
        <w:footnoteRef/>
      </w:r>
      <w:r>
        <w:t xml:space="preserve"> </w:t>
      </w:r>
      <w:r>
        <w:rPr>
          <w:rFonts w:cs="Arial"/>
          <w:szCs w:val="24"/>
        </w:rPr>
        <w:t>[1900] 1 Q. B 675.</w:t>
      </w:r>
    </w:p>
  </w:footnote>
  <w:footnote w:id="7">
    <w:p w:rsidR="00574DBC" w:rsidRPr="00574DBC" w:rsidRDefault="00574DBC">
      <w:pPr>
        <w:pStyle w:val="FootnoteText"/>
        <w:rPr>
          <w:lang w:val="en-US"/>
        </w:rPr>
      </w:pPr>
      <w:r>
        <w:rPr>
          <w:rStyle w:val="FootnoteReference"/>
        </w:rPr>
        <w:footnoteRef/>
      </w:r>
      <w:r>
        <w:t xml:space="preserve"> </w:t>
      </w:r>
      <w:r>
        <w:rPr>
          <w:rFonts w:cs="Arial"/>
          <w:szCs w:val="24"/>
        </w:rPr>
        <w:t>[1900] 1 Ch. 616.</w:t>
      </w:r>
    </w:p>
  </w:footnote>
  <w:footnote w:id="8">
    <w:p w:rsidR="00574DBC" w:rsidRPr="00574DBC" w:rsidRDefault="00574DBC">
      <w:pPr>
        <w:pStyle w:val="FootnoteText"/>
        <w:rPr>
          <w:lang w:val="en-US"/>
        </w:rPr>
      </w:pPr>
      <w:r>
        <w:rPr>
          <w:rStyle w:val="FootnoteReference"/>
        </w:rPr>
        <w:footnoteRef/>
      </w:r>
      <w:r>
        <w:t xml:space="preserve"> </w:t>
      </w:r>
      <w:r>
        <w:rPr>
          <w:rFonts w:cs="Arial"/>
          <w:szCs w:val="24"/>
        </w:rPr>
        <w:t>L. E. 7 Ch. App. 55.</w:t>
      </w:r>
    </w:p>
  </w:footnote>
  <w:footnote w:id="9">
    <w:p w:rsidR="00574DBC" w:rsidRPr="00574DBC" w:rsidRDefault="00574DBC">
      <w:pPr>
        <w:pStyle w:val="FootnoteText"/>
        <w:rPr>
          <w:lang w:val="en-US"/>
        </w:rPr>
      </w:pPr>
      <w:r>
        <w:rPr>
          <w:rStyle w:val="FootnoteReference"/>
        </w:rPr>
        <w:footnoteRef/>
      </w:r>
      <w:r>
        <w:t xml:space="preserve"> </w:t>
      </w:r>
      <w:r>
        <w:rPr>
          <w:rFonts w:cs="Arial"/>
          <w:szCs w:val="24"/>
        </w:rPr>
        <w:t xml:space="preserve">15 Moo. </w:t>
      </w:r>
      <w:r>
        <w:rPr>
          <w:rFonts w:cs="Arial"/>
          <w:smallCaps/>
          <w:szCs w:val="24"/>
        </w:rPr>
        <w:t xml:space="preserve">P. </w:t>
      </w:r>
      <w:r>
        <w:rPr>
          <w:rFonts w:cs="Arial"/>
          <w:szCs w:val="24"/>
        </w:rPr>
        <w:t>C. 270.</w:t>
      </w:r>
    </w:p>
  </w:footnote>
  <w:footnote w:id="10">
    <w:p w:rsidR="00574DBC" w:rsidRPr="00574DBC" w:rsidRDefault="00574DBC">
      <w:pPr>
        <w:pStyle w:val="FootnoteText"/>
        <w:rPr>
          <w:lang w:val="en-US"/>
        </w:rPr>
      </w:pPr>
      <w:r>
        <w:rPr>
          <w:rStyle w:val="FootnoteReference"/>
        </w:rPr>
        <w:footnoteRef/>
      </w:r>
      <w:r>
        <w:t xml:space="preserve"> </w:t>
      </w:r>
      <w:r>
        <w:rPr>
          <w:rFonts w:cs="Arial"/>
          <w:szCs w:val="24"/>
        </w:rPr>
        <w:t>L. R. 5 H. L. 606.</w:t>
      </w:r>
    </w:p>
  </w:footnote>
  <w:footnote w:id="11">
    <w:p w:rsidR="00574DBC" w:rsidRPr="00574DBC" w:rsidRDefault="00574DBC">
      <w:pPr>
        <w:pStyle w:val="FootnoteText"/>
        <w:rPr>
          <w:lang w:val="en-US"/>
        </w:rPr>
      </w:pPr>
      <w:r>
        <w:rPr>
          <w:rStyle w:val="FootnoteReference"/>
        </w:rPr>
        <w:footnoteRef/>
      </w:r>
      <w:r>
        <w:t xml:space="preserve"> </w:t>
      </w:r>
      <w:r>
        <w:rPr>
          <w:rFonts w:cs="Arial"/>
          <w:szCs w:val="24"/>
        </w:rPr>
        <w:t>2 Beav 31.</w:t>
      </w:r>
    </w:p>
  </w:footnote>
  <w:footnote w:id="12">
    <w:p w:rsidR="00574DBC" w:rsidRPr="00574DBC" w:rsidRDefault="00574DBC">
      <w:pPr>
        <w:pStyle w:val="FootnoteText"/>
        <w:rPr>
          <w:lang w:val="en-US"/>
        </w:rPr>
      </w:pPr>
      <w:r>
        <w:rPr>
          <w:rStyle w:val="FootnoteReference"/>
        </w:rPr>
        <w:footnoteRef/>
      </w:r>
      <w:r>
        <w:t xml:space="preserve"> </w:t>
      </w:r>
      <w:r>
        <w:rPr>
          <w:rFonts w:cs="Arial"/>
          <w:szCs w:val="24"/>
        </w:rPr>
        <w:t>38 L. J. ch. 556.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8A" w:rsidRDefault="00F73C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8A" w:rsidRDefault="00F73C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8A" w:rsidRDefault="00F73C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E24617C">
      <w:start w:val="1"/>
      <w:numFmt w:val="decimal"/>
      <w:pStyle w:val="ParagNum"/>
      <w:lvlText w:val="[%1]"/>
      <w:lvlJc w:val="left"/>
      <w:pPr>
        <w:tabs>
          <w:tab w:val="num" w:pos="369"/>
        </w:tabs>
        <w:ind w:left="369" w:hanging="369"/>
      </w:pPr>
    </w:lvl>
    <w:lvl w:ilvl="1" w:tplc="395C0930" w:tentative="1">
      <w:start w:val="1"/>
      <w:numFmt w:val="lowerLetter"/>
      <w:lvlText w:val="%2."/>
      <w:lvlJc w:val="left"/>
      <w:pPr>
        <w:tabs>
          <w:tab w:val="num" w:pos="1440"/>
        </w:tabs>
        <w:ind w:left="1440" w:hanging="360"/>
      </w:pPr>
    </w:lvl>
    <w:lvl w:ilvl="2" w:tplc="AF82B264" w:tentative="1">
      <w:start w:val="1"/>
      <w:numFmt w:val="lowerRoman"/>
      <w:lvlText w:val="%3."/>
      <w:lvlJc w:val="right"/>
      <w:pPr>
        <w:tabs>
          <w:tab w:val="num" w:pos="2160"/>
        </w:tabs>
        <w:ind w:left="2160" w:hanging="180"/>
      </w:pPr>
    </w:lvl>
    <w:lvl w:ilvl="3" w:tplc="469403F6" w:tentative="1">
      <w:start w:val="1"/>
      <w:numFmt w:val="decimal"/>
      <w:lvlText w:val="%4."/>
      <w:lvlJc w:val="left"/>
      <w:pPr>
        <w:tabs>
          <w:tab w:val="num" w:pos="2880"/>
        </w:tabs>
        <w:ind w:left="2880" w:hanging="360"/>
      </w:pPr>
    </w:lvl>
    <w:lvl w:ilvl="4" w:tplc="3E9C6F74" w:tentative="1">
      <w:start w:val="1"/>
      <w:numFmt w:val="lowerLetter"/>
      <w:lvlText w:val="%5."/>
      <w:lvlJc w:val="left"/>
      <w:pPr>
        <w:tabs>
          <w:tab w:val="num" w:pos="3600"/>
        </w:tabs>
        <w:ind w:left="3600" w:hanging="360"/>
      </w:pPr>
    </w:lvl>
    <w:lvl w:ilvl="5" w:tplc="25B29B0E" w:tentative="1">
      <w:start w:val="1"/>
      <w:numFmt w:val="lowerRoman"/>
      <w:lvlText w:val="%6."/>
      <w:lvlJc w:val="right"/>
      <w:pPr>
        <w:tabs>
          <w:tab w:val="num" w:pos="4320"/>
        </w:tabs>
        <w:ind w:left="4320" w:hanging="180"/>
      </w:pPr>
    </w:lvl>
    <w:lvl w:ilvl="6" w:tplc="F3802738" w:tentative="1">
      <w:start w:val="1"/>
      <w:numFmt w:val="decimal"/>
      <w:lvlText w:val="%7."/>
      <w:lvlJc w:val="left"/>
      <w:pPr>
        <w:tabs>
          <w:tab w:val="num" w:pos="5040"/>
        </w:tabs>
        <w:ind w:left="5040" w:hanging="360"/>
      </w:pPr>
    </w:lvl>
    <w:lvl w:ilvl="7" w:tplc="FC26DA30" w:tentative="1">
      <w:start w:val="1"/>
      <w:numFmt w:val="lowerLetter"/>
      <w:lvlText w:val="%8."/>
      <w:lvlJc w:val="left"/>
      <w:pPr>
        <w:tabs>
          <w:tab w:val="num" w:pos="5760"/>
        </w:tabs>
        <w:ind w:left="5760" w:hanging="360"/>
      </w:pPr>
    </w:lvl>
    <w:lvl w:ilvl="8" w:tplc="0462880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73C8A"/>
    <w:rsid w:val="00013FDA"/>
    <w:rsid w:val="000173FB"/>
    <w:rsid w:val="0006160B"/>
    <w:rsid w:val="000655EC"/>
    <w:rsid w:val="00077D2F"/>
    <w:rsid w:val="0008547A"/>
    <w:rsid w:val="000A1E32"/>
    <w:rsid w:val="000B133C"/>
    <w:rsid w:val="000B6688"/>
    <w:rsid w:val="000C3415"/>
    <w:rsid w:val="00121409"/>
    <w:rsid w:val="00125F0C"/>
    <w:rsid w:val="00126A8E"/>
    <w:rsid w:val="001473F1"/>
    <w:rsid w:val="001837F3"/>
    <w:rsid w:val="001D0D42"/>
    <w:rsid w:val="001D5C4A"/>
    <w:rsid w:val="001E3EBA"/>
    <w:rsid w:val="001F6A76"/>
    <w:rsid w:val="002209AC"/>
    <w:rsid w:val="002428EB"/>
    <w:rsid w:val="002A74DD"/>
    <w:rsid w:val="002B30C5"/>
    <w:rsid w:val="002C186C"/>
    <w:rsid w:val="002D5E01"/>
    <w:rsid w:val="002F4F64"/>
    <w:rsid w:val="002F7D00"/>
    <w:rsid w:val="003369B4"/>
    <w:rsid w:val="00361108"/>
    <w:rsid w:val="003824D9"/>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74DBC"/>
    <w:rsid w:val="00593C8B"/>
    <w:rsid w:val="005A243F"/>
    <w:rsid w:val="005E7843"/>
    <w:rsid w:val="006330E7"/>
    <w:rsid w:val="00644967"/>
    <w:rsid w:val="006D2BED"/>
    <w:rsid w:val="006D6F42"/>
    <w:rsid w:val="006E5FEA"/>
    <w:rsid w:val="00747F2C"/>
    <w:rsid w:val="00751F7D"/>
    <w:rsid w:val="007969C4"/>
    <w:rsid w:val="007B3A90"/>
    <w:rsid w:val="007D6DD5"/>
    <w:rsid w:val="008027F3"/>
    <w:rsid w:val="008433A9"/>
    <w:rsid w:val="008550EF"/>
    <w:rsid w:val="008719E0"/>
    <w:rsid w:val="00872F75"/>
    <w:rsid w:val="00880FBB"/>
    <w:rsid w:val="0088180F"/>
    <w:rsid w:val="008B0B7A"/>
    <w:rsid w:val="0092097E"/>
    <w:rsid w:val="00926406"/>
    <w:rsid w:val="009A7B1B"/>
    <w:rsid w:val="009D37B6"/>
    <w:rsid w:val="009E64DC"/>
    <w:rsid w:val="00A42830"/>
    <w:rsid w:val="00A4371F"/>
    <w:rsid w:val="00A54E5B"/>
    <w:rsid w:val="00A61128"/>
    <w:rsid w:val="00A94C52"/>
    <w:rsid w:val="00AB09B8"/>
    <w:rsid w:val="00B007EC"/>
    <w:rsid w:val="00B177F7"/>
    <w:rsid w:val="00B23EDE"/>
    <w:rsid w:val="00B41B49"/>
    <w:rsid w:val="00B532F0"/>
    <w:rsid w:val="00B639A4"/>
    <w:rsid w:val="00B772A6"/>
    <w:rsid w:val="00BC4595"/>
    <w:rsid w:val="00BC53ED"/>
    <w:rsid w:val="00C372DF"/>
    <w:rsid w:val="00C45FBD"/>
    <w:rsid w:val="00C54EB9"/>
    <w:rsid w:val="00C7016B"/>
    <w:rsid w:val="00C93FA5"/>
    <w:rsid w:val="00C9553A"/>
    <w:rsid w:val="00CB726B"/>
    <w:rsid w:val="00CC50DD"/>
    <w:rsid w:val="00CD1289"/>
    <w:rsid w:val="00CD1F09"/>
    <w:rsid w:val="00CD50FC"/>
    <w:rsid w:val="00CE2A11"/>
    <w:rsid w:val="00CF1E48"/>
    <w:rsid w:val="00D00550"/>
    <w:rsid w:val="00D306D2"/>
    <w:rsid w:val="00D45866"/>
    <w:rsid w:val="00D82C49"/>
    <w:rsid w:val="00D8433D"/>
    <w:rsid w:val="00D9036C"/>
    <w:rsid w:val="00DC4119"/>
    <w:rsid w:val="00DE30DC"/>
    <w:rsid w:val="00DF4C51"/>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60320"/>
    <w:rsid w:val="00F64D86"/>
    <w:rsid w:val="00F73C8A"/>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160B"/>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06160B"/>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06160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6160B"/>
  </w:style>
  <w:style w:type="paragraph" w:styleId="Header">
    <w:name w:val="header"/>
    <w:basedOn w:val="Normal"/>
    <w:link w:val="HeaderChar"/>
    <w:uiPriority w:val="99"/>
    <w:unhideWhenUsed/>
    <w:rsid w:val="0006160B"/>
    <w:pPr>
      <w:tabs>
        <w:tab w:val="center" w:pos="4680"/>
        <w:tab w:val="right" w:pos="9360"/>
      </w:tabs>
    </w:pPr>
    <w:rPr>
      <w:rFonts w:ascii="Times New Roman" w:hAnsi="Times New Roman"/>
    </w:rPr>
  </w:style>
  <w:style w:type="character" w:customStyle="1" w:styleId="HeaderChar">
    <w:name w:val="Header Char"/>
    <w:link w:val="Header"/>
    <w:uiPriority w:val="99"/>
    <w:rsid w:val="0006160B"/>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06160B"/>
    <w:pPr>
      <w:tabs>
        <w:tab w:val="center" w:pos="4680"/>
        <w:tab w:val="right" w:pos="9360"/>
      </w:tabs>
    </w:pPr>
    <w:rPr>
      <w:rFonts w:ascii="Times New Roman" w:hAnsi="Times New Roman"/>
    </w:rPr>
  </w:style>
  <w:style w:type="character" w:customStyle="1" w:styleId="FooterChar">
    <w:name w:val="Footer Char"/>
    <w:link w:val="Footer"/>
    <w:uiPriority w:val="99"/>
    <w:rsid w:val="0006160B"/>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82C4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06160B"/>
    <w:pPr>
      <w:spacing w:before="100" w:beforeAutospacing="1"/>
      <w:ind w:left="567"/>
      <w:jc w:val="both"/>
    </w:pPr>
  </w:style>
  <w:style w:type="paragraph" w:customStyle="1" w:styleId="Metadata">
    <w:name w:val="Metadata"/>
    <w:basedOn w:val="Normal"/>
    <w:rsid w:val="0006160B"/>
    <w:pPr>
      <w:spacing w:before="100" w:beforeAutospacing="1" w:after="100" w:afterAutospacing="1"/>
    </w:pPr>
    <w:rPr>
      <w:rFonts w:cs="Arial"/>
      <w:szCs w:val="24"/>
    </w:rPr>
  </w:style>
  <w:style w:type="paragraph" w:customStyle="1" w:styleId="Page">
    <w:name w:val="Page"/>
    <w:basedOn w:val="Normal"/>
    <w:link w:val="PageChar"/>
    <w:rsid w:val="0006160B"/>
    <w:pPr>
      <w:spacing w:before="100" w:beforeAutospacing="1" w:after="100" w:afterAutospacing="1"/>
    </w:pPr>
    <w:rPr>
      <w:i/>
    </w:rPr>
  </w:style>
  <w:style w:type="paragraph" w:styleId="FootnoteText">
    <w:name w:val="footnote text"/>
    <w:basedOn w:val="Normal"/>
    <w:link w:val="FootnoteTextChar"/>
    <w:autoRedefine/>
    <w:semiHidden/>
    <w:rsid w:val="0006160B"/>
    <w:rPr>
      <w:sz w:val="16"/>
      <w:szCs w:val="20"/>
    </w:rPr>
  </w:style>
  <w:style w:type="character" w:customStyle="1" w:styleId="FootnoteTextChar">
    <w:name w:val="Footnote Text Char"/>
    <w:link w:val="FootnoteText"/>
    <w:semiHidden/>
    <w:rsid w:val="0006160B"/>
    <w:rPr>
      <w:rFonts w:ascii="Arial" w:eastAsia="MS Mincho" w:hAnsi="Arial" w:cs="Times New Roman"/>
      <w:sz w:val="16"/>
      <w:szCs w:val="20"/>
      <w:lang w:val="en-CA" w:eastAsia="ja-JP"/>
    </w:rPr>
  </w:style>
  <w:style w:type="character" w:styleId="FootnoteReference">
    <w:name w:val="footnote reference"/>
    <w:semiHidden/>
    <w:rsid w:val="0006160B"/>
    <w:rPr>
      <w:vertAlign w:val="superscript"/>
    </w:rPr>
  </w:style>
  <w:style w:type="paragraph" w:customStyle="1" w:styleId="ParagNum">
    <w:name w:val="ParagNum"/>
    <w:basedOn w:val="Normal"/>
    <w:rsid w:val="0006160B"/>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06160B"/>
    <w:pPr>
      <w:spacing w:before="100" w:beforeAutospacing="1" w:after="100" w:afterAutospacing="1" w:line="360" w:lineRule="auto"/>
    </w:pPr>
  </w:style>
  <w:style w:type="paragraph" w:customStyle="1" w:styleId="Indent2">
    <w:name w:val="Indent 2"/>
    <w:basedOn w:val="Indent1"/>
    <w:rsid w:val="0006160B"/>
    <w:pPr>
      <w:ind w:left="1134"/>
    </w:pPr>
  </w:style>
  <w:style w:type="paragraph" w:customStyle="1" w:styleId="Indent3">
    <w:name w:val="Indent 3"/>
    <w:basedOn w:val="Indent1"/>
    <w:rsid w:val="0006160B"/>
    <w:pPr>
      <w:ind w:left="1701"/>
    </w:pPr>
  </w:style>
  <w:style w:type="paragraph" w:customStyle="1" w:styleId="Indent4">
    <w:name w:val="Indent 4"/>
    <w:basedOn w:val="Indent1"/>
    <w:rsid w:val="0006160B"/>
    <w:pPr>
      <w:ind w:left="2268"/>
    </w:pPr>
  </w:style>
  <w:style w:type="paragraph" w:customStyle="1" w:styleId="Indent10">
    <w:name w:val="Indent1"/>
    <w:basedOn w:val="Reasons"/>
    <w:rsid w:val="0006160B"/>
    <w:pPr>
      <w:ind w:left="567"/>
    </w:pPr>
  </w:style>
  <w:style w:type="paragraph" w:customStyle="1" w:styleId="Indent20">
    <w:name w:val="Indent2"/>
    <w:basedOn w:val="Indent10"/>
    <w:rsid w:val="0006160B"/>
    <w:pPr>
      <w:ind w:left="1134"/>
    </w:pPr>
  </w:style>
  <w:style w:type="paragraph" w:customStyle="1" w:styleId="Indent30">
    <w:name w:val="Indent3"/>
    <w:basedOn w:val="Indent10"/>
    <w:rsid w:val="0006160B"/>
    <w:pPr>
      <w:ind w:left="1701"/>
    </w:pPr>
  </w:style>
  <w:style w:type="paragraph" w:customStyle="1" w:styleId="Indent40">
    <w:name w:val="Indent4"/>
    <w:basedOn w:val="Indent10"/>
    <w:rsid w:val="0006160B"/>
    <w:pPr>
      <w:ind w:left="2268"/>
    </w:pPr>
  </w:style>
  <w:style w:type="paragraph" w:customStyle="1" w:styleId="Keywords">
    <w:name w:val="Keywords"/>
    <w:basedOn w:val="Normal"/>
    <w:rsid w:val="0006160B"/>
    <w:pPr>
      <w:spacing w:before="100" w:beforeAutospacing="1" w:after="100" w:afterAutospacing="1"/>
    </w:pPr>
    <w:rPr>
      <w:rFonts w:cs="Arial"/>
      <w:i/>
      <w:szCs w:val="24"/>
    </w:rPr>
  </w:style>
  <w:style w:type="paragraph" w:customStyle="1" w:styleId="Summary">
    <w:name w:val="Summary"/>
    <w:basedOn w:val="Normal"/>
    <w:autoRedefine/>
    <w:rsid w:val="0006160B"/>
    <w:pPr>
      <w:spacing w:before="100" w:beforeAutospacing="1" w:after="100" w:afterAutospacing="1"/>
      <w:ind w:left="562" w:hanging="562"/>
    </w:pPr>
    <w:rPr>
      <w:rFonts w:cs="Arial"/>
    </w:rPr>
  </w:style>
  <w:style w:type="paragraph" w:customStyle="1" w:styleId="History">
    <w:name w:val="History"/>
    <w:basedOn w:val="Normal"/>
    <w:rsid w:val="0006160B"/>
    <w:pPr>
      <w:spacing w:before="100" w:beforeAutospacing="1" w:after="100" w:afterAutospacing="1"/>
      <w:ind w:firstLine="567"/>
    </w:pPr>
  </w:style>
  <w:style w:type="paragraph" w:customStyle="1" w:styleId="T1">
    <w:name w:val="T1"/>
    <w:basedOn w:val="Normal"/>
    <w:rsid w:val="0006160B"/>
    <w:pPr>
      <w:spacing w:before="240" w:after="100" w:afterAutospacing="1"/>
    </w:pPr>
    <w:rPr>
      <w:b/>
    </w:rPr>
  </w:style>
  <w:style w:type="paragraph" w:customStyle="1" w:styleId="T2">
    <w:name w:val="T2"/>
    <w:basedOn w:val="Normal"/>
    <w:rsid w:val="0006160B"/>
    <w:pPr>
      <w:spacing w:before="240" w:after="100" w:afterAutospacing="1"/>
    </w:pPr>
  </w:style>
  <w:style w:type="paragraph" w:customStyle="1" w:styleId="Sollicitors">
    <w:name w:val="Sollicitors"/>
    <w:basedOn w:val="Normal"/>
    <w:rsid w:val="0006160B"/>
    <w:pPr>
      <w:spacing w:before="100" w:beforeAutospacing="1" w:after="100" w:afterAutospacing="1"/>
    </w:pPr>
    <w:rPr>
      <w:i/>
    </w:rPr>
  </w:style>
  <w:style w:type="paragraph" w:customStyle="1" w:styleId="Court">
    <w:name w:val="Court"/>
    <w:basedOn w:val="Normal"/>
    <w:rsid w:val="0006160B"/>
    <w:rPr>
      <w:rFonts w:cs="Arial"/>
      <w:b/>
      <w:szCs w:val="24"/>
    </w:rPr>
  </w:style>
  <w:style w:type="character" w:customStyle="1" w:styleId="PageChar">
    <w:name w:val="Page Char"/>
    <w:link w:val="Page"/>
    <w:rsid w:val="0006160B"/>
    <w:rPr>
      <w:rFonts w:ascii="Arial" w:eastAsia="MS Mincho" w:hAnsi="Arial" w:cs="Times New Roman"/>
      <w:i/>
      <w:sz w:val="24"/>
      <w:szCs w:val="28"/>
      <w:lang w:val="en-CA" w:eastAsia="ja-JP"/>
    </w:rPr>
  </w:style>
  <w:style w:type="character" w:customStyle="1" w:styleId="ReasonsCar">
    <w:name w:val="Reasons Car"/>
    <w:link w:val="Reasons"/>
    <w:rsid w:val="0006160B"/>
    <w:rPr>
      <w:rFonts w:ascii="Arial" w:eastAsia="MS Mincho" w:hAnsi="Arial" w:cs="Times New Roman"/>
      <w:sz w:val="24"/>
      <w:szCs w:val="28"/>
      <w:lang w:val="en-CA" w:eastAsia="ja-JP"/>
    </w:rPr>
  </w:style>
  <w:style w:type="paragraph" w:customStyle="1" w:styleId="CitationLine">
    <w:name w:val="CitationLine"/>
    <w:basedOn w:val="Court"/>
    <w:rsid w:val="0006160B"/>
  </w:style>
  <w:style w:type="paragraph" w:customStyle="1" w:styleId="DateISO">
    <w:name w:val="DateISO"/>
    <w:basedOn w:val="Court"/>
    <w:rsid w:val="000616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3</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2015-03-19T12:52:00Z</dcterms:created>
  <dcterms:modified xsi:type="dcterms:W3CDTF">2015-03-23T03:56:00Z</dcterms:modified>
</cp:coreProperties>
</file>